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DD58A">
      <w:pPr>
        <w:jc w:val="center"/>
        <w:rPr>
          <w:rFonts w:hint="eastAsia" w:ascii="Times New Roman" w:hAnsi="Times New Roman" w:eastAsia="仿宋_GB2312"/>
          <w:color w:val="auto"/>
          <w:spacing w:val="6"/>
          <w:kern w:val="0"/>
          <w:sz w:val="32"/>
          <w:szCs w:val="32"/>
          <w:lang w:eastAsia="zh-CN"/>
        </w:rPr>
      </w:pPr>
      <w:bookmarkStart w:id="54" w:name="_GoBack"/>
      <w:bookmarkEnd w:id="54"/>
      <w:r>
        <w:rPr>
          <w:rFonts w:hint="eastAsia" w:ascii="宋体" w:hAnsi="宋体" w:eastAsia="宋体" w:cs="宋体"/>
          <w:b/>
          <w:bCs/>
          <w:color w:val="auto"/>
          <w:spacing w:val="6"/>
          <w:kern w:val="0"/>
          <w:sz w:val="44"/>
          <w:szCs w:val="44"/>
          <w:lang w:eastAsia="zh-CN"/>
        </w:rPr>
        <w:t>关于《广元市昭化区“十四五”农业农村现代化规划</w:t>
      </w:r>
      <w:r>
        <w:rPr>
          <w:rFonts w:hint="eastAsia" w:ascii="宋体" w:hAnsi="宋体" w:eastAsia="宋体" w:cs="宋体"/>
          <w:b/>
          <w:bCs/>
          <w:color w:val="auto"/>
          <w:spacing w:val="6"/>
          <w:kern w:val="0"/>
          <w:sz w:val="44"/>
          <w:szCs w:val="44"/>
          <w:lang w:val="en-US" w:eastAsia="zh-CN"/>
        </w:rPr>
        <w:t>(征求意见稿)</w:t>
      </w:r>
      <w:r>
        <w:rPr>
          <w:rFonts w:hint="eastAsia" w:ascii="宋体" w:hAnsi="宋体" w:eastAsia="宋体" w:cs="宋体"/>
          <w:b/>
          <w:bCs/>
          <w:color w:val="auto"/>
          <w:spacing w:val="6"/>
          <w:kern w:val="0"/>
          <w:sz w:val="44"/>
          <w:szCs w:val="44"/>
          <w:lang w:eastAsia="zh-CN"/>
        </w:rPr>
        <w:t>》向社会公开征求意见建</w:t>
      </w:r>
      <w:r>
        <w:rPr>
          <w:rFonts w:hint="eastAsia" w:ascii="宋体" w:hAnsi="宋体" w:eastAsia="宋体" w:cs="宋体"/>
          <w:b/>
          <w:bCs/>
          <w:color w:val="auto"/>
          <w:spacing w:val="6"/>
          <w:kern w:val="0"/>
          <w:sz w:val="44"/>
          <w:szCs w:val="44"/>
          <w:lang w:val="en-US" w:eastAsia="zh-CN"/>
        </w:rPr>
        <w:t xml:space="preserve">    </w:t>
      </w:r>
      <w:r>
        <w:rPr>
          <w:rFonts w:hint="eastAsia" w:ascii="宋体" w:hAnsi="宋体" w:eastAsia="宋体" w:cs="宋体"/>
          <w:b/>
          <w:bCs/>
          <w:color w:val="auto"/>
          <w:spacing w:val="6"/>
          <w:kern w:val="0"/>
          <w:sz w:val="44"/>
          <w:szCs w:val="44"/>
          <w:lang w:eastAsia="zh-CN"/>
        </w:rPr>
        <w:t>议</w:t>
      </w:r>
    </w:p>
    <w:p w14:paraId="779F6553">
      <w:pPr>
        <w:ind w:firstLine="664" w:firstLineChars="200"/>
        <w:rPr>
          <w:rFonts w:ascii="Times New Roman" w:hAnsi="Times New Roman" w:eastAsia="仿宋_GB2312"/>
          <w:color w:val="auto"/>
          <w:spacing w:val="6"/>
          <w:kern w:val="0"/>
          <w:sz w:val="32"/>
          <w:szCs w:val="32"/>
        </w:rPr>
      </w:pPr>
    </w:p>
    <w:p w14:paraId="5A78BD8E">
      <w:pPr>
        <w:ind w:firstLine="664" w:firstLineChars="200"/>
        <w:rPr>
          <w:rFonts w:hint="eastAsia" w:ascii="Times New Roman" w:hAnsi="Times New Roman" w:eastAsia="仿宋_GB2312"/>
          <w:color w:val="auto"/>
          <w:spacing w:val="6"/>
          <w:kern w:val="0"/>
          <w:sz w:val="32"/>
          <w:szCs w:val="32"/>
          <w:lang w:eastAsia="zh-CN"/>
        </w:rPr>
      </w:pPr>
      <w:r>
        <w:rPr>
          <w:rFonts w:hint="eastAsia" w:ascii="Times New Roman" w:hAnsi="Times New Roman" w:eastAsia="仿宋_GB2312"/>
          <w:color w:val="auto"/>
          <w:spacing w:val="6"/>
          <w:kern w:val="0"/>
          <w:sz w:val="32"/>
          <w:szCs w:val="32"/>
          <w:lang w:eastAsia="zh-CN"/>
        </w:rPr>
        <w:t>按照市人民政府《关于印发广元市“十四五”推进农业农村现代化规划的通知》和相关文件精神，区农业农村局牵头起草形成了《广元市昭化区“十四五”农业农村现代化规划</w:t>
      </w:r>
      <w:r>
        <w:rPr>
          <w:rFonts w:hint="eastAsia" w:ascii="Times New Roman" w:hAnsi="Times New Roman" w:eastAsia="仿宋_GB2312"/>
          <w:color w:val="auto"/>
          <w:spacing w:val="6"/>
          <w:kern w:val="0"/>
          <w:sz w:val="32"/>
          <w:szCs w:val="32"/>
          <w:lang w:val="en-US" w:eastAsia="zh-CN"/>
        </w:rPr>
        <w:t>(征求意见稿)</w:t>
      </w:r>
      <w:r>
        <w:rPr>
          <w:rFonts w:hint="eastAsia" w:ascii="Times New Roman" w:hAnsi="Times New Roman" w:eastAsia="仿宋_GB2312"/>
          <w:color w:val="auto"/>
          <w:spacing w:val="6"/>
          <w:kern w:val="0"/>
          <w:sz w:val="32"/>
          <w:szCs w:val="32"/>
          <w:lang w:eastAsia="zh-CN"/>
        </w:rPr>
        <w:t>》，现向社会公开征求意见、建议，征求时间为202</w:t>
      </w:r>
      <w:r>
        <w:rPr>
          <w:rFonts w:hint="eastAsia" w:ascii="Times New Roman" w:hAnsi="Times New Roman" w:eastAsia="仿宋_GB2312"/>
          <w:color w:val="auto"/>
          <w:spacing w:val="6"/>
          <w:kern w:val="0"/>
          <w:sz w:val="32"/>
          <w:szCs w:val="32"/>
          <w:lang w:val="en-US" w:eastAsia="zh-CN"/>
        </w:rPr>
        <w:t>2</w:t>
      </w:r>
      <w:r>
        <w:rPr>
          <w:rFonts w:hint="eastAsia" w:ascii="Times New Roman" w:hAnsi="Times New Roman" w:eastAsia="仿宋_GB2312"/>
          <w:color w:val="auto"/>
          <w:spacing w:val="6"/>
          <w:kern w:val="0"/>
          <w:sz w:val="32"/>
          <w:szCs w:val="32"/>
          <w:lang w:eastAsia="zh-CN"/>
        </w:rPr>
        <w:t>年</w:t>
      </w:r>
      <w:r>
        <w:rPr>
          <w:rFonts w:hint="eastAsia" w:ascii="Times New Roman" w:hAnsi="Times New Roman" w:eastAsia="仿宋_GB2312"/>
          <w:color w:val="auto"/>
          <w:spacing w:val="6"/>
          <w:kern w:val="0"/>
          <w:sz w:val="32"/>
          <w:szCs w:val="32"/>
          <w:lang w:val="en-US" w:eastAsia="zh-CN"/>
        </w:rPr>
        <w:t>3</w:t>
      </w:r>
      <w:r>
        <w:rPr>
          <w:rFonts w:hint="eastAsia" w:ascii="Times New Roman" w:hAnsi="Times New Roman" w:eastAsia="仿宋_GB2312"/>
          <w:color w:val="auto"/>
          <w:spacing w:val="6"/>
          <w:kern w:val="0"/>
          <w:sz w:val="32"/>
          <w:szCs w:val="32"/>
          <w:lang w:eastAsia="zh-CN"/>
        </w:rPr>
        <w:t>月</w:t>
      </w:r>
      <w:r>
        <w:rPr>
          <w:rFonts w:hint="eastAsia" w:ascii="Times New Roman" w:hAnsi="Times New Roman" w:eastAsia="仿宋_GB2312"/>
          <w:color w:val="auto"/>
          <w:spacing w:val="6"/>
          <w:kern w:val="0"/>
          <w:sz w:val="32"/>
          <w:szCs w:val="32"/>
          <w:lang w:val="en-US" w:eastAsia="zh-CN"/>
        </w:rPr>
        <w:t>11</w:t>
      </w:r>
      <w:r>
        <w:rPr>
          <w:rFonts w:hint="eastAsia" w:ascii="Times New Roman" w:hAnsi="Times New Roman" w:eastAsia="仿宋_GB2312"/>
          <w:color w:val="auto"/>
          <w:spacing w:val="6"/>
          <w:kern w:val="0"/>
          <w:sz w:val="32"/>
          <w:szCs w:val="32"/>
          <w:lang w:eastAsia="zh-CN"/>
        </w:rPr>
        <w:t>日—202</w:t>
      </w:r>
      <w:r>
        <w:rPr>
          <w:rFonts w:hint="eastAsia" w:ascii="Times New Roman" w:hAnsi="Times New Roman" w:eastAsia="仿宋_GB2312"/>
          <w:color w:val="auto"/>
          <w:spacing w:val="6"/>
          <w:kern w:val="0"/>
          <w:sz w:val="32"/>
          <w:szCs w:val="32"/>
          <w:lang w:val="en-US" w:eastAsia="zh-CN"/>
        </w:rPr>
        <w:t>2</w:t>
      </w:r>
      <w:r>
        <w:rPr>
          <w:rFonts w:hint="eastAsia" w:ascii="Times New Roman" w:hAnsi="Times New Roman" w:eastAsia="仿宋_GB2312"/>
          <w:color w:val="auto"/>
          <w:spacing w:val="6"/>
          <w:kern w:val="0"/>
          <w:sz w:val="32"/>
          <w:szCs w:val="32"/>
          <w:lang w:eastAsia="zh-CN"/>
        </w:rPr>
        <w:t>年</w:t>
      </w:r>
      <w:r>
        <w:rPr>
          <w:rFonts w:hint="eastAsia" w:ascii="Times New Roman" w:hAnsi="Times New Roman" w:eastAsia="仿宋_GB2312"/>
          <w:color w:val="auto"/>
          <w:spacing w:val="6"/>
          <w:kern w:val="0"/>
          <w:sz w:val="32"/>
          <w:szCs w:val="32"/>
          <w:lang w:val="en-US" w:eastAsia="zh-CN"/>
        </w:rPr>
        <w:t>4</w:t>
      </w:r>
      <w:r>
        <w:rPr>
          <w:rFonts w:hint="eastAsia" w:ascii="Times New Roman" w:hAnsi="Times New Roman" w:eastAsia="仿宋_GB2312"/>
          <w:color w:val="auto"/>
          <w:spacing w:val="6"/>
          <w:kern w:val="0"/>
          <w:sz w:val="32"/>
          <w:szCs w:val="32"/>
          <w:lang w:eastAsia="zh-CN"/>
        </w:rPr>
        <w:t>月</w:t>
      </w:r>
      <w:r>
        <w:rPr>
          <w:rFonts w:hint="eastAsia" w:ascii="Times New Roman" w:hAnsi="Times New Roman" w:eastAsia="仿宋_GB2312"/>
          <w:color w:val="auto"/>
          <w:spacing w:val="6"/>
          <w:kern w:val="0"/>
          <w:sz w:val="32"/>
          <w:szCs w:val="32"/>
          <w:lang w:val="en-US" w:eastAsia="zh-CN"/>
        </w:rPr>
        <w:t>11</w:t>
      </w:r>
      <w:r>
        <w:rPr>
          <w:rFonts w:hint="eastAsia" w:ascii="Times New Roman" w:hAnsi="Times New Roman" w:eastAsia="仿宋_GB2312"/>
          <w:color w:val="auto"/>
          <w:spacing w:val="6"/>
          <w:kern w:val="0"/>
          <w:sz w:val="32"/>
          <w:szCs w:val="32"/>
          <w:lang w:eastAsia="zh-CN"/>
        </w:rPr>
        <w:t>日，可通过电子邮件反馈意见建议，邮箱：</w:t>
      </w:r>
      <w:r>
        <w:rPr>
          <w:rFonts w:hint="eastAsia" w:ascii="Times New Roman" w:hAnsi="Times New Roman" w:eastAsia="仿宋_GB2312"/>
          <w:color w:val="auto"/>
          <w:spacing w:val="6"/>
          <w:kern w:val="0"/>
          <w:sz w:val="32"/>
          <w:szCs w:val="32"/>
          <w:lang w:eastAsia="zh-CN"/>
        </w:rPr>
        <w:fldChar w:fldCharType="begin"/>
      </w:r>
      <w:r>
        <w:rPr>
          <w:rFonts w:hint="eastAsia" w:ascii="Times New Roman" w:hAnsi="Times New Roman" w:eastAsia="仿宋_GB2312"/>
          <w:color w:val="auto"/>
          <w:spacing w:val="6"/>
          <w:kern w:val="0"/>
          <w:sz w:val="32"/>
          <w:szCs w:val="32"/>
          <w:lang w:eastAsia="zh-CN"/>
        </w:rPr>
        <w:instrText xml:space="preserve"> HYPERLINK "mailto:357459036@qq.com。" </w:instrText>
      </w:r>
      <w:r>
        <w:rPr>
          <w:rFonts w:hint="eastAsia" w:ascii="Times New Roman" w:hAnsi="Times New Roman" w:eastAsia="仿宋_GB2312"/>
          <w:color w:val="auto"/>
          <w:spacing w:val="6"/>
          <w:kern w:val="0"/>
          <w:sz w:val="32"/>
          <w:szCs w:val="32"/>
          <w:lang w:eastAsia="zh-CN"/>
        </w:rPr>
        <w:fldChar w:fldCharType="separate"/>
      </w:r>
      <w:r>
        <w:rPr>
          <w:rFonts w:hint="eastAsia" w:ascii="Times New Roman" w:hAnsi="Times New Roman" w:eastAsia="仿宋_GB2312"/>
          <w:color w:val="auto"/>
          <w:spacing w:val="6"/>
          <w:kern w:val="0"/>
          <w:sz w:val="32"/>
          <w:szCs w:val="32"/>
          <w:lang w:val="en-US" w:eastAsia="zh-CN"/>
        </w:rPr>
        <w:t>380173391</w:t>
      </w:r>
      <w:r>
        <w:rPr>
          <w:rFonts w:hint="eastAsia" w:ascii="Times New Roman" w:hAnsi="Times New Roman" w:eastAsia="仿宋_GB2312"/>
          <w:color w:val="auto"/>
          <w:spacing w:val="6"/>
          <w:kern w:val="0"/>
          <w:sz w:val="32"/>
          <w:szCs w:val="32"/>
          <w:lang w:eastAsia="zh-CN"/>
        </w:rPr>
        <w:t>@qq.com。</w:t>
      </w:r>
      <w:r>
        <w:rPr>
          <w:rFonts w:hint="eastAsia" w:ascii="Times New Roman" w:hAnsi="Times New Roman" w:eastAsia="仿宋_GB2312"/>
          <w:color w:val="auto"/>
          <w:spacing w:val="6"/>
          <w:kern w:val="0"/>
          <w:sz w:val="32"/>
          <w:szCs w:val="32"/>
          <w:lang w:eastAsia="zh-CN"/>
        </w:rPr>
        <w:fldChar w:fldCharType="end"/>
      </w:r>
    </w:p>
    <w:p w14:paraId="3323CFFE">
      <w:pPr>
        <w:ind w:firstLine="640" w:firstLineChars="200"/>
        <w:rPr>
          <w:rFonts w:eastAsia="仿宋_GB2312"/>
          <w:color w:val="000000"/>
          <w:kern w:val="0"/>
          <w:sz w:val="32"/>
          <w:szCs w:val="32"/>
        </w:rPr>
      </w:pPr>
    </w:p>
    <w:p w14:paraId="46D94FC2">
      <w:pPr>
        <w:ind w:firstLine="640" w:firstLineChars="200"/>
        <w:rPr>
          <w:rFonts w:eastAsia="仿宋_GB2312"/>
          <w:color w:val="000000"/>
          <w:kern w:val="0"/>
          <w:sz w:val="32"/>
          <w:szCs w:val="32"/>
        </w:rPr>
      </w:pPr>
    </w:p>
    <w:p w14:paraId="36C1D312">
      <w:pPr>
        <w:ind w:left="6067" w:leftChars="2432" w:hanging="960" w:hangingChars="300"/>
        <w:rPr>
          <w:rFonts w:hint="eastAsia" w:eastAsia="仿宋_GB2312"/>
          <w:color w:val="000000"/>
          <w:kern w:val="0"/>
          <w:sz w:val="32"/>
          <w:szCs w:val="32"/>
          <w:lang w:val="en-US" w:eastAsia="zh-CN"/>
        </w:rPr>
      </w:pPr>
      <w:r>
        <w:rPr>
          <w:rFonts w:hint="eastAsia" w:eastAsia="仿宋_GB2312"/>
          <w:color w:val="000000"/>
          <w:kern w:val="0"/>
          <w:sz w:val="32"/>
          <w:szCs w:val="32"/>
          <w:lang w:eastAsia="zh-CN"/>
        </w:rPr>
        <w:t>广元市昭化区农业农村局</w:t>
      </w:r>
      <w:r>
        <w:rPr>
          <w:rFonts w:hint="eastAsia" w:eastAsia="仿宋_GB2312"/>
          <w:color w:val="000000"/>
          <w:kern w:val="0"/>
          <w:sz w:val="32"/>
          <w:szCs w:val="32"/>
          <w:lang w:val="en-US" w:eastAsia="zh-CN"/>
        </w:rPr>
        <w:t>2022年3月11日</w:t>
      </w:r>
    </w:p>
    <w:p w14:paraId="7DA381F8">
      <w:pPr>
        <w:rPr>
          <w:rFonts w:hint="eastAsia" w:eastAsia="仿宋_GB2312"/>
          <w:color w:val="000000"/>
          <w:kern w:val="0"/>
          <w:sz w:val="32"/>
          <w:szCs w:val="32"/>
          <w:lang w:val="en-US" w:eastAsia="zh-CN"/>
        </w:rPr>
      </w:pPr>
    </w:p>
    <w:p w14:paraId="49CFF2FB">
      <w:pPr>
        <w:jc w:val="center"/>
        <w:rPr>
          <w:rFonts w:hint="default" w:ascii="Times New Roman" w:hAnsi="Times New Roman" w:eastAsia="方正小标宋简体" w:cs="Times New Roman"/>
          <w:color w:val="auto"/>
          <w:sz w:val="56"/>
          <w:szCs w:val="56"/>
        </w:rPr>
      </w:pPr>
    </w:p>
    <w:p w14:paraId="78490C9A">
      <w:pPr>
        <w:jc w:val="center"/>
        <w:rPr>
          <w:rFonts w:hint="default" w:ascii="Times New Roman" w:hAnsi="Times New Roman" w:eastAsia="方正小标宋简体" w:cs="Times New Roman"/>
          <w:color w:val="auto"/>
          <w:sz w:val="56"/>
          <w:szCs w:val="56"/>
        </w:rPr>
      </w:pPr>
    </w:p>
    <w:p w14:paraId="7F51664D">
      <w:pPr>
        <w:jc w:val="center"/>
        <w:rPr>
          <w:rFonts w:hint="default" w:ascii="Times New Roman" w:hAnsi="Times New Roman" w:eastAsia="方正小标宋简体" w:cs="Times New Roman"/>
          <w:color w:val="auto"/>
          <w:sz w:val="56"/>
          <w:szCs w:val="56"/>
        </w:rPr>
      </w:pPr>
    </w:p>
    <w:p w14:paraId="11570A44">
      <w:pPr>
        <w:jc w:val="both"/>
        <w:rPr>
          <w:rFonts w:hint="default" w:ascii="Times New Roman" w:hAnsi="Times New Roman" w:eastAsia="方正小标宋简体" w:cs="Times New Roman"/>
          <w:color w:val="auto"/>
          <w:sz w:val="56"/>
          <w:szCs w:val="56"/>
        </w:rPr>
      </w:pPr>
      <w:r>
        <w:rPr>
          <w:rFonts w:hint="default" w:ascii="Times New Roman" w:hAnsi="Times New Roman" w:eastAsia="方正小标宋简体" w:cs="Times New Roman"/>
          <w:color w:val="auto"/>
          <w:sz w:val="56"/>
          <w:szCs w:val="56"/>
        </w:rPr>
        <w:t>广元市昭化区“十四五”农业农村</w:t>
      </w:r>
    </w:p>
    <w:p w14:paraId="6F951BA8">
      <w:pPr>
        <w:jc w:val="center"/>
        <w:rPr>
          <w:rFonts w:hint="eastAsia" w:ascii="Times New Roman" w:hAnsi="Times New Roman" w:eastAsia="方正小标宋简体" w:cs="Times New Roman"/>
          <w:color w:val="auto"/>
          <w:sz w:val="56"/>
          <w:szCs w:val="56"/>
          <w:lang w:eastAsia="zh-CN"/>
        </w:rPr>
      </w:pPr>
      <w:r>
        <w:rPr>
          <w:rFonts w:hint="default" w:ascii="Times New Roman" w:hAnsi="Times New Roman" w:eastAsia="方正小标宋简体" w:cs="Times New Roman"/>
          <w:color w:val="auto"/>
          <w:sz w:val="56"/>
          <w:szCs w:val="56"/>
        </w:rPr>
        <w:t>现代化规划</w:t>
      </w:r>
      <w:r>
        <w:rPr>
          <w:rFonts w:hint="eastAsia" w:ascii="Times New Roman" w:hAnsi="Times New Roman" w:eastAsia="方正小标宋简体" w:cs="Times New Roman"/>
          <w:color w:val="auto"/>
          <w:sz w:val="56"/>
          <w:szCs w:val="56"/>
          <w:lang w:eastAsia="zh-CN"/>
        </w:rPr>
        <w:t>（征求意见稿）</w:t>
      </w:r>
    </w:p>
    <w:p w14:paraId="2A6C0FBB">
      <w:pPr>
        <w:rPr>
          <w:rFonts w:hint="default" w:ascii="Times New Roman" w:hAnsi="Times New Roman" w:cs="Times New Roman"/>
          <w:color w:val="auto"/>
        </w:rPr>
      </w:pPr>
    </w:p>
    <w:p w14:paraId="718B2C77">
      <w:pPr>
        <w:rPr>
          <w:rFonts w:hint="default" w:ascii="Times New Roman" w:hAnsi="Times New Roman" w:cs="Times New Roman"/>
          <w:color w:val="auto"/>
        </w:rPr>
      </w:pPr>
    </w:p>
    <w:p w14:paraId="167F32B2">
      <w:pPr>
        <w:rPr>
          <w:rFonts w:hint="default" w:ascii="Times New Roman" w:hAnsi="Times New Roman" w:cs="Times New Roman"/>
          <w:color w:val="auto"/>
        </w:rPr>
      </w:pPr>
    </w:p>
    <w:p w14:paraId="09B9CB44">
      <w:pPr>
        <w:rPr>
          <w:rFonts w:hint="default" w:ascii="Times New Roman" w:hAnsi="Times New Roman" w:cs="Times New Roman"/>
          <w:color w:val="auto"/>
        </w:rPr>
      </w:pPr>
    </w:p>
    <w:p w14:paraId="66A2E78D">
      <w:pPr>
        <w:rPr>
          <w:rFonts w:hint="default" w:ascii="Times New Roman" w:hAnsi="Times New Roman" w:cs="Times New Roman"/>
          <w:color w:val="auto"/>
        </w:rPr>
      </w:pPr>
    </w:p>
    <w:p w14:paraId="09E26964">
      <w:pPr>
        <w:rPr>
          <w:rFonts w:hint="default" w:ascii="Times New Roman" w:hAnsi="Times New Roman" w:cs="Times New Roman"/>
          <w:color w:val="auto"/>
        </w:rPr>
      </w:pPr>
    </w:p>
    <w:p w14:paraId="4FBD09CC">
      <w:pPr>
        <w:rPr>
          <w:rFonts w:hint="default" w:ascii="Times New Roman" w:hAnsi="Times New Roman" w:cs="Times New Roman"/>
          <w:color w:val="auto"/>
        </w:rPr>
      </w:pPr>
    </w:p>
    <w:p w14:paraId="1C812D04">
      <w:pPr>
        <w:rPr>
          <w:rFonts w:hint="default" w:ascii="Times New Roman" w:hAnsi="Times New Roman" w:cs="Times New Roman"/>
          <w:color w:val="auto"/>
        </w:rPr>
      </w:pPr>
    </w:p>
    <w:p w14:paraId="43476303">
      <w:pPr>
        <w:rPr>
          <w:rFonts w:hint="default" w:ascii="Times New Roman" w:hAnsi="Times New Roman" w:cs="Times New Roman"/>
          <w:color w:val="auto"/>
        </w:rPr>
      </w:pPr>
    </w:p>
    <w:p w14:paraId="2CF4C581">
      <w:pPr>
        <w:rPr>
          <w:rFonts w:hint="default" w:ascii="Times New Roman" w:hAnsi="Times New Roman" w:cs="Times New Roman"/>
          <w:color w:val="auto"/>
        </w:rPr>
      </w:pPr>
    </w:p>
    <w:p w14:paraId="20C9265A">
      <w:pPr>
        <w:rPr>
          <w:rFonts w:hint="default" w:ascii="Times New Roman" w:hAnsi="Times New Roman" w:cs="Times New Roman"/>
          <w:color w:val="auto"/>
        </w:rPr>
      </w:pPr>
    </w:p>
    <w:p w14:paraId="3A98308B">
      <w:pPr>
        <w:rPr>
          <w:rFonts w:hint="default" w:ascii="Times New Roman" w:hAnsi="Times New Roman" w:cs="Times New Roman"/>
          <w:color w:val="auto"/>
        </w:rPr>
      </w:pPr>
    </w:p>
    <w:p w14:paraId="63BC5BD4">
      <w:pPr>
        <w:rPr>
          <w:rFonts w:hint="default" w:ascii="Times New Roman" w:hAnsi="Times New Roman" w:cs="Times New Roman"/>
          <w:color w:val="auto"/>
        </w:rPr>
      </w:pPr>
    </w:p>
    <w:p w14:paraId="3D958AC1">
      <w:pPr>
        <w:rPr>
          <w:rFonts w:hint="default" w:ascii="Times New Roman" w:hAnsi="Times New Roman" w:cs="Times New Roman"/>
          <w:color w:val="auto"/>
        </w:rPr>
      </w:pPr>
    </w:p>
    <w:p w14:paraId="6FFB4823">
      <w:pPr>
        <w:rPr>
          <w:rFonts w:hint="default" w:ascii="Times New Roman" w:hAnsi="Times New Roman" w:cs="Times New Roman"/>
          <w:color w:val="auto"/>
        </w:rPr>
      </w:pPr>
    </w:p>
    <w:p w14:paraId="2C9ED8EC">
      <w:pPr>
        <w:rPr>
          <w:rFonts w:hint="default" w:ascii="Times New Roman" w:hAnsi="Times New Roman" w:cs="Times New Roman"/>
          <w:color w:val="auto"/>
        </w:rPr>
      </w:pPr>
    </w:p>
    <w:p w14:paraId="2D2C6060">
      <w:pPr>
        <w:rPr>
          <w:rFonts w:hint="default" w:ascii="Times New Roman" w:hAnsi="Times New Roman" w:cs="Times New Roman"/>
          <w:color w:val="auto"/>
        </w:rPr>
      </w:pPr>
    </w:p>
    <w:p w14:paraId="58139E33">
      <w:pPr>
        <w:rPr>
          <w:rFonts w:hint="default" w:ascii="Times New Roman" w:hAnsi="Times New Roman" w:cs="Times New Roman"/>
          <w:color w:val="auto"/>
        </w:rPr>
      </w:pPr>
    </w:p>
    <w:p w14:paraId="69617FB5">
      <w:pPr>
        <w:rPr>
          <w:rFonts w:hint="default" w:ascii="Times New Roman" w:hAnsi="Times New Roman" w:cs="Times New Roman"/>
          <w:color w:val="auto"/>
        </w:rPr>
      </w:pPr>
    </w:p>
    <w:p w14:paraId="74644F98">
      <w:pPr>
        <w:rPr>
          <w:rFonts w:hint="default" w:ascii="Times New Roman" w:hAnsi="Times New Roman" w:cs="Times New Roman"/>
          <w:color w:val="auto"/>
        </w:rPr>
      </w:pPr>
    </w:p>
    <w:p w14:paraId="66D0A766">
      <w:pPr>
        <w:rPr>
          <w:rFonts w:hint="default" w:ascii="Times New Roman" w:hAnsi="Times New Roman" w:cs="Times New Roman"/>
          <w:color w:val="auto"/>
        </w:rPr>
      </w:pPr>
    </w:p>
    <w:p w14:paraId="2DF2B198">
      <w:pPr>
        <w:rPr>
          <w:rFonts w:hint="default" w:ascii="Times New Roman" w:hAnsi="Times New Roman" w:cs="Times New Roman"/>
          <w:color w:val="auto"/>
        </w:rPr>
      </w:pPr>
    </w:p>
    <w:p w14:paraId="61816785">
      <w:pPr>
        <w:rPr>
          <w:rFonts w:hint="default" w:ascii="Times New Roman" w:hAnsi="Times New Roman" w:cs="Times New Roman"/>
          <w:color w:val="auto"/>
        </w:rPr>
      </w:pPr>
    </w:p>
    <w:p w14:paraId="4C9CDF6B">
      <w:pPr>
        <w:rPr>
          <w:rFonts w:hint="default" w:ascii="Times New Roman" w:hAnsi="Times New Roman" w:cs="Times New Roman"/>
          <w:color w:val="auto"/>
        </w:rPr>
      </w:pPr>
    </w:p>
    <w:p w14:paraId="1F587F22">
      <w:pPr>
        <w:rPr>
          <w:rFonts w:hint="default" w:ascii="Times New Roman" w:hAnsi="Times New Roman" w:cs="Times New Roman"/>
          <w:color w:val="auto"/>
        </w:rPr>
      </w:pPr>
    </w:p>
    <w:p w14:paraId="6A660E98">
      <w:pPr>
        <w:rPr>
          <w:rFonts w:hint="default" w:ascii="Times New Roman" w:hAnsi="Times New Roman" w:cs="Times New Roman"/>
          <w:color w:val="auto"/>
        </w:rPr>
      </w:pPr>
    </w:p>
    <w:p w14:paraId="51277E1A">
      <w:pPr>
        <w:rPr>
          <w:rFonts w:hint="default" w:ascii="Times New Roman" w:hAnsi="Times New Roman" w:cs="Times New Roman"/>
          <w:color w:val="auto"/>
        </w:rPr>
      </w:pPr>
    </w:p>
    <w:p w14:paraId="7DED7407">
      <w:pPr>
        <w:jc w:val="center"/>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 xml:space="preserve">广元市昭化区农业农村局  </w:t>
      </w:r>
    </w:p>
    <w:p w14:paraId="53B8F160">
      <w:pPr>
        <w:jc w:val="center"/>
        <w:rPr>
          <w:rFonts w:hint="default" w:ascii="Times New Roman" w:hAnsi="Times New Roman" w:eastAsia="楷体_GB2312" w:cs="Times New Roman"/>
          <w:b/>
          <w:color w:val="auto"/>
          <w:sz w:val="36"/>
          <w:szCs w:val="36"/>
        </w:rPr>
      </w:pPr>
      <w:r>
        <w:rPr>
          <w:rFonts w:hint="default" w:ascii="Times New Roman" w:hAnsi="Times New Roman" w:eastAsia="楷体_GB2312" w:cs="Times New Roman"/>
          <w:b/>
          <w:color w:val="auto"/>
          <w:sz w:val="36"/>
          <w:szCs w:val="36"/>
        </w:rPr>
        <w:t>2022年</w:t>
      </w:r>
      <w:r>
        <w:rPr>
          <w:rFonts w:hint="eastAsia" w:ascii="Times New Roman" w:hAnsi="Times New Roman" w:eastAsia="楷体_GB2312" w:cs="Times New Roman"/>
          <w:b/>
          <w:color w:val="auto"/>
          <w:sz w:val="36"/>
          <w:szCs w:val="36"/>
          <w:lang w:val="en-US" w:eastAsia="zh-CN"/>
        </w:rPr>
        <w:t>3</w:t>
      </w:r>
      <w:r>
        <w:rPr>
          <w:rFonts w:hint="default" w:ascii="Times New Roman" w:hAnsi="Times New Roman" w:eastAsia="楷体_GB2312" w:cs="Times New Roman"/>
          <w:b/>
          <w:color w:val="auto"/>
          <w:sz w:val="36"/>
          <w:szCs w:val="36"/>
        </w:rPr>
        <w:t>月</w:t>
      </w:r>
    </w:p>
    <w:p w14:paraId="375007D0">
      <w:pPr>
        <w:pStyle w:val="8"/>
        <w:ind w:left="840" w:hanging="420"/>
        <w:rPr>
          <w:rFonts w:hint="default" w:ascii="Times New Roman" w:hAnsi="Times New Roman" w:cs="Times New Roman"/>
          <w:color w:val="auto"/>
        </w:rPr>
      </w:pPr>
      <w:r>
        <w:rPr>
          <w:rFonts w:hint="default" w:ascii="Times New Roman" w:hAnsi="Times New Roman" w:cs="Times New Roman"/>
          <w:color w:val="auto"/>
        </w:rPr>
        <w:br w:type="page"/>
      </w:r>
    </w:p>
    <w:p w14:paraId="42BB239F">
      <w:pPr>
        <w:pStyle w:val="8"/>
        <w:ind w:left="840" w:hanging="420"/>
        <w:rPr>
          <w:rFonts w:hint="default" w:ascii="Times New Roman" w:hAnsi="Times New Roman" w:cs="Times New Roman"/>
          <w:color w:val="auto"/>
        </w:rPr>
      </w:pPr>
    </w:p>
    <w:sdt>
      <w:sdtPr>
        <w:rPr>
          <w:rFonts w:hint="default" w:ascii="Times New Roman" w:hAnsi="Times New Roman" w:cs="Times New Roman"/>
          <w:b w:val="0"/>
          <w:bCs w:val="0"/>
          <w:color w:val="auto"/>
          <w:lang w:val="zh-CN"/>
        </w:rPr>
        <w:id w:val="7015385"/>
        <w:docPartObj>
          <w:docPartGallery w:val="Table of Contents"/>
          <w:docPartUnique/>
        </w:docPartObj>
      </w:sdtPr>
      <w:sdtEndPr>
        <w:rPr>
          <w:rFonts w:hint="default" w:ascii="Times New Roman" w:hAnsi="Times New Roman" w:cs="Times New Roman" w:eastAsiaTheme="minorEastAsia"/>
          <w:b w:val="0"/>
          <w:bCs w:val="0"/>
          <w:color w:val="auto"/>
          <w:kern w:val="2"/>
          <w:sz w:val="21"/>
          <w:szCs w:val="24"/>
          <w:lang w:val="en-US"/>
        </w:rPr>
      </w:sdtEndPr>
      <w:sdtContent>
        <w:p w14:paraId="42EB1B2C">
          <w:pPr>
            <w:pStyle w:val="16"/>
            <w:spacing w:before="0" w:line="576"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lang w:val="zh-CN"/>
            </w:rPr>
            <w:t>目　</w:t>
          </w:r>
          <w:r>
            <w:rPr>
              <w:rFonts w:hint="eastAsia" w:ascii="Times New Roman" w:hAnsi="Times New Roman" w:eastAsia="方正小标宋简体" w:cs="Times New Roman"/>
              <w:b w:val="0"/>
              <w:bCs w:val="0"/>
              <w:color w:val="auto"/>
              <w:sz w:val="44"/>
              <w:szCs w:val="44"/>
              <w:lang w:val="en-US" w:eastAsia="zh-CN"/>
            </w:rPr>
            <w:t xml:space="preserve">  </w:t>
          </w:r>
          <w:r>
            <w:rPr>
              <w:rFonts w:hint="default" w:ascii="Times New Roman" w:hAnsi="Times New Roman" w:eastAsia="方正小标宋简体" w:cs="Times New Roman"/>
              <w:b w:val="0"/>
              <w:bCs w:val="0"/>
              <w:color w:val="auto"/>
              <w:sz w:val="44"/>
              <w:szCs w:val="44"/>
              <w:lang w:val="zh-CN"/>
            </w:rPr>
            <w:t>　录</w:t>
          </w:r>
        </w:p>
        <w:p w14:paraId="28D5A27E">
          <w:pPr>
            <w:pStyle w:val="7"/>
            <w:tabs>
              <w:tab w:val="right" w:leader="dot" w:pos="8834"/>
            </w:tabs>
            <w:spacing w:line="576" w:lineRule="exact"/>
            <w:rPr>
              <w:rFonts w:hint="default" w:ascii="Times New Roman" w:hAnsi="Times New Roman" w:eastAsia="仿宋_GB2312" w:cs="Times New Roman"/>
              <w:color w:val="auto"/>
              <w:sz w:val="32"/>
              <w:szCs w:val="32"/>
            </w:rPr>
          </w:pPr>
        </w:p>
        <w:p w14:paraId="039EC65B">
          <w:pPr>
            <w:pStyle w:val="7"/>
            <w:tabs>
              <w:tab w:val="right" w:leader="dot" w:pos="8834"/>
            </w:tabs>
            <w:spacing w:line="576" w:lineRule="exac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TOC \o "1-3" \h \z \u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"_Toc101688771"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前  言</w:t>
          </w:r>
          <w:r>
            <w:rPr>
              <w:rFonts w:hint="default" w:ascii="Times New Roman" w:hAnsi="Times New Roman" w:eastAsia="黑体" w:cs="Times New Roman"/>
              <w:color w:val="auto"/>
              <w:sz w:val="32"/>
              <w:szCs w:val="32"/>
            </w:rPr>
            <w:tab/>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PAGEREF _Toc101688771 \h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6</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fldChar w:fldCharType="end"/>
          </w:r>
        </w:p>
        <w:p w14:paraId="0C2D2DE8">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"_Toc101688772"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第一章 规划基础</w:t>
          </w:r>
          <w:r>
            <w:rPr>
              <w:rFonts w:hint="default" w:ascii="Times New Roman" w:hAnsi="Times New Roman" w:eastAsia="黑体" w:cs="Times New Roman"/>
              <w:color w:val="auto"/>
              <w:sz w:val="32"/>
              <w:szCs w:val="32"/>
            </w:rPr>
            <w:tab/>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PAGEREF _Toc101688772 \h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7</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fldChar w:fldCharType="end"/>
          </w:r>
        </w:p>
        <w:p w14:paraId="374614FA">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"_Toc101688773"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“十三五”农业农村发展主要成就</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65F44A1">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"_Toc101688774"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“十四五”农业农村发展重大机遇</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53759967">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"_Toc101688775"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面临的主要问题和挑战</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8FC9570">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"_Toc101688776"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第二章 “十四五”农业农村现代化发展总体要求</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_Toc101688776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C700B68">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"_Toc101688777"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指导思想</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_Toc101688777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1C4D4E5">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"_Toc101688778"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基本原则</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_Toc101688778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C54965D">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"_Toc101688779"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发展目标</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_Toc101688779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E73FC0C">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"_Toc101688780"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第三章 构建“三带两园一区”现代农业发展布局</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6C25704">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"_Toc101688781"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合理布局三大产业示范带</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59BEA0B">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"_Toc101688782"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做优两类产业示范园</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19</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CD3138D">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"_Toc101688783"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提升都市休闲农业及农产品加工商贸物流集中区</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19</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75B7AD60">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"_Toc101688784"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第四章 实施现代农业强基行动，保障粮食安全</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39349E73">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"_Toc101688785"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守住粮食安全底线</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D60F0F9">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"_Toc101688786"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加强耕地保护和质量提升</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_Toc101688786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9855830">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"_Toc101688787"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夯实三大先导性支撑产业</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_Toc101688787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22</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C5D9092">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"_Toc101688788"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加强农田水利设施建设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_Toc101688788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59F4FA1">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"_Toc101688789"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第五章 实施乡村产业提质行动，加快农村产业融合发展</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_Toc101688789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6E58A3E">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"_Toc101688790"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加快发展优质特色产业</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27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79F88380">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"_Toc101688791"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推进农村产业融合发展</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38071CFA">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"_Toc101688792"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推进现代农业绿色生产</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458307B">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"_Toc101688793"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构建新型农业经营体系</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714623AA">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"_Toc101688794"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第六章 实施美丽乡村靓颜行动，打造人与自然和谐共生新格局</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7F40C87">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"_Toc101688795"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分类推进村庄建设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5CD4A576">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"_Toc101688796"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持续改善农村人居环境</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_Toc101688796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7C9BB52B">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"_Toc101688797"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加强农村基础设施建设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_Toc101688797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707F0D29">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"_Toc101688798"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第七章  实施乡村善治提升行动，健全乡村治理体系</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_Toc101688798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3B6C4024">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"_Toc101688799"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加强农村基层组织建设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_Toc101688799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571AA09">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"_Toc101688800"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健全自治体系</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5EC66234">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"_Toc101688801"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推进平安法治乡村建设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34A9D66">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"_Toc101688802"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推进农村精神文明建设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CA04259">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"_Toc101688803"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第八章 实施富民惠民促进行动，推进农民共同富裕</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AF3DB0C">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"_Toc101688804"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大力培育高素质农民</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ED55690">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"_Toc101688805"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壮大农村集体经济</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47</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5EFC9915">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"_Toc101688806"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拓宽农民增收渠道</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_Toc101688806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49</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65DBD4F">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"_Toc101688807"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大力提升农村公共服务和社会保障水平</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_Toc101688807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D069683">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"_Toc101688808"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第九章 实施改革创新赋能行动，推进城乡融合发展制度建设</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_Toc101688808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3D418F5">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"_Toc101688809"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深化农村集体产权体制改革</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_Toc101688809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CCF8882">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"_Toc101688810"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积极推进土地制度改革</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C581968">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"_Toc101688811"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构建城乡融合发展体制机制</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9FE511F">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"_Toc101688812"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优化对外开放合作机制</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58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B5E580E">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"_Toc101688813"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第五节 做好两项改革“后半篇”文章</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40ABE6D">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"_Toc101688814"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第十章 实现巩固拓展脱贫攻坚成果同乡村振兴有效衔接</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4F2FF4C">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"_Toc101688815"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健全防止返贫动态监测和帮扶机制</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679BDCF">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"_Toc101688816"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推进易地扶贫搬迁后续扶持工作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_Toc101688816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62</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6019B60E">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"_Toc101688817"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健全农村低收入人口常态化帮扶机制</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_Toc101688817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026FF08E">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"_Toc101688818"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强化政策有效衔接</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_Toc101688818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65</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4B3F9947">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"_Toc101688819"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第五节 深化乡村振兴重点帮扶</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_Toc101688819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2A4347A0">
          <w:pPr>
            <w:pStyle w:val="7"/>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"_Toc101688820" </w:instrText>
          </w:r>
          <w:r>
            <w:rPr>
              <w:rFonts w:hint="default" w:ascii="Times New Roman" w:hAnsi="Times New Roman" w:cs="Times New Roman"/>
              <w:color w:val="auto"/>
            </w:rPr>
            <w:fldChar w:fldCharType="separate"/>
          </w:r>
          <w:r>
            <w:rPr>
              <w:rStyle w:val="15"/>
              <w:rFonts w:hint="default" w:ascii="Times New Roman" w:hAnsi="Times New Roman" w:eastAsia="黑体" w:cs="Times New Roman"/>
              <w:color w:val="auto"/>
              <w:sz w:val="32"/>
              <w:szCs w:val="32"/>
            </w:rPr>
            <w:t>第十一章 夯实保障措施</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_Toc101688820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5DC0A12">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"_Toc101688821"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第一节 强化组织保障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_Toc101688821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185DE75A">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"_Toc101688822"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第二节 加大投入力度</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_Toc101688822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3EE6E87E">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"_Toc101688823"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第三节 夯实人才支撑</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_Toc101688823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69</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38049ADF">
          <w:pPr>
            <w:pStyle w:val="9"/>
            <w:tabs>
              <w:tab w:val="right" w:leader="dot" w:pos="8834"/>
            </w:tabs>
            <w:spacing w:line="576" w:lineRule="exact"/>
            <w:rPr>
              <w:rFonts w:hint="default" w:ascii="Times New Roman" w:hAnsi="Times New Roman" w:eastAsia="仿宋_GB2312"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"_Toc101688824" </w:instrText>
          </w:r>
          <w:r>
            <w:rPr>
              <w:rFonts w:hint="default" w:ascii="Times New Roman" w:hAnsi="Times New Roman" w:cs="Times New Roman"/>
              <w:color w:val="auto"/>
            </w:rPr>
            <w:fldChar w:fldCharType="separate"/>
          </w:r>
          <w:r>
            <w:rPr>
              <w:rStyle w:val="15"/>
              <w:rFonts w:hint="default" w:ascii="Times New Roman" w:hAnsi="Times New Roman" w:eastAsia="仿宋_GB2312" w:cs="Times New Roman"/>
              <w:b/>
              <w:color w:val="auto"/>
              <w:sz w:val="32"/>
              <w:szCs w:val="32"/>
            </w:rPr>
            <w:t>第四节 优化考核督促</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_Toc101688824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70</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14:paraId="5B2BED00">
          <w:pPr>
            <w:spacing w:line="576" w:lineRule="exact"/>
            <w:rPr>
              <w:rFonts w:hint="default" w:ascii="Times New Roman" w:hAnsi="Times New Roman" w:cs="Times New Roman"/>
              <w:color w:val="auto"/>
            </w:rPr>
          </w:pPr>
          <w:r>
            <w:rPr>
              <w:rFonts w:hint="default" w:ascii="Times New Roman" w:hAnsi="Times New Roman" w:eastAsia="仿宋_GB2312" w:cs="Times New Roman"/>
              <w:color w:val="auto"/>
              <w:sz w:val="32"/>
              <w:szCs w:val="32"/>
            </w:rPr>
            <w:fldChar w:fldCharType="end"/>
          </w:r>
        </w:p>
      </w:sdtContent>
    </w:sdt>
    <w:p w14:paraId="4FED4D4F">
      <w:pPr>
        <w:widowControl/>
        <w:jc w:val="left"/>
        <w:rPr>
          <w:rFonts w:hint="default" w:ascii="Times New Roman" w:hAnsi="Times New Roman" w:eastAsia="方正小标宋简体" w:cs="Times New Roman"/>
          <w:color w:val="auto"/>
          <w:sz w:val="44"/>
          <w:szCs w:val="44"/>
        </w:rPr>
        <w:sectPr>
          <w:footerReference r:id="rId3" w:type="default"/>
          <w:footerReference r:id="rId4" w:type="even"/>
          <w:pgSz w:w="11906" w:h="16838"/>
          <w:pgMar w:top="2098" w:right="1474" w:bottom="1984" w:left="1587" w:header="851" w:footer="1587" w:gutter="0"/>
          <w:cols w:space="0" w:num="1"/>
          <w:rtlGutter w:val="0"/>
          <w:docGrid w:type="lines" w:linePitch="312" w:charSpace="0"/>
        </w:sectPr>
      </w:pPr>
      <w:r>
        <w:rPr>
          <w:rFonts w:hint="default" w:ascii="Times New Roman" w:hAnsi="Times New Roman" w:eastAsia="楷体_GB2312" w:cs="Times New Roman"/>
          <w:b/>
          <w:color w:val="auto"/>
          <w:sz w:val="36"/>
          <w:szCs w:val="36"/>
        </w:rPr>
        <w:br w:type="page"/>
      </w:r>
    </w:p>
    <w:p w14:paraId="35AA9242">
      <w:pPr>
        <w:spacing w:line="576" w:lineRule="exact"/>
        <w:jc w:val="center"/>
        <w:rPr>
          <w:rFonts w:hint="default" w:ascii="Times New Roman" w:hAnsi="Times New Roman" w:eastAsia="方正小标宋简体" w:cs="Times New Roman"/>
          <w:color w:val="auto"/>
          <w:sz w:val="44"/>
          <w:szCs w:val="44"/>
        </w:rPr>
      </w:pPr>
    </w:p>
    <w:p w14:paraId="568971CE">
      <w:pPr>
        <w:spacing w:line="576"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广元市昭化区“十四五”农业农村现代化规划</w:t>
      </w:r>
    </w:p>
    <w:p w14:paraId="07F6D9A8">
      <w:pPr>
        <w:spacing w:line="576" w:lineRule="exact"/>
        <w:rPr>
          <w:rFonts w:hint="default" w:ascii="Times New Roman" w:hAnsi="Times New Roman" w:eastAsia="仿宋_GB2312" w:cs="Times New Roman"/>
          <w:color w:val="auto"/>
          <w:sz w:val="32"/>
          <w:szCs w:val="32"/>
        </w:rPr>
      </w:pPr>
    </w:p>
    <w:p w14:paraId="5955327D">
      <w:pPr>
        <w:spacing w:line="576" w:lineRule="exact"/>
        <w:jc w:val="center"/>
        <w:outlineLvl w:val="0"/>
        <w:rPr>
          <w:rFonts w:hint="default" w:ascii="Times New Roman" w:hAnsi="Times New Roman" w:eastAsia="黑体" w:cs="Times New Roman"/>
          <w:color w:val="auto"/>
          <w:sz w:val="32"/>
          <w:szCs w:val="32"/>
        </w:rPr>
      </w:pPr>
      <w:bookmarkStart w:id="0" w:name="_Toc101688771"/>
      <w:r>
        <w:rPr>
          <w:rFonts w:hint="default" w:ascii="Times New Roman" w:hAnsi="Times New Roman" w:eastAsia="黑体" w:cs="Times New Roman"/>
          <w:color w:val="auto"/>
          <w:sz w:val="32"/>
          <w:szCs w:val="32"/>
        </w:rPr>
        <w:t>前</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言</w:t>
      </w:r>
      <w:bookmarkEnd w:id="0"/>
    </w:p>
    <w:p w14:paraId="778E08F0">
      <w:pPr>
        <w:spacing w:line="576" w:lineRule="exact"/>
        <w:ind w:firstLine="640" w:firstLineChars="200"/>
        <w:rPr>
          <w:rFonts w:hint="default" w:ascii="Times New Roman" w:hAnsi="Times New Roman" w:eastAsia="仿宋_GB2312" w:cs="Times New Roman"/>
          <w:color w:val="auto"/>
          <w:sz w:val="32"/>
          <w:szCs w:val="32"/>
        </w:rPr>
      </w:pPr>
    </w:p>
    <w:p w14:paraId="40F45309">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五”时期是开启全面建设社会主义现代化国家新征程的五年，是全区推进“生态立区、工业强区、文旅兴区、创新活区”总战略，加快建设“千里嘉陵首善港城、千年蜀道宜居名城、绿色家居产业优城、诗意昭化幸福新城”的五年。根据《广元市“十四五”推进农业农村现代化规划》《广元市昭化区国民经济和社会发展第十四个五年规划和二O三五年远景目标纲要》，编制《广元市昭化区“十四五”农业农村现代化规划》，推进实施2021年—2025年全区农业农村现代化发展的重大目标、重大工程、重大改革、重大政策，高质量加快实现农业农村现代化。</w:t>
      </w:r>
    </w:p>
    <w:p w14:paraId="33AE7BC4">
      <w:pPr>
        <w:spacing w:line="576" w:lineRule="exact"/>
        <w:jc w:val="center"/>
        <w:rPr>
          <w:rFonts w:hint="default" w:ascii="Times New Roman" w:hAnsi="Times New Roman" w:eastAsia="仿宋_GB2312" w:cs="Times New Roman"/>
          <w:color w:val="auto"/>
          <w:sz w:val="32"/>
          <w:szCs w:val="32"/>
        </w:rPr>
      </w:pPr>
    </w:p>
    <w:p w14:paraId="2FFC2B36">
      <w:pPr>
        <w:widowControl/>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1E32DE58">
      <w:pPr>
        <w:spacing w:line="576" w:lineRule="exact"/>
        <w:jc w:val="center"/>
        <w:outlineLvl w:val="0"/>
        <w:rPr>
          <w:rFonts w:hint="default" w:ascii="Times New Roman" w:hAnsi="Times New Roman" w:eastAsia="黑体" w:cs="Times New Roman"/>
          <w:color w:val="auto"/>
          <w:sz w:val="32"/>
          <w:szCs w:val="32"/>
        </w:rPr>
      </w:pPr>
      <w:bookmarkStart w:id="1" w:name="_Toc101688772"/>
    </w:p>
    <w:p w14:paraId="7CFEBFEE">
      <w:pPr>
        <w:spacing w:line="576"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规划基础</w:t>
      </w:r>
      <w:bookmarkEnd w:id="1"/>
    </w:p>
    <w:p w14:paraId="211FFD2E">
      <w:pPr>
        <w:spacing w:line="576" w:lineRule="exact"/>
        <w:ind w:firstLine="640" w:firstLineChars="200"/>
        <w:rPr>
          <w:rFonts w:hint="default" w:ascii="Times New Roman" w:hAnsi="Times New Roman" w:eastAsia="仿宋_GB2312" w:cs="Times New Roman"/>
          <w:color w:val="auto"/>
          <w:sz w:val="32"/>
          <w:szCs w:val="32"/>
        </w:rPr>
      </w:pPr>
    </w:p>
    <w:p w14:paraId="2242CA80">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期间，昭化区以脱贫攻坚统揽经济社会发展全局，抓关键、打基础、增后劲，农业农村现代化建设水平不断提高。“十四五”是实现两个百年奋斗目标承上启下的关键五年，昭化农业农村现代化发展机遇与挑战并存。</w:t>
      </w:r>
    </w:p>
    <w:p w14:paraId="39CBEA37">
      <w:pPr>
        <w:spacing w:line="576" w:lineRule="exact"/>
        <w:jc w:val="center"/>
        <w:rPr>
          <w:rFonts w:hint="default" w:ascii="Times New Roman" w:hAnsi="Times New Roman" w:eastAsia="仿宋_GB2312" w:cs="Times New Roman"/>
          <w:color w:val="auto"/>
          <w:sz w:val="32"/>
          <w:szCs w:val="32"/>
        </w:rPr>
      </w:pPr>
    </w:p>
    <w:p w14:paraId="32645D9E">
      <w:pPr>
        <w:spacing w:line="576" w:lineRule="exact"/>
        <w:jc w:val="center"/>
        <w:outlineLvl w:val="1"/>
        <w:rPr>
          <w:rFonts w:hint="default" w:ascii="Times New Roman" w:hAnsi="Times New Roman" w:eastAsia="楷体_GB2312" w:cs="Times New Roman"/>
          <w:b/>
          <w:color w:val="auto"/>
          <w:sz w:val="32"/>
          <w:szCs w:val="32"/>
        </w:rPr>
      </w:pPr>
      <w:bookmarkStart w:id="2" w:name="_Toc101688773"/>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“十三五”农业农村发展主要成就</w:t>
      </w:r>
      <w:bookmarkEnd w:id="2"/>
    </w:p>
    <w:p w14:paraId="30640803">
      <w:pPr>
        <w:spacing w:line="576" w:lineRule="exact"/>
        <w:ind w:firstLine="640" w:firstLineChars="200"/>
        <w:rPr>
          <w:rFonts w:hint="default" w:ascii="Times New Roman" w:hAnsi="Times New Roman" w:eastAsia="仿宋_GB2312" w:cs="Times New Roman"/>
          <w:color w:val="auto"/>
          <w:sz w:val="32"/>
          <w:szCs w:val="32"/>
        </w:rPr>
      </w:pPr>
    </w:p>
    <w:p w14:paraId="08CB4FA0">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“十三五”末，昭化区农林牧渔业总产值实现36.23亿元，一产业增加值实现19.54亿元，农民人均可支配收入实现1.42万元,连续三年荣获全省农民增收先进县区称号。</w:t>
      </w:r>
    </w:p>
    <w:p w14:paraId="71A1293B">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特色产业发展格局基本形成。</w:t>
      </w:r>
      <w:r>
        <w:rPr>
          <w:rFonts w:hint="default" w:ascii="Times New Roman" w:hAnsi="Times New Roman" w:eastAsia="仿宋_GB2312" w:cs="Times New Roman"/>
          <w:color w:val="auto"/>
          <w:sz w:val="32"/>
          <w:szCs w:val="32"/>
        </w:rPr>
        <w:t>“十三五”期间，创建省级农业主题公园和省四星级现代农业园区各1个、市级园区12个，新建5个区级现代农业园区，成功创建为国家级稻渔综合种养示范区、全国林下经济示范县、全省现代畜牧业重点县。新建乡村特色产业示范园172个，发展1.8万余个户办小庭院，建立适度规模、低碳循环的种养基地3.5万亩，发展肉羊、土鸡、生猪生态养殖园（小区）136个。园区设施基本实现全面配套，机械化耕作水平达到95%以上，设施农业占比达60%以上，农产品预冷（冷藏）率达到80%以上。</w:t>
      </w:r>
    </w:p>
    <w:p w14:paraId="4F0877E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乡村产业综合效益明显提升。</w:t>
      </w:r>
      <w:r>
        <w:rPr>
          <w:rFonts w:hint="default" w:ascii="Times New Roman" w:hAnsi="Times New Roman" w:eastAsia="仿宋_GB2312" w:cs="Times New Roman"/>
          <w:color w:val="auto"/>
          <w:sz w:val="32"/>
          <w:szCs w:val="32"/>
        </w:rPr>
        <w:t>“十三五”期间，累计认证无公害农产品37个、绿色农产品11个、有机产品29个、地标产品2个，认证三品一标基地10个，拥有地理证明商标2个，认证总数位居全市第二。农畜产品认证比例达到全区生产总量70%以上，其中，“王家贡米”荣获全国优质稻渔米金奖、全国绿色农业十佳粮油地标品牌，成功创建全省有机产品认证示范区，国家级电子商务进农村综合示范县区。</w:t>
      </w:r>
    </w:p>
    <w:p w14:paraId="6BE90D2B">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农村生态环境得到极大改善。</w:t>
      </w:r>
      <w:r>
        <w:rPr>
          <w:rFonts w:hint="default" w:ascii="Times New Roman" w:hAnsi="Times New Roman" w:eastAsia="仿宋_GB2312" w:cs="Times New Roman"/>
          <w:color w:val="auto"/>
          <w:sz w:val="32"/>
          <w:szCs w:val="32"/>
        </w:rPr>
        <w:t>“十三五”末，全区新建农房3万余户，累计建成居民聚居点218个，新（改）建无害化户用卫生厕所3.6万户，农村户用卫生厕所普及率达到95%，农村生活污水处理率达到75%，农村安全饮水达标率100%，乡镇垃圾有效治理率达到95%，建成宜居乡村达标村73个，省级乡村振兴示范村3个，成为四川省内唯一受到国务院激励表扬的农村危房改造工作先进县区。</w:t>
      </w:r>
      <w:r>
        <w:rPr>
          <w:rFonts w:hint="default" w:ascii="Times New Roman" w:hAnsi="Times New Roman" w:eastAsia="仿宋_GB2312" w:cs="Times New Roman"/>
          <w:color w:val="auto"/>
          <w:sz w:val="32"/>
          <w:szCs w:val="32"/>
          <w:lang w:eastAsia="zh-CN"/>
        </w:rPr>
        <w:t>全区共有</w:t>
      </w:r>
      <w:r>
        <w:rPr>
          <w:rFonts w:hint="default" w:ascii="Times New Roman" w:hAnsi="Times New Roman" w:eastAsia="仿宋_GB2312" w:cs="Times New Roman"/>
          <w:color w:val="auto"/>
          <w:sz w:val="32"/>
          <w:szCs w:val="32"/>
        </w:rPr>
        <w:t>传统村落21个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其中国家级传统村落12个，省级传统村落7个，市级传统村落2个。</w:t>
      </w:r>
    </w:p>
    <w:p w14:paraId="5D52EC5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新型农业经营主体快速成长。</w:t>
      </w:r>
      <w:r>
        <w:rPr>
          <w:rFonts w:hint="default" w:ascii="Times New Roman" w:hAnsi="Times New Roman" w:eastAsia="仿宋_GB2312" w:cs="Times New Roman"/>
          <w:color w:val="auto"/>
          <w:sz w:val="32"/>
          <w:szCs w:val="32"/>
        </w:rPr>
        <w:t>“十三五”末，在工商部门登记注册农业合作社累计达510余家，较“十二五”末增加244家，带动农户3万余户；全区现有农业企业52家均与农户建立了利益联结关系，联结农户5.3万余户，较“十二五”期间增加1.1万余户，占农户总数的85%以上；家庭农场共有500余家，较“十二五”期间增加490余家，其中省级农场8家，市级示范农场20余家；“十三五”期间新培育农业社会化服务组织5家，新增社会化服务超市15个。</w:t>
      </w:r>
    </w:p>
    <w:p w14:paraId="543E585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农村基础设施持续提档升级。</w:t>
      </w:r>
      <w:r>
        <w:rPr>
          <w:rFonts w:hint="default" w:ascii="Times New Roman" w:hAnsi="Times New Roman" w:eastAsia="仿宋_GB2312" w:cs="Times New Roman"/>
          <w:color w:val="auto"/>
          <w:sz w:val="32"/>
          <w:szCs w:val="32"/>
        </w:rPr>
        <w:t>“十三五”期间，升级改造农村公路</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余公里，农村道路总里程突破</w:t>
      </w:r>
      <w:r>
        <w:rPr>
          <w:rFonts w:hint="default" w:ascii="Times New Roman" w:hAnsi="Times New Roman" w:eastAsia="仿宋_GB2312" w:cs="Times New Roman"/>
          <w:color w:val="auto"/>
          <w:sz w:val="32"/>
          <w:szCs w:val="32"/>
          <w:lang w:val="en-US" w:eastAsia="zh-CN"/>
        </w:rPr>
        <w:t>2600余</w:t>
      </w:r>
      <w:r>
        <w:rPr>
          <w:rFonts w:hint="default" w:ascii="Times New Roman" w:hAnsi="Times New Roman" w:eastAsia="仿宋_GB2312" w:cs="Times New Roman"/>
          <w:color w:val="auto"/>
          <w:sz w:val="32"/>
          <w:szCs w:val="32"/>
        </w:rPr>
        <w:t>公里，所有建制村“两通率”达100%，宜机化道路覆盖率达40%以上；建成高标准农田16.4万亩，梅岭关水库、大寨水库等骨干水源工程相继实施，灌溉保障率达98%以上，农村家用自来水覆盖率</w:t>
      </w:r>
      <w:r>
        <w:rPr>
          <w:rFonts w:hint="default" w:ascii="Times New Roman" w:hAnsi="Times New Roman"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rPr>
        <w:t>%，农村安全饮水经验全省推广；重大农村民生项目建设完成，治理水土流失共30平方公里；在全市率先实现光纤宽带“村村通”。</w:t>
      </w:r>
    </w:p>
    <w:p w14:paraId="4FF8B009">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发展资源要素活力不断增强。</w:t>
      </w:r>
      <w:r>
        <w:rPr>
          <w:rFonts w:hint="default" w:ascii="Times New Roman" w:hAnsi="Times New Roman" w:eastAsia="仿宋_GB2312" w:cs="Times New Roman"/>
          <w:color w:val="auto"/>
          <w:sz w:val="32"/>
          <w:szCs w:val="32"/>
        </w:rPr>
        <w:t>稳妥推进乡镇行政区划和村级建制调整，乡镇、村和小组减幅分别达59%、40%、40%。截至2020年底，确认集体经济组织成员21.78万人，全区所有行政村集体经济经营性收入达到3万元以上；推动土地规范有序流转，2020年盘活农村闲置宅基地1500亩，流转土地4300亩、林地9.48万亩，实现抵押贷款720万元；组建专家服务团15个，派驻农技巡回服务组29个，到位驻村农技员63人，组织培训产业实用人才3500名，农业领军人才120名，新型职业农民450人。</w:t>
      </w:r>
    </w:p>
    <w:p w14:paraId="0486E83E">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脱贫攻坚战取得全面胜利。</w:t>
      </w:r>
      <w:r>
        <w:rPr>
          <w:rFonts w:hint="default" w:ascii="Times New Roman" w:hAnsi="Times New Roman" w:eastAsia="仿宋_GB2312" w:cs="Times New Roman"/>
          <w:color w:val="auto"/>
          <w:sz w:val="32"/>
          <w:szCs w:val="32"/>
        </w:rPr>
        <w:t>全区63个贫困村全部退出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8832户29792人全部脱贫退出，“两不愁三保障”全面实现，“乡三有”“村五有”稳定达标，获得全省脱贫摘帽县区考核“好”等次。东西部扶贫协作代表浙川两省接受国家成效考核，连续三年获得“好”等次，精神扶贫“五大机制”、产业扶贫“四个结合”等一大批昭化经验、昭化模式成为全省全国样板。“5+2”营养供餐模式入选教育部中西部教育扶贫经典案例；“4334”健康扶贫经验得到党和国家领导人肯定，荣获全国健康扶贫工作突出贡献县区称号。</w:t>
      </w:r>
    </w:p>
    <w:p w14:paraId="0D9653B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农村社会和谐程度不断提高。</w:t>
      </w:r>
      <w:r>
        <w:rPr>
          <w:rFonts w:hint="default" w:ascii="Times New Roman" w:hAnsi="Times New Roman" w:eastAsia="仿宋_GB2312" w:cs="Times New Roman"/>
          <w:color w:val="auto"/>
          <w:sz w:val="32"/>
          <w:szCs w:val="32"/>
        </w:rPr>
        <w:t>“十三五”以来，全区新建立道德超市109个，文明镇、村创建比例达50%以上。累计评选文明健康示范村155个、文明健康示范户1.6万余户；村规民约建立完善，全区210个行政村均组建有红白理事会；全区村级调解室覆盖率100%，并聘有法律顾问和配备视频监控，平均每年开展“农民夜校”“法律大讲堂”等活动20余次，农村社会更加和谐稳定。连续四年被省委、省政府表彰为“平安建设先进县区”。</w:t>
      </w:r>
    </w:p>
    <w:p w14:paraId="2B9A8DE4">
      <w:pPr>
        <w:spacing w:line="576" w:lineRule="exact"/>
        <w:jc w:val="center"/>
        <w:outlineLvl w:val="1"/>
        <w:rPr>
          <w:rFonts w:hint="default" w:ascii="Times New Roman" w:hAnsi="Times New Roman" w:eastAsia="楷体_GB2312" w:cs="Times New Roman"/>
          <w:b/>
          <w:color w:val="auto"/>
          <w:sz w:val="32"/>
          <w:szCs w:val="32"/>
        </w:rPr>
      </w:pPr>
    </w:p>
    <w:p w14:paraId="2553F52A">
      <w:pPr>
        <w:spacing w:line="576" w:lineRule="exact"/>
        <w:jc w:val="center"/>
        <w:outlineLvl w:val="1"/>
        <w:rPr>
          <w:rFonts w:hint="default" w:ascii="Times New Roman" w:hAnsi="Times New Roman" w:eastAsia="楷体_GB2312" w:cs="Times New Roman"/>
          <w:b/>
          <w:color w:val="auto"/>
          <w:sz w:val="32"/>
          <w:szCs w:val="32"/>
        </w:rPr>
      </w:pPr>
      <w:bookmarkStart w:id="3" w:name="_Toc101688774"/>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“十四五”农业农村发展重大机遇</w:t>
      </w:r>
      <w:bookmarkEnd w:id="3"/>
    </w:p>
    <w:p w14:paraId="5E5841FD">
      <w:pPr>
        <w:spacing w:line="576" w:lineRule="exact"/>
        <w:ind w:firstLine="640" w:firstLineChars="200"/>
        <w:rPr>
          <w:rFonts w:hint="default" w:ascii="Times New Roman" w:hAnsi="Times New Roman" w:eastAsia="仿宋_GB2312" w:cs="Times New Roman"/>
          <w:color w:val="auto"/>
          <w:sz w:val="32"/>
          <w:szCs w:val="32"/>
        </w:rPr>
      </w:pPr>
    </w:p>
    <w:p w14:paraId="6CDB0589">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随着乡村振兴及相关战略的深入实施，农业农村发展面临诸多有利条件和发展机遇。</w:t>
      </w:r>
    </w:p>
    <w:p w14:paraId="312558A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叠加性战略释放政策红利。</w:t>
      </w:r>
      <w:r>
        <w:rPr>
          <w:rFonts w:hint="default" w:ascii="Times New Roman" w:hAnsi="Times New Roman" w:eastAsia="仿宋_GB2312" w:cs="Times New Roman"/>
          <w:color w:val="auto"/>
          <w:sz w:val="32"/>
          <w:szCs w:val="32"/>
        </w:rPr>
        <w:t>“十四五”时期，以国内大循环为主体、国内国际双循环相互促进的新发展格局加快构建，乡村振兴、“一带一路”、长江经济带发展、新时代西部大开发和</w:t>
      </w:r>
      <w:r>
        <w:rPr>
          <w:rFonts w:hint="eastAsia" w:ascii="Times New Roman" w:hAnsi="Times New Roman" w:eastAsia="仿宋_GB2312" w:cs="Times New Roman"/>
          <w:color w:val="auto"/>
          <w:sz w:val="32"/>
          <w:szCs w:val="32"/>
          <w:lang w:eastAsia="zh-CN"/>
        </w:rPr>
        <w:t>成渝地区双城经济圈</w:t>
      </w:r>
      <w:r>
        <w:rPr>
          <w:rFonts w:hint="default" w:ascii="Times New Roman" w:hAnsi="Times New Roman" w:eastAsia="仿宋_GB2312" w:cs="Times New Roman"/>
          <w:color w:val="auto"/>
          <w:sz w:val="32"/>
          <w:szCs w:val="32"/>
        </w:rPr>
        <w:t>建设、川陕革命老区振兴发展等战略叠加，对于昭化而言，将形成“1+1&gt;2”的叠加效应，将为加速农业农村发展提供新支撑。</w:t>
      </w:r>
    </w:p>
    <w:p w14:paraId="059A91E7">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绿色化消费拓展市场空间。</w:t>
      </w:r>
      <w:r>
        <w:rPr>
          <w:rFonts w:hint="default" w:ascii="Times New Roman" w:hAnsi="Times New Roman" w:eastAsia="仿宋_GB2312" w:cs="Times New Roman"/>
          <w:color w:val="auto"/>
          <w:sz w:val="32"/>
          <w:szCs w:val="32"/>
        </w:rPr>
        <w:t>作为长江上游生态屏障，昭化区森林覆盖率达56.</w:t>
      </w:r>
      <w:r>
        <w:rPr>
          <w:rFonts w:hint="default"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rPr>
        <w:t>%，拥有生产优质农产品得天独厚的生态优势，而随着生态环境保护意识的普及和人民生活质量的提高，尤其是对个性化、多样化、优质化的绿色生态农产品需求增加，这与昭化区多品种、优质化的农产品结构高度契合，将大幅拓展昭化区绿色生态农产品的市场空间。</w:t>
      </w:r>
    </w:p>
    <w:p w14:paraId="5B92BA7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立体化交通改善区位条件。</w:t>
      </w:r>
      <w:r>
        <w:rPr>
          <w:rFonts w:hint="default" w:ascii="Times New Roman" w:hAnsi="Times New Roman" w:eastAsia="仿宋_GB2312" w:cs="Times New Roman"/>
          <w:color w:val="auto"/>
          <w:sz w:val="32"/>
          <w:szCs w:val="32"/>
        </w:rPr>
        <w:t>“十四五”时期内，昭化区将重点建设“两路一隧”、环湖旅游公路、虎跳嘉陵江大桥等项目，积极谋划广元港专用铁路、兰渝铁路太公火车站建设，加快推进水通坝航电枢纽、嘉陵江昭化流域港口和码头建设，公铁水空的立体化综合交通网络将更为完善，有利于进一步改善区位条件，增强发展要素的内外双向流动。</w:t>
      </w:r>
    </w:p>
    <w:p w14:paraId="070B141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融合化发展加速产业升级。</w:t>
      </w:r>
      <w:r>
        <w:rPr>
          <w:rFonts w:hint="default" w:ascii="Times New Roman" w:hAnsi="Times New Roman" w:eastAsia="仿宋_GB2312" w:cs="Times New Roman"/>
          <w:color w:val="auto"/>
          <w:sz w:val="32"/>
          <w:szCs w:val="32"/>
        </w:rPr>
        <w:t>对于地处广元市南郊、产业融合度还不够高的昭化区而言，在融合化发展的大背景下，拥有依托资源优势、利用城市带动作用加快产业升级、融合发展进程的重大机遇，对于有效扭转产业间关联不大、城乡间联动不足的局面大有益处，尤其是借助昭化古城、剑门关景区等文化旅游资源，带动农业发展转型和功能拓展，从而实现融合增效。</w:t>
      </w:r>
    </w:p>
    <w:p w14:paraId="02747596">
      <w:pPr>
        <w:spacing w:line="576" w:lineRule="exact"/>
        <w:jc w:val="center"/>
        <w:rPr>
          <w:rFonts w:hint="default" w:ascii="Times New Roman" w:hAnsi="Times New Roman" w:eastAsia="仿宋_GB2312" w:cs="Times New Roman"/>
          <w:color w:val="auto"/>
          <w:sz w:val="32"/>
          <w:szCs w:val="32"/>
        </w:rPr>
      </w:pPr>
    </w:p>
    <w:p w14:paraId="42A67874">
      <w:pPr>
        <w:spacing w:line="576" w:lineRule="exact"/>
        <w:jc w:val="center"/>
        <w:outlineLvl w:val="1"/>
        <w:rPr>
          <w:rFonts w:hint="default" w:ascii="Times New Roman" w:hAnsi="Times New Roman" w:eastAsia="楷体_GB2312" w:cs="Times New Roman"/>
          <w:b/>
          <w:color w:val="auto"/>
          <w:sz w:val="32"/>
          <w:szCs w:val="32"/>
        </w:rPr>
      </w:pPr>
      <w:bookmarkStart w:id="4" w:name="_Toc101688775"/>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面临的主要问题和挑战</w:t>
      </w:r>
      <w:bookmarkEnd w:id="4"/>
    </w:p>
    <w:p w14:paraId="4B0EA9CB">
      <w:pPr>
        <w:spacing w:line="576" w:lineRule="exact"/>
        <w:ind w:firstLine="640" w:firstLineChars="200"/>
        <w:rPr>
          <w:rFonts w:hint="default" w:ascii="Times New Roman" w:hAnsi="Times New Roman" w:eastAsia="仿宋_GB2312" w:cs="Times New Roman"/>
          <w:color w:val="auto"/>
          <w:sz w:val="32"/>
          <w:szCs w:val="32"/>
        </w:rPr>
      </w:pPr>
    </w:p>
    <w:p w14:paraId="29563609">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相对于农业农村现代化发展的要求，昭化区农业农村发展还面临着基础设施承载力、人力资源支撑力、新型主体带动力、农民群众参与度不足和农业产业化程度、三次产业融合度不高及农村社会矛盾风险大、农民持续增收压力大等问题，主要表现在：</w:t>
      </w:r>
    </w:p>
    <w:p w14:paraId="7D6389EC">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产业“软硬”双重性约束并存。</w:t>
      </w:r>
      <w:r>
        <w:rPr>
          <w:rFonts w:hint="default" w:ascii="Times New Roman" w:hAnsi="Times New Roman" w:eastAsia="仿宋_GB2312" w:cs="Times New Roman"/>
          <w:color w:val="auto"/>
          <w:sz w:val="32"/>
          <w:szCs w:val="32"/>
        </w:rPr>
        <w:t>目前，全区农产品生产聚集度小，主导产业规模过小、产业链短，缺乏规模效应；农业生产经营的组织化程度不高，品牌建设滞后，“王家贡米”“元坝生猪”“昭化茯苓”等品牌知名度和品牌价值有待进一步提升，核心主导品牌缺乏。</w:t>
      </w:r>
    </w:p>
    <w:p w14:paraId="77D9692E">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种养“互动”潜在性风险加大。</w:t>
      </w:r>
      <w:r>
        <w:rPr>
          <w:rFonts w:hint="default" w:ascii="Times New Roman" w:hAnsi="Times New Roman" w:eastAsia="仿宋_GB2312" w:cs="Times New Roman"/>
          <w:color w:val="auto"/>
          <w:sz w:val="32"/>
          <w:szCs w:val="32"/>
        </w:rPr>
        <w:t>耕地保护压力逐年递增，基本农田、粮食生产红线即将触底，亩均农药、化肥施用量逼近上限，分别达到16公斤和0.25公斤。规模化养殖场与种植基地粪污消纳不平衡，农业面源污染存在潜在风险。</w:t>
      </w:r>
    </w:p>
    <w:p w14:paraId="510485B8">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区域“内外”同质化现象突出。</w:t>
      </w:r>
      <w:r>
        <w:rPr>
          <w:rFonts w:hint="default" w:ascii="Times New Roman" w:hAnsi="Times New Roman" w:eastAsia="仿宋_GB2312" w:cs="Times New Roman"/>
          <w:color w:val="auto"/>
          <w:sz w:val="32"/>
          <w:szCs w:val="32"/>
        </w:rPr>
        <w:t>从内部来看，全区各镇之间农业产业结构相似度较高，差异化和特色化发展不足，同质化竞争现象较为严重。从外部来看，近年来贫困地区特色水果等产业种植面积扩张，导致投产后面临着较大的市场风险。</w:t>
      </w:r>
    </w:p>
    <w:p w14:paraId="3C003CB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要素“进出”结构性矛盾凸显。</w:t>
      </w:r>
      <w:r>
        <w:rPr>
          <w:rFonts w:hint="default" w:ascii="Times New Roman" w:hAnsi="Times New Roman" w:eastAsia="仿宋_GB2312" w:cs="Times New Roman"/>
          <w:color w:val="auto"/>
          <w:sz w:val="32"/>
          <w:szCs w:val="32"/>
        </w:rPr>
        <w:t>大量青壮年劳动力外出务工，老龄化严重，造成大量土地、房屋长期闲置，而建设项目却落地困难，无论是人才还是土地资源都难以对乡村振兴形成有力的支撑；资金和技术等要素流入不足，特别是缺少带动能力强的农业产业化项目和具有较高科技含量的生产经营主体。</w:t>
      </w:r>
    </w:p>
    <w:p w14:paraId="7A1F8CE7">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疫情“危机”不确定性较大。</w:t>
      </w:r>
      <w:r>
        <w:rPr>
          <w:rFonts w:hint="default" w:ascii="Times New Roman" w:hAnsi="Times New Roman" w:eastAsia="仿宋_GB2312" w:cs="Times New Roman"/>
          <w:color w:val="auto"/>
          <w:sz w:val="32"/>
          <w:szCs w:val="32"/>
        </w:rPr>
        <w:t>在世界经济增长持续低迷、国际经贸摩擦加剧的大背景下，加上新冠肺炎的影响，国内经济下行压力加大、财政收入大幅减少，未来发展的不确定性较大，可能对农产品营销模式、农村社会治理机制等方面形成新的挑战，对农业农村带来更为深远的不利影响。</w:t>
      </w:r>
    </w:p>
    <w:p w14:paraId="42A1EA3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城乡“差距”多层矛盾深化。</w:t>
      </w:r>
      <w:r>
        <w:rPr>
          <w:rFonts w:hint="default" w:ascii="Times New Roman" w:hAnsi="Times New Roman" w:eastAsia="仿宋_GB2312" w:cs="Times New Roman"/>
          <w:color w:val="auto"/>
          <w:sz w:val="32"/>
          <w:szCs w:val="32"/>
        </w:rPr>
        <w:t>全区城乡居民之间的收入比绝对差距仍然较大，农村社会公共服务历史欠账仍然较多，城乡之间在教育、养老、医疗、社会保障等方面的差距依然很大，导致农村生活单调、乏味，缺乏青壮年向往的生活方式。随着农村利益格局的深刻调整，新老矛盾交织，多层次的矛盾伴随改革的深化趋于凸显。</w:t>
      </w:r>
    </w:p>
    <w:p w14:paraId="7ED0B040">
      <w:pPr>
        <w:spacing w:line="576" w:lineRule="exact"/>
        <w:jc w:val="center"/>
        <w:rPr>
          <w:rFonts w:hint="default" w:ascii="Times New Roman" w:hAnsi="Times New Roman" w:eastAsia="仿宋_GB2312" w:cs="Times New Roman"/>
          <w:color w:val="auto"/>
          <w:sz w:val="32"/>
          <w:szCs w:val="32"/>
        </w:rPr>
      </w:pPr>
    </w:p>
    <w:p w14:paraId="1BF620EF">
      <w:pPr>
        <w:pStyle w:val="8"/>
        <w:ind w:left="840" w:hanging="420"/>
        <w:rPr>
          <w:rFonts w:hint="default" w:ascii="Times New Roman" w:hAnsi="Times New Roman" w:cs="Times New Roman"/>
          <w:color w:val="auto"/>
        </w:rPr>
      </w:pPr>
    </w:p>
    <w:p w14:paraId="2C92506C">
      <w:pPr>
        <w:rPr>
          <w:rFonts w:hint="default" w:ascii="Times New Roman" w:hAnsi="Times New Roman" w:cs="Times New Roman"/>
          <w:color w:val="auto"/>
        </w:rPr>
      </w:pPr>
    </w:p>
    <w:p w14:paraId="49FEE901">
      <w:pPr>
        <w:pStyle w:val="8"/>
        <w:ind w:left="840" w:hanging="420"/>
        <w:rPr>
          <w:rFonts w:hint="default" w:ascii="Times New Roman" w:hAnsi="Times New Roman" w:cs="Times New Roman"/>
          <w:color w:val="auto"/>
        </w:rPr>
      </w:pPr>
    </w:p>
    <w:p w14:paraId="20023A32">
      <w:pPr>
        <w:rPr>
          <w:rFonts w:hint="default" w:ascii="Times New Roman" w:hAnsi="Times New Roman" w:cs="Times New Roman"/>
          <w:color w:val="auto"/>
        </w:rPr>
      </w:pPr>
    </w:p>
    <w:p w14:paraId="1D45F42F">
      <w:pPr>
        <w:pStyle w:val="8"/>
        <w:ind w:left="840" w:hanging="420"/>
        <w:rPr>
          <w:rFonts w:hint="default" w:ascii="Times New Roman" w:hAnsi="Times New Roman" w:cs="Times New Roman"/>
          <w:color w:val="auto"/>
        </w:rPr>
      </w:pPr>
    </w:p>
    <w:p w14:paraId="5EBFCCB5">
      <w:pPr>
        <w:rPr>
          <w:rFonts w:hint="default" w:ascii="Times New Roman" w:hAnsi="Times New Roman" w:cs="Times New Roman"/>
          <w:color w:val="auto"/>
        </w:rPr>
      </w:pPr>
    </w:p>
    <w:p w14:paraId="1195A4EA">
      <w:pPr>
        <w:pStyle w:val="8"/>
        <w:ind w:left="840" w:hanging="420"/>
        <w:rPr>
          <w:rFonts w:hint="default" w:ascii="Times New Roman" w:hAnsi="Times New Roman" w:cs="Times New Roman"/>
          <w:color w:val="auto"/>
        </w:rPr>
      </w:pPr>
    </w:p>
    <w:p w14:paraId="20CC30CF">
      <w:pPr>
        <w:rPr>
          <w:rFonts w:hint="default" w:ascii="Times New Roman" w:hAnsi="Times New Roman" w:cs="Times New Roman"/>
          <w:color w:val="auto"/>
        </w:rPr>
      </w:pPr>
    </w:p>
    <w:p w14:paraId="4E7E2E4E">
      <w:pPr>
        <w:pStyle w:val="8"/>
        <w:ind w:left="840" w:hanging="420"/>
        <w:rPr>
          <w:rFonts w:hint="default" w:ascii="Times New Roman" w:hAnsi="Times New Roman" w:cs="Times New Roman"/>
          <w:color w:val="auto"/>
        </w:rPr>
      </w:pPr>
    </w:p>
    <w:p w14:paraId="2E432A12">
      <w:pPr>
        <w:rPr>
          <w:rFonts w:hint="default" w:ascii="Times New Roman" w:hAnsi="Times New Roman" w:cs="Times New Roman"/>
          <w:color w:val="auto"/>
        </w:rPr>
      </w:pPr>
    </w:p>
    <w:p w14:paraId="1F781707">
      <w:pPr>
        <w:pStyle w:val="8"/>
        <w:ind w:left="840" w:hanging="420"/>
        <w:rPr>
          <w:rFonts w:hint="default" w:ascii="Times New Roman" w:hAnsi="Times New Roman" w:cs="Times New Roman"/>
          <w:color w:val="auto"/>
        </w:rPr>
      </w:pPr>
    </w:p>
    <w:p w14:paraId="0980F87A">
      <w:pPr>
        <w:rPr>
          <w:rFonts w:hint="default" w:ascii="Times New Roman" w:hAnsi="Times New Roman" w:cs="Times New Roman"/>
          <w:color w:val="auto"/>
        </w:rPr>
      </w:pPr>
    </w:p>
    <w:p w14:paraId="4F140890">
      <w:pPr>
        <w:pStyle w:val="8"/>
        <w:ind w:left="840" w:hanging="420"/>
        <w:rPr>
          <w:rFonts w:hint="default" w:ascii="Times New Roman" w:hAnsi="Times New Roman" w:cs="Times New Roman"/>
          <w:color w:val="auto"/>
        </w:rPr>
      </w:pPr>
    </w:p>
    <w:p w14:paraId="0CFDF128">
      <w:pPr>
        <w:rPr>
          <w:rFonts w:hint="default" w:ascii="Times New Roman" w:hAnsi="Times New Roman" w:cs="Times New Roman"/>
          <w:color w:val="auto"/>
        </w:rPr>
      </w:pPr>
    </w:p>
    <w:p w14:paraId="3A0A23FA">
      <w:pPr>
        <w:pStyle w:val="8"/>
        <w:ind w:left="840" w:hanging="420"/>
        <w:rPr>
          <w:rFonts w:hint="default" w:ascii="Times New Roman" w:hAnsi="Times New Roman" w:cs="Times New Roman"/>
          <w:color w:val="auto"/>
        </w:rPr>
      </w:pPr>
    </w:p>
    <w:p w14:paraId="75C09B65">
      <w:pPr>
        <w:rPr>
          <w:rFonts w:hint="default" w:ascii="Times New Roman" w:hAnsi="Times New Roman" w:cs="Times New Roman"/>
          <w:color w:val="auto"/>
        </w:rPr>
      </w:pPr>
    </w:p>
    <w:p w14:paraId="7382BCC4">
      <w:pPr>
        <w:pStyle w:val="8"/>
        <w:ind w:left="840" w:hanging="420"/>
        <w:rPr>
          <w:rFonts w:hint="default" w:ascii="Times New Roman" w:hAnsi="Times New Roman" w:cs="Times New Roman"/>
          <w:color w:val="auto"/>
        </w:rPr>
      </w:pPr>
    </w:p>
    <w:p w14:paraId="0A6FCEC2">
      <w:pPr>
        <w:rPr>
          <w:rFonts w:hint="default" w:ascii="Times New Roman" w:hAnsi="Times New Roman" w:cs="Times New Roman"/>
          <w:color w:val="auto"/>
        </w:rPr>
      </w:pPr>
    </w:p>
    <w:p w14:paraId="275E9285">
      <w:pPr>
        <w:pStyle w:val="8"/>
        <w:ind w:left="840" w:hanging="420"/>
        <w:rPr>
          <w:rFonts w:hint="default" w:ascii="Times New Roman" w:hAnsi="Times New Roman" w:cs="Times New Roman"/>
          <w:color w:val="auto"/>
        </w:rPr>
      </w:pPr>
    </w:p>
    <w:p w14:paraId="1F2C0B1C">
      <w:pPr>
        <w:rPr>
          <w:rFonts w:hint="default" w:ascii="Times New Roman" w:hAnsi="Times New Roman" w:cs="Times New Roman"/>
          <w:color w:val="auto"/>
        </w:rPr>
      </w:pPr>
    </w:p>
    <w:p w14:paraId="32135C60">
      <w:pPr>
        <w:pStyle w:val="8"/>
        <w:ind w:left="840" w:hanging="420"/>
        <w:rPr>
          <w:rFonts w:hint="default" w:ascii="Times New Roman" w:hAnsi="Times New Roman" w:cs="Times New Roman"/>
          <w:color w:val="auto"/>
        </w:rPr>
      </w:pPr>
    </w:p>
    <w:p w14:paraId="0C545DDF">
      <w:pPr>
        <w:rPr>
          <w:rFonts w:hint="default" w:ascii="Times New Roman" w:hAnsi="Times New Roman" w:cs="Times New Roman"/>
          <w:color w:val="auto"/>
        </w:rPr>
      </w:pPr>
    </w:p>
    <w:p w14:paraId="603B04D8">
      <w:pPr>
        <w:pStyle w:val="8"/>
        <w:ind w:left="840" w:hanging="420"/>
        <w:rPr>
          <w:rFonts w:hint="default" w:ascii="Times New Roman" w:hAnsi="Times New Roman" w:cs="Times New Roman"/>
          <w:color w:val="auto"/>
        </w:rPr>
      </w:pPr>
    </w:p>
    <w:p w14:paraId="6EF97DC7">
      <w:pPr>
        <w:rPr>
          <w:rFonts w:hint="default" w:ascii="Times New Roman" w:hAnsi="Times New Roman" w:cs="Times New Roman"/>
          <w:color w:val="auto"/>
        </w:rPr>
      </w:pPr>
    </w:p>
    <w:p w14:paraId="1709561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color w:val="auto"/>
        </w:rPr>
      </w:pPr>
    </w:p>
    <w:p w14:paraId="3833E5F8">
      <w:pPr>
        <w:spacing w:line="576" w:lineRule="exact"/>
        <w:jc w:val="center"/>
        <w:outlineLvl w:val="0"/>
        <w:rPr>
          <w:rFonts w:hint="default" w:ascii="Times New Roman" w:hAnsi="Times New Roman" w:eastAsia="黑体" w:cs="Times New Roman"/>
          <w:color w:val="auto"/>
          <w:sz w:val="32"/>
          <w:szCs w:val="32"/>
        </w:rPr>
      </w:pPr>
      <w:bookmarkStart w:id="5" w:name="_Toc101688776"/>
      <w:r>
        <w:rPr>
          <w:rFonts w:hint="default" w:ascii="Times New Roman" w:hAnsi="Times New Roman" w:eastAsia="黑体" w:cs="Times New Roman"/>
          <w:color w:val="auto"/>
          <w:sz w:val="32"/>
          <w:szCs w:val="32"/>
        </w:rPr>
        <w:t>第二章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“十四五”农业农村现代化发展总体要求</w:t>
      </w:r>
      <w:bookmarkEnd w:id="5"/>
    </w:p>
    <w:p w14:paraId="7679F44C">
      <w:pPr>
        <w:spacing w:line="576" w:lineRule="exact"/>
        <w:jc w:val="center"/>
        <w:rPr>
          <w:rFonts w:hint="default" w:ascii="Times New Roman" w:hAnsi="Times New Roman" w:eastAsia="仿宋_GB2312" w:cs="Times New Roman"/>
          <w:color w:val="auto"/>
          <w:sz w:val="32"/>
          <w:szCs w:val="32"/>
        </w:rPr>
      </w:pPr>
    </w:p>
    <w:p w14:paraId="2EA7C9C2">
      <w:pPr>
        <w:spacing w:line="576" w:lineRule="exact"/>
        <w:jc w:val="center"/>
        <w:outlineLvl w:val="1"/>
        <w:rPr>
          <w:rFonts w:hint="default" w:ascii="Times New Roman" w:hAnsi="Times New Roman" w:eastAsia="楷体_GB2312" w:cs="Times New Roman"/>
          <w:b/>
          <w:color w:val="auto"/>
          <w:sz w:val="32"/>
          <w:szCs w:val="32"/>
        </w:rPr>
      </w:pPr>
      <w:bookmarkStart w:id="6" w:name="_Toc101688777"/>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指导思想</w:t>
      </w:r>
      <w:bookmarkEnd w:id="6"/>
    </w:p>
    <w:p w14:paraId="630DC62B">
      <w:pPr>
        <w:spacing w:line="576" w:lineRule="exact"/>
        <w:ind w:firstLine="640" w:firstLineChars="200"/>
        <w:rPr>
          <w:rFonts w:hint="default" w:ascii="Times New Roman" w:hAnsi="Times New Roman" w:eastAsia="仿宋_GB2312" w:cs="Times New Roman"/>
          <w:color w:val="auto"/>
          <w:sz w:val="32"/>
          <w:szCs w:val="32"/>
        </w:rPr>
      </w:pPr>
    </w:p>
    <w:p w14:paraId="39B23871">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五”期间，全区农业农村现代化发展的指导思想是：坚持以习近平新时代中国特色社会主义思想为指导，深入贯彻党的十九大和十九届历次全会及习近平总书记对四川工作系列重要指示精神，全面落实中央、省委、市委、区委系列决策部署，紧紧围绕统筹推进“五位一体”总体布局和协调推进“四个全面”战略布局，坚定不移实施“生态立区、工业强区、文旅兴区、创新活区”总战略，坚持把实施乡村振兴战略作为新时代“三农”工作的总抓手，坚持农业农村优先发展，以农业</w:t>
      </w:r>
      <w:r>
        <w:rPr>
          <w:rFonts w:hint="eastAsia" w:ascii="Times New Roman" w:hAnsi="Times New Roman" w:eastAsia="仿宋_GB2312" w:cs="Times New Roman"/>
          <w:color w:val="auto"/>
          <w:sz w:val="32"/>
          <w:szCs w:val="32"/>
          <w:lang w:eastAsia="zh-CN"/>
        </w:rPr>
        <w:t>供给侧结构性改革</w:t>
      </w:r>
      <w:r>
        <w:rPr>
          <w:rFonts w:hint="default" w:ascii="Times New Roman" w:hAnsi="Times New Roman" w:eastAsia="仿宋_GB2312" w:cs="Times New Roman"/>
          <w:color w:val="auto"/>
          <w:sz w:val="32"/>
          <w:szCs w:val="32"/>
        </w:rPr>
        <w:t>为主线，以高质量发展为主题，全面实施现代农业强基、乡村产业提质、美丽乡村靓颜、乡村善治提升、惠民富民促进、改革创新赋能“六大行动”，高水平推进</w:t>
      </w:r>
      <w:r>
        <w:rPr>
          <w:rFonts w:hint="eastAsia" w:ascii="Times New Roman" w:hAnsi="Times New Roman" w:eastAsia="仿宋_GB2312" w:cs="Times New Roman"/>
          <w:color w:val="auto"/>
          <w:sz w:val="32"/>
          <w:szCs w:val="32"/>
          <w:lang w:eastAsia="zh-CN"/>
        </w:rPr>
        <w:t>巩固拓展脱贫攻坚成果同乡村振兴有效衔接</w:t>
      </w:r>
      <w:r>
        <w:rPr>
          <w:rFonts w:hint="default" w:ascii="Times New Roman" w:hAnsi="Times New Roman" w:eastAsia="仿宋_GB2312" w:cs="Times New Roman"/>
          <w:color w:val="auto"/>
          <w:sz w:val="32"/>
          <w:szCs w:val="32"/>
        </w:rPr>
        <w:t>，着力打造全国山区现代农业示范区、全国脱贫地区特色产业高质量发展引领区、全省宜居美丽乡村典范区、全市农民共同富裕先行区，在全省全市率先基本实现农业农村现代化。</w:t>
      </w:r>
    </w:p>
    <w:p w14:paraId="64664435">
      <w:pPr>
        <w:spacing w:line="576" w:lineRule="exact"/>
        <w:jc w:val="center"/>
        <w:rPr>
          <w:rFonts w:hint="default" w:ascii="Times New Roman" w:hAnsi="Times New Roman" w:eastAsia="仿宋_GB2312" w:cs="Times New Roman"/>
          <w:color w:val="auto"/>
          <w:sz w:val="32"/>
          <w:szCs w:val="32"/>
        </w:rPr>
      </w:pPr>
    </w:p>
    <w:p w14:paraId="00A5D0C7">
      <w:pPr>
        <w:spacing w:line="576" w:lineRule="exact"/>
        <w:jc w:val="center"/>
        <w:outlineLvl w:val="1"/>
        <w:rPr>
          <w:rFonts w:hint="default" w:ascii="Times New Roman" w:hAnsi="Times New Roman" w:eastAsia="楷体_GB2312" w:cs="Times New Roman"/>
          <w:b/>
          <w:color w:val="auto"/>
          <w:sz w:val="32"/>
          <w:szCs w:val="32"/>
        </w:rPr>
      </w:pPr>
      <w:bookmarkStart w:id="7" w:name="_Toc101688778"/>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基本原则</w:t>
      </w:r>
      <w:bookmarkEnd w:id="7"/>
    </w:p>
    <w:p w14:paraId="6217DAEF">
      <w:pPr>
        <w:keepNext w:val="0"/>
        <w:keepLines w:val="0"/>
        <w:pageBreakBefore w:val="0"/>
        <w:widowControl w:val="0"/>
        <w:kinsoku/>
        <w:wordWrap/>
        <w:overflowPunct/>
        <w:topLinePunct w:val="0"/>
        <w:autoSpaceDE/>
        <w:autoSpaceDN/>
        <w:bidi w:val="0"/>
        <w:adjustRightInd/>
        <w:snapToGrid/>
        <w:spacing w:line="376" w:lineRule="exact"/>
        <w:ind w:firstLine="640" w:firstLineChars="200"/>
        <w:textAlignment w:val="auto"/>
        <w:rPr>
          <w:rFonts w:hint="default" w:ascii="Times New Roman" w:hAnsi="Times New Roman" w:eastAsia="仿宋_GB2312" w:cs="Times New Roman"/>
          <w:color w:val="auto"/>
          <w:sz w:val="32"/>
          <w:szCs w:val="32"/>
        </w:rPr>
      </w:pPr>
    </w:p>
    <w:p w14:paraId="33C9F244">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把新发展理念贯穿发展全过程各领域，切实转变发展方式，推动质量变革、效率变革、动力变革，实现农业农村更高质量、更有效率、更加公平、更可持续、更为安全的发展。</w:t>
      </w:r>
    </w:p>
    <w:p w14:paraId="7E6FD991">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坚持党管农村原则。</w:t>
      </w:r>
      <w:r>
        <w:rPr>
          <w:rFonts w:hint="default" w:ascii="Times New Roman" w:hAnsi="Times New Roman" w:eastAsia="仿宋_GB2312" w:cs="Times New Roman"/>
          <w:color w:val="auto"/>
          <w:sz w:val="32"/>
          <w:szCs w:val="32"/>
        </w:rPr>
        <w:t>坚持和加强党对农业农村工作的领导，加强农村基层党组织建设，健全党管农村工作方面的领导体制和工作机制，确保党在农业农村工作中始终总揽全局、协调各方，有效落实农业农村优先发展总方针，把党的领导的政治优势转化为重农强农、推动乡村振兴的行动优势。</w:t>
      </w:r>
    </w:p>
    <w:p w14:paraId="6EF5911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坚持生态高效原则。</w:t>
      </w:r>
      <w:r>
        <w:rPr>
          <w:rFonts w:hint="default" w:ascii="Times New Roman" w:hAnsi="Times New Roman" w:eastAsia="仿宋_GB2312" w:cs="Times New Roman"/>
          <w:color w:val="auto"/>
          <w:sz w:val="32"/>
          <w:szCs w:val="32"/>
        </w:rPr>
        <w:t>牢固树立和践行“绿水青山就是金山银山”的发展理念，突出嘉陵江上游生态屏障和水源涵养地的地位，坚持生态立区，加快构建节约资源和保护环境的空间格局、产业结构、生产方式、生活方式，促进生态资源价值显现化和生态保护动力内生化，努力将生态优势转化为发展资本。</w:t>
      </w:r>
    </w:p>
    <w:p w14:paraId="7E7C948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坚持融合发展原则。</w:t>
      </w:r>
      <w:r>
        <w:rPr>
          <w:rFonts w:hint="default" w:ascii="Times New Roman" w:hAnsi="Times New Roman" w:eastAsia="仿宋_GB2312" w:cs="Times New Roman"/>
          <w:color w:val="auto"/>
          <w:sz w:val="32"/>
          <w:szCs w:val="32"/>
        </w:rPr>
        <w:t>做好农工、农商、农文旅康养融合发展文章，着力打造一批产业集聚度高的农产品加工园区和食品工业园区，塑造昭化“农业+旅游”“农业+康养”“农业+文创”品牌，推动新型工业化、信息化、城镇化、农业现代化同步发展，加快形成城乡互补、工农互促、共同繁荣的新型工农城乡关系。</w:t>
      </w:r>
    </w:p>
    <w:p w14:paraId="35AE27CD">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坚持市场驱动原则。</w:t>
      </w:r>
      <w:r>
        <w:rPr>
          <w:rFonts w:hint="default" w:ascii="Times New Roman" w:hAnsi="Times New Roman" w:eastAsia="仿宋_GB2312" w:cs="Times New Roman"/>
          <w:color w:val="auto"/>
          <w:sz w:val="32"/>
          <w:szCs w:val="32"/>
        </w:rPr>
        <w:t>充分利用昭化区地处过渡地带和交通要道的优势，瞄准都市高端消费群体在绿色优质农产品、乡村旅游等方面日益增长的消费需求，发挥特色化品种、集群化加工、滨水休闲观光农业的优势，实现绿色有机农产品有效供给、特色优势产业发展壮大、产业融合发展程度提升，提高乡村产业发展竞争能力和综合效益。</w:t>
      </w:r>
    </w:p>
    <w:p w14:paraId="6D85753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坚持改革创新原则。</w:t>
      </w:r>
      <w:r>
        <w:rPr>
          <w:rFonts w:hint="default" w:ascii="Times New Roman" w:hAnsi="Times New Roman" w:eastAsia="仿宋_GB2312" w:cs="Times New Roman"/>
          <w:color w:val="auto"/>
          <w:sz w:val="32"/>
          <w:szCs w:val="32"/>
        </w:rPr>
        <w:t>全面推进农村承包土地“三权分置”，大力探索农村宅基地有效利用方式，发展壮大村集体经济，积极转变农业生产经营方式；创新人才引培机制，分类组建乡村振兴“人才联盟”，积极回引大学生、农民工返乡创业；创新农业投融资机制，以财金互动扶贫模式为乡村振兴提供强有力的资金支持。</w:t>
      </w:r>
    </w:p>
    <w:p w14:paraId="4158AB9E">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坚持成果共享原则。</w:t>
      </w:r>
      <w:r>
        <w:rPr>
          <w:rFonts w:hint="default" w:ascii="Times New Roman" w:hAnsi="Times New Roman" w:eastAsia="仿宋_GB2312" w:cs="Times New Roman"/>
          <w:color w:val="auto"/>
          <w:sz w:val="32"/>
          <w:szCs w:val="32"/>
        </w:rPr>
        <w:t>注重激发农民干事创业潜力、激励农业提质增效、激活农村内生动力，鼓励城市人才下乡创业、社会资本投入农业农村，完善新型经营主体与农民利益联结机制，建立健全农村产权流转机制，积极运用反租倒包、资源资金入股、代种代养等利益联结模式，形成多方共同参与、共享成果、共同富裕的新局面。</w:t>
      </w:r>
    </w:p>
    <w:p w14:paraId="14F1DDE3">
      <w:pPr>
        <w:spacing w:line="288" w:lineRule="exact"/>
        <w:jc w:val="center"/>
        <w:rPr>
          <w:rFonts w:hint="default" w:ascii="Times New Roman" w:hAnsi="Times New Roman" w:eastAsia="仿宋_GB2312" w:cs="Times New Roman"/>
          <w:color w:val="auto"/>
          <w:sz w:val="32"/>
          <w:szCs w:val="32"/>
        </w:rPr>
      </w:pPr>
    </w:p>
    <w:p w14:paraId="163214F6">
      <w:pPr>
        <w:spacing w:line="576" w:lineRule="exact"/>
        <w:jc w:val="center"/>
        <w:outlineLvl w:val="1"/>
        <w:rPr>
          <w:rFonts w:hint="default" w:ascii="Times New Roman" w:hAnsi="Times New Roman" w:eastAsia="楷体_GB2312" w:cs="Times New Roman"/>
          <w:b/>
          <w:color w:val="auto"/>
          <w:sz w:val="32"/>
          <w:szCs w:val="32"/>
        </w:rPr>
      </w:pPr>
      <w:bookmarkStart w:id="8" w:name="_Toc101688779"/>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发展目标</w:t>
      </w:r>
      <w:bookmarkEnd w:id="8"/>
    </w:p>
    <w:p w14:paraId="2F1628D6">
      <w:pPr>
        <w:spacing w:line="288" w:lineRule="exact"/>
        <w:ind w:firstLine="640" w:firstLineChars="200"/>
        <w:rPr>
          <w:rFonts w:hint="default" w:ascii="Times New Roman" w:hAnsi="Times New Roman" w:eastAsia="仿宋_GB2312" w:cs="Times New Roman"/>
          <w:color w:val="auto"/>
          <w:sz w:val="32"/>
          <w:szCs w:val="32"/>
        </w:rPr>
      </w:pPr>
    </w:p>
    <w:p w14:paraId="12AFDE99">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基本实现乡村初步振兴的目标，基本实现“农业强、农村美、农民富”，建成川东北一流农业强区。农业综合产值达到52.52亿元，一产业增加值年均增长8%以上，农村居民人均可支配收入年均增长10%以上，农业综合机械化水平年均增长1%以上，农业信息化水平提升到65%以上。农村生态全域改善，人居环境整洁优美，乡村基础设施整体提升，创建市级以上乡村振兴示范村20个、示范镇5个，力争建成现代农业示范区、乡村振兴示范区。</w:t>
      </w:r>
    </w:p>
    <w:p w14:paraId="6F425FFA">
      <w:pPr>
        <w:pStyle w:val="10"/>
        <w:spacing w:line="576" w:lineRule="exact"/>
        <w:ind w:firstLine="0" w:firstLineChars="0"/>
        <w:jc w:val="center"/>
        <w:rPr>
          <w:rFonts w:hint="default" w:ascii="Times New Roman" w:hAnsi="Times New Roman" w:eastAsia="仿宋_GB2312" w:cs="Times New Roman"/>
          <w:b/>
          <w:bCs/>
          <w:color w:val="auto"/>
          <w:szCs w:val="32"/>
        </w:rPr>
      </w:pPr>
      <w:r>
        <w:rPr>
          <w:rFonts w:hint="default" w:ascii="Times New Roman" w:hAnsi="Times New Roman" w:eastAsia="仿宋_GB2312" w:cs="Times New Roman"/>
          <w:b/>
          <w:bCs/>
          <w:color w:val="auto"/>
          <w:szCs w:val="32"/>
        </w:rPr>
        <w:t>表1昭化区“十四五”农业农村主要发展目标</w:t>
      </w:r>
    </w:p>
    <w:tbl>
      <w:tblPr>
        <w:tblStyle w:val="1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5"/>
        <w:gridCol w:w="470"/>
        <w:gridCol w:w="1032"/>
        <w:gridCol w:w="1024"/>
        <w:gridCol w:w="1742"/>
        <w:gridCol w:w="1595"/>
        <w:gridCol w:w="1578"/>
        <w:gridCol w:w="1081"/>
      </w:tblGrid>
      <w:tr w14:paraId="6BD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17BB894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序号</w:t>
            </w:r>
          </w:p>
        </w:tc>
        <w:tc>
          <w:tcPr>
            <w:tcW w:w="4268" w:type="dxa"/>
            <w:gridSpan w:val="4"/>
            <w:vAlign w:val="center"/>
          </w:tcPr>
          <w:p w14:paraId="16CB84B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指标</w:t>
            </w:r>
          </w:p>
        </w:tc>
        <w:tc>
          <w:tcPr>
            <w:tcW w:w="1595" w:type="dxa"/>
            <w:vAlign w:val="center"/>
          </w:tcPr>
          <w:p w14:paraId="2231EB8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2020年基期数</w:t>
            </w:r>
          </w:p>
        </w:tc>
        <w:tc>
          <w:tcPr>
            <w:tcW w:w="1578" w:type="dxa"/>
            <w:vAlign w:val="center"/>
          </w:tcPr>
          <w:p w14:paraId="02834DF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2025年目标数</w:t>
            </w:r>
          </w:p>
        </w:tc>
        <w:tc>
          <w:tcPr>
            <w:tcW w:w="1081" w:type="dxa"/>
            <w:vAlign w:val="center"/>
          </w:tcPr>
          <w:p w14:paraId="1E8B038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变动值</w:t>
            </w:r>
          </w:p>
        </w:tc>
      </w:tr>
      <w:tr w14:paraId="4E3E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F7859B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w:t>
            </w:r>
          </w:p>
        </w:tc>
        <w:tc>
          <w:tcPr>
            <w:tcW w:w="4268" w:type="dxa"/>
            <w:gridSpan w:val="4"/>
            <w:vAlign w:val="center"/>
          </w:tcPr>
          <w:p w14:paraId="58A6EA6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农业综合产值（亿元）</w:t>
            </w:r>
          </w:p>
        </w:tc>
        <w:tc>
          <w:tcPr>
            <w:tcW w:w="1595" w:type="dxa"/>
            <w:vAlign w:val="center"/>
          </w:tcPr>
          <w:p w14:paraId="4521840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36.23</w:t>
            </w:r>
          </w:p>
        </w:tc>
        <w:tc>
          <w:tcPr>
            <w:tcW w:w="1578" w:type="dxa"/>
            <w:vAlign w:val="center"/>
          </w:tcPr>
          <w:p w14:paraId="6784E30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52.52</w:t>
            </w:r>
          </w:p>
        </w:tc>
        <w:tc>
          <w:tcPr>
            <w:tcW w:w="1081" w:type="dxa"/>
            <w:vAlign w:val="center"/>
          </w:tcPr>
          <w:p w14:paraId="07B4148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16.29</w:t>
            </w:r>
          </w:p>
        </w:tc>
      </w:tr>
      <w:tr w14:paraId="7551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6F0330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w:t>
            </w:r>
          </w:p>
        </w:tc>
        <w:tc>
          <w:tcPr>
            <w:tcW w:w="4268" w:type="dxa"/>
            <w:gridSpan w:val="4"/>
            <w:vAlign w:val="center"/>
          </w:tcPr>
          <w:p w14:paraId="08632CE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粮油综合生产能力（万吨）</w:t>
            </w:r>
          </w:p>
        </w:tc>
        <w:tc>
          <w:tcPr>
            <w:tcW w:w="1595" w:type="dxa"/>
            <w:vAlign w:val="center"/>
          </w:tcPr>
          <w:p w14:paraId="79D7568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15.35</w:t>
            </w:r>
          </w:p>
        </w:tc>
        <w:tc>
          <w:tcPr>
            <w:tcW w:w="1578" w:type="dxa"/>
            <w:vAlign w:val="center"/>
          </w:tcPr>
          <w:p w14:paraId="688FE494">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16.5</w:t>
            </w:r>
          </w:p>
        </w:tc>
        <w:tc>
          <w:tcPr>
            <w:tcW w:w="1081" w:type="dxa"/>
            <w:vAlign w:val="center"/>
          </w:tcPr>
          <w:p w14:paraId="4F469EFA">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1.15</w:t>
            </w:r>
          </w:p>
        </w:tc>
      </w:tr>
      <w:tr w14:paraId="06E2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B0FC58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w:t>
            </w:r>
          </w:p>
        </w:tc>
        <w:tc>
          <w:tcPr>
            <w:tcW w:w="4268" w:type="dxa"/>
            <w:gridSpan w:val="4"/>
            <w:vAlign w:val="center"/>
          </w:tcPr>
          <w:p w14:paraId="0CD188E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粮油播种面积（万亩）</w:t>
            </w:r>
          </w:p>
        </w:tc>
        <w:tc>
          <w:tcPr>
            <w:tcW w:w="1595" w:type="dxa"/>
            <w:vAlign w:val="center"/>
          </w:tcPr>
          <w:p w14:paraId="019EF5A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52.79</w:t>
            </w:r>
          </w:p>
        </w:tc>
        <w:tc>
          <w:tcPr>
            <w:tcW w:w="1578" w:type="dxa"/>
            <w:vAlign w:val="center"/>
          </w:tcPr>
          <w:p w14:paraId="362D7BDD">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60</w:t>
            </w:r>
          </w:p>
        </w:tc>
        <w:tc>
          <w:tcPr>
            <w:tcW w:w="1081" w:type="dxa"/>
            <w:vAlign w:val="center"/>
          </w:tcPr>
          <w:p w14:paraId="76E3B147">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7.71</w:t>
            </w:r>
          </w:p>
        </w:tc>
      </w:tr>
      <w:tr w14:paraId="59B9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575" w:type="dxa"/>
            <w:vAlign w:val="center"/>
          </w:tcPr>
          <w:p w14:paraId="090D4EA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w:t>
            </w:r>
          </w:p>
        </w:tc>
        <w:tc>
          <w:tcPr>
            <w:tcW w:w="4268" w:type="dxa"/>
            <w:gridSpan w:val="4"/>
            <w:vAlign w:val="center"/>
          </w:tcPr>
          <w:p w14:paraId="614B49D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肉类总产量（万吨）</w:t>
            </w:r>
          </w:p>
        </w:tc>
        <w:tc>
          <w:tcPr>
            <w:tcW w:w="1595" w:type="dxa"/>
            <w:vAlign w:val="center"/>
          </w:tcPr>
          <w:p w14:paraId="1E37C1D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4.56</w:t>
            </w:r>
          </w:p>
        </w:tc>
        <w:tc>
          <w:tcPr>
            <w:tcW w:w="1578" w:type="dxa"/>
            <w:vAlign w:val="center"/>
          </w:tcPr>
          <w:p w14:paraId="749E72B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6.0</w:t>
            </w:r>
          </w:p>
        </w:tc>
        <w:tc>
          <w:tcPr>
            <w:tcW w:w="1081" w:type="dxa"/>
            <w:vAlign w:val="center"/>
          </w:tcPr>
          <w:p w14:paraId="3A851FA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1.44</w:t>
            </w:r>
          </w:p>
        </w:tc>
      </w:tr>
      <w:tr w14:paraId="450C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0991DA8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w:t>
            </w:r>
          </w:p>
        </w:tc>
        <w:tc>
          <w:tcPr>
            <w:tcW w:w="470" w:type="dxa"/>
            <w:vMerge w:val="restart"/>
            <w:vAlign w:val="center"/>
          </w:tcPr>
          <w:p w14:paraId="47FA9BA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主要特色产业</w:t>
            </w:r>
          </w:p>
        </w:tc>
        <w:tc>
          <w:tcPr>
            <w:tcW w:w="2056" w:type="dxa"/>
            <w:gridSpan w:val="2"/>
            <w:vMerge w:val="restart"/>
            <w:vAlign w:val="center"/>
          </w:tcPr>
          <w:p w14:paraId="77FE0FB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优质稻渔</w:t>
            </w:r>
          </w:p>
        </w:tc>
        <w:tc>
          <w:tcPr>
            <w:tcW w:w="1742" w:type="dxa"/>
            <w:vAlign w:val="center"/>
          </w:tcPr>
          <w:p w14:paraId="57B3EC0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面积（万亩）</w:t>
            </w:r>
          </w:p>
        </w:tc>
        <w:tc>
          <w:tcPr>
            <w:tcW w:w="1595" w:type="dxa"/>
            <w:vAlign w:val="center"/>
          </w:tcPr>
          <w:p w14:paraId="04FA91C8">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3</w:t>
            </w:r>
          </w:p>
        </w:tc>
        <w:tc>
          <w:tcPr>
            <w:tcW w:w="1578" w:type="dxa"/>
            <w:vAlign w:val="center"/>
          </w:tcPr>
          <w:p w14:paraId="6D4BBB0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w:t>
            </w:r>
          </w:p>
        </w:tc>
        <w:tc>
          <w:tcPr>
            <w:tcW w:w="1081" w:type="dxa"/>
            <w:vAlign w:val="center"/>
          </w:tcPr>
          <w:p w14:paraId="565F7FE8">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2</w:t>
            </w:r>
          </w:p>
        </w:tc>
      </w:tr>
      <w:tr w14:paraId="38C7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8ED8FA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w:t>
            </w:r>
          </w:p>
        </w:tc>
        <w:tc>
          <w:tcPr>
            <w:tcW w:w="470" w:type="dxa"/>
            <w:vMerge w:val="continue"/>
            <w:vAlign w:val="center"/>
          </w:tcPr>
          <w:p w14:paraId="112BA035">
            <w:pPr>
              <w:spacing w:line="240" w:lineRule="exact"/>
              <w:jc w:val="center"/>
              <w:rPr>
                <w:rFonts w:hint="default" w:ascii="Times New Roman" w:hAnsi="Times New Roman" w:cs="Times New Roman" w:eastAsiaTheme="majorEastAsia"/>
                <w:color w:val="auto"/>
                <w:szCs w:val="21"/>
              </w:rPr>
            </w:pPr>
          </w:p>
        </w:tc>
        <w:tc>
          <w:tcPr>
            <w:tcW w:w="2056" w:type="dxa"/>
            <w:gridSpan w:val="2"/>
            <w:vMerge w:val="continue"/>
            <w:vAlign w:val="center"/>
          </w:tcPr>
          <w:p w14:paraId="4DA82971">
            <w:pPr>
              <w:spacing w:line="240" w:lineRule="exact"/>
              <w:jc w:val="center"/>
              <w:rPr>
                <w:rFonts w:hint="default" w:ascii="Times New Roman" w:hAnsi="Times New Roman" w:cs="Times New Roman" w:eastAsiaTheme="majorEastAsia"/>
                <w:color w:val="auto"/>
                <w:szCs w:val="21"/>
              </w:rPr>
            </w:pPr>
          </w:p>
        </w:tc>
        <w:tc>
          <w:tcPr>
            <w:tcW w:w="1742" w:type="dxa"/>
            <w:vAlign w:val="center"/>
          </w:tcPr>
          <w:p w14:paraId="3E2A0B1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673E284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0.9</w:t>
            </w:r>
          </w:p>
        </w:tc>
        <w:tc>
          <w:tcPr>
            <w:tcW w:w="1578" w:type="dxa"/>
            <w:vAlign w:val="center"/>
          </w:tcPr>
          <w:p w14:paraId="4198956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w:t>
            </w:r>
          </w:p>
        </w:tc>
        <w:tc>
          <w:tcPr>
            <w:tcW w:w="1081" w:type="dxa"/>
            <w:vAlign w:val="center"/>
          </w:tcPr>
          <w:p w14:paraId="4E219B7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1.1</w:t>
            </w:r>
          </w:p>
        </w:tc>
      </w:tr>
      <w:tr w14:paraId="74B3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39FCA9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w:t>
            </w:r>
          </w:p>
        </w:tc>
        <w:tc>
          <w:tcPr>
            <w:tcW w:w="470" w:type="dxa"/>
            <w:vMerge w:val="continue"/>
            <w:vAlign w:val="center"/>
          </w:tcPr>
          <w:p w14:paraId="6E2FDE6C">
            <w:pPr>
              <w:spacing w:line="240" w:lineRule="exact"/>
              <w:jc w:val="center"/>
              <w:rPr>
                <w:rFonts w:hint="default" w:ascii="Times New Roman" w:hAnsi="Times New Roman" w:cs="Times New Roman" w:eastAsiaTheme="majorEastAsia"/>
                <w:color w:val="auto"/>
                <w:szCs w:val="21"/>
              </w:rPr>
            </w:pPr>
          </w:p>
        </w:tc>
        <w:tc>
          <w:tcPr>
            <w:tcW w:w="2056" w:type="dxa"/>
            <w:gridSpan w:val="2"/>
            <w:vMerge w:val="restart"/>
            <w:vAlign w:val="center"/>
          </w:tcPr>
          <w:p w14:paraId="208DF4E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红心猕猴桃</w:t>
            </w:r>
          </w:p>
        </w:tc>
        <w:tc>
          <w:tcPr>
            <w:tcW w:w="1742" w:type="dxa"/>
            <w:vAlign w:val="center"/>
          </w:tcPr>
          <w:p w14:paraId="62B7DF3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面积（万亩）</w:t>
            </w:r>
          </w:p>
        </w:tc>
        <w:tc>
          <w:tcPr>
            <w:tcW w:w="1595" w:type="dxa"/>
            <w:vAlign w:val="center"/>
          </w:tcPr>
          <w:p w14:paraId="1B8864DB">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7</w:t>
            </w:r>
          </w:p>
        </w:tc>
        <w:tc>
          <w:tcPr>
            <w:tcW w:w="1578" w:type="dxa"/>
            <w:vAlign w:val="center"/>
          </w:tcPr>
          <w:p w14:paraId="5DA4E70D">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7</w:t>
            </w:r>
          </w:p>
        </w:tc>
        <w:tc>
          <w:tcPr>
            <w:tcW w:w="1081" w:type="dxa"/>
            <w:vAlign w:val="center"/>
          </w:tcPr>
          <w:p w14:paraId="3264D3F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20E5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E8E712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8</w:t>
            </w:r>
          </w:p>
        </w:tc>
        <w:tc>
          <w:tcPr>
            <w:tcW w:w="470" w:type="dxa"/>
            <w:vMerge w:val="continue"/>
            <w:vAlign w:val="center"/>
          </w:tcPr>
          <w:p w14:paraId="6C7C477C">
            <w:pPr>
              <w:spacing w:line="240" w:lineRule="exact"/>
              <w:jc w:val="center"/>
              <w:rPr>
                <w:rFonts w:hint="default" w:ascii="Times New Roman" w:hAnsi="Times New Roman" w:cs="Times New Roman" w:eastAsiaTheme="majorEastAsia"/>
                <w:color w:val="auto"/>
                <w:szCs w:val="21"/>
              </w:rPr>
            </w:pPr>
          </w:p>
        </w:tc>
        <w:tc>
          <w:tcPr>
            <w:tcW w:w="2056" w:type="dxa"/>
            <w:gridSpan w:val="2"/>
            <w:vMerge w:val="continue"/>
            <w:vAlign w:val="center"/>
          </w:tcPr>
          <w:p w14:paraId="2E282256">
            <w:pPr>
              <w:spacing w:line="240" w:lineRule="exact"/>
              <w:jc w:val="center"/>
              <w:rPr>
                <w:rFonts w:hint="default" w:ascii="Times New Roman" w:hAnsi="Times New Roman" w:cs="Times New Roman" w:eastAsiaTheme="majorEastAsia"/>
                <w:color w:val="auto"/>
                <w:szCs w:val="21"/>
              </w:rPr>
            </w:pPr>
          </w:p>
        </w:tc>
        <w:tc>
          <w:tcPr>
            <w:tcW w:w="1742" w:type="dxa"/>
            <w:vAlign w:val="center"/>
          </w:tcPr>
          <w:p w14:paraId="4EC1289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7A9D99D1">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1.3</w:t>
            </w:r>
          </w:p>
        </w:tc>
        <w:tc>
          <w:tcPr>
            <w:tcW w:w="1578" w:type="dxa"/>
            <w:vAlign w:val="center"/>
          </w:tcPr>
          <w:p w14:paraId="169E797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w:t>
            </w:r>
          </w:p>
        </w:tc>
        <w:tc>
          <w:tcPr>
            <w:tcW w:w="1081" w:type="dxa"/>
            <w:vAlign w:val="center"/>
          </w:tcPr>
          <w:p w14:paraId="2EFD430A">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0.7</w:t>
            </w:r>
          </w:p>
        </w:tc>
      </w:tr>
      <w:tr w14:paraId="37F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61B98FF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w:t>
            </w:r>
          </w:p>
        </w:tc>
        <w:tc>
          <w:tcPr>
            <w:tcW w:w="470" w:type="dxa"/>
            <w:vMerge w:val="continue"/>
            <w:vAlign w:val="center"/>
          </w:tcPr>
          <w:p w14:paraId="20F3C58E">
            <w:pPr>
              <w:spacing w:line="240" w:lineRule="exact"/>
              <w:jc w:val="center"/>
              <w:rPr>
                <w:rFonts w:hint="default" w:ascii="Times New Roman" w:hAnsi="Times New Roman" w:cs="Times New Roman" w:eastAsiaTheme="majorEastAsia"/>
                <w:color w:val="auto"/>
                <w:szCs w:val="21"/>
              </w:rPr>
            </w:pPr>
          </w:p>
        </w:tc>
        <w:tc>
          <w:tcPr>
            <w:tcW w:w="2056" w:type="dxa"/>
            <w:gridSpan w:val="2"/>
            <w:vMerge w:val="restart"/>
            <w:vAlign w:val="center"/>
          </w:tcPr>
          <w:p w14:paraId="629903B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核桃</w:t>
            </w:r>
          </w:p>
        </w:tc>
        <w:tc>
          <w:tcPr>
            <w:tcW w:w="1742" w:type="dxa"/>
            <w:vAlign w:val="center"/>
          </w:tcPr>
          <w:p w14:paraId="0D3448E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面积（万亩）</w:t>
            </w:r>
          </w:p>
        </w:tc>
        <w:tc>
          <w:tcPr>
            <w:tcW w:w="1595" w:type="dxa"/>
            <w:vAlign w:val="center"/>
          </w:tcPr>
          <w:p w14:paraId="6E92A7E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5.3</w:t>
            </w:r>
          </w:p>
        </w:tc>
        <w:tc>
          <w:tcPr>
            <w:tcW w:w="1578" w:type="dxa"/>
            <w:vAlign w:val="center"/>
          </w:tcPr>
          <w:p w14:paraId="2110E29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5.3</w:t>
            </w:r>
          </w:p>
        </w:tc>
        <w:tc>
          <w:tcPr>
            <w:tcW w:w="1081" w:type="dxa"/>
            <w:vAlign w:val="center"/>
          </w:tcPr>
          <w:p w14:paraId="75863FE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56B0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1506F69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w:t>
            </w:r>
          </w:p>
        </w:tc>
        <w:tc>
          <w:tcPr>
            <w:tcW w:w="470" w:type="dxa"/>
            <w:vMerge w:val="continue"/>
            <w:vAlign w:val="center"/>
          </w:tcPr>
          <w:p w14:paraId="3C4D1A04">
            <w:pPr>
              <w:spacing w:line="240" w:lineRule="exact"/>
              <w:jc w:val="center"/>
              <w:rPr>
                <w:rFonts w:hint="default" w:ascii="Times New Roman" w:hAnsi="Times New Roman" w:cs="Times New Roman" w:eastAsiaTheme="majorEastAsia"/>
                <w:color w:val="auto"/>
                <w:szCs w:val="21"/>
              </w:rPr>
            </w:pPr>
          </w:p>
        </w:tc>
        <w:tc>
          <w:tcPr>
            <w:tcW w:w="2056" w:type="dxa"/>
            <w:gridSpan w:val="2"/>
            <w:vMerge w:val="continue"/>
            <w:vAlign w:val="center"/>
          </w:tcPr>
          <w:p w14:paraId="4401DF34">
            <w:pPr>
              <w:spacing w:line="240" w:lineRule="exact"/>
              <w:jc w:val="center"/>
              <w:rPr>
                <w:rFonts w:hint="default" w:ascii="Times New Roman" w:hAnsi="Times New Roman" w:cs="Times New Roman" w:eastAsiaTheme="majorEastAsia"/>
                <w:color w:val="auto"/>
                <w:szCs w:val="21"/>
              </w:rPr>
            </w:pPr>
          </w:p>
        </w:tc>
        <w:tc>
          <w:tcPr>
            <w:tcW w:w="1742" w:type="dxa"/>
            <w:vAlign w:val="center"/>
          </w:tcPr>
          <w:p w14:paraId="7DB6510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5FE617B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0.2</w:t>
            </w:r>
          </w:p>
        </w:tc>
        <w:tc>
          <w:tcPr>
            <w:tcW w:w="1578" w:type="dxa"/>
            <w:vAlign w:val="center"/>
          </w:tcPr>
          <w:p w14:paraId="0166B74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0.25</w:t>
            </w:r>
          </w:p>
        </w:tc>
        <w:tc>
          <w:tcPr>
            <w:tcW w:w="1081" w:type="dxa"/>
            <w:vAlign w:val="center"/>
          </w:tcPr>
          <w:p w14:paraId="4BB2FC6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0.05</w:t>
            </w:r>
          </w:p>
        </w:tc>
      </w:tr>
      <w:tr w14:paraId="1E86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05D9BC9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11</w:t>
            </w:r>
          </w:p>
        </w:tc>
        <w:tc>
          <w:tcPr>
            <w:tcW w:w="470" w:type="dxa"/>
            <w:vMerge w:val="continue"/>
            <w:vAlign w:val="center"/>
          </w:tcPr>
          <w:p w14:paraId="0ECD2BE7">
            <w:pPr>
              <w:spacing w:line="240" w:lineRule="exact"/>
              <w:jc w:val="center"/>
              <w:rPr>
                <w:rFonts w:hint="default" w:ascii="Times New Roman" w:hAnsi="Times New Roman" w:cs="Times New Roman" w:eastAsiaTheme="majorEastAsia"/>
                <w:color w:val="auto"/>
                <w:szCs w:val="21"/>
              </w:rPr>
            </w:pPr>
          </w:p>
        </w:tc>
        <w:tc>
          <w:tcPr>
            <w:tcW w:w="2056" w:type="dxa"/>
            <w:gridSpan w:val="2"/>
            <w:vMerge w:val="restart"/>
            <w:vAlign w:val="center"/>
          </w:tcPr>
          <w:p w14:paraId="10994EE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道地中药材</w:t>
            </w:r>
          </w:p>
        </w:tc>
        <w:tc>
          <w:tcPr>
            <w:tcW w:w="1742" w:type="dxa"/>
            <w:vAlign w:val="center"/>
          </w:tcPr>
          <w:p w14:paraId="7C1DBB2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shd w:val="clear" w:color="auto" w:fill="FFFFFE"/>
              </w:rPr>
              <w:t>面积（万亩）</w:t>
            </w:r>
          </w:p>
        </w:tc>
        <w:tc>
          <w:tcPr>
            <w:tcW w:w="1595" w:type="dxa"/>
            <w:vAlign w:val="center"/>
          </w:tcPr>
          <w:p w14:paraId="5B65E79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4.1</w:t>
            </w:r>
          </w:p>
        </w:tc>
        <w:tc>
          <w:tcPr>
            <w:tcW w:w="1578" w:type="dxa"/>
            <w:vAlign w:val="center"/>
          </w:tcPr>
          <w:p w14:paraId="037D8BF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w:t>
            </w:r>
          </w:p>
        </w:tc>
        <w:tc>
          <w:tcPr>
            <w:tcW w:w="1081" w:type="dxa"/>
            <w:vAlign w:val="center"/>
          </w:tcPr>
          <w:p w14:paraId="63A8E77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5.9</w:t>
            </w:r>
          </w:p>
        </w:tc>
      </w:tr>
      <w:tr w14:paraId="0CA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C8E803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12</w:t>
            </w:r>
          </w:p>
        </w:tc>
        <w:tc>
          <w:tcPr>
            <w:tcW w:w="470" w:type="dxa"/>
            <w:vMerge w:val="continue"/>
            <w:vAlign w:val="center"/>
          </w:tcPr>
          <w:p w14:paraId="2955DD3A">
            <w:pPr>
              <w:spacing w:line="240" w:lineRule="exact"/>
              <w:jc w:val="center"/>
              <w:rPr>
                <w:rFonts w:hint="default" w:ascii="Times New Roman" w:hAnsi="Times New Roman" w:cs="Times New Roman" w:eastAsiaTheme="majorEastAsia"/>
                <w:color w:val="auto"/>
                <w:szCs w:val="21"/>
              </w:rPr>
            </w:pPr>
          </w:p>
        </w:tc>
        <w:tc>
          <w:tcPr>
            <w:tcW w:w="2056" w:type="dxa"/>
            <w:gridSpan w:val="2"/>
            <w:vMerge w:val="continue"/>
            <w:vAlign w:val="center"/>
          </w:tcPr>
          <w:p w14:paraId="47244141">
            <w:pPr>
              <w:spacing w:line="240" w:lineRule="exact"/>
              <w:jc w:val="center"/>
              <w:rPr>
                <w:rFonts w:hint="default" w:ascii="Times New Roman" w:hAnsi="Times New Roman" w:cs="Times New Roman" w:eastAsiaTheme="majorEastAsia"/>
                <w:color w:val="auto"/>
                <w:szCs w:val="21"/>
              </w:rPr>
            </w:pPr>
          </w:p>
        </w:tc>
        <w:tc>
          <w:tcPr>
            <w:tcW w:w="1742" w:type="dxa"/>
            <w:vAlign w:val="center"/>
          </w:tcPr>
          <w:p w14:paraId="020EA70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5BD34E3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1.9</w:t>
            </w:r>
          </w:p>
        </w:tc>
        <w:tc>
          <w:tcPr>
            <w:tcW w:w="1578" w:type="dxa"/>
            <w:vAlign w:val="center"/>
          </w:tcPr>
          <w:p w14:paraId="0E07EBA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5.1</w:t>
            </w:r>
          </w:p>
        </w:tc>
        <w:tc>
          <w:tcPr>
            <w:tcW w:w="1081" w:type="dxa"/>
            <w:vAlign w:val="center"/>
          </w:tcPr>
          <w:p w14:paraId="17CE784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3.2</w:t>
            </w:r>
          </w:p>
        </w:tc>
      </w:tr>
      <w:tr w14:paraId="711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2F2553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13</w:t>
            </w:r>
          </w:p>
        </w:tc>
        <w:tc>
          <w:tcPr>
            <w:tcW w:w="470" w:type="dxa"/>
            <w:vMerge w:val="continue"/>
            <w:vAlign w:val="center"/>
          </w:tcPr>
          <w:p w14:paraId="4A06F663">
            <w:pPr>
              <w:spacing w:line="240" w:lineRule="exact"/>
              <w:jc w:val="center"/>
              <w:rPr>
                <w:rFonts w:hint="default" w:ascii="Times New Roman" w:hAnsi="Times New Roman" w:cs="Times New Roman" w:eastAsiaTheme="majorEastAsia"/>
                <w:color w:val="auto"/>
                <w:szCs w:val="21"/>
              </w:rPr>
            </w:pPr>
          </w:p>
        </w:tc>
        <w:tc>
          <w:tcPr>
            <w:tcW w:w="2056" w:type="dxa"/>
            <w:gridSpan w:val="2"/>
            <w:vMerge w:val="restart"/>
            <w:vAlign w:val="center"/>
          </w:tcPr>
          <w:p w14:paraId="04AC5CE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山地蔬菜</w:t>
            </w:r>
          </w:p>
          <w:p w14:paraId="428ECAA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（食用菌、笋用竹）</w:t>
            </w:r>
          </w:p>
        </w:tc>
        <w:tc>
          <w:tcPr>
            <w:tcW w:w="1742" w:type="dxa"/>
            <w:vAlign w:val="center"/>
          </w:tcPr>
          <w:p w14:paraId="37381D2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面积（万亩）</w:t>
            </w:r>
          </w:p>
        </w:tc>
        <w:tc>
          <w:tcPr>
            <w:tcW w:w="1595" w:type="dxa"/>
            <w:vAlign w:val="center"/>
          </w:tcPr>
          <w:p w14:paraId="0AA91C1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18</w:t>
            </w:r>
          </w:p>
        </w:tc>
        <w:tc>
          <w:tcPr>
            <w:tcW w:w="1578" w:type="dxa"/>
            <w:vAlign w:val="center"/>
          </w:tcPr>
          <w:p w14:paraId="14FE3FF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18</w:t>
            </w:r>
          </w:p>
        </w:tc>
        <w:tc>
          <w:tcPr>
            <w:tcW w:w="1081" w:type="dxa"/>
            <w:vAlign w:val="center"/>
          </w:tcPr>
          <w:p w14:paraId="2B66C12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1455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61A1A1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14</w:t>
            </w:r>
          </w:p>
        </w:tc>
        <w:tc>
          <w:tcPr>
            <w:tcW w:w="470" w:type="dxa"/>
            <w:vMerge w:val="continue"/>
            <w:vAlign w:val="center"/>
          </w:tcPr>
          <w:p w14:paraId="54B0450D">
            <w:pPr>
              <w:spacing w:line="240" w:lineRule="exact"/>
              <w:jc w:val="center"/>
              <w:rPr>
                <w:rFonts w:hint="default" w:ascii="Times New Roman" w:hAnsi="Times New Roman" w:cs="Times New Roman" w:eastAsiaTheme="majorEastAsia"/>
                <w:color w:val="auto"/>
                <w:szCs w:val="21"/>
              </w:rPr>
            </w:pPr>
          </w:p>
        </w:tc>
        <w:tc>
          <w:tcPr>
            <w:tcW w:w="2056" w:type="dxa"/>
            <w:gridSpan w:val="2"/>
            <w:vMerge w:val="continue"/>
            <w:vAlign w:val="center"/>
          </w:tcPr>
          <w:p w14:paraId="5AAFE3B7">
            <w:pPr>
              <w:spacing w:line="240" w:lineRule="exact"/>
              <w:jc w:val="center"/>
              <w:rPr>
                <w:rFonts w:hint="default" w:ascii="Times New Roman" w:hAnsi="Times New Roman" w:cs="Times New Roman" w:eastAsiaTheme="majorEastAsia"/>
                <w:color w:val="auto"/>
                <w:szCs w:val="21"/>
              </w:rPr>
            </w:pPr>
          </w:p>
        </w:tc>
        <w:tc>
          <w:tcPr>
            <w:tcW w:w="1742" w:type="dxa"/>
            <w:vAlign w:val="center"/>
          </w:tcPr>
          <w:p w14:paraId="7DB69EA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604CE62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42</w:t>
            </w:r>
          </w:p>
        </w:tc>
        <w:tc>
          <w:tcPr>
            <w:tcW w:w="1578" w:type="dxa"/>
            <w:vAlign w:val="center"/>
          </w:tcPr>
          <w:p w14:paraId="54ACF44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43</w:t>
            </w:r>
          </w:p>
        </w:tc>
        <w:tc>
          <w:tcPr>
            <w:tcW w:w="1081" w:type="dxa"/>
            <w:vAlign w:val="center"/>
          </w:tcPr>
          <w:p w14:paraId="0AEB2A2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w:t>
            </w:r>
          </w:p>
        </w:tc>
      </w:tr>
      <w:tr w14:paraId="46CC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B18D4F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15</w:t>
            </w:r>
          </w:p>
        </w:tc>
        <w:tc>
          <w:tcPr>
            <w:tcW w:w="470" w:type="dxa"/>
            <w:vMerge w:val="continue"/>
            <w:vAlign w:val="center"/>
          </w:tcPr>
          <w:p w14:paraId="5915B90C">
            <w:pPr>
              <w:spacing w:line="240" w:lineRule="exact"/>
              <w:jc w:val="center"/>
              <w:rPr>
                <w:rFonts w:hint="default" w:ascii="Times New Roman" w:hAnsi="Times New Roman" w:cs="Times New Roman" w:eastAsiaTheme="majorEastAsia"/>
                <w:color w:val="auto"/>
                <w:szCs w:val="21"/>
              </w:rPr>
            </w:pPr>
          </w:p>
        </w:tc>
        <w:tc>
          <w:tcPr>
            <w:tcW w:w="1032" w:type="dxa"/>
            <w:vMerge w:val="restart"/>
            <w:vAlign w:val="center"/>
          </w:tcPr>
          <w:p w14:paraId="344A92A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生态生猪肉牛羊</w:t>
            </w:r>
          </w:p>
        </w:tc>
        <w:tc>
          <w:tcPr>
            <w:tcW w:w="1024" w:type="dxa"/>
            <w:vAlign w:val="center"/>
          </w:tcPr>
          <w:p w14:paraId="42C44FF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生猪</w:t>
            </w:r>
          </w:p>
        </w:tc>
        <w:tc>
          <w:tcPr>
            <w:tcW w:w="1742" w:type="dxa"/>
            <w:vAlign w:val="center"/>
          </w:tcPr>
          <w:p w14:paraId="1846866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出栏（万头）</w:t>
            </w:r>
          </w:p>
        </w:tc>
        <w:tc>
          <w:tcPr>
            <w:tcW w:w="1595" w:type="dxa"/>
            <w:vAlign w:val="center"/>
          </w:tcPr>
          <w:p w14:paraId="0B7A169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54.56</w:t>
            </w:r>
          </w:p>
        </w:tc>
        <w:tc>
          <w:tcPr>
            <w:tcW w:w="1578" w:type="dxa"/>
            <w:vAlign w:val="center"/>
          </w:tcPr>
          <w:p w14:paraId="1B3100C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60</w:t>
            </w:r>
          </w:p>
        </w:tc>
        <w:tc>
          <w:tcPr>
            <w:tcW w:w="1081" w:type="dxa"/>
            <w:vAlign w:val="center"/>
          </w:tcPr>
          <w:p w14:paraId="4DA2909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5.24</w:t>
            </w:r>
          </w:p>
        </w:tc>
      </w:tr>
      <w:tr w14:paraId="7AAB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182708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16</w:t>
            </w:r>
          </w:p>
        </w:tc>
        <w:tc>
          <w:tcPr>
            <w:tcW w:w="470" w:type="dxa"/>
            <w:vMerge w:val="continue"/>
            <w:vAlign w:val="center"/>
          </w:tcPr>
          <w:p w14:paraId="1210B18F">
            <w:pPr>
              <w:spacing w:line="240" w:lineRule="exact"/>
              <w:jc w:val="center"/>
              <w:rPr>
                <w:rFonts w:hint="default" w:ascii="Times New Roman" w:hAnsi="Times New Roman" w:cs="Times New Roman" w:eastAsiaTheme="majorEastAsia"/>
                <w:color w:val="auto"/>
                <w:szCs w:val="21"/>
              </w:rPr>
            </w:pPr>
          </w:p>
        </w:tc>
        <w:tc>
          <w:tcPr>
            <w:tcW w:w="1032" w:type="dxa"/>
            <w:vMerge w:val="continue"/>
            <w:vAlign w:val="center"/>
          </w:tcPr>
          <w:p w14:paraId="4B13756E">
            <w:pPr>
              <w:spacing w:line="240" w:lineRule="exact"/>
              <w:jc w:val="center"/>
              <w:rPr>
                <w:rFonts w:hint="default" w:ascii="Times New Roman" w:hAnsi="Times New Roman" w:cs="Times New Roman" w:eastAsiaTheme="majorEastAsia"/>
                <w:color w:val="auto"/>
                <w:szCs w:val="21"/>
              </w:rPr>
            </w:pPr>
          </w:p>
        </w:tc>
        <w:tc>
          <w:tcPr>
            <w:tcW w:w="1024" w:type="dxa"/>
            <w:vAlign w:val="center"/>
          </w:tcPr>
          <w:p w14:paraId="054B1FA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肉牛</w:t>
            </w:r>
          </w:p>
        </w:tc>
        <w:tc>
          <w:tcPr>
            <w:tcW w:w="1742" w:type="dxa"/>
            <w:vAlign w:val="center"/>
          </w:tcPr>
          <w:p w14:paraId="5DF9A99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出栏（万头）</w:t>
            </w:r>
          </w:p>
        </w:tc>
        <w:tc>
          <w:tcPr>
            <w:tcW w:w="1595" w:type="dxa"/>
            <w:vAlign w:val="center"/>
          </w:tcPr>
          <w:p w14:paraId="6BDEB41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0.79</w:t>
            </w:r>
          </w:p>
        </w:tc>
        <w:tc>
          <w:tcPr>
            <w:tcW w:w="1578" w:type="dxa"/>
            <w:vAlign w:val="center"/>
          </w:tcPr>
          <w:p w14:paraId="68F18D4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2.1</w:t>
            </w:r>
          </w:p>
        </w:tc>
        <w:tc>
          <w:tcPr>
            <w:tcW w:w="1081" w:type="dxa"/>
            <w:vAlign w:val="center"/>
          </w:tcPr>
          <w:p w14:paraId="3CF45DE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1.31</w:t>
            </w:r>
          </w:p>
        </w:tc>
      </w:tr>
      <w:tr w14:paraId="297F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10875D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17</w:t>
            </w:r>
          </w:p>
        </w:tc>
        <w:tc>
          <w:tcPr>
            <w:tcW w:w="470" w:type="dxa"/>
            <w:vMerge w:val="continue"/>
            <w:vAlign w:val="center"/>
          </w:tcPr>
          <w:p w14:paraId="308054EC">
            <w:pPr>
              <w:spacing w:line="240" w:lineRule="exact"/>
              <w:jc w:val="center"/>
              <w:rPr>
                <w:rFonts w:hint="default" w:ascii="Times New Roman" w:hAnsi="Times New Roman" w:cs="Times New Roman" w:eastAsiaTheme="majorEastAsia"/>
                <w:color w:val="auto"/>
                <w:szCs w:val="21"/>
              </w:rPr>
            </w:pPr>
          </w:p>
        </w:tc>
        <w:tc>
          <w:tcPr>
            <w:tcW w:w="1032" w:type="dxa"/>
            <w:vMerge w:val="continue"/>
            <w:vAlign w:val="center"/>
          </w:tcPr>
          <w:p w14:paraId="16C2A391">
            <w:pPr>
              <w:spacing w:line="240" w:lineRule="exact"/>
              <w:jc w:val="center"/>
              <w:rPr>
                <w:rFonts w:hint="default" w:ascii="Times New Roman" w:hAnsi="Times New Roman" w:cs="Times New Roman" w:eastAsiaTheme="majorEastAsia"/>
                <w:color w:val="auto"/>
                <w:szCs w:val="21"/>
              </w:rPr>
            </w:pPr>
          </w:p>
        </w:tc>
        <w:tc>
          <w:tcPr>
            <w:tcW w:w="1024" w:type="dxa"/>
            <w:vAlign w:val="center"/>
          </w:tcPr>
          <w:p w14:paraId="417FDB6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肉羊</w:t>
            </w:r>
          </w:p>
        </w:tc>
        <w:tc>
          <w:tcPr>
            <w:tcW w:w="1742" w:type="dxa"/>
            <w:vAlign w:val="center"/>
          </w:tcPr>
          <w:p w14:paraId="169210B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出栏（万头）</w:t>
            </w:r>
          </w:p>
        </w:tc>
        <w:tc>
          <w:tcPr>
            <w:tcW w:w="1595" w:type="dxa"/>
            <w:vAlign w:val="center"/>
          </w:tcPr>
          <w:p w14:paraId="02C1725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6.58</w:t>
            </w:r>
          </w:p>
        </w:tc>
        <w:tc>
          <w:tcPr>
            <w:tcW w:w="1578" w:type="dxa"/>
            <w:vAlign w:val="center"/>
          </w:tcPr>
          <w:p w14:paraId="01DC9FF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14</w:t>
            </w:r>
          </w:p>
        </w:tc>
        <w:tc>
          <w:tcPr>
            <w:tcW w:w="1081" w:type="dxa"/>
            <w:vAlign w:val="center"/>
          </w:tcPr>
          <w:p w14:paraId="681753D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7.42</w:t>
            </w:r>
          </w:p>
        </w:tc>
      </w:tr>
      <w:tr w14:paraId="72BA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F42D30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18</w:t>
            </w:r>
          </w:p>
        </w:tc>
        <w:tc>
          <w:tcPr>
            <w:tcW w:w="470" w:type="dxa"/>
            <w:vMerge w:val="continue"/>
            <w:vAlign w:val="center"/>
          </w:tcPr>
          <w:p w14:paraId="188F3B64">
            <w:pPr>
              <w:spacing w:line="240" w:lineRule="exact"/>
              <w:jc w:val="center"/>
              <w:rPr>
                <w:rFonts w:hint="default" w:ascii="Times New Roman" w:hAnsi="Times New Roman" w:cs="Times New Roman" w:eastAsiaTheme="majorEastAsia"/>
                <w:color w:val="auto"/>
                <w:szCs w:val="21"/>
              </w:rPr>
            </w:pPr>
          </w:p>
        </w:tc>
        <w:tc>
          <w:tcPr>
            <w:tcW w:w="2056" w:type="dxa"/>
            <w:gridSpan w:val="2"/>
            <w:vAlign w:val="center"/>
          </w:tcPr>
          <w:p w14:paraId="74C0225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土鸡</w:t>
            </w:r>
          </w:p>
        </w:tc>
        <w:tc>
          <w:tcPr>
            <w:tcW w:w="1742" w:type="dxa"/>
            <w:vAlign w:val="center"/>
          </w:tcPr>
          <w:p w14:paraId="5E54998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出栏（万只）</w:t>
            </w:r>
          </w:p>
        </w:tc>
        <w:tc>
          <w:tcPr>
            <w:tcW w:w="1595" w:type="dxa"/>
            <w:vAlign w:val="center"/>
          </w:tcPr>
          <w:p w14:paraId="6A46631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1021</w:t>
            </w:r>
          </w:p>
        </w:tc>
        <w:tc>
          <w:tcPr>
            <w:tcW w:w="1578" w:type="dxa"/>
            <w:vAlign w:val="center"/>
          </w:tcPr>
          <w:p w14:paraId="182F0C6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2000</w:t>
            </w:r>
          </w:p>
        </w:tc>
        <w:tc>
          <w:tcPr>
            <w:tcW w:w="1081" w:type="dxa"/>
            <w:vAlign w:val="center"/>
          </w:tcPr>
          <w:p w14:paraId="147F3C4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979</w:t>
            </w:r>
          </w:p>
        </w:tc>
      </w:tr>
      <w:tr w14:paraId="009D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458A86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19</w:t>
            </w:r>
          </w:p>
        </w:tc>
        <w:tc>
          <w:tcPr>
            <w:tcW w:w="470" w:type="dxa"/>
            <w:vMerge w:val="continue"/>
            <w:vAlign w:val="center"/>
          </w:tcPr>
          <w:p w14:paraId="27E21C5E">
            <w:pPr>
              <w:spacing w:line="240" w:lineRule="exact"/>
              <w:jc w:val="center"/>
              <w:rPr>
                <w:rFonts w:hint="default" w:ascii="Times New Roman" w:hAnsi="Times New Roman" w:cs="Times New Roman" w:eastAsiaTheme="majorEastAsia"/>
                <w:color w:val="auto"/>
                <w:szCs w:val="21"/>
              </w:rPr>
            </w:pPr>
          </w:p>
        </w:tc>
        <w:tc>
          <w:tcPr>
            <w:tcW w:w="2056" w:type="dxa"/>
            <w:gridSpan w:val="2"/>
            <w:vAlign w:val="center"/>
          </w:tcPr>
          <w:p w14:paraId="08A7BEA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水产品</w:t>
            </w:r>
          </w:p>
        </w:tc>
        <w:tc>
          <w:tcPr>
            <w:tcW w:w="1742" w:type="dxa"/>
            <w:vAlign w:val="center"/>
          </w:tcPr>
          <w:p w14:paraId="76397FF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产量（万吨）</w:t>
            </w:r>
          </w:p>
        </w:tc>
        <w:tc>
          <w:tcPr>
            <w:tcW w:w="1595" w:type="dxa"/>
            <w:vAlign w:val="center"/>
          </w:tcPr>
          <w:p w14:paraId="24A083B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1.72</w:t>
            </w:r>
          </w:p>
        </w:tc>
        <w:tc>
          <w:tcPr>
            <w:tcW w:w="1578" w:type="dxa"/>
            <w:vAlign w:val="center"/>
          </w:tcPr>
          <w:p w14:paraId="2D4A39D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w:t>
            </w:r>
          </w:p>
        </w:tc>
        <w:tc>
          <w:tcPr>
            <w:tcW w:w="1081" w:type="dxa"/>
            <w:vAlign w:val="center"/>
          </w:tcPr>
          <w:p w14:paraId="1A8AAC3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0.28</w:t>
            </w:r>
          </w:p>
        </w:tc>
      </w:tr>
      <w:tr w14:paraId="327A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0C063C0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20</w:t>
            </w:r>
          </w:p>
        </w:tc>
        <w:tc>
          <w:tcPr>
            <w:tcW w:w="4268" w:type="dxa"/>
            <w:gridSpan w:val="4"/>
            <w:vAlign w:val="center"/>
          </w:tcPr>
          <w:p w14:paraId="7B6D1CA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农产品加工产值与农业总产值比</w:t>
            </w:r>
          </w:p>
        </w:tc>
        <w:tc>
          <w:tcPr>
            <w:tcW w:w="1595" w:type="dxa"/>
            <w:vAlign w:val="center"/>
          </w:tcPr>
          <w:p w14:paraId="49D3A73B">
            <w:pPr>
              <w:tabs>
                <w:tab w:val="left" w:pos="554"/>
              </w:tabs>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1.9</w:t>
            </w:r>
          </w:p>
        </w:tc>
        <w:tc>
          <w:tcPr>
            <w:tcW w:w="1578" w:type="dxa"/>
            <w:vAlign w:val="center"/>
          </w:tcPr>
          <w:p w14:paraId="3BF5C88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2.5</w:t>
            </w:r>
          </w:p>
        </w:tc>
        <w:tc>
          <w:tcPr>
            <w:tcW w:w="1081" w:type="dxa"/>
            <w:vAlign w:val="center"/>
          </w:tcPr>
          <w:p w14:paraId="54D9945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0.6</w:t>
            </w:r>
          </w:p>
        </w:tc>
      </w:tr>
      <w:tr w14:paraId="413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6C6DA94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21</w:t>
            </w:r>
          </w:p>
        </w:tc>
        <w:tc>
          <w:tcPr>
            <w:tcW w:w="4268" w:type="dxa"/>
            <w:gridSpan w:val="4"/>
            <w:vAlign w:val="center"/>
          </w:tcPr>
          <w:p w14:paraId="3E03DBC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农产品产地初加工率（%）</w:t>
            </w:r>
          </w:p>
        </w:tc>
        <w:tc>
          <w:tcPr>
            <w:tcW w:w="1595" w:type="dxa"/>
            <w:vAlign w:val="center"/>
          </w:tcPr>
          <w:p w14:paraId="0921637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58</w:t>
            </w:r>
          </w:p>
        </w:tc>
        <w:tc>
          <w:tcPr>
            <w:tcW w:w="1578" w:type="dxa"/>
            <w:vAlign w:val="center"/>
          </w:tcPr>
          <w:p w14:paraId="19AC7D4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70</w:t>
            </w:r>
          </w:p>
        </w:tc>
        <w:tc>
          <w:tcPr>
            <w:tcW w:w="1081" w:type="dxa"/>
            <w:vAlign w:val="center"/>
          </w:tcPr>
          <w:p w14:paraId="1C22F08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12</w:t>
            </w:r>
          </w:p>
        </w:tc>
      </w:tr>
      <w:tr w14:paraId="515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17EEA1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22</w:t>
            </w:r>
          </w:p>
        </w:tc>
        <w:tc>
          <w:tcPr>
            <w:tcW w:w="4268" w:type="dxa"/>
            <w:gridSpan w:val="4"/>
            <w:vAlign w:val="center"/>
          </w:tcPr>
          <w:p w14:paraId="4B2FB47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农产品电商销售率（%）</w:t>
            </w:r>
          </w:p>
        </w:tc>
        <w:tc>
          <w:tcPr>
            <w:tcW w:w="1595" w:type="dxa"/>
            <w:vAlign w:val="center"/>
          </w:tcPr>
          <w:p w14:paraId="44F1EBA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5.2</w:t>
            </w:r>
          </w:p>
        </w:tc>
        <w:tc>
          <w:tcPr>
            <w:tcW w:w="1578" w:type="dxa"/>
            <w:vAlign w:val="center"/>
          </w:tcPr>
          <w:p w14:paraId="2D9FBA3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35</w:t>
            </w:r>
          </w:p>
        </w:tc>
        <w:tc>
          <w:tcPr>
            <w:tcW w:w="1081" w:type="dxa"/>
            <w:vAlign w:val="center"/>
          </w:tcPr>
          <w:p w14:paraId="0F4E2F7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29.8</w:t>
            </w:r>
          </w:p>
        </w:tc>
      </w:tr>
      <w:tr w14:paraId="19A3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0FE80F2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23</w:t>
            </w:r>
          </w:p>
        </w:tc>
        <w:tc>
          <w:tcPr>
            <w:tcW w:w="4268" w:type="dxa"/>
            <w:gridSpan w:val="4"/>
            <w:vAlign w:val="center"/>
          </w:tcPr>
          <w:p w14:paraId="09D0740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区域公共品牌覆盖率（%）</w:t>
            </w:r>
          </w:p>
        </w:tc>
        <w:tc>
          <w:tcPr>
            <w:tcW w:w="1595" w:type="dxa"/>
            <w:vAlign w:val="center"/>
          </w:tcPr>
          <w:p w14:paraId="246982C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50</w:t>
            </w:r>
          </w:p>
        </w:tc>
        <w:tc>
          <w:tcPr>
            <w:tcW w:w="1578" w:type="dxa"/>
            <w:vAlign w:val="center"/>
          </w:tcPr>
          <w:p w14:paraId="40B7548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60</w:t>
            </w:r>
          </w:p>
        </w:tc>
        <w:tc>
          <w:tcPr>
            <w:tcW w:w="1081" w:type="dxa"/>
            <w:vAlign w:val="center"/>
          </w:tcPr>
          <w:p w14:paraId="6E9A9A3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w:t>
            </w:r>
          </w:p>
        </w:tc>
      </w:tr>
      <w:tr w14:paraId="00A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C6AD98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24</w:t>
            </w:r>
          </w:p>
        </w:tc>
        <w:tc>
          <w:tcPr>
            <w:tcW w:w="4268" w:type="dxa"/>
            <w:gridSpan w:val="4"/>
            <w:vAlign w:val="center"/>
          </w:tcPr>
          <w:p w14:paraId="0CB9F7D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高标准农田面积（万亩）</w:t>
            </w:r>
          </w:p>
        </w:tc>
        <w:tc>
          <w:tcPr>
            <w:tcW w:w="1595" w:type="dxa"/>
            <w:vAlign w:val="center"/>
          </w:tcPr>
          <w:p w14:paraId="6BB523F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29.2</w:t>
            </w:r>
          </w:p>
        </w:tc>
        <w:tc>
          <w:tcPr>
            <w:tcW w:w="1578" w:type="dxa"/>
            <w:vAlign w:val="center"/>
          </w:tcPr>
          <w:p w14:paraId="5DB9FA3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36.44</w:t>
            </w:r>
          </w:p>
        </w:tc>
        <w:tc>
          <w:tcPr>
            <w:tcW w:w="1081" w:type="dxa"/>
            <w:vAlign w:val="center"/>
          </w:tcPr>
          <w:p w14:paraId="6A592C3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7.24</w:t>
            </w:r>
          </w:p>
        </w:tc>
      </w:tr>
      <w:tr w14:paraId="042E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7FBD54F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25</w:t>
            </w:r>
          </w:p>
        </w:tc>
        <w:tc>
          <w:tcPr>
            <w:tcW w:w="4268" w:type="dxa"/>
            <w:gridSpan w:val="4"/>
            <w:vAlign w:val="center"/>
          </w:tcPr>
          <w:p w14:paraId="4A6AEC7F">
            <w:pPr>
              <w:tabs>
                <w:tab w:val="left" w:pos="1540"/>
              </w:tabs>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农业节水灌溉覆盖率（%）</w:t>
            </w:r>
          </w:p>
        </w:tc>
        <w:tc>
          <w:tcPr>
            <w:tcW w:w="1595" w:type="dxa"/>
            <w:vAlign w:val="center"/>
          </w:tcPr>
          <w:p w14:paraId="2A31C69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4.8</w:t>
            </w:r>
          </w:p>
        </w:tc>
        <w:tc>
          <w:tcPr>
            <w:tcW w:w="1578" w:type="dxa"/>
            <w:vAlign w:val="center"/>
          </w:tcPr>
          <w:p w14:paraId="38B4ED5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9.02</w:t>
            </w:r>
          </w:p>
        </w:tc>
        <w:tc>
          <w:tcPr>
            <w:tcW w:w="1081" w:type="dxa"/>
            <w:vAlign w:val="center"/>
          </w:tcPr>
          <w:p w14:paraId="531515A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4.22</w:t>
            </w:r>
          </w:p>
        </w:tc>
      </w:tr>
      <w:tr w14:paraId="69A7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F73E13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26</w:t>
            </w:r>
          </w:p>
        </w:tc>
        <w:tc>
          <w:tcPr>
            <w:tcW w:w="4268" w:type="dxa"/>
            <w:gridSpan w:val="4"/>
            <w:vAlign w:val="center"/>
          </w:tcPr>
          <w:p w14:paraId="3AC952D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农业机械总动力（万千瓦）</w:t>
            </w:r>
          </w:p>
        </w:tc>
        <w:tc>
          <w:tcPr>
            <w:tcW w:w="1595" w:type="dxa"/>
            <w:vAlign w:val="center"/>
          </w:tcPr>
          <w:p w14:paraId="0BC4BB6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32.92</w:t>
            </w:r>
          </w:p>
        </w:tc>
        <w:tc>
          <w:tcPr>
            <w:tcW w:w="1578" w:type="dxa"/>
            <w:vAlign w:val="center"/>
          </w:tcPr>
          <w:p w14:paraId="6A9D6E0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34.46</w:t>
            </w:r>
          </w:p>
        </w:tc>
        <w:tc>
          <w:tcPr>
            <w:tcW w:w="1081" w:type="dxa"/>
            <w:vAlign w:val="center"/>
          </w:tcPr>
          <w:p w14:paraId="458AFB2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1.34</w:t>
            </w:r>
          </w:p>
        </w:tc>
      </w:tr>
      <w:tr w14:paraId="1EAD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500D19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27</w:t>
            </w:r>
          </w:p>
        </w:tc>
        <w:tc>
          <w:tcPr>
            <w:tcW w:w="4268" w:type="dxa"/>
            <w:gridSpan w:val="4"/>
            <w:vAlign w:val="center"/>
          </w:tcPr>
          <w:p w14:paraId="6125FF5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主要农作物耕种收综合机械化率（%）</w:t>
            </w:r>
          </w:p>
        </w:tc>
        <w:tc>
          <w:tcPr>
            <w:tcW w:w="1595" w:type="dxa"/>
            <w:vAlign w:val="center"/>
          </w:tcPr>
          <w:p w14:paraId="3E2B8B2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62.3</w:t>
            </w:r>
          </w:p>
        </w:tc>
        <w:tc>
          <w:tcPr>
            <w:tcW w:w="1578" w:type="dxa"/>
            <w:vAlign w:val="center"/>
          </w:tcPr>
          <w:p w14:paraId="2AFA16F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65</w:t>
            </w:r>
          </w:p>
        </w:tc>
        <w:tc>
          <w:tcPr>
            <w:tcW w:w="1081" w:type="dxa"/>
            <w:vAlign w:val="center"/>
          </w:tcPr>
          <w:p w14:paraId="091C26E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2.7</w:t>
            </w:r>
          </w:p>
        </w:tc>
      </w:tr>
      <w:tr w14:paraId="50D5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252516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28</w:t>
            </w:r>
          </w:p>
        </w:tc>
        <w:tc>
          <w:tcPr>
            <w:tcW w:w="4268" w:type="dxa"/>
            <w:gridSpan w:val="4"/>
            <w:vAlign w:val="center"/>
          </w:tcPr>
          <w:p w14:paraId="1F3EB5A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农业信息化服务率（%）</w:t>
            </w:r>
          </w:p>
        </w:tc>
        <w:tc>
          <w:tcPr>
            <w:tcW w:w="1595" w:type="dxa"/>
            <w:vAlign w:val="center"/>
          </w:tcPr>
          <w:p w14:paraId="037C41A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50</w:t>
            </w:r>
          </w:p>
        </w:tc>
        <w:tc>
          <w:tcPr>
            <w:tcW w:w="1578" w:type="dxa"/>
            <w:vAlign w:val="center"/>
          </w:tcPr>
          <w:p w14:paraId="018607F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65</w:t>
            </w:r>
          </w:p>
        </w:tc>
        <w:tc>
          <w:tcPr>
            <w:tcW w:w="1081" w:type="dxa"/>
            <w:vAlign w:val="center"/>
          </w:tcPr>
          <w:p w14:paraId="532B32D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15</w:t>
            </w:r>
          </w:p>
        </w:tc>
      </w:tr>
      <w:tr w14:paraId="04D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27C97C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29</w:t>
            </w:r>
          </w:p>
        </w:tc>
        <w:tc>
          <w:tcPr>
            <w:tcW w:w="4268" w:type="dxa"/>
            <w:gridSpan w:val="4"/>
            <w:vAlign w:val="center"/>
          </w:tcPr>
          <w:p w14:paraId="6BEE024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农业科技进步贡献率（％）</w:t>
            </w:r>
          </w:p>
        </w:tc>
        <w:tc>
          <w:tcPr>
            <w:tcW w:w="1595" w:type="dxa"/>
            <w:vAlign w:val="center"/>
          </w:tcPr>
          <w:p w14:paraId="24671BF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58</w:t>
            </w:r>
          </w:p>
        </w:tc>
        <w:tc>
          <w:tcPr>
            <w:tcW w:w="1578" w:type="dxa"/>
            <w:vAlign w:val="center"/>
          </w:tcPr>
          <w:p w14:paraId="23C0006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70</w:t>
            </w:r>
          </w:p>
        </w:tc>
        <w:tc>
          <w:tcPr>
            <w:tcW w:w="1081" w:type="dxa"/>
            <w:vAlign w:val="center"/>
          </w:tcPr>
          <w:p w14:paraId="0215D59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12</w:t>
            </w:r>
          </w:p>
        </w:tc>
      </w:tr>
      <w:tr w14:paraId="65B2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C9F071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30</w:t>
            </w:r>
          </w:p>
        </w:tc>
        <w:tc>
          <w:tcPr>
            <w:tcW w:w="4268" w:type="dxa"/>
            <w:gridSpan w:val="4"/>
            <w:vAlign w:val="center"/>
          </w:tcPr>
          <w:p w14:paraId="0BC20053">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农产品质量安全例行监测合格率（%）</w:t>
            </w:r>
          </w:p>
        </w:tc>
        <w:tc>
          <w:tcPr>
            <w:tcW w:w="1595" w:type="dxa"/>
            <w:vAlign w:val="center"/>
          </w:tcPr>
          <w:p w14:paraId="3893426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98</w:t>
            </w:r>
          </w:p>
        </w:tc>
        <w:tc>
          <w:tcPr>
            <w:tcW w:w="1578" w:type="dxa"/>
            <w:vAlign w:val="center"/>
          </w:tcPr>
          <w:p w14:paraId="4D0F806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98.5</w:t>
            </w:r>
          </w:p>
        </w:tc>
        <w:tc>
          <w:tcPr>
            <w:tcW w:w="1081" w:type="dxa"/>
            <w:vAlign w:val="center"/>
          </w:tcPr>
          <w:p w14:paraId="74B0872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0.5</w:t>
            </w:r>
          </w:p>
        </w:tc>
      </w:tr>
      <w:tr w14:paraId="097F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AB72F6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31</w:t>
            </w:r>
          </w:p>
        </w:tc>
        <w:tc>
          <w:tcPr>
            <w:tcW w:w="4268" w:type="dxa"/>
            <w:gridSpan w:val="4"/>
            <w:vAlign w:val="center"/>
          </w:tcPr>
          <w:p w14:paraId="517964C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村内道路硬化占比（%）</w:t>
            </w:r>
          </w:p>
        </w:tc>
        <w:tc>
          <w:tcPr>
            <w:tcW w:w="1595" w:type="dxa"/>
            <w:vAlign w:val="center"/>
          </w:tcPr>
          <w:p w14:paraId="721CCD17">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100</w:t>
            </w:r>
          </w:p>
        </w:tc>
        <w:tc>
          <w:tcPr>
            <w:tcW w:w="1578" w:type="dxa"/>
            <w:vAlign w:val="center"/>
          </w:tcPr>
          <w:p w14:paraId="6370DF3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081" w:type="dxa"/>
            <w:vAlign w:val="center"/>
          </w:tcPr>
          <w:p w14:paraId="2DC5ABEF">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w:t>
            </w:r>
          </w:p>
        </w:tc>
      </w:tr>
      <w:tr w14:paraId="4692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33F27AF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32</w:t>
            </w:r>
          </w:p>
        </w:tc>
        <w:tc>
          <w:tcPr>
            <w:tcW w:w="4268" w:type="dxa"/>
            <w:gridSpan w:val="4"/>
            <w:vAlign w:val="center"/>
          </w:tcPr>
          <w:p w14:paraId="45BFE7C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撤并建制村与新村委会之间直连畅通率（%）</w:t>
            </w:r>
          </w:p>
        </w:tc>
        <w:tc>
          <w:tcPr>
            <w:tcW w:w="1595" w:type="dxa"/>
            <w:vAlign w:val="center"/>
          </w:tcPr>
          <w:p w14:paraId="6AF1DCC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w:t>
            </w:r>
          </w:p>
        </w:tc>
        <w:tc>
          <w:tcPr>
            <w:tcW w:w="1578" w:type="dxa"/>
            <w:vAlign w:val="center"/>
          </w:tcPr>
          <w:p w14:paraId="2C9D313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081" w:type="dxa"/>
            <w:vAlign w:val="center"/>
          </w:tcPr>
          <w:p w14:paraId="5428881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w:t>
            </w:r>
          </w:p>
        </w:tc>
      </w:tr>
      <w:tr w14:paraId="578E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DA6E11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33</w:t>
            </w:r>
          </w:p>
        </w:tc>
        <w:tc>
          <w:tcPr>
            <w:tcW w:w="4268" w:type="dxa"/>
            <w:gridSpan w:val="4"/>
            <w:vAlign w:val="center"/>
          </w:tcPr>
          <w:p w14:paraId="5354CA1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农村自来水普及率（%）</w:t>
            </w:r>
          </w:p>
        </w:tc>
        <w:tc>
          <w:tcPr>
            <w:tcW w:w="1595" w:type="dxa"/>
            <w:vAlign w:val="center"/>
          </w:tcPr>
          <w:p w14:paraId="0B3CBD5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w:t>
            </w:r>
          </w:p>
        </w:tc>
        <w:tc>
          <w:tcPr>
            <w:tcW w:w="1578" w:type="dxa"/>
            <w:vAlign w:val="center"/>
          </w:tcPr>
          <w:p w14:paraId="26681C6C">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95</w:t>
            </w:r>
          </w:p>
        </w:tc>
        <w:tc>
          <w:tcPr>
            <w:tcW w:w="1081" w:type="dxa"/>
            <w:vAlign w:val="center"/>
          </w:tcPr>
          <w:p w14:paraId="43199C37">
            <w:pPr>
              <w:spacing w:line="240" w:lineRule="exact"/>
              <w:jc w:val="center"/>
              <w:rPr>
                <w:rFonts w:hint="default" w:ascii="Times New Roman" w:hAnsi="Times New Roman" w:cs="Times New Roman" w:eastAsiaTheme="majorEastAsia"/>
                <w:color w:val="auto"/>
                <w:szCs w:val="21"/>
                <w:lang w:eastAsia="zh-CN"/>
              </w:rPr>
            </w:pPr>
            <w:r>
              <w:rPr>
                <w:rFonts w:hint="default" w:ascii="Times New Roman" w:hAnsi="Times New Roman" w:cs="Times New Roman" w:eastAsiaTheme="majorEastAsia"/>
                <w:color w:val="auto"/>
                <w:szCs w:val="21"/>
                <w:lang w:val="en-US" w:eastAsia="zh-CN"/>
              </w:rPr>
              <w:t>5</w:t>
            </w:r>
          </w:p>
        </w:tc>
      </w:tr>
      <w:tr w14:paraId="1F0D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6827F64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34</w:t>
            </w:r>
          </w:p>
        </w:tc>
        <w:tc>
          <w:tcPr>
            <w:tcW w:w="4268" w:type="dxa"/>
            <w:gridSpan w:val="4"/>
            <w:vAlign w:val="center"/>
          </w:tcPr>
          <w:p w14:paraId="4DF02AC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农村卫生厕所普及率（%）</w:t>
            </w:r>
          </w:p>
        </w:tc>
        <w:tc>
          <w:tcPr>
            <w:tcW w:w="1595" w:type="dxa"/>
            <w:vAlign w:val="center"/>
          </w:tcPr>
          <w:p w14:paraId="257C39A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85</w:t>
            </w:r>
          </w:p>
        </w:tc>
        <w:tc>
          <w:tcPr>
            <w:tcW w:w="1578" w:type="dxa"/>
            <w:vAlign w:val="center"/>
          </w:tcPr>
          <w:p w14:paraId="0D10211A">
            <w:pPr>
              <w:spacing w:line="240" w:lineRule="exact"/>
              <w:jc w:val="center"/>
              <w:rPr>
                <w:rFonts w:hint="default"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95</w:t>
            </w:r>
          </w:p>
        </w:tc>
        <w:tc>
          <w:tcPr>
            <w:tcW w:w="1081" w:type="dxa"/>
            <w:vAlign w:val="center"/>
          </w:tcPr>
          <w:p w14:paraId="5741589A">
            <w:pPr>
              <w:spacing w:line="240" w:lineRule="exact"/>
              <w:jc w:val="center"/>
              <w:rPr>
                <w:rFonts w:hint="default" w:ascii="Times New Roman" w:hAnsi="Times New Roman" w:cs="Times New Roman" w:eastAsiaTheme="majorEastAsia"/>
                <w:color w:val="auto"/>
                <w:szCs w:val="21"/>
                <w:lang w:val="en-US" w:eastAsia="zh-CN"/>
              </w:rPr>
            </w:pPr>
            <w:r>
              <w:rPr>
                <w:rFonts w:hint="eastAsia" w:ascii="Times New Roman" w:hAnsi="Times New Roman" w:cs="Times New Roman" w:eastAsiaTheme="majorEastAsia"/>
                <w:color w:val="auto"/>
                <w:szCs w:val="21"/>
                <w:lang w:val="en-US" w:eastAsia="zh-CN"/>
              </w:rPr>
              <w:t>10</w:t>
            </w:r>
          </w:p>
        </w:tc>
      </w:tr>
      <w:tr w14:paraId="29CD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4DD9F5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35</w:t>
            </w:r>
          </w:p>
        </w:tc>
        <w:tc>
          <w:tcPr>
            <w:tcW w:w="4268" w:type="dxa"/>
            <w:gridSpan w:val="4"/>
            <w:vAlign w:val="center"/>
          </w:tcPr>
          <w:p w14:paraId="76BA4C3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农村生活垃圾得到有效治理的行政村占比（%）</w:t>
            </w:r>
          </w:p>
        </w:tc>
        <w:tc>
          <w:tcPr>
            <w:tcW w:w="1595" w:type="dxa"/>
            <w:vAlign w:val="center"/>
          </w:tcPr>
          <w:p w14:paraId="4D67C22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w:t>
            </w:r>
          </w:p>
        </w:tc>
        <w:tc>
          <w:tcPr>
            <w:tcW w:w="1578" w:type="dxa"/>
            <w:vAlign w:val="center"/>
          </w:tcPr>
          <w:p w14:paraId="0D5C2C8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081" w:type="dxa"/>
            <w:vAlign w:val="center"/>
          </w:tcPr>
          <w:p w14:paraId="19803FB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w:t>
            </w:r>
          </w:p>
        </w:tc>
      </w:tr>
      <w:tr w14:paraId="6F17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EEB328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36</w:t>
            </w:r>
          </w:p>
        </w:tc>
        <w:tc>
          <w:tcPr>
            <w:tcW w:w="4268" w:type="dxa"/>
            <w:gridSpan w:val="4"/>
            <w:vAlign w:val="center"/>
          </w:tcPr>
          <w:p w14:paraId="24465CE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畜禽粪污综合利用率（％）</w:t>
            </w:r>
          </w:p>
        </w:tc>
        <w:tc>
          <w:tcPr>
            <w:tcW w:w="1595" w:type="dxa"/>
            <w:vAlign w:val="center"/>
          </w:tcPr>
          <w:p w14:paraId="4CE322E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w:t>
            </w:r>
          </w:p>
        </w:tc>
        <w:tc>
          <w:tcPr>
            <w:tcW w:w="1578" w:type="dxa"/>
            <w:vAlign w:val="center"/>
          </w:tcPr>
          <w:p w14:paraId="54D24AF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93</w:t>
            </w:r>
          </w:p>
        </w:tc>
        <w:tc>
          <w:tcPr>
            <w:tcW w:w="1081" w:type="dxa"/>
            <w:vAlign w:val="center"/>
          </w:tcPr>
          <w:p w14:paraId="2AE6656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w:t>
            </w:r>
          </w:p>
        </w:tc>
      </w:tr>
      <w:tr w14:paraId="2B3C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18E80A5">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37</w:t>
            </w:r>
          </w:p>
        </w:tc>
        <w:tc>
          <w:tcPr>
            <w:tcW w:w="4268" w:type="dxa"/>
            <w:gridSpan w:val="4"/>
            <w:vAlign w:val="center"/>
          </w:tcPr>
          <w:p w14:paraId="1EDB2D2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行政村生活污水有效治理比例（％）</w:t>
            </w:r>
          </w:p>
        </w:tc>
        <w:tc>
          <w:tcPr>
            <w:tcW w:w="1595" w:type="dxa"/>
            <w:vAlign w:val="center"/>
          </w:tcPr>
          <w:p w14:paraId="56A0492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58</w:t>
            </w:r>
          </w:p>
        </w:tc>
        <w:tc>
          <w:tcPr>
            <w:tcW w:w="1578" w:type="dxa"/>
            <w:vAlign w:val="center"/>
          </w:tcPr>
          <w:p w14:paraId="0F0F873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75</w:t>
            </w:r>
          </w:p>
        </w:tc>
        <w:tc>
          <w:tcPr>
            <w:tcW w:w="1081" w:type="dxa"/>
            <w:vAlign w:val="center"/>
          </w:tcPr>
          <w:p w14:paraId="7F8DD89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17</w:t>
            </w:r>
          </w:p>
        </w:tc>
      </w:tr>
      <w:tr w14:paraId="5678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53C37B2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38</w:t>
            </w:r>
          </w:p>
        </w:tc>
        <w:tc>
          <w:tcPr>
            <w:tcW w:w="4268" w:type="dxa"/>
            <w:gridSpan w:val="4"/>
            <w:vAlign w:val="center"/>
          </w:tcPr>
          <w:p w14:paraId="5CFE51E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废弃农膜回收率（%）</w:t>
            </w:r>
          </w:p>
        </w:tc>
        <w:tc>
          <w:tcPr>
            <w:tcW w:w="1595" w:type="dxa"/>
            <w:vAlign w:val="center"/>
          </w:tcPr>
          <w:p w14:paraId="2B180F4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90</w:t>
            </w:r>
          </w:p>
        </w:tc>
        <w:tc>
          <w:tcPr>
            <w:tcW w:w="1578" w:type="dxa"/>
            <w:vAlign w:val="center"/>
          </w:tcPr>
          <w:p w14:paraId="3B8A609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93</w:t>
            </w:r>
          </w:p>
        </w:tc>
        <w:tc>
          <w:tcPr>
            <w:tcW w:w="1081" w:type="dxa"/>
            <w:vAlign w:val="center"/>
          </w:tcPr>
          <w:p w14:paraId="3F713E42">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w:t>
            </w:r>
          </w:p>
        </w:tc>
      </w:tr>
      <w:tr w14:paraId="54B9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04BB37B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39</w:t>
            </w:r>
          </w:p>
        </w:tc>
        <w:tc>
          <w:tcPr>
            <w:tcW w:w="4268" w:type="dxa"/>
            <w:gridSpan w:val="4"/>
            <w:vAlign w:val="center"/>
          </w:tcPr>
          <w:p w14:paraId="7602F9EF">
            <w:pPr>
              <w:spacing w:line="240" w:lineRule="exact"/>
              <w:jc w:val="center"/>
              <w:rPr>
                <w:rFonts w:hint="default" w:ascii="Times New Roman" w:hAnsi="Times New Roman" w:cs="Times New Roman" w:eastAsiaTheme="majorEastAsia"/>
                <w:color w:val="auto"/>
                <w:szCs w:val="21"/>
              </w:rPr>
            </w:pPr>
            <w:r>
              <w:rPr>
                <w:rFonts w:hint="eastAsia" w:ascii="Times New Roman" w:hAnsi="Times New Roman" w:cs="Times New Roman" w:eastAsiaTheme="majorEastAsia"/>
                <w:color w:val="auto"/>
                <w:szCs w:val="21"/>
                <w:lang w:eastAsia="zh-CN"/>
              </w:rPr>
              <w:t>秸秆</w:t>
            </w:r>
            <w:r>
              <w:rPr>
                <w:rFonts w:hint="default" w:ascii="Times New Roman" w:hAnsi="Times New Roman" w:cs="Times New Roman" w:eastAsiaTheme="majorEastAsia"/>
                <w:color w:val="auto"/>
                <w:szCs w:val="21"/>
              </w:rPr>
              <w:t>综合利用率（%）</w:t>
            </w:r>
          </w:p>
        </w:tc>
        <w:tc>
          <w:tcPr>
            <w:tcW w:w="1595" w:type="dxa"/>
            <w:vAlign w:val="center"/>
          </w:tcPr>
          <w:p w14:paraId="3DE48F4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94</w:t>
            </w:r>
          </w:p>
        </w:tc>
        <w:tc>
          <w:tcPr>
            <w:tcW w:w="1578" w:type="dxa"/>
            <w:vAlign w:val="center"/>
          </w:tcPr>
          <w:p w14:paraId="051B367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94</w:t>
            </w:r>
          </w:p>
        </w:tc>
        <w:tc>
          <w:tcPr>
            <w:tcW w:w="1081" w:type="dxa"/>
            <w:vAlign w:val="center"/>
          </w:tcPr>
          <w:p w14:paraId="27809AD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09C3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5A8C41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40</w:t>
            </w:r>
          </w:p>
        </w:tc>
        <w:tc>
          <w:tcPr>
            <w:tcW w:w="4268" w:type="dxa"/>
            <w:gridSpan w:val="4"/>
            <w:vAlign w:val="center"/>
          </w:tcPr>
          <w:p w14:paraId="6A20E46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建有综合服务站的村占比（%）</w:t>
            </w:r>
          </w:p>
        </w:tc>
        <w:tc>
          <w:tcPr>
            <w:tcW w:w="1595" w:type="dxa"/>
            <w:vAlign w:val="center"/>
          </w:tcPr>
          <w:p w14:paraId="2E0523D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91</w:t>
            </w:r>
          </w:p>
        </w:tc>
        <w:tc>
          <w:tcPr>
            <w:tcW w:w="1578" w:type="dxa"/>
            <w:vAlign w:val="center"/>
          </w:tcPr>
          <w:p w14:paraId="6D8DBB1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081" w:type="dxa"/>
            <w:vAlign w:val="center"/>
          </w:tcPr>
          <w:p w14:paraId="01D68007">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9</w:t>
            </w:r>
          </w:p>
        </w:tc>
      </w:tr>
      <w:tr w14:paraId="7856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4CC27AB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41</w:t>
            </w:r>
          </w:p>
        </w:tc>
        <w:tc>
          <w:tcPr>
            <w:tcW w:w="4268" w:type="dxa"/>
            <w:gridSpan w:val="4"/>
            <w:vAlign w:val="center"/>
          </w:tcPr>
          <w:p w14:paraId="2AF9BB80">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新型农村合作医疗覆盖率（%）</w:t>
            </w:r>
          </w:p>
        </w:tc>
        <w:tc>
          <w:tcPr>
            <w:tcW w:w="1595" w:type="dxa"/>
            <w:vAlign w:val="center"/>
          </w:tcPr>
          <w:p w14:paraId="6534F7A4">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578" w:type="dxa"/>
            <w:vAlign w:val="center"/>
          </w:tcPr>
          <w:p w14:paraId="12D5E95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100</w:t>
            </w:r>
          </w:p>
        </w:tc>
        <w:tc>
          <w:tcPr>
            <w:tcW w:w="1081" w:type="dxa"/>
            <w:vAlign w:val="center"/>
          </w:tcPr>
          <w:p w14:paraId="281782C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1C8B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B8E928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42</w:t>
            </w:r>
          </w:p>
        </w:tc>
        <w:tc>
          <w:tcPr>
            <w:tcW w:w="4268" w:type="dxa"/>
            <w:gridSpan w:val="4"/>
            <w:vAlign w:val="center"/>
          </w:tcPr>
          <w:p w14:paraId="2F3C2DC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森林覆盖率（%）</w:t>
            </w:r>
          </w:p>
        </w:tc>
        <w:tc>
          <w:tcPr>
            <w:tcW w:w="1595" w:type="dxa"/>
            <w:vAlign w:val="center"/>
          </w:tcPr>
          <w:p w14:paraId="2E069DE5">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56.63</w:t>
            </w:r>
          </w:p>
        </w:tc>
        <w:tc>
          <w:tcPr>
            <w:tcW w:w="1578" w:type="dxa"/>
            <w:vAlign w:val="center"/>
          </w:tcPr>
          <w:p w14:paraId="2CEB606A">
            <w:pPr>
              <w:spacing w:line="240" w:lineRule="exact"/>
              <w:jc w:val="center"/>
              <w:rPr>
                <w:rFonts w:hint="default" w:ascii="Times New Roman" w:hAnsi="Times New Roman" w:cs="Times New Roman" w:eastAsiaTheme="majorEastAsia"/>
                <w:color w:val="auto"/>
                <w:szCs w:val="21"/>
                <w:lang w:val="en-US" w:eastAsia="zh-CN"/>
              </w:rPr>
            </w:pPr>
            <w:r>
              <w:rPr>
                <w:rFonts w:hint="default" w:ascii="Times New Roman" w:hAnsi="Times New Roman" w:cs="Times New Roman" w:eastAsiaTheme="majorEastAsia"/>
                <w:color w:val="auto"/>
                <w:szCs w:val="21"/>
                <w:lang w:val="en-US" w:eastAsia="zh-CN"/>
              </w:rPr>
              <w:t>56.63</w:t>
            </w:r>
          </w:p>
        </w:tc>
        <w:tc>
          <w:tcPr>
            <w:tcW w:w="1081" w:type="dxa"/>
            <w:vAlign w:val="center"/>
          </w:tcPr>
          <w:p w14:paraId="1EF0CDA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w:t>
            </w:r>
          </w:p>
        </w:tc>
      </w:tr>
      <w:tr w14:paraId="459F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E1FC57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43</w:t>
            </w:r>
          </w:p>
        </w:tc>
        <w:tc>
          <w:tcPr>
            <w:tcW w:w="4268" w:type="dxa"/>
            <w:gridSpan w:val="4"/>
            <w:vAlign w:val="center"/>
          </w:tcPr>
          <w:p w14:paraId="139661F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农村居民人均可支配收入（元）</w:t>
            </w:r>
          </w:p>
        </w:tc>
        <w:tc>
          <w:tcPr>
            <w:tcW w:w="1595" w:type="dxa"/>
            <w:vAlign w:val="center"/>
          </w:tcPr>
          <w:p w14:paraId="2F11A4EE">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14172</w:t>
            </w:r>
          </w:p>
        </w:tc>
        <w:tc>
          <w:tcPr>
            <w:tcW w:w="1578" w:type="dxa"/>
            <w:vAlign w:val="center"/>
          </w:tcPr>
          <w:p w14:paraId="4799626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23042</w:t>
            </w:r>
          </w:p>
        </w:tc>
        <w:tc>
          <w:tcPr>
            <w:tcW w:w="1081" w:type="dxa"/>
            <w:vAlign w:val="center"/>
          </w:tcPr>
          <w:p w14:paraId="7FAC6F9F">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年均10%</w:t>
            </w:r>
          </w:p>
        </w:tc>
      </w:tr>
      <w:tr w14:paraId="292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2DBB2926">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44</w:t>
            </w:r>
          </w:p>
        </w:tc>
        <w:tc>
          <w:tcPr>
            <w:tcW w:w="4268" w:type="dxa"/>
            <w:gridSpan w:val="4"/>
            <w:vAlign w:val="center"/>
          </w:tcPr>
          <w:p w14:paraId="1384AA71">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城乡居民收入比</w:t>
            </w:r>
          </w:p>
        </w:tc>
        <w:tc>
          <w:tcPr>
            <w:tcW w:w="1595" w:type="dxa"/>
            <w:vAlign w:val="center"/>
          </w:tcPr>
          <w:p w14:paraId="1244FAC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2.49</w:t>
            </w:r>
          </w:p>
        </w:tc>
        <w:tc>
          <w:tcPr>
            <w:tcW w:w="1578" w:type="dxa"/>
            <w:vAlign w:val="center"/>
          </w:tcPr>
          <w:p w14:paraId="1E88760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2.22</w:t>
            </w:r>
          </w:p>
        </w:tc>
        <w:tc>
          <w:tcPr>
            <w:tcW w:w="1081" w:type="dxa"/>
            <w:vAlign w:val="center"/>
          </w:tcPr>
          <w:p w14:paraId="5CF764DA">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-0.27</w:t>
            </w:r>
          </w:p>
        </w:tc>
      </w:tr>
      <w:tr w14:paraId="3D77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575" w:type="dxa"/>
            <w:vAlign w:val="center"/>
          </w:tcPr>
          <w:p w14:paraId="6F464FB8">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45</w:t>
            </w:r>
          </w:p>
        </w:tc>
        <w:tc>
          <w:tcPr>
            <w:tcW w:w="4268" w:type="dxa"/>
            <w:gridSpan w:val="4"/>
            <w:vAlign w:val="center"/>
          </w:tcPr>
          <w:p w14:paraId="364518E9">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集体收益5万元以上的村占比（%）</w:t>
            </w:r>
          </w:p>
        </w:tc>
        <w:tc>
          <w:tcPr>
            <w:tcW w:w="1595" w:type="dxa"/>
            <w:vAlign w:val="center"/>
          </w:tcPr>
          <w:p w14:paraId="3052AABC">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8.1</w:t>
            </w:r>
          </w:p>
        </w:tc>
        <w:tc>
          <w:tcPr>
            <w:tcW w:w="1578" w:type="dxa"/>
            <w:vAlign w:val="center"/>
          </w:tcPr>
          <w:p w14:paraId="784EC04D">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50</w:t>
            </w:r>
          </w:p>
        </w:tc>
        <w:tc>
          <w:tcPr>
            <w:tcW w:w="1081" w:type="dxa"/>
            <w:vAlign w:val="center"/>
          </w:tcPr>
          <w:p w14:paraId="547DD43B">
            <w:pPr>
              <w:spacing w:line="240" w:lineRule="exact"/>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41.9</w:t>
            </w:r>
          </w:p>
        </w:tc>
      </w:tr>
    </w:tbl>
    <w:p w14:paraId="08645B8A">
      <w:pPr>
        <w:spacing w:line="550" w:lineRule="exact"/>
        <w:jc w:val="center"/>
        <w:outlineLvl w:val="0"/>
        <w:rPr>
          <w:rFonts w:hint="default" w:ascii="Times New Roman" w:hAnsi="Times New Roman" w:eastAsia="黑体" w:cs="Times New Roman"/>
          <w:color w:val="auto"/>
          <w:sz w:val="32"/>
          <w:szCs w:val="32"/>
        </w:rPr>
      </w:pPr>
      <w:bookmarkStart w:id="9" w:name="_Toc101688780"/>
    </w:p>
    <w:p w14:paraId="5BECFB99">
      <w:pPr>
        <w:spacing w:line="55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构建“三带两园一区”现代农业发展布局</w:t>
      </w:r>
      <w:bookmarkEnd w:id="9"/>
    </w:p>
    <w:p w14:paraId="5FCFD5AF">
      <w:pPr>
        <w:spacing w:line="550" w:lineRule="exact"/>
        <w:ind w:firstLine="640" w:firstLineChars="200"/>
        <w:rPr>
          <w:rFonts w:hint="default" w:ascii="Times New Roman" w:hAnsi="Times New Roman" w:eastAsia="仿宋_GB2312" w:cs="Times New Roman"/>
          <w:color w:val="auto"/>
          <w:sz w:val="32"/>
          <w:szCs w:val="32"/>
        </w:rPr>
      </w:pPr>
    </w:p>
    <w:p w14:paraId="62CD3223">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围绕做好两项改革“后半篇”文章镇级片区划分和“5+3”现代农业产业体系建设，坚持“串点成园、连园成带”发展思路，加快构建“三带两园一区”现代农业发展格局。</w:t>
      </w:r>
    </w:p>
    <w:p w14:paraId="2B293985">
      <w:pPr>
        <w:pStyle w:val="8"/>
        <w:spacing w:line="550" w:lineRule="exact"/>
        <w:ind w:left="1060" w:hanging="640"/>
        <w:rPr>
          <w:rFonts w:hint="default" w:ascii="Times New Roman" w:hAnsi="Times New Roman" w:eastAsia="仿宋_GB2312" w:cs="Times New Roman"/>
          <w:color w:val="auto"/>
          <w:sz w:val="32"/>
          <w:szCs w:val="32"/>
        </w:rPr>
      </w:pPr>
    </w:p>
    <w:p w14:paraId="5A622E3B">
      <w:pPr>
        <w:spacing w:line="550" w:lineRule="exact"/>
        <w:jc w:val="center"/>
        <w:outlineLvl w:val="1"/>
        <w:rPr>
          <w:rFonts w:hint="default" w:ascii="Times New Roman" w:hAnsi="Times New Roman" w:eastAsia="楷体_GB2312" w:cs="Times New Roman"/>
          <w:b/>
          <w:color w:val="auto"/>
          <w:sz w:val="32"/>
          <w:szCs w:val="32"/>
        </w:rPr>
      </w:pPr>
      <w:bookmarkStart w:id="10" w:name="_Toc101688781"/>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合理布局三大产业示范带</w:t>
      </w:r>
      <w:bookmarkEnd w:id="10"/>
    </w:p>
    <w:p w14:paraId="46F0DD71">
      <w:pPr>
        <w:spacing w:line="550" w:lineRule="exact"/>
        <w:ind w:firstLine="643" w:firstLineChars="200"/>
        <w:rPr>
          <w:rFonts w:hint="default" w:ascii="Times New Roman" w:hAnsi="Times New Roman" w:eastAsia="仿宋_GB2312" w:cs="Times New Roman"/>
          <w:b/>
          <w:bCs/>
          <w:color w:val="auto"/>
          <w:sz w:val="32"/>
          <w:szCs w:val="32"/>
        </w:rPr>
      </w:pPr>
    </w:p>
    <w:p w14:paraId="7C403B29">
      <w:pPr>
        <w:spacing w:line="550" w:lineRule="exact"/>
        <w:ind w:firstLine="643" w:firstLineChars="20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b/>
          <w:bCs/>
          <w:color w:val="auto"/>
          <w:sz w:val="32"/>
          <w:szCs w:val="32"/>
        </w:rPr>
        <w:t>王家贡米产业示范带。</w:t>
      </w:r>
      <w:r>
        <w:rPr>
          <w:rFonts w:hint="default" w:ascii="Times New Roman" w:hAnsi="Times New Roman" w:eastAsia="仿宋_GB2312" w:cs="Times New Roman"/>
          <w:color w:val="auto"/>
          <w:sz w:val="32"/>
          <w:szCs w:val="32"/>
        </w:rPr>
        <w:t>以王家贡米特色农业片区为核心，辐射卫子、清水、柏林沟等镇，重点建设王家贡米种业园区、稻渔（鸭）</w:t>
      </w:r>
      <w:r>
        <w:rPr>
          <w:rFonts w:hint="default" w:ascii="Times New Roman" w:hAnsi="Times New Roman" w:eastAsia="仿宋_GB2312" w:cs="Times New Roman"/>
          <w:color w:val="auto"/>
          <w:spacing w:val="-6"/>
          <w:sz w:val="32"/>
          <w:szCs w:val="32"/>
        </w:rPr>
        <w:t>综合种养园区、有机及功能性“王家贡米”订单基地、王家贡米加工物流园区等，逐步形成昭化东南部“王家贡米”产业示范带。</w:t>
      </w:r>
    </w:p>
    <w:p w14:paraId="10685313">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红心猕猴桃产业示范带。</w:t>
      </w:r>
      <w:r>
        <w:rPr>
          <w:rFonts w:hint="default" w:ascii="Times New Roman" w:hAnsi="Times New Roman" w:eastAsia="仿宋_GB2312" w:cs="Times New Roman"/>
          <w:color w:val="auto"/>
          <w:sz w:val="32"/>
          <w:szCs w:val="32"/>
        </w:rPr>
        <w:t>以卫子农文旅片区、虎跳滨湖农旅片区为重点，辐射元坝、昭化等镇，以实施猕猴桃提质增效行动，建设猕猴桃</w:t>
      </w:r>
      <w:r>
        <w:rPr>
          <w:rFonts w:hint="default" w:ascii="Times New Roman" w:hAnsi="Times New Roman" w:eastAsia="仿宋_GB2312" w:cs="Times New Roman"/>
          <w:color w:val="auto"/>
          <w:sz w:val="32"/>
          <w:szCs w:val="32"/>
          <w:lang w:eastAsia="zh-CN"/>
        </w:rPr>
        <w:t>种业</w:t>
      </w:r>
      <w:r>
        <w:rPr>
          <w:rFonts w:hint="default" w:ascii="Times New Roman" w:hAnsi="Times New Roman" w:eastAsia="仿宋_GB2312" w:cs="Times New Roman"/>
          <w:color w:val="auto"/>
          <w:sz w:val="32"/>
          <w:szCs w:val="32"/>
        </w:rPr>
        <w:t>创新科技示范园、“两园一圃”，加快猕猴桃系列产品研发，延伸产业发展链条，逐步形成</w:t>
      </w:r>
      <w:r>
        <w:rPr>
          <w:rFonts w:hint="default" w:ascii="Times New Roman" w:hAnsi="Times New Roman" w:eastAsia="仿宋_GB2312" w:cs="Times New Roman"/>
          <w:color w:val="auto"/>
          <w:sz w:val="32"/>
          <w:szCs w:val="32"/>
          <w:lang w:eastAsia="zh-CN"/>
        </w:rPr>
        <w:t>沿国道</w:t>
      </w:r>
      <w:r>
        <w:rPr>
          <w:rFonts w:hint="default" w:ascii="Times New Roman" w:hAnsi="Times New Roman" w:eastAsia="仿宋_GB2312" w:cs="Times New Roman"/>
          <w:color w:val="auto"/>
          <w:sz w:val="32"/>
          <w:szCs w:val="32"/>
          <w:lang w:val="en-US" w:eastAsia="zh-CN"/>
        </w:rPr>
        <w:t>212线</w:t>
      </w:r>
      <w:r>
        <w:rPr>
          <w:rFonts w:hint="default" w:ascii="Times New Roman" w:hAnsi="Times New Roman" w:eastAsia="仿宋_GB2312" w:cs="Times New Roman"/>
          <w:color w:val="auto"/>
          <w:sz w:val="32"/>
          <w:szCs w:val="32"/>
        </w:rPr>
        <w:t>元坝到清水、</w:t>
      </w:r>
      <w:r>
        <w:rPr>
          <w:rFonts w:hint="default" w:ascii="Times New Roman" w:hAnsi="Times New Roman" w:eastAsia="仿宋_GB2312" w:cs="Times New Roman"/>
          <w:color w:val="auto"/>
          <w:sz w:val="32"/>
          <w:szCs w:val="32"/>
          <w:lang w:eastAsia="zh-CN"/>
        </w:rPr>
        <w:t>沿环湖路</w:t>
      </w:r>
      <w:r>
        <w:rPr>
          <w:rFonts w:hint="default" w:ascii="Times New Roman" w:hAnsi="Times New Roman" w:eastAsia="仿宋_GB2312" w:cs="Times New Roman"/>
          <w:color w:val="auto"/>
          <w:sz w:val="32"/>
          <w:szCs w:val="32"/>
        </w:rPr>
        <w:t>昭化至柏林沟两个“百里猕猴桃产业示范带”。</w:t>
      </w:r>
    </w:p>
    <w:p w14:paraId="3A4670CC">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生态畜禽产业示范带。</w:t>
      </w:r>
      <w:r>
        <w:rPr>
          <w:rFonts w:hint="default" w:ascii="Times New Roman" w:hAnsi="Times New Roman" w:eastAsia="仿宋_GB2312" w:cs="Times New Roman"/>
          <w:color w:val="auto"/>
          <w:sz w:val="32"/>
          <w:szCs w:val="32"/>
        </w:rPr>
        <w:t>在全区适宜区域合理布局生猪、肉牛羊、土（蛋）鸡等生态畜禽产业，突出新希望、四海三联、鑫熠等龙头企业引领，以卫子、王家、磨滩、柏林沟、太公、清水、虎跳、红岩、射箭为重点稳定发展生猪产业，以元坝、卫子、王家、柏林沟、太公、红岩、射箭为重点巩固提升土鸡产业，以卫子、王家、柏林沟、太公、红岩、射箭为重点突破性发展肉牛、羊产业，逐步形成生态畜禽产业一区一园、一园多点的格局，建成川东北畜产品战略保障基地。</w:t>
      </w:r>
    </w:p>
    <w:p w14:paraId="397AF1CB">
      <w:pPr>
        <w:spacing w:line="550" w:lineRule="exact"/>
        <w:jc w:val="center"/>
        <w:rPr>
          <w:rFonts w:hint="default" w:ascii="Times New Roman" w:hAnsi="Times New Roman" w:eastAsia="仿宋_GB2312" w:cs="Times New Roman"/>
          <w:color w:val="auto"/>
          <w:sz w:val="32"/>
          <w:szCs w:val="32"/>
        </w:rPr>
      </w:pPr>
    </w:p>
    <w:p w14:paraId="1B680B70">
      <w:pPr>
        <w:spacing w:line="550" w:lineRule="exact"/>
        <w:jc w:val="center"/>
        <w:outlineLvl w:val="1"/>
        <w:rPr>
          <w:rFonts w:hint="default" w:ascii="Times New Roman" w:hAnsi="Times New Roman" w:eastAsia="楷体_GB2312" w:cs="Times New Roman"/>
          <w:b/>
          <w:color w:val="auto"/>
          <w:sz w:val="32"/>
          <w:szCs w:val="32"/>
        </w:rPr>
      </w:pPr>
      <w:bookmarkStart w:id="11" w:name="_Toc101688782"/>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做优两类产业示范园</w:t>
      </w:r>
      <w:bookmarkEnd w:id="11"/>
    </w:p>
    <w:p w14:paraId="33DB9B56">
      <w:pPr>
        <w:spacing w:line="550" w:lineRule="exact"/>
        <w:ind w:firstLine="643" w:firstLineChars="200"/>
        <w:rPr>
          <w:rFonts w:hint="default" w:ascii="Times New Roman" w:hAnsi="Times New Roman" w:eastAsia="仿宋_GB2312" w:cs="Times New Roman"/>
          <w:b/>
          <w:bCs/>
          <w:color w:val="auto"/>
          <w:sz w:val="32"/>
          <w:szCs w:val="32"/>
        </w:rPr>
      </w:pPr>
    </w:p>
    <w:p w14:paraId="7D8A90CF">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道地中药材产业示范园。</w:t>
      </w:r>
      <w:r>
        <w:rPr>
          <w:rFonts w:hint="default" w:ascii="Times New Roman" w:hAnsi="Times New Roman" w:eastAsia="仿宋_GB2312" w:cs="Times New Roman"/>
          <w:color w:val="auto"/>
          <w:sz w:val="32"/>
          <w:szCs w:val="32"/>
        </w:rPr>
        <w:t>以昭化农文旅临港经济片区为重点，辐射太公、元坝等镇，围绕林下发展茯苓、夏枯草、菖蒲等道地药材，建设一批规范化、规模化、标准化中药材种植基地，建成省级现代林业园区。</w:t>
      </w:r>
    </w:p>
    <w:p w14:paraId="1FCF6B47">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山地蔬菜产业示范园。</w:t>
      </w:r>
      <w:r>
        <w:rPr>
          <w:rFonts w:hint="default" w:ascii="Times New Roman" w:hAnsi="Times New Roman" w:eastAsia="仿宋_GB2312" w:cs="Times New Roman"/>
          <w:color w:val="auto"/>
          <w:sz w:val="32"/>
          <w:szCs w:val="32"/>
        </w:rPr>
        <w:t>以虎跳滨湖农旅片区为重点，辐射卫子、柏林沟等镇，提升海椒、宽梆青菜、笋用竹等加工原料类蔬菜种植基地；以元坝、昭化等镇为重点，稳定城周调节蔬菜基地，常年保持蔬菜总面积18万亩以上。</w:t>
      </w:r>
    </w:p>
    <w:p w14:paraId="589844EF">
      <w:pPr>
        <w:pStyle w:val="8"/>
        <w:spacing w:line="550" w:lineRule="exact"/>
        <w:ind w:left="1060" w:hanging="640"/>
        <w:rPr>
          <w:rFonts w:hint="default" w:ascii="Times New Roman" w:hAnsi="Times New Roman" w:eastAsia="仿宋_GB2312" w:cs="Times New Roman"/>
          <w:color w:val="auto"/>
          <w:sz w:val="32"/>
          <w:szCs w:val="32"/>
        </w:rPr>
      </w:pPr>
    </w:p>
    <w:p w14:paraId="73BCF22D">
      <w:pPr>
        <w:spacing w:line="550" w:lineRule="exact"/>
        <w:jc w:val="center"/>
        <w:outlineLvl w:val="1"/>
        <w:rPr>
          <w:rFonts w:hint="default" w:ascii="Times New Roman" w:hAnsi="Times New Roman" w:eastAsia="楷体_GB2312" w:cs="Times New Roman"/>
          <w:b/>
          <w:color w:val="auto"/>
          <w:sz w:val="32"/>
          <w:szCs w:val="32"/>
        </w:rPr>
      </w:pPr>
      <w:bookmarkStart w:id="12" w:name="_Toc101688783"/>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提升都市休闲农业及农产品加工商贸物流集中区</w:t>
      </w:r>
      <w:bookmarkEnd w:id="12"/>
    </w:p>
    <w:p w14:paraId="0EDE2417">
      <w:pPr>
        <w:spacing w:line="550" w:lineRule="exact"/>
        <w:ind w:firstLine="640" w:firstLineChars="200"/>
        <w:rPr>
          <w:rFonts w:hint="default" w:ascii="Times New Roman" w:hAnsi="Times New Roman" w:eastAsia="仿宋_GB2312" w:cs="Times New Roman"/>
          <w:color w:val="auto"/>
          <w:sz w:val="32"/>
          <w:szCs w:val="32"/>
        </w:rPr>
      </w:pPr>
    </w:p>
    <w:p w14:paraId="34457907">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一二三产业融合发展，以元坝城乡融合片区和昭化农文旅临港经济片区为重点，辐射柏林沟、卫子、太公、虎跳等镇，着力丰富栖凤峡、柏林湿地公园、桃博园、药博园等国家A级景区业态，提升元坝食品工业园、电商物流园等功能配套，培育壮大农产品加工商贸物流龙头企业，促进农文、农工、农商、农旅融合。</w:t>
      </w:r>
    </w:p>
    <w:p w14:paraId="700293AB">
      <w:pPr>
        <w:spacing w:line="576" w:lineRule="exact"/>
        <w:jc w:val="center"/>
        <w:outlineLvl w:val="0"/>
        <w:rPr>
          <w:rFonts w:hint="default" w:ascii="Times New Roman" w:hAnsi="Times New Roman" w:eastAsia="黑体" w:cs="Times New Roman"/>
          <w:color w:val="auto"/>
          <w:sz w:val="32"/>
          <w:szCs w:val="32"/>
        </w:rPr>
      </w:pPr>
      <w:bookmarkStart w:id="13" w:name="_Toc101688784"/>
    </w:p>
    <w:p w14:paraId="25046EEC">
      <w:pPr>
        <w:spacing w:line="576"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实施现代农业强基行动，保障粮食安全</w:t>
      </w:r>
      <w:bookmarkEnd w:id="13"/>
    </w:p>
    <w:p w14:paraId="251F2D32">
      <w:pPr>
        <w:spacing w:line="576" w:lineRule="exact"/>
        <w:ind w:firstLine="640" w:firstLineChars="200"/>
        <w:rPr>
          <w:rFonts w:hint="default" w:ascii="Times New Roman" w:hAnsi="Times New Roman" w:eastAsia="仿宋_GB2312" w:cs="Times New Roman"/>
          <w:color w:val="auto"/>
          <w:sz w:val="32"/>
          <w:szCs w:val="32"/>
        </w:rPr>
      </w:pPr>
    </w:p>
    <w:p w14:paraId="16BEB59B">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聚焦扛牢粮食安全政治责任、耕地保护、现代种业、农机装备应用、高标准农田和农业基础设施建设等关键，提高粮食综合生产能力，强化现代农业基础支撑，高质量推进农业现代化。</w:t>
      </w:r>
    </w:p>
    <w:p w14:paraId="35027035">
      <w:pPr>
        <w:spacing w:line="576" w:lineRule="exact"/>
        <w:jc w:val="center"/>
        <w:rPr>
          <w:rFonts w:hint="default" w:ascii="Times New Roman" w:hAnsi="Times New Roman" w:eastAsia="仿宋_GB2312" w:cs="Times New Roman"/>
          <w:color w:val="auto"/>
          <w:sz w:val="32"/>
          <w:szCs w:val="32"/>
        </w:rPr>
      </w:pPr>
    </w:p>
    <w:p w14:paraId="08B041EB">
      <w:pPr>
        <w:spacing w:line="576" w:lineRule="exact"/>
        <w:jc w:val="center"/>
        <w:outlineLvl w:val="1"/>
        <w:rPr>
          <w:rFonts w:hint="default" w:ascii="Times New Roman" w:hAnsi="Times New Roman" w:eastAsia="楷体_GB2312" w:cs="Times New Roman"/>
          <w:b/>
          <w:color w:val="auto"/>
          <w:sz w:val="32"/>
          <w:szCs w:val="32"/>
        </w:rPr>
      </w:pPr>
      <w:bookmarkStart w:id="14" w:name="_Toc101688785"/>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守住粮食安全底线</w:t>
      </w:r>
      <w:bookmarkEnd w:id="14"/>
    </w:p>
    <w:p w14:paraId="183C0EAA">
      <w:pPr>
        <w:spacing w:line="576" w:lineRule="exact"/>
        <w:ind w:firstLine="643" w:firstLineChars="200"/>
        <w:rPr>
          <w:rFonts w:hint="default" w:ascii="Times New Roman" w:hAnsi="Times New Roman" w:eastAsia="仿宋_GB2312" w:cs="Times New Roman"/>
          <w:b/>
          <w:bCs/>
          <w:color w:val="auto"/>
          <w:sz w:val="32"/>
          <w:szCs w:val="32"/>
        </w:rPr>
      </w:pPr>
    </w:p>
    <w:p w14:paraId="0270759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稳步提高粮食面积和产量。</w:t>
      </w:r>
      <w:r>
        <w:rPr>
          <w:rFonts w:hint="default" w:ascii="Times New Roman" w:hAnsi="Times New Roman" w:eastAsia="仿宋_GB2312" w:cs="Times New Roman"/>
          <w:color w:val="auto"/>
          <w:sz w:val="32"/>
          <w:szCs w:val="32"/>
        </w:rPr>
        <w:t>全面贯彻落实《四川省粮食安全保障条例》，严格落实粮食安全党政同责要求，把粮食安全主体责任纳入镇党委、政府和区级部门领导班子领导干部推进乡村振兴实绩考核“一票否决”。严格落实稻谷、小麦最低收购价政策和各项粮食补贴政策，推进水稻、小麦、玉米政策性保险全覆盖。持续巩固拓展撂荒耕地整治和耕地“非粮化”整治成果，积极推广粮经统筹、粮经复合间套种等模式，千方百计确保粮食播种面积和产量只增不减，力争到2025年全区粮食总播面40万亩以上，总产量13万吨以上。大力发展优质粮油，加快推进“王家贡米”产业示范带建设，巩固提升清水市级现代粮油园区和王磨片稻渔综合种养示范片，到2025年建成“王家贡米”优质稻标准化生产基地5万亩以上。</w:t>
      </w:r>
    </w:p>
    <w:p w14:paraId="1E08A687">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大力发展大豆等油料作物。</w:t>
      </w:r>
      <w:r>
        <w:rPr>
          <w:rFonts w:hint="default" w:ascii="Times New Roman" w:hAnsi="Times New Roman" w:eastAsia="仿宋_GB2312" w:cs="Times New Roman"/>
          <w:color w:val="auto"/>
          <w:sz w:val="32"/>
          <w:szCs w:val="32"/>
        </w:rPr>
        <w:t>大力实施大豆和油料产能提升工程，统筹支持粮食和油料协调发展。深挖果园行间空地、田埂田坎扩种潜力，大力推广大豆玉米带状复合种植和果豆间套作模式，每年新增大豆玉米带状复合种植1万亩、果园行间套作豆类及田埂大豆0.5亩。全力实施好轮作休耕试点、“天府菜油”等项目，扩大油菜、花生等油料作物种植面积，多油并举提升产能，“十四五”末全区油料作物总播面20万亩以上、总产量3.5万吨以上。</w:t>
      </w:r>
    </w:p>
    <w:p w14:paraId="7C2B9AAB">
      <w:pPr>
        <w:spacing w:line="576" w:lineRule="exact"/>
        <w:jc w:val="center"/>
        <w:rPr>
          <w:rFonts w:hint="default" w:ascii="Times New Roman" w:hAnsi="Times New Roman" w:eastAsia="仿宋_GB2312" w:cs="Times New Roman"/>
          <w:color w:val="auto"/>
          <w:sz w:val="32"/>
          <w:szCs w:val="32"/>
        </w:rPr>
      </w:pPr>
    </w:p>
    <w:p w14:paraId="7224E899">
      <w:pPr>
        <w:spacing w:line="576" w:lineRule="exact"/>
        <w:jc w:val="center"/>
        <w:outlineLvl w:val="1"/>
        <w:rPr>
          <w:rFonts w:hint="default" w:ascii="Times New Roman" w:hAnsi="Times New Roman" w:eastAsia="楷体_GB2312" w:cs="Times New Roman"/>
          <w:b/>
          <w:color w:val="auto"/>
          <w:sz w:val="32"/>
          <w:szCs w:val="32"/>
        </w:rPr>
      </w:pPr>
      <w:bookmarkStart w:id="15" w:name="_Toc101688786"/>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加强耕地保护和质量提升</w:t>
      </w:r>
      <w:bookmarkEnd w:id="15"/>
    </w:p>
    <w:p w14:paraId="7A79BF1B">
      <w:pPr>
        <w:spacing w:line="576" w:lineRule="exact"/>
        <w:ind w:firstLine="643" w:firstLineChars="200"/>
        <w:rPr>
          <w:rFonts w:hint="default" w:ascii="Times New Roman" w:hAnsi="Times New Roman" w:eastAsia="仿宋_GB2312" w:cs="Times New Roman"/>
          <w:b/>
          <w:bCs/>
          <w:color w:val="auto"/>
          <w:sz w:val="32"/>
          <w:szCs w:val="32"/>
        </w:rPr>
      </w:pPr>
    </w:p>
    <w:p w14:paraId="269A24A8">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严禁耕地非农化、防止非粮化。</w:t>
      </w:r>
      <w:r>
        <w:rPr>
          <w:rFonts w:hint="default" w:ascii="Times New Roman" w:hAnsi="Times New Roman" w:eastAsia="仿宋_GB2312" w:cs="Times New Roman"/>
          <w:color w:val="auto"/>
          <w:sz w:val="32"/>
          <w:szCs w:val="32"/>
        </w:rPr>
        <w:t>严格落实耕地保护党政同责，统筹划定耕地和永久基本农田、生态保护红线、城镇开发边界落实三条控制线，落实耕地保有量和永久基本农田保护目标责任，将其作为刚性指标严格考核、一票否决、终身追责。严格耕地用途管制，耕地主要用于粮食和油料、蔬菜等农产品及饲草饲料生产，永久基本农田重点用于粮食生产，新建高标准农田原则上全部用于粮食生产，对已经在永久基本农田和高标准农田种植经济作物的，将荒芜园、废弃园还园于田，还田于民，盘活烂尾园，逐步“腾田上坡”，做到“良田粮用”。引导果林业上山上坡，不与粮争地。落实耕地占比平衡政策，做到年度“进出平衡”，确保耕地总量不减。加强耕地和永久基本农田动态监测，探索推行“田长制”，建立区镇村三级联动的全覆盖耕地保护网格化监管体系。加大耕地执法监督力度，严厉查处非法违规占用耕地从事非农建设和改变耕地用途行为，持续巩固“大棚房”专项清理整治成果，坚决遏制耕地“非农化”。加强粮经饲统筹发展，有序推动荒芜、废弃果园恢复粮食生产。</w:t>
      </w:r>
    </w:p>
    <w:p w14:paraId="1C877B1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加强高标准农田建设。</w:t>
      </w:r>
      <w:r>
        <w:rPr>
          <w:rFonts w:hint="default" w:ascii="Times New Roman" w:hAnsi="Times New Roman" w:eastAsia="仿宋_GB2312" w:cs="Times New Roman"/>
          <w:color w:val="auto"/>
          <w:sz w:val="32"/>
          <w:szCs w:val="32"/>
        </w:rPr>
        <w:t>编制出台到2030年的高标准农田建设规划，积极推进高标准农田建设，力争“十四五”期间建设高标准农田7.24万亩。加大资金配套投入力度，用好高标准农田建设项目配套专项债资金，引导金融资本、社会资本加大投入，确保高标准农田建设项目财政投资标准不低于3000元/亩，建成高水平高标准农田示范区15个。落实高标准农田管护责任，确保每个项目片都有明确的管护责任人，及时维护高标准农田中因自然灾害造成的损毁工程，确保项目持续运行并发挥效益。强化农田土壤地力提升，综合采用增施有机肥、实施测土配方施肥、秸秆还田等土壤改良、地力培肥的先进适用技术，有效提高土壤质量。推进农田信息化建设，开展精细化农田气候区划，探索实践水肥一体化、病虫害预测预警、产品质量安全追溯等数字化管理集成技术，着力打造一批“旱涝保收、能排能灌、宜机作业、环境友好、高质高效”的现代农田建设样板区、数字化农田先行区。</w:t>
      </w:r>
    </w:p>
    <w:p w14:paraId="6A8D0E26">
      <w:pPr>
        <w:spacing w:line="576" w:lineRule="exact"/>
        <w:jc w:val="center"/>
        <w:rPr>
          <w:rFonts w:hint="default" w:ascii="Times New Roman" w:hAnsi="Times New Roman" w:eastAsia="仿宋_GB2312" w:cs="Times New Roman"/>
          <w:color w:val="auto"/>
          <w:sz w:val="32"/>
          <w:szCs w:val="32"/>
        </w:rPr>
      </w:pPr>
    </w:p>
    <w:p w14:paraId="7A712823">
      <w:pPr>
        <w:spacing w:line="576" w:lineRule="exact"/>
        <w:jc w:val="center"/>
        <w:outlineLvl w:val="1"/>
        <w:rPr>
          <w:rFonts w:hint="default" w:ascii="Times New Roman" w:hAnsi="Times New Roman" w:eastAsia="楷体_GB2312" w:cs="Times New Roman"/>
          <w:b/>
          <w:color w:val="auto"/>
          <w:sz w:val="32"/>
          <w:szCs w:val="32"/>
        </w:rPr>
      </w:pPr>
      <w:bookmarkStart w:id="16" w:name="_Toc101688787"/>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夯实三大先导性支撑产业</w:t>
      </w:r>
      <w:bookmarkEnd w:id="16"/>
    </w:p>
    <w:p w14:paraId="14496DA0">
      <w:pPr>
        <w:spacing w:line="576" w:lineRule="exact"/>
        <w:ind w:firstLine="643" w:firstLineChars="200"/>
        <w:rPr>
          <w:rFonts w:hint="default" w:ascii="Times New Roman" w:hAnsi="Times New Roman" w:eastAsia="仿宋_GB2312" w:cs="Times New Roman"/>
          <w:b/>
          <w:bCs/>
          <w:color w:val="auto"/>
          <w:sz w:val="32"/>
          <w:szCs w:val="32"/>
        </w:rPr>
      </w:pPr>
    </w:p>
    <w:p w14:paraId="4CE8C0C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提升现代种业发展水平。</w:t>
      </w:r>
      <w:r>
        <w:rPr>
          <w:rFonts w:hint="default" w:ascii="Times New Roman" w:hAnsi="Times New Roman" w:eastAsia="仿宋_GB2312" w:cs="Times New Roman"/>
          <w:color w:val="auto"/>
          <w:sz w:val="32"/>
          <w:szCs w:val="32"/>
        </w:rPr>
        <w:t>全面启动种质资源保护、提升、转化、强基四大行动，全面新一轮完成农业种质资源普查任务，推动品种培优、品质提升、品牌打造和标准化生产，促进育繁推一体化发展。积极开展红心系列猕猴桃品种引培选育，建成区猕猴桃</w:t>
      </w:r>
      <w:r>
        <w:rPr>
          <w:rFonts w:hint="default" w:ascii="Times New Roman" w:hAnsi="Times New Roman" w:eastAsia="仿宋_GB2312" w:cs="Times New Roman"/>
          <w:color w:val="auto"/>
          <w:sz w:val="32"/>
          <w:szCs w:val="32"/>
          <w:lang w:eastAsia="zh-CN"/>
        </w:rPr>
        <w:t>种业</w:t>
      </w:r>
      <w:r>
        <w:rPr>
          <w:rFonts w:hint="default" w:ascii="Times New Roman" w:hAnsi="Times New Roman" w:eastAsia="仿宋_GB2312" w:cs="Times New Roman"/>
          <w:color w:val="auto"/>
          <w:sz w:val="32"/>
          <w:szCs w:val="32"/>
        </w:rPr>
        <w:t>科技创新示范园。高标准建成王家贡米现代种业园区和水稻工厂化育秧基地，建强王家贡米产业技术研究所，加快“王家贡米”新品种选育推广进程。引进建设肉牛羊良种繁育场，大力开展肉牛羊品比筛选，加大牛冷配改良推广。加强种业监管执法，净化种业市场，保障用种安全。</w:t>
      </w:r>
    </w:p>
    <w:p w14:paraId="2A3C0642">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提升农机装备水平。</w:t>
      </w:r>
      <w:r>
        <w:rPr>
          <w:rFonts w:hint="default" w:ascii="Times New Roman" w:hAnsi="Times New Roman" w:eastAsia="仿宋_GB2312" w:cs="Times New Roman"/>
          <w:color w:val="auto"/>
          <w:sz w:val="32"/>
          <w:szCs w:val="32"/>
        </w:rPr>
        <w:t>针对粮油和特色小水果产业机械化薄弱环节，引进推广植保“无人机”等山地适用的现代农机装备，推广适合山区特色新型实用、绿色环保的农业机械，形成大中型机械与小型机械、动力机械与配套机具、种植业机械与其他机械的合理配置格局。推广先进适用农业机械化技术和装备，重点提高粮食生产薄弱环节机械化水平，主要农作物耕种收综合机械化水平提高2.7个百分点。将山区特色专用和薄弱环节农机纳入补贴范围。加快现代农业园区“五良”融合全程机械化+综合农事服务中心建设，大力发展农业机械社会化服务。引进和推广智能化设施，开展土、肥、水、温、光、气等一体化监测和管控示范，实现科学种植、智能管控，推进农作物生产、农产品加工储运、农机装备等基础设施信息化改造和农业物联网示范基地建设。到2025年，主要农作物耕种收综合机械化水平达到65%以上，农业信息化水平跻身全省前列，创建国省级农业信息化示范区。</w:t>
      </w:r>
    </w:p>
    <w:p w14:paraId="2D4B2088">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发展烘干和冷链物流。</w:t>
      </w:r>
      <w:r>
        <w:rPr>
          <w:rFonts w:hint="default" w:ascii="Times New Roman" w:hAnsi="Times New Roman" w:eastAsia="仿宋_GB2312" w:cs="Times New Roman"/>
          <w:color w:val="auto"/>
          <w:sz w:val="32"/>
          <w:szCs w:val="32"/>
        </w:rPr>
        <w:t>实施农业烘干冷链物流体系提升行动，加快建设功能完善、上下游衔接、设施先进、布局合理、高效运行的农产品烘干冷链物流体系，解决好农产品产地“最先一公里”和城市配送“最后一公里”问题。加强移动烘干冷藏冷冻保鲜能力建设，有效解决农民合作社、家庭农场和分散农户的烘干冷链物流需求。系统化建设一批产地烘干、预冷库和预冷设施，加快特色产业产地集配中心冷链、仓储等具有商品化处理功能基础设施配套建设，提升冷链物流设施管理运营水平。</w:t>
      </w:r>
    </w:p>
    <w:p w14:paraId="08BCF1CB">
      <w:pPr>
        <w:spacing w:line="576" w:lineRule="exact"/>
        <w:jc w:val="center"/>
        <w:rPr>
          <w:rFonts w:hint="default" w:ascii="Times New Roman" w:hAnsi="Times New Roman" w:eastAsia="仿宋_GB2312" w:cs="Times New Roman"/>
          <w:color w:val="auto"/>
          <w:sz w:val="32"/>
          <w:szCs w:val="32"/>
        </w:rPr>
      </w:pPr>
    </w:p>
    <w:p w14:paraId="38535821">
      <w:pPr>
        <w:spacing w:line="576" w:lineRule="exact"/>
        <w:jc w:val="center"/>
        <w:outlineLvl w:val="1"/>
        <w:rPr>
          <w:rFonts w:hint="default" w:ascii="Times New Roman" w:hAnsi="Times New Roman" w:eastAsia="楷体_GB2312" w:cs="Times New Roman"/>
          <w:b/>
          <w:color w:val="auto"/>
          <w:sz w:val="32"/>
          <w:szCs w:val="32"/>
        </w:rPr>
      </w:pPr>
      <w:bookmarkStart w:id="17" w:name="_Toc101688788"/>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加强农田水利设施建设</w:t>
      </w:r>
      <w:bookmarkEnd w:id="17"/>
    </w:p>
    <w:p w14:paraId="6AE03868">
      <w:pPr>
        <w:spacing w:line="576" w:lineRule="exact"/>
        <w:ind w:firstLine="640" w:firstLineChars="200"/>
        <w:rPr>
          <w:rFonts w:hint="default" w:ascii="Times New Roman" w:hAnsi="Times New Roman" w:eastAsia="仿宋_GB2312" w:cs="Times New Roman"/>
          <w:color w:val="auto"/>
          <w:sz w:val="32"/>
          <w:szCs w:val="32"/>
        </w:rPr>
      </w:pPr>
    </w:p>
    <w:p w14:paraId="4711E5DE">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升嘉陵江防洪工程设施，加快实施中小河流治理和山洪灾害防治，进一步优化完善防洪体系布局，恢复河道行洪能力，减轻河道淤积萎缩。推进生态小流域建设，加强水土流失治理，加快推进水系连通及农村水系综合整治项目建设，提升水土保持率。加强山坪塘整治，实施病险水库（水闸）除险加固工程，持续推进工农、团结等10座水库大坝安全鉴定，红卫、中华等9座小型水库除险加固，加快消除存量病险水库风险，恢复和提高防洪库容，完善水库群防洪联合调度。以粮食主产区为重点，筛选一批中小型灌区实施续建配套与现代化改造，建设提水灌溉工程，持续推进灌区泵站标准化、现代化建设和管理，加强塘、库、堰配套渠系建设，打通灌溉“最后一米”。健全各类监测预报预警信息系统，推进智慧水利建设。</w:t>
      </w:r>
    </w:p>
    <w:p w14:paraId="71EEF974">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专栏1:现代农业强基工程</w:t>
      </w:r>
    </w:p>
    <w:p w14:paraId="16615B88">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01高标准农田建设提升工程</w:t>
      </w:r>
    </w:p>
    <w:p w14:paraId="6F2E4126">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新建设7.24万亩高标准农田，高标准农田重点向粮食生产功能区和重要农产品保护区聚集；实施高标准农田巩固提升工程，巩固提升高标准农田3.63万亩。</w:t>
      </w:r>
    </w:p>
    <w:p w14:paraId="0AA8EADF">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02优质粮油推进发展工程</w:t>
      </w:r>
    </w:p>
    <w:p w14:paraId="4C25E8FC">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确保粮食面积稳定在</w:t>
      </w:r>
      <w:r>
        <w:rPr>
          <w:rFonts w:hint="default" w:ascii="Times New Roman" w:hAnsi="Times New Roman" w:eastAsia="仿宋_GB2312" w:cs="Times New Roman"/>
          <w:color w:val="auto"/>
          <w:sz w:val="24"/>
          <w:lang w:val="en-US" w:eastAsia="zh-CN"/>
        </w:rPr>
        <w:t>60</w:t>
      </w:r>
      <w:r>
        <w:rPr>
          <w:rFonts w:hint="default" w:ascii="Times New Roman" w:hAnsi="Times New Roman" w:eastAsia="仿宋_GB2312" w:cs="Times New Roman"/>
          <w:color w:val="auto"/>
          <w:sz w:val="24"/>
        </w:rPr>
        <w:t>万亩以上、粮油产量达到</w:t>
      </w:r>
      <w:r>
        <w:rPr>
          <w:rFonts w:hint="default" w:ascii="Times New Roman" w:hAnsi="Times New Roman" w:eastAsia="仿宋_GB2312" w:cs="Times New Roman"/>
          <w:color w:val="auto"/>
          <w:sz w:val="24"/>
          <w:lang w:val="en-US" w:eastAsia="zh-CN"/>
        </w:rPr>
        <w:t>16.5</w:t>
      </w:r>
      <w:r>
        <w:rPr>
          <w:rFonts w:hint="default" w:ascii="Times New Roman" w:hAnsi="Times New Roman" w:eastAsia="仿宋_GB2312" w:cs="Times New Roman"/>
          <w:color w:val="auto"/>
          <w:sz w:val="24"/>
        </w:rPr>
        <w:t>万吨以上；新建现代粮油生产基地3万亩，改造提升粮油生产基地15万亩；较快区优质粮油品种改良和创新，实现主要粮食品种良种率达到95%。</w:t>
      </w:r>
    </w:p>
    <w:p w14:paraId="76ACBD9F">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03“鱼米之乡”试点工程</w:t>
      </w:r>
    </w:p>
    <w:p w14:paraId="0977C448">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做强“王家贡米”产业示范带，新建稻渔综合种养3万亩，扎实抓好品种选育、基地建设，大力推行“五统一”，力争扩面优质稻米8万亩，建成省级“鱼米之乡”、川北渔业强县。</w:t>
      </w:r>
    </w:p>
    <w:p w14:paraId="73E65C73">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04耕地资源保护与质量提升工程</w:t>
      </w:r>
    </w:p>
    <w:p w14:paraId="2FA2133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施藏粮余地战略，建立健全耕地质量调查和评价机制，加强农业面源污染防控，推广节水、节肥、节药、有机肥替代化肥、畜禽粪污资源化利用、农作物秸秆综合利用、病虫害绿色防控等新技术、新设施、新模式的运用，有序推进坡耕地水土流失综合治理。</w:t>
      </w:r>
    </w:p>
    <w:p w14:paraId="167AB991">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05农田水利设施强化工程</w:t>
      </w:r>
    </w:p>
    <w:p w14:paraId="53E08B7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全面提高农业用水保障，加快灌区节水配套改造，续建大寨水库灌区、新建工农水库灌区和9座小一型及83座小二型水库灌区；巩固提升已建水库成果，全面除险加固病险水库，续建大寨水库、扩建资源水库；优化建设山坪塘和提灌工程，整治山坪塘3000口，解决山坪塘病害问题以及新建7处提水灌溉工程。</w:t>
      </w:r>
    </w:p>
    <w:p w14:paraId="36FB0152">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06农业机械装备提升工程</w:t>
      </w:r>
    </w:p>
    <w:p w14:paraId="793FB083">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持续推进“五良”农机建设，新增“五良”农业机械装备总动力2.5万千瓦，购置无人机、播种机等新型农业装备500台套，开展农作物生产全程机械化试点12个</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主要农作物耕种收综合机械化水平达到65%以上</w:t>
      </w:r>
      <w:r>
        <w:rPr>
          <w:rFonts w:hint="default" w:ascii="Times New Roman" w:hAnsi="Times New Roman" w:eastAsia="仿宋_GB2312" w:cs="Times New Roman"/>
          <w:color w:val="auto"/>
          <w:sz w:val="24"/>
          <w:lang w:eastAsia="zh-CN"/>
        </w:rPr>
        <w:t>。</w:t>
      </w:r>
    </w:p>
    <w:p w14:paraId="658D223A">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07农业冷链物流体系优化工程</w:t>
      </w:r>
    </w:p>
    <w:p w14:paraId="73407F05">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改造提升区级农产品电商物流</w:t>
      </w:r>
      <w:r>
        <w:rPr>
          <w:rFonts w:hint="default" w:ascii="Times New Roman" w:hAnsi="Times New Roman" w:eastAsia="仿宋_GB2312" w:cs="Times New Roman"/>
          <w:color w:val="auto"/>
          <w:sz w:val="24"/>
          <w:lang w:eastAsia="zh-CN"/>
        </w:rPr>
        <w:t>产业园区</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eastAsia="zh-CN"/>
        </w:rPr>
        <w:t>优化提升</w:t>
      </w:r>
      <w:r>
        <w:rPr>
          <w:rFonts w:hint="default" w:ascii="Times New Roman" w:hAnsi="Times New Roman" w:eastAsia="仿宋_GB2312" w:cs="Times New Roman"/>
          <w:color w:val="auto"/>
          <w:sz w:val="24"/>
        </w:rPr>
        <w:t>12个镇电商物流站点，建设区级农产品交易中心和毗邻园区农产品交易中心，建设冷冻、冷藏烘干库50个，新增冷藏烘干能力1万吨。</w:t>
      </w:r>
    </w:p>
    <w:p w14:paraId="4CF4BE67">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08农业信息化试点工程</w:t>
      </w:r>
    </w:p>
    <w:p w14:paraId="6AA2840C">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开展数字乡村建设试点，购置园区物联网设备5套，购置水肥一体化喷滴灌12套，建设农业信息化试点镇4个，提升全区农业信息化水平到65%，力争建成省级农业信息化试点县。</w:t>
      </w:r>
    </w:p>
    <w:p w14:paraId="08E7B7BD">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09农业防灾减灾提升工程</w:t>
      </w:r>
    </w:p>
    <w:p w14:paraId="184F0C42">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升动植物疫病防控能力，新建动物防疫实验室13个，植物疫病防控中心12个，非洲猪瘟检测实验室1个，配套相关设施设备；升级改造区级农产品检测中心检测能力，更新设施设备；开展各镇动植物疫病防疫能力提升行动，常态化储备防疫物资；努力实现病虫发生率控制在4%以下，重大动物疫病发生率为零；新建猕猴桃避雨大棚2万亩，新建12个镇防汛物资仓库。</w:t>
      </w:r>
    </w:p>
    <w:p w14:paraId="45F6E1DA">
      <w:pPr>
        <w:spacing w:line="576" w:lineRule="exact"/>
        <w:ind w:firstLine="640" w:firstLineChars="200"/>
        <w:rPr>
          <w:rFonts w:hint="default" w:ascii="Times New Roman" w:hAnsi="Times New Roman" w:eastAsia="仿宋_GB2312" w:cs="Times New Roman"/>
          <w:color w:val="auto"/>
          <w:sz w:val="32"/>
          <w:szCs w:val="32"/>
        </w:rPr>
      </w:pPr>
    </w:p>
    <w:p w14:paraId="1817C99A">
      <w:pPr>
        <w:pStyle w:val="8"/>
        <w:ind w:left="840" w:hanging="420"/>
        <w:rPr>
          <w:rFonts w:hint="default" w:ascii="Times New Roman" w:hAnsi="Times New Roman" w:cs="Times New Roman"/>
          <w:color w:val="auto"/>
        </w:rPr>
      </w:pPr>
    </w:p>
    <w:p w14:paraId="403DE045">
      <w:pPr>
        <w:rPr>
          <w:rFonts w:hint="default" w:ascii="Times New Roman" w:hAnsi="Times New Roman" w:cs="Times New Roman"/>
          <w:color w:val="auto"/>
        </w:rPr>
      </w:pPr>
    </w:p>
    <w:p w14:paraId="2532D419">
      <w:pPr>
        <w:pStyle w:val="8"/>
        <w:ind w:left="840" w:hanging="420"/>
        <w:rPr>
          <w:rFonts w:hint="default" w:ascii="Times New Roman" w:hAnsi="Times New Roman" w:cs="Times New Roman"/>
          <w:color w:val="auto"/>
        </w:rPr>
      </w:pPr>
    </w:p>
    <w:p w14:paraId="018F7960">
      <w:pPr>
        <w:rPr>
          <w:rFonts w:hint="default" w:ascii="Times New Roman" w:hAnsi="Times New Roman" w:cs="Times New Roman"/>
          <w:color w:val="auto"/>
        </w:rPr>
      </w:pPr>
    </w:p>
    <w:p w14:paraId="6E22F6C9">
      <w:pPr>
        <w:pStyle w:val="8"/>
        <w:ind w:left="840" w:hanging="420"/>
        <w:rPr>
          <w:rFonts w:hint="default" w:ascii="Times New Roman" w:hAnsi="Times New Roman" w:cs="Times New Roman"/>
          <w:color w:val="auto"/>
        </w:rPr>
      </w:pPr>
    </w:p>
    <w:p w14:paraId="6F538A96">
      <w:pPr>
        <w:rPr>
          <w:rFonts w:hint="default" w:ascii="Times New Roman" w:hAnsi="Times New Roman" w:cs="Times New Roman"/>
          <w:color w:val="auto"/>
        </w:rPr>
      </w:pPr>
    </w:p>
    <w:p w14:paraId="01EFC064">
      <w:pPr>
        <w:pStyle w:val="8"/>
        <w:ind w:left="840" w:hanging="420"/>
        <w:rPr>
          <w:rFonts w:hint="default" w:ascii="Times New Roman" w:hAnsi="Times New Roman" w:cs="Times New Roman"/>
          <w:color w:val="auto"/>
        </w:rPr>
      </w:pPr>
    </w:p>
    <w:p w14:paraId="0F0BD475">
      <w:pPr>
        <w:pStyle w:val="8"/>
        <w:ind w:left="840" w:hanging="420"/>
        <w:rPr>
          <w:rFonts w:hint="default" w:ascii="Times New Roman" w:hAnsi="Times New Roman" w:cs="Times New Roman"/>
          <w:color w:val="auto"/>
        </w:rPr>
      </w:pPr>
    </w:p>
    <w:p w14:paraId="417AABD8">
      <w:pPr>
        <w:rPr>
          <w:rFonts w:hint="default" w:ascii="Times New Roman" w:hAnsi="Times New Roman" w:cs="Times New Roman"/>
          <w:color w:val="auto"/>
        </w:rPr>
      </w:pPr>
    </w:p>
    <w:p w14:paraId="7C9B8FD2">
      <w:pPr>
        <w:pStyle w:val="8"/>
        <w:ind w:left="840" w:hanging="420"/>
        <w:rPr>
          <w:rFonts w:hint="default" w:ascii="Times New Roman" w:hAnsi="Times New Roman" w:cs="Times New Roman"/>
          <w:color w:val="auto"/>
        </w:rPr>
      </w:pPr>
    </w:p>
    <w:p w14:paraId="0D643C23">
      <w:pPr>
        <w:rPr>
          <w:rFonts w:hint="default" w:ascii="Times New Roman" w:hAnsi="Times New Roman" w:cs="Times New Roman"/>
          <w:color w:val="auto"/>
        </w:rPr>
      </w:pPr>
    </w:p>
    <w:p w14:paraId="0F10D483">
      <w:pPr>
        <w:pStyle w:val="8"/>
        <w:ind w:left="840" w:hanging="420"/>
        <w:rPr>
          <w:rFonts w:hint="default" w:ascii="Times New Roman" w:hAnsi="Times New Roman" w:cs="Times New Roman"/>
          <w:color w:val="auto"/>
        </w:rPr>
      </w:pPr>
    </w:p>
    <w:p w14:paraId="6A7D86A2">
      <w:pPr>
        <w:rPr>
          <w:rFonts w:hint="default" w:ascii="Times New Roman" w:hAnsi="Times New Roman" w:cs="Times New Roman"/>
          <w:color w:val="auto"/>
        </w:rPr>
      </w:pPr>
    </w:p>
    <w:p w14:paraId="6B943CA2">
      <w:pPr>
        <w:pStyle w:val="8"/>
        <w:ind w:left="840" w:hanging="420"/>
        <w:rPr>
          <w:rFonts w:hint="default" w:ascii="Times New Roman" w:hAnsi="Times New Roman" w:cs="Times New Roman"/>
          <w:color w:val="auto"/>
        </w:rPr>
      </w:pPr>
    </w:p>
    <w:p w14:paraId="4DABE3E9">
      <w:pPr>
        <w:rPr>
          <w:rFonts w:hint="default" w:ascii="Times New Roman" w:hAnsi="Times New Roman" w:cs="Times New Roman"/>
          <w:color w:val="auto"/>
        </w:rPr>
      </w:pPr>
    </w:p>
    <w:p w14:paraId="6C694AC2">
      <w:pPr>
        <w:pStyle w:val="8"/>
        <w:ind w:left="840" w:hanging="420"/>
        <w:rPr>
          <w:rFonts w:hint="default" w:ascii="Times New Roman" w:hAnsi="Times New Roman" w:cs="Times New Roman"/>
          <w:color w:val="auto"/>
        </w:rPr>
      </w:pPr>
    </w:p>
    <w:p w14:paraId="7BD4847B">
      <w:pPr>
        <w:rPr>
          <w:rFonts w:hint="default" w:ascii="Times New Roman" w:hAnsi="Times New Roman" w:cs="Times New Roman"/>
          <w:color w:val="auto"/>
        </w:rPr>
      </w:pPr>
    </w:p>
    <w:p w14:paraId="06D23179">
      <w:pPr>
        <w:pStyle w:val="8"/>
        <w:ind w:left="840" w:hanging="420"/>
        <w:rPr>
          <w:rFonts w:hint="default" w:ascii="Times New Roman" w:hAnsi="Times New Roman" w:cs="Times New Roman"/>
          <w:color w:val="auto"/>
        </w:rPr>
      </w:pPr>
    </w:p>
    <w:p w14:paraId="690086AE">
      <w:pPr>
        <w:rPr>
          <w:rFonts w:hint="default" w:ascii="Times New Roman" w:hAnsi="Times New Roman" w:cs="Times New Roman"/>
          <w:color w:val="auto"/>
        </w:rPr>
      </w:pPr>
    </w:p>
    <w:p w14:paraId="1A5CEC11">
      <w:pPr>
        <w:pStyle w:val="8"/>
        <w:ind w:left="840" w:hanging="420"/>
        <w:rPr>
          <w:rFonts w:hint="default" w:ascii="Times New Roman" w:hAnsi="Times New Roman" w:cs="Times New Roman"/>
          <w:color w:val="auto"/>
        </w:rPr>
      </w:pPr>
    </w:p>
    <w:p w14:paraId="3821A44B">
      <w:pPr>
        <w:rPr>
          <w:rFonts w:hint="default" w:ascii="Times New Roman" w:hAnsi="Times New Roman" w:cs="Times New Roman"/>
          <w:color w:val="auto"/>
        </w:rPr>
      </w:pPr>
    </w:p>
    <w:p w14:paraId="54A10648">
      <w:pPr>
        <w:pStyle w:val="8"/>
        <w:ind w:left="840" w:hanging="420"/>
        <w:rPr>
          <w:rFonts w:hint="default" w:ascii="Times New Roman" w:hAnsi="Times New Roman" w:cs="Times New Roman"/>
          <w:color w:val="auto"/>
        </w:rPr>
      </w:pPr>
    </w:p>
    <w:p w14:paraId="25DF765E">
      <w:pPr>
        <w:rPr>
          <w:rFonts w:hint="default" w:ascii="Times New Roman" w:hAnsi="Times New Roman" w:cs="Times New Roman"/>
          <w:color w:val="auto"/>
        </w:rPr>
      </w:pPr>
    </w:p>
    <w:p w14:paraId="78C36D01">
      <w:pPr>
        <w:pStyle w:val="8"/>
        <w:ind w:left="840" w:hanging="420"/>
        <w:rPr>
          <w:rFonts w:hint="default" w:ascii="Times New Roman" w:hAnsi="Times New Roman" w:cs="Times New Roman"/>
          <w:color w:val="auto"/>
        </w:rPr>
      </w:pPr>
    </w:p>
    <w:p w14:paraId="1A9CF056">
      <w:pPr>
        <w:rPr>
          <w:rFonts w:hint="default" w:ascii="Times New Roman" w:hAnsi="Times New Roman" w:cs="Times New Roman"/>
          <w:color w:val="auto"/>
        </w:rPr>
      </w:pPr>
    </w:p>
    <w:p w14:paraId="194448E5">
      <w:pPr>
        <w:pStyle w:val="8"/>
        <w:ind w:left="840" w:hanging="420"/>
        <w:rPr>
          <w:rFonts w:hint="default" w:ascii="Times New Roman" w:hAnsi="Times New Roman" w:cs="Times New Roman"/>
          <w:color w:val="auto"/>
        </w:rPr>
      </w:pPr>
    </w:p>
    <w:p w14:paraId="7C23D12C">
      <w:pPr>
        <w:spacing w:line="576" w:lineRule="exact"/>
        <w:jc w:val="center"/>
        <w:outlineLvl w:val="0"/>
        <w:rPr>
          <w:rFonts w:hint="default" w:ascii="Times New Roman" w:hAnsi="Times New Roman" w:eastAsia="黑体" w:cs="Times New Roman"/>
          <w:color w:val="auto"/>
          <w:sz w:val="32"/>
          <w:szCs w:val="32"/>
        </w:rPr>
      </w:pPr>
      <w:bookmarkStart w:id="18" w:name="_Toc101688789"/>
    </w:p>
    <w:p w14:paraId="0188F37F">
      <w:pPr>
        <w:spacing w:line="576"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实施乡村产业提质行动，加快农村产业融合发展</w:t>
      </w:r>
      <w:bookmarkEnd w:id="18"/>
    </w:p>
    <w:p w14:paraId="21112182">
      <w:pPr>
        <w:spacing w:line="576" w:lineRule="exact"/>
        <w:ind w:firstLine="640" w:firstLineChars="200"/>
        <w:rPr>
          <w:rFonts w:hint="default" w:ascii="Times New Roman" w:hAnsi="Times New Roman" w:eastAsia="仿宋_GB2312" w:cs="Times New Roman"/>
          <w:color w:val="auto"/>
          <w:sz w:val="32"/>
          <w:szCs w:val="32"/>
        </w:rPr>
      </w:pPr>
    </w:p>
    <w:p w14:paraId="0AE9B7A1">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质量兴农、绿色兴农、科技兴农、品牌强农，以农业供给侧结构性改革为主线，以高效生态高质为导向，完善现代农业产业体系、生产体系、经营体系，构建农村一二三产业融合发展体系，推进农业绿色化、优质化、特色化、品牌化，高水平推进农业现代化和乡村产业高质量发展。</w:t>
      </w:r>
    </w:p>
    <w:p w14:paraId="4326C658">
      <w:pPr>
        <w:spacing w:line="576" w:lineRule="exact"/>
        <w:jc w:val="center"/>
        <w:rPr>
          <w:rFonts w:hint="default" w:ascii="Times New Roman" w:hAnsi="Times New Roman" w:eastAsia="仿宋_GB2312" w:cs="Times New Roman"/>
          <w:color w:val="auto"/>
          <w:sz w:val="32"/>
          <w:szCs w:val="32"/>
        </w:rPr>
      </w:pPr>
    </w:p>
    <w:p w14:paraId="3A514403">
      <w:pPr>
        <w:spacing w:line="576" w:lineRule="exact"/>
        <w:jc w:val="center"/>
        <w:outlineLvl w:val="1"/>
        <w:rPr>
          <w:rFonts w:hint="default" w:ascii="Times New Roman" w:hAnsi="Times New Roman" w:eastAsia="楷体_GB2312" w:cs="Times New Roman"/>
          <w:b/>
          <w:color w:val="auto"/>
          <w:sz w:val="32"/>
          <w:szCs w:val="32"/>
        </w:rPr>
      </w:pPr>
      <w:bookmarkStart w:id="19" w:name="_Toc101688790"/>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加快发展优质特色产业</w:t>
      </w:r>
      <w:bookmarkEnd w:id="19"/>
    </w:p>
    <w:p w14:paraId="6A0C6E20">
      <w:pPr>
        <w:spacing w:line="576" w:lineRule="exact"/>
        <w:ind w:firstLine="640" w:firstLineChars="200"/>
        <w:rPr>
          <w:rFonts w:hint="default" w:ascii="Times New Roman" w:hAnsi="Times New Roman" w:eastAsia="仿宋_GB2312" w:cs="Times New Roman"/>
          <w:color w:val="auto"/>
          <w:sz w:val="32"/>
          <w:szCs w:val="32"/>
        </w:rPr>
      </w:pPr>
    </w:p>
    <w:p w14:paraId="194B543A">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续深化农业供给侧结构性改革，坚持以农牧结合、农林结合、循环发展为导向，着力转方式，调结构，全面提升特色农产品优势区、国家农产品质量安全示范区建设水平，巩固提升全国生猪调出大县、全国林下经济示范县建设成果。</w:t>
      </w:r>
    </w:p>
    <w:p w14:paraId="17E04F8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持续巩固提升以红心猕猴桃为主的特色水果产业。</w:t>
      </w:r>
      <w:r>
        <w:rPr>
          <w:rFonts w:hint="default" w:ascii="Times New Roman" w:hAnsi="Times New Roman" w:eastAsia="仿宋_GB2312" w:cs="Times New Roman"/>
          <w:color w:val="auto"/>
          <w:sz w:val="32"/>
          <w:szCs w:val="32"/>
        </w:rPr>
        <w:t>坚持在低效园改造、基础设施提升、细化管理上下功夫，推动以红心猕猴桃为主的特色水果由扩面向提质增产转变。着力做优红心猕猴桃产业示范带，重点对猕猴桃果园进行生产道路、排灌渠系、灌溉管网等紧要基础设施配套，大力推广应用避雨大棚、水肥一体化喷滴灌、果园施肥除草机械、太阳能频振灯杀虫等现代设施装备。采取重新招引业主、返租倒包、品种改良等措施盘活村集体产业园、业主“跑路”园等荒园和弃管园。强化低产低效园苗木补植、品种改换、老树更新、土壤培肥、病虫害防治，促进产能恢复和提升。与省农科院、川农大等科研院所加强协作，开展技术培训和巡回指导，加快“剪刀干部”“剪刀村民”培育进程，充实调整区、镇、村三级猕猴桃产业管护服务队伍，全面实行区级技术员包片、特聘果技员包镇、“剪刀干部”包村的技术服务模式，打通技术落地下田“最后一公里”。</w:t>
      </w:r>
    </w:p>
    <w:p w14:paraId="66F81F9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持续稳定生猪、土鸡等重要菜篮子产品供给。</w:t>
      </w:r>
      <w:r>
        <w:rPr>
          <w:rFonts w:hint="default" w:ascii="Times New Roman" w:hAnsi="Times New Roman" w:eastAsia="仿宋_GB2312" w:cs="Times New Roman"/>
          <w:color w:val="auto"/>
          <w:sz w:val="32"/>
          <w:szCs w:val="32"/>
        </w:rPr>
        <w:t>对生猪、土鸡、蔬菜等关乎千家万户“菜篮子”农产品，重点在优化产业链条上下功夫，促进市场供应稳定。持续做好生猪稳产保供，稳步推进生猪产业集群项目建设，加快推进、新希望二期和正邦集团生猪养殖项目竣工投产，促成新希望、正邦、雨润深度合作，推进生产-屠宰-加工及品牌创建一体化建设，有序做好能繁母猪“更新换代”，持续推进家庭农场生猪代养模式，做好规模养殖场、户生猪产能调控基地申报挂牌，严格落实非洲猪瘟等重大动物疫病常态化防控措施，确保全年生猪出栏量稳定保持在60万头以上。持续提升蔬菜稳产保供能力，以昭化、元坝、射箭为重点大力发展城市调节蔬菜，在虎跳、清水等镇扩面发展订单加工原料蔬菜，持续优化种植茬口衔接，引导农户利用房前屋后和幼龄果园等闲置土地扩种蔬菜，不断丰富蔬菜品种，加快完善蔬菜产地初加工、园区精深加工产业链条，让农民的“菜园子”直通市民的“菜篮子”。稳步完善剑门关土鸡产业链，积极争取剑门关土鸡种业提升项目落地，加快三联禽业孵化中心20万吨饲料厂建成投产，打造剑门关土鸡生态放养基地、绿壳蛋鸡放养基地2个，对接落实活禽交易-土鸡屠宰-加工-冷链项目落地开工。</w:t>
      </w:r>
    </w:p>
    <w:p w14:paraId="0EA63F7B">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大力度推动肉牛羊产业突破性发展。</w:t>
      </w:r>
      <w:r>
        <w:rPr>
          <w:rFonts w:hint="default" w:ascii="Times New Roman" w:hAnsi="Times New Roman" w:eastAsia="仿宋_GB2312" w:cs="Times New Roman"/>
          <w:color w:val="auto"/>
          <w:sz w:val="32"/>
          <w:szCs w:val="32"/>
        </w:rPr>
        <w:t>以强保障、建基地、提质效为重点，持续在贯通肉牛羊全产业链上发力，加快打造集养殖、加工、流通、服务于一体的全链发展体系。强化政策扶持，将突破性发展肉牛羊产业这项工作当成“书记工程”来抓，落实好促进肉牛羊产业发展政策措施，开辟肉牛羊养殖项目审批绿色通道。强化基地建设，实施肉牛羊产业“百千万”工程，重点发展年出栏肉牛100头养殖户、1000头肉牛养殖场、10000只肉羊养殖场，培育一批肉牛羊养殖专合组织和专业村。强化绿色发展，加大新一轮南方现代草地畜牧业、秸秆综合利用等项目争取力度，引进一批优质肉牛羊种畜企业、秸秆饲料加工企业落户昭化。</w:t>
      </w:r>
    </w:p>
    <w:p w14:paraId="79B368A1">
      <w:pPr>
        <w:spacing w:line="576"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统筹发展以道地中药材为主的林下产业。</w:t>
      </w:r>
      <w:r>
        <w:rPr>
          <w:rFonts w:hint="default" w:ascii="Times New Roman" w:hAnsi="Times New Roman" w:eastAsia="仿宋_GB2312" w:cs="Times New Roman"/>
          <w:color w:val="auto"/>
          <w:sz w:val="32"/>
          <w:szCs w:val="32"/>
        </w:rPr>
        <w:t>坚持因地制宜，科学规划，以星级园区创建为抓手，进一步做强林药、做活林果、做大林菌、做实林禽、做优林旅。依托项目建设，突出建基地、夯基础、兴业态、创品牌、强科技、联机制、重保障七个重点，推进林下中药材产业园、插江竹产业园2个万亩以上现代林业园区建设，年发展中药材、木质料食用菌、新杨鸡等林下产业基地2万亩，巩固提升中药材、核桃、笋用竹、林旅基地</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亩，有序开展淫羊藿、夏枯草、黄精、茯苓等品种的良种良法推广和全产业链溯源能力提升，将“昭化夏枯草”“昭化富硒面”申报为国家地理商标，持续推进射箭中药材专业镇、王家食用菌专业镇、柏林沟翠竹小镇建设。</w:t>
      </w:r>
    </w:p>
    <w:p w14:paraId="51653072">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专栏2:特色优质农业产业重点工程</w:t>
      </w:r>
    </w:p>
    <w:p w14:paraId="1479FC30">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01特色水果产业优化工程</w:t>
      </w:r>
    </w:p>
    <w:p w14:paraId="2DE6EB97">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改造提升猕猴桃标准化种植基地5万亩、小水果基地1.2万亩。做优“紫云”猕猴桃产业示范带，加强溃疡病防治，改造低产低效园区3万亩，加快猕猴桃系列产品研发，延伸产业发展链条。</w:t>
      </w:r>
    </w:p>
    <w:p w14:paraId="1A5762AB">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02生态畜禽产业壮大工程</w:t>
      </w:r>
    </w:p>
    <w:p w14:paraId="38CDC74A">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提升60万头生猪养殖基地，新建剑门关土鸡育雏中心50个，标准化养殖基地60个，发展中蜂养殖5万群，新建中蜂扩繁场2个，新建肉牛养殖场1个，肉羊扩繁场3个。力争年出栏生猪60万头、肉牛</w:t>
      </w:r>
      <w:r>
        <w:rPr>
          <w:rFonts w:hint="default" w:ascii="Times New Roman" w:hAnsi="Times New Roman" w:eastAsia="仿宋_GB2312" w:cs="Times New Roman"/>
          <w:color w:val="auto"/>
          <w:sz w:val="24"/>
          <w:lang w:val="en-US" w:eastAsia="zh-CN"/>
        </w:rPr>
        <w:t>2.1万头，肉</w:t>
      </w:r>
      <w:r>
        <w:rPr>
          <w:rFonts w:hint="default" w:ascii="Times New Roman" w:hAnsi="Times New Roman" w:eastAsia="仿宋_GB2312" w:cs="Times New Roman"/>
          <w:color w:val="auto"/>
          <w:sz w:val="24"/>
        </w:rPr>
        <w:t>羊</w:t>
      </w:r>
      <w:r>
        <w:rPr>
          <w:rFonts w:hint="default" w:ascii="Times New Roman" w:hAnsi="Times New Roman" w:eastAsia="仿宋_GB2312" w:cs="Times New Roman"/>
          <w:color w:val="auto"/>
          <w:sz w:val="24"/>
          <w:lang w:val="en-US" w:eastAsia="zh-CN"/>
        </w:rPr>
        <w:t>14</w:t>
      </w:r>
      <w:r>
        <w:rPr>
          <w:rFonts w:hint="default" w:ascii="Times New Roman" w:hAnsi="Times New Roman" w:eastAsia="仿宋_GB2312" w:cs="Times New Roman"/>
          <w:color w:val="auto"/>
          <w:sz w:val="24"/>
        </w:rPr>
        <w:t>万只、土鸡2000万羽，建成川东北畜产品战略保障基地。</w:t>
      </w:r>
    </w:p>
    <w:p w14:paraId="3845B02D">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03蔬菜产业高质量发展工程</w:t>
      </w:r>
    </w:p>
    <w:p w14:paraId="032A0503">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加快完善蔬菜产地初加工、园区精深加工产业链条，种植面积稳定在18万亩、产量达到45万吨。</w:t>
      </w:r>
    </w:p>
    <w:p w14:paraId="1F28AFF9">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04道地中药材产业高标准建设工程</w:t>
      </w:r>
    </w:p>
    <w:p w14:paraId="7677E8B3">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实现中药材产业集群发展，建设规范化、规模化、标准化中药材种植基地10万亩，其中茯苓每年控制在5000亩以内，300亩以上镇村中药材示范园区40个，中药材专业村9个</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把昭化药博园创建成省级现代林业园区。</w:t>
      </w:r>
    </w:p>
    <w:p w14:paraId="1DAD754C">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05林下经济产业综合发展工程</w:t>
      </w:r>
    </w:p>
    <w:p w14:paraId="3FA0E18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469" w:afterLines="150" w:line="40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新建和提升林下种植基地10万亩，养殖基地0.5万亩；持续打造美丽竹林风景线，力争建成省级笋用竹现代林业园区。</w:t>
      </w:r>
    </w:p>
    <w:p w14:paraId="1F6769F4">
      <w:pPr>
        <w:spacing w:line="576" w:lineRule="exact"/>
        <w:ind w:firstLine="640" w:firstLineChars="200"/>
        <w:rPr>
          <w:rFonts w:hint="default" w:ascii="Times New Roman" w:hAnsi="Times New Roman" w:eastAsia="仿宋_GB2312" w:cs="Times New Roman"/>
          <w:color w:val="auto"/>
          <w:sz w:val="32"/>
          <w:szCs w:val="32"/>
        </w:rPr>
      </w:pPr>
    </w:p>
    <w:p w14:paraId="329D88A3">
      <w:pPr>
        <w:spacing w:line="576" w:lineRule="exact"/>
        <w:jc w:val="center"/>
        <w:outlineLvl w:val="1"/>
        <w:rPr>
          <w:rFonts w:hint="default" w:ascii="Times New Roman" w:hAnsi="Times New Roman" w:eastAsia="楷体_GB2312" w:cs="Times New Roman"/>
          <w:b/>
          <w:color w:val="auto"/>
          <w:sz w:val="32"/>
          <w:szCs w:val="32"/>
        </w:rPr>
      </w:pPr>
      <w:bookmarkStart w:id="20" w:name="_Toc101688791"/>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推进农村产业融合发展</w:t>
      </w:r>
      <w:bookmarkEnd w:id="20"/>
    </w:p>
    <w:p w14:paraId="1942C04F">
      <w:pPr>
        <w:spacing w:line="576" w:lineRule="exact"/>
        <w:ind w:firstLine="643" w:firstLineChars="200"/>
        <w:rPr>
          <w:rFonts w:hint="default" w:ascii="Times New Roman" w:hAnsi="Times New Roman" w:eastAsia="仿宋_GB2312" w:cs="Times New Roman"/>
          <w:b/>
          <w:bCs/>
          <w:color w:val="auto"/>
          <w:sz w:val="32"/>
          <w:szCs w:val="32"/>
        </w:rPr>
      </w:pPr>
    </w:p>
    <w:p w14:paraId="49CF8701">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推进农产品</w:t>
      </w:r>
      <w:r>
        <w:rPr>
          <w:rFonts w:hint="default" w:ascii="Times New Roman" w:hAnsi="Times New Roman" w:eastAsia="仿宋_GB2312" w:cs="Times New Roman"/>
          <w:b/>
          <w:bCs/>
          <w:color w:val="auto"/>
          <w:sz w:val="32"/>
          <w:szCs w:val="32"/>
          <w:lang w:eastAsia="zh-CN"/>
        </w:rPr>
        <w:t>产地</w:t>
      </w:r>
      <w:r>
        <w:rPr>
          <w:rFonts w:hint="default" w:ascii="Times New Roman" w:hAnsi="Times New Roman" w:eastAsia="仿宋_GB2312" w:cs="Times New Roman"/>
          <w:b/>
          <w:bCs/>
          <w:color w:val="auto"/>
          <w:sz w:val="32"/>
          <w:szCs w:val="32"/>
        </w:rPr>
        <w:t>加工。</w:t>
      </w:r>
      <w:r>
        <w:rPr>
          <w:rFonts w:hint="default" w:ascii="Times New Roman" w:hAnsi="Times New Roman" w:eastAsia="仿宋_GB2312" w:cs="Times New Roman"/>
          <w:color w:val="auto"/>
          <w:sz w:val="32"/>
          <w:szCs w:val="32"/>
        </w:rPr>
        <w:t>积极培育乡村农产品加工作坊、家庭工坊，提高农产品产地加工处理能力。推进产地初加工和精深加工，提高农产品附加值，加快建设一批农产品加工示范园。鼓励和支持在产业基地周围发展农产品初加工设施，开展清洗、分选、烘干、保鲜、包装、贴牌等农产品商品化处理，到2025年，农产品商品转化率达到80%。以建设中国食品工业名城为目标，巩固提升杏树食品加工示范园区，引进培育1-2家肉食品屠宰加工龙头企业，推动全区农产品加工业高质量发展。到2025年，力争精深加工率达到65%以上。开展农产品加工废料综合利用，加工用水回收利用率达到50%，固体废料利用率达到100%。</w:t>
      </w:r>
    </w:p>
    <w:p w14:paraId="529D8AE4">
      <w:pPr>
        <w:spacing w:line="576"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全域发展乡村旅游。</w:t>
      </w:r>
      <w:r>
        <w:rPr>
          <w:rFonts w:hint="default" w:ascii="Times New Roman" w:hAnsi="Times New Roman" w:eastAsia="仿宋_GB2312" w:cs="Times New Roman"/>
          <w:color w:val="auto"/>
          <w:sz w:val="32"/>
          <w:szCs w:val="32"/>
          <w:lang w:eastAsia="zh-CN"/>
        </w:rPr>
        <w:t>坚持一个农业园区就是一个乡村旅游景区，着力打造全域休闲旅游区。</w:t>
      </w:r>
      <w:r>
        <w:rPr>
          <w:rFonts w:hint="default" w:ascii="Times New Roman" w:hAnsi="Times New Roman" w:eastAsia="仿宋_GB2312" w:cs="Times New Roman"/>
          <w:color w:val="auto"/>
          <w:sz w:val="32"/>
          <w:szCs w:val="32"/>
        </w:rPr>
        <w:t>依托昭化古城、栖凤峡—平乐、柏林古镇三大旅游集聚区，大力发展具备文旅功能的定制农业、会展农业、乡村民宿等新业态，着力拓展桃博园、药博园等农业公园旅游业态，培育一批乡村旅游类A级旅游景区、乡村精品民宿集群、创意农业园、研学教育基地、田园综合体，积极打造环亭子湖滨水休闲农业旅游带，积极争创天府旅游名县和国家全域旅游示范区</w:t>
      </w:r>
      <w:r>
        <w:rPr>
          <w:rFonts w:hint="default" w:ascii="Times New Roman" w:hAnsi="Times New Roman" w:eastAsia="仿宋_GB2312" w:cs="Times New Roman"/>
          <w:color w:val="auto"/>
          <w:sz w:val="32"/>
          <w:szCs w:val="32"/>
          <w:lang w:eastAsia="zh-CN"/>
        </w:rPr>
        <w:t>，推进昭化古城创</w:t>
      </w:r>
      <w:r>
        <w:rPr>
          <w:rFonts w:hint="default" w:ascii="Times New Roman" w:hAnsi="Times New Roman" w:eastAsia="仿宋_GB2312" w:cs="Times New Roman"/>
          <w:color w:val="auto"/>
          <w:sz w:val="32"/>
          <w:szCs w:val="32"/>
          <w:lang w:val="en-US" w:eastAsia="zh-CN"/>
        </w:rPr>
        <w:t>5A景区。</w:t>
      </w:r>
    </w:p>
    <w:p w14:paraId="7A03DAB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大力发展农产品营销。</w:t>
      </w:r>
      <w:r>
        <w:rPr>
          <w:rFonts w:hint="default" w:ascii="Times New Roman" w:hAnsi="Times New Roman" w:eastAsia="仿宋_GB2312" w:cs="Times New Roman"/>
          <w:color w:val="auto"/>
          <w:sz w:val="32"/>
          <w:szCs w:val="32"/>
        </w:rPr>
        <w:t>推动现有农产品产地批发市场改造升级，完善区、镇二级骨干市场，建设大型综合性现代化农产品批发交易市场。整合邮政、供销、快递物流等资源，健全完善农产品营销体系，推进农产品上行、工业品下乡“双向渠道”发展。大力发展农产品电商、直营等营销主体，积极培育网络“村播”，构建“生产者—农民合作社—电商平台—消费者”新型农产品营销流通链。积极组织参加西博会、农博会、秦巴山区年货节、美食节、电商节等节会，扩大特色农产品销售渠道。</w:t>
      </w:r>
    </w:p>
    <w:p w14:paraId="7C7FB8F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积极发展新产业新业态。</w:t>
      </w:r>
      <w:r>
        <w:rPr>
          <w:rFonts w:hint="default" w:ascii="Times New Roman" w:hAnsi="Times New Roman" w:eastAsia="仿宋_GB2312" w:cs="Times New Roman"/>
          <w:color w:val="auto"/>
          <w:sz w:val="32"/>
          <w:szCs w:val="32"/>
        </w:rPr>
        <w:t>在农产品生产功能的基础上有机叠加乡村生态环境改善、农耕文化传承、休闲观光旅游等功能，统筹推进乡村一二三产业融合发展，通过功能复合、产业综合多渠道提升产业发展综合效益。大力发展数字农业，开展数字农业、智能农机应用试点示范推进现代农业园区数字化升级。加快培育乡村共享经济、创意农业，鼓励在乡村投资兴办文化创意、概念设计、产品开发、乡村会展等环境友好型企业。实施农业新型流通促进行动，推动农业电商经营体系建设，加快农村邮政、快递、物流节点等建设，建设一批重点网货生产基地和产地直播基地，打造农产品电商“1+7+N”营销平台，构建多种形式产销联合体，构建产销密切衔接的新型农商关系。推动发展家庭社区服务，坚持市场化导向，在居民生活集中区开发建设和提升完善社区医养结合、老养幼教、保洁维修、娱乐休闲、美容保健、生活互助等便民服务项目和业态。</w:t>
      </w:r>
    </w:p>
    <w:p w14:paraId="0B4FB168">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3</w:t>
      </w:r>
      <w:r>
        <w:rPr>
          <w:rFonts w:hint="default" w:ascii="Times New Roman" w:hAnsi="Times New Roman" w:eastAsia="黑体" w:cs="Times New Roman"/>
          <w:color w:val="auto"/>
          <w:sz w:val="28"/>
          <w:szCs w:val="28"/>
        </w:rPr>
        <w:t>:农村产业融合发展重点工程</w:t>
      </w:r>
    </w:p>
    <w:p w14:paraId="11FFE826">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01农业农村现代化和现代农业园区争创示范工程</w:t>
      </w:r>
    </w:p>
    <w:p w14:paraId="53AFB76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打通双凤、滨湖等现代农业园区产业断带，建设10万亩国家级现代农业产业园；创建省级农业农村现代化示范区，完成建设农业农村现代化试点镇6个，完善提升双凤园区产业基地，设施配套等，力争创建省5星级现代农业园区，以及推进滨湖园区提质增效扩面，力争创建省3星级现代农业园区；新建市级以上现代农业园区5个，打通双凤、滨湖等现代农业园区产业断带，建设10万亩国家级现代农业产业园。</w:t>
      </w:r>
    </w:p>
    <w:p w14:paraId="14C61C9C">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02农产品加工实施提升工程</w:t>
      </w:r>
    </w:p>
    <w:p w14:paraId="6D948ECA">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升农产品产地初加工和精深加工能力，力争精深加工率65%左右。新建40万吨饲料加工厂1个，新建2000万只剑门关土鸡屠宰加工厂1个，蜂蜜加工厂1个，配套肉牛羊屠宰加工厂1个，新建粗加工盐渍池200个，3条微生物发酵加工生产线，1条出口清水罐头生产线；提升农产品综合利用能力，农产品商品转化率达到80%、加工用水回收利用率达到50%以及固体废料利用率达到100%。</w:t>
      </w:r>
    </w:p>
    <w:p w14:paraId="50D1334C">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03新产业新业态加快发展工程</w:t>
      </w:r>
    </w:p>
    <w:p w14:paraId="09978605">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加快完善农工融合发展，建设天垠农业等农产品加工园12个，推动农产品生产和加工融合发展；创新推进农旅融合发展，建设观光农业、休闲农业、农事体验</w:t>
      </w:r>
      <w:r>
        <w:rPr>
          <w:rFonts w:hint="default" w:ascii="Times New Roman" w:hAnsi="Times New Roman" w:eastAsia="仿宋_GB2312" w:cs="Times New Roman"/>
          <w:color w:val="auto"/>
          <w:sz w:val="24"/>
          <w:lang w:eastAsia="zh-CN"/>
        </w:rPr>
        <w:t>、研学旅游</w:t>
      </w:r>
      <w:r>
        <w:rPr>
          <w:rFonts w:hint="default" w:ascii="Times New Roman" w:hAnsi="Times New Roman" w:eastAsia="仿宋_GB2312" w:cs="Times New Roman"/>
          <w:color w:val="auto"/>
          <w:sz w:val="24"/>
        </w:rPr>
        <w:t>等农旅融合基地13个；建设农商融合基地12个。创建省级鱼米之乡、5个省级农业主题公园。</w:t>
      </w:r>
    </w:p>
    <w:p w14:paraId="30F5E156">
      <w:pPr>
        <w:spacing w:line="576" w:lineRule="exact"/>
        <w:jc w:val="center"/>
        <w:rPr>
          <w:rFonts w:hint="default" w:ascii="Times New Roman" w:hAnsi="Times New Roman" w:eastAsia="仿宋_GB2312" w:cs="Times New Roman"/>
          <w:color w:val="auto"/>
          <w:sz w:val="32"/>
          <w:szCs w:val="32"/>
        </w:rPr>
      </w:pPr>
    </w:p>
    <w:p w14:paraId="7E7CE7BF">
      <w:pPr>
        <w:spacing w:line="576" w:lineRule="exact"/>
        <w:jc w:val="center"/>
        <w:outlineLvl w:val="1"/>
        <w:rPr>
          <w:rFonts w:hint="default" w:ascii="Times New Roman" w:hAnsi="Times New Roman" w:eastAsia="楷体_GB2312" w:cs="Times New Roman"/>
          <w:b/>
          <w:color w:val="auto"/>
          <w:sz w:val="32"/>
          <w:szCs w:val="32"/>
        </w:rPr>
      </w:pPr>
      <w:bookmarkStart w:id="21" w:name="_Toc101688792"/>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推进现代农业绿色生产</w:t>
      </w:r>
      <w:bookmarkEnd w:id="21"/>
    </w:p>
    <w:p w14:paraId="3476F3B5">
      <w:pPr>
        <w:spacing w:line="576" w:lineRule="exact"/>
        <w:ind w:firstLine="643" w:firstLineChars="200"/>
        <w:rPr>
          <w:rFonts w:hint="default" w:ascii="Times New Roman" w:hAnsi="Times New Roman" w:eastAsia="仿宋_GB2312" w:cs="Times New Roman"/>
          <w:b/>
          <w:bCs/>
          <w:color w:val="auto"/>
          <w:sz w:val="32"/>
          <w:szCs w:val="32"/>
        </w:rPr>
      </w:pPr>
    </w:p>
    <w:p w14:paraId="0BF9D69C">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夯实绿色生产基础。</w:t>
      </w:r>
      <w:r>
        <w:rPr>
          <w:rFonts w:hint="default" w:ascii="Times New Roman" w:hAnsi="Times New Roman" w:eastAsia="仿宋_GB2312" w:cs="Times New Roman"/>
          <w:color w:val="auto"/>
          <w:sz w:val="32"/>
          <w:szCs w:val="32"/>
        </w:rPr>
        <w:t>大力发展循环农业，全力做好重大动植物疫病防控，推进畜禽养殖污染防治，推行“生态养殖+沼气+绿色种植”循环利用模式，深入推进畜禽养殖废弃物资源化利用，建成全国绿色种养循环发展试点县。探索推广农业面源污染、重金属防治的低成本技术和模式。围绕消费升级、绿色发展要求，进一步健全农产品质量安全保障体系，通过提升监管队伍能力、加强执法体系建设、健全质量追溯体系、强化农产品检测能力。</w:t>
      </w:r>
    </w:p>
    <w:p w14:paraId="3C12AF6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加强绿色有机认证。</w:t>
      </w:r>
      <w:r>
        <w:rPr>
          <w:rFonts w:hint="default" w:ascii="Times New Roman" w:hAnsi="Times New Roman" w:eastAsia="仿宋_GB2312" w:cs="Times New Roman"/>
          <w:color w:val="auto"/>
          <w:sz w:val="32"/>
          <w:szCs w:val="32"/>
        </w:rPr>
        <w:t>持续巩固提升四川省有机产品认证示范区成果，进一步扩大有机农产品认证覆盖范围，到2025年，新认证有机农产品</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个以上，建设有机农产品基地1万亩。做好地理标</w:t>
      </w:r>
      <w:r>
        <w:rPr>
          <w:rFonts w:hint="default" w:ascii="Times New Roman" w:hAnsi="Times New Roman" w:eastAsia="仿宋_GB2312" w:cs="Times New Roman"/>
          <w:color w:val="auto"/>
          <w:sz w:val="32"/>
          <w:szCs w:val="32"/>
          <w:lang w:eastAsia="zh-CN"/>
        </w:rPr>
        <w:t>志</w:t>
      </w:r>
      <w:r>
        <w:rPr>
          <w:rFonts w:hint="default" w:ascii="Times New Roman" w:hAnsi="Times New Roman" w:eastAsia="仿宋_GB2312" w:cs="Times New Roman"/>
          <w:color w:val="auto"/>
          <w:sz w:val="32"/>
          <w:szCs w:val="32"/>
        </w:rPr>
        <w:t>产品培育，到2025年地理标</w:t>
      </w:r>
      <w:r>
        <w:rPr>
          <w:rFonts w:hint="default" w:ascii="Times New Roman" w:hAnsi="Times New Roman" w:eastAsia="仿宋_GB2312" w:cs="Times New Roman"/>
          <w:color w:val="auto"/>
          <w:sz w:val="32"/>
          <w:szCs w:val="32"/>
          <w:lang w:eastAsia="zh-CN"/>
        </w:rPr>
        <w:t>志</w:t>
      </w:r>
      <w:r>
        <w:rPr>
          <w:rFonts w:hint="default" w:ascii="Times New Roman" w:hAnsi="Times New Roman" w:eastAsia="仿宋_GB2312" w:cs="Times New Roman"/>
          <w:color w:val="auto"/>
          <w:sz w:val="32"/>
          <w:szCs w:val="32"/>
        </w:rPr>
        <w:t>产品数量达到5个，区域公共品牌生产基地占比达到60%。</w:t>
      </w:r>
      <w:r>
        <w:rPr>
          <w:rFonts w:hint="default" w:ascii="Times New Roman" w:hAnsi="Times New Roman" w:eastAsia="仿宋_GB2312" w:cs="Times New Roman"/>
          <w:color w:val="auto"/>
          <w:sz w:val="32"/>
          <w:szCs w:val="32"/>
          <w:lang w:eastAsia="zh-CN"/>
        </w:rPr>
        <w:t>创建</w:t>
      </w:r>
      <w:r>
        <w:rPr>
          <w:rFonts w:hint="default" w:ascii="Times New Roman" w:hAnsi="Times New Roman" w:eastAsia="仿宋_GB2312" w:cs="Times New Roman"/>
          <w:color w:val="auto"/>
          <w:sz w:val="32"/>
          <w:szCs w:val="32"/>
        </w:rPr>
        <w:t>国家级有机农产品认证示范区，省市知名品牌创建示范区。</w:t>
      </w:r>
    </w:p>
    <w:p w14:paraId="7B15EFC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塑造农产品品牌。</w:t>
      </w:r>
      <w:r>
        <w:rPr>
          <w:rFonts w:hint="default" w:ascii="Times New Roman" w:hAnsi="Times New Roman" w:eastAsia="仿宋_GB2312" w:cs="Times New Roman"/>
          <w:color w:val="auto"/>
          <w:sz w:val="32"/>
          <w:szCs w:val="32"/>
        </w:rPr>
        <w:t>持续擦亮昭化农产品金字招牌，推动“王家贡米”“女皇贡桃”注册国家地理标志证明</w:t>
      </w:r>
      <w:r>
        <w:rPr>
          <w:rFonts w:hint="default" w:ascii="Times New Roman" w:hAnsi="Times New Roman" w:eastAsia="仿宋_GB2312" w:cs="Times New Roman"/>
          <w:color w:val="auto"/>
          <w:sz w:val="32"/>
          <w:szCs w:val="32"/>
          <w:lang w:eastAsia="zh-CN"/>
        </w:rPr>
        <w:t>产品</w:t>
      </w:r>
      <w:r>
        <w:rPr>
          <w:rFonts w:hint="default" w:ascii="Times New Roman" w:hAnsi="Times New Roman" w:eastAsia="仿宋_GB2312" w:cs="Times New Roman"/>
          <w:color w:val="auto"/>
          <w:sz w:val="32"/>
          <w:szCs w:val="32"/>
        </w:rPr>
        <w:t>，有效期内“两品一标”保持在46个以上，高质量推进产油大县示范县区建设。深入实施品牌建设孵化、提升、创新、整合、信息“五大工程”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品一标、新增品牌”培育指向，着力培育区域特性明显，口号响亮的“昭化造”品牌，紧扣五大产业，持续做大做强“王家贡米”“紫云猕猴桃”“昭化女皇贡桃”“元坝生猪”“昭化茯苓”“昭化</w:t>
      </w:r>
      <w:r>
        <w:rPr>
          <w:rFonts w:hint="default" w:ascii="Times New Roman" w:hAnsi="Times New Roman" w:eastAsia="仿宋_GB2312" w:cs="Times New Roman"/>
          <w:color w:val="auto"/>
          <w:sz w:val="32"/>
          <w:szCs w:val="32"/>
          <w:lang w:eastAsia="zh-CN"/>
        </w:rPr>
        <w:t>韭黄</w:t>
      </w:r>
      <w:r>
        <w:rPr>
          <w:rFonts w:hint="default" w:ascii="Times New Roman" w:hAnsi="Times New Roman" w:eastAsia="仿宋_GB2312" w:cs="Times New Roman"/>
          <w:color w:val="auto"/>
          <w:sz w:val="32"/>
          <w:szCs w:val="32"/>
        </w:rPr>
        <w:t>”“昭化泡菜”等昭字招牌。实行品牌农产品退出机制，建立品牌农产品标准数据库，建成以消费者满意度、市场占有率和质量竞争力为核心的评价体系。</w:t>
      </w:r>
    </w:p>
    <w:p w14:paraId="0853C814">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4</w:t>
      </w:r>
      <w:r>
        <w:rPr>
          <w:rFonts w:hint="default" w:ascii="Times New Roman" w:hAnsi="Times New Roman" w:eastAsia="黑体" w:cs="Times New Roman"/>
          <w:color w:val="auto"/>
          <w:sz w:val="28"/>
          <w:szCs w:val="28"/>
        </w:rPr>
        <w:t>:农业绿色发展重点工程</w:t>
      </w:r>
    </w:p>
    <w:p w14:paraId="13036C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01有机农业发展工程</w:t>
      </w:r>
    </w:p>
    <w:p w14:paraId="03E5D6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加快有机农产品基地建设，建设有机农产品基地1万亩，新认证有机农产品</w:t>
      </w:r>
      <w:r>
        <w:rPr>
          <w:rFonts w:hint="default"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rPr>
        <w:t>个以上、基地5000亩，有效期内“两品一标”保持在46个以上；完善农产品追溯体系配套，持续巩固农产品安全示范县创建成果，持续推进农业化肥农药“两减”，强化农产品监测能力；巩固省级有机农产品认证示范区建设成果，创建国家级有机农产品认证示范区。</w:t>
      </w:r>
    </w:p>
    <w:p w14:paraId="1C38C5F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02循环农业发展工程</w:t>
      </w:r>
    </w:p>
    <w:p w14:paraId="1E1D70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开展绿色农业种养循环试点，采购粪肥干湿分离设施设备20套，畜禽规模养殖场污染治理设施设备配套率达100%，粪污资源化利用率达93%；新建畜禽粪污处理厂5个；建设规模化大型沼气工程14座，沼气中小型工程30个，购置小型联合收割机300台，安装太阳能热水器1600个。布局建设绿色种养循环农业示范片10万亩。</w:t>
      </w:r>
    </w:p>
    <w:p w14:paraId="520B38A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03农产品品牌塑造工程</w:t>
      </w:r>
    </w:p>
    <w:p w14:paraId="6A0651A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紧扣五大产业，持续做大做强“王家贡米”“紫云猕猴桃”“昭化女皇贡桃”“元坝生猪”“昭化茯苓”“昭化</w:t>
      </w:r>
      <w:r>
        <w:rPr>
          <w:rFonts w:hint="default" w:ascii="Times New Roman" w:hAnsi="Times New Roman" w:eastAsia="仿宋_GB2312" w:cs="Times New Roman"/>
          <w:color w:val="auto"/>
          <w:sz w:val="24"/>
          <w:lang w:eastAsia="zh-CN"/>
        </w:rPr>
        <w:t>韭黄</w:t>
      </w:r>
      <w:r>
        <w:rPr>
          <w:rFonts w:hint="default" w:ascii="Times New Roman" w:hAnsi="Times New Roman" w:eastAsia="仿宋_GB2312" w:cs="Times New Roman"/>
          <w:color w:val="auto"/>
          <w:sz w:val="24"/>
        </w:rPr>
        <w:t>”“昭化泡菜”等昭字招牌；实现地理标</w:t>
      </w:r>
      <w:r>
        <w:rPr>
          <w:rFonts w:hint="default" w:ascii="Times New Roman" w:hAnsi="Times New Roman" w:eastAsia="仿宋_GB2312" w:cs="Times New Roman"/>
          <w:color w:val="auto"/>
          <w:sz w:val="24"/>
          <w:lang w:eastAsia="zh-CN"/>
        </w:rPr>
        <w:t>志</w:t>
      </w:r>
      <w:r>
        <w:rPr>
          <w:rFonts w:hint="default" w:ascii="Times New Roman" w:hAnsi="Times New Roman" w:eastAsia="仿宋_GB2312" w:cs="Times New Roman"/>
          <w:color w:val="auto"/>
          <w:sz w:val="24"/>
        </w:rPr>
        <w:t>产品数量达到5个，区域公共品牌生产基地占比达到60%。通过农超对接、精准营销等构建昭字号品牌相适应的销售渠道，增强“王家贡米”“女皇贡桃”等区域公共品牌影响力和市场竞争力。</w:t>
      </w:r>
    </w:p>
    <w:p w14:paraId="0EDE8BA5">
      <w:pPr>
        <w:spacing w:line="576" w:lineRule="exact"/>
        <w:ind w:firstLine="964" w:firstLineChars="300"/>
        <w:jc w:val="center"/>
        <w:outlineLvl w:val="1"/>
        <w:rPr>
          <w:rFonts w:hint="default" w:ascii="Times New Roman" w:hAnsi="Times New Roman" w:eastAsia="楷体_GB2312" w:cs="Times New Roman"/>
          <w:b/>
          <w:color w:val="auto"/>
          <w:sz w:val="32"/>
          <w:szCs w:val="32"/>
        </w:rPr>
      </w:pPr>
      <w:bookmarkStart w:id="22" w:name="_Toc101688793"/>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构建新型农业经营体系</w:t>
      </w:r>
      <w:bookmarkEnd w:id="22"/>
    </w:p>
    <w:p w14:paraId="048945D9">
      <w:pPr>
        <w:spacing w:line="576" w:lineRule="exact"/>
        <w:ind w:firstLine="643" w:firstLineChars="200"/>
        <w:rPr>
          <w:rFonts w:hint="default" w:ascii="Times New Roman" w:hAnsi="Times New Roman" w:eastAsia="仿宋_GB2312" w:cs="Times New Roman"/>
          <w:b/>
          <w:bCs/>
          <w:color w:val="auto"/>
          <w:sz w:val="32"/>
          <w:szCs w:val="32"/>
        </w:rPr>
      </w:pPr>
    </w:p>
    <w:p w14:paraId="3759FA5A">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培育新型农业经营主体。</w:t>
      </w:r>
      <w:r>
        <w:rPr>
          <w:rFonts w:hint="default" w:ascii="Times New Roman" w:hAnsi="Times New Roman" w:eastAsia="仿宋_GB2312" w:cs="Times New Roman"/>
          <w:color w:val="auto"/>
          <w:sz w:val="32"/>
          <w:szCs w:val="32"/>
        </w:rPr>
        <w:t>完善土地流转市场化服务体系和风险防范机制，合理引导土地向新型农业经营主体流转。巩固省级农民合作社高质量发展示范县（区）建设成果，积极争创家庭农场示范县（区），深入实施“一镇一联合社”“一村一示范社”“一组一家庭农场”培育行动，加快形成推介一批新型农业经营主体典型。积极引导发展龙头企业牵头、合作社和家庭农场共同参与的农业产业化联合体，建立健全利益联结机制，促进主体融合发展。规范提升农业产业协会、联盟等社会组织，发挥市场拓展、经营辅导等服务功能。持续推进示范创建，新增市级以上重点龙头企业3家、农民合作社示范社15家、家庭农场示范场30家。支持小农户与新型农业经营主体建立“收益分成”“资产入股”等利益联结机制，增加农民收入。</w:t>
      </w:r>
    </w:p>
    <w:p w14:paraId="3354A272">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完善社会化服务体系。</w:t>
      </w:r>
      <w:r>
        <w:rPr>
          <w:rFonts w:hint="default" w:ascii="Times New Roman" w:hAnsi="Times New Roman" w:eastAsia="仿宋_GB2312" w:cs="Times New Roman"/>
          <w:color w:val="auto"/>
          <w:sz w:val="32"/>
          <w:szCs w:val="32"/>
        </w:rPr>
        <w:t>以市场需求为导向，按照服务专业化要求，以服务平台搭建和体系完善为重点，创新服务机制，拓宽服务领域，努力构建覆盖全程、配套协调、便捷高效的新型农业社会化服务体系，大力培育覆盖种养、加工、销售、科技、金融等环节的多元化经营服务实体，加强供销合作社为农服务综合平台建设，推动邮政等服务网点向产业基地延伸。因地制宜发展单环节、多环节、全程生产托管，积极推广“服务主体+农村集体经济组织+农户”“服务主体+新型经营主体+农户”等组织形式，引导开展农作物“耕种管收加储销”全产业链服务。加大政府购买服务、以奖代补力度，推动农业生产服务数字化平台建设，健全服务标准，加强价格监测和合同监管，促进农业社会化服务便捷化、规范化。</w:t>
      </w:r>
    </w:p>
    <w:p w14:paraId="42869BA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加强农业科技推广体系建设。</w:t>
      </w:r>
      <w:r>
        <w:rPr>
          <w:rFonts w:hint="default" w:ascii="Times New Roman" w:hAnsi="Times New Roman" w:eastAsia="仿宋_GB2312" w:cs="Times New Roman"/>
          <w:color w:val="auto"/>
          <w:sz w:val="32"/>
          <w:szCs w:val="32"/>
        </w:rPr>
        <w:t>深化与省农科院、川农大等院校合作，加强王家贡米育种、猕猴桃栽培、畜牧业发展三支科技队伍建设。加快推进猕猴桃溃疡病综合防治、农业重要病虫害绿色防控、草畜配套等技术研发推广，推进农业科技集成攻关。完善基层农业科技推广体系，推行官方兽医派驻制度，稳定镇农技、农经、农安、畜牧兽医、林业等专业技术队伍，实行定责、定岗、定人。发挥“天府农业大师”工作室作用，组建科技特派员服务团，推进“乡村振兴科技在线”平台优化服务方式，提升服务质效。</w:t>
      </w:r>
    </w:p>
    <w:p w14:paraId="1D1ED2EC">
      <w:pPr>
        <w:pStyle w:val="8"/>
        <w:rPr>
          <w:rFonts w:hint="default" w:ascii="Times New Roman" w:hAnsi="Times New Roman" w:cs="Times New Roman"/>
        </w:rPr>
      </w:pPr>
    </w:p>
    <w:p w14:paraId="20CC8834">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5</w:t>
      </w:r>
      <w:r>
        <w:rPr>
          <w:rFonts w:hint="default" w:ascii="Times New Roman" w:hAnsi="Times New Roman" w:eastAsia="黑体" w:cs="Times New Roman"/>
          <w:color w:val="auto"/>
          <w:sz w:val="28"/>
          <w:szCs w:val="28"/>
        </w:rPr>
        <w:t>:构建新型农业经营体系重点工程</w:t>
      </w:r>
    </w:p>
    <w:p w14:paraId="617CFD70">
      <w:pPr>
        <w:pStyle w:val="8"/>
        <w:rPr>
          <w:rFonts w:hint="default" w:ascii="Times New Roman" w:hAnsi="Times New Roman" w:cs="Times New Roman"/>
        </w:rPr>
      </w:pPr>
    </w:p>
    <w:p w14:paraId="62DF4AC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01新型经营主体培育壮大工程</w:t>
      </w:r>
    </w:p>
    <w:p w14:paraId="3AA44E5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新培育产业化联盟7个，新培育市级以上家庭农场100家，新培育市级以上专合社50家，新引进农业龙头企业10家，新培育农业社会化服务主体50家，新型农业经营主体引领带动农户占农户总数60%以上。</w:t>
      </w:r>
    </w:p>
    <w:p w14:paraId="34209B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02经营主体利益联结机制建立工程</w:t>
      </w:r>
    </w:p>
    <w:p w14:paraId="2786733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促进小农户与现代农业发展有机衔接，加快建立“一个农业产业、一所产业技术研究院（所）、一名科技首席专家，一个科技创新团队、一批剪刀队伍、一批科技项目”的“1+5”科技推广服务体系；推广生产托管、订单农业、就业带动、保底分红等合作模式，支持小农户与新型农业经营主体建立“收益分成”“资产入股”等利益联结机制，增加农民收入。</w:t>
      </w:r>
    </w:p>
    <w:p w14:paraId="285FF7CA">
      <w:pPr>
        <w:rPr>
          <w:rFonts w:hint="default" w:ascii="Times New Roman" w:hAnsi="Times New Roman" w:eastAsia="黑体" w:cs="Times New Roman"/>
          <w:color w:val="auto"/>
          <w:sz w:val="32"/>
          <w:szCs w:val="32"/>
        </w:rPr>
      </w:pPr>
      <w:bookmarkStart w:id="23" w:name="_Toc101688794"/>
      <w:r>
        <w:rPr>
          <w:rFonts w:hint="default" w:ascii="Times New Roman" w:hAnsi="Times New Roman" w:eastAsia="黑体" w:cs="Times New Roman"/>
          <w:color w:val="auto"/>
          <w:sz w:val="32"/>
          <w:szCs w:val="32"/>
        </w:rPr>
        <w:br w:type="page"/>
      </w:r>
    </w:p>
    <w:p w14:paraId="4F9CCB3C">
      <w:pPr>
        <w:spacing w:line="600" w:lineRule="exact"/>
        <w:jc w:val="center"/>
        <w:outlineLvl w:val="0"/>
        <w:rPr>
          <w:rFonts w:hint="default" w:ascii="Times New Roman" w:hAnsi="Times New Roman" w:eastAsia="黑体" w:cs="Times New Roman"/>
          <w:color w:val="auto"/>
          <w:sz w:val="32"/>
          <w:szCs w:val="32"/>
        </w:rPr>
      </w:pPr>
    </w:p>
    <w:p w14:paraId="43286F7D">
      <w:pPr>
        <w:spacing w:line="60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实施美丽乡村靓颜行动，打造人与自然和谐共生新格局</w:t>
      </w:r>
      <w:bookmarkEnd w:id="23"/>
    </w:p>
    <w:p w14:paraId="4F65BB79">
      <w:pPr>
        <w:spacing w:line="600" w:lineRule="exact"/>
        <w:ind w:firstLine="640" w:firstLineChars="200"/>
        <w:rPr>
          <w:rFonts w:hint="default" w:ascii="Times New Roman" w:hAnsi="Times New Roman" w:eastAsia="仿宋_GB2312" w:cs="Times New Roman"/>
          <w:color w:val="auto"/>
          <w:sz w:val="32"/>
          <w:szCs w:val="32"/>
        </w:rPr>
      </w:pPr>
    </w:p>
    <w:p w14:paraId="65036690">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按照统筹规划、体现特质、全域推进、提升质量要求，以“诗意昭化·宜居乡村”建设为抓手，推动生产生活生态深度融合，全面提升生态宜居的农村环境，打造具有昭化特色的现代版“富春山居图”。</w:t>
      </w:r>
    </w:p>
    <w:p w14:paraId="57AF01AF">
      <w:pPr>
        <w:spacing w:line="600" w:lineRule="exact"/>
        <w:jc w:val="center"/>
        <w:rPr>
          <w:rFonts w:hint="default" w:ascii="Times New Roman" w:hAnsi="Times New Roman" w:eastAsia="仿宋_GB2312" w:cs="Times New Roman"/>
          <w:color w:val="auto"/>
          <w:sz w:val="32"/>
          <w:szCs w:val="32"/>
        </w:rPr>
      </w:pPr>
    </w:p>
    <w:p w14:paraId="76D9B849">
      <w:pPr>
        <w:spacing w:line="600" w:lineRule="exact"/>
        <w:jc w:val="center"/>
        <w:outlineLvl w:val="1"/>
        <w:rPr>
          <w:rFonts w:hint="default" w:ascii="Times New Roman" w:hAnsi="Times New Roman" w:eastAsia="楷体_GB2312" w:cs="Times New Roman"/>
          <w:b/>
          <w:color w:val="auto"/>
          <w:sz w:val="32"/>
          <w:szCs w:val="32"/>
        </w:rPr>
      </w:pPr>
      <w:bookmarkStart w:id="24" w:name="_Toc101688795"/>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分类推进村庄建设</w:t>
      </w:r>
      <w:bookmarkEnd w:id="24"/>
    </w:p>
    <w:p w14:paraId="62C17E8B">
      <w:pPr>
        <w:spacing w:line="600" w:lineRule="exact"/>
        <w:ind w:firstLine="643" w:firstLineChars="200"/>
        <w:rPr>
          <w:rFonts w:hint="default" w:ascii="Times New Roman" w:hAnsi="Times New Roman" w:eastAsia="仿宋_GB2312" w:cs="Times New Roman"/>
          <w:b/>
          <w:bCs/>
          <w:color w:val="auto"/>
          <w:sz w:val="32"/>
          <w:szCs w:val="32"/>
        </w:rPr>
      </w:pPr>
    </w:p>
    <w:p w14:paraId="55C18E96">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建设集聚提升类村庄。</w:t>
      </w:r>
      <w:r>
        <w:rPr>
          <w:rFonts w:hint="default" w:ascii="Times New Roman" w:hAnsi="Times New Roman" w:eastAsia="仿宋_GB2312" w:cs="Times New Roman"/>
          <w:color w:val="auto"/>
          <w:sz w:val="32"/>
          <w:szCs w:val="32"/>
        </w:rPr>
        <w:t>将已形成一定发展基础，第二、三产业有一定优势，或第一产业有一定优势但二、三产业发展较弱的、规模较大的中心村列入集聚提升类村庄，积极鼓励支持村庄发挥自身比较优势，依托现有产业基础，强化主导产业支撑，推动联动发展，促进村庄产业功能集聚与业态延伸，支持发展特色农业村庄、生态康养村庄、休闲旅游村庄、历史文化村庄等专业化村庄。</w:t>
      </w:r>
    </w:p>
    <w:p w14:paraId="383C8F10">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建设城郊融合类村庄。</w:t>
      </w:r>
      <w:r>
        <w:rPr>
          <w:rFonts w:hint="default" w:ascii="Times New Roman" w:hAnsi="Times New Roman" w:eastAsia="仿宋_GB2312" w:cs="Times New Roman"/>
          <w:color w:val="auto"/>
          <w:sz w:val="32"/>
          <w:szCs w:val="32"/>
        </w:rPr>
        <w:t>将城</w:t>
      </w:r>
      <w:r>
        <w:rPr>
          <w:rFonts w:hint="default" w:ascii="Times New Roman" w:hAnsi="Times New Roman" w:eastAsia="仿宋_GB2312" w:cs="Times New Roman"/>
          <w:color w:val="auto"/>
          <w:sz w:val="32"/>
          <w:szCs w:val="32"/>
          <w:lang w:eastAsia="zh-CN"/>
        </w:rPr>
        <w:t>市近郊</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场镇周边所在地的村庄列入城郊融合类村庄，结合乡镇行政区划改革、村建制调整等实际情况，从生态约束、多元融合、产业振兴、文化传承等方面综合考虑村庄建设；根据人口规模分析预测和新型城镇化需求，科学划定村域开发边界和城镇开发边界，加强国土空间管控。</w:t>
      </w:r>
    </w:p>
    <w:p w14:paraId="3CB0C547">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建设特色保护类村庄。</w:t>
      </w:r>
      <w:r>
        <w:rPr>
          <w:rFonts w:hint="default" w:ascii="Times New Roman" w:hAnsi="Times New Roman" w:eastAsia="仿宋_GB2312" w:cs="Times New Roman"/>
          <w:color w:val="auto"/>
          <w:sz w:val="32"/>
          <w:szCs w:val="32"/>
        </w:rPr>
        <w:t>将全区在册的历史文化名村、传统村落、特色景观旅游名村等具有特色资源禀赋的村庄列入特色保护类村庄。坚持统筹保护、利用与发展的关系原则，加大川北民居等传统特色村落、乡村历史文化名村名镇和文化遗产遗迹保护力度，保存历史文化符号，保留乡村特色风貌。</w:t>
      </w:r>
    </w:p>
    <w:p w14:paraId="4DB88D34">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合理安排搬迁撤并类村庄。</w:t>
      </w:r>
      <w:r>
        <w:rPr>
          <w:rFonts w:hint="default" w:ascii="Times New Roman" w:hAnsi="Times New Roman" w:eastAsia="仿宋_GB2312" w:cs="Times New Roman"/>
          <w:color w:val="auto"/>
          <w:sz w:val="32"/>
          <w:szCs w:val="32"/>
        </w:rPr>
        <w:t>将人口流失特别严重、生态环境脆弱或因重大项目建设需要搬迁的村庄列入搬迁撤并类村庄。村庄搬迁要科学合理选址，并与新型城镇化、农业现代化相结合，依托适宜区域进行搬迁安置，避免重复搬迁；统筹考虑拟迁入或新建村庄基础设施和公共服务设施建设；统筹考虑改善生存条件和提供就业出路，促进搬迁农户“搬得出，能致富”，统筹解决村民生计、生态保护等问题。</w:t>
      </w:r>
    </w:p>
    <w:p w14:paraId="506D538F">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试点建设零碳村庄。</w:t>
      </w:r>
      <w:r>
        <w:rPr>
          <w:rFonts w:hint="default" w:ascii="Times New Roman" w:hAnsi="Times New Roman" w:eastAsia="仿宋_GB2312" w:cs="Times New Roman"/>
          <w:color w:val="auto"/>
          <w:sz w:val="32"/>
          <w:szCs w:val="32"/>
        </w:rPr>
        <w:t>以农村居民新型生产生活需要为根本前提，从“绿色可持续能源、绿色宜居人居环境、绿色低碳生产生活方式”三大体系入手，对人居环境、生态景观工程、乡村产业发展方式进行多维度绿色新建和改造。</w:t>
      </w:r>
    </w:p>
    <w:p w14:paraId="5F8EEDB1">
      <w:pPr>
        <w:spacing w:line="600" w:lineRule="exact"/>
        <w:jc w:val="center"/>
        <w:rPr>
          <w:rFonts w:hint="default" w:ascii="Times New Roman" w:hAnsi="Times New Roman" w:eastAsia="仿宋_GB2312" w:cs="Times New Roman"/>
          <w:color w:val="auto"/>
          <w:sz w:val="32"/>
          <w:szCs w:val="32"/>
        </w:rPr>
      </w:pPr>
    </w:p>
    <w:p w14:paraId="59F642EF">
      <w:pPr>
        <w:spacing w:line="600" w:lineRule="exact"/>
        <w:jc w:val="center"/>
        <w:outlineLvl w:val="1"/>
        <w:rPr>
          <w:rFonts w:hint="default" w:ascii="Times New Roman" w:hAnsi="Times New Roman" w:eastAsia="楷体_GB2312" w:cs="Times New Roman"/>
          <w:b/>
          <w:color w:val="auto"/>
          <w:sz w:val="32"/>
          <w:szCs w:val="32"/>
        </w:rPr>
      </w:pPr>
      <w:bookmarkStart w:id="25" w:name="_Toc101688796"/>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持续改善农村人居环境</w:t>
      </w:r>
      <w:bookmarkEnd w:id="25"/>
    </w:p>
    <w:p w14:paraId="0E617D9A">
      <w:pPr>
        <w:spacing w:line="600" w:lineRule="exact"/>
        <w:ind w:firstLine="640" w:firstLineChars="200"/>
        <w:rPr>
          <w:rFonts w:hint="default" w:ascii="Times New Roman" w:hAnsi="Times New Roman" w:eastAsia="仿宋_GB2312" w:cs="Times New Roman"/>
          <w:color w:val="auto"/>
          <w:sz w:val="32"/>
          <w:szCs w:val="32"/>
        </w:rPr>
      </w:pPr>
    </w:p>
    <w:p w14:paraId="505BC859">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深入实施农村人居环境整治提升五年行动，以农村厕所革命、生活污水和垃圾治理、村容村貌提升为重点，以美丽庭园、美丽路网、美丽乡村建设为抓手，全面提升农村人居环境质量。</w:t>
      </w:r>
    </w:p>
    <w:p w14:paraId="054C2ADB">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深入推进厕所革命。</w:t>
      </w:r>
      <w:r>
        <w:rPr>
          <w:rFonts w:hint="default" w:ascii="Times New Roman" w:hAnsi="Times New Roman" w:eastAsia="仿宋_GB2312" w:cs="Times New Roman"/>
          <w:color w:val="auto"/>
          <w:sz w:val="32"/>
          <w:szCs w:val="32"/>
        </w:rPr>
        <w:t>推进农村“厕所革命”，按照群众接受、经济适用、维护方便、不污染公共水体的要求，持续</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农村“厕所革命”整村推进</w:t>
      </w:r>
      <w:r>
        <w:rPr>
          <w:rFonts w:hint="default" w:ascii="Times New Roman" w:hAnsi="Times New Roman" w:eastAsia="仿宋_GB2312" w:cs="Times New Roman"/>
          <w:color w:val="auto"/>
          <w:sz w:val="32"/>
          <w:szCs w:val="32"/>
          <w:lang w:eastAsia="zh-CN"/>
        </w:rPr>
        <w:t>行动，推进</w:t>
      </w:r>
      <w:r>
        <w:rPr>
          <w:rFonts w:hint="default" w:ascii="Times New Roman" w:hAnsi="Times New Roman" w:eastAsia="仿宋_GB2312" w:cs="Times New Roman"/>
          <w:color w:val="auto"/>
          <w:sz w:val="32"/>
          <w:szCs w:val="32"/>
        </w:rPr>
        <w:t>农村户用卫生厕所建设，全面消除露天粪坑，推行粪肥无害化处理还田。到2025年，实现农村户用</w:t>
      </w:r>
      <w:r>
        <w:rPr>
          <w:rFonts w:hint="default" w:ascii="Times New Roman" w:hAnsi="Times New Roman" w:eastAsia="仿宋_GB2312" w:cs="Times New Roman"/>
          <w:color w:val="auto"/>
          <w:sz w:val="32"/>
          <w:szCs w:val="32"/>
          <w:lang w:eastAsia="zh-CN"/>
        </w:rPr>
        <w:t>卫生</w:t>
      </w:r>
      <w:r>
        <w:rPr>
          <w:rFonts w:hint="default" w:ascii="Times New Roman" w:hAnsi="Times New Roman" w:eastAsia="仿宋_GB2312" w:cs="Times New Roman"/>
          <w:color w:val="auto"/>
          <w:sz w:val="32"/>
          <w:szCs w:val="32"/>
        </w:rPr>
        <w:t>厕所普及率达到95%以上，每个行政村至少有1处公共厕所。</w:t>
      </w:r>
    </w:p>
    <w:p w14:paraId="26414473">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统筹推进生活污水治理。</w:t>
      </w:r>
      <w:r>
        <w:rPr>
          <w:rFonts w:hint="default" w:ascii="Times New Roman" w:hAnsi="Times New Roman" w:eastAsia="仿宋_GB2312" w:cs="Times New Roman"/>
          <w:color w:val="auto"/>
          <w:sz w:val="32"/>
          <w:szCs w:val="32"/>
        </w:rPr>
        <w:t>推进农村污水治理，以房前屋后、河塘沟渠为重点，清捡漂浮垃圾，实施清淤疏浚，逐步消除农村黑臭水体。因地制宜选择农村生活污水治理方式，对集聚程度较高的农村区域，优先纳入城镇污水处理厂（站）处理，推动城镇污水管网向周边村庄延伸覆盖，对居住较为分散的农村区域，就地就近采用化粪池等无动力处理技术分散处理，积极推广低成本、低能耗、易维护、高效率的污水处理技术。大力推进乡镇集中式饮水水源地保护区环境问题整治，确保人民群众饮水安全。</w:t>
      </w:r>
    </w:p>
    <w:p w14:paraId="4DC3A680">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强化生活垃圾分类治理。</w:t>
      </w:r>
      <w:r>
        <w:rPr>
          <w:rFonts w:hint="default" w:ascii="Times New Roman" w:hAnsi="Times New Roman" w:eastAsia="仿宋_GB2312" w:cs="Times New Roman"/>
          <w:color w:val="auto"/>
          <w:sz w:val="32"/>
          <w:szCs w:val="32"/>
        </w:rPr>
        <w:t>推进农村生活垃圾进行分类收集，实现户有收集容器，村有分类屋、再生资源回收点，乡镇有垃圾压缩中转站、转运车，健全城乡生活垃圾收运、处理体系。探索农村环保设施建设运营市场化机制，健全财政补贴和农户付费合理分担机制。</w:t>
      </w:r>
    </w:p>
    <w:p w14:paraId="73F3CA6A">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实施村庄清洁行动。</w:t>
      </w:r>
      <w:r>
        <w:rPr>
          <w:rFonts w:hint="default" w:ascii="Times New Roman" w:hAnsi="Times New Roman" w:eastAsia="仿宋_GB2312" w:cs="Times New Roman"/>
          <w:color w:val="auto"/>
          <w:sz w:val="32"/>
          <w:szCs w:val="32"/>
        </w:rPr>
        <w:t>健全常态化保洁制度，在行政村全面建立和完善保洁员、清运员、监督员“三员”队伍。推进农村生产生活方式清洁化，按照“一控两减三基本”目标要求，严格控制农业用水总量，减少化肥和农药使用量，基本实现农作物秸秆、畜禽粪便、农田残膜资源化利用。</w:t>
      </w:r>
    </w:p>
    <w:p w14:paraId="70A79E0F">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6</w:t>
      </w:r>
      <w:r>
        <w:rPr>
          <w:rFonts w:hint="default" w:ascii="Times New Roman" w:hAnsi="Times New Roman" w:eastAsia="黑体" w:cs="Times New Roman"/>
          <w:color w:val="auto"/>
          <w:sz w:val="28"/>
          <w:szCs w:val="28"/>
        </w:rPr>
        <w:t>:农村人居环境建设重点工程</w:t>
      </w:r>
    </w:p>
    <w:p w14:paraId="68FE8390">
      <w:pPr>
        <w:pStyle w:val="8"/>
        <w:rPr>
          <w:rFonts w:hint="default"/>
        </w:rPr>
      </w:pPr>
    </w:p>
    <w:p w14:paraId="73C1B44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00" w:lineRule="exact"/>
        <w:ind w:firstLine="482" w:firstLineChars="200"/>
        <w:textAlignment w:val="auto"/>
        <w:rPr>
          <w:rFonts w:hint="default" w:ascii="Times New Roman" w:hAnsi="Times New Roman" w:eastAsia="仿宋_GB2312" w:cs="Times New Roman"/>
          <w:b/>
          <w:bCs/>
          <w:color w:val="auto"/>
          <w:sz w:val="24"/>
        </w:rPr>
      </w:pPr>
    </w:p>
    <w:p w14:paraId="485191A8">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01农村生活垃圾费分类处理工程</w:t>
      </w:r>
    </w:p>
    <w:p w14:paraId="357BD35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进农村生活垃圾分类收集，在所建制镇内，建立压缩式垃圾中转站24座（50吨/座），压缩箱48个，分类收集箱120个，小型运输车24个，大型转运车5个，在三江新区内，建立压缩式垃圾中转站10座（50吨/座），压缩箱20个，分类收集箱50个，小型运输车6个，大型转运车2个，健全城乡生活垃圾收运、处理体系。</w:t>
      </w:r>
    </w:p>
    <w:p w14:paraId="5C426011">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02农村生活污水高效治理工程</w:t>
      </w:r>
    </w:p>
    <w:p w14:paraId="31128B30">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积极推广低成本、低能耗、易维护、高效率的污水处理技术，新建集中生活污水处理设施80处，添置污水贮存、回用设施45套，配套截污管网、沟渠6.5公里、引污管道12公里，将12个建制镇的供水（改扩建）、污水处理设施改扩建（处理设施、污水管网建设）进行运营维护管理，对60个行政村完成农村生活污水治理。</w:t>
      </w:r>
    </w:p>
    <w:p w14:paraId="7AB572C4">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03农村厕所革命持续推进工程</w:t>
      </w:r>
    </w:p>
    <w:p w14:paraId="722F8577">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持续推进农村户用卫生厕所建设，新改建农村公厕</w:t>
      </w:r>
      <w:r>
        <w:rPr>
          <w:rFonts w:hint="default" w:ascii="Times New Roman" w:hAnsi="Times New Roman" w:eastAsia="仿宋_GB2312" w:cs="Times New Roman"/>
          <w:color w:val="auto"/>
          <w:sz w:val="24"/>
          <w:lang w:val="en-US" w:eastAsia="zh-CN"/>
        </w:rPr>
        <w:t>8</w:t>
      </w:r>
      <w:r>
        <w:rPr>
          <w:rFonts w:hint="default" w:ascii="Times New Roman" w:hAnsi="Times New Roman" w:eastAsia="仿宋_GB2312" w:cs="Times New Roman"/>
          <w:color w:val="auto"/>
          <w:sz w:val="24"/>
        </w:rPr>
        <w:t>座，新改建乡村旅游点厕所</w:t>
      </w:r>
      <w:r>
        <w:rPr>
          <w:rFonts w:hint="default"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rPr>
        <w:t>座，新改建无害化户用卫生厕所</w:t>
      </w:r>
      <w:r>
        <w:rPr>
          <w:rFonts w:hint="default" w:ascii="Times New Roman" w:hAnsi="Times New Roman" w:eastAsia="仿宋_GB2312" w:cs="Times New Roman"/>
          <w:color w:val="auto"/>
          <w:sz w:val="24"/>
          <w:lang w:val="en-US" w:eastAsia="zh-CN"/>
        </w:rPr>
        <w:t>1.5</w:t>
      </w:r>
      <w:r>
        <w:rPr>
          <w:rFonts w:hint="default" w:ascii="Times New Roman" w:hAnsi="Times New Roman" w:eastAsia="仿宋_GB2312" w:cs="Times New Roman"/>
          <w:color w:val="auto"/>
          <w:sz w:val="24"/>
        </w:rPr>
        <w:t>万户</w:t>
      </w:r>
      <w:r>
        <w:rPr>
          <w:rFonts w:hint="default" w:ascii="Times New Roman" w:hAnsi="Times New Roman" w:eastAsia="仿宋_GB2312" w:cs="Times New Roman"/>
          <w:color w:val="auto"/>
          <w:sz w:val="24"/>
          <w:lang w:eastAsia="zh-CN"/>
        </w:rPr>
        <w:t>以上，</w:t>
      </w:r>
      <w:r>
        <w:rPr>
          <w:rFonts w:hint="default" w:ascii="Times New Roman" w:hAnsi="Times New Roman" w:eastAsia="仿宋_GB2312" w:cs="Times New Roman"/>
          <w:color w:val="auto"/>
          <w:sz w:val="24"/>
        </w:rPr>
        <w:t>实现农村户用</w:t>
      </w:r>
      <w:r>
        <w:rPr>
          <w:rFonts w:hint="default" w:ascii="Times New Roman" w:hAnsi="Times New Roman" w:eastAsia="仿宋_GB2312" w:cs="Times New Roman"/>
          <w:color w:val="auto"/>
          <w:sz w:val="24"/>
          <w:lang w:eastAsia="zh-CN"/>
        </w:rPr>
        <w:t>卫生</w:t>
      </w:r>
      <w:r>
        <w:rPr>
          <w:rFonts w:hint="default" w:ascii="Times New Roman" w:hAnsi="Times New Roman" w:eastAsia="仿宋_GB2312" w:cs="Times New Roman"/>
          <w:color w:val="auto"/>
          <w:sz w:val="24"/>
        </w:rPr>
        <w:t>厕所普及率达到95%以上，每个行政村至少有1处公共厕所。</w:t>
      </w:r>
    </w:p>
    <w:p w14:paraId="6060DF58">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04农村村容村貌改造工程</w:t>
      </w:r>
    </w:p>
    <w:p w14:paraId="3BB6083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完成全区126个村庄规划及建设；新建道路改造8.5公里、雨污管网8.6公里、供水管网8.9公里，新建生态停车场6个0.6万平方米，配套路灯绿化等；改造提升虎跳镇、清水镇、红岩镇、太公镇、王家镇等10个镇场镇道路、雨污管网、停车场、公厕、路灯、绿化、风貌等进行升级改造，对全区126个村村容村貌及照明设施进行提升改造不低于40%；新建夯土建筑、装配式建筑等新型农房20000平方米，对全区存在安全隐患的农房进行巩固提升，消除安全隐患。</w:t>
      </w:r>
    </w:p>
    <w:p w14:paraId="5138B368">
      <w:pPr>
        <w:spacing w:line="576" w:lineRule="exact"/>
        <w:jc w:val="center"/>
        <w:outlineLvl w:val="1"/>
        <w:rPr>
          <w:rFonts w:hint="default" w:ascii="Times New Roman" w:hAnsi="Times New Roman" w:eastAsia="楷体_GB2312" w:cs="Times New Roman"/>
          <w:b/>
          <w:color w:val="auto"/>
          <w:sz w:val="32"/>
          <w:szCs w:val="32"/>
        </w:rPr>
      </w:pPr>
      <w:bookmarkStart w:id="26" w:name="_Toc101688797"/>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加强农村基础设施建设</w:t>
      </w:r>
      <w:bookmarkEnd w:id="26"/>
    </w:p>
    <w:p w14:paraId="06D67729">
      <w:pPr>
        <w:spacing w:line="576" w:lineRule="exact"/>
        <w:ind w:firstLine="643" w:firstLineChars="200"/>
        <w:rPr>
          <w:rFonts w:hint="default" w:ascii="Times New Roman" w:hAnsi="Times New Roman" w:eastAsia="仿宋_GB2312" w:cs="Times New Roman"/>
          <w:b/>
          <w:bCs/>
          <w:color w:val="auto"/>
          <w:sz w:val="32"/>
          <w:szCs w:val="32"/>
        </w:rPr>
      </w:pPr>
    </w:p>
    <w:p w14:paraId="5284363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强化城乡供水安全保障。</w:t>
      </w:r>
      <w:r>
        <w:rPr>
          <w:rFonts w:hint="default" w:ascii="Times New Roman" w:hAnsi="Times New Roman" w:eastAsia="仿宋_GB2312" w:cs="Times New Roman"/>
          <w:color w:val="auto"/>
          <w:sz w:val="32"/>
          <w:szCs w:val="32"/>
        </w:rPr>
        <w:t>以全省乡村水务试点为抓手，推进城乡供水一体化建设，农村自来水</w:t>
      </w:r>
      <w:r>
        <w:rPr>
          <w:rFonts w:hint="default" w:ascii="Times New Roman" w:hAnsi="Times New Roman" w:eastAsia="仿宋_GB2312" w:cs="Times New Roman"/>
          <w:color w:val="auto"/>
          <w:sz w:val="32"/>
          <w:szCs w:val="32"/>
          <w:lang w:eastAsia="zh-CN"/>
        </w:rPr>
        <w:t>管网覆盖率达到</w:t>
      </w: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巩固提升已建农村供水工程成果，加强应急备用水源工程建设，建设一批供水水源工程，开展城乡供水一体化、规模化供水工程建设和小型工程标准化改造，提升重点区域和城乡供水保障能力，提高应对特大干旱、突发水安全事件能力，开展节水型社会达标建设。采取适当新建、联通扩能、补充分散的方式，全域规划农村饮水安全。以适度新建大集中、联通整合小集中、适当补充分散工程的方式全域整体推进，增加集中供水覆盖面，保障分散供水户季节性用水。</w:t>
      </w:r>
    </w:p>
    <w:p w14:paraId="7FC0C3F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优化农村道路通行系统。</w:t>
      </w:r>
      <w:r>
        <w:rPr>
          <w:rFonts w:hint="default" w:ascii="Times New Roman" w:hAnsi="Times New Roman" w:eastAsia="仿宋_GB2312" w:cs="Times New Roman"/>
          <w:color w:val="auto"/>
          <w:sz w:val="32"/>
          <w:szCs w:val="32"/>
        </w:rPr>
        <w:t>充分利用全省农村公路网规划编制的发展机遇，优先支持涉改乡镇交通项目建设，加快推进尚未达标的</w:t>
      </w:r>
      <w:r>
        <w:rPr>
          <w:rFonts w:hint="eastAsia" w:ascii="Times New Roman" w:hAnsi="Times New Roman" w:eastAsia="仿宋_GB2312" w:cs="Times New Roman"/>
          <w:color w:val="auto"/>
          <w:sz w:val="32"/>
          <w:szCs w:val="32"/>
          <w:lang w:eastAsia="zh-CN"/>
        </w:rPr>
        <w:t>常住人口</w:t>
      </w:r>
      <w:r>
        <w:rPr>
          <w:rFonts w:hint="default" w:ascii="Times New Roman" w:hAnsi="Times New Roman" w:eastAsia="仿宋_GB2312" w:cs="Times New Roman"/>
          <w:color w:val="auto"/>
          <w:sz w:val="32"/>
          <w:szCs w:val="32"/>
        </w:rPr>
        <w:t>30户及以上的村民小组通组硬化路，以及撤并村联网路建设，推动农村公路向进村入户延伸，进一步改善农民群众出行条件，到2025年底，全面完成撤并村联网路建设，路面宽度全部达到4.5米及以上标准。围绕推进“美丽四川宜居乡村”建设，以建制村通双车道、镇通三级公路以及改善旅游景区景点和产业园区对外连通公路条件为重点，加快幸福美丽乡村路建设，着力推进县乡道提档升级，力争实现重点产业园区和乡村旅游景点等级公路全覆盖，提升路网总体技术等级和服务保障能力，带动农村地区“交通+旅游”“交通+特色农业”发展。完善农村公路“建、管、养、运”协调发展机制，到2022年实现农村公路护养率达100%。畅通城乡运输微循环，推进乡村运输“金通工程”，统筹推进一批农村客运站点、站牌等基础设施建设，构建线路优化、层次互配、网络全覆盖的镇村公交线网运行系统。</w:t>
      </w:r>
    </w:p>
    <w:p w14:paraId="213BD21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完善农村能源基础设施。</w:t>
      </w:r>
      <w:r>
        <w:rPr>
          <w:rFonts w:hint="default" w:ascii="Times New Roman" w:hAnsi="Times New Roman" w:eastAsia="仿宋_GB2312" w:cs="Times New Roman"/>
          <w:color w:val="auto"/>
          <w:sz w:val="32"/>
          <w:szCs w:val="32"/>
        </w:rPr>
        <w:t>加强农村电网改造，开展低电压整治工程，提高农村配电和网络建设标准，乡镇（街道）农网供电水平达到国家标准，加大电力系统安全隐患大排查力度，全面提升供电能力和供电质量，保证用电安全、可靠。推进天然气合理布局，推动天然气管网向农村延伸，扩大天然气通村覆盖面，大力实施白果风力发电项目建设，着力构建清洁低碳、安全高效的现代能源体系。</w:t>
      </w:r>
    </w:p>
    <w:p w14:paraId="1B954B2D">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7</w:t>
      </w:r>
      <w:r>
        <w:rPr>
          <w:rFonts w:hint="default" w:ascii="Times New Roman" w:hAnsi="Times New Roman" w:eastAsia="黑体" w:cs="Times New Roman"/>
          <w:color w:val="auto"/>
          <w:sz w:val="28"/>
          <w:szCs w:val="28"/>
        </w:rPr>
        <w:t>:农村基础设施建设重点工程</w:t>
      </w:r>
    </w:p>
    <w:p w14:paraId="6347262C">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01农村道路系统优化工程</w:t>
      </w:r>
    </w:p>
    <w:p w14:paraId="336681DE">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统筹推进农村公路路网规划调整，“十四五”规划期间新建产业路、园区路等农村道路</w:t>
      </w:r>
      <w:r>
        <w:rPr>
          <w:rFonts w:hint="default" w:ascii="Times New Roman" w:hAnsi="Times New Roman" w:eastAsia="仿宋_GB2312" w:cs="Times New Roman"/>
          <w:color w:val="auto"/>
          <w:sz w:val="24"/>
          <w:lang w:val="en-US" w:eastAsia="zh-CN"/>
        </w:rPr>
        <w:t>200</w:t>
      </w:r>
      <w:r>
        <w:rPr>
          <w:rFonts w:hint="default" w:ascii="Times New Roman" w:hAnsi="Times New Roman" w:eastAsia="仿宋_GB2312" w:cs="Times New Roman"/>
          <w:color w:val="auto"/>
          <w:sz w:val="24"/>
        </w:rPr>
        <w:t>公里；规划期末，全面完成撤并村联网路建设，路面宽度全部达到4.5米及以上标准；畅通城乡运输微循环，完善农村公路“建、管、养、运”协调发展机制，到2022年实现农村公路护养率达100%。</w:t>
      </w:r>
    </w:p>
    <w:p w14:paraId="6AD6786D">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02农村电网质量巩固提升工程</w:t>
      </w:r>
    </w:p>
    <w:p w14:paraId="2F1FCD2F">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开展低电压整治工程，提高农村配电和网络建设标准，乡镇（街道）农网供电水平和网络通达水平达到国家标准，加大电力系统安全隐患大排查力度，全面提升供电能力和供电质量，保证用电安全、可靠，用网通畅、便捷。</w:t>
      </w:r>
    </w:p>
    <w:p w14:paraId="3D629FDF">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03农村能源基础设施完善工程</w:t>
      </w:r>
    </w:p>
    <w:p w14:paraId="2E58F502">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推进“沼改厕”技术推广，开展沼气等能源项目后续管护试点和太阳能、浅层地热能、生物质能等可再生能源试点；推动天然气管网向农村延伸，扩大天然气通村覆盖面，稳步发展农村沼气综合利用工程。</w:t>
      </w:r>
    </w:p>
    <w:p w14:paraId="5338AA7E">
      <w:pPr>
        <w:keepNext w:val="0"/>
        <w:keepLines w:val="0"/>
        <w:pageBreakBefore w:val="0"/>
        <w:widowControl w:val="0"/>
        <w:kinsoku/>
        <w:wordWrap/>
        <w:overflowPunct/>
        <w:topLinePunct w:val="0"/>
        <w:autoSpaceDE/>
        <w:autoSpaceDN/>
        <w:bidi w:val="0"/>
        <w:adjustRightInd/>
        <w:snapToGrid/>
        <w:spacing w:line="376" w:lineRule="exact"/>
        <w:ind w:firstLine="640" w:firstLineChars="200"/>
        <w:textAlignment w:val="auto"/>
        <w:rPr>
          <w:rFonts w:hint="default" w:ascii="Times New Roman" w:hAnsi="Times New Roman" w:eastAsia="仿宋_GB2312" w:cs="Times New Roman"/>
          <w:color w:val="auto"/>
          <w:sz w:val="32"/>
          <w:szCs w:val="32"/>
        </w:rPr>
      </w:pPr>
    </w:p>
    <w:p w14:paraId="7FDBECD7">
      <w:pPr>
        <w:spacing w:line="550" w:lineRule="exact"/>
        <w:jc w:val="center"/>
        <w:outlineLvl w:val="0"/>
        <w:rPr>
          <w:rFonts w:hint="default" w:ascii="Times New Roman" w:hAnsi="Times New Roman" w:eastAsia="黑体" w:cs="Times New Roman"/>
          <w:color w:val="auto"/>
          <w:sz w:val="32"/>
          <w:szCs w:val="32"/>
        </w:rPr>
      </w:pPr>
      <w:bookmarkStart w:id="27" w:name="_Toc101688798"/>
      <w:r>
        <w:rPr>
          <w:rFonts w:hint="default" w:ascii="Times New Roman" w:hAnsi="Times New Roman" w:eastAsia="黑体" w:cs="Times New Roman"/>
          <w:color w:val="auto"/>
          <w:sz w:val="32"/>
          <w:szCs w:val="32"/>
        </w:rPr>
        <w:t>第七章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实施乡村善治提升行动，健全乡村治理体系</w:t>
      </w:r>
      <w:bookmarkEnd w:id="27"/>
    </w:p>
    <w:p w14:paraId="56B756B5">
      <w:pPr>
        <w:spacing w:line="550" w:lineRule="exact"/>
        <w:ind w:firstLine="640" w:firstLineChars="200"/>
        <w:rPr>
          <w:rFonts w:hint="default" w:ascii="Times New Roman" w:hAnsi="Times New Roman" w:eastAsia="仿宋_GB2312" w:cs="Times New Roman"/>
          <w:color w:val="auto"/>
          <w:sz w:val="32"/>
          <w:szCs w:val="32"/>
        </w:rPr>
      </w:pPr>
    </w:p>
    <w:p w14:paraId="5784724C">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抓基层、打基础”的要求，推动乡村组织振兴，建立健全党委领导、政府负责、社会协同、公众参与、法治保障的现代乡村社会治理体制，加快构建自治、法治、德治相结合的乡村治理体系，打造充满活力、安定有序的善治乡村。</w:t>
      </w:r>
    </w:p>
    <w:p w14:paraId="20293C40">
      <w:pPr>
        <w:keepNext w:val="0"/>
        <w:keepLines w:val="0"/>
        <w:pageBreakBefore w:val="0"/>
        <w:widowControl w:val="0"/>
        <w:kinsoku/>
        <w:wordWrap/>
        <w:overflowPunct/>
        <w:topLinePunct w:val="0"/>
        <w:autoSpaceDE/>
        <w:autoSpaceDN/>
        <w:bidi w:val="0"/>
        <w:adjustRightInd/>
        <w:snapToGrid/>
        <w:spacing w:line="410" w:lineRule="exact"/>
        <w:jc w:val="center"/>
        <w:textAlignment w:val="auto"/>
        <w:outlineLvl w:val="1"/>
        <w:rPr>
          <w:rFonts w:hint="default" w:ascii="Times New Roman" w:hAnsi="Times New Roman" w:eastAsia="楷体_GB2312" w:cs="Times New Roman"/>
          <w:b/>
          <w:color w:val="auto"/>
          <w:sz w:val="32"/>
          <w:szCs w:val="32"/>
        </w:rPr>
      </w:pPr>
    </w:p>
    <w:p w14:paraId="45E27B0B">
      <w:pPr>
        <w:spacing w:line="550" w:lineRule="exact"/>
        <w:jc w:val="center"/>
        <w:outlineLvl w:val="1"/>
        <w:rPr>
          <w:rFonts w:hint="default" w:ascii="Times New Roman" w:hAnsi="Times New Roman" w:eastAsia="楷体_GB2312" w:cs="Times New Roman"/>
          <w:b/>
          <w:color w:val="auto"/>
          <w:sz w:val="32"/>
          <w:szCs w:val="32"/>
        </w:rPr>
      </w:pPr>
      <w:bookmarkStart w:id="28" w:name="_Toc101688799"/>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加强农村基层组织建设</w:t>
      </w:r>
      <w:bookmarkEnd w:id="28"/>
    </w:p>
    <w:p w14:paraId="7024B991">
      <w:pPr>
        <w:keepNext w:val="0"/>
        <w:keepLines w:val="0"/>
        <w:pageBreakBefore w:val="0"/>
        <w:widowControl w:val="0"/>
        <w:kinsoku/>
        <w:wordWrap/>
        <w:overflowPunct/>
        <w:topLinePunct w:val="0"/>
        <w:autoSpaceDE/>
        <w:autoSpaceDN/>
        <w:bidi w:val="0"/>
        <w:adjustRightInd/>
        <w:snapToGrid/>
        <w:spacing w:line="350" w:lineRule="exact"/>
        <w:ind w:firstLine="640" w:firstLineChars="200"/>
        <w:textAlignment w:val="auto"/>
        <w:rPr>
          <w:rFonts w:hint="default" w:ascii="Times New Roman" w:hAnsi="Times New Roman" w:eastAsia="仿宋_GB2312" w:cs="Times New Roman"/>
          <w:color w:val="auto"/>
          <w:sz w:val="32"/>
          <w:szCs w:val="32"/>
        </w:rPr>
      </w:pPr>
    </w:p>
    <w:p w14:paraId="68454C45">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区委抓镇促村，健全镇党委统一指挥和统筹协调机制，加强镇、村集中换届后班子建设。做好“两项”改革后半篇文章，规范完善镇机构设置，提升基层治理统筹能力，构建区镇村联动推进工作格局，争创省级基层治理示范县。制定权责清单，推进镇扩权赋能，强化镇便民服务功能，开展镇治理现代化试点示范，推动昭化镇创建为省级乡镇治理现代化示范点。全面开展农村党组织带头人提能培训，发挥驻村第一书记和工作队抓党建促乡村振兴作用，持续整顿软弱涣散基层党组织，创建一批星级先进村党组织。完善村级重要事项、重大问题经村党组织研究讨论机制，推行“四议两公开”。推进村委会规范化建设。加强基层纪检监察组织与村务监督组织的沟通协作，强化对村“两委”成员特别是“一肩挑”人员的监督。推广村级组织依法自治事项、依法协助政府工作事项清单制，落实村级基础信息统计“一张表”制度，切实减轻村级组织负担。</w:t>
      </w:r>
    </w:p>
    <w:p w14:paraId="663B938C">
      <w:pPr>
        <w:spacing w:line="550" w:lineRule="exact"/>
        <w:jc w:val="center"/>
        <w:outlineLvl w:val="1"/>
        <w:rPr>
          <w:rFonts w:hint="default" w:ascii="Times New Roman" w:hAnsi="Times New Roman" w:eastAsia="楷体_GB2312" w:cs="Times New Roman"/>
          <w:b/>
          <w:color w:val="auto"/>
          <w:sz w:val="32"/>
          <w:szCs w:val="32"/>
        </w:rPr>
      </w:pPr>
      <w:bookmarkStart w:id="29" w:name="_Toc101688800"/>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健全自治体系</w:t>
      </w:r>
      <w:bookmarkEnd w:id="29"/>
    </w:p>
    <w:p w14:paraId="7776528A">
      <w:pPr>
        <w:spacing w:line="550" w:lineRule="exact"/>
        <w:ind w:firstLine="640" w:firstLineChars="200"/>
        <w:rPr>
          <w:rFonts w:hint="default" w:ascii="Times New Roman" w:hAnsi="Times New Roman" w:eastAsia="仿宋_GB2312" w:cs="Times New Roman"/>
          <w:color w:val="auto"/>
          <w:sz w:val="32"/>
          <w:szCs w:val="32"/>
        </w:rPr>
      </w:pPr>
    </w:p>
    <w:p w14:paraId="7E4AB79D">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村党组织领导村级自治体制机制，持续实施村党组织带头人队伍优化行动，抓实优秀农民工回引培养工程、村党组织带头人学历提升计划和村级后备力量培育工程，实施新时代头雁领航行动，健全村级集体经济组织运行机制，健全村级民事代办制度。鼓励发展村（居）民说事、民情恳谈、百姓议事等各类协商自治组织。加强基层群众性自治组织法治化、规范化建设,充分发挥村（居）委会及红白理事会作用，整治婚丧大操大办、高额彩礼、铺张浪费、厚葬薄养等不良习俗，全面引导婚前健康检查，推进婚丧习俗改革，引导树立厚养薄葬、节地生态、移风易俗、文明祭祀的殡葬新风尚。探索现代农业园区、易地扶贫搬迁集中安置点等有效治理机制。建设社会组织孵化基地，拓展社会组织参与社会治理发展空间，鼓励社会企业发挥自身优势参与社会治理，大力培养社会工作专业人才。</w:t>
      </w:r>
    </w:p>
    <w:p w14:paraId="09006555">
      <w:pPr>
        <w:spacing w:line="550" w:lineRule="exact"/>
        <w:jc w:val="center"/>
        <w:rPr>
          <w:rFonts w:hint="default" w:ascii="Times New Roman" w:hAnsi="Times New Roman" w:eastAsia="仿宋_GB2312" w:cs="Times New Roman"/>
          <w:color w:val="auto"/>
          <w:sz w:val="32"/>
          <w:szCs w:val="32"/>
        </w:rPr>
      </w:pPr>
    </w:p>
    <w:p w14:paraId="1A29CCDC">
      <w:pPr>
        <w:spacing w:line="550" w:lineRule="exact"/>
        <w:jc w:val="center"/>
        <w:outlineLvl w:val="1"/>
        <w:rPr>
          <w:rFonts w:hint="default" w:ascii="Times New Roman" w:hAnsi="Times New Roman" w:eastAsia="楷体_GB2312" w:cs="Times New Roman"/>
          <w:b/>
          <w:color w:val="auto"/>
          <w:sz w:val="32"/>
          <w:szCs w:val="32"/>
        </w:rPr>
      </w:pPr>
      <w:bookmarkStart w:id="30" w:name="_Toc101688801"/>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推进平安法治乡村建设</w:t>
      </w:r>
      <w:bookmarkEnd w:id="30"/>
    </w:p>
    <w:p w14:paraId="261C4057">
      <w:pPr>
        <w:spacing w:line="550" w:lineRule="exact"/>
        <w:ind w:firstLine="640" w:firstLineChars="200"/>
        <w:rPr>
          <w:rFonts w:hint="default" w:ascii="Times New Roman" w:hAnsi="Times New Roman" w:eastAsia="仿宋_GB2312" w:cs="Times New Roman"/>
          <w:color w:val="auto"/>
          <w:sz w:val="32"/>
          <w:szCs w:val="32"/>
        </w:rPr>
      </w:pPr>
    </w:p>
    <w:p w14:paraId="68440FC8">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续巩固全国、全省平安建设先进县区成果，堵漏洞、强弱项，破解影响农村平安建设成效的问题隐患。深化党建引领网格化服务管理，优化调整社区网格，推进网格员队伍标准化建设，组建网格党组织或党小组，构建“区委+镇党委+村（社区）党组织+网格党组织（党小组）”的网格化管理四级组织领导体系，强化“雪亮工程”联网应用，大力推进“慧眼工程”，加强农村网格化服务管理，建成昭化区党建引领网格化服务管理协调指挥中心。健全乡村社会治安风险隐患信息化排查处置体系，落实疫情精准防控和涉诈人员源头管控。完善农村矛盾纠纷多元化解机制，健全调解员队伍，加强人民调解工作，做到“小事不出村、大事不出镇、矛盾不上交”。依法打击各种涉农违法犯罪行为。常态化推进扫黑除恶斗争，完善防范和整治“村霸”、家族宗族势力等问题长效机制。加强农村道路交通安全隐患排查和整治。强化农村法治宣传教育，实施“法律明白人”培养工程，深化法治示范镇、“六无”平安村（社区）和民主法治示范村创建。做好农村地区新冠肺炎疫情常态化防控。</w:t>
      </w:r>
    </w:p>
    <w:p w14:paraId="74E37868">
      <w:pPr>
        <w:spacing w:line="550" w:lineRule="exact"/>
        <w:jc w:val="center"/>
        <w:rPr>
          <w:rFonts w:hint="default" w:ascii="Times New Roman" w:hAnsi="Times New Roman" w:eastAsia="仿宋_GB2312" w:cs="Times New Roman"/>
          <w:color w:val="auto"/>
          <w:sz w:val="32"/>
          <w:szCs w:val="32"/>
        </w:rPr>
      </w:pPr>
    </w:p>
    <w:p w14:paraId="065324E2">
      <w:pPr>
        <w:spacing w:line="550" w:lineRule="exact"/>
        <w:jc w:val="center"/>
        <w:outlineLvl w:val="1"/>
        <w:rPr>
          <w:rFonts w:hint="default" w:ascii="Times New Roman" w:hAnsi="Times New Roman" w:eastAsia="楷体_GB2312" w:cs="Times New Roman"/>
          <w:b/>
          <w:color w:val="auto"/>
          <w:sz w:val="32"/>
          <w:szCs w:val="32"/>
        </w:rPr>
      </w:pPr>
      <w:bookmarkStart w:id="31" w:name="_Toc101688802"/>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推进农村精神文明建设</w:t>
      </w:r>
      <w:bookmarkEnd w:id="31"/>
    </w:p>
    <w:p w14:paraId="1E63F24E">
      <w:pPr>
        <w:spacing w:line="550" w:lineRule="exact"/>
        <w:ind w:firstLine="640" w:firstLineChars="200"/>
        <w:rPr>
          <w:rFonts w:hint="default" w:ascii="Times New Roman" w:hAnsi="Times New Roman" w:eastAsia="仿宋_GB2312" w:cs="Times New Roman"/>
          <w:color w:val="auto"/>
          <w:sz w:val="32"/>
          <w:szCs w:val="32"/>
        </w:rPr>
      </w:pPr>
    </w:p>
    <w:p w14:paraId="276ED903">
      <w:pPr>
        <w:spacing w:line="55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弘扬和践行社会主义核心价值观，推动习近平新时代中国特色社会主义思想进农村。深化文明村镇、文明家庭等群众性精神文明创建活动，聚力新时代文明实践所站建设，开展文明风尚行动，实施文明新风积分激励制度，持续开展知客“四讲”，传立家训家风。实施镇公共文化服务提质增效工程和乡村文化振兴“百千万”工程，持续开展魅力乡镇竞演、美丽乡村文艺“走亲”系列群众文化活动，建设一批乡村文化振兴样板镇、村。实施优秀传统文化保护传承工程，加强传统村落、乡村文脉保护传承。</w:t>
      </w:r>
    </w:p>
    <w:p w14:paraId="12811790">
      <w:pPr>
        <w:spacing w:line="600" w:lineRule="exact"/>
        <w:jc w:val="center"/>
        <w:outlineLvl w:val="0"/>
        <w:rPr>
          <w:rFonts w:hint="default" w:ascii="Times New Roman" w:hAnsi="Times New Roman" w:eastAsia="黑体" w:cs="Times New Roman"/>
          <w:color w:val="auto"/>
          <w:sz w:val="32"/>
          <w:szCs w:val="32"/>
        </w:rPr>
      </w:pPr>
      <w:bookmarkStart w:id="32" w:name="_Toc101688803"/>
    </w:p>
    <w:p w14:paraId="54BE66B0">
      <w:pPr>
        <w:spacing w:line="600" w:lineRule="exact"/>
        <w:jc w:val="center"/>
        <w:outlineLvl w:val="0"/>
        <w:rPr>
          <w:rFonts w:hint="default" w:ascii="Times New Roman" w:hAnsi="Times New Roman" w:eastAsia="黑体" w:cs="Times New Roman"/>
          <w:color w:val="auto"/>
          <w:sz w:val="32"/>
          <w:szCs w:val="32"/>
        </w:rPr>
      </w:pPr>
    </w:p>
    <w:p w14:paraId="3FF62AC0">
      <w:pPr>
        <w:spacing w:line="60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第八章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实施富民惠民促进行动，推进农民共同富裕</w:t>
      </w:r>
      <w:bookmarkEnd w:id="32"/>
    </w:p>
    <w:p w14:paraId="63FCDA30">
      <w:pPr>
        <w:spacing w:line="600" w:lineRule="exact"/>
        <w:ind w:firstLine="640" w:firstLineChars="200"/>
        <w:rPr>
          <w:rFonts w:hint="default" w:ascii="Times New Roman" w:hAnsi="Times New Roman" w:eastAsia="仿宋_GB2312" w:cs="Times New Roman"/>
          <w:color w:val="auto"/>
          <w:sz w:val="32"/>
          <w:szCs w:val="32"/>
        </w:rPr>
      </w:pPr>
    </w:p>
    <w:p w14:paraId="4A05944D">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人人尽责、人人享有，以保障和增进农民民生福祉为出发点和落脚点，千方百计增加农民收入，坚决打赢低收入群众增收攻坚战，加快推进城乡公共服务均等化，全面创造农民群众美好生活，建设获得感幸福感安全感强的幸福乡村。</w:t>
      </w:r>
    </w:p>
    <w:p w14:paraId="5314F4F6">
      <w:pPr>
        <w:spacing w:line="600" w:lineRule="exact"/>
        <w:jc w:val="center"/>
        <w:rPr>
          <w:rFonts w:hint="default" w:ascii="Times New Roman" w:hAnsi="Times New Roman" w:eastAsia="仿宋_GB2312" w:cs="Times New Roman"/>
          <w:color w:val="auto"/>
          <w:sz w:val="32"/>
          <w:szCs w:val="32"/>
        </w:rPr>
      </w:pPr>
    </w:p>
    <w:p w14:paraId="688F5796">
      <w:pPr>
        <w:spacing w:line="600" w:lineRule="exact"/>
        <w:jc w:val="center"/>
        <w:outlineLvl w:val="1"/>
        <w:rPr>
          <w:rFonts w:hint="default" w:ascii="Times New Roman" w:hAnsi="Times New Roman" w:eastAsia="楷体_GB2312" w:cs="Times New Roman"/>
          <w:b/>
          <w:color w:val="auto"/>
          <w:sz w:val="32"/>
          <w:szCs w:val="32"/>
        </w:rPr>
      </w:pPr>
      <w:bookmarkStart w:id="33" w:name="_Toc101688804"/>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大力培育高素质农民</w:t>
      </w:r>
      <w:bookmarkEnd w:id="33"/>
    </w:p>
    <w:p w14:paraId="195ACB10">
      <w:pPr>
        <w:spacing w:line="600" w:lineRule="exact"/>
        <w:ind w:firstLine="643" w:firstLineChars="200"/>
        <w:rPr>
          <w:rFonts w:hint="default" w:ascii="Times New Roman" w:hAnsi="Times New Roman" w:eastAsia="仿宋_GB2312" w:cs="Times New Roman"/>
          <w:b/>
          <w:bCs/>
          <w:color w:val="auto"/>
          <w:sz w:val="32"/>
          <w:szCs w:val="32"/>
        </w:rPr>
      </w:pPr>
    </w:p>
    <w:p w14:paraId="3992BCA2">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发展农民职业教育。</w:t>
      </w:r>
      <w:r>
        <w:rPr>
          <w:rFonts w:hint="default" w:ascii="Times New Roman" w:hAnsi="Times New Roman" w:eastAsia="仿宋_GB2312" w:cs="Times New Roman"/>
          <w:color w:val="auto"/>
          <w:sz w:val="32"/>
          <w:szCs w:val="32"/>
        </w:rPr>
        <w:t>面向乡村振兴实际需求，在路径方式、课程内容、教学过程、培训效果等方面积极探索农民职业教育新模式，鼓励发动高素质农民参与高职扩招，推动农民职业培训与职业教育以及本科以上教育层次的有机衔接，全面提升农民的学历层次和职业能力。</w:t>
      </w:r>
    </w:p>
    <w:p w14:paraId="7E4AC0C9">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加强高素质农民培育。</w:t>
      </w:r>
      <w:r>
        <w:rPr>
          <w:rFonts w:hint="default" w:ascii="Times New Roman" w:hAnsi="Times New Roman" w:eastAsia="仿宋_GB2312" w:cs="Times New Roman"/>
          <w:color w:val="auto"/>
          <w:sz w:val="32"/>
          <w:szCs w:val="32"/>
        </w:rPr>
        <w:t>建立新型职业农民教育培训体系，实施新型职业农民培育工程，形成主体分层、培训分类、以需定培的针对性培训机制，落实职业经理人扶持政策，形成教育培训、规范管理、政策扶持相衔接配套的新型职业农民培育制度，培养一支高素质乡村人才队伍。到2025年，培育新型职业农民4000人次，农业领军人才500人次。</w:t>
      </w:r>
    </w:p>
    <w:p w14:paraId="6D5D8107">
      <w:pPr>
        <w:spacing w:line="600" w:lineRule="exact"/>
        <w:jc w:val="center"/>
        <w:outlineLvl w:val="1"/>
        <w:rPr>
          <w:rFonts w:hint="default" w:ascii="Times New Roman" w:hAnsi="Times New Roman" w:eastAsia="楷体_GB2312" w:cs="Times New Roman"/>
          <w:b/>
          <w:color w:val="auto"/>
          <w:sz w:val="32"/>
          <w:szCs w:val="32"/>
        </w:rPr>
      </w:pPr>
      <w:bookmarkStart w:id="34" w:name="_Toc101688805"/>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壮大农村集体经济</w:t>
      </w:r>
      <w:bookmarkEnd w:id="34"/>
    </w:p>
    <w:p w14:paraId="3E319B18">
      <w:pPr>
        <w:spacing w:line="600" w:lineRule="exact"/>
        <w:ind w:firstLine="643" w:firstLineChars="200"/>
        <w:rPr>
          <w:rFonts w:hint="default" w:ascii="Times New Roman" w:hAnsi="Times New Roman" w:eastAsia="仿宋_GB2312" w:cs="Times New Roman"/>
          <w:b/>
          <w:bCs/>
          <w:color w:val="auto"/>
          <w:sz w:val="32"/>
          <w:szCs w:val="32"/>
        </w:rPr>
      </w:pPr>
    </w:p>
    <w:p w14:paraId="5DE1B596">
      <w:pPr>
        <w:spacing w:line="600" w:lineRule="exact"/>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规范建立农村集体经济组织。</w:t>
      </w:r>
      <w:r>
        <w:rPr>
          <w:rFonts w:hint="default" w:ascii="Times New Roman" w:hAnsi="Times New Roman" w:eastAsia="仿宋_GB2312" w:cs="Times New Roman"/>
          <w:color w:val="auto"/>
          <w:sz w:val="32"/>
          <w:szCs w:val="32"/>
        </w:rPr>
        <w:t>完善农村新型集体经济组织，落实特别法人地位，推行村党组织书记通过法定程序担任村级集体经济组织负责人，健全成员大会、理事会、监事会“三会”制度，规范组织形式，创新运行机制，稳步推进农村集体产权资源变资产、资金变股金、农民变股东，多渠道开辟农民增收致富途径。</w:t>
      </w:r>
      <w:r>
        <w:rPr>
          <w:rFonts w:hint="default" w:ascii="Times New Roman" w:hAnsi="Times New Roman" w:eastAsia="仿宋_GB2312" w:cs="Times New Roman"/>
          <w:color w:val="auto"/>
          <w:sz w:val="32"/>
          <w:szCs w:val="32"/>
          <w:lang w:eastAsia="zh-CN"/>
        </w:rPr>
        <w:t>推进农村集体经济组织、农民专业合作社、基层供销社“三社”融合发展。</w:t>
      </w:r>
    </w:p>
    <w:p w14:paraId="54DD76D0">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鼓励集体经济开展自主经营。</w:t>
      </w:r>
      <w:r>
        <w:rPr>
          <w:rFonts w:hint="default" w:ascii="Times New Roman" w:hAnsi="Times New Roman" w:eastAsia="仿宋_GB2312" w:cs="Times New Roman"/>
          <w:color w:val="auto"/>
          <w:sz w:val="32"/>
          <w:szCs w:val="32"/>
        </w:rPr>
        <w:t>针对集体经济发展底子薄、资源分散的村，实行村村联合，组建集体经济发展联合社，自主开发集体经营性资产资源，实现资源优化配置抱团发展。针对集体积累资金、国家支农资金、财政扶持资金和社会捐赠等各类项目资金建设形成的集体资产，本村无自主经营能力的可采取对外租赁经营，进一步盘活闲置资产资源，增加集体经济收入。集体经济组织充分利用闲置的办公用房、旧校舍、仓库等资产和集体未承包到户的土地、“四荒地”、撂荒地、山林等资源，以及特色产业、历史文化，自主发展“5+3”特色农业以农产品初加工为主的加工业、乡村旅游业和农产品电商等业态。</w:t>
      </w:r>
    </w:p>
    <w:p w14:paraId="3559B711">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鼓励支持跨村整合资产资源。</w:t>
      </w:r>
      <w:r>
        <w:rPr>
          <w:rFonts w:hint="default" w:ascii="Times New Roman" w:hAnsi="Times New Roman" w:eastAsia="仿宋_GB2312" w:cs="Times New Roman"/>
          <w:color w:val="auto"/>
          <w:sz w:val="32"/>
          <w:szCs w:val="32"/>
        </w:rPr>
        <w:t>结合“两项”改革，推行多村集体经济组织抱团合作、互利共赢、共同发展。广泛开展服务创收，依托产业园区、新型农业经营主体，面向农业全产业链开发、农民全方位服务，发展农资、农机、劳务、加工、营销等生产性社会化服务，探索拓展物业管理、卫生保洁、社区养老、便民超时等生活性社会化服务，积极承接河道巡查、绿化管护、小型基础设施工程建设等财政投资项目。</w:t>
      </w:r>
    </w:p>
    <w:p w14:paraId="507DF0B1">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创新集体经济发展和管理模式。</w:t>
      </w:r>
      <w:r>
        <w:rPr>
          <w:rFonts w:hint="default" w:ascii="Times New Roman" w:hAnsi="Times New Roman" w:eastAsia="仿宋_GB2312" w:cs="Times New Roman"/>
          <w:color w:val="auto"/>
          <w:sz w:val="32"/>
          <w:szCs w:val="32"/>
        </w:rPr>
        <w:t>创新资源盘活型、产业带动型、经营物业型、提供服务型各类集体经济发展模式，鼓励以合股联营、入股分红、跨村经营等多种形式发展“集体经济+”产业，探索多种形式紧密型利益联结机制，激发集体经济管理团队发展内驱力。充分利用区位优势，通过集体资产资源入股、社会资本参与共建等方式，大力发展面向城市居民需求的特色果蔬、休闲旅游、民宿康养等产业，增加集体经济收入。</w:t>
      </w:r>
    </w:p>
    <w:p w14:paraId="5A2AB833">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积极推行股份化合作模式。</w:t>
      </w:r>
      <w:r>
        <w:rPr>
          <w:rFonts w:hint="default" w:ascii="Times New Roman" w:hAnsi="Times New Roman" w:eastAsia="仿宋_GB2312" w:cs="Times New Roman"/>
          <w:color w:val="auto"/>
          <w:sz w:val="32"/>
          <w:szCs w:val="32"/>
        </w:rPr>
        <w:t>利用村集体“三资”，以本土化新型农业经营主体为重点，投资入股到具有一定经济实力、持续经营能力较强、市场发展潜力可预期的家庭农场、专业合作社、龙头企业等市场主体，实行保底分红、按股分红。</w:t>
      </w:r>
    </w:p>
    <w:p w14:paraId="0EC4C08F">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推动合并村集体经济融合发展。</w:t>
      </w:r>
      <w:r>
        <w:rPr>
          <w:rFonts w:hint="default" w:ascii="Times New Roman" w:hAnsi="Times New Roman" w:eastAsia="仿宋_GB2312" w:cs="Times New Roman"/>
          <w:color w:val="auto"/>
          <w:sz w:val="32"/>
          <w:szCs w:val="32"/>
        </w:rPr>
        <w:t>以省市确立为契机，全面完成合并村开展集体经济融合发展试点村集体资产股份统一量化、证书发放和集体经济组织重新登记赋码，依法赋予集体经济市场主体资格。完善合并村集体经济治理机制，建立规范的财务制度，统筹开发利用集体资产资源，推进50个合并村集体经济深度融合发展，为全区合并村集体经济融合发展提供引领示范。</w:t>
      </w:r>
    </w:p>
    <w:p w14:paraId="6C884E13">
      <w:pPr>
        <w:spacing w:line="576" w:lineRule="exact"/>
        <w:jc w:val="center"/>
        <w:outlineLvl w:val="1"/>
        <w:rPr>
          <w:rFonts w:hint="default" w:ascii="Times New Roman" w:hAnsi="Times New Roman" w:eastAsia="楷体_GB2312" w:cs="Times New Roman"/>
          <w:b/>
          <w:color w:val="auto"/>
          <w:sz w:val="32"/>
          <w:szCs w:val="32"/>
        </w:rPr>
      </w:pPr>
      <w:bookmarkStart w:id="35" w:name="_Toc101688806"/>
    </w:p>
    <w:p w14:paraId="519BE65B">
      <w:pPr>
        <w:spacing w:line="576" w:lineRule="exact"/>
        <w:jc w:val="center"/>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拓宽农民增收渠道</w:t>
      </w:r>
      <w:bookmarkEnd w:id="35"/>
    </w:p>
    <w:p w14:paraId="2780D515">
      <w:pPr>
        <w:spacing w:line="576" w:lineRule="exact"/>
        <w:ind w:firstLine="643" w:firstLineChars="200"/>
        <w:rPr>
          <w:rFonts w:hint="default" w:ascii="Times New Roman" w:hAnsi="Times New Roman" w:eastAsia="仿宋_GB2312" w:cs="Times New Roman"/>
          <w:b/>
          <w:bCs/>
          <w:color w:val="auto"/>
          <w:sz w:val="32"/>
          <w:szCs w:val="32"/>
        </w:rPr>
      </w:pPr>
    </w:p>
    <w:p w14:paraId="1F9343E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实施农民工资性增收促进行动。</w:t>
      </w:r>
      <w:r>
        <w:rPr>
          <w:rFonts w:hint="default" w:ascii="Times New Roman" w:hAnsi="Times New Roman" w:eastAsia="仿宋_GB2312" w:cs="Times New Roman"/>
          <w:color w:val="auto"/>
          <w:sz w:val="32"/>
          <w:szCs w:val="32"/>
        </w:rPr>
        <w:t>坚持“就近优先”，安排项目所在地群众参与工程建设，合理设置务工岗位，及时足额发放劳务报酬,以工代赈资金项目须达到政府投资额</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%以上。加强农民工服务中心建设，健全城乡均等的公共就业创业服务制度，组织农村转移就业劳动者开展就业技能、劳务品牌、返乡创业培训，进一步稳定和扩大农村转移就业劳动者就业创业。</w:t>
      </w:r>
    </w:p>
    <w:p w14:paraId="3EF1183D">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实施农民财产性增收促进行动。</w:t>
      </w:r>
      <w:r>
        <w:rPr>
          <w:rFonts w:hint="default" w:ascii="Times New Roman" w:hAnsi="Times New Roman" w:eastAsia="仿宋_GB2312" w:cs="Times New Roman"/>
          <w:color w:val="auto"/>
          <w:sz w:val="32"/>
          <w:szCs w:val="32"/>
        </w:rPr>
        <w:t>全面提升“造血”能力，通过建设户办产业园、发展集体经济、扶持就业创业等多元路径增收。引导农民采取农村产权入股、租赁、托管等方式，与社会资本合作经营，发展壮大农村集体经济，增强集体组织服务功能，增加农户从集体获得的股份分红收入。</w:t>
      </w:r>
    </w:p>
    <w:p w14:paraId="3D04C2CD">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实施农民经营性增收促进行动。</w:t>
      </w:r>
      <w:r>
        <w:rPr>
          <w:rFonts w:hint="default" w:ascii="Times New Roman" w:hAnsi="Times New Roman" w:eastAsia="仿宋_GB2312" w:cs="Times New Roman"/>
          <w:color w:val="auto"/>
          <w:sz w:val="32"/>
          <w:szCs w:val="32"/>
        </w:rPr>
        <w:t>推行“种养结合、长短结合、立体复合”等多元发展模式，深度挖掘特色产业潜力，支持新型农业经营主体建基地、做加工、创品牌，发展休闲度假、民宿旅游、康疗养老、文创产业等经营实体，让农民分享产业链延伸增值收益。</w:t>
      </w:r>
    </w:p>
    <w:p w14:paraId="20A9872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实施农民转移性增收促进行动。</w:t>
      </w:r>
      <w:r>
        <w:rPr>
          <w:rFonts w:hint="default" w:ascii="Times New Roman" w:hAnsi="Times New Roman" w:eastAsia="仿宋_GB2312" w:cs="Times New Roman"/>
          <w:color w:val="auto"/>
          <w:sz w:val="32"/>
          <w:szCs w:val="32"/>
        </w:rPr>
        <w:t>落实和完善农业“三项补贴”改革政策，全面落实最低收购价和临时收储等各项强农惠农富农政策，探索建立普惠性农民补贴长效机制。完善财税、信贷、保险、用地、项目支持等政策，综合运用奖励、补贴、税收优惠等政策工具，培育发展家庭农场、专业大户、农民合作社、农业产业化龙头企业等新型农业经营主体。</w:t>
      </w:r>
    </w:p>
    <w:p w14:paraId="607EDAF4">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强化乡村创业就业服务保障。</w:t>
      </w:r>
      <w:r>
        <w:rPr>
          <w:rFonts w:hint="default" w:ascii="Times New Roman" w:hAnsi="Times New Roman" w:eastAsia="仿宋_GB2312" w:cs="Times New Roman"/>
          <w:color w:val="auto"/>
          <w:sz w:val="32"/>
          <w:szCs w:val="32"/>
        </w:rPr>
        <w:t>强化乡村就业服务保障。实施“互联网+就业服务”专项行动，构建线上线下一体化就业服务平台，为农村劳动力就业提供“一站式服务”。依托东西部劳务协作、川渝劳务合作和省内对口帮扶机制，搭建劳务用工信息对接平台。推动落实促进返乡下乡创业22条措施，支持乡镇建立劳务专业合作社和劳务经纪人制度，促进农村劳动力特别是脱贫人口有序转移就业。建立健全以企业、职业院校和各类培训机构为依托，以就业技能培训、岗位技能提升培训和创业培训为主要形式的农民就业培训体系。培育、创建、树立一批特色劳务品牌，持续擦亮“昭化劳务”就业名片。支持农民工返乡创业，推动农民工返乡创业各项政策措施落实落地。实施农民工服务保障专项行动，强化农民工权益保障，加大根治欠薪力度，依法保护农民工的土地承包权、宅基地使用权、集体收益分配权。</w:t>
      </w:r>
    </w:p>
    <w:p w14:paraId="7340C842">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rPr>
        <w:t>:推进农民共同富裕重点工程</w:t>
      </w:r>
    </w:p>
    <w:p w14:paraId="6DD0FBE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00" w:lineRule="exact"/>
        <w:ind w:firstLine="482" w:firstLineChars="200"/>
        <w:textAlignment w:val="auto"/>
        <w:rPr>
          <w:rFonts w:hint="default" w:ascii="Times New Roman" w:hAnsi="Times New Roman" w:eastAsia="仿宋_GB2312" w:cs="Times New Roman"/>
          <w:b/>
          <w:bCs/>
          <w:color w:val="auto"/>
          <w:sz w:val="24"/>
        </w:rPr>
      </w:pPr>
    </w:p>
    <w:p w14:paraId="2814B948">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01高素质农民加快培育工程</w:t>
      </w:r>
    </w:p>
    <w:p w14:paraId="33B63BC8">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形成主体分层、培训分类、以需定培的针对性培训高素质乡村人才队伍机制，培育新型职业农民4000人次，农业领军人才500人次，返乡创业农民工等3000人次。力争培育省级以上“十佳农民”5人。</w:t>
      </w:r>
    </w:p>
    <w:p w14:paraId="2DE082E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02农村集体经济发展壮大工程</w:t>
      </w:r>
    </w:p>
    <w:p w14:paraId="0B5145B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规范建立农村集体经济组织，健全完善集体经济管理制度和利益联结机制，创新围绕“盘活资产、开发资源、运营资本”积极探索集体经济多元化发展模式。鼓励支持跨村整合资产资源，推行多村集体经济组织抱团合作、互利共赢、共同发展。培育年收入10万元以上的村集体经济30个，50万元以上的10个，5万元以上的占比达到90%。</w:t>
      </w:r>
    </w:p>
    <w:p w14:paraId="0DB7BAE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03农民多元渠道增收工程</w:t>
      </w:r>
    </w:p>
    <w:p w14:paraId="21F0EE7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rPr>
        <w:t>加快推进农民工服务中心建设，在昭化区10个镇（除元坝镇、青牛镇外）建设业务用房及配套设施设备，购置办公设备和交通工具，网络信息化建设，用于服务农民工就业创业、技能培训等；创新创业园区项目建设，建设高校毕业生孵化园10个、农民工返乡创业示范园5个。</w:t>
      </w:r>
    </w:p>
    <w:p w14:paraId="04139755">
      <w:pPr>
        <w:spacing w:line="576" w:lineRule="exact"/>
        <w:ind w:firstLine="640" w:firstLineChars="200"/>
        <w:rPr>
          <w:rFonts w:hint="default" w:ascii="Times New Roman" w:hAnsi="Times New Roman" w:eastAsia="仿宋_GB2312" w:cs="Times New Roman"/>
          <w:color w:val="auto"/>
          <w:sz w:val="32"/>
          <w:szCs w:val="32"/>
        </w:rPr>
      </w:pPr>
    </w:p>
    <w:p w14:paraId="1BB03176">
      <w:pPr>
        <w:spacing w:line="576" w:lineRule="exact"/>
        <w:jc w:val="center"/>
        <w:outlineLvl w:val="1"/>
        <w:rPr>
          <w:rFonts w:hint="default" w:ascii="Times New Roman" w:hAnsi="Times New Roman" w:eastAsia="楷体_GB2312" w:cs="Times New Roman"/>
          <w:b/>
          <w:color w:val="auto"/>
          <w:sz w:val="32"/>
          <w:szCs w:val="32"/>
        </w:rPr>
      </w:pPr>
      <w:bookmarkStart w:id="36" w:name="_Toc101688807"/>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大力提升农村公共服务和社会保障水平</w:t>
      </w:r>
      <w:bookmarkEnd w:id="36"/>
    </w:p>
    <w:p w14:paraId="5D5FAF5C">
      <w:pPr>
        <w:spacing w:line="576" w:lineRule="exact"/>
        <w:ind w:firstLine="643" w:firstLineChars="200"/>
        <w:rPr>
          <w:rFonts w:hint="default" w:ascii="Times New Roman" w:hAnsi="Times New Roman" w:eastAsia="仿宋_GB2312" w:cs="Times New Roman"/>
          <w:b/>
          <w:bCs/>
          <w:color w:val="auto"/>
          <w:sz w:val="32"/>
          <w:szCs w:val="32"/>
        </w:rPr>
      </w:pPr>
    </w:p>
    <w:p w14:paraId="06AFEE6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提高农村教育质量。</w:t>
      </w:r>
      <w:r>
        <w:rPr>
          <w:rFonts w:hint="default" w:ascii="Times New Roman" w:hAnsi="Times New Roman" w:eastAsia="仿宋_GB2312" w:cs="Times New Roman"/>
          <w:color w:val="auto"/>
          <w:sz w:val="32"/>
          <w:szCs w:val="32"/>
        </w:rPr>
        <w:t>推进学前教育优质普惠发展、义务教育优质均衡发展。大力发展农村学前教育，每个建制乡镇至少办好1所公办中心幼儿园。因地制宜办好乡村小学，加强乡镇寄宿制学校建设，打造一批“乡村温馨校园”。在中心城镇或片区集中新建或改扩建一批初中学校，推进高中阶段学校进城进市。完善农村特殊教育保障机制。开展义务教育学校薄弱环节改造和能力提升工作，实施农村义务教育控辍保学专项行动，继续实施农村义务教育学生营养改善计划，全面落实家庭经济困难学生各类教育资助政策。推进乡村教师“县管校聘”，健全县域内学校校长、教师交流轮岗机制，坚持教师乡村支教制度，完善乡村教师职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定办法。推行学籍制度管理，支持建设城乡学校共同体。加强农村学校教育信息化建设，通过“三个课堂”促进城乡教育资源共享。统筹农村基础教育学校布局。面向农民就业创业需求，大力发展职业技术教育与技能培训，建设一批产教融合实训基地。加强村集体资产管理，盘活用好撤并乡镇党政机关与学校、卫生院、敬老院等事业单位闲置资产，因地制宜加强乡镇干部周转房保障。</w:t>
      </w:r>
    </w:p>
    <w:p w14:paraId="16DD0490">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优化公共文化服务。</w:t>
      </w:r>
      <w:r>
        <w:rPr>
          <w:rFonts w:hint="default" w:ascii="Times New Roman" w:hAnsi="Times New Roman" w:eastAsia="仿宋_GB2312" w:cs="Times New Roman"/>
          <w:color w:val="auto"/>
          <w:sz w:val="32"/>
          <w:szCs w:val="32"/>
        </w:rPr>
        <w:t>高质量建设各镇文化综合体、美丽幸福新村文化院坝、农家书屋等文化服务阵地，开展以流动文化车</w:t>
      </w:r>
      <w:r>
        <w:rPr>
          <w:rFonts w:hint="default" w:ascii="Times New Roman" w:hAnsi="Times New Roman" w:eastAsia="仿宋_GB2312" w:cs="Times New Roman"/>
          <w:color w:val="auto"/>
          <w:sz w:val="32"/>
          <w:szCs w:val="32"/>
          <w:lang w:eastAsia="zh-CN"/>
        </w:rPr>
        <w:t>文化下乡等</w:t>
      </w:r>
      <w:r>
        <w:rPr>
          <w:rFonts w:hint="default" w:ascii="Times New Roman" w:hAnsi="Times New Roman" w:eastAsia="仿宋_GB2312" w:cs="Times New Roman"/>
          <w:color w:val="auto"/>
          <w:sz w:val="32"/>
          <w:szCs w:val="32"/>
        </w:rPr>
        <w:t>为主要形式的流动文化服务，力争实现乡村两级公共文化服务全覆盖，打造农村“十里文化圈”。加强公共数字文化、智慧广电建设，着力提升县级广播电视高清直播能力，加快推进数字广播电视户户通，提高本地广播电视节目覆盖率，推动农村公益电影放映和乡镇数字影院建设。加强应急广播体系建设，构建市县联动、互联互通、平站结合、快速高效的应急广播体系。鼓励和引导社会力量投资或捐助公共文化设施设备。积极搭建公共文化服务平台，广泛开展群众性文化活动，促进城乡基本公共文化服务均等化，创建省级公共文化服务体系示范县（区）。</w:t>
      </w:r>
    </w:p>
    <w:p w14:paraId="027147E6">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推进健康乡村建设。</w:t>
      </w:r>
      <w:r>
        <w:rPr>
          <w:rFonts w:hint="default" w:ascii="Times New Roman" w:hAnsi="Times New Roman" w:eastAsia="仿宋_GB2312" w:cs="Times New Roman"/>
          <w:color w:val="auto"/>
          <w:sz w:val="32"/>
          <w:szCs w:val="32"/>
        </w:rPr>
        <w:t>加强医疗卫生基础设施建设，持续提升</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级疾控机构应对重大疫情及突发公共卫生事件能力，促进镇卫生院、社区卫生服务中心提标扩能，建立健全市</w:t>
      </w:r>
      <w:r>
        <w:rPr>
          <w:rFonts w:hint="default" w:ascii="Times New Roman" w:hAnsi="Times New Roman" w:eastAsia="仿宋_GB2312" w:cs="Times New Roman"/>
          <w:color w:val="auto"/>
          <w:sz w:val="32"/>
          <w:szCs w:val="32"/>
          <w:lang w:eastAsia="zh-CN"/>
        </w:rPr>
        <w:t>区镇</w:t>
      </w:r>
      <w:r>
        <w:rPr>
          <w:rFonts w:hint="default" w:ascii="Times New Roman" w:hAnsi="Times New Roman" w:eastAsia="仿宋_GB2312" w:cs="Times New Roman"/>
          <w:color w:val="auto"/>
          <w:sz w:val="32"/>
          <w:szCs w:val="32"/>
        </w:rPr>
        <w:t>村四级远程诊疗平台，实施乡村医疗队伍培养计划，推动符合条件的全科医生实行“</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管村用”，加快优质医疗资源扩容和区域均衡布局，</w:t>
      </w:r>
      <w:r>
        <w:rPr>
          <w:rFonts w:hint="default" w:ascii="Times New Roman" w:hAnsi="Times New Roman" w:eastAsia="仿宋_GB2312" w:cs="Times New Roman"/>
          <w:color w:val="auto"/>
          <w:sz w:val="32"/>
          <w:szCs w:val="32"/>
          <w:lang w:eastAsia="zh-CN"/>
        </w:rPr>
        <w:t>完成卫子镇中心卫生院医疗次中心建设，</w:t>
      </w:r>
      <w:r>
        <w:rPr>
          <w:rFonts w:hint="default" w:ascii="Times New Roman" w:hAnsi="Times New Roman" w:eastAsia="仿宋_GB2312" w:cs="Times New Roman"/>
          <w:color w:val="auto"/>
          <w:sz w:val="32"/>
          <w:szCs w:val="32"/>
        </w:rPr>
        <w:t>缩小城乡基本医疗卫生服务差距。</w:t>
      </w:r>
      <w:r>
        <w:rPr>
          <w:rFonts w:hint="default"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rPr>
        <w:t>到2025年</w:t>
      </w:r>
      <w:r>
        <w:rPr>
          <w:rFonts w:hint="default" w:ascii="Times New Roman" w:hAnsi="Times New Roman" w:eastAsia="仿宋_GB2312" w:cs="Times New Roman"/>
          <w:color w:val="auto"/>
          <w:sz w:val="32"/>
          <w:szCs w:val="32"/>
          <w:lang w:eastAsia="zh-CN"/>
        </w:rPr>
        <w:t>卫子</w:t>
      </w:r>
      <w:r>
        <w:rPr>
          <w:rFonts w:hint="default" w:ascii="Times New Roman" w:hAnsi="Times New Roman" w:eastAsia="仿宋_GB2312" w:cs="Times New Roman"/>
          <w:color w:val="auto"/>
          <w:sz w:val="32"/>
          <w:szCs w:val="32"/>
        </w:rPr>
        <w:t>镇中心卫生院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虎跳镇中心卫生院达到二级医疗机构水平，全区基本构建起以县级医疗卫生机构为龙头、中心</w:t>
      </w:r>
      <w:r>
        <w:rPr>
          <w:rFonts w:hint="default" w:ascii="Times New Roman" w:hAnsi="Times New Roman" w:eastAsia="仿宋_GB2312" w:cs="Times New Roman"/>
          <w:color w:val="auto"/>
          <w:sz w:val="32"/>
          <w:szCs w:val="32"/>
          <w:lang w:eastAsia="zh-CN"/>
        </w:rPr>
        <w:t>卫生</w:t>
      </w:r>
      <w:r>
        <w:rPr>
          <w:rFonts w:hint="default" w:ascii="Times New Roman" w:hAnsi="Times New Roman" w:eastAsia="仿宋_GB2312" w:cs="Times New Roman"/>
          <w:color w:val="auto"/>
          <w:sz w:val="32"/>
          <w:szCs w:val="32"/>
        </w:rPr>
        <w:t>院为支撑、镇卫生院为骨干、村卫生室为网</w:t>
      </w:r>
      <w:r>
        <w:rPr>
          <w:rFonts w:hint="default" w:ascii="Times New Roman" w:hAnsi="Times New Roman" w:eastAsia="仿宋_GB2312" w:cs="Times New Roman"/>
          <w:color w:val="auto"/>
          <w:sz w:val="32"/>
          <w:szCs w:val="32"/>
          <w:lang w:eastAsia="zh-CN"/>
        </w:rPr>
        <w:t>底</w:t>
      </w:r>
      <w:r>
        <w:rPr>
          <w:rFonts w:hint="default" w:ascii="Times New Roman" w:hAnsi="Times New Roman" w:eastAsia="仿宋_GB2312" w:cs="Times New Roman"/>
          <w:color w:val="auto"/>
          <w:sz w:val="32"/>
          <w:szCs w:val="32"/>
        </w:rPr>
        <w:t>的乡村医疗卫生服务体系。健全完善统一的城乡居民基本医疗保险和重大疾病医疗救助制度。到2025年，农村重大疾病医疗保险和救助基本实现全覆盖。</w:t>
      </w:r>
    </w:p>
    <w:p w14:paraId="25AA154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完善养老服务体系。</w:t>
      </w:r>
      <w:r>
        <w:rPr>
          <w:rFonts w:hint="default" w:ascii="Times New Roman" w:hAnsi="Times New Roman" w:eastAsia="仿宋_GB2312" w:cs="Times New Roman"/>
          <w:color w:val="auto"/>
          <w:sz w:val="32"/>
          <w:szCs w:val="32"/>
        </w:rPr>
        <w:t>落实城乡居民基本养老保险待遇确定和正常调整机制，稳步提高养老金最低标准。完善居家社区机构相协调、医养康养相结合的养老服务体系，加强城镇养老院建设，打造区域性养老服务中心，在人口聚集的社区建设养老服务综合体。加快构建“1+N”农村公办养老服务联合体，推动乡镇敬老院转型为区域性养老服务中心，完善乡镇、村日间照料中心，发展农村普惠型养老服务和互助性养老。健全农村留守老年人巡访与关爱服务制度，鼓励农村敬老院增加日托、月托、上门服务。到2025年，以村级互助养老服务设施为主的农村社区日间照料机构覆盖率达到90%。</w:t>
      </w:r>
    </w:p>
    <w:p w14:paraId="5AE79494">
      <w:pPr>
        <w:spacing w:line="576" w:lineRule="exact"/>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完善</w:t>
      </w:r>
      <w:r>
        <w:rPr>
          <w:rFonts w:hint="default" w:ascii="Times New Roman" w:hAnsi="Times New Roman" w:eastAsia="仿宋_GB2312" w:cs="Times New Roman"/>
          <w:b/>
          <w:bCs/>
          <w:color w:val="auto"/>
          <w:sz w:val="32"/>
          <w:szCs w:val="32"/>
        </w:rPr>
        <w:t>农村便民服务体系</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推进农村公共服务能力建设，推动农村公共服务由“村代办”向“村能办”转变。全面推进行政审批标准化建设，完善相关配套设施建设，加快村（社区）党群服务中心标准化、亲民化改造，结合亲民化要求调整优化空间布局，规范功能区，配备现代化、智能化、便民化服务设施设备。持续提升涉农行政审批服务质量，优化行政审批运行流程，压缩行政审批办理时限，实现政务服务“一网通办”“掌上办”和“就近办”，提高政务服务效率。</w:t>
      </w:r>
    </w:p>
    <w:p w14:paraId="54E4C7B0">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专栏9:农村公共服务建设重点工程</w:t>
      </w:r>
    </w:p>
    <w:p w14:paraId="5595E591">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01农村教育质量提升工程</w:t>
      </w:r>
    </w:p>
    <w:p w14:paraId="006D19D8">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大力发展农村学前教育，每个建制乡镇至少办好1所公办中心幼儿园；在中心城镇或片区集中新建或改扩建一批初中学校，推进高中阶段学校进城进市；推进乡村教师“县管校聘”，健全县域内学校校长、教师交流轮岗机制；加强农村学校教育信息化建设，通过“三个课堂”促进城乡教育资源共享</w:t>
      </w:r>
    </w:p>
    <w:p w14:paraId="7A63128A">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02农村医疗卫生服务建设工程</w:t>
      </w:r>
    </w:p>
    <w:p w14:paraId="3B7F37D7">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提升乡村医疗服务能力和健康管理水平，在虎跳镇、王家镇、昭化镇、卫子镇新建住院公卫楼5000平方米，完善附属工程及设备配套。规划期末，实现虎跳镇中心卫生院、太公镇中心卫生院达到二级医疗机构水平，50%建制镇卫生院达到国家推荐标准的乡镇卫生院，其余达到国家基本标准卫生院水平。农村重大疾病医疗保险和救助基本实现全覆盖。</w:t>
      </w:r>
    </w:p>
    <w:p w14:paraId="7B67EE35">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03农村养老服务体系完善工程</w:t>
      </w:r>
    </w:p>
    <w:p w14:paraId="4795535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施“互联网+养老”行动，对接省、市平台，建立区、镇、村（社区）三级智慧养老服务平台。健全县乡村衔接的三级养老服务网络，加快构建“1+N”农村公办养老服务联合体，推动乡镇敬老院转型为区域性养老服务中心，完善乡镇、村日间照料中心，发展农村普惠型养老服务和互助性养老。推进农村公益性殡葬设施建设，新建890亩农村公益性公墓。</w:t>
      </w:r>
    </w:p>
    <w:p w14:paraId="423B5161">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04农村便民服务体系建设工程</w:t>
      </w:r>
    </w:p>
    <w:p w14:paraId="3F2CAE0A">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建12个镇便民服务中心7200平米，完善相关配套设施建设；新建昭化镇天雄村村级活动阵地及村史馆1200平米，配套文化展示、民风教化、党性教育等功能；加快社区党群服务中心标准化、亲民化改造，对全区24个社区按照面积不低于300平米标准，结合亲民化要求调整优化空间布局，规范功能区，配备现代化、智能化、便民化服务设施设备；新建离退休干部活动中心用房2000平米，设置多功能会议室、阅览室、歌舞排练室、小型户外活动场地等专区，做好信息化建设，配套应急设备、安全设施等。</w:t>
      </w:r>
    </w:p>
    <w:p w14:paraId="58B5A735">
      <w:pPr>
        <w:pStyle w:val="8"/>
        <w:ind w:left="840" w:hanging="420"/>
        <w:rPr>
          <w:rFonts w:hint="default" w:ascii="Times New Roman" w:hAnsi="Times New Roman" w:cs="Times New Roman"/>
          <w:color w:val="auto"/>
        </w:rPr>
      </w:pPr>
    </w:p>
    <w:p w14:paraId="17FFF982">
      <w:pPr>
        <w:spacing w:line="576" w:lineRule="exact"/>
        <w:jc w:val="center"/>
        <w:outlineLvl w:val="0"/>
        <w:rPr>
          <w:rFonts w:hint="default" w:ascii="Times New Roman" w:hAnsi="Times New Roman" w:eastAsia="黑体" w:cs="Times New Roman"/>
          <w:color w:val="auto"/>
          <w:sz w:val="32"/>
          <w:szCs w:val="32"/>
        </w:rPr>
      </w:pPr>
      <w:bookmarkStart w:id="37" w:name="_Toc101688808"/>
      <w:r>
        <w:rPr>
          <w:rFonts w:hint="default" w:ascii="Times New Roman" w:hAnsi="Times New Roman" w:eastAsia="黑体" w:cs="Times New Roman"/>
          <w:color w:val="auto"/>
          <w:sz w:val="32"/>
          <w:szCs w:val="32"/>
        </w:rPr>
        <w:t>第九章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实施改革创新赋能行动，推进城乡融合发展制度建设</w:t>
      </w:r>
      <w:bookmarkEnd w:id="37"/>
    </w:p>
    <w:p w14:paraId="7ECF5022">
      <w:pPr>
        <w:keepNext w:val="0"/>
        <w:keepLines w:val="0"/>
        <w:pageBreakBefore w:val="0"/>
        <w:widowControl w:val="0"/>
        <w:kinsoku/>
        <w:wordWrap/>
        <w:overflowPunct/>
        <w:topLinePunct w:val="0"/>
        <w:autoSpaceDE/>
        <w:autoSpaceDN/>
        <w:bidi w:val="0"/>
        <w:adjustRightInd/>
        <w:snapToGrid/>
        <w:spacing w:line="376" w:lineRule="exact"/>
        <w:ind w:firstLine="640" w:firstLineChars="200"/>
        <w:textAlignment w:val="auto"/>
        <w:rPr>
          <w:rFonts w:hint="default" w:ascii="Times New Roman" w:hAnsi="Times New Roman" w:eastAsia="仿宋_GB2312" w:cs="Times New Roman"/>
          <w:color w:val="auto"/>
          <w:sz w:val="32"/>
          <w:szCs w:val="32"/>
        </w:rPr>
      </w:pPr>
    </w:p>
    <w:p w14:paraId="211833A3">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城乡等值化”理念，以完善产权制度和要素市场化配置为重点，加强顶层设计和改革落地，激活主体、要素、市场，大力推进城乡要素自由流动、平等交换，着力推进新型城市化与乡村振兴协同发展，加快形成工农互促、城乡互补、全面融合、共同繁荣的新型工农城乡关系。</w:t>
      </w:r>
    </w:p>
    <w:p w14:paraId="137973D8">
      <w:pPr>
        <w:spacing w:line="576" w:lineRule="exact"/>
        <w:jc w:val="center"/>
        <w:rPr>
          <w:rFonts w:hint="default" w:ascii="Times New Roman" w:hAnsi="Times New Roman" w:eastAsia="仿宋_GB2312" w:cs="Times New Roman"/>
          <w:color w:val="auto"/>
          <w:sz w:val="32"/>
          <w:szCs w:val="32"/>
        </w:rPr>
      </w:pPr>
    </w:p>
    <w:p w14:paraId="3A31ACEA">
      <w:pPr>
        <w:spacing w:line="576" w:lineRule="exact"/>
        <w:jc w:val="center"/>
        <w:outlineLvl w:val="1"/>
        <w:rPr>
          <w:rFonts w:hint="default" w:ascii="Times New Roman" w:hAnsi="Times New Roman" w:eastAsia="楷体_GB2312" w:cs="Times New Roman"/>
          <w:b/>
          <w:color w:val="auto"/>
          <w:sz w:val="32"/>
          <w:szCs w:val="32"/>
        </w:rPr>
      </w:pPr>
      <w:bookmarkStart w:id="38" w:name="_Toc101688809"/>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深化农村集体产权体制改革</w:t>
      </w:r>
      <w:bookmarkEnd w:id="38"/>
    </w:p>
    <w:p w14:paraId="2DE1F35A">
      <w:pPr>
        <w:spacing w:line="576" w:lineRule="exact"/>
        <w:ind w:firstLine="640" w:firstLineChars="200"/>
        <w:rPr>
          <w:rFonts w:hint="default" w:ascii="Times New Roman" w:hAnsi="Times New Roman" w:eastAsia="仿宋_GB2312" w:cs="Times New Roman"/>
          <w:color w:val="auto"/>
          <w:sz w:val="32"/>
          <w:szCs w:val="32"/>
        </w:rPr>
      </w:pPr>
    </w:p>
    <w:p w14:paraId="5B5BCDE4">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落实第二轮土地承包到期后再延长三十年政策。深化农村承包地“三权分置”，探索宅基地所有权、资格权、使用权分置实现形式，开展农村承包地经营权、林权、“四荒地”承包经营权、农村闲置房屋等有序流转，激活农村各类闲置资产资源，推动“空心村二次创业”。推进农村集体资产股权赋权活能，保障进城落户农民土地承包权、宅基地使用权、集体收益分配权。加强农村集体“三资”管理制度化、规范化、信息化建设，实现农村集体资产管理向数字化转型。</w:t>
      </w:r>
    </w:p>
    <w:p w14:paraId="048F99DA">
      <w:pPr>
        <w:keepNext w:val="0"/>
        <w:keepLines w:val="0"/>
        <w:pageBreakBefore w:val="0"/>
        <w:widowControl w:val="0"/>
        <w:kinsoku/>
        <w:wordWrap/>
        <w:overflowPunct/>
        <w:topLinePunct w:val="0"/>
        <w:autoSpaceDE/>
        <w:autoSpaceDN/>
        <w:bidi w:val="0"/>
        <w:adjustRightInd/>
        <w:snapToGrid/>
        <w:spacing w:line="376" w:lineRule="exact"/>
        <w:jc w:val="center"/>
        <w:textAlignment w:val="auto"/>
        <w:rPr>
          <w:rFonts w:hint="default" w:ascii="Times New Roman" w:hAnsi="Times New Roman" w:eastAsia="仿宋_GB2312" w:cs="Times New Roman"/>
          <w:color w:val="auto"/>
          <w:sz w:val="32"/>
          <w:szCs w:val="32"/>
        </w:rPr>
      </w:pPr>
    </w:p>
    <w:p w14:paraId="0AFCD3C8">
      <w:pPr>
        <w:spacing w:line="576" w:lineRule="exact"/>
        <w:jc w:val="center"/>
        <w:outlineLvl w:val="1"/>
        <w:rPr>
          <w:rFonts w:hint="default" w:ascii="Times New Roman" w:hAnsi="Times New Roman" w:eastAsia="楷体_GB2312" w:cs="Times New Roman"/>
          <w:b/>
          <w:color w:val="auto"/>
          <w:sz w:val="32"/>
          <w:szCs w:val="32"/>
        </w:rPr>
      </w:pPr>
      <w:bookmarkStart w:id="39" w:name="_Toc101688810"/>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积极推进土地制度改革</w:t>
      </w:r>
      <w:bookmarkEnd w:id="39"/>
    </w:p>
    <w:p w14:paraId="1D1613CF">
      <w:pPr>
        <w:spacing w:line="576" w:lineRule="exact"/>
        <w:ind w:firstLine="643" w:firstLineChars="200"/>
        <w:rPr>
          <w:rFonts w:hint="default" w:ascii="Times New Roman" w:hAnsi="Times New Roman" w:eastAsia="仿宋_GB2312" w:cs="Times New Roman"/>
          <w:b/>
          <w:bCs/>
          <w:color w:val="auto"/>
          <w:sz w:val="32"/>
          <w:szCs w:val="32"/>
        </w:rPr>
      </w:pPr>
    </w:p>
    <w:p w14:paraId="66FEBFE2">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健全城乡统一的建设用地市场。</w:t>
      </w:r>
      <w:r>
        <w:rPr>
          <w:rFonts w:hint="default" w:ascii="Times New Roman" w:hAnsi="Times New Roman" w:eastAsia="仿宋_GB2312" w:cs="Times New Roman"/>
          <w:color w:val="auto"/>
          <w:sz w:val="32"/>
          <w:szCs w:val="32"/>
        </w:rPr>
        <w:t>加强农村土地综合整治，强化乡村产业用地保障，积极探索农村集体经营性建设用地入市，明确入市的主体、类型、方式、期限、价格和利益分配方式等。健全城乡公示地价体系，实现城镇标定地价、城乡基准地价全覆盖。严格落实土地征收管理制度，创新土地征收公共利益用地认定机制，充分发挥市场在资源配置中的决定性作用，促进土地要素顺畅流通，提高存量建设用地资源配置效率。</w:t>
      </w:r>
    </w:p>
    <w:p w14:paraId="49C9118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推进承包地“三权分置”。</w:t>
      </w:r>
      <w:r>
        <w:rPr>
          <w:rFonts w:hint="default" w:ascii="Times New Roman" w:hAnsi="Times New Roman" w:eastAsia="仿宋_GB2312" w:cs="Times New Roman"/>
          <w:color w:val="auto"/>
          <w:sz w:val="32"/>
          <w:szCs w:val="32"/>
        </w:rPr>
        <w:t>落实第二轮土地承包到期后再延长30年政策，深化承包地“三权”分置改革。探索农村土地承包经营权自愿有偿退出机制，规范有序放活经营权，围绕五大产业集群发展农业产业适度规模经营，建立健全农村土地监督管理制度，探索建立土地流转履约保证保险制度，完善工商资本租赁农地监管和风险防范机制，到2025年全区适度规模经营率达60%以上。</w:t>
      </w:r>
    </w:p>
    <w:p w14:paraId="6DEF442D">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推进农村宅基地管理与改革。</w:t>
      </w:r>
      <w:r>
        <w:rPr>
          <w:rFonts w:hint="default" w:ascii="Times New Roman" w:hAnsi="Times New Roman" w:eastAsia="仿宋_GB2312" w:cs="Times New Roman"/>
          <w:color w:val="auto"/>
          <w:sz w:val="32"/>
          <w:szCs w:val="32"/>
        </w:rPr>
        <w:t>稳妥推进农村宅基地制度改革试点、全域土地综合整治试点，探索农村宅基地所有权、资格权、使用权分置实现形式，加强对镇政府审批宅基地的指导，盘活利用闲置宅基地资源助力乡村产业发展。</w:t>
      </w:r>
    </w:p>
    <w:p w14:paraId="7FA462EC">
      <w:pPr>
        <w:spacing w:line="576" w:lineRule="exact"/>
        <w:jc w:val="center"/>
        <w:rPr>
          <w:rFonts w:hint="default" w:ascii="Times New Roman" w:hAnsi="Times New Roman" w:eastAsia="仿宋_GB2312" w:cs="Times New Roman"/>
          <w:color w:val="auto"/>
          <w:sz w:val="32"/>
          <w:szCs w:val="32"/>
        </w:rPr>
      </w:pPr>
    </w:p>
    <w:p w14:paraId="4E537C3B">
      <w:pPr>
        <w:spacing w:line="576" w:lineRule="exact"/>
        <w:jc w:val="center"/>
        <w:outlineLvl w:val="1"/>
        <w:rPr>
          <w:rFonts w:hint="default" w:ascii="Times New Roman" w:hAnsi="Times New Roman" w:eastAsia="楷体_GB2312" w:cs="Times New Roman"/>
          <w:b/>
          <w:color w:val="auto"/>
          <w:sz w:val="32"/>
          <w:szCs w:val="32"/>
        </w:rPr>
      </w:pPr>
      <w:bookmarkStart w:id="40" w:name="_Toc101688811"/>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构建城乡融合发展体制机制</w:t>
      </w:r>
      <w:bookmarkEnd w:id="40"/>
    </w:p>
    <w:p w14:paraId="1B3F76F1">
      <w:pPr>
        <w:spacing w:line="576" w:lineRule="exact"/>
        <w:ind w:firstLine="643" w:firstLineChars="200"/>
        <w:rPr>
          <w:rFonts w:hint="default" w:ascii="Times New Roman" w:hAnsi="Times New Roman" w:eastAsia="仿宋_GB2312" w:cs="Times New Roman"/>
          <w:b/>
          <w:bCs/>
          <w:color w:val="auto"/>
          <w:sz w:val="32"/>
          <w:szCs w:val="32"/>
        </w:rPr>
      </w:pPr>
    </w:p>
    <w:p w14:paraId="54135F6F">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统筹推进县域经济社会发展。</w:t>
      </w:r>
      <w:r>
        <w:rPr>
          <w:rFonts w:hint="default" w:ascii="Times New Roman" w:hAnsi="Times New Roman" w:eastAsia="仿宋_GB2312" w:cs="Times New Roman"/>
          <w:color w:val="auto"/>
          <w:sz w:val="32"/>
          <w:szCs w:val="32"/>
        </w:rPr>
        <w:t>把县域作为城乡融合发展的重要切入点，构建“县城、县域副中心、重点镇、中心村”联动发展城乡空间布局新形态，充分依托城市、城镇、中心村较好的基础设施、交通区位、服务配套和市场集散功能，推动优势产业向市县城市、重点镇、中心村布局，实现县乡村功能衔接互补，进一步优化资源配置，积极承接产业转移，培育县（区）域骨干支柱产业，建设一批工业强县、农业强镇、旅游名镇、商贸集镇和特色村落，形成产村融合、产镇融合、产城融合发展的新格局，推动形成主干带动、多点支撑，市县乡村功能衔接互补、协同发展的新态势。</w:t>
      </w:r>
    </w:p>
    <w:p w14:paraId="68460C47">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促进城乡要素双向流动。</w:t>
      </w:r>
      <w:r>
        <w:rPr>
          <w:rFonts w:hint="default" w:ascii="Times New Roman" w:hAnsi="Times New Roman" w:eastAsia="仿宋_GB2312" w:cs="Times New Roman"/>
          <w:color w:val="auto"/>
          <w:sz w:val="32"/>
          <w:szCs w:val="32"/>
        </w:rPr>
        <w:t>建立财政涉农资金统筹投入长效机制，引导社会资本入乡。保障进城农民土地承包权、宅基地使用权、集体收益分配权，鼓励依法自愿有偿流转。完善城市人才入乡激励机制、工商资本入乡促进机制、科技成果入乡转化机制。加快建立健全农村金融综合服务体系，拓展涉农保险覆盖领域。健全城乡基础设施一体化建设机制，健全分级分类投入机制，构建政府、市场、村集体和农民等共同投入机制。建立城乡基础设施一体化管护机制，建立乡村基础设施由产权所有者管护制度，引入专业化企业参与城乡基础设施管护。</w:t>
      </w:r>
    </w:p>
    <w:p w14:paraId="28BB50FD">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推进城乡公共服务一体化。</w:t>
      </w:r>
      <w:r>
        <w:rPr>
          <w:rFonts w:hint="default" w:ascii="Times New Roman" w:hAnsi="Times New Roman" w:eastAsia="仿宋_GB2312" w:cs="Times New Roman"/>
          <w:color w:val="auto"/>
          <w:sz w:val="32"/>
          <w:szCs w:val="32"/>
        </w:rPr>
        <w:t>加快建立全民覆盖、普惠共享、城乡一体的基本公共服务体系，创新政府主导、社会参与的公共服务供给机制，推进城市优质医疗、教育等资源下沉，推动职称评定向乡村医生、教师倾斜，探索建设一批城乡教育联合体、区域医疗卫生共同体。完善城乡统一的居民基本医疗保险、大病保险、基本养老保险制度以及社会救助体系。</w:t>
      </w:r>
    </w:p>
    <w:p w14:paraId="0125E9A6">
      <w:pPr>
        <w:keepNext w:val="0"/>
        <w:keepLines w:val="0"/>
        <w:pageBreakBefore w:val="0"/>
        <w:widowControl w:val="0"/>
        <w:kinsoku/>
        <w:wordWrap/>
        <w:overflowPunct/>
        <w:topLinePunct w:val="0"/>
        <w:autoSpaceDE/>
        <w:autoSpaceDN/>
        <w:bidi w:val="0"/>
        <w:adjustRightInd/>
        <w:snapToGrid/>
        <w:spacing w:line="530" w:lineRule="exact"/>
        <w:jc w:val="center"/>
        <w:textAlignment w:val="auto"/>
        <w:outlineLvl w:val="1"/>
        <w:rPr>
          <w:rFonts w:hint="default" w:ascii="Times New Roman" w:hAnsi="Times New Roman" w:eastAsia="楷体_GB2312" w:cs="Times New Roman"/>
          <w:b/>
          <w:color w:val="auto"/>
          <w:sz w:val="32"/>
          <w:szCs w:val="32"/>
        </w:rPr>
      </w:pPr>
      <w:bookmarkStart w:id="41" w:name="_Toc101688812"/>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优化对外开放合作机制</w:t>
      </w:r>
      <w:bookmarkEnd w:id="41"/>
    </w:p>
    <w:p w14:paraId="17BE4AE9">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b/>
          <w:bCs/>
          <w:color w:val="auto"/>
          <w:sz w:val="32"/>
          <w:szCs w:val="32"/>
        </w:rPr>
      </w:pPr>
    </w:p>
    <w:p w14:paraId="3F1EC1F4">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进一步创新招商引资体制机制。</w:t>
      </w:r>
      <w:r>
        <w:rPr>
          <w:rFonts w:hint="default" w:ascii="Times New Roman" w:hAnsi="Times New Roman" w:eastAsia="仿宋_GB2312" w:cs="Times New Roman"/>
          <w:color w:val="auto"/>
          <w:sz w:val="32"/>
          <w:szCs w:val="32"/>
        </w:rPr>
        <w:t>突出招大引强选优，深化投资促进改革成果，创新招商引资思路、模式、环境、政策，建设高水平投资促进网络平台。构建多元化招商格局，推进以商招商、委托招商、全员招商、网络招商，加强昭化驻外商会建设，充分发挥异地商会桥梁纽带作用，构建政企协同、内外联动、社会参与的招商格局。实施产业链招商，聚焦“5+3”产业体系，全力引进一批建链、补链、强链项目。</w:t>
      </w:r>
    </w:p>
    <w:p w14:paraId="48129F07">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全方位深化区域合作。</w:t>
      </w:r>
      <w:r>
        <w:rPr>
          <w:rFonts w:hint="default" w:ascii="Times New Roman" w:hAnsi="Times New Roman" w:eastAsia="仿宋_GB2312" w:cs="Times New Roman"/>
          <w:color w:val="auto"/>
          <w:sz w:val="32"/>
          <w:szCs w:val="32"/>
        </w:rPr>
        <w:t>积极融入川陕革命老区建设、川东北经济区振兴发展和成德绵眉乐雅广西攀经济带建设，建立健全与成渝双核互动机制，广泛开展与成渝地区农村教育、医疗、文化、人才、体育、生态环保等领域的合作。加快建成成渝地区绿色商品供给地，聚焦成渝地区消费群体，联动开发跨区域一程多站精品旅游线路，协同布局绿色商品营销体系。强化对接关中-天水经济区和京津冀地区，积极推进落实与西安的战略合作，协同打造川陕农副产品进出集散基地，构建两地旅游联盟。依托嘉陵江航道，促进生态一体化保护、特色产业集聚化发展，参与和推动嘉陵江绿色经济走廊建设，协同打造嘉陵江绿色转型发展示范区。</w:t>
      </w:r>
    </w:p>
    <w:p w14:paraId="7CFDA9C4">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加快推进对外开放平台建设。</w:t>
      </w:r>
      <w:r>
        <w:rPr>
          <w:rFonts w:hint="default" w:ascii="Times New Roman" w:hAnsi="Times New Roman" w:eastAsia="仿宋_GB2312" w:cs="Times New Roman"/>
          <w:color w:val="auto"/>
          <w:sz w:val="32"/>
          <w:szCs w:val="32"/>
        </w:rPr>
        <w:t>积极参与“中外知名企业四川行”“惠民购物全川行”“川货全国行”“万企出国门”和西博会、农博会等大型区域平台，加快对外经贸交流和项目招引。高质量举办区内具有地方特色的节会活动，拓展开放领域，扩大开放深度，提高开放层次。</w:t>
      </w:r>
    </w:p>
    <w:p w14:paraId="1E8BF52F">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专栏1</w:t>
      </w:r>
      <w:r>
        <w:rPr>
          <w:rFonts w:hint="eastAsia" w:ascii="Times New Roman" w:hAnsi="Times New Roman" w:eastAsia="黑体" w:cs="Times New Roman"/>
          <w:color w:val="auto"/>
          <w:sz w:val="28"/>
          <w:szCs w:val="28"/>
          <w:lang w:val="en-US" w:eastAsia="zh-CN"/>
        </w:rPr>
        <w:t>0</w:t>
      </w:r>
      <w:r>
        <w:rPr>
          <w:rFonts w:hint="default" w:ascii="Times New Roman" w:hAnsi="Times New Roman" w:eastAsia="黑体" w:cs="Times New Roman"/>
          <w:color w:val="auto"/>
          <w:sz w:val="28"/>
          <w:szCs w:val="28"/>
        </w:rPr>
        <w:t>:深化农业农村改革重点工程</w:t>
      </w:r>
    </w:p>
    <w:p w14:paraId="6CF9C5A3">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01集体产权制度改革深化工程</w:t>
      </w:r>
    </w:p>
    <w:p w14:paraId="4C902BE1">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高标准完成集体资产股份统一量化、证书发放和集体经济组织重新登记赋码，依法赋予集体经济市场主体资格。完善合并村集体经济治理机制，建立规范的财务制度，统筹开发利用集体资产资源，推进50个合并村集体经济深度发展。</w:t>
      </w:r>
    </w:p>
    <w:p w14:paraId="564BF2C7">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02农村土地制度改革推进工程</w:t>
      </w:r>
    </w:p>
    <w:p w14:paraId="38CDDB8C">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落实农村承包地“三权分置”，全区全面落实第二轮土地承包到期再延长30年政策。支持小农户和新型经营主体通过自营、土地流转、互换耕种、代耕代种、入股合作等多种形式开展适度规模经营，实现土地适度规模经营率达60%以上；稳慎推进农村宅基地制度改革，加强对乡镇审批宅基地的监管，探索推进宅基地所有权、资格权、使用权分置实现形式，鼓励开展闲置宅基地和闲置住房盘活利用。</w:t>
      </w:r>
    </w:p>
    <w:p w14:paraId="60FE70B1">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03农村集体林权制度改革推进工程</w:t>
      </w:r>
    </w:p>
    <w:p w14:paraId="503F3E17">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进一步明晰林木所有权和林地使用权，按照“依法、自愿、有偿、规范”的原则，鼓励产权明晰的林木所有权和林地使用权有序流转，盘活现有森林资源存量，鼓励发展林业经济产业，延长产业链。创新林业执法管理体系，实行林业综合行政执法。</w:t>
      </w:r>
    </w:p>
    <w:p w14:paraId="4EC2B432">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w:t>
      </w:r>
      <w:r>
        <w:rPr>
          <w:rFonts w:hint="eastAsia" w:ascii="Times New Roman" w:hAnsi="Times New Roman" w:eastAsia="仿宋_GB2312" w:cs="Times New Roman"/>
          <w:b/>
          <w:bCs/>
          <w:color w:val="auto"/>
          <w:sz w:val="24"/>
          <w:lang w:val="en-US" w:eastAsia="zh-CN"/>
        </w:rPr>
        <w:t>4</w:t>
      </w:r>
      <w:r>
        <w:rPr>
          <w:rFonts w:hint="default" w:ascii="Times New Roman" w:hAnsi="Times New Roman" w:eastAsia="仿宋_GB2312" w:cs="Times New Roman"/>
          <w:b/>
          <w:bCs/>
          <w:color w:val="auto"/>
          <w:sz w:val="24"/>
        </w:rPr>
        <w:t>农业农村对外开放合作发展工程</w:t>
      </w:r>
    </w:p>
    <w:p w14:paraId="3FB9BF93">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施产业链招商，聚焦“5+3”产业体系，全力引进一批建链、补链、强链项目。完善招商引资体制机制，创新招商引资思路、模式、环境、政策，建设高水平投资促进网络平台。依托嘉陵江航道，促进生态一体化保护、特色产业集聚化发展，参与和推动嘉陵江绿色经济走廊建设，协同打造嘉陵江绿色转型发展示范区。</w:t>
      </w:r>
    </w:p>
    <w:p w14:paraId="126141EB">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w:t>
      </w:r>
      <w:r>
        <w:rPr>
          <w:rFonts w:hint="eastAsia"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农村供销合作社制度改革推进工程</w:t>
      </w:r>
    </w:p>
    <w:p w14:paraId="6E04F711">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建和改造农资仓储物流基础设施、区域农资物流配送中心，区内各乡（镇）配备农资配送站和村级农资放心店全覆盖；加快推进农资连锁经营加强区域物流配送中心和连锁超市、便利店等农村零售终端建设。全面构建“双线运行”体制机制，建成基层供销社及分社12个，创建全国标杆基层社5个。</w:t>
      </w:r>
    </w:p>
    <w:p w14:paraId="6766B597">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w:t>
      </w:r>
      <w:r>
        <w:rPr>
          <w:rFonts w:hint="eastAsia" w:ascii="Times New Roman" w:hAnsi="Times New Roman" w:eastAsia="仿宋_GB2312" w:cs="Times New Roman"/>
          <w:b/>
          <w:bCs/>
          <w:color w:val="auto"/>
          <w:sz w:val="24"/>
          <w:lang w:val="en-US" w:eastAsia="zh-CN"/>
        </w:rPr>
        <w:t>6</w:t>
      </w:r>
      <w:r>
        <w:rPr>
          <w:rFonts w:hint="default" w:ascii="Times New Roman" w:hAnsi="Times New Roman" w:eastAsia="仿宋_GB2312" w:cs="Times New Roman"/>
          <w:b/>
          <w:bCs/>
          <w:color w:val="auto"/>
          <w:sz w:val="24"/>
        </w:rPr>
        <w:t>农业农村对外开放合作发展工程</w:t>
      </w:r>
    </w:p>
    <w:p w14:paraId="51F08B90">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施产业链招商，聚焦“5+3”产业体系，全力引进一批建链、补链、强链项目。完善招商引资体制机制，创新招商引资思路、模式、环境、政策，建设高水平投资促进网络平台。依托嘉陵江航道，促进生态一体化保护、特色产业集聚化发展，参与和推动嘉陵江绿色经济走廊建设，协同打造嘉陵江绿色转型发展示范区。</w:t>
      </w:r>
    </w:p>
    <w:p w14:paraId="563973D2">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w:t>
      </w:r>
      <w:r>
        <w:rPr>
          <w:rFonts w:hint="eastAsia" w:ascii="Times New Roman" w:hAnsi="Times New Roman" w:eastAsia="仿宋_GB2312" w:cs="Times New Roman"/>
          <w:b/>
          <w:bCs/>
          <w:color w:val="auto"/>
          <w:sz w:val="24"/>
          <w:lang w:val="en-US" w:eastAsia="zh-CN"/>
        </w:rPr>
        <w:t>7</w:t>
      </w:r>
      <w:r>
        <w:rPr>
          <w:rFonts w:hint="default" w:ascii="Times New Roman" w:hAnsi="Times New Roman" w:eastAsia="仿宋_GB2312" w:cs="Times New Roman"/>
          <w:b/>
          <w:bCs/>
          <w:color w:val="auto"/>
          <w:sz w:val="24"/>
        </w:rPr>
        <w:t>农村金融服务综合改革推进工程</w:t>
      </w:r>
    </w:p>
    <w:p w14:paraId="6EC0A30E">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健全以绿色发展为导向的农业补贴制度和农村金融服务体系。开展农村土地承包经营权抵押融资试点。加大农业保险提升风险防范能力。围绕持续推动农业稳产保供，大力开展粮油生产、生猪养殖保险，不断优化特色农产品保险政策，稳妥有序推进收入保险；在拓宽农业保险覆盖面的同时，创新保险产品，探索“农业保险+”，鼓励农业保险科技赋能，提高保险保障程度和综合金融服务。</w:t>
      </w:r>
    </w:p>
    <w:p w14:paraId="31042CE3">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w:t>
      </w:r>
      <w:r>
        <w:rPr>
          <w:rFonts w:hint="eastAsia" w:ascii="Times New Roman" w:hAnsi="Times New Roman" w:eastAsia="仿宋_GB2312" w:cs="Times New Roman"/>
          <w:b/>
          <w:bCs/>
          <w:color w:val="auto"/>
          <w:sz w:val="24"/>
          <w:lang w:val="en-US" w:eastAsia="zh-CN"/>
        </w:rPr>
        <w:t>8</w:t>
      </w:r>
      <w:r>
        <w:rPr>
          <w:rFonts w:hint="default" w:ascii="Times New Roman" w:hAnsi="Times New Roman" w:eastAsia="仿宋_GB2312" w:cs="Times New Roman"/>
          <w:b/>
          <w:bCs/>
          <w:color w:val="auto"/>
          <w:sz w:val="24"/>
        </w:rPr>
        <w:t>县域城乡融合发展工程</w:t>
      </w:r>
    </w:p>
    <w:p w14:paraId="4562C798">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加快完成国土空间总体规划编制，推进“多规合一”实用性村庄规划编制；推动蔬菜、猕猴桃等优势产业向元坝等重点镇、和平村等中心村布局，强化进城落户农民就医和子女入学保障，建立城乡居民同工同酬平等就业制度和进城农民工就业能力提升、服务保障制度，加快补齐城乡基础设施短板。</w:t>
      </w:r>
      <w:r>
        <w:rPr>
          <w:rFonts w:hint="default" w:ascii="Times New Roman" w:hAnsi="Times New Roman" w:eastAsia="仿宋_GB2312" w:cs="Times New Roman"/>
          <w:color w:val="auto"/>
          <w:sz w:val="24"/>
        </w:rPr>
        <w:tab/>
      </w:r>
      <w:r>
        <w:rPr>
          <w:rFonts w:hint="default" w:ascii="Times New Roman" w:hAnsi="Times New Roman" w:eastAsia="仿宋_GB2312" w:cs="Times New Roman"/>
          <w:color w:val="auto"/>
          <w:sz w:val="24"/>
        </w:rPr>
        <w:tab/>
      </w:r>
    </w:p>
    <w:p w14:paraId="43735D61">
      <w:pPr>
        <w:spacing w:line="576" w:lineRule="exact"/>
        <w:ind w:firstLine="640" w:firstLineChars="200"/>
        <w:rPr>
          <w:rFonts w:hint="default" w:ascii="Times New Roman" w:hAnsi="Times New Roman" w:eastAsia="仿宋_GB2312" w:cs="Times New Roman"/>
          <w:color w:val="auto"/>
          <w:sz w:val="32"/>
          <w:szCs w:val="32"/>
        </w:rPr>
      </w:pPr>
    </w:p>
    <w:p w14:paraId="2C46F636">
      <w:pPr>
        <w:spacing w:line="576" w:lineRule="exact"/>
        <w:jc w:val="center"/>
        <w:outlineLvl w:val="1"/>
        <w:rPr>
          <w:rFonts w:hint="default" w:ascii="Times New Roman" w:hAnsi="Times New Roman" w:eastAsia="楷体_GB2312" w:cs="Times New Roman"/>
          <w:b/>
          <w:color w:val="auto"/>
          <w:sz w:val="32"/>
          <w:szCs w:val="32"/>
        </w:rPr>
      </w:pPr>
      <w:bookmarkStart w:id="42" w:name="_Toc101688813"/>
      <w:r>
        <w:rPr>
          <w:rFonts w:hint="default" w:ascii="Times New Roman" w:hAnsi="Times New Roman" w:eastAsia="楷体_GB2312" w:cs="Times New Roman"/>
          <w:b/>
          <w:color w:val="auto"/>
          <w:sz w:val="32"/>
          <w:szCs w:val="32"/>
        </w:rPr>
        <w:t>第五节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做好两项改革“后半篇”文章</w:t>
      </w:r>
      <w:bookmarkEnd w:id="42"/>
    </w:p>
    <w:p w14:paraId="6995A3F9">
      <w:pPr>
        <w:spacing w:line="576" w:lineRule="exact"/>
        <w:ind w:firstLine="640" w:firstLineChars="200"/>
        <w:rPr>
          <w:rFonts w:hint="default" w:ascii="Times New Roman" w:hAnsi="Times New Roman" w:eastAsia="仿宋_GB2312" w:cs="Times New Roman"/>
          <w:color w:val="auto"/>
          <w:sz w:val="32"/>
          <w:szCs w:val="32"/>
        </w:rPr>
      </w:pPr>
    </w:p>
    <w:p w14:paraId="15B61792">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两项改革“后半篇”文章，全面推进农村基础设施提升、公共服务优化、集镇设施完善，推动“物理合并”催生“化学效应”。开展乡镇行政执法改革，有序推动镇村扩权赋能。统筹推进撤并建制村与新村委员会直接畅通、城镇以上智慧广电网络全覆盖，优化调整被撤并乡镇生活垃圾收转运处置体系，健全污水垃圾处理设施维护管理长效机制，确保被撤并乡镇市政设施不降低维护管理水平。完善便民服务设施，创新服务方式，优化服务供给，增强教育、卫生、文化、养老等公共服务保障和服务能力。在完成清产核资、成员确认、股份量化等改革任务后，新建合并村集体经济组织。盘活用好撤并乡镇党政机关与学校、卫生院、敬老院等事业单位闲置资产，因地制宜加强乡镇干部周转房保障。创新社区和建制村治理，实施综合服务设施“补短板”工程。</w:t>
      </w:r>
    </w:p>
    <w:p w14:paraId="237AD49B">
      <w:pPr>
        <w:spacing w:line="550" w:lineRule="exact"/>
        <w:jc w:val="center"/>
        <w:outlineLvl w:val="0"/>
        <w:rPr>
          <w:rFonts w:hint="default" w:ascii="Times New Roman" w:hAnsi="Times New Roman" w:eastAsia="黑体" w:cs="Times New Roman"/>
          <w:color w:val="auto"/>
          <w:sz w:val="32"/>
          <w:szCs w:val="32"/>
        </w:rPr>
      </w:pPr>
      <w:bookmarkStart w:id="43" w:name="_Toc101688814"/>
    </w:p>
    <w:p w14:paraId="166B6FEF">
      <w:pPr>
        <w:spacing w:line="55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实现巩固拓展脱贫攻坚成果同乡村振兴有效衔接</w:t>
      </w:r>
      <w:bookmarkEnd w:id="43"/>
    </w:p>
    <w:p w14:paraId="3510D7B7">
      <w:pPr>
        <w:spacing w:line="550" w:lineRule="exact"/>
        <w:jc w:val="center"/>
        <w:rPr>
          <w:rFonts w:hint="default" w:ascii="Times New Roman" w:hAnsi="Times New Roman" w:eastAsia="仿宋_GB2312" w:cs="Times New Roman"/>
          <w:color w:val="auto"/>
          <w:sz w:val="32"/>
          <w:szCs w:val="32"/>
        </w:rPr>
      </w:pPr>
    </w:p>
    <w:p w14:paraId="04BE5A2A">
      <w:pPr>
        <w:spacing w:line="550" w:lineRule="exact"/>
        <w:jc w:val="center"/>
        <w:outlineLvl w:val="1"/>
        <w:rPr>
          <w:rFonts w:hint="default" w:ascii="Times New Roman" w:hAnsi="Times New Roman" w:eastAsia="楷体_GB2312" w:cs="Times New Roman"/>
          <w:b/>
          <w:color w:val="auto"/>
          <w:sz w:val="32"/>
          <w:szCs w:val="32"/>
        </w:rPr>
      </w:pPr>
      <w:bookmarkStart w:id="44" w:name="_Toc101688815"/>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健全防止返贫动态监测和帮扶机制</w:t>
      </w:r>
      <w:bookmarkEnd w:id="44"/>
    </w:p>
    <w:p w14:paraId="3CCF0903">
      <w:pPr>
        <w:spacing w:line="550" w:lineRule="exact"/>
        <w:ind w:firstLine="643" w:firstLineChars="200"/>
        <w:rPr>
          <w:rFonts w:hint="default" w:ascii="Times New Roman" w:hAnsi="Times New Roman" w:eastAsia="仿宋_GB2312" w:cs="Times New Roman"/>
          <w:b/>
          <w:bCs/>
          <w:color w:val="auto"/>
          <w:sz w:val="32"/>
          <w:szCs w:val="32"/>
        </w:rPr>
      </w:pPr>
    </w:p>
    <w:p w14:paraId="797766B1">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明确监测对象。</w:t>
      </w:r>
      <w:r>
        <w:rPr>
          <w:rFonts w:hint="default" w:ascii="Times New Roman" w:hAnsi="Times New Roman" w:eastAsia="仿宋_GB2312" w:cs="Times New Roman"/>
          <w:color w:val="auto"/>
          <w:sz w:val="32"/>
          <w:szCs w:val="32"/>
        </w:rPr>
        <w:t>以农村家庭户为单位，主要监测脱贫不稳定户、边缘易致贫户、突发严重困难的农户。坚持实事求是原则，将存在返贫致贫苗头性、倾向性困难问题的农户应纳尽纳。</w:t>
      </w:r>
    </w:p>
    <w:p w14:paraId="3AF1A6BB">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严格监测程序。</w:t>
      </w:r>
      <w:r>
        <w:rPr>
          <w:rFonts w:hint="default" w:ascii="Times New Roman" w:hAnsi="Times New Roman" w:eastAsia="仿宋_GB2312" w:cs="Times New Roman"/>
          <w:color w:val="auto"/>
          <w:sz w:val="32"/>
          <w:szCs w:val="32"/>
        </w:rPr>
        <w:t>通过集中开展排查、农户自主申报、日常走访摸排、部门推送筛查、关联渠道监测等途径，经农户申报、信息比对、入户走访、乡村评议、县级审定等程序后，及时将监测预警对象录入全国防返贫监测信息系统，实行信息化动态管理。</w:t>
      </w:r>
    </w:p>
    <w:p w14:paraId="5B32FC0D">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强化筛查预警。</w:t>
      </w:r>
      <w:r>
        <w:rPr>
          <w:rFonts w:hint="default" w:ascii="Times New Roman" w:hAnsi="Times New Roman" w:eastAsia="仿宋_GB2312" w:cs="Times New Roman"/>
          <w:color w:val="auto"/>
          <w:sz w:val="32"/>
          <w:szCs w:val="32"/>
        </w:rPr>
        <w:t>用好监测平台，落实常态化信息反馈机制。依托全国防返贫监测信息系统，拓宽农户线上线下自主申报渠道，对有条件、有能力的农户，通过宣传引导，由农户本人通过线上或线下自主申报；对无自主申报能力的农户，由村“两委”干部或第一书记负责指导、帮助，填写申报基本信息。</w:t>
      </w:r>
    </w:p>
    <w:p w14:paraId="10D66278">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务实帮扶举措。</w:t>
      </w:r>
      <w:r>
        <w:rPr>
          <w:rFonts w:hint="default" w:ascii="Times New Roman" w:hAnsi="Times New Roman" w:eastAsia="仿宋_GB2312" w:cs="Times New Roman"/>
          <w:color w:val="auto"/>
          <w:sz w:val="32"/>
          <w:szCs w:val="32"/>
        </w:rPr>
        <w:t>定期对监测对象进行分析研判，因户因人制定落实帮扶措施。进一步完善各项政策机制，确保纳入监测的脱贫不稳定户、边缘易致贫户和突发严重困难户，享受行业部门统一的帮扶政策。始终坚持分层分类精准帮扶原则，对有劳动能力的监测对象，主要采取开发式帮扶措施。对没有劳动能力的监测对象，强化综合性社会保障措施。对自然灾害、重大突发公共卫生事件等极易引发区域性大规模返贫的建立预案，切实防范风险。对已消除风险的对象，做好定期跟踪回访，确保风险消除。</w:t>
      </w:r>
    </w:p>
    <w:p w14:paraId="61A0A8F1">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注重统筹协调。</w:t>
      </w:r>
      <w:r>
        <w:rPr>
          <w:rFonts w:hint="default" w:ascii="Times New Roman" w:hAnsi="Times New Roman" w:eastAsia="仿宋_GB2312" w:cs="Times New Roman"/>
          <w:color w:val="auto"/>
          <w:sz w:val="32"/>
          <w:szCs w:val="32"/>
        </w:rPr>
        <w:t>强化组织领导，做好统筹工作，及时组织乡镇、部门制定针对性帮扶计划，落实帮扶措施、责任单位、帮扶责任人、销号时限，组织定期跟踪回访，确保风险消除。各部门、乡镇要及时将信息录入全国防返贫监测信息系统，并常态化信息化更新工作台账。</w:t>
      </w:r>
    </w:p>
    <w:p w14:paraId="1D233EE6">
      <w:pPr>
        <w:spacing w:line="550" w:lineRule="exact"/>
        <w:jc w:val="center"/>
        <w:rPr>
          <w:rFonts w:hint="default" w:ascii="Times New Roman" w:hAnsi="Times New Roman" w:eastAsia="仿宋_GB2312" w:cs="Times New Roman"/>
          <w:color w:val="auto"/>
          <w:sz w:val="32"/>
          <w:szCs w:val="32"/>
        </w:rPr>
      </w:pPr>
    </w:p>
    <w:p w14:paraId="67656541">
      <w:pPr>
        <w:spacing w:line="550" w:lineRule="exact"/>
        <w:jc w:val="center"/>
        <w:outlineLvl w:val="1"/>
        <w:rPr>
          <w:rFonts w:hint="default" w:ascii="Times New Roman" w:hAnsi="Times New Roman" w:eastAsia="楷体_GB2312" w:cs="Times New Roman"/>
          <w:b/>
          <w:color w:val="auto"/>
          <w:sz w:val="32"/>
          <w:szCs w:val="32"/>
        </w:rPr>
      </w:pPr>
      <w:bookmarkStart w:id="45" w:name="_Toc101688816"/>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推进易地扶贫搬迁后续扶持工作</w:t>
      </w:r>
      <w:bookmarkEnd w:id="45"/>
    </w:p>
    <w:p w14:paraId="00E3433B">
      <w:pPr>
        <w:spacing w:line="550" w:lineRule="exact"/>
        <w:ind w:firstLine="643" w:firstLineChars="200"/>
        <w:rPr>
          <w:rFonts w:hint="default" w:ascii="Times New Roman" w:hAnsi="Times New Roman" w:eastAsia="仿宋_GB2312" w:cs="Times New Roman"/>
          <w:b/>
          <w:bCs/>
          <w:color w:val="auto"/>
          <w:sz w:val="32"/>
          <w:szCs w:val="32"/>
        </w:rPr>
      </w:pPr>
    </w:p>
    <w:p w14:paraId="4A0206F0">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加强产业培育。</w:t>
      </w:r>
      <w:r>
        <w:rPr>
          <w:rFonts w:hint="default" w:ascii="Times New Roman" w:hAnsi="Times New Roman" w:eastAsia="仿宋_GB2312" w:cs="Times New Roman"/>
          <w:color w:val="auto"/>
          <w:sz w:val="32"/>
          <w:szCs w:val="32"/>
        </w:rPr>
        <w:t>积极引导、支持有意愿、有劳动生产能力的易地扶贫搬迁户发展增收产业，鼓励有条件的搬迁群众承包经营“一村一品”特色产业园，确保有条件的搬迁户至少发展一个持续增收长效产业和一个以上当年见效短期产业。依托易地扶贫搬迁安置区农业资源禀赋，推进农业与加工、文化、旅游、康养等产业融合，推进休闲康养小镇、果蔬现代特色村落和美丽渔村建设。完善利益联结机制，实现易地扶贫搬迁安置区产业发展技术“一对一”“点对点”服务全覆盖。在易地扶贫搬迁安置区、产业集聚区发展农产品加工，指导有条件的安置区所在村集体经济组织与有实力的家庭农场、农民专业合作社、龙头企业等主体，积极发展特色种养业、代加工、代生产。</w:t>
      </w:r>
    </w:p>
    <w:p w14:paraId="2E4B396B">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抓好就业帮扶。</w:t>
      </w:r>
      <w:r>
        <w:rPr>
          <w:rFonts w:hint="default" w:ascii="Times New Roman" w:hAnsi="Times New Roman" w:eastAsia="仿宋_GB2312" w:cs="Times New Roman"/>
          <w:color w:val="auto"/>
          <w:sz w:val="32"/>
          <w:szCs w:val="32"/>
        </w:rPr>
        <w:t>强化搬迁群众就业服务保障，以乡镇为单位建立搬迁群众就业台账，健全就业质量监测网格员制度，定期跟踪监测搬迁群众就业质量和就业需求，对就业不稳定和因病因灾等导致就业质量下降的人员制定“一对一”就业帮扶措施。积极引导企业、各类生产经营主体在易地扶贫搬迁集中安置区建立就业帮扶车间、社区工厂等就业帮扶载体，在农业农村基础设施建设领域大力推广以工代赈方式，吸纳本地劳动力就业。统筹开发公益性岗位，优先安排搬迁户中的残疾人等就业困难劳动力，确保搬迁家庭至少有一人实现就业。全覆盖开展技能培训，让有能力的搬迁群众至少掌握一项就业技能，提升就业质量。</w:t>
      </w:r>
    </w:p>
    <w:p w14:paraId="63B0E17C">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提升公共服务和基层治理水平。</w:t>
      </w:r>
      <w:r>
        <w:rPr>
          <w:rFonts w:hint="default" w:ascii="Times New Roman" w:hAnsi="Times New Roman" w:eastAsia="仿宋_GB2312" w:cs="Times New Roman"/>
          <w:color w:val="auto"/>
          <w:sz w:val="32"/>
          <w:szCs w:val="32"/>
        </w:rPr>
        <w:t>提升完善公共服务设施，对距离乡镇政府、村委会所在地较远，办事不方便的搬迁群众统一建设便民服务代办点。完善提升安置区水、电、路等基础设施和教育、医疗、文化等公共服务设施，为有条件的配备农贸市场、红白喜事服务场所和文化体育健身设施。建立和规范公共设施维护、污水处理、垃圾收运等基本制度，保障搬迁群众生产生活需要。加强社区治理，健全安置区“党组织+自治组织+社会组织”的治理架构，修订完善自治章程和村规民约，推进安置区所在村“雪亮工程”“慧眼工程”建设。深入实施公民道德建设工程，引导搬迁群众移风易俗，形成邻里和睦、守望相助、文明和谐的好风尚。</w:t>
      </w:r>
    </w:p>
    <w:p w14:paraId="56375D1F">
      <w:pPr>
        <w:spacing w:line="550" w:lineRule="exact"/>
        <w:jc w:val="center"/>
        <w:rPr>
          <w:rFonts w:hint="default" w:ascii="Times New Roman" w:hAnsi="Times New Roman" w:eastAsia="仿宋_GB2312" w:cs="Times New Roman"/>
          <w:color w:val="auto"/>
          <w:sz w:val="32"/>
          <w:szCs w:val="32"/>
        </w:rPr>
      </w:pPr>
    </w:p>
    <w:p w14:paraId="44E92E32">
      <w:pPr>
        <w:spacing w:line="550" w:lineRule="exact"/>
        <w:jc w:val="center"/>
        <w:outlineLvl w:val="1"/>
        <w:rPr>
          <w:rFonts w:hint="default" w:ascii="Times New Roman" w:hAnsi="Times New Roman" w:eastAsia="楷体_GB2312" w:cs="Times New Roman"/>
          <w:b/>
          <w:color w:val="auto"/>
          <w:sz w:val="32"/>
          <w:szCs w:val="32"/>
        </w:rPr>
      </w:pPr>
      <w:bookmarkStart w:id="46" w:name="_Toc101688817"/>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健全农村低收入人口常态化帮扶机制</w:t>
      </w:r>
      <w:bookmarkEnd w:id="46"/>
    </w:p>
    <w:p w14:paraId="43E2D328">
      <w:pPr>
        <w:spacing w:line="550" w:lineRule="exact"/>
        <w:ind w:firstLine="643" w:firstLineChars="200"/>
        <w:rPr>
          <w:rFonts w:hint="default" w:ascii="Times New Roman" w:hAnsi="Times New Roman" w:eastAsia="仿宋_GB2312" w:cs="Times New Roman"/>
          <w:b/>
          <w:bCs/>
          <w:color w:val="auto"/>
          <w:sz w:val="32"/>
          <w:szCs w:val="32"/>
        </w:rPr>
      </w:pPr>
    </w:p>
    <w:p w14:paraId="47CB6EED">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加强农村低收入人口监测。</w:t>
      </w:r>
      <w:r>
        <w:rPr>
          <w:rFonts w:hint="default" w:ascii="Times New Roman" w:hAnsi="Times New Roman" w:eastAsia="仿宋_GB2312" w:cs="Times New Roman"/>
          <w:color w:val="auto"/>
          <w:sz w:val="32"/>
          <w:szCs w:val="32"/>
        </w:rPr>
        <w:t>以现有社会保障体系为基础，整合完善部门现有数据平台，加强数据比对和信息共享，完善基层主动发现机制，对农村低收入人口开展动态监测、分类管理。健全多部门联动的风险预警、研判和处置机制，实现对农村低收入人口风险点的早发现和早帮扶。完善农村低收入人口定期核查和动态调整帮扶机制。</w:t>
      </w:r>
    </w:p>
    <w:p w14:paraId="4A8582D2">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分层分类实施社会救助。</w:t>
      </w:r>
      <w:r>
        <w:rPr>
          <w:rFonts w:hint="default" w:ascii="Times New Roman" w:hAnsi="Times New Roman" w:eastAsia="仿宋_GB2312" w:cs="Times New Roman"/>
          <w:color w:val="auto"/>
          <w:sz w:val="32"/>
          <w:szCs w:val="32"/>
        </w:rPr>
        <w:t>对农村低收入家庭中的重残、重病等特殊困难人员，经本人申请，参照“单人户”纳入低保。鼓励有劳动能力的农村低保对象参与就业和产业发展，在计算家庭收入时扣减必要成本。对脱贫人口中完全丧失劳动能力或部分丧失劳动能力、且无法通过产业就业获得稳定收入的对象，依规纳入农村低保或特困人员救助供养范围。落实残疾儿童康复救助制度，提高救助服务质量。对基本生活陷入暂时困难的群众加强临时救助，做到凡困必帮、有难必救。</w:t>
      </w:r>
    </w:p>
    <w:p w14:paraId="42F1653F">
      <w:pPr>
        <w:spacing w:line="55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强化“三重”医疗保障作用。</w:t>
      </w:r>
      <w:r>
        <w:rPr>
          <w:rFonts w:hint="default" w:ascii="Times New Roman" w:hAnsi="Times New Roman" w:eastAsia="仿宋_GB2312" w:cs="Times New Roman"/>
          <w:color w:val="auto"/>
          <w:sz w:val="32"/>
          <w:szCs w:val="32"/>
        </w:rPr>
        <w:t>完善基本医保、大病保险、医疗救助“三重”制度综合保障政策。做好城乡居民医保参保缴费工作，特别是农村低收入人口全员参保。已实现稳定就业的脱贫人口，引导参加城镇职工医保。困难群众参加城乡居民医保，个人缴费部分分类资助。特困供养人员全额资助，低保对象、防止返贫监测对象按75%的比例给予定额资助，稳定脱贫人口资助政策通过五年过渡回归常态。对特困人员、低保对象大病保险的起付线、赔付比例给予倾斜照顾，减轻大病患者医疗负担。把因医疗费用支出导致家庭基本生活出现严重困难人员纳入救助。扩大医疗救助保障范围，切实发挥医疗救助兜底保障作用。</w:t>
      </w:r>
    </w:p>
    <w:p w14:paraId="0AF921DD">
      <w:pPr>
        <w:spacing w:line="576" w:lineRule="exact"/>
        <w:jc w:val="center"/>
        <w:outlineLvl w:val="1"/>
        <w:rPr>
          <w:rFonts w:hint="default" w:ascii="Times New Roman" w:hAnsi="Times New Roman" w:eastAsia="楷体_GB2312" w:cs="Times New Roman"/>
          <w:b/>
          <w:color w:val="auto"/>
          <w:sz w:val="32"/>
          <w:szCs w:val="32"/>
        </w:rPr>
      </w:pPr>
      <w:bookmarkStart w:id="47" w:name="_Toc101688818"/>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强化政策有效衔接</w:t>
      </w:r>
      <w:bookmarkEnd w:id="47"/>
    </w:p>
    <w:p w14:paraId="1216EB8A">
      <w:pPr>
        <w:spacing w:line="576" w:lineRule="exact"/>
        <w:ind w:firstLine="643" w:firstLineChars="200"/>
        <w:rPr>
          <w:rFonts w:hint="default" w:ascii="Times New Roman" w:hAnsi="Times New Roman" w:eastAsia="仿宋_GB2312" w:cs="Times New Roman"/>
          <w:b/>
          <w:bCs/>
          <w:color w:val="auto"/>
          <w:sz w:val="32"/>
          <w:szCs w:val="32"/>
        </w:rPr>
      </w:pPr>
    </w:p>
    <w:p w14:paraId="7FD79A81">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强化财税政策衔接。</w:t>
      </w:r>
      <w:r>
        <w:rPr>
          <w:rFonts w:hint="default" w:ascii="Times New Roman" w:hAnsi="Times New Roman" w:eastAsia="仿宋_GB2312" w:cs="Times New Roman"/>
          <w:color w:val="auto"/>
          <w:sz w:val="32"/>
          <w:szCs w:val="32"/>
        </w:rPr>
        <w:t>保持财政衔接推进乡村振兴补助资金投入总体规模稳定，支持政府发行一般债券和专项债券用于现代农业设施建设和乡村建设行动，探索以市场化方式设立乡村振兴基金。统筹使用各项资金支持三农发展，完善乡村振兴农业产业发展贷款风险补偿金制度，建立健全财政补助改股份、改贴息、改购买服务、改担保、改分险机制。用好城乡建设用地增减挂钩政策，继续开展统筹整合使用财政涉农资金试点，延续税收优惠政策。</w:t>
      </w:r>
    </w:p>
    <w:p w14:paraId="564FD5A5">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强化金融政策衔接。</w:t>
      </w:r>
      <w:r>
        <w:rPr>
          <w:rFonts w:hint="default" w:ascii="Times New Roman" w:hAnsi="Times New Roman" w:eastAsia="仿宋_GB2312" w:cs="Times New Roman"/>
          <w:color w:val="auto"/>
          <w:sz w:val="32"/>
          <w:szCs w:val="32"/>
        </w:rPr>
        <w:t>进一步落实各项信贷政策，积极发展农户小额信用贷款，满足农村人口创业就业、教育等方面的信贷需求。推广“整村（园）授信”“双基”共建等服务模式，积极发展“产权+信贷”“担保+信贷”“信用+信贷”等融资模式，开发新型农业经营主体专属金融产品。创新农业保险产品供给，加快推进三大粮食作物完全成本保险试点，积极发展菜篮子、果蔬等富有地方特色的农业保险产品，继续探索“信贷+保险”模式，稳步发展贷款保证保险业务。</w:t>
      </w:r>
    </w:p>
    <w:p w14:paraId="233A51F7">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强化土地政策衔接。</w:t>
      </w:r>
      <w:r>
        <w:rPr>
          <w:rFonts w:hint="default" w:ascii="Times New Roman" w:hAnsi="Times New Roman" w:eastAsia="仿宋_GB2312" w:cs="Times New Roman"/>
          <w:color w:val="auto"/>
          <w:sz w:val="32"/>
          <w:szCs w:val="32"/>
        </w:rPr>
        <w:t>做好用地保障工作，在过渡期内专项安排的新增建设用地计划专项指标不得挪用。新编县乡级国土空间规划应安排不少于10%的建设用地指标，重点保障乡村产业发展用地。制定土地利用年度计划时，每年应安排不少于5%的新增建设用地指标保障乡村重点产业和项目用地。</w:t>
      </w:r>
    </w:p>
    <w:p w14:paraId="1AAC5982">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强化人才智力支持政策衔接。</w:t>
      </w:r>
      <w:r>
        <w:rPr>
          <w:rFonts w:hint="default" w:ascii="Times New Roman" w:hAnsi="Times New Roman" w:eastAsia="仿宋_GB2312" w:cs="Times New Roman"/>
          <w:color w:val="auto"/>
          <w:sz w:val="32"/>
          <w:szCs w:val="32"/>
        </w:rPr>
        <w:t>继续实施义务教育和职业教育政策、重点高校定向招生专项政策、卫生健康专业人员培养政策、工作待遇职称特殊倾斜政策，探索实施农业科技推广人员管理政策，适当放宽基层工作人员招录招聘政策。</w:t>
      </w:r>
    </w:p>
    <w:p w14:paraId="04E0C245">
      <w:pPr>
        <w:spacing w:line="576" w:lineRule="exact"/>
        <w:jc w:val="center"/>
        <w:rPr>
          <w:rFonts w:hint="default" w:ascii="Times New Roman" w:hAnsi="Times New Roman" w:eastAsia="仿宋_GB2312" w:cs="Times New Roman"/>
          <w:color w:val="auto"/>
          <w:sz w:val="32"/>
          <w:szCs w:val="32"/>
        </w:rPr>
      </w:pPr>
    </w:p>
    <w:p w14:paraId="14384DDE">
      <w:pPr>
        <w:spacing w:line="576" w:lineRule="exact"/>
        <w:jc w:val="center"/>
        <w:outlineLvl w:val="1"/>
        <w:rPr>
          <w:rFonts w:hint="default" w:ascii="Times New Roman" w:hAnsi="Times New Roman" w:eastAsia="楷体_GB2312" w:cs="Times New Roman"/>
          <w:b/>
          <w:color w:val="auto"/>
          <w:sz w:val="32"/>
          <w:szCs w:val="32"/>
        </w:rPr>
      </w:pPr>
      <w:bookmarkStart w:id="48" w:name="_Toc101688819"/>
      <w:r>
        <w:rPr>
          <w:rFonts w:hint="default" w:ascii="Times New Roman" w:hAnsi="Times New Roman" w:eastAsia="楷体_GB2312" w:cs="Times New Roman"/>
          <w:b/>
          <w:color w:val="auto"/>
          <w:sz w:val="32"/>
          <w:szCs w:val="32"/>
        </w:rPr>
        <w:t>第五节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深化乡村振兴重点帮扶</w:t>
      </w:r>
      <w:bookmarkEnd w:id="48"/>
    </w:p>
    <w:p w14:paraId="61CEE0D4">
      <w:pPr>
        <w:spacing w:line="576" w:lineRule="exact"/>
        <w:ind w:firstLine="643" w:firstLineChars="200"/>
        <w:rPr>
          <w:rFonts w:hint="default" w:ascii="Times New Roman" w:hAnsi="Times New Roman" w:eastAsia="仿宋_GB2312" w:cs="Times New Roman"/>
          <w:b/>
          <w:bCs/>
          <w:color w:val="auto"/>
          <w:sz w:val="32"/>
          <w:szCs w:val="32"/>
        </w:rPr>
      </w:pPr>
    </w:p>
    <w:p w14:paraId="49DEA72C">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深化东西部协作和定点帮扶。</w:t>
      </w:r>
      <w:r>
        <w:rPr>
          <w:rFonts w:hint="default" w:ascii="Times New Roman" w:hAnsi="Times New Roman" w:eastAsia="仿宋_GB2312" w:cs="Times New Roman"/>
          <w:color w:val="auto"/>
          <w:sz w:val="32"/>
          <w:szCs w:val="32"/>
        </w:rPr>
        <w:t>围绕产业合作、就业帮扶、消费帮扶、人才交流、民生改善等重点领域，全方位推动东西部协作在更宽领域、更深层次取得更大实效。加强职业技能培训和劳动力转移就业，持续用好劳务协作数字化服务平台，精心做好在昭挂职交流干部人才服务保障。加强两地领导互访，推进医院结对、学校结对、村企结对等社会力量结对帮扶，管好用好帮扶资金，加快协作项目实施，持续推进共建工业产业园区和农业现代园区，引导企业落地昭化。拓展省直部门（单位）定点帮扶和驻村帮扶成效，确保各项帮扶措施精准落实。</w:t>
      </w:r>
    </w:p>
    <w:p w14:paraId="348C4EC1">
      <w:pPr>
        <w:spacing w:line="57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做好乡村振兴重点帮扶村建设工作。</w:t>
      </w:r>
      <w:r>
        <w:rPr>
          <w:rFonts w:hint="default" w:ascii="Times New Roman" w:hAnsi="Times New Roman" w:eastAsia="仿宋_GB2312" w:cs="Times New Roman"/>
          <w:color w:val="auto"/>
          <w:sz w:val="32"/>
          <w:szCs w:val="32"/>
        </w:rPr>
        <w:t>在已脱贫村、党组织软弱涣散村、集体经济薄弱村、易地扶贫搬迁安置点所在村中确定一批巩固拓展脱贫攻坚成果和乡村振兴任务重的村，作为乡村振兴重点帮扶村，编制重点帮扶村巩固拓展脱贫攻坚成果同乡村振兴有效衔接实施方案，推动财政、金融、土地、人才、基础设施建设、公共服务等帮扶政策和东西部协作、社会力量等帮扶资源，从资金、政策、项目、帮扶等方面给予重点倾斜支持。至少每年创建1-2个省级乡村振兴重点帮扶</w:t>
      </w:r>
      <w:r>
        <w:rPr>
          <w:rFonts w:hint="default" w:ascii="Times New Roman" w:hAnsi="Times New Roman" w:eastAsia="仿宋_GB2312" w:cs="Times New Roman"/>
          <w:color w:val="auto"/>
          <w:sz w:val="32"/>
          <w:szCs w:val="32"/>
          <w:lang w:eastAsia="zh-CN"/>
        </w:rPr>
        <w:t>优秀</w:t>
      </w:r>
      <w:r>
        <w:rPr>
          <w:rFonts w:hint="default" w:ascii="Times New Roman" w:hAnsi="Times New Roman" w:eastAsia="仿宋_GB2312" w:cs="Times New Roman"/>
          <w:color w:val="auto"/>
          <w:sz w:val="32"/>
          <w:szCs w:val="32"/>
        </w:rPr>
        <w:t>村。</w:t>
      </w:r>
    </w:p>
    <w:p w14:paraId="793772B5">
      <w:pPr>
        <w:spacing w:line="576"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专栏11:脱贫攻坚同乡村振兴有效衔接重点工程</w:t>
      </w:r>
    </w:p>
    <w:p w14:paraId="4DE127DA">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01农村低收入人口常态化帮扶工程</w:t>
      </w:r>
    </w:p>
    <w:p w14:paraId="61030056">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对农村低收入人口开展动态监测，完善农村低收入人口认定办法，对脱贫人口中丧失劳动能力且无法通过产业就业获得稳定收入的人口，按规定纳入农村低保或特困人员救助供养范围并及时开展救助。</w:t>
      </w:r>
    </w:p>
    <w:p w14:paraId="3F22D9E9">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02返贫监测建立工程</w:t>
      </w:r>
    </w:p>
    <w:p w14:paraId="13B674AC">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立返贫监测机制，主要监测脱贫不稳定户、边缘易致贫户、突发严重困难的农户；严格监测程序，定期集中开展排查、农户自主申报、日常走访摸排、部门推送筛查、关联渠道监测；用好监测平台，落实常态化信息反馈机制；始终坚持分层分类精准帮扶原则，对有劳动能力的监测对象，主要采取开发式帮扶措施，对没有劳动能力的监测对象，强化综合性社会保障措施。</w:t>
      </w:r>
    </w:p>
    <w:p w14:paraId="27112134">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03易地扶贫搬迁后续扶持工程</w:t>
      </w:r>
    </w:p>
    <w:p w14:paraId="5D95D3A9">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支持易地扶贫搬迁安置区发展特色产业，对有能力、有发展意愿的搬迁户家庭产业园全覆盖；推动产业集聚区发展农产品加工、休闲农业等新产业新业态。促进搬迁人口稳定就业，每年为有外出务工需求的搬迁劳动力至少提供1次职业指导、3次岗位推介、1次免费培训，每年在集中安置区开展专项招聘活动2次以上；加强公益性岗位统筹管理，确保搬迁家庭至少有1人实现稳定就业。加强易地扶贫搬迁基层治理,2025年底基本实现安置点社区治理体系和治理能力现代化，后续发展有活力可持续。</w:t>
      </w:r>
    </w:p>
    <w:p w14:paraId="69022223">
      <w:pPr>
        <w:pBdr>
          <w:top w:val="single" w:color="auto" w:sz="4" w:space="1"/>
          <w:left w:val="single" w:color="auto" w:sz="4" w:space="4"/>
          <w:bottom w:val="single" w:color="auto" w:sz="4" w:space="1"/>
          <w:right w:val="single" w:color="auto" w:sz="4" w:space="4"/>
        </w:pBdr>
        <w:spacing w:line="400" w:lineRule="exact"/>
        <w:ind w:firstLine="482" w:firstLineChars="200"/>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04东西部合作深化工程</w:t>
      </w:r>
    </w:p>
    <w:p w14:paraId="7A62D60A">
      <w:pPr>
        <w:pBdr>
          <w:top w:val="single" w:color="auto" w:sz="4" w:space="1"/>
          <w:left w:val="single" w:color="auto" w:sz="4" w:space="4"/>
          <w:bottom w:val="single" w:color="auto" w:sz="4" w:space="1"/>
          <w:right w:val="single" w:color="auto" w:sz="4" w:space="4"/>
        </w:pBdr>
        <w:spacing w:line="40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依托浙广东西部协作，建立健全帮扶机制，引导浙江企业来昭化投资</w:t>
      </w:r>
      <w:r>
        <w:rPr>
          <w:rFonts w:hint="default"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个，打造乡村振兴示范村</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个，帮助劳动力到浙江就业</w:t>
      </w:r>
      <w:r>
        <w:rPr>
          <w:rFonts w:hint="default"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rPr>
        <w:t>00人，积极开展学校、医院、企业、社会组织结对。</w:t>
      </w:r>
    </w:p>
    <w:p w14:paraId="7E724F48">
      <w:pPr>
        <w:spacing w:line="576" w:lineRule="exact"/>
        <w:ind w:firstLine="640" w:firstLineChars="200"/>
        <w:rPr>
          <w:rFonts w:hint="default" w:ascii="Times New Roman" w:hAnsi="Times New Roman" w:eastAsia="仿宋_GB2312" w:cs="Times New Roman"/>
          <w:color w:val="auto"/>
          <w:sz w:val="32"/>
          <w:szCs w:val="32"/>
        </w:rPr>
      </w:pPr>
    </w:p>
    <w:p w14:paraId="2BB3BF7B">
      <w:pPr>
        <w:pStyle w:val="8"/>
        <w:ind w:left="840" w:hanging="420"/>
        <w:rPr>
          <w:rFonts w:hint="default" w:ascii="Times New Roman" w:hAnsi="Times New Roman" w:cs="Times New Roman"/>
          <w:color w:val="auto"/>
        </w:rPr>
      </w:pPr>
    </w:p>
    <w:p w14:paraId="28561C5E">
      <w:pPr>
        <w:rPr>
          <w:rFonts w:hint="default" w:ascii="Times New Roman" w:hAnsi="Times New Roman" w:cs="Times New Roman"/>
          <w:color w:val="auto"/>
        </w:rPr>
      </w:pPr>
    </w:p>
    <w:p w14:paraId="19C70350">
      <w:pPr>
        <w:spacing w:line="576" w:lineRule="exact"/>
        <w:jc w:val="center"/>
        <w:outlineLvl w:val="0"/>
        <w:rPr>
          <w:rFonts w:hint="default" w:ascii="Times New Roman" w:hAnsi="Times New Roman" w:eastAsia="黑体" w:cs="Times New Roman"/>
          <w:color w:val="auto"/>
          <w:sz w:val="32"/>
          <w:szCs w:val="32"/>
        </w:rPr>
      </w:pPr>
      <w:bookmarkStart w:id="49" w:name="_Toc101688820"/>
    </w:p>
    <w:p w14:paraId="0F132BAD">
      <w:pPr>
        <w:spacing w:line="576"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第十一章</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夯实保障措施</w:t>
      </w:r>
      <w:bookmarkEnd w:id="49"/>
    </w:p>
    <w:p w14:paraId="64795A9C">
      <w:pPr>
        <w:spacing w:line="576" w:lineRule="exact"/>
        <w:jc w:val="center"/>
        <w:rPr>
          <w:rFonts w:hint="default" w:ascii="Times New Roman" w:hAnsi="Times New Roman" w:eastAsia="仿宋_GB2312" w:cs="Times New Roman"/>
          <w:color w:val="auto"/>
          <w:sz w:val="32"/>
          <w:szCs w:val="32"/>
        </w:rPr>
      </w:pPr>
    </w:p>
    <w:p w14:paraId="13912842">
      <w:pPr>
        <w:spacing w:line="576" w:lineRule="exact"/>
        <w:jc w:val="center"/>
        <w:outlineLvl w:val="1"/>
        <w:rPr>
          <w:rFonts w:hint="default" w:ascii="Times New Roman" w:hAnsi="Times New Roman" w:eastAsia="楷体_GB2312" w:cs="Times New Roman"/>
          <w:b/>
          <w:color w:val="auto"/>
          <w:sz w:val="32"/>
          <w:szCs w:val="32"/>
        </w:rPr>
      </w:pPr>
      <w:bookmarkStart w:id="50" w:name="_Toc101688821"/>
      <w:r>
        <w:rPr>
          <w:rFonts w:hint="default" w:ascii="Times New Roman" w:hAnsi="Times New Roman" w:eastAsia="楷体_GB2312" w:cs="Times New Roman"/>
          <w:b/>
          <w:color w:val="auto"/>
          <w:sz w:val="32"/>
          <w:szCs w:val="32"/>
        </w:rPr>
        <w:t>第一节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强化组织保障</w:t>
      </w:r>
      <w:bookmarkEnd w:id="50"/>
    </w:p>
    <w:p w14:paraId="422E9E5E">
      <w:pPr>
        <w:spacing w:line="576" w:lineRule="exact"/>
        <w:ind w:firstLine="640" w:firstLineChars="200"/>
        <w:rPr>
          <w:rFonts w:hint="default" w:ascii="Times New Roman" w:hAnsi="Times New Roman" w:eastAsia="仿宋_GB2312" w:cs="Times New Roman"/>
          <w:color w:val="auto"/>
          <w:sz w:val="32"/>
          <w:szCs w:val="32"/>
        </w:rPr>
      </w:pPr>
    </w:p>
    <w:p w14:paraId="70DC1490">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党总揽全局、协调各方，发挥各级党委（党组）领导核心作用，提高领导能力和水平，树牢“四个意识”坚定“四个自信”坚决做到“两个维护”，完善上下贯通、执行有力的组织体系，确保党中央和省委市委决策部署有效落实，为实现“十四五”农业农村现代化规划提供坚强保证。健全农村工作领导机制，落实党政一把手抓乡村振兴第一责任人制度；区、镇、村书记要把主要精力放在农业农村工作上，当好乡村振兴一线总指挥，亲自调查研究、亲自统筹谋划、亲自推动实施。全方位宣传“十四五”农业农村现代化规划的总体思路和主要目标任务，最大限度凝聚社会共识和群众理念。压实全面从严治党主体责任、监督责任，持续纠治形式主义、官僚主义，切实为基层减负。完善容错纠错机制，加强对敢担当、善作为干部的激励保护，以正确用人导向引领干事创业导向。</w:t>
      </w:r>
    </w:p>
    <w:p w14:paraId="2D1C4F96">
      <w:pPr>
        <w:spacing w:line="576" w:lineRule="exact"/>
        <w:jc w:val="center"/>
        <w:rPr>
          <w:rFonts w:hint="default" w:ascii="Times New Roman" w:hAnsi="Times New Roman" w:eastAsia="仿宋_GB2312" w:cs="Times New Roman"/>
          <w:color w:val="auto"/>
          <w:sz w:val="32"/>
          <w:szCs w:val="32"/>
        </w:rPr>
      </w:pPr>
    </w:p>
    <w:p w14:paraId="01D0AE87">
      <w:pPr>
        <w:spacing w:line="576" w:lineRule="exact"/>
        <w:jc w:val="center"/>
        <w:outlineLvl w:val="1"/>
        <w:rPr>
          <w:rFonts w:hint="default" w:ascii="Times New Roman" w:hAnsi="Times New Roman" w:eastAsia="楷体_GB2312" w:cs="Times New Roman"/>
          <w:b/>
          <w:color w:val="auto"/>
          <w:sz w:val="32"/>
          <w:szCs w:val="32"/>
        </w:rPr>
      </w:pPr>
      <w:bookmarkStart w:id="51" w:name="_Toc101688822"/>
      <w:r>
        <w:rPr>
          <w:rFonts w:hint="default" w:ascii="Times New Roman" w:hAnsi="Times New Roman" w:eastAsia="楷体_GB2312" w:cs="Times New Roman"/>
          <w:b/>
          <w:color w:val="auto"/>
          <w:sz w:val="32"/>
          <w:szCs w:val="32"/>
        </w:rPr>
        <w:t>第二节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加大投入力度</w:t>
      </w:r>
      <w:bookmarkEnd w:id="51"/>
    </w:p>
    <w:p w14:paraId="37F3C6CB">
      <w:pPr>
        <w:spacing w:line="576" w:lineRule="exact"/>
        <w:ind w:firstLine="640" w:firstLineChars="200"/>
        <w:rPr>
          <w:rFonts w:hint="default" w:ascii="Times New Roman" w:hAnsi="Times New Roman" w:eastAsia="仿宋_GB2312" w:cs="Times New Roman"/>
          <w:color w:val="auto"/>
          <w:sz w:val="32"/>
          <w:szCs w:val="32"/>
        </w:rPr>
      </w:pPr>
    </w:p>
    <w:p w14:paraId="0A894B03">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继续加大对农业农村的投入力度，建立农业农村投入稳定增长机制，财政支出重点向农业农村倾斜，确保农业农村投入只增不减；土地出让收益重点投向农业土地开发、农田水利和农村基础设施建设，确保足额提取、定向使用。通过统筹财力、盘活存量资金、调整支出结构等措施，精准施策、精准扶持，提高财政资金投入效率。推进农村金融组织创新、产品创新、服务创新、制度创新，发展各类新型金融组织。通过农业基础设施改善“筑巢引凤”模式和税收减免、财政补贴、投资补助等机制增强财政资金的杠杆撬动作用，引导各类主体投入现代农业、参与农村产业发展和公共设施建设，努力形成多元化投入新格局。</w:t>
      </w:r>
    </w:p>
    <w:p w14:paraId="18126FA1">
      <w:pPr>
        <w:spacing w:line="576" w:lineRule="exact"/>
        <w:jc w:val="center"/>
        <w:rPr>
          <w:rFonts w:hint="default" w:ascii="Times New Roman" w:hAnsi="Times New Roman" w:eastAsia="仿宋_GB2312" w:cs="Times New Roman"/>
          <w:color w:val="auto"/>
          <w:sz w:val="32"/>
          <w:szCs w:val="32"/>
        </w:rPr>
      </w:pPr>
    </w:p>
    <w:p w14:paraId="53482B57">
      <w:pPr>
        <w:spacing w:line="576" w:lineRule="exact"/>
        <w:jc w:val="center"/>
        <w:outlineLvl w:val="1"/>
        <w:rPr>
          <w:rFonts w:hint="default" w:ascii="Times New Roman" w:hAnsi="Times New Roman" w:eastAsia="楷体_GB2312" w:cs="Times New Roman"/>
          <w:b/>
          <w:color w:val="auto"/>
          <w:sz w:val="32"/>
          <w:szCs w:val="32"/>
        </w:rPr>
      </w:pPr>
      <w:bookmarkStart w:id="52" w:name="_Toc101688823"/>
      <w:r>
        <w:rPr>
          <w:rFonts w:hint="default" w:ascii="Times New Roman" w:hAnsi="Times New Roman" w:eastAsia="楷体_GB2312" w:cs="Times New Roman"/>
          <w:b/>
          <w:color w:val="auto"/>
          <w:sz w:val="32"/>
          <w:szCs w:val="32"/>
        </w:rPr>
        <w:t>第三节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夯实人才支撑</w:t>
      </w:r>
      <w:bookmarkEnd w:id="52"/>
    </w:p>
    <w:p w14:paraId="79841A39">
      <w:pPr>
        <w:spacing w:line="576" w:lineRule="exact"/>
        <w:ind w:firstLine="640" w:firstLineChars="200"/>
        <w:rPr>
          <w:rFonts w:hint="default" w:ascii="Times New Roman" w:hAnsi="Times New Roman" w:eastAsia="仿宋_GB2312" w:cs="Times New Roman"/>
          <w:color w:val="auto"/>
          <w:sz w:val="32"/>
          <w:szCs w:val="32"/>
        </w:rPr>
      </w:pPr>
    </w:p>
    <w:p w14:paraId="0544D0A2">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加大镇公务员、事业编制人员招录招聘力度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选调生、优秀年轻干部到基层一线培养锻炼制度。实施村党组织带头人队伍优化提升行动和村级后备力量培育工程。用好基层引进急需紧缺人才相关政策,大力开展高校“一站式”人才招引，创新引进果蔬、肉羊、土鸡、渔业等紧缺专技人才，着力培育产业发展、乡村振兴、城镇建设、基层治理等方面专业人才。推进“葭萌英才”培育工程，分行业领域组建人才服务团队开展技术指导、技能培训。深化“剪刀干部、剪刀村民”培育行动，加大乡村旅游规划师、乡村建设规划师、乡村社工师等遴选培养力度，大力培育“土专家”“田秀才”和能工巧匠。鼓励符合条件的返乡创业农民工、高校毕业生、退役军人、社区专业工作者等,按程序通过选举进入村(社区)“两委”。关心爱护“三农”干部，优先提拔使用在农村一线、工作实绩突出的干部，帮助解决职级晋升、职称评聘实际困难，激发干事创业、敢于担当、主动作为的工作激情。持续深化人才体制改革，建立完善事业导向、利益驱动并重的人才评价激励机制，探索建立知识、技术等要素参与分配的有效机制。</w:t>
      </w:r>
    </w:p>
    <w:p w14:paraId="67A08363">
      <w:pPr>
        <w:spacing w:line="576" w:lineRule="exact"/>
        <w:jc w:val="center"/>
        <w:rPr>
          <w:rFonts w:hint="default" w:ascii="Times New Roman" w:hAnsi="Times New Roman" w:eastAsia="仿宋_GB2312" w:cs="Times New Roman"/>
          <w:color w:val="auto"/>
          <w:sz w:val="32"/>
          <w:szCs w:val="32"/>
        </w:rPr>
      </w:pPr>
    </w:p>
    <w:p w14:paraId="2DF8E8FF">
      <w:pPr>
        <w:spacing w:line="576" w:lineRule="exact"/>
        <w:jc w:val="center"/>
        <w:outlineLvl w:val="1"/>
        <w:rPr>
          <w:rFonts w:hint="default" w:ascii="Times New Roman" w:hAnsi="Times New Roman" w:eastAsia="楷体_GB2312" w:cs="Times New Roman"/>
          <w:b/>
          <w:color w:val="auto"/>
          <w:sz w:val="32"/>
          <w:szCs w:val="32"/>
        </w:rPr>
      </w:pPr>
      <w:bookmarkStart w:id="53" w:name="_Toc101688824"/>
      <w:r>
        <w:rPr>
          <w:rFonts w:hint="default" w:ascii="Times New Roman" w:hAnsi="Times New Roman" w:eastAsia="楷体_GB2312" w:cs="Times New Roman"/>
          <w:b/>
          <w:color w:val="auto"/>
          <w:sz w:val="32"/>
          <w:szCs w:val="32"/>
        </w:rPr>
        <w:t>第四节</w:t>
      </w:r>
      <w:r>
        <w:rPr>
          <w:rFonts w:hint="eastAsia" w:ascii="Times New Roman" w:hAnsi="Times New Roman" w:eastAsia="楷体_GB2312" w:cs="Times New Roman"/>
          <w:b/>
          <w:color w:val="auto"/>
          <w:sz w:val="32"/>
          <w:szCs w:val="32"/>
          <w:lang w:val="en-US" w:eastAsia="zh-CN"/>
        </w:rPr>
        <w:t xml:space="preserve">  </w:t>
      </w:r>
      <w:r>
        <w:rPr>
          <w:rFonts w:hint="default" w:ascii="Times New Roman" w:hAnsi="Times New Roman" w:eastAsia="楷体_GB2312" w:cs="Times New Roman"/>
          <w:b/>
          <w:color w:val="auto"/>
          <w:sz w:val="32"/>
          <w:szCs w:val="32"/>
        </w:rPr>
        <w:t>优化考核督促</w:t>
      </w:r>
      <w:bookmarkEnd w:id="53"/>
    </w:p>
    <w:p w14:paraId="40218AFC">
      <w:pPr>
        <w:spacing w:line="576" w:lineRule="exact"/>
        <w:ind w:firstLine="640" w:firstLineChars="200"/>
        <w:rPr>
          <w:rFonts w:hint="default" w:ascii="Times New Roman" w:hAnsi="Times New Roman" w:eastAsia="仿宋_GB2312" w:cs="Times New Roman"/>
          <w:color w:val="auto"/>
          <w:sz w:val="32"/>
          <w:szCs w:val="32"/>
        </w:rPr>
      </w:pPr>
    </w:p>
    <w:p w14:paraId="45C46F0E">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十四五”农业农村现代化规划实施考核监督和激励约束。将规划实施成效纳入区级各部门和镇的年度目标考评内容，考核结果作为有关领导干部年度考核、选拔任用的重要依据，确保完成各项目标任务。加强乡村统计工作，因地制宜建立客观反映农业农村的指标和统计体系，动态分析形势变化，评估规划实施存在的问题和困难，提出推进规划实施建议，提升规划实施效能。健全“三级书记”抓乡村振兴考核机制，实行镇党委政府向区委区政府报告乡村振兴实施情况工作制度，纳入镇党委书记述职评议考核内容，强化问责约谈机制。建立规划实施督促检查机制，适时开展规划中期评估和总结评估。</w:t>
      </w:r>
    </w:p>
    <w:p w14:paraId="3BDD7189">
      <w:pPr>
        <w:rPr>
          <w:rFonts w:hint="eastAsia" w:eastAsia="仿宋_GB2312"/>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0A971-4293-49BF-9446-D60F05A682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21D7D038-845B-4023-89DD-DFE983307355}"/>
  </w:font>
  <w:font w:name="仿宋_GB2312">
    <w:altName w:val="仿宋"/>
    <w:panose1 w:val="02010609030101010101"/>
    <w:charset w:val="86"/>
    <w:family w:val="modern"/>
    <w:pitch w:val="default"/>
    <w:sig w:usb0="00000000" w:usb1="00000000" w:usb2="00000000" w:usb3="00000000" w:csb0="00040000" w:csb1="00000000"/>
    <w:embedRegular r:id="rId3" w:fontKey="{1C6872E2-71EC-4561-BA52-145E702905A2}"/>
  </w:font>
  <w:font w:name="方正小标宋简体">
    <w:panose1 w:val="02000000000000000000"/>
    <w:charset w:val="86"/>
    <w:family w:val="auto"/>
    <w:pitch w:val="default"/>
    <w:sig w:usb0="00000001" w:usb1="08000000" w:usb2="00000000" w:usb3="00000000" w:csb0="00040000" w:csb1="00000000"/>
    <w:embedRegular r:id="rId4" w:fontKey="{B213F82E-F3BE-4FA7-A5CC-F5E7C5ADE20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5FB8">
    <w:pPr>
      <w:pStyle w:val="6"/>
      <w:ind w:left="210" w:leftChars="100" w:right="210" w:rightChars="100"/>
      <w:jc w:val="right"/>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Style w:val="14"/>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6A3B">
    <w:pPr>
      <w:pStyle w:val="6"/>
      <w:ind w:right="210" w:rightChars="100" w:firstLine="280" w:firstLineChars="100"/>
      <w:jc w:val="left"/>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Style w:val="14"/>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FABD">
    <w:pPr>
      <w:pStyle w:val="6"/>
      <w:framePr w:wrap="around" w:vAnchor="text" w:hAnchor="margin" w:xAlign="outside" w:y="1"/>
      <w:ind w:left="210" w:leftChars="100" w:right="210" w:rightChars="100"/>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18</w:t>
    </w:r>
    <w:r>
      <w:rPr>
        <w:rFonts w:ascii="宋体" w:hAnsi="宋体"/>
        <w:sz w:val="28"/>
        <w:szCs w:val="28"/>
      </w:rPr>
      <w:fldChar w:fldCharType="end"/>
    </w:r>
    <w:r>
      <w:rPr>
        <w:rStyle w:val="14"/>
        <w:rFonts w:hint="eastAsia" w:ascii="宋体" w:hAnsi="宋体"/>
        <w:sz w:val="28"/>
        <w:szCs w:val="28"/>
      </w:rPr>
      <w:t xml:space="preserve"> —</w:t>
    </w:r>
  </w:p>
  <w:p w14:paraId="0E52A5B7">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C8A0AFC"/>
    <w:rsid w:val="0C8A0AFC"/>
    <w:rsid w:val="0D0B3C20"/>
    <w:rsid w:val="17443B06"/>
    <w:rsid w:val="2B237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outlineLvl w:val="1"/>
    </w:pPr>
    <w:rPr>
      <w:rFonts w:ascii="Calibri Light" w:hAnsi="Calibri Light" w:eastAsia="楷体_GB2312"/>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adjustRightInd w:val="0"/>
      <w:snapToGrid w:val="0"/>
      <w:spacing w:line="336" w:lineRule="auto"/>
    </w:pPr>
    <w:rPr>
      <w:sz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rPr>
      <w:szCs w:val="22"/>
    </w:rPr>
  </w:style>
  <w:style w:type="paragraph" w:styleId="8">
    <w:name w:val="table of figures"/>
    <w:basedOn w:val="1"/>
    <w:next w:val="1"/>
    <w:unhideWhenUsed/>
    <w:qFormat/>
    <w:uiPriority w:val="99"/>
    <w:pPr>
      <w:ind w:left="200" w:leftChars="200" w:hanging="200" w:hangingChars="200"/>
    </w:pPr>
  </w:style>
  <w:style w:type="paragraph" w:styleId="9">
    <w:name w:val="toc 2"/>
    <w:basedOn w:val="1"/>
    <w:next w:val="1"/>
    <w:qFormat/>
    <w:uiPriority w:val="39"/>
    <w:pPr>
      <w:ind w:left="420" w:leftChars="200"/>
    </w:pPr>
  </w:style>
  <w:style w:type="paragraph" w:styleId="10">
    <w:name w:val="Body Text First Indent"/>
    <w:basedOn w:val="4"/>
    <w:unhideWhenUsed/>
    <w:qFormat/>
    <w:uiPriority w:val="99"/>
    <w:pPr>
      <w:spacing w:after="120"/>
      <w:ind w:firstLine="420" w:firstLineChars="1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36574</Words>
  <Characters>37600</Characters>
  <Lines>0</Lines>
  <Paragraphs>0</Paragraphs>
  <TotalTime>4</TotalTime>
  <ScaleCrop>false</ScaleCrop>
  <LinksUpToDate>false</LinksUpToDate>
  <CharactersWithSpaces>37946</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2022-12-29T09:40:00Z</dcterms:created>
  <dc:creator>cheng繨爺</dc:creator>
  <cp:lastModifiedBy>昭化融媒体</cp:lastModifiedBy>
  <dcterms:modified xsi:type="dcterms:W3CDTF">2024-12-05T01:17:43Z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BE27C4E9F20843E48179AFEA0DAE4895</vt:lpwstr>
  </property>
</Properties>
</file>