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0D6C1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关于《广元市昭化区“金通工程”农村客运物流体系项目实施方案（征求意见稿）》向社会公开征求意见建议</w:t>
      </w:r>
    </w:p>
    <w:p w14:paraId="2B5A5A5D">
      <w:pPr>
        <w:ind w:firstLine="634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938B98">
      <w:pPr>
        <w:ind w:firstLine="634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为持续</w:t>
      </w:r>
      <w:r>
        <w:rPr>
          <w:rStyle w:val="8"/>
          <w:rFonts w:hint="eastAsia" w:ascii="Times New Roman" w:hAnsi="Times New Roman" w:eastAsia="仿宋_GB2312" w:cs="Times New Roman"/>
          <w:i w:val="0"/>
          <w:iCs w:val="0"/>
          <w:sz w:val="32"/>
          <w:szCs w:val="32"/>
          <w:shd w:val="clear" w:color="auto" w:fill="FFFFFF"/>
          <w:lang w:eastAsia="zh-CN"/>
        </w:rPr>
        <w:t>巩固拓展脱贫攻坚成果同乡村振兴有效衔接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切实做好两项改革“后半篇”文章，根据四川省交通运输厅运输管理局《关于印发&lt;四川省推进“金通工程·天府交邮通”构建农村物流服务体系指导意见&gt;的通知》（川运函45号）和《关于印发&lt;金通工程乡镇综合服务站建设参考标准&gt;的通知》（川运函62号）有关要求，全面建成区、镇、村三级运输服务体系和物流体系，充分发挥乡村运输网络通达优势，服务支撑乡村振兴发展战略，推进我区农村客运、货运、邮政快递融合发展，统筹解决群众幸福出行、物流配送、邮政寄递三个“最后一公里”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，我局起草了《广元市昭化区“金通工程”农村客运物流体系项目建设实施方案（征求意见稿）》，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现向</w:t>
      </w:r>
      <w:r>
        <w:rPr>
          <w:rFonts w:eastAsia="仿宋_GB2312"/>
          <w:color w:val="000000"/>
          <w:kern w:val="0"/>
          <w:sz w:val="32"/>
          <w:szCs w:val="32"/>
        </w:rPr>
        <w:t>社会公开征求意见、建议，征求时间为202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日—202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日，可通过电子邮件反馈意见建议，邮箱：</w:t>
      </w:r>
      <w:r>
        <w:rPr>
          <w:rFonts w:eastAsia="仿宋_GB2312"/>
          <w:color w:val="000000"/>
          <w:kern w:val="0"/>
          <w:sz w:val="32"/>
          <w:szCs w:val="32"/>
        </w:rPr>
        <w:fldChar w:fldCharType="begin"/>
      </w:r>
      <w:r>
        <w:rPr>
          <w:rFonts w:eastAsia="仿宋_GB2312"/>
          <w:color w:val="000000"/>
          <w:kern w:val="0"/>
          <w:sz w:val="32"/>
          <w:szCs w:val="32"/>
        </w:rPr>
        <w:instrText xml:space="preserve"> HYPERLINK "mailto:357459036@qq.com。" </w:instrText>
      </w:r>
      <w:r>
        <w:rPr>
          <w:rFonts w:eastAsia="仿宋_GB2312"/>
          <w:color w:val="000000"/>
          <w:kern w:val="0"/>
          <w:sz w:val="32"/>
          <w:szCs w:val="32"/>
        </w:rPr>
        <w:fldChar w:fldCharType="separate"/>
      </w:r>
      <w:r>
        <w:rPr>
          <w:rStyle w:val="9"/>
          <w:rFonts w:eastAsia="仿宋_GB2312"/>
          <w:color w:val="000000"/>
          <w:kern w:val="0"/>
          <w:sz w:val="32"/>
          <w:szCs w:val="32"/>
        </w:rPr>
        <w:t>3</w:t>
      </w:r>
      <w:r>
        <w:rPr>
          <w:rStyle w:val="9"/>
          <w:rFonts w:hint="eastAsia" w:eastAsia="仿宋_GB2312"/>
          <w:color w:val="000000"/>
          <w:kern w:val="0"/>
          <w:sz w:val="32"/>
          <w:szCs w:val="32"/>
          <w:lang w:val="en-US" w:eastAsia="zh-CN"/>
        </w:rPr>
        <w:t>57459036</w:t>
      </w:r>
      <w:r>
        <w:rPr>
          <w:rStyle w:val="9"/>
          <w:rFonts w:eastAsia="仿宋_GB2312"/>
          <w:color w:val="000000"/>
          <w:kern w:val="0"/>
          <w:sz w:val="32"/>
          <w:szCs w:val="32"/>
        </w:rPr>
        <w:t>@qq.com。</w:t>
      </w:r>
      <w:r>
        <w:rPr>
          <w:rFonts w:eastAsia="仿宋_GB2312"/>
          <w:color w:val="000000"/>
          <w:kern w:val="0"/>
          <w:sz w:val="32"/>
          <w:szCs w:val="32"/>
        </w:rPr>
        <w:fldChar w:fldCharType="end"/>
      </w:r>
    </w:p>
    <w:p w14:paraId="62582511">
      <w:pPr>
        <w:rPr>
          <w:rFonts w:eastAsia="仿宋_GB2312"/>
          <w:color w:val="000000"/>
          <w:kern w:val="0"/>
          <w:sz w:val="32"/>
          <w:szCs w:val="32"/>
        </w:rPr>
      </w:pPr>
    </w:p>
    <w:p w14:paraId="251F3B7E">
      <w:pPr>
        <w:rPr>
          <w:rFonts w:eastAsia="仿宋_GB2312"/>
          <w:color w:val="000000"/>
          <w:kern w:val="0"/>
          <w:sz w:val="32"/>
          <w:szCs w:val="32"/>
        </w:rPr>
      </w:pPr>
    </w:p>
    <w:p w14:paraId="607A93E4">
      <w:pPr>
        <w:ind w:firstLine="4438" w:firstLineChars="1400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广元市昭化区交通运输局</w:t>
      </w:r>
    </w:p>
    <w:p w14:paraId="738593B2">
      <w:pPr>
        <w:ind w:firstLine="5072" w:firstLineChars="1600"/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2022年4月20日</w:t>
      </w:r>
    </w:p>
    <w:p w14:paraId="5EBCC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广元市昭化区“金通工程”农村客运</w:t>
      </w:r>
    </w:p>
    <w:p w14:paraId="7F4C1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物流体系项目实施方案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（征求意见稿）</w:t>
      </w:r>
    </w:p>
    <w:p w14:paraId="556C4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CFB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一、建设背景</w:t>
      </w:r>
    </w:p>
    <w:p w14:paraId="45F1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为持续</w:t>
      </w:r>
      <w:r>
        <w:rPr>
          <w:rStyle w:val="8"/>
          <w:rFonts w:hint="eastAsia" w:ascii="Times New Roman" w:hAnsi="Times New Roman" w:eastAsia="仿宋_GB2312" w:cs="Times New Roman"/>
          <w:i w:val="0"/>
          <w:iCs w:val="0"/>
          <w:sz w:val="32"/>
          <w:szCs w:val="32"/>
          <w:shd w:val="clear" w:color="auto" w:fill="FFFFFF"/>
          <w:lang w:eastAsia="zh-CN"/>
        </w:rPr>
        <w:t>巩固拓展脱贫攻坚成果同乡村振兴有效衔接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切实做好两项改革“后半篇”文章，根据四川省交通运输厅运输管理局《关于印发&lt;四川省推进“金通工程·天府交邮通”构建农村物流服务体系指导意见&gt;的通知》（川运函45号）和《关于印发&lt;金通工程乡镇综合服务站建设参考标准&gt;的通知》（川运函62号）有关要求，全面建成区、镇、村三级运输服务体系和物流体系，充分发挥乡村运输网络通达优势，服务支撑乡村振兴发展战略，推进我区农村客运、货运、邮政快递融合发展，统筹解决群众幸福出行、物流配送、邮政寄递三个“最后一公里”问题，着力提升交通运输服务民生和经济社会发展的能力与水平。</w:t>
      </w:r>
    </w:p>
    <w:p w14:paraId="011A90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主要建设内容</w:t>
      </w:r>
    </w:p>
    <w:p w14:paraId="64CB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（一）建设范围</w:t>
      </w:r>
    </w:p>
    <w:p w14:paraId="06D6D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全区12个镇；150个村（社区），其中行政村126个、社区24个。</w:t>
      </w:r>
    </w:p>
    <w:p w14:paraId="312F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（二）建设内容</w:t>
      </w:r>
    </w:p>
    <w:p w14:paraId="727B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新建综合服务站5个，分别为清水镇综合运输服务站、卫子镇综合运输服务站、青牛镇综合运输服务站、虎跳镇综合运输服务站及太公镇综合运输服务站。新建综合运输服务站合计占地约12亩，主要建设内容为售票用房、办公区、候车厅、卫生间、驾驶员休息室、邮政物流用房、商超区、特色农产品展示区、特色旅游推荐区、站前广场、停车场、发车位、以及购置安检、物流运输设备等。</w:t>
      </w:r>
    </w:p>
    <w:p w14:paraId="4D91A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改建综合服务站6个，分别为磨滩镇综合运输服务站、柏林沟镇综合运输服务站、射箭镇综合运输服务站、红岩镇综合运输服务站、王家镇综合运输服务站及昭化镇综合运输服务站，主要改建内容为车站设施设备、商超邮快、农旅产品展销、物流运输设施设备及仓储用房等。</w:t>
      </w:r>
    </w:p>
    <w:p w14:paraId="07867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3.建设150个村级邮快驿站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位于昭化区各行政村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，主要内容为邮快、物流站点建设。</w:t>
      </w:r>
    </w:p>
    <w:p w14:paraId="1D742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（三）建设时间</w:t>
      </w:r>
    </w:p>
    <w:p w14:paraId="43824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月至2022年10月，建设工期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个月。</w:t>
      </w:r>
    </w:p>
    <w:p w14:paraId="65888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三、资金需求及来源</w:t>
      </w:r>
    </w:p>
    <w:p w14:paraId="1A152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（一）资金需求</w:t>
      </w:r>
    </w:p>
    <w:p w14:paraId="4B7BF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广元市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昭化区金通工程农村客运物流体系工程建设项目总概算资金约766.5万元，主要由以下几部分构成：</w:t>
      </w:r>
    </w:p>
    <w:p w14:paraId="6BB52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1.工程建设费用。综合运输服务站新（改扩）建工程建设费用546万元，用于综合服务站的新建和改建、招呼站建设、信息化设备安装和运输设备购买。</w:t>
      </w:r>
    </w:p>
    <w:p w14:paraId="1B40F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2.工程建设其他费用。工程建设其他费用共58.7万元，包括土地费用、建设单位管理费、工程建设监理费、勘察费、招标代理费、可研编制费、工程保险费、施工图预算编制费等。</w:t>
      </w:r>
    </w:p>
    <w:p w14:paraId="151F7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3.预备费用。根据建设部《关于印发市政工程投资估算编制办法的通知》（建标〔2007〕164号）规定，预备费用共计11.8万元。</w:t>
      </w:r>
    </w:p>
    <w:p w14:paraId="0746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4.150个村级邮快驿站建设费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用共150万元，包括邮快驿站标志、设施设备等。</w:t>
      </w:r>
    </w:p>
    <w:p w14:paraId="58B9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（二）资金来源</w:t>
      </w:r>
    </w:p>
    <w:p w14:paraId="3D23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统筹省级奖补资金，不足部分由四川广运集团股份有限公司元坝分公司自筹，采取自营模式返还。</w:t>
      </w:r>
    </w:p>
    <w:p w14:paraId="44C0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四、实施方式</w:t>
      </w:r>
    </w:p>
    <w:p w14:paraId="6075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（一）项目所在地镇人民政府负责组织政策宣传，协调推进项目建设。</w:t>
      </w:r>
    </w:p>
    <w:p w14:paraId="4F9D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（二）四川广运集团股份有限公司元坝分公司作为项目业主负责项目实施，区交通运输综合服务中心负责指导、监管。</w:t>
      </w:r>
    </w:p>
    <w:p w14:paraId="05DC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（三）严格基本建设程序，按属地镇、村为项目单位分别实施，由业主单位按相应程序组织建设。</w:t>
      </w:r>
    </w:p>
    <w:p w14:paraId="65E6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（四）严格规划选址、建设用地审批、办理完善土地产权划拨手续，建成后交由四川广运集团股份有限公司元坝分公司管理和使用。</w:t>
      </w:r>
    </w:p>
    <w:p w14:paraId="0D46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五、项目验收和监管</w:t>
      </w:r>
    </w:p>
    <w:p w14:paraId="35458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（一）验收条件</w:t>
      </w:r>
    </w:p>
    <w:p w14:paraId="24734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综合运输服务站、招呼站及配套设施交付使用且项目竣工编制资料齐备。</w:t>
      </w:r>
    </w:p>
    <w:p w14:paraId="566E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（二）验收程序</w:t>
      </w:r>
    </w:p>
    <w:p w14:paraId="4DCB0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由项目业主与项目所在镇人民政府自查，自查合格后，提交项目竣工资料和验收请示，由行业主管部门组织区发改、住建等部门及项目所在地镇人民政府组成项目验收小组，对项目工程实施情况、质量、土地权属管理、档案资料整理归档等情况开展项目验收。</w:t>
      </w:r>
    </w:p>
    <w:p w14:paraId="54A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（三）项目监管。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项目法人责任制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、合同管理制、监理制，规范推进项目建设。严格资金管理，做到专款专用、专账核算。</w:t>
      </w:r>
    </w:p>
    <w:p w14:paraId="554E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50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61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4" w:firstLineChars="200"/>
        <w:jc w:val="both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元市</w:t>
      </w: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</w:rPr>
        <w:t>昭化区各镇综合服务站、村级邮快驿站概算表</w:t>
      </w:r>
    </w:p>
    <w:p w14:paraId="20BEB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585" w:firstLineChars="5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2.虎跳镇交通运输综合服务站设计总图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（示例）</w:t>
      </w:r>
    </w:p>
    <w:p w14:paraId="433E94A6">
      <w:pPr>
        <w:pStyle w:val="2"/>
        <w:ind w:left="0"/>
        <w:rPr>
          <w:rFonts w:hint="default" w:ascii="Times New Roman" w:hAnsi="Times New Roman" w:cs="Times New Roman"/>
        </w:rPr>
      </w:pPr>
    </w:p>
    <w:p w14:paraId="729323B0">
      <w:pPr>
        <w:rPr>
          <w:rFonts w:hint="default" w:ascii="Times New Roman" w:hAnsi="Times New Roman" w:cs="Times New Roman"/>
        </w:rPr>
      </w:pPr>
    </w:p>
    <w:p w14:paraId="3FD7910D">
      <w:pPr>
        <w:pStyle w:val="2"/>
        <w:rPr>
          <w:rFonts w:hint="default" w:ascii="Times New Roman" w:hAnsi="Times New Roman" w:cs="Times New Roman"/>
        </w:rPr>
      </w:pPr>
    </w:p>
    <w:p w14:paraId="6BE0FE73">
      <w:pPr>
        <w:rPr>
          <w:rFonts w:hint="default" w:ascii="Times New Roman" w:hAnsi="Times New Roman" w:cs="Times New Roman"/>
        </w:rPr>
      </w:pPr>
    </w:p>
    <w:p w14:paraId="301542C7">
      <w:pPr>
        <w:pStyle w:val="2"/>
        <w:rPr>
          <w:rFonts w:hint="default" w:ascii="Times New Roman" w:hAnsi="Times New Roman" w:cs="Times New Roman"/>
        </w:rPr>
      </w:pPr>
    </w:p>
    <w:p w14:paraId="3E7BCFBD">
      <w:pPr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2098" w:right="1474" w:bottom="1984" w:left="1701" w:header="851" w:footer="1559" w:gutter="0"/>
          <w:cols w:space="720" w:num="1"/>
          <w:rtlGutter w:val="0"/>
          <w:docGrid w:type="linesAndChars" w:linePitch="592" w:charSpace="-620"/>
        </w:sectPr>
      </w:pPr>
    </w:p>
    <w:p w14:paraId="6B886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 w14:paraId="3800C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昭化区各镇综合服务站、村级邮快驿站概算表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805"/>
        <w:gridCol w:w="1457"/>
        <w:gridCol w:w="887"/>
        <w:gridCol w:w="1273"/>
        <w:gridCol w:w="1435"/>
        <w:gridCol w:w="1454"/>
        <w:gridCol w:w="1125"/>
        <w:gridCol w:w="1176"/>
        <w:gridCol w:w="1210"/>
        <w:gridCol w:w="1090"/>
      </w:tblGrid>
      <w:tr w14:paraId="17D7C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A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服务站名称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概算总金额</w:t>
            </w:r>
          </w:p>
          <w:p w14:paraId="0FC13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A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用地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8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房屋主体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D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装修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8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配套设施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硬化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5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绿化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3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前期费用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A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预备费</w:t>
            </w:r>
          </w:p>
        </w:tc>
      </w:tr>
      <w:tr w14:paraId="6204C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0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A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虎  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5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72.4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D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7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7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5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E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D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2.4</w:t>
            </w:r>
          </w:p>
        </w:tc>
      </w:tr>
      <w:tr w14:paraId="1150A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2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太公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D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73.4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2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9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8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7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F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F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0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2.4</w:t>
            </w:r>
          </w:p>
        </w:tc>
      </w:tr>
      <w:tr w14:paraId="57553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7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5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青牛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5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8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1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C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9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C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C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3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4C9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2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清水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C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E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D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F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3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9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1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</w:tr>
      <w:tr w14:paraId="5938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3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卫子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0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81.5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F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C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9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6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3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6.5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C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</w:tr>
      <w:tr w14:paraId="166AB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B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红岩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F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80.2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9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E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B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1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D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D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05F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F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柏林沟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F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F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3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9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A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8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0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C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DF2A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C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王家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7F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0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A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3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4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7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A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08E7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磨滩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6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3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A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5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D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6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7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1910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F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射箭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D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E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7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4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5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F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E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34BF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3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3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昭化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2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2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B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1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8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2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6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5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B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ABA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1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0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150个邮快驿站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7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6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9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C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3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3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3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0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E17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E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B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合   计</w:t>
            </w:r>
          </w:p>
        </w:tc>
        <w:tc>
          <w:tcPr>
            <w:tcW w:w="100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3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766.5万元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6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55814C2C">
      <w:pPr>
        <w:spacing w:line="576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168C2A48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虎跳镇交通运输综合服务站设计总图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（示例）</w:t>
      </w:r>
    </w:p>
    <w:p w14:paraId="19A5350F">
      <w:pPr>
        <w:widowControl/>
        <w:jc w:val="center"/>
        <w:rPr>
          <w:rFonts w:hint="default" w:ascii="Times New Roman" w:hAnsi="Times New Roman" w:cs="Times New Roman"/>
          <w:kern w:val="0"/>
          <w:sz w:val="24"/>
          <w:lang w:bidi="ar"/>
        </w:rPr>
        <w:sectPr>
          <w:footerReference r:id="rId5" w:type="default"/>
          <w:pgSz w:w="16838" w:h="11906" w:orient="landscape"/>
          <w:pgMar w:top="1474" w:right="1417" w:bottom="1417" w:left="141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kern w:val="0"/>
          <w:sz w:val="24"/>
          <w:lang w:bidi="ar"/>
        </w:rPr>
        <w:drawing>
          <wp:inline distT="0" distB="0" distL="114300" distR="114300">
            <wp:extent cx="8327390" cy="4937125"/>
            <wp:effectExtent l="0" t="0" r="16510" b="1587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27390" cy="493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24436">
      <w:pP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</w:pPr>
    </w:p>
    <w:p w14:paraId="5E650AFE">
      <w:pPr>
        <w:rPr>
          <w:rFonts w:hint="default" w:eastAsia="仿宋_GB2312"/>
          <w:color w:val="000000"/>
          <w:kern w:val="0"/>
          <w:sz w:val="32"/>
          <w:szCs w:val="32"/>
          <w:lang w:val="en-US" w:eastAsia="zh-CN"/>
        </w:rPr>
      </w:pPr>
    </w:p>
    <w:p w14:paraId="61C812E9"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55BDD9-F4C8-4628-8D01-9EDDEA4064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1A94EE-6FCD-4A80-A490-2E0D266BD3A6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CC76F7-554C-4E98-B3ED-9344D986C10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076F371-8A54-4556-81F0-4325553FBA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CA0F706-727B-45AB-AAC2-71FFDB8183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9E5CDE62-17A4-4A0A-85BE-3307F6502E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3362">
    <w:pPr>
      <w:pStyle w:val="4"/>
      <w:ind w:left="210" w:leftChars="100" w:right="210" w:rightChars="100"/>
      <w:jc w:val="right"/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A8B5D">
    <w:pPr>
      <w:pStyle w:val="4"/>
      <w:ind w:left="0" w:leftChars="0" w:right="210" w:rightChars="100" w:firstLine="280" w:firstLineChars="100"/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13A67">
    <w:pPr>
      <w:pStyle w:val="4"/>
      <w:framePr w:wrap="around" w:vAnchor="text" w:hAnchor="margin" w:xAlign="outside" w:y="1"/>
      <w:ind w:left="210" w:leftChars="100" w:right="210" w:righ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02E80209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F713D"/>
    <w:multiLevelType w:val="singleLevel"/>
    <w:tmpl w:val="C03F71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Tg4NGNkZWJkODFjNzcyZDRjM2M4Y2UzNjI5ZmUifQ=="/>
  </w:docVars>
  <w:rsids>
    <w:rsidRoot w:val="745E0B3B"/>
    <w:rsid w:val="409475F1"/>
    <w:rsid w:val="63FD1928"/>
    <w:rsid w:val="745E0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ascii="Calibri Light" w:hAnsi="Calibri Light" w:eastAsia="楷体_GB2312"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2133</Words>
  <Characters>2279</Characters>
  <Lines>0</Lines>
  <Paragraphs>0</Paragraphs>
  <TotalTime>3</TotalTime>
  <ScaleCrop>false</ScaleCrop>
  <LinksUpToDate>false</LinksUpToDate>
  <CharactersWithSpaces>2284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2022-12-29T10:53:00Z</dcterms:created>
  <dc:creator>cheng繨爺</dc:creator>
  <cp:lastModifiedBy>昭化融媒体</cp:lastModifiedBy>
  <dcterms:modified xsi:type="dcterms:W3CDTF">2024-12-02T07:31:34Z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D1024919FF8D4EC4BADC6A4889386115</vt:lpwstr>
  </property>
</Properties>
</file>