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ascii="Times New Roman" w:hAnsi="Times New Roman" w:eastAsia="方正小标宋简体"/>
          <w:b/>
          <w:bCs/>
          <w:spacing w:val="2"/>
          <w:sz w:val="44"/>
          <w:szCs w:val="44"/>
        </w:rPr>
      </w:pPr>
    </w:p>
    <w:p>
      <w:pPr>
        <w:spacing w:line="700" w:lineRule="exact"/>
        <w:jc w:val="center"/>
        <w:rPr>
          <w:rFonts w:ascii="Times New Roman" w:hAnsi="Times New Roman" w:eastAsia="方正小标宋简体"/>
          <w:b/>
          <w:bCs/>
          <w:spacing w:val="2"/>
          <w:sz w:val="44"/>
          <w:szCs w:val="44"/>
        </w:rPr>
      </w:pPr>
      <w:r>
        <w:rPr>
          <w:rFonts w:ascii="Times New Roman" w:hAnsi="Times New Roman" w:eastAsia="方正小标宋简体"/>
          <w:b/>
          <w:bCs/>
          <w:spacing w:val="2"/>
          <w:sz w:val="44"/>
          <w:szCs w:val="44"/>
        </w:rPr>
        <w:t>广元市昭化区</w:t>
      </w:r>
    </w:p>
    <w:p>
      <w:pPr>
        <w:spacing w:line="700" w:lineRule="exact"/>
        <w:jc w:val="center"/>
        <w:rPr>
          <w:rFonts w:hint="eastAsia" w:eastAsia="方正小标宋简体"/>
          <w:b/>
          <w:bCs/>
          <w:spacing w:val="2"/>
          <w:sz w:val="44"/>
          <w:szCs w:val="44"/>
          <w:lang w:val="en-US" w:eastAsia="zh-CN"/>
        </w:rPr>
      </w:pPr>
      <w:r>
        <w:rPr>
          <w:rFonts w:ascii="Times New Roman" w:hAnsi="Times New Roman" w:eastAsia="方正小标宋简体"/>
          <w:b/>
          <w:bCs/>
          <w:spacing w:val="2"/>
          <w:sz w:val="44"/>
          <w:szCs w:val="44"/>
        </w:rPr>
        <w:t>财政投资评审</w:t>
      </w:r>
      <w:r>
        <w:rPr>
          <w:rFonts w:hint="eastAsia" w:ascii="Times New Roman" w:hAnsi="Times New Roman" w:eastAsia="方正小标宋简体"/>
          <w:b/>
          <w:bCs/>
          <w:spacing w:val="2"/>
          <w:sz w:val="44"/>
          <w:szCs w:val="44"/>
          <w:lang w:eastAsia="zh-CN"/>
        </w:rPr>
        <w:t>、内控及风险</w:t>
      </w:r>
      <w:r>
        <w:rPr>
          <w:rFonts w:ascii="Times New Roman" w:hAnsi="Times New Roman" w:eastAsia="方正小标宋简体"/>
          <w:b/>
          <w:bCs/>
          <w:spacing w:val="2"/>
          <w:sz w:val="44"/>
          <w:szCs w:val="44"/>
        </w:rPr>
        <w:t>管理办法</w:t>
      </w:r>
      <w:r>
        <w:rPr>
          <w:rFonts w:hint="eastAsia" w:eastAsia="方正小标宋简体"/>
          <w:b/>
          <w:bCs/>
          <w:spacing w:val="2"/>
          <w:sz w:val="44"/>
          <w:szCs w:val="44"/>
          <w:lang w:eastAsia="zh-CN"/>
        </w:rPr>
        <w:t>（征求意见稿）</w:t>
      </w:r>
      <w:r>
        <w:rPr>
          <w:rFonts w:hint="eastAsia" w:eastAsia="方正小标宋简体"/>
          <w:b/>
          <w:bCs/>
          <w:spacing w:val="2"/>
          <w:sz w:val="44"/>
          <w:szCs w:val="44"/>
          <w:lang w:val="en-US" w:eastAsia="zh-CN"/>
        </w:rPr>
        <w:t>向社会公开征求意见建议</w:t>
      </w:r>
    </w:p>
    <w:p>
      <w:pPr>
        <w:spacing w:line="560" w:lineRule="exact"/>
        <w:ind w:firstLine="638" w:firstLineChars="197"/>
        <w:rPr>
          <w:rFonts w:hint="eastAsia" w:ascii="Times New Roman" w:hAnsi="Times New Roman" w:eastAsia="FangSong_GB2312"/>
          <w:spacing w:val="2"/>
          <w:sz w:val="32"/>
          <w:szCs w:val="32"/>
          <w:highlight w:val="none"/>
          <w:lang w:val="en-US" w:eastAsia="zh-CN"/>
        </w:rPr>
      </w:pPr>
      <w:r>
        <w:rPr>
          <w:rFonts w:hint="eastAsia" w:ascii="Times New Roman" w:hAnsi="Times New Roman" w:eastAsia="FangSong_GB2312"/>
          <w:spacing w:val="2"/>
          <w:sz w:val="32"/>
          <w:szCs w:val="32"/>
          <w:highlight w:val="none"/>
          <w:lang w:val="en-US" w:eastAsia="zh-CN"/>
        </w:rPr>
        <w:t>按照国家和省市关于财政投资评审管理的相关要求，结合我区实际，我局起草了《广元市昭化区财政投资评审、内控及风险管理办法（征求意见稿）》，现向社会公开征求意见、建议，征求时间为2022年</w:t>
      </w:r>
      <w:r>
        <w:rPr>
          <w:rFonts w:hint="eastAsia" w:eastAsia="FangSong_GB2312"/>
          <w:spacing w:val="2"/>
          <w:sz w:val="32"/>
          <w:szCs w:val="32"/>
          <w:highlight w:val="none"/>
          <w:lang w:val="en-US" w:eastAsia="zh-CN"/>
        </w:rPr>
        <w:t>9</w:t>
      </w:r>
      <w:r>
        <w:rPr>
          <w:rFonts w:hint="eastAsia" w:ascii="Times New Roman" w:hAnsi="Times New Roman" w:eastAsia="FangSong_GB2312"/>
          <w:spacing w:val="2"/>
          <w:sz w:val="32"/>
          <w:szCs w:val="32"/>
          <w:highlight w:val="none"/>
          <w:lang w:val="en-US" w:eastAsia="zh-CN"/>
        </w:rPr>
        <w:t>月</w:t>
      </w:r>
      <w:r>
        <w:rPr>
          <w:rFonts w:hint="eastAsia" w:eastAsia="FangSong_GB2312"/>
          <w:spacing w:val="2"/>
          <w:sz w:val="32"/>
          <w:szCs w:val="32"/>
          <w:highlight w:val="none"/>
          <w:lang w:val="en-US" w:eastAsia="zh-CN"/>
        </w:rPr>
        <w:t>30</w:t>
      </w:r>
      <w:r>
        <w:rPr>
          <w:rFonts w:hint="eastAsia" w:ascii="Times New Roman" w:hAnsi="Times New Roman" w:eastAsia="FangSong_GB2312"/>
          <w:spacing w:val="2"/>
          <w:sz w:val="32"/>
          <w:szCs w:val="32"/>
          <w:highlight w:val="none"/>
          <w:lang w:val="en-US" w:eastAsia="zh-CN"/>
        </w:rPr>
        <w:t>日—2022年1</w:t>
      </w:r>
      <w:r>
        <w:rPr>
          <w:rFonts w:hint="eastAsia" w:eastAsia="FangSong_GB2312"/>
          <w:spacing w:val="2"/>
          <w:sz w:val="32"/>
          <w:szCs w:val="32"/>
          <w:highlight w:val="none"/>
          <w:lang w:val="en-US" w:eastAsia="zh-CN"/>
        </w:rPr>
        <w:t>0</w:t>
      </w:r>
      <w:r>
        <w:rPr>
          <w:rFonts w:hint="eastAsia" w:ascii="Times New Roman" w:hAnsi="Times New Roman" w:eastAsia="FangSong_GB2312"/>
          <w:spacing w:val="2"/>
          <w:sz w:val="32"/>
          <w:szCs w:val="32"/>
          <w:highlight w:val="none"/>
          <w:lang w:val="en-US" w:eastAsia="zh-CN"/>
        </w:rPr>
        <w:t>月</w:t>
      </w:r>
      <w:r>
        <w:rPr>
          <w:rFonts w:hint="eastAsia" w:eastAsia="FangSong_GB2312"/>
          <w:spacing w:val="2"/>
          <w:sz w:val="32"/>
          <w:szCs w:val="32"/>
          <w:highlight w:val="none"/>
          <w:lang w:val="en-US" w:eastAsia="zh-CN"/>
        </w:rPr>
        <w:t>30</w:t>
      </w:r>
      <w:r>
        <w:rPr>
          <w:rFonts w:hint="eastAsia" w:ascii="Times New Roman" w:hAnsi="Times New Roman" w:eastAsia="FangSong_GB2312"/>
          <w:spacing w:val="2"/>
          <w:sz w:val="32"/>
          <w:szCs w:val="32"/>
          <w:highlight w:val="none"/>
          <w:lang w:val="en-US" w:eastAsia="zh-CN"/>
        </w:rPr>
        <w:t>日，可通过电子邮件反馈意见建议，邮箱：</w:t>
      </w:r>
      <w:r>
        <w:rPr>
          <w:rFonts w:hint="eastAsia" w:ascii="Times New Roman" w:hAnsi="Times New Roman" w:eastAsia="FangSong_GB2312"/>
          <w:spacing w:val="2"/>
          <w:sz w:val="32"/>
          <w:szCs w:val="32"/>
          <w:highlight w:val="none"/>
          <w:lang w:val="en-US" w:eastAsia="zh-CN"/>
        </w:rPr>
        <w:fldChar w:fldCharType="begin"/>
      </w:r>
      <w:r>
        <w:rPr>
          <w:rFonts w:hint="eastAsia" w:ascii="Times New Roman" w:hAnsi="Times New Roman" w:eastAsia="FangSong_GB2312"/>
          <w:spacing w:val="2"/>
          <w:sz w:val="32"/>
          <w:szCs w:val="32"/>
          <w:highlight w:val="none"/>
          <w:lang w:val="en-US" w:eastAsia="zh-CN"/>
        </w:rPr>
        <w:instrText xml:space="preserve"> HYPERLINK "mailto:591568642@qq.com。" </w:instrText>
      </w:r>
      <w:r>
        <w:rPr>
          <w:rFonts w:hint="eastAsia" w:ascii="Times New Roman" w:hAnsi="Times New Roman" w:eastAsia="FangSong_GB2312"/>
          <w:spacing w:val="2"/>
          <w:sz w:val="32"/>
          <w:szCs w:val="32"/>
          <w:highlight w:val="none"/>
          <w:lang w:val="en-US" w:eastAsia="zh-CN"/>
        </w:rPr>
        <w:fldChar w:fldCharType="separate"/>
      </w:r>
      <w:r>
        <w:rPr>
          <w:rFonts w:hint="eastAsia" w:ascii="Times New Roman" w:hAnsi="Times New Roman" w:eastAsia="FangSong_GB2312"/>
          <w:spacing w:val="2"/>
          <w:sz w:val="32"/>
          <w:szCs w:val="32"/>
          <w:highlight w:val="none"/>
          <w:lang w:val="en-US" w:eastAsia="zh-CN"/>
        </w:rPr>
        <w:t>1058661942@qq.com。</w:t>
      </w:r>
      <w:r>
        <w:rPr>
          <w:rFonts w:hint="eastAsia" w:ascii="Times New Roman" w:hAnsi="Times New Roman" w:eastAsia="FangSong_GB2312"/>
          <w:spacing w:val="2"/>
          <w:sz w:val="32"/>
          <w:szCs w:val="32"/>
          <w:highlight w:val="none"/>
          <w:lang w:val="en-US" w:eastAsia="zh-CN"/>
        </w:rPr>
        <w:fldChar w:fldCharType="end"/>
      </w:r>
    </w:p>
    <w:p>
      <w:pPr>
        <w:pStyle w:val="2"/>
        <w:rPr>
          <w:rFonts w:hint="eastAsia" w:ascii="Times New Roman" w:hAnsi="Times New Roman" w:eastAsia="FangSong_GB2312"/>
          <w:spacing w:val="2"/>
          <w:sz w:val="32"/>
          <w:szCs w:val="32"/>
          <w:highlight w:val="none"/>
          <w:lang w:val="en-US" w:eastAsia="zh-CN"/>
        </w:rPr>
      </w:pPr>
    </w:p>
    <w:p>
      <w:pPr>
        <w:pStyle w:val="3"/>
        <w:rPr>
          <w:rFonts w:hint="eastAsia"/>
          <w:lang w:val="en-US" w:eastAsia="zh-CN"/>
        </w:rPr>
      </w:pPr>
    </w:p>
    <w:p>
      <w:pPr>
        <w:spacing w:line="560" w:lineRule="exact"/>
        <w:ind w:firstLine="4847" w:firstLineChars="1496"/>
        <w:rPr>
          <w:rFonts w:hint="eastAsia" w:ascii="Times New Roman" w:hAnsi="Times New Roman" w:eastAsia="FangSong_GB2312"/>
          <w:spacing w:val="2"/>
          <w:sz w:val="32"/>
          <w:szCs w:val="32"/>
          <w:highlight w:val="none"/>
          <w:lang w:val="en-US" w:eastAsia="zh-CN"/>
        </w:rPr>
      </w:pPr>
      <w:r>
        <w:rPr>
          <w:rFonts w:hint="eastAsia" w:ascii="Times New Roman" w:hAnsi="Times New Roman" w:eastAsia="FangSong_GB2312"/>
          <w:spacing w:val="2"/>
          <w:sz w:val="32"/>
          <w:szCs w:val="32"/>
          <w:highlight w:val="none"/>
          <w:lang w:val="en-US" w:eastAsia="zh-CN"/>
        </w:rPr>
        <w:t>广元市昭化区财政局</w:t>
      </w:r>
    </w:p>
    <w:p>
      <w:pPr>
        <w:spacing w:line="560" w:lineRule="exact"/>
        <w:ind w:firstLine="5171" w:firstLineChars="1596"/>
        <w:rPr>
          <w:rFonts w:hint="eastAsia" w:ascii="Times New Roman" w:hAnsi="Times New Roman" w:eastAsia="FangSong_GB2312"/>
          <w:spacing w:val="2"/>
          <w:sz w:val="32"/>
          <w:szCs w:val="32"/>
          <w:highlight w:val="none"/>
          <w:lang w:val="en-US" w:eastAsia="zh-CN"/>
        </w:rPr>
      </w:pPr>
      <w:r>
        <w:rPr>
          <w:rFonts w:hint="eastAsia" w:ascii="Times New Roman" w:hAnsi="Times New Roman" w:eastAsia="FangSong_GB2312"/>
          <w:spacing w:val="2"/>
          <w:sz w:val="32"/>
          <w:szCs w:val="32"/>
          <w:highlight w:val="none"/>
          <w:lang w:val="en-US" w:eastAsia="zh-CN"/>
        </w:rPr>
        <w:t>2022年</w:t>
      </w:r>
      <w:r>
        <w:rPr>
          <w:rFonts w:hint="eastAsia" w:eastAsia="FangSong_GB2312"/>
          <w:spacing w:val="2"/>
          <w:sz w:val="32"/>
          <w:szCs w:val="32"/>
          <w:highlight w:val="none"/>
          <w:lang w:val="en-US" w:eastAsia="zh-CN"/>
        </w:rPr>
        <w:t>9</w:t>
      </w:r>
      <w:r>
        <w:rPr>
          <w:rFonts w:hint="eastAsia" w:ascii="Times New Roman" w:hAnsi="Times New Roman" w:eastAsia="FangSong_GB2312"/>
          <w:spacing w:val="2"/>
          <w:sz w:val="32"/>
          <w:szCs w:val="32"/>
          <w:highlight w:val="none"/>
          <w:lang w:val="en-US" w:eastAsia="zh-CN"/>
        </w:rPr>
        <w:t>月</w:t>
      </w:r>
      <w:r>
        <w:rPr>
          <w:rFonts w:hint="eastAsia" w:eastAsia="FangSong_GB2312"/>
          <w:spacing w:val="2"/>
          <w:sz w:val="32"/>
          <w:szCs w:val="32"/>
          <w:highlight w:val="none"/>
          <w:lang w:val="en-US" w:eastAsia="zh-CN"/>
        </w:rPr>
        <w:t>30</w:t>
      </w:r>
      <w:r>
        <w:rPr>
          <w:rFonts w:hint="eastAsia" w:ascii="Times New Roman" w:hAnsi="Times New Roman" w:eastAsia="FangSong_GB2312"/>
          <w:spacing w:val="2"/>
          <w:sz w:val="32"/>
          <w:szCs w:val="32"/>
          <w:highlight w:val="none"/>
          <w:lang w:val="en-US" w:eastAsia="zh-CN"/>
        </w:rPr>
        <w:t>日</w:t>
      </w:r>
    </w:p>
    <w:p>
      <w:pPr>
        <w:pStyle w:val="3"/>
        <w:ind w:firstLine="5120" w:firstLineChars="1600"/>
        <w:rPr>
          <w:rFonts w:hint="eastAsia" w:ascii="仿宋_GB2312" w:hAnsi="仿宋_GB2312" w:eastAsia="仿宋_GB2312" w:cs="仿宋_GB2312"/>
          <w:sz w:val="32"/>
          <w:szCs w:val="32"/>
          <w:lang w:val="en-US" w:eastAsia="zh-CN"/>
        </w:rPr>
      </w:pPr>
    </w:p>
    <w:p>
      <w:pPr>
        <w:pStyle w:val="3"/>
        <w:ind w:firstLine="5120" w:firstLineChars="1600"/>
        <w:rPr>
          <w:rFonts w:hint="eastAsia" w:ascii="仿宋_GB2312" w:hAnsi="仿宋_GB2312" w:eastAsia="仿宋_GB2312" w:cs="仿宋_GB2312"/>
          <w:sz w:val="32"/>
          <w:szCs w:val="32"/>
          <w:lang w:val="en-US" w:eastAsia="zh-CN"/>
        </w:rPr>
      </w:pPr>
    </w:p>
    <w:p>
      <w:pPr>
        <w:spacing w:line="700" w:lineRule="exact"/>
        <w:jc w:val="center"/>
        <w:rPr>
          <w:rFonts w:ascii="Times New Roman" w:hAnsi="Times New Roman" w:eastAsia="方正小标宋简体"/>
          <w:b/>
          <w:bCs/>
          <w:spacing w:val="2"/>
          <w:sz w:val="44"/>
          <w:szCs w:val="44"/>
        </w:rPr>
      </w:pPr>
    </w:p>
    <w:p>
      <w:pPr>
        <w:spacing w:line="700" w:lineRule="exact"/>
        <w:jc w:val="center"/>
        <w:rPr>
          <w:rFonts w:ascii="Times New Roman" w:hAnsi="Times New Roman" w:eastAsia="方正小标宋简体"/>
          <w:b/>
          <w:bCs/>
          <w:spacing w:val="2"/>
          <w:sz w:val="44"/>
          <w:szCs w:val="44"/>
        </w:rPr>
      </w:pPr>
    </w:p>
    <w:p>
      <w:pPr>
        <w:spacing w:line="700" w:lineRule="exact"/>
        <w:jc w:val="center"/>
        <w:rPr>
          <w:rFonts w:ascii="Times New Roman" w:hAnsi="Times New Roman" w:eastAsia="方正小标宋简体"/>
          <w:b/>
          <w:bCs/>
          <w:spacing w:val="2"/>
          <w:sz w:val="44"/>
          <w:szCs w:val="44"/>
        </w:rPr>
      </w:pPr>
    </w:p>
    <w:p>
      <w:pPr>
        <w:spacing w:line="700" w:lineRule="exact"/>
        <w:jc w:val="center"/>
        <w:rPr>
          <w:rFonts w:ascii="Times New Roman" w:hAnsi="Times New Roman" w:eastAsia="方正小标宋简体"/>
          <w:b/>
          <w:bCs/>
          <w:spacing w:val="2"/>
          <w:sz w:val="44"/>
          <w:szCs w:val="44"/>
        </w:rPr>
      </w:pPr>
    </w:p>
    <w:p>
      <w:pPr>
        <w:spacing w:line="700" w:lineRule="exact"/>
        <w:jc w:val="center"/>
        <w:rPr>
          <w:rFonts w:ascii="Times New Roman" w:hAnsi="Times New Roman" w:eastAsia="方正小标宋简体"/>
          <w:b/>
          <w:bCs/>
          <w:spacing w:val="2"/>
          <w:sz w:val="44"/>
          <w:szCs w:val="44"/>
        </w:rPr>
      </w:pPr>
    </w:p>
    <w:p>
      <w:pPr>
        <w:spacing w:line="700" w:lineRule="exact"/>
        <w:jc w:val="center"/>
        <w:rPr>
          <w:rFonts w:ascii="Times New Roman" w:hAnsi="Times New Roman" w:eastAsia="方正小标宋简体"/>
          <w:b/>
          <w:bCs/>
          <w:spacing w:val="2"/>
          <w:sz w:val="44"/>
          <w:szCs w:val="44"/>
        </w:rPr>
      </w:pPr>
    </w:p>
    <w:p>
      <w:pPr>
        <w:spacing w:line="700" w:lineRule="exact"/>
        <w:jc w:val="center"/>
        <w:rPr>
          <w:rFonts w:ascii="Times New Roman" w:hAnsi="Times New Roman" w:eastAsia="方正小标宋简体"/>
          <w:b/>
          <w:bCs/>
          <w:spacing w:val="2"/>
          <w:sz w:val="44"/>
          <w:szCs w:val="44"/>
        </w:rPr>
      </w:pPr>
    </w:p>
    <w:p>
      <w:pPr>
        <w:spacing w:line="700" w:lineRule="exact"/>
        <w:jc w:val="center"/>
        <w:rPr>
          <w:rFonts w:ascii="Times New Roman" w:hAnsi="Times New Roman" w:eastAsia="方正小标宋简体"/>
          <w:b/>
          <w:bCs/>
          <w:spacing w:val="2"/>
          <w:sz w:val="44"/>
          <w:szCs w:val="44"/>
        </w:rPr>
      </w:pPr>
    </w:p>
    <w:p>
      <w:pPr>
        <w:spacing w:line="700" w:lineRule="exact"/>
        <w:jc w:val="center"/>
        <w:rPr>
          <w:rFonts w:ascii="Times New Roman" w:hAnsi="Times New Roman" w:eastAsia="方正小标宋简体"/>
          <w:b/>
          <w:bCs/>
          <w:spacing w:val="2"/>
          <w:sz w:val="44"/>
          <w:szCs w:val="44"/>
        </w:rPr>
      </w:pPr>
      <w:r>
        <w:rPr>
          <w:rFonts w:ascii="Times New Roman" w:hAnsi="Times New Roman" w:eastAsia="方正小标宋简体"/>
          <w:b/>
          <w:bCs/>
          <w:spacing w:val="2"/>
          <w:sz w:val="44"/>
          <w:szCs w:val="44"/>
        </w:rPr>
        <w:t>广元市昭化区</w:t>
      </w:r>
    </w:p>
    <w:p>
      <w:pPr>
        <w:pStyle w:val="2"/>
        <w:ind w:left="0" w:leftChars="0" w:firstLine="0" w:firstLineChars="0"/>
      </w:pPr>
    </w:p>
    <w:p>
      <w:pPr>
        <w:pStyle w:val="3"/>
        <w:rPr>
          <w:rFonts w:hint="eastAsia"/>
          <w:lang w:eastAsia="zh-CN"/>
        </w:rPr>
      </w:pPr>
      <w:r>
        <w:rPr>
          <w:rFonts w:ascii="Times New Roman" w:hAnsi="Times New Roman" w:eastAsia="方正小标宋简体"/>
          <w:b/>
          <w:bCs/>
          <w:spacing w:val="2"/>
          <w:sz w:val="44"/>
          <w:szCs w:val="44"/>
        </w:rPr>
        <w:t>财政投资评审</w:t>
      </w:r>
      <w:r>
        <w:rPr>
          <w:rFonts w:hint="eastAsia" w:ascii="Times New Roman" w:hAnsi="Times New Roman" w:eastAsia="方正小标宋简体"/>
          <w:b/>
          <w:bCs/>
          <w:spacing w:val="2"/>
          <w:sz w:val="44"/>
          <w:szCs w:val="44"/>
          <w:lang w:eastAsia="zh-CN"/>
        </w:rPr>
        <w:t>、内控及风险</w:t>
      </w:r>
      <w:r>
        <w:rPr>
          <w:rFonts w:ascii="Times New Roman" w:hAnsi="Times New Roman" w:eastAsia="方正小标宋简体"/>
          <w:b/>
          <w:bCs/>
          <w:spacing w:val="2"/>
          <w:sz w:val="44"/>
          <w:szCs w:val="44"/>
        </w:rPr>
        <w:t>管理办法</w:t>
      </w:r>
    </w:p>
    <w:p>
      <w:pPr>
        <w:pStyle w:val="2"/>
        <w:ind w:left="0" w:leftChars="0" w:firstLine="0" w:firstLineChars="0"/>
        <w:jc w:val="center"/>
        <w:rPr>
          <w:rFonts w:hint="eastAsia" w:ascii="Times New Roman" w:hAnsi="Times New Roman" w:eastAsia="FangSong_GB2312" w:cs="Times New Roman"/>
          <w:spacing w:val="2"/>
          <w:kern w:val="2"/>
          <w:sz w:val="32"/>
          <w:szCs w:val="32"/>
          <w:highlight w:val="none"/>
          <w:lang w:val="en-US" w:eastAsia="zh-CN" w:bidi="ar-SA"/>
        </w:rPr>
      </w:pPr>
      <w:r>
        <w:rPr>
          <w:rFonts w:hint="eastAsia" w:ascii="Times New Roman" w:hAnsi="Times New Roman" w:eastAsia="FangSong_GB2312" w:cs="Times New Roman"/>
          <w:spacing w:val="2"/>
          <w:kern w:val="2"/>
          <w:sz w:val="32"/>
          <w:szCs w:val="32"/>
          <w:highlight w:val="none"/>
          <w:lang w:val="en-US" w:eastAsia="zh-CN" w:bidi="ar-SA"/>
        </w:rPr>
        <w:t>（征求意见稿）</w:t>
      </w:r>
    </w:p>
    <w:p>
      <w:pPr>
        <w:spacing w:line="560" w:lineRule="exact"/>
        <w:rPr>
          <w:rFonts w:ascii="Times New Roman" w:hAnsi="Times New Roman" w:eastAsia="方正小标宋简体"/>
          <w:spacing w:val="2"/>
          <w:sz w:val="44"/>
          <w:szCs w:val="44"/>
        </w:rPr>
      </w:pPr>
      <w:bookmarkStart w:id="0" w:name="_GoBack"/>
      <w:bookmarkEnd w:id="0"/>
    </w:p>
    <w:p>
      <w:pPr>
        <w:spacing w:line="560" w:lineRule="exact"/>
        <w:jc w:val="center"/>
        <w:rPr>
          <w:rFonts w:ascii="Times New Roman" w:hAnsi="Times New Roman" w:eastAsia="FangSong_GB2312"/>
          <w:spacing w:val="2"/>
          <w:sz w:val="32"/>
          <w:szCs w:val="32"/>
          <w:highlight w:val="none"/>
        </w:rPr>
      </w:pPr>
      <w:r>
        <w:rPr>
          <w:rFonts w:ascii="Times New Roman" w:hAnsi="Times New Roman" w:eastAsia="黑体"/>
          <w:spacing w:val="2"/>
          <w:sz w:val="32"/>
          <w:szCs w:val="32"/>
          <w:highlight w:val="none"/>
        </w:rPr>
        <w:t>第一章  总  则</w:t>
      </w:r>
    </w:p>
    <w:p>
      <w:pPr>
        <w:spacing w:line="560" w:lineRule="exact"/>
        <w:ind w:firstLine="641" w:firstLineChars="19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第一条</w:t>
      </w:r>
      <w:r>
        <w:rPr>
          <w:rFonts w:ascii="Times New Roman" w:hAnsi="Times New Roman" w:eastAsia="FangSong_GB2312"/>
          <w:spacing w:val="2"/>
          <w:sz w:val="32"/>
          <w:szCs w:val="32"/>
          <w:highlight w:val="none"/>
        </w:rPr>
        <w:t>　为加强财政投资评审管理，规范财政投资评审行为，提高财政资金使用效益，依据《中华人民共和国预算法</w:t>
      </w:r>
      <w:r>
        <w:rPr>
          <w:rFonts w:hint="eastAsia" w:eastAsia="FangSong_GB2312"/>
          <w:spacing w:val="2"/>
          <w:sz w:val="32"/>
          <w:szCs w:val="32"/>
          <w:highlight w:val="none"/>
          <w:lang w:eastAsia="zh-CN"/>
        </w:rPr>
        <w:t>实施条例</w:t>
      </w:r>
      <w:r>
        <w:rPr>
          <w:rFonts w:ascii="Times New Roman" w:hAnsi="Times New Roman" w:eastAsia="FangSong_GB2312"/>
          <w:spacing w:val="2"/>
          <w:sz w:val="32"/>
          <w:szCs w:val="32"/>
          <w:highlight w:val="none"/>
        </w:rPr>
        <w:t>》</w:t>
      </w:r>
      <w:r>
        <w:rPr>
          <w:rFonts w:hint="eastAsia" w:eastAsia="FangSong_GB2312"/>
          <w:spacing w:val="2"/>
          <w:sz w:val="32"/>
          <w:szCs w:val="32"/>
          <w:highlight w:val="none"/>
          <w:lang w:eastAsia="zh-CN"/>
        </w:rPr>
        <w:t>（</w:t>
      </w:r>
      <w:r>
        <w:rPr>
          <w:rFonts w:ascii="Times New Roman" w:hAnsi="Times New Roman" w:eastAsia="FangSong_GB2312"/>
          <w:spacing w:val="2"/>
          <w:sz w:val="32"/>
          <w:szCs w:val="32"/>
          <w:highlight w:val="none"/>
        </w:rPr>
        <w:t>中华人民共和国</w:t>
      </w:r>
      <w:r>
        <w:rPr>
          <w:rFonts w:hint="eastAsia" w:eastAsia="FangSong_GB2312"/>
          <w:spacing w:val="2"/>
          <w:sz w:val="32"/>
          <w:szCs w:val="32"/>
          <w:highlight w:val="none"/>
          <w:lang w:eastAsia="zh-CN"/>
        </w:rPr>
        <w:t>国务院令</w:t>
      </w:r>
      <w:r>
        <w:rPr>
          <w:rFonts w:ascii="Times New Roman" w:hAnsi="Times New Roman" w:eastAsia="FangSong_GB2312"/>
          <w:spacing w:val="2"/>
          <w:sz w:val="32"/>
          <w:szCs w:val="32"/>
          <w:highlight w:val="none"/>
        </w:rPr>
        <w:t>第</w:t>
      </w:r>
      <w:r>
        <w:rPr>
          <w:rFonts w:hint="eastAsia" w:eastAsia="FangSong_GB2312"/>
          <w:spacing w:val="2"/>
          <w:sz w:val="32"/>
          <w:szCs w:val="32"/>
          <w:highlight w:val="none"/>
          <w:lang w:val="en-US" w:eastAsia="zh-CN"/>
        </w:rPr>
        <w:t>729</w:t>
      </w:r>
      <w:r>
        <w:rPr>
          <w:rFonts w:ascii="Times New Roman" w:hAnsi="Times New Roman" w:eastAsia="FangSong_GB2312"/>
          <w:spacing w:val="2"/>
          <w:sz w:val="32"/>
          <w:szCs w:val="32"/>
          <w:highlight w:val="none"/>
        </w:rPr>
        <w:t>号</w:t>
      </w:r>
      <w:r>
        <w:rPr>
          <w:rFonts w:hint="eastAsia" w:eastAsia="FangSong_GB2312"/>
          <w:spacing w:val="2"/>
          <w:sz w:val="32"/>
          <w:szCs w:val="32"/>
          <w:highlight w:val="none"/>
          <w:lang w:eastAsia="zh-CN"/>
        </w:rPr>
        <w:t>）</w:t>
      </w:r>
      <w:r>
        <w:rPr>
          <w:rFonts w:hint="eastAsia" w:ascii="Times New Roman" w:hAnsi="Times New Roman" w:eastAsia="FangSong_GB2312"/>
          <w:spacing w:val="2"/>
          <w:sz w:val="32"/>
          <w:szCs w:val="32"/>
          <w:highlight w:val="none"/>
        </w:rPr>
        <w:t>、</w:t>
      </w:r>
      <w:r>
        <w:rPr>
          <w:rFonts w:ascii="Times New Roman" w:hAnsi="Times New Roman" w:eastAsia="FangSong_GB2312"/>
          <w:spacing w:val="2"/>
          <w:sz w:val="32"/>
          <w:szCs w:val="32"/>
          <w:highlight w:val="none"/>
        </w:rPr>
        <w:t>《基本建设财务管理规则》</w:t>
      </w:r>
      <w:r>
        <w:rPr>
          <w:rFonts w:ascii="Times New Roman" w:hAnsi="Times New Roman" w:eastAsia="华文仿宋"/>
          <w:color w:val="000000"/>
          <w:spacing w:val="2"/>
          <w:sz w:val="32"/>
          <w:szCs w:val="32"/>
          <w:highlight w:val="none"/>
        </w:rPr>
        <w:t>（</w:t>
      </w:r>
      <w:r>
        <w:rPr>
          <w:rFonts w:ascii="Times New Roman" w:hAnsi="Times New Roman" w:eastAsia="FangSong_GB2312"/>
          <w:spacing w:val="2"/>
          <w:sz w:val="32"/>
          <w:szCs w:val="32"/>
          <w:highlight w:val="none"/>
        </w:rPr>
        <w:t>中华人民共和国财政部令第81号</w:t>
      </w:r>
      <w:r>
        <w:rPr>
          <w:rFonts w:ascii="Times New Roman" w:hAnsi="Times New Roman" w:eastAsia="华文仿宋"/>
          <w:color w:val="000000"/>
          <w:spacing w:val="2"/>
          <w:sz w:val="32"/>
          <w:szCs w:val="32"/>
          <w:highlight w:val="none"/>
        </w:rPr>
        <w:t>）</w:t>
      </w:r>
      <w:r>
        <w:rPr>
          <w:rFonts w:hint="eastAsia" w:ascii="Times New Roman" w:hAnsi="Times New Roman" w:eastAsia="FangSong_GB2312"/>
          <w:spacing w:val="2"/>
          <w:sz w:val="32"/>
          <w:szCs w:val="32"/>
          <w:highlight w:val="none"/>
          <w:lang w:eastAsia="zh-CN"/>
        </w:rPr>
        <w:t>、</w:t>
      </w:r>
      <w:r>
        <w:rPr>
          <w:rFonts w:eastAsia="仿宋_GB2312"/>
          <w:sz w:val="32"/>
          <w:szCs w:val="32"/>
          <w:highlight w:val="none"/>
        </w:rPr>
        <w:t>《财政部办公厅关于印发财政投资项目评审操作规程（试行）的通知》（财建〔2002〕619号）</w:t>
      </w:r>
      <w:r>
        <w:rPr>
          <w:rFonts w:hint="eastAsia" w:eastAsia="仿宋_GB2312"/>
          <w:sz w:val="32"/>
          <w:szCs w:val="32"/>
          <w:highlight w:val="none"/>
          <w:lang w:eastAsia="zh-CN"/>
        </w:rPr>
        <w:t>、</w:t>
      </w:r>
      <w:r>
        <w:rPr>
          <w:rFonts w:ascii="Times New Roman" w:hAnsi="Times New Roman" w:eastAsia="FangSong_GB2312"/>
          <w:color w:val="000000"/>
          <w:spacing w:val="2"/>
          <w:sz w:val="32"/>
          <w:szCs w:val="32"/>
          <w:highlight w:val="none"/>
        </w:rPr>
        <w:t>《</w:t>
      </w:r>
      <w:r>
        <w:rPr>
          <w:rStyle w:val="7"/>
          <w:rFonts w:ascii="Times New Roman" w:hAnsi="Times New Roman" w:eastAsia="FangSong_GB2312"/>
          <w:b w:val="0"/>
          <w:bCs/>
          <w:color w:val="000000"/>
          <w:sz w:val="32"/>
          <w:szCs w:val="32"/>
          <w:highlight w:val="none"/>
          <w:shd w:val="clear" w:color="auto" w:fill="FFFFFF"/>
        </w:rPr>
        <w:t>财政部关于印发财政投资评审管理规定的通知</w:t>
      </w:r>
      <w:r>
        <w:rPr>
          <w:rFonts w:ascii="Times New Roman" w:hAnsi="Times New Roman" w:eastAsia="FangSong_GB2312"/>
          <w:spacing w:val="2"/>
          <w:sz w:val="32"/>
          <w:szCs w:val="32"/>
          <w:highlight w:val="none"/>
        </w:rPr>
        <w:t>》（财建〔2009〕648号）等规定，结合我区财政投资评审</w:t>
      </w:r>
      <w:r>
        <w:rPr>
          <w:rFonts w:hint="eastAsia" w:ascii="Times New Roman" w:hAnsi="Times New Roman" w:eastAsia="FangSong_GB2312"/>
          <w:spacing w:val="2"/>
          <w:sz w:val="32"/>
          <w:szCs w:val="32"/>
          <w:highlight w:val="none"/>
          <w:lang w:eastAsia="zh-CN"/>
        </w:rPr>
        <w:t>实际</w:t>
      </w:r>
      <w:r>
        <w:rPr>
          <w:rFonts w:ascii="Times New Roman" w:hAnsi="Times New Roman" w:eastAsia="FangSong_GB2312"/>
          <w:spacing w:val="2"/>
          <w:sz w:val="32"/>
          <w:szCs w:val="32"/>
          <w:highlight w:val="none"/>
        </w:rPr>
        <w:t>工作，制定本办法。</w:t>
      </w:r>
    </w:p>
    <w:p>
      <w:pPr>
        <w:spacing w:line="560" w:lineRule="exact"/>
        <w:ind w:firstLine="641" w:firstLineChars="197"/>
        <w:rPr>
          <w:rFonts w:ascii="Times New Roman" w:hAnsi="Times New Roman" w:eastAsia="楷体_GB2312"/>
          <w:b/>
          <w:bCs/>
          <w:spacing w:val="2"/>
          <w:sz w:val="32"/>
          <w:szCs w:val="32"/>
          <w:highlight w:val="none"/>
        </w:rPr>
      </w:pPr>
      <w:r>
        <w:rPr>
          <w:rFonts w:ascii="Times New Roman" w:hAnsi="Times New Roman" w:eastAsia="楷体_GB2312"/>
          <w:b/>
          <w:bCs/>
          <w:spacing w:val="2"/>
          <w:sz w:val="32"/>
          <w:szCs w:val="32"/>
          <w:highlight w:val="none"/>
        </w:rPr>
        <w:t>第二条</w:t>
      </w:r>
      <w:r>
        <w:rPr>
          <w:rFonts w:ascii="Times New Roman" w:hAnsi="Times New Roman" w:eastAsia="FangSong_GB2312"/>
          <w:spacing w:val="2"/>
          <w:sz w:val="32"/>
          <w:szCs w:val="32"/>
          <w:highlight w:val="none"/>
        </w:rPr>
        <w:t>　财政投资评审是财政职能的重要组成部分，是财政部门对财政性资金投资项目的工程概算、预算和竣工决（结）算进行评估与审查的行为。</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财政投资评审业务由财政部门委托其所属财政投资评审机构（以下简称：评审中心）或</w:t>
      </w:r>
      <w:r>
        <w:rPr>
          <w:rFonts w:hint="eastAsia" w:ascii="Times New Roman" w:hAnsi="Times New Roman" w:eastAsia="FangSong_GB2312"/>
          <w:spacing w:val="2"/>
          <w:sz w:val="32"/>
          <w:szCs w:val="32"/>
          <w:highlight w:val="none"/>
          <w:lang w:eastAsia="zh-CN"/>
        </w:rPr>
        <w:t>经政府采购的联合体</w:t>
      </w:r>
      <w:r>
        <w:rPr>
          <w:rFonts w:ascii="Times New Roman" w:hAnsi="Times New Roman" w:eastAsia="FangSong_GB2312"/>
          <w:spacing w:val="2"/>
          <w:sz w:val="32"/>
          <w:szCs w:val="32"/>
          <w:highlight w:val="none"/>
        </w:rPr>
        <w:t>（以下简称“</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”）进行。</w:t>
      </w:r>
    </w:p>
    <w:p>
      <w:pPr>
        <w:spacing w:line="560" w:lineRule="exact"/>
        <w:rPr>
          <w:rFonts w:ascii="Times New Roman" w:hAnsi="Times New Roman" w:eastAsia="黑体"/>
          <w:spacing w:val="2"/>
          <w:sz w:val="32"/>
          <w:szCs w:val="32"/>
          <w:highlight w:val="none"/>
        </w:rPr>
      </w:pPr>
    </w:p>
    <w:p>
      <w:pPr>
        <w:spacing w:line="560" w:lineRule="exact"/>
        <w:jc w:val="center"/>
        <w:rPr>
          <w:rFonts w:ascii="Times New Roman" w:hAnsi="Times New Roman" w:eastAsia="黑体"/>
          <w:spacing w:val="2"/>
          <w:sz w:val="32"/>
          <w:szCs w:val="32"/>
          <w:highlight w:val="none"/>
        </w:rPr>
      </w:pPr>
      <w:r>
        <w:rPr>
          <w:rFonts w:ascii="Times New Roman" w:hAnsi="Times New Roman" w:eastAsia="黑体"/>
          <w:spacing w:val="2"/>
          <w:sz w:val="32"/>
          <w:szCs w:val="32"/>
          <w:highlight w:val="none"/>
        </w:rPr>
        <w:t>第二章  评审的范围、内容和方式</w:t>
      </w:r>
    </w:p>
    <w:p>
      <w:pPr>
        <w:spacing w:line="560" w:lineRule="exact"/>
        <w:ind w:firstLine="641" w:firstLineChars="19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第三条</w:t>
      </w:r>
      <w:r>
        <w:rPr>
          <w:rFonts w:ascii="Times New Roman" w:hAnsi="Times New Roman" w:eastAsia="FangSong_GB2312"/>
          <w:spacing w:val="2"/>
          <w:sz w:val="32"/>
          <w:szCs w:val="32"/>
          <w:highlight w:val="none"/>
        </w:rPr>
        <w:t>　财政投资评审的范围包括：</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（一）财政预算内资金安排的建设项目；</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（二）政府性融资安排的建设项目；</w:t>
      </w:r>
    </w:p>
    <w:p>
      <w:pPr>
        <w:spacing w:line="560" w:lineRule="exact"/>
        <w:ind w:firstLine="638" w:firstLineChars="197"/>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（三）其他财政性资金安排的项目</w:t>
      </w:r>
      <w:r>
        <w:rPr>
          <w:rFonts w:hint="eastAsia" w:ascii="Times New Roman" w:hAnsi="Times New Roman" w:eastAsia="FangSong_GB2312"/>
          <w:spacing w:val="2"/>
          <w:sz w:val="32"/>
          <w:szCs w:val="32"/>
          <w:highlight w:val="none"/>
          <w:lang w:eastAsia="zh-CN"/>
        </w:rPr>
        <w:t>；</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（四）以上项目的工程变更增量；</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（五）采购类项目80万元以上的纳入财评范围；</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（六）工程类项目</w:t>
      </w:r>
      <w:r>
        <w:rPr>
          <w:rFonts w:hint="eastAsia" w:ascii="Times New Roman" w:hAnsi="Times New Roman" w:eastAsia="FangSong_GB2312"/>
          <w:spacing w:val="2"/>
          <w:sz w:val="32"/>
          <w:szCs w:val="32"/>
          <w:highlight w:val="none"/>
          <w:lang w:val="en-US" w:eastAsia="zh-CN"/>
        </w:rPr>
        <w:t>100万元以上的纳入财评范围</w:t>
      </w:r>
      <w:r>
        <w:rPr>
          <w:rFonts w:ascii="Times New Roman" w:hAnsi="Times New Roman" w:eastAsia="FangSong_GB2312"/>
          <w:spacing w:val="2"/>
          <w:sz w:val="32"/>
          <w:szCs w:val="32"/>
          <w:highlight w:val="none"/>
        </w:rPr>
        <w:t>。</w:t>
      </w:r>
    </w:p>
    <w:p>
      <w:pPr>
        <w:spacing w:line="560" w:lineRule="exact"/>
        <w:ind w:firstLine="641" w:firstLineChars="19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第四条</w:t>
      </w:r>
      <w:r>
        <w:rPr>
          <w:rFonts w:ascii="Times New Roman" w:hAnsi="Times New Roman" w:eastAsia="FangSong_GB2312"/>
          <w:spacing w:val="2"/>
          <w:sz w:val="32"/>
          <w:szCs w:val="32"/>
          <w:highlight w:val="none"/>
        </w:rPr>
        <w:t xml:space="preserve"> 财政部门根据预算编制和预算执行的要求，结合本区实际确定每年的评审重点和任务。</w:t>
      </w:r>
    </w:p>
    <w:p>
      <w:pPr>
        <w:spacing w:line="560" w:lineRule="exact"/>
        <w:ind w:firstLine="641" w:firstLineChars="19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第五条</w:t>
      </w:r>
      <w:r>
        <w:rPr>
          <w:rFonts w:ascii="Times New Roman" w:hAnsi="Times New Roman" w:eastAsia="FangSong_GB2312"/>
          <w:spacing w:val="2"/>
          <w:sz w:val="32"/>
          <w:szCs w:val="32"/>
          <w:highlight w:val="none"/>
        </w:rPr>
        <w:t>　财政投资评审的内容包括：</w:t>
      </w:r>
    </w:p>
    <w:p>
      <w:pPr>
        <w:spacing w:line="560" w:lineRule="exact"/>
        <w:ind w:firstLine="638" w:firstLineChars="197"/>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（一）项目基本建设程序和基本建设管理制度执行情况</w:t>
      </w:r>
      <w:r>
        <w:rPr>
          <w:rFonts w:hint="eastAsia" w:eastAsia="FangSong_GB2312"/>
          <w:spacing w:val="2"/>
          <w:sz w:val="32"/>
          <w:szCs w:val="32"/>
          <w:highlight w:val="none"/>
          <w:lang w:eastAsia="zh-CN"/>
        </w:rPr>
        <w:t>。</w:t>
      </w:r>
    </w:p>
    <w:p>
      <w:pPr>
        <w:spacing w:line="560" w:lineRule="exact"/>
        <w:ind w:firstLine="638" w:firstLineChars="197"/>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（二）项目招标控制价的真实性、准确性、合规性、合法性审查</w:t>
      </w:r>
      <w:r>
        <w:rPr>
          <w:rFonts w:hint="eastAsia" w:eastAsia="FangSong_GB2312"/>
          <w:spacing w:val="2"/>
          <w:sz w:val="32"/>
          <w:szCs w:val="32"/>
          <w:highlight w:val="none"/>
          <w:lang w:eastAsia="zh-CN"/>
        </w:rPr>
        <w:t>。</w:t>
      </w:r>
    </w:p>
    <w:p>
      <w:pPr>
        <w:spacing w:line="560" w:lineRule="exact"/>
        <w:ind w:firstLine="638" w:firstLineChars="197"/>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（三）项目实施过程中发生的重大设计变更情况审核</w:t>
      </w:r>
      <w:r>
        <w:rPr>
          <w:rFonts w:hint="eastAsia" w:eastAsia="FangSong_GB2312"/>
          <w:spacing w:val="2"/>
          <w:sz w:val="32"/>
          <w:szCs w:val="32"/>
          <w:highlight w:val="none"/>
          <w:lang w:eastAsia="zh-CN"/>
        </w:rPr>
        <w:t>。</w:t>
      </w:r>
    </w:p>
    <w:p>
      <w:pPr>
        <w:spacing w:line="560" w:lineRule="exact"/>
        <w:ind w:firstLine="638" w:firstLineChars="197"/>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（四）项目概、预算执行情况以及与工程造价相关的其他情况</w:t>
      </w:r>
      <w:r>
        <w:rPr>
          <w:rFonts w:hint="eastAsia" w:eastAsia="FangSong_GB2312"/>
          <w:spacing w:val="2"/>
          <w:sz w:val="32"/>
          <w:szCs w:val="32"/>
          <w:highlight w:val="none"/>
          <w:lang w:eastAsia="zh-CN"/>
        </w:rPr>
        <w:t>。</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（五）财政部门委托的其他业务。</w:t>
      </w:r>
    </w:p>
    <w:p>
      <w:pPr>
        <w:spacing w:line="560" w:lineRule="exact"/>
        <w:ind w:firstLine="641" w:firstLineChars="19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第六条</w:t>
      </w:r>
      <w:r>
        <w:rPr>
          <w:rFonts w:ascii="Times New Roman" w:hAnsi="Times New Roman" w:eastAsia="FangSong_GB2312"/>
          <w:spacing w:val="2"/>
          <w:sz w:val="32"/>
          <w:szCs w:val="32"/>
          <w:highlight w:val="none"/>
        </w:rPr>
        <w:t>　对财政性投资项目评审，可以采取以下方式：</w:t>
      </w:r>
    </w:p>
    <w:p>
      <w:pPr>
        <w:spacing w:line="560" w:lineRule="exact"/>
        <w:ind w:firstLine="638" w:firstLineChars="197"/>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（一）对项目概、预、决（结）算进行全过程评审</w:t>
      </w:r>
      <w:r>
        <w:rPr>
          <w:rFonts w:hint="eastAsia" w:eastAsia="FangSong_GB2312"/>
          <w:spacing w:val="2"/>
          <w:sz w:val="32"/>
          <w:szCs w:val="32"/>
          <w:highlight w:val="none"/>
          <w:lang w:eastAsia="zh-CN"/>
        </w:rPr>
        <w:t>。</w:t>
      </w:r>
    </w:p>
    <w:p>
      <w:pPr>
        <w:spacing w:line="560" w:lineRule="exact"/>
        <w:ind w:firstLine="638" w:firstLineChars="197"/>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（二）对项目概、预、决（结）算单项评审</w:t>
      </w:r>
      <w:r>
        <w:rPr>
          <w:rFonts w:hint="eastAsia" w:eastAsia="FangSong_GB2312"/>
          <w:spacing w:val="2"/>
          <w:sz w:val="32"/>
          <w:szCs w:val="32"/>
          <w:highlight w:val="none"/>
          <w:lang w:eastAsia="zh-CN"/>
        </w:rPr>
        <w:t>。</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（三）其他方式。</w:t>
      </w:r>
    </w:p>
    <w:p>
      <w:pPr>
        <w:spacing w:line="560" w:lineRule="exact"/>
        <w:ind w:firstLine="278"/>
        <w:rPr>
          <w:rFonts w:ascii="Times New Roman" w:hAnsi="Times New Roman" w:eastAsia="FangSong_GB2312"/>
          <w:spacing w:val="2"/>
          <w:sz w:val="32"/>
          <w:szCs w:val="32"/>
          <w:highlight w:val="none"/>
        </w:rPr>
      </w:pPr>
    </w:p>
    <w:p>
      <w:pPr>
        <w:spacing w:line="560" w:lineRule="exact"/>
        <w:jc w:val="center"/>
        <w:rPr>
          <w:rFonts w:ascii="Times New Roman" w:hAnsi="Times New Roman" w:eastAsia="FangSong_GB2312"/>
          <w:spacing w:val="2"/>
          <w:sz w:val="32"/>
          <w:szCs w:val="32"/>
          <w:highlight w:val="none"/>
        </w:rPr>
      </w:pPr>
      <w:r>
        <w:rPr>
          <w:rFonts w:ascii="Times New Roman" w:hAnsi="Times New Roman" w:eastAsia="黑体"/>
          <w:spacing w:val="2"/>
          <w:sz w:val="32"/>
          <w:szCs w:val="32"/>
          <w:highlight w:val="none"/>
        </w:rPr>
        <w:t>第三章  评审的程序</w:t>
      </w:r>
    </w:p>
    <w:p>
      <w:pPr>
        <w:spacing w:line="560" w:lineRule="exact"/>
        <w:ind w:firstLine="720"/>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第七条</w:t>
      </w:r>
      <w:r>
        <w:rPr>
          <w:rFonts w:ascii="Times New Roman" w:hAnsi="Times New Roman" w:eastAsia="FangSong_GB2312"/>
          <w:spacing w:val="2"/>
          <w:sz w:val="32"/>
          <w:szCs w:val="32"/>
          <w:highlight w:val="none"/>
        </w:rPr>
        <w:t>　评审中心开展财政投资评审的程序是：</w:t>
      </w:r>
    </w:p>
    <w:p>
      <w:pPr>
        <w:pBdr>
          <w:top w:val="none" w:color="auto" w:sz="0" w:space="1"/>
          <w:left w:val="none" w:color="auto" w:sz="0" w:space="4"/>
          <w:bottom w:val="none" w:color="auto" w:sz="0" w:space="1"/>
          <w:right w:val="none" w:color="auto" w:sz="0" w:space="4"/>
        </w:pBdr>
        <w:spacing w:line="560" w:lineRule="exact"/>
        <w:ind w:firstLine="638" w:firstLineChars="197"/>
        <w:rPr>
          <w:rFonts w:ascii="Times New Roman" w:hAnsi="Times New Roman" w:eastAsia="FangSong_GB2312"/>
          <w:spacing w:val="2"/>
          <w:sz w:val="32"/>
          <w:szCs w:val="32"/>
          <w:highlight w:val="none"/>
        </w:rPr>
      </w:pPr>
      <w:r>
        <w:rPr>
          <w:rFonts w:hint="eastAsia" w:ascii="Times New Roman" w:hAnsi="Times New Roman" w:eastAsia="FangSong_GB2312"/>
          <w:spacing w:val="2"/>
          <w:sz w:val="32"/>
          <w:szCs w:val="32"/>
          <w:highlight w:val="none"/>
          <w:lang w:eastAsia="zh-CN"/>
        </w:rPr>
        <w:t>（一）接件审核：评审中心对项目建设单位提供的资料进行规范性、全面性、完整性初步审查，未达到评审要求的按评审中心要求补充完善后重新报送，并落实专人接件并登记，对接收的送审资料形成评审接件清单，并经送审人签字确认。</w:t>
      </w:r>
      <w:r>
        <w:rPr>
          <w:rFonts w:ascii="Times New Roman" w:hAnsi="Times New Roman" w:eastAsia="FangSong_GB2312"/>
          <w:spacing w:val="2"/>
          <w:sz w:val="32"/>
          <w:szCs w:val="32"/>
          <w:highlight w:val="none"/>
        </w:rPr>
        <w:t>对区级以上重大项目、上级督查督办项目等紧急项目缺少财评资料的，财评中心审核必需资料无误后，先行接件立即进入评审环节，业主单位须在出具财评报告前提供缺件资料。</w:t>
      </w:r>
    </w:p>
    <w:p>
      <w:pPr>
        <w:pBdr>
          <w:top w:val="none" w:color="auto" w:sz="0" w:space="1"/>
          <w:left w:val="none" w:color="auto" w:sz="0" w:space="4"/>
          <w:bottom w:val="none" w:color="auto" w:sz="0" w:space="1"/>
          <w:right w:val="none" w:color="auto" w:sz="0" w:space="4"/>
        </w:pBdr>
        <w:spacing w:line="560" w:lineRule="exact"/>
        <w:ind w:firstLine="638" w:firstLineChars="197"/>
        <w:rPr>
          <w:rFonts w:hint="eastAsia" w:ascii="Times New Roman" w:hAnsi="Times New Roman" w:eastAsia="FangSong_GB2312"/>
          <w:spacing w:val="2"/>
          <w:sz w:val="32"/>
          <w:szCs w:val="32"/>
          <w:highlight w:val="none"/>
          <w:lang w:eastAsia="zh-CN"/>
        </w:rPr>
      </w:pPr>
      <w:r>
        <w:rPr>
          <w:rFonts w:hint="eastAsia" w:ascii="Times New Roman" w:hAnsi="Times New Roman" w:eastAsia="FangSong_GB2312"/>
          <w:spacing w:val="2"/>
          <w:sz w:val="32"/>
          <w:szCs w:val="32"/>
          <w:highlight w:val="none"/>
          <w:lang w:eastAsia="zh-CN"/>
        </w:rPr>
        <w:t>单位送审所需资料如下：</w:t>
      </w:r>
    </w:p>
    <w:p>
      <w:pPr>
        <w:pBdr>
          <w:top w:val="none" w:color="auto" w:sz="0" w:space="1"/>
          <w:left w:val="none" w:color="auto" w:sz="0" w:space="4"/>
          <w:bottom w:val="none" w:color="auto" w:sz="0" w:space="1"/>
          <w:right w:val="none" w:color="auto" w:sz="0" w:space="4"/>
        </w:pBdr>
        <w:spacing w:line="560" w:lineRule="exact"/>
        <w:ind w:firstLine="641" w:firstLineChars="197"/>
        <w:rPr>
          <w:rFonts w:hint="eastAsia" w:ascii="Times New Roman" w:hAnsi="Times New Roman" w:eastAsia="FangSong_GB2312"/>
          <w:b/>
          <w:bCs/>
          <w:spacing w:val="2"/>
          <w:sz w:val="32"/>
          <w:szCs w:val="32"/>
          <w:highlight w:val="none"/>
          <w:lang w:eastAsia="zh-CN"/>
        </w:rPr>
      </w:pPr>
      <w:r>
        <w:rPr>
          <w:rFonts w:hint="eastAsia" w:ascii="Times New Roman" w:hAnsi="Times New Roman" w:eastAsia="FangSong_GB2312"/>
          <w:b/>
          <w:bCs/>
          <w:spacing w:val="2"/>
          <w:sz w:val="32"/>
          <w:szCs w:val="32"/>
          <w:highlight w:val="none"/>
          <w:lang w:eastAsia="zh-CN"/>
        </w:rPr>
        <w:t>采购类（货物和服务类项目）</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8" w:firstLineChars="200"/>
        <w:textAlignment w:val="auto"/>
        <w:rPr>
          <w:rFonts w:hint="default" w:ascii="Times New Roman" w:hAnsi="Times New Roman" w:eastAsia="FangSong_GB2312"/>
          <w:spacing w:val="2"/>
          <w:sz w:val="32"/>
          <w:szCs w:val="32"/>
          <w:highlight w:val="none"/>
          <w:lang w:val="en-US" w:eastAsia="zh-CN"/>
        </w:rPr>
      </w:pPr>
      <w:r>
        <w:rPr>
          <w:rFonts w:hint="eastAsia" w:ascii="Times New Roman" w:hAnsi="Times New Roman" w:eastAsia="FangSong_GB2312"/>
          <w:spacing w:val="2"/>
          <w:sz w:val="32"/>
          <w:szCs w:val="32"/>
          <w:highlight w:val="none"/>
          <w:lang w:val="en-US" w:eastAsia="zh-CN"/>
        </w:rPr>
        <w:t>1.财政评审请示（需经区政府领导签批）；</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8" w:firstLineChars="200"/>
        <w:textAlignment w:val="auto"/>
        <w:rPr>
          <w:rFonts w:hint="default" w:ascii="Times New Roman" w:hAnsi="Times New Roman" w:eastAsia="FangSong_GB2312"/>
          <w:spacing w:val="2"/>
          <w:sz w:val="32"/>
          <w:szCs w:val="32"/>
          <w:highlight w:val="none"/>
          <w:lang w:val="en-US" w:eastAsia="zh-CN"/>
        </w:rPr>
      </w:pPr>
      <w:r>
        <w:rPr>
          <w:rFonts w:hint="eastAsia" w:ascii="Times New Roman" w:hAnsi="Times New Roman" w:eastAsia="FangSong_GB2312"/>
          <w:spacing w:val="2"/>
          <w:sz w:val="32"/>
          <w:szCs w:val="32"/>
          <w:highlight w:val="none"/>
          <w:lang w:val="en-US" w:eastAsia="zh-CN"/>
        </w:rPr>
        <w:t>2.业主单位编制的报价清单（含需购买内容和报价）；</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8" w:firstLineChars="200"/>
        <w:textAlignment w:val="auto"/>
        <w:rPr>
          <w:rFonts w:hint="default" w:ascii="Times New Roman" w:hAnsi="Times New Roman" w:eastAsia="FangSong_GB2312"/>
          <w:spacing w:val="2"/>
          <w:sz w:val="32"/>
          <w:szCs w:val="32"/>
          <w:highlight w:val="none"/>
          <w:lang w:val="en-US" w:eastAsia="zh-CN"/>
        </w:rPr>
      </w:pPr>
      <w:r>
        <w:rPr>
          <w:rFonts w:hint="eastAsia" w:ascii="Times New Roman" w:hAnsi="Times New Roman" w:eastAsia="FangSong_GB2312"/>
          <w:spacing w:val="2"/>
          <w:sz w:val="32"/>
          <w:szCs w:val="32"/>
          <w:highlight w:val="none"/>
          <w:lang w:val="en-US" w:eastAsia="zh-CN"/>
        </w:rPr>
        <w:t>3.三家公司报价；</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8" w:firstLineChars="200"/>
        <w:textAlignment w:val="auto"/>
        <w:rPr>
          <w:rFonts w:hint="default" w:ascii="Times New Roman" w:hAnsi="Times New Roman" w:eastAsia="FangSong_GB2312"/>
          <w:spacing w:val="2"/>
          <w:sz w:val="32"/>
          <w:szCs w:val="32"/>
          <w:highlight w:val="none"/>
          <w:lang w:val="en-US" w:eastAsia="zh-CN"/>
        </w:rPr>
      </w:pPr>
      <w:r>
        <w:rPr>
          <w:rFonts w:hint="eastAsia" w:ascii="Times New Roman" w:hAnsi="Times New Roman" w:eastAsia="FangSong_GB2312"/>
          <w:spacing w:val="2"/>
          <w:sz w:val="32"/>
          <w:szCs w:val="32"/>
          <w:highlight w:val="none"/>
          <w:lang w:val="en-US" w:eastAsia="zh-CN"/>
        </w:rPr>
        <w:t>4.其他相关资料（区政府常务会或区委常委会会议资料、资金文件等）</w:t>
      </w:r>
      <w:r>
        <w:rPr>
          <w:rFonts w:hint="eastAsia" w:eastAsia="FangSong_GB2312"/>
          <w:spacing w:val="2"/>
          <w:sz w:val="32"/>
          <w:szCs w:val="32"/>
          <w:highlight w:val="none"/>
          <w:lang w:val="en-US" w:eastAsia="zh-CN"/>
        </w:rPr>
        <w:t>。</w:t>
      </w:r>
    </w:p>
    <w:p>
      <w:pPr>
        <w:pBdr>
          <w:top w:val="none" w:color="auto" w:sz="0" w:space="1"/>
          <w:left w:val="none" w:color="auto" w:sz="0" w:space="4"/>
          <w:bottom w:val="none" w:color="auto" w:sz="0" w:space="1"/>
          <w:right w:val="none" w:color="auto" w:sz="0" w:space="4"/>
        </w:pBdr>
        <w:spacing w:line="560" w:lineRule="exact"/>
        <w:ind w:firstLine="641" w:firstLineChars="197"/>
        <w:rPr>
          <w:rFonts w:hint="eastAsia" w:ascii="Times New Roman" w:hAnsi="Times New Roman" w:eastAsia="FangSong_GB2312" w:cs="Times New Roman"/>
          <w:b/>
          <w:bCs/>
          <w:spacing w:val="2"/>
          <w:sz w:val="32"/>
          <w:szCs w:val="32"/>
          <w:highlight w:val="none"/>
          <w:lang w:val="en-US" w:eastAsia="zh-CN"/>
        </w:rPr>
      </w:pPr>
      <w:r>
        <w:rPr>
          <w:rFonts w:hint="eastAsia" w:ascii="Times New Roman" w:hAnsi="Times New Roman" w:eastAsia="FangSong_GB2312" w:cs="Times New Roman"/>
          <w:b/>
          <w:bCs/>
          <w:spacing w:val="2"/>
          <w:sz w:val="32"/>
          <w:szCs w:val="32"/>
          <w:highlight w:val="none"/>
          <w:lang w:val="en-US" w:eastAsia="zh-CN"/>
        </w:rPr>
        <w:t>工程类</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8" w:firstLineChars="200"/>
        <w:textAlignment w:val="auto"/>
        <w:rPr>
          <w:rFonts w:hint="eastAsia" w:ascii="Times New Roman" w:hAnsi="Times New Roman" w:eastAsia="FangSong_GB2312" w:cs="Times New Roman"/>
          <w:spacing w:val="2"/>
          <w:sz w:val="32"/>
          <w:szCs w:val="32"/>
          <w:highlight w:val="none"/>
          <w:lang w:val="en-US" w:eastAsia="zh-CN"/>
        </w:rPr>
      </w:pPr>
      <w:r>
        <w:rPr>
          <w:rFonts w:hint="eastAsia" w:ascii="Times New Roman" w:hAnsi="Times New Roman" w:eastAsia="FangSong_GB2312" w:cs="Times New Roman"/>
          <w:spacing w:val="2"/>
          <w:sz w:val="32"/>
          <w:szCs w:val="32"/>
          <w:highlight w:val="none"/>
          <w:lang w:val="en-US" w:eastAsia="zh-CN"/>
        </w:rPr>
        <w:t>1.发改或其他相关批复文件；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8" w:firstLineChars="200"/>
        <w:textAlignment w:val="auto"/>
        <w:rPr>
          <w:rFonts w:hint="default" w:ascii="Times New Roman" w:hAnsi="Times New Roman" w:eastAsia="FangSong_GB2312" w:cs="Times New Roman"/>
          <w:spacing w:val="2"/>
          <w:sz w:val="32"/>
          <w:szCs w:val="32"/>
          <w:highlight w:val="none"/>
          <w:lang w:val="en-US" w:eastAsia="zh-CN"/>
        </w:rPr>
      </w:pPr>
      <w:r>
        <w:rPr>
          <w:rFonts w:hint="eastAsia" w:ascii="Times New Roman" w:hAnsi="Times New Roman" w:eastAsia="FangSong_GB2312" w:cs="Times New Roman"/>
          <w:spacing w:val="2"/>
          <w:sz w:val="32"/>
          <w:szCs w:val="32"/>
          <w:highlight w:val="none"/>
          <w:lang w:val="en-US" w:eastAsia="zh-CN"/>
        </w:rPr>
        <w:t>2.财政评审请示（</w:t>
      </w:r>
      <w:r>
        <w:rPr>
          <w:rFonts w:hint="eastAsia" w:ascii="Times New Roman" w:hAnsi="Times New Roman" w:eastAsia="FangSong_GB2312"/>
          <w:spacing w:val="2"/>
          <w:sz w:val="32"/>
          <w:szCs w:val="32"/>
          <w:highlight w:val="none"/>
          <w:lang w:val="en-US" w:eastAsia="zh-CN"/>
        </w:rPr>
        <w:t>需经区政府领导签批</w:t>
      </w:r>
      <w:r>
        <w:rPr>
          <w:rFonts w:hint="eastAsia" w:ascii="Times New Roman" w:hAnsi="Times New Roman" w:eastAsia="FangSong_GB2312" w:cs="Times New Roman"/>
          <w:spacing w:val="2"/>
          <w:sz w:val="32"/>
          <w:szCs w:val="32"/>
          <w:highlight w:val="none"/>
          <w:lang w:val="en-US" w:eastAsia="zh-CN"/>
        </w:rPr>
        <w:t>）；</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8" w:firstLineChars="200"/>
        <w:textAlignment w:val="auto"/>
        <w:rPr>
          <w:rFonts w:hint="default" w:ascii="Times New Roman" w:hAnsi="Times New Roman" w:eastAsia="FangSong_GB2312" w:cs="Times New Roman"/>
          <w:spacing w:val="2"/>
          <w:sz w:val="32"/>
          <w:szCs w:val="32"/>
          <w:highlight w:val="none"/>
          <w:lang w:val="en-US" w:eastAsia="zh-CN"/>
        </w:rPr>
      </w:pPr>
      <w:r>
        <w:rPr>
          <w:rFonts w:hint="eastAsia" w:ascii="Times New Roman" w:hAnsi="Times New Roman" w:eastAsia="FangSong_GB2312" w:cs="Times New Roman"/>
          <w:spacing w:val="2"/>
          <w:sz w:val="32"/>
          <w:szCs w:val="32"/>
          <w:highlight w:val="none"/>
          <w:lang w:val="en-US" w:eastAsia="zh-CN"/>
        </w:rPr>
        <w:t>3.有设计资质单位出具的施工图（电子和纸质版）；</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8" w:firstLineChars="200"/>
        <w:textAlignment w:val="auto"/>
        <w:rPr>
          <w:rFonts w:hint="default" w:ascii="Times New Roman" w:hAnsi="Times New Roman" w:eastAsia="FangSong_GB2312" w:cs="Times New Roman"/>
          <w:spacing w:val="2"/>
          <w:sz w:val="32"/>
          <w:szCs w:val="32"/>
          <w:highlight w:val="none"/>
          <w:lang w:val="en-US" w:eastAsia="zh-CN"/>
        </w:rPr>
      </w:pPr>
      <w:r>
        <w:rPr>
          <w:rFonts w:hint="eastAsia" w:ascii="Times New Roman" w:hAnsi="Times New Roman" w:eastAsia="FangSong_GB2312" w:cs="Times New Roman"/>
          <w:spacing w:val="2"/>
          <w:sz w:val="32"/>
          <w:szCs w:val="32"/>
          <w:highlight w:val="none"/>
          <w:lang w:val="en-US" w:eastAsia="zh-CN"/>
        </w:rPr>
        <w:t>4.有造价资质单位编制的招标控制价（电子和纸质版）；</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8" w:firstLineChars="200"/>
        <w:textAlignment w:val="auto"/>
        <w:rPr>
          <w:rFonts w:hint="eastAsia" w:ascii="Times New Roman" w:hAnsi="Times New Roman" w:eastAsia="FangSong_GB2312" w:cs="Times New Roman"/>
          <w:spacing w:val="2"/>
          <w:sz w:val="32"/>
          <w:szCs w:val="32"/>
          <w:highlight w:val="none"/>
          <w:lang w:val="en-US" w:eastAsia="zh-CN"/>
        </w:rPr>
      </w:pPr>
      <w:r>
        <w:rPr>
          <w:rFonts w:hint="eastAsia" w:ascii="Times New Roman" w:hAnsi="Times New Roman" w:eastAsia="FangSong_GB2312" w:cs="Times New Roman"/>
          <w:spacing w:val="2"/>
          <w:sz w:val="32"/>
          <w:szCs w:val="32"/>
          <w:highlight w:val="none"/>
          <w:lang w:val="en-US" w:eastAsia="zh-CN"/>
        </w:rPr>
        <w:t>5.有相关资质单位出具的岩土工程勘察报告（涉及到岩土工程的项目提供）；</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8" w:firstLineChars="200"/>
        <w:textAlignment w:val="auto"/>
        <w:rPr>
          <w:rFonts w:hint="eastAsia" w:ascii="Times New Roman" w:hAnsi="Times New Roman" w:eastAsia="FangSong_GB2312" w:cs="Times New Roman"/>
          <w:spacing w:val="2"/>
          <w:sz w:val="32"/>
          <w:szCs w:val="32"/>
          <w:highlight w:val="none"/>
          <w:lang w:val="en-US" w:eastAsia="zh-CN"/>
        </w:rPr>
      </w:pPr>
      <w:r>
        <w:rPr>
          <w:rFonts w:hint="eastAsia" w:ascii="Times New Roman" w:hAnsi="Times New Roman" w:eastAsia="FangSong_GB2312" w:cs="Times New Roman"/>
          <w:spacing w:val="2"/>
          <w:sz w:val="32"/>
          <w:szCs w:val="32"/>
          <w:highlight w:val="none"/>
          <w:lang w:val="en-US" w:eastAsia="zh-CN"/>
        </w:rPr>
        <w:t>6.行业部门出具的图审报告等文件；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firstLine="648" w:firstLineChars="200"/>
        <w:textAlignment w:val="auto"/>
        <w:rPr>
          <w:rFonts w:hint="default" w:ascii="Times New Roman" w:hAnsi="Times New Roman" w:eastAsia="FangSong_GB2312"/>
          <w:spacing w:val="2"/>
          <w:sz w:val="32"/>
          <w:szCs w:val="32"/>
          <w:highlight w:val="none"/>
          <w:lang w:val="en-US" w:eastAsia="zh-CN"/>
        </w:rPr>
      </w:pPr>
      <w:r>
        <w:rPr>
          <w:rFonts w:hint="eastAsia" w:ascii="Times New Roman" w:hAnsi="Times New Roman" w:eastAsia="FangSong_GB2312" w:cs="Times New Roman"/>
          <w:spacing w:val="2"/>
          <w:sz w:val="32"/>
          <w:szCs w:val="32"/>
          <w:highlight w:val="none"/>
          <w:lang w:val="en-US" w:eastAsia="zh-CN"/>
        </w:rPr>
        <w:t>7.</w:t>
      </w:r>
      <w:r>
        <w:rPr>
          <w:rFonts w:hint="eastAsia" w:ascii="Times New Roman" w:hAnsi="Times New Roman" w:eastAsia="FangSong_GB2312"/>
          <w:spacing w:val="2"/>
          <w:sz w:val="32"/>
          <w:szCs w:val="32"/>
          <w:highlight w:val="none"/>
          <w:lang w:val="en-US" w:eastAsia="zh-CN"/>
        </w:rPr>
        <w:t>其他相关资料（区政府常务会或区委常委会会议资料、资金文件等）。</w:t>
      </w:r>
    </w:p>
    <w:p>
      <w:pPr>
        <w:spacing w:line="560" w:lineRule="exact"/>
        <w:ind w:firstLine="638" w:firstLineChars="197"/>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（二）评审任务分配：</w:t>
      </w:r>
      <w:r>
        <w:rPr>
          <w:rFonts w:hint="eastAsia" w:ascii="Times New Roman" w:hAnsi="Times New Roman" w:eastAsia="FangSong_GB2312"/>
          <w:spacing w:val="2"/>
          <w:sz w:val="32"/>
          <w:szCs w:val="32"/>
          <w:highlight w:val="none"/>
          <w:lang w:eastAsia="zh-CN"/>
        </w:rPr>
        <w:t>评审中心与通过公开招标确定的联合体牵头单位对接业务，联合体每次接受委托时需提交一份项目负责公司及联系人的清单及本公司人员介绍信。</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（三）</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评审：</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对项目建设单位提供的招标控制价的建设内容、工程量、定额套用、综合单价、费用计取、材料价格等进行逐项核实，对评审过程中发现的问题，必须在评审中心的指导下向项目建设单位、设计单位、造价单位进行核实、取证以及进行必要的建设项目现场踏勘。需设计单位完善设计的根据完善后的资料重新审核，确定真实、准确、合规、合法的工程造价。</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（四）复核：评审中心可聘请专业人员或</w:t>
      </w:r>
      <w:r>
        <w:rPr>
          <w:rFonts w:hint="eastAsia" w:ascii="Times New Roman" w:hAnsi="Times New Roman" w:eastAsia="FangSong_GB2312"/>
          <w:spacing w:val="2"/>
          <w:sz w:val="32"/>
          <w:szCs w:val="32"/>
          <w:highlight w:val="none"/>
          <w:lang w:eastAsia="zh-CN"/>
        </w:rPr>
        <w:t>第三方</w:t>
      </w:r>
      <w:r>
        <w:rPr>
          <w:rFonts w:ascii="Times New Roman" w:hAnsi="Times New Roman" w:eastAsia="FangSong_GB2312"/>
          <w:spacing w:val="2"/>
          <w:sz w:val="32"/>
          <w:szCs w:val="32"/>
          <w:highlight w:val="none"/>
        </w:rPr>
        <w:t>中介公司参与对评审结果进行复核，将复核情况反馈评审</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修改，评审中心再复核。</w:t>
      </w:r>
    </w:p>
    <w:p>
      <w:pPr>
        <w:spacing w:line="560" w:lineRule="exact"/>
        <w:ind w:firstLine="638" w:firstLineChars="197"/>
        <w:rPr>
          <w:rFonts w:hint="eastAsia" w:ascii="Times New Roman" w:hAnsi="Times New Roman" w:eastAsia="FangSong_GB2312" w:cs="Times New Roman"/>
          <w:spacing w:val="2"/>
          <w:sz w:val="32"/>
          <w:szCs w:val="32"/>
          <w:highlight w:val="none"/>
          <w:lang w:eastAsia="zh-CN"/>
        </w:rPr>
      </w:pPr>
      <w:r>
        <w:rPr>
          <w:rFonts w:ascii="Times New Roman" w:hAnsi="Times New Roman" w:eastAsia="FangSong_GB2312"/>
          <w:spacing w:val="2"/>
          <w:sz w:val="32"/>
          <w:szCs w:val="32"/>
          <w:highlight w:val="none"/>
        </w:rPr>
        <w:t>（五）征求意见：</w:t>
      </w:r>
      <w:r>
        <w:rPr>
          <w:rFonts w:hint="eastAsia" w:ascii="Times New Roman" w:hAnsi="Times New Roman" w:eastAsia="FangSong_GB2312"/>
          <w:spacing w:val="2"/>
          <w:sz w:val="32"/>
          <w:szCs w:val="32"/>
          <w:highlight w:val="none"/>
          <w:lang w:eastAsia="zh-CN"/>
        </w:rPr>
        <w:t>将项目评审结果情况反馈给业主单位，征求业主单位意见；业主单位如有不同意见，由评审中心逐条回复业主单位后，不再征求业主单位意见。</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cs="Times New Roman"/>
          <w:spacing w:val="2"/>
          <w:sz w:val="32"/>
          <w:szCs w:val="32"/>
          <w:highlight w:val="none"/>
        </w:rPr>
        <w:t>（六）</w:t>
      </w:r>
      <w:r>
        <w:rPr>
          <w:rFonts w:hint="eastAsia" w:ascii="Times New Roman" w:hAnsi="Times New Roman" w:eastAsia="FangSong_GB2312" w:cs="Times New Roman"/>
          <w:spacing w:val="2"/>
          <w:sz w:val="32"/>
          <w:szCs w:val="32"/>
          <w:highlight w:val="none"/>
          <w:lang w:eastAsia="zh-CN"/>
        </w:rPr>
        <w:t>集体</w:t>
      </w:r>
      <w:r>
        <w:rPr>
          <w:rFonts w:ascii="Times New Roman" w:hAnsi="Times New Roman" w:eastAsia="FangSong_GB2312"/>
          <w:spacing w:val="2"/>
          <w:sz w:val="32"/>
          <w:szCs w:val="32"/>
          <w:highlight w:val="none"/>
        </w:rPr>
        <w:t>审定：一般项目由评审中心人员进行</w:t>
      </w:r>
      <w:r>
        <w:rPr>
          <w:rFonts w:hint="eastAsia" w:ascii="Times New Roman" w:hAnsi="Times New Roman" w:eastAsia="FangSong_GB2312"/>
          <w:spacing w:val="2"/>
          <w:sz w:val="32"/>
          <w:szCs w:val="32"/>
          <w:highlight w:val="none"/>
          <w:lang w:eastAsia="zh-CN"/>
        </w:rPr>
        <w:t>复核</w:t>
      </w:r>
      <w:r>
        <w:rPr>
          <w:rFonts w:ascii="Times New Roman" w:hAnsi="Times New Roman" w:eastAsia="FangSong_GB2312"/>
          <w:spacing w:val="2"/>
          <w:sz w:val="32"/>
          <w:szCs w:val="32"/>
          <w:highlight w:val="none"/>
        </w:rPr>
        <w:t>，10000万元以上的重大项目集体</w:t>
      </w:r>
      <w:r>
        <w:rPr>
          <w:rFonts w:hint="eastAsia" w:ascii="Times New Roman" w:hAnsi="Times New Roman" w:eastAsia="FangSong_GB2312"/>
          <w:spacing w:val="2"/>
          <w:sz w:val="32"/>
          <w:szCs w:val="32"/>
          <w:highlight w:val="none"/>
          <w:lang w:eastAsia="zh-CN"/>
        </w:rPr>
        <w:t>复审</w:t>
      </w:r>
      <w:r>
        <w:rPr>
          <w:rFonts w:hint="eastAsia" w:eastAsia="FangSong_GB2312"/>
          <w:spacing w:val="2"/>
          <w:sz w:val="32"/>
          <w:szCs w:val="32"/>
          <w:highlight w:val="none"/>
          <w:lang w:eastAsia="zh-CN"/>
        </w:rPr>
        <w:t>。</w:t>
      </w:r>
    </w:p>
    <w:p>
      <w:pPr>
        <w:spacing w:line="560" w:lineRule="exact"/>
        <w:ind w:firstLine="638" w:firstLineChars="197"/>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（七）撰写文件：</w:t>
      </w:r>
      <w:r>
        <w:rPr>
          <w:rFonts w:hint="eastAsia" w:ascii="Times New Roman" w:hAnsi="Times New Roman" w:eastAsia="FangSong_GB2312"/>
          <w:spacing w:val="2"/>
          <w:sz w:val="32"/>
          <w:szCs w:val="32"/>
          <w:highlight w:val="none"/>
          <w:lang w:eastAsia="zh-CN"/>
        </w:rPr>
        <w:t>评审中心拟写评审文件，</w:t>
      </w:r>
      <w:r>
        <w:rPr>
          <w:rFonts w:hint="eastAsia" w:ascii="Times New Roman" w:hAnsi="Times New Roman" w:eastAsia="FangSong_GB2312"/>
          <w:spacing w:val="2"/>
          <w:sz w:val="32"/>
          <w:szCs w:val="32"/>
          <w:highlight w:val="none"/>
        </w:rPr>
        <w:t>财政部门</w:t>
      </w:r>
      <w:r>
        <w:rPr>
          <w:rFonts w:hint="eastAsia" w:ascii="Times New Roman" w:hAnsi="Times New Roman" w:eastAsia="FangSong_GB2312"/>
          <w:spacing w:val="2"/>
          <w:sz w:val="32"/>
          <w:szCs w:val="32"/>
          <w:highlight w:val="none"/>
          <w:lang w:eastAsia="zh-CN"/>
        </w:rPr>
        <w:t>核稿、分管领导审签。</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（八）报区政府领导审签。</w:t>
      </w:r>
    </w:p>
    <w:p>
      <w:pPr>
        <w:spacing w:line="560" w:lineRule="exact"/>
        <w:ind w:firstLine="638" w:firstLineChars="19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（九）印发评审文件。</w:t>
      </w:r>
    </w:p>
    <w:p>
      <w:pPr>
        <w:spacing w:line="576" w:lineRule="exact"/>
        <w:jc w:val="center"/>
        <w:rPr>
          <w:rFonts w:ascii="Times New Roman" w:hAnsi="Times New Roman" w:eastAsia="黑体"/>
          <w:spacing w:val="2"/>
          <w:sz w:val="32"/>
          <w:szCs w:val="32"/>
          <w:highlight w:val="none"/>
        </w:rPr>
      </w:pPr>
    </w:p>
    <w:p>
      <w:pPr>
        <w:spacing w:line="576" w:lineRule="exact"/>
        <w:jc w:val="center"/>
        <w:rPr>
          <w:rFonts w:ascii="Times New Roman" w:hAnsi="Times New Roman" w:eastAsia="黑体"/>
          <w:spacing w:val="2"/>
          <w:sz w:val="32"/>
          <w:szCs w:val="32"/>
          <w:highlight w:val="none"/>
        </w:rPr>
      </w:pPr>
      <w:r>
        <w:rPr>
          <w:rFonts w:ascii="Times New Roman" w:hAnsi="Times New Roman" w:eastAsia="黑体"/>
          <w:spacing w:val="2"/>
          <w:sz w:val="32"/>
          <w:szCs w:val="32"/>
          <w:highlight w:val="none"/>
        </w:rPr>
        <w:t>第四章  主管部门的职责</w:t>
      </w:r>
    </w:p>
    <w:p>
      <w:pPr>
        <w:spacing w:line="576" w:lineRule="exact"/>
        <w:ind w:firstLine="738" w:firstLineChars="22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第八条　</w:t>
      </w:r>
      <w:r>
        <w:rPr>
          <w:rFonts w:ascii="Times New Roman" w:hAnsi="Times New Roman" w:eastAsia="FangSong_GB2312"/>
          <w:spacing w:val="2"/>
          <w:sz w:val="32"/>
          <w:szCs w:val="32"/>
          <w:highlight w:val="none"/>
        </w:rPr>
        <w:t>财政部门是财政投资评审工作的行政主管部门，履行下列职责：</w:t>
      </w:r>
    </w:p>
    <w:p>
      <w:pPr>
        <w:spacing w:line="576" w:lineRule="exact"/>
        <w:ind w:firstLine="540"/>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（一）制定财政投资评审规章制度，指导财政投资评审业务工作</w:t>
      </w:r>
      <w:r>
        <w:rPr>
          <w:rFonts w:hint="eastAsia" w:eastAsia="FangSong_GB2312"/>
          <w:spacing w:val="2"/>
          <w:sz w:val="32"/>
          <w:szCs w:val="32"/>
          <w:highlight w:val="none"/>
          <w:lang w:eastAsia="zh-CN"/>
        </w:rPr>
        <w:t>。</w:t>
      </w:r>
    </w:p>
    <w:p>
      <w:pPr>
        <w:spacing w:line="576" w:lineRule="exact"/>
        <w:ind w:firstLine="540"/>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（二）向评审中心下达评审任务，提出评审的具体要求</w:t>
      </w:r>
      <w:r>
        <w:rPr>
          <w:rFonts w:hint="eastAsia" w:eastAsia="FangSong_GB2312"/>
          <w:spacing w:val="2"/>
          <w:sz w:val="32"/>
          <w:szCs w:val="32"/>
          <w:highlight w:val="none"/>
          <w:lang w:eastAsia="zh-CN"/>
        </w:rPr>
        <w:t>。</w:t>
      </w:r>
    </w:p>
    <w:p>
      <w:pPr>
        <w:spacing w:line="576" w:lineRule="exact"/>
        <w:ind w:firstLine="540"/>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（三）负责协调评审中心在财政投资评审工作中与项目主管部门、建设单位等方面的关系</w:t>
      </w:r>
      <w:r>
        <w:rPr>
          <w:rFonts w:hint="eastAsia" w:eastAsia="FangSong_GB2312"/>
          <w:spacing w:val="2"/>
          <w:sz w:val="32"/>
          <w:szCs w:val="32"/>
          <w:highlight w:val="none"/>
          <w:lang w:eastAsia="zh-CN"/>
        </w:rPr>
        <w:t>。</w:t>
      </w:r>
    </w:p>
    <w:p>
      <w:pPr>
        <w:spacing w:line="576" w:lineRule="exact"/>
        <w:ind w:firstLine="540"/>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（四）审查批复评审中心报送的评审</w:t>
      </w:r>
      <w:r>
        <w:rPr>
          <w:rFonts w:hint="eastAsia" w:ascii="Times New Roman" w:hAnsi="Times New Roman" w:eastAsia="FangSong_GB2312"/>
          <w:spacing w:val="2"/>
          <w:sz w:val="32"/>
          <w:szCs w:val="32"/>
          <w:highlight w:val="none"/>
          <w:lang w:eastAsia="zh-CN"/>
        </w:rPr>
        <w:t>文件</w:t>
      </w:r>
      <w:r>
        <w:rPr>
          <w:rFonts w:hint="eastAsia" w:eastAsia="FangSong_GB2312"/>
          <w:spacing w:val="2"/>
          <w:sz w:val="32"/>
          <w:szCs w:val="32"/>
          <w:highlight w:val="none"/>
          <w:lang w:eastAsia="zh-CN"/>
        </w:rPr>
        <w:t>。</w:t>
      </w:r>
    </w:p>
    <w:p>
      <w:pPr>
        <w:spacing w:line="576" w:lineRule="exact"/>
        <w:ind w:firstLine="540"/>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（五）加强对财政投资评审工作的管理和监督，并根据实际需要对评审结论进行抽查复核</w:t>
      </w:r>
      <w:r>
        <w:rPr>
          <w:rFonts w:hint="eastAsia" w:eastAsia="FangSong_GB2312"/>
          <w:spacing w:val="2"/>
          <w:sz w:val="32"/>
          <w:szCs w:val="32"/>
          <w:highlight w:val="none"/>
          <w:lang w:eastAsia="zh-CN"/>
        </w:rPr>
        <w:t>。</w:t>
      </w:r>
    </w:p>
    <w:p>
      <w:pPr>
        <w:spacing w:line="576" w:lineRule="exact"/>
        <w:ind w:firstLine="540"/>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（六）统一管理财政投资评审经费，向承担财政投资评审任务的</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支付评审费用。</w:t>
      </w:r>
    </w:p>
    <w:p>
      <w:pPr>
        <w:spacing w:line="576" w:lineRule="exact"/>
        <w:ind w:firstLine="280"/>
        <w:rPr>
          <w:rFonts w:ascii="Times New Roman" w:hAnsi="Times New Roman" w:eastAsia="FangSong_GB2312"/>
          <w:spacing w:val="2"/>
          <w:sz w:val="32"/>
          <w:szCs w:val="32"/>
          <w:highlight w:val="none"/>
        </w:rPr>
      </w:pPr>
    </w:p>
    <w:p>
      <w:pPr>
        <w:spacing w:line="576" w:lineRule="exact"/>
        <w:jc w:val="center"/>
        <w:rPr>
          <w:rFonts w:ascii="Times New Roman" w:hAnsi="Times New Roman" w:eastAsia="黑体"/>
          <w:spacing w:val="2"/>
          <w:sz w:val="32"/>
          <w:szCs w:val="32"/>
          <w:highlight w:val="none"/>
        </w:rPr>
      </w:pPr>
      <w:r>
        <w:rPr>
          <w:rFonts w:ascii="Times New Roman" w:hAnsi="Times New Roman" w:eastAsia="黑体"/>
          <w:spacing w:val="2"/>
          <w:sz w:val="32"/>
          <w:szCs w:val="32"/>
          <w:highlight w:val="none"/>
        </w:rPr>
        <w:t>第五章 评审中心的职责</w:t>
      </w:r>
    </w:p>
    <w:p>
      <w:pPr>
        <w:spacing w:line="576" w:lineRule="exact"/>
        <w:ind w:firstLine="641" w:firstLineChars="19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第九条</w:t>
      </w:r>
      <w:r>
        <w:rPr>
          <w:rFonts w:ascii="Times New Roman" w:hAnsi="Times New Roman" w:eastAsia="FangSong_GB2312"/>
          <w:spacing w:val="2"/>
          <w:sz w:val="32"/>
          <w:szCs w:val="32"/>
          <w:highlight w:val="none"/>
        </w:rPr>
        <w:t>　评审中心挂靠区财政</w:t>
      </w:r>
      <w:r>
        <w:rPr>
          <w:rFonts w:hint="eastAsia" w:ascii="Times New Roman" w:hAnsi="Times New Roman" w:eastAsia="FangSong_GB2312"/>
          <w:spacing w:val="2"/>
          <w:sz w:val="32"/>
          <w:szCs w:val="32"/>
          <w:highlight w:val="none"/>
        </w:rPr>
        <w:t>部门</w:t>
      </w:r>
      <w:r>
        <w:rPr>
          <w:rFonts w:ascii="Times New Roman" w:hAnsi="Times New Roman" w:eastAsia="FangSong_GB2312"/>
          <w:spacing w:val="2"/>
          <w:sz w:val="32"/>
          <w:szCs w:val="32"/>
          <w:highlight w:val="none"/>
        </w:rPr>
        <w:t>，在</w:t>
      </w:r>
      <w:r>
        <w:rPr>
          <w:rFonts w:hint="eastAsia" w:ascii="Times New Roman" w:hAnsi="Times New Roman" w:eastAsia="FangSong_GB2312"/>
          <w:spacing w:val="2"/>
          <w:sz w:val="32"/>
          <w:szCs w:val="32"/>
          <w:highlight w:val="none"/>
        </w:rPr>
        <w:t>其</w:t>
      </w:r>
      <w:r>
        <w:rPr>
          <w:rFonts w:ascii="Times New Roman" w:hAnsi="Times New Roman" w:eastAsia="FangSong_GB2312"/>
          <w:spacing w:val="2"/>
          <w:sz w:val="32"/>
          <w:szCs w:val="32"/>
          <w:highlight w:val="none"/>
        </w:rPr>
        <w:t>统一领导下独立、客观、公正地履行财政投资评审职能，为区级项目建设服务。</w:t>
      </w:r>
    </w:p>
    <w:p>
      <w:pPr>
        <w:spacing w:line="576" w:lineRule="exact"/>
        <w:ind w:firstLine="641" w:firstLineChars="19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第十条</w:t>
      </w:r>
      <w:r>
        <w:rPr>
          <w:rFonts w:ascii="Times New Roman" w:hAnsi="Times New Roman" w:eastAsia="FangSong_GB2312"/>
          <w:spacing w:val="2"/>
          <w:sz w:val="32"/>
          <w:szCs w:val="32"/>
          <w:highlight w:val="none"/>
        </w:rPr>
        <w:t xml:space="preserve">  评审中心具体组织实施区级财政投资评审工作，出具评审</w:t>
      </w:r>
      <w:r>
        <w:rPr>
          <w:rFonts w:hint="eastAsia" w:ascii="Times New Roman" w:hAnsi="Times New Roman" w:eastAsia="FangSong_GB2312"/>
          <w:spacing w:val="2"/>
          <w:sz w:val="32"/>
          <w:szCs w:val="32"/>
          <w:highlight w:val="none"/>
          <w:lang w:eastAsia="zh-CN"/>
        </w:rPr>
        <w:t>文件</w:t>
      </w:r>
      <w:r>
        <w:rPr>
          <w:rFonts w:ascii="Times New Roman" w:hAnsi="Times New Roman" w:eastAsia="FangSong_GB2312"/>
          <w:spacing w:val="2"/>
          <w:sz w:val="32"/>
          <w:szCs w:val="32"/>
          <w:highlight w:val="none"/>
        </w:rPr>
        <w:t>，其职责为：</w:t>
      </w:r>
    </w:p>
    <w:p>
      <w:pPr>
        <w:spacing w:line="576" w:lineRule="exact"/>
        <w:ind w:firstLine="605" w:firstLineChars="187"/>
        <w:rPr>
          <w:rFonts w:hint="eastAsia" w:ascii="Times New Roman" w:hAnsi="Times New Roman" w:eastAsia="FangSong_GB2312"/>
          <w:spacing w:val="2"/>
          <w:sz w:val="32"/>
          <w:szCs w:val="32"/>
          <w:highlight w:val="none"/>
          <w:lang w:eastAsia="zh-CN"/>
        </w:rPr>
      </w:pPr>
      <w:r>
        <w:rPr>
          <w:rFonts w:ascii="Times New Roman" w:hAnsi="Times New Roman" w:eastAsia="FangSong_GB2312"/>
          <w:spacing w:val="2"/>
          <w:sz w:val="32"/>
          <w:szCs w:val="32"/>
          <w:highlight w:val="none"/>
        </w:rPr>
        <w:t>（一）依法、客观、公正地组织评审中心内部人员、有资质的及执业业绩良好的</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、聘请有造价资质的专业技术人员等方式开展投资评审工作</w:t>
      </w:r>
      <w:r>
        <w:rPr>
          <w:rFonts w:hint="eastAsia" w:eastAsia="FangSong_GB2312"/>
          <w:spacing w:val="2"/>
          <w:sz w:val="32"/>
          <w:szCs w:val="32"/>
          <w:highlight w:val="none"/>
          <w:lang w:eastAsia="zh-CN"/>
        </w:rPr>
        <w:t>。</w:t>
      </w:r>
    </w:p>
    <w:p>
      <w:pPr>
        <w:numPr>
          <w:ilvl w:val="0"/>
          <w:numId w:val="1"/>
        </w:numPr>
        <w:spacing w:line="576" w:lineRule="exact"/>
        <w:ind w:firstLine="605" w:firstLineChars="187"/>
        <w:rPr>
          <w:rFonts w:ascii="Times New Roman" w:hAnsi="Times New Roman" w:eastAsia="FangSong_GB2312"/>
          <w:spacing w:val="2"/>
          <w:sz w:val="32"/>
          <w:szCs w:val="32"/>
          <w:highlight w:val="none"/>
        </w:rPr>
      </w:pPr>
      <w:r>
        <w:rPr>
          <w:rFonts w:hint="eastAsia" w:ascii="Times New Roman" w:hAnsi="Times New Roman" w:eastAsia="FangSong_GB2312"/>
          <w:spacing w:val="2"/>
          <w:sz w:val="32"/>
          <w:szCs w:val="32"/>
          <w:highlight w:val="none"/>
          <w:lang w:eastAsia="zh-CN"/>
        </w:rPr>
        <w:t>与联合体对接业务，提高分配效率</w:t>
      </w:r>
      <w:r>
        <w:rPr>
          <w:rFonts w:hint="eastAsia" w:eastAsia="FangSong_GB2312"/>
          <w:spacing w:val="2"/>
          <w:sz w:val="32"/>
          <w:szCs w:val="32"/>
          <w:highlight w:val="none"/>
          <w:lang w:eastAsia="zh-CN"/>
        </w:rPr>
        <w:t>。</w:t>
      </w:r>
    </w:p>
    <w:p>
      <w:pPr>
        <w:numPr>
          <w:ilvl w:val="0"/>
          <w:numId w:val="1"/>
        </w:numPr>
        <w:spacing w:line="576" w:lineRule="exact"/>
        <w:ind w:firstLine="605" w:firstLineChars="18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实行“三个告知”制度：一是一次性告知业主单位送审缺件资料；二是告知从接件到出具评审报告各个环节时限；三是告知评审结果，先将结果反馈给业主单位，征求意见后，再出具评审报告</w:t>
      </w:r>
      <w:r>
        <w:rPr>
          <w:rFonts w:hint="eastAsia" w:eastAsia="FangSong_GB2312"/>
          <w:spacing w:val="2"/>
          <w:sz w:val="32"/>
          <w:szCs w:val="32"/>
          <w:highlight w:val="none"/>
          <w:lang w:eastAsia="zh-CN"/>
        </w:rPr>
        <w:t>。</w:t>
      </w:r>
    </w:p>
    <w:p>
      <w:pPr>
        <w:numPr>
          <w:ilvl w:val="0"/>
          <w:numId w:val="1"/>
        </w:numPr>
        <w:spacing w:line="576" w:lineRule="exact"/>
        <w:ind w:firstLine="605" w:firstLineChars="18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严格实行退回制度。对评审过程中无特殊原因变更工程设计、项目建设内容及在征求业主意见前未将资料补充完整的，区评审中心将以正式文件退回项目资料</w:t>
      </w:r>
      <w:r>
        <w:rPr>
          <w:rFonts w:hint="eastAsia" w:eastAsia="FangSong_GB2312"/>
          <w:spacing w:val="2"/>
          <w:sz w:val="32"/>
          <w:szCs w:val="32"/>
          <w:highlight w:val="none"/>
          <w:lang w:eastAsia="zh-CN"/>
        </w:rPr>
        <w:t>。</w:t>
      </w:r>
    </w:p>
    <w:p>
      <w:pPr>
        <w:numPr>
          <w:ilvl w:val="0"/>
          <w:numId w:val="1"/>
        </w:numPr>
        <w:spacing w:line="576" w:lineRule="exact"/>
        <w:ind w:firstLine="605" w:firstLineChars="18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对</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的评审结论采取聘请第三方专业中介机构复核、专业技术人员抽查式复审（采购类项目直接以</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评审结论为准，评审中心不再对其进行复审。工程类项目抽查复审项目数量不得低于项目总数的50%，抽查项目建设内容不得低于总建设内容的50%，10000万元以上的项目全面复审）、聘请专业技术人员成立会审组会审等方式进行</w:t>
      </w:r>
      <w:r>
        <w:rPr>
          <w:rFonts w:hint="eastAsia" w:ascii="Times New Roman" w:hAnsi="Times New Roman" w:eastAsia="FangSong_GB2312"/>
          <w:spacing w:val="2"/>
          <w:sz w:val="32"/>
          <w:szCs w:val="32"/>
          <w:highlight w:val="none"/>
          <w:lang w:eastAsia="zh-CN"/>
        </w:rPr>
        <w:t>复审</w:t>
      </w:r>
      <w:r>
        <w:rPr>
          <w:rFonts w:hint="eastAsia" w:eastAsia="FangSong_GB2312"/>
          <w:spacing w:val="2"/>
          <w:sz w:val="32"/>
          <w:szCs w:val="32"/>
          <w:highlight w:val="none"/>
          <w:lang w:eastAsia="zh-CN"/>
        </w:rPr>
        <w:t>。</w:t>
      </w:r>
    </w:p>
    <w:p>
      <w:pPr>
        <w:numPr>
          <w:ilvl w:val="0"/>
          <w:numId w:val="1"/>
        </w:numPr>
        <w:spacing w:line="576" w:lineRule="exact"/>
        <w:ind w:left="0" w:leftChars="0" w:firstLine="605" w:firstLineChars="187"/>
        <w:rPr>
          <w:rFonts w:ascii="Times New Roman" w:hAnsi="Times New Roman" w:eastAsia="FangSong_GB2312"/>
          <w:spacing w:val="2"/>
          <w:sz w:val="32"/>
          <w:szCs w:val="32"/>
          <w:highlight w:val="none"/>
        </w:rPr>
      </w:pPr>
      <w:r>
        <w:rPr>
          <w:rFonts w:ascii="Times New Roman" w:hAnsi="Times New Roman" w:eastAsia="FangSong_GB2312"/>
          <w:spacing w:val="2"/>
          <w:sz w:val="32"/>
          <w:szCs w:val="32"/>
          <w:highlight w:val="none"/>
        </w:rPr>
        <w:t>在规定的时间内完成投资评审工作任务，并编写评审</w:t>
      </w:r>
      <w:r>
        <w:rPr>
          <w:rFonts w:hint="eastAsia" w:ascii="Times New Roman" w:hAnsi="Times New Roman" w:eastAsia="FangSong_GB2312"/>
          <w:spacing w:val="2"/>
          <w:sz w:val="32"/>
          <w:szCs w:val="32"/>
          <w:highlight w:val="none"/>
          <w:lang w:eastAsia="zh-CN"/>
        </w:rPr>
        <w:t>文件</w:t>
      </w:r>
      <w:r>
        <w:rPr>
          <w:rFonts w:ascii="Times New Roman" w:hAnsi="Times New Roman" w:eastAsia="FangSong_GB2312"/>
          <w:spacing w:val="2"/>
          <w:sz w:val="32"/>
          <w:szCs w:val="32"/>
          <w:highlight w:val="none"/>
        </w:rPr>
        <w:t>送被评审单位和区财政局</w:t>
      </w:r>
      <w:r>
        <w:rPr>
          <w:rFonts w:hint="eastAsia" w:ascii="Times New Roman" w:hAnsi="Times New Roman" w:eastAsia="FangSong_GB2312"/>
          <w:spacing w:val="2"/>
          <w:sz w:val="32"/>
          <w:szCs w:val="32"/>
          <w:highlight w:val="none"/>
          <w:lang w:eastAsia="zh-CN"/>
        </w:rPr>
        <w:t>。</w:t>
      </w:r>
    </w:p>
    <w:p>
      <w:pPr>
        <w:spacing w:line="560" w:lineRule="exact"/>
        <w:ind w:firstLine="638" w:firstLineChars="197"/>
        <w:rPr>
          <w:rFonts w:ascii="Times New Roman" w:hAnsi="Times New Roman" w:eastAsia="FangSong_GB2312"/>
          <w:spacing w:val="2"/>
          <w:sz w:val="32"/>
          <w:szCs w:val="32"/>
          <w:highlight w:val="none"/>
        </w:rPr>
      </w:pPr>
      <w:r>
        <w:rPr>
          <w:rFonts w:hint="eastAsia" w:ascii="Times New Roman" w:hAnsi="Times New Roman" w:eastAsia="FangSong_GB2312"/>
          <w:spacing w:val="2"/>
          <w:sz w:val="32"/>
          <w:szCs w:val="32"/>
          <w:highlight w:val="none"/>
          <w:lang w:eastAsia="zh-CN"/>
        </w:rPr>
        <w:t>（七）严格执行“无预算不财评”制度：要求建设单位提供送审项目资金来源相关依据，不属于</w:t>
      </w:r>
      <w:r>
        <w:rPr>
          <w:rFonts w:ascii="Times New Roman" w:hAnsi="Times New Roman" w:eastAsia="FangSong_GB2312"/>
          <w:spacing w:val="2"/>
          <w:sz w:val="32"/>
          <w:szCs w:val="32"/>
          <w:highlight w:val="none"/>
        </w:rPr>
        <w:t>财政预算内资金安排</w:t>
      </w:r>
      <w:r>
        <w:rPr>
          <w:rFonts w:hint="eastAsia" w:ascii="Times New Roman" w:hAnsi="Times New Roman" w:eastAsia="FangSong_GB2312"/>
          <w:spacing w:val="2"/>
          <w:sz w:val="32"/>
          <w:szCs w:val="32"/>
          <w:highlight w:val="none"/>
          <w:lang w:eastAsia="zh-CN"/>
        </w:rPr>
        <w:t>、</w:t>
      </w:r>
      <w:r>
        <w:rPr>
          <w:rFonts w:ascii="Times New Roman" w:hAnsi="Times New Roman" w:eastAsia="FangSong_GB2312"/>
          <w:spacing w:val="2"/>
          <w:sz w:val="32"/>
          <w:szCs w:val="32"/>
          <w:highlight w:val="none"/>
        </w:rPr>
        <w:t>政府性融资安</w:t>
      </w:r>
      <w:r>
        <w:rPr>
          <w:rFonts w:hint="eastAsia" w:ascii="Times New Roman" w:hAnsi="Times New Roman" w:eastAsia="FangSong_GB2312"/>
          <w:spacing w:val="2"/>
          <w:sz w:val="32"/>
          <w:szCs w:val="32"/>
          <w:highlight w:val="none"/>
          <w:lang w:eastAsia="zh-CN"/>
        </w:rPr>
        <w:t>排或</w:t>
      </w:r>
      <w:r>
        <w:rPr>
          <w:rFonts w:ascii="Times New Roman" w:hAnsi="Times New Roman" w:eastAsia="FangSong_GB2312"/>
          <w:spacing w:val="2"/>
          <w:sz w:val="32"/>
          <w:szCs w:val="32"/>
          <w:highlight w:val="none"/>
        </w:rPr>
        <w:t>其他财政性资金安排的项目</w:t>
      </w:r>
      <w:r>
        <w:rPr>
          <w:rFonts w:hint="eastAsia" w:ascii="Times New Roman" w:hAnsi="Times New Roman" w:eastAsia="FangSong_GB2312"/>
          <w:spacing w:val="2"/>
          <w:sz w:val="32"/>
          <w:szCs w:val="32"/>
          <w:highlight w:val="none"/>
          <w:lang w:eastAsia="zh-CN"/>
        </w:rPr>
        <w:t>不进行财政评审。</w:t>
      </w:r>
    </w:p>
    <w:p>
      <w:pPr>
        <w:spacing w:line="576" w:lineRule="exact"/>
        <w:ind w:firstLine="648" w:firstLineChars="200"/>
        <w:rPr>
          <w:rFonts w:hint="eastAsia" w:ascii="Times New Roman" w:hAnsi="Times New Roman" w:eastAsia="FangSong_GB2312"/>
          <w:spacing w:val="2"/>
          <w:sz w:val="32"/>
          <w:szCs w:val="32"/>
          <w:lang w:eastAsia="zh-CN"/>
        </w:rPr>
      </w:pPr>
      <w:r>
        <w:rPr>
          <w:rFonts w:ascii="Times New Roman" w:hAnsi="Times New Roman" w:eastAsia="FangSong_GB2312"/>
          <w:spacing w:val="2"/>
          <w:sz w:val="32"/>
          <w:szCs w:val="32"/>
        </w:rPr>
        <w:t>（</w:t>
      </w:r>
      <w:r>
        <w:rPr>
          <w:rFonts w:hint="eastAsia" w:ascii="Times New Roman" w:hAnsi="Times New Roman" w:eastAsia="FangSong_GB2312"/>
          <w:spacing w:val="2"/>
          <w:sz w:val="32"/>
          <w:szCs w:val="32"/>
          <w:lang w:eastAsia="zh-CN"/>
        </w:rPr>
        <w:t>八</w:t>
      </w:r>
      <w:r>
        <w:rPr>
          <w:rFonts w:ascii="Times New Roman" w:hAnsi="Times New Roman" w:eastAsia="FangSong_GB2312"/>
          <w:spacing w:val="2"/>
          <w:sz w:val="32"/>
          <w:szCs w:val="32"/>
        </w:rPr>
        <w:t>）加强</w:t>
      </w:r>
      <w:r>
        <w:rPr>
          <w:rFonts w:hint="eastAsia" w:ascii="Times New Roman" w:hAnsi="Times New Roman" w:eastAsia="FangSong_GB2312"/>
          <w:spacing w:val="2"/>
          <w:sz w:val="32"/>
          <w:szCs w:val="32"/>
          <w:lang w:eastAsia="zh-CN"/>
        </w:rPr>
        <w:t>联合体</w:t>
      </w:r>
      <w:r>
        <w:rPr>
          <w:rFonts w:ascii="Times New Roman" w:hAnsi="Times New Roman" w:eastAsia="FangSong_GB2312"/>
          <w:spacing w:val="2"/>
          <w:sz w:val="32"/>
          <w:szCs w:val="32"/>
        </w:rPr>
        <w:t>管理，负责协调</w:t>
      </w:r>
      <w:r>
        <w:rPr>
          <w:rFonts w:hint="eastAsia" w:ascii="Times New Roman" w:hAnsi="Times New Roman" w:eastAsia="FangSong_GB2312"/>
          <w:spacing w:val="2"/>
          <w:sz w:val="32"/>
          <w:szCs w:val="32"/>
          <w:lang w:eastAsia="zh-CN"/>
        </w:rPr>
        <w:t>联合体</w:t>
      </w:r>
      <w:r>
        <w:rPr>
          <w:rFonts w:ascii="Times New Roman" w:hAnsi="Times New Roman" w:eastAsia="FangSong_GB2312"/>
          <w:spacing w:val="2"/>
          <w:sz w:val="32"/>
          <w:szCs w:val="32"/>
        </w:rPr>
        <w:t>与项目建设单位就评审业务事项的沟通，负责监督</w:t>
      </w:r>
      <w:r>
        <w:rPr>
          <w:rFonts w:hint="eastAsia" w:ascii="Times New Roman" w:hAnsi="Times New Roman" w:eastAsia="FangSong_GB2312"/>
          <w:spacing w:val="2"/>
          <w:sz w:val="32"/>
          <w:szCs w:val="32"/>
          <w:lang w:eastAsia="zh-CN"/>
        </w:rPr>
        <w:t>联合体</w:t>
      </w:r>
      <w:r>
        <w:rPr>
          <w:rFonts w:ascii="Times New Roman" w:hAnsi="Times New Roman" w:eastAsia="FangSong_GB2312"/>
          <w:spacing w:val="2"/>
          <w:sz w:val="32"/>
          <w:szCs w:val="32"/>
        </w:rPr>
        <w:t>对评审现场的踏勘</w:t>
      </w:r>
      <w:r>
        <w:rPr>
          <w:rFonts w:hint="eastAsia" w:ascii="Times New Roman" w:hAnsi="Times New Roman" w:eastAsia="FangSong_GB2312"/>
          <w:spacing w:val="2"/>
          <w:sz w:val="32"/>
          <w:szCs w:val="32"/>
          <w:lang w:eastAsia="zh-CN"/>
        </w:rPr>
        <w:t>。</w:t>
      </w:r>
    </w:p>
    <w:p>
      <w:pPr>
        <w:spacing w:line="576" w:lineRule="exact"/>
        <w:rPr>
          <w:rFonts w:ascii="Times New Roman" w:hAnsi="Times New Roman" w:eastAsia="FangSong_GB2312"/>
          <w:spacing w:val="2"/>
          <w:sz w:val="32"/>
          <w:szCs w:val="32"/>
          <w:highlight w:val="none"/>
        </w:rPr>
      </w:pPr>
      <w:r>
        <w:rPr>
          <w:rFonts w:ascii="Times New Roman" w:hAnsi="Times New Roman" w:eastAsia="FangSong_GB2312"/>
          <w:spacing w:val="2"/>
          <w:sz w:val="32"/>
          <w:szCs w:val="32"/>
        </w:rPr>
        <w:t xml:space="preserve">    （</w:t>
      </w:r>
      <w:r>
        <w:rPr>
          <w:rFonts w:hint="eastAsia" w:ascii="Times New Roman" w:hAnsi="Times New Roman" w:eastAsia="FangSong_GB2312"/>
          <w:spacing w:val="2"/>
          <w:sz w:val="32"/>
          <w:szCs w:val="32"/>
          <w:lang w:eastAsia="zh-CN"/>
        </w:rPr>
        <w:t>九</w:t>
      </w:r>
      <w:r>
        <w:rPr>
          <w:rFonts w:ascii="Times New Roman" w:hAnsi="Times New Roman" w:eastAsia="FangSong_GB2312"/>
          <w:spacing w:val="2"/>
          <w:sz w:val="32"/>
          <w:szCs w:val="32"/>
          <w:highlight w:val="none"/>
        </w:rPr>
        <w:t>）评审中心应建立严格的评审项目台账管理制度和档案管理制度，完整、准确、真实地反映和记录项目评审的情况，做好各类资料的归集、存档和保管工作。</w:t>
      </w:r>
    </w:p>
    <w:p>
      <w:pPr>
        <w:spacing w:line="576" w:lineRule="exact"/>
        <w:rPr>
          <w:rFonts w:ascii="Times New Roman" w:hAnsi="Times New Roman" w:eastAsia="黑体"/>
          <w:spacing w:val="2"/>
          <w:sz w:val="32"/>
          <w:szCs w:val="32"/>
          <w:highlight w:val="none"/>
        </w:rPr>
      </w:pPr>
    </w:p>
    <w:p>
      <w:pPr>
        <w:spacing w:line="576" w:lineRule="exact"/>
        <w:jc w:val="center"/>
        <w:rPr>
          <w:rFonts w:ascii="Times New Roman" w:hAnsi="Times New Roman" w:eastAsia="方正小标宋简体"/>
          <w:spacing w:val="2"/>
          <w:sz w:val="32"/>
          <w:szCs w:val="32"/>
          <w:highlight w:val="none"/>
        </w:rPr>
      </w:pPr>
      <w:r>
        <w:rPr>
          <w:rFonts w:ascii="Times New Roman" w:hAnsi="Times New Roman" w:eastAsia="黑体"/>
          <w:spacing w:val="2"/>
          <w:sz w:val="32"/>
          <w:szCs w:val="32"/>
          <w:highlight w:val="none"/>
        </w:rPr>
        <w:t>第六章  项目建设单位的职责</w:t>
      </w:r>
    </w:p>
    <w:p>
      <w:pPr>
        <w:spacing w:line="576" w:lineRule="exact"/>
        <w:ind w:firstLine="720"/>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第十一条</w:t>
      </w:r>
      <w:r>
        <w:rPr>
          <w:rFonts w:ascii="Times New Roman" w:hAnsi="Times New Roman" w:eastAsia="FangSong_GB2312"/>
          <w:spacing w:val="2"/>
          <w:sz w:val="32"/>
          <w:szCs w:val="32"/>
          <w:highlight w:val="none"/>
        </w:rPr>
        <w:t>　项目建设单位在委托评审中心对建设项目进行评审的过程中，应当履行下列职责：</w:t>
      </w:r>
    </w:p>
    <w:p>
      <w:pPr>
        <w:spacing w:line="576" w:lineRule="exact"/>
        <w:ind w:firstLine="540"/>
        <w:rPr>
          <w:rFonts w:hint="eastAsia" w:ascii="Times New Roman" w:hAnsi="Times New Roman" w:eastAsia="FangSong_GB2312"/>
          <w:strike/>
          <w:spacing w:val="2"/>
          <w:sz w:val="32"/>
          <w:szCs w:val="32"/>
          <w:highlight w:val="none"/>
          <w:lang w:eastAsia="zh-CN"/>
        </w:rPr>
      </w:pPr>
      <w:r>
        <w:rPr>
          <w:rFonts w:ascii="Times New Roman" w:hAnsi="Times New Roman" w:eastAsia="FangSong_GB2312"/>
          <w:spacing w:val="2"/>
          <w:sz w:val="32"/>
          <w:szCs w:val="32"/>
          <w:highlight w:val="none"/>
        </w:rPr>
        <w:t>（一）</w:t>
      </w:r>
      <w:r>
        <w:rPr>
          <w:rFonts w:hint="eastAsia" w:ascii="Times New Roman" w:hAnsi="Times New Roman" w:eastAsia="FangSong_GB2312"/>
          <w:spacing w:val="2"/>
          <w:sz w:val="32"/>
          <w:szCs w:val="32"/>
          <w:highlight w:val="none"/>
          <w:lang w:eastAsia="zh-CN"/>
        </w:rPr>
        <w:t>从早从快</w:t>
      </w:r>
      <w:r>
        <w:rPr>
          <w:rFonts w:ascii="Times New Roman" w:hAnsi="Times New Roman" w:eastAsia="FangSong_GB2312"/>
          <w:spacing w:val="2"/>
          <w:sz w:val="32"/>
          <w:szCs w:val="32"/>
          <w:highlight w:val="none"/>
        </w:rPr>
        <w:t>从严</w:t>
      </w:r>
      <w:r>
        <w:rPr>
          <w:rFonts w:hint="eastAsia" w:ascii="Times New Roman" w:hAnsi="Times New Roman" w:eastAsia="FangSong_GB2312"/>
          <w:spacing w:val="2"/>
          <w:sz w:val="32"/>
          <w:szCs w:val="32"/>
          <w:highlight w:val="none"/>
          <w:lang w:eastAsia="zh-CN"/>
        </w:rPr>
        <w:t>报送项目资料，</w:t>
      </w:r>
      <w:r>
        <w:rPr>
          <w:rFonts w:ascii="Times New Roman" w:hAnsi="Times New Roman" w:eastAsia="FangSong_GB2312"/>
          <w:spacing w:val="2"/>
          <w:sz w:val="32"/>
          <w:szCs w:val="32"/>
          <w:highlight w:val="none"/>
        </w:rPr>
        <w:t>并向评审中心提供投资评审所需相关资料（</w:t>
      </w:r>
      <w:r>
        <w:rPr>
          <w:rFonts w:hint="eastAsia" w:ascii="Times New Roman" w:hAnsi="Times New Roman" w:eastAsia="FangSong_GB2312"/>
          <w:spacing w:val="2"/>
          <w:sz w:val="32"/>
          <w:szCs w:val="32"/>
          <w:highlight w:val="none"/>
          <w:lang w:eastAsia="zh-CN"/>
        </w:rPr>
        <w:t>具体资料详见第三章</w:t>
      </w:r>
      <w:r>
        <w:rPr>
          <w:rFonts w:ascii="Times New Roman" w:hAnsi="Times New Roman" w:eastAsia="FangSong_GB2312"/>
          <w:spacing w:val="2"/>
          <w:sz w:val="32"/>
          <w:szCs w:val="32"/>
          <w:highlight w:val="none"/>
        </w:rPr>
        <w:t>），并对所提供资料的真实性、合法性、完整性负责，所提供的资料不完整的，应补充完善后再交付评审中心</w:t>
      </w:r>
      <w:r>
        <w:rPr>
          <w:rFonts w:hint="eastAsia" w:eastAsia="FangSong_GB2312"/>
          <w:spacing w:val="2"/>
          <w:sz w:val="32"/>
          <w:szCs w:val="32"/>
          <w:highlight w:val="none"/>
          <w:lang w:eastAsia="zh-CN"/>
        </w:rPr>
        <w:t>。</w:t>
      </w:r>
    </w:p>
    <w:p>
      <w:pPr>
        <w:spacing w:line="576" w:lineRule="exact"/>
        <w:ind w:firstLine="540"/>
        <w:rPr>
          <w:rFonts w:ascii="Times New Roman" w:hAnsi="Times New Roman" w:eastAsia="FangSong_GB2312"/>
          <w:spacing w:val="2"/>
          <w:sz w:val="32"/>
          <w:szCs w:val="32"/>
        </w:rPr>
      </w:pPr>
      <w:r>
        <w:rPr>
          <w:rFonts w:ascii="Times New Roman" w:hAnsi="Times New Roman" w:eastAsia="FangSong_GB2312"/>
          <w:spacing w:val="2"/>
          <w:sz w:val="32"/>
          <w:szCs w:val="32"/>
        </w:rPr>
        <w:t>（二）收到《评审核对记录》和《反馈意见表》后，须</w:t>
      </w:r>
      <w:r>
        <w:rPr>
          <w:rFonts w:hint="eastAsia" w:ascii="Times New Roman" w:hAnsi="Times New Roman" w:eastAsia="FangSong_GB2312"/>
          <w:spacing w:val="2"/>
          <w:sz w:val="32"/>
          <w:szCs w:val="32"/>
          <w:lang w:eastAsia="zh-CN"/>
        </w:rPr>
        <w:t>分别</w:t>
      </w:r>
      <w:r>
        <w:rPr>
          <w:rFonts w:ascii="Times New Roman" w:hAnsi="Times New Roman" w:eastAsia="FangSong_GB2312"/>
          <w:spacing w:val="2"/>
          <w:sz w:val="32"/>
          <w:szCs w:val="32"/>
        </w:rPr>
        <w:t>在2</w:t>
      </w:r>
      <w:r>
        <w:rPr>
          <w:rFonts w:hint="eastAsia" w:ascii="Times New Roman" w:hAnsi="Times New Roman" w:eastAsia="FangSong_GB2312"/>
          <w:spacing w:val="2"/>
          <w:sz w:val="32"/>
          <w:szCs w:val="32"/>
          <w:lang w:eastAsia="zh-CN"/>
        </w:rPr>
        <w:t>个</w:t>
      </w:r>
      <w:r>
        <w:rPr>
          <w:rFonts w:ascii="Times New Roman" w:hAnsi="Times New Roman" w:eastAsia="FangSong_GB2312"/>
          <w:spacing w:val="2"/>
          <w:sz w:val="32"/>
          <w:szCs w:val="32"/>
        </w:rPr>
        <w:t>工作日</w:t>
      </w:r>
      <w:r>
        <w:rPr>
          <w:rFonts w:hint="eastAsia" w:ascii="Times New Roman" w:hAnsi="Times New Roman" w:eastAsia="FangSong_GB2312"/>
          <w:spacing w:val="2"/>
          <w:sz w:val="32"/>
          <w:szCs w:val="32"/>
          <w:lang w:eastAsia="zh-CN"/>
        </w:rPr>
        <w:t>和</w:t>
      </w:r>
      <w:r>
        <w:rPr>
          <w:rFonts w:hint="eastAsia" w:ascii="Times New Roman" w:hAnsi="Times New Roman" w:eastAsia="FangSong_GB2312"/>
          <w:spacing w:val="2"/>
          <w:sz w:val="32"/>
          <w:szCs w:val="32"/>
          <w:lang w:val="en-US" w:eastAsia="zh-CN"/>
        </w:rPr>
        <w:t>3个工作日</w:t>
      </w:r>
      <w:r>
        <w:rPr>
          <w:rFonts w:ascii="Times New Roman" w:hAnsi="Times New Roman" w:eastAsia="FangSong_GB2312"/>
          <w:spacing w:val="2"/>
          <w:sz w:val="32"/>
          <w:szCs w:val="32"/>
        </w:rPr>
        <w:t>内进行回复，回复后不能再次变更或调整内容。2个工作日</w:t>
      </w:r>
      <w:r>
        <w:rPr>
          <w:rFonts w:hint="eastAsia" w:ascii="Times New Roman" w:hAnsi="Times New Roman" w:eastAsia="FangSong_GB2312"/>
          <w:spacing w:val="2"/>
          <w:sz w:val="32"/>
          <w:szCs w:val="32"/>
          <w:lang w:eastAsia="zh-CN"/>
        </w:rPr>
        <w:t>内</w:t>
      </w:r>
      <w:r>
        <w:rPr>
          <w:rFonts w:ascii="Times New Roman" w:hAnsi="Times New Roman" w:eastAsia="FangSong_GB2312"/>
          <w:spacing w:val="2"/>
          <w:sz w:val="32"/>
          <w:szCs w:val="32"/>
        </w:rPr>
        <w:t>不回复《评审核对记录》</w:t>
      </w:r>
      <w:r>
        <w:rPr>
          <w:rFonts w:hint="eastAsia" w:ascii="Times New Roman" w:hAnsi="Times New Roman" w:eastAsia="FangSong_GB2312"/>
          <w:spacing w:val="2"/>
          <w:sz w:val="32"/>
          <w:szCs w:val="32"/>
          <w:lang w:eastAsia="zh-CN"/>
        </w:rPr>
        <w:t>的，</w:t>
      </w:r>
      <w:r>
        <w:rPr>
          <w:rFonts w:ascii="Times New Roman" w:hAnsi="Times New Roman" w:eastAsia="FangSong_GB2312"/>
          <w:spacing w:val="2"/>
          <w:sz w:val="32"/>
          <w:szCs w:val="32"/>
        </w:rPr>
        <w:t>一律退回项目资料；</w:t>
      </w:r>
      <w:r>
        <w:rPr>
          <w:rFonts w:hint="eastAsia" w:ascii="Times New Roman" w:hAnsi="Times New Roman" w:eastAsia="FangSong_GB2312"/>
          <w:spacing w:val="2"/>
          <w:sz w:val="32"/>
          <w:szCs w:val="32"/>
          <w:lang w:eastAsia="zh-CN"/>
        </w:rPr>
        <w:t>3个工作日内不回复《反馈意见表》的，视为无意见。</w:t>
      </w:r>
    </w:p>
    <w:p>
      <w:pPr>
        <w:spacing w:line="576" w:lineRule="exact"/>
        <w:ind w:firstLine="540"/>
        <w:rPr>
          <w:rFonts w:ascii="Times New Roman" w:hAnsi="Times New Roman" w:eastAsia="FangSong_GB2312"/>
          <w:spacing w:val="2"/>
          <w:sz w:val="32"/>
          <w:szCs w:val="32"/>
        </w:rPr>
      </w:pPr>
      <w:r>
        <w:rPr>
          <w:rFonts w:ascii="Times New Roman" w:hAnsi="Times New Roman" w:eastAsia="FangSong_GB2312"/>
          <w:spacing w:val="2"/>
          <w:sz w:val="32"/>
          <w:szCs w:val="32"/>
        </w:rPr>
        <w:t>（三）不得擅自增加工程内容、扩大建设规模、提高建设标准。对于变更或调整内容大、反复变更或调整内容的、随意变更或调整内容的，区评审中心退回项目资料，报经政府审批并备齐资料后重新送审。</w:t>
      </w:r>
    </w:p>
    <w:p>
      <w:pPr>
        <w:spacing w:line="576" w:lineRule="exact"/>
        <w:ind w:firstLine="540"/>
        <w:rPr>
          <w:rFonts w:hint="eastAsia" w:ascii="Times New Roman" w:hAnsi="Times New Roman" w:eastAsia="FangSong_GB2312"/>
          <w:spacing w:val="2"/>
          <w:sz w:val="32"/>
          <w:szCs w:val="32"/>
          <w:highlight w:val="none"/>
        </w:rPr>
      </w:pPr>
      <w:r>
        <w:rPr>
          <w:rFonts w:ascii="Times New Roman" w:hAnsi="Times New Roman" w:eastAsia="FangSong_GB2312"/>
          <w:spacing w:val="2"/>
          <w:sz w:val="32"/>
          <w:szCs w:val="32"/>
        </w:rPr>
        <w:t>（四）项目建设单位应积极配合评审中心开展核实、取证等工作，对</w:t>
      </w:r>
      <w:r>
        <w:rPr>
          <w:rFonts w:ascii="Times New Roman" w:hAnsi="Times New Roman" w:eastAsia="FangSong_GB2312"/>
          <w:spacing w:val="2"/>
          <w:sz w:val="32"/>
          <w:szCs w:val="32"/>
          <w:highlight w:val="none"/>
        </w:rPr>
        <w:t>拒不配合或阻挠投资评审工作、提供虚假资料的，财政部门可根据情况暂缓下达基本建设预算或暂停拨付财政资金</w:t>
      </w:r>
      <w:r>
        <w:rPr>
          <w:rFonts w:hint="eastAsia" w:ascii="Times New Roman" w:hAnsi="Times New Roman"/>
          <w:spacing w:val="2"/>
          <w:sz w:val="32"/>
          <w:szCs w:val="32"/>
          <w:highlight w:val="none"/>
        </w:rPr>
        <w:t>，</w:t>
      </w:r>
      <w:r>
        <w:rPr>
          <w:rFonts w:hint="eastAsia" w:ascii="Times New Roman" w:hAnsi="Times New Roman" w:eastAsia="FangSong_GB2312"/>
          <w:spacing w:val="2"/>
          <w:sz w:val="32"/>
          <w:szCs w:val="32"/>
          <w:highlight w:val="none"/>
        </w:rPr>
        <w:t>符合移送条件的将移送相关部门处理。</w:t>
      </w:r>
    </w:p>
    <w:p>
      <w:pPr>
        <w:spacing w:line="576" w:lineRule="exact"/>
        <w:ind w:firstLine="540"/>
        <w:rPr>
          <w:rFonts w:hint="eastAsia" w:ascii="Times New Roman" w:hAnsi="Times New Roman" w:eastAsia="FangSong_GB2312"/>
          <w:spacing w:val="2"/>
          <w:sz w:val="32"/>
          <w:szCs w:val="32"/>
          <w:highlight w:val="none"/>
          <w:lang w:eastAsia="zh-CN"/>
        </w:rPr>
      </w:pPr>
      <w:r>
        <w:rPr>
          <w:rFonts w:hint="eastAsia" w:ascii="Times New Roman" w:hAnsi="Times New Roman" w:eastAsia="FangSong_GB2312"/>
          <w:spacing w:val="2"/>
          <w:sz w:val="32"/>
          <w:szCs w:val="32"/>
          <w:highlight w:val="none"/>
          <w:lang w:eastAsia="zh-CN"/>
        </w:rPr>
        <w:t>（五）项目建设单位应主动将反映评审结果的反馈意见表内容告知行政主管部门，经主管部门同意后方可送评审中心；部分项目存在特殊情况需要向评审中心做出书面说明的，其行政主管部门应当在说明上签署意见并盖章。</w:t>
      </w:r>
    </w:p>
    <w:p>
      <w:pPr>
        <w:spacing w:line="576" w:lineRule="exact"/>
        <w:ind w:firstLine="651" w:firstLineChars="200"/>
        <w:rPr>
          <w:rFonts w:ascii="Times New Roman" w:hAnsi="Times New Roman" w:eastAsia="楷体_GB2312"/>
          <w:spacing w:val="2"/>
          <w:sz w:val="32"/>
          <w:szCs w:val="32"/>
          <w:highlight w:val="none"/>
        </w:rPr>
      </w:pPr>
      <w:r>
        <w:rPr>
          <w:rFonts w:ascii="Times New Roman" w:hAnsi="Times New Roman" w:eastAsia="楷体_GB2312"/>
          <w:b/>
          <w:bCs/>
          <w:spacing w:val="2"/>
          <w:sz w:val="32"/>
          <w:szCs w:val="32"/>
          <w:highlight w:val="none"/>
        </w:rPr>
        <w:t>第十二条</w:t>
      </w:r>
      <w:r>
        <w:rPr>
          <w:rFonts w:ascii="Times New Roman" w:hAnsi="Times New Roman"/>
          <w:sz w:val="32"/>
          <w:szCs w:val="32"/>
          <w:highlight w:val="none"/>
        </w:rPr>
        <w:t xml:space="preserve">  </w:t>
      </w:r>
      <w:r>
        <w:rPr>
          <w:rFonts w:hint="eastAsia" w:ascii="Times New Roman" w:hAnsi="Times New Roman" w:eastAsia="FangSong_GB2312"/>
          <w:spacing w:val="2"/>
          <w:sz w:val="32"/>
          <w:szCs w:val="32"/>
          <w:highlight w:val="none"/>
          <w:lang w:eastAsia="zh-CN"/>
        </w:rPr>
        <w:t>建设单位不应将评审结果附带的工程量清单作为工程招标的依据，必须委托造价咨询机构负责编制，并承担相应责任</w:t>
      </w:r>
      <w:r>
        <w:rPr>
          <w:rFonts w:ascii="Times New Roman" w:hAnsi="Times New Roman" w:eastAsia="FangSong_GB2312"/>
          <w:spacing w:val="2"/>
          <w:sz w:val="32"/>
          <w:szCs w:val="32"/>
          <w:highlight w:val="none"/>
        </w:rPr>
        <w:t>。</w:t>
      </w:r>
      <w:r>
        <w:rPr>
          <w:rFonts w:ascii="Times New Roman" w:hAnsi="Times New Roman" w:eastAsia="楷体"/>
          <w:spacing w:val="2"/>
          <w:sz w:val="32"/>
          <w:szCs w:val="32"/>
          <w:highlight w:val="none"/>
        </w:rPr>
        <w:t xml:space="preserve"> </w:t>
      </w:r>
    </w:p>
    <w:p>
      <w:pPr>
        <w:pStyle w:val="2"/>
        <w:rPr>
          <w:rFonts w:hint="eastAsia"/>
          <w:lang w:eastAsia="zh-CN"/>
        </w:rPr>
      </w:pPr>
    </w:p>
    <w:p>
      <w:pPr>
        <w:spacing w:line="576" w:lineRule="exact"/>
        <w:ind w:firstLine="540"/>
        <w:rPr>
          <w:rFonts w:hint="eastAsia" w:ascii="Times New Roman" w:hAnsi="Times New Roman" w:eastAsia="FangSong_GB2312"/>
          <w:spacing w:val="2"/>
          <w:sz w:val="32"/>
          <w:szCs w:val="32"/>
          <w:highlight w:val="none"/>
          <w:lang w:eastAsia="zh-CN"/>
        </w:rPr>
      </w:pPr>
    </w:p>
    <w:p>
      <w:pPr>
        <w:spacing w:line="576" w:lineRule="exact"/>
        <w:jc w:val="center"/>
        <w:rPr>
          <w:rFonts w:ascii="Times New Roman" w:hAnsi="Times New Roman" w:eastAsia="黑体"/>
          <w:spacing w:val="2"/>
          <w:sz w:val="32"/>
          <w:szCs w:val="32"/>
          <w:highlight w:val="none"/>
        </w:rPr>
      </w:pPr>
      <w:r>
        <w:rPr>
          <w:rFonts w:ascii="Times New Roman" w:hAnsi="Times New Roman" w:eastAsia="黑体"/>
          <w:spacing w:val="2"/>
          <w:sz w:val="32"/>
          <w:szCs w:val="32"/>
          <w:highlight w:val="none"/>
        </w:rPr>
        <w:t xml:space="preserve">第七章  </w:t>
      </w:r>
      <w:r>
        <w:rPr>
          <w:rFonts w:hint="eastAsia" w:ascii="Times New Roman" w:hAnsi="Times New Roman" w:eastAsia="黑体"/>
          <w:spacing w:val="2"/>
          <w:sz w:val="32"/>
          <w:szCs w:val="32"/>
          <w:highlight w:val="none"/>
          <w:lang w:eastAsia="zh-CN"/>
        </w:rPr>
        <w:t>联合体</w:t>
      </w:r>
      <w:r>
        <w:rPr>
          <w:rFonts w:ascii="Times New Roman" w:hAnsi="Times New Roman" w:eastAsia="黑体"/>
          <w:spacing w:val="2"/>
          <w:sz w:val="32"/>
          <w:szCs w:val="32"/>
          <w:highlight w:val="none"/>
        </w:rPr>
        <w:t>监管</w:t>
      </w:r>
    </w:p>
    <w:p>
      <w:pPr>
        <w:spacing w:line="576" w:lineRule="exact"/>
        <w:ind w:firstLine="651" w:firstLineChars="200"/>
        <w:rPr>
          <w:rFonts w:ascii="Times New Roman" w:hAnsi="Times New Roman" w:eastAsia="楷体_GB2312"/>
          <w:spacing w:val="2"/>
          <w:sz w:val="32"/>
          <w:szCs w:val="32"/>
          <w:highlight w:val="none"/>
        </w:rPr>
      </w:pPr>
      <w:r>
        <w:rPr>
          <w:rFonts w:ascii="Times New Roman" w:hAnsi="Times New Roman" w:eastAsia="楷体_GB2312"/>
          <w:b/>
          <w:bCs/>
          <w:spacing w:val="2"/>
          <w:sz w:val="32"/>
          <w:szCs w:val="32"/>
          <w:highlight w:val="none"/>
        </w:rPr>
        <w:t>第十</w:t>
      </w:r>
      <w:r>
        <w:rPr>
          <w:rFonts w:hint="eastAsia" w:eastAsia="楷体_GB2312"/>
          <w:b/>
          <w:bCs/>
          <w:spacing w:val="2"/>
          <w:sz w:val="32"/>
          <w:szCs w:val="32"/>
          <w:highlight w:val="none"/>
          <w:lang w:eastAsia="zh-CN"/>
        </w:rPr>
        <w:t>三</w:t>
      </w:r>
      <w:r>
        <w:rPr>
          <w:rFonts w:ascii="Times New Roman" w:hAnsi="Times New Roman" w:eastAsia="楷体_GB2312"/>
          <w:b/>
          <w:bCs/>
          <w:spacing w:val="2"/>
          <w:sz w:val="32"/>
          <w:szCs w:val="32"/>
          <w:highlight w:val="none"/>
        </w:rPr>
        <w:t>条</w:t>
      </w:r>
      <w:r>
        <w:rPr>
          <w:rFonts w:ascii="Times New Roman" w:hAnsi="Times New Roman"/>
          <w:sz w:val="32"/>
          <w:szCs w:val="32"/>
          <w:highlight w:val="none"/>
        </w:rPr>
        <w:t xml:space="preserve">  </w:t>
      </w:r>
      <w:r>
        <w:rPr>
          <w:rFonts w:hint="eastAsia" w:ascii="Times New Roman" w:hAnsi="Times New Roman" w:eastAsia="FangSong_GB2312"/>
          <w:spacing w:val="2"/>
          <w:sz w:val="32"/>
          <w:szCs w:val="32"/>
          <w:highlight w:val="none"/>
          <w:lang w:eastAsia="zh-CN"/>
        </w:rPr>
        <w:t>联合体应</w:t>
      </w:r>
      <w:r>
        <w:rPr>
          <w:rFonts w:ascii="Times New Roman" w:hAnsi="Times New Roman" w:eastAsia="FangSong_GB2312"/>
          <w:spacing w:val="2"/>
          <w:sz w:val="32"/>
          <w:szCs w:val="32"/>
          <w:highlight w:val="none"/>
        </w:rPr>
        <w:t>以服务质量为主要条件按考核情况</w:t>
      </w:r>
      <w:r>
        <w:rPr>
          <w:rFonts w:hint="eastAsia" w:ascii="Times New Roman" w:hAnsi="Times New Roman" w:eastAsia="FangSong_GB2312"/>
          <w:spacing w:val="2"/>
          <w:sz w:val="32"/>
          <w:szCs w:val="32"/>
          <w:highlight w:val="none"/>
          <w:lang w:eastAsia="zh-CN"/>
        </w:rPr>
        <w:t>决定合同续签事项</w:t>
      </w:r>
      <w:r>
        <w:rPr>
          <w:rFonts w:ascii="Times New Roman" w:hAnsi="Times New Roman" w:eastAsia="FangSong_GB2312"/>
          <w:spacing w:val="2"/>
          <w:sz w:val="32"/>
          <w:szCs w:val="32"/>
          <w:highlight w:val="none"/>
        </w:rPr>
        <w:t>。</w:t>
      </w:r>
      <w:r>
        <w:rPr>
          <w:rFonts w:ascii="Times New Roman" w:hAnsi="Times New Roman" w:eastAsia="楷体"/>
          <w:spacing w:val="2"/>
          <w:sz w:val="32"/>
          <w:szCs w:val="32"/>
          <w:highlight w:val="none"/>
        </w:rPr>
        <w:t xml:space="preserve"> </w:t>
      </w:r>
    </w:p>
    <w:p>
      <w:pPr>
        <w:spacing w:line="576" w:lineRule="exact"/>
        <w:ind w:firstLine="651" w:firstLineChars="200"/>
        <w:rPr>
          <w:rFonts w:hint="eastAsia" w:ascii="Times New Roman" w:hAnsi="Times New Roman" w:eastAsia="FangSong_GB2312" w:cs="Times New Roman"/>
          <w:spacing w:val="2"/>
          <w:sz w:val="32"/>
          <w:szCs w:val="32"/>
          <w:highlight w:val="none"/>
          <w:lang w:val="en-US" w:eastAsia="zh-CN"/>
        </w:rPr>
      </w:pPr>
      <w:r>
        <w:rPr>
          <w:rFonts w:ascii="Times New Roman" w:hAnsi="Times New Roman" w:eastAsia="楷体_GB2312"/>
          <w:b/>
          <w:bCs/>
          <w:spacing w:val="2"/>
          <w:sz w:val="32"/>
          <w:szCs w:val="32"/>
          <w:highlight w:val="none"/>
        </w:rPr>
        <w:t>第十</w:t>
      </w:r>
      <w:r>
        <w:rPr>
          <w:rFonts w:hint="eastAsia" w:eastAsia="楷体_GB2312"/>
          <w:b/>
          <w:bCs/>
          <w:spacing w:val="2"/>
          <w:sz w:val="32"/>
          <w:szCs w:val="32"/>
          <w:highlight w:val="none"/>
          <w:lang w:eastAsia="zh-CN"/>
        </w:rPr>
        <w:t>四</w:t>
      </w:r>
      <w:r>
        <w:rPr>
          <w:rFonts w:ascii="Times New Roman" w:hAnsi="Times New Roman" w:eastAsia="楷体_GB2312"/>
          <w:b/>
          <w:bCs/>
          <w:spacing w:val="2"/>
          <w:sz w:val="32"/>
          <w:szCs w:val="32"/>
          <w:highlight w:val="none"/>
        </w:rPr>
        <w:t>条</w:t>
      </w:r>
      <w:r>
        <w:rPr>
          <w:rFonts w:hint="eastAsia" w:ascii="Times New Roman" w:hAnsi="Times New Roman" w:eastAsia="楷体_GB2312"/>
          <w:b/>
          <w:bCs/>
          <w:spacing w:val="2"/>
          <w:sz w:val="32"/>
          <w:szCs w:val="32"/>
          <w:highlight w:val="none"/>
          <w:lang w:val="en-US" w:eastAsia="zh-CN"/>
        </w:rPr>
        <w:t xml:space="preserve"> </w:t>
      </w:r>
      <w:r>
        <w:rPr>
          <w:rFonts w:hint="eastAsia" w:ascii="Times New Roman" w:hAnsi="Times New Roman" w:eastAsia="FangSong_GB2312" w:cs="Times New Roman"/>
          <w:spacing w:val="2"/>
          <w:sz w:val="32"/>
          <w:szCs w:val="32"/>
          <w:highlight w:val="none"/>
          <w:lang w:val="en-US" w:eastAsia="zh-CN"/>
        </w:rPr>
        <w:t>联合体牵头单位应承担监督管理联合体内部成员责任，依照联合体签订的相关协议或内部管理办法进行业务分配；接到评审中心下达的整改通知书时，联合体牵头单位应立即响应并提出整改方案。</w:t>
      </w:r>
    </w:p>
    <w:p>
      <w:pPr>
        <w:spacing w:line="576" w:lineRule="exact"/>
        <w:ind w:firstLine="651" w:firstLineChars="200"/>
        <w:rPr>
          <w:rFonts w:ascii="Times New Roman" w:hAnsi="Times New Roman" w:eastAsia="FangSong_GB2312"/>
          <w:spacing w:val="2"/>
          <w:sz w:val="32"/>
          <w:szCs w:val="32"/>
        </w:rPr>
      </w:pPr>
      <w:r>
        <w:rPr>
          <w:rFonts w:ascii="Times New Roman" w:hAnsi="Times New Roman" w:eastAsia="楷体_GB2312"/>
          <w:b/>
          <w:bCs/>
          <w:spacing w:val="2"/>
          <w:sz w:val="32"/>
          <w:szCs w:val="32"/>
        </w:rPr>
        <w:t>第十</w:t>
      </w:r>
      <w:r>
        <w:rPr>
          <w:rFonts w:hint="eastAsia" w:eastAsia="楷体_GB2312"/>
          <w:b/>
          <w:bCs/>
          <w:spacing w:val="2"/>
          <w:sz w:val="32"/>
          <w:szCs w:val="32"/>
          <w:lang w:eastAsia="zh-CN"/>
        </w:rPr>
        <w:t>五</w:t>
      </w:r>
      <w:r>
        <w:rPr>
          <w:rFonts w:ascii="Times New Roman" w:hAnsi="Times New Roman" w:eastAsia="楷体_GB2312"/>
          <w:b/>
          <w:bCs/>
          <w:spacing w:val="2"/>
          <w:sz w:val="32"/>
          <w:szCs w:val="32"/>
        </w:rPr>
        <w:t>条</w:t>
      </w:r>
      <w:r>
        <w:rPr>
          <w:rFonts w:ascii="Times New Roman" w:hAnsi="Times New Roman" w:eastAsia="FangSong_GB2312"/>
          <w:spacing w:val="2"/>
          <w:sz w:val="32"/>
          <w:szCs w:val="32"/>
        </w:rPr>
        <w:t xml:space="preserve">  </w:t>
      </w:r>
      <w:r>
        <w:rPr>
          <w:rFonts w:hint="eastAsia" w:ascii="Times New Roman" w:hAnsi="Times New Roman" w:eastAsia="FangSong_GB2312"/>
          <w:spacing w:val="2"/>
          <w:sz w:val="32"/>
          <w:szCs w:val="32"/>
          <w:lang w:eastAsia="zh-CN"/>
        </w:rPr>
        <w:t>联合体</w:t>
      </w:r>
      <w:r>
        <w:rPr>
          <w:rFonts w:ascii="Times New Roman" w:hAnsi="Times New Roman" w:eastAsia="FangSong_GB2312"/>
          <w:spacing w:val="2"/>
          <w:sz w:val="32"/>
          <w:szCs w:val="32"/>
        </w:rPr>
        <w:t>应遵循独立、客观、公正的原则组织有资质的、执业业绩良好的工程造价专业技术人员，严格按照有关法律、法规规定以及计价规范、计价定额，依法开展招标控制价审核工作，并</w:t>
      </w:r>
      <w:r>
        <w:rPr>
          <w:rFonts w:hint="eastAsia" w:ascii="Times New Roman" w:hAnsi="Times New Roman" w:eastAsia="FangSong_GB2312"/>
          <w:spacing w:val="2"/>
          <w:sz w:val="32"/>
          <w:szCs w:val="32"/>
          <w:lang w:eastAsia="zh-CN"/>
        </w:rPr>
        <w:t>对评审结论的真实性、合法性、完整性负责</w:t>
      </w:r>
      <w:r>
        <w:rPr>
          <w:rFonts w:ascii="Times New Roman" w:hAnsi="Times New Roman" w:eastAsia="FangSong_GB2312"/>
          <w:spacing w:val="2"/>
          <w:sz w:val="32"/>
          <w:szCs w:val="32"/>
        </w:rPr>
        <w:t>。</w:t>
      </w:r>
    </w:p>
    <w:p>
      <w:pPr>
        <w:spacing w:line="576" w:lineRule="exact"/>
        <w:ind w:firstLine="651" w:firstLineChars="200"/>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rPr>
        <w:t>第十</w:t>
      </w:r>
      <w:r>
        <w:rPr>
          <w:rFonts w:hint="eastAsia" w:eastAsia="楷体_GB2312"/>
          <w:b/>
          <w:bCs/>
          <w:spacing w:val="2"/>
          <w:sz w:val="32"/>
          <w:szCs w:val="32"/>
          <w:lang w:eastAsia="zh-CN"/>
        </w:rPr>
        <w:t>六</w:t>
      </w:r>
      <w:r>
        <w:rPr>
          <w:rFonts w:ascii="Times New Roman" w:hAnsi="Times New Roman" w:eastAsia="楷体_GB2312"/>
          <w:b/>
          <w:bCs/>
          <w:spacing w:val="2"/>
          <w:sz w:val="32"/>
          <w:szCs w:val="32"/>
        </w:rPr>
        <w:t>条</w:t>
      </w:r>
      <w:r>
        <w:rPr>
          <w:rFonts w:ascii="Times New Roman" w:hAnsi="Times New Roman" w:eastAsia="楷体_GB2312"/>
          <w:b/>
          <w:bCs/>
          <w:i/>
          <w:iCs/>
          <w:color w:val="FF0000"/>
          <w:spacing w:val="2"/>
          <w:sz w:val="32"/>
          <w:szCs w:val="32"/>
        </w:rPr>
        <w:t xml:space="preserve"> </w:t>
      </w:r>
      <w:r>
        <w:rPr>
          <w:rFonts w:ascii="Times New Roman" w:hAnsi="Times New Roman" w:eastAsia="楷体_GB2312"/>
          <w:b/>
          <w:bCs/>
          <w:i/>
          <w:iCs/>
          <w:color w:val="FF0000"/>
          <w:spacing w:val="2"/>
          <w:sz w:val="32"/>
          <w:szCs w:val="32"/>
          <w:highlight w:val="none"/>
        </w:rPr>
        <w:t xml:space="preserve"> </w:t>
      </w:r>
      <w:r>
        <w:rPr>
          <w:rFonts w:hint="eastAsia" w:ascii="Times New Roman" w:hAnsi="Times New Roman" w:eastAsia="FangSong_GB2312" w:cs="Times New Roman"/>
          <w:spacing w:val="2"/>
          <w:sz w:val="32"/>
          <w:szCs w:val="32"/>
          <w:highlight w:val="none"/>
          <w:lang w:eastAsia="zh-CN"/>
        </w:rPr>
        <w:t>联合体应保证配备充足的人员负责我区项目评审</w:t>
      </w:r>
      <w:r>
        <w:rPr>
          <w:rFonts w:ascii="Times New Roman" w:hAnsi="Times New Roman" w:eastAsia="FangSong_GB2312" w:cs="Times New Roman"/>
          <w:spacing w:val="2"/>
          <w:sz w:val="32"/>
          <w:szCs w:val="32"/>
          <w:highlight w:val="none"/>
        </w:rPr>
        <w:t>，</w:t>
      </w:r>
      <w:r>
        <w:rPr>
          <w:rFonts w:ascii="Times New Roman" w:hAnsi="Times New Roman" w:eastAsia="FangSong_GB2312"/>
          <w:spacing w:val="2"/>
          <w:sz w:val="32"/>
          <w:szCs w:val="32"/>
          <w:highlight w:val="none"/>
        </w:rPr>
        <w:t>同时根据项目情况成立评审工作组开展评审工作。在评审项目过程中有较大分歧和争议问题的，应及时向评审中心反馈，不得擅自处理。</w:t>
      </w:r>
      <w:r>
        <w:rPr>
          <w:rFonts w:hint="eastAsia" w:ascii="Times New Roman" w:hAnsi="Times New Roman" w:eastAsia="FangSong_GB2312"/>
          <w:spacing w:val="2"/>
          <w:sz w:val="32"/>
          <w:szCs w:val="32"/>
          <w:highlight w:val="none"/>
          <w:lang w:eastAsia="zh-CN"/>
        </w:rPr>
        <w:t>联合体内各成员单位</w:t>
      </w:r>
      <w:r>
        <w:rPr>
          <w:rFonts w:ascii="Times New Roman" w:hAnsi="Times New Roman" w:eastAsia="FangSong_GB2312"/>
          <w:spacing w:val="2"/>
          <w:sz w:val="32"/>
          <w:szCs w:val="32"/>
          <w:highlight w:val="none"/>
        </w:rPr>
        <w:t>必须建立三级复审质量控制制度，并严格执行。</w:t>
      </w:r>
    </w:p>
    <w:p>
      <w:pPr>
        <w:spacing w:line="576" w:lineRule="exact"/>
        <w:ind w:firstLine="651" w:firstLineChars="200"/>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第十</w:t>
      </w:r>
      <w:r>
        <w:rPr>
          <w:rFonts w:hint="eastAsia" w:eastAsia="楷体_GB2312"/>
          <w:b/>
          <w:bCs/>
          <w:spacing w:val="2"/>
          <w:sz w:val="32"/>
          <w:szCs w:val="32"/>
          <w:highlight w:val="none"/>
          <w:lang w:eastAsia="zh-CN"/>
        </w:rPr>
        <w:t>七</w:t>
      </w:r>
      <w:r>
        <w:rPr>
          <w:rFonts w:ascii="Times New Roman" w:hAnsi="Times New Roman" w:eastAsia="楷体_GB2312"/>
          <w:b/>
          <w:bCs/>
          <w:spacing w:val="2"/>
          <w:sz w:val="32"/>
          <w:szCs w:val="32"/>
          <w:highlight w:val="none"/>
        </w:rPr>
        <w:t>条</w:t>
      </w:r>
      <w:r>
        <w:rPr>
          <w:rFonts w:ascii="Times New Roman" w:hAnsi="Times New Roman" w:eastAsia="FangSong_GB2312"/>
          <w:spacing w:val="2"/>
          <w:sz w:val="32"/>
          <w:szCs w:val="32"/>
          <w:highlight w:val="none"/>
        </w:rPr>
        <w:t xml:space="preserve">  </w:t>
      </w:r>
      <w:r>
        <w:rPr>
          <w:rFonts w:hint="eastAsia" w:ascii="Times New Roman" w:hAnsi="Times New Roman" w:eastAsia="FangSong_GB2312"/>
          <w:spacing w:val="2"/>
          <w:sz w:val="32"/>
          <w:szCs w:val="32"/>
          <w:highlight w:val="none"/>
          <w:lang w:eastAsia="zh-CN"/>
        </w:rPr>
        <w:t>联合体应确保在收到评审中心业务委托</w:t>
      </w:r>
      <w:r>
        <w:rPr>
          <w:rFonts w:hint="eastAsia" w:ascii="Times New Roman" w:hAnsi="Times New Roman" w:eastAsia="FangSong_GB2312"/>
          <w:spacing w:val="2"/>
          <w:sz w:val="32"/>
          <w:szCs w:val="32"/>
          <w:highlight w:val="none"/>
          <w:lang w:val="en-US" w:eastAsia="zh-CN"/>
        </w:rPr>
        <w:t>1个工作日内自备交通工具前往评审中心领取资料。</w:t>
      </w:r>
      <w:r>
        <w:rPr>
          <w:rFonts w:ascii="Times New Roman" w:hAnsi="Times New Roman" w:eastAsia="FangSong_GB2312"/>
          <w:spacing w:val="2"/>
          <w:sz w:val="32"/>
          <w:szCs w:val="32"/>
          <w:highlight w:val="none"/>
        </w:rPr>
        <w:t>评审期限从</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与评审中心办理项目评审资料交接手续的次日起，至</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将评审结果报评审中心审核之日止，如有特殊情况，需要延长评审期限的，</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应当以书面形式报评审中心研究后书面答复。</w:t>
      </w:r>
    </w:p>
    <w:p>
      <w:pPr>
        <w:spacing w:line="576" w:lineRule="exact"/>
        <w:ind w:firstLine="648" w:firstLineChars="200"/>
        <w:rPr>
          <w:rFonts w:hint="eastAsia" w:ascii="Times New Roman" w:hAnsi="Times New Roman" w:eastAsia="FangSong_GB2312"/>
          <w:spacing w:val="2"/>
          <w:sz w:val="32"/>
          <w:szCs w:val="32"/>
          <w:highlight w:val="none"/>
          <w:lang w:eastAsia="zh-CN"/>
        </w:rPr>
      </w:pP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应在以下规定的期限内完成项目评审工作</w:t>
      </w:r>
      <w:r>
        <w:rPr>
          <w:rFonts w:hint="eastAsia" w:ascii="Times New Roman" w:hAnsi="Times New Roman" w:eastAsia="FangSong_GB2312"/>
          <w:spacing w:val="2"/>
          <w:sz w:val="32"/>
          <w:szCs w:val="32"/>
          <w:highlight w:val="none"/>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5185"/>
        <w:gridCol w:w="1339"/>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5" w:type="dxa"/>
            <w:noWrap w:val="0"/>
            <w:vAlign w:val="center"/>
          </w:tcPr>
          <w:p>
            <w:pPr>
              <w:spacing w:line="240" w:lineRule="exact"/>
              <w:jc w:val="center"/>
              <w:rPr>
                <w:rFonts w:ascii="Times New Roman" w:hAnsi="Times New Roman"/>
                <w:szCs w:val="21"/>
              </w:rPr>
            </w:pPr>
            <w:r>
              <w:rPr>
                <w:rFonts w:ascii="Times New Roman" w:hAnsi="Times New Roman"/>
                <w:szCs w:val="21"/>
              </w:rPr>
              <w:t>序号</w:t>
            </w:r>
          </w:p>
        </w:tc>
        <w:tc>
          <w:tcPr>
            <w:tcW w:w="5185" w:type="dxa"/>
            <w:noWrap w:val="0"/>
            <w:vAlign w:val="center"/>
          </w:tcPr>
          <w:p>
            <w:pPr>
              <w:spacing w:line="240" w:lineRule="exact"/>
              <w:ind w:firstLine="420" w:firstLineChars="200"/>
              <w:jc w:val="center"/>
              <w:rPr>
                <w:rFonts w:ascii="Times New Roman" w:hAnsi="Times New Roman"/>
                <w:szCs w:val="21"/>
              </w:rPr>
            </w:pPr>
            <w:r>
              <w:rPr>
                <w:rFonts w:ascii="Times New Roman" w:hAnsi="Times New Roman"/>
                <w:szCs w:val="21"/>
              </w:rPr>
              <w:t>工程送审金额</w:t>
            </w:r>
          </w:p>
        </w:tc>
        <w:tc>
          <w:tcPr>
            <w:tcW w:w="1339" w:type="dxa"/>
            <w:noWrap w:val="0"/>
            <w:vAlign w:val="center"/>
          </w:tcPr>
          <w:p>
            <w:pPr>
              <w:spacing w:line="240" w:lineRule="exact"/>
              <w:jc w:val="center"/>
              <w:rPr>
                <w:rFonts w:ascii="Times New Roman" w:hAnsi="Times New Roman"/>
                <w:i/>
                <w:iCs/>
                <w:color w:val="FF0000"/>
                <w:szCs w:val="21"/>
                <w:u w:val="single"/>
              </w:rPr>
            </w:pPr>
            <w:r>
              <w:rPr>
                <w:rFonts w:ascii="Times New Roman" w:hAnsi="Times New Roman"/>
                <w:szCs w:val="21"/>
              </w:rPr>
              <w:t>评审期限（工作日）</w:t>
            </w:r>
          </w:p>
        </w:tc>
        <w:tc>
          <w:tcPr>
            <w:tcW w:w="804" w:type="dxa"/>
            <w:noWrap w:val="0"/>
            <w:vAlign w:val="center"/>
          </w:tcPr>
          <w:p>
            <w:pPr>
              <w:spacing w:line="240" w:lineRule="exact"/>
              <w:jc w:val="center"/>
              <w:rPr>
                <w:rFonts w:ascii="Times New Roman" w:hAnsi="Times New Roman"/>
                <w:szCs w:val="21"/>
              </w:rPr>
            </w:pPr>
            <w:r>
              <w:rPr>
                <w:rFonts w:ascii="Times New Roman" w:hAnsi="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25" w:type="dxa"/>
            <w:noWrap w:val="0"/>
            <w:vAlign w:val="center"/>
          </w:tcPr>
          <w:p>
            <w:pPr>
              <w:spacing w:line="240" w:lineRule="exact"/>
              <w:jc w:val="center"/>
              <w:rPr>
                <w:rFonts w:ascii="Times New Roman" w:hAnsi="Times New Roman"/>
                <w:szCs w:val="21"/>
                <w:shd w:val="clear" w:color="auto" w:fill="FFFFFF"/>
              </w:rPr>
            </w:pPr>
            <w:r>
              <w:rPr>
                <w:rFonts w:ascii="Times New Roman" w:hAnsi="Times New Roman"/>
                <w:szCs w:val="21"/>
                <w:shd w:val="clear" w:color="auto" w:fill="FFFFFF"/>
              </w:rPr>
              <w:t>1</w:t>
            </w:r>
          </w:p>
        </w:tc>
        <w:tc>
          <w:tcPr>
            <w:tcW w:w="5185" w:type="dxa"/>
            <w:noWrap w:val="0"/>
            <w:vAlign w:val="center"/>
          </w:tcPr>
          <w:p>
            <w:pPr>
              <w:spacing w:line="240" w:lineRule="exact"/>
              <w:rPr>
                <w:rFonts w:ascii="Times New Roman" w:hAnsi="Times New Roman"/>
                <w:szCs w:val="21"/>
              </w:rPr>
            </w:pPr>
            <w:r>
              <w:rPr>
                <w:rFonts w:ascii="Times New Roman" w:hAnsi="Times New Roman"/>
                <w:szCs w:val="21"/>
                <w:shd w:val="clear" w:color="auto" w:fill="FFFFFF"/>
              </w:rPr>
              <w:t>100万元以下(含100万元)</w:t>
            </w:r>
          </w:p>
        </w:tc>
        <w:tc>
          <w:tcPr>
            <w:tcW w:w="1339" w:type="dxa"/>
            <w:noWrap w:val="0"/>
            <w:vAlign w:val="center"/>
          </w:tcPr>
          <w:p>
            <w:pPr>
              <w:spacing w:line="240" w:lineRule="exact"/>
              <w:ind w:firstLine="420" w:firstLineChars="200"/>
              <w:jc w:val="center"/>
              <w:rPr>
                <w:rFonts w:ascii="Times New Roman" w:hAnsi="Times New Roman"/>
                <w:i/>
                <w:iCs/>
                <w:szCs w:val="21"/>
              </w:rPr>
            </w:pPr>
            <w:r>
              <w:rPr>
                <w:rFonts w:ascii="Times New Roman" w:hAnsi="Times New Roman"/>
                <w:i/>
                <w:iCs/>
                <w:szCs w:val="21"/>
              </w:rPr>
              <w:t>4</w:t>
            </w:r>
          </w:p>
        </w:tc>
        <w:tc>
          <w:tcPr>
            <w:tcW w:w="804" w:type="dxa"/>
            <w:noWrap w:val="0"/>
            <w:vAlign w:val="center"/>
          </w:tcPr>
          <w:p>
            <w:pPr>
              <w:spacing w:line="2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5" w:type="dxa"/>
            <w:noWrap w:val="0"/>
            <w:vAlign w:val="center"/>
          </w:tcPr>
          <w:p>
            <w:pPr>
              <w:spacing w:line="240" w:lineRule="exact"/>
              <w:jc w:val="center"/>
              <w:rPr>
                <w:rFonts w:ascii="Times New Roman" w:hAnsi="Times New Roman"/>
                <w:szCs w:val="21"/>
                <w:shd w:val="clear" w:color="auto" w:fill="FFFFFF"/>
              </w:rPr>
            </w:pPr>
            <w:r>
              <w:rPr>
                <w:rFonts w:ascii="Times New Roman" w:hAnsi="Times New Roman"/>
                <w:szCs w:val="21"/>
                <w:shd w:val="clear" w:color="auto" w:fill="FFFFFF"/>
              </w:rPr>
              <w:t>2</w:t>
            </w:r>
          </w:p>
        </w:tc>
        <w:tc>
          <w:tcPr>
            <w:tcW w:w="5185" w:type="dxa"/>
            <w:noWrap w:val="0"/>
            <w:vAlign w:val="center"/>
          </w:tcPr>
          <w:p>
            <w:pPr>
              <w:spacing w:line="240" w:lineRule="exact"/>
              <w:rPr>
                <w:rFonts w:ascii="Times New Roman" w:hAnsi="Times New Roman"/>
                <w:szCs w:val="21"/>
              </w:rPr>
            </w:pPr>
            <w:r>
              <w:rPr>
                <w:rFonts w:ascii="Times New Roman" w:hAnsi="Times New Roman"/>
                <w:szCs w:val="21"/>
                <w:shd w:val="clear" w:color="auto" w:fill="FFFFFF"/>
              </w:rPr>
              <w:t>100万元(不含100万元)至500万元（含500万元）</w:t>
            </w:r>
          </w:p>
        </w:tc>
        <w:tc>
          <w:tcPr>
            <w:tcW w:w="1339" w:type="dxa"/>
            <w:noWrap w:val="0"/>
            <w:vAlign w:val="center"/>
          </w:tcPr>
          <w:p>
            <w:pPr>
              <w:spacing w:line="240" w:lineRule="exact"/>
              <w:ind w:firstLine="420" w:firstLineChars="200"/>
              <w:jc w:val="center"/>
              <w:rPr>
                <w:rFonts w:ascii="Times New Roman" w:hAnsi="Times New Roman"/>
                <w:i/>
                <w:iCs/>
                <w:szCs w:val="21"/>
              </w:rPr>
            </w:pPr>
            <w:r>
              <w:rPr>
                <w:rFonts w:ascii="Times New Roman" w:hAnsi="Times New Roman"/>
                <w:i/>
                <w:iCs/>
                <w:szCs w:val="21"/>
              </w:rPr>
              <w:t>7</w:t>
            </w:r>
          </w:p>
        </w:tc>
        <w:tc>
          <w:tcPr>
            <w:tcW w:w="804" w:type="dxa"/>
            <w:noWrap w:val="0"/>
            <w:vAlign w:val="center"/>
          </w:tcPr>
          <w:p>
            <w:pPr>
              <w:spacing w:line="2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5" w:type="dxa"/>
            <w:noWrap w:val="0"/>
            <w:vAlign w:val="center"/>
          </w:tcPr>
          <w:p>
            <w:pPr>
              <w:spacing w:line="240" w:lineRule="exact"/>
              <w:jc w:val="center"/>
              <w:rPr>
                <w:rFonts w:ascii="Times New Roman" w:hAnsi="Times New Roman"/>
                <w:szCs w:val="21"/>
                <w:shd w:val="clear" w:color="auto" w:fill="FFFFFF"/>
              </w:rPr>
            </w:pPr>
            <w:r>
              <w:rPr>
                <w:rFonts w:ascii="Times New Roman" w:hAnsi="Times New Roman"/>
                <w:szCs w:val="21"/>
                <w:shd w:val="clear" w:color="auto" w:fill="FFFFFF"/>
              </w:rPr>
              <w:t>3</w:t>
            </w:r>
          </w:p>
        </w:tc>
        <w:tc>
          <w:tcPr>
            <w:tcW w:w="5185" w:type="dxa"/>
            <w:noWrap w:val="0"/>
            <w:vAlign w:val="center"/>
          </w:tcPr>
          <w:p>
            <w:pPr>
              <w:spacing w:line="240" w:lineRule="exact"/>
              <w:rPr>
                <w:rFonts w:ascii="Times New Roman" w:hAnsi="Times New Roman"/>
                <w:szCs w:val="21"/>
              </w:rPr>
            </w:pPr>
            <w:r>
              <w:rPr>
                <w:rFonts w:ascii="Times New Roman" w:hAnsi="Times New Roman"/>
                <w:szCs w:val="21"/>
                <w:shd w:val="clear" w:color="auto" w:fill="FFFFFF"/>
              </w:rPr>
              <w:t>500万元(不含500万元)至1000万元（含1000万元）</w:t>
            </w:r>
          </w:p>
        </w:tc>
        <w:tc>
          <w:tcPr>
            <w:tcW w:w="1339" w:type="dxa"/>
            <w:noWrap w:val="0"/>
            <w:vAlign w:val="center"/>
          </w:tcPr>
          <w:p>
            <w:pPr>
              <w:spacing w:line="240" w:lineRule="exact"/>
              <w:ind w:firstLine="420" w:firstLineChars="200"/>
              <w:jc w:val="center"/>
              <w:rPr>
                <w:rFonts w:ascii="Times New Roman" w:hAnsi="Times New Roman"/>
                <w:i/>
                <w:iCs/>
                <w:szCs w:val="21"/>
              </w:rPr>
            </w:pPr>
            <w:r>
              <w:rPr>
                <w:rFonts w:ascii="Times New Roman" w:hAnsi="Times New Roman"/>
                <w:i/>
                <w:iCs/>
                <w:szCs w:val="21"/>
              </w:rPr>
              <w:t>10</w:t>
            </w:r>
          </w:p>
        </w:tc>
        <w:tc>
          <w:tcPr>
            <w:tcW w:w="804" w:type="dxa"/>
            <w:noWrap w:val="0"/>
            <w:vAlign w:val="center"/>
          </w:tcPr>
          <w:p>
            <w:pPr>
              <w:spacing w:line="2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5" w:type="dxa"/>
            <w:noWrap w:val="0"/>
            <w:vAlign w:val="center"/>
          </w:tcPr>
          <w:p>
            <w:pPr>
              <w:spacing w:line="240" w:lineRule="exact"/>
              <w:jc w:val="center"/>
              <w:rPr>
                <w:rFonts w:ascii="Times New Roman" w:hAnsi="Times New Roman"/>
                <w:szCs w:val="21"/>
                <w:shd w:val="clear" w:color="auto" w:fill="FFFFFF"/>
              </w:rPr>
            </w:pPr>
            <w:r>
              <w:rPr>
                <w:rFonts w:ascii="Times New Roman" w:hAnsi="Times New Roman"/>
                <w:szCs w:val="21"/>
                <w:shd w:val="clear" w:color="auto" w:fill="FFFFFF"/>
              </w:rPr>
              <w:t>4</w:t>
            </w:r>
          </w:p>
        </w:tc>
        <w:tc>
          <w:tcPr>
            <w:tcW w:w="5185" w:type="dxa"/>
            <w:noWrap w:val="0"/>
            <w:vAlign w:val="center"/>
          </w:tcPr>
          <w:p>
            <w:pPr>
              <w:spacing w:line="240" w:lineRule="exact"/>
              <w:rPr>
                <w:rFonts w:ascii="Times New Roman" w:hAnsi="Times New Roman"/>
                <w:szCs w:val="21"/>
              </w:rPr>
            </w:pPr>
            <w:r>
              <w:rPr>
                <w:rFonts w:ascii="Times New Roman" w:hAnsi="Times New Roman"/>
                <w:szCs w:val="21"/>
                <w:shd w:val="clear" w:color="auto" w:fill="FFFFFF"/>
              </w:rPr>
              <w:t>1000万元(不含1000万元)至5000万元（含5000万元）</w:t>
            </w:r>
          </w:p>
        </w:tc>
        <w:tc>
          <w:tcPr>
            <w:tcW w:w="1339" w:type="dxa"/>
            <w:noWrap w:val="0"/>
            <w:vAlign w:val="center"/>
          </w:tcPr>
          <w:p>
            <w:pPr>
              <w:spacing w:line="240" w:lineRule="exact"/>
              <w:ind w:firstLine="420" w:firstLineChars="200"/>
              <w:jc w:val="center"/>
              <w:rPr>
                <w:rFonts w:ascii="Times New Roman" w:hAnsi="Times New Roman"/>
                <w:i/>
                <w:iCs/>
                <w:szCs w:val="21"/>
              </w:rPr>
            </w:pPr>
            <w:r>
              <w:rPr>
                <w:rFonts w:ascii="Times New Roman" w:hAnsi="Times New Roman"/>
                <w:i/>
                <w:iCs/>
                <w:szCs w:val="21"/>
              </w:rPr>
              <w:t>15</w:t>
            </w:r>
          </w:p>
        </w:tc>
        <w:tc>
          <w:tcPr>
            <w:tcW w:w="804" w:type="dxa"/>
            <w:noWrap w:val="0"/>
            <w:vAlign w:val="center"/>
          </w:tcPr>
          <w:p>
            <w:pPr>
              <w:spacing w:line="2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5" w:type="dxa"/>
            <w:noWrap w:val="0"/>
            <w:vAlign w:val="center"/>
          </w:tcPr>
          <w:p>
            <w:pPr>
              <w:spacing w:line="240" w:lineRule="exact"/>
              <w:jc w:val="center"/>
              <w:rPr>
                <w:rFonts w:ascii="Times New Roman" w:hAnsi="Times New Roman"/>
                <w:szCs w:val="21"/>
                <w:shd w:val="clear" w:color="auto" w:fill="FFFFFF"/>
              </w:rPr>
            </w:pPr>
            <w:r>
              <w:rPr>
                <w:rFonts w:ascii="Times New Roman" w:hAnsi="Times New Roman"/>
                <w:szCs w:val="21"/>
                <w:shd w:val="clear" w:color="auto" w:fill="FFFFFF"/>
              </w:rPr>
              <w:t>5</w:t>
            </w:r>
          </w:p>
        </w:tc>
        <w:tc>
          <w:tcPr>
            <w:tcW w:w="5185" w:type="dxa"/>
            <w:noWrap w:val="0"/>
            <w:vAlign w:val="center"/>
          </w:tcPr>
          <w:p>
            <w:pPr>
              <w:spacing w:line="240" w:lineRule="exact"/>
              <w:rPr>
                <w:rFonts w:ascii="Times New Roman" w:hAnsi="Times New Roman"/>
                <w:szCs w:val="21"/>
              </w:rPr>
            </w:pPr>
            <w:r>
              <w:rPr>
                <w:rFonts w:ascii="Times New Roman" w:hAnsi="Times New Roman"/>
                <w:szCs w:val="21"/>
                <w:shd w:val="clear" w:color="auto" w:fill="FFFFFF"/>
              </w:rPr>
              <w:t>5000万元(含5000万元)至10000万元（含10000万元）</w:t>
            </w:r>
          </w:p>
        </w:tc>
        <w:tc>
          <w:tcPr>
            <w:tcW w:w="1339" w:type="dxa"/>
            <w:noWrap w:val="0"/>
            <w:vAlign w:val="center"/>
          </w:tcPr>
          <w:p>
            <w:pPr>
              <w:spacing w:line="240" w:lineRule="exact"/>
              <w:ind w:firstLine="420" w:firstLineChars="200"/>
              <w:jc w:val="center"/>
              <w:rPr>
                <w:rFonts w:ascii="Times New Roman" w:hAnsi="Times New Roman"/>
                <w:i/>
                <w:iCs/>
                <w:szCs w:val="21"/>
              </w:rPr>
            </w:pPr>
            <w:r>
              <w:rPr>
                <w:rFonts w:ascii="Times New Roman" w:hAnsi="Times New Roman"/>
                <w:i/>
                <w:iCs/>
                <w:szCs w:val="21"/>
              </w:rPr>
              <w:t>20</w:t>
            </w:r>
          </w:p>
        </w:tc>
        <w:tc>
          <w:tcPr>
            <w:tcW w:w="804" w:type="dxa"/>
            <w:noWrap w:val="0"/>
            <w:vAlign w:val="center"/>
          </w:tcPr>
          <w:p>
            <w:pPr>
              <w:spacing w:line="2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25" w:type="dxa"/>
            <w:noWrap w:val="0"/>
            <w:vAlign w:val="center"/>
          </w:tcPr>
          <w:p>
            <w:pPr>
              <w:spacing w:line="240" w:lineRule="exact"/>
              <w:jc w:val="center"/>
              <w:rPr>
                <w:rFonts w:ascii="Times New Roman" w:hAnsi="Times New Roman"/>
                <w:szCs w:val="21"/>
                <w:shd w:val="clear" w:color="auto" w:fill="FFFFFF"/>
              </w:rPr>
            </w:pPr>
            <w:r>
              <w:rPr>
                <w:rFonts w:ascii="Times New Roman" w:hAnsi="Times New Roman"/>
                <w:szCs w:val="21"/>
                <w:shd w:val="clear" w:color="auto" w:fill="FFFFFF"/>
              </w:rPr>
              <w:t>6</w:t>
            </w:r>
          </w:p>
        </w:tc>
        <w:tc>
          <w:tcPr>
            <w:tcW w:w="5185" w:type="dxa"/>
            <w:noWrap w:val="0"/>
            <w:vAlign w:val="center"/>
          </w:tcPr>
          <w:p>
            <w:pPr>
              <w:spacing w:line="240" w:lineRule="exact"/>
              <w:rPr>
                <w:rFonts w:ascii="Times New Roman" w:hAnsi="Times New Roman"/>
                <w:szCs w:val="21"/>
              </w:rPr>
            </w:pPr>
            <w:r>
              <w:rPr>
                <w:rFonts w:ascii="Times New Roman" w:hAnsi="Times New Roman"/>
                <w:szCs w:val="21"/>
                <w:shd w:val="clear" w:color="auto" w:fill="FFFFFF"/>
              </w:rPr>
              <w:t>10000万元(不含10000万元)至50000万元（含50000万元）</w:t>
            </w:r>
          </w:p>
        </w:tc>
        <w:tc>
          <w:tcPr>
            <w:tcW w:w="1339" w:type="dxa"/>
            <w:noWrap w:val="0"/>
            <w:vAlign w:val="center"/>
          </w:tcPr>
          <w:p>
            <w:pPr>
              <w:spacing w:line="240" w:lineRule="exact"/>
              <w:ind w:firstLine="420" w:firstLineChars="200"/>
              <w:jc w:val="center"/>
              <w:rPr>
                <w:rFonts w:ascii="Times New Roman" w:hAnsi="Times New Roman"/>
                <w:i/>
                <w:iCs/>
                <w:szCs w:val="21"/>
              </w:rPr>
            </w:pPr>
            <w:r>
              <w:rPr>
                <w:rFonts w:ascii="Times New Roman" w:hAnsi="Times New Roman"/>
                <w:i/>
                <w:iCs/>
                <w:szCs w:val="21"/>
              </w:rPr>
              <w:t>25</w:t>
            </w:r>
          </w:p>
        </w:tc>
        <w:tc>
          <w:tcPr>
            <w:tcW w:w="804" w:type="dxa"/>
            <w:noWrap w:val="0"/>
            <w:vAlign w:val="center"/>
          </w:tcPr>
          <w:p>
            <w:pPr>
              <w:spacing w:line="240" w:lineRule="exact"/>
              <w:ind w:firstLine="420" w:firstLineChars="20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25" w:type="dxa"/>
            <w:noWrap w:val="0"/>
            <w:vAlign w:val="center"/>
          </w:tcPr>
          <w:p>
            <w:pPr>
              <w:spacing w:line="240" w:lineRule="exact"/>
              <w:jc w:val="center"/>
              <w:rPr>
                <w:rFonts w:ascii="Times New Roman" w:hAnsi="Times New Roman"/>
                <w:szCs w:val="21"/>
                <w:shd w:val="clear" w:color="auto" w:fill="FFFFFF"/>
              </w:rPr>
            </w:pPr>
            <w:r>
              <w:rPr>
                <w:rFonts w:ascii="Times New Roman" w:hAnsi="Times New Roman"/>
                <w:szCs w:val="21"/>
                <w:shd w:val="clear" w:color="auto" w:fill="FFFFFF"/>
              </w:rPr>
              <w:t>7</w:t>
            </w:r>
          </w:p>
        </w:tc>
        <w:tc>
          <w:tcPr>
            <w:tcW w:w="5185" w:type="dxa"/>
            <w:noWrap w:val="0"/>
            <w:vAlign w:val="center"/>
          </w:tcPr>
          <w:p>
            <w:pPr>
              <w:spacing w:line="240" w:lineRule="exact"/>
              <w:rPr>
                <w:rFonts w:ascii="Times New Roman" w:hAnsi="Times New Roman"/>
                <w:szCs w:val="21"/>
              </w:rPr>
            </w:pPr>
            <w:r>
              <w:rPr>
                <w:rFonts w:ascii="Times New Roman" w:hAnsi="Times New Roman"/>
                <w:szCs w:val="21"/>
                <w:shd w:val="clear" w:color="auto" w:fill="FFFFFF"/>
              </w:rPr>
              <w:t>50000万元(不含50000万元)以上</w:t>
            </w:r>
          </w:p>
        </w:tc>
        <w:tc>
          <w:tcPr>
            <w:tcW w:w="1339" w:type="dxa"/>
            <w:noWrap w:val="0"/>
            <w:vAlign w:val="center"/>
          </w:tcPr>
          <w:p>
            <w:pPr>
              <w:spacing w:line="240" w:lineRule="exact"/>
              <w:ind w:firstLine="420" w:firstLineChars="200"/>
              <w:jc w:val="center"/>
              <w:rPr>
                <w:rFonts w:ascii="Times New Roman" w:hAnsi="Times New Roman"/>
                <w:i/>
                <w:iCs/>
                <w:szCs w:val="21"/>
              </w:rPr>
            </w:pPr>
            <w:r>
              <w:rPr>
                <w:rFonts w:ascii="Times New Roman" w:hAnsi="Times New Roman"/>
                <w:i/>
                <w:iCs/>
                <w:szCs w:val="21"/>
              </w:rPr>
              <w:t>30</w:t>
            </w:r>
          </w:p>
        </w:tc>
        <w:tc>
          <w:tcPr>
            <w:tcW w:w="804" w:type="dxa"/>
            <w:noWrap w:val="0"/>
            <w:vAlign w:val="center"/>
          </w:tcPr>
          <w:p>
            <w:pPr>
              <w:spacing w:line="240" w:lineRule="exact"/>
              <w:ind w:firstLine="420" w:firstLineChars="200"/>
              <w:jc w:val="center"/>
              <w:rPr>
                <w:rFonts w:ascii="Times New Roman" w:hAnsi="Times New Roman"/>
                <w:szCs w:val="21"/>
              </w:rPr>
            </w:pPr>
          </w:p>
        </w:tc>
      </w:tr>
    </w:tbl>
    <w:p>
      <w:pPr>
        <w:spacing w:line="576" w:lineRule="exact"/>
        <w:ind w:firstLine="651" w:firstLineChars="200"/>
        <w:rPr>
          <w:rFonts w:ascii="Times New Roman" w:hAnsi="Times New Roman" w:eastAsia="FangSong_GB2312"/>
          <w:spacing w:val="2"/>
          <w:sz w:val="32"/>
          <w:szCs w:val="32"/>
          <w:highlight w:val="yellow"/>
        </w:rPr>
      </w:pPr>
      <w:r>
        <w:rPr>
          <w:rFonts w:hint="eastAsia" w:ascii="楷体_GB2312" w:hAnsi="楷体_GB2312" w:eastAsia="楷体_GB2312" w:cs="楷体_GB2312"/>
          <w:b/>
          <w:bCs/>
          <w:spacing w:val="2"/>
          <w:sz w:val="32"/>
          <w:szCs w:val="32"/>
        </w:rPr>
        <w:t>第十</w:t>
      </w:r>
      <w:r>
        <w:rPr>
          <w:rFonts w:hint="eastAsia" w:ascii="楷体_GB2312" w:hAnsi="楷体_GB2312" w:eastAsia="楷体_GB2312" w:cs="楷体_GB2312"/>
          <w:b/>
          <w:bCs/>
          <w:spacing w:val="2"/>
          <w:sz w:val="32"/>
          <w:szCs w:val="32"/>
          <w:lang w:eastAsia="zh-CN"/>
        </w:rPr>
        <w:t>八</w:t>
      </w:r>
      <w:r>
        <w:rPr>
          <w:rFonts w:hint="eastAsia" w:ascii="楷体_GB2312" w:hAnsi="楷体_GB2312" w:eastAsia="楷体_GB2312" w:cs="楷体_GB2312"/>
          <w:b/>
          <w:bCs/>
          <w:spacing w:val="2"/>
          <w:sz w:val="32"/>
          <w:szCs w:val="32"/>
        </w:rPr>
        <w:t xml:space="preserve">条 </w:t>
      </w:r>
      <w:r>
        <w:rPr>
          <w:rFonts w:ascii="Times New Roman" w:hAnsi="Times New Roman" w:eastAsia="FangSong_GB2312"/>
          <w:b/>
          <w:bCs/>
          <w:spacing w:val="2"/>
          <w:sz w:val="32"/>
          <w:szCs w:val="32"/>
        </w:rPr>
        <w:t xml:space="preserve"> </w:t>
      </w:r>
      <w:r>
        <w:rPr>
          <w:rFonts w:ascii="Times New Roman" w:hAnsi="Times New Roman" w:eastAsia="FangSong_GB2312"/>
          <w:spacing w:val="2"/>
          <w:sz w:val="32"/>
          <w:szCs w:val="32"/>
          <w:highlight w:val="none"/>
        </w:rPr>
        <w:t>非经评审中心书面同意，评审期限每延迟5天（不足5天的按5天计算），扣减该项目全部评审费用的</w:t>
      </w:r>
      <w:r>
        <w:rPr>
          <w:rFonts w:hint="eastAsia" w:ascii="Times New Roman" w:hAnsi="Times New Roman" w:eastAsia="FangSong_GB2312"/>
          <w:spacing w:val="2"/>
          <w:sz w:val="32"/>
          <w:szCs w:val="32"/>
          <w:highlight w:val="none"/>
          <w:lang w:val="en-US" w:eastAsia="zh-CN"/>
        </w:rPr>
        <w:t>5</w:t>
      </w:r>
      <w:r>
        <w:rPr>
          <w:rFonts w:ascii="Times New Roman" w:hAnsi="Times New Roman" w:eastAsia="FangSong_GB2312"/>
          <w:spacing w:val="2"/>
          <w:sz w:val="32"/>
          <w:szCs w:val="32"/>
          <w:highlight w:val="none"/>
        </w:rPr>
        <w:t>%，以此类推，扣完为止。</w:t>
      </w:r>
    </w:p>
    <w:p>
      <w:pPr>
        <w:spacing w:line="576" w:lineRule="exact"/>
        <w:ind w:firstLine="641" w:firstLineChars="197"/>
        <w:rPr>
          <w:rFonts w:ascii="Times New Roman" w:hAnsi="Times New Roman" w:eastAsia="楷体_GB2312"/>
          <w:sz w:val="32"/>
          <w:szCs w:val="32"/>
        </w:rPr>
      </w:pPr>
      <w:r>
        <w:rPr>
          <w:rFonts w:ascii="Times New Roman" w:hAnsi="Times New Roman" w:eastAsia="楷体_GB2312"/>
          <w:b/>
          <w:bCs/>
          <w:spacing w:val="2"/>
          <w:sz w:val="32"/>
          <w:szCs w:val="32"/>
        </w:rPr>
        <w:t>第</w:t>
      </w:r>
      <w:r>
        <w:rPr>
          <w:rFonts w:ascii="楷体_GB2312" w:hAnsi="楷体_GB2312" w:eastAsia="楷体_GB2312" w:cs="楷体_GB2312"/>
          <w:b/>
          <w:bCs/>
          <w:spacing w:val="2"/>
          <w:sz w:val="32"/>
          <w:szCs w:val="32"/>
        </w:rPr>
        <w:t>十</w:t>
      </w:r>
      <w:r>
        <w:rPr>
          <w:rFonts w:hint="eastAsia" w:ascii="楷体_GB2312" w:hAnsi="楷体_GB2312" w:eastAsia="楷体_GB2312" w:cs="楷体_GB2312"/>
          <w:b/>
          <w:bCs/>
          <w:spacing w:val="2"/>
          <w:sz w:val="32"/>
          <w:szCs w:val="32"/>
          <w:lang w:eastAsia="zh-CN"/>
        </w:rPr>
        <w:t>九</w:t>
      </w:r>
      <w:r>
        <w:rPr>
          <w:rFonts w:ascii="Times New Roman" w:hAnsi="Times New Roman" w:eastAsia="楷体_GB2312"/>
          <w:b/>
          <w:bCs/>
          <w:spacing w:val="2"/>
          <w:sz w:val="32"/>
          <w:szCs w:val="32"/>
        </w:rPr>
        <w:t>条</w:t>
      </w:r>
      <w:r>
        <w:rPr>
          <w:rFonts w:ascii="Times New Roman" w:hAnsi="Times New Roman" w:eastAsia="FangSong_GB2312"/>
          <w:spacing w:val="2"/>
          <w:sz w:val="32"/>
          <w:szCs w:val="32"/>
        </w:rPr>
        <w:t xml:space="preserve">   </w:t>
      </w:r>
      <w:r>
        <w:rPr>
          <w:rFonts w:hint="eastAsia" w:ascii="Times New Roman" w:hAnsi="Times New Roman" w:eastAsia="FangSong_GB2312"/>
          <w:spacing w:val="2"/>
          <w:sz w:val="32"/>
          <w:szCs w:val="32"/>
          <w:lang w:eastAsia="zh-CN"/>
        </w:rPr>
        <w:t>联合体</w:t>
      </w:r>
      <w:r>
        <w:rPr>
          <w:rFonts w:ascii="Times New Roman" w:hAnsi="Times New Roman" w:eastAsia="FangSong_GB2312"/>
          <w:spacing w:val="2"/>
          <w:sz w:val="32"/>
          <w:szCs w:val="32"/>
        </w:rPr>
        <w:t>的评审结论经评审中心审定后拟定评审报告，</w:t>
      </w:r>
      <w:r>
        <w:rPr>
          <w:rFonts w:hint="eastAsia" w:ascii="Times New Roman" w:hAnsi="Times New Roman" w:eastAsia="FangSong_GB2312"/>
          <w:spacing w:val="2"/>
          <w:sz w:val="32"/>
          <w:szCs w:val="32"/>
          <w:lang w:eastAsia="zh-CN"/>
        </w:rPr>
        <w:t>并</w:t>
      </w:r>
      <w:r>
        <w:rPr>
          <w:rFonts w:ascii="Times New Roman" w:hAnsi="Times New Roman" w:eastAsia="FangSong_GB2312"/>
          <w:spacing w:val="2"/>
          <w:sz w:val="32"/>
          <w:szCs w:val="32"/>
        </w:rPr>
        <w:t>连同项目</w:t>
      </w:r>
      <w:r>
        <w:rPr>
          <w:rFonts w:hint="eastAsia" w:ascii="Times New Roman" w:hAnsi="Times New Roman" w:eastAsia="FangSong_GB2312"/>
          <w:spacing w:val="2"/>
          <w:sz w:val="32"/>
          <w:szCs w:val="32"/>
          <w:lang w:eastAsia="zh-CN"/>
        </w:rPr>
        <w:t>工作底稿</w:t>
      </w:r>
      <w:r>
        <w:rPr>
          <w:rFonts w:ascii="Times New Roman" w:hAnsi="Times New Roman" w:eastAsia="FangSong_GB2312"/>
          <w:spacing w:val="2"/>
          <w:sz w:val="32"/>
          <w:szCs w:val="32"/>
        </w:rPr>
        <w:t>送达评审中心。评审报告的主要内容有：</w:t>
      </w:r>
      <w:r>
        <w:rPr>
          <w:rFonts w:hint="eastAsia" w:ascii="Times New Roman" w:hAnsi="Times New Roman" w:eastAsia="FangSong_GB2312"/>
          <w:spacing w:val="2"/>
          <w:sz w:val="32"/>
          <w:szCs w:val="32"/>
        </w:rPr>
        <w:t>项目前期立项资料、</w:t>
      </w:r>
      <w:r>
        <w:rPr>
          <w:rFonts w:ascii="Times New Roman" w:hAnsi="Times New Roman" w:eastAsia="FangSong_GB2312"/>
          <w:spacing w:val="2"/>
          <w:sz w:val="32"/>
          <w:szCs w:val="32"/>
        </w:rPr>
        <w:t>项目概况、评审结论</w:t>
      </w:r>
      <w:r>
        <w:rPr>
          <w:rFonts w:hint="eastAsia" w:ascii="Times New Roman" w:hAnsi="Times New Roman" w:eastAsia="FangSong_GB2312"/>
          <w:spacing w:val="2"/>
          <w:sz w:val="32"/>
          <w:szCs w:val="32"/>
        </w:rPr>
        <w:t>、</w:t>
      </w:r>
      <w:r>
        <w:rPr>
          <w:rFonts w:ascii="Times New Roman" w:hAnsi="Times New Roman" w:eastAsia="FangSong_GB2312"/>
          <w:spacing w:val="2"/>
          <w:sz w:val="32"/>
          <w:szCs w:val="32"/>
        </w:rPr>
        <w:t>评审说明</w:t>
      </w:r>
      <w:r>
        <w:rPr>
          <w:rFonts w:hint="eastAsia" w:ascii="Times New Roman" w:hAnsi="Times New Roman" w:eastAsia="FangSong_GB2312"/>
          <w:spacing w:val="2"/>
          <w:sz w:val="32"/>
          <w:szCs w:val="32"/>
        </w:rPr>
        <w:t>、预算书</w:t>
      </w:r>
      <w:r>
        <w:rPr>
          <w:rFonts w:ascii="Times New Roman" w:hAnsi="Times New Roman" w:eastAsia="FangSong_GB2312"/>
          <w:spacing w:val="2"/>
          <w:sz w:val="32"/>
          <w:szCs w:val="32"/>
        </w:rPr>
        <w:t>。其中评审结论的内容主要包括：项目送审情况、审</w:t>
      </w:r>
      <w:r>
        <w:rPr>
          <w:rFonts w:hint="eastAsia" w:ascii="Times New Roman" w:hAnsi="Times New Roman" w:eastAsia="FangSong_GB2312"/>
          <w:spacing w:val="2"/>
          <w:sz w:val="32"/>
          <w:szCs w:val="32"/>
        </w:rPr>
        <w:t>增</w:t>
      </w:r>
      <w:r>
        <w:rPr>
          <w:rFonts w:ascii="Times New Roman" w:hAnsi="Times New Roman" w:eastAsia="FangSong_GB2312"/>
          <w:spacing w:val="2"/>
          <w:sz w:val="32"/>
          <w:szCs w:val="32"/>
        </w:rPr>
        <w:t>情况、审减情况等；评审说明的内容主要包括：项目评审依据、工程量清单编制依据、工程材料价格依据、工程建设内容及工程量审核情况、审增或审减金额较大的主要原因、评审中发现的问题、其他相关事项等。工作底稿主要包含：现场踏勘记录、评审核对记录表、计算书、市场询价记录</w:t>
      </w:r>
      <w:r>
        <w:rPr>
          <w:rFonts w:hint="eastAsia" w:ascii="Times New Roman" w:hAnsi="Times New Roman" w:eastAsia="FangSong_GB2312"/>
          <w:spacing w:val="2"/>
          <w:sz w:val="32"/>
          <w:szCs w:val="32"/>
          <w:lang w:eastAsia="zh-CN"/>
        </w:rPr>
        <w:t>、软件版预算、</w:t>
      </w:r>
      <w:r>
        <w:rPr>
          <w:rFonts w:ascii="Times New Roman" w:hAnsi="Times New Roman" w:eastAsia="FangSong_GB2312"/>
          <w:spacing w:val="2"/>
          <w:sz w:val="32"/>
          <w:szCs w:val="32"/>
        </w:rPr>
        <w:t>反馈意见表等相关资料。评审中心审核确认后方能打印纸质资料连同送审的施工图及控制价送评审中心存档。</w:t>
      </w:r>
    </w:p>
    <w:p>
      <w:pPr>
        <w:spacing w:line="576" w:lineRule="exact"/>
        <w:ind w:firstLine="641" w:firstLineChars="197"/>
        <w:rPr>
          <w:rFonts w:ascii="Times New Roman" w:hAnsi="Times New Roman" w:eastAsia="FangSong_GB2312"/>
          <w:sz w:val="32"/>
          <w:szCs w:val="32"/>
          <w:highlight w:val="none"/>
        </w:rPr>
      </w:pPr>
      <w:r>
        <w:rPr>
          <w:rFonts w:ascii="Times New Roman" w:hAnsi="Times New Roman" w:eastAsia="楷体_GB2312"/>
          <w:b/>
          <w:bCs/>
          <w:spacing w:val="2"/>
          <w:sz w:val="32"/>
          <w:szCs w:val="32"/>
        </w:rPr>
        <w:t>第</w:t>
      </w:r>
      <w:r>
        <w:rPr>
          <w:rFonts w:hint="eastAsia" w:ascii="楷体_GB2312" w:hAnsi="楷体_GB2312" w:eastAsia="楷体_GB2312" w:cs="楷体_GB2312"/>
          <w:b/>
          <w:bCs/>
          <w:spacing w:val="2"/>
          <w:sz w:val="32"/>
          <w:szCs w:val="32"/>
          <w:lang w:eastAsia="zh-CN"/>
        </w:rPr>
        <w:t>二十</w:t>
      </w:r>
      <w:r>
        <w:rPr>
          <w:rFonts w:ascii="Times New Roman" w:hAnsi="Times New Roman" w:eastAsia="楷体_GB2312"/>
          <w:b/>
          <w:bCs/>
          <w:spacing w:val="2"/>
          <w:sz w:val="32"/>
          <w:szCs w:val="32"/>
        </w:rPr>
        <w:t>条</w:t>
      </w:r>
      <w:r>
        <w:rPr>
          <w:rFonts w:ascii="Times New Roman" w:hAnsi="Times New Roman" w:eastAsia="FangSong_GB2312"/>
          <w:spacing w:val="2"/>
          <w:sz w:val="32"/>
          <w:szCs w:val="32"/>
        </w:rPr>
        <w:t xml:space="preserve"> </w:t>
      </w:r>
      <w:r>
        <w:rPr>
          <w:rFonts w:ascii="Times New Roman" w:hAnsi="Times New Roman" w:eastAsia="FangSong_GB2312"/>
          <w:spacing w:val="2"/>
          <w:sz w:val="32"/>
          <w:szCs w:val="32"/>
          <w:highlight w:val="none"/>
        </w:rPr>
        <w:t xml:space="preserve"> </w:t>
      </w:r>
      <w:r>
        <w:rPr>
          <w:rFonts w:hint="eastAsia" w:ascii="Times New Roman" w:hAnsi="Times New Roman" w:eastAsia="FangSong_GB2312"/>
          <w:sz w:val="32"/>
          <w:szCs w:val="32"/>
          <w:highlight w:val="none"/>
          <w:lang w:eastAsia="zh-CN"/>
        </w:rPr>
        <w:t>联合体</w:t>
      </w:r>
      <w:r>
        <w:rPr>
          <w:rFonts w:ascii="Times New Roman" w:hAnsi="Times New Roman" w:eastAsia="FangSong_GB2312"/>
          <w:sz w:val="32"/>
          <w:szCs w:val="32"/>
          <w:highlight w:val="none"/>
        </w:rPr>
        <w:t>参与项目评审所需经费，按照《四川省工程造价咨询服务收费标准》(川价发</w:t>
      </w:r>
      <w:r>
        <w:rPr>
          <w:rFonts w:ascii="Times New Roman" w:hAnsi="Times New Roman" w:eastAsia="仿宋"/>
          <w:sz w:val="32"/>
          <w:szCs w:val="32"/>
          <w:highlight w:val="none"/>
        </w:rPr>
        <w:t>〔</w:t>
      </w:r>
      <w:r>
        <w:rPr>
          <w:rFonts w:ascii="Times New Roman" w:hAnsi="Times New Roman" w:eastAsia="FangSong_GB2312"/>
          <w:sz w:val="32"/>
          <w:szCs w:val="32"/>
          <w:highlight w:val="none"/>
        </w:rPr>
        <w:t>2008</w:t>
      </w:r>
      <w:r>
        <w:rPr>
          <w:rFonts w:ascii="Times New Roman" w:hAnsi="Times New Roman" w:eastAsia="仿宋"/>
          <w:sz w:val="32"/>
          <w:szCs w:val="32"/>
          <w:highlight w:val="none"/>
        </w:rPr>
        <w:t>〕</w:t>
      </w:r>
      <w:r>
        <w:rPr>
          <w:rFonts w:ascii="Times New Roman" w:hAnsi="Times New Roman" w:eastAsia="FangSong_GB2312"/>
          <w:sz w:val="32"/>
          <w:szCs w:val="32"/>
          <w:highlight w:val="none"/>
        </w:rPr>
        <w:t>141号)（以下简称收费标准）并优惠后计取。</w:t>
      </w:r>
    </w:p>
    <w:p>
      <w:pPr>
        <w:spacing w:line="576" w:lineRule="exact"/>
        <w:ind w:firstLine="630" w:firstLineChars="197"/>
        <w:rPr>
          <w:rFonts w:hint="eastAsia" w:ascii="Times New Roman" w:hAnsi="Times New Roman" w:eastAsia="FangSong_GB2312"/>
          <w:sz w:val="32"/>
          <w:szCs w:val="32"/>
          <w:highlight w:val="none"/>
        </w:rPr>
      </w:pPr>
      <w:r>
        <w:rPr>
          <w:rFonts w:hint="eastAsia" w:ascii="Times New Roman" w:hAnsi="Times New Roman" w:eastAsia="FangSong_GB2312"/>
          <w:sz w:val="32"/>
          <w:szCs w:val="32"/>
          <w:highlight w:val="none"/>
          <w:lang w:eastAsia="zh-CN"/>
        </w:rPr>
        <w:t>（一）</w:t>
      </w:r>
      <w:r>
        <w:rPr>
          <w:rFonts w:hint="eastAsia" w:ascii="Times New Roman" w:hAnsi="Times New Roman" w:eastAsia="FangSong_GB2312"/>
          <w:sz w:val="32"/>
          <w:szCs w:val="32"/>
          <w:highlight w:val="none"/>
        </w:rPr>
        <w:t>记取方式：房屋建筑和市政基础设施工程参照收费标准计算，公路、铁路、水、坝、土地整理等土木工程及地质灾害类工程等其它项目按收费标准的50%计算。</w:t>
      </w:r>
    </w:p>
    <w:p>
      <w:pPr>
        <w:spacing w:line="576" w:lineRule="exact"/>
        <w:ind w:firstLine="630" w:firstLineChars="197"/>
        <w:rPr>
          <w:rFonts w:hint="eastAsia" w:ascii="Times New Roman" w:hAnsi="Times New Roman" w:eastAsia="FangSong_GB2312"/>
          <w:sz w:val="32"/>
          <w:szCs w:val="32"/>
          <w:highlight w:val="none"/>
        </w:rPr>
      </w:pPr>
      <w:r>
        <w:rPr>
          <w:rFonts w:hint="eastAsia" w:ascii="Times New Roman" w:hAnsi="Times New Roman" w:eastAsia="FangSong_GB2312"/>
          <w:sz w:val="32"/>
          <w:szCs w:val="32"/>
          <w:highlight w:val="none"/>
          <w:lang w:eastAsia="zh-CN"/>
        </w:rPr>
        <w:t>（二）</w:t>
      </w:r>
      <w:r>
        <w:rPr>
          <w:rFonts w:hint="eastAsia" w:ascii="Times New Roman" w:hAnsi="Times New Roman" w:eastAsia="FangSong_GB2312"/>
          <w:sz w:val="32"/>
          <w:szCs w:val="32"/>
          <w:highlight w:val="none"/>
        </w:rPr>
        <w:t>计费标准控制价：以上记取方式的 80%，凡单项收费金额低于人民币 1000 元，按 1000 元收取。</w:t>
      </w:r>
    </w:p>
    <w:p>
      <w:pPr>
        <w:spacing w:line="576" w:lineRule="exact"/>
        <w:ind w:firstLine="630" w:firstLineChars="197"/>
        <w:rPr>
          <w:rFonts w:hint="eastAsia" w:ascii="Times New Roman" w:hAnsi="Times New Roman" w:eastAsia="FangSong_GB2312"/>
          <w:sz w:val="32"/>
          <w:szCs w:val="32"/>
          <w:highlight w:val="none"/>
        </w:rPr>
      </w:pPr>
      <w:r>
        <w:rPr>
          <w:rFonts w:hint="eastAsia" w:ascii="Times New Roman" w:hAnsi="Times New Roman" w:eastAsia="FangSong_GB2312"/>
          <w:sz w:val="32"/>
          <w:szCs w:val="32"/>
          <w:highlight w:val="none"/>
          <w:lang w:eastAsia="zh-CN"/>
        </w:rPr>
        <w:t>（三）</w:t>
      </w:r>
      <w:r>
        <w:rPr>
          <w:rFonts w:hint="eastAsia" w:ascii="Times New Roman" w:hAnsi="Times New Roman" w:eastAsia="FangSong_GB2312"/>
          <w:sz w:val="32"/>
          <w:szCs w:val="32"/>
          <w:highlight w:val="none"/>
        </w:rPr>
        <w:t>服务费用结算：计算公式如下：结算费用=计费标准控制价×（1-下浮比例）。</w:t>
      </w:r>
    </w:p>
    <w:p>
      <w:pPr>
        <w:spacing w:line="576" w:lineRule="exact"/>
        <w:ind w:firstLine="630" w:firstLineChars="197"/>
        <w:rPr>
          <w:rFonts w:hint="eastAsia" w:ascii="Times New Roman" w:hAnsi="Times New Roman" w:eastAsia="FangSong_GB2312"/>
          <w:sz w:val="32"/>
          <w:szCs w:val="32"/>
          <w:highlight w:val="none"/>
          <w:lang w:val="en-US" w:eastAsia="zh-CN"/>
        </w:rPr>
      </w:pPr>
      <w:r>
        <w:rPr>
          <w:rFonts w:hint="eastAsia" w:ascii="Times New Roman" w:hAnsi="Times New Roman" w:eastAsia="FangSong_GB2312"/>
          <w:sz w:val="32"/>
          <w:szCs w:val="32"/>
          <w:highlight w:val="none"/>
          <w:lang w:val="en-US" w:eastAsia="zh-CN"/>
        </w:rPr>
        <w:t>*下浮比例：联合体在公开招标中的报价下浮比例。</w:t>
      </w:r>
    </w:p>
    <w:p>
      <w:pPr>
        <w:spacing w:line="576" w:lineRule="exact"/>
        <w:ind w:firstLine="641" w:firstLineChars="197"/>
        <w:rPr>
          <w:rFonts w:ascii="Times New Roman" w:hAnsi="Times New Roman" w:eastAsia="FangSong_GB2312"/>
          <w:spacing w:val="2"/>
          <w:sz w:val="32"/>
          <w:szCs w:val="32"/>
        </w:rPr>
      </w:pPr>
      <w:r>
        <w:rPr>
          <w:rFonts w:ascii="Times New Roman" w:hAnsi="Times New Roman" w:eastAsia="楷体_GB2312"/>
          <w:b/>
          <w:bCs/>
          <w:spacing w:val="2"/>
          <w:sz w:val="32"/>
          <w:szCs w:val="32"/>
        </w:rPr>
        <w:t>第</w:t>
      </w:r>
      <w:r>
        <w:rPr>
          <w:rFonts w:ascii="楷体_GB2312" w:hAnsi="楷体_GB2312" w:eastAsia="楷体_GB2312" w:cs="楷体_GB2312"/>
          <w:b/>
          <w:bCs/>
          <w:spacing w:val="2"/>
          <w:sz w:val="32"/>
          <w:szCs w:val="32"/>
        </w:rPr>
        <w:t>二十</w:t>
      </w:r>
      <w:r>
        <w:rPr>
          <w:rFonts w:hint="eastAsia" w:ascii="楷体_GB2312" w:hAnsi="楷体_GB2312" w:eastAsia="楷体_GB2312" w:cs="楷体_GB2312"/>
          <w:b/>
          <w:bCs/>
          <w:spacing w:val="2"/>
          <w:sz w:val="32"/>
          <w:szCs w:val="32"/>
          <w:lang w:eastAsia="zh-CN"/>
        </w:rPr>
        <w:t>一</w:t>
      </w:r>
      <w:r>
        <w:rPr>
          <w:rFonts w:ascii="Times New Roman" w:hAnsi="Times New Roman" w:eastAsia="楷体_GB2312"/>
          <w:b/>
          <w:bCs/>
          <w:spacing w:val="2"/>
          <w:sz w:val="32"/>
          <w:szCs w:val="32"/>
        </w:rPr>
        <w:t>条</w:t>
      </w:r>
      <w:r>
        <w:rPr>
          <w:rFonts w:ascii="Times New Roman" w:hAnsi="Times New Roman" w:eastAsia="FangSong_GB2312"/>
          <w:sz w:val="32"/>
          <w:szCs w:val="32"/>
        </w:rPr>
        <w:t xml:space="preserve">  </w:t>
      </w:r>
      <w:r>
        <w:rPr>
          <w:rFonts w:hint="eastAsia" w:ascii="Times New Roman" w:hAnsi="Times New Roman" w:eastAsia="FangSong_GB2312"/>
          <w:spacing w:val="2"/>
          <w:sz w:val="32"/>
          <w:szCs w:val="32"/>
          <w:lang w:eastAsia="zh-CN"/>
        </w:rPr>
        <w:t>联合体</w:t>
      </w:r>
      <w:r>
        <w:rPr>
          <w:rFonts w:ascii="Times New Roman" w:hAnsi="Times New Roman" w:eastAsia="FangSong_GB2312"/>
          <w:spacing w:val="2"/>
          <w:sz w:val="32"/>
          <w:szCs w:val="32"/>
        </w:rPr>
        <w:t>开展评审工作，应遵守国家法律、法规和规章，遵守相关工作纪律和职业道德。</w:t>
      </w:r>
    </w:p>
    <w:p>
      <w:pPr>
        <w:spacing w:line="576" w:lineRule="exact"/>
        <w:ind w:firstLine="638" w:firstLineChars="197"/>
        <w:rPr>
          <w:rFonts w:hint="eastAsia" w:ascii="Times New Roman" w:hAnsi="Times New Roman" w:eastAsia="FangSong_GB2312"/>
          <w:spacing w:val="2"/>
          <w:sz w:val="32"/>
          <w:szCs w:val="32"/>
          <w:lang w:eastAsia="zh-CN"/>
        </w:rPr>
      </w:pPr>
      <w:r>
        <w:rPr>
          <w:rFonts w:ascii="Times New Roman" w:hAnsi="Times New Roman" w:eastAsia="FangSong_GB2312"/>
          <w:spacing w:val="2"/>
          <w:sz w:val="32"/>
          <w:szCs w:val="32"/>
        </w:rPr>
        <w:t>（一）</w:t>
      </w:r>
      <w:r>
        <w:rPr>
          <w:rFonts w:hint="eastAsia" w:ascii="Times New Roman" w:hAnsi="Times New Roman" w:eastAsia="FangSong_GB2312"/>
          <w:spacing w:val="2"/>
          <w:sz w:val="32"/>
          <w:szCs w:val="32"/>
          <w:lang w:eastAsia="zh-CN"/>
        </w:rPr>
        <w:t>联合体内部应</w:t>
      </w:r>
      <w:r>
        <w:rPr>
          <w:rFonts w:ascii="Times New Roman" w:hAnsi="Times New Roman" w:eastAsia="FangSong_GB2312"/>
          <w:spacing w:val="2"/>
          <w:sz w:val="32"/>
          <w:szCs w:val="32"/>
        </w:rPr>
        <w:t>实行回避制度，即：</w:t>
      </w:r>
      <w:r>
        <w:rPr>
          <w:rFonts w:hint="eastAsia" w:ascii="Times New Roman" w:hAnsi="Times New Roman" w:eastAsia="FangSong_GB2312"/>
          <w:spacing w:val="2"/>
          <w:sz w:val="32"/>
          <w:szCs w:val="32"/>
          <w:lang w:eastAsia="zh-CN"/>
        </w:rPr>
        <w:t>联合体内成员单位</w:t>
      </w:r>
      <w:r>
        <w:rPr>
          <w:rFonts w:ascii="Times New Roman" w:hAnsi="Times New Roman" w:eastAsia="FangSong_GB2312"/>
          <w:spacing w:val="2"/>
          <w:sz w:val="32"/>
          <w:szCs w:val="32"/>
        </w:rPr>
        <w:t>不得参与自己编制的项目招标控制价的评审工作；</w:t>
      </w:r>
      <w:r>
        <w:rPr>
          <w:rFonts w:hint="eastAsia" w:ascii="Times New Roman" w:hAnsi="Times New Roman" w:eastAsia="FangSong_GB2312"/>
          <w:spacing w:val="2"/>
          <w:sz w:val="32"/>
          <w:szCs w:val="32"/>
          <w:lang w:eastAsia="zh-CN"/>
        </w:rPr>
        <w:t>联合体内成员单位</w:t>
      </w:r>
      <w:r>
        <w:rPr>
          <w:rFonts w:ascii="Times New Roman" w:hAnsi="Times New Roman" w:eastAsia="FangSong_GB2312"/>
          <w:spacing w:val="2"/>
          <w:sz w:val="32"/>
          <w:szCs w:val="32"/>
        </w:rPr>
        <w:t>与被审核单位存在关联关系应当主动回避；参与评审的执业人员与评审项目有利害关系的应主动回避；法律、法规规定的需要回避的其他情形</w:t>
      </w:r>
      <w:r>
        <w:rPr>
          <w:rFonts w:hint="eastAsia" w:eastAsia="FangSong_GB2312"/>
          <w:spacing w:val="2"/>
          <w:sz w:val="32"/>
          <w:szCs w:val="32"/>
          <w:lang w:eastAsia="zh-CN"/>
        </w:rPr>
        <w:t>。</w:t>
      </w:r>
    </w:p>
    <w:p>
      <w:pPr>
        <w:spacing w:line="576" w:lineRule="exact"/>
        <w:ind w:firstLine="630" w:firstLineChars="197"/>
        <w:rPr>
          <w:rFonts w:hint="eastAsia" w:ascii="Times New Roman" w:hAnsi="Times New Roman" w:eastAsia="FangSong_GB2312"/>
          <w:sz w:val="32"/>
          <w:szCs w:val="32"/>
          <w:lang w:eastAsia="zh-CN"/>
        </w:rPr>
      </w:pPr>
      <w:r>
        <w:rPr>
          <w:rFonts w:ascii="Times New Roman" w:hAnsi="Times New Roman" w:eastAsia="楷体_GB2312"/>
          <w:sz w:val="32"/>
          <w:szCs w:val="32"/>
        </w:rPr>
        <w:t>（二）</w:t>
      </w:r>
      <w:r>
        <w:rPr>
          <w:rFonts w:hint="eastAsia" w:ascii="Times New Roman" w:hAnsi="Times New Roman" w:eastAsia="FangSong_GB2312"/>
          <w:spacing w:val="2"/>
          <w:sz w:val="32"/>
          <w:szCs w:val="32"/>
          <w:lang w:eastAsia="zh-CN"/>
        </w:rPr>
        <w:t>联合体</w:t>
      </w:r>
      <w:r>
        <w:rPr>
          <w:rFonts w:ascii="Times New Roman" w:hAnsi="Times New Roman" w:eastAsia="FangSong_GB2312"/>
          <w:spacing w:val="2"/>
          <w:sz w:val="32"/>
          <w:szCs w:val="32"/>
        </w:rPr>
        <w:t>不得以任何形式将投资评审任务再委托给其他</w:t>
      </w:r>
      <w:r>
        <w:rPr>
          <w:rFonts w:hint="eastAsia" w:ascii="Times New Roman" w:hAnsi="Times New Roman" w:eastAsia="FangSong_GB2312"/>
          <w:spacing w:val="2"/>
          <w:sz w:val="32"/>
          <w:szCs w:val="32"/>
          <w:lang w:eastAsia="zh-CN"/>
        </w:rPr>
        <w:t>单位或个人</w:t>
      </w:r>
      <w:r>
        <w:rPr>
          <w:rFonts w:ascii="Times New Roman" w:hAnsi="Times New Roman" w:eastAsia="FangSong_GB2312"/>
          <w:spacing w:val="2"/>
          <w:sz w:val="32"/>
          <w:szCs w:val="32"/>
        </w:rPr>
        <w:t>，确需与其他机构合作完成委托评审任务的，须征得评审中心同意，并且自身完成的评审工作量不应低于60％；如因特殊原因不能实施评审工作，应及时向区财政投资评审中心报告</w:t>
      </w:r>
      <w:r>
        <w:rPr>
          <w:rFonts w:hint="eastAsia" w:eastAsia="FangSong_GB2312"/>
          <w:spacing w:val="2"/>
          <w:sz w:val="32"/>
          <w:szCs w:val="32"/>
          <w:lang w:eastAsia="zh-CN"/>
        </w:rPr>
        <w:t>。</w:t>
      </w:r>
    </w:p>
    <w:p>
      <w:pPr>
        <w:spacing w:line="576" w:lineRule="exact"/>
        <w:ind w:firstLine="638" w:firstLineChars="197"/>
        <w:rPr>
          <w:rFonts w:ascii="Times New Roman" w:hAnsi="Times New Roman" w:eastAsia="FangSong_GB2312"/>
          <w:spacing w:val="2"/>
          <w:sz w:val="32"/>
          <w:szCs w:val="32"/>
        </w:rPr>
      </w:pPr>
      <w:r>
        <w:rPr>
          <w:rFonts w:ascii="Times New Roman" w:hAnsi="Times New Roman" w:eastAsia="FangSong_GB2312"/>
          <w:spacing w:val="2"/>
          <w:sz w:val="32"/>
          <w:szCs w:val="32"/>
        </w:rPr>
        <w:t>（三）</w:t>
      </w:r>
      <w:r>
        <w:rPr>
          <w:rFonts w:hint="eastAsia" w:ascii="Times New Roman" w:hAnsi="Times New Roman" w:eastAsia="FangSong_GB2312"/>
          <w:spacing w:val="2"/>
          <w:sz w:val="32"/>
          <w:szCs w:val="32"/>
          <w:lang w:eastAsia="zh-CN"/>
        </w:rPr>
        <w:t>联合体</w:t>
      </w:r>
      <w:r>
        <w:rPr>
          <w:rFonts w:ascii="Times New Roman" w:hAnsi="Times New Roman" w:eastAsia="FangSong_GB2312"/>
          <w:spacing w:val="2"/>
          <w:sz w:val="32"/>
          <w:szCs w:val="32"/>
        </w:rPr>
        <w:t>应严格遵守工作纪律，</w:t>
      </w:r>
      <w:r>
        <w:rPr>
          <w:rFonts w:hint="eastAsia" w:ascii="Times New Roman" w:hAnsi="Times New Roman" w:eastAsia="FangSong_GB2312"/>
          <w:spacing w:val="2"/>
          <w:sz w:val="32"/>
          <w:szCs w:val="32"/>
          <w:lang w:eastAsia="zh-CN"/>
        </w:rPr>
        <w:t>联合体</w:t>
      </w:r>
      <w:r>
        <w:rPr>
          <w:rFonts w:ascii="Times New Roman" w:hAnsi="Times New Roman" w:eastAsia="FangSong_GB2312"/>
          <w:spacing w:val="2"/>
          <w:sz w:val="32"/>
          <w:szCs w:val="32"/>
        </w:rPr>
        <w:t>承办项目评审，必须从评审中心获取评审资料，在项目评审过程中，不得与建设、施工单位私下接触，若确需项目建设单位增补其他资料的，</w:t>
      </w:r>
      <w:r>
        <w:rPr>
          <w:rFonts w:hint="eastAsia" w:ascii="Times New Roman" w:hAnsi="Times New Roman" w:eastAsia="FangSong_GB2312"/>
          <w:spacing w:val="2"/>
          <w:sz w:val="32"/>
          <w:szCs w:val="32"/>
          <w:lang w:eastAsia="zh-CN"/>
        </w:rPr>
        <w:t>联合体</w:t>
      </w:r>
      <w:r>
        <w:rPr>
          <w:rFonts w:ascii="Times New Roman" w:hAnsi="Times New Roman" w:eastAsia="FangSong_GB2312"/>
          <w:spacing w:val="2"/>
          <w:sz w:val="32"/>
          <w:szCs w:val="32"/>
        </w:rPr>
        <w:t xml:space="preserve">应当向评审中心申请，踏勘现场进行核实必须有评审中心工作人员参加，不得从被评审单位获取任何不正当利益。 </w:t>
      </w:r>
    </w:p>
    <w:p>
      <w:pPr>
        <w:spacing w:line="576" w:lineRule="exact"/>
        <w:ind w:firstLine="641" w:firstLineChars="197"/>
        <w:rPr>
          <w:rFonts w:hint="eastAsia" w:ascii="Times New Roman" w:hAnsi="Times New Roman"/>
          <w:spacing w:val="2"/>
          <w:sz w:val="32"/>
          <w:szCs w:val="32"/>
          <w:highlight w:val="none"/>
        </w:rPr>
      </w:pPr>
      <w:r>
        <w:rPr>
          <w:rFonts w:ascii="Times New Roman" w:hAnsi="Times New Roman" w:eastAsia="楷体_GB2312"/>
          <w:b/>
          <w:bCs/>
          <w:spacing w:val="2"/>
          <w:sz w:val="32"/>
          <w:szCs w:val="32"/>
          <w:highlight w:val="none"/>
        </w:rPr>
        <w:t>第</w:t>
      </w:r>
      <w:r>
        <w:rPr>
          <w:rFonts w:ascii="楷体_GB2312" w:hAnsi="楷体_GB2312" w:eastAsia="楷体_GB2312" w:cs="楷体_GB2312"/>
          <w:b/>
          <w:bCs/>
          <w:spacing w:val="2"/>
          <w:sz w:val="32"/>
          <w:szCs w:val="32"/>
          <w:highlight w:val="none"/>
        </w:rPr>
        <w:t>二十</w:t>
      </w:r>
      <w:r>
        <w:rPr>
          <w:rFonts w:hint="eastAsia" w:ascii="楷体_GB2312" w:hAnsi="楷体_GB2312" w:eastAsia="楷体_GB2312" w:cs="楷体_GB2312"/>
          <w:b/>
          <w:bCs/>
          <w:spacing w:val="2"/>
          <w:sz w:val="32"/>
          <w:szCs w:val="32"/>
          <w:highlight w:val="none"/>
          <w:lang w:eastAsia="zh-CN"/>
        </w:rPr>
        <w:t>二</w:t>
      </w:r>
      <w:r>
        <w:rPr>
          <w:rFonts w:ascii="Times New Roman" w:hAnsi="Times New Roman" w:eastAsia="楷体_GB2312"/>
          <w:b/>
          <w:bCs/>
          <w:spacing w:val="2"/>
          <w:sz w:val="32"/>
          <w:szCs w:val="32"/>
          <w:highlight w:val="none"/>
        </w:rPr>
        <w:t>条</w:t>
      </w:r>
      <w:r>
        <w:rPr>
          <w:rFonts w:ascii="Times New Roman" w:hAnsi="Times New Roman" w:eastAsia="FangSong_GB2312"/>
          <w:spacing w:val="2"/>
          <w:sz w:val="32"/>
          <w:szCs w:val="32"/>
          <w:highlight w:val="none"/>
        </w:rPr>
        <w:t>　评审中心对</w:t>
      </w:r>
      <w:r>
        <w:rPr>
          <w:rFonts w:hint="eastAsia" w:ascii="Times New Roman" w:hAnsi="Times New Roman" w:eastAsia="FangSong_GB2312"/>
          <w:spacing w:val="2"/>
          <w:sz w:val="32"/>
          <w:szCs w:val="32"/>
          <w:highlight w:val="none"/>
          <w:lang w:eastAsia="zh-CN"/>
        </w:rPr>
        <w:t>联合体</w:t>
      </w:r>
      <w:r>
        <w:rPr>
          <w:rFonts w:ascii="Times New Roman" w:hAnsi="Times New Roman" w:eastAsia="FangSong_GB2312"/>
          <w:spacing w:val="2"/>
          <w:sz w:val="32"/>
          <w:szCs w:val="32"/>
          <w:highlight w:val="none"/>
        </w:rPr>
        <w:t>实行</w:t>
      </w:r>
      <w:r>
        <w:rPr>
          <w:rFonts w:hint="eastAsia" w:ascii="Times New Roman" w:hAnsi="Times New Roman" w:eastAsia="FangSong_GB2312"/>
          <w:spacing w:val="2"/>
          <w:sz w:val="32"/>
          <w:szCs w:val="32"/>
          <w:highlight w:val="none"/>
          <w:lang w:eastAsia="zh-CN"/>
        </w:rPr>
        <w:t>日常</w:t>
      </w:r>
      <w:r>
        <w:rPr>
          <w:rFonts w:ascii="Times New Roman" w:hAnsi="Times New Roman" w:eastAsia="FangSong_GB2312"/>
          <w:spacing w:val="2"/>
          <w:sz w:val="32"/>
          <w:szCs w:val="32"/>
          <w:highlight w:val="none"/>
        </w:rPr>
        <w:t>考核制度，</w:t>
      </w:r>
      <w:r>
        <w:rPr>
          <w:rFonts w:hint="eastAsia" w:ascii="Times New Roman" w:hAnsi="Times New Roman" w:eastAsia="FangSong_GB2312"/>
          <w:spacing w:val="2"/>
          <w:sz w:val="32"/>
          <w:szCs w:val="32"/>
          <w:highlight w:val="none"/>
          <w:lang w:eastAsia="zh-CN"/>
        </w:rPr>
        <w:t>日常</w:t>
      </w:r>
      <w:r>
        <w:rPr>
          <w:rFonts w:ascii="Times New Roman" w:hAnsi="Times New Roman" w:eastAsia="FangSong_GB2312"/>
          <w:spacing w:val="2"/>
          <w:sz w:val="32"/>
          <w:szCs w:val="32"/>
          <w:highlight w:val="none"/>
        </w:rPr>
        <w:t>考核实行百分制，</w:t>
      </w:r>
      <w:r>
        <w:rPr>
          <w:rFonts w:hint="eastAsia" w:ascii="Times New Roman" w:hAnsi="Times New Roman" w:eastAsia="FangSong_GB2312"/>
          <w:spacing w:val="2"/>
          <w:sz w:val="32"/>
          <w:szCs w:val="32"/>
          <w:highlight w:val="none"/>
          <w:lang w:eastAsia="zh-CN"/>
        </w:rPr>
        <w:t>项目结束时对所有工程类、采购类项目进行打分</w:t>
      </w:r>
      <w:r>
        <w:rPr>
          <w:rFonts w:ascii="Times New Roman" w:hAnsi="Times New Roman" w:eastAsia="FangSong_GB2312"/>
          <w:spacing w:val="2"/>
          <w:sz w:val="32"/>
          <w:szCs w:val="32"/>
          <w:highlight w:val="none"/>
        </w:rPr>
        <w:t>（工程类项目考核见附表1，</w:t>
      </w:r>
      <w:r>
        <w:rPr>
          <w:rFonts w:hint="eastAsia" w:ascii="Times New Roman" w:hAnsi="Times New Roman" w:eastAsia="FangSong_GB2312"/>
          <w:spacing w:val="2"/>
          <w:sz w:val="32"/>
          <w:szCs w:val="32"/>
          <w:highlight w:val="none"/>
          <w:lang w:eastAsia="zh-CN"/>
        </w:rPr>
        <w:t>采购类</w:t>
      </w:r>
      <w:r>
        <w:rPr>
          <w:rFonts w:ascii="Times New Roman" w:hAnsi="Times New Roman" w:eastAsia="FangSong_GB2312"/>
          <w:spacing w:val="2"/>
          <w:sz w:val="32"/>
          <w:szCs w:val="32"/>
          <w:highlight w:val="none"/>
        </w:rPr>
        <w:t>项目考核见附表</w:t>
      </w:r>
      <w:r>
        <w:rPr>
          <w:rFonts w:hint="eastAsia" w:ascii="Times New Roman" w:hAnsi="Times New Roman" w:eastAsia="FangSong_GB2312"/>
          <w:spacing w:val="2"/>
          <w:sz w:val="32"/>
          <w:szCs w:val="32"/>
          <w:highlight w:val="none"/>
          <w:lang w:val="en-US" w:eastAsia="zh-CN"/>
        </w:rPr>
        <w:t>2，</w:t>
      </w:r>
      <w:r>
        <w:rPr>
          <w:rFonts w:ascii="Times New Roman" w:hAnsi="Times New Roman" w:eastAsia="FangSong_GB2312"/>
          <w:spacing w:val="2"/>
          <w:sz w:val="32"/>
          <w:szCs w:val="32"/>
          <w:highlight w:val="none"/>
        </w:rPr>
        <w:t>考评等次为“优秀”（≥90）分、“合格”（80分≤合格＜90分）、“不合格”（＜</w:t>
      </w:r>
      <w:r>
        <w:rPr>
          <w:rFonts w:hint="eastAsia" w:ascii="Times New Roman" w:hAnsi="Times New Roman" w:eastAsia="FangSong_GB2312"/>
          <w:spacing w:val="2"/>
          <w:sz w:val="32"/>
          <w:szCs w:val="32"/>
          <w:highlight w:val="none"/>
          <w:lang w:val="en-US" w:eastAsia="zh-CN"/>
        </w:rPr>
        <w:t>80</w:t>
      </w:r>
      <w:r>
        <w:rPr>
          <w:rFonts w:ascii="Times New Roman" w:hAnsi="Times New Roman" w:eastAsia="FangSong_GB2312"/>
          <w:spacing w:val="2"/>
          <w:sz w:val="32"/>
          <w:szCs w:val="32"/>
          <w:highlight w:val="none"/>
        </w:rPr>
        <w:t>分）</w:t>
      </w:r>
      <w:r>
        <w:rPr>
          <w:rFonts w:hint="eastAsia" w:ascii="Times New Roman" w:hAnsi="Times New Roman" w:eastAsia="FangSong_GB2312"/>
          <w:spacing w:val="2"/>
          <w:sz w:val="32"/>
          <w:szCs w:val="32"/>
          <w:highlight w:val="none"/>
          <w:lang w:eastAsia="zh-CN"/>
        </w:rPr>
        <w:t>）；每年续签合同前统计过去一年联合体完成项目的日常考核不合格率，若联合体年度不合格率达</w:t>
      </w:r>
      <w:r>
        <w:rPr>
          <w:rFonts w:hint="eastAsia" w:ascii="Times New Roman" w:hAnsi="Times New Roman" w:eastAsia="FangSong_GB2312"/>
          <w:spacing w:val="2"/>
          <w:sz w:val="32"/>
          <w:szCs w:val="32"/>
          <w:highlight w:val="none"/>
          <w:lang w:val="en-US" w:eastAsia="zh-CN"/>
        </w:rPr>
        <w:t>10%及以上，评审中心不予续签下一年合同（评审中心在每个季度末对</w:t>
      </w:r>
      <w:r>
        <w:rPr>
          <w:rFonts w:hint="eastAsia" w:ascii="Times New Roman" w:hAnsi="Times New Roman" w:eastAsia="FangSong_GB2312"/>
          <w:spacing w:val="2"/>
          <w:sz w:val="32"/>
          <w:szCs w:val="32"/>
          <w:highlight w:val="none"/>
          <w:lang w:eastAsia="zh-CN"/>
        </w:rPr>
        <w:t>日常考核不合格率做出统计，若联合体不合格率为</w:t>
      </w:r>
      <w:r>
        <w:rPr>
          <w:rFonts w:hint="eastAsia" w:ascii="Times New Roman" w:hAnsi="Times New Roman" w:eastAsia="FangSong_GB2312"/>
          <w:spacing w:val="2"/>
          <w:sz w:val="32"/>
          <w:szCs w:val="32"/>
          <w:highlight w:val="none"/>
          <w:lang w:val="en-US" w:eastAsia="zh-CN"/>
        </w:rPr>
        <w:t>10%至20%（不含20%），对其提出警告；为20%及以上，评审中心与联合体解除服务合同）</w:t>
      </w:r>
      <w:r>
        <w:rPr>
          <w:rFonts w:hint="eastAsia" w:ascii="Times New Roman" w:hAnsi="Times New Roman"/>
          <w:spacing w:val="2"/>
          <w:sz w:val="32"/>
          <w:szCs w:val="32"/>
          <w:highlight w:val="none"/>
        </w:rPr>
        <w:t>。</w:t>
      </w:r>
    </w:p>
    <w:p>
      <w:pPr>
        <w:spacing w:line="576" w:lineRule="exact"/>
        <w:ind w:firstLine="638" w:firstLineChars="197"/>
        <w:rPr>
          <w:rFonts w:hint="eastAsia" w:ascii="Times New Roman" w:hAnsi="Times New Roman" w:eastAsia="FangSong_GB2312"/>
          <w:color w:val="auto"/>
          <w:spacing w:val="2"/>
          <w:sz w:val="32"/>
          <w:szCs w:val="32"/>
          <w:highlight w:val="none"/>
          <w:lang w:val="en-US" w:eastAsia="zh-CN"/>
        </w:rPr>
      </w:pPr>
      <w:r>
        <w:rPr>
          <w:rFonts w:hint="eastAsia" w:ascii="Times New Roman" w:hAnsi="Times New Roman" w:eastAsia="FangSong_GB2312" w:cs="Times New Roman"/>
          <w:color w:val="auto"/>
          <w:spacing w:val="2"/>
          <w:sz w:val="32"/>
          <w:szCs w:val="32"/>
          <w:highlight w:val="none"/>
          <w:lang w:val="en-US" w:eastAsia="zh-CN"/>
        </w:rPr>
        <w:t>（一）经评审中心考核记为不合格的项目，每低于合格线（80分）10分（不足10分按十分计算），扣减该项目全部评审费用的10%，以此类推。</w:t>
      </w:r>
    </w:p>
    <w:p>
      <w:pPr>
        <w:spacing w:line="576" w:lineRule="exact"/>
        <w:ind w:firstLine="641" w:firstLineChars="197"/>
        <w:rPr>
          <w:rFonts w:ascii="Times New Roman" w:hAnsi="Times New Roman" w:eastAsia="FangSong_GB2312"/>
          <w:color w:val="auto"/>
          <w:spacing w:val="2"/>
          <w:sz w:val="32"/>
          <w:szCs w:val="32"/>
          <w:highlight w:val="none"/>
        </w:rPr>
      </w:pPr>
      <w:r>
        <w:rPr>
          <w:rFonts w:ascii="Times New Roman" w:hAnsi="Times New Roman" w:eastAsia="楷体_GB2312"/>
          <w:b/>
          <w:bCs/>
          <w:color w:val="auto"/>
          <w:spacing w:val="2"/>
          <w:sz w:val="32"/>
          <w:szCs w:val="32"/>
          <w:highlight w:val="none"/>
        </w:rPr>
        <w:t>第二十</w:t>
      </w:r>
      <w:r>
        <w:rPr>
          <w:rFonts w:hint="eastAsia" w:eastAsia="楷体_GB2312"/>
          <w:b/>
          <w:bCs/>
          <w:color w:val="auto"/>
          <w:spacing w:val="2"/>
          <w:sz w:val="32"/>
          <w:szCs w:val="32"/>
          <w:highlight w:val="none"/>
          <w:lang w:eastAsia="zh-CN"/>
        </w:rPr>
        <w:t>三</w:t>
      </w:r>
      <w:r>
        <w:rPr>
          <w:rFonts w:ascii="Times New Roman" w:hAnsi="Times New Roman" w:eastAsia="楷体_GB2312"/>
          <w:b/>
          <w:bCs/>
          <w:color w:val="auto"/>
          <w:spacing w:val="2"/>
          <w:sz w:val="32"/>
          <w:szCs w:val="32"/>
          <w:highlight w:val="none"/>
        </w:rPr>
        <w:t>条</w:t>
      </w:r>
      <w:r>
        <w:rPr>
          <w:rFonts w:ascii="Times New Roman" w:hAnsi="Times New Roman" w:eastAsia="FangSong_GB2312"/>
          <w:color w:val="auto"/>
          <w:spacing w:val="2"/>
          <w:sz w:val="32"/>
          <w:szCs w:val="32"/>
          <w:highlight w:val="none"/>
        </w:rPr>
        <w:t xml:space="preserve">  </w:t>
      </w:r>
      <w:r>
        <w:rPr>
          <w:rFonts w:hint="eastAsia" w:ascii="Times New Roman" w:hAnsi="Times New Roman" w:eastAsia="FangSong_GB2312" w:cs="Times New Roman"/>
          <w:color w:val="auto"/>
          <w:spacing w:val="2"/>
          <w:sz w:val="32"/>
          <w:szCs w:val="32"/>
          <w:highlight w:val="none"/>
          <w:lang w:eastAsia="zh-CN"/>
        </w:rPr>
        <w:t>联合体</w:t>
      </w:r>
      <w:r>
        <w:rPr>
          <w:rFonts w:ascii="Times New Roman" w:hAnsi="Times New Roman" w:eastAsia="FangSong_GB2312"/>
          <w:color w:val="auto"/>
          <w:spacing w:val="2"/>
          <w:sz w:val="32"/>
          <w:szCs w:val="32"/>
          <w:highlight w:val="none"/>
        </w:rPr>
        <w:t>在</w:t>
      </w:r>
      <w:r>
        <w:rPr>
          <w:rFonts w:hint="eastAsia" w:ascii="Times New Roman" w:hAnsi="Times New Roman" w:eastAsia="FangSong_GB2312"/>
          <w:color w:val="auto"/>
          <w:spacing w:val="2"/>
          <w:sz w:val="32"/>
          <w:szCs w:val="32"/>
          <w:highlight w:val="none"/>
          <w:lang w:eastAsia="zh-CN"/>
        </w:rPr>
        <w:t>履约过程</w:t>
      </w:r>
      <w:r>
        <w:rPr>
          <w:rFonts w:ascii="Times New Roman" w:hAnsi="Times New Roman" w:eastAsia="FangSong_GB2312"/>
          <w:color w:val="auto"/>
          <w:spacing w:val="2"/>
          <w:sz w:val="32"/>
          <w:szCs w:val="32"/>
          <w:highlight w:val="none"/>
        </w:rPr>
        <w:t>中</w:t>
      </w:r>
      <w:r>
        <w:rPr>
          <w:rFonts w:hint="eastAsia" w:ascii="Times New Roman" w:hAnsi="Times New Roman" w:eastAsia="FangSong_GB2312"/>
          <w:color w:val="auto"/>
          <w:spacing w:val="2"/>
          <w:sz w:val="32"/>
          <w:szCs w:val="32"/>
          <w:highlight w:val="none"/>
          <w:lang w:eastAsia="zh-CN"/>
        </w:rPr>
        <w:t>出现</w:t>
      </w:r>
      <w:r>
        <w:rPr>
          <w:rFonts w:ascii="Times New Roman" w:hAnsi="Times New Roman" w:eastAsia="FangSong_GB2312"/>
          <w:color w:val="auto"/>
          <w:spacing w:val="2"/>
          <w:sz w:val="32"/>
          <w:szCs w:val="32"/>
          <w:highlight w:val="none"/>
        </w:rPr>
        <w:t>下列情形之一</w:t>
      </w:r>
      <w:r>
        <w:rPr>
          <w:rFonts w:hint="eastAsia" w:ascii="Times New Roman" w:hAnsi="Times New Roman" w:eastAsia="FangSong_GB2312"/>
          <w:color w:val="auto"/>
          <w:spacing w:val="2"/>
          <w:sz w:val="32"/>
          <w:szCs w:val="32"/>
          <w:highlight w:val="none"/>
          <w:lang w:eastAsia="zh-CN"/>
        </w:rPr>
        <w:t>，</w:t>
      </w:r>
      <w:r>
        <w:rPr>
          <w:rFonts w:ascii="Times New Roman" w:hAnsi="Times New Roman" w:eastAsia="FangSong_GB2312"/>
          <w:color w:val="auto"/>
          <w:spacing w:val="2"/>
          <w:sz w:val="32"/>
          <w:szCs w:val="32"/>
          <w:highlight w:val="none"/>
        </w:rPr>
        <w:t>评审中心</w:t>
      </w:r>
      <w:r>
        <w:rPr>
          <w:rFonts w:hint="eastAsia" w:ascii="Times New Roman" w:hAnsi="Times New Roman" w:eastAsia="FangSong_GB2312"/>
          <w:color w:val="auto"/>
          <w:spacing w:val="2"/>
          <w:sz w:val="32"/>
          <w:szCs w:val="32"/>
          <w:highlight w:val="none"/>
          <w:lang w:eastAsia="zh-CN"/>
        </w:rPr>
        <w:t>对联合体下达整改通知书，并将涉事项目考核记为不合格</w:t>
      </w:r>
      <w:r>
        <w:rPr>
          <w:rFonts w:ascii="Times New Roman" w:hAnsi="Times New Roman" w:eastAsia="FangSong_GB2312"/>
          <w:color w:val="auto"/>
          <w:spacing w:val="2"/>
          <w:sz w:val="32"/>
          <w:szCs w:val="32"/>
          <w:highlight w:val="none"/>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（一）违反保密纪律泄露评审秘密及被评审单位的商业秘密未造成损失</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（二）私自接受建设、施工单位直接报送的项目资料</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（三）擅自将评审人员的通讯联系方式告知建设、施工单位</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（四）私自与建设、施工单位相关人员就评审事项进行接触</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（五）私自将受托评审项目转包或分包给其他单位或个人</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（六）参与自己编制的招标控制价项目评审</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（七）安排非本公司的造价人员参与项目评审</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w:t>
      </w:r>
      <w:r>
        <w:rPr>
          <w:rFonts w:hint="eastAsia" w:ascii="Times New Roman" w:hAnsi="Times New Roman" w:eastAsia="FangSong_GB2312"/>
          <w:color w:val="auto"/>
          <w:spacing w:val="2"/>
          <w:sz w:val="32"/>
          <w:szCs w:val="32"/>
          <w:highlight w:val="none"/>
          <w:lang w:eastAsia="zh-CN"/>
        </w:rPr>
        <w:t>八</w:t>
      </w:r>
      <w:r>
        <w:rPr>
          <w:rFonts w:ascii="Times New Roman" w:hAnsi="Times New Roman" w:eastAsia="FangSong_GB2312"/>
          <w:color w:val="auto"/>
          <w:spacing w:val="2"/>
          <w:sz w:val="32"/>
          <w:szCs w:val="32"/>
          <w:highlight w:val="none"/>
        </w:rPr>
        <w:t>）无正当理由不服从评审中心安排</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w:t>
      </w:r>
      <w:r>
        <w:rPr>
          <w:rFonts w:hint="eastAsia" w:ascii="Times New Roman" w:hAnsi="Times New Roman" w:eastAsia="FangSong_GB2312"/>
          <w:color w:val="auto"/>
          <w:spacing w:val="2"/>
          <w:sz w:val="32"/>
          <w:szCs w:val="32"/>
          <w:highlight w:val="none"/>
          <w:lang w:eastAsia="zh-CN"/>
        </w:rPr>
        <w:t>九</w:t>
      </w:r>
      <w:r>
        <w:rPr>
          <w:rFonts w:ascii="Times New Roman" w:hAnsi="Times New Roman" w:eastAsia="FangSong_GB2312"/>
          <w:color w:val="auto"/>
          <w:spacing w:val="2"/>
          <w:sz w:val="32"/>
          <w:szCs w:val="32"/>
          <w:highlight w:val="none"/>
        </w:rPr>
        <w:t>）隐瞒评审发现的问题未造成损失</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w:t>
      </w:r>
      <w:r>
        <w:rPr>
          <w:rFonts w:hint="eastAsia" w:ascii="Times New Roman" w:hAnsi="Times New Roman" w:eastAsia="FangSong_GB2312"/>
          <w:color w:val="auto"/>
          <w:spacing w:val="2"/>
          <w:sz w:val="32"/>
          <w:szCs w:val="32"/>
          <w:highlight w:val="none"/>
          <w:lang w:eastAsia="zh-CN"/>
        </w:rPr>
        <w:t>十</w:t>
      </w:r>
      <w:r>
        <w:rPr>
          <w:rFonts w:ascii="Times New Roman" w:hAnsi="Times New Roman" w:eastAsia="FangSong_GB2312"/>
          <w:color w:val="auto"/>
          <w:spacing w:val="2"/>
          <w:sz w:val="32"/>
          <w:szCs w:val="32"/>
          <w:highlight w:val="none"/>
        </w:rPr>
        <w:t>）提供内容不实或虚假的评审结论未造成损失</w:t>
      </w:r>
      <w:r>
        <w:rPr>
          <w:rFonts w:hint="eastAsia" w:ascii="Times New Roman" w:hAnsi="Times New Roman" w:eastAsia="FangSong_GB2312"/>
          <w:color w:val="auto"/>
          <w:spacing w:val="2"/>
          <w:sz w:val="32"/>
          <w:szCs w:val="32"/>
          <w:highlight w:val="none"/>
          <w:lang w:eastAsia="zh-CN"/>
        </w:rPr>
        <w:t>。</w:t>
      </w:r>
    </w:p>
    <w:p>
      <w:pPr>
        <w:spacing w:line="576" w:lineRule="exact"/>
        <w:ind w:firstLine="638" w:firstLineChars="197"/>
        <w:rPr>
          <w:rFonts w:ascii="Times New Roman" w:hAnsi="Times New Roman" w:eastAsia="FangSong_GB2312"/>
          <w:color w:val="auto"/>
          <w:spacing w:val="2"/>
          <w:sz w:val="32"/>
          <w:szCs w:val="32"/>
          <w:highlight w:val="none"/>
        </w:rPr>
      </w:pPr>
    </w:p>
    <w:p>
      <w:pPr>
        <w:spacing w:line="576" w:lineRule="exact"/>
        <w:ind w:firstLine="641" w:firstLineChars="197"/>
        <w:rPr>
          <w:rFonts w:ascii="Times New Roman" w:hAnsi="Times New Roman" w:eastAsia="FangSong_GB2312"/>
          <w:color w:val="auto"/>
          <w:spacing w:val="2"/>
          <w:sz w:val="32"/>
          <w:szCs w:val="32"/>
          <w:highlight w:val="none"/>
        </w:rPr>
      </w:pPr>
      <w:r>
        <w:rPr>
          <w:rFonts w:ascii="Times New Roman" w:hAnsi="Times New Roman" w:eastAsia="楷体_GB2312"/>
          <w:b/>
          <w:bCs/>
          <w:color w:val="auto"/>
          <w:spacing w:val="2"/>
          <w:sz w:val="32"/>
          <w:szCs w:val="32"/>
          <w:highlight w:val="none"/>
        </w:rPr>
        <w:t>第二十</w:t>
      </w:r>
      <w:r>
        <w:rPr>
          <w:rFonts w:hint="eastAsia" w:eastAsia="楷体_GB2312"/>
          <w:b/>
          <w:bCs/>
          <w:color w:val="auto"/>
          <w:spacing w:val="2"/>
          <w:sz w:val="32"/>
          <w:szCs w:val="32"/>
          <w:highlight w:val="none"/>
          <w:lang w:eastAsia="zh-CN"/>
        </w:rPr>
        <w:t>四</w:t>
      </w:r>
      <w:r>
        <w:rPr>
          <w:rFonts w:ascii="Times New Roman" w:hAnsi="Times New Roman" w:eastAsia="楷体_GB2312"/>
          <w:b/>
          <w:bCs/>
          <w:color w:val="auto"/>
          <w:spacing w:val="2"/>
          <w:sz w:val="32"/>
          <w:szCs w:val="32"/>
          <w:highlight w:val="none"/>
        </w:rPr>
        <w:t xml:space="preserve">条  </w:t>
      </w:r>
      <w:r>
        <w:rPr>
          <w:rFonts w:hint="eastAsia" w:ascii="Times New Roman" w:hAnsi="Times New Roman" w:eastAsia="FangSong_GB2312" w:cs="Times New Roman"/>
          <w:color w:val="auto"/>
          <w:spacing w:val="2"/>
          <w:sz w:val="32"/>
          <w:szCs w:val="32"/>
          <w:highlight w:val="none"/>
          <w:lang w:eastAsia="zh-CN"/>
        </w:rPr>
        <w:t>联合体</w:t>
      </w:r>
      <w:r>
        <w:rPr>
          <w:rFonts w:ascii="Times New Roman" w:hAnsi="Times New Roman" w:eastAsia="FangSong_GB2312"/>
          <w:color w:val="auto"/>
          <w:spacing w:val="2"/>
          <w:sz w:val="32"/>
          <w:szCs w:val="32"/>
          <w:highlight w:val="none"/>
        </w:rPr>
        <w:t>在</w:t>
      </w:r>
      <w:r>
        <w:rPr>
          <w:rFonts w:hint="eastAsia" w:ascii="Times New Roman" w:hAnsi="Times New Roman" w:eastAsia="FangSong_GB2312"/>
          <w:color w:val="auto"/>
          <w:spacing w:val="2"/>
          <w:sz w:val="32"/>
          <w:szCs w:val="32"/>
          <w:highlight w:val="none"/>
          <w:lang w:eastAsia="zh-CN"/>
        </w:rPr>
        <w:t>履约</w:t>
      </w:r>
      <w:r>
        <w:rPr>
          <w:rFonts w:ascii="Times New Roman" w:hAnsi="Times New Roman" w:eastAsia="FangSong_GB2312"/>
          <w:color w:val="auto"/>
          <w:spacing w:val="2"/>
          <w:sz w:val="32"/>
          <w:szCs w:val="32"/>
          <w:highlight w:val="none"/>
        </w:rPr>
        <w:t>过程中</w:t>
      </w:r>
      <w:r>
        <w:rPr>
          <w:rFonts w:hint="eastAsia" w:ascii="Times New Roman" w:hAnsi="Times New Roman" w:eastAsia="FangSong_GB2312"/>
          <w:color w:val="auto"/>
          <w:spacing w:val="2"/>
          <w:sz w:val="32"/>
          <w:szCs w:val="32"/>
          <w:highlight w:val="none"/>
          <w:lang w:eastAsia="zh-CN"/>
        </w:rPr>
        <w:t>出现</w:t>
      </w:r>
      <w:r>
        <w:rPr>
          <w:rFonts w:ascii="Times New Roman" w:hAnsi="Times New Roman" w:eastAsia="FangSong_GB2312"/>
          <w:color w:val="auto"/>
          <w:spacing w:val="2"/>
          <w:sz w:val="32"/>
          <w:szCs w:val="32"/>
          <w:highlight w:val="none"/>
        </w:rPr>
        <w:t>下列情形之一</w:t>
      </w:r>
      <w:r>
        <w:rPr>
          <w:rFonts w:hint="eastAsia" w:ascii="Times New Roman" w:hAnsi="Times New Roman" w:eastAsia="FangSong_GB2312"/>
          <w:color w:val="auto"/>
          <w:spacing w:val="2"/>
          <w:sz w:val="32"/>
          <w:szCs w:val="32"/>
          <w:highlight w:val="none"/>
          <w:lang w:eastAsia="zh-CN"/>
        </w:rPr>
        <w:t>，评审中心不予续签下一年服务合同</w:t>
      </w:r>
      <w:r>
        <w:rPr>
          <w:rFonts w:ascii="Times New Roman" w:hAnsi="Times New Roman" w:eastAsia="FangSong_GB2312"/>
          <w:color w:val="auto"/>
          <w:spacing w:val="2"/>
          <w:sz w:val="32"/>
          <w:szCs w:val="32"/>
          <w:highlight w:val="none"/>
        </w:rPr>
        <w:t>：</w:t>
      </w:r>
    </w:p>
    <w:p>
      <w:pPr>
        <w:spacing w:line="576" w:lineRule="exact"/>
        <w:ind w:firstLine="648" w:firstLineChars="200"/>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（一）在一</w:t>
      </w:r>
      <w:r>
        <w:rPr>
          <w:rFonts w:hint="eastAsia" w:ascii="Times New Roman" w:hAnsi="Times New Roman" w:eastAsia="FangSong_GB2312"/>
          <w:color w:val="auto"/>
          <w:spacing w:val="2"/>
          <w:sz w:val="32"/>
          <w:szCs w:val="32"/>
          <w:highlight w:val="none"/>
          <w:lang w:eastAsia="zh-CN"/>
        </w:rPr>
        <w:t>年服务期</w:t>
      </w:r>
      <w:r>
        <w:rPr>
          <w:rFonts w:ascii="Times New Roman" w:hAnsi="Times New Roman" w:eastAsia="FangSong_GB2312"/>
          <w:color w:val="auto"/>
          <w:spacing w:val="2"/>
          <w:sz w:val="32"/>
          <w:szCs w:val="32"/>
          <w:highlight w:val="none"/>
        </w:rPr>
        <w:t>内有</w:t>
      </w:r>
      <w:r>
        <w:rPr>
          <w:rFonts w:hint="eastAsia" w:ascii="Times New Roman" w:hAnsi="Times New Roman" w:eastAsia="FangSong_GB2312"/>
          <w:i w:val="0"/>
          <w:iCs w:val="0"/>
          <w:color w:val="auto"/>
          <w:spacing w:val="2"/>
          <w:sz w:val="32"/>
          <w:szCs w:val="32"/>
          <w:highlight w:val="none"/>
          <w:lang w:val="en-US" w:eastAsia="zh-CN"/>
        </w:rPr>
        <w:t>10%及以上的</w:t>
      </w:r>
      <w:r>
        <w:rPr>
          <w:rFonts w:ascii="Times New Roman" w:hAnsi="Times New Roman" w:eastAsia="FangSong_GB2312"/>
          <w:color w:val="auto"/>
          <w:spacing w:val="2"/>
          <w:sz w:val="32"/>
          <w:szCs w:val="32"/>
          <w:highlight w:val="none"/>
        </w:rPr>
        <w:t>项目未在规定时间内完成，</w:t>
      </w:r>
      <w:r>
        <w:rPr>
          <w:rFonts w:hint="eastAsia" w:ascii="Times New Roman" w:hAnsi="Times New Roman" w:eastAsia="FangSong_GB2312"/>
          <w:color w:val="auto"/>
          <w:spacing w:val="2"/>
          <w:sz w:val="32"/>
          <w:szCs w:val="32"/>
          <w:highlight w:val="none"/>
          <w:lang w:eastAsia="zh-CN"/>
        </w:rPr>
        <w:t>且</w:t>
      </w:r>
      <w:r>
        <w:rPr>
          <w:rFonts w:ascii="Times New Roman" w:hAnsi="Times New Roman" w:eastAsia="FangSong_GB2312"/>
          <w:color w:val="auto"/>
          <w:spacing w:val="2"/>
          <w:sz w:val="32"/>
          <w:szCs w:val="32"/>
          <w:highlight w:val="none"/>
        </w:rPr>
        <w:t>经评审中心确认</w:t>
      </w:r>
      <w:r>
        <w:rPr>
          <w:rFonts w:hint="eastAsia" w:ascii="Times New Roman" w:hAnsi="Times New Roman" w:eastAsia="FangSong_GB2312"/>
          <w:color w:val="auto"/>
          <w:spacing w:val="2"/>
          <w:sz w:val="32"/>
          <w:szCs w:val="32"/>
          <w:highlight w:val="none"/>
        </w:rPr>
        <w:t>无</w:t>
      </w:r>
      <w:r>
        <w:rPr>
          <w:rFonts w:ascii="Times New Roman" w:hAnsi="Times New Roman" w:eastAsia="FangSong_GB2312"/>
          <w:color w:val="auto"/>
          <w:spacing w:val="2"/>
          <w:sz w:val="32"/>
          <w:szCs w:val="32"/>
          <w:highlight w:val="none"/>
        </w:rPr>
        <w:t>特殊事项</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（二）在一个年度内区财政投资评审中心对</w:t>
      </w:r>
      <w:r>
        <w:rPr>
          <w:rFonts w:hint="eastAsia" w:ascii="Times New Roman" w:hAnsi="Times New Roman" w:eastAsia="FangSong_GB2312"/>
          <w:color w:val="auto"/>
          <w:spacing w:val="2"/>
          <w:sz w:val="32"/>
          <w:szCs w:val="32"/>
          <w:highlight w:val="none"/>
          <w:lang w:eastAsia="zh-CN"/>
        </w:rPr>
        <w:t>联合体</w:t>
      </w:r>
      <w:r>
        <w:rPr>
          <w:rFonts w:ascii="Times New Roman" w:hAnsi="Times New Roman" w:eastAsia="FangSong_GB2312"/>
          <w:color w:val="auto"/>
          <w:spacing w:val="2"/>
          <w:sz w:val="32"/>
          <w:szCs w:val="32"/>
          <w:highlight w:val="none"/>
        </w:rPr>
        <w:t>评审结果复核发现重大漏项、重要工程量误差20%及以上</w:t>
      </w:r>
      <w:r>
        <w:rPr>
          <w:rFonts w:hint="eastAsia" w:ascii="Times New Roman" w:hAnsi="Times New Roman" w:eastAsia="FangSong_GB2312"/>
          <w:color w:val="auto"/>
          <w:spacing w:val="2"/>
          <w:sz w:val="32"/>
          <w:szCs w:val="32"/>
          <w:highlight w:val="none"/>
          <w:lang w:eastAsia="zh-CN"/>
        </w:rPr>
        <w:t>达</w:t>
      </w:r>
      <w:r>
        <w:rPr>
          <w:rFonts w:hint="eastAsia" w:ascii="Times New Roman" w:hAnsi="Times New Roman" w:eastAsia="FangSong_GB2312"/>
          <w:i/>
          <w:iCs/>
          <w:color w:val="auto"/>
          <w:spacing w:val="2"/>
          <w:sz w:val="32"/>
          <w:szCs w:val="32"/>
          <w:highlight w:val="none"/>
          <w:lang w:val="en-US" w:eastAsia="zh-CN"/>
        </w:rPr>
        <w:t>3</w:t>
      </w:r>
      <w:r>
        <w:rPr>
          <w:rFonts w:ascii="Times New Roman" w:hAnsi="Times New Roman" w:eastAsia="FangSong_GB2312"/>
          <w:color w:val="auto"/>
          <w:spacing w:val="2"/>
          <w:sz w:val="32"/>
          <w:szCs w:val="32"/>
          <w:highlight w:val="none"/>
        </w:rPr>
        <w:t>次</w:t>
      </w:r>
      <w:r>
        <w:rPr>
          <w:rFonts w:hint="eastAsia" w:eastAsia="FangSong_GB2312"/>
          <w:color w:val="auto"/>
          <w:spacing w:val="2"/>
          <w:sz w:val="32"/>
          <w:szCs w:val="32"/>
          <w:highlight w:val="none"/>
          <w:lang w:eastAsia="zh-CN"/>
        </w:rPr>
        <w:t>。</w:t>
      </w:r>
    </w:p>
    <w:p>
      <w:pPr>
        <w:spacing w:line="576" w:lineRule="exact"/>
        <w:ind w:firstLine="638" w:firstLineChars="197"/>
        <w:rPr>
          <w:rFonts w:hint="default" w:ascii="Times New Roman" w:hAnsi="Times New Roman" w:eastAsia="FangSong_GB2312"/>
          <w:color w:val="auto"/>
          <w:spacing w:val="2"/>
          <w:sz w:val="32"/>
          <w:szCs w:val="32"/>
          <w:highlight w:val="none"/>
          <w:lang w:val="en-US" w:eastAsia="zh-CN"/>
        </w:rPr>
      </w:pPr>
      <w:r>
        <w:rPr>
          <w:rFonts w:ascii="Times New Roman" w:hAnsi="Times New Roman" w:eastAsia="FangSong_GB2312"/>
          <w:color w:val="auto"/>
          <w:spacing w:val="2"/>
          <w:sz w:val="32"/>
          <w:szCs w:val="32"/>
          <w:highlight w:val="none"/>
        </w:rPr>
        <w:t>（三）</w:t>
      </w:r>
      <w:r>
        <w:rPr>
          <w:rFonts w:hint="eastAsia" w:ascii="Times New Roman" w:hAnsi="Times New Roman" w:eastAsia="FangSong_GB2312"/>
          <w:color w:val="auto"/>
          <w:spacing w:val="2"/>
          <w:sz w:val="32"/>
          <w:szCs w:val="32"/>
          <w:highlight w:val="none"/>
          <w:lang w:eastAsia="zh-CN"/>
        </w:rPr>
        <w:t>在一年服务期内收到整改通知书达</w:t>
      </w:r>
      <w:r>
        <w:rPr>
          <w:rFonts w:hint="eastAsia" w:ascii="Times New Roman" w:hAnsi="Times New Roman" w:eastAsia="FangSong_GB2312"/>
          <w:color w:val="auto"/>
          <w:spacing w:val="2"/>
          <w:sz w:val="32"/>
          <w:szCs w:val="32"/>
          <w:highlight w:val="none"/>
          <w:lang w:val="en-US" w:eastAsia="zh-CN"/>
        </w:rPr>
        <w:t>3次</w:t>
      </w:r>
      <w:r>
        <w:rPr>
          <w:rFonts w:hint="eastAsia" w:eastAsia="FangSong_GB2312"/>
          <w:color w:val="auto"/>
          <w:spacing w:val="2"/>
          <w:sz w:val="32"/>
          <w:szCs w:val="32"/>
          <w:highlight w:val="none"/>
          <w:lang w:val="en-US" w:eastAsia="zh-CN"/>
        </w:rPr>
        <w:t>。</w:t>
      </w:r>
    </w:p>
    <w:p>
      <w:pPr>
        <w:spacing w:line="576" w:lineRule="exact"/>
        <w:ind w:firstLine="648" w:firstLineChars="200"/>
        <w:rPr>
          <w:rFonts w:hint="default" w:ascii="Times New Roman" w:hAnsi="Times New Roman" w:eastAsia="FangSong_GB2312"/>
          <w:color w:val="auto"/>
          <w:spacing w:val="2"/>
          <w:sz w:val="32"/>
          <w:szCs w:val="32"/>
          <w:highlight w:val="none"/>
          <w:lang w:val="en-US" w:eastAsia="zh-CN"/>
        </w:rPr>
      </w:pPr>
      <w:r>
        <w:rPr>
          <w:rFonts w:hint="eastAsia" w:ascii="Times New Roman" w:hAnsi="Times New Roman" w:eastAsia="FangSong_GB2312"/>
          <w:color w:val="auto"/>
          <w:spacing w:val="2"/>
          <w:sz w:val="32"/>
          <w:szCs w:val="32"/>
          <w:highlight w:val="none"/>
          <w:lang w:eastAsia="zh-CN"/>
        </w:rPr>
        <w:t>（四）在一年服务期限满后统计的日常考核不合格率为</w:t>
      </w:r>
      <w:r>
        <w:rPr>
          <w:rFonts w:hint="eastAsia" w:ascii="Times New Roman" w:hAnsi="Times New Roman" w:eastAsia="FangSong_GB2312"/>
          <w:color w:val="auto"/>
          <w:spacing w:val="2"/>
          <w:sz w:val="32"/>
          <w:szCs w:val="32"/>
          <w:highlight w:val="none"/>
          <w:lang w:val="en-US" w:eastAsia="zh-CN"/>
        </w:rPr>
        <w:t>10%至20%（不含20%）。</w:t>
      </w:r>
    </w:p>
    <w:p>
      <w:pPr>
        <w:spacing w:line="576" w:lineRule="exact"/>
        <w:ind w:firstLine="648" w:firstLineChars="200"/>
        <w:rPr>
          <w:rFonts w:hint="eastAsia" w:ascii="Times New Roman" w:hAnsi="Times New Roman" w:eastAsia="FangSong_GB2312"/>
          <w:color w:val="auto"/>
          <w:spacing w:val="2"/>
          <w:sz w:val="32"/>
          <w:szCs w:val="32"/>
          <w:highlight w:val="none"/>
          <w:lang w:eastAsia="zh-CN"/>
        </w:rPr>
      </w:pPr>
    </w:p>
    <w:p>
      <w:pPr>
        <w:spacing w:line="576" w:lineRule="exact"/>
        <w:ind w:firstLine="641" w:firstLineChars="197"/>
        <w:rPr>
          <w:rFonts w:ascii="Times New Roman" w:hAnsi="Times New Roman" w:eastAsia="FangSong_GB2312"/>
          <w:color w:val="auto"/>
          <w:spacing w:val="2"/>
          <w:sz w:val="32"/>
          <w:szCs w:val="32"/>
          <w:highlight w:val="none"/>
        </w:rPr>
      </w:pPr>
      <w:r>
        <w:rPr>
          <w:rFonts w:ascii="Times New Roman" w:hAnsi="Times New Roman" w:eastAsia="楷体_GB2312"/>
          <w:b/>
          <w:bCs/>
          <w:color w:val="auto"/>
          <w:spacing w:val="2"/>
          <w:sz w:val="32"/>
          <w:szCs w:val="32"/>
          <w:highlight w:val="none"/>
        </w:rPr>
        <w:t>第二十</w:t>
      </w:r>
      <w:r>
        <w:rPr>
          <w:rFonts w:hint="eastAsia" w:eastAsia="楷体_GB2312"/>
          <w:b/>
          <w:bCs/>
          <w:color w:val="auto"/>
          <w:spacing w:val="2"/>
          <w:sz w:val="32"/>
          <w:szCs w:val="32"/>
          <w:highlight w:val="none"/>
          <w:lang w:eastAsia="zh-CN"/>
        </w:rPr>
        <w:t>五</w:t>
      </w:r>
      <w:r>
        <w:rPr>
          <w:rFonts w:ascii="Times New Roman" w:hAnsi="Times New Roman" w:eastAsia="楷体_GB2312"/>
          <w:b/>
          <w:bCs/>
          <w:color w:val="auto"/>
          <w:spacing w:val="2"/>
          <w:sz w:val="32"/>
          <w:szCs w:val="32"/>
          <w:highlight w:val="none"/>
        </w:rPr>
        <w:t>条</w:t>
      </w:r>
      <w:r>
        <w:rPr>
          <w:rFonts w:ascii="Times New Roman" w:hAnsi="Times New Roman" w:eastAsia="FangSong_GB2312"/>
          <w:color w:val="auto"/>
          <w:spacing w:val="2"/>
          <w:sz w:val="32"/>
          <w:szCs w:val="32"/>
          <w:highlight w:val="none"/>
        </w:rPr>
        <w:t xml:space="preserve">  </w:t>
      </w:r>
      <w:r>
        <w:rPr>
          <w:rFonts w:hint="eastAsia" w:ascii="Times New Roman" w:hAnsi="Times New Roman" w:eastAsia="FangSong_GB2312"/>
          <w:color w:val="auto"/>
          <w:spacing w:val="2"/>
          <w:sz w:val="32"/>
          <w:szCs w:val="32"/>
          <w:highlight w:val="none"/>
          <w:lang w:eastAsia="zh-CN"/>
        </w:rPr>
        <w:t>联合体</w:t>
      </w:r>
      <w:r>
        <w:rPr>
          <w:rFonts w:ascii="Times New Roman" w:hAnsi="Times New Roman" w:eastAsia="FangSong_GB2312"/>
          <w:color w:val="auto"/>
          <w:spacing w:val="2"/>
          <w:sz w:val="32"/>
          <w:szCs w:val="32"/>
          <w:highlight w:val="none"/>
        </w:rPr>
        <w:t>在</w:t>
      </w:r>
      <w:r>
        <w:rPr>
          <w:rFonts w:hint="eastAsia" w:ascii="Times New Roman" w:hAnsi="Times New Roman" w:eastAsia="FangSong_GB2312"/>
          <w:color w:val="auto"/>
          <w:spacing w:val="2"/>
          <w:sz w:val="32"/>
          <w:szCs w:val="32"/>
          <w:highlight w:val="none"/>
          <w:lang w:eastAsia="zh-CN"/>
        </w:rPr>
        <w:t>履约</w:t>
      </w:r>
      <w:r>
        <w:rPr>
          <w:rFonts w:ascii="Times New Roman" w:hAnsi="Times New Roman" w:eastAsia="FangSong_GB2312"/>
          <w:color w:val="auto"/>
          <w:spacing w:val="2"/>
          <w:sz w:val="32"/>
          <w:szCs w:val="32"/>
          <w:highlight w:val="none"/>
        </w:rPr>
        <w:t>过程中</w:t>
      </w:r>
      <w:r>
        <w:rPr>
          <w:rFonts w:hint="eastAsia" w:ascii="Times New Roman" w:hAnsi="Times New Roman" w:eastAsia="FangSong_GB2312"/>
          <w:color w:val="auto"/>
          <w:spacing w:val="2"/>
          <w:sz w:val="32"/>
          <w:szCs w:val="32"/>
          <w:highlight w:val="none"/>
          <w:lang w:eastAsia="zh-CN"/>
        </w:rPr>
        <w:t>出现</w:t>
      </w:r>
      <w:r>
        <w:rPr>
          <w:rFonts w:ascii="Times New Roman" w:hAnsi="Times New Roman" w:eastAsia="FangSong_GB2312"/>
          <w:color w:val="auto"/>
          <w:spacing w:val="2"/>
          <w:sz w:val="32"/>
          <w:szCs w:val="32"/>
          <w:highlight w:val="none"/>
        </w:rPr>
        <w:t>下列情形之一</w:t>
      </w:r>
      <w:r>
        <w:rPr>
          <w:rFonts w:hint="eastAsia" w:ascii="Times New Roman" w:hAnsi="Times New Roman" w:eastAsia="FangSong_GB2312"/>
          <w:color w:val="auto"/>
          <w:spacing w:val="2"/>
          <w:sz w:val="32"/>
          <w:szCs w:val="32"/>
          <w:highlight w:val="none"/>
          <w:lang w:eastAsia="zh-CN"/>
        </w:rPr>
        <w:t>，评审中心解除服务合同，并将涉事成员单位纳入黑名单，不得再次参与我区评审工作</w:t>
      </w:r>
      <w:r>
        <w:rPr>
          <w:rFonts w:ascii="Times New Roman" w:hAnsi="Times New Roman" w:eastAsia="FangSong_GB2312"/>
          <w:color w:val="auto"/>
          <w:spacing w:val="2"/>
          <w:sz w:val="32"/>
          <w:szCs w:val="32"/>
          <w:highlight w:val="none"/>
        </w:rPr>
        <w:t>：</w:t>
      </w:r>
    </w:p>
    <w:p>
      <w:pPr>
        <w:numPr>
          <w:ilvl w:val="0"/>
          <w:numId w:val="2"/>
        </w:numPr>
        <w:spacing w:line="576" w:lineRule="exact"/>
        <w:ind w:firstLine="638" w:firstLineChars="197"/>
        <w:rPr>
          <w:rFonts w:ascii="Times New Roman" w:hAnsi="Times New Roman" w:eastAsia="FangSong_GB2312"/>
          <w:color w:val="auto"/>
          <w:spacing w:val="2"/>
          <w:sz w:val="32"/>
          <w:szCs w:val="32"/>
          <w:highlight w:val="none"/>
        </w:rPr>
      </w:pPr>
      <w:r>
        <w:rPr>
          <w:rFonts w:ascii="Times New Roman" w:hAnsi="Times New Roman" w:eastAsia="FangSong_GB2312"/>
          <w:color w:val="auto"/>
          <w:spacing w:val="2"/>
          <w:sz w:val="32"/>
          <w:szCs w:val="32"/>
          <w:highlight w:val="none"/>
        </w:rPr>
        <w:t>在评审过程中因弄虚作假、徇私舞弊或滥用职权造成评审结果严重失实造成损失</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（二）利用评审之便接受建设、施工单位给予的现金、有价证券、支付凭证、信用卡等“红包”和以任何名义给予的加班费、奖金、补贴和福利品或其它礼品</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（三）利用评审工作之便进行索贿、受贿，获取不正当利益</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（四）违反廉政纪律，造成重大社会影响</w:t>
      </w:r>
      <w:r>
        <w:rPr>
          <w:rFonts w:hint="eastAsia" w:eastAsia="FangSong_GB2312"/>
          <w:color w:val="auto"/>
          <w:spacing w:val="2"/>
          <w:sz w:val="32"/>
          <w:szCs w:val="32"/>
          <w:highlight w:val="none"/>
          <w:lang w:eastAsia="zh-CN"/>
        </w:rPr>
        <w:t>；</w:t>
      </w:r>
    </w:p>
    <w:p>
      <w:pPr>
        <w:spacing w:line="576" w:lineRule="exact"/>
        <w:ind w:firstLine="638" w:firstLineChars="197"/>
        <w:rPr>
          <w:rFonts w:hint="eastAsia" w:ascii="Times New Roman" w:hAnsi="Times New Roman" w:eastAsia="FangSong_GB2312"/>
          <w:color w:val="auto"/>
          <w:spacing w:val="2"/>
          <w:sz w:val="32"/>
          <w:szCs w:val="32"/>
          <w:highlight w:val="none"/>
          <w:lang w:eastAsia="zh-CN"/>
        </w:rPr>
      </w:pPr>
      <w:r>
        <w:rPr>
          <w:rFonts w:ascii="Times New Roman" w:hAnsi="Times New Roman" w:eastAsia="FangSong_GB2312"/>
          <w:color w:val="auto"/>
          <w:spacing w:val="2"/>
          <w:sz w:val="32"/>
          <w:szCs w:val="32"/>
          <w:highlight w:val="none"/>
        </w:rPr>
        <w:t>（五）评审过程严重不负责任，失职、渎职</w:t>
      </w:r>
      <w:r>
        <w:rPr>
          <w:rFonts w:hint="eastAsia" w:eastAsia="FangSong_GB2312"/>
          <w:color w:val="auto"/>
          <w:spacing w:val="2"/>
          <w:sz w:val="32"/>
          <w:szCs w:val="32"/>
          <w:highlight w:val="none"/>
          <w:lang w:eastAsia="zh-CN"/>
        </w:rPr>
        <w:t>；</w:t>
      </w:r>
    </w:p>
    <w:p>
      <w:pPr>
        <w:spacing w:line="576" w:lineRule="exact"/>
        <w:ind w:firstLine="638" w:firstLineChars="197"/>
        <w:rPr>
          <w:rFonts w:hint="default" w:ascii="Times New Roman" w:hAnsi="Times New Roman" w:eastAsia="FangSong_GB2312"/>
          <w:color w:val="auto"/>
          <w:spacing w:val="2"/>
          <w:sz w:val="32"/>
          <w:szCs w:val="32"/>
          <w:highlight w:val="none"/>
          <w:lang w:val="en-US" w:eastAsia="zh-CN"/>
        </w:rPr>
      </w:pPr>
      <w:r>
        <w:rPr>
          <w:rFonts w:ascii="Times New Roman" w:hAnsi="Times New Roman" w:eastAsia="FangSong_GB2312"/>
          <w:color w:val="auto"/>
          <w:spacing w:val="2"/>
          <w:sz w:val="32"/>
          <w:szCs w:val="32"/>
          <w:highlight w:val="none"/>
        </w:rPr>
        <w:t>（六）</w:t>
      </w:r>
      <w:r>
        <w:rPr>
          <w:rFonts w:hint="eastAsia" w:ascii="Times New Roman" w:hAnsi="Times New Roman" w:eastAsia="FangSong_GB2312"/>
          <w:color w:val="auto"/>
          <w:spacing w:val="2"/>
          <w:sz w:val="32"/>
          <w:szCs w:val="32"/>
          <w:highlight w:val="none"/>
          <w:lang w:eastAsia="zh-CN"/>
        </w:rPr>
        <w:t>季度统计的日常考核不合格率为</w:t>
      </w:r>
      <w:r>
        <w:rPr>
          <w:rFonts w:hint="eastAsia" w:ascii="Times New Roman" w:hAnsi="Times New Roman" w:eastAsia="FangSong_GB2312"/>
          <w:color w:val="auto"/>
          <w:spacing w:val="2"/>
          <w:sz w:val="32"/>
          <w:szCs w:val="32"/>
          <w:highlight w:val="none"/>
          <w:lang w:val="en-US" w:eastAsia="zh-CN"/>
        </w:rPr>
        <w:t>20%及以上。</w:t>
      </w:r>
    </w:p>
    <w:p>
      <w:pPr>
        <w:spacing w:line="576" w:lineRule="exact"/>
        <w:rPr>
          <w:rFonts w:ascii="Times New Roman" w:hAnsi="Times New Roman" w:eastAsia="FangSong_GB2312"/>
          <w:spacing w:val="2"/>
          <w:sz w:val="32"/>
          <w:szCs w:val="32"/>
          <w:highlight w:val="none"/>
        </w:rPr>
      </w:pPr>
    </w:p>
    <w:p>
      <w:pPr>
        <w:numPr>
          <w:ilvl w:val="0"/>
          <w:numId w:val="3"/>
        </w:numPr>
        <w:spacing w:line="576" w:lineRule="exact"/>
        <w:jc w:val="center"/>
        <w:rPr>
          <w:rFonts w:ascii="Times New Roman" w:hAnsi="Times New Roman" w:eastAsia="黑体"/>
          <w:spacing w:val="2"/>
          <w:sz w:val="32"/>
          <w:szCs w:val="32"/>
          <w:highlight w:val="none"/>
        </w:rPr>
      </w:pPr>
      <w:r>
        <w:rPr>
          <w:rFonts w:ascii="Times New Roman" w:hAnsi="Times New Roman" w:eastAsia="黑体"/>
          <w:spacing w:val="2"/>
          <w:sz w:val="32"/>
          <w:szCs w:val="32"/>
          <w:highlight w:val="none"/>
        </w:rPr>
        <w:t xml:space="preserve"> 罚  则</w:t>
      </w:r>
    </w:p>
    <w:p>
      <w:pPr>
        <w:spacing w:line="576" w:lineRule="exact"/>
        <w:ind w:firstLine="738" w:firstLineChars="22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第二十</w:t>
      </w:r>
      <w:r>
        <w:rPr>
          <w:rFonts w:hint="eastAsia" w:eastAsia="楷体_GB2312"/>
          <w:b/>
          <w:bCs/>
          <w:spacing w:val="2"/>
          <w:sz w:val="32"/>
          <w:szCs w:val="32"/>
          <w:highlight w:val="none"/>
          <w:lang w:eastAsia="zh-CN"/>
        </w:rPr>
        <w:t>六</w:t>
      </w:r>
      <w:r>
        <w:rPr>
          <w:rFonts w:ascii="Times New Roman" w:hAnsi="Times New Roman" w:eastAsia="楷体_GB2312"/>
          <w:b/>
          <w:bCs/>
          <w:spacing w:val="2"/>
          <w:sz w:val="32"/>
          <w:szCs w:val="32"/>
          <w:highlight w:val="none"/>
        </w:rPr>
        <w:t>条</w:t>
      </w:r>
      <w:r>
        <w:rPr>
          <w:rFonts w:ascii="Times New Roman" w:hAnsi="Times New Roman" w:eastAsia="FangSong_GB2312"/>
          <w:spacing w:val="2"/>
          <w:sz w:val="32"/>
          <w:szCs w:val="32"/>
          <w:highlight w:val="none"/>
        </w:rPr>
        <w:t>　对投资评审机构、项目建设单位在财政投资评审工作中存在的违反财政法规的行为，由财政部门按照《财政违法行为处罚处分条例》予以处理。</w:t>
      </w:r>
    </w:p>
    <w:p>
      <w:pPr>
        <w:spacing w:line="576" w:lineRule="exact"/>
        <w:jc w:val="left"/>
        <w:rPr>
          <w:rFonts w:ascii="Times New Roman" w:hAnsi="Times New Roman" w:eastAsia="黑体"/>
          <w:spacing w:val="2"/>
          <w:sz w:val="32"/>
          <w:szCs w:val="32"/>
          <w:highlight w:val="none"/>
        </w:rPr>
      </w:pPr>
      <w:r>
        <w:rPr>
          <w:rFonts w:ascii="Times New Roman" w:hAnsi="Times New Roman" w:eastAsia="楷体_GB2312"/>
          <w:b/>
          <w:bCs/>
          <w:spacing w:val="2"/>
          <w:sz w:val="32"/>
          <w:szCs w:val="32"/>
          <w:highlight w:val="none"/>
        </w:rPr>
        <w:t xml:space="preserve">    第二十</w:t>
      </w:r>
      <w:r>
        <w:rPr>
          <w:rFonts w:hint="eastAsia" w:eastAsia="楷体_GB2312"/>
          <w:b/>
          <w:bCs/>
          <w:spacing w:val="2"/>
          <w:sz w:val="32"/>
          <w:szCs w:val="32"/>
          <w:highlight w:val="none"/>
          <w:lang w:eastAsia="zh-CN"/>
        </w:rPr>
        <w:t>七</w:t>
      </w:r>
      <w:r>
        <w:rPr>
          <w:rFonts w:ascii="Times New Roman" w:hAnsi="Times New Roman" w:eastAsia="楷体_GB2312"/>
          <w:b/>
          <w:bCs/>
          <w:spacing w:val="2"/>
          <w:sz w:val="32"/>
          <w:szCs w:val="32"/>
          <w:highlight w:val="none"/>
        </w:rPr>
        <w:t>条</w:t>
      </w:r>
      <w:r>
        <w:rPr>
          <w:rFonts w:ascii="Times New Roman" w:hAnsi="Times New Roman" w:eastAsia="FangSong_GB2312"/>
          <w:spacing w:val="2"/>
          <w:sz w:val="32"/>
          <w:szCs w:val="32"/>
          <w:highlight w:val="none"/>
        </w:rPr>
        <w:t>　对聘请的</w:t>
      </w:r>
      <w:r>
        <w:rPr>
          <w:rFonts w:hint="eastAsia" w:ascii="Times New Roman" w:hAnsi="Times New Roman" w:eastAsia="FangSong_GB2312"/>
          <w:spacing w:val="2"/>
          <w:sz w:val="32"/>
          <w:szCs w:val="32"/>
          <w:highlight w:val="none"/>
          <w:lang w:eastAsia="zh-CN"/>
        </w:rPr>
        <w:t>第三方</w:t>
      </w:r>
      <w:r>
        <w:rPr>
          <w:rFonts w:ascii="Times New Roman" w:hAnsi="Times New Roman" w:eastAsia="FangSong_GB2312"/>
          <w:spacing w:val="2"/>
          <w:sz w:val="32"/>
          <w:szCs w:val="32"/>
          <w:highlight w:val="none"/>
        </w:rPr>
        <w:t>社会中介机构（专业技术人员）有弄虚作假、隐瞒问题、徇私舞弊、索贿受贿、失职渎职、滥用职权造成评审结果严重失实以及发生其他重大过失等违背职业道德和财经纪律的行为，应及时停止工作并予以解聘，涉嫌违法犯罪的移交司法机关处理。</w:t>
      </w:r>
    </w:p>
    <w:p>
      <w:pPr>
        <w:spacing w:line="576" w:lineRule="exact"/>
        <w:jc w:val="center"/>
        <w:rPr>
          <w:rFonts w:ascii="Times New Roman" w:hAnsi="Times New Roman" w:eastAsia="黑体"/>
          <w:spacing w:val="2"/>
          <w:sz w:val="32"/>
          <w:szCs w:val="32"/>
          <w:highlight w:val="none"/>
        </w:rPr>
      </w:pPr>
    </w:p>
    <w:p>
      <w:pPr>
        <w:spacing w:line="576" w:lineRule="exact"/>
        <w:jc w:val="center"/>
        <w:rPr>
          <w:rFonts w:ascii="Times New Roman" w:hAnsi="Times New Roman" w:eastAsia="FangSong_GB2312"/>
          <w:spacing w:val="2"/>
          <w:sz w:val="32"/>
          <w:szCs w:val="32"/>
          <w:highlight w:val="none"/>
        </w:rPr>
      </w:pPr>
      <w:r>
        <w:rPr>
          <w:rFonts w:ascii="Times New Roman" w:hAnsi="Times New Roman" w:eastAsia="黑体"/>
          <w:spacing w:val="2"/>
          <w:sz w:val="32"/>
          <w:szCs w:val="32"/>
          <w:highlight w:val="none"/>
        </w:rPr>
        <w:t>第九章  附 则</w:t>
      </w:r>
    </w:p>
    <w:p>
      <w:pPr>
        <w:tabs>
          <w:tab w:val="left" w:pos="0"/>
        </w:tabs>
        <w:spacing w:line="576" w:lineRule="exact"/>
        <w:ind w:firstLine="641" w:firstLineChars="19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第二十</w:t>
      </w:r>
      <w:r>
        <w:rPr>
          <w:rFonts w:hint="eastAsia" w:eastAsia="楷体_GB2312"/>
          <w:b/>
          <w:bCs/>
          <w:spacing w:val="2"/>
          <w:sz w:val="32"/>
          <w:szCs w:val="32"/>
          <w:highlight w:val="none"/>
          <w:lang w:eastAsia="zh-CN"/>
        </w:rPr>
        <w:t>八</w:t>
      </w:r>
      <w:r>
        <w:rPr>
          <w:rFonts w:ascii="Times New Roman" w:hAnsi="Times New Roman" w:eastAsia="楷体_GB2312"/>
          <w:b/>
          <w:bCs/>
          <w:spacing w:val="2"/>
          <w:sz w:val="32"/>
          <w:szCs w:val="32"/>
          <w:highlight w:val="none"/>
        </w:rPr>
        <w:t>条</w:t>
      </w:r>
      <w:r>
        <w:rPr>
          <w:rFonts w:ascii="Times New Roman" w:hAnsi="Times New Roman" w:eastAsia="FangSong_GB2312"/>
          <w:spacing w:val="2"/>
          <w:sz w:val="32"/>
          <w:szCs w:val="32"/>
          <w:highlight w:val="none"/>
        </w:rPr>
        <w:t>　本办法自</w:t>
      </w:r>
      <w:r>
        <w:rPr>
          <w:rFonts w:hint="eastAsia" w:ascii="Times New Roman" w:hAnsi="Times New Roman" w:eastAsia="FangSong_GB2312"/>
          <w:spacing w:val="2"/>
          <w:sz w:val="32"/>
          <w:szCs w:val="32"/>
          <w:highlight w:val="none"/>
        </w:rPr>
        <w:t>印发之日</w:t>
      </w:r>
      <w:r>
        <w:rPr>
          <w:rFonts w:hint="eastAsia" w:eastAsia="FangSong_GB2312"/>
          <w:spacing w:val="2"/>
          <w:sz w:val="32"/>
          <w:szCs w:val="32"/>
          <w:highlight w:val="none"/>
          <w:lang w:eastAsia="zh-CN"/>
        </w:rPr>
        <w:t>起</w:t>
      </w:r>
      <w:r>
        <w:rPr>
          <w:rFonts w:ascii="Times New Roman" w:hAnsi="Times New Roman" w:eastAsia="FangSong_GB2312"/>
          <w:spacing w:val="2"/>
          <w:sz w:val="32"/>
          <w:szCs w:val="32"/>
          <w:highlight w:val="none"/>
        </w:rPr>
        <w:t>实施。</w:t>
      </w:r>
    </w:p>
    <w:p>
      <w:pPr>
        <w:tabs>
          <w:tab w:val="left" w:pos="0"/>
        </w:tabs>
        <w:spacing w:line="576" w:lineRule="exact"/>
        <w:ind w:firstLine="641" w:firstLineChars="19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第二十</w:t>
      </w:r>
      <w:r>
        <w:rPr>
          <w:rFonts w:hint="eastAsia" w:eastAsia="楷体_GB2312"/>
          <w:b/>
          <w:bCs/>
          <w:spacing w:val="2"/>
          <w:sz w:val="32"/>
          <w:szCs w:val="32"/>
          <w:highlight w:val="none"/>
          <w:lang w:eastAsia="zh-CN"/>
        </w:rPr>
        <w:t>九</w:t>
      </w:r>
      <w:r>
        <w:rPr>
          <w:rFonts w:ascii="Times New Roman" w:hAnsi="Times New Roman" w:eastAsia="楷体_GB2312"/>
          <w:b/>
          <w:bCs/>
          <w:spacing w:val="2"/>
          <w:sz w:val="32"/>
          <w:szCs w:val="32"/>
          <w:highlight w:val="none"/>
        </w:rPr>
        <w:t>条</w:t>
      </w:r>
      <w:r>
        <w:rPr>
          <w:rFonts w:ascii="Times New Roman" w:hAnsi="Times New Roman" w:eastAsia="FangSong_GB2312"/>
          <w:spacing w:val="2"/>
          <w:sz w:val="32"/>
          <w:szCs w:val="32"/>
          <w:highlight w:val="none"/>
        </w:rPr>
        <w:t>　本办法由区财政局负责解释。</w:t>
      </w:r>
    </w:p>
    <w:p>
      <w:pPr>
        <w:tabs>
          <w:tab w:val="left" w:pos="0"/>
        </w:tabs>
        <w:spacing w:line="576" w:lineRule="exact"/>
        <w:ind w:firstLine="641" w:firstLineChars="197"/>
        <w:rPr>
          <w:rFonts w:ascii="Times New Roman" w:hAnsi="Times New Roman" w:eastAsia="FangSong_GB2312"/>
          <w:spacing w:val="2"/>
          <w:sz w:val="32"/>
          <w:szCs w:val="32"/>
          <w:highlight w:val="none"/>
        </w:rPr>
      </w:pPr>
      <w:r>
        <w:rPr>
          <w:rFonts w:ascii="Times New Roman" w:hAnsi="Times New Roman" w:eastAsia="楷体_GB2312"/>
          <w:b/>
          <w:bCs/>
          <w:spacing w:val="2"/>
          <w:sz w:val="32"/>
          <w:szCs w:val="32"/>
          <w:highlight w:val="none"/>
        </w:rPr>
        <w:t>第</w:t>
      </w:r>
      <w:r>
        <w:rPr>
          <w:rFonts w:hint="eastAsia" w:eastAsia="楷体_GB2312"/>
          <w:b/>
          <w:bCs/>
          <w:spacing w:val="2"/>
          <w:sz w:val="32"/>
          <w:szCs w:val="32"/>
          <w:highlight w:val="none"/>
          <w:lang w:eastAsia="zh-CN"/>
        </w:rPr>
        <w:t>三十</w:t>
      </w:r>
      <w:r>
        <w:rPr>
          <w:rFonts w:ascii="Times New Roman" w:hAnsi="Times New Roman" w:eastAsia="楷体_GB2312"/>
          <w:b/>
          <w:bCs/>
          <w:spacing w:val="2"/>
          <w:sz w:val="32"/>
          <w:szCs w:val="32"/>
          <w:highlight w:val="none"/>
        </w:rPr>
        <w:t>条</w:t>
      </w:r>
      <w:r>
        <w:rPr>
          <w:rFonts w:hint="eastAsia" w:ascii="Times New Roman" w:hAnsi="Times New Roman" w:eastAsia="楷体_GB2312"/>
          <w:b/>
          <w:bCs/>
          <w:spacing w:val="2"/>
          <w:sz w:val="32"/>
          <w:szCs w:val="32"/>
          <w:highlight w:val="none"/>
        </w:rPr>
        <w:t xml:space="preserve"> </w:t>
      </w:r>
      <w:r>
        <w:rPr>
          <w:rFonts w:ascii="Times New Roman" w:hAnsi="Times New Roman" w:eastAsia="FangSong_GB2312"/>
          <w:spacing w:val="2"/>
          <w:sz w:val="32"/>
          <w:szCs w:val="32"/>
          <w:highlight w:val="none"/>
        </w:rPr>
        <w:t>《广元市昭化区财政投资评审管理办法》(昭财发〔201</w:t>
      </w:r>
      <w:r>
        <w:rPr>
          <w:rFonts w:hint="eastAsia" w:ascii="Times New Roman" w:hAnsi="Times New Roman" w:eastAsia="FangSong_GB2312"/>
          <w:spacing w:val="2"/>
          <w:sz w:val="32"/>
          <w:szCs w:val="32"/>
          <w:highlight w:val="none"/>
          <w:lang w:val="en-US" w:eastAsia="zh-CN"/>
        </w:rPr>
        <w:t>8</w:t>
      </w:r>
      <w:r>
        <w:rPr>
          <w:rFonts w:ascii="Times New Roman" w:hAnsi="Times New Roman" w:eastAsia="FangSong_GB2312"/>
          <w:spacing w:val="2"/>
          <w:sz w:val="32"/>
          <w:szCs w:val="32"/>
          <w:highlight w:val="none"/>
        </w:rPr>
        <w:t>〕</w:t>
      </w:r>
      <w:r>
        <w:rPr>
          <w:rFonts w:hint="eastAsia" w:ascii="Times New Roman" w:hAnsi="Times New Roman" w:eastAsia="FangSong_GB2312"/>
          <w:spacing w:val="2"/>
          <w:sz w:val="32"/>
          <w:szCs w:val="32"/>
          <w:highlight w:val="none"/>
          <w:lang w:val="en-US" w:eastAsia="zh-CN"/>
        </w:rPr>
        <w:t>135</w:t>
      </w:r>
      <w:r>
        <w:rPr>
          <w:rFonts w:ascii="Times New Roman" w:hAnsi="Times New Roman" w:eastAsia="FangSong_GB2312"/>
          <w:spacing w:val="2"/>
          <w:sz w:val="32"/>
          <w:szCs w:val="32"/>
          <w:highlight w:val="none"/>
        </w:rPr>
        <w:t>号)同时废止。</w:t>
      </w:r>
    </w:p>
    <w:p>
      <w:pPr>
        <w:pStyle w:val="2"/>
        <w:adjustRightInd/>
        <w:snapToGrid/>
        <w:spacing w:line="500" w:lineRule="exact"/>
        <w:ind w:firstLine="0" w:firstLineChars="0"/>
        <w:jc w:val="center"/>
        <w:rPr>
          <w:rFonts w:ascii="Times New Roman" w:hAnsi="Times New Roman" w:eastAsia="方正小标宋简体"/>
          <w:bCs/>
          <w:spacing w:val="-20"/>
          <w:sz w:val="44"/>
          <w:szCs w:val="44"/>
        </w:rPr>
      </w:pPr>
    </w:p>
    <w:p>
      <w:pPr>
        <w:pStyle w:val="2"/>
        <w:adjustRightInd/>
        <w:snapToGrid/>
        <w:spacing w:line="500" w:lineRule="exact"/>
        <w:ind w:firstLine="0" w:firstLineChars="0"/>
        <w:jc w:val="center"/>
        <w:rPr>
          <w:rFonts w:ascii="Times New Roman" w:hAnsi="Times New Roman" w:eastAsia="方正小标宋简体"/>
          <w:bCs/>
          <w:spacing w:val="-20"/>
          <w:sz w:val="44"/>
          <w:szCs w:val="44"/>
        </w:rPr>
      </w:pPr>
    </w:p>
    <w:p>
      <w:pPr>
        <w:pStyle w:val="2"/>
        <w:adjustRightInd/>
        <w:snapToGrid/>
        <w:spacing w:line="500" w:lineRule="exact"/>
        <w:ind w:firstLine="0" w:firstLineChars="0"/>
        <w:jc w:val="center"/>
        <w:rPr>
          <w:rFonts w:ascii="Times New Roman" w:hAnsi="Times New Roman" w:eastAsia="方正小标宋简体"/>
          <w:bCs/>
          <w:spacing w:val="-20"/>
          <w:sz w:val="44"/>
          <w:szCs w:val="44"/>
        </w:rPr>
      </w:pPr>
    </w:p>
    <w:p>
      <w:pPr>
        <w:rPr>
          <w:rFonts w:hint="eastAsia" w:ascii="Times New Roman" w:hAnsi="Times New Roman" w:eastAsia="方正小标宋简体"/>
          <w:bCs/>
          <w:spacing w:val="-20"/>
          <w:sz w:val="32"/>
          <w:szCs w:val="32"/>
          <w:lang w:eastAsia="zh-CN"/>
        </w:rPr>
      </w:pPr>
      <w:r>
        <w:rPr>
          <w:rFonts w:hint="eastAsia" w:ascii="Times New Roman" w:hAnsi="Times New Roman" w:eastAsia="方正小标宋简体"/>
          <w:bCs/>
          <w:spacing w:val="-20"/>
          <w:sz w:val="32"/>
          <w:szCs w:val="32"/>
          <w:lang w:eastAsia="zh-CN"/>
        </w:rPr>
        <w:br w:type="page"/>
      </w:r>
    </w:p>
    <w:p>
      <w:pPr>
        <w:pStyle w:val="2"/>
        <w:adjustRightInd/>
        <w:snapToGrid/>
        <w:spacing w:line="500" w:lineRule="exact"/>
        <w:ind w:left="0" w:leftChars="0" w:firstLine="0" w:firstLineChars="0"/>
        <w:jc w:val="both"/>
        <w:rPr>
          <w:rFonts w:hint="eastAsia" w:ascii="Times New Roman" w:hAnsi="Times New Roman" w:eastAsia="方正小标宋简体"/>
          <w:bCs/>
          <w:spacing w:val="-20"/>
          <w:sz w:val="32"/>
          <w:szCs w:val="32"/>
          <w:lang w:eastAsia="zh-CN"/>
        </w:rPr>
      </w:pPr>
      <w:r>
        <w:rPr>
          <w:rFonts w:hint="eastAsia" w:ascii="Times New Roman" w:hAnsi="Times New Roman" w:eastAsia="方正小标宋简体"/>
          <w:bCs/>
          <w:spacing w:val="-20"/>
          <w:sz w:val="32"/>
          <w:szCs w:val="32"/>
          <w:lang w:eastAsia="zh-CN"/>
        </w:rPr>
        <w:t>附件一：</w:t>
      </w:r>
    </w:p>
    <w:p>
      <w:pPr>
        <w:pStyle w:val="2"/>
        <w:adjustRightInd/>
        <w:snapToGrid/>
        <w:spacing w:line="500" w:lineRule="exact"/>
        <w:ind w:firstLine="0" w:firstLineChars="0"/>
        <w:jc w:val="center"/>
        <w:rPr>
          <w:rFonts w:ascii="Times New Roman" w:hAnsi="Times New Roman" w:eastAsia="方正小标宋简体"/>
          <w:bCs/>
          <w:spacing w:val="-20"/>
          <w:sz w:val="44"/>
          <w:szCs w:val="44"/>
        </w:rPr>
      </w:pPr>
    </w:p>
    <w:p>
      <w:pPr>
        <w:pStyle w:val="2"/>
        <w:adjustRightInd/>
        <w:snapToGrid/>
        <w:spacing w:line="500" w:lineRule="exact"/>
        <w:ind w:firstLine="0" w:firstLineChars="0"/>
        <w:jc w:val="center"/>
        <w:rPr>
          <w:rFonts w:ascii="Times New Roman" w:hAnsi="Times New Roman" w:eastAsia="方正小标宋简体"/>
          <w:bCs/>
          <w:spacing w:val="-20"/>
          <w:sz w:val="44"/>
          <w:szCs w:val="44"/>
        </w:rPr>
      </w:pPr>
      <w:r>
        <w:rPr>
          <w:rFonts w:ascii="Times New Roman" w:hAnsi="Times New Roman" w:eastAsia="方正小标宋简体"/>
          <w:bCs/>
          <w:spacing w:val="-20"/>
          <w:sz w:val="44"/>
          <w:szCs w:val="44"/>
        </w:rPr>
        <w:t>广元市昭化区财政投资评审业务办理流程</w:t>
      </w:r>
    </w:p>
    <w:p>
      <w:pPr>
        <w:pStyle w:val="2"/>
        <w:adjustRightInd/>
        <w:snapToGrid/>
        <w:spacing w:line="500" w:lineRule="exact"/>
        <w:ind w:firstLine="0" w:firstLineChars="0"/>
        <w:jc w:val="center"/>
        <w:rPr>
          <w:rFonts w:ascii="Times New Roman" w:hAnsi="Times New Roman" w:eastAsia="方正小标宋简体"/>
          <w:bCs/>
          <w:spacing w:val="-20"/>
          <w:sz w:val="44"/>
          <w:szCs w:val="44"/>
        </w:rPr>
      </w:pPr>
      <w:r>
        <w:rPr>
          <w:rFonts w:ascii="Times New Roman" w:hAnsi="Times New Roman"/>
          <w:sz w:val="44"/>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187325</wp:posOffset>
                </wp:positionV>
                <wp:extent cx="5371465" cy="353060"/>
                <wp:effectExtent l="4445" t="4445" r="15240" b="23495"/>
                <wp:wrapNone/>
                <wp:docPr id="16" name="文本框 16"/>
                <wp:cNvGraphicFramePr/>
                <a:graphic xmlns:a="http://schemas.openxmlformats.org/drawingml/2006/main">
                  <a:graphicData uri="http://schemas.microsoft.com/office/word/2010/wordprocessingShape">
                    <wps:wsp>
                      <wps:cNvSpPr txBox="1"/>
                      <wps:spPr>
                        <a:xfrm>
                          <a:off x="0" y="0"/>
                          <a:ext cx="5371465" cy="3530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cs="宋体"/>
                                <w:strike/>
                                <w:color w:val="000000"/>
                                <w:sz w:val="24"/>
                              </w:rPr>
                            </w:pPr>
                            <w:ins w:id="0" w:author="吾乏" w:date="2018-06-01T09:46:00Z">
                              <w:r>
                                <w:rPr>
                                  <w:rFonts w:hint="eastAsia" w:ascii="宋体" w:hAnsi="宋体" w:cs="宋体"/>
                                  <w:color w:val="000000"/>
                                  <w:szCs w:val="21"/>
                                </w:rPr>
                                <w:t>评审中心审核业主单位送审资料、接件、将评审资料分送中介机构（</w:t>
                              </w:r>
                            </w:ins>
                            <w:r>
                              <w:rPr>
                                <w:rFonts w:hint="eastAsia" w:ascii="宋体" w:hAnsi="宋体" w:cs="宋体"/>
                                <w:color w:val="000000"/>
                                <w:szCs w:val="21"/>
                                <w:lang w:val="en-US" w:eastAsia="zh-CN"/>
                              </w:rPr>
                              <w:t>2</w:t>
                            </w:r>
                            <w:ins w:id="1" w:author="吾乏" w:date="2018-06-01T09:46:00Z">
                              <w:r>
                                <w:rPr>
                                  <w:rFonts w:hint="eastAsia" w:ascii="宋体" w:hAnsi="宋体" w:cs="宋体"/>
                                  <w:color w:val="000000"/>
                                  <w:szCs w:val="21"/>
                                </w:rPr>
                                <w:t>个工作日内完成）</w:t>
                              </w:r>
                            </w:ins>
                          </w:p>
                        </w:txbxContent>
                      </wps:txbx>
                      <wps:bodyPr upright="1"/>
                    </wps:wsp>
                  </a:graphicData>
                </a:graphic>
              </wp:anchor>
            </w:drawing>
          </mc:Choice>
          <mc:Fallback>
            <w:pict>
              <v:shape id="_x0000_s1026" o:spid="_x0000_s1026" o:spt="202" type="#_x0000_t202" style="position:absolute;left:0pt;margin-left:8.65pt;margin-top:14.75pt;height:27.8pt;width:422.95pt;z-index:251659264;mso-width-relative:page;mso-height-relative:page;" fillcolor="#FFFFFF" filled="t" stroked="t" coordsize="21600,21600" o:gfxdata="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B0u9gAAAAIAQAADwAAAAAAAAABACAA&#10;AAAiAAAAZHJzL2Rvd25yZXYueG1sUEsBAhQAFAAAAAgAh07iQMlJXIcNAgAAOAQAAA4AAAAAAAAA&#10;AQAgAAAAJwEAAGRycy9lMm9Eb2MueG1sUEsFBgAAAAAGAAYAWQEAAKYFAAAAAA==&#10;">
                <v:fill on="t" focussize="0,0"/>
                <v:stroke color="#000000" joinstyle="miter"/>
                <v:imagedata o:title=""/>
                <o:lock v:ext="edit" aspectratio="f"/>
                <v:textbox>
                  <w:txbxContent>
                    <w:p>
                      <w:pPr>
                        <w:rPr>
                          <w:rFonts w:hint="eastAsia" w:ascii="宋体" w:hAnsi="宋体" w:cs="宋体"/>
                          <w:strike/>
                          <w:color w:val="000000"/>
                          <w:sz w:val="24"/>
                        </w:rPr>
                      </w:pPr>
                      <w:ins w:id="2" w:author="吾乏" w:date="2018-06-01T09:46:00Z">
                        <w:r>
                          <w:rPr>
                            <w:rFonts w:hint="eastAsia" w:ascii="宋体" w:hAnsi="宋体" w:cs="宋体"/>
                            <w:color w:val="000000"/>
                            <w:szCs w:val="21"/>
                          </w:rPr>
                          <w:t>评审中心审核业主单位送审资料、接件、将评审资料分送中介机构（</w:t>
                        </w:r>
                      </w:ins>
                      <w:r>
                        <w:rPr>
                          <w:rFonts w:hint="eastAsia" w:ascii="宋体" w:hAnsi="宋体" w:cs="宋体"/>
                          <w:color w:val="000000"/>
                          <w:szCs w:val="21"/>
                          <w:lang w:val="en-US" w:eastAsia="zh-CN"/>
                        </w:rPr>
                        <w:t>2</w:t>
                      </w:r>
                      <w:ins w:id="3" w:author="吾乏" w:date="2018-06-01T09:46:00Z">
                        <w:r>
                          <w:rPr>
                            <w:rFonts w:hint="eastAsia" w:ascii="宋体" w:hAnsi="宋体" w:cs="宋体"/>
                            <w:color w:val="000000"/>
                            <w:szCs w:val="21"/>
                          </w:rPr>
                          <w:t>个工作日内完成）</w:t>
                        </w:r>
                      </w:ins>
                    </w:p>
                  </w:txbxContent>
                </v:textbox>
              </v:shape>
            </w:pict>
          </mc:Fallback>
        </mc:AlternateContent>
      </w:r>
    </w:p>
    <w:p>
      <w:pPr>
        <w:pStyle w:val="2"/>
        <w:ind w:left="-178" w:leftChars="-85" w:firstLine="475" w:firstLineChars="264"/>
        <w:rPr>
          <w:rFonts w:ascii="Times New Roman" w:hAnsi="Times New Roman"/>
          <w:b/>
        </w:rPr>
      </w:pPr>
      <w:r>
        <w:rPr>
          <w:rFonts w:ascii="Times New Roman" w:hAnsi="Times New Roman"/>
        </w:rPr>
        <mc:AlternateContent>
          <mc:Choice Requires="wps">
            <w:drawing>
              <wp:anchor distT="0" distB="0" distL="114300" distR="114300" simplePos="0" relativeHeight="251669504" behindDoc="0" locked="0" layoutInCell="1" allowOverlap="1">
                <wp:simplePos x="0" y="0"/>
                <wp:positionH relativeFrom="column">
                  <wp:posOffset>2644775</wp:posOffset>
                </wp:positionH>
                <wp:positionV relativeFrom="paragraph">
                  <wp:posOffset>284480</wp:posOffset>
                </wp:positionV>
                <wp:extent cx="8255" cy="360680"/>
                <wp:effectExtent l="46990" t="0" r="59055" b="1270"/>
                <wp:wrapNone/>
                <wp:docPr id="28" name="直接连接符 28"/>
                <wp:cNvGraphicFramePr/>
                <a:graphic xmlns:a="http://schemas.openxmlformats.org/drawingml/2006/main">
                  <a:graphicData uri="http://schemas.microsoft.com/office/word/2010/wordprocessingShape">
                    <wps:wsp>
                      <wps:cNvCnPr/>
                      <wps:spPr>
                        <a:xfrm flipH="1">
                          <a:off x="0" y="0"/>
                          <a:ext cx="8255" cy="3606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08.25pt;margin-top:22.4pt;height:28.4pt;width:0.65pt;z-index:251669504;mso-width-relative:page;mso-height-relative:page;" filled="f" stroked="t" coordsize="21600,21600" o:gfxdata="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&#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svMp1wAAAAoBAAAPAAAAAAAAAAEAIAAAACIAAABk&#10;cnMvZG93bnJldi54bWxQSwECFAAUAAAACACHTuJAdIIOpgcCAADzAwAADgAAAAAAAAABACAAAAAm&#10;AQAAZHJzL2Uyb0RvYy54bWxQSwUGAAAAAAYABgBZAQAAnwUAAAAA&#10;">
                <v:fill on="f" focussize="0,0"/>
                <v:stroke color="#000000" joinstyle="round" endarrow="open"/>
                <v:imagedata o:title=""/>
                <o:lock v:ext="edit" aspectratio="f"/>
              </v:line>
            </w:pict>
          </mc:Fallback>
        </mc:AlternateContent>
      </w:r>
    </w:p>
    <w:p>
      <w:pPr>
        <w:pStyle w:val="2"/>
        <w:ind w:firstLine="0" w:firstLineChars="0"/>
        <w:rPr>
          <w:rFonts w:ascii="Times New Roman" w:hAnsi="Times New Roman"/>
          <w:b/>
        </w:rPr>
      </w:pPr>
    </w:p>
    <w:p>
      <w:pPr>
        <w:pStyle w:val="2"/>
        <w:spacing w:line="240" w:lineRule="auto"/>
        <w:ind w:firstLine="0" w:firstLineChars="0"/>
        <w:rPr>
          <w:rFonts w:ascii="Times New Roman" w:hAnsi="Times New Roman"/>
          <w:b/>
        </w:rPr>
      </w:pPr>
      <w:r>
        <w:rPr>
          <w:rFonts w:ascii="Times New Roman" w:hAnsi="Times New Roman"/>
          <w:sz w:val="44"/>
        </w:rPr>
        <mc:AlternateContent>
          <mc:Choice Requires="wps">
            <w:drawing>
              <wp:anchor distT="0" distB="0" distL="114300" distR="114300" simplePos="0" relativeHeight="251660288" behindDoc="0" locked="0" layoutInCell="1" allowOverlap="1">
                <wp:simplePos x="0" y="0"/>
                <wp:positionH relativeFrom="column">
                  <wp:posOffset>369570</wp:posOffset>
                </wp:positionH>
                <wp:positionV relativeFrom="paragraph">
                  <wp:posOffset>24765</wp:posOffset>
                </wp:positionV>
                <wp:extent cx="4523740" cy="339090"/>
                <wp:effectExtent l="4445" t="4445" r="5715" b="18415"/>
                <wp:wrapNone/>
                <wp:docPr id="31" name="文本框 31"/>
                <wp:cNvGraphicFramePr/>
                <a:graphic xmlns:a="http://schemas.openxmlformats.org/drawingml/2006/main">
                  <a:graphicData uri="http://schemas.microsoft.com/office/word/2010/wordprocessingShape">
                    <wps:wsp>
                      <wps:cNvSpPr txBox="1"/>
                      <wps:spPr>
                        <a:xfrm>
                          <a:off x="0" y="0"/>
                          <a:ext cx="4523740" cy="339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0" w:firstLineChars="500"/>
                              <w:rPr>
                                <w:ins w:id="4" w:author="吾乏" w:date="2018-06-01T09:46:00Z"/>
                                <w:rFonts w:hint="eastAsia"/>
                                <w:szCs w:val="21"/>
                              </w:rPr>
                            </w:pPr>
                            <w:ins w:id="5" w:author="吾乏" w:date="2018-06-01T09:46:00Z">
                              <w:r>
                                <w:rPr>
                                  <w:rFonts w:hint="eastAsia"/>
                                  <w:szCs w:val="21"/>
                                </w:rPr>
                                <w:t>中介评审反馈问题，业主回复时间2个工作日</w:t>
                              </w:r>
                            </w:ins>
                          </w:p>
                          <w:p>
                            <w:pPr>
                              <w:rPr>
                                <w:rFonts w:hint="eastAsia" w:ascii="宋体" w:hAnsi="宋体" w:cs="宋体"/>
                                <w:strike/>
                                <w:sz w:val="24"/>
                              </w:rPr>
                            </w:pPr>
                          </w:p>
                        </w:txbxContent>
                      </wps:txbx>
                      <wps:bodyPr upright="1"/>
                    </wps:wsp>
                  </a:graphicData>
                </a:graphic>
              </wp:anchor>
            </w:drawing>
          </mc:Choice>
          <mc:Fallback>
            <w:pict>
              <v:shape id="_x0000_s1026" o:spid="_x0000_s1026" o:spt="202" type="#_x0000_t202" style="position:absolute;left:0pt;margin-left:29.1pt;margin-top:1.95pt;height:26.7pt;width:356.2pt;z-index:251660288;mso-width-relative:page;mso-height-relative:page;" fillcolor="#FFFFFF" filled="t" stroked="t" coordsize="21600,21600" o:gfxdata="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KgHFdYAAAAHAQAADwAAAAAAAAABACAA&#10;AAAiAAAAZHJzL2Rvd25yZXYueG1sUEsBAhQAFAAAAAgAh07iQDrDwSAPAgAAOAQAAA4AAAAAAAAA&#10;AQAgAAAAJQEAAGRycy9lMm9Eb2MueG1sUEsFBgAAAAAGAAYAWQEAAKYFAAAAAA==&#10;">
                <v:fill on="t" focussize="0,0"/>
                <v:stroke color="#000000" joinstyle="miter"/>
                <v:imagedata o:title=""/>
                <o:lock v:ext="edit" aspectratio="f"/>
                <v:textbox>
                  <w:txbxContent>
                    <w:p>
                      <w:pPr>
                        <w:ind w:firstLine="1050" w:firstLineChars="500"/>
                        <w:rPr>
                          <w:ins w:id="6" w:author="吾乏" w:date="2018-06-01T09:46:00Z"/>
                          <w:rFonts w:hint="eastAsia"/>
                          <w:szCs w:val="21"/>
                        </w:rPr>
                      </w:pPr>
                      <w:ins w:id="7" w:author="吾乏" w:date="2018-06-01T09:46:00Z">
                        <w:r>
                          <w:rPr>
                            <w:rFonts w:hint="eastAsia"/>
                            <w:szCs w:val="21"/>
                          </w:rPr>
                          <w:t>中介评审反馈问题，业主回复时间2个工作日</w:t>
                        </w:r>
                      </w:ins>
                    </w:p>
                    <w:p>
                      <w:pPr>
                        <w:rPr>
                          <w:rFonts w:hint="eastAsia" w:ascii="宋体" w:hAnsi="宋体" w:cs="宋体"/>
                          <w:strike/>
                          <w:sz w:val="24"/>
                        </w:rPr>
                      </w:pPr>
                    </w:p>
                  </w:txbxContent>
                </v:textbox>
              </v:shape>
            </w:pict>
          </mc:Fallback>
        </mc:AlternateContent>
      </w:r>
    </w:p>
    <w:p>
      <w:pPr>
        <w:pStyle w:val="2"/>
        <w:ind w:firstLine="0" w:firstLineChars="0"/>
        <w:rPr>
          <w:rFonts w:ascii="Times New Roman" w:hAnsi="Times New Roman"/>
          <w:b/>
        </w:rPr>
      </w:pPr>
      <w:r>
        <w:rPr>
          <w:rFonts w:ascii="Times New Roman" w:hAnsi="Times New Roman"/>
        </w:rPr>
        <mc:AlternateContent>
          <mc:Choice Requires="wps">
            <w:drawing>
              <wp:anchor distT="0" distB="0" distL="114300" distR="114300" simplePos="0" relativeHeight="251670528" behindDoc="0" locked="0" layoutInCell="1" allowOverlap="1">
                <wp:simplePos x="0" y="0"/>
                <wp:positionH relativeFrom="column">
                  <wp:posOffset>2654300</wp:posOffset>
                </wp:positionH>
                <wp:positionV relativeFrom="paragraph">
                  <wp:posOffset>242570</wp:posOffset>
                </wp:positionV>
                <wp:extent cx="8255" cy="360680"/>
                <wp:effectExtent l="46990" t="0" r="59055" b="1270"/>
                <wp:wrapNone/>
                <wp:docPr id="29" name="直接连接符 29"/>
                <wp:cNvGraphicFramePr/>
                <a:graphic xmlns:a="http://schemas.openxmlformats.org/drawingml/2006/main">
                  <a:graphicData uri="http://schemas.microsoft.com/office/word/2010/wordprocessingShape">
                    <wps:wsp>
                      <wps:cNvCnPr/>
                      <wps:spPr>
                        <a:xfrm flipH="1">
                          <a:off x="0" y="0"/>
                          <a:ext cx="8255" cy="3606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209pt;margin-top:19.1pt;height:28.4pt;width:0.65pt;z-index:251670528;mso-width-relative:page;mso-height-relative:page;" filled="f" stroked="t" coordsize="21600,21600" o:gfxdata="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q8SKjZAAAACQEAAA8AAAAAAAAAAQAgAAAAIgAA&#10;AGRycy9kb3ducmV2LnhtbFBLAQIUABQAAAAIAIdO4kADaTPDBwIAAPMDAAAOAAAAAAAAAAEAIAAA&#10;ACgBAABkcnMvZTJvRG9jLnhtbFBLBQYAAAAABgAGAFkBAAChBQAAAAA=&#10;">
                <v:fill on="f" focussize="0,0"/>
                <v:stroke color="#000000" joinstyle="round" endarrow="open"/>
                <v:imagedata o:title=""/>
                <o:lock v:ext="edit" aspectratio="f"/>
              </v:line>
            </w:pict>
          </mc:Fallback>
        </mc:AlternateContent>
      </w:r>
    </w:p>
    <w:p>
      <w:pPr>
        <w:pStyle w:val="2"/>
        <w:ind w:firstLine="0" w:firstLineChars="0"/>
        <w:rPr>
          <w:rFonts w:ascii="Times New Roman" w:hAnsi="Times New Roman"/>
          <w:b/>
        </w:rPr>
      </w:pPr>
      <w:r>
        <w:rPr>
          <w:rFonts w:ascii="Times New Roman" w:hAnsi="Times New Roman"/>
          <w:sz w:val="44"/>
        </w:rPr>
        <mc:AlternateContent>
          <mc:Choice Requires="wps">
            <w:drawing>
              <wp:anchor distT="0" distB="0" distL="114300" distR="114300" simplePos="0" relativeHeight="251661312" behindDoc="0" locked="0" layoutInCell="1" allowOverlap="1">
                <wp:simplePos x="0" y="0"/>
                <wp:positionH relativeFrom="column">
                  <wp:posOffset>-379095</wp:posOffset>
                </wp:positionH>
                <wp:positionV relativeFrom="paragraph">
                  <wp:posOffset>323850</wp:posOffset>
                </wp:positionV>
                <wp:extent cx="6183630" cy="786765"/>
                <wp:effectExtent l="4445" t="4445" r="22225" b="8890"/>
                <wp:wrapNone/>
                <wp:docPr id="30" name="文本框 30"/>
                <wp:cNvGraphicFramePr/>
                <a:graphic xmlns:a="http://schemas.openxmlformats.org/drawingml/2006/main">
                  <a:graphicData uri="http://schemas.microsoft.com/office/word/2010/wordprocessingShape">
                    <wps:wsp>
                      <wps:cNvSpPr txBox="1"/>
                      <wps:spPr>
                        <a:xfrm>
                          <a:off x="0" y="0"/>
                          <a:ext cx="6183630" cy="786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华文仿宋" w:hAnsi="华文仿宋" w:eastAsia="华文仿宋" w:cs="华文仿宋"/>
                                <w:sz w:val="24"/>
                              </w:rPr>
                            </w:pPr>
                            <w:r>
                              <w:rPr>
                                <w:rFonts w:hint="eastAsia" w:ascii="宋体" w:hAnsi="宋体" w:cs="宋体"/>
                                <w:sz w:val="24"/>
                              </w:rPr>
                              <w:t>中介机构进行评审出具初步评审结果（工程造价100万元以内、101-500万元、501-1000万元、1001-5000万元、5001-10000万元、10001万元50000万元、50000万元以上分别在4</w:t>
                            </w:r>
                            <w:ins w:id="8" w:author="吾乏" w:date="2018-06-01T09:46:00Z">
                              <w:r>
                                <w:rPr>
                                  <w:rFonts w:hint="eastAsia" w:ascii="宋体" w:hAnsi="宋体" w:cs="宋体"/>
                                  <w:sz w:val="24"/>
                                </w:rPr>
                                <w:t>、7、10、15、20、25、30</w:t>
                              </w:r>
                            </w:ins>
                            <w:r>
                              <w:rPr>
                                <w:rFonts w:hint="eastAsia" w:ascii="宋体" w:hAnsi="宋体" w:cs="宋体"/>
                                <w:sz w:val="24"/>
                              </w:rPr>
                              <w:t>个工作日内完成</w:t>
                            </w:r>
                            <w:r>
                              <w:rPr>
                                <w:rFonts w:hint="eastAsia" w:ascii="华文仿宋" w:hAnsi="华文仿宋" w:eastAsia="华文仿宋" w:cs="华文仿宋"/>
                                <w:sz w:val="24"/>
                              </w:rPr>
                              <w:t>）</w:t>
                            </w:r>
                          </w:p>
                          <w:p/>
                        </w:txbxContent>
                      </wps:txbx>
                      <wps:bodyPr upright="1"/>
                    </wps:wsp>
                  </a:graphicData>
                </a:graphic>
              </wp:anchor>
            </w:drawing>
          </mc:Choice>
          <mc:Fallback>
            <w:pict>
              <v:shape id="_x0000_s1026" o:spid="_x0000_s1026" o:spt="202" type="#_x0000_t202" style="position:absolute;left:0pt;margin-left:-29.85pt;margin-top:25.5pt;height:61.95pt;width:486.9pt;z-index:251661312;mso-width-relative:page;mso-height-relative:page;" fillcolor="#FFFFFF" filled="t" stroked="t" coordsize="21600,21600" o:gfxdata="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7rx02QAAAAoBAAAPAAAAAAAAAAEAIAAA&#10;ACIAAABkcnMvZG93bnJldi54bWxQSwECFAAUAAAACACHTuJAr3yaHgsCAAA4BAAADgAAAAAAAAAB&#10;ACAAAAAoAQAAZHJzL2Uyb0RvYy54bWxQSwUGAAAAAAYABgBZAQAApQUAAAAA&#10;">
                <v:fill on="t" focussize="0,0"/>
                <v:stroke color="#000000" joinstyle="miter"/>
                <v:imagedata o:title=""/>
                <o:lock v:ext="edit" aspectratio="f"/>
                <v:textbox>
                  <w:txbxContent>
                    <w:p>
                      <w:pPr>
                        <w:spacing w:line="360" w:lineRule="exact"/>
                        <w:rPr>
                          <w:rFonts w:hint="eastAsia" w:ascii="华文仿宋" w:hAnsi="华文仿宋" w:eastAsia="华文仿宋" w:cs="华文仿宋"/>
                          <w:sz w:val="24"/>
                        </w:rPr>
                      </w:pPr>
                      <w:r>
                        <w:rPr>
                          <w:rFonts w:hint="eastAsia" w:ascii="宋体" w:hAnsi="宋体" w:cs="宋体"/>
                          <w:sz w:val="24"/>
                        </w:rPr>
                        <w:t>中介机构进行评审出具初步评审结果（工程造价100万元以内、101-500万元、501-1000万元、1001-5000万元、5001-10000万元、10001万元50000万元、50000万元以上分别在4</w:t>
                      </w:r>
                      <w:ins w:id="9" w:author="吾乏" w:date="2018-06-01T09:46:00Z">
                        <w:r>
                          <w:rPr>
                            <w:rFonts w:hint="eastAsia" w:ascii="宋体" w:hAnsi="宋体" w:cs="宋体"/>
                            <w:sz w:val="24"/>
                          </w:rPr>
                          <w:t>、7、10、15、20、25、30</w:t>
                        </w:r>
                      </w:ins>
                      <w:r>
                        <w:rPr>
                          <w:rFonts w:hint="eastAsia" w:ascii="宋体" w:hAnsi="宋体" w:cs="宋体"/>
                          <w:sz w:val="24"/>
                        </w:rPr>
                        <w:t>个工作日内完成</w:t>
                      </w:r>
                      <w:r>
                        <w:rPr>
                          <w:rFonts w:hint="eastAsia" w:ascii="华文仿宋" w:hAnsi="华文仿宋" w:eastAsia="华文仿宋" w:cs="华文仿宋"/>
                          <w:sz w:val="24"/>
                        </w:rPr>
                        <w:t>）</w:t>
                      </w:r>
                    </w:p>
                    <w:p/>
                  </w:txbxContent>
                </v:textbox>
              </v:shape>
            </w:pict>
          </mc:Fallback>
        </mc:AlternateContent>
      </w:r>
    </w:p>
    <w:p>
      <w:pPr>
        <w:pStyle w:val="2"/>
        <w:ind w:left="-178" w:leftChars="-85" w:firstLine="477" w:firstLineChars="264"/>
        <w:rPr>
          <w:rFonts w:ascii="Times New Roman" w:hAnsi="Times New Roman"/>
          <w:b/>
        </w:rPr>
      </w:pPr>
    </w:p>
    <w:p>
      <w:pPr>
        <w:pStyle w:val="2"/>
        <w:ind w:left="-178" w:leftChars="-85" w:firstLine="477" w:firstLineChars="264"/>
        <w:rPr>
          <w:rFonts w:ascii="Times New Roman" w:hAnsi="Times New Roman"/>
          <w:b/>
        </w:rPr>
      </w:pPr>
    </w:p>
    <w:p>
      <w:pPr>
        <w:pStyle w:val="2"/>
        <w:ind w:left="-178" w:leftChars="-85" w:firstLine="475" w:firstLineChars="264"/>
        <w:rPr>
          <w:rFonts w:ascii="Times New Roman" w:hAnsi="Times New Roman"/>
          <w:b/>
        </w:rPr>
      </w:pPr>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2701290</wp:posOffset>
                </wp:positionH>
                <wp:positionV relativeFrom="paragraph">
                  <wp:posOffset>78105</wp:posOffset>
                </wp:positionV>
                <wp:extent cx="635" cy="314325"/>
                <wp:effectExtent l="48895" t="0" r="64770" b="9525"/>
                <wp:wrapNone/>
                <wp:docPr id="32" name="直接连接符 32"/>
                <wp:cNvGraphicFramePr/>
                <a:graphic xmlns:a="http://schemas.openxmlformats.org/drawingml/2006/main">
                  <a:graphicData uri="http://schemas.microsoft.com/office/word/2010/wordprocessingShape">
                    <wps:wsp>
                      <wps:cNvCnPr/>
                      <wps:spPr>
                        <a:xfrm>
                          <a:off x="0" y="0"/>
                          <a:ext cx="635" cy="3143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2.7pt;margin-top:6.15pt;height:24.75pt;width:0.05pt;z-index:251666432;mso-width-relative:page;mso-height-relative:page;" filled="f" stroked="t" coordsize="21600,21600" o:gfxdata="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8NvmV2QAAAAkBAAAPAAAAAAAAAAEAIAAAACIAAABkcnMvZG93bnJl&#10;di54bWxQSwECFAAUAAAACACHTuJA+2a2ZvwBAADoAwAADgAAAAAAAAABACAAAAAoAQAAZHJzL2Uy&#10;b0RvYy54bWxQSwUGAAAAAAYABgBZAQAAlgUAAAAA&#10;">
                <v:fill on="f" focussize="0,0"/>
                <v:stroke color="#000000" joinstyle="round" endarrow="open"/>
                <v:imagedata o:title=""/>
                <o:lock v:ext="edit" aspectratio="f"/>
              </v:line>
            </w:pict>
          </mc:Fallback>
        </mc:AlternateContent>
      </w:r>
    </w:p>
    <w:p>
      <w:pPr>
        <w:pStyle w:val="2"/>
        <w:ind w:left="-178" w:leftChars="-85" w:firstLine="1161" w:firstLineChars="264"/>
        <w:rPr>
          <w:rFonts w:ascii="Times New Roman" w:hAnsi="Times New Roman"/>
          <w:b/>
        </w:rPr>
      </w:pPr>
      <w:r>
        <w:rPr>
          <w:rFonts w:ascii="Times New Roman" w:hAnsi="Times New Roman"/>
          <w:sz w:val="44"/>
        </w:rPr>
        <mc:AlternateContent>
          <mc:Choice Requires="wps">
            <w:drawing>
              <wp:anchor distT="0" distB="0" distL="114300" distR="114300" simplePos="0" relativeHeight="251662336" behindDoc="0" locked="0" layoutInCell="1" allowOverlap="1">
                <wp:simplePos x="0" y="0"/>
                <wp:positionH relativeFrom="column">
                  <wp:posOffset>48895</wp:posOffset>
                </wp:positionH>
                <wp:positionV relativeFrom="paragraph">
                  <wp:posOffset>137795</wp:posOffset>
                </wp:positionV>
                <wp:extent cx="5255895" cy="916305"/>
                <wp:effectExtent l="4445" t="5080" r="16510" b="12065"/>
                <wp:wrapNone/>
                <wp:docPr id="21" name="文本框 21"/>
                <wp:cNvGraphicFramePr/>
                <a:graphic xmlns:a="http://schemas.openxmlformats.org/drawingml/2006/main">
                  <a:graphicData uri="http://schemas.microsoft.com/office/word/2010/wordprocessingShape">
                    <wps:wsp>
                      <wps:cNvSpPr txBox="1"/>
                      <wps:spPr>
                        <a:xfrm>
                          <a:off x="0" y="0"/>
                          <a:ext cx="5255895" cy="916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cs="宋体"/>
                                <w:sz w:val="24"/>
                              </w:rPr>
                            </w:pPr>
                            <w:r>
                              <w:rPr>
                                <w:rFonts w:hint="eastAsia" w:ascii="宋体" w:hAnsi="宋体" w:cs="宋体"/>
                                <w:sz w:val="24"/>
                              </w:rPr>
                              <w:t>评审中心对中介机构出具的评审结论进行复核、征求业主单位意见、集体研究、反馈评审中介机构修改（500万元以内、501-5000万元、5001-10000万元、10001-50000万元、50000万元以上分别在</w:t>
                            </w:r>
                            <w:ins w:id="10" w:author="吾乏" w:date="2018-06-01T09:46:00Z">
                              <w:r>
                                <w:rPr>
                                  <w:rFonts w:hint="eastAsia" w:ascii="宋体" w:hAnsi="宋体" w:cs="宋体"/>
                                  <w:sz w:val="24"/>
                                </w:rPr>
                                <w:t>4、6、8、10、15</w:t>
                              </w:r>
                            </w:ins>
                            <w:r>
                              <w:rPr>
                                <w:rFonts w:hint="eastAsia" w:ascii="宋体" w:hAnsi="宋体" w:cs="宋体"/>
                                <w:sz w:val="24"/>
                              </w:rPr>
                              <w:t xml:space="preserve">个工作日内完成） </w:t>
                            </w:r>
                          </w:p>
                          <w:p/>
                        </w:txbxContent>
                      </wps:txbx>
                      <wps:bodyPr upright="1"/>
                    </wps:wsp>
                  </a:graphicData>
                </a:graphic>
              </wp:anchor>
            </w:drawing>
          </mc:Choice>
          <mc:Fallback>
            <w:pict>
              <v:shape id="_x0000_s1026" o:spid="_x0000_s1026" o:spt="202" type="#_x0000_t202" style="position:absolute;left:0pt;margin-left:3.85pt;margin-top:10.85pt;height:72.15pt;width:413.85pt;z-index:251662336;mso-width-relative:page;mso-height-relative:page;" fillcolor="#FFFFFF" filled="t" stroked="t" coordsize="21600,21600" o:gfxdata="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8Jch3YAAAACAEAAA8AAAAAAAAAAQAgAAAA&#10;IgAAAGRycy9kb3ducmV2LnhtbFBLAQIUABQAAAAIAIdO4kCUt4qGCwIAADgEAAAOAAAAAAAAAAEA&#10;IAAAACcBAABkcnMvZTJvRG9jLnhtbFBLBQYAAAAABgAGAFkBAACkBQAAAAA=&#10;">
                <v:fill on="t" focussize="0,0"/>
                <v:stroke color="#000000" joinstyle="miter"/>
                <v:imagedata o:title=""/>
                <o:lock v:ext="edit" aspectratio="f"/>
                <v:textbox>
                  <w:txbxContent>
                    <w:p>
                      <w:pPr>
                        <w:rPr>
                          <w:rFonts w:hint="eastAsia" w:ascii="宋体" w:hAnsi="宋体" w:cs="宋体"/>
                          <w:sz w:val="24"/>
                        </w:rPr>
                      </w:pPr>
                      <w:r>
                        <w:rPr>
                          <w:rFonts w:hint="eastAsia" w:ascii="宋体" w:hAnsi="宋体" w:cs="宋体"/>
                          <w:sz w:val="24"/>
                        </w:rPr>
                        <w:t>评审中心对中介机构出具的评审结论进行复核、征求业主单位意见、集体研究、反馈评审中介机构修改（500万元以内、501-5000万元、5001-10000万元、10001-50000万元、50000万元以上分别在</w:t>
                      </w:r>
                      <w:ins w:id="11" w:author="吾乏" w:date="2018-06-01T09:46:00Z">
                        <w:r>
                          <w:rPr>
                            <w:rFonts w:hint="eastAsia" w:ascii="宋体" w:hAnsi="宋体" w:cs="宋体"/>
                            <w:sz w:val="24"/>
                          </w:rPr>
                          <w:t>4、6、8、10、15</w:t>
                        </w:r>
                      </w:ins>
                      <w:r>
                        <w:rPr>
                          <w:rFonts w:hint="eastAsia" w:ascii="宋体" w:hAnsi="宋体" w:cs="宋体"/>
                          <w:sz w:val="24"/>
                        </w:rPr>
                        <w:t xml:space="preserve">个工作日内完成） </w:t>
                      </w:r>
                    </w:p>
                    <w:p/>
                  </w:txbxContent>
                </v:textbox>
              </v:shape>
            </w:pict>
          </mc:Fallback>
        </mc:AlternateContent>
      </w:r>
    </w:p>
    <w:p>
      <w:pPr>
        <w:pStyle w:val="2"/>
        <w:ind w:left="-178" w:leftChars="-85" w:firstLine="477" w:firstLineChars="264"/>
        <w:rPr>
          <w:rFonts w:ascii="Times New Roman" w:hAnsi="Times New Roman"/>
          <w:b/>
        </w:rPr>
      </w:pPr>
    </w:p>
    <w:p>
      <w:pPr>
        <w:pStyle w:val="2"/>
        <w:ind w:left="-178" w:leftChars="-85" w:firstLine="477" w:firstLineChars="264"/>
        <w:rPr>
          <w:rFonts w:ascii="Times New Roman" w:hAnsi="Times New Roman"/>
          <w:b/>
        </w:rPr>
      </w:pPr>
    </w:p>
    <w:p>
      <w:pPr>
        <w:pStyle w:val="2"/>
        <w:ind w:left="-178" w:leftChars="-85" w:firstLine="475" w:firstLineChars="264"/>
        <w:rPr>
          <w:rFonts w:ascii="Times New Roman" w:hAnsi="Times New Roman"/>
          <w:b/>
        </w:rPr>
      </w:pPr>
      <w:r>
        <w:rPr>
          <w:rFonts w:ascii="Times New Roman" w:hAnsi="Times New Roman"/>
        </w:rPr>
        <mc:AlternateContent>
          <mc:Choice Requires="wps">
            <w:drawing>
              <wp:anchor distT="0" distB="0" distL="114300" distR="114300" simplePos="0" relativeHeight="251671552" behindDoc="0" locked="0" layoutInCell="1" allowOverlap="1">
                <wp:simplePos x="0" y="0"/>
                <wp:positionH relativeFrom="column">
                  <wp:posOffset>2748915</wp:posOffset>
                </wp:positionH>
                <wp:positionV relativeFrom="paragraph">
                  <wp:posOffset>53975</wp:posOffset>
                </wp:positionV>
                <wp:extent cx="635" cy="314325"/>
                <wp:effectExtent l="48895" t="0" r="64770" b="9525"/>
                <wp:wrapNone/>
                <wp:docPr id="20" name="直接连接符 20"/>
                <wp:cNvGraphicFramePr/>
                <a:graphic xmlns:a="http://schemas.openxmlformats.org/drawingml/2006/main">
                  <a:graphicData uri="http://schemas.microsoft.com/office/word/2010/wordprocessingShape">
                    <wps:wsp>
                      <wps:cNvCnPr/>
                      <wps:spPr>
                        <a:xfrm>
                          <a:off x="0" y="0"/>
                          <a:ext cx="635" cy="3143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6.45pt;margin-top:4.25pt;height:24.75pt;width:0.05pt;z-index:251671552;mso-width-relative:page;mso-height-relative:page;" filled="f" stroked="t" coordsize="21600,21600" o:gfxdata="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5979nZAAAACAEAAA8AAAAAAAAAAQAgAAAAIgAAAGRycy9kb3ducmV2&#10;LnhtbFBLAQIUABQAAAAIAIdO4kBhD/pO+wEAAOgDAAAOAAAAAAAAAAEAIAAAACgBAABkcnMvZTJv&#10;RG9jLnhtbFBLBQYAAAAABgAGAFkBAACVBQAAAAA=&#10;">
                <v:fill on="f" focussize="0,0"/>
                <v:stroke color="#000000" joinstyle="round" endarrow="open"/>
                <v:imagedata o:title=""/>
                <o:lock v:ext="edit" aspectratio="f"/>
              </v:line>
            </w:pict>
          </mc:Fallback>
        </mc:AlternateContent>
      </w:r>
    </w:p>
    <w:p>
      <w:pPr>
        <w:pStyle w:val="2"/>
        <w:ind w:left="-178" w:leftChars="-85" w:firstLine="475" w:firstLineChars="264"/>
        <w:rPr>
          <w:rFonts w:ascii="Times New Roman" w:hAnsi="Times New Roman"/>
          <w:b/>
        </w:rPr>
      </w:pP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763270</wp:posOffset>
                </wp:positionH>
                <wp:positionV relativeFrom="paragraph">
                  <wp:posOffset>93345</wp:posOffset>
                </wp:positionV>
                <wp:extent cx="3632200" cy="594360"/>
                <wp:effectExtent l="4445" t="4445" r="20955" b="10795"/>
                <wp:wrapNone/>
                <wp:docPr id="23" name="文本框 23"/>
                <wp:cNvGraphicFramePr/>
                <a:graphic xmlns:a="http://schemas.openxmlformats.org/drawingml/2006/main">
                  <a:graphicData uri="http://schemas.microsoft.com/office/word/2010/wordprocessingShape">
                    <wps:wsp>
                      <wps:cNvSpPr txBox="1"/>
                      <wps:spPr>
                        <a:xfrm>
                          <a:off x="0" y="0"/>
                          <a:ext cx="36322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rPr>
                                <w:rFonts w:hint="eastAsia" w:ascii="宋体" w:hAnsi="宋体" w:cs="宋体"/>
                                <w:sz w:val="24"/>
                              </w:rPr>
                            </w:pPr>
                            <w:r>
                              <w:rPr>
                                <w:rFonts w:hint="eastAsia" w:ascii="宋体" w:hAnsi="宋体" w:cs="宋体"/>
                                <w:sz w:val="24"/>
                              </w:rPr>
                              <w:t>评审中心提出评审意见、拟写评审</w:t>
                            </w:r>
                            <w:r>
                              <w:rPr>
                                <w:rFonts w:hint="eastAsia" w:ascii="宋体" w:hAnsi="宋体" w:cs="宋体"/>
                                <w:sz w:val="24"/>
                                <w:lang w:eastAsia="zh-CN"/>
                              </w:rPr>
                              <w:t>文件</w:t>
                            </w:r>
                            <w:r>
                              <w:rPr>
                                <w:rFonts w:hint="eastAsia" w:ascii="宋体" w:hAnsi="宋体" w:cs="宋体"/>
                                <w:sz w:val="24"/>
                              </w:rPr>
                              <w:t>、核稿、局领导审签（3个工作日内完成）</w:t>
                            </w:r>
                          </w:p>
                        </w:txbxContent>
                      </wps:txbx>
                      <wps:bodyPr upright="1"/>
                    </wps:wsp>
                  </a:graphicData>
                </a:graphic>
              </wp:anchor>
            </w:drawing>
          </mc:Choice>
          <mc:Fallback>
            <w:pict>
              <v:shape id="_x0000_s1026" o:spid="_x0000_s1026" o:spt="202" type="#_x0000_t202" style="position:absolute;left:0pt;margin-left:60.1pt;margin-top:7.35pt;height:46.8pt;width:286pt;z-index:251665408;mso-width-relative:page;mso-height-relative:page;" fillcolor="#FFFFFF" filled="t" stroked="t" coordsize="21600,21600" o:gfxdata="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2h1vYAAAACgEAAA8AAAAAAAAAAQAg&#10;AAAAIgAAAGRycy9kb3ducmV2LnhtbFBLAQIUABQAAAAIAIdO4kCKHwV8DgIAADgEAAAOAAAAAAAA&#10;AAEAIAAAACcBAABkcnMvZTJvRG9jLnhtbFBLBQYAAAAABgAGAFkBAACnBQAAAAA=&#10;">
                <v:fill on="t" focussize="0,0"/>
                <v:stroke color="#000000" joinstyle="miter"/>
                <v:imagedata o:title=""/>
                <o:lock v:ext="edit" aspectratio="f"/>
                <v:textbox>
                  <w:txbxContent>
                    <w:p>
                      <w:pPr>
                        <w:spacing w:line="360" w:lineRule="exact"/>
                        <w:rPr>
                          <w:rFonts w:hint="eastAsia" w:ascii="宋体" w:hAnsi="宋体" w:cs="宋体"/>
                          <w:sz w:val="24"/>
                        </w:rPr>
                      </w:pPr>
                      <w:r>
                        <w:rPr>
                          <w:rFonts w:hint="eastAsia" w:ascii="宋体" w:hAnsi="宋体" w:cs="宋体"/>
                          <w:sz w:val="24"/>
                        </w:rPr>
                        <w:t>评审中心提出评审意见、拟写评审</w:t>
                      </w:r>
                      <w:r>
                        <w:rPr>
                          <w:rFonts w:hint="eastAsia" w:ascii="宋体" w:hAnsi="宋体" w:cs="宋体"/>
                          <w:sz w:val="24"/>
                          <w:lang w:eastAsia="zh-CN"/>
                        </w:rPr>
                        <w:t>文件</w:t>
                      </w:r>
                      <w:r>
                        <w:rPr>
                          <w:rFonts w:hint="eastAsia" w:ascii="宋体" w:hAnsi="宋体" w:cs="宋体"/>
                          <w:sz w:val="24"/>
                        </w:rPr>
                        <w:t>、核稿、局领导审签（3个工作日内完成）</w:t>
                      </w:r>
                    </w:p>
                  </w:txbxContent>
                </v:textbox>
              </v:shape>
            </w:pict>
          </mc:Fallback>
        </mc:AlternateContent>
      </w:r>
    </w:p>
    <w:p>
      <w:pPr>
        <w:pStyle w:val="2"/>
        <w:ind w:left="-178" w:leftChars="-85" w:firstLine="477" w:firstLineChars="264"/>
        <w:rPr>
          <w:rFonts w:ascii="Times New Roman" w:hAnsi="Times New Roman"/>
          <w:b/>
        </w:rPr>
      </w:pPr>
    </w:p>
    <w:p>
      <w:pPr>
        <w:pStyle w:val="2"/>
        <w:ind w:left="-178" w:leftChars="-85" w:firstLine="1161" w:firstLineChars="264"/>
        <w:rPr>
          <w:rFonts w:ascii="Times New Roman" w:hAnsi="Times New Roman"/>
          <w:b/>
        </w:rPr>
      </w:pPr>
      <w:r>
        <w:rPr>
          <w:rFonts w:ascii="Times New Roman" w:hAnsi="Times New Roman"/>
          <w:sz w:val="44"/>
        </w:rPr>
        <mc:AlternateContent>
          <mc:Choice Requires="wps">
            <w:drawing>
              <wp:anchor distT="0" distB="0" distL="114300" distR="114300" simplePos="0" relativeHeight="251663360" behindDoc="0" locked="0" layoutInCell="1" allowOverlap="1">
                <wp:simplePos x="0" y="0"/>
                <wp:positionH relativeFrom="column">
                  <wp:posOffset>1195070</wp:posOffset>
                </wp:positionH>
                <wp:positionV relativeFrom="paragraph">
                  <wp:posOffset>363855</wp:posOffset>
                </wp:positionV>
                <wp:extent cx="2809875" cy="294640"/>
                <wp:effectExtent l="5080" t="4445" r="4445" b="5715"/>
                <wp:wrapNone/>
                <wp:docPr id="22" name="文本框 22"/>
                <wp:cNvGraphicFramePr/>
                <a:graphic xmlns:a="http://schemas.openxmlformats.org/drawingml/2006/main">
                  <a:graphicData uri="http://schemas.microsoft.com/office/word/2010/wordprocessingShape">
                    <wps:wsp>
                      <wps:cNvSpPr txBox="1"/>
                      <wps:spPr>
                        <a:xfrm>
                          <a:off x="0" y="0"/>
                          <a:ext cx="2809875"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cs="宋体"/>
                                <w:sz w:val="24"/>
                              </w:rPr>
                            </w:pPr>
                            <w:r>
                              <w:rPr>
                                <w:rFonts w:hint="eastAsia" w:ascii="宋体" w:hAnsi="宋体" w:cs="宋体"/>
                                <w:sz w:val="24"/>
                              </w:rPr>
                              <w:t>评审中心将评审报告送区政府领导审批</w:t>
                            </w:r>
                          </w:p>
                        </w:txbxContent>
                      </wps:txbx>
                      <wps:bodyPr upright="1"/>
                    </wps:wsp>
                  </a:graphicData>
                </a:graphic>
              </wp:anchor>
            </w:drawing>
          </mc:Choice>
          <mc:Fallback>
            <w:pict>
              <v:shape id="_x0000_s1026" o:spid="_x0000_s1026" o:spt="202" type="#_x0000_t202" style="position:absolute;left:0pt;margin-left:94.1pt;margin-top:28.65pt;height:23.2pt;width:221.25pt;z-index:251663360;mso-width-relative:page;mso-height-relative:page;" fillcolor="#FFFFFF" filled="t" stroked="t" coordsize="21600,21600" o:gfxdata="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7N+k2AAAAAoBAAAPAAAAAAAAAAEA&#10;IAAAACIAAABkcnMvZG93bnJldi54bWxQSwECFAAUAAAACACHTuJAFXdeVA8CAAA4BAAADgAAAAAA&#10;AAABACAAAAAnAQAAZHJzL2Uyb0RvYy54bWxQSwUGAAAAAAYABgBZAQAAqAUAAAAA&#10;">
                <v:fill on="t" focussize="0,0"/>
                <v:stroke color="#000000" joinstyle="miter"/>
                <v:imagedata o:title=""/>
                <o:lock v:ext="edit" aspectratio="f"/>
                <v:textbox>
                  <w:txbxContent>
                    <w:p>
                      <w:pPr>
                        <w:rPr>
                          <w:rFonts w:hint="eastAsia" w:ascii="宋体" w:hAnsi="宋体" w:cs="宋体"/>
                          <w:sz w:val="24"/>
                        </w:rPr>
                      </w:pPr>
                      <w:r>
                        <w:rPr>
                          <w:rFonts w:hint="eastAsia" w:ascii="宋体" w:hAnsi="宋体" w:cs="宋体"/>
                          <w:sz w:val="24"/>
                        </w:rPr>
                        <w:t>评审中心将评审报告送区政府领导审批</w:t>
                      </w:r>
                    </w:p>
                  </w:txbxContent>
                </v:textbox>
              </v:shape>
            </w:pict>
          </mc:Fallback>
        </mc:AlternateContent>
      </w:r>
      <w:r>
        <w:rPr>
          <w:rFonts w:ascii="Times New Roman" w:hAnsi="Times New Roman"/>
        </w:rPr>
        <mc:AlternateContent>
          <mc:Choice Requires="wps">
            <w:drawing>
              <wp:anchor distT="0" distB="0" distL="114300" distR="114300" simplePos="0" relativeHeight="251667456" behindDoc="0" locked="0" layoutInCell="1" allowOverlap="1">
                <wp:simplePos x="0" y="0"/>
                <wp:positionH relativeFrom="column">
                  <wp:posOffset>2791460</wp:posOffset>
                </wp:positionH>
                <wp:positionV relativeFrom="paragraph">
                  <wp:posOffset>26035</wp:posOffset>
                </wp:positionV>
                <wp:extent cx="635" cy="247650"/>
                <wp:effectExtent l="48895" t="0" r="64770" b="0"/>
                <wp:wrapNone/>
                <wp:docPr id="27" name="直接连接符 27"/>
                <wp:cNvGraphicFramePr/>
                <a:graphic xmlns:a="http://schemas.openxmlformats.org/drawingml/2006/main">
                  <a:graphicData uri="http://schemas.microsoft.com/office/word/2010/wordprocessingShape">
                    <wps:wsp>
                      <wps:cNvCnPr/>
                      <wps:spPr>
                        <a:xfrm>
                          <a:off x="0" y="0"/>
                          <a:ext cx="635" cy="2476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9.8pt;margin-top:2.05pt;height:19.5pt;width:0.05pt;z-index:251667456;mso-width-relative:page;mso-height-relative:page;" filled="f" stroked="t" coordsize="21600,21600" o:gfxdata="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5F9a1wAAAAgBAAAPAAAAAAAAAAEAIAAAACIAAABkcnMvZG93bnJl&#10;di54bWxQSwECFAAUAAAACACHTuJAIkoNj/4BAADoAwAADgAAAAAAAAABACAAAAAmAQAAZHJzL2Uy&#10;b0RvYy54bWxQSwUGAAAAAAYABgBZAQAAlgUAAAAA&#10;">
                <v:fill on="f" focussize="0,0"/>
                <v:stroke color="#000000" joinstyle="round" endarrow="open"/>
                <v:imagedata o:title=""/>
                <o:lock v:ext="edit" aspectratio="f"/>
              </v:line>
            </w:pict>
          </mc:Fallback>
        </mc:AlternateContent>
      </w:r>
    </w:p>
    <w:p>
      <w:pPr>
        <w:pStyle w:val="2"/>
        <w:ind w:left="-178" w:leftChars="-85" w:firstLine="475" w:firstLineChars="264"/>
        <w:rPr>
          <w:rFonts w:ascii="Times New Roman" w:hAnsi="Times New Roman"/>
          <w:b/>
        </w:rPr>
      </w:pPr>
      <w:r>
        <w:rPr>
          <w:rFonts w:ascii="Times New Roman" w:hAnsi="Times New Roman"/>
        </w:rPr>
        <mc:AlternateContent>
          <mc:Choice Requires="wps">
            <w:drawing>
              <wp:anchor distT="0" distB="0" distL="114300" distR="114300" simplePos="0" relativeHeight="251668480" behindDoc="0" locked="0" layoutInCell="1" allowOverlap="1">
                <wp:simplePos x="0" y="0"/>
                <wp:positionH relativeFrom="column">
                  <wp:posOffset>2811145</wp:posOffset>
                </wp:positionH>
                <wp:positionV relativeFrom="paragraph">
                  <wp:posOffset>344170</wp:posOffset>
                </wp:positionV>
                <wp:extent cx="635" cy="257175"/>
                <wp:effectExtent l="48895" t="0" r="64770" b="9525"/>
                <wp:wrapNone/>
                <wp:docPr id="26" name="直接连接符 26"/>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1.35pt;margin-top:27.1pt;height:20.25pt;width:0.05pt;z-index:251668480;mso-width-relative:page;mso-height-relative:page;" filled="f" stroked="t" coordsize="21600,21600" o:gfxdata="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y72Dq2QAAAAkBAAAPAAAAAAAAAAEAIAAAACIAAABkcnMvZG93bnJl&#10;di54bWxQSwECFAAUAAAACACHTuJALQRhrPwBAADoAwAADgAAAAAAAAABACAAAAAoAQAAZHJzL2Uy&#10;b0RvYy54bWxQSwUGAAAAAAYABgBZAQAAlgUAAAAA&#10;">
                <v:fill on="f" focussize="0,0"/>
                <v:stroke color="#000000" joinstyle="round" endarrow="open"/>
                <v:imagedata o:title=""/>
                <o:lock v:ext="edit" aspectratio="f"/>
              </v:line>
            </w:pict>
          </mc:Fallback>
        </mc:AlternateContent>
      </w:r>
    </w:p>
    <w:p>
      <w:pPr>
        <w:pStyle w:val="2"/>
        <w:ind w:left="-178" w:leftChars="-85" w:firstLine="1161" w:firstLineChars="264"/>
        <w:rPr>
          <w:rFonts w:ascii="Times New Roman" w:hAnsi="Times New Roman"/>
          <w:b/>
        </w:rPr>
      </w:pPr>
      <w:r>
        <w:rPr>
          <w:rFonts w:ascii="Times New Roman" w:hAnsi="Times New Roman"/>
          <w:sz w:val="44"/>
        </w:rPr>
        <mc:AlternateContent>
          <mc:Choice Requires="wps">
            <w:drawing>
              <wp:anchor distT="0" distB="0" distL="114300" distR="114300" simplePos="0" relativeHeight="251664384" behindDoc="0" locked="0" layoutInCell="1" allowOverlap="1">
                <wp:simplePos x="0" y="0"/>
                <wp:positionH relativeFrom="column">
                  <wp:posOffset>1060450</wp:posOffset>
                </wp:positionH>
                <wp:positionV relativeFrom="paragraph">
                  <wp:posOffset>334645</wp:posOffset>
                </wp:positionV>
                <wp:extent cx="3267075" cy="3429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3267075"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cs="宋体"/>
                                <w:sz w:val="24"/>
                              </w:rPr>
                            </w:pPr>
                            <w:r>
                              <w:rPr>
                                <w:rFonts w:hint="eastAsia" w:ascii="宋体" w:hAnsi="宋体" w:cs="宋体"/>
                                <w:sz w:val="24"/>
                              </w:rPr>
                              <w:t>评审中心出具评审</w:t>
                            </w:r>
                            <w:r>
                              <w:rPr>
                                <w:rFonts w:hint="eastAsia" w:ascii="宋体" w:hAnsi="宋体" w:cs="宋体"/>
                                <w:sz w:val="24"/>
                                <w:lang w:eastAsia="zh-CN"/>
                              </w:rPr>
                              <w:t>文件</w:t>
                            </w:r>
                            <w:r>
                              <w:rPr>
                                <w:rFonts w:hint="eastAsia" w:ascii="宋体" w:hAnsi="宋体" w:cs="宋体"/>
                                <w:sz w:val="24"/>
                              </w:rPr>
                              <w:t>（1个工作日内完成）</w:t>
                            </w:r>
                          </w:p>
                        </w:txbxContent>
                      </wps:txbx>
                      <wps:bodyPr upright="1"/>
                    </wps:wsp>
                  </a:graphicData>
                </a:graphic>
              </wp:anchor>
            </w:drawing>
          </mc:Choice>
          <mc:Fallback>
            <w:pict>
              <v:shape id="_x0000_s1026" o:spid="_x0000_s1026" o:spt="202" type="#_x0000_t202" style="position:absolute;left:0pt;margin-left:83.5pt;margin-top:26.35pt;height:27pt;width:257.25pt;z-index:251664384;mso-width-relative:page;mso-height-relative:page;" fillcolor="#FFFFFF" filled="t" stroked="t" coordsize="21600,21600" o:gfxdata="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JaNgrYAAAACgEAAA8AAAAAAAAAAQAg&#10;AAAAIgAAAGRycy9kb3ducmV2LnhtbFBLAQIUABQAAAAIAIdO4kCfqKwDDgIAADgEAAAOAAAAAAAA&#10;AAEAIAAAACcBAABkcnMvZTJvRG9jLnhtbFBLBQYAAAAABgAGAFkBAACnBQAAAAA=&#10;">
                <v:fill on="t" focussize="0,0"/>
                <v:stroke color="#000000" joinstyle="miter"/>
                <v:imagedata o:title=""/>
                <o:lock v:ext="edit" aspectratio="f"/>
                <v:textbox>
                  <w:txbxContent>
                    <w:p>
                      <w:pPr>
                        <w:rPr>
                          <w:rFonts w:hint="eastAsia" w:ascii="宋体" w:hAnsi="宋体" w:cs="宋体"/>
                          <w:sz w:val="24"/>
                        </w:rPr>
                      </w:pPr>
                      <w:r>
                        <w:rPr>
                          <w:rFonts w:hint="eastAsia" w:ascii="宋体" w:hAnsi="宋体" w:cs="宋体"/>
                          <w:sz w:val="24"/>
                        </w:rPr>
                        <w:t>评审中心出具评审</w:t>
                      </w:r>
                      <w:r>
                        <w:rPr>
                          <w:rFonts w:hint="eastAsia" w:ascii="宋体" w:hAnsi="宋体" w:cs="宋体"/>
                          <w:sz w:val="24"/>
                          <w:lang w:eastAsia="zh-CN"/>
                        </w:rPr>
                        <w:t>文件</w:t>
                      </w:r>
                      <w:r>
                        <w:rPr>
                          <w:rFonts w:hint="eastAsia" w:ascii="宋体" w:hAnsi="宋体" w:cs="宋体"/>
                          <w:sz w:val="24"/>
                        </w:rPr>
                        <w:t>（1个工作日内完成）</w:t>
                      </w:r>
                    </w:p>
                  </w:txbxContent>
                </v:textbox>
              </v:shape>
            </w:pict>
          </mc:Fallback>
        </mc:AlternateContent>
      </w:r>
    </w:p>
    <w:p>
      <w:pPr>
        <w:pStyle w:val="2"/>
        <w:ind w:firstLine="360" w:firstLineChars="199"/>
        <w:rPr>
          <w:rFonts w:hint="eastAsia" w:ascii="Times New Roman" w:hAnsi="Times New Roman"/>
          <w:b/>
        </w:rPr>
      </w:pPr>
    </w:p>
    <w:p>
      <w:pPr>
        <w:pStyle w:val="2"/>
        <w:spacing w:line="440" w:lineRule="exact"/>
        <w:ind w:firstLine="0" w:firstLineChars="0"/>
        <w:rPr>
          <w:rFonts w:hint="eastAsia" w:ascii="Times New Roman" w:hAnsi="Times New Roman" w:eastAsia="FangSong_GB2312"/>
        </w:rPr>
      </w:pPr>
    </w:p>
    <w:p>
      <w:pPr>
        <w:pStyle w:val="2"/>
        <w:spacing w:line="440" w:lineRule="exact"/>
        <w:ind w:left="0" w:leftChars="0" w:firstLine="0" w:firstLineChars="0"/>
        <w:jc w:val="left"/>
        <w:rPr>
          <w:rFonts w:ascii="Times New Roman" w:hAnsi="Times New Roman" w:eastAsia="FangSong_GB2312"/>
          <w:sz w:val="22"/>
          <w:szCs w:val="22"/>
        </w:rPr>
      </w:pPr>
      <w:r>
        <w:rPr>
          <w:rFonts w:ascii="Times New Roman" w:hAnsi="Times New Roman" w:eastAsia="FangSong_GB2312"/>
          <w:sz w:val="22"/>
          <w:szCs w:val="22"/>
        </w:rPr>
        <w:t>注：1、从所有资料备齐、评审中心审核确认后开始计时；</w:t>
      </w:r>
    </w:p>
    <w:p>
      <w:pPr>
        <w:pStyle w:val="2"/>
        <w:spacing w:line="440" w:lineRule="exact"/>
        <w:ind w:left="0" w:leftChars="0" w:firstLine="440" w:firstLineChars="200"/>
        <w:jc w:val="left"/>
        <w:rPr>
          <w:rFonts w:ascii="Times New Roman" w:hAnsi="Times New Roman" w:eastAsia="FangSong_GB2312"/>
          <w:sz w:val="22"/>
          <w:szCs w:val="22"/>
        </w:rPr>
      </w:pPr>
      <w:r>
        <w:rPr>
          <w:rFonts w:ascii="Times New Roman" w:hAnsi="Times New Roman" w:eastAsia="FangSong_GB2312"/>
          <w:sz w:val="22"/>
          <w:szCs w:val="22"/>
        </w:rPr>
        <w:t>2、因业主方提供的施工图粗糙、不全无法核实建设内容和工程量以及招标控制价与施工图严重不符、重大漏项等问题的，按业主方提供修正后资料的时间重新计时；</w:t>
      </w:r>
    </w:p>
    <w:p>
      <w:pPr>
        <w:pStyle w:val="2"/>
        <w:spacing w:line="440" w:lineRule="exact"/>
        <w:ind w:left="0" w:leftChars="0" w:firstLine="440" w:firstLineChars="200"/>
        <w:jc w:val="left"/>
        <w:rPr>
          <w:rFonts w:ascii="Times New Roman" w:hAnsi="Times New Roman" w:eastAsia="FangSong_GB2312"/>
          <w:sz w:val="22"/>
          <w:szCs w:val="22"/>
        </w:rPr>
      </w:pPr>
      <w:r>
        <w:rPr>
          <w:rFonts w:ascii="Times New Roman" w:hAnsi="Times New Roman" w:eastAsia="FangSong_GB2312"/>
          <w:sz w:val="22"/>
          <w:szCs w:val="22"/>
        </w:rPr>
        <w:t>3、房建项目评审时间可在以上评审时限的基础上延长，延长时间最长不超过5个工作日，项目变更增量、特大型项目（5个亿以上）、特殊项目（铁路等特殊行业项目）评审时间可在以上评审时限的基础上延长，延长时间最长不超过10个工作日;</w:t>
      </w:r>
    </w:p>
    <w:p>
      <w:pPr>
        <w:pStyle w:val="2"/>
        <w:spacing w:line="440" w:lineRule="exact"/>
        <w:ind w:left="0" w:leftChars="0" w:firstLine="440" w:firstLineChars="200"/>
        <w:jc w:val="left"/>
        <w:rPr>
          <w:rFonts w:ascii="Times New Roman" w:hAnsi="Times New Roman" w:eastAsia="FangSong_GB2312"/>
          <w:sz w:val="22"/>
          <w:szCs w:val="22"/>
        </w:rPr>
      </w:pPr>
      <w:r>
        <w:rPr>
          <w:rFonts w:ascii="Times New Roman" w:hAnsi="Times New Roman" w:eastAsia="FangSong_GB2312"/>
          <w:sz w:val="22"/>
          <w:szCs w:val="22"/>
        </w:rPr>
        <w:t>4、业主回复问题的2个工作日，不纳入中介评审时限计算；征求业主单位意见时间不纳入评审中心复核时限计算。</w:t>
      </w:r>
    </w:p>
    <w:p>
      <w:pPr>
        <w:pStyle w:val="2"/>
        <w:numPr>
          <w:ilvl w:val="0"/>
          <w:numId w:val="0"/>
        </w:numPr>
        <w:spacing w:line="440" w:lineRule="exact"/>
        <w:ind w:firstLine="440" w:firstLineChars="200"/>
        <w:jc w:val="left"/>
        <w:rPr>
          <w:rFonts w:ascii="Times New Roman" w:hAnsi="Times New Roman" w:eastAsia="FangSong_GB2312"/>
          <w:sz w:val="22"/>
          <w:szCs w:val="22"/>
        </w:rPr>
      </w:pPr>
      <w:r>
        <w:rPr>
          <w:rFonts w:hint="eastAsia" w:ascii="Times New Roman" w:hAnsi="Times New Roman" w:eastAsia="FangSong_GB2312" w:cs="Times New Roman"/>
          <w:sz w:val="22"/>
          <w:szCs w:val="22"/>
          <w:lang w:val="en-US" w:eastAsia="zh-CN"/>
        </w:rPr>
        <w:t>5、</w:t>
      </w:r>
      <w:r>
        <w:rPr>
          <w:rFonts w:ascii="Times New Roman" w:hAnsi="Times New Roman" w:eastAsia="FangSong_GB2312"/>
          <w:sz w:val="22"/>
          <w:szCs w:val="22"/>
        </w:rPr>
        <w:t>业主单位当日12:00以后送审资料的，从第二个工作日开始计算评审分配时间。</w:t>
      </w:r>
    </w:p>
    <w:p>
      <w:pPr>
        <w:pStyle w:val="2"/>
        <w:spacing w:line="440" w:lineRule="exact"/>
        <w:ind w:firstLine="0" w:firstLineChars="0"/>
        <w:rPr>
          <w:rFonts w:ascii="Times New Roman" w:hAnsi="Times New Roman" w:eastAsia="FangSong_GB2312"/>
        </w:rPr>
      </w:pPr>
    </w:p>
    <w:p>
      <w:pPr>
        <w:pStyle w:val="2"/>
        <w:spacing w:line="440" w:lineRule="exact"/>
        <w:ind w:firstLine="0" w:firstLineChars="0"/>
        <w:rPr>
          <w:rFonts w:ascii="Times New Roman" w:hAnsi="Times New Roman" w:eastAsia="FangSong_GB2312"/>
        </w:rPr>
      </w:pPr>
    </w:p>
    <w:p>
      <w:pPr>
        <w:pStyle w:val="2"/>
        <w:spacing w:line="440" w:lineRule="exact"/>
        <w:ind w:firstLine="0" w:firstLineChars="0"/>
        <w:rPr>
          <w:rFonts w:ascii="Times New Roman" w:hAnsi="Times New Roman" w:eastAsia="FangSong_GB2312"/>
        </w:rPr>
      </w:pPr>
    </w:p>
    <w:p>
      <w:pPr>
        <w:pStyle w:val="2"/>
        <w:spacing w:line="440" w:lineRule="exact"/>
        <w:ind w:firstLine="0" w:firstLineChars="0"/>
        <w:rPr>
          <w:rFonts w:ascii="Times New Roman" w:hAnsi="Times New Roman" w:eastAsia="FangSong_GB2312"/>
        </w:rPr>
      </w:pPr>
    </w:p>
    <w:p>
      <w:pPr>
        <w:pStyle w:val="2"/>
        <w:spacing w:line="440" w:lineRule="exact"/>
        <w:ind w:firstLine="0" w:firstLineChars="0"/>
        <w:rPr>
          <w:rFonts w:ascii="Times New Roman" w:hAnsi="Times New Roman" w:eastAsia="FangSong_GB2312"/>
        </w:rPr>
      </w:pPr>
    </w:p>
    <w:p>
      <w:pPr>
        <w:pStyle w:val="2"/>
        <w:spacing w:line="440" w:lineRule="exact"/>
        <w:ind w:firstLine="0" w:firstLineChars="0"/>
        <w:rPr>
          <w:rFonts w:ascii="Times New Roman" w:hAnsi="Times New Roman" w:eastAsia="FangSong_GB2312"/>
        </w:rPr>
      </w:pPr>
    </w:p>
    <w:p>
      <w:pPr>
        <w:pStyle w:val="2"/>
        <w:spacing w:line="440" w:lineRule="exact"/>
        <w:ind w:firstLine="0" w:firstLineChars="0"/>
        <w:rPr>
          <w:rFonts w:ascii="Times New Roman" w:hAnsi="Times New Roman" w:eastAsia="FangSong_GB2312"/>
        </w:rPr>
      </w:pPr>
    </w:p>
    <w:p>
      <w:pPr>
        <w:pStyle w:val="2"/>
        <w:spacing w:line="440" w:lineRule="exact"/>
        <w:ind w:firstLine="0" w:firstLineChars="0"/>
        <w:rPr>
          <w:rFonts w:ascii="Times New Roman" w:hAnsi="Times New Roman" w:eastAsia="FangSong_GB2312"/>
        </w:rPr>
      </w:pPr>
    </w:p>
    <w:p>
      <w:pPr>
        <w:pStyle w:val="2"/>
        <w:spacing w:line="440" w:lineRule="exact"/>
        <w:ind w:firstLine="0" w:firstLineChars="0"/>
        <w:rPr>
          <w:rFonts w:ascii="Times New Roman" w:hAnsi="Times New Roman" w:eastAsia="FangSong_GB2312"/>
        </w:rPr>
      </w:pPr>
    </w:p>
    <w:p>
      <w:pPr>
        <w:pStyle w:val="2"/>
        <w:spacing w:line="440" w:lineRule="exact"/>
        <w:ind w:firstLine="0" w:firstLineChars="0"/>
        <w:rPr>
          <w:rFonts w:ascii="Times New Roman" w:hAnsi="Times New Roman" w:eastAsia="FangSong_GB2312"/>
        </w:rPr>
      </w:pPr>
    </w:p>
    <w:p>
      <w:pPr>
        <w:pStyle w:val="2"/>
        <w:spacing w:line="500" w:lineRule="exact"/>
        <w:ind w:firstLine="0" w:firstLineChars="0"/>
        <w:rPr>
          <w:rFonts w:hint="eastAsia" w:ascii="Times New Roman" w:hAnsi="Times New Roman" w:eastAsia="FangSong_GB2312"/>
        </w:rPr>
      </w:pPr>
    </w:p>
    <w:p>
      <w:pPr>
        <w:pStyle w:val="2"/>
        <w:spacing w:line="500" w:lineRule="exact"/>
        <w:ind w:firstLine="0" w:firstLineChars="0"/>
        <w:rPr>
          <w:rFonts w:hint="eastAsia" w:ascii="Times New Roman" w:hAnsi="Times New Roman" w:eastAsia="黑体"/>
          <w:color w:val="000000"/>
          <w:sz w:val="32"/>
          <w:szCs w:val="32"/>
        </w:rPr>
      </w:pPr>
    </w:p>
    <w:p>
      <w:pPr>
        <w:pStyle w:val="2"/>
        <w:spacing w:line="500" w:lineRule="exact"/>
        <w:ind w:firstLine="0" w:firstLineChars="0"/>
        <w:rPr>
          <w:rFonts w:hint="eastAsia" w:ascii="Times New Roman" w:hAnsi="Times New Roman" w:eastAsia="黑体"/>
          <w:color w:val="000000"/>
          <w:sz w:val="32"/>
          <w:szCs w:val="32"/>
          <w:lang w:eastAsia="zh-CN"/>
        </w:rPr>
      </w:pPr>
    </w:p>
    <w:p>
      <w:pPr>
        <w:pStyle w:val="2"/>
        <w:spacing w:line="500" w:lineRule="exact"/>
        <w:ind w:firstLine="0" w:firstLineChars="0"/>
        <w:rPr>
          <w:rFonts w:hint="eastAsia" w:ascii="Times New Roman" w:hAnsi="Times New Roman" w:eastAsia="黑体"/>
          <w:color w:val="000000"/>
          <w:sz w:val="32"/>
          <w:szCs w:val="32"/>
          <w:lang w:eastAsia="zh-CN"/>
        </w:rPr>
      </w:pPr>
    </w:p>
    <w:p>
      <w:pPr>
        <w:pStyle w:val="2"/>
        <w:spacing w:line="500" w:lineRule="exact"/>
        <w:ind w:firstLine="0" w:firstLineChars="0"/>
        <w:rPr>
          <w:rFonts w:hint="eastAsia" w:ascii="Times New Roman" w:hAnsi="Times New Roman" w:eastAsia="黑体"/>
          <w:color w:val="000000"/>
          <w:sz w:val="32"/>
          <w:szCs w:val="32"/>
          <w:lang w:eastAsia="zh-CN"/>
        </w:rPr>
      </w:pPr>
    </w:p>
    <w:p>
      <w:pPr>
        <w:pStyle w:val="2"/>
        <w:adjustRightInd/>
        <w:snapToGrid/>
        <w:spacing w:line="500" w:lineRule="exact"/>
        <w:ind w:left="0" w:leftChars="0" w:firstLine="0" w:firstLineChars="0"/>
        <w:jc w:val="left"/>
        <w:rPr>
          <w:rFonts w:hint="eastAsia" w:ascii="Times New Roman" w:hAnsi="Times New Roman" w:eastAsia="方正小标宋简体"/>
          <w:bCs/>
          <w:spacing w:val="-20"/>
          <w:sz w:val="32"/>
          <w:szCs w:val="32"/>
          <w:lang w:eastAsia="zh-CN"/>
        </w:rPr>
      </w:pPr>
    </w:p>
    <w:p>
      <w:pPr>
        <w:pStyle w:val="2"/>
        <w:adjustRightInd/>
        <w:snapToGrid/>
        <w:spacing w:line="500" w:lineRule="exact"/>
        <w:ind w:left="0" w:leftChars="0" w:firstLine="0" w:firstLineChars="0"/>
        <w:jc w:val="left"/>
        <w:rPr>
          <w:rFonts w:hint="eastAsia" w:ascii="Times New Roman" w:hAnsi="Times New Roman" w:eastAsia="方正小标宋简体"/>
          <w:bCs/>
          <w:spacing w:val="-20"/>
          <w:sz w:val="32"/>
          <w:szCs w:val="32"/>
          <w:lang w:eastAsia="zh-CN"/>
        </w:rPr>
      </w:pPr>
    </w:p>
    <w:p>
      <w:pPr>
        <w:pStyle w:val="2"/>
        <w:adjustRightInd/>
        <w:snapToGrid/>
        <w:spacing w:line="500" w:lineRule="exact"/>
        <w:ind w:left="0" w:leftChars="0" w:firstLine="0" w:firstLineChars="0"/>
        <w:jc w:val="left"/>
        <w:rPr>
          <w:rFonts w:hint="eastAsia" w:ascii="Times New Roman" w:hAnsi="Times New Roman" w:eastAsia="方正小标宋简体"/>
          <w:bCs/>
          <w:spacing w:val="-20"/>
          <w:sz w:val="32"/>
          <w:szCs w:val="32"/>
          <w:lang w:eastAsia="zh-CN"/>
        </w:rPr>
      </w:pPr>
    </w:p>
    <w:p>
      <w:pPr>
        <w:pStyle w:val="2"/>
        <w:adjustRightInd/>
        <w:snapToGrid/>
        <w:spacing w:line="500" w:lineRule="exact"/>
        <w:ind w:left="0" w:leftChars="0" w:firstLine="0" w:firstLineChars="0"/>
        <w:jc w:val="left"/>
        <w:rPr>
          <w:rFonts w:hint="eastAsia" w:ascii="Times New Roman" w:hAnsi="Times New Roman" w:eastAsia="方正小标宋简体"/>
          <w:bCs/>
          <w:spacing w:val="-20"/>
          <w:sz w:val="32"/>
          <w:szCs w:val="32"/>
          <w:lang w:eastAsia="zh-CN"/>
        </w:rPr>
      </w:pPr>
    </w:p>
    <w:p>
      <w:pPr>
        <w:pStyle w:val="2"/>
        <w:adjustRightInd/>
        <w:snapToGrid/>
        <w:spacing w:line="500" w:lineRule="exact"/>
        <w:ind w:left="0" w:leftChars="0" w:firstLine="0" w:firstLineChars="0"/>
        <w:jc w:val="left"/>
        <w:rPr>
          <w:rFonts w:hint="eastAsia" w:ascii="Times New Roman" w:hAnsi="Times New Roman" w:eastAsia="方正小标宋简体"/>
          <w:bCs/>
          <w:spacing w:val="-20"/>
          <w:sz w:val="32"/>
          <w:szCs w:val="32"/>
          <w:lang w:eastAsia="zh-CN"/>
        </w:rPr>
      </w:pPr>
    </w:p>
    <w:p>
      <w:pPr>
        <w:pStyle w:val="2"/>
        <w:adjustRightInd/>
        <w:snapToGrid/>
        <w:spacing w:line="500" w:lineRule="exact"/>
        <w:ind w:left="0" w:leftChars="0" w:firstLine="0" w:firstLineChars="0"/>
        <w:jc w:val="left"/>
        <w:rPr>
          <w:rFonts w:hint="eastAsia" w:ascii="Times New Roman" w:hAnsi="Times New Roman" w:eastAsia="方正小标宋简体"/>
          <w:bCs/>
          <w:spacing w:val="-20"/>
          <w:sz w:val="32"/>
          <w:szCs w:val="32"/>
          <w:lang w:eastAsia="zh-CN"/>
        </w:rPr>
      </w:pPr>
    </w:p>
    <w:p>
      <w:pPr>
        <w:pStyle w:val="2"/>
        <w:adjustRightInd/>
        <w:snapToGrid/>
        <w:spacing w:line="500" w:lineRule="exact"/>
        <w:ind w:left="0" w:leftChars="0" w:firstLine="0" w:firstLineChars="0"/>
        <w:jc w:val="left"/>
        <w:rPr>
          <w:rFonts w:hint="eastAsia" w:ascii="Times New Roman" w:hAnsi="Times New Roman" w:eastAsia="方正小标宋简体"/>
          <w:bCs/>
          <w:spacing w:val="-20"/>
          <w:sz w:val="32"/>
          <w:szCs w:val="32"/>
          <w:lang w:eastAsia="zh-CN"/>
        </w:rPr>
      </w:pPr>
    </w:p>
    <w:p>
      <w:pPr>
        <w:pStyle w:val="2"/>
        <w:adjustRightInd/>
        <w:snapToGrid/>
        <w:spacing w:line="500" w:lineRule="exact"/>
        <w:ind w:left="0" w:leftChars="0" w:firstLine="0" w:firstLineChars="0"/>
        <w:jc w:val="left"/>
        <w:rPr>
          <w:rFonts w:hint="eastAsia" w:ascii="Times New Roman" w:hAnsi="Times New Roman" w:eastAsia="方正小标宋简体"/>
          <w:bCs/>
          <w:spacing w:val="-20"/>
          <w:sz w:val="32"/>
          <w:szCs w:val="32"/>
          <w:lang w:eastAsia="zh-CN"/>
        </w:rPr>
      </w:pPr>
      <w:r>
        <w:rPr>
          <w:rFonts w:hint="eastAsia" w:ascii="Times New Roman" w:hAnsi="Times New Roman" w:eastAsia="方正小标宋简体"/>
          <w:bCs/>
          <w:spacing w:val="-20"/>
          <w:sz w:val="32"/>
          <w:szCs w:val="32"/>
          <w:lang w:eastAsia="zh-CN"/>
        </w:rPr>
        <w:t>附表一：</w:t>
      </w:r>
    </w:p>
    <w:p>
      <w:pPr>
        <w:pStyle w:val="3"/>
        <w:ind w:left="0" w:leftChars="0" w:firstLine="0" w:firstLineChars="0"/>
        <w:jc w:val="center"/>
        <w:rPr>
          <w:rFonts w:hint="eastAsia" w:ascii="方正小标宋简体" w:hAnsi="方正小标宋简体" w:eastAsia="方正小标宋简体" w:cs="方正小标宋简体"/>
          <w:color w:val="000000"/>
          <w:sz w:val="24"/>
          <w:szCs w:val="24"/>
          <w:lang w:eastAsia="zh-CN"/>
        </w:rPr>
      </w:pPr>
      <w:r>
        <w:rPr>
          <w:rFonts w:hint="eastAsia" w:ascii="方正小标宋简体" w:hAnsi="方正小标宋简体" w:eastAsia="方正小标宋简体" w:cs="方正小标宋简体"/>
          <w:b w:val="0"/>
          <w:bCs w:val="0"/>
          <w:color w:val="auto"/>
          <w:spacing w:val="2"/>
          <w:sz w:val="36"/>
          <w:szCs w:val="36"/>
          <w:highlight w:val="none"/>
          <w:lang w:eastAsia="zh-CN"/>
        </w:rPr>
        <w:t>工程类项目日常考核标准表</w:t>
      </w:r>
    </w:p>
    <w:tbl>
      <w:tblPr>
        <w:tblStyle w:val="5"/>
        <w:tblpPr w:leftFromText="180" w:rightFromText="180" w:vertAnchor="text" w:horzAnchor="page" w:tblpXSpec="center" w:tblpY="282"/>
        <w:tblOverlap w:val="never"/>
        <w:tblW w:w="9510" w:type="dxa"/>
        <w:tblInd w:w="0" w:type="dxa"/>
        <w:tblLayout w:type="fixed"/>
        <w:tblCellMar>
          <w:top w:w="0" w:type="dxa"/>
          <w:left w:w="10" w:type="dxa"/>
          <w:bottom w:w="0" w:type="dxa"/>
          <w:right w:w="10" w:type="dxa"/>
        </w:tblCellMar>
      </w:tblPr>
      <w:tblGrid>
        <w:gridCol w:w="986"/>
        <w:gridCol w:w="1205"/>
        <w:gridCol w:w="1820"/>
        <w:gridCol w:w="4227"/>
        <w:gridCol w:w="711"/>
        <w:gridCol w:w="561"/>
      </w:tblGrid>
      <w:tr>
        <w:tblPrEx>
          <w:tblCellMar>
            <w:top w:w="0" w:type="dxa"/>
            <w:left w:w="10" w:type="dxa"/>
            <w:bottom w:w="0" w:type="dxa"/>
            <w:right w:w="10" w:type="dxa"/>
          </w:tblCellMar>
        </w:tblPrEx>
        <w:trPr>
          <w:trHeight w:val="574" w:hRule="atLeast"/>
        </w:trPr>
        <w:tc>
          <w:tcPr>
            <w:tcW w:w="2191" w:type="dxa"/>
            <w:gridSpan w:val="2"/>
            <w:tcBorders>
              <w:top w:val="single" w:color="auto" w:sz="4" w:space="0"/>
              <w:left w:val="single" w:color="auto" w:sz="4" w:space="0"/>
              <w:bottom w:val="nil"/>
              <w:right w:val="nil"/>
            </w:tcBorders>
            <w:noWrap w:val="0"/>
            <w:vAlign w:val="center"/>
          </w:tcPr>
          <w:p>
            <w:pPr>
              <w:snapToGrid w:val="0"/>
              <w:spacing w:line="240" w:lineRule="exact"/>
              <w:jc w:val="center"/>
              <w:rPr>
                <w:rFonts w:ascii="Times New Roman" w:hAnsi="Times New Roman"/>
                <w:b/>
                <w:bCs/>
                <w:color w:val="000000"/>
                <w:szCs w:val="21"/>
              </w:rPr>
            </w:pPr>
            <w:r>
              <w:rPr>
                <w:rFonts w:ascii="Times New Roman" w:hAnsi="Times New Roman"/>
                <w:b/>
                <w:bCs/>
                <w:color w:val="000000"/>
                <w:szCs w:val="21"/>
              </w:rPr>
              <w:t>考核项目</w:t>
            </w:r>
          </w:p>
        </w:tc>
        <w:tc>
          <w:tcPr>
            <w:tcW w:w="1820" w:type="dxa"/>
            <w:tcBorders>
              <w:top w:val="single" w:color="auto" w:sz="4" w:space="0"/>
              <w:left w:val="single" w:color="auto" w:sz="4" w:space="0"/>
              <w:bottom w:val="nil"/>
              <w:right w:val="nil"/>
            </w:tcBorders>
            <w:noWrap w:val="0"/>
            <w:vAlign w:val="center"/>
          </w:tcPr>
          <w:p>
            <w:pPr>
              <w:snapToGrid w:val="0"/>
              <w:spacing w:line="240" w:lineRule="exact"/>
              <w:jc w:val="center"/>
              <w:rPr>
                <w:rFonts w:ascii="Times New Roman" w:hAnsi="Times New Roman"/>
                <w:b/>
                <w:bCs/>
                <w:color w:val="000000"/>
                <w:szCs w:val="21"/>
              </w:rPr>
            </w:pPr>
            <w:r>
              <w:rPr>
                <w:rFonts w:ascii="Times New Roman" w:hAnsi="Times New Roman"/>
                <w:b/>
                <w:bCs/>
                <w:color w:val="000000"/>
                <w:szCs w:val="21"/>
              </w:rPr>
              <w:t>备  注</w:t>
            </w:r>
          </w:p>
        </w:tc>
        <w:tc>
          <w:tcPr>
            <w:tcW w:w="4227" w:type="dxa"/>
            <w:tcBorders>
              <w:top w:val="single" w:color="auto" w:sz="4" w:space="0"/>
              <w:left w:val="single" w:color="auto" w:sz="4" w:space="0"/>
              <w:bottom w:val="nil"/>
              <w:right w:val="nil"/>
            </w:tcBorders>
            <w:noWrap w:val="0"/>
            <w:vAlign w:val="center"/>
          </w:tcPr>
          <w:p>
            <w:pPr>
              <w:pStyle w:val="9"/>
              <w:spacing w:line="240" w:lineRule="exact"/>
              <w:ind w:firstLine="0" w:firstLineChars="0"/>
              <w:jc w:val="center"/>
              <w:rPr>
                <w:rFonts w:ascii="Times New Roman" w:hAnsi="Times New Roman"/>
                <w:b/>
                <w:bCs/>
                <w:color w:val="000000"/>
                <w:szCs w:val="21"/>
              </w:rPr>
            </w:pPr>
            <w:r>
              <w:rPr>
                <w:rFonts w:ascii="Times New Roman" w:hAnsi="Times New Roman"/>
                <w:b/>
                <w:bCs/>
                <w:color w:val="000000"/>
                <w:szCs w:val="21"/>
              </w:rPr>
              <w:t>考核内容与评分标准考核细则</w:t>
            </w:r>
          </w:p>
        </w:tc>
        <w:tc>
          <w:tcPr>
            <w:tcW w:w="711" w:type="dxa"/>
            <w:tcBorders>
              <w:top w:val="single" w:color="auto" w:sz="4" w:space="0"/>
              <w:left w:val="single" w:color="auto" w:sz="4" w:space="0"/>
              <w:bottom w:val="nil"/>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ascii="Times New Roman" w:hAnsi="Times New Roman"/>
                <w:color w:val="000000"/>
                <w:szCs w:val="21"/>
              </w:rPr>
              <w:t>分值</w:t>
            </w:r>
          </w:p>
        </w:tc>
        <w:tc>
          <w:tcPr>
            <w:tcW w:w="561" w:type="dxa"/>
            <w:tcBorders>
              <w:top w:val="single" w:color="auto" w:sz="4" w:space="0"/>
              <w:left w:val="single" w:color="auto" w:sz="4" w:space="0"/>
              <w:bottom w:val="nil"/>
              <w:right w:val="single" w:color="auto" w:sz="4" w:space="0"/>
            </w:tcBorders>
            <w:noWrap w:val="0"/>
            <w:vAlign w:val="center"/>
          </w:tcPr>
          <w:p>
            <w:pPr>
              <w:snapToGrid w:val="0"/>
              <w:spacing w:line="240" w:lineRule="exact"/>
              <w:jc w:val="center"/>
              <w:rPr>
                <w:rFonts w:ascii="Times New Roman" w:hAnsi="Times New Roman"/>
                <w:color w:val="000000"/>
                <w:szCs w:val="21"/>
              </w:rPr>
            </w:pPr>
            <w:r>
              <w:rPr>
                <w:rFonts w:ascii="Times New Roman" w:hAnsi="Times New Roman"/>
                <w:color w:val="000000"/>
                <w:szCs w:val="21"/>
              </w:rPr>
              <w:t>评分</w:t>
            </w:r>
          </w:p>
        </w:tc>
      </w:tr>
      <w:tr>
        <w:tblPrEx>
          <w:tblCellMar>
            <w:top w:w="0" w:type="dxa"/>
            <w:left w:w="10" w:type="dxa"/>
            <w:bottom w:w="0" w:type="dxa"/>
            <w:right w:w="10" w:type="dxa"/>
          </w:tblCellMar>
        </w:tblPrEx>
        <w:trPr>
          <w:trHeight w:val="766" w:hRule="atLeast"/>
        </w:trPr>
        <w:tc>
          <w:tcPr>
            <w:tcW w:w="986" w:type="dxa"/>
            <w:vMerge w:val="restart"/>
            <w:tcBorders>
              <w:top w:val="single" w:color="auto" w:sz="4" w:space="0"/>
              <w:left w:val="single" w:color="auto" w:sz="4" w:space="0"/>
              <w:right w:val="nil"/>
            </w:tcBorders>
            <w:noWrap w:val="0"/>
            <w:vAlign w:val="center"/>
          </w:tcPr>
          <w:p>
            <w:pPr>
              <w:widowControl/>
              <w:spacing w:line="240" w:lineRule="exact"/>
              <w:jc w:val="center"/>
              <w:rPr>
                <w:rFonts w:ascii="Times New Roman" w:hAnsi="Times New Roman"/>
                <w:b/>
                <w:bCs/>
                <w:color w:val="000000"/>
                <w:szCs w:val="21"/>
              </w:rPr>
            </w:pPr>
            <w:r>
              <w:rPr>
                <w:rFonts w:ascii="Times New Roman" w:hAnsi="Times New Roman"/>
                <w:b/>
                <w:bCs/>
                <w:color w:val="000000"/>
                <w:szCs w:val="21"/>
              </w:rPr>
              <w:t>(一)</w:t>
            </w:r>
          </w:p>
          <w:p>
            <w:pPr>
              <w:widowControl/>
              <w:spacing w:line="240" w:lineRule="exact"/>
              <w:jc w:val="center"/>
              <w:rPr>
                <w:rFonts w:ascii="Times New Roman" w:hAnsi="Times New Roman"/>
                <w:b/>
                <w:bCs/>
                <w:color w:val="000000"/>
                <w:szCs w:val="21"/>
              </w:rPr>
            </w:pPr>
            <w:r>
              <w:rPr>
                <w:rFonts w:ascii="Times New Roman" w:hAnsi="Times New Roman"/>
                <w:b/>
                <w:bCs/>
                <w:color w:val="000000"/>
                <w:szCs w:val="21"/>
              </w:rPr>
              <w:t>评审时效30分</w:t>
            </w:r>
          </w:p>
        </w:tc>
        <w:tc>
          <w:tcPr>
            <w:tcW w:w="1205" w:type="dxa"/>
            <w:tcBorders>
              <w:top w:val="single" w:color="auto" w:sz="4" w:space="0"/>
              <w:left w:val="single" w:color="auto" w:sz="4" w:space="0"/>
              <w:bottom w:val="nil"/>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lang w:eastAsia="zh-CN"/>
              </w:rPr>
              <w:t>联合体</w:t>
            </w:r>
            <w:r>
              <w:rPr>
                <w:rFonts w:ascii="Times New Roman" w:hAnsi="Times New Roman"/>
                <w:color w:val="000000"/>
                <w:szCs w:val="21"/>
              </w:rPr>
              <w:t>评审结论</w:t>
            </w:r>
          </w:p>
        </w:tc>
        <w:tc>
          <w:tcPr>
            <w:tcW w:w="1820" w:type="dxa"/>
            <w:tcBorders>
              <w:top w:val="single" w:color="auto" w:sz="4" w:space="0"/>
              <w:left w:val="single" w:color="auto" w:sz="4" w:space="0"/>
              <w:bottom w:val="nil"/>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以报送评审中心签收时间点为准</w:t>
            </w:r>
          </w:p>
        </w:tc>
        <w:tc>
          <w:tcPr>
            <w:tcW w:w="4227" w:type="dxa"/>
            <w:tcBorders>
              <w:top w:val="single" w:color="auto" w:sz="4" w:space="0"/>
              <w:left w:val="single" w:color="auto" w:sz="4" w:space="0"/>
              <w:bottom w:val="nil"/>
              <w:right w:val="nil"/>
            </w:tcBorders>
            <w:noWrap w:val="0"/>
            <w:vAlign w:val="center"/>
          </w:tcPr>
          <w:p>
            <w:pPr>
              <w:pStyle w:val="9"/>
              <w:spacing w:line="240" w:lineRule="exact"/>
              <w:ind w:left="0" w:leftChars="0" w:firstLine="0" w:firstLineChars="0"/>
              <w:jc w:val="left"/>
              <w:rPr>
                <w:rFonts w:hint="eastAsia" w:ascii="Times New Roman" w:hAnsi="Times New Roman"/>
                <w:color w:val="000000"/>
                <w:szCs w:val="21"/>
              </w:rPr>
            </w:pPr>
            <w:r>
              <w:rPr>
                <w:rFonts w:ascii="Times New Roman" w:hAnsi="Times New Roman"/>
                <w:color w:val="000000"/>
                <w:szCs w:val="21"/>
              </w:rPr>
              <w:t>按要求时间完成初稿</w:t>
            </w:r>
            <w:r>
              <w:rPr>
                <w:rFonts w:hint="eastAsia" w:ascii="Times New Roman" w:hAnsi="Times New Roman"/>
                <w:color w:val="000000"/>
                <w:szCs w:val="21"/>
              </w:rPr>
              <w:t>且提供复核记录的</w:t>
            </w:r>
            <w:r>
              <w:rPr>
                <w:rFonts w:ascii="Times New Roman" w:hAnsi="Times New Roman"/>
                <w:color w:val="000000"/>
                <w:szCs w:val="21"/>
              </w:rPr>
              <w:t>计</w:t>
            </w:r>
            <w:r>
              <w:rPr>
                <w:rFonts w:hint="eastAsia" w:ascii="Times New Roman" w:hAnsi="Times New Roman"/>
                <w:color w:val="000000"/>
                <w:szCs w:val="21"/>
                <w:lang w:val="en-US" w:eastAsia="zh-CN"/>
              </w:rPr>
              <w:t>27</w:t>
            </w:r>
            <w:r>
              <w:rPr>
                <w:rFonts w:ascii="Times New Roman" w:hAnsi="Times New Roman"/>
                <w:color w:val="000000"/>
                <w:szCs w:val="21"/>
              </w:rPr>
              <w:t>分，</w:t>
            </w:r>
            <w:r>
              <w:rPr>
                <w:rFonts w:hint="eastAsia" w:ascii="Times New Roman" w:hAnsi="Times New Roman"/>
                <w:color w:val="000000"/>
                <w:szCs w:val="21"/>
              </w:rPr>
              <w:t>无复核记录的扣</w:t>
            </w:r>
            <w:r>
              <w:rPr>
                <w:rFonts w:hint="eastAsia" w:ascii="Times New Roman" w:hAnsi="Times New Roman"/>
                <w:color w:val="000000"/>
                <w:szCs w:val="21"/>
                <w:lang w:val="en-US" w:eastAsia="zh-CN"/>
              </w:rPr>
              <w:t>2</w:t>
            </w:r>
            <w:r>
              <w:rPr>
                <w:rFonts w:hint="eastAsia" w:ascii="Times New Roman" w:hAnsi="Times New Roman"/>
                <w:color w:val="000000"/>
                <w:szCs w:val="21"/>
              </w:rPr>
              <w:t>分；</w:t>
            </w:r>
            <w:r>
              <w:rPr>
                <w:rFonts w:ascii="Times New Roman" w:hAnsi="Times New Roman"/>
                <w:color w:val="000000"/>
                <w:szCs w:val="21"/>
              </w:rPr>
              <w:t>延期一天扣</w:t>
            </w:r>
            <w:r>
              <w:rPr>
                <w:rFonts w:hint="eastAsia" w:ascii="Times New Roman" w:hAnsi="Times New Roman"/>
                <w:color w:val="000000"/>
                <w:szCs w:val="21"/>
                <w:lang w:val="en-US" w:eastAsia="zh-CN"/>
              </w:rPr>
              <w:t>5</w:t>
            </w:r>
            <w:r>
              <w:rPr>
                <w:rFonts w:ascii="Times New Roman" w:hAnsi="Times New Roman"/>
                <w:color w:val="000000"/>
                <w:szCs w:val="21"/>
              </w:rPr>
              <w:t>分,以此类推扣完为止</w:t>
            </w:r>
            <w:r>
              <w:rPr>
                <w:rFonts w:hint="eastAsia" w:ascii="Times New Roman" w:hAnsi="Times New Roman"/>
                <w:color w:val="000000"/>
                <w:szCs w:val="21"/>
              </w:rPr>
              <w:t>。</w:t>
            </w:r>
          </w:p>
        </w:tc>
        <w:tc>
          <w:tcPr>
            <w:tcW w:w="711" w:type="dxa"/>
            <w:tcBorders>
              <w:top w:val="single" w:color="auto" w:sz="4" w:space="0"/>
              <w:left w:val="single" w:color="auto" w:sz="4" w:space="0"/>
              <w:bottom w:val="nil"/>
              <w:right w:val="nil"/>
            </w:tcBorders>
            <w:noWrap w:val="0"/>
            <w:vAlign w:val="center"/>
          </w:tcPr>
          <w:p>
            <w:pPr>
              <w:snapToGrid w:val="0"/>
              <w:spacing w:line="240" w:lineRule="exact"/>
              <w:jc w:val="center"/>
              <w:rPr>
                <w:rFonts w:hint="default" w:ascii="Times New Roman" w:hAnsi="Times New Roman" w:eastAsia="宋体"/>
                <w:color w:val="000000"/>
                <w:szCs w:val="21"/>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27</w:t>
            </w:r>
          </w:p>
        </w:tc>
        <w:tc>
          <w:tcPr>
            <w:tcW w:w="561" w:type="dxa"/>
            <w:tcBorders>
              <w:top w:val="single" w:color="auto" w:sz="4" w:space="0"/>
              <w:left w:val="single" w:color="auto" w:sz="4" w:space="0"/>
              <w:bottom w:val="nil"/>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766" w:hRule="atLeast"/>
        </w:trPr>
        <w:tc>
          <w:tcPr>
            <w:tcW w:w="986" w:type="dxa"/>
            <w:vMerge w:val="continue"/>
            <w:tcBorders>
              <w:left w:val="single" w:color="auto" w:sz="4" w:space="0"/>
              <w:bottom w:val="single" w:color="auto" w:sz="4" w:space="0"/>
              <w:right w:val="nil"/>
            </w:tcBorders>
            <w:noWrap w:val="0"/>
            <w:vAlign w:val="center"/>
          </w:tcPr>
          <w:p>
            <w:pPr>
              <w:widowControl/>
              <w:spacing w:line="240" w:lineRule="exact"/>
              <w:jc w:val="center"/>
              <w:rPr>
                <w:rFonts w:ascii="Times New Roman" w:hAnsi="Times New Roman"/>
                <w:b/>
                <w:bCs/>
                <w:color w:val="000000"/>
                <w:szCs w:val="21"/>
              </w:rPr>
            </w:pPr>
          </w:p>
        </w:tc>
        <w:tc>
          <w:tcPr>
            <w:tcW w:w="1205"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both"/>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2</w:t>
            </w:r>
            <w:r>
              <w:rPr>
                <w:rFonts w:hint="eastAsia"/>
                <w:color w:val="000000"/>
                <w:szCs w:val="21"/>
                <w:lang w:val="en-US" w:eastAsia="zh-CN"/>
              </w:rPr>
              <w:t>、</w:t>
            </w:r>
            <w:r>
              <w:rPr>
                <w:rFonts w:hint="eastAsia" w:ascii="Times New Roman" w:hAnsi="Times New Roman"/>
                <w:color w:val="000000"/>
                <w:szCs w:val="21"/>
                <w:lang w:val="en-US" w:eastAsia="zh-CN"/>
              </w:rPr>
              <w:t>联合体整理资料</w:t>
            </w:r>
          </w:p>
        </w:tc>
        <w:tc>
          <w:tcPr>
            <w:tcW w:w="1820"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以评审中心通知联合体整理资料时间为准</w:t>
            </w: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hint="default" w:ascii="Times New Roman" w:hAnsi="Times New Roman" w:eastAsia="宋体"/>
                <w:color w:val="000000"/>
                <w:szCs w:val="21"/>
                <w:lang w:val="en-US" w:eastAsia="zh-CN"/>
              </w:rPr>
            </w:pPr>
            <w:r>
              <w:rPr>
                <w:rFonts w:hint="eastAsia" w:ascii="Times New Roman" w:hAnsi="Times New Roman"/>
                <w:color w:val="000000"/>
                <w:szCs w:val="21"/>
                <w:lang w:eastAsia="zh-CN"/>
              </w:rPr>
              <w:t>按要求在</w:t>
            </w:r>
            <w:r>
              <w:rPr>
                <w:rFonts w:hint="eastAsia" w:ascii="Times New Roman" w:hAnsi="Times New Roman"/>
                <w:color w:val="000000"/>
                <w:szCs w:val="21"/>
                <w:lang w:val="en-US" w:eastAsia="zh-CN"/>
              </w:rPr>
              <w:t>1个工作日内将电子版资料发评审中心的记3分，每超过一天扣1分。</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0-3</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766" w:hRule="atLeast"/>
        </w:trPr>
        <w:tc>
          <w:tcPr>
            <w:tcW w:w="986" w:type="dxa"/>
            <w:vMerge w:val="restart"/>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r>
              <w:rPr>
                <w:rFonts w:ascii="Times New Roman" w:hAnsi="Times New Roman"/>
                <w:b/>
                <w:bCs/>
                <w:color w:val="000000"/>
                <w:szCs w:val="21"/>
              </w:rPr>
              <w:t>(二)</w:t>
            </w:r>
          </w:p>
          <w:p>
            <w:pPr>
              <w:pStyle w:val="9"/>
              <w:spacing w:line="240" w:lineRule="exact"/>
              <w:ind w:firstLine="0" w:firstLineChars="0"/>
              <w:jc w:val="center"/>
              <w:rPr>
                <w:rFonts w:ascii="Times New Roman" w:hAnsi="Times New Roman"/>
                <w:color w:val="000000"/>
                <w:szCs w:val="21"/>
              </w:rPr>
            </w:pPr>
            <w:r>
              <w:rPr>
                <w:rFonts w:ascii="Times New Roman" w:hAnsi="Times New Roman"/>
                <w:b/>
                <w:bCs/>
                <w:color w:val="000000"/>
                <w:szCs w:val="21"/>
              </w:rPr>
              <w:t>评审质量</w:t>
            </w:r>
            <w:r>
              <w:rPr>
                <w:rFonts w:hint="eastAsia" w:ascii="Times New Roman" w:hAnsi="Times New Roman"/>
                <w:b/>
                <w:bCs/>
                <w:color w:val="000000"/>
                <w:szCs w:val="21"/>
                <w:lang w:val="en-US" w:eastAsia="zh-CN"/>
              </w:rPr>
              <w:t>53</w:t>
            </w:r>
            <w:r>
              <w:rPr>
                <w:rFonts w:ascii="Times New Roman" w:hAnsi="Times New Roman"/>
                <w:b/>
                <w:bCs/>
                <w:color w:val="000000"/>
                <w:szCs w:val="21"/>
              </w:rPr>
              <w:t xml:space="preserve"> 分</w:t>
            </w:r>
          </w:p>
        </w:tc>
        <w:tc>
          <w:tcPr>
            <w:tcW w:w="1205" w:type="dxa"/>
            <w:vMerge w:val="restart"/>
            <w:tcBorders>
              <w:top w:val="single" w:color="auto" w:sz="4" w:space="0"/>
              <w:left w:val="single" w:color="auto" w:sz="4" w:space="0"/>
              <w:bottom w:val="single" w:color="auto" w:sz="4" w:space="0"/>
              <w:right w:val="nil"/>
            </w:tcBorders>
            <w:noWrap w:val="0"/>
            <w:vAlign w:val="center"/>
          </w:tcPr>
          <w:p>
            <w:pPr>
              <w:pStyle w:val="9"/>
              <w:numPr>
                <w:ilvl w:val="0"/>
                <w:numId w:val="4"/>
              </w:numPr>
              <w:spacing w:line="240" w:lineRule="exact"/>
              <w:ind w:firstLine="0" w:firstLineChars="0"/>
              <w:jc w:val="center"/>
              <w:rPr>
                <w:rFonts w:ascii="Times New Roman" w:hAnsi="Times New Roman"/>
                <w:color w:val="000000"/>
                <w:szCs w:val="21"/>
              </w:rPr>
            </w:pPr>
            <w:r>
              <w:rPr>
                <w:rFonts w:ascii="Times New Roman" w:hAnsi="Times New Roman"/>
                <w:color w:val="000000"/>
                <w:szCs w:val="21"/>
              </w:rPr>
              <w:t>专业评审能力</w:t>
            </w:r>
          </w:p>
          <w:p>
            <w:pPr>
              <w:pStyle w:val="9"/>
              <w:numPr>
                <w:ilvl w:val="0"/>
                <w:numId w:val="0"/>
              </w:numPr>
              <w:spacing w:line="240" w:lineRule="exact"/>
              <w:jc w:val="center"/>
              <w:rPr>
                <w:rFonts w:hint="default" w:ascii="Times New Roman" w:hAnsi="Times New Roman" w:eastAsia="宋体"/>
                <w:color w:val="000000"/>
                <w:szCs w:val="21"/>
                <w:lang w:val="en-US" w:eastAsia="zh-CN"/>
              </w:rPr>
            </w:pPr>
          </w:p>
          <w:p>
            <w:pPr>
              <w:pStyle w:val="9"/>
              <w:numPr>
                <w:ilvl w:val="0"/>
                <w:numId w:val="0"/>
              </w:numPr>
              <w:spacing w:line="240" w:lineRule="exact"/>
              <w:jc w:val="center"/>
              <w:rPr>
                <w:rFonts w:ascii="Times New Roman" w:hAnsi="Times New Roman"/>
                <w:color w:val="000000"/>
                <w:szCs w:val="21"/>
              </w:rPr>
            </w:pPr>
          </w:p>
        </w:tc>
        <w:tc>
          <w:tcPr>
            <w:tcW w:w="1820"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专业人员配备情况</w:t>
            </w: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ascii="Times New Roman" w:hAnsi="Times New Roman"/>
                <w:color w:val="000000"/>
                <w:szCs w:val="21"/>
              </w:rPr>
            </w:pPr>
            <w:r>
              <w:rPr>
                <w:rFonts w:ascii="Times New Roman" w:hAnsi="Times New Roman"/>
                <w:color w:val="000000"/>
                <w:szCs w:val="21"/>
              </w:rPr>
              <w:t>评审人员专业对口的计</w:t>
            </w:r>
            <w:r>
              <w:rPr>
                <w:rFonts w:hint="eastAsia" w:ascii="Times New Roman" w:hAnsi="Times New Roman"/>
                <w:color w:val="000000"/>
                <w:szCs w:val="21"/>
                <w:lang w:val="en-US" w:eastAsia="zh-CN"/>
              </w:rPr>
              <w:t>3</w:t>
            </w:r>
            <w:r>
              <w:rPr>
                <w:rFonts w:ascii="Times New Roman" w:hAnsi="Times New Roman"/>
                <w:color w:val="000000"/>
                <w:szCs w:val="21"/>
              </w:rPr>
              <w:t>分，中途擅自转包、调换评审人员且影响正常工作的计0分；经申请同意更换的计2分。</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3</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514" w:hRule="atLeast"/>
        </w:trPr>
        <w:tc>
          <w:tcPr>
            <w:tcW w:w="986"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820" w:type="dxa"/>
            <w:vMerge w:val="restart"/>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评审情况</w:t>
            </w: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ascii="Times New Roman" w:hAnsi="Times New Roman"/>
                <w:color w:val="000000"/>
                <w:szCs w:val="21"/>
              </w:rPr>
            </w:pPr>
            <w:r>
              <w:rPr>
                <w:rFonts w:hint="eastAsia" w:ascii="Times New Roman" w:hAnsi="Times New Roman"/>
                <w:color w:val="000000"/>
                <w:szCs w:val="21"/>
                <w:lang w:eastAsia="zh-CN"/>
              </w:rPr>
              <w:t>未按相关规定记取各类费率的，发现一处扣</w:t>
            </w:r>
            <w:r>
              <w:rPr>
                <w:rFonts w:hint="eastAsia" w:ascii="Times New Roman" w:hAnsi="Times New Roman"/>
                <w:color w:val="000000"/>
                <w:szCs w:val="21"/>
                <w:lang w:val="en-US" w:eastAsia="zh-CN"/>
              </w:rPr>
              <w:t>1分</w:t>
            </w:r>
            <w:r>
              <w:rPr>
                <w:rFonts w:ascii="Times New Roman" w:hAnsi="Times New Roman"/>
                <w:color w:val="000000"/>
                <w:szCs w:val="21"/>
              </w:rPr>
              <w:t>。</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0-5</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371" w:hRule="atLeast"/>
        </w:trPr>
        <w:tc>
          <w:tcPr>
            <w:tcW w:w="986"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820" w:type="dxa"/>
            <w:vMerge w:val="continue"/>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ascii="Times New Roman" w:hAnsi="Times New Roman"/>
                <w:color w:val="000000"/>
                <w:szCs w:val="21"/>
              </w:rPr>
            </w:pPr>
            <w:r>
              <w:rPr>
                <w:rFonts w:ascii="Times New Roman" w:hAnsi="Times New Roman"/>
                <w:color w:val="000000"/>
                <w:szCs w:val="21"/>
              </w:rPr>
              <w:t>定额套用出现明显错误，每发现一处扣1分。</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5</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514" w:hRule="atLeast"/>
        </w:trPr>
        <w:tc>
          <w:tcPr>
            <w:tcW w:w="986"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820" w:type="dxa"/>
            <w:vMerge w:val="continue"/>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ascii="Times New Roman" w:hAnsi="Times New Roman"/>
                <w:color w:val="000000"/>
                <w:szCs w:val="21"/>
              </w:rPr>
            </w:pPr>
            <w:r>
              <w:rPr>
                <w:rFonts w:ascii="Times New Roman" w:hAnsi="Times New Roman"/>
                <w:color w:val="000000"/>
                <w:szCs w:val="21"/>
              </w:rPr>
              <w:t>材料价格未按最新信息价调整，每发现一处扣1分。</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0-5</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514" w:hRule="atLeast"/>
        </w:trPr>
        <w:tc>
          <w:tcPr>
            <w:tcW w:w="986"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820" w:type="dxa"/>
            <w:vMerge w:val="continue"/>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ascii="Times New Roman" w:hAnsi="Times New Roman"/>
                <w:color w:val="000000"/>
                <w:szCs w:val="21"/>
              </w:rPr>
            </w:pPr>
            <w:r>
              <w:rPr>
                <w:rFonts w:hint="eastAsia" w:ascii="Times New Roman" w:hAnsi="Times New Roman"/>
                <w:color w:val="000000"/>
                <w:szCs w:val="21"/>
                <w:lang w:eastAsia="zh-CN"/>
              </w:rPr>
              <w:t>主要</w:t>
            </w:r>
            <w:r>
              <w:rPr>
                <w:rFonts w:ascii="Times New Roman" w:hAnsi="Times New Roman"/>
                <w:color w:val="000000"/>
                <w:szCs w:val="21"/>
              </w:rPr>
              <w:t>材料未提供询价依据的，每发现一处扣1分。</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5</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1270" w:hRule="atLeast"/>
        </w:trPr>
        <w:tc>
          <w:tcPr>
            <w:tcW w:w="986"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820" w:type="dxa"/>
            <w:vMerge w:val="restart"/>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以评审中心</w:t>
            </w:r>
            <w:r>
              <w:rPr>
                <w:rFonts w:hint="eastAsia" w:ascii="Times New Roman" w:hAnsi="Times New Roman"/>
                <w:color w:val="000000"/>
                <w:szCs w:val="21"/>
                <w:lang w:eastAsia="zh-CN"/>
              </w:rPr>
              <w:t>审核</w:t>
            </w:r>
            <w:r>
              <w:rPr>
                <w:rFonts w:ascii="Times New Roman" w:hAnsi="Times New Roman"/>
                <w:color w:val="000000"/>
                <w:szCs w:val="21"/>
              </w:rPr>
              <w:t>结论与</w:t>
            </w:r>
            <w:r>
              <w:rPr>
                <w:rFonts w:hint="eastAsia" w:ascii="Times New Roman" w:hAnsi="Times New Roman"/>
                <w:color w:val="000000"/>
                <w:szCs w:val="21"/>
                <w:lang w:eastAsia="zh-CN"/>
              </w:rPr>
              <w:t>联合体</w:t>
            </w:r>
            <w:r>
              <w:rPr>
                <w:rFonts w:ascii="Times New Roman" w:hAnsi="Times New Roman"/>
                <w:color w:val="000000"/>
                <w:szCs w:val="21"/>
              </w:rPr>
              <w:t>评审结论比较</w:t>
            </w: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ascii="Times New Roman" w:hAnsi="Times New Roman"/>
                <w:color w:val="000000"/>
                <w:szCs w:val="21"/>
              </w:rPr>
            </w:pPr>
            <w:r>
              <w:rPr>
                <w:rFonts w:ascii="Times New Roman" w:hAnsi="Times New Roman"/>
                <w:color w:val="000000"/>
                <w:szCs w:val="21"/>
              </w:rPr>
              <w:t>总分</w:t>
            </w:r>
            <w:r>
              <w:rPr>
                <w:rFonts w:hint="eastAsia" w:ascii="Times New Roman" w:hAnsi="Times New Roman"/>
                <w:color w:val="000000"/>
                <w:szCs w:val="21"/>
                <w:lang w:val="en-US" w:eastAsia="zh-CN"/>
              </w:rPr>
              <w:t>5</w:t>
            </w:r>
            <w:r>
              <w:rPr>
                <w:rFonts w:ascii="Times New Roman" w:hAnsi="Times New Roman"/>
                <w:color w:val="000000"/>
                <w:szCs w:val="21"/>
              </w:rPr>
              <w:t>分，评审金额正负偏差：100万以下3%以内得</w:t>
            </w:r>
            <w:r>
              <w:rPr>
                <w:rFonts w:hint="eastAsia" w:ascii="Times New Roman" w:hAnsi="Times New Roman"/>
                <w:color w:val="000000"/>
                <w:szCs w:val="21"/>
                <w:lang w:val="en-US" w:eastAsia="zh-CN"/>
              </w:rPr>
              <w:t>5</w:t>
            </w:r>
            <w:r>
              <w:rPr>
                <w:rFonts w:ascii="Times New Roman" w:hAnsi="Times New Roman"/>
                <w:color w:val="000000"/>
                <w:szCs w:val="21"/>
              </w:rPr>
              <w:t>分，100万至1000万2.5%</w:t>
            </w:r>
            <w:r>
              <w:rPr>
                <w:rFonts w:hint="eastAsia" w:ascii="Times New Roman" w:hAnsi="Times New Roman"/>
                <w:color w:val="000000"/>
                <w:szCs w:val="21"/>
                <w:lang w:eastAsia="zh-CN"/>
              </w:rPr>
              <w:t>以内</w:t>
            </w:r>
            <w:r>
              <w:rPr>
                <w:rFonts w:ascii="Times New Roman" w:hAnsi="Times New Roman"/>
                <w:color w:val="000000"/>
                <w:szCs w:val="21"/>
              </w:rPr>
              <w:t>得</w:t>
            </w:r>
            <w:r>
              <w:rPr>
                <w:rFonts w:hint="eastAsia" w:ascii="Times New Roman" w:hAnsi="Times New Roman"/>
                <w:color w:val="000000"/>
                <w:szCs w:val="21"/>
                <w:lang w:val="en-US" w:eastAsia="zh-CN"/>
              </w:rPr>
              <w:t>5</w:t>
            </w:r>
            <w:r>
              <w:rPr>
                <w:rFonts w:ascii="Times New Roman" w:hAnsi="Times New Roman"/>
                <w:color w:val="000000"/>
                <w:szCs w:val="21"/>
              </w:rPr>
              <w:t>分，1000万-5000万2%得</w:t>
            </w:r>
            <w:r>
              <w:rPr>
                <w:rFonts w:hint="eastAsia" w:ascii="Times New Roman" w:hAnsi="Times New Roman"/>
                <w:color w:val="000000"/>
                <w:szCs w:val="21"/>
                <w:lang w:val="en-US" w:eastAsia="zh-CN"/>
              </w:rPr>
              <w:t>5</w:t>
            </w:r>
            <w:r>
              <w:rPr>
                <w:rFonts w:ascii="Times New Roman" w:hAnsi="Times New Roman"/>
                <w:color w:val="000000"/>
                <w:szCs w:val="21"/>
              </w:rPr>
              <w:t>分，5000万以上1%</w:t>
            </w:r>
            <w:r>
              <w:rPr>
                <w:rFonts w:hint="eastAsia" w:ascii="Times New Roman" w:hAnsi="Times New Roman"/>
                <w:color w:val="000000"/>
                <w:szCs w:val="21"/>
                <w:lang w:eastAsia="zh-CN"/>
              </w:rPr>
              <w:t>以内</w:t>
            </w:r>
            <w:r>
              <w:rPr>
                <w:rFonts w:ascii="Times New Roman" w:hAnsi="Times New Roman"/>
                <w:color w:val="000000"/>
                <w:szCs w:val="21"/>
              </w:rPr>
              <w:t>得</w:t>
            </w:r>
            <w:r>
              <w:rPr>
                <w:rFonts w:hint="eastAsia" w:ascii="Times New Roman" w:hAnsi="Times New Roman"/>
                <w:color w:val="000000"/>
                <w:szCs w:val="21"/>
                <w:lang w:val="en-US" w:eastAsia="zh-CN"/>
              </w:rPr>
              <w:t>5</w:t>
            </w:r>
            <w:r>
              <w:rPr>
                <w:rFonts w:ascii="Times New Roman" w:hAnsi="Times New Roman"/>
                <w:color w:val="000000"/>
                <w:szCs w:val="21"/>
              </w:rPr>
              <w:t>分）每超出1%扣</w:t>
            </w:r>
            <w:r>
              <w:rPr>
                <w:rFonts w:hint="eastAsia" w:ascii="Times New Roman" w:hAnsi="Times New Roman"/>
                <w:color w:val="000000"/>
                <w:szCs w:val="21"/>
                <w:lang w:val="en-US" w:eastAsia="zh-CN"/>
              </w:rPr>
              <w:t>2</w:t>
            </w:r>
            <w:r>
              <w:rPr>
                <w:rFonts w:ascii="Times New Roman" w:hAnsi="Times New Roman"/>
                <w:color w:val="000000"/>
                <w:szCs w:val="21"/>
              </w:rPr>
              <w:t>分。以上偏差不包括因政策性等调整而出现的偏差。</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5</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424" w:hRule="atLeast"/>
        </w:trPr>
        <w:tc>
          <w:tcPr>
            <w:tcW w:w="986"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820" w:type="dxa"/>
            <w:vMerge w:val="continue"/>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ascii="Times New Roman" w:hAnsi="Times New Roman"/>
                <w:color w:val="000000"/>
                <w:szCs w:val="21"/>
              </w:rPr>
            </w:pPr>
            <w:r>
              <w:rPr>
                <w:rFonts w:ascii="Times New Roman" w:hAnsi="Times New Roman"/>
                <w:color w:val="000000"/>
                <w:szCs w:val="21"/>
              </w:rPr>
              <w:t>总分</w:t>
            </w:r>
            <w:r>
              <w:rPr>
                <w:rFonts w:hint="eastAsia" w:ascii="Times New Roman" w:hAnsi="Times New Roman"/>
                <w:color w:val="000000"/>
                <w:szCs w:val="21"/>
                <w:lang w:val="en-US" w:eastAsia="zh-CN"/>
              </w:rPr>
              <w:t>5</w:t>
            </w:r>
            <w:r>
              <w:rPr>
                <w:rFonts w:ascii="Times New Roman" w:hAnsi="Times New Roman"/>
                <w:color w:val="000000"/>
                <w:szCs w:val="21"/>
              </w:rPr>
              <w:t>分，工程量</w:t>
            </w:r>
            <w:r>
              <w:rPr>
                <w:rFonts w:hint="eastAsia" w:ascii="Times New Roman" w:hAnsi="Times New Roman"/>
                <w:color w:val="000000"/>
                <w:szCs w:val="21"/>
              </w:rPr>
              <w:t>明显差异</w:t>
            </w:r>
            <w:r>
              <w:rPr>
                <w:rFonts w:ascii="Times New Roman" w:hAnsi="Times New Roman"/>
                <w:color w:val="000000"/>
                <w:szCs w:val="21"/>
              </w:rPr>
              <w:t>每出现一处扣1分。</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5</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823" w:hRule="atLeast"/>
        </w:trPr>
        <w:tc>
          <w:tcPr>
            <w:tcW w:w="986"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vMerge w:val="restart"/>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ascii="Times New Roman" w:hAnsi="Times New Roman"/>
                <w:color w:val="000000"/>
                <w:szCs w:val="21"/>
              </w:rPr>
              <w:t>3、报告质量</w:t>
            </w:r>
          </w:p>
        </w:tc>
        <w:tc>
          <w:tcPr>
            <w:tcW w:w="1820"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p>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反馈意见表</w:t>
            </w:r>
          </w:p>
        </w:tc>
        <w:tc>
          <w:tcPr>
            <w:tcW w:w="4227" w:type="dxa"/>
            <w:tcBorders>
              <w:top w:val="single" w:color="auto" w:sz="4" w:space="0"/>
              <w:left w:val="single" w:color="auto" w:sz="4" w:space="0"/>
              <w:bottom w:val="single" w:color="auto" w:sz="4" w:space="0"/>
              <w:right w:val="nil"/>
            </w:tcBorders>
            <w:noWrap w:val="0"/>
            <w:vAlign w:val="top"/>
          </w:tcPr>
          <w:p>
            <w:pPr>
              <w:pStyle w:val="9"/>
              <w:spacing w:line="240" w:lineRule="exact"/>
              <w:ind w:left="0" w:leftChars="0" w:firstLine="0" w:firstLineChars="0"/>
              <w:rPr>
                <w:rFonts w:ascii="Times New Roman" w:hAnsi="Times New Roman"/>
                <w:color w:val="000000"/>
                <w:szCs w:val="21"/>
              </w:rPr>
            </w:pPr>
            <w:r>
              <w:rPr>
                <w:rFonts w:ascii="Times New Roman" w:hAnsi="Times New Roman"/>
                <w:color w:val="000000"/>
                <w:szCs w:val="21"/>
              </w:rPr>
              <w:t>总分</w:t>
            </w:r>
            <w:r>
              <w:rPr>
                <w:rFonts w:hint="eastAsia" w:ascii="Times New Roman" w:hAnsi="Times New Roman"/>
                <w:color w:val="000000"/>
                <w:szCs w:val="21"/>
                <w:lang w:val="en-US" w:eastAsia="zh-CN"/>
              </w:rPr>
              <w:t>6</w:t>
            </w:r>
            <w:r>
              <w:rPr>
                <w:rFonts w:ascii="Times New Roman" w:hAnsi="Times New Roman"/>
                <w:color w:val="000000"/>
                <w:szCs w:val="21"/>
              </w:rPr>
              <w:t>分。出现文字表述错误扣</w:t>
            </w:r>
            <w:r>
              <w:rPr>
                <w:rFonts w:hint="eastAsia" w:ascii="Times New Roman" w:hAnsi="Times New Roman"/>
                <w:color w:val="000000"/>
                <w:szCs w:val="21"/>
                <w:lang w:val="en-US" w:eastAsia="zh-CN"/>
              </w:rPr>
              <w:t>2</w:t>
            </w:r>
            <w:r>
              <w:rPr>
                <w:rFonts w:ascii="Times New Roman" w:hAnsi="Times New Roman"/>
                <w:color w:val="000000"/>
                <w:szCs w:val="21"/>
              </w:rPr>
              <w:t>分/1处，审减主要原因未写明扣</w:t>
            </w:r>
            <w:r>
              <w:rPr>
                <w:rFonts w:hint="eastAsia" w:ascii="Times New Roman" w:hAnsi="Times New Roman"/>
                <w:color w:val="000000"/>
                <w:szCs w:val="21"/>
                <w:lang w:val="en-US" w:eastAsia="zh-CN"/>
              </w:rPr>
              <w:t>2</w:t>
            </w:r>
            <w:r>
              <w:rPr>
                <w:rFonts w:ascii="Times New Roman" w:hAnsi="Times New Roman"/>
                <w:color w:val="000000"/>
                <w:szCs w:val="21"/>
              </w:rPr>
              <w:t>分/1处，有特殊事项未说明</w:t>
            </w:r>
            <w:r>
              <w:rPr>
                <w:rFonts w:hint="eastAsia" w:ascii="Times New Roman" w:hAnsi="Times New Roman"/>
                <w:color w:val="000000"/>
                <w:szCs w:val="21"/>
                <w:lang w:val="en-US" w:eastAsia="zh-CN"/>
              </w:rPr>
              <w:t>2</w:t>
            </w:r>
            <w:r>
              <w:rPr>
                <w:rFonts w:ascii="Times New Roman" w:hAnsi="Times New Roman"/>
                <w:color w:val="000000"/>
                <w:szCs w:val="21"/>
              </w:rPr>
              <w:t>分/1处，格式出现错误</w:t>
            </w:r>
            <w:r>
              <w:rPr>
                <w:rFonts w:hint="eastAsia" w:ascii="Times New Roman" w:hAnsi="Times New Roman"/>
                <w:color w:val="000000"/>
                <w:szCs w:val="21"/>
                <w:lang w:val="en-US" w:eastAsia="zh-CN"/>
              </w:rPr>
              <w:t>2</w:t>
            </w:r>
            <w:r>
              <w:rPr>
                <w:rFonts w:ascii="Times New Roman" w:hAnsi="Times New Roman"/>
                <w:color w:val="000000"/>
                <w:szCs w:val="21"/>
              </w:rPr>
              <w:t>分/</w:t>
            </w:r>
            <w:r>
              <w:rPr>
                <w:rFonts w:hint="eastAsia" w:ascii="Times New Roman" w:hAnsi="Times New Roman"/>
                <w:color w:val="000000"/>
                <w:szCs w:val="21"/>
                <w:lang w:val="en-US" w:eastAsia="zh-CN"/>
              </w:rPr>
              <w:t>1</w:t>
            </w:r>
            <w:r>
              <w:rPr>
                <w:rFonts w:ascii="Times New Roman" w:hAnsi="Times New Roman"/>
                <w:color w:val="000000"/>
                <w:szCs w:val="21"/>
              </w:rPr>
              <w:t>处。</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ascii="Times New Roman" w:hAnsi="Times New Roman"/>
                <w:color w:val="000000"/>
                <w:szCs w:val="21"/>
              </w:rPr>
            </w:pPr>
          </w:p>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6</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90" w:hRule="atLeast"/>
        </w:trPr>
        <w:tc>
          <w:tcPr>
            <w:tcW w:w="986"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vMerge w:val="continue"/>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ascii="Times New Roman" w:hAnsi="Times New Roman"/>
                <w:color w:val="000000"/>
                <w:szCs w:val="21"/>
              </w:rPr>
            </w:pPr>
          </w:p>
        </w:tc>
        <w:tc>
          <w:tcPr>
            <w:tcW w:w="1820"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hint="eastAsia" w:ascii="Times New Roman" w:hAnsi="Times New Roman"/>
                <w:color w:val="000000"/>
                <w:szCs w:val="21"/>
              </w:rPr>
            </w:pPr>
            <w:r>
              <w:rPr>
                <w:rFonts w:hint="eastAsia" w:ascii="Times New Roman" w:hAnsi="Times New Roman"/>
                <w:color w:val="000000"/>
                <w:szCs w:val="21"/>
              </w:rPr>
              <w:t>以评审报告为准</w:t>
            </w: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rPr>
                <w:rFonts w:ascii="Times New Roman" w:hAnsi="Times New Roman"/>
                <w:color w:val="000000"/>
                <w:szCs w:val="21"/>
              </w:rPr>
            </w:pPr>
            <w:r>
              <w:rPr>
                <w:rFonts w:ascii="Times New Roman" w:hAnsi="Times New Roman"/>
                <w:color w:val="000000"/>
                <w:szCs w:val="21"/>
              </w:rPr>
              <w:t>总分</w:t>
            </w:r>
            <w:r>
              <w:rPr>
                <w:rFonts w:hint="eastAsia" w:ascii="Times New Roman" w:hAnsi="Times New Roman"/>
                <w:color w:val="000000"/>
                <w:szCs w:val="21"/>
                <w:lang w:val="en-US" w:eastAsia="zh-CN"/>
              </w:rPr>
              <w:t>3</w:t>
            </w:r>
            <w:r>
              <w:rPr>
                <w:rFonts w:ascii="Times New Roman" w:hAnsi="Times New Roman"/>
                <w:color w:val="000000"/>
                <w:szCs w:val="21"/>
              </w:rPr>
              <w:t>分。出现文字表述错误扣1分/1处，审核增减原因未明确扣1分/1处；表格出现错误扣1分/处。</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3</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622" w:hRule="atLeast"/>
        </w:trPr>
        <w:tc>
          <w:tcPr>
            <w:tcW w:w="986"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vMerge w:val="continue"/>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hint="eastAsia" w:ascii="Times New Roman" w:hAnsi="Times New Roman"/>
                <w:color w:val="000000"/>
                <w:szCs w:val="21"/>
              </w:rPr>
            </w:pPr>
          </w:p>
        </w:tc>
        <w:tc>
          <w:tcPr>
            <w:tcW w:w="1820"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hint="eastAsia" w:ascii="Times New Roman" w:hAnsi="Times New Roman"/>
                <w:color w:val="000000"/>
                <w:kern w:val="2"/>
                <w:sz w:val="21"/>
                <w:szCs w:val="21"/>
                <w:lang w:val="en-US" w:eastAsia="zh-CN" w:bidi="ar-SA"/>
              </w:rPr>
            </w:pPr>
            <w:r>
              <w:rPr>
                <w:rFonts w:ascii="Times New Roman" w:hAnsi="Times New Roman"/>
                <w:color w:val="000000"/>
                <w:szCs w:val="21"/>
              </w:rPr>
              <w:t>内部复核情况</w:t>
            </w: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ascii="Times New Roman" w:hAnsi="Times New Roman"/>
                <w:color w:val="000000"/>
                <w:kern w:val="2"/>
                <w:sz w:val="21"/>
                <w:szCs w:val="21"/>
                <w:lang w:val="en-US" w:eastAsia="zh-CN" w:bidi="ar-SA"/>
              </w:rPr>
            </w:pPr>
            <w:r>
              <w:rPr>
                <w:rFonts w:hint="eastAsia" w:ascii="Times New Roman" w:hAnsi="Times New Roman"/>
                <w:color w:val="000000"/>
                <w:szCs w:val="21"/>
                <w:lang w:eastAsia="zh-CN"/>
              </w:rPr>
              <w:t>评审报告</w:t>
            </w:r>
            <w:r>
              <w:rPr>
                <w:rFonts w:ascii="Times New Roman" w:hAnsi="Times New Roman"/>
                <w:color w:val="000000"/>
                <w:szCs w:val="21"/>
              </w:rPr>
              <w:t>符合三级复核程序、有三级复核意见并签章的计</w:t>
            </w:r>
            <w:r>
              <w:rPr>
                <w:rFonts w:hint="eastAsia" w:ascii="Times New Roman" w:hAnsi="Times New Roman"/>
                <w:color w:val="000000"/>
                <w:szCs w:val="21"/>
                <w:lang w:val="en-US" w:eastAsia="zh-CN"/>
              </w:rPr>
              <w:t>3</w:t>
            </w:r>
            <w:r>
              <w:rPr>
                <w:rFonts w:ascii="Times New Roman" w:hAnsi="Times New Roman"/>
                <w:color w:val="000000"/>
                <w:szCs w:val="21"/>
              </w:rPr>
              <w:t>分</w:t>
            </w:r>
            <w:r>
              <w:rPr>
                <w:rFonts w:hint="eastAsia" w:ascii="Times New Roman" w:hAnsi="Times New Roman"/>
                <w:color w:val="000000"/>
                <w:szCs w:val="21"/>
                <w:lang w:eastAsia="zh-CN"/>
              </w:rPr>
              <w:t>，无三级复核计</w:t>
            </w:r>
            <w:r>
              <w:rPr>
                <w:rFonts w:hint="eastAsia" w:ascii="Times New Roman" w:hAnsi="Times New Roman"/>
                <w:color w:val="000000"/>
                <w:szCs w:val="21"/>
                <w:lang w:val="en-US" w:eastAsia="zh-CN"/>
              </w:rPr>
              <w:t>0分</w:t>
            </w:r>
            <w:r>
              <w:rPr>
                <w:rFonts w:ascii="Times New Roman" w:hAnsi="Times New Roman"/>
                <w:color w:val="000000"/>
                <w:szCs w:val="21"/>
              </w:rPr>
              <w:t>。</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0-3</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639" w:hRule="atLeast"/>
        </w:trPr>
        <w:tc>
          <w:tcPr>
            <w:tcW w:w="986"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hint="eastAsia" w:ascii="Times New Roman" w:hAnsi="Times New Roman"/>
                <w:color w:val="000000"/>
                <w:szCs w:val="21"/>
              </w:rPr>
            </w:pPr>
            <w:r>
              <w:rPr>
                <w:rFonts w:hint="eastAsia" w:ascii="Times New Roman" w:hAnsi="Times New Roman"/>
                <w:color w:val="000000"/>
                <w:szCs w:val="21"/>
              </w:rPr>
              <w:t>4、过程资料</w:t>
            </w:r>
          </w:p>
        </w:tc>
        <w:tc>
          <w:tcPr>
            <w:tcW w:w="1820"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highlight w:val="green"/>
              </w:rPr>
            </w:pPr>
          </w:p>
          <w:p>
            <w:pPr>
              <w:pStyle w:val="9"/>
              <w:spacing w:line="24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rPr>
              <w:t>工作底稿</w:t>
            </w: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rPr>
                <w:rFonts w:ascii="Times New Roman" w:hAnsi="Times New Roman"/>
                <w:color w:val="000000"/>
                <w:szCs w:val="21"/>
              </w:rPr>
            </w:pPr>
            <w:r>
              <w:rPr>
                <w:rFonts w:ascii="Times New Roman" w:hAnsi="Times New Roman"/>
                <w:color w:val="000000"/>
                <w:szCs w:val="21"/>
              </w:rPr>
              <w:t>总分</w:t>
            </w:r>
            <w:r>
              <w:rPr>
                <w:rFonts w:hint="eastAsia" w:ascii="Times New Roman" w:hAnsi="Times New Roman"/>
                <w:color w:val="000000"/>
                <w:szCs w:val="21"/>
                <w:lang w:val="en-US" w:eastAsia="zh-CN"/>
              </w:rPr>
              <w:t>5</w:t>
            </w:r>
            <w:r>
              <w:rPr>
                <w:rFonts w:ascii="Times New Roman" w:hAnsi="Times New Roman"/>
                <w:color w:val="000000"/>
                <w:szCs w:val="21"/>
              </w:rPr>
              <w:t>分。</w:t>
            </w:r>
            <w:r>
              <w:rPr>
                <w:rFonts w:hint="eastAsia" w:ascii="Times New Roman" w:hAnsi="Times New Roman"/>
                <w:color w:val="000000"/>
                <w:szCs w:val="21"/>
              </w:rPr>
              <w:t>工作底稿资料完整计</w:t>
            </w:r>
            <w:r>
              <w:rPr>
                <w:rFonts w:hint="eastAsia" w:ascii="Times New Roman" w:hAnsi="Times New Roman"/>
                <w:color w:val="000000"/>
                <w:szCs w:val="21"/>
                <w:lang w:val="en-US" w:eastAsia="zh-CN"/>
              </w:rPr>
              <w:t>5</w:t>
            </w:r>
            <w:r>
              <w:rPr>
                <w:rFonts w:hint="eastAsia" w:ascii="Times New Roman" w:hAnsi="Times New Roman"/>
                <w:color w:val="000000"/>
                <w:szCs w:val="21"/>
              </w:rPr>
              <w:t>分，不完整计2分，无工作底稿计0分</w:t>
            </w:r>
            <w:r>
              <w:rPr>
                <w:rFonts w:ascii="Times New Roman" w:hAnsi="Times New Roman"/>
                <w:color w:val="000000"/>
                <w:szCs w:val="21"/>
              </w:rPr>
              <w:t>。</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hint="eastAsia" w:ascii="Times New Roman" w:hAnsi="Times New Roman"/>
                <w:color w:val="000000"/>
                <w:szCs w:val="21"/>
              </w:rPr>
              <w:t>0-</w:t>
            </w:r>
            <w:r>
              <w:rPr>
                <w:rFonts w:hint="eastAsia" w:ascii="Times New Roman" w:hAnsi="Times New Roman"/>
                <w:color w:val="000000"/>
                <w:szCs w:val="21"/>
                <w:lang w:val="en-US" w:eastAsia="zh-CN"/>
              </w:rPr>
              <w:t>5</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585" w:hRule="atLeast"/>
        </w:trPr>
        <w:tc>
          <w:tcPr>
            <w:tcW w:w="986" w:type="dxa"/>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hint="eastAsia" w:ascii="Times New Roman" w:hAnsi="Times New Roman"/>
                <w:color w:val="000000"/>
                <w:szCs w:val="21"/>
              </w:rPr>
              <w:t>5</w:t>
            </w:r>
            <w:r>
              <w:rPr>
                <w:rFonts w:ascii="Times New Roman" w:hAnsi="Times New Roman"/>
                <w:color w:val="000000"/>
                <w:szCs w:val="21"/>
              </w:rPr>
              <w:t>、协助配合</w:t>
            </w:r>
          </w:p>
        </w:tc>
        <w:tc>
          <w:tcPr>
            <w:tcW w:w="1820"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以评审过程为准</w:t>
            </w: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rPr>
                <w:rFonts w:ascii="Times New Roman" w:hAnsi="Times New Roman"/>
                <w:color w:val="000000"/>
                <w:szCs w:val="21"/>
              </w:rPr>
            </w:pPr>
            <w:r>
              <w:rPr>
                <w:rFonts w:ascii="Times New Roman" w:hAnsi="Times New Roman"/>
                <w:color w:val="000000"/>
                <w:szCs w:val="21"/>
              </w:rPr>
              <w:t>总分3分。评审过程中发现问题而又未提出的记0 分，项目评审时限过半才提出的扣2分。</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ascii="Times New Roman" w:hAnsi="Times New Roman"/>
                <w:color w:val="000000"/>
                <w:szCs w:val="21"/>
              </w:rPr>
            </w:pPr>
            <w:r>
              <w:rPr>
                <w:rFonts w:ascii="Times New Roman" w:hAnsi="Times New Roman"/>
                <w:color w:val="000000"/>
                <w:szCs w:val="21"/>
              </w:rPr>
              <w:t>0-3</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552" w:hRule="atLeast"/>
        </w:trPr>
        <w:tc>
          <w:tcPr>
            <w:tcW w:w="986" w:type="dxa"/>
            <w:vMerge w:val="restart"/>
            <w:tcBorders>
              <w:top w:val="single" w:color="auto" w:sz="4" w:space="0"/>
              <w:left w:val="single" w:color="auto" w:sz="4" w:space="0"/>
              <w:right w:val="nil"/>
            </w:tcBorders>
            <w:noWrap w:val="0"/>
            <w:vAlign w:val="center"/>
          </w:tcPr>
          <w:p>
            <w:pPr>
              <w:widowControl/>
              <w:spacing w:line="240" w:lineRule="exact"/>
              <w:jc w:val="center"/>
              <w:rPr>
                <w:rFonts w:ascii="Times New Roman" w:hAnsi="Times New Roman"/>
                <w:b/>
                <w:bCs/>
                <w:color w:val="000000"/>
                <w:szCs w:val="21"/>
              </w:rPr>
            </w:pPr>
            <w:r>
              <w:rPr>
                <w:rFonts w:ascii="Times New Roman" w:hAnsi="Times New Roman"/>
                <w:b/>
                <w:bCs/>
                <w:color w:val="000000"/>
                <w:szCs w:val="21"/>
              </w:rPr>
              <w:t>（三）</w:t>
            </w:r>
          </w:p>
          <w:p>
            <w:pPr>
              <w:widowControl/>
              <w:spacing w:line="240" w:lineRule="exact"/>
              <w:jc w:val="center"/>
              <w:rPr>
                <w:rFonts w:ascii="Times New Roman" w:hAnsi="Times New Roman"/>
                <w:color w:val="000000"/>
                <w:szCs w:val="21"/>
              </w:rPr>
            </w:pPr>
            <w:r>
              <w:rPr>
                <w:rFonts w:ascii="Times New Roman" w:hAnsi="Times New Roman"/>
                <w:b/>
                <w:bCs/>
                <w:color w:val="000000"/>
                <w:szCs w:val="21"/>
              </w:rPr>
              <w:t>其他</w:t>
            </w:r>
            <w:r>
              <w:rPr>
                <w:rFonts w:hint="eastAsia" w:ascii="Times New Roman" w:hAnsi="Times New Roman"/>
                <w:b/>
                <w:bCs/>
                <w:color w:val="000000"/>
                <w:szCs w:val="21"/>
                <w:lang w:val="en-US" w:eastAsia="zh-CN"/>
              </w:rPr>
              <w:t>17</w:t>
            </w:r>
            <w:r>
              <w:rPr>
                <w:rFonts w:ascii="Times New Roman" w:hAnsi="Times New Roman"/>
                <w:b/>
                <w:bCs/>
                <w:color w:val="000000"/>
                <w:szCs w:val="21"/>
              </w:rPr>
              <w:t>分</w:t>
            </w:r>
          </w:p>
        </w:tc>
        <w:tc>
          <w:tcPr>
            <w:tcW w:w="1205"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both"/>
              <w:rPr>
                <w:rFonts w:ascii="Times New Roman" w:hAnsi="Times New Roman"/>
                <w:color w:val="000000"/>
                <w:szCs w:val="21"/>
              </w:rPr>
            </w:pPr>
            <w:r>
              <w:rPr>
                <w:rFonts w:hint="eastAsia" w:ascii="Times New Roman" w:hAnsi="Times New Roman"/>
                <w:color w:val="000000"/>
                <w:szCs w:val="21"/>
              </w:rPr>
              <w:t>6</w:t>
            </w:r>
            <w:r>
              <w:rPr>
                <w:rFonts w:hint="eastAsia"/>
                <w:color w:val="000000"/>
                <w:szCs w:val="21"/>
                <w:lang w:eastAsia="zh-CN"/>
              </w:rPr>
              <w:t>、</w:t>
            </w:r>
            <w:r>
              <w:rPr>
                <w:rFonts w:ascii="Times New Roman" w:hAnsi="Times New Roman"/>
                <w:color w:val="000000"/>
                <w:szCs w:val="21"/>
              </w:rPr>
              <w:t>服务质量</w:t>
            </w:r>
          </w:p>
        </w:tc>
        <w:tc>
          <w:tcPr>
            <w:tcW w:w="1820"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以评审过程为准</w:t>
            </w:r>
          </w:p>
        </w:tc>
        <w:tc>
          <w:tcPr>
            <w:tcW w:w="4227" w:type="dxa"/>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rPr>
                <w:rFonts w:hint="default" w:ascii="Times New Roman" w:hAnsi="Times New Roman" w:eastAsia="宋体"/>
                <w:color w:val="000000"/>
                <w:szCs w:val="21"/>
                <w:lang w:val="en-US" w:eastAsia="zh-CN"/>
              </w:rPr>
            </w:pPr>
            <w:r>
              <w:rPr>
                <w:rFonts w:ascii="Times New Roman" w:hAnsi="Times New Roman"/>
                <w:color w:val="000000"/>
                <w:szCs w:val="21"/>
              </w:rPr>
              <w:t>整体评价满意计</w:t>
            </w:r>
            <w:r>
              <w:rPr>
                <w:rFonts w:hint="eastAsia" w:ascii="Times New Roman" w:hAnsi="Times New Roman"/>
                <w:color w:val="000000"/>
                <w:szCs w:val="21"/>
                <w:lang w:val="en-US" w:eastAsia="zh-CN"/>
              </w:rPr>
              <w:t>2</w:t>
            </w:r>
            <w:r>
              <w:rPr>
                <w:rFonts w:ascii="Times New Roman" w:hAnsi="Times New Roman"/>
                <w:color w:val="000000"/>
                <w:szCs w:val="21"/>
              </w:rPr>
              <w:t>分，提出合理优化建议的计</w:t>
            </w:r>
            <w:r>
              <w:rPr>
                <w:rFonts w:hint="eastAsia" w:ascii="Times New Roman" w:hAnsi="Times New Roman"/>
                <w:color w:val="000000"/>
                <w:szCs w:val="21"/>
                <w:lang w:val="en-US" w:eastAsia="zh-CN"/>
              </w:rPr>
              <w:t>2</w:t>
            </w:r>
            <w:r>
              <w:rPr>
                <w:rFonts w:ascii="Times New Roman" w:hAnsi="Times New Roman"/>
                <w:color w:val="000000"/>
                <w:szCs w:val="21"/>
              </w:rPr>
              <w:t>分</w:t>
            </w:r>
            <w:r>
              <w:rPr>
                <w:rFonts w:hint="eastAsia" w:ascii="Times New Roman" w:hAnsi="Times New Roman"/>
                <w:color w:val="000000"/>
                <w:szCs w:val="21"/>
                <w:lang w:eastAsia="zh-CN"/>
              </w:rPr>
              <w:t>，无故不服从安排的记</w:t>
            </w:r>
            <w:r>
              <w:rPr>
                <w:rFonts w:hint="eastAsia" w:ascii="Times New Roman" w:hAnsi="Times New Roman"/>
                <w:color w:val="000000"/>
                <w:szCs w:val="21"/>
                <w:lang w:val="en-US" w:eastAsia="zh-CN"/>
              </w:rPr>
              <w:t>0分。</w:t>
            </w:r>
          </w:p>
        </w:tc>
        <w:tc>
          <w:tcPr>
            <w:tcW w:w="711"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766" w:hRule="atLeast"/>
        </w:trPr>
        <w:tc>
          <w:tcPr>
            <w:tcW w:w="986" w:type="dxa"/>
            <w:vMerge w:val="continue"/>
            <w:tcBorders>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1205" w:type="dxa"/>
            <w:tcBorders>
              <w:top w:val="single" w:color="auto" w:sz="4" w:space="0"/>
              <w:left w:val="single" w:color="auto" w:sz="4" w:space="0"/>
              <w:bottom w:val="nil"/>
              <w:right w:val="nil"/>
            </w:tcBorders>
            <w:noWrap w:val="0"/>
            <w:vAlign w:val="center"/>
          </w:tcPr>
          <w:p>
            <w:pPr>
              <w:pStyle w:val="9"/>
              <w:spacing w:line="240" w:lineRule="exact"/>
              <w:ind w:firstLine="0" w:firstLineChars="0"/>
              <w:jc w:val="both"/>
              <w:rPr>
                <w:rFonts w:ascii="Times New Roman" w:hAnsi="Times New Roman"/>
                <w:color w:val="000000"/>
                <w:szCs w:val="21"/>
              </w:rPr>
            </w:pPr>
            <w:r>
              <w:rPr>
                <w:rFonts w:hint="eastAsia" w:ascii="Times New Roman" w:hAnsi="Times New Roman"/>
                <w:color w:val="000000"/>
                <w:szCs w:val="21"/>
              </w:rPr>
              <w:t>7</w:t>
            </w:r>
            <w:r>
              <w:rPr>
                <w:rFonts w:hint="eastAsia"/>
                <w:color w:val="000000"/>
                <w:szCs w:val="21"/>
                <w:lang w:eastAsia="zh-CN"/>
              </w:rPr>
              <w:t>、</w:t>
            </w:r>
            <w:r>
              <w:rPr>
                <w:rFonts w:ascii="Times New Roman" w:hAnsi="Times New Roman"/>
                <w:color w:val="000000"/>
                <w:szCs w:val="21"/>
              </w:rPr>
              <w:t>存档资料</w:t>
            </w:r>
          </w:p>
        </w:tc>
        <w:tc>
          <w:tcPr>
            <w:tcW w:w="1820" w:type="dxa"/>
            <w:tcBorders>
              <w:top w:val="single" w:color="auto" w:sz="4" w:space="0"/>
              <w:left w:val="single" w:color="auto" w:sz="4" w:space="0"/>
              <w:bottom w:val="nil"/>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以最终报送电子版、纸质版资料为准</w:t>
            </w:r>
          </w:p>
        </w:tc>
        <w:tc>
          <w:tcPr>
            <w:tcW w:w="4227" w:type="dxa"/>
            <w:tcBorders>
              <w:top w:val="single" w:color="auto" w:sz="4" w:space="0"/>
              <w:left w:val="single" w:color="auto" w:sz="4" w:space="0"/>
              <w:bottom w:val="nil"/>
              <w:right w:val="nil"/>
            </w:tcBorders>
            <w:noWrap w:val="0"/>
            <w:vAlign w:val="center"/>
          </w:tcPr>
          <w:p>
            <w:pPr>
              <w:pStyle w:val="9"/>
              <w:spacing w:line="240" w:lineRule="exact"/>
              <w:ind w:left="0" w:leftChars="0" w:firstLine="0" w:firstLineChars="0"/>
              <w:rPr>
                <w:rFonts w:ascii="Times New Roman" w:hAnsi="Times New Roman"/>
                <w:color w:val="000000"/>
                <w:szCs w:val="21"/>
              </w:rPr>
            </w:pPr>
            <w:r>
              <w:rPr>
                <w:rFonts w:ascii="Times New Roman" w:hAnsi="Times New Roman"/>
                <w:color w:val="000000"/>
                <w:szCs w:val="21"/>
              </w:rPr>
              <w:t>总分</w:t>
            </w:r>
            <w:r>
              <w:rPr>
                <w:rFonts w:hint="eastAsia" w:ascii="Times New Roman" w:hAnsi="Times New Roman"/>
                <w:color w:val="000000"/>
                <w:szCs w:val="21"/>
                <w:lang w:val="en-US" w:eastAsia="zh-CN"/>
              </w:rPr>
              <w:t>15</w:t>
            </w:r>
            <w:r>
              <w:rPr>
                <w:rFonts w:ascii="Times New Roman" w:hAnsi="Times New Roman"/>
                <w:color w:val="000000"/>
                <w:szCs w:val="21"/>
              </w:rPr>
              <w:t>分。电子版资料应按相应格式整理，未按相应</w:t>
            </w:r>
            <w:r>
              <w:rPr>
                <w:rFonts w:hint="eastAsia" w:ascii="Times New Roman" w:hAnsi="Times New Roman"/>
                <w:color w:val="000000"/>
                <w:szCs w:val="21"/>
                <w:lang w:eastAsia="zh-CN"/>
              </w:rPr>
              <w:t>格式</w:t>
            </w:r>
            <w:r>
              <w:rPr>
                <w:rFonts w:ascii="Times New Roman" w:hAnsi="Times New Roman"/>
                <w:color w:val="000000"/>
                <w:szCs w:val="21"/>
              </w:rPr>
              <w:t>整理</w:t>
            </w:r>
            <w:r>
              <w:rPr>
                <w:rFonts w:hint="eastAsia" w:ascii="Times New Roman" w:hAnsi="Times New Roman"/>
                <w:color w:val="000000"/>
                <w:szCs w:val="21"/>
                <w:lang w:eastAsia="zh-CN"/>
              </w:rPr>
              <w:t>或缺少内容</w:t>
            </w:r>
            <w:r>
              <w:rPr>
                <w:rFonts w:ascii="Times New Roman" w:hAnsi="Times New Roman"/>
                <w:color w:val="000000"/>
                <w:szCs w:val="21"/>
              </w:rPr>
              <w:t>的扣</w:t>
            </w:r>
            <w:r>
              <w:rPr>
                <w:rFonts w:hint="eastAsia" w:ascii="Times New Roman" w:hAnsi="Times New Roman"/>
                <w:color w:val="000000"/>
                <w:szCs w:val="21"/>
                <w:lang w:val="en-US" w:eastAsia="zh-CN"/>
              </w:rPr>
              <w:t>2</w:t>
            </w:r>
            <w:r>
              <w:rPr>
                <w:rFonts w:ascii="Times New Roman" w:hAnsi="Times New Roman"/>
                <w:color w:val="000000"/>
                <w:szCs w:val="21"/>
              </w:rPr>
              <w:t>分，</w:t>
            </w:r>
            <w:r>
              <w:rPr>
                <w:rFonts w:hint="eastAsia" w:ascii="Times New Roman" w:hAnsi="Times New Roman"/>
                <w:color w:val="000000"/>
                <w:szCs w:val="21"/>
                <w:lang w:eastAsia="zh-CN"/>
              </w:rPr>
              <w:t>电子版资料无故不发超五个工作日的记</w:t>
            </w:r>
            <w:r>
              <w:rPr>
                <w:rFonts w:hint="eastAsia" w:ascii="Times New Roman" w:hAnsi="Times New Roman"/>
                <w:color w:val="000000"/>
                <w:szCs w:val="21"/>
                <w:lang w:val="en-US" w:eastAsia="zh-CN"/>
              </w:rPr>
              <w:t>0分，纸质版资料无故不送评审中心归档超20个工作日的记0分，</w:t>
            </w:r>
            <w:r>
              <w:rPr>
                <w:rFonts w:ascii="Times New Roman" w:hAnsi="Times New Roman"/>
                <w:color w:val="000000"/>
                <w:szCs w:val="21"/>
              </w:rPr>
              <w:t>纸质版每缺少一样扣1分/1处。</w:t>
            </w:r>
          </w:p>
        </w:tc>
        <w:tc>
          <w:tcPr>
            <w:tcW w:w="711" w:type="dxa"/>
            <w:tcBorders>
              <w:top w:val="single" w:color="auto" w:sz="4" w:space="0"/>
              <w:left w:val="single" w:color="auto" w:sz="4" w:space="0"/>
              <w:bottom w:val="nil"/>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15</w:t>
            </w:r>
          </w:p>
        </w:tc>
        <w:tc>
          <w:tcPr>
            <w:tcW w:w="561" w:type="dxa"/>
            <w:tcBorders>
              <w:top w:val="single" w:color="auto" w:sz="4" w:space="0"/>
              <w:left w:val="single" w:color="auto" w:sz="4" w:space="0"/>
              <w:bottom w:val="nil"/>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485" w:hRule="atLeast"/>
        </w:trPr>
        <w:tc>
          <w:tcPr>
            <w:tcW w:w="2191" w:type="dxa"/>
            <w:gridSpan w:val="2"/>
            <w:tcBorders>
              <w:top w:val="single" w:color="auto" w:sz="4" w:space="0"/>
              <w:left w:val="single" w:color="auto" w:sz="4" w:space="0"/>
              <w:bottom w:val="single" w:color="auto" w:sz="4" w:space="0"/>
              <w:right w:val="nil"/>
            </w:tcBorders>
            <w:noWrap w:val="0"/>
            <w:vAlign w:val="center"/>
          </w:tcPr>
          <w:p>
            <w:pPr>
              <w:snapToGrid w:val="0"/>
              <w:spacing w:line="240" w:lineRule="exact"/>
              <w:ind w:firstLine="316" w:firstLineChars="150"/>
              <w:jc w:val="center"/>
              <w:rPr>
                <w:rFonts w:ascii="Times New Roman" w:hAnsi="Times New Roman"/>
                <w:b/>
                <w:bCs/>
                <w:color w:val="000000"/>
                <w:szCs w:val="21"/>
              </w:rPr>
            </w:pPr>
            <w:r>
              <w:rPr>
                <w:rFonts w:ascii="Times New Roman" w:hAnsi="Times New Roman"/>
                <w:b/>
                <w:bCs/>
                <w:color w:val="000000"/>
                <w:szCs w:val="21"/>
              </w:rPr>
              <w:t>合  计</w:t>
            </w:r>
          </w:p>
        </w:tc>
        <w:tc>
          <w:tcPr>
            <w:tcW w:w="1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rPr>
                <w:rFonts w:ascii="Times New Roman" w:hAnsi="Times New Roman"/>
                <w:color w:val="000000"/>
                <w:szCs w:val="21"/>
              </w:rPr>
            </w:pPr>
          </w:p>
        </w:tc>
        <w:tc>
          <w:tcPr>
            <w:tcW w:w="4227" w:type="dxa"/>
            <w:tcBorders>
              <w:top w:val="single" w:color="auto" w:sz="4" w:space="0"/>
              <w:left w:val="single" w:color="auto" w:sz="4" w:space="0"/>
              <w:bottom w:val="single" w:color="auto" w:sz="4" w:space="0"/>
              <w:right w:val="nil"/>
            </w:tcBorders>
            <w:noWrap w:val="0"/>
            <w:vAlign w:val="center"/>
          </w:tcPr>
          <w:p>
            <w:pPr>
              <w:snapToGrid w:val="0"/>
              <w:spacing w:line="240" w:lineRule="exact"/>
              <w:ind w:firstLine="315" w:firstLineChars="150"/>
              <w:jc w:val="center"/>
              <w:rPr>
                <w:rFonts w:ascii="Times New Roman" w:hAnsi="Times New Roman"/>
                <w:color w:val="000000"/>
                <w:szCs w:val="21"/>
              </w:rPr>
            </w:pPr>
          </w:p>
        </w:tc>
        <w:tc>
          <w:tcPr>
            <w:tcW w:w="711"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ascii="Times New Roman" w:hAnsi="Times New Roman"/>
                <w:b/>
                <w:bCs/>
                <w:color w:val="000000"/>
                <w:szCs w:val="21"/>
              </w:rPr>
              <w:t>100</w:t>
            </w:r>
          </w:p>
        </w:tc>
        <w:tc>
          <w:tcPr>
            <w:tcW w:w="561"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420"/>
              <w:jc w:val="center"/>
              <w:rPr>
                <w:rFonts w:ascii="Times New Roman" w:hAnsi="Times New Roman"/>
                <w:color w:val="000000"/>
                <w:szCs w:val="21"/>
              </w:rPr>
            </w:pPr>
          </w:p>
        </w:tc>
      </w:tr>
    </w:tbl>
    <w:p>
      <w:pPr>
        <w:pStyle w:val="2"/>
        <w:adjustRightInd/>
        <w:snapToGrid/>
        <w:spacing w:line="500" w:lineRule="exact"/>
        <w:ind w:left="0" w:leftChars="0" w:firstLine="0" w:firstLineChars="0"/>
        <w:jc w:val="both"/>
        <w:rPr>
          <w:rFonts w:hint="eastAsia" w:ascii="Times New Roman" w:hAnsi="Times New Roman" w:eastAsia="FangSong_GB2312" w:cs="Times New Roman"/>
          <w:b w:val="0"/>
          <w:bCs w:val="0"/>
          <w:color w:val="auto"/>
          <w:spacing w:val="2"/>
          <w:sz w:val="44"/>
          <w:szCs w:val="44"/>
          <w:highlight w:val="none"/>
          <w:lang w:eastAsia="zh-CN"/>
        </w:rPr>
      </w:pPr>
      <w:r>
        <w:rPr>
          <w:rFonts w:hint="eastAsia" w:ascii="Times New Roman" w:hAnsi="Times New Roman" w:eastAsia="方正小标宋简体"/>
          <w:bCs/>
          <w:spacing w:val="-20"/>
          <w:sz w:val="32"/>
          <w:szCs w:val="32"/>
          <w:lang w:eastAsia="zh-CN"/>
        </w:rPr>
        <w:t>附表二：</w:t>
      </w:r>
    </w:p>
    <w:p>
      <w:pPr>
        <w:pStyle w:val="3"/>
        <w:ind w:left="0" w:leftChars="0" w:firstLine="0" w:firstLineChars="0"/>
        <w:jc w:val="center"/>
        <w:rPr>
          <w:rFonts w:hint="eastAsia" w:ascii="方正小标宋简体" w:hAnsi="方正小标宋简体" w:eastAsia="方正小标宋简体" w:cs="方正小标宋简体"/>
          <w:b w:val="0"/>
          <w:bCs w:val="0"/>
          <w:color w:val="auto"/>
          <w:spacing w:val="2"/>
          <w:sz w:val="36"/>
          <w:szCs w:val="36"/>
          <w:highlight w:val="none"/>
          <w:lang w:eastAsia="zh-CN"/>
        </w:rPr>
      </w:pPr>
      <w:r>
        <w:rPr>
          <w:rFonts w:hint="eastAsia" w:ascii="方正小标宋简体" w:hAnsi="方正小标宋简体" w:eastAsia="方正小标宋简体" w:cs="方正小标宋简体"/>
          <w:b w:val="0"/>
          <w:bCs w:val="0"/>
          <w:color w:val="auto"/>
          <w:spacing w:val="2"/>
          <w:sz w:val="36"/>
          <w:szCs w:val="36"/>
          <w:highlight w:val="none"/>
          <w:lang w:eastAsia="zh-CN"/>
        </w:rPr>
        <w:t>采购类项目日常考核标准表</w:t>
      </w:r>
    </w:p>
    <w:tbl>
      <w:tblPr>
        <w:tblStyle w:val="5"/>
        <w:tblpPr w:leftFromText="180" w:rightFromText="180" w:vertAnchor="text" w:horzAnchor="page" w:tblpXSpec="center" w:tblpY="282"/>
        <w:tblOverlap w:val="never"/>
        <w:tblW w:w="9090" w:type="dxa"/>
        <w:tblInd w:w="0" w:type="dxa"/>
        <w:tblLayout w:type="autofit"/>
        <w:tblCellMar>
          <w:top w:w="0" w:type="dxa"/>
          <w:left w:w="10" w:type="dxa"/>
          <w:bottom w:w="0" w:type="dxa"/>
          <w:right w:w="10" w:type="dxa"/>
        </w:tblCellMar>
      </w:tblPr>
      <w:tblGrid>
        <w:gridCol w:w="835"/>
        <w:gridCol w:w="836"/>
        <w:gridCol w:w="1215"/>
        <w:gridCol w:w="5210"/>
        <w:gridCol w:w="494"/>
        <w:gridCol w:w="500"/>
      </w:tblGrid>
      <w:tr>
        <w:tblPrEx>
          <w:tblCellMar>
            <w:top w:w="0" w:type="dxa"/>
            <w:left w:w="10" w:type="dxa"/>
            <w:bottom w:w="0" w:type="dxa"/>
            <w:right w:w="10" w:type="dxa"/>
          </w:tblCellMar>
        </w:tblPrEx>
        <w:trPr>
          <w:trHeight w:val="574" w:hRule="atLeast"/>
        </w:trPr>
        <w:tc>
          <w:tcPr>
            <w:tcW w:w="0" w:type="auto"/>
            <w:gridSpan w:val="2"/>
            <w:tcBorders>
              <w:top w:val="single" w:color="auto" w:sz="4" w:space="0"/>
              <w:left w:val="single" w:color="auto" w:sz="4" w:space="0"/>
              <w:bottom w:val="nil"/>
              <w:right w:val="nil"/>
            </w:tcBorders>
            <w:noWrap w:val="0"/>
            <w:vAlign w:val="center"/>
          </w:tcPr>
          <w:p>
            <w:pPr>
              <w:snapToGrid w:val="0"/>
              <w:spacing w:line="240" w:lineRule="exact"/>
              <w:jc w:val="center"/>
              <w:rPr>
                <w:rFonts w:ascii="Times New Roman" w:hAnsi="Times New Roman"/>
                <w:b/>
                <w:bCs/>
                <w:color w:val="000000"/>
                <w:szCs w:val="21"/>
              </w:rPr>
            </w:pPr>
            <w:r>
              <w:rPr>
                <w:rFonts w:ascii="Times New Roman" w:hAnsi="Times New Roman"/>
                <w:b/>
                <w:bCs/>
                <w:color w:val="000000"/>
                <w:szCs w:val="21"/>
              </w:rPr>
              <w:t>考核项目</w:t>
            </w:r>
          </w:p>
        </w:tc>
        <w:tc>
          <w:tcPr>
            <w:tcW w:w="0" w:type="auto"/>
            <w:tcBorders>
              <w:top w:val="single" w:color="auto" w:sz="4" w:space="0"/>
              <w:left w:val="single" w:color="auto" w:sz="4" w:space="0"/>
              <w:bottom w:val="nil"/>
              <w:right w:val="nil"/>
            </w:tcBorders>
            <w:noWrap w:val="0"/>
            <w:vAlign w:val="center"/>
          </w:tcPr>
          <w:p>
            <w:pPr>
              <w:snapToGrid w:val="0"/>
              <w:spacing w:line="240" w:lineRule="exact"/>
              <w:jc w:val="center"/>
              <w:rPr>
                <w:rFonts w:ascii="Times New Roman" w:hAnsi="Times New Roman"/>
                <w:b/>
                <w:bCs/>
                <w:color w:val="000000"/>
                <w:szCs w:val="21"/>
              </w:rPr>
            </w:pPr>
            <w:r>
              <w:rPr>
                <w:rFonts w:ascii="Times New Roman" w:hAnsi="Times New Roman"/>
                <w:b/>
                <w:bCs/>
                <w:color w:val="000000"/>
                <w:szCs w:val="21"/>
              </w:rPr>
              <w:t>备  注</w:t>
            </w:r>
          </w:p>
        </w:tc>
        <w:tc>
          <w:tcPr>
            <w:tcW w:w="0" w:type="auto"/>
            <w:tcBorders>
              <w:top w:val="single" w:color="auto" w:sz="4" w:space="0"/>
              <w:left w:val="single" w:color="auto" w:sz="4" w:space="0"/>
              <w:bottom w:val="nil"/>
              <w:right w:val="nil"/>
            </w:tcBorders>
            <w:noWrap w:val="0"/>
            <w:vAlign w:val="center"/>
          </w:tcPr>
          <w:p>
            <w:pPr>
              <w:pStyle w:val="9"/>
              <w:spacing w:line="240" w:lineRule="exact"/>
              <w:ind w:firstLine="0" w:firstLineChars="0"/>
              <w:jc w:val="center"/>
              <w:rPr>
                <w:rFonts w:ascii="Times New Roman" w:hAnsi="Times New Roman"/>
                <w:b/>
                <w:bCs/>
                <w:color w:val="000000"/>
                <w:szCs w:val="21"/>
              </w:rPr>
            </w:pPr>
            <w:r>
              <w:rPr>
                <w:rFonts w:ascii="Times New Roman" w:hAnsi="Times New Roman"/>
                <w:b/>
                <w:bCs/>
                <w:color w:val="000000"/>
                <w:szCs w:val="21"/>
              </w:rPr>
              <w:t>考核内容与评分标准考核细则</w:t>
            </w:r>
          </w:p>
        </w:tc>
        <w:tc>
          <w:tcPr>
            <w:tcW w:w="494" w:type="dxa"/>
            <w:tcBorders>
              <w:top w:val="single" w:color="auto" w:sz="4" w:space="0"/>
              <w:left w:val="single" w:color="auto" w:sz="4" w:space="0"/>
              <w:bottom w:val="nil"/>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ascii="Times New Roman" w:hAnsi="Times New Roman"/>
                <w:color w:val="000000"/>
                <w:szCs w:val="21"/>
              </w:rPr>
              <w:t>分值</w:t>
            </w:r>
          </w:p>
        </w:tc>
        <w:tc>
          <w:tcPr>
            <w:tcW w:w="501" w:type="dxa"/>
            <w:tcBorders>
              <w:top w:val="single" w:color="auto" w:sz="4" w:space="0"/>
              <w:left w:val="single" w:color="auto" w:sz="4" w:space="0"/>
              <w:bottom w:val="nil"/>
              <w:right w:val="single" w:color="auto" w:sz="4" w:space="0"/>
            </w:tcBorders>
            <w:noWrap w:val="0"/>
            <w:vAlign w:val="center"/>
          </w:tcPr>
          <w:p>
            <w:pPr>
              <w:snapToGrid w:val="0"/>
              <w:spacing w:line="240" w:lineRule="exact"/>
              <w:jc w:val="center"/>
              <w:rPr>
                <w:rFonts w:ascii="Times New Roman" w:hAnsi="Times New Roman"/>
                <w:color w:val="000000"/>
                <w:szCs w:val="21"/>
              </w:rPr>
            </w:pPr>
            <w:r>
              <w:rPr>
                <w:rFonts w:ascii="Times New Roman" w:hAnsi="Times New Roman"/>
                <w:color w:val="000000"/>
                <w:szCs w:val="21"/>
              </w:rPr>
              <w:t>评分</w:t>
            </w:r>
          </w:p>
        </w:tc>
      </w:tr>
      <w:tr>
        <w:tblPrEx>
          <w:tblCellMar>
            <w:top w:w="0" w:type="dxa"/>
            <w:left w:w="10" w:type="dxa"/>
            <w:bottom w:w="0" w:type="dxa"/>
            <w:right w:w="10" w:type="dxa"/>
          </w:tblCellMar>
        </w:tblPrEx>
        <w:trPr>
          <w:trHeight w:val="766" w:hRule="atLeast"/>
        </w:trPr>
        <w:tc>
          <w:tcPr>
            <w:tcW w:w="0" w:type="auto"/>
            <w:vMerge w:val="restart"/>
            <w:tcBorders>
              <w:top w:val="single" w:color="auto" w:sz="4" w:space="0"/>
              <w:left w:val="single" w:color="auto" w:sz="4" w:space="0"/>
              <w:right w:val="nil"/>
            </w:tcBorders>
            <w:noWrap w:val="0"/>
            <w:vAlign w:val="center"/>
          </w:tcPr>
          <w:p>
            <w:pPr>
              <w:widowControl/>
              <w:spacing w:line="240" w:lineRule="exact"/>
              <w:jc w:val="center"/>
              <w:rPr>
                <w:rFonts w:ascii="Times New Roman" w:hAnsi="Times New Roman"/>
                <w:b/>
                <w:bCs/>
                <w:color w:val="000000"/>
                <w:szCs w:val="21"/>
              </w:rPr>
            </w:pPr>
            <w:r>
              <w:rPr>
                <w:rFonts w:ascii="Times New Roman" w:hAnsi="Times New Roman"/>
                <w:b/>
                <w:bCs/>
                <w:color w:val="000000"/>
                <w:szCs w:val="21"/>
              </w:rPr>
              <w:t>(一)</w:t>
            </w:r>
          </w:p>
          <w:p>
            <w:pPr>
              <w:widowControl/>
              <w:spacing w:line="240" w:lineRule="exact"/>
              <w:jc w:val="center"/>
              <w:rPr>
                <w:rFonts w:ascii="Times New Roman" w:hAnsi="Times New Roman"/>
                <w:b/>
                <w:bCs/>
                <w:color w:val="000000"/>
                <w:szCs w:val="21"/>
              </w:rPr>
            </w:pPr>
            <w:r>
              <w:rPr>
                <w:rFonts w:ascii="Times New Roman" w:hAnsi="Times New Roman"/>
                <w:b/>
                <w:bCs/>
                <w:color w:val="000000"/>
                <w:szCs w:val="21"/>
              </w:rPr>
              <w:t>评审时效30分</w:t>
            </w:r>
          </w:p>
        </w:tc>
        <w:tc>
          <w:tcPr>
            <w:tcW w:w="0" w:type="auto"/>
            <w:tcBorders>
              <w:top w:val="single" w:color="auto" w:sz="4" w:space="0"/>
              <w:left w:val="single" w:color="auto" w:sz="4" w:space="0"/>
              <w:bottom w:val="nil"/>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ascii="Times New Roman" w:hAnsi="Times New Roman"/>
                <w:color w:val="000000"/>
                <w:szCs w:val="21"/>
              </w:rPr>
              <w:t>1、</w:t>
            </w:r>
            <w:r>
              <w:rPr>
                <w:rFonts w:hint="eastAsia" w:ascii="Times New Roman" w:hAnsi="Times New Roman"/>
                <w:color w:val="000000"/>
                <w:szCs w:val="21"/>
                <w:lang w:eastAsia="zh-CN"/>
              </w:rPr>
              <w:t>联合体</w:t>
            </w:r>
            <w:r>
              <w:rPr>
                <w:rFonts w:ascii="Times New Roman" w:hAnsi="Times New Roman"/>
                <w:color w:val="000000"/>
                <w:szCs w:val="21"/>
              </w:rPr>
              <w:t>评审结论</w:t>
            </w:r>
          </w:p>
        </w:tc>
        <w:tc>
          <w:tcPr>
            <w:tcW w:w="0" w:type="auto"/>
            <w:tcBorders>
              <w:top w:val="single" w:color="auto" w:sz="4" w:space="0"/>
              <w:left w:val="single" w:color="auto" w:sz="4" w:space="0"/>
              <w:bottom w:val="nil"/>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以报送评审中心签收时间点为准</w:t>
            </w:r>
          </w:p>
        </w:tc>
        <w:tc>
          <w:tcPr>
            <w:tcW w:w="0" w:type="auto"/>
            <w:tcBorders>
              <w:top w:val="single" w:color="auto" w:sz="4" w:space="0"/>
              <w:left w:val="single" w:color="auto" w:sz="4" w:space="0"/>
              <w:bottom w:val="nil"/>
              <w:right w:val="nil"/>
            </w:tcBorders>
            <w:noWrap w:val="0"/>
            <w:vAlign w:val="center"/>
          </w:tcPr>
          <w:p>
            <w:pPr>
              <w:pStyle w:val="9"/>
              <w:spacing w:line="240" w:lineRule="exact"/>
              <w:ind w:left="0" w:leftChars="0" w:firstLine="0" w:firstLineChars="0"/>
              <w:jc w:val="left"/>
              <w:rPr>
                <w:rFonts w:hint="eastAsia" w:ascii="Times New Roman" w:hAnsi="Times New Roman"/>
                <w:color w:val="000000"/>
                <w:szCs w:val="21"/>
              </w:rPr>
            </w:pPr>
            <w:r>
              <w:rPr>
                <w:rFonts w:ascii="Times New Roman" w:hAnsi="Times New Roman"/>
                <w:color w:val="000000"/>
                <w:szCs w:val="21"/>
              </w:rPr>
              <w:t>按要求时间完成初稿</w:t>
            </w:r>
            <w:r>
              <w:rPr>
                <w:rFonts w:hint="eastAsia" w:ascii="Times New Roman" w:hAnsi="Times New Roman"/>
                <w:color w:val="000000"/>
                <w:szCs w:val="21"/>
              </w:rPr>
              <w:t>且提供复核记录的</w:t>
            </w:r>
            <w:r>
              <w:rPr>
                <w:rFonts w:ascii="Times New Roman" w:hAnsi="Times New Roman"/>
                <w:color w:val="000000"/>
                <w:szCs w:val="21"/>
              </w:rPr>
              <w:t>计</w:t>
            </w:r>
            <w:r>
              <w:rPr>
                <w:rFonts w:hint="eastAsia" w:ascii="Times New Roman" w:hAnsi="Times New Roman"/>
                <w:color w:val="000000"/>
                <w:szCs w:val="21"/>
                <w:lang w:val="en-US" w:eastAsia="zh-CN"/>
              </w:rPr>
              <w:t>27</w:t>
            </w:r>
            <w:r>
              <w:rPr>
                <w:rFonts w:ascii="Times New Roman" w:hAnsi="Times New Roman"/>
                <w:color w:val="000000"/>
                <w:szCs w:val="21"/>
              </w:rPr>
              <w:t>分，</w:t>
            </w:r>
            <w:r>
              <w:rPr>
                <w:rFonts w:hint="eastAsia" w:ascii="Times New Roman" w:hAnsi="Times New Roman"/>
                <w:color w:val="000000"/>
                <w:szCs w:val="21"/>
              </w:rPr>
              <w:t>无复核记录的扣</w:t>
            </w:r>
            <w:r>
              <w:rPr>
                <w:rFonts w:hint="eastAsia" w:ascii="Times New Roman" w:hAnsi="Times New Roman"/>
                <w:color w:val="000000"/>
                <w:szCs w:val="21"/>
                <w:lang w:val="en-US" w:eastAsia="zh-CN"/>
              </w:rPr>
              <w:t>2</w:t>
            </w:r>
            <w:r>
              <w:rPr>
                <w:rFonts w:hint="eastAsia" w:ascii="Times New Roman" w:hAnsi="Times New Roman"/>
                <w:color w:val="000000"/>
                <w:szCs w:val="21"/>
              </w:rPr>
              <w:t>分；</w:t>
            </w:r>
            <w:r>
              <w:rPr>
                <w:rFonts w:ascii="Times New Roman" w:hAnsi="Times New Roman"/>
                <w:color w:val="000000"/>
                <w:szCs w:val="21"/>
              </w:rPr>
              <w:t>延期一天扣</w:t>
            </w:r>
            <w:r>
              <w:rPr>
                <w:rFonts w:hint="eastAsia" w:ascii="Times New Roman" w:hAnsi="Times New Roman"/>
                <w:color w:val="000000"/>
                <w:szCs w:val="21"/>
                <w:lang w:val="en-US" w:eastAsia="zh-CN"/>
              </w:rPr>
              <w:t>5</w:t>
            </w:r>
            <w:r>
              <w:rPr>
                <w:rFonts w:ascii="Times New Roman" w:hAnsi="Times New Roman"/>
                <w:color w:val="000000"/>
                <w:szCs w:val="21"/>
              </w:rPr>
              <w:t>分,以此类推扣完为止</w:t>
            </w:r>
            <w:r>
              <w:rPr>
                <w:rFonts w:hint="eastAsia" w:ascii="Times New Roman" w:hAnsi="Times New Roman"/>
                <w:color w:val="000000"/>
                <w:szCs w:val="21"/>
              </w:rPr>
              <w:t>。</w:t>
            </w:r>
          </w:p>
        </w:tc>
        <w:tc>
          <w:tcPr>
            <w:tcW w:w="494" w:type="dxa"/>
            <w:tcBorders>
              <w:top w:val="single" w:color="auto" w:sz="4" w:space="0"/>
              <w:left w:val="single" w:color="auto" w:sz="4" w:space="0"/>
              <w:bottom w:val="nil"/>
              <w:right w:val="nil"/>
            </w:tcBorders>
            <w:noWrap w:val="0"/>
            <w:vAlign w:val="center"/>
          </w:tcPr>
          <w:p>
            <w:pPr>
              <w:snapToGrid w:val="0"/>
              <w:spacing w:line="240" w:lineRule="exact"/>
              <w:jc w:val="center"/>
              <w:rPr>
                <w:rFonts w:hint="default" w:ascii="Times New Roman" w:hAnsi="Times New Roman" w:eastAsia="宋体"/>
                <w:color w:val="000000"/>
                <w:szCs w:val="21"/>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27</w:t>
            </w:r>
          </w:p>
        </w:tc>
        <w:tc>
          <w:tcPr>
            <w:tcW w:w="501" w:type="dxa"/>
            <w:tcBorders>
              <w:top w:val="single" w:color="auto" w:sz="4" w:space="0"/>
              <w:left w:val="single" w:color="auto" w:sz="4" w:space="0"/>
              <w:bottom w:val="nil"/>
              <w:right w:val="single" w:color="auto" w:sz="4" w:space="0"/>
            </w:tcBorders>
            <w:noWrap w:val="0"/>
            <w:vAlign w:val="center"/>
          </w:tcPr>
          <w:p>
            <w:pPr>
              <w:snapToGrid w:val="0"/>
              <w:spacing w:line="240" w:lineRule="exact"/>
              <w:jc w:val="both"/>
              <w:rPr>
                <w:rFonts w:hint="default" w:ascii="Times New Roman" w:hAnsi="Times New Roman"/>
                <w:color w:val="000000"/>
                <w:szCs w:val="21"/>
              </w:rPr>
            </w:pPr>
          </w:p>
        </w:tc>
      </w:tr>
      <w:tr>
        <w:tblPrEx>
          <w:tblCellMar>
            <w:top w:w="0" w:type="dxa"/>
            <w:left w:w="10" w:type="dxa"/>
            <w:bottom w:w="0" w:type="dxa"/>
            <w:right w:w="10" w:type="dxa"/>
          </w:tblCellMar>
        </w:tblPrEx>
        <w:trPr>
          <w:trHeight w:val="766" w:hRule="atLeast"/>
        </w:trPr>
        <w:tc>
          <w:tcPr>
            <w:tcW w:w="0" w:type="auto"/>
            <w:vMerge w:val="continue"/>
            <w:tcBorders>
              <w:left w:val="single" w:color="auto" w:sz="4" w:space="0"/>
              <w:bottom w:val="single" w:color="auto" w:sz="4" w:space="0"/>
              <w:right w:val="nil"/>
            </w:tcBorders>
            <w:noWrap w:val="0"/>
            <w:vAlign w:val="center"/>
          </w:tcPr>
          <w:p>
            <w:pPr>
              <w:widowControl/>
              <w:spacing w:line="240" w:lineRule="exact"/>
              <w:jc w:val="center"/>
              <w:rPr>
                <w:rFonts w:ascii="Times New Roman" w:hAnsi="Times New Roman"/>
                <w:b/>
                <w:bCs/>
                <w:color w:val="000000"/>
                <w:szCs w:val="21"/>
              </w:rPr>
            </w:pP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2</w:t>
            </w:r>
            <w:r>
              <w:rPr>
                <w:rFonts w:hint="eastAsia"/>
                <w:color w:val="000000"/>
                <w:szCs w:val="21"/>
                <w:lang w:val="en-US" w:eastAsia="zh-CN"/>
              </w:rPr>
              <w:t>、</w:t>
            </w:r>
            <w:r>
              <w:rPr>
                <w:rFonts w:hint="eastAsia" w:ascii="Times New Roman" w:hAnsi="Times New Roman"/>
                <w:color w:val="000000"/>
                <w:szCs w:val="21"/>
                <w:lang w:val="en-US" w:eastAsia="zh-CN"/>
              </w:rPr>
              <w:t>联合体整理资料</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以评审中心通知联合体整理资料时间为准</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hint="default" w:ascii="Times New Roman" w:hAnsi="Times New Roman" w:eastAsia="宋体"/>
                <w:color w:val="000000"/>
                <w:szCs w:val="21"/>
                <w:lang w:val="en-US" w:eastAsia="zh-CN"/>
              </w:rPr>
            </w:pPr>
            <w:r>
              <w:rPr>
                <w:rFonts w:hint="eastAsia" w:ascii="Times New Roman" w:hAnsi="Times New Roman"/>
                <w:color w:val="000000"/>
                <w:szCs w:val="21"/>
                <w:lang w:eastAsia="zh-CN"/>
              </w:rPr>
              <w:t>按要求在</w:t>
            </w:r>
            <w:r>
              <w:rPr>
                <w:rFonts w:hint="eastAsia" w:ascii="Times New Roman" w:hAnsi="Times New Roman"/>
                <w:color w:val="000000"/>
                <w:szCs w:val="21"/>
                <w:lang w:val="en-US" w:eastAsia="zh-CN"/>
              </w:rPr>
              <w:t>1个工作日内将电子版资料发评审中心的记3分，每超过一天扣1分。</w:t>
            </w:r>
          </w:p>
        </w:tc>
        <w:tc>
          <w:tcPr>
            <w:tcW w:w="494"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0-3</w:t>
            </w:r>
          </w:p>
        </w:tc>
        <w:tc>
          <w:tcPr>
            <w:tcW w:w="5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766" w:hRule="atLeast"/>
        </w:trPr>
        <w:tc>
          <w:tcPr>
            <w:tcW w:w="0" w:type="auto"/>
            <w:vMerge w:val="restart"/>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p>
          <w:p>
            <w:pPr>
              <w:pStyle w:val="9"/>
              <w:spacing w:line="240" w:lineRule="exact"/>
              <w:ind w:firstLine="0" w:firstLineChars="0"/>
              <w:jc w:val="center"/>
              <w:rPr>
                <w:rFonts w:ascii="Times New Roman" w:hAnsi="Times New Roman"/>
                <w:b/>
                <w:bCs/>
                <w:color w:val="000000"/>
                <w:szCs w:val="21"/>
              </w:rPr>
            </w:pPr>
            <w:r>
              <w:rPr>
                <w:rFonts w:ascii="Times New Roman" w:hAnsi="Times New Roman"/>
                <w:b/>
                <w:bCs/>
                <w:color w:val="000000"/>
                <w:szCs w:val="21"/>
              </w:rPr>
              <w:t>(二)</w:t>
            </w:r>
          </w:p>
          <w:p>
            <w:pPr>
              <w:pStyle w:val="9"/>
              <w:spacing w:line="240" w:lineRule="exact"/>
              <w:ind w:firstLine="0" w:firstLineChars="0"/>
              <w:jc w:val="center"/>
              <w:rPr>
                <w:rFonts w:ascii="Times New Roman" w:hAnsi="Times New Roman"/>
                <w:color w:val="000000"/>
                <w:szCs w:val="21"/>
              </w:rPr>
            </w:pPr>
            <w:r>
              <w:rPr>
                <w:rFonts w:ascii="Times New Roman" w:hAnsi="Times New Roman"/>
                <w:b/>
                <w:bCs/>
                <w:color w:val="000000"/>
                <w:szCs w:val="21"/>
              </w:rPr>
              <w:t>评审质量</w:t>
            </w:r>
            <w:r>
              <w:rPr>
                <w:rFonts w:hint="eastAsia" w:ascii="Times New Roman" w:hAnsi="Times New Roman"/>
                <w:b/>
                <w:bCs/>
                <w:color w:val="000000"/>
                <w:szCs w:val="21"/>
                <w:lang w:val="en-US" w:eastAsia="zh-CN"/>
              </w:rPr>
              <w:t>53</w:t>
            </w:r>
            <w:r>
              <w:rPr>
                <w:rFonts w:ascii="Times New Roman" w:hAnsi="Times New Roman"/>
                <w:b/>
                <w:bCs/>
                <w:color w:val="000000"/>
                <w:szCs w:val="21"/>
              </w:rPr>
              <w:t xml:space="preserve"> 分</w:t>
            </w:r>
          </w:p>
        </w:tc>
        <w:tc>
          <w:tcPr>
            <w:tcW w:w="0" w:type="auto"/>
            <w:vMerge w:val="restart"/>
            <w:tcBorders>
              <w:top w:val="single" w:color="auto" w:sz="4" w:space="0"/>
              <w:left w:val="single" w:color="auto" w:sz="4" w:space="0"/>
              <w:bottom w:val="single" w:color="auto" w:sz="4" w:space="0"/>
              <w:right w:val="nil"/>
            </w:tcBorders>
            <w:noWrap w:val="0"/>
            <w:vAlign w:val="center"/>
          </w:tcPr>
          <w:p>
            <w:pPr>
              <w:pStyle w:val="9"/>
              <w:numPr>
                <w:ilvl w:val="0"/>
                <w:numId w:val="4"/>
              </w:numPr>
              <w:spacing w:line="240" w:lineRule="exact"/>
              <w:ind w:firstLine="0" w:firstLineChars="0"/>
              <w:jc w:val="center"/>
              <w:rPr>
                <w:rFonts w:ascii="Times New Roman" w:hAnsi="Times New Roman"/>
                <w:color w:val="000000"/>
                <w:szCs w:val="21"/>
              </w:rPr>
            </w:pPr>
            <w:r>
              <w:rPr>
                <w:rFonts w:ascii="Times New Roman" w:hAnsi="Times New Roman"/>
                <w:color w:val="000000"/>
                <w:szCs w:val="21"/>
              </w:rPr>
              <w:t>专业评审能力</w:t>
            </w:r>
          </w:p>
          <w:p>
            <w:pPr>
              <w:pStyle w:val="9"/>
              <w:numPr>
                <w:ilvl w:val="0"/>
                <w:numId w:val="0"/>
              </w:numPr>
              <w:spacing w:line="240" w:lineRule="exact"/>
              <w:jc w:val="center"/>
              <w:rPr>
                <w:rFonts w:hint="default" w:ascii="Times New Roman" w:hAnsi="Times New Roman" w:eastAsia="宋体"/>
                <w:color w:val="000000"/>
                <w:szCs w:val="21"/>
                <w:lang w:val="en-US" w:eastAsia="zh-CN"/>
              </w:rPr>
            </w:pPr>
          </w:p>
          <w:p>
            <w:pPr>
              <w:pStyle w:val="9"/>
              <w:numPr>
                <w:ilvl w:val="0"/>
                <w:numId w:val="0"/>
              </w:numPr>
              <w:spacing w:line="240" w:lineRule="exact"/>
              <w:jc w:val="center"/>
              <w:rPr>
                <w:rFonts w:ascii="Times New Roman" w:hAnsi="Times New Roman"/>
                <w:color w:val="000000"/>
                <w:szCs w:val="21"/>
              </w:rPr>
            </w:pP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专业人员配备情况</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ascii="Times New Roman" w:hAnsi="Times New Roman"/>
                <w:color w:val="000000"/>
                <w:szCs w:val="21"/>
              </w:rPr>
            </w:pPr>
            <w:r>
              <w:rPr>
                <w:rFonts w:ascii="Times New Roman" w:hAnsi="Times New Roman"/>
                <w:color w:val="000000"/>
                <w:szCs w:val="21"/>
              </w:rPr>
              <w:t>评审人员专业对口的计</w:t>
            </w:r>
            <w:r>
              <w:rPr>
                <w:rFonts w:hint="eastAsia" w:ascii="Times New Roman" w:hAnsi="Times New Roman"/>
                <w:color w:val="000000"/>
                <w:szCs w:val="21"/>
                <w:lang w:val="en-US" w:eastAsia="zh-CN"/>
              </w:rPr>
              <w:t>3</w:t>
            </w:r>
            <w:r>
              <w:rPr>
                <w:rFonts w:ascii="Times New Roman" w:hAnsi="Times New Roman"/>
                <w:color w:val="000000"/>
                <w:szCs w:val="21"/>
              </w:rPr>
              <w:t>分，中途擅自转包、调换评审人员且影响正常工作的计0分；经申请同意更换的计2分。</w:t>
            </w:r>
          </w:p>
        </w:tc>
        <w:tc>
          <w:tcPr>
            <w:tcW w:w="494"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3</w:t>
            </w:r>
          </w:p>
        </w:tc>
        <w:tc>
          <w:tcPr>
            <w:tcW w:w="5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3190" w:hRule="atLeast"/>
        </w:trPr>
        <w:tc>
          <w:tcPr>
            <w:tcW w:w="0" w:type="auto"/>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0" w:type="auto"/>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0" w:type="auto"/>
            <w:tcBorders>
              <w:top w:val="single" w:color="auto" w:sz="4" w:space="0"/>
              <w:left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评审情况</w:t>
            </w:r>
          </w:p>
        </w:tc>
        <w:tc>
          <w:tcPr>
            <w:tcW w:w="0" w:type="auto"/>
            <w:tcBorders>
              <w:top w:val="single" w:color="auto" w:sz="4" w:space="0"/>
              <w:left w:val="single" w:color="auto" w:sz="4" w:space="0"/>
              <w:right w:val="nil"/>
            </w:tcBorders>
            <w:noWrap w:val="0"/>
            <w:vAlign w:val="center"/>
          </w:tcPr>
          <w:p>
            <w:pPr>
              <w:pStyle w:val="9"/>
              <w:spacing w:line="240" w:lineRule="exact"/>
              <w:ind w:left="0" w:leftChars="0" w:firstLine="0" w:firstLineChars="0"/>
              <w:jc w:val="left"/>
              <w:rPr>
                <w:rFonts w:hint="default" w:ascii="Times New Roman" w:hAnsi="Times New Roman"/>
                <w:color w:val="000000"/>
                <w:szCs w:val="21"/>
                <w:lang w:eastAsia="zh-CN"/>
              </w:rPr>
            </w:pPr>
            <w:r>
              <w:rPr>
                <w:rFonts w:hint="eastAsia" w:ascii="Times New Roman" w:hAnsi="Times New Roman"/>
                <w:color w:val="000000"/>
                <w:szCs w:val="21"/>
                <w:lang w:eastAsia="zh-CN"/>
              </w:rPr>
              <w:t>评审过程中应至少询问</w:t>
            </w:r>
            <w:r>
              <w:rPr>
                <w:rFonts w:hint="eastAsia" w:ascii="Times New Roman" w:hAnsi="Times New Roman"/>
                <w:color w:val="000000"/>
                <w:szCs w:val="21"/>
                <w:lang w:val="en-US" w:eastAsia="zh-CN"/>
              </w:rPr>
              <w:t>3家公司报价，结合送审报价、市场价进行评审，并注明评审结论。询价过程完整、结论依据充足的记20分，询价资料不正规或未注明评审结论依据的每发现一处扣2分；</w:t>
            </w:r>
            <w:r>
              <w:rPr>
                <w:rFonts w:hint="default" w:ascii="Times New Roman" w:hAnsi="Times New Roman"/>
                <w:color w:val="000000"/>
                <w:szCs w:val="21"/>
                <w:lang w:eastAsia="zh-CN"/>
              </w:rPr>
              <w:t>无询价记录的</w:t>
            </w:r>
            <w:r>
              <w:rPr>
                <w:rFonts w:hint="eastAsia" w:ascii="Times New Roman" w:hAnsi="Times New Roman"/>
                <w:color w:val="000000"/>
                <w:szCs w:val="21"/>
                <w:lang w:val="en-US" w:eastAsia="zh-CN"/>
              </w:rPr>
              <w:t>每发现一处</w:t>
            </w:r>
            <w:r>
              <w:rPr>
                <w:rFonts w:hint="default" w:ascii="Times New Roman" w:hAnsi="Times New Roman"/>
                <w:color w:val="000000"/>
                <w:szCs w:val="21"/>
                <w:lang w:eastAsia="zh-CN"/>
              </w:rPr>
              <w:t>扣3分。</w:t>
            </w:r>
          </w:p>
          <w:p>
            <w:pPr>
              <w:pStyle w:val="9"/>
              <w:spacing w:line="240" w:lineRule="exact"/>
              <w:ind w:left="0" w:leftChars="0" w:firstLine="0" w:firstLineChars="0"/>
              <w:jc w:val="left"/>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如有特殊原因，无法进行询价的需书面告知评审中心，经同意后结合其他有关规定进行评审</w:t>
            </w:r>
            <w:r>
              <w:rPr>
                <w:rFonts w:hint="default" w:ascii="Times New Roman" w:hAnsi="Times New Roman"/>
                <w:color w:val="000000"/>
                <w:szCs w:val="21"/>
                <w:lang w:eastAsia="zh-CN"/>
              </w:rPr>
              <w:t>，有上述情况的，记</w:t>
            </w:r>
            <w:r>
              <w:rPr>
                <w:rFonts w:hint="eastAsia" w:ascii="Times New Roman" w:hAnsi="Times New Roman"/>
                <w:color w:val="000000"/>
                <w:szCs w:val="21"/>
                <w:lang w:val="en-US" w:eastAsia="zh-CN"/>
              </w:rPr>
              <w:t>17</w:t>
            </w:r>
            <w:r>
              <w:rPr>
                <w:rFonts w:hint="default" w:ascii="Times New Roman" w:hAnsi="Times New Roman"/>
                <w:color w:val="000000"/>
                <w:szCs w:val="21"/>
                <w:lang w:eastAsia="zh-CN"/>
              </w:rPr>
              <w:t>分</w:t>
            </w:r>
            <w:r>
              <w:rPr>
                <w:rFonts w:hint="eastAsia" w:ascii="Times New Roman" w:hAnsi="Times New Roman"/>
                <w:color w:val="000000"/>
                <w:szCs w:val="21"/>
                <w:lang w:val="en-US" w:eastAsia="zh-CN"/>
              </w:rPr>
              <w:t>。</w:t>
            </w:r>
          </w:p>
        </w:tc>
        <w:tc>
          <w:tcPr>
            <w:tcW w:w="494" w:type="dxa"/>
            <w:tcBorders>
              <w:top w:val="single" w:color="auto" w:sz="4" w:space="0"/>
              <w:left w:val="single" w:color="auto" w:sz="4" w:space="0"/>
              <w:right w:val="nil"/>
            </w:tcBorders>
            <w:noWrap w:val="0"/>
            <w:vAlign w:val="center"/>
          </w:tcPr>
          <w:p>
            <w:pPr>
              <w:snapToGrid w:val="0"/>
              <w:spacing w:line="240" w:lineRule="exact"/>
              <w:jc w:val="center"/>
              <w:rPr>
                <w:rFonts w:hint="default" w:ascii="Times New Roman" w:hAnsi="Times New Roman" w:eastAsia="宋体"/>
                <w:color w:val="000000"/>
                <w:szCs w:val="21"/>
                <w:lang w:eastAsia="zh-CN"/>
              </w:rPr>
            </w:pPr>
            <w:r>
              <w:rPr>
                <w:rFonts w:hint="eastAsia" w:ascii="Times New Roman" w:hAnsi="Times New Roman"/>
                <w:color w:val="000000"/>
                <w:szCs w:val="21"/>
                <w:lang w:val="en-US" w:eastAsia="zh-CN"/>
              </w:rPr>
              <w:t>0-2</w:t>
            </w:r>
            <w:r>
              <w:rPr>
                <w:rFonts w:hint="default" w:ascii="Times New Roman" w:hAnsi="Times New Roman"/>
                <w:color w:val="000000"/>
                <w:szCs w:val="21"/>
                <w:lang w:eastAsia="zh-CN"/>
              </w:rPr>
              <w:t>0</w:t>
            </w:r>
          </w:p>
        </w:tc>
        <w:tc>
          <w:tcPr>
            <w:tcW w:w="5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827" w:hRule="atLeast"/>
        </w:trPr>
        <w:tc>
          <w:tcPr>
            <w:tcW w:w="0" w:type="auto"/>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0" w:type="auto"/>
            <w:vMerge w:val="restart"/>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hint="eastAsia"/>
                <w:color w:val="000000"/>
                <w:szCs w:val="21"/>
                <w:lang w:val="en-US" w:eastAsia="zh-CN"/>
              </w:rPr>
              <w:t>4</w:t>
            </w:r>
            <w:r>
              <w:rPr>
                <w:rFonts w:ascii="Times New Roman" w:hAnsi="Times New Roman"/>
                <w:color w:val="000000"/>
                <w:szCs w:val="21"/>
              </w:rPr>
              <w:t>、报告质量</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p>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反馈意见表</w:t>
            </w:r>
          </w:p>
        </w:tc>
        <w:tc>
          <w:tcPr>
            <w:tcW w:w="0" w:type="auto"/>
            <w:tcBorders>
              <w:top w:val="single" w:color="auto" w:sz="4" w:space="0"/>
              <w:left w:val="single" w:color="auto" w:sz="4" w:space="0"/>
              <w:bottom w:val="single" w:color="auto" w:sz="4" w:space="0"/>
              <w:right w:val="nil"/>
            </w:tcBorders>
            <w:noWrap w:val="0"/>
            <w:vAlign w:val="top"/>
          </w:tcPr>
          <w:p>
            <w:pPr>
              <w:pStyle w:val="9"/>
              <w:spacing w:line="240" w:lineRule="exact"/>
              <w:ind w:left="0" w:leftChars="0" w:firstLine="0" w:firstLineChars="0"/>
              <w:rPr>
                <w:rFonts w:ascii="Times New Roman" w:hAnsi="Times New Roman"/>
                <w:color w:val="000000"/>
                <w:szCs w:val="21"/>
              </w:rPr>
            </w:pPr>
            <w:r>
              <w:rPr>
                <w:rFonts w:ascii="Times New Roman" w:hAnsi="Times New Roman"/>
                <w:color w:val="000000"/>
                <w:szCs w:val="21"/>
              </w:rPr>
              <w:t>总分</w:t>
            </w:r>
            <w:r>
              <w:rPr>
                <w:rFonts w:hint="eastAsia" w:ascii="Times New Roman" w:hAnsi="Times New Roman"/>
                <w:color w:val="000000"/>
                <w:szCs w:val="21"/>
                <w:lang w:val="en-US" w:eastAsia="zh-CN"/>
              </w:rPr>
              <w:t>8</w:t>
            </w:r>
            <w:r>
              <w:rPr>
                <w:rFonts w:ascii="Times New Roman" w:hAnsi="Times New Roman"/>
                <w:color w:val="000000"/>
                <w:szCs w:val="21"/>
              </w:rPr>
              <w:t>分。出现文字表述错误扣</w:t>
            </w:r>
            <w:r>
              <w:rPr>
                <w:rFonts w:hint="eastAsia" w:ascii="Times New Roman" w:hAnsi="Times New Roman"/>
                <w:color w:val="000000"/>
                <w:szCs w:val="21"/>
                <w:lang w:val="en-US" w:eastAsia="zh-CN"/>
              </w:rPr>
              <w:t>2</w:t>
            </w:r>
            <w:r>
              <w:rPr>
                <w:rFonts w:ascii="Times New Roman" w:hAnsi="Times New Roman"/>
                <w:color w:val="000000"/>
                <w:szCs w:val="21"/>
              </w:rPr>
              <w:t>分/1处，审减主要原因未写明扣</w:t>
            </w:r>
            <w:r>
              <w:rPr>
                <w:rFonts w:hint="eastAsia" w:ascii="Times New Roman" w:hAnsi="Times New Roman"/>
                <w:color w:val="000000"/>
                <w:szCs w:val="21"/>
                <w:lang w:val="en-US" w:eastAsia="zh-CN"/>
              </w:rPr>
              <w:t>2</w:t>
            </w:r>
            <w:r>
              <w:rPr>
                <w:rFonts w:ascii="Times New Roman" w:hAnsi="Times New Roman"/>
                <w:color w:val="000000"/>
                <w:szCs w:val="21"/>
              </w:rPr>
              <w:t>分/1处，有特殊事项未说明</w:t>
            </w:r>
            <w:r>
              <w:rPr>
                <w:rFonts w:hint="eastAsia" w:ascii="Times New Roman" w:hAnsi="Times New Roman"/>
                <w:color w:val="000000"/>
                <w:szCs w:val="21"/>
                <w:lang w:val="en-US" w:eastAsia="zh-CN"/>
              </w:rPr>
              <w:t>2</w:t>
            </w:r>
            <w:r>
              <w:rPr>
                <w:rFonts w:ascii="Times New Roman" w:hAnsi="Times New Roman"/>
                <w:color w:val="000000"/>
                <w:szCs w:val="21"/>
              </w:rPr>
              <w:t>分/1处，格式出现错误</w:t>
            </w:r>
            <w:r>
              <w:rPr>
                <w:rFonts w:hint="eastAsia" w:ascii="Times New Roman" w:hAnsi="Times New Roman"/>
                <w:color w:val="000000"/>
                <w:szCs w:val="21"/>
                <w:lang w:val="en-US" w:eastAsia="zh-CN"/>
              </w:rPr>
              <w:t>2</w:t>
            </w:r>
            <w:r>
              <w:rPr>
                <w:rFonts w:ascii="Times New Roman" w:hAnsi="Times New Roman"/>
                <w:color w:val="000000"/>
                <w:szCs w:val="21"/>
              </w:rPr>
              <w:t>分/</w:t>
            </w:r>
            <w:r>
              <w:rPr>
                <w:rFonts w:hint="eastAsia" w:ascii="Times New Roman" w:hAnsi="Times New Roman"/>
                <w:color w:val="000000"/>
                <w:szCs w:val="21"/>
                <w:lang w:val="en-US" w:eastAsia="zh-CN"/>
              </w:rPr>
              <w:t>1</w:t>
            </w:r>
            <w:r>
              <w:rPr>
                <w:rFonts w:ascii="Times New Roman" w:hAnsi="Times New Roman"/>
                <w:color w:val="000000"/>
                <w:szCs w:val="21"/>
              </w:rPr>
              <w:t>处。</w:t>
            </w:r>
          </w:p>
        </w:tc>
        <w:tc>
          <w:tcPr>
            <w:tcW w:w="494"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ascii="Times New Roman" w:hAnsi="Times New Roman"/>
                <w:color w:val="000000"/>
                <w:szCs w:val="21"/>
              </w:rPr>
            </w:pPr>
          </w:p>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6</w:t>
            </w:r>
          </w:p>
        </w:tc>
        <w:tc>
          <w:tcPr>
            <w:tcW w:w="5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570" w:hRule="atLeast"/>
        </w:trPr>
        <w:tc>
          <w:tcPr>
            <w:tcW w:w="0" w:type="auto"/>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0" w:type="auto"/>
            <w:vMerge w:val="continue"/>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ascii="Times New Roman" w:hAnsi="Times New Roman"/>
                <w:color w:val="000000"/>
                <w:szCs w:val="21"/>
              </w:rPr>
            </w:pP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hint="eastAsia" w:ascii="Times New Roman" w:hAnsi="Times New Roman"/>
                <w:color w:val="000000"/>
                <w:szCs w:val="21"/>
              </w:rPr>
            </w:pPr>
            <w:r>
              <w:rPr>
                <w:rFonts w:hint="eastAsia" w:ascii="Times New Roman" w:hAnsi="Times New Roman"/>
                <w:color w:val="000000"/>
                <w:szCs w:val="21"/>
              </w:rPr>
              <w:t>以评审报告为准</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rPr>
                <w:rFonts w:ascii="Times New Roman" w:hAnsi="Times New Roman"/>
                <w:color w:val="000000"/>
                <w:szCs w:val="21"/>
              </w:rPr>
            </w:pPr>
            <w:r>
              <w:rPr>
                <w:rFonts w:ascii="Times New Roman" w:hAnsi="Times New Roman"/>
                <w:color w:val="000000"/>
                <w:szCs w:val="21"/>
              </w:rPr>
              <w:t>总分</w:t>
            </w:r>
            <w:r>
              <w:rPr>
                <w:rFonts w:hint="eastAsia" w:ascii="Times New Roman" w:hAnsi="Times New Roman"/>
                <w:color w:val="000000"/>
                <w:szCs w:val="21"/>
                <w:lang w:val="en-US" w:eastAsia="zh-CN"/>
              </w:rPr>
              <w:t>3</w:t>
            </w:r>
            <w:r>
              <w:rPr>
                <w:rFonts w:ascii="Times New Roman" w:hAnsi="Times New Roman"/>
                <w:color w:val="000000"/>
                <w:szCs w:val="21"/>
              </w:rPr>
              <w:t>分。出现文字表述错误扣1分/1处，审核增减原因未明确扣1分/1处；表格出现错误扣1分/处。</w:t>
            </w:r>
          </w:p>
        </w:tc>
        <w:tc>
          <w:tcPr>
            <w:tcW w:w="494"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3</w:t>
            </w:r>
          </w:p>
        </w:tc>
        <w:tc>
          <w:tcPr>
            <w:tcW w:w="5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766" w:hRule="atLeast"/>
        </w:trPr>
        <w:tc>
          <w:tcPr>
            <w:tcW w:w="0" w:type="auto"/>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0" w:type="auto"/>
            <w:vMerge w:val="continue"/>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hint="eastAsia" w:ascii="Times New Roman" w:hAnsi="Times New Roman"/>
                <w:color w:val="000000"/>
                <w:szCs w:val="21"/>
              </w:rPr>
            </w:pP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hint="eastAsia" w:ascii="Times New Roman" w:hAnsi="Times New Roman"/>
                <w:color w:val="000000"/>
                <w:kern w:val="2"/>
                <w:sz w:val="21"/>
                <w:szCs w:val="21"/>
                <w:lang w:val="en-US" w:eastAsia="zh-CN" w:bidi="ar-SA"/>
              </w:rPr>
            </w:pPr>
            <w:r>
              <w:rPr>
                <w:rFonts w:ascii="Times New Roman" w:hAnsi="Times New Roman"/>
                <w:color w:val="000000"/>
                <w:szCs w:val="21"/>
              </w:rPr>
              <w:t>内部复核情况</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jc w:val="left"/>
              <w:rPr>
                <w:rFonts w:ascii="Times New Roman" w:hAnsi="Times New Roman"/>
                <w:color w:val="000000"/>
                <w:kern w:val="2"/>
                <w:sz w:val="21"/>
                <w:szCs w:val="21"/>
                <w:lang w:val="en-US" w:eastAsia="zh-CN" w:bidi="ar-SA"/>
              </w:rPr>
            </w:pPr>
            <w:r>
              <w:rPr>
                <w:rFonts w:hint="eastAsia" w:ascii="Times New Roman" w:hAnsi="Times New Roman"/>
                <w:color w:val="000000"/>
                <w:szCs w:val="21"/>
                <w:lang w:eastAsia="zh-CN"/>
              </w:rPr>
              <w:t>评审报告</w:t>
            </w:r>
            <w:r>
              <w:rPr>
                <w:rFonts w:ascii="Times New Roman" w:hAnsi="Times New Roman"/>
                <w:color w:val="000000"/>
                <w:szCs w:val="21"/>
              </w:rPr>
              <w:t>符合三级复核程序、有三级复核意见并签章的计</w:t>
            </w:r>
            <w:r>
              <w:rPr>
                <w:rFonts w:hint="eastAsia" w:ascii="Times New Roman" w:hAnsi="Times New Roman"/>
                <w:color w:val="000000"/>
                <w:szCs w:val="21"/>
                <w:lang w:val="en-US" w:eastAsia="zh-CN"/>
              </w:rPr>
              <w:t>3</w:t>
            </w:r>
            <w:r>
              <w:rPr>
                <w:rFonts w:ascii="Times New Roman" w:hAnsi="Times New Roman"/>
                <w:color w:val="000000"/>
                <w:szCs w:val="21"/>
              </w:rPr>
              <w:t>分</w:t>
            </w:r>
            <w:r>
              <w:rPr>
                <w:rFonts w:hint="eastAsia" w:ascii="Times New Roman" w:hAnsi="Times New Roman"/>
                <w:color w:val="000000"/>
                <w:szCs w:val="21"/>
                <w:lang w:eastAsia="zh-CN"/>
              </w:rPr>
              <w:t>，无三级复核计</w:t>
            </w:r>
            <w:r>
              <w:rPr>
                <w:rFonts w:hint="eastAsia" w:ascii="Times New Roman" w:hAnsi="Times New Roman"/>
                <w:color w:val="000000"/>
                <w:szCs w:val="21"/>
                <w:lang w:val="en-US" w:eastAsia="zh-CN"/>
              </w:rPr>
              <w:t>0分</w:t>
            </w:r>
            <w:r>
              <w:rPr>
                <w:rFonts w:ascii="Times New Roman" w:hAnsi="Times New Roman"/>
                <w:color w:val="000000"/>
                <w:szCs w:val="21"/>
              </w:rPr>
              <w:t>。</w:t>
            </w:r>
          </w:p>
        </w:tc>
        <w:tc>
          <w:tcPr>
            <w:tcW w:w="494"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0-3</w:t>
            </w:r>
          </w:p>
        </w:tc>
        <w:tc>
          <w:tcPr>
            <w:tcW w:w="5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766" w:hRule="atLeast"/>
        </w:trPr>
        <w:tc>
          <w:tcPr>
            <w:tcW w:w="0" w:type="auto"/>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hint="eastAsia" w:ascii="Times New Roman" w:hAnsi="Times New Roman"/>
                <w:color w:val="000000"/>
                <w:szCs w:val="21"/>
              </w:rPr>
            </w:pPr>
            <w:r>
              <w:rPr>
                <w:rFonts w:hint="eastAsia"/>
                <w:color w:val="000000"/>
                <w:szCs w:val="21"/>
                <w:lang w:val="en-US" w:eastAsia="zh-CN"/>
              </w:rPr>
              <w:t>5</w:t>
            </w:r>
            <w:r>
              <w:rPr>
                <w:rFonts w:hint="eastAsia" w:ascii="Times New Roman" w:hAnsi="Times New Roman"/>
                <w:color w:val="000000"/>
                <w:szCs w:val="21"/>
              </w:rPr>
              <w:t>、过程资料</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highlight w:val="green"/>
              </w:rPr>
            </w:pPr>
          </w:p>
          <w:p>
            <w:pPr>
              <w:pStyle w:val="9"/>
              <w:spacing w:line="240" w:lineRule="exact"/>
              <w:ind w:left="0" w:leftChars="0" w:firstLine="0" w:firstLineChars="0"/>
              <w:rPr>
                <w:rFonts w:hint="eastAsia" w:ascii="Times New Roman" w:hAnsi="Times New Roman"/>
                <w:color w:val="000000"/>
                <w:szCs w:val="21"/>
              </w:rPr>
            </w:pPr>
            <w:r>
              <w:rPr>
                <w:rFonts w:hint="eastAsia" w:ascii="Times New Roman" w:hAnsi="Times New Roman"/>
                <w:color w:val="000000"/>
                <w:szCs w:val="21"/>
              </w:rPr>
              <w:t>工作底稿</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rPr>
                <w:rFonts w:ascii="Times New Roman" w:hAnsi="Times New Roman"/>
                <w:color w:val="000000"/>
                <w:szCs w:val="21"/>
              </w:rPr>
            </w:pPr>
            <w:r>
              <w:rPr>
                <w:rFonts w:ascii="Times New Roman" w:hAnsi="Times New Roman"/>
                <w:color w:val="000000"/>
                <w:szCs w:val="21"/>
              </w:rPr>
              <w:t>总分</w:t>
            </w:r>
            <w:r>
              <w:rPr>
                <w:rFonts w:hint="eastAsia" w:ascii="Times New Roman" w:hAnsi="Times New Roman"/>
                <w:color w:val="000000"/>
                <w:szCs w:val="21"/>
                <w:lang w:val="en-US" w:eastAsia="zh-CN"/>
              </w:rPr>
              <w:t>5</w:t>
            </w:r>
            <w:r>
              <w:rPr>
                <w:rFonts w:ascii="Times New Roman" w:hAnsi="Times New Roman"/>
                <w:color w:val="000000"/>
                <w:szCs w:val="21"/>
              </w:rPr>
              <w:t>分。</w:t>
            </w:r>
            <w:r>
              <w:rPr>
                <w:rFonts w:hint="eastAsia" w:ascii="Times New Roman" w:hAnsi="Times New Roman"/>
                <w:color w:val="000000"/>
                <w:szCs w:val="21"/>
              </w:rPr>
              <w:t>工作底稿资料完整计</w:t>
            </w:r>
            <w:r>
              <w:rPr>
                <w:rFonts w:hint="default" w:ascii="Times New Roman" w:hAnsi="Times New Roman"/>
                <w:color w:val="000000"/>
                <w:szCs w:val="21"/>
              </w:rPr>
              <w:t>1</w:t>
            </w:r>
            <w:r>
              <w:rPr>
                <w:rFonts w:hint="eastAsia" w:ascii="Times New Roman" w:hAnsi="Times New Roman"/>
                <w:color w:val="000000"/>
                <w:szCs w:val="21"/>
                <w:lang w:val="en-US" w:eastAsia="zh-CN"/>
              </w:rPr>
              <w:t>5</w:t>
            </w:r>
            <w:r>
              <w:rPr>
                <w:rFonts w:hint="eastAsia" w:ascii="Times New Roman" w:hAnsi="Times New Roman"/>
                <w:color w:val="000000"/>
                <w:szCs w:val="21"/>
              </w:rPr>
              <w:t>分，不完整计</w:t>
            </w:r>
            <w:r>
              <w:rPr>
                <w:rFonts w:hint="default" w:ascii="Times New Roman" w:hAnsi="Times New Roman"/>
                <w:color w:val="000000"/>
                <w:szCs w:val="21"/>
              </w:rPr>
              <w:t>12</w:t>
            </w:r>
            <w:r>
              <w:rPr>
                <w:rFonts w:hint="eastAsia" w:ascii="Times New Roman" w:hAnsi="Times New Roman"/>
                <w:color w:val="000000"/>
                <w:szCs w:val="21"/>
              </w:rPr>
              <w:t>分，无工作底稿计0分</w:t>
            </w:r>
            <w:r>
              <w:rPr>
                <w:rFonts w:ascii="Times New Roman" w:hAnsi="Times New Roman"/>
                <w:color w:val="000000"/>
                <w:szCs w:val="21"/>
              </w:rPr>
              <w:t>。</w:t>
            </w:r>
          </w:p>
        </w:tc>
        <w:tc>
          <w:tcPr>
            <w:tcW w:w="494"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default" w:ascii="Times New Roman" w:hAnsi="Times New Roman" w:eastAsia="宋体"/>
                <w:color w:val="000000"/>
                <w:szCs w:val="21"/>
                <w:lang w:eastAsia="zh-CN"/>
              </w:rPr>
            </w:pPr>
            <w:r>
              <w:rPr>
                <w:rFonts w:hint="eastAsia" w:ascii="Times New Roman" w:hAnsi="Times New Roman"/>
                <w:color w:val="000000"/>
                <w:szCs w:val="21"/>
              </w:rPr>
              <w:t>0-</w:t>
            </w:r>
            <w:r>
              <w:rPr>
                <w:rFonts w:hint="default" w:ascii="Times New Roman" w:hAnsi="Times New Roman"/>
                <w:color w:val="000000"/>
                <w:szCs w:val="21"/>
              </w:rPr>
              <w:t>15</w:t>
            </w:r>
          </w:p>
        </w:tc>
        <w:tc>
          <w:tcPr>
            <w:tcW w:w="5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695" w:hRule="atLeast"/>
        </w:trPr>
        <w:tc>
          <w:tcPr>
            <w:tcW w:w="0" w:type="auto"/>
            <w:vMerge w:val="continue"/>
            <w:tcBorders>
              <w:top w:val="single" w:color="auto" w:sz="4" w:space="0"/>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hint="eastAsia"/>
                <w:color w:val="000000"/>
                <w:szCs w:val="21"/>
                <w:lang w:val="en-US" w:eastAsia="zh-CN"/>
              </w:rPr>
              <w:t>6</w:t>
            </w:r>
            <w:r>
              <w:rPr>
                <w:rFonts w:ascii="Times New Roman" w:hAnsi="Times New Roman"/>
                <w:color w:val="000000"/>
                <w:szCs w:val="21"/>
              </w:rPr>
              <w:t>、协助配合</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以评审过程为准</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rPr>
                <w:rFonts w:ascii="Times New Roman" w:hAnsi="Times New Roman"/>
                <w:color w:val="000000"/>
                <w:szCs w:val="21"/>
              </w:rPr>
            </w:pPr>
            <w:r>
              <w:rPr>
                <w:rFonts w:ascii="Times New Roman" w:hAnsi="Times New Roman"/>
                <w:color w:val="000000"/>
                <w:szCs w:val="21"/>
              </w:rPr>
              <w:t>总分3分。评审过程中发现问题而又未提出的记0 分，项目评审时限过半才提出的扣2分。</w:t>
            </w:r>
          </w:p>
        </w:tc>
        <w:tc>
          <w:tcPr>
            <w:tcW w:w="494"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ascii="Times New Roman" w:hAnsi="Times New Roman"/>
                <w:color w:val="000000"/>
                <w:szCs w:val="21"/>
              </w:rPr>
            </w:pPr>
            <w:r>
              <w:rPr>
                <w:rFonts w:ascii="Times New Roman" w:hAnsi="Times New Roman"/>
                <w:color w:val="000000"/>
                <w:szCs w:val="21"/>
              </w:rPr>
              <w:t>0-3</w:t>
            </w:r>
          </w:p>
        </w:tc>
        <w:tc>
          <w:tcPr>
            <w:tcW w:w="5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769" w:hRule="atLeast"/>
        </w:trPr>
        <w:tc>
          <w:tcPr>
            <w:tcW w:w="0" w:type="auto"/>
            <w:vMerge w:val="restart"/>
            <w:tcBorders>
              <w:top w:val="single" w:color="auto" w:sz="4" w:space="0"/>
              <w:left w:val="single" w:color="auto" w:sz="4" w:space="0"/>
              <w:right w:val="nil"/>
            </w:tcBorders>
            <w:noWrap w:val="0"/>
            <w:vAlign w:val="center"/>
          </w:tcPr>
          <w:p>
            <w:pPr>
              <w:widowControl/>
              <w:spacing w:line="240" w:lineRule="exact"/>
              <w:jc w:val="center"/>
              <w:rPr>
                <w:rFonts w:ascii="Times New Roman" w:hAnsi="Times New Roman"/>
                <w:b/>
                <w:bCs/>
                <w:color w:val="000000"/>
                <w:szCs w:val="21"/>
              </w:rPr>
            </w:pPr>
            <w:r>
              <w:rPr>
                <w:rFonts w:ascii="Times New Roman" w:hAnsi="Times New Roman"/>
                <w:b/>
                <w:bCs/>
                <w:color w:val="000000"/>
                <w:szCs w:val="21"/>
              </w:rPr>
              <w:t>（三）</w:t>
            </w:r>
          </w:p>
          <w:p>
            <w:pPr>
              <w:widowControl/>
              <w:spacing w:line="240" w:lineRule="exact"/>
              <w:jc w:val="center"/>
              <w:rPr>
                <w:rFonts w:ascii="Times New Roman" w:hAnsi="Times New Roman"/>
                <w:color w:val="000000"/>
                <w:szCs w:val="21"/>
              </w:rPr>
            </w:pPr>
            <w:r>
              <w:rPr>
                <w:rFonts w:ascii="Times New Roman" w:hAnsi="Times New Roman"/>
                <w:b/>
                <w:bCs/>
                <w:color w:val="000000"/>
                <w:szCs w:val="21"/>
              </w:rPr>
              <w:t>其他</w:t>
            </w:r>
            <w:r>
              <w:rPr>
                <w:rFonts w:hint="eastAsia" w:ascii="Times New Roman" w:hAnsi="Times New Roman"/>
                <w:b/>
                <w:bCs/>
                <w:color w:val="000000"/>
                <w:szCs w:val="21"/>
                <w:lang w:val="en-US" w:eastAsia="zh-CN"/>
              </w:rPr>
              <w:t>17</w:t>
            </w:r>
            <w:r>
              <w:rPr>
                <w:rFonts w:ascii="Times New Roman" w:hAnsi="Times New Roman"/>
                <w:b/>
                <w:bCs/>
                <w:color w:val="000000"/>
                <w:szCs w:val="21"/>
              </w:rPr>
              <w:t>分</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hint="eastAsia"/>
                <w:color w:val="000000"/>
                <w:szCs w:val="21"/>
                <w:lang w:val="en-US" w:eastAsia="zh-CN"/>
              </w:rPr>
              <w:t>7、</w:t>
            </w:r>
            <w:r>
              <w:rPr>
                <w:rFonts w:ascii="Times New Roman" w:hAnsi="Times New Roman"/>
                <w:color w:val="000000"/>
                <w:szCs w:val="21"/>
              </w:rPr>
              <w:t>服务质量</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以评审过程为准</w:t>
            </w:r>
          </w:p>
        </w:tc>
        <w:tc>
          <w:tcPr>
            <w:tcW w:w="0" w:type="auto"/>
            <w:tcBorders>
              <w:top w:val="single" w:color="auto" w:sz="4" w:space="0"/>
              <w:left w:val="single" w:color="auto" w:sz="4" w:space="0"/>
              <w:bottom w:val="single" w:color="auto" w:sz="4" w:space="0"/>
              <w:right w:val="nil"/>
            </w:tcBorders>
            <w:noWrap w:val="0"/>
            <w:vAlign w:val="center"/>
          </w:tcPr>
          <w:p>
            <w:pPr>
              <w:pStyle w:val="9"/>
              <w:spacing w:line="240" w:lineRule="exact"/>
              <w:ind w:left="0" w:leftChars="0" w:firstLine="0" w:firstLineChars="0"/>
              <w:rPr>
                <w:rFonts w:hint="default" w:ascii="Times New Roman" w:hAnsi="Times New Roman" w:eastAsia="宋体"/>
                <w:color w:val="000000"/>
                <w:szCs w:val="21"/>
                <w:lang w:val="en-US" w:eastAsia="zh-CN"/>
              </w:rPr>
            </w:pPr>
            <w:r>
              <w:rPr>
                <w:rFonts w:ascii="Times New Roman" w:hAnsi="Times New Roman"/>
                <w:color w:val="000000"/>
                <w:szCs w:val="21"/>
              </w:rPr>
              <w:t>整体评价满意计</w:t>
            </w:r>
            <w:r>
              <w:rPr>
                <w:rFonts w:hint="eastAsia" w:ascii="Times New Roman" w:hAnsi="Times New Roman"/>
                <w:color w:val="000000"/>
                <w:szCs w:val="21"/>
                <w:lang w:val="en-US" w:eastAsia="zh-CN"/>
              </w:rPr>
              <w:t>2</w:t>
            </w:r>
            <w:r>
              <w:rPr>
                <w:rFonts w:ascii="Times New Roman" w:hAnsi="Times New Roman"/>
                <w:color w:val="000000"/>
                <w:szCs w:val="21"/>
              </w:rPr>
              <w:t>分，提出合理优化建议的计</w:t>
            </w:r>
            <w:r>
              <w:rPr>
                <w:rFonts w:hint="eastAsia" w:ascii="Times New Roman" w:hAnsi="Times New Roman"/>
                <w:color w:val="000000"/>
                <w:szCs w:val="21"/>
                <w:lang w:val="en-US" w:eastAsia="zh-CN"/>
              </w:rPr>
              <w:t>2</w:t>
            </w:r>
            <w:r>
              <w:rPr>
                <w:rFonts w:ascii="Times New Roman" w:hAnsi="Times New Roman"/>
                <w:color w:val="000000"/>
                <w:szCs w:val="21"/>
              </w:rPr>
              <w:t>分</w:t>
            </w:r>
            <w:r>
              <w:rPr>
                <w:rFonts w:hint="eastAsia" w:ascii="Times New Roman" w:hAnsi="Times New Roman"/>
                <w:color w:val="000000"/>
                <w:szCs w:val="21"/>
                <w:lang w:eastAsia="zh-CN"/>
              </w:rPr>
              <w:t>，无故不服从安排的记</w:t>
            </w:r>
            <w:r>
              <w:rPr>
                <w:rFonts w:hint="eastAsia" w:ascii="Times New Roman" w:hAnsi="Times New Roman"/>
                <w:color w:val="000000"/>
                <w:szCs w:val="21"/>
                <w:lang w:val="en-US" w:eastAsia="zh-CN"/>
              </w:rPr>
              <w:t>0分。</w:t>
            </w:r>
          </w:p>
        </w:tc>
        <w:tc>
          <w:tcPr>
            <w:tcW w:w="494" w:type="dxa"/>
            <w:tcBorders>
              <w:top w:val="single" w:color="auto" w:sz="4" w:space="0"/>
              <w:left w:val="single" w:color="auto" w:sz="4" w:space="0"/>
              <w:bottom w:val="single" w:color="auto" w:sz="4" w:space="0"/>
              <w:right w:val="nil"/>
            </w:tcBorders>
            <w:noWrap w:val="0"/>
            <w:vAlign w:val="center"/>
          </w:tcPr>
          <w:p>
            <w:pPr>
              <w:snapToGrid w:val="0"/>
              <w:spacing w:line="240" w:lineRule="exact"/>
              <w:jc w:val="center"/>
              <w:rPr>
                <w:rFonts w:hint="eastAsia" w:ascii="Times New Roman" w:hAnsi="Times New Roman" w:eastAsia="宋体"/>
                <w:color w:val="000000"/>
                <w:szCs w:val="21"/>
                <w:lang w:val="en-US" w:eastAsia="zh-CN"/>
              </w:rPr>
            </w:pPr>
            <w:r>
              <w:rPr>
                <w:rFonts w:ascii="Times New Roman" w:hAnsi="Times New Roman"/>
                <w:color w:val="000000"/>
                <w:szCs w:val="21"/>
              </w:rPr>
              <w:t>0-</w:t>
            </w:r>
            <w:r>
              <w:rPr>
                <w:rFonts w:hint="eastAsia" w:ascii="Times New Roman" w:hAnsi="Times New Roman"/>
                <w:color w:val="000000"/>
                <w:szCs w:val="21"/>
                <w:lang w:val="en-US" w:eastAsia="zh-CN"/>
              </w:rPr>
              <w:t>2</w:t>
            </w:r>
          </w:p>
        </w:tc>
        <w:tc>
          <w:tcPr>
            <w:tcW w:w="5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883" w:hRule="atLeast"/>
        </w:trPr>
        <w:tc>
          <w:tcPr>
            <w:tcW w:w="0" w:type="auto"/>
            <w:vMerge w:val="continue"/>
            <w:tcBorders>
              <w:left w:val="single" w:color="auto" w:sz="4" w:space="0"/>
              <w:bottom w:val="single" w:color="auto" w:sz="4" w:space="0"/>
              <w:right w:val="nil"/>
            </w:tcBorders>
            <w:noWrap w:val="0"/>
            <w:vAlign w:val="center"/>
          </w:tcPr>
          <w:p>
            <w:pPr>
              <w:widowControl/>
              <w:spacing w:line="240" w:lineRule="exact"/>
              <w:jc w:val="center"/>
              <w:rPr>
                <w:rFonts w:ascii="Times New Roman" w:hAnsi="Times New Roman"/>
                <w:color w:val="000000"/>
                <w:szCs w:val="21"/>
              </w:rPr>
            </w:pPr>
          </w:p>
        </w:tc>
        <w:tc>
          <w:tcPr>
            <w:tcW w:w="0" w:type="auto"/>
            <w:tcBorders>
              <w:top w:val="single" w:color="auto" w:sz="4" w:space="0"/>
              <w:left w:val="single" w:color="auto" w:sz="4" w:space="0"/>
              <w:bottom w:val="nil"/>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hint="eastAsia"/>
                <w:color w:val="000000"/>
                <w:szCs w:val="21"/>
                <w:lang w:val="en-US" w:eastAsia="zh-CN"/>
              </w:rPr>
              <w:t>8、</w:t>
            </w:r>
            <w:r>
              <w:rPr>
                <w:rFonts w:ascii="Times New Roman" w:hAnsi="Times New Roman"/>
                <w:color w:val="000000"/>
                <w:szCs w:val="21"/>
              </w:rPr>
              <w:t>存档资料</w:t>
            </w:r>
          </w:p>
        </w:tc>
        <w:tc>
          <w:tcPr>
            <w:tcW w:w="0" w:type="auto"/>
            <w:tcBorders>
              <w:top w:val="single" w:color="auto" w:sz="4" w:space="0"/>
              <w:left w:val="single" w:color="auto" w:sz="4" w:space="0"/>
              <w:bottom w:val="nil"/>
              <w:right w:val="nil"/>
            </w:tcBorders>
            <w:noWrap w:val="0"/>
            <w:vAlign w:val="center"/>
          </w:tcPr>
          <w:p>
            <w:pPr>
              <w:pStyle w:val="9"/>
              <w:spacing w:line="240" w:lineRule="exact"/>
              <w:ind w:firstLine="0" w:firstLineChars="0"/>
              <w:rPr>
                <w:rFonts w:ascii="Times New Roman" w:hAnsi="Times New Roman"/>
                <w:color w:val="000000"/>
                <w:szCs w:val="21"/>
              </w:rPr>
            </w:pPr>
            <w:r>
              <w:rPr>
                <w:rFonts w:ascii="Times New Roman" w:hAnsi="Times New Roman"/>
                <w:color w:val="000000"/>
                <w:szCs w:val="21"/>
              </w:rPr>
              <w:t>以最终报送电子版、纸质版资料为准</w:t>
            </w:r>
          </w:p>
        </w:tc>
        <w:tc>
          <w:tcPr>
            <w:tcW w:w="0" w:type="auto"/>
            <w:tcBorders>
              <w:top w:val="single" w:color="auto" w:sz="4" w:space="0"/>
              <w:left w:val="single" w:color="auto" w:sz="4" w:space="0"/>
              <w:bottom w:val="nil"/>
              <w:right w:val="nil"/>
            </w:tcBorders>
            <w:noWrap w:val="0"/>
            <w:vAlign w:val="center"/>
          </w:tcPr>
          <w:p>
            <w:pPr>
              <w:pStyle w:val="9"/>
              <w:spacing w:line="240" w:lineRule="exact"/>
              <w:ind w:left="0" w:leftChars="0" w:firstLine="0" w:firstLineChars="0"/>
              <w:rPr>
                <w:rFonts w:ascii="Times New Roman" w:hAnsi="Times New Roman"/>
                <w:color w:val="000000"/>
                <w:szCs w:val="21"/>
              </w:rPr>
            </w:pPr>
            <w:r>
              <w:rPr>
                <w:rFonts w:ascii="Times New Roman" w:hAnsi="Times New Roman"/>
                <w:color w:val="000000"/>
                <w:szCs w:val="21"/>
              </w:rPr>
              <w:t>总分</w:t>
            </w:r>
            <w:r>
              <w:rPr>
                <w:rFonts w:hint="eastAsia" w:ascii="Times New Roman" w:hAnsi="Times New Roman"/>
                <w:color w:val="000000"/>
                <w:szCs w:val="21"/>
                <w:lang w:val="en-US" w:eastAsia="zh-CN"/>
              </w:rPr>
              <w:t>15</w:t>
            </w:r>
            <w:r>
              <w:rPr>
                <w:rFonts w:ascii="Times New Roman" w:hAnsi="Times New Roman"/>
                <w:color w:val="000000"/>
                <w:szCs w:val="21"/>
              </w:rPr>
              <w:t>分。电子版资料应按相应格式整理，未按相应</w:t>
            </w:r>
            <w:r>
              <w:rPr>
                <w:rFonts w:hint="eastAsia" w:ascii="Times New Roman" w:hAnsi="Times New Roman"/>
                <w:color w:val="000000"/>
                <w:szCs w:val="21"/>
                <w:lang w:eastAsia="zh-CN"/>
              </w:rPr>
              <w:t>格式</w:t>
            </w:r>
            <w:r>
              <w:rPr>
                <w:rFonts w:ascii="Times New Roman" w:hAnsi="Times New Roman"/>
                <w:color w:val="000000"/>
                <w:szCs w:val="21"/>
              </w:rPr>
              <w:t>整理</w:t>
            </w:r>
            <w:r>
              <w:rPr>
                <w:rFonts w:hint="eastAsia" w:ascii="Times New Roman" w:hAnsi="Times New Roman"/>
                <w:color w:val="000000"/>
                <w:szCs w:val="21"/>
                <w:lang w:eastAsia="zh-CN"/>
              </w:rPr>
              <w:t>或缺少内容</w:t>
            </w:r>
            <w:r>
              <w:rPr>
                <w:rFonts w:ascii="Times New Roman" w:hAnsi="Times New Roman"/>
                <w:color w:val="000000"/>
                <w:szCs w:val="21"/>
              </w:rPr>
              <w:t>的扣</w:t>
            </w:r>
            <w:r>
              <w:rPr>
                <w:rFonts w:hint="eastAsia" w:ascii="Times New Roman" w:hAnsi="Times New Roman"/>
                <w:color w:val="000000"/>
                <w:szCs w:val="21"/>
                <w:lang w:val="en-US" w:eastAsia="zh-CN"/>
              </w:rPr>
              <w:t>2</w:t>
            </w:r>
            <w:r>
              <w:rPr>
                <w:rFonts w:ascii="Times New Roman" w:hAnsi="Times New Roman"/>
                <w:color w:val="000000"/>
                <w:szCs w:val="21"/>
              </w:rPr>
              <w:t>分，</w:t>
            </w:r>
            <w:r>
              <w:rPr>
                <w:rFonts w:hint="eastAsia" w:ascii="Times New Roman" w:hAnsi="Times New Roman"/>
                <w:color w:val="000000"/>
                <w:szCs w:val="21"/>
                <w:lang w:eastAsia="zh-CN"/>
              </w:rPr>
              <w:t>电子版资料无故不发超五个工作日的记</w:t>
            </w:r>
            <w:r>
              <w:rPr>
                <w:rFonts w:hint="eastAsia" w:ascii="Times New Roman" w:hAnsi="Times New Roman"/>
                <w:color w:val="000000"/>
                <w:szCs w:val="21"/>
                <w:lang w:val="en-US" w:eastAsia="zh-CN"/>
              </w:rPr>
              <w:t>0分，</w:t>
            </w:r>
            <w:r>
              <w:rPr>
                <w:rFonts w:ascii="Times New Roman" w:hAnsi="Times New Roman"/>
                <w:color w:val="000000"/>
                <w:szCs w:val="21"/>
              </w:rPr>
              <w:t>纸质版每缺少一样扣1分/1处。</w:t>
            </w:r>
          </w:p>
        </w:tc>
        <w:tc>
          <w:tcPr>
            <w:tcW w:w="494" w:type="dxa"/>
            <w:tcBorders>
              <w:top w:val="single" w:color="auto" w:sz="4" w:space="0"/>
              <w:left w:val="single" w:color="auto" w:sz="4" w:space="0"/>
              <w:bottom w:val="nil"/>
              <w:right w:val="nil"/>
            </w:tcBorders>
            <w:noWrap w:val="0"/>
            <w:vAlign w:val="center"/>
          </w:tcPr>
          <w:p>
            <w:pPr>
              <w:snapToGrid w:val="0"/>
              <w:spacing w:line="240" w:lineRule="exact"/>
              <w:jc w:val="center"/>
              <w:rPr>
                <w:rFonts w:hint="eastAsia" w:ascii="Times New Roman" w:hAnsi="Times New Roman" w:eastAsia="宋体"/>
                <w:color w:val="000000"/>
                <w:szCs w:val="21"/>
                <w:lang w:eastAsia="zh-CN"/>
              </w:rPr>
            </w:pPr>
            <w:r>
              <w:rPr>
                <w:rFonts w:ascii="Times New Roman" w:hAnsi="Times New Roman"/>
                <w:color w:val="000000"/>
                <w:szCs w:val="21"/>
              </w:rPr>
              <w:t>0-</w:t>
            </w:r>
            <w:r>
              <w:rPr>
                <w:rFonts w:hint="eastAsia" w:ascii="Times New Roman" w:hAnsi="Times New Roman"/>
                <w:color w:val="000000"/>
                <w:szCs w:val="21"/>
                <w:lang w:val="en-US" w:eastAsia="zh-CN"/>
              </w:rPr>
              <w:t>15</w:t>
            </w:r>
          </w:p>
        </w:tc>
        <w:tc>
          <w:tcPr>
            <w:tcW w:w="501" w:type="dxa"/>
            <w:tcBorders>
              <w:top w:val="single" w:color="auto" w:sz="4" w:space="0"/>
              <w:left w:val="single" w:color="auto" w:sz="4" w:space="0"/>
              <w:bottom w:val="nil"/>
              <w:right w:val="single" w:color="auto" w:sz="4" w:space="0"/>
            </w:tcBorders>
            <w:noWrap w:val="0"/>
            <w:vAlign w:val="center"/>
          </w:tcPr>
          <w:p>
            <w:pPr>
              <w:snapToGrid w:val="0"/>
              <w:spacing w:line="240" w:lineRule="exact"/>
              <w:ind w:firstLine="315" w:firstLineChars="150"/>
              <w:jc w:val="center"/>
              <w:rPr>
                <w:rFonts w:ascii="Times New Roman" w:hAnsi="Times New Roman"/>
                <w:color w:val="000000"/>
                <w:szCs w:val="21"/>
              </w:rPr>
            </w:pPr>
          </w:p>
        </w:tc>
      </w:tr>
      <w:tr>
        <w:tblPrEx>
          <w:tblCellMar>
            <w:top w:w="0" w:type="dxa"/>
            <w:left w:w="10" w:type="dxa"/>
            <w:bottom w:w="0" w:type="dxa"/>
            <w:right w:w="10" w:type="dxa"/>
          </w:tblCellMar>
        </w:tblPrEx>
        <w:trPr>
          <w:trHeight w:val="485" w:hRule="atLeast"/>
        </w:trPr>
        <w:tc>
          <w:tcPr>
            <w:tcW w:w="0" w:type="auto"/>
            <w:gridSpan w:val="2"/>
            <w:tcBorders>
              <w:top w:val="single" w:color="auto" w:sz="4" w:space="0"/>
              <w:left w:val="single" w:color="auto" w:sz="4" w:space="0"/>
              <w:bottom w:val="single" w:color="auto" w:sz="4" w:space="0"/>
              <w:right w:val="nil"/>
            </w:tcBorders>
            <w:noWrap w:val="0"/>
            <w:vAlign w:val="center"/>
          </w:tcPr>
          <w:p>
            <w:pPr>
              <w:snapToGrid w:val="0"/>
              <w:spacing w:line="240" w:lineRule="exact"/>
              <w:ind w:firstLine="316" w:firstLineChars="150"/>
              <w:jc w:val="center"/>
              <w:rPr>
                <w:rFonts w:ascii="Times New Roman" w:hAnsi="Times New Roman"/>
                <w:b/>
                <w:bCs/>
                <w:color w:val="000000"/>
                <w:szCs w:val="21"/>
              </w:rPr>
            </w:pPr>
            <w:r>
              <w:rPr>
                <w:rFonts w:ascii="Times New Roman" w:hAnsi="Times New Roman"/>
                <w:b/>
                <w:bCs/>
                <w:color w:val="000000"/>
                <w:szCs w:val="21"/>
              </w:rPr>
              <w:t>合  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firstLine="315" w:firstLineChars="150"/>
              <w:rPr>
                <w:rFonts w:ascii="Times New Roman" w:hAnsi="Times New Roman"/>
                <w:color w:val="000000"/>
                <w:szCs w:val="21"/>
              </w:rPr>
            </w:pPr>
          </w:p>
        </w:tc>
        <w:tc>
          <w:tcPr>
            <w:tcW w:w="0" w:type="auto"/>
            <w:tcBorders>
              <w:top w:val="single" w:color="auto" w:sz="4" w:space="0"/>
              <w:left w:val="single" w:color="auto" w:sz="4" w:space="0"/>
              <w:bottom w:val="single" w:color="auto" w:sz="4" w:space="0"/>
              <w:right w:val="nil"/>
            </w:tcBorders>
            <w:noWrap w:val="0"/>
            <w:vAlign w:val="center"/>
          </w:tcPr>
          <w:p>
            <w:pPr>
              <w:snapToGrid w:val="0"/>
              <w:spacing w:line="240" w:lineRule="exact"/>
              <w:ind w:firstLine="315" w:firstLineChars="150"/>
              <w:jc w:val="center"/>
              <w:rPr>
                <w:rFonts w:ascii="Times New Roman" w:hAnsi="Times New Roman"/>
                <w:color w:val="000000"/>
                <w:szCs w:val="21"/>
              </w:rPr>
            </w:pPr>
          </w:p>
        </w:tc>
        <w:tc>
          <w:tcPr>
            <w:tcW w:w="494" w:type="dxa"/>
            <w:tcBorders>
              <w:top w:val="single" w:color="auto" w:sz="4" w:space="0"/>
              <w:left w:val="single" w:color="auto" w:sz="4" w:space="0"/>
              <w:bottom w:val="single" w:color="auto" w:sz="4" w:space="0"/>
              <w:right w:val="nil"/>
            </w:tcBorders>
            <w:noWrap w:val="0"/>
            <w:vAlign w:val="center"/>
          </w:tcPr>
          <w:p>
            <w:pPr>
              <w:pStyle w:val="9"/>
              <w:spacing w:line="240" w:lineRule="exact"/>
              <w:ind w:firstLine="0" w:firstLineChars="0"/>
              <w:jc w:val="center"/>
              <w:rPr>
                <w:rFonts w:ascii="Times New Roman" w:hAnsi="Times New Roman"/>
                <w:color w:val="000000"/>
                <w:szCs w:val="21"/>
              </w:rPr>
            </w:pPr>
            <w:r>
              <w:rPr>
                <w:rFonts w:ascii="Times New Roman" w:hAnsi="Times New Roman"/>
                <w:b/>
                <w:bCs/>
                <w:color w:val="000000"/>
                <w:szCs w:val="21"/>
              </w:rPr>
              <w:t>100</w:t>
            </w:r>
          </w:p>
        </w:tc>
        <w:tc>
          <w:tcPr>
            <w:tcW w:w="501"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420"/>
              <w:jc w:val="center"/>
              <w:rPr>
                <w:rFonts w:ascii="Times New Roman" w:hAnsi="Times New Roman"/>
                <w:color w:val="00000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466E7"/>
    <w:multiLevelType w:val="singleLevel"/>
    <w:tmpl w:val="C15466E7"/>
    <w:lvl w:ilvl="0" w:tentative="0">
      <w:start w:val="2"/>
      <w:numFmt w:val="decimal"/>
      <w:suff w:val="nothing"/>
      <w:lvlText w:val="%1、"/>
      <w:lvlJc w:val="left"/>
    </w:lvl>
  </w:abstractNum>
  <w:abstractNum w:abstractNumId="1">
    <w:nsid w:val="00000000"/>
    <w:multiLevelType w:val="singleLevel"/>
    <w:tmpl w:val="00000000"/>
    <w:lvl w:ilvl="0" w:tentative="0">
      <w:start w:val="1"/>
      <w:numFmt w:val="chineseCounting"/>
      <w:suff w:val="nothing"/>
      <w:lvlText w:val="（%1）"/>
      <w:lvlJc w:val="left"/>
    </w:lvl>
  </w:abstractNum>
  <w:abstractNum w:abstractNumId="2">
    <w:nsid w:val="00000001"/>
    <w:multiLevelType w:val="singleLevel"/>
    <w:tmpl w:val="00000001"/>
    <w:lvl w:ilvl="0" w:tentative="0">
      <w:start w:val="8"/>
      <w:numFmt w:val="chineseCounting"/>
      <w:suff w:val="space"/>
      <w:lvlText w:val="第%1章"/>
      <w:lvlJc w:val="left"/>
    </w:lvl>
  </w:abstractNum>
  <w:abstractNum w:abstractNumId="3">
    <w:nsid w:val="0000000E"/>
    <w:multiLevelType w:val="singleLevel"/>
    <w:tmpl w:val="0000000E"/>
    <w:lvl w:ilvl="0" w:tentative="0">
      <w:start w:val="2"/>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吾乏">
    <w15:presenceInfo w15:providerId="None" w15:userId="吾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YmE0NDkwMWZlNjllZTRmMzI5MWJjMmY2OWZmN2QifQ=="/>
  </w:docVars>
  <w:rsids>
    <w:rsidRoot w:val="3C27667B"/>
    <w:rsid w:val="03635412"/>
    <w:rsid w:val="03D21471"/>
    <w:rsid w:val="0589728F"/>
    <w:rsid w:val="10C761F4"/>
    <w:rsid w:val="3442156A"/>
    <w:rsid w:val="3C27667B"/>
    <w:rsid w:val="436A3174"/>
    <w:rsid w:val="6D9200E1"/>
    <w:rsid w:val="7CDE0136"/>
    <w:rsid w:val="7F57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72" w:line="400" w:lineRule="exact"/>
      <w:ind w:left="1043" w:firstLine="964" w:firstLineChars="200"/>
      <w:jc w:val="left"/>
    </w:pPr>
    <w:rPr>
      <w:rFonts w:ascii="Arial" w:hAnsi="Arial" w:eastAsia="华文宋体" w:cs="Times New Roman"/>
      <w:kern w:val="0"/>
      <w:sz w:val="18"/>
      <w:szCs w:val="18"/>
      <w:lang w:eastAsia="en-US"/>
    </w:rPr>
  </w:style>
  <w:style w:type="paragraph" w:styleId="3">
    <w:name w:val="Plain Text"/>
    <w:basedOn w:val="1"/>
    <w:qFormat/>
    <w:uiPriority w:val="0"/>
    <w:pPr>
      <w:spacing w:line="400" w:lineRule="exact"/>
      <w:ind w:firstLine="964" w:firstLineChars="200"/>
    </w:pPr>
    <w:rPr>
      <w:rFonts w:ascii="宋体" w:hAnsi="宋体" w:eastAsia="华文宋体"/>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 w:type="paragraph" w:customStyle="1" w:styleId="9">
    <w:name w:val="无间隔"/>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8462</Words>
  <Characters>8784</Characters>
  <Lines>0</Lines>
  <Paragraphs>0</Paragraphs>
  <TotalTime>13</TotalTime>
  <ScaleCrop>false</ScaleCrop>
  <LinksUpToDate>false</LinksUpToDate>
  <CharactersWithSpaces>8877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2022-10-25T01:20:00Z</dcterms:created>
  <dc:creator>WIssJae</dc:creator>
  <cp:lastModifiedBy>偷影子的人༻</cp:lastModifiedBy>
  <dcterms:modified xsi:type="dcterms:W3CDTF">2022-12-02T09:26:31Z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10A8E659960847C392419331FD0284F1</vt:lpwstr>
  </property>
</Properties>
</file>