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spacing w:before="6"/>
        <w:ind w:left="0"/>
        <w:rPr>
          <w:rFonts w:ascii="Times New Roman"/>
          <w:sz w:val="18"/>
        </w:rPr>
      </w:pPr>
    </w:p>
    <w:p>
      <w:pPr>
        <w:spacing w:before="0" w:line="1242" w:lineRule="exact"/>
        <w:ind w:left="892" w:right="892" w:firstLine="0"/>
        <w:jc w:val="center"/>
        <w:rPr>
          <w:rFonts w:hint="eastAsia" w:ascii="微软雅黑" w:eastAsia="微软雅黑"/>
          <w:sz w:val="72"/>
        </w:rPr>
      </w:pPr>
      <w:bookmarkStart w:id="0" w:name="2018年度"/>
      <w:bookmarkEnd w:id="0"/>
      <w:r>
        <w:rPr>
          <w:rFonts w:hint="eastAsia" w:ascii="黑体" w:eastAsia="黑体"/>
          <w:sz w:val="72"/>
        </w:rPr>
        <w:t>2018</w:t>
      </w:r>
      <w:r>
        <w:rPr>
          <w:rFonts w:hint="eastAsia" w:ascii="黑体" w:eastAsia="黑体"/>
          <w:spacing w:val="-180"/>
          <w:sz w:val="72"/>
        </w:rPr>
        <w:t xml:space="preserve"> </w:t>
      </w:r>
      <w:r>
        <w:rPr>
          <w:rFonts w:hint="eastAsia" w:ascii="微软雅黑" w:eastAsia="微软雅黑"/>
          <w:sz w:val="72"/>
        </w:rPr>
        <w:t>年度</w:t>
      </w:r>
    </w:p>
    <w:p>
      <w:pPr>
        <w:spacing w:before="523" w:line="336" w:lineRule="auto"/>
        <w:ind w:left="892" w:right="893" w:firstLine="0"/>
        <w:jc w:val="center"/>
        <w:rPr>
          <w:rFonts w:hint="eastAsia" w:ascii="微软雅黑" w:eastAsia="微软雅黑"/>
          <w:sz w:val="72"/>
        </w:rPr>
      </w:pPr>
      <w:bookmarkStart w:id="1" w:name="政协广元市昭化区委员会办公室部门决算"/>
      <w:bookmarkEnd w:id="1"/>
      <w:r>
        <w:rPr>
          <w:rFonts w:hint="eastAsia" w:ascii="微软雅黑" w:eastAsia="微软雅黑"/>
          <w:sz w:val="72"/>
        </w:rPr>
        <w:t>政协广元市昭化区委员会办公室部门决算</w:t>
      </w:r>
    </w:p>
    <w:p>
      <w:pPr>
        <w:spacing w:after="0" w:line="336" w:lineRule="auto"/>
        <w:jc w:val="center"/>
        <w:rPr>
          <w:rFonts w:hint="eastAsia" w:ascii="微软雅黑" w:eastAsia="微软雅黑"/>
          <w:sz w:val="72"/>
        </w:rPr>
        <w:sectPr>
          <w:type w:val="continuous"/>
          <w:pgSz w:w="11910" w:h="16840"/>
          <w:pgMar w:top="1580" w:right="1100" w:bottom="280" w:left="1100" w:header="720" w:footer="720" w:gutter="0"/>
          <w:cols w:space="720" w:num="1"/>
        </w:sectPr>
      </w:pPr>
    </w:p>
    <w:p>
      <w:pPr>
        <w:spacing w:before="5"/>
        <w:ind w:left="892" w:right="893" w:firstLine="0"/>
        <w:jc w:val="center"/>
        <w:rPr>
          <w:rFonts w:hint="eastAsia" w:ascii="黑体" w:eastAsia="黑体"/>
          <w:sz w:val="48"/>
        </w:rPr>
      </w:pPr>
      <w:r>
        <w:rPr>
          <w:rFonts w:hint="eastAsia" w:ascii="黑体" w:eastAsia="黑体"/>
          <w:sz w:val="48"/>
        </w:rPr>
        <w:t>目录</w:t>
      </w:r>
    </w:p>
    <w:p>
      <w:pPr>
        <w:pStyle w:val="5"/>
        <w:spacing w:before="9"/>
        <w:ind w:left="0"/>
        <w:rPr>
          <w:rFonts w:ascii="黑体"/>
          <w:sz w:val="66"/>
        </w:rPr>
      </w:pPr>
    </w:p>
    <w:p>
      <w:pPr>
        <w:spacing w:before="0"/>
        <w:ind w:left="892" w:right="892" w:firstLine="0"/>
        <w:jc w:val="center"/>
        <w:rPr>
          <w:sz w:val="28"/>
        </w:rPr>
      </w:pPr>
      <w:r>
        <w:rPr>
          <w:sz w:val="28"/>
        </w:rPr>
        <w:t>公开时间：2019 年 9 月 24 日</w:t>
      </w:r>
    </w:p>
    <w:p>
      <w:pPr>
        <w:spacing w:after="0"/>
        <w:jc w:val="center"/>
        <w:rPr>
          <w:sz w:val="28"/>
        </w:rPr>
        <w:sectPr>
          <w:footerReference r:id="rId5" w:type="default"/>
          <w:pgSz w:w="11910" w:h="16840"/>
          <w:pgMar w:top="1420" w:right="1100" w:bottom="1630" w:left="1100" w:header="0" w:footer="1196" w:gutter="0"/>
          <w:pgNumType w:start="2"/>
          <w:cols w:space="720" w:num="1"/>
        </w:sectPr>
      </w:pPr>
    </w:p>
    <w:sdt>
      <w:sdtPr>
        <w:id w:val="1"/>
        <w:docPartObj>
          <w:docPartGallery w:val="Table of Contents"/>
          <w:docPartUnique/>
        </w:docPartObj>
      </w:sdtPr>
      <w:sdtContent>
        <w:p>
          <w:pPr>
            <w:pStyle w:val="6"/>
            <w:tabs>
              <w:tab w:val="left" w:leader="dot" w:pos="8155"/>
            </w:tabs>
            <w:spacing w:before="671"/>
            <w:ind w:right="0"/>
            <w:jc w:val="center"/>
          </w:pPr>
          <w:r>
            <w:fldChar w:fldCharType="begin"/>
          </w:r>
          <w:r>
            <w:instrText xml:space="preserve"> HYPERLINK \l "_bookmark0" </w:instrText>
          </w:r>
          <w:r>
            <w:fldChar w:fldCharType="separate"/>
          </w:r>
          <w:r>
            <w:t>第</w:t>
          </w:r>
          <w:r>
            <w:rPr>
              <w:spacing w:val="-3"/>
            </w:rPr>
            <w:t>一</w:t>
          </w:r>
          <w:r>
            <w:t>部分 部</w:t>
          </w:r>
          <w:r>
            <w:rPr>
              <w:spacing w:val="-3"/>
            </w:rPr>
            <w:t>门</w:t>
          </w:r>
          <w:r>
            <w:t>概况</w:t>
          </w:r>
          <w:r>
            <w:tab/>
          </w:r>
          <w:r>
            <w:t>4</w:t>
          </w:r>
          <w:r>
            <w:fldChar w:fldCharType="end"/>
          </w:r>
        </w:p>
        <w:p>
          <w:pPr>
            <w:pStyle w:val="6"/>
            <w:tabs>
              <w:tab w:val="left" w:leader="dot" w:pos="7735"/>
            </w:tabs>
            <w:ind w:right="708"/>
          </w:pPr>
          <w:r>
            <w:fldChar w:fldCharType="begin"/>
          </w:r>
          <w:r>
            <w:instrText xml:space="preserve"> HYPERLINK \l "_bookmark1" </w:instrText>
          </w:r>
          <w:r>
            <w:fldChar w:fldCharType="separate"/>
          </w:r>
          <w:r>
            <w:t>一</w:t>
          </w:r>
          <w:r>
            <w:rPr>
              <w:spacing w:val="-3"/>
            </w:rPr>
            <w:t>、</w:t>
          </w:r>
          <w:r>
            <w:t>基本</w:t>
          </w:r>
          <w:r>
            <w:rPr>
              <w:spacing w:val="-3"/>
            </w:rPr>
            <w:t>职</w:t>
          </w:r>
          <w:r>
            <w:t>能及</w:t>
          </w:r>
          <w:r>
            <w:rPr>
              <w:spacing w:val="-3"/>
            </w:rPr>
            <w:t>主</w:t>
          </w:r>
          <w:r>
            <w:t>要工作</w:t>
          </w:r>
          <w:r>
            <w:tab/>
          </w:r>
          <w:r>
            <w:rPr>
              <w:spacing w:val="-1"/>
            </w:rPr>
            <w:t>4</w:t>
          </w:r>
          <w:r>
            <w:rPr>
              <w:spacing w:val="-1"/>
            </w:rPr>
            <w:fldChar w:fldCharType="end"/>
          </w:r>
        </w:p>
        <w:p>
          <w:pPr>
            <w:pStyle w:val="6"/>
            <w:tabs>
              <w:tab w:val="left" w:leader="dot" w:pos="7735"/>
            </w:tabs>
            <w:ind w:right="708"/>
          </w:pPr>
          <w:r>
            <w:fldChar w:fldCharType="begin"/>
          </w:r>
          <w:r>
            <w:instrText xml:space="preserve"> HYPERLINK \l "_bookmark2" </w:instrText>
          </w:r>
          <w:r>
            <w:fldChar w:fldCharType="separate"/>
          </w:r>
          <w:r>
            <w:t>二</w:t>
          </w:r>
          <w:r>
            <w:rPr>
              <w:spacing w:val="-3"/>
            </w:rPr>
            <w:t>、</w:t>
          </w:r>
          <w:r>
            <w:t>机构</w:t>
          </w:r>
          <w:r>
            <w:rPr>
              <w:spacing w:val="-3"/>
            </w:rPr>
            <w:t>设</w:t>
          </w:r>
          <w:r>
            <w:t>置</w:t>
          </w:r>
          <w:r>
            <w:tab/>
          </w:r>
          <w:r>
            <w:rPr>
              <w:spacing w:val="-1"/>
            </w:rPr>
            <w:t>6</w:t>
          </w:r>
          <w:r>
            <w:rPr>
              <w:spacing w:val="-1"/>
            </w:rPr>
            <w:fldChar w:fldCharType="end"/>
          </w:r>
        </w:p>
        <w:p>
          <w:pPr>
            <w:pStyle w:val="6"/>
            <w:tabs>
              <w:tab w:val="left" w:leader="dot" w:pos="8155"/>
            </w:tabs>
            <w:spacing w:before="359"/>
            <w:ind w:right="703"/>
          </w:pPr>
          <w:r>
            <w:fldChar w:fldCharType="begin"/>
          </w:r>
          <w:r>
            <w:instrText xml:space="preserve"> HYPERLINK \l "_bookmark3" </w:instrText>
          </w:r>
          <w:r>
            <w:fldChar w:fldCharType="separate"/>
          </w:r>
          <w:r>
            <w:t>第</w:t>
          </w:r>
          <w:r>
            <w:rPr>
              <w:spacing w:val="-3"/>
            </w:rPr>
            <w:t>二</w:t>
          </w:r>
          <w:r>
            <w:t>部分 2018</w:t>
          </w:r>
          <w:r>
            <w:rPr>
              <w:spacing w:val="-69"/>
            </w:rPr>
            <w:t xml:space="preserve"> </w:t>
          </w:r>
          <w:r>
            <w:t>年</w:t>
          </w:r>
          <w:r>
            <w:rPr>
              <w:spacing w:val="-3"/>
            </w:rPr>
            <w:t>度</w:t>
          </w:r>
          <w:r>
            <w:t>部门</w:t>
          </w:r>
          <w:r>
            <w:rPr>
              <w:spacing w:val="-3"/>
            </w:rPr>
            <w:t>决</w:t>
          </w:r>
          <w:r>
            <w:t>算情</w:t>
          </w:r>
          <w:r>
            <w:rPr>
              <w:spacing w:val="-3"/>
            </w:rPr>
            <w:t>况</w:t>
          </w:r>
          <w:r>
            <w:t>说明</w:t>
          </w:r>
          <w:r>
            <w:tab/>
          </w:r>
          <w:r>
            <w:rPr>
              <w:spacing w:val="-1"/>
            </w:rPr>
            <w:t>7</w:t>
          </w:r>
          <w:r>
            <w:rPr>
              <w:spacing w:val="-1"/>
            </w:rPr>
            <w:fldChar w:fldCharType="end"/>
          </w:r>
        </w:p>
        <w:p>
          <w:pPr>
            <w:pStyle w:val="6"/>
            <w:tabs>
              <w:tab w:val="left" w:leader="dot" w:pos="7735"/>
            </w:tabs>
            <w:spacing w:before="266"/>
            <w:ind w:right="708"/>
          </w:pPr>
          <w:r>
            <w:fldChar w:fldCharType="begin"/>
          </w:r>
          <w:r>
            <w:instrText xml:space="preserve"> HYPERLINK \l "_bookmark4" </w:instrText>
          </w:r>
          <w:r>
            <w:fldChar w:fldCharType="separate"/>
          </w:r>
          <w:r>
            <w:t>一</w:t>
          </w:r>
          <w:r>
            <w:rPr>
              <w:spacing w:val="-3"/>
            </w:rPr>
            <w:t>、</w:t>
          </w:r>
          <w:r>
            <w:t>收入</w:t>
          </w:r>
          <w:r>
            <w:rPr>
              <w:spacing w:val="-3"/>
            </w:rPr>
            <w:t>支</w:t>
          </w:r>
          <w:r>
            <w:t>出决</w:t>
          </w:r>
          <w:r>
            <w:rPr>
              <w:spacing w:val="-3"/>
            </w:rPr>
            <w:t>算</w:t>
          </w:r>
          <w:r>
            <w:t>总体</w:t>
          </w:r>
          <w:r>
            <w:rPr>
              <w:spacing w:val="-3"/>
            </w:rPr>
            <w:t>情</w:t>
          </w:r>
          <w:r>
            <w:t>况说明</w:t>
          </w:r>
          <w:r>
            <w:tab/>
          </w:r>
          <w:r>
            <w:rPr>
              <w:spacing w:val="-1"/>
            </w:rPr>
            <w:t>7</w:t>
          </w:r>
          <w:r>
            <w:rPr>
              <w:spacing w:val="-1"/>
            </w:rPr>
            <w:fldChar w:fldCharType="end"/>
          </w:r>
        </w:p>
        <w:p>
          <w:pPr>
            <w:pStyle w:val="6"/>
            <w:tabs>
              <w:tab w:val="left" w:leader="dot" w:pos="7735"/>
            </w:tabs>
            <w:ind w:right="708"/>
          </w:pPr>
          <w:r>
            <w:fldChar w:fldCharType="begin"/>
          </w:r>
          <w:r>
            <w:instrText xml:space="preserve"> HYPERLINK \l "_bookmark5" </w:instrText>
          </w:r>
          <w:r>
            <w:fldChar w:fldCharType="separate"/>
          </w:r>
          <w:r>
            <w:t>二</w:t>
          </w:r>
          <w:r>
            <w:rPr>
              <w:spacing w:val="-3"/>
            </w:rPr>
            <w:t>、</w:t>
          </w:r>
          <w:r>
            <w:t>收入</w:t>
          </w:r>
          <w:r>
            <w:rPr>
              <w:spacing w:val="-3"/>
            </w:rPr>
            <w:t>决</w:t>
          </w:r>
          <w:r>
            <w:t>算情</w:t>
          </w:r>
          <w:r>
            <w:rPr>
              <w:spacing w:val="-3"/>
            </w:rPr>
            <w:t>况</w:t>
          </w:r>
          <w:r>
            <w:t>说明</w:t>
          </w:r>
          <w:r>
            <w:tab/>
          </w:r>
          <w:r>
            <w:rPr>
              <w:spacing w:val="-1"/>
            </w:rPr>
            <w:t>7</w:t>
          </w:r>
          <w:r>
            <w:rPr>
              <w:spacing w:val="-1"/>
            </w:rPr>
            <w:fldChar w:fldCharType="end"/>
          </w:r>
        </w:p>
        <w:p>
          <w:pPr>
            <w:pStyle w:val="6"/>
            <w:tabs>
              <w:tab w:val="left" w:leader="dot" w:pos="7735"/>
            </w:tabs>
            <w:ind w:right="708"/>
          </w:pPr>
          <w:r>
            <w:fldChar w:fldCharType="begin"/>
          </w:r>
          <w:r>
            <w:instrText xml:space="preserve"> HYPERLINK \l "_bookmark6" </w:instrText>
          </w:r>
          <w:r>
            <w:fldChar w:fldCharType="separate"/>
          </w:r>
          <w:r>
            <w:t>三</w:t>
          </w:r>
          <w:r>
            <w:rPr>
              <w:spacing w:val="-3"/>
            </w:rPr>
            <w:t>、</w:t>
          </w:r>
          <w:r>
            <w:t>支出</w:t>
          </w:r>
          <w:r>
            <w:rPr>
              <w:spacing w:val="-3"/>
            </w:rPr>
            <w:t>决</w:t>
          </w:r>
          <w:r>
            <w:t>算情</w:t>
          </w:r>
          <w:r>
            <w:rPr>
              <w:spacing w:val="-3"/>
            </w:rPr>
            <w:t>况</w:t>
          </w:r>
          <w:r>
            <w:t>说明</w:t>
          </w:r>
          <w:r>
            <w:tab/>
          </w:r>
          <w:r>
            <w:rPr>
              <w:spacing w:val="-1"/>
            </w:rPr>
            <w:t>7</w:t>
          </w:r>
          <w:r>
            <w:rPr>
              <w:spacing w:val="-1"/>
            </w:rPr>
            <w:fldChar w:fldCharType="end"/>
          </w:r>
        </w:p>
        <w:p>
          <w:pPr>
            <w:pStyle w:val="6"/>
            <w:tabs>
              <w:tab w:val="left" w:leader="dot" w:pos="7735"/>
            </w:tabs>
            <w:ind w:right="708"/>
          </w:pPr>
          <w:r>
            <w:fldChar w:fldCharType="begin"/>
          </w:r>
          <w:r>
            <w:instrText xml:space="preserve"> HYPERLINK \l "_bookmark7" </w:instrText>
          </w:r>
          <w:r>
            <w:fldChar w:fldCharType="separate"/>
          </w:r>
          <w:r>
            <w:t>四</w:t>
          </w:r>
          <w:r>
            <w:rPr>
              <w:spacing w:val="-3"/>
            </w:rPr>
            <w:t>、</w:t>
          </w:r>
          <w:r>
            <w:t>财政</w:t>
          </w:r>
          <w:r>
            <w:rPr>
              <w:spacing w:val="-3"/>
            </w:rPr>
            <w:t>拨</w:t>
          </w:r>
          <w:r>
            <w:t>款收</w:t>
          </w:r>
          <w:r>
            <w:rPr>
              <w:spacing w:val="-3"/>
            </w:rPr>
            <w:t>入</w:t>
          </w:r>
          <w:r>
            <w:t>支出</w:t>
          </w:r>
          <w:r>
            <w:rPr>
              <w:spacing w:val="-3"/>
            </w:rPr>
            <w:t>决</w:t>
          </w:r>
          <w:r>
            <w:t>算总</w:t>
          </w:r>
          <w:r>
            <w:rPr>
              <w:spacing w:val="-3"/>
            </w:rPr>
            <w:t>体</w:t>
          </w:r>
          <w:r>
            <w:t>情况</w:t>
          </w:r>
          <w:r>
            <w:rPr>
              <w:spacing w:val="-3"/>
            </w:rPr>
            <w:t>说</w:t>
          </w:r>
          <w:r>
            <w:t>明</w:t>
          </w:r>
          <w:r>
            <w:tab/>
          </w:r>
          <w:r>
            <w:rPr>
              <w:spacing w:val="-1"/>
            </w:rPr>
            <w:t>7</w:t>
          </w:r>
          <w:r>
            <w:rPr>
              <w:spacing w:val="-1"/>
            </w:rPr>
            <w:fldChar w:fldCharType="end"/>
          </w:r>
        </w:p>
        <w:p>
          <w:pPr>
            <w:pStyle w:val="6"/>
            <w:tabs>
              <w:tab w:val="left" w:leader="dot" w:pos="7735"/>
            </w:tabs>
            <w:spacing w:before="266"/>
            <w:ind w:right="708"/>
          </w:pPr>
          <w:r>
            <w:fldChar w:fldCharType="begin"/>
          </w:r>
          <w:r>
            <w:instrText xml:space="preserve"> HYPERLINK \l "_bookmark8" </w:instrText>
          </w:r>
          <w:r>
            <w:fldChar w:fldCharType="separate"/>
          </w:r>
          <w:r>
            <w:t>五</w:t>
          </w:r>
          <w:r>
            <w:rPr>
              <w:spacing w:val="-3"/>
            </w:rPr>
            <w:t>、</w:t>
          </w:r>
          <w:r>
            <w:t>一般</w:t>
          </w:r>
          <w:r>
            <w:rPr>
              <w:spacing w:val="-3"/>
            </w:rPr>
            <w:t>公</w:t>
          </w:r>
          <w:r>
            <w:t>共预</w:t>
          </w:r>
          <w:r>
            <w:rPr>
              <w:spacing w:val="-3"/>
            </w:rPr>
            <w:t>算</w:t>
          </w:r>
          <w:r>
            <w:t>财政</w:t>
          </w:r>
          <w:r>
            <w:rPr>
              <w:spacing w:val="-3"/>
            </w:rPr>
            <w:t>拨</w:t>
          </w:r>
          <w:r>
            <w:t>款支</w:t>
          </w:r>
          <w:r>
            <w:rPr>
              <w:spacing w:val="-3"/>
            </w:rPr>
            <w:t>出</w:t>
          </w:r>
          <w:r>
            <w:t>决算</w:t>
          </w:r>
          <w:r>
            <w:rPr>
              <w:spacing w:val="-3"/>
            </w:rPr>
            <w:t>情</w:t>
          </w:r>
          <w:r>
            <w:t>况说明</w:t>
          </w:r>
          <w:r>
            <w:tab/>
          </w:r>
          <w:r>
            <w:rPr>
              <w:spacing w:val="-1"/>
            </w:rPr>
            <w:t>8</w:t>
          </w:r>
          <w:r>
            <w:rPr>
              <w:spacing w:val="-1"/>
            </w:rPr>
            <w:fldChar w:fldCharType="end"/>
          </w:r>
        </w:p>
        <w:p>
          <w:pPr>
            <w:pStyle w:val="6"/>
            <w:tabs>
              <w:tab w:val="left" w:leader="dot" w:pos="7735"/>
            </w:tabs>
            <w:ind w:right="708"/>
          </w:pPr>
          <w:r>
            <w:fldChar w:fldCharType="begin"/>
          </w:r>
          <w:r>
            <w:instrText xml:space="preserve"> HYPERLINK \l "_bookmark9" </w:instrText>
          </w:r>
          <w:r>
            <w:fldChar w:fldCharType="separate"/>
          </w:r>
          <w:r>
            <w:t>六</w:t>
          </w:r>
          <w:r>
            <w:rPr>
              <w:spacing w:val="-3"/>
            </w:rPr>
            <w:t>、</w:t>
          </w:r>
          <w:r>
            <w:t>一般</w:t>
          </w:r>
          <w:r>
            <w:rPr>
              <w:spacing w:val="-3"/>
            </w:rPr>
            <w:t>公</w:t>
          </w:r>
          <w:r>
            <w:t>共预</w:t>
          </w:r>
          <w:r>
            <w:rPr>
              <w:spacing w:val="-3"/>
            </w:rPr>
            <w:t>算</w:t>
          </w:r>
          <w:r>
            <w:t>财政</w:t>
          </w:r>
          <w:r>
            <w:rPr>
              <w:spacing w:val="-3"/>
            </w:rPr>
            <w:t>拨</w:t>
          </w:r>
          <w:r>
            <w:t>款基</w:t>
          </w:r>
          <w:r>
            <w:rPr>
              <w:spacing w:val="-3"/>
            </w:rPr>
            <w:t>本</w:t>
          </w:r>
          <w:r>
            <w:t>支出</w:t>
          </w:r>
          <w:r>
            <w:rPr>
              <w:spacing w:val="-3"/>
            </w:rPr>
            <w:t>决</w:t>
          </w:r>
          <w:r>
            <w:t>算情</w:t>
          </w:r>
          <w:r>
            <w:rPr>
              <w:spacing w:val="-3"/>
            </w:rPr>
            <w:t>况</w:t>
          </w:r>
          <w:r>
            <w:t>说明</w:t>
          </w:r>
          <w:r>
            <w:tab/>
          </w:r>
          <w:r>
            <w:rPr>
              <w:spacing w:val="-1"/>
            </w:rPr>
            <w:t>9</w:t>
          </w:r>
          <w:r>
            <w:rPr>
              <w:spacing w:val="-1"/>
            </w:rPr>
            <w:fldChar w:fldCharType="end"/>
          </w:r>
        </w:p>
        <w:p>
          <w:pPr>
            <w:pStyle w:val="6"/>
            <w:tabs>
              <w:tab w:val="left" w:leader="dot" w:pos="7735"/>
            </w:tabs>
            <w:ind w:right="708"/>
          </w:pPr>
          <w:r>
            <w:fldChar w:fldCharType="begin"/>
          </w:r>
          <w:r>
            <w:instrText xml:space="preserve"> HYPERLINK \l "_bookmark10" </w:instrText>
          </w:r>
          <w:r>
            <w:fldChar w:fldCharType="separate"/>
          </w:r>
          <w:r>
            <w:t>七</w:t>
          </w:r>
          <w:r>
            <w:rPr>
              <w:spacing w:val="-3"/>
            </w:rPr>
            <w:t>、</w:t>
          </w:r>
          <w:r>
            <w:t>“三</w:t>
          </w:r>
          <w:r>
            <w:rPr>
              <w:spacing w:val="-3"/>
            </w:rPr>
            <w:t>公</w:t>
          </w:r>
          <w:r>
            <w:t>”经</w:t>
          </w:r>
          <w:r>
            <w:rPr>
              <w:spacing w:val="-3"/>
            </w:rPr>
            <w:t>费</w:t>
          </w:r>
          <w:r>
            <w:t>财政</w:t>
          </w:r>
          <w:r>
            <w:rPr>
              <w:spacing w:val="-3"/>
            </w:rPr>
            <w:t>拨</w:t>
          </w:r>
          <w:r>
            <w:t>款支</w:t>
          </w:r>
          <w:r>
            <w:rPr>
              <w:spacing w:val="-3"/>
            </w:rPr>
            <w:t>出</w:t>
          </w:r>
          <w:r>
            <w:t>决算</w:t>
          </w:r>
          <w:r>
            <w:rPr>
              <w:spacing w:val="-3"/>
            </w:rPr>
            <w:t>情</w:t>
          </w:r>
          <w:r>
            <w:t>况说明</w:t>
          </w:r>
          <w:r>
            <w:tab/>
          </w:r>
          <w:r>
            <w:rPr>
              <w:spacing w:val="-1"/>
            </w:rPr>
            <w:t>9</w:t>
          </w:r>
          <w:r>
            <w:rPr>
              <w:spacing w:val="-1"/>
            </w:rPr>
            <w:fldChar w:fldCharType="end"/>
          </w:r>
        </w:p>
        <w:p>
          <w:pPr>
            <w:pStyle w:val="6"/>
            <w:tabs>
              <w:tab w:val="left" w:leader="dot" w:pos="7595"/>
            </w:tabs>
          </w:pPr>
          <w:r>
            <w:fldChar w:fldCharType="begin"/>
          </w:r>
          <w:r>
            <w:instrText xml:space="preserve"> HYPERLINK \l "_bookmark11" </w:instrText>
          </w:r>
          <w:r>
            <w:fldChar w:fldCharType="separate"/>
          </w:r>
          <w:r>
            <w:t>八</w:t>
          </w:r>
          <w:r>
            <w:rPr>
              <w:spacing w:val="-3"/>
            </w:rPr>
            <w:t>、</w:t>
          </w:r>
          <w:r>
            <w:t>政</w:t>
          </w:r>
          <w:r>
            <w:rPr>
              <w:spacing w:val="-3"/>
            </w:rPr>
            <w:t>府</w:t>
          </w:r>
          <w:r>
            <w:t>性基</w:t>
          </w:r>
          <w:r>
            <w:rPr>
              <w:spacing w:val="-3"/>
            </w:rPr>
            <w:t>金</w:t>
          </w:r>
          <w:r>
            <w:t>预算</w:t>
          </w:r>
          <w:r>
            <w:rPr>
              <w:spacing w:val="-3"/>
            </w:rPr>
            <w:t>支</w:t>
          </w:r>
          <w:r>
            <w:t>出决</w:t>
          </w:r>
          <w:r>
            <w:rPr>
              <w:spacing w:val="-3"/>
            </w:rPr>
            <w:t>算</w:t>
          </w:r>
          <w:r>
            <w:t>情况</w:t>
          </w:r>
          <w:r>
            <w:rPr>
              <w:spacing w:val="-3"/>
            </w:rPr>
            <w:t>说</w:t>
          </w:r>
          <w:r>
            <w:t>明</w:t>
          </w:r>
          <w:r>
            <w:tab/>
          </w:r>
          <w:r>
            <w:t>11</w:t>
          </w:r>
          <w:r>
            <w:fldChar w:fldCharType="end"/>
          </w:r>
        </w:p>
        <w:p>
          <w:pPr>
            <w:pStyle w:val="6"/>
            <w:tabs>
              <w:tab w:val="left" w:leader="dot" w:pos="7595"/>
            </w:tabs>
            <w:spacing w:before="266"/>
          </w:pPr>
          <w:r>
            <w:fldChar w:fldCharType="begin"/>
          </w:r>
          <w:r>
            <w:instrText xml:space="preserve"> HYPERLINK \l "_bookmark12" </w:instrText>
          </w:r>
          <w:r>
            <w:fldChar w:fldCharType="separate"/>
          </w:r>
          <w:r>
            <w:t>九、</w:t>
          </w:r>
          <w:r>
            <w:rPr>
              <w:spacing w:val="2"/>
            </w:rPr>
            <w:t xml:space="preserve"> </w:t>
          </w:r>
          <w:r>
            <w:rPr>
              <w:spacing w:val="-3"/>
            </w:rPr>
            <w:t>国</w:t>
          </w:r>
          <w:r>
            <w:t>有</w:t>
          </w:r>
          <w:r>
            <w:rPr>
              <w:spacing w:val="-3"/>
            </w:rPr>
            <w:t>资</w:t>
          </w:r>
          <w:r>
            <w:t>本经</w:t>
          </w:r>
          <w:r>
            <w:rPr>
              <w:spacing w:val="-3"/>
            </w:rPr>
            <w:t>营</w:t>
          </w:r>
          <w:r>
            <w:t>预算</w:t>
          </w:r>
          <w:r>
            <w:rPr>
              <w:spacing w:val="-3"/>
            </w:rPr>
            <w:t>支</w:t>
          </w:r>
          <w:r>
            <w:t>出决</w:t>
          </w:r>
          <w:r>
            <w:rPr>
              <w:spacing w:val="-3"/>
            </w:rPr>
            <w:t>算</w:t>
          </w:r>
          <w:r>
            <w:t>情况</w:t>
          </w:r>
          <w:r>
            <w:rPr>
              <w:spacing w:val="-3"/>
            </w:rPr>
            <w:t>说</w:t>
          </w:r>
          <w:r>
            <w:t>明</w:t>
          </w:r>
          <w:r>
            <w:tab/>
          </w:r>
          <w:r>
            <w:t>11</w:t>
          </w:r>
          <w:r>
            <w:fldChar w:fldCharType="end"/>
          </w:r>
        </w:p>
        <w:p>
          <w:pPr>
            <w:pStyle w:val="6"/>
            <w:tabs>
              <w:tab w:val="left" w:leader="dot" w:pos="7595"/>
            </w:tabs>
          </w:pPr>
          <w:r>
            <w:fldChar w:fldCharType="begin"/>
          </w:r>
          <w:r>
            <w:instrText xml:space="preserve"> HYPERLINK \l "_bookmark12" </w:instrText>
          </w:r>
          <w:r>
            <w:fldChar w:fldCharType="separate"/>
          </w:r>
          <w:r>
            <w:rPr>
              <w:rFonts w:hint="eastAsia" w:ascii="宋体" w:eastAsia="宋体"/>
              <w:sz w:val="21"/>
            </w:rPr>
            <w:t>十</w:t>
          </w:r>
          <w:r>
            <w:t>、预</w:t>
          </w:r>
          <w:r>
            <w:rPr>
              <w:spacing w:val="-3"/>
            </w:rPr>
            <w:t>算</w:t>
          </w:r>
          <w:r>
            <w:t>绩效</w:t>
          </w:r>
          <w:r>
            <w:rPr>
              <w:spacing w:val="-3"/>
            </w:rPr>
            <w:t>情</w:t>
          </w:r>
          <w:r>
            <w:t>况说明</w:t>
          </w:r>
          <w:r>
            <w:tab/>
          </w:r>
          <w:r>
            <w:t>11</w:t>
          </w:r>
          <w:r>
            <w:fldChar w:fldCharType="end"/>
          </w:r>
        </w:p>
        <w:p>
          <w:pPr>
            <w:pStyle w:val="6"/>
            <w:tabs>
              <w:tab w:val="left" w:leader="dot" w:pos="7595"/>
            </w:tabs>
          </w:pPr>
          <w:r>
            <w:fldChar w:fldCharType="begin"/>
          </w:r>
          <w:r>
            <w:instrText xml:space="preserve"> HYPERLINK \l "_bookmark13" </w:instrText>
          </w:r>
          <w:r>
            <w:fldChar w:fldCharType="separate"/>
          </w:r>
          <w:r>
            <w:t>十一</w:t>
          </w:r>
          <w:r>
            <w:rPr>
              <w:spacing w:val="-3"/>
            </w:rPr>
            <w:t>、</w:t>
          </w:r>
          <w:r>
            <w:t>其他</w:t>
          </w:r>
          <w:r>
            <w:rPr>
              <w:spacing w:val="-3"/>
            </w:rPr>
            <w:t>重</w:t>
          </w:r>
          <w:r>
            <w:t>要事</w:t>
          </w:r>
          <w:r>
            <w:rPr>
              <w:spacing w:val="-3"/>
            </w:rPr>
            <w:t>项</w:t>
          </w:r>
          <w:r>
            <w:t>的情</w:t>
          </w:r>
          <w:r>
            <w:rPr>
              <w:spacing w:val="-3"/>
            </w:rPr>
            <w:t>况</w:t>
          </w:r>
          <w:r>
            <w:t>说明</w:t>
          </w:r>
          <w:r>
            <w:tab/>
          </w:r>
          <w:r>
            <w:t>14</w:t>
          </w:r>
          <w:r>
            <w:fldChar w:fldCharType="end"/>
          </w:r>
        </w:p>
        <w:p>
          <w:pPr>
            <w:pStyle w:val="6"/>
            <w:tabs>
              <w:tab w:val="left" w:leader="dot" w:pos="8015"/>
            </w:tabs>
            <w:spacing w:before="359"/>
            <w:ind w:right="701"/>
          </w:pPr>
          <w:r>
            <w:fldChar w:fldCharType="begin"/>
          </w:r>
          <w:r>
            <w:instrText xml:space="preserve"> HYPERLINK \l "_bookmark14" </w:instrText>
          </w:r>
          <w:r>
            <w:fldChar w:fldCharType="separate"/>
          </w:r>
          <w:r>
            <w:t>第</w:t>
          </w:r>
          <w:r>
            <w:rPr>
              <w:spacing w:val="-3"/>
            </w:rPr>
            <w:t>三</w:t>
          </w:r>
          <w:r>
            <w:t>部分 名词</w:t>
          </w:r>
          <w:r>
            <w:rPr>
              <w:spacing w:val="-3"/>
            </w:rPr>
            <w:t>解</w:t>
          </w:r>
          <w:r>
            <w:t>释</w:t>
          </w:r>
          <w:r>
            <w:tab/>
          </w:r>
          <w:r>
            <w:t>15</w:t>
          </w:r>
          <w:r>
            <w:fldChar w:fldCharType="end"/>
          </w:r>
        </w:p>
        <w:p>
          <w:pPr>
            <w:pStyle w:val="6"/>
            <w:tabs>
              <w:tab w:val="left" w:leader="dot" w:pos="8015"/>
            </w:tabs>
            <w:spacing w:before="356"/>
            <w:ind w:right="701"/>
          </w:pPr>
          <w:r>
            <w:fldChar w:fldCharType="begin"/>
          </w:r>
          <w:r>
            <w:instrText xml:space="preserve"> HYPERLINK \l "_bookmark15" </w:instrText>
          </w:r>
          <w:r>
            <w:fldChar w:fldCharType="separate"/>
          </w:r>
          <w:r>
            <w:t>第四</w:t>
          </w:r>
          <w:r>
            <w:rPr>
              <w:spacing w:val="-3"/>
            </w:rPr>
            <w:t>部</w:t>
          </w:r>
          <w:r>
            <w:t>分 附件</w:t>
          </w:r>
          <w:r>
            <w:tab/>
          </w:r>
          <w:r>
            <w:t>18</w:t>
          </w:r>
          <w:r>
            <w:fldChar w:fldCharType="end"/>
          </w:r>
        </w:p>
        <w:p>
          <w:pPr>
            <w:pStyle w:val="6"/>
            <w:tabs>
              <w:tab w:val="left" w:leader="dot" w:pos="7595"/>
            </w:tabs>
            <w:spacing w:before="266" w:after="20"/>
          </w:pPr>
          <w:r>
            <w:fldChar w:fldCharType="begin"/>
          </w:r>
          <w:r>
            <w:instrText xml:space="preserve"> HYPERLINK \l "_bookmark16" </w:instrText>
          </w:r>
          <w:r>
            <w:fldChar w:fldCharType="separate"/>
          </w:r>
          <w:r>
            <w:t>附件</w:t>
          </w:r>
          <w:r>
            <w:rPr>
              <w:spacing w:val="-73"/>
            </w:rPr>
            <w:t xml:space="preserve"> </w:t>
          </w:r>
          <w:r>
            <w:t>1</w:t>
          </w:r>
          <w:r>
            <w:tab/>
          </w:r>
          <w:r>
            <w:t>18</w:t>
          </w:r>
          <w:r>
            <w:fldChar w:fldCharType="end"/>
          </w:r>
        </w:p>
        <w:p>
          <w:pPr>
            <w:pStyle w:val="6"/>
            <w:tabs>
              <w:tab w:val="right" w:leader="dot" w:pos="7878"/>
            </w:tabs>
            <w:spacing w:before="75"/>
          </w:pPr>
          <w:bookmarkStart w:id="2" w:name="_bookmark0"/>
          <w:bookmarkEnd w:id="2"/>
          <w:r>
            <w:fldChar w:fldCharType="begin"/>
          </w:r>
          <w:r>
            <w:instrText xml:space="preserve"> HYPERLINK \l "_bookmark17" </w:instrText>
          </w:r>
          <w:r>
            <w:fldChar w:fldCharType="separate"/>
          </w:r>
          <w:r>
            <w:t>附件</w:t>
          </w:r>
          <w:r>
            <w:rPr>
              <w:spacing w:val="-73"/>
            </w:rPr>
            <w:t xml:space="preserve"> </w:t>
          </w:r>
          <w:r>
            <w:t>2</w:t>
          </w:r>
          <w:r>
            <w:tab/>
          </w:r>
          <w:r>
            <w:t>24</w:t>
          </w:r>
          <w:r>
            <w:fldChar w:fldCharType="end"/>
          </w:r>
        </w:p>
        <w:p>
          <w:pPr>
            <w:pStyle w:val="6"/>
            <w:tabs>
              <w:tab w:val="right" w:leader="dot" w:pos="8298"/>
            </w:tabs>
            <w:spacing w:before="357"/>
            <w:ind w:right="701"/>
          </w:pPr>
          <w:r>
            <w:fldChar w:fldCharType="begin"/>
          </w:r>
          <w:r>
            <w:instrText xml:space="preserve"> HYPERLINK \l "_bookmark18" </w:instrText>
          </w:r>
          <w:r>
            <w:fldChar w:fldCharType="separate"/>
          </w:r>
          <w:r>
            <w:t>第五</w:t>
          </w:r>
          <w:r>
            <w:rPr>
              <w:spacing w:val="-3"/>
            </w:rPr>
            <w:t>部</w:t>
          </w:r>
          <w:r>
            <w:t>分</w:t>
          </w:r>
          <w:r>
            <w:rPr>
              <w:spacing w:val="-1"/>
            </w:rPr>
            <w:t xml:space="preserve"> </w:t>
          </w:r>
          <w:r>
            <w:t>附表</w:t>
          </w:r>
          <w:r>
            <w:tab/>
          </w:r>
          <w:r>
            <w:t>26</w:t>
          </w:r>
          <w:r>
            <w:fldChar w:fldCharType="end"/>
          </w:r>
        </w:p>
        <w:p>
          <w:pPr>
            <w:pStyle w:val="6"/>
            <w:tabs>
              <w:tab w:val="right" w:leader="dot" w:pos="7878"/>
            </w:tabs>
          </w:pPr>
          <w:r>
            <w:t>一</w:t>
          </w:r>
          <w:r>
            <w:rPr>
              <w:spacing w:val="-3"/>
            </w:rPr>
            <w:t>、</w:t>
          </w:r>
          <w:r>
            <w:fldChar w:fldCharType="begin"/>
          </w:r>
          <w:r>
            <w:instrText xml:space="preserve"> HYPERLINK \l "_bookmark19" </w:instrText>
          </w:r>
          <w:r>
            <w:fldChar w:fldCharType="separate"/>
          </w:r>
          <w:r>
            <w:t>收</w:t>
          </w:r>
          <w:r>
            <w:rPr>
              <w:spacing w:val="-3"/>
            </w:rPr>
            <w:t>入</w:t>
          </w:r>
          <w:r>
            <w:t>支出</w:t>
          </w:r>
          <w:r>
            <w:rPr>
              <w:spacing w:val="-3"/>
            </w:rPr>
            <w:t>决</w:t>
          </w:r>
          <w:r>
            <w:t>算总表</w:t>
          </w:r>
          <w:r>
            <w:tab/>
          </w:r>
          <w:r>
            <w:t>26</w:t>
          </w:r>
          <w:r>
            <w:fldChar w:fldCharType="end"/>
          </w:r>
        </w:p>
        <w:p>
          <w:pPr>
            <w:pStyle w:val="6"/>
            <w:tabs>
              <w:tab w:val="right" w:leader="dot" w:pos="7878"/>
            </w:tabs>
          </w:pPr>
          <w:r>
            <w:t>二</w:t>
          </w:r>
          <w:r>
            <w:rPr>
              <w:spacing w:val="-3"/>
            </w:rPr>
            <w:t>、</w:t>
          </w:r>
          <w:r>
            <w:fldChar w:fldCharType="begin"/>
          </w:r>
          <w:r>
            <w:instrText xml:space="preserve"> HYPERLINK \l "_bookmark20" </w:instrText>
          </w:r>
          <w:r>
            <w:fldChar w:fldCharType="separate"/>
          </w:r>
          <w:r>
            <w:t>收</w:t>
          </w:r>
          <w:r>
            <w:rPr>
              <w:spacing w:val="-3"/>
            </w:rPr>
            <w:t>入</w:t>
          </w:r>
          <w:r>
            <w:t>总表</w:t>
          </w:r>
          <w:r>
            <w:tab/>
          </w:r>
          <w:r>
            <w:t>26</w:t>
          </w:r>
          <w:r>
            <w:fldChar w:fldCharType="end"/>
          </w:r>
        </w:p>
        <w:p>
          <w:pPr>
            <w:pStyle w:val="6"/>
            <w:tabs>
              <w:tab w:val="right" w:leader="dot" w:pos="7878"/>
            </w:tabs>
            <w:spacing w:before="266"/>
          </w:pPr>
          <w:r>
            <w:t>三</w:t>
          </w:r>
          <w:r>
            <w:rPr>
              <w:spacing w:val="-3"/>
            </w:rPr>
            <w:t>、</w:t>
          </w:r>
          <w:r>
            <w:fldChar w:fldCharType="begin"/>
          </w:r>
          <w:r>
            <w:instrText xml:space="preserve"> HYPERLINK \l "_bookmark21" </w:instrText>
          </w:r>
          <w:r>
            <w:fldChar w:fldCharType="separate"/>
          </w:r>
          <w:r>
            <w:t>支</w:t>
          </w:r>
          <w:r>
            <w:rPr>
              <w:spacing w:val="-3"/>
            </w:rPr>
            <w:t>出</w:t>
          </w:r>
          <w:r>
            <w:t>总表</w:t>
          </w:r>
          <w:r>
            <w:tab/>
          </w:r>
          <w:r>
            <w:t>26</w:t>
          </w:r>
          <w:r>
            <w:fldChar w:fldCharType="end"/>
          </w:r>
        </w:p>
        <w:p>
          <w:pPr>
            <w:pStyle w:val="6"/>
            <w:tabs>
              <w:tab w:val="right" w:leader="dot" w:pos="7878"/>
            </w:tabs>
          </w:pPr>
          <w:r>
            <w:t>四</w:t>
          </w:r>
          <w:r>
            <w:rPr>
              <w:spacing w:val="-3"/>
            </w:rPr>
            <w:t>、</w:t>
          </w:r>
          <w:r>
            <w:fldChar w:fldCharType="begin"/>
          </w:r>
          <w:r>
            <w:instrText xml:space="preserve"> HYPERLINK \l "_bookmark22" </w:instrText>
          </w:r>
          <w:r>
            <w:fldChar w:fldCharType="separate"/>
          </w:r>
          <w:r>
            <w:t>财</w:t>
          </w:r>
          <w:r>
            <w:rPr>
              <w:spacing w:val="-3"/>
            </w:rPr>
            <w:t>政</w:t>
          </w:r>
          <w:r>
            <w:t>拨款</w:t>
          </w:r>
          <w:r>
            <w:rPr>
              <w:spacing w:val="-3"/>
            </w:rPr>
            <w:t>收</w:t>
          </w:r>
          <w:r>
            <w:t>入支</w:t>
          </w:r>
          <w:r>
            <w:rPr>
              <w:spacing w:val="-3"/>
            </w:rPr>
            <w:t>出</w:t>
          </w:r>
          <w:r>
            <w:t>决算</w:t>
          </w:r>
          <w:r>
            <w:rPr>
              <w:spacing w:val="-3"/>
            </w:rPr>
            <w:t>总</w:t>
          </w:r>
          <w:r>
            <w:t>表</w:t>
          </w:r>
          <w:r>
            <w:tab/>
          </w:r>
          <w:r>
            <w:t>26</w:t>
          </w:r>
          <w:r>
            <w:fldChar w:fldCharType="end"/>
          </w:r>
        </w:p>
        <w:p>
          <w:pPr>
            <w:pStyle w:val="6"/>
            <w:tabs>
              <w:tab w:val="right" w:leader="dot" w:pos="7878"/>
            </w:tabs>
          </w:pPr>
          <w:r>
            <w:t>五</w:t>
          </w:r>
          <w:r>
            <w:rPr>
              <w:spacing w:val="-3"/>
            </w:rPr>
            <w:t>、</w:t>
          </w:r>
          <w:r>
            <w:fldChar w:fldCharType="begin"/>
          </w:r>
          <w:r>
            <w:instrText xml:space="preserve"> HYPERLINK \l "_bookmark23" </w:instrText>
          </w:r>
          <w:r>
            <w:fldChar w:fldCharType="separate"/>
          </w:r>
          <w:r>
            <w:t>财</w:t>
          </w:r>
          <w:r>
            <w:rPr>
              <w:spacing w:val="-3"/>
            </w:rPr>
            <w:t>政</w:t>
          </w:r>
          <w:r>
            <w:t>拨款</w:t>
          </w:r>
          <w:r>
            <w:rPr>
              <w:spacing w:val="-3"/>
            </w:rPr>
            <w:t>支</w:t>
          </w:r>
          <w:r>
            <w:t>出决</w:t>
          </w:r>
          <w:r>
            <w:rPr>
              <w:spacing w:val="-3"/>
            </w:rPr>
            <w:t>算</w:t>
          </w:r>
          <w:r>
            <w:t>明细</w:t>
          </w:r>
          <w:r>
            <w:rPr>
              <w:spacing w:val="-3"/>
            </w:rPr>
            <w:t>表</w:t>
          </w:r>
          <w:r>
            <w:t>（政</w:t>
          </w:r>
          <w:r>
            <w:rPr>
              <w:spacing w:val="-3"/>
            </w:rPr>
            <w:t>府</w:t>
          </w:r>
          <w:r>
            <w:t>经济</w:t>
          </w:r>
          <w:r>
            <w:rPr>
              <w:spacing w:val="-3"/>
            </w:rPr>
            <w:t>分</w:t>
          </w:r>
          <w:r>
            <w:t>类科</w:t>
          </w:r>
          <w:r>
            <w:rPr>
              <w:spacing w:val="-3"/>
            </w:rPr>
            <w:t>目</w:t>
          </w:r>
          <w:r>
            <w:t>）</w:t>
          </w:r>
          <w:r>
            <w:tab/>
          </w:r>
          <w:r>
            <w:t>26</w:t>
          </w:r>
          <w:r>
            <w:fldChar w:fldCharType="end"/>
          </w:r>
        </w:p>
        <w:p>
          <w:pPr>
            <w:pStyle w:val="6"/>
            <w:tabs>
              <w:tab w:val="right" w:leader="dot" w:pos="7878"/>
            </w:tabs>
          </w:pPr>
          <w:r>
            <w:t>六</w:t>
          </w:r>
          <w:r>
            <w:rPr>
              <w:spacing w:val="-3"/>
            </w:rPr>
            <w:t>、</w:t>
          </w:r>
          <w:r>
            <w:fldChar w:fldCharType="begin"/>
          </w:r>
          <w:r>
            <w:instrText xml:space="preserve"> HYPERLINK \l "_bookmark24" </w:instrText>
          </w:r>
          <w:r>
            <w:fldChar w:fldCharType="separate"/>
          </w:r>
          <w:r>
            <w:t>一</w:t>
          </w:r>
          <w:r>
            <w:rPr>
              <w:spacing w:val="-3"/>
            </w:rPr>
            <w:t>般</w:t>
          </w:r>
          <w:r>
            <w:t>公共</w:t>
          </w:r>
          <w:r>
            <w:rPr>
              <w:spacing w:val="-3"/>
            </w:rPr>
            <w:t>预</w:t>
          </w:r>
          <w:r>
            <w:t>算财</w:t>
          </w:r>
          <w:r>
            <w:rPr>
              <w:spacing w:val="-3"/>
            </w:rPr>
            <w:t>政</w:t>
          </w:r>
          <w:r>
            <w:t>拨款</w:t>
          </w:r>
          <w:r>
            <w:rPr>
              <w:spacing w:val="-3"/>
            </w:rPr>
            <w:t>支</w:t>
          </w:r>
          <w:r>
            <w:t>出决</w:t>
          </w:r>
          <w:r>
            <w:rPr>
              <w:spacing w:val="-3"/>
            </w:rPr>
            <w:t>算</w:t>
          </w:r>
          <w:r>
            <w:t>表</w:t>
          </w:r>
          <w:r>
            <w:tab/>
          </w:r>
          <w:r>
            <w:t>26</w:t>
          </w:r>
          <w:r>
            <w:fldChar w:fldCharType="end"/>
          </w:r>
        </w:p>
        <w:p>
          <w:pPr>
            <w:pStyle w:val="6"/>
            <w:tabs>
              <w:tab w:val="right" w:leader="dot" w:pos="7878"/>
            </w:tabs>
            <w:spacing w:before="266"/>
          </w:pPr>
          <w:r>
            <w:t>七</w:t>
          </w:r>
          <w:r>
            <w:rPr>
              <w:spacing w:val="-3"/>
            </w:rPr>
            <w:t>、</w:t>
          </w:r>
          <w:r>
            <w:fldChar w:fldCharType="begin"/>
          </w:r>
          <w:r>
            <w:instrText xml:space="preserve"> HYPERLINK \l "_bookmark25" </w:instrText>
          </w:r>
          <w:r>
            <w:fldChar w:fldCharType="separate"/>
          </w:r>
          <w:r>
            <w:t>一</w:t>
          </w:r>
          <w:r>
            <w:rPr>
              <w:spacing w:val="-3"/>
            </w:rPr>
            <w:t>般</w:t>
          </w:r>
          <w:r>
            <w:t>公共</w:t>
          </w:r>
          <w:r>
            <w:rPr>
              <w:spacing w:val="-3"/>
            </w:rPr>
            <w:t>预</w:t>
          </w:r>
          <w:r>
            <w:t>算财</w:t>
          </w:r>
          <w:r>
            <w:rPr>
              <w:spacing w:val="-3"/>
            </w:rPr>
            <w:t>政</w:t>
          </w:r>
          <w:r>
            <w:t>拨款</w:t>
          </w:r>
          <w:r>
            <w:rPr>
              <w:spacing w:val="-3"/>
            </w:rPr>
            <w:t>支</w:t>
          </w:r>
          <w:r>
            <w:t>出决</w:t>
          </w:r>
          <w:r>
            <w:rPr>
              <w:spacing w:val="-3"/>
            </w:rPr>
            <w:t>算</w:t>
          </w:r>
          <w:r>
            <w:t>明细表</w:t>
          </w:r>
          <w:r>
            <w:tab/>
          </w:r>
          <w:r>
            <w:t>26</w:t>
          </w:r>
          <w:r>
            <w:fldChar w:fldCharType="end"/>
          </w:r>
        </w:p>
        <w:p>
          <w:pPr>
            <w:pStyle w:val="6"/>
            <w:tabs>
              <w:tab w:val="right" w:leader="dot" w:pos="7878"/>
            </w:tabs>
          </w:pPr>
          <w:r>
            <w:t>八</w:t>
          </w:r>
          <w:r>
            <w:rPr>
              <w:spacing w:val="-3"/>
            </w:rPr>
            <w:t>、</w:t>
          </w:r>
          <w:r>
            <w:fldChar w:fldCharType="begin"/>
          </w:r>
          <w:r>
            <w:instrText xml:space="preserve"> HYPERLINK \l "_bookmark26" </w:instrText>
          </w:r>
          <w:r>
            <w:fldChar w:fldCharType="separate"/>
          </w:r>
          <w:r>
            <w:t>一</w:t>
          </w:r>
          <w:r>
            <w:rPr>
              <w:spacing w:val="-3"/>
            </w:rPr>
            <w:t>般</w:t>
          </w:r>
          <w:r>
            <w:t>公共</w:t>
          </w:r>
          <w:r>
            <w:rPr>
              <w:spacing w:val="-3"/>
            </w:rPr>
            <w:t>预</w:t>
          </w:r>
          <w:r>
            <w:t>算财</w:t>
          </w:r>
          <w:r>
            <w:rPr>
              <w:spacing w:val="-3"/>
            </w:rPr>
            <w:t>政</w:t>
          </w:r>
          <w:r>
            <w:t>拨款</w:t>
          </w:r>
          <w:r>
            <w:rPr>
              <w:spacing w:val="-3"/>
            </w:rPr>
            <w:t>基</w:t>
          </w:r>
          <w:r>
            <w:t>本支</w:t>
          </w:r>
          <w:r>
            <w:rPr>
              <w:spacing w:val="-3"/>
            </w:rPr>
            <w:t>出</w:t>
          </w:r>
          <w:r>
            <w:t>决算表</w:t>
          </w:r>
          <w:r>
            <w:tab/>
          </w:r>
          <w:r>
            <w:t>26</w:t>
          </w:r>
          <w:r>
            <w:fldChar w:fldCharType="end"/>
          </w:r>
        </w:p>
        <w:p>
          <w:pPr>
            <w:pStyle w:val="6"/>
            <w:tabs>
              <w:tab w:val="right" w:leader="dot" w:pos="7878"/>
            </w:tabs>
          </w:pPr>
          <w:r>
            <w:t>九</w:t>
          </w:r>
          <w:r>
            <w:rPr>
              <w:spacing w:val="-3"/>
            </w:rPr>
            <w:t>、</w:t>
          </w:r>
          <w:r>
            <w:fldChar w:fldCharType="begin"/>
          </w:r>
          <w:r>
            <w:instrText xml:space="preserve"> HYPERLINK \l "_bookmark27" </w:instrText>
          </w:r>
          <w:r>
            <w:fldChar w:fldCharType="separate"/>
          </w:r>
          <w:r>
            <w:t>一</w:t>
          </w:r>
          <w:r>
            <w:rPr>
              <w:spacing w:val="-3"/>
            </w:rPr>
            <w:t>般</w:t>
          </w:r>
          <w:r>
            <w:t>公共</w:t>
          </w:r>
          <w:r>
            <w:rPr>
              <w:spacing w:val="-3"/>
            </w:rPr>
            <w:t>预</w:t>
          </w:r>
          <w:r>
            <w:t>算财</w:t>
          </w:r>
          <w:r>
            <w:rPr>
              <w:spacing w:val="-3"/>
            </w:rPr>
            <w:t>政</w:t>
          </w:r>
          <w:r>
            <w:t>拨款</w:t>
          </w:r>
          <w:r>
            <w:rPr>
              <w:spacing w:val="-3"/>
            </w:rPr>
            <w:t>项</w:t>
          </w:r>
          <w:r>
            <w:t>目支</w:t>
          </w:r>
          <w:r>
            <w:rPr>
              <w:spacing w:val="-3"/>
            </w:rPr>
            <w:t>出</w:t>
          </w:r>
          <w:r>
            <w:t>决算表</w:t>
          </w:r>
          <w:r>
            <w:tab/>
          </w:r>
          <w:r>
            <w:t>26</w:t>
          </w:r>
          <w:r>
            <w:fldChar w:fldCharType="end"/>
          </w:r>
        </w:p>
        <w:p>
          <w:pPr>
            <w:pStyle w:val="6"/>
            <w:tabs>
              <w:tab w:val="right" w:leader="dot" w:pos="7878"/>
            </w:tabs>
          </w:pPr>
          <w:r>
            <w:t>十</w:t>
          </w:r>
          <w:r>
            <w:rPr>
              <w:spacing w:val="-3"/>
            </w:rPr>
            <w:t>、</w:t>
          </w:r>
          <w:r>
            <w:fldChar w:fldCharType="begin"/>
          </w:r>
          <w:r>
            <w:instrText xml:space="preserve"> HYPERLINK \l "_bookmark28" </w:instrText>
          </w:r>
          <w:r>
            <w:fldChar w:fldCharType="separate"/>
          </w:r>
          <w:r>
            <w:t>一</w:t>
          </w:r>
          <w:r>
            <w:rPr>
              <w:spacing w:val="-3"/>
            </w:rPr>
            <w:t>般</w:t>
          </w:r>
          <w:r>
            <w:t>公共</w:t>
          </w:r>
          <w:r>
            <w:rPr>
              <w:spacing w:val="-3"/>
            </w:rPr>
            <w:t>预</w:t>
          </w:r>
          <w:r>
            <w:t>算财</w:t>
          </w:r>
          <w:r>
            <w:rPr>
              <w:spacing w:val="-3"/>
            </w:rPr>
            <w:t>政</w:t>
          </w:r>
          <w:r>
            <w:t>拨款“三</w:t>
          </w:r>
          <w:r>
            <w:rPr>
              <w:spacing w:val="-3"/>
            </w:rPr>
            <w:t>公</w:t>
          </w:r>
          <w:r>
            <w:t>”经</w:t>
          </w:r>
          <w:r>
            <w:rPr>
              <w:spacing w:val="-3"/>
            </w:rPr>
            <w:t>费</w:t>
          </w:r>
          <w:r>
            <w:t>支出</w:t>
          </w:r>
          <w:r>
            <w:rPr>
              <w:spacing w:val="-3"/>
            </w:rPr>
            <w:t>决</w:t>
          </w:r>
          <w:r>
            <w:t>算表</w:t>
          </w:r>
          <w:r>
            <w:tab/>
          </w:r>
          <w:r>
            <w:t>26</w:t>
          </w:r>
          <w:r>
            <w:fldChar w:fldCharType="end"/>
          </w:r>
        </w:p>
        <w:p>
          <w:pPr>
            <w:pStyle w:val="6"/>
            <w:tabs>
              <w:tab w:val="right" w:leader="dot" w:pos="7878"/>
            </w:tabs>
            <w:spacing w:before="266"/>
          </w:pPr>
          <w:r>
            <w:t>十</w:t>
          </w:r>
          <w:r>
            <w:rPr>
              <w:spacing w:val="-3"/>
            </w:rPr>
            <w:t>一</w:t>
          </w:r>
          <w:r>
            <w:t>、</w:t>
          </w:r>
          <w:r>
            <w:fldChar w:fldCharType="begin"/>
          </w:r>
          <w:r>
            <w:instrText xml:space="preserve"> HYPERLINK \l "_bookmark29" </w:instrText>
          </w:r>
          <w:r>
            <w:fldChar w:fldCharType="separate"/>
          </w:r>
          <w:r>
            <w:t>政</w:t>
          </w:r>
          <w:r>
            <w:rPr>
              <w:spacing w:val="-3"/>
            </w:rPr>
            <w:t>府</w:t>
          </w:r>
          <w:r>
            <w:t>性基</w:t>
          </w:r>
          <w:r>
            <w:rPr>
              <w:spacing w:val="-3"/>
            </w:rPr>
            <w:t>金</w:t>
          </w:r>
          <w:r>
            <w:t>预算</w:t>
          </w:r>
          <w:r>
            <w:rPr>
              <w:spacing w:val="-3"/>
            </w:rPr>
            <w:t>财</w:t>
          </w:r>
          <w:r>
            <w:t>政拨</w:t>
          </w:r>
          <w:r>
            <w:rPr>
              <w:spacing w:val="-3"/>
            </w:rPr>
            <w:t>款</w:t>
          </w:r>
          <w:r>
            <w:t>收入</w:t>
          </w:r>
          <w:r>
            <w:rPr>
              <w:spacing w:val="-3"/>
            </w:rPr>
            <w:t>支</w:t>
          </w:r>
          <w:r>
            <w:t>出决</w:t>
          </w:r>
          <w:r>
            <w:rPr>
              <w:spacing w:val="-3"/>
            </w:rPr>
            <w:t>算</w:t>
          </w:r>
          <w:r>
            <w:t>表</w:t>
          </w:r>
          <w:r>
            <w:tab/>
          </w:r>
          <w:r>
            <w:t>26</w:t>
          </w:r>
          <w:r>
            <w:fldChar w:fldCharType="end"/>
          </w:r>
        </w:p>
        <w:p>
          <w:pPr>
            <w:pStyle w:val="6"/>
            <w:tabs>
              <w:tab w:val="right" w:leader="dot" w:pos="7878"/>
            </w:tabs>
          </w:pPr>
          <w:r>
            <w:t>十</w:t>
          </w:r>
          <w:r>
            <w:rPr>
              <w:spacing w:val="-3"/>
            </w:rPr>
            <w:t>二</w:t>
          </w:r>
          <w:r>
            <w:t>、</w:t>
          </w:r>
          <w:r>
            <w:fldChar w:fldCharType="begin"/>
          </w:r>
          <w:r>
            <w:instrText xml:space="preserve"> HYPERLINK \l "_bookmark30" </w:instrText>
          </w:r>
          <w:r>
            <w:fldChar w:fldCharType="separate"/>
          </w:r>
          <w:r>
            <w:t>政</w:t>
          </w:r>
          <w:r>
            <w:rPr>
              <w:spacing w:val="-3"/>
            </w:rPr>
            <w:t>府</w:t>
          </w:r>
          <w:r>
            <w:t>性基</w:t>
          </w:r>
          <w:r>
            <w:rPr>
              <w:spacing w:val="-3"/>
            </w:rPr>
            <w:t>金</w:t>
          </w:r>
          <w:r>
            <w:t>预算</w:t>
          </w:r>
          <w:r>
            <w:rPr>
              <w:spacing w:val="-3"/>
            </w:rPr>
            <w:t>财</w:t>
          </w:r>
          <w:r>
            <w:t>政拨</w:t>
          </w:r>
          <w:r>
            <w:rPr>
              <w:spacing w:val="-3"/>
            </w:rPr>
            <w:t>款</w:t>
          </w:r>
          <w:r>
            <w:t>“三</w:t>
          </w:r>
          <w:r>
            <w:rPr>
              <w:spacing w:val="-3"/>
            </w:rPr>
            <w:t>公</w:t>
          </w:r>
          <w:r>
            <w:t>”经</w:t>
          </w:r>
          <w:r>
            <w:rPr>
              <w:spacing w:val="-3"/>
            </w:rPr>
            <w:t>费</w:t>
          </w:r>
          <w:r>
            <w:t>支出</w:t>
          </w:r>
          <w:r>
            <w:rPr>
              <w:spacing w:val="-3"/>
            </w:rPr>
            <w:t>决</w:t>
          </w:r>
          <w:r>
            <w:t>算表</w:t>
          </w:r>
          <w:r>
            <w:tab/>
          </w:r>
          <w:r>
            <w:t>26</w:t>
          </w:r>
          <w:r>
            <w:fldChar w:fldCharType="end"/>
          </w:r>
        </w:p>
        <w:p>
          <w:pPr>
            <w:pStyle w:val="6"/>
            <w:tabs>
              <w:tab w:val="right" w:leader="dot" w:pos="7878"/>
            </w:tabs>
          </w:pPr>
          <w:r>
            <w:t>十</w:t>
          </w:r>
          <w:r>
            <w:rPr>
              <w:spacing w:val="-3"/>
            </w:rPr>
            <w:t>三</w:t>
          </w:r>
          <w:r>
            <w:t>、</w:t>
          </w:r>
          <w:r>
            <w:fldChar w:fldCharType="begin"/>
          </w:r>
          <w:r>
            <w:instrText xml:space="preserve"> HYPERLINK \l "_bookmark31" </w:instrText>
          </w:r>
          <w:r>
            <w:fldChar w:fldCharType="separate"/>
          </w:r>
          <w:r>
            <w:t>国</w:t>
          </w:r>
          <w:r>
            <w:rPr>
              <w:spacing w:val="-3"/>
            </w:rPr>
            <w:t>有</w:t>
          </w:r>
          <w:r>
            <w:t>资本</w:t>
          </w:r>
          <w:r>
            <w:rPr>
              <w:spacing w:val="-3"/>
            </w:rPr>
            <w:t>经</w:t>
          </w:r>
          <w:r>
            <w:t>营预</w:t>
          </w:r>
          <w:r>
            <w:rPr>
              <w:spacing w:val="-3"/>
            </w:rPr>
            <w:t>算</w:t>
          </w:r>
          <w:r>
            <w:t>支出</w:t>
          </w:r>
          <w:r>
            <w:rPr>
              <w:spacing w:val="-3"/>
            </w:rPr>
            <w:t>决</w:t>
          </w:r>
          <w:r>
            <w:t>算表</w:t>
          </w:r>
          <w:r>
            <w:tab/>
          </w:r>
          <w:r>
            <w:t>26</w:t>
          </w:r>
          <w:r>
            <w:fldChar w:fldCharType="end"/>
          </w:r>
        </w:p>
      </w:sdtContent>
    </w:sdt>
    <w:p>
      <w:pPr>
        <w:spacing w:after="0"/>
        <w:sectPr>
          <w:type w:val="continuous"/>
          <w:pgSz w:w="11910" w:h="16840"/>
          <w:pgMar w:top="1500" w:right="1100" w:bottom="1630" w:left="1100" w:header="720" w:footer="720" w:gutter="0"/>
          <w:cols w:space="720" w:num="1"/>
        </w:sectPr>
      </w:pPr>
    </w:p>
    <w:p>
      <w:pPr>
        <w:pStyle w:val="5"/>
        <w:ind w:left="0"/>
        <w:rPr>
          <w:sz w:val="44"/>
        </w:rPr>
      </w:pPr>
    </w:p>
    <w:p>
      <w:pPr>
        <w:pStyle w:val="2"/>
        <w:spacing w:before="334"/>
      </w:pPr>
      <w:bookmarkStart w:id="3" w:name="第一部分 部门概况"/>
      <w:bookmarkEnd w:id="3"/>
      <w:r>
        <w:t>第一部分 部门概况</w:t>
      </w:r>
    </w:p>
    <w:p>
      <w:pPr>
        <w:pStyle w:val="5"/>
        <w:ind w:left="0"/>
        <w:rPr>
          <w:rFonts w:ascii="黑体"/>
          <w:sz w:val="44"/>
        </w:rPr>
      </w:pPr>
    </w:p>
    <w:p>
      <w:pPr>
        <w:pStyle w:val="5"/>
        <w:ind w:left="0"/>
        <w:rPr>
          <w:rFonts w:ascii="黑体"/>
          <w:sz w:val="44"/>
        </w:rPr>
      </w:pPr>
    </w:p>
    <w:p>
      <w:pPr>
        <w:pStyle w:val="5"/>
        <w:spacing w:before="289"/>
        <w:ind w:left="1340"/>
        <w:rPr>
          <w:rFonts w:hint="eastAsia" w:ascii="黑体" w:eastAsia="黑体"/>
        </w:rPr>
      </w:pPr>
      <w:bookmarkStart w:id="4" w:name="_bookmark1"/>
      <w:bookmarkEnd w:id="4"/>
      <w:bookmarkStart w:id="5" w:name="一、基本职能及主要工作"/>
      <w:bookmarkEnd w:id="5"/>
      <w:r>
        <w:rPr>
          <w:rFonts w:hint="eastAsia" w:ascii="黑体" w:eastAsia="黑体"/>
        </w:rPr>
        <w:t>一、基本职能及主要工作</w:t>
      </w:r>
    </w:p>
    <w:p>
      <w:pPr>
        <w:pStyle w:val="5"/>
        <w:spacing w:before="3"/>
        <w:ind w:left="0"/>
        <w:rPr>
          <w:rFonts w:ascii="黑体"/>
          <w:sz w:val="41"/>
        </w:rPr>
      </w:pPr>
    </w:p>
    <w:p>
      <w:pPr>
        <w:pStyle w:val="4"/>
        <w:spacing w:before="0"/>
        <w:ind w:left="1372"/>
      </w:pPr>
      <w:bookmarkStart w:id="6" w:name="（一）主要职能"/>
      <w:bookmarkEnd w:id="6"/>
      <w:r>
        <w:t>（一）主要职能</w:t>
      </w:r>
    </w:p>
    <w:p>
      <w:pPr>
        <w:pStyle w:val="5"/>
        <w:spacing w:before="284" w:line="350" w:lineRule="auto"/>
        <w:ind w:right="539" w:firstLine="672"/>
        <w:jc w:val="both"/>
      </w:pPr>
      <w:bookmarkStart w:id="7" w:name="政协四川省广元市昭化区委员会办公室是政协四川省广元市昭化区委员会的工作机构，承担"/>
      <w:bookmarkEnd w:id="7"/>
      <w:r>
        <w:rPr>
          <w:spacing w:val="11"/>
        </w:rPr>
        <w:t>政协四川省广元市昭化区委员会办公室是政协四川省</w:t>
      </w:r>
      <w:r>
        <w:t>广元市昭化区委员会的工作机构，承担为区政协履行政治协</w:t>
      </w:r>
      <w:r>
        <w:rPr>
          <w:spacing w:val="-4"/>
        </w:rPr>
        <w:t>商、民主监督、参政议政职能服务的各项工作。主要负责政协四川省广元市昭化区委员会全体会议、常务委员会会议、</w:t>
      </w:r>
      <w:r>
        <w:rPr>
          <w:spacing w:val="-6"/>
        </w:rPr>
        <w:t>主席会议和其他重要会议的会务工作；组织实施区委、区政</w:t>
      </w:r>
      <w:r>
        <w:rPr>
          <w:spacing w:val="-4"/>
        </w:rPr>
        <w:t>府、区政协年度协商计划和政协四川省广元市昭化区委员会</w:t>
      </w:r>
      <w:r>
        <w:rPr>
          <w:spacing w:val="-5"/>
        </w:rPr>
        <w:t>全体会议、常务委员会会议、主席会议决议决定；负责委员</w:t>
      </w:r>
      <w:r>
        <w:rPr>
          <w:spacing w:val="-4"/>
        </w:rPr>
        <w:t>视察、调研、座谈、研讨、反映社情民意等日常活动以及专</w:t>
      </w:r>
      <w:r>
        <w:rPr>
          <w:spacing w:val="-5"/>
        </w:rPr>
        <w:t xml:space="preserve">门委员会履行职能的服务保障和具体组织工作；负责政协工作情况的对内对外宣传；收集反映各族各界的意见和建议； </w:t>
      </w:r>
      <w:r>
        <w:rPr>
          <w:spacing w:val="-6"/>
        </w:rPr>
        <w:t>负责区政协委员提案办理的协调和服务工作；负责区政协开展活动的后勤保障工作、经费管理、基本建设等工作；负责</w:t>
      </w:r>
      <w:r>
        <w:rPr>
          <w:spacing w:val="-7"/>
        </w:rPr>
        <w:t>权限范围内的人事任免和机构调整；负责区政协委员和政协</w:t>
      </w:r>
      <w:r>
        <w:rPr>
          <w:spacing w:val="-16"/>
          <w:w w:val="95"/>
        </w:rPr>
        <w:t>干部培训工作；承担区委、区政府、区政协交办的其他事项。</w:t>
      </w:r>
    </w:p>
    <w:p>
      <w:pPr>
        <w:pStyle w:val="5"/>
        <w:spacing w:before="113"/>
        <w:ind w:left="1372"/>
        <w:jc w:val="both"/>
      </w:pPr>
      <w:bookmarkStart w:id="8" w:name="（二）2018年重点工作完成情况。"/>
      <w:bookmarkEnd w:id="8"/>
      <w:r>
        <w:t>（二）2018 年重点工作完成情况。</w:t>
      </w:r>
    </w:p>
    <w:p>
      <w:pPr>
        <w:spacing w:after="0"/>
        <w:jc w:val="both"/>
        <w:sectPr>
          <w:pgSz w:w="11910" w:h="16840"/>
          <w:pgMar w:top="1580" w:right="1100" w:bottom="1380" w:left="1100" w:header="0" w:footer="1196" w:gutter="0"/>
          <w:cols w:space="720" w:num="1"/>
        </w:sectPr>
      </w:pPr>
    </w:p>
    <w:p>
      <w:pPr>
        <w:pStyle w:val="10"/>
        <w:numPr>
          <w:ilvl w:val="0"/>
          <w:numId w:val="1"/>
        </w:numPr>
        <w:tabs>
          <w:tab w:val="left" w:pos="1694"/>
        </w:tabs>
        <w:spacing w:before="43" w:after="0" w:line="350" w:lineRule="auto"/>
        <w:ind w:left="700" w:right="539" w:firstLine="672"/>
        <w:jc w:val="both"/>
        <w:rPr>
          <w:sz w:val="32"/>
        </w:rPr>
      </w:pPr>
      <w:bookmarkStart w:id="9" w:name="1.政治协商务实开展。按照区委常委会审定的年度协商计划，组织召开全委会议同，对“"/>
      <w:bookmarkEnd w:id="9"/>
      <w:bookmarkStart w:id="10" w:name="1.政治协商务实开展。按照区委常委会审定的年度协商计划，组织召开全委会议同，对“"/>
      <w:bookmarkEnd w:id="10"/>
      <w:r>
        <w:rPr>
          <w:spacing w:val="-6"/>
          <w:sz w:val="32"/>
        </w:rPr>
        <w:t>政治协商务实开展。按照区委常委会审定的年度协商</w:t>
      </w:r>
      <w:r>
        <w:rPr>
          <w:spacing w:val="-4"/>
          <w:sz w:val="32"/>
        </w:rPr>
        <w:t>计划，组织召开全委会议同，对“一府两院”及财政、计划</w:t>
      </w:r>
      <w:r>
        <w:rPr>
          <w:spacing w:val="-10"/>
          <w:sz w:val="32"/>
        </w:rPr>
        <w:t>工作进行了整体协商。召开常委会</w:t>
      </w:r>
      <w:r>
        <w:rPr>
          <w:rFonts w:hint="eastAsia"/>
          <w:spacing w:val="-10"/>
          <w:sz w:val="32"/>
          <w:lang w:val="en-US" w:eastAsia="zh-CN"/>
        </w:rPr>
        <w:t>会</w:t>
      </w:r>
      <w:r>
        <w:rPr>
          <w:spacing w:val="-10"/>
          <w:sz w:val="32"/>
        </w:rPr>
        <w:t xml:space="preserve">议 </w:t>
      </w:r>
      <w:r>
        <w:rPr>
          <w:sz w:val="32"/>
        </w:rPr>
        <w:t>4</w:t>
      </w:r>
      <w:r>
        <w:rPr>
          <w:spacing w:val="-24"/>
          <w:sz w:val="32"/>
        </w:rPr>
        <w:t xml:space="preserve"> 次，主席会议 </w:t>
      </w:r>
      <w:r>
        <w:rPr>
          <w:sz w:val="32"/>
        </w:rPr>
        <w:t>10</w:t>
      </w:r>
      <w:r>
        <w:rPr>
          <w:spacing w:val="-28"/>
          <w:sz w:val="32"/>
        </w:rPr>
        <w:t xml:space="preserve"> 次，</w:t>
      </w:r>
    </w:p>
    <w:p>
      <w:pPr>
        <w:pStyle w:val="5"/>
        <w:spacing w:before="4" w:line="350" w:lineRule="auto"/>
        <w:ind w:right="697"/>
        <w:jc w:val="both"/>
      </w:pPr>
      <w:r>
        <w:rPr>
          <w:spacing w:val="-7"/>
        </w:rPr>
        <w:t xml:space="preserve">专题协商、对口协商、界别协商会会议 </w:t>
      </w:r>
      <w:r>
        <w:t>9</w:t>
      </w:r>
      <w:r>
        <w:rPr>
          <w:spacing w:val="-13"/>
        </w:rPr>
        <w:t xml:space="preserve"> 次，聚焦经济建设</w:t>
      </w:r>
      <w:r>
        <w:rPr>
          <w:spacing w:val="-9"/>
          <w:w w:val="95"/>
        </w:rPr>
        <w:t xml:space="preserve">“三大主战场”协商研究方案，着力“三大攻坚战”建言献 </w:t>
      </w:r>
      <w:r>
        <w:rPr>
          <w:spacing w:val="-3"/>
          <w:w w:val="95"/>
        </w:rPr>
        <w:t>策，围绕“三大重点区域”和中国西部</w:t>
      </w:r>
      <w:r>
        <w:rPr>
          <w:w w:val="95"/>
        </w:rPr>
        <w:t>（广元</w:t>
      </w:r>
      <w:r>
        <w:rPr>
          <w:spacing w:val="-3"/>
          <w:w w:val="95"/>
        </w:rPr>
        <w:t>）</w:t>
      </w:r>
      <w:r>
        <w:rPr>
          <w:w w:val="95"/>
        </w:rPr>
        <w:t xml:space="preserve">家居产业城 </w:t>
      </w:r>
      <w:r>
        <w:t>建议献计出力。</w:t>
      </w:r>
    </w:p>
    <w:p>
      <w:pPr>
        <w:pStyle w:val="10"/>
        <w:numPr>
          <w:ilvl w:val="0"/>
          <w:numId w:val="1"/>
        </w:numPr>
        <w:tabs>
          <w:tab w:val="left" w:pos="1694"/>
        </w:tabs>
        <w:spacing w:before="99" w:after="0" w:line="240" w:lineRule="auto"/>
        <w:ind w:left="1693" w:right="0" w:hanging="322"/>
        <w:jc w:val="both"/>
        <w:rPr>
          <w:sz w:val="32"/>
        </w:rPr>
      </w:pPr>
      <w:bookmarkStart w:id="11" w:name="2.参政议政成果丰硕。一年来，共确立调研课题33个，开展专题调研42次，专题视察"/>
      <w:bookmarkEnd w:id="11"/>
      <w:bookmarkStart w:id="12" w:name="2.参政议政成果丰硕。一年来，共确立调研课题33个，开展专题调研42次，专题视察"/>
      <w:bookmarkEnd w:id="12"/>
      <w:r>
        <w:rPr>
          <w:spacing w:val="-9"/>
          <w:sz w:val="32"/>
        </w:rPr>
        <w:t xml:space="preserve">参政议政成果丰硕。一年来，共确立调研课题 </w:t>
      </w:r>
      <w:r>
        <w:rPr>
          <w:sz w:val="32"/>
        </w:rPr>
        <w:t>33</w:t>
      </w:r>
      <w:r>
        <w:rPr>
          <w:spacing w:val="-28"/>
          <w:sz w:val="32"/>
        </w:rPr>
        <w:t xml:space="preserve"> 个，</w:t>
      </w:r>
    </w:p>
    <w:p>
      <w:pPr>
        <w:pStyle w:val="5"/>
        <w:spacing w:before="190" w:line="350" w:lineRule="auto"/>
        <w:ind w:right="697"/>
        <w:jc w:val="both"/>
      </w:pPr>
      <w:r>
        <w:rPr>
          <w:spacing w:val="-13"/>
        </w:rPr>
        <w:t xml:space="preserve">开展专题调研 </w:t>
      </w:r>
      <w:r>
        <w:t>42</w:t>
      </w:r>
      <w:r>
        <w:rPr>
          <w:spacing w:val="-16"/>
        </w:rPr>
        <w:t xml:space="preserve"> 次，专题视察、提案督办 </w:t>
      </w:r>
      <w:r>
        <w:t>34</w:t>
      </w:r>
      <w:r>
        <w:rPr>
          <w:spacing w:val="-13"/>
        </w:rPr>
        <w:t xml:space="preserve"> 次，形成《关</w:t>
      </w:r>
      <w:r>
        <w:rPr>
          <w:spacing w:val="-12"/>
          <w:w w:val="95"/>
        </w:rPr>
        <w:t>于中国西部</w:t>
      </w:r>
      <w:r>
        <w:rPr>
          <w:w w:val="95"/>
        </w:rPr>
        <w:t>（广元</w:t>
      </w:r>
      <w:r>
        <w:rPr>
          <w:spacing w:val="-7"/>
          <w:w w:val="95"/>
        </w:rPr>
        <w:t>）</w:t>
      </w:r>
      <w:r>
        <w:rPr>
          <w:w w:val="95"/>
        </w:rPr>
        <w:t xml:space="preserve">绿色家居产业城规划与建设情况的调查 </w:t>
      </w:r>
      <w:r>
        <w:rPr>
          <w:spacing w:val="-4"/>
        </w:rPr>
        <w:t xml:space="preserve">与建议》等调研报告 </w:t>
      </w:r>
      <w:r>
        <w:t>41</w:t>
      </w:r>
      <w:r>
        <w:rPr>
          <w:spacing w:val="-4"/>
        </w:rPr>
        <w:t xml:space="preserve"> 篇、《关于盘活广元市昭化区白龙</w:t>
      </w:r>
    </w:p>
    <w:p>
      <w:pPr>
        <w:pStyle w:val="5"/>
        <w:spacing w:before="4" w:line="350" w:lineRule="auto"/>
        <w:ind w:right="539"/>
      </w:pPr>
      <w:r>
        <w:rPr>
          <w:spacing w:val="-11"/>
        </w:rPr>
        <w:t xml:space="preserve">酒厂产销能力提升经济运行质量的建议》等建议案 </w:t>
      </w:r>
      <w:r>
        <w:t>2</w:t>
      </w:r>
      <w:r>
        <w:rPr>
          <w:spacing w:val="-61"/>
        </w:rPr>
        <w:t xml:space="preserve"> 篇、《关</w:t>
      </w:r>
      <w:r>
        <w:rPr>
          <w:spacing w:val="-5"/>
        </w:rPr>
        <w:t>于亭子湖生态保护和开发工作的视察报告》</w:t>
      </w:r>
      <w:r>
        <w:t>1</w:t>
      </w:r>
      <w:r>
        <w:rPr>
          <w:spacing w:val="-12"/>
        </w:rPr>
        <w:t xml:space="preserve"> 篇、《关于建</w:t>
      </w:r>
      <w:r>
        <w:rPr>
          <w:spacing w:val="-16"/>
        </w:rPr>
        <w:t xml:space="preserve">设幸福广场的建议》等社情民意信息专报 </w:t>
      </w:r>
      <w:r>
        <w:t>28</w:t>
      </w:r>
      <w:r>
        <w:rPr>
          <w:spacing w:val="-25"/>
        </w:rPr>
        <w:t xml:space="preserve"> 件，先后有 </w:t>
      </w:r>
      <w:r>
        <w:t xml:space="preserve">68 </w:t>
      </w:r>
      <w:r>
        <w:rPr>
          <w:spacing w:val="-2"/>
        </w:rPr>
        <w:t>名政协委员通过大会、专题协商会、界别协商会等各种层次</w:t>
      </w:r>
      <w:r>
        <w:rPr>
          <w:spacing w:val="-3"/>
        </w:rPr>
        <w:t>会议进行协商交流发言。区委区政府及有关部门高度重视区</w:t>
      </w:r>
      <w:r>
        <w:rPr>
          <w:spacing w:val="-4"/>
        </w:rPr>
        <w:t>政协及委员的意见和建议，《关于进一步推进休闲农业发展</w:t>
      </w:r>
      <w:r>
        <w:rPr>
          <w:spacing w:val="-15"/>
          <w:w w:val="95"/>
        </w:rPr>
        <w:t xml:space="preserve">的建议》《关于发展农业主导产业巩固脱贫成果的调研报告》 </w:t>
      </w:r>
      <w:r>
        <w:rPr>
          <w:spacing w:val="-49"/>
        </w:rPr>
        <w:t xml:space="preserve">等 </w:t>
      </w:r>
      <w:r>
        <w:t>8</w:t>
      </w:r>
      <w:r>
        <w:rPr>
          <w:spacing w:val="-14"/>
        </w:rPr>
        <w:t xml:space="preserve"> 篇调研报告和《王文公路亟待加强培修与管护》等 </w:t>
      </w:r>
      <w:r>
        <w:t>9</w:t>
      </w:r>
      <w:r>
        <w:rPr>
          <w:spacing w:val="-41"/>
        </w:rPr>
        <w:t xml:space="preserve"> 件</w:t>
      </w:r>
      <w:r>
        <w:rPr>
          <w:spacing w:val="-34"/>
        </w:rPr>
        <w:t>社情民意信息得到区委区政府主要领导批示，大部分意见建</w:t>
      </w:r>
      <w:r>
        <w:rPr>
          <w:spacing w:val="-18"/>
        </w:rPr>
        <w:t>议被党政决策吸收，既有力推动了相关工作开展，又极大促进了区政协各参加单位和全体政协委员的参政热情，使民主政治的良好氛围更加浓厚。</w:t>
      </w:r>
    </w:p>
    <w:p>
      <w:pPr>
        <w:spacing w:after="0" w:line="350" w:lineRule="auto"/>
        <w:sectPr>
          <w:pgSz w:w="11910" w:h="16840"/>
          <w:pgMar w:top="1540" w:right="1100" w:bottom="1380" w:left="1100" w:header="0" w:footer="1196" w:gutter="0"/>
          <w:cols w:space="720" w:num="1"/>
        </w:sectPr>
      </w:pPr>
    </w:p>
    <w:p>
      <w:pPr>
        <w:pStyle w:val="10"/>
        <w:numPr>
          <w:ilvl w:val="0"/>
          <w:numId w:val="1"/>
        </w:numPr>
        <w:tabs>
          <w:tab w:val="left" w:pos="1694"/>
        </w:tabs>
        <w:spacing w:before="43" w:after="0" w:line="350" w:lineRule="auto"/>
        <w:ind w:left="700" w:right="697" w:firstLine="672"/>
        <w:jc w:val="both"/>
        <w:rPr>
          <w:sz w:val="32"/>
        </w:rPr>
      </w:pPr>
      <w:bookmarkStart w:id="13" w:name="3.民主监督广泛有力。今年来，区委常委会4次研究政协民主监督工作，审定通过了《关"/>
      <w:bookmarkEnd w:id="13"/>
      <w:bookmarkStart w:id="14" w:name="3.民主监督广泛有力。今年来，区委常委会4次研究政协民主监督工作，审定通过了《关"/>
      <w:bookmarkEnd w:id="14"/>
      <w:r>
        <w:rPr>
          <w:spacing w:val="-10"/>
          <w:sz w:val="32"/>
        </w:rPr>
        <w:t xml:space="preserve">民主监督广泛有力。今年来，区委常委会 </w:t>
      </w:r>
      <w:r>
        <w:rPr>
          <w:sz w:val="32"/>
        </w:rPr>
        <w:t>4</w:t>
      </w:r>
      <w:r>
        <w:rPr>
          <w:spacing w:val="-18"/>
          <w:sz w:val="32"/>
        </w:rPr>
        <w:t xml:space="preserve"> 次研究政</w:t>
      </w:r>
      <w:r>
        <w:rPr>
          <w:spacing w:val="-13"/>
          <w:sz w:val="32"/>
        </w:rPr>
        <w:t>协民主监督工作，审定通过了《关于加强和改进人民政协民</w:t>
      </w:r>
      <w:r>
        <w:rPr>
          <w:spacing w:val="-12"/>
          <w:w w:val="95"/>
          <w:sz w:val="32"/>
        </w:rPr>
        <w:t xml:space="preserve">主监督工作的实施意见》，区人民政府、区纪委监委、区人 </w:t>
      </w:r>
      <w:r>
        <w:rPr>
          <w:spacing w:val="-1"/>
          <w:sz w:val="32"/>
        </w:rPr>
        <w:t xml:space="preserve">民法院、区人民检察院和区级相关部门先后 </w:t>
      </w:r>
      <w:r>
        <w:rPr>
          <w:sz w:val="32"/>
        </w:rPr>
        <w:t>21</w:t>
      </w:r>
      <w:r>
        <w:rPr>
          <w:spacing w:val="-11"/>
          <w:sz w:val="32"/>
        </w:rPr>
        <w:t xml:space="preserve"> 次向政协常</w:t>
      </w:r>
      <w:r>
        <w:rPr>
          <w:spacing w:val="-6"/>
          <w:sz w:val="32"/>
        </w:rPr>
        <w:t>委会、主席会议通报工作情况，为政协常委和政协委员知情</w:t>
      </w:r>
      <w:r>
        <w:rPr>
          <w:spacing w:val="-7"/>
          <w:sz w:val="32"/>
        </w:rPr>
        <w:t>明政提供有益帮助。区政协紧紧围绕区委区政府重大决策部</w:t>
      </w:r>
      <w:r>
        <w:rPr>
          <w:spacing w:val="-4"/>
          <w:w w:val="95"/>
          <w:sz w:val="32"/>
        </w:rPr>
        <w:t xml:space="preserve">署，坚持区委区政府中心工作推进到哪里，政协民主监督就 </w:t>
      </w:r>
      <w:r>
        <w:rPr>
          <w:spacing w:val="-6"/>
          <w:sz w:val="32"/>
        </w:rPr>
        <w:t>跟进到哪里。今年来，区政协民主监督工作聚焦区委七届五</w:t>
      </w:r>
      <w:r>
        <w:rPr>
          <w:spacing w:val="-5"/>
          <w:sz w:val="32"/>
        </w:rPr>
        <w:t>次、六次全会确定的目标，整合各专委会、各界别力量集中发力，紧扣高质量脱贫摘帽、项目投资快速增长、产业发展</w:t>
      </w:r>
      <w:r>
        <w:rPr>
          <w:spacing w:val="-6"/>
          <w:sz w:val="32"/>
        </w:rPr>
        <w:t>提质增效等中心任务和乡村振兴战略、供给侧结构性改革等</w:t>
      </w:r>
      <w:r>
        <w:rPr>
          <w:spacing w:val="-7"/>
          <w:sz w:val="32"/>
        </w:rPr>
        <w:t>重大决策部署的贯彻落实，组织开展视察、调研走访等民主</w:t>
      </w:r>
      <w:r>
        <w:rPr>
          <w:spacing w:val="-6"/>
          <w:sz w:val="32"/>
        </w:rPr>
        <w:t>监督活动，有力促进了区委区政府一系列重大决策部署的落实落地。</w:t>
      </w:r>
    </w:p>
    <w:p>
      <w:pPr>
        <w:pStyle w:val="5"/>
        <w:spacing w:before="226"/>
        <w:ind w:left="1340"/>
        <w:rPr>
          <w:rFonts w:hint="eastAsia" w:ascii="黑体" w:eastAsia="黑体"/>
        </w:rPr>
      </w:pPr>
      <w:bookmarkStart w:id="15" w:name="_bookmark2"/>
      <w:bookmarkEnd w:id="15"/>
      <w:bookmarkStart w:id="16" w:name="二、机构设置"/>
      <w:bookmarkEnd w:id="16"/>
      <w:r>
        <w:rPr>
          <w:rFonts w:hint="eastAsia" w:ascii="黑体" w:eastAsia="黑体"/>
        </w:rPr>
        <w:t>二、机构设置</w:t>
      </w:r>
    </w:p>
    <w:p>
      <w:pPr>
        <w:pStyle w:val="5"/>
        <w:spacing w:before="1"/>
        <w:ind w:left="0"/>
        <w:rPr>
          <w:rFonts w:ascii="黑体"/>
          <w:sz w:val="37"/>
        </w:rPr>
      </w:pPr>
    </w:p>
    <w:p>
      <w:pPr>
        <w:pStyle w:val="5"/>
        <w:spacing w:line="364" w:lineRule="auto"/>
        <w:ind w:right="539" w:firstLine="640"/>
      </w:pPr>
      <w:bookmarkStart w:id="17" w:name="内部设置为六委一室,即办公室、农业委、提案法制委、人口环境资源委、经济委、科教文"/>
      <w:bookmarkEnd w:id="17"/>
      <w:r>
        <w:rPr>
          <w:spacing w:val="-2"/>
          <w:w w:val="95"/>
        </w:rPr>
        <w:t xml:space="preserve">内部设置为六委一室,即办公室、农业委、提案法制委、 </w:t>
      </w:r>
      <w:r>
        <w:rPr>
          <w:spacing w:val="-5"/>
        </w:rPr>
        <w:t>人口环境资源委、经济委、科教文卫体委、学习文史与社会联谊委。无下属二级单位。</w:t>
      </w:r>
    </w:p>
    <w:p>
      <w:pPr>
        <w:spacing w:after="0" w:line="364" w:lineRule="auto"/>
        <w:sectPr>
          <w:pgSz w:w="11910" w:h="16840"/>
          <w:pgMar w:top="1540" w:right="1100" w:bottom="1380" w:left="1100" w:header="0" w:footer="1196" w:gutter="0"/>
          <w:cols w:space="720" w:num="1"/>
        </w:sectPr>
      </w:pPr>
    </w:p>
    <w:p>
      <w:pPr>
        <w:pStyle w:val="5"/>
        <w:ind w:left="0"/>
        <w:rPr>
          <w:sz w:val="20"/>
        </w:rPr>
      </w:pPr>
    </w:p>
    <w:p>
      <w:pPr>
        <w:pStyle w:val="5"/>
        <w:ind w:left="0"/>
        <w:rPr>
          <w:sz w:val="20"/>
        </w:rPr>
      </w:pPr>
    </w:p>
    <w:p>
      <w:pPr>
        <w:pStyle w:val="5"/>
        <w:spacing w:before="2"/>
        <w:ind w:left="0"/>
        <w:rPr>
          <w:sz w:val="27"/>
        </w:rPr>
      </w:pPr>
    </w:p>
    <w:p>
      <w:pPr>
        <w:pStyle w:val="2"/>
        <w:ind w:left="1196" w:right="0"/>
        <w:jc w:val="left"/>
      </w:pPr>
      <w:bookmarkStart w:id="18" w:name="_bookmark3"/>
      <w:bookmarkEnd w:id="18"/>
      <w:bookmarkStart w:id="19" w:name="第二部分 2018年度部门决算情况说明"/>
      <w:bookmarkEnd w:id="19"/>
      <w:r>
        <w:t>第二部分 2018 年度部门决算情况说明</w:t>
      </w:r>
    </w:p>
    <w:p>
      <w:pPr>
        <w:pStyle w:val="5"/>
        <w:ind w:left="0"/>
        <w:rPr>
          <w:rFonts w:ascii="黑体"/>
          <w:sz w:val="44"/>
        </w:rPr>
      </w:pPr>
    </w:p>
    <w:p>
      <w:pPr>
        <w:pStyle w:val="5"/>
        <w:spacing w:before="335"/>
        <w:ind w:left="1340"/>
        <w:rPr>
          <w:rFonts w:hint="eastAsia" w:ascii="黑体" w:eastAsia="黑体"/>
        </w:rPr>
      </w:pPr>
      <w:r>
        <w:rPr>
          <w:rFonts w:hint="eastAsia" w:ascii="黑体" w:eastAsia="黑体"/>
        </w:rPr>
        <w:t>一、 收入支出决算总体情况说明</w:t>
      </w:r>
    </w:p>
    <w:p>
      <w:pPr>
        <w:pStyle w:val="5"/>
        <w:spacing w:before="190"/>
        <w:ind w:left="1340"/>
      </w:pPr>
      <w:r>
        <w:t>2018 年度收、支总计 653.24 万元（其中上年结转 2.71</w:t>
      </w:r>
    </w:p>
    <w:p>
      <w:pPr>
        <w:pStyle w:val="5"/>
        <w:spacing w:before="190" w:line="350" w:lineRule="auto"/>
        <w:ind w:right="697"/>
      </w:pPr>
      <w:r>
        <w:t>万元</w:t>
      </w:r>
      <w:r>
        <w:rPr>
          <w:spacing w:val="-3"/>
        </w:rPr>
        <w:t>）</w:t>
      </w:r>
      <w:r>
        <w:rPr>
          <w:spacing w:val="-30"/>
        </w:rPr>
        <w:t xml:space="preserve">。与 </w:t>
      </w:r>
      <w:r>
        <w:t>2017</w:t>
      </w:r>
      <w:r>
        <w:rPr>
          <w:spacing w:val="-16"/>
        </w:rPr>
        <w:t xml:space="preserve"> 年相比，收、支总计各减少 </w:t>
      </w:r>
      <w:r>
        <w:t>62.4</w:t>
      </w:r>
      <w:r>
        <w:rPr>
          <w:spacing w:val="-18"/>
        </w:rPr>
        <w:t xml:space="preserve"> 万元，分</w:t>
      </w:r>
      <w:r>
        <w:rPr>
          <w:spacing w:val="-34"/>
        </w:rPr>
        <w:t xml:space="preserve">别下降 </w:t>
      </w:r>
      <w:r>
        <w:t>9.55%。主要变动原因是人员经费减少。</w:t>
      </w:r>
    </w:p>
    <w:p>
      <w:pPr>
        <w:pStyle w:val="5"/>
        <w:ind w:left="0"/>
        <w:rPr>
          <w:sz w:val="47"/>
        </w:rPr>
      </w:pPr>
    </w:p>
    <w:p>
      <w:pPr>
        <w:pStyle w:val="5"/>
        <w:ind w:left="1340"/>
        <w:rPr>
          <w:rFonts w:hint="eastAsia" w:ascii="黑体" w:eastAsia="黑体"/>
        </w:rPr>
      </w:pPr>
      <w:r>
        <w:rPr>
          <w:rFonts w:hint="eastAsia" w:ascii="黑体" w:eastAsia="黑体"/>
        </w:rPr>
        <w:t>二、 收入决算情况说明</w:t>
      </w:r>
    </w:p>
    <w:p>
      <w:pPr>
        <w:pStyle w:val="5"/>
        <w:spacing w:before="190"/>
        <w:ind w:left="1340"/>
      </w:pPr>
      <w:bookmarkStart w:id="20" w:name="2018年本年收入合计653.24万元（其中上年结转2.71万元），其中：一般公"/>
      <w:bookmarkEnd w:id="20"/>
      <w:r>
        <w:t>2018 年本年收入合计 653.24 万元（其中上年结转 2.71</w:t>
      </w:r>
    </w:p>
    <w:p>
      <w:pPr>
        <w:pStyle w:val="5"/>
        <w:spacing w:before="190" w:line="350" w:lineRule="auto"/>
        <w:ind w:right="655"/>
      </w:pPr>
      <w:r>
        <w:t>万元），其中：一般公共预算财政拨款收入 653.24 万元， 占 100%。</w:t>
      </w:r>
    </w:p>
    <w:p>
      <w:pPr>
        <w:pStyle w:val="5"/>
        <w:spacing w:before="1"/>
        <w:ind w:left="0"/>
        <w:rPr>
          <w:sz w:val="47"/>
        </w:rPr>
      </w:pPr>
    </w:p>
    <w:p>
      <w:pPr>
        <w:pStyle w:val="5"/>
        <w:ind w:left="1340"/>
        <w:rPr>
          <w:rFonts w:hint="eastAsia" w:ascii="黑体" w:eastAsia="黑体"/>
        </w:rPr>
      </w:pPr>
      <w:r>
        <w:rPr>
          <w:rFonts w:hint="eastAsia" w:ascii="黑体" w:eastAsia="黑体"/>
        </w:rPr>
        <w:t>三、 支出决算情况说明</w:t>
      </w:r>
    </w:p>
    <w:p>
      <w:pPr>
        <w:pStyle w:val="5"/>
        <w:spacing w:before="190" w:line="350" w:lineRule="auto"/>
        <w:ind w:right="698" w:firstLine="640"/>
        <w:jc w:val="both"/>
      </w:pPr>
      <w:r>
        <w:t>2018</w:t>
      </w:r>
      <w:r>
        <w:rPr>
          <w:spacing w:val="-20"/>
        </w:rPr>
        <w:t xml:space="preserve"> 年本年支出合计 </w:t>
      </w:r>
      <w:r>
        <w:t>653.24</w:t>
      </w:r>
      <w:r>
        <w:rPr>
          <w:spacing w:val="-33"/>
        </w:rPr>
        <w:t xml:space="preserve"> 万元</w:t>
      </w:r>
      <w:r>
        <w:t>（</w:t>
      </w:r>
      <w:r>
        <w:rPr>
          <w:spacing w:val="-12"/>
        </w:rPr>
        <w:t xml:space="preserve">其中上年结转 </w:t>
      </w:r>
      <w:r>
        <w:t xml:space="preserve">2.71 </w:t>
      </w:r>
      <w:r>
        <w:rPr>
          <w:spacing w:val="12"/>
        </w:rPr>
        <w:t>万元</w:t>
      </w:r>
      <w:r>
        <w:rPr>
          <w:spacing w:val="10"/>
        </w:rPr>
        <w:t>）</w:t>
      </w:r>
      <w:r>
        <w:rPr>
          <w:spacing w:val="-2"/>
        </w:rPr>
        <w:t xml:space="preserve">，其中：基本支出 </w:t>
      </w:r>
      <w:r>
        <w:t>541.14</w:t>
      </w:r>
      <w:r>
        <w:rPr>
          <w:spacing w:val="-21"/>
        </w:rPr>
        <w:t xml:space="preserve"> 万元，占 </w:t>
      </w:r>
      <w:r>
        <w:rPr>
          <w:spacing w:val="5"/>
        </w:rPr>
        <w:t>83</w:t>
      </w:r>
      <w:r>
        <w:rPr>
          <w:spacing w:val="6"/>
        </w:rPr>
        <w:t>%；项目支出</w:t>
      </w:r>
    </w:p>
    <w:p>
      <w:pPr>
        <w:pStyle w:val="10"/>
        <w:numPr>
          <w:ilvl w:val="1"/>
          <w:numId w:val="2"/>
        </w:numPr>
        <w:tabs>
          <w:tab w:val="left" w:pos="1740"/>
        </w:tabs>
        <w:spacing w:before="3" w:after="0" w:line="240" w:lineRule="auto"/>
        <w:ind w:left="1739" w:right="0" w:hanging="1040"/>
        <w:jc w:val="left"/>
        <w:rPr>
          <w:sz w:val="32"/>
        </w:rPr>
      </w:pPr>
      <w:r>
        <w:rPr>
          <w:spacing w:val="-16"/>
          <w:sz w:val="32"/>
        </w:rPr>
        <w:t xml:space="preserve">万元，占 </w:t>
      </w:r>
      <w:r>
        <w:rPr>
          <w:sz w:val="32"/>
        </w:rPr>
        <w:t>17%。</w:t>
      </w:r>
    </w:p>
    <w:p>
      <w:pPr>
        <w:pStyle w:val="5"/>
        <w:ind w:left="0"/>
      </w:pPr>
    </w:p>
    <w:p>
      <w:pPr>
        <w:pStyle w:val="5"/>
        <w:spacing w:before="8"/>
        <w:ind w:left="0"/>
        <w:rPr>
          <w:sz w:val="29"/>
        </w:rPr>
      </w:pPr>
    </w:p>
    <w:p>
      <w:pPr>
        <w:pStyle w:val="5"/>
        <w:ind w:left="1340"/>
        <w:rPr>
          <w:rFonts w:hint="eastAsia" w:ascii="黑体" w:eastAsia="黑体"/>
        </w:rPr>
      </w:pPr>
      <w:bookmarkStart w:id="21" w:name="_bookmark7"/>
      <w:bookmarkEnd w:id="21"/>
      <w:bookmarkStart w:id="22" w:name="四、财政拨款收入支出决算总体情况说明"/>
      <w:bookmarkEnd w:id="22"/>
      <w:r>
        <w:rPr>
          <w:rFonts w:hint="eastAsia" w:ascii="黑体" w:eastAsia="黑体"/>
        </w:rPr>
        <w:t>四、财政拨款收入支出决算总体情况说明</w:t>
      </w:r>
    </w:p>
    <w:p>
      <w:pPr>
        <w:pStyle w:val="5"/>
        <w:spacing w:before="190" w:line="350" w:lineRule="auto"/>
        <w:ind w:right="697" w:firstLine="640"/>
        <w:jc w:val="both"/>
      </w:pPr>
      <w:r>
        <w:t>2018</w:t>
      </w:r>
      <w:r>
        <w:rPr>
          <w:spacing w:val="-20"/>
        </w:rPr>
        <w:t xml:space="preserve"> 年财政拨款收、支总计 </w:t>
      </w:r>
      <w:r>
        <w:t>653.24</w:t>
      </w:r>
      <w:r>
        <w:rPr>
          <w:spacing w:val="-37"/>
        </w:rPr>
        <w:t xml:space="preserve"> 万元。与 </w:t>
      </w:r>
      <w:r>
        <w:t>2017</w:t>
      </w:r>
      <w:r>
        <w:rPr>
          <w:spacing w:val="-28"/>
        </w:rPr>
        <w:t xml:space="preserve"> 年相</w:t>
      </w:r>
      <w:r>
        <w:rPr>
          <w:spacing w:val="-16"/>
        </w:rPr>
        <w:t xml:space="preserve">比，财政拨款收、支总计 </w:t>
      </w:r>
      <w:r>
        <w:t>62.4</w:t>
      </w:r>
      <w:r>
        <w:rPr>
          <w:spacing w:val="-23"/>
        </w:rPr>
        <w:t xml:space="preserve"> 万元，分别下降 </w:t>
      </w:r>
      <w:r>
        <w:t>9.55</w:t>
      </w:r>
      <w:r>
        <w:rPr>
          <w:spacing w:val="-6"/>
        </w:rPr>
        <w:t>%。主要变动原因是人员经费减少。</w:t>
      </w:r>
    </w:p>
    <w:p>
      <w:pPr>
        <w:spacing w:after="0" w:line="350" w:lineRule="auto"/>
        <w:jc w:val="both"/>
        <w:sectPr>
          <w:pgSz w:w="11910" w:h="16840"/>
          <w:pgMar w:top="1580" w:right="1100" w:bottom="1380" w:left="1100" w:header="0" w:footer="1196" w:gutter="0"/>
          <w:cols w:space="720" w:num="1"/>
        </w:sectPr>
      </w:pPr>
    </w:p>
    <w:p>
      <w:pPr>
        <w:pStyle w:val="5"/>
        <w:ind w:left="0"/>
        <w:rPr>
          <w:sz w:val="20"/>
        </w:rPr>
      </w:pPr>
    </w:p>
    <w:p>
      <w:pPr>
        <w:pStyle w:val="5"/>
        <w:spacing w:before="10"/>
        <w:ind w:left="0"/>
        <w:rPr>
          <w:sz w:val="22"/>
        </w:rPr>
      </w:pPr>
    </w:p>
    <w:p>
      <w:pPr>
        <w:pStyle w:val="5"/>
        <w:spacing w:before="55"/>
        <w:ind w:left="1340"/>
        <w:rPr>
          <w:rFonts w:hint="eastAsia" w:ascii="黑体" w:eastAsia="黑体"/>
        </w:rPr>
      </w:pPr>
      <w:bookmarkStart w:id="23" w:name="_bookmark8"/>
      <w:bookmarkEnd w:id="23"/>
      <w:bookmarkStart w:id="24" w:name="五、一般公共预算财政拨款支出决算情况说明"/>
      <w:bookmarkEnd w:id="24"/>
      <w:r>
        <w:rPr>
          <w:rFonts w:hint="eastAsia" w:ascii="黑体" w:eastAsia="黑体"/>
        </w:rPr>
        <w:t>五、</w:t>
      </w:r>
      <w:r>
        <w:rPr>
          <w:rFonts w:hint="eastAsia" w:ascii="黑体" w:eastAsia="黑体"/>
          <w:b/>
        </w:rPr>
        <w:t>一</w:t>
      </w:r>
      <w:r>
        <w:rPr>
          <w:rFonts w:hint="eastAsia" w:ascii="黑体" w:eastAsia="黑体"/>
        </w:rPr>
        <w:t>般公共预算财政拨款支出决算情况说明</w:t>
      </w:r>
    </w:p>
    <w:p>
      <w:pPr>
        <w:pStyle w:val="4"/>
      </w:pPr>
      <w:bookmarkStart w:id="25" w:name="（一）一般公共预算财政拨款支出决算总体情况"/>
      <w:bookmarkEnd w:id="25"/>
      <w:r>
        <w:t>（一）一般公共预算财政拨款支出决算总体情况</w:t>
      </w:r>
    </w:p>
    <w:p>
      <w:pPr>
        <w:pStyle w:val="5"/>
        <w:spacing w:before="190" w:line="350" w:lineRule="auto"/>
        <w:ind w:right="697" w:firstLine="640"/>
        <w:jc w:val="both"/>
      </w:pPr>
      <w:r>
        <w:t>2018</w:t>
      </w:r>
      <w:r>
        <w:rPr>
          <w:spacing w:val="-11"/>
        </w:rPr>
        <w:t xml:space="preserve"> 年一般公共预算财政拨款支出 </w:t>
      </w:r>
      <w:r>
        <w:t>653.24</w:t>
      </w:r>
      <w:r>
        <w:rPr>
          <w:spacing w:val="-13"/>
        </w:rPr>
        <w:t xml:space="preserve"> 万元，占本</w:t>
      </w:r>
      <w:r>
        <w:rPr>
          <w:spacing w:val="-11"/>
        </w:rPr>
        <w:t xml:space="preserve">年支出合计的 </w:t>
      </w:r>
      <w:r>
        <w:t>100</w:t>
      </w:r>
      <w:r>
        <w:rPr>
          <w:spacing w:val="-20"/>
        </w:rPr>
        <w:t xml:space="preserve">%。与 </w:t>
      </w:r>
      <w:r>
        <w:t>2017</w:t>
      </w:r>
      <w:r>
        <w:rPr>
          <w:spacing w:val="-7"/>
        </w:rPr>
        <w:t xml:space="preserve"> 年相比，一般公共预算财政拨</w:t>
      </w:r>
      <w:r>
        <w:rPr>
          <w:spacing w:val="-27"/>
        </w:rPr>
        <w:t xml:space="preserve">款减少 </w:t>
      </w:r>
      <w:r>
        <w:t>62.4</w:t>
      </w:r>
      <w:r>
        <w:rPr>
          <w:spacing w:val="-32"/>
        </w:rPr>
        <w:t xml:space="preserve"> 万元，下降 </w:t>
      </w:r>
      <w:r>
        <w:t>9.55</w:t>
      </w:r>
      <w:r>
        <w:rPr>
          <w:spacing w:val="-7"/>
        </w:rPr>
        <w:t>%。主要变动原因是人员经费减少。</w:t>
      </w:r>
    </w:p>
    <w:p>
      <w:pPr>
        <w:pStyle w:val="4"/>
        <w:spacing w:before="5"/>
      </w:pPr>
      <w:bookmarkStart w:id="26" w:name="（二）一般公共预算财政拨款支出决算结构情况"/>
      <w:bookmarkEnd w:id="26"/>
      <w:r>
        <w:t>（二）一般公共预算财政拨款支出决算结构情况</w:t>
      </w:r>
    </w:p>
    <w:p>
      <w:pPr>
        <w:pStyle w:val="5"/>
        <w:spacing w:before="190" w:line="350" w:lineRule="auto"/>
        <w:ind w:right="538" w:firstLine="640"/>
      </w:pPr>
      <w:r>
        <w:t>2018</w:t>
      </w:r>
      <w:r>
        <w:rPr>
          <w:spacing w:val="-10"/>
        </w:rPr>
        <w:t xml:space="preserve"> 年一般公共预算财政拨款支出 </w:t>
      </w:r>
      <w:r>
        <w:t>653.24</w:t>
      </w:r>
      <w:r>
        <w:rPr>
          <w:spacing w:val="-12"/>
        </w:rPr>
        <w:t xml:space="preserve"> 万元，主要用于以下方面:</w:t>
      </w:r>
      <w:r>
        <w:rPr>
          <w:b/>
          <w:spacing w:val="-34"/>
        </w:rPr>
        <w:t>一般公共服务</w:t>
      </w:r>
      <w:r>
        <w:rPr>
          <w:b/>
        </w:rPr>
        <w:t>（类</w:t>
      </w:r>
      <w:r>
        <w:rPr>
          <w:b/>
          <w:spacing w:val="-139"/>
        </w:rPr>
        <w:t>）</w:t>
      </w:r>
      <w:r>
        <w:rPr>
          <w:spacing w:val="-29"/>
        </w:rPr>
        <w:t xml:space="preserve">支出 </w:t>
      </w:r>
      <w:r>
        <w:t>558.57</w:t>
      </w:r>
      <w:r>
        <w:rPr>
          <w:spacing w:val="-54"/>
        </w:rPr>
        <w:t xml:space="preserve"> 万元，占 </w:t>
      </w:r>
      <w:r>
        <w:t xml:space="preserve">85%； </w:t>
      </w:r>
      <w:r>
        <w:rPr>
          <w:b/>
          <w:spacing w:val="-4"/>
        </w:rPr>
        <w:t>社会保障和就业</w:t>
      </w:r>
      <w:r>
        <w:rPr>
          <w:b/>
        </w:rPr>
        <w:t>（类</w:t>
      </w:r>
      <w:r>
        <w:rPr>
          <w:b/>
          <w:spacing w:val="-24"/>
        </w:rPr>
        <w:t>）</w:t>
      </w:r>
      <w:r>
        <w:rPr>
          <w:spacing w:val="-28"/>
        </w:rPr>
        <w:t xml:space="preserve">支出 </w:t>
      </w:r>
      <w:r>
        <w:t>52.06</w:t>
      </w:r>
      <w:r>
        <w:rPr>
          <w:spacing w:val="-32"/>
        </w:rPr>
        <w:t xml:space="preserve"> 万元，占 </w:t>
      </w:r>
      <w:r>
        <w:rPr>
          <w:spacing w:val="-10"/>
        </w:rPr>
        <w:t>8</w:t>
      </w:r>
      <w:r>
        <w:rPr>
          <w:spacing w:val="-5"/>
        </w:rPr>
        <w:t>%；医疗卫生支</w:t>
      </w:r>
      <w:r>
        <w:rPr>
          <w:spacing w:val="-43"/>
        </w:rPr>
        <w:t xml:space="preserve">出 </w:t>
      </w:r>
      <w:r>
        <w:t>16.66</w:t>
      </w:r>
      <w:r>
        <w:rPr>
          <w:spacing w:val="-28"/>
        </w:rPr>
        <w:t xml:space="preserve"> 万元，占 </w:t>
      </w:r>
      <w:r>
        <w:t>3</w:t>
      </w:r>
      <w:r>
        <w:rPr>
          <w:spacing w:val="-9"/>
        </w:rPr>
        <w:t xml:space="preserve">%；住房保障支出 </w:t>
      </w:r>
      <w:r>
        <w:t>25.95</w:t>
      </w:r>
      <w:r>
        <w:rPr>
          <w:spacing w:val="-28"/>
        </w:rPr>
        <w:t xml:space="preserve"> 万元，占 </w:t>
      </w:r>
      <w:r>
        <w:t>4%。</w:t>
      </w:r>
    </w:p>
    <w:p>
      <w:pPr>
        <w:pStyle w:val="4"/>
        <w:spacing w:before="6"/>
      </w:pPr>
      <w:bookmarkStart w:id="27" w:name="（三）一般公共预算财政拨款支出决算具体情况"/>
      <w:bookmarkEnd w:id="27"/>
      <w:r>
        <w:t>（三）一般公共预算财政拨款支出决算具体情况</w:t>
      </w:r>
    </w:p>
    <w:p>
      <w:pPr>
        <w:spacing w:before="190"/>
        <w:ind w:left="1340" w:right="0" w:firstLine="0"/>
        <w:jc w:val="left"/>
        <w:rPr>
          <w:b/>
          <w:sz w:val="32"/>
        </w:rPr>
      </w:pPr>
      <w:bookmarkStart w:id="28" w:name="2018年一般公共预算支出决算数为653.24，完成预算100%。其中："/>
      <w:bookmarkEnd w:id="28"/>
      <w:r>
        <w:rPr>
          <w:b/>
          <w:sz w:val="32"/>
        </w:rPr>
        <w:t>2018 年一般公共预算支出决算数为 653.24</w:t>
      </w:r>
      <w:r>
        <w:rPr>
          <w:sz w:val="32"/>
        </w:rPr>
        <w:t>，</w:t>
      </w:r>
      <w:r>
        <w:rPr>
          <w:b/>
          <w:sz w:val="32"/>
        </w:rPr>
        <w:t>完成预算</w:t>
      </w:r>
    </w:p>
    <w:p>
      <w:pPr>
        <w:spacing w:before="190"/>
        <w:ind w:left="700" w:right="0" w:firstLine="0"/>
        <w:jc w:val="left"/>
        <w:rPr>
          <w:b/>
          <w:sz w:val="32"/>
        </w:rPr>
      </w:pPr>
      <w:r>
        <w:rPr>
          <w:b/>
          <w:sz w:val="32"/>
        </w:rPr>
        <w:t>100%。其中：</w:t>
      </w:r>
    </w:p>
    <w:p>
      <w:pPr>
        <w:pStyle w:val="10"/>
        <w:numPr>
          <w:ilvl w:val="2"/>
          <w:numId w:val="2"/>
        </w:numPr>
        <w:tabs>
          <w:tab w:val="left" w:pos="1663"/>
        </w:tabs>
        <w:spacing w:before="190" w:after="0" w:line="350" w:lineRule="auto"/>
        <w:ind w:left="700" w:right="538" w:firstLine="640"/>
        <w:jc w:val="left"/>
        <w:rPr>
          <w:sz w:val="30"/>
        </w:rPr>
      </w:pPr>
      <w:r>
        <w:rPr>
          <w:b/>
          <w:spacing w:val="-2"/>
          <w:sz w:val="32"/>
        </w:rPr>
        <w:t>一般公共服务</w:t>
      </w:r>
      <w:r>
        <w:rPr>
          <w:b/>
          <w:sz w:val="32"/>
        </w:rPr>
        <w:t>（类</w:t>
      </w:r>
      <w:r>
        <w:rPr>
          <w:b/>
          <w:spacing w:val="-7"/>
          <w:sz w:val="32"/>
        </w:rPr>
        <w:t>）</w:t>
      </w:r>
      <w:r>
        <w:rPr>
          <w:b/>
          <w:spacing w:val="-2"/>
          <w:sz w:val="32"/>
        </w:rPr>
        <w:t>政协事务</w:t>
      </w:r>
      <w:r>
        <w:rPr>
          <w:b/>
          <w:sz w:val="32"/>
        </w:rPr>
        <w:t>（</w:t>
      </w:r>
      <w:r>
        <w:rPr>
          <w:b/>
          <w:spacing w:val="-2"/>
          <w:sz w:val="32"/>
        </w:rPr>
        <w:t>款)行政运行</w:t>
      </w:r>
      <w:r>
        <w:rPr>
          <w:b/>
          <w:sz w:val="32"/>
        </w:rPr>
        <w:t>（项</w:t>
      </w:r>
      <w:r>
        <w:rPr>
          <w:b/>
          <w:spacing w:val="-4"/>
          <w:sz w:val="32"/>
        </w:rPr>
        <w:t xml:space="preserve">）: </w:t>
      </w:r>
      <w:r>
        <w:rPr>
          <w:w w:val="99"/>
          <w:sz w:val="32"/>
        </w:rPr>
        <w:t>支出决算为</w:t>
      </w:r>
      <w:r>
        <w:rPr>
          <w:spacing w:val="-81"/>
          <w:sz w:val="32"/>
        </w:rPr>
        <w:t xml:space="preserve"> </w:t>
      </w:r>
      <w:r>
        <w:rPr>
          <w:spacing w:val="1"/>
          <w:w w:val="99"/>
          <w:sz w:val="32"/>
        </w:rPr>
        <w:t>44</w:t>
      </w:r>
      <w:r>
        <w:rPr>
          <w:spacing w:val="-2"/>
          <w:w w:val="99"/>
          <w:sz w:val="32"/>
        </w:rPr>
        <w:t>6</w:t>
      </w:r>
      <w:r>
        <w:rPr>
          <w:spacing w:val="1"/>
          <w:w w:val="99"/>
          <w:sz w:val="32"/>
        </w:rPr>
        <w:t>.4</w:t>
      </w:r>
      <w:r>
        <w:rPr>
          <w:w w:val="99"/>
          <w:sz w:val="32"/>
        </w:rPr>
        <w:t>7</w:t>
      </w:r>
      <w:r>
        <w:rPr>
          <w:spacing w:val="-80"/>
          <w:sz w:val="32"/>
        </w:rPr>
        <w:t xml:space="preserve"> </w:t>
      </w:r>
      <w:r>
        <w:rPr>
          <w:spacing w:val="-22"/>
          <w:w w:val="99"/>
          <w:sz w:val="32"/>
        </w:rPr>
        <w:t>万元，完成预算</w:t>
      </w:r>
      <w:r>
        <w:rPr>
          <w:spacing w:val="-79"/>
          <w:sz w:val="32"/>
        </w:rPr>
        <w:t xml:space="preserve"> </w:t>
      </w:r>
      <w:r>
        <w:rPr>
          <w:spacing w:val="1"/>
          <w:w w:val="99"/>
          <w:sz w:val="32"/>
        </w:rPr>
        <w:t>1</w:t>
      </w:r>
      <w:r>
        <w:rPr>
          <w:spacing w:val="-2"/>
          <w:w w:val="99"/>
          <w:sz w:val="32"/>
        </w:rPr>
        <w:t>0</w:t>
      </w:r>
      <w:r>
        <w:rPr>
          <w:spacing w:val="1"/>
          <w:w w:val="99"/>
          <w:sz w:val="32"/>
        </w:rPr>
        <w:t>0</w:t>
      </w:r>
      <w:r>
        <w:rPr>
          <w:spacing w:val="-71"/>
          <w:w w:val="99"/>
          <w:sz w:val="32"/>
        </w:rPr>
        <w:t>%；</w:t>
      </w:r>
      <w:r>
        <w:rPr>
          <w:b/>
          <w:spacing w:val="-22"/>
          <w:w w:val="99"/>
          <w:sz w:val="32"/>
        </w:rPr>
        <w:t>一般公共服务</w:t>
      </w:r>
      <w:r>
        <w:rPr>
          <w:b/>
          <w:w w:val="99"/>
          <w:sz w:val="32"/>
        </w:rPr>
        <w:t>（</w:t>
      </w:r>
      <w:r>
        <w:rPr>
          <w:b/>
          <w:spacing w:val="2"/>
          <w:w w:val="99"/>
          <w:sz w:val="32"/>
        </w:rPr>
        <w:t>类</w:t>
      </w:r>
      <w:r>
        <w:rPr>
          <w:b/>
          <w:w w:val="99"/>
          <w:sz w:val="32"/>
        </w:rPr>
        <w:t>）</w:t>
      </w:r>
      <w:r>
        <w:rPr>
          <w:b/>
          <w:spacing w:val="7"/>
          <w:sz w:val="32"/>
        </w:rPr>
        <w:t>政协事务（款)</w:t>
      </w:r>
      <w:r>
        <w:rPr>
          <w:spacing w:val="6"/>
          <w:sz w:val="32"/>
        </w:rPr>
        <w:t>政协会议</w:t>
      </w:r>
      <w:r>
        <w:rPr>
          <w:b/>
          <w:spacing w:val="7"/>
          <w:sz w:val="32"/>
        </w:rPr>
        <w:t>（</w:t>
      </w:r>
      <w:r>
        <w:rPr>
          <w:b/>
          <w:spacing w:val="9"/>
          <w:sz w:val="32"/>
        </w:rPr>
        <w:t>项</w:t>
      </w:r>
      <w:r>
        <w:rPr>
          <w:b/>
          <w:spacing w:val="3"/>
          <w:sz w:val="32"/>
        </w:rPr>
        <w:t>）</w:t>
      </w:r>
      <w:r>
        <w:rPr>
          <w:b/>
          <w:spacing w:val="-2"/>
          <w:sz w:val="32"/>
        </w:rPr>
        <w:t xml:space="preserve">: </w:t>
      </w:r>
      <w:r>
        <w:rPr>
          <w:spacing w:val="-10"/>
          <w:sz w:val="32"/>
        </w:rPr>
        <w:t xml:space="preserve">支出决算为 </w:t>
      </w:r>
      <w:r>
        <w:rPr>
          <w:sz w:val="32"/>
        </w:rPr>
        <w:t>64.39</w:t>
      </w:r>
      <w:r>
        <w:rPr>
          <w:spacing w:val="-18"/>
          <w:sz w:val="32"/>
        </w:rPr>
        <w:t xml:space="preserve"> 万元， </w:t>
      </w:r>
      <w:r>
        <w:rPr>
          <w:spacing w:val="-32"/>
          <w:sz w:val="32"/>
        </w:rPr>
        <w:t xml:space="preserve">完成预算 </w:t>
      </w:r>
      <w:r>
        <w:rPr>
          <w:sz w:val="32"/>
        </w:rPr>
        <w:t>100%；</w:t>
      </w:r>
      <w:r>
        <w:rPr>
          <w:b/>
          <w:spacing w:val="2"/>
          <w:sz w:val="32"/>
        </w:rPr>
        <w:t>一般公共服务</w:t>
      </w:r>
      <w:r>
        <w:rPr>
          <w:b/>
          <w:spacing w:val="5"/>
          <w:sz w:val="32"/>
        </w:rPr>
        <w:t>（</w:t>
      </w:r>
      <w:r>
        <w:rPr>
          <w:b/>
          <w:sz w:val="32"/>
        </w:rPr>
        <w:t>类</w:t>
      </w:r>
      <w:r>
        <w:rPr>
          <w:b/>
          <w:spacing w:val="5"/>
          <w:sz w:val="32"/>
        </w:rPr>
        <w:t>）</w:t>
      </w:r>
      <w:r>
        <w:rPr>
          <w:b/>
          <w:spacing w:val="3"/>
          <w:sz w:val="32"/>
        </w:rPr>
        <w:t>政协事务</w:t>
      </w:r>
      <w:r>
        <w:rPr>
          <w:b/>
          <w:sz w:val="32"/>
        </w:rPr>
        <w:t>（</w:t>
      </w:r>
      <w:r>
        <w:rPr>
          <w:b/>
          <w:spacing w:val="2"/>
          <w:sz w:val="32"/>
        </w:rPr>
        <w:t>款)委员视</w:t>
      </w:r>
      <w:r>
        <w:rPr>
          <w:b/>
          <w:spacing w:val="5"/>
          <w:sz w:val="32"/>
        </w:rPr>
        <w:t>察（项</w:t>
      </w:r>
      <w:r>
        <w:rPr>
          <w:b/>
          <w:sz w:val="32"/>
        </w:rPr>
        <w:t>）</w:t>
      </w:r>
      <w:r>
        <w:rPr>
          <w:b/>
          <w:spacing w:val="-1"/>
          <w:sz w:val="32"/>
        </w:rPr>
        <w:t xml:space="preserve">: </w:t>
      </w:r>
      <w:r>
        <w:rPr>
          <w:spacing w:val="-13"/>
          <w:sz w:val="32"/>
        </w:rPr>
        <w:t xml:space="preserve">支出决算为 </w:t>
      </w:r>
      <w:r>
        <w:rPr>
          <w:sz w:val="32"/>
        </w:rPr>
        <w:t>25</w:t>
      </w:r>
      <w:r>
        <w:rPr>
          <w:spacing w:val="-19"/>
          <w:sz w:val="32"/>
        </w:rPr>
        <w:t xml:space="preserve"> 万元，完成预算 </w:t>
      </w:r>
      <w:r>
        <w:rPr>
          <w:sz w:val="32"/>
        </w:rPr>
        <w:t>100%；</w:t>
      </w:r>
      <w:r>
        <w:rPr>
          <w:b/>
          <w:spacing w:val="3"/>
          <w:sz w:val="32"/>
        </w:rPr>
        <w:t>一般公共</w:t>
      </w:r>
      <w:r>
        <w:rPr>
          <w:b/>
          <w:spacing w:val="-41"/>
          <w:sz w:val="32"/>
        </w:rPr>
        <w:t>服务</w:t>
      </w:r>
      <w:r>
        <w:rPr>
          <w:b/>
          <w:sz w:val="32"/>
        </w:rPr>
        <w:t>（类</w:t>
      </w:r>
      <w:r>
        <w:rPr>
          <w:b/>
          <w:spacing w:val="-87"/>
          <w:sz w:val="32"/>
        </w:rPr>
        <w:t>）</w:t>
      </w:r>
      <w:r>
        <w:rPr>
          <w:b/>
          <w:spacing w:val="-21"/>
          <w:sz w:val="32"/>
        </w:rPr>
        <w:t>政协事务</w:t>
      </w:r>
      <w:r>
        <w:rPr>
          <w:b/>
          <w:sz w:val="32"/>
        </w:rPr>
        <w:t>（</w:t>
      </w:r>
      <w:r>
        <w:rPr>
          <w:b/>
          <w:spacing w:val="-14"/>
          <w:sz w:val="32"/>
        </w:rPr>
        <w:t>款)参政议政</w:t>
      </w:r>
      <w:r>
        <w:rPr>
          <w:b/>
          <w:sz w:val="32"/>
        </w:rPr>
        <w:t>（项</w:t>
      </w:r>
      <w:r>
        <w:rPr>
          <w:b/>
          <w:spacing w:val="-44"/>
          <w:sz w:val="32"/>
        </w:rPr>
        <w:t>）</w:t>
      </w:r>
      <w:r>
        <w:rPr>
          <w:b/>
          <w:spacing w:val="-28"/>
          <w:sz w:val="32"/>
        </w:rPr>
        <w:t xml:space="preserve">: </w:t>
      </w:r>
      <w:r>
        <w:rPr>
          <w:spacing w:val="-14"/>
          <w:sz w:val="32"/>
        </w:rPr>
        <w:t xml:space="preserve">支出决算为 </w:t>
      </w:r>
      <w:r>
        <w:rPr>
          <w:sz w:val="32"/>
        </w:rPr>
        <w:t xml:space="preserve">22.71 </w:t>
      </w:r>
      <w:r>
        <w:rPr>
          <w:spacing w:val="-10"/>
          <w:sz w:val="32"/>
        </w:rPr>
        <w:t xml:space="preserve">万元，完成预算 </w:t>
      </w:r>
      <w:r>
        <w:rPr>
          <w:sz w:val="32"/>
        </w:rPr>
        <w:t>100%；</w:t>
      </w:r>
    </w:p>
    <w:p>
      <w:pPr>
        <w:pStyle w:val="4"/>
        <w:numPr>
          <w:ilvl w:val="2"/>
          <w:numId w:val="2"/>
        </w:numPr>
        <w:tabs>
          <w:tab w:val="left" w:pos="1665"/>
        </w:tabs>
        <w:spacing w:before="10" w:after="0" w:line="240" w:lineRule="auto"/>
        <w:ind w:left="1664" w:right="0" w:hanging="325"/>
        <w:jc w:val="left"/>
        <w:rPr>
          <w:sz w:val="30"/>
        </w:rPr>
      </w:pPr>
      <w:r>
        <w:rPr>
          <w:spacing w:val="-2"/>
        </w:rPr>
        <w:t>社会保障和就业</w:t>
      </w:r>
      <w:r>
        <w:t>（类</w:t>
      </w:r>
      <w:r>
        <w:rPr>
          <w:spacing w:val="-10"/>
        </w:rPr>
        <w:t>）</w:t>
      </w:r>
      <w:r>
        <w:rPr>
          <w:spacing w:val="-1"/>
        </w:rPr>
        <w:t>行政事业单位离退休</w:t>
      </w:r>
      <w:r>
        <w:t>（</w:t>
      </w:r>
      <w:r>
        <w:rPr>
          <w:spacing w:val="5"/>
        </w:rPr>
        <w:t>款</w:t>
      </w:r>
      <w:r>
        <w:rPr>
          <w:spacing w:val="-12"/>
        </w:rPr>
        <w:t>）</w:t>
      </w:r>
      <w:r>
        <w:t>机</w:t>
      </w:r>
    </w:p>
    <w:p>
      <w:pPr>
        <w:spacing w:after="0" w:line="240" w:lineRule="auto"/>
        <w:jc w:val="left"/>
        <w:rPr>
          <w:sz w:val="30"/>
        </w:rPr>
        <w:sectPr>
          <w:pgSz w:w="11910" w:h="16840"/>
          <w:pgMar w:top="1580" w:right="1100" w:bottom="1380" w:left="1100" w:header="0" w:footer="1196" w:gutter="0"/>
          <w:cols w:space="720" w:num="1"/>
        </w:sectPr>
      </w:pPr>
    </w:p>
    <w:p>
      <w:pPr>
        <w:spacing w:before="43" w:line="350" w:lineRule="auto"/>
        <w:ind w:left="700" w:right="694" w:firstLine="0"/>
        <w:jc w:val="both"/>
        <w:rPr>
          <w:sz w:val="32"/>
        </w:rPr>
      </w:pPr>
      <w:r>
        <w:rPr>
          <w:b/>
          <w:spacing w:val="-2"/>
          <w:sz w:val="32"/>
        </w:rPr>
        <w:t>关事业单位基本养老保险缴费</w:t>
      </w:r>
      <w:r>
        <w:rPr>
          <w:b/>
          <w:sz w:val="32"/>
        </w:rPr>
        <w:t>（</w:t>
      </w:r>
      <w:r>
        <w:rPr>
          <w:b/>
          <w:spacing w:val="5"/>
          <w:sz w:val="32"/>
        </w:rPr>
        <w:t>项</w:t>
      </w:r>
      <w:r>
        <w:rPr>
          <w:b/>
          <w:spacing w:val="-9"/>
          <w:sz w:val="32"/>
        </w:rPr>
        <w:t xml:space="preserve">）: </w:t>
      </w:r>
      <w:r>
        <w:rPr>
          <w:spacing w:val="-15"/>
          <w:sz w:val="32"/>
        </w:rPr>
        <w:t xml:space="preserve">支出决算为 </w:t>
      </w:r>
      <w:r>
        <w:rPr>
          <w:sz w:val="32"/>
        </w:rPr>
        <w:t>41.86</w:t>
      </w:r>
      <w:r>
        <w:rPr>
          <w:spacing w:val="-43"/>
          <w:sz w:val="32"/>
        </w:rPr>
        <w:t xml:space="preserve"> 万</w:t>
      </w:r>
      <w:r>
        <w:rPr>
          <w:spacing w:val="-25"/>
          <w:sz w:val="32"/>
        </w:rPr>
        <w:t xml:space="preserve">元，完成预算 </w:t>
      </w:r>
      <w:r>
        <w:rPr>
          <w:spacing w:val="-6"/>
          <w:sz w:val="32"/>
        </w:rPr>
        <w:t>100%；</w:t>
      </w:r>
      <w:r>
        <w:rPr>
          <w:b/>
          <w:spacing w:val="-4"/>
          <w:sz w:val="32"/>
        </w:rPr>
        <w:t>社会保障和就业</w:t>
      </w:r>
      <w:r>
        <w:rPr>
          <w:b/>
          <w:sz w:val="32"/>
        </w:rPr>
        <w:t>（类</w:t>
      </w:r>
      <w:r>
        <w:rPr>
          <w:b/>
          <w:spacing w:val="-27"/>
          <w:sz w:val="32"/>
        </w:rPr>
        <w:t>）</w:t>
      </w:r>
      <w:r>
        <w:rPr>
          <w:b/>
          <w:sz w:val="32"/>
        </w:rPr>
        <w:t>行政事业单位离</w:t>
      </w:r>
      <w:r>
        <w:rPr>
          <w:b/>
          <w:spacing w:val="-5"/>
          <w:sz w:val="32"/>
        </w:rPr>
        <w:t>退休</w:t>
      </w:r>
      <w:r>
        <w:rPr>
          <w:b/>
          <w:sz w:val="32"/>
        </w:rPr>
        <w:t>（款</w:t>
      </w:r>
      <w:r>
        <w:rPr>
          <w:b/>
          <w:spacing w:val="-7"/>
          <w:sz w:val="32"/>
        </w:rPr>
        <w:t>）</w:t>
      </w:r>
      <w:r>
        <w:rPr>
          <w:b/>
          <w:spacing w:val="-1"/>
          <w:sz w:val="32"/>
        </w:rPr>
        <w:t>机关事业单位职业年金缴费</w:t>
      </w:r>
      <w:r>
        <w:rPr>
          <w:b/>
          <w:sz w:val="32"/>
        </w:rPr>
        <w:t>（项</w:t>
      </w:r>
      <w:r>
        <w:rPr>
          <w:b/>
          <w:spacing w:val="-4"/>
          <w:sz w:val="32"/>
        </w:rPr>
        <w:t>）</w:t>
      </w:r>
      <w:r>
        <w:rPr>
          <w:b/>
          <w:spacing w:val="-10"/>
          <w:sz w:val="32"/>
        </w:rPr>
        <w:t xml:space="preserve">: </w:t>
      </w:r>
      <w:r>
        <w:rPr>
          <w:sz w:val="32"/>
        </w:rPr>
        <w:t>支出决算为</w:t>
      </w:r>
    </w:p>
    <w:p>
      <w:pPr>
        <w:pStyle w:val="5"/>
        <w:spacing w:before="4"/>
        <w:jc w:val="both"/>
      </w:pPr>
      <w:r>
        <w:t>10.19 万元，完成预算 100%。</w:t>
      </w:r>
    </w:p>
    <w:p>
      <w:pPr>
        <w:pStyle w:val="10"/>
        <w:numPr>
          <w:ilvl w:val="2"/>
          <w:numId w:val="2"/>
        </w:numPr>
        <w:tabs>
          <w:tab w:val="left" w:pos="1663"/>
        </w:tabs>
        <w:spacing w:before="190" w:after="0" w:line="350" w:lineRule="auto"/>
        <w:ind w:left="700" w:right="539" w:firstLine="640"/>
        <w:jc w:val="both"/>
        <w:rPr>
          <w:sz w:val="30"/>
        </w:rPr>
      </w:pPr>
      <w:r>
        <w:rPr>
          <w:b/>
          <w:sz w:val="32"/>
        </w:rPr>
        <w:t xml:space="preserve">医疗卫生与计划生育（类）行政事业单位医疗（款） </w:t>
      </w:r>
      <w:r>
        <w:rPr>
          <w:b/>
          <w:spacing w:val="-23"/>
          <w:w w:val="99"/>
          <w:sz w:val="32"/>
        </w:rPr>
        <w:t>行政单位医疗</w:t>
      </w:r>
      <w:r>
        <w:rPr>
          <w:b/>
          <w:w w:val="99"/>
          <w:sz w:val="32"/>
        </w:rPr>
        <w:t>（</w:t>
      </w:r>
      <w:r>
        <w:rPr>
          <w:b/>
          <w:spacing w:val="2"/>
          <w:w w:val="99"/>
          <w:sz w:val="32"/>
        </w:rPr>
        <w:t>项</w:t>
      </w:r>
      <w:r>
        <w:rPr>
          <w:b/>
          <w:spacing w:val="-139"/>
          <w:w w:val="99"/>
          <w:sz w:val="32"/>
        </w:rPr>
        <w:t>）</w:t>
      </w:r>
      <w:r>
        <w:rPr>
          <w:b/>
          <w:spacing w:val="1"/>
          <w:w w:val="98"/>
          <w:sz w:val="32"/>
        </w:rPr>
        <w:t>:</w:t>
      </w:r>
      <w:r>
        <w:rPr>
          <w:w w:val="99"/>
          <w:sz w:val="32"/>
        </w:rPr>
        <w:t>支出决算为</w:t>
      </w:r>
      <w:r>
        <w:rPr>
          <w:spacing w:val="-79"/>
          <w:sz w:val="32"/>
        </w:rPr>
        <w:t xml:space="preserve"> </w:t>
      </w:r>
      <w:r>
        <w:rPr>
          <w:spacing w:val="1"/>
          <w:w w:val="99"/>
          <w:sz w:val="32"/>
        </w:rPr>
        <w:t>16</w:t>
      </w:r>
      <w:r>
        <w:rPr>
          <w:spacing w:val="-2"/>
          <w:w w:val="99"/>
          <w:sz w:val="32"/>
        </w:rPr>
        <w:t>.</w:t>
      </w:r>
      <w:r>
        <w:rPr>
          <w:spacing w:val="1"/>
          <w:w w:val="99"/>
          <w:sz w:val="32"/>
        </w:rPr>
        <w:t>6</w:t>
      </w:r>
      <w:r>
        <w:rPr>
          <w:w w:val="99"/>
          <w:sz w:val="32"/>
        </w:rPr>
        <w:t>3</w:t>
      </w:r>
      <w:r>
        <w:rPr>
          <w:spacing w:val="-80"/>
          <w:sz w:val="32"/>
        </w:rPr>
        <w:t xml:space="preserve"> </w:t>
      </w:r>
      <w:r>
        <w:rPr>
          <w:spacing w:val="-22"/>
          <w:w w:val="99"/>
          <w:sz w:val="32"/>
        </w:rPr>
        <w:t>万元，完成预算</w:t>
      </w:r>
      <w:r>
        <w:rPr>
          <w:spacing w:val="-81"/>
          <w:sz w:val="32"/>
        </w:rPr>
        <w:t xml:space="preserve"> </w:t>
      </w:r>
      <w:r>
        <w:rPr>
          <w:spacing w:val="1"/>
          <w:w w:val="99"/>
          <w:sz w:val="32"/>
        </w:rPr>
        <w:t>10</w:t>
      </w:r>
      <w:r>
        <w:rPr>
          <w:spacing w:val="-2"/>
          <w:w w:val="99"/>
          <w:sz w:val="32"/>
        </w:rPr>
        <w:t>0</w:t>
      </w:r>
      <w:r>
        <w:rPr>
          <w:w w:val="99"/>
          <w:sz w:val="32"/>
        </w:rPr>
        <w:t>%。</w:t>
      </w:r>
    </w:p>
    <w:p>
      <w:pPr>
        <w:pStyle w:val="10"/>
        <w:numPr>
          <w:ilvl w:val="2"/>
          <w:numId w:val="2"/>
        </w:numPr>
        <w:tabs>
          <w:tab w:val="left" w:pos="1663"/>
        </w:tabs>
        <w:spacing w:before="3" w:after="0" w:line="350" w:lineRule="auto"/>
        <w:ind w:left="700" w:right="697" w:firstLine="640"/>
        <w:jc w:val="both"/>
        <w:rPr>
          <w:sz w:val="30"/>
        </w:rPr>
      </w:pPr>
      <w:r>
        <w:rPr>
          <w:spacing w:val="-1"/>
          <w:w w:val="95"/>
          <w:sz w:val="32"/>
        </w:rPr>
        <w:t>住房保障支出</w:t>
      </w:r>
      <w:r>
        <w:rPr>
          <w:w w:val="95"/>
          <w:sz w:val="32"/>
        </w:rPr>
        <w:t>（类</w:t>
      </w:r>
      <w:r>
        <w:rPr>
          <w:spacing w:val="-3"/>
          <w:w w:val="95"/>
          <w:sz w:val="32"/>
        </w:rPr>
        <w:t>）</w:t>
      </w:r>
      <w:r>
        <w:rPr>
          <w:spacing w:val="-1"/>
          <w:w w:val="95"/>
          <w:sz w:val="32"/>
        </w:rPr>
        <w:t>住房改革支出</w:t>
      </w:r>
      <w:r>
        <w:rPr>
          <w:w w:val="95"/>
          <w:sz w:val="32"/>
        </w:rPr>
        <w:t>（款</w:t>
      </w:r>
      <w:r>
        <w:rPr>
          <w:spacing w:val="-3"/>
          <w:w w:val="95"/>
          <w:sz w:val="32"/>
        </w:rPr>
        <w:t>）</w:t>
      </w:r>
      <w:r>
        <w:rPr>
          <w:w w:val="95"/>
          <w:sz w:val="32"/>
        </w:rPr>
        <w:t xml:space="preserve">住房公积金 </w:t>
      </w:r>
      <w:r>
        <w:rPr>
          <w:sz w:val="32"/>
        </w:rPr>
        <w:t>支出（项）</w:t>
      </w:r>
      <w:r>
        <w:rPr>
          <w:spacing w:val="-41"/>
          <w:sz w:val="32"/>
        </w:rPr>
        <w:t xml:space="preserve">为 </w:t>
      </w:r>
      <w:r>
        <w:rPr>
          <w:sz w:val="32"/>
        </w:rPr>
        <w:t>25.95</w:t>
      </w:r>
      <w:r>
        <w:rPr>
          <w:spacing w:val="-20"/>
          <w:sz w:val="32"/>
        </w:rPr>
        <w:t xml:space="preserve"> 万元，完成预算 </w:t>
      </w:r>
      <w:r>
        <w:rPr>
          <w:sz w:val="32"/>
        </w:rPr>
        <w:t>100%。</w:t>
      </w:r>
    </w:p>
    <w:p>
      <w:pPr>
        <w:pStyle w:val="5"/>
        <w:spacing w:before="2"/>
        <w:ind w:left="1340"/>
        <w:rPr>
          <w:rFonts w:hint="eastAsia" w:ascii="黑体" w:eastAsia="黑体"/>
        </w:rPr>
      </w:pPr>
      <w:bookmarkStart w:id="29" w:name="_bookmark9"/>
      <w:bookmarkEnd w:id="29"/>
      <w:bookmarkStart w:id="30" w:name="六、一般公共预算财政拨款基本支出决算情况说明"/>
      <w:bookmarkEnd w:id="30"/>
      <w:r>
        <w:rPr>
          <w:rFonts w:hint="eastAsia" w:ascii="黑体" w:eastAsia="黑体"/>
        </w:rPr>
        <w:t>六</w:t>
      </w:r>
      <w:r>
        <w:rPr>
          <w:rFonts w:hint="eastAsia" w:ascii="黑体" w:eastAsia="黑体"/>
          <w:b/>
        </w:rPr>
        <w:t>、一</w:t>
      </w:r>
      <w:r>
        <w:rPr>
          <w:rFonts w:hint="eastAsia" w:ascii="黑体" w:eastAsia="黑体"/>
        </w:rPr>
        <w:t>般公共预算财政拨款基本支出决算情况说明</w:t>
      </w:r>
    </w:p>
    <w:p>
      <w:pPr>
        <w:pStyle w:val="5"/>
        <w:spacing w:before="190" w:line="350" w:lineRule="auto"/>
        <w:ind w:right="700" w:firstLine="645"/>
        <w:jc w:val="both"/>
      </w:pPr>
      <w:r>
        <w:t>2018</w:t>
      </w:r>
      <w:r>
        <w:rPr>
          <w:spacing w:val="-11"/>
        </w:rPr>
        <w:t xml:space="preserve"> 年一般公共预算财政拨款基本支出 </w:t>
      </w:r>
      <w:r>
        <w:t>541.14</w:t>
      </w:r>
      <w:r>
        <w:rPr>
          <w:spacing w:val="-20"/>
        </w:rPr>
        <w:t xml:space="preserve"> 万元， 其中：</w:t>
      </w:r>
    </w:p>
    <w:p>
      <w:pPr>
        <w:pStyle w:val="5"/>
        <w:spacing w:before="3" w:line="350" w:lineRule="auto"/>
        <w:ind w:right="697" w:firstLine="645"/>
        <w:jc w:val="both"/>
      </w:pPr>
      <w:r>
        <w:rPr>
          <w:spacing w:val="-13"/>
        </w:rPr>
        <w:t xml:space="preserve">人员经费 </w:t>
      </w:r>
      <w:r>
        <w:t>431.79</w:t>
      </w:r>
      <w:r>
        <w:rPr>
          <w:spacing w:val="-3"/>
        </w:rPr>
        <w:t xml:space="preserve"> 万元，主要包括：基本工资、津贴补</w:t>
      </w:r>
      <w:r>
        <w:rPr>
          <w:spacing w:val="-3"/>
          <w:w w:val="95"/>
        </w:rPr>
        <w:t xml:space="preserve">贴、奖金、绩效工资、机关事业单位基本养老保险缴费、职 </w:t>
      </w:r>
      <w:r>
        <w:rPr>
          <w:spacing w:val="-5"/>
        </w:rPr>
        <w:t>业年金缴费、其他社会保障缴费、其他工资福利支出、生活</w:t>
      </w:r>
      <w:r>
        <w:rPr>
          <w:spacing w:val="-4"/>
        </w:rPr>
        <w:t>补助、医疗费、奖励金、住房公积金、其他对个人和家庭的补助支出等。</w:t>
      </w:r>
    </w:p>
    <w:p>
      <w:pPr>
        <w:pStyle w:val="5"/>
        <w:spacing w:before="7" w:line="350" w:lineRule="auto"/>
        <w:ind w:right="538" w:firstLine="652"/>
      </w:pPr>
      <w:r>
        <w:rPr>
          <w:spacing w:val="-12"/>
        </w:rPr>
        <w:t xml:space="preserve">公用经费 </w:t>
      </w:r>
      <w:r>
        <w:t>109.35</w:t>
      </w:r>
      <w:r>
        <w:rPr>
          <w:spacing w:val="-3"/>
        </w:rPr>
        <w:t xml:space="preserve"> 万元，主要包括：办公费、印刷费、</w:t>
      </w:r>
      <w:r>
        <w:rPr>
          <w:spacing w:val="-12"/>
        </w:rPr>
        <w:t>咨询费、手续费、邮电费、差旅费、维修</w:t>
      </w:r>
      <w:r>
        <w:t>（护</w:t>
      </w:r>
      <w:r>
        <w:rPr>
          <w:spacing w:val="-24"/>
        </w:rPr>
        <w:t>）</w:t>
      </w:r>
      <w:r>
        <w:rPr>
          <w:spacing w:val="-7"/>
        </w:rPr>
        <w:t>费、租赁费、</w:t>
      </w:r>
      <w:r>
        <w:rPr>
          <w:spacing w:val="-3"/>
        </w:rPr>
        <w:t>会议费、培训费、公务接待费、劳务费、委托业务费、工会经费、福利费、其他交通费、税金及附加费用、其他商品和</w:t>
      </w:r>
      <w:r>
        <w:rPr>
          <w:spacing w:val="-5"/>
        </w:rPr>
        <w:t>服务支出、办公设备购置、信息网络及软件购置更新、其他资本性支出等。</w:t>
      </w:r>
    </w:p>
    <w:p>
      <w:pPr>
        <w:pStyle w:val="5"/>
        <w:spacing w:before="9"/>
        <w:ind w:left="1340"/>
        <w:rPr>
          <w:rFonts w:hint="eastAsia" w:ascii="黑体" w:hAnsi="黑体" w:eastAsia="黑体"/>
        </w:rPr>
      </w:pPr>
      <w:bookmarkStart w:id="31" w:name="_bookmark10"/>
      <w:bookmarkEnd w:id="31"/>
      <w:bookmarkStart w:id="32" w:name="七、“三公”经费财政拨款支出决算情况说明"/>
      <w:bookmarkEnd w:id="32"/>
      <w:r>
        <w:rPr>
          <w:rFonts w:hint="eastAsia" w:ascii="黑体" w:hAnsi="黑体" w:eastAsia="黑体"/>
        </w:rPr>
        <w:t>七、</w:t>
      </w:r>
      <w:r>
        <w:rPr>
          <w:rFonts w:hint="eastAsia" w:ascii="黑体" w:hAnsi="黑体" w:eastAsia="黑体"/>
          <w:b/>
        </w:rPr>
        <w:t>“</w:t>
      </w:r>
      <w:r>
        <w:rPr>
          <w:rFonts w:hint="eastAsia" w:ascii="黑体" w:hAnsi="黑体" w:eastAsia="黑体"/>
        </w:rPr>
        <w:t>三公”经费财政拨款支出决算情况说明</w:t>
      </w:r>
    </w:p>
    <w:p>
      <w:pPr>
        <w:spacing w:after="0"/>
        <w:rPr>
          <w:rFonts w:hint="eastAsia" w:ascii="黑体" w:hAnsi="黑体" w:eastAsia="黑体"/>
        </w:rPr>
        <w:sectPr>
          <w:pgSz w:w="11910" w:h="16840"/>
          <w:pgMar w:top="1540" w:right="1100" w:bottom="1380" w:left="1100" w:header="0" w:footer="1196" w:gutter="0"/>
          <w:cols w:space="720" w:num="1"/>
        </w:sectPr>
      </w:pPr>
    </w:p>
    <w:p>
      <w:pPr>
        <w:spacing w:before="43" w:line="350" w:lineRule="auto"/>
        <w:ind w:left="1340" w:right="700" w:firstLine="0"/>
        <w:jc w:val="left"/>
        <w:rPr>
          <w:sz w:val="32"/>
        </w:rPr>
      </w:pPr>
      <w:bookmarkStart w:id="33" w:name="（一）“三公”经费财政拨款支出决算总体情况说明"/>
      <w:bookmarkEnd w:id="33"/>
      <w:r>
        <w:rPr>
          <w:b/>
          <w:sz w:val="32"/>
        </w:rPr>
        <w:t>（一）“三公”经费财政拨款支出决算总体情况说明</w:t>
      </w:r>
      <w:r>
        <w:rPr>
          <w:sz w:val="32"/>
        </w:rPr>
        <w:t>2018</w:t>
      </w:r>
      <w:r>
        <w:rPr>
          <w:spacing w:val="-11"/>
          <w:sz w:val="32"/>
        </w:rPr>
        <w:t xml:space="preserve"> 年“三公”经费财政拨款支出决算为 </w:t>
      </w:r>
      <w:r>
        <w:rPr>
          <w:sz w:val="32"/>
        </w:rPr>
        <w:t>15.5</w:t>
      </w:r>
      <w:r>
        <w:rPr>
          <w:spacing w:val="-20"/>
          <w:sz w:val="32"/>
        </w:rPr>
        <w:t xml:space="preserve"> 万元，</w:t>
      </w:r>
    </w:p>
    <w:p>
      <w:pPr>
        <w:pStyle w:val="5"/>
        <w:spacing w:before="3" w:line="350" w:lineRule="auto"/>
        <w:ind w:right="700"/>
      </w:pPr>
      <w:r>
        <w:rPr>
          <w:spacing w:val="-18"/>
        </w:rPr>
        <w:t xml:space="preserve">完成预算 </w:t>
      </w:r>
      <w:r>
        <w:rPr>
          <w:spacing w:val="-20"/>
        </w:rPr>
        <w:t>100</w:t>
      </w:r>
      <w:r>
        <w:rPr>
          <w:spacing w:val="-7"/>
        </w:rPr>
        <w:t>%，决算数预算数持平的主要原因是严格执行中央八项规定，</w:t>
      </w:r>
      <w:r>
        <w:rPr>
          <w:rFonts w:hint="eastAsia"/>
          <w:spacing w:val="-7"/>
          <w:lang w:eastAsia="zh-CN"/>
        </w:rPr>
        <w:t>厉行</w:t>
      </w:r>
      <w:r>
        <w:rPr>
          <w:spacing w:val="-7"/>
        </w:rPr>
        <w:t>节约，严重控制“三公”经费支出。</w:t>
      </w:r>
    </w:p>
    <w:p>
      <w:pPr>
        <w:spacing w:before="2" w:line="350" w:lineRule="auto"/>
        <w:ind w:left="1340" w:right="538" w:firstLine="0"/>
        <w:jc w:val="left"/>
        <w:rPr>
          <w:sz w:val="32"/>
        </w:rPr>
      </w:pPr>
      <w:bookmarkStart w:id="34" w:name="（二）“三公”经费财政拨款支出决算具体情况说明"/>
      <w:bookmarkEnd w:id="34"/>
      <w:r>
        <w:rPr>
          <w:b/>
          <w:sz w:val="32"/>
        </w:rPr>
        <w:t>（二）“三公”经费财政拨款支出决算具体情况说明</w:t>
      </w:r>
      <w:r>
        <w:rPr>
          <w:sz w:val="32"/>
        </w:rPr>
        <w:t>2018</w:t>
      </w:r>
      <w:r>
        <w:rPr>
          <w:spacing w:val="-35"/>
          <w:sz w:val="32"/>
        </w:rPr>
        <w:t xml:space="preserve"> 年“三公”经费财政拨款支出决算中，因公出国</w:t>
      </w:r>
      <w:r>
        <w:rPr>
          <w:spacing w:val="-3"/>
          <w:sz w:val="32"/>
        </w:rPr>
        <w:t>（</w:t>
      </w:r>
      <w:r>
        <w:rPr>
          <w:sz w:val="32"/>
        </w:rPr>
        <w:t>境）</w:t>
      </w:r>
    </w:p>
    <w:p>
      <w:pPr>
        <w:pStyle w:val="5"/>
        <w:spacing w:before="3" w:line="350" w:lineRule="auto"/>
        <w:ind w:right="493"/>
      </w:pPr>
      <w:r>
        <w:rPr>
          <w:spacing w:val="-14"/>
        </w:rPr>
        <w:t xml:space="preserve">费支出决算 </w:t>
      </w:r>
      <w:r>
        <w:t>0</w:t>
      </w:r>
      <w:r>
        <w:rPr>
          <w:spacing w:val="-37"/>
        </w:rPr>
        <w:t xml:space="preserve"> 万元，占 </w:t>
      </w:r>
      <w:r>
        <w:rPr>
          <w:spacing w:val="-16"/>
        </w:rPr>
        <w:t>0</w:t>
      </w:r>
      <w:r>
        <w:rPr>
          <w:spacing w:val="-6"/>
        </w:rPr>
        <w:t>%；公务用车购置及运行维护费支出</w:t>
      </w:r>
      <w:r>
        <w:rPr>
          <w:spacing w:val="-6"/>
          <w:w w:val="99"/>
        </w:rPr>
        <w:t>决算</w:t>
      </w:r>
      <w:r>
        <w:rPr>
          <w:spacing w:val="-81"/>
        </w:rPr>
        <w:t xml:space="preserve"> </w:t>
      </w:r>
      <w:r>
        <w:rPr>
          <w:w w:val="99"/>
        </w:rPr>
        <w:t>0</w:t>
      </w:r>
      <w:r>
        <w:rPr>
          <w:spacing w:val="-82"/>
        </w:rPr>
        <w:t xml:space="preserve"> </w:t>
      </w:r>
      <w:r>
        <w:rPr>
          <w:spacing w:val="-40"/>
          <w:w w:val="99"/>
        </w:rPr>
        <w:t>万元，占</w:t>
      </w:r>
      <w:r>
        <w:rPr>
          <w:spacing w:val="-40"/>
        </w:rPr>
        <w:t xml:space="preserve"> </w:t>
      </w:r>
      <w:r>
        <w:rPr>
          <w:spacing w:val="1"/>
          <w:w w:val="99"/>
        </w:rPr>
        <w:t>0%</w:t>
      </w:r>
      <w:r>
        <w:rPr>
          <w:spacing w:val="-18"/>
          <w:w w:val="99"/>
        </w:rPr>
        <w:t>；公务接待费支出决算</w:t>
      </w:r>
      <w:r>
        <w:rPr>
          <w:spacing w:val="-83"/>
        </w:rPr>
        <w:t xml:space="preserve"> </w:t>
      </w:r>
      <w:r>
        <w:rPr>
          <w:spacing w:val="1"/>
          <w:w w:val="99"/>
        </w:rPr>
        <w:t>15</w:t>
      </w:r>
      <w:r>
        <w:rPr>
          <w:spacing w:val="-2"/>
          <w:w w:val="99"/>
        </w:rPr>
        <w:t>.</w:t>
      </w:r>
      <w:r>
        <w:rPr>
          <w:w w:val="99"/>
        </w:rPr>
        <w:t>5</w:t>
      </w:r>
      <w:r>
        <w:rPr>
          <w:spacing w:val="-80"/>
        </w:rPr>
        <w:t xml:space="preserve"> </w:t>
      </w:r>
      <w:r>
        <w:rPr>
          <w:spacing w:val="-40"/>
          <w:w w:val="99"/>
        </w:rPr>
        <w:t>万元，占</w:t>
      </w:r>
      <w:r>
        <w:rPr>
          <w:spacing w:val="-40"/>
        </w:rPr>
        <w:t xml:space="preserve"> </w:t>
      </w:r>
      <w:r>
        <w:rPr>
          <w:spacing w:val="1"/>
          <w:w w:val="99"/>
        </w:rPr>
        <w:t>10</w:t>
      </w:r>
      <w:r>
        <w:rPr>
          <w:spacing w:val="-2"/>
          <w:w w:val="99"/>
        </w:rPr>
        <w:t>0</w:t>
      </w:r>
      <w:r>
        <w:rPr>
          <w:w w:val="99"/>
        </w:rPr>
        <w:t>%。</w:t>
      </w:r>
      <w:r>
        <w:t>具体情况如下：</w:t>
      </w:r>
    </w:p>
    <w:p>
      <w:pPr>
        <w:pStyle w:val="10"/>
        <w:numPr>
          <w:ilvl w:val="0"/>
          <w:numId w:val="3"/>
        </w:numPr>
        <w:tabs>
          <w:tab w:val="left" w:pos="1663"/>
        </w:tabs>
        <w:spacing w:before="4" w:after="0" w:line="350" w:lineRule="auto"/>
        <w:ind w:left="700" w:right="697" w:firstLine="640"/>
        <w:jc w:val="left"/>
        <w:rPr>
          <w:sz w:val="30"/>
        </w:rPr>
      </w:pPr>
      <w:r>
        <w:rPr>
          <w:b/>
          <w:spacing w:val="-6"/>
          <w:sz w:val="32"/>
        </w:rPr>
        <w:t>因公出国</w:t>
      </w:r>
      <w:r>
        <w:rPr>
          <w:b/>
          <w:sz w:val="32"/>
        </w:rPr>
        <w:t>（境</w:t>
      </w:r>
      <w:r>
        <w:rPr>
          <w:b/>
          <w:spacing w:val="-24"/>
          <w:sz w:val="32"/>
        </w:rPr>
        <w:t>）</w:t>
      </w:r>
      <w:r>
        <w:rPr>
          <w:b/>
          <w:spacing w:val="-18"/>
          <w:sz w:val="32"/>
        </w:rPr>
        <w:t xml:space="preserve">经费支出 </w:t>
      </w:r>
      <w:r>
        <w:rPr>
          <w:sz w:val="32"/>
        </w:rPr>
        <w:t>0</w:t>
      </w:r>
      <w:r>
        <w:rPr>
          <w:spacing w:val="-24"/>
          <w:sz w:val="32"/>
        </w:rPr>
        <w:t xml:space="preserve"> 万元，完成预算 </w:t>
      </w:r>
      <w:r>
        <w:rPr>
          <w:sz w:val="32"/>
        </w:rPr>
        <w:t>0</w:t>
      </w:r>
      <w:r>
        <w:rPr>
          <w:spacing w:val="-8"/>
          <w:sz w:val="32"/>
        </w:rPr>
        <w:t>%。全年</w:t>
      </w:r>
      <w:r>
        <w:rPr>
          <w:sz w:val="32"/>
        </w:rPr>
        <w:t>安排因公出国（境</w:t>
      </w:r>
      <w:r>
        <w:rPr>
          <w:spacing w:val="5"/>
          <w:sz w:val="32"/>
        </w:rPr>
        <w:t>）</w:t>
      </w:r>
      <w:r>
        <w:rPr>
          <w:spacing w:val="-26"/>
          <w:sz w:val="32"/>
        </w:rPr>
        <w:t xml:space="preserve">团组 </w:t>
      </w:r>
      <w:r>
        <w:rPr>
          <w:sz w:val="32"/>
        </w:rPr>
        <w:t>0</w:t>
      </w:r>
      <w:r>
        <w:rPr>
          <w:spacing w:val="-15"/>
          <w:sz w:val="32"/>
        </w:rPr>
        <w:t xml:space="preserve"> 次，出国</w:t>
      </w:r>
      <w:r>
        <w:rPr>
          <w:sz w:val="32"/>
        </w:rPr>
        <w:t>（</w:t>
      </w:r>
      <w:r>
        <w:rPr>
          <w:spacing w:val="5"/>
          <w:sz w:val="32"/>
        </w:rPr>
        <w:t>境</w:t>
      </w:r>
      <w:r>
        <w:rPr>
          <w:sz w:val="32"/>
        </w:rPr>
        <w:t>）0</w:t>
      </w:r>
      <w:r>
        <w:rPr>
          <w:spacing w:val="-12"/>
          <w:sz w:val="32"/>
        </w:rPr>
        <w:t xml:space="preserve"> 人。因公出国</w:t>
      </w:r>
    </w:p>
    <w:p>
      <w:pPr>
        <w:pStyle w:val="5"/>
        <w:spacing w:before="3"/>
      </w:pPr>
      <w:r>
        <w:t>（境）支出决算比 2017 年增加万元，增长 0%。</w:t>
      </w:r>
    </w:p>
    <w:p>
      <w:pPr>
        <w:pStyle w:val="10"/>
        <w:numPr>
          <w:ilvl w:val="0"/>
          <w:numId w:val="3"/>
        </w:numPr>
        <w:tabs>
          <w:tab w:val="left" w:pos="1504"/>
        </w:tabs>
        <w:spacing w:before="190" w:after="0" w:line="350" w:lineRule="auto"/>
        <w:ind w:left="700" w:right="538" w:firstLine="480"/>
        <w:jc w:val="both"/>
        <w:rPr>
          <w:sz w:val="30"/>
        </w:rPr>
      </w:pPr>
      <w:r>
        <w:rPr>
          <w:b/>
          <w:spacing w:val="-6"/>
          <w:sz w:val="32"/>
        </w:rPr>
        <w:t xml:space="preserve">公务用车购置及运行维护费支出 </w:t>
      </w:r>
      <w:r>
        <w:rPr>
          <w:sz w:val="32"/>
        </w:rPr>
        <w:t>0</w:t>
      </w:r>
      <w:r>
        <w:rPr>
          <w:spacing w:val="-20"/>
          <w:sz w:val="32"/>
        </w:rPr>
        <w:t xml:space="preserve"> 万元,完成预算 </w:t>
      </w:r>
      <w:r>
        <w:rPr>
          <w:sz w:val="32"/>
        </w:rPr>
        <w:t>0%。</w:t>
      </w:r>
      <w:r>
        <w:rPr>
          <w:spacing w:val="-5"/>
          <w:sz w:val="32"/>
        </w:rPr>
        <w:t xml:space="preserve">公务用车购置及运行维护费支出决算比 </w:t>
      </w:r>
      <w:r>
        <w:rPr>
          <w:sz w:val="32"/>
        </w:rPr>
        <w:t>2017</w:t>
      </w:r>
      <w:r>
        <w:rPr>
          <w:spacing w:val="-35"/>
          <w:sz w:val="32"/>
        </w:rPr>
        <w:t xml:space="preserve"> 年增加 </w:t>
      </w:r>
      <w:r>
        <w:rPr>
          <w:sz w:val="32"/>
        </w:rPr>
        <w:t>0</w:t>
      </w:r>
      <w:r>
        <w:rPr>
          <w:spacing w:val="-23"/>
          <w:sz w:val="32"/>
        </w:rPr>
        <w:t xml:space="preserve"> 万元， </w:t>
      </w:r>
      <w:r>
        <w:rPr>
          <w:spacing w:val="-42"/>
          <w:sz w:val="32"/>
        </w:rPr>
        <w:t xml:space="preserve">增长 </w:t>
      </w:r>
      <w:r>
        <w:rPr>
          <w:sz w:val="32"/>
        </w:rPr>
        <w:t>0%。</w:t>
      </w:r>
    </w:p>
    <w:p>
      <w:pPr>
        <w:spacing w:before="4"/>
        <w:ind w:left="1340" w:right="0" w:firstLine="0"/>
        <w:jc w:val="both"/>
        <w:rPr>
          <w:sz w:val="32"/>
        </w:rPr>
      </w:pPr>
      <w:r>
        <w:rPr>
          <w:spacing w:val="-31"/>
          <w:sz w:val="32"/>
        </w:rPr>
        <w:t>其中：</w:t>
      </w:r>
      <w:r>
        <w:rPr>
          <w:b/>
          <w:spacing w:val="-10"/>
          <w:sz w:val="32"/>
        </w:rPr>
        <w:t xml:space="preserve">公务用车购置支出 </w:t>
      </w:r>
      <w:r>
        <w:rPr>
          <w:sz w:val="32"/>
        </w:rPr>
        <w:t>0</w:t>
      </w:r>
      <w:r>
        <w:rPr>
          <w:spacing w:val="-38"/>
          <w:sz w:val="32"/>
        </w:rPr>
        <w:t xml:space="preserve"> 万元。截至 </w:t>
      </w:r>
      <w:r>
        <w:rPr>
          <w:sz w:val="32"/>
        </w:rPr>
        <w:t>2018</w:t>
      </w:r>
      <w:r>
        <w:rPr>
          <w:spacing w:val="-55"/>
          <w:sz w:val="32"/>
        </w:rPr>
        <w:t xml:space="preserve"> 年 </w:t>
      </w:r>
      <w:r>
        <w:rPr>
          <w:sz w:val="32"/>
        </w:rPr>
        <w:t>12</w:t>
      </w:r>
      <w:r>
        <w:rPr>
          <w:spacing w:val="-21"/>
          <w:sz w:val="32"/>
        </w:rPr>
        <w:t xml:space="preserve"> 月底，</w:t>
      </w:r>
    </w:p>
    <w:p>
      <w:pPr>
        <w:pStyle w:val="5"/>
        <w:spacing w:before="190"/>
        <w:jc w:val="both"/>
      </w:pPr>
      <w:r>
        <w:t>单位共有公务用车 0 辆。</w:t>
      </w:r>
    </w:p>
    <w:p>
      <w:pPr>
        <w:spacing w:before="190"/>
        <w:ind w:left="1340" w:right="0" w:firstLine="0"/>
        <w:jc w:val="both"/>
        <w:rPr>
          <w:sz w:val="32"/>
        </w:rPr>
      </w:pPr>
      <w:r>
        <w:rPr>
          <w:b/>
          <w:sz w:val="32"/>
        </w:rPr>
        <w:t xml:space="preserve">公务用车运行维护费支出 </w:t>
      </w:r>
      <w:r>
        <w:rPr>
          <w:sz w:val="32"/>
        </w:rPr>
        <w:t>0 万元。</w:t>
      </w:r>
    </w:p>
    <w:p>
      <w:pPr>
        <w:pStyle w:val="10"/>
        <w:numPr>
          <w:ilvl w:val="0"/>
          <w:numId w:val="3"/>
        </w:numPr>
        <w:tabs>
          <w:tab w:val="left" w:pos="1670"/>
        </w:tabs>
        <w:spacing w:before="190" w:after="0" w:line="350" w:lineRule="auto"/>
        <w:ind w:left="700" w:right="697" w:firstLine="645"/>
        <w:jc w:val="both"/>
        <w:rPr>
          <w:sz w:val="30"/>
        </w:rPr>
      </w:pPr>
      <w:r>
        <w:rPr>
          <w:b/>
          <w:spacing w:val="-7"/>
          <w:sz w:val="32"/>
        </w:rPr>
        <w:t xml:space="preserve">公务接待费支出 </w:t>
      </w:r>
      <w:r>
        <w:rPr>
          <w:sz w:val="32"/>
        </w:rPr>
        <w:t>15.5</w:t>
      </w:r>
      <w:r>
        <w:rPr>
          <w:spacing w:val="-19"/>
          <w:sz w:val="32"/>
        </w:rPr>
        <w:t xml:space="preserve"> 万元，完成预算 </w:t>
      </w:r>
      <w:r>
        <w:rPr>
          <w:sz w:val="32"/>
        </w:rPr>
        <w:t>100%。公务接</w:t>
      </w:r>
      <w:r>
        <w:rPr>
          <w:spacing w:val="-7"/>
          <w:sz w:val="32"/>
        </w:rPr>
        <w:t xml:space="preserve">待费支出决算比 </w:t>
      </w:r>
      <w:r>
        <w:rPr>
          <w:sz w:val="32"/>
        </w:rPr>
        <w:t>2017</w:t>
      </w:r>
      <w:r>
        <w:rPr>
          <w:spacing w:val="-4"/>
          <w:sz w:val="32"/>
        </w:rPr>
        <w:t xml:space="preserve"> 年持平，主要原因是严格执行中央八项规定，</w:t>
      </w:r>
      <w:r>
        <w:rPr>
          <w:rFonts w:hint="eastAsia"/>
          <w:spacing w:val="-4"/>
          <w:sz w:val="32"/>
          <w:lang w:eastAsia="zh-CN"/>
        </w:rPr>
        <w:t>厉行</w:t>
      </w:r>
      <w:r>
        <w:rPr>
          <w:spacing w:val="-4"/>
          <w:sz w:val="32"/>
        </w:rPr>
        <w:t>节约，严重控制“三公”经费支出。</w:t>
      </w:r>
    </w:p>
    <w:p>
      <w:pPr>
        <w:pStyle w:val="5"/>
        <w:spacing w:before="5" w:line="350" w:lineRule="auto"/>
        <w:ind w:right="697" w:firstLine="645"/>
        <w:jc w:val="both"/>
      </w:pPr>
      <w:r>
        <w:rPr>
          <w:spacing w:val="-2"/>
          <w:w w:val="95"/>
        </w:rPr>
        <w:t xml:space="preserve">主要用于执行公务、开展业务活动开支的交通费、住宿 </w:t>
      </w:r>
      <w:r>
        <w:rPr>
          <w:spacing w:val="-13"/>
        </w:rPr>
        <w:t xml:space="preserve">费、用餐费等。国内公务接待 </w:t>
      </w:r>
      <w:r>
        <w:t>190</w:t>
      </w:r>
      <w:r>
        <w:rPr>
          <w:spacing w:val="-23"/>
        </w:rPr>
        <w:t xml:space="preserve"> 批次，</w:t>
      </w:r>
      <w:r>
        <w:rPr>
          <w:spacing w:val="-5"/>
        </w:rPr>
        <w:t>1380</w:t>
      </w:r>
      <w:r>
        <w:rPr>
          <w:spacing w:val="-36"/>
        </w:rPr>
        <w:t xml:space="preserve"> 人次</w:t>
      </w:r>
      <w:r>
        <w:t>（不包括</w:t>
      </w:r>
    </w:p>
    <w:p>
      <w:pPr>
        <w:spacing w:after="0" w:line="350" w:lineRule="auto"/>
        <w:jc w:val="both"/>
        <w:sectPr>
          <w:footerReference r:id="rId6" w:type="default"/>
          <w:pgSz w:w="11910" w:h="16840"/>
          <w:pgMar w:top="1540" w:right="1100" w:bottom="1300" w:left="1100" w:header="0" w:footer="1116" w:gutter="0"/>
          <w:pgNumType w:start="10"/>
          <w:cols w:space="720" w:num="1"/>
        </w:sectPr>
      </w:pPr>
    </w:p>
    <w:p>
      <w:pPr>
        <w:pStyle w:val="5"/>
        <w:spacing w:before="43" w:line="350" w:lineRule="auto"/>
        <w:ind w:right="539"/>
      </w:pPr>
      <w:r>
        <w:t>陪同人员</w:t>
      </w:r>
      <w:r>
        <w:rPr>
          <w:spacing w:val="-3"/>
        </w:rPr>
        <w:t>），</w:t>
      </w:r>
      <w:r>
        <w:rPr>
          <w:spacing w:val="-18"/>
        </w:rPr>
        <w:t xml:space="preserve">共计支出 </w:t>
      </w:r>
      <w:r>
        <w:t>15.5</w:t>
      </w:r>
      <w:r>
        <w:rPr>
          <w:spacing w:val="-11"/>
        </w:rPr>
        <w:t xml:space="preserve"> 万元，具体内容包括：省、市、</w:t>
      </w:r>
      <w:r>
        <w:rPr>
          <w:spacing w:val="-10"/>
        </w:rPr>
        <w:t>区政协来川检查指导、考察调研、学习交流及招商引资等服务保障。</w:t>
      </w:r>
    </w:p>
    <w:p>
      <w:pPr>
        <w:spacing w:before="4"/>
        <w:ind w:left="1340" w:right="0" w:firstLine="0"/>
        <w:jc w:val="left"/>
        <w:rPr>
          <w:sz w:val="32"/>
        </w:rPr>
      </w:pPr>
      <w:r>
        <w:rPr>
          <w:b/>
          <w:spacing w:val="-9"/>
          <w:sz w:val="32"/>
        </w:rPr>
        <w:t xml:space="preserve">外事接待支出 </w:t>
      </w:r>
      <w:r>
        <w:rPr>
          <w:b/>
          <w:sz w:val="32"/>
        </w:rPr>
        <w:t>0</w:t>
      </w:r>
      <w:r>
        <w:rPr>
          <w:b/>
          <w:spacing w:val="-77"/>
          <w:sz w:val="32"/>
        </w:rPr>
        <w:t xml:space="preserve"> </w:t>
      </w:r>
      <w:r>
        <w:rPr>
          <w:spacing w:val="-10"/>
          <w:sz w:val="32"/>
        </w:rPr>
        <w:t xml:space="preserve">万元，外事接待 </w:t>
      </w:r>
      <w:r>
        <w:rPr>
          <w:sz w:val="32"/>
        </w:rPr>
        <w:t>0</w:t>
      </w:r>
      <w:r>
        <w:rPr>
          <w:spacing w:val="-19"/>
          <w:sz w:val="32"/>
        </w:rPr>
        <w:t xml:space="preserve"> 批次，</w:t>
      </w:r>
      <w:r>
        <w:rPr>
          <w:sz w:val="32"/>
        </w:rPr>
        <w:t>0</w:t>
      </w:r>
      <w:r>
        <w:rPr>
          <w:spacing w:val="-13"/>
          <w:sz w:val="32"/>
        </w:rPr>
        <w:t xml:space="preserve"> 人，共计支</w:t>
      </w:r>
    </w:p>
    <w:p>
      <w:pPr>
        <w:pStyle w:val="5"/>
        <w:spacing w:before="190"/>
      </w:pPr>
      <w:r>
        <w:t>出 0 万元。</w:t>
      </w:r>
    </w:p>
    <w:p>
      <w:pPr>
        <w:spacing w:before="190" w:line="350" w:lineRule="auto"/>
        <w:ind w:left="700" w:right="538" w:firstLine="640"/>
        <w:jc w:val="left"/>
        <w:rPr>
          <w:sz w:val="32"/>
        </w:rPr>
      </w:pPr>
      <w:r>
        <w:rPr>
          <w:b/>
          <w:spacing w:val="-8"/>
          <w:sz w:val="32"/>
        </w:rPr>
        <w:t xml:space="preserve">其他国内公务接待支出 </w:t>
      </w:r>
      <w:r>
        <w:rPr>
          <w:sz w:val="32"/>
        </w:rPr>
        <w:t>15.5</w:t>
      </w:r>
      <w:r>
        <w:rPr>
          <w:spacing w:val="-12"/>
          <w:sz w:val="32"/>
        </w:rPr>
        <w:t xml:space="preserve"> 万元。主要用于执行公务、开展业务活动开支的交通费、住宿费、用餐费等。</w:t>
      </w:r>
    </w:p>
    <w:p>
      <w:pPr>
        <w:pStyle w:val="5"/>
        <w:ind w:left="0"/>
      </w:pPr>
    </w:p>
    <w:p>
      <w:pPr>
        <w:pStyle w:val="5"/>
        <w:ind w:left="0"/>
      </w:pPr>
    </w:p>
    <w:p>
      <w:pPr>
        <w:pStyle w:val="5"/>
        <w:spacing w:before="11"/>
        <w:ind w:left="0"/>
        <w:rPr>
          <w:sz w:val="29"/>
        </w:rPr>
      </w:pPr>
    </w:p>
    <w:p>
      <w:pPr>
        <w:pStyle w:val="5"/>
        <w:ind w:left="1340"/>
        <w:rPr>
          <w:rFonts w:hint="eastAsia" w:ascii="黑体" w:eastAsia="黑体"/>
        </w:rPr>
      </w:pPr>
      <w:bookmarkStart w:id="35" w:name="_bookmark11"/>
      <w:bookmarkEnd w:id="35"/>
      <w:bookmarkStart w:id="36" w:name="八、政府性基金预算支出决算情况说明"/>
      <w:bookmarkEnd w:id="36"/>
      <w:r>
        <w:rPr>
          <w:rFonts w:hint="eastAsia" w:ascii="黑体" w:eastAsia="黑体"/>
        </w:rPr>
        <w:t>八、政府性基金预算支出决算情况说明</w:t>
      </w:r>
    </w:p>
    <w:p>
      <w:pPr>
        <w:pStyle w:val="5"/>
        <w:spacing w:before="190"/>
        <w:ind w:left="1345"/>
      </w:pPr>
      <w:r>
        <w:t>2018 年政府性基金预算拨款支出 0 万元。</w:t>
      </w:r>
    </w:p>
    <w:p>
      <w:pPr>
        <w:pStyle w:val="5"/>
        <w:ind w:left="0"/>
      </w:pPr>
    </w:p>
    <w:p>
      <w:pPr>
        <w:pStyle w:val="5"/>
        <w:spacing w:before="8"/>
        <w:ind w:left="0"/>
        <w:rPr>
          <w:sz w:val="29"/>
        </w:rPr>
      </w:pPr>
    </w:p>
    <w:p>
      <w:pPr>
        <w:pStyle w:val="5"/>
        <w:spacing w:before="1"/>
        <w:ind w:left="1340"/>
        <w:rPr>
          <w:rFonts w:hint="eastAsia" w:ascii="黑体" w:eastAsia="黑体"/>
        </w:rPr>
      </w:pPr>
      <w:r>
        <w:rPr>
          <w:rFonts w:hint="eastAsia" w:ascii="黑体" w:eastAsia="黑体"/>
        </w:rPr>
        <w:t>九、国有资本经营预算支出决算情况说明</w:t>
      </w:r>
    </w:p>
    <w:p>
      <w:pPr>
        <w:pStyle w:val="5"/>
        <w:spacing w:before="190"/>
        <w:ind w:left="1345"/>
      </w:pPr>
      <w:r>
        <w:t>2018 年国有资本经营预算拨款支出 0 万元。</w:t>
      </w:r>
    </w:p>
    <w:p>
      <w:pPr>
        <w:pStyle w:val="5"/>
        <w:ind w:left="0"/>
      </w:pPr>
    </w:p>
    <w:p>
      <w:pPr>
        <w:pStyle w:val="5"/>
        <w:spacing w:before="4"/>
        <w:ind w:left="0"/>
        <w:rPr>
          <w:sz w:val="28"/>
        </w:rPr>
      </w:pPr>
    </w:p>
    <w:p>
      <w:pPr>
        <w:pStyle w:val="5"/>
        <w:ind w:left="1408"/>
        <w:rPr>
          <w:rFonts w:hint="eastAsia" w:ascii="黑体" w:eastAsia="黑体"/>
        </w:rPr>
      </w:pPr>
      <w:r>
        <w:rPr>
          <w:rFonts w:hint="eastAsia" w:ascii="黑体" w:eastAsia="黑体"/>
        </w:rPr>
        <w:t>十、 预算绩效情况说明</w:t>
      </w:r>
    </w:p>
    <w:p>
      <w:pPr>
        <w:pStyle w:val="4"/>
        <w:spacing w:before="171"/>
      </w:pPr>
      <w:r>
        <w:rPr>
          <w:rFonts w:hint="eastAsia" w:ascii="楷体" w:eastAsia="楷体"/>
        </w:rPr>
        <w:t>（一）</w:t>
      </w:r>
      <w:r>
        <w:t>预算绩效管理工作开展情况。</w:t>
      </w:r>
    </w:p>
    <w:p>
      <w:pPr>
        <w:pStyle w:val="5"/>
        <w:spacing w:before="185" w:line="350" w:lineRule="auto"/>
        <w:ind w:right="697" w:firstLine="645"/>
        <w:jc w:val="both"/>
      </w:pPr>
      <w:r>
        <w:rPr>
          <w:spacing w:val="-2"/>
        </w:rPr>
        <w:t>根据预算绩效管理要求，本部门</w:t>
      </w:r>
      <w:r>
        <w:t>（单位</w:t>
      </w:r>
      <w:r>
        <w:rPr>
          <w:spacing w:val="-5"/>
        </w:rPr>
        <w:t>）</w:t>
      </w:r>
      <w:r>
        <w:t>在年初预算编</w:t>
      </w:r>
      <w:r>
        <w:rPr>
          <w:spacing w:val="1"/>
        </w:rPr>
        <w:t>制阶段，组织对 信息平台建设维护费开展了预算事前绩效</w:t>
      </w:r>
      <w:r>
        <w:rPr>
          <w:spacing w:val="-18"/>
        </w:rPr>
        <w:t xml:space="preserve">评估，对 </w:t>
      </w:r>
      <w:r>
        <w:t>1</w:t>
      </w:r>
      <w:r>
        <w:rPr>
          <w:spacing w:val="-10"/>
        </w:rPr>
        <w:t xml:space="preserve"> 个项目编制了绩效目标，预算执行过程中，选取</w:t>
      </w:r>
    </w:p>
    <w:p>
      <w:pPr>
        <w:pStyle w:val="5"/>
        <w:spacing w:before="4" w:line="350" w:lineRule="auto"/>
        <w:ind w:right="697"/>
        <w:jc w:val="both"/>
      </w:pPr>
      <w:r>
        <w:t>1</w:t>
      </w:r>
      <w:r>
        <w:rPr>
          <w:spacing w:val="-6"/>
        </w:rPr>
        <w:t xml:space="preserve"> 个项目开展绩效监控，年终执行完毕后，计划目标完成， </w:t>
      </w:r>
      <w:r>
        <w:rPr>
          <w:spacing w:val="-7"/>
        </w:rPr>
        <w:t>支出符合财政预算绩效要求，达到了工作任务要求，完成了项目产出的绩效目标。</w:t>
      </w:r>
    </w:p>
    <w:p>
      <w:pPr>
        <w:spacing w:after="0" w:line="350" w:lineRule="auto"/>
        <w:jc w:val="both"/>
        <w:sectPr>
          <w:pgSz w:w="11910" w:h="16840"/>
          <w:pgMar w:top="1540" w:right="1100" w:bottom="1380" w:left="1100" w:header="0" w:footer="1116" w:gutter="0"/>
          <w:cols w:space="720" w:num="1"/>
        </w:sectPr>
      </w:pPr>
    </w:p>
    <w:p>
      <w:pPr>
        <w:pStyle w:val="5"/>
        <w:spacing w:before="4"/>
        <w:ind w:left="0"/>
        <w:rPr>
          <w:sz w:val="24"/>
        </w:rPr>
      </w:pPr>
    </w:p>
    <w:p>
      <w:pPr>
        <w:spacing w:before="50"/>
        <w:ind w:left="2884" w:right="0" w:firstLine="0"/>
        <w:jc w:val="left"/>
        <w:rPr>
          <w:rFonts w:hint="eastAsia" w:ascii="黑体" w:eastAsia="黑体"/>
          <w:sz w:val="36"/>
        </w:rPr>
      </w:pPr>
      <w:r>
        <w:rPr>
          <w:rFonts w:hint="eastAsia" w:ascii="黑体" w:eastAsia="黑体"/>
          <w:sz w:val="36"/>
        </w:rPr>
        <w:t>项目支出绩效目标完成情况表</w:t>
      </w:r>
    </w:p>
    <w:p>
      <w:pPr>
        <w:spacing w:before="162"/>
        <w:ind w:left="892" w:right="9" w:firstLine="0"/>
        <w:jc w:val="center"/>
        <w:rPr>
          <w:rFonts w:hint="eastAsia" w:ascii="宋体" w:eastAsia="宋体"/>
          <w:sz w:val="36"/>
        </w:rPr>
      </w:pPr>
      <w:r>
        <w:rPr>
          <w:rFonts w:hint="eastAsia" w:ascii="宋体" w:eastAsia="宋体"/>
          <w:sz w:val="36"/>
        </w:rPr>
        <w:t>(2018 年度)</w:t>
      </w:r>
    </w:p>
    <w:p>
      <w:pPr>
        <w:pStyle w:val="5"/>
        <w:spacing w:before="5"/>
        <w:ind w:left="0"/>
        <w:rPr>
          <w:rFonts w:ascii="宋体"/>
          <w:sz w:val="6"/>
        </w:r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400"/>
        <w:gridCol w:w="1320"/>
        <w:gridCol w:w="2064"/>
        <w:gridCol w:w="2394"/>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110" w:type="dxa"/>
            <w:gridSpan w:val="3"/>
          </w:tcPr>
          <w:p>
            <w:pPr>
              <w:pStyle w:val="11"/>
              <w:spacing w:before="19" w:line="288" w:lineRule="exact"/>
              <w:ind w:left="1053" w:right="1046"/>
              <w:jc w:val="center"/>
              <w:rPr>
                <w:sz w:val="24"/>
              </w:rPr>
            </w:pPr>
            <w:r>
              <w:rPr>
                <w:sz w:val="24"/>
              </w:rPr>
              <w:t>项目名称</w:t>
            </w:r>
          </w:p>
        </w:tc>
        <w:tc>
          <w:tcPr>
            <w:tcW w:w="6360" w:type="dxa"/>
            <w:gridSpan w:val="3"/>
          </w:tcPr>
          <w:p>
            <w:pPr>
              <w:pStyle w:val="11"/>
              <w:spacing w:before="19" w:line="288" w:lineRule="exact"/>
              <w:ind w:left="2078" w:right="2071"/>
              <w:jc w:val="center"/>
              <w:rPr>
                <w:sz w:val="24"/>
              </w:rPr>
            </w:pPr>
            <w:r>
              <w:rPr>
                <w:sz w:val="24"/>
              </w:rPr>
              <w:t>信息平台建设维护费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110" w:type="dxa"/>
            <w:gridSpan w:val="3"/>
          </w:tcPr>
          <w:p>
            <w:pPr>
              <w:pStyle w:val="11"/>
              <w:spacing w:before="18" w:line="289" w:lineRule="exact"/>
              <w:ind w:left="1053" w:right="1046"/>
              <w:jc w:val="center"/>
              <w:rPr>
                <w:sz w:val="24"/>
              </w:rPr>
            </w:pPr>
            <w:r>
              <w:rPr>
                <w:sz w:val="24"/>
              </w:rPr>
              <w:t>预算单位</w:t>
            </w:r>
          </w:p>
        </w:tc>
        <w:tc>
          <w:tcPr>
            <w:tcW w:w="6360" w:type="dxa"/>
            <w:gridSpan w:val="3"/>
          </w:tcPr>
          <w:p>
            <w:pPr>
              <w:pStyle w:val="11"/>
              <w:spacing w:before="18" w:line="289" w:lineRule="exact"/>
              <w:ind w:left="1498"/>
              <w:rPr>
                <w:sz w:val="24"/>
              </w:rPr>
            </w:pPr>
            <w:r>
              <w:rPr>
                <w:sz w:val="24"/>
              </w:rPr>
              <w:t>政协广元市昭化区委员会办公室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90" w:type="dxa"/>
            <w:vMerge w:val="restart"/>
          </w:tcPr>
          <w:p>
            <w:pPr>
              <w:pStyle w:val="11"/>
              <w:spacing w:before="19" w:line="242" w:lineRule="auto"/>
              <w:ind w:left="15" w:right="2" w:firstLine="60"/>
              <w:jc w:val="both"/>
              <w:rPr>
                <w:sz w:val="24"/>
              </w:rPr>
            </w:pPr>
            <w:r>
              <w:rPr>
                <w:sz w:val="24"/>
              </w:rPr>
              <w:t xml:space="preserve">预算执行情况 </w:t>
            </w:r>
            <w:r>
              <w:rPr>
                <w:spacing w:val="-9"/>
                <w:sz w:val="24"/>
              </w:rPr>
              <w:t>(万</w:t>
            </w:r>
          </w:p>
          <w:p>
            <w:pPr>
              <w:pStyle w:val="11"/>
              <w:spacing w:before="10" w:line="288" w:lineRule="exact"/>
              <w:ind w:left="15"/>
              <w:rPr>
                <w:sz w:val="24"/>
              </w:rPr>
            </w:pPr>
            <w:r>
              <w:rPr>
                <w:spacing w:val="-8"/>
                <w:sz w:val="24"/>
              </w:rPr>
              <w:t>元)</w:t>
            </w:r>
          </w:p>
        </w:tc>
        <w:tc>
          <w:tcPr>
            <w:tcW w:w="2720" w:type="dxa"/>
            <w:gridSpan w:val="2"/>
          </w:tcPr>
          <w:p>
            <w:pPr>
              <w:pStyle w:val="11"/>
              <w:spacing w:before="19" w:line="288" w:lineRule="exact"/>
              <w:ind w:left="920" w:right="909"/>
              <w:jc w:val="center"/>
              <w:rPr>
                <w:sz w:val="24"/>
              </w:rPr>
            </w:pPr>
            <w:r>
              <w:rPr>
                <w:sz w:val="24"/>
              </w:rPr>
              <w:t>预算数:</w:t>
            </w:r>
          </w:p>
        </w:tc>
        <w:tc>
          <w:tcPr>
            <w:tcW w:w="2064" w:type="dxa"/>
          </w:tcPr>
          <w:p>
            <w:pPr>
              <w:pStyle w:val="11"/>
              <w:spacing w:before="19" w:line="288" w:lineRule="exact"/>
              <w:ind w:left="50" w:right="40"/>
              <w:jc w:val="center"/>
              <w:rPr>
                <w:sz w:val="24"/>
              </w:rPr>
            </w:pPr>
            <w:r>
              <w:rPr>
                <w:sz w:val="24"/>
              </w:rPr>
              <w:t>20 万元</w:t>
            </w:r>
          </w:p>
        </w:tc>
        <w:tc>
          <w:tcPr>
            <w:tcW w:w="2394" w:type="dxa"/>
          </w:tcPr>
          <w:p>
            <w:pPr>
              <w:pStyle w:val="11"/>
              <w:spacing w:before="19" w:line="288" w:lineRule="exact"/>
              <w:ind w:left="336" w:right="327"/>
              <w:jc w:val="center"/>
              <w:rPr>
                <w:sz w:val="24"/>
              </w:rPr>
            </w:pPr>
            <w:r>
              <w:rPr>
                <w:sz w:val="24"/>
              </w:rPr>
              <w:t>执行数:</w:t>
            </w:r>
          </w:p>
        </w:tc>
        <w:tc>
          <w:tcPr>
            <w:tcW w:w="1902" w:type="dxa"/>
          </w:tcPr>
          <w:p>
            <w:pPr>
              <w:pStyle w:val="11"/>
              <w:spacing w:before="19" w:line="288" w:lineRule="exact"/>
              <w:ind w:left="50" w:right="39"/>
              <w:jc w:val="center"/>
              <w:rPr>
                <w:sz w:val="24"/>
              </w:rPr>
            </w:pPr>
            <w:r>
              <w:rPr>
                <w:sz w:val="24"/>
              </w:rPr>
              <w:t>20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390" w:type="dxa"/>
            <w:vMerge w:val="continue"/>
            <w:tcBorders>
              <w:top w:val="nil"/>
            </w:tcBorders>
          </w:tcPr>
          <w:p>
            <w:pPr>
              <w:rPr>
                <w:sz w:val="2"/>
                <w:szCs w:val="2"/>
              </w:rPr>
            </w:pPr>
          </w:p>
        </w:tc>
        <w:tc>
          <w:tcPr>
            <w:tcW w:w="2720" w:type="dxa"/>
            <w:gridSpan w:val="2"/>
          </w:tcPr>
          <w:p>
            <w:pPr>
              <w:pStyle w:val="11"/>
              <w:spacing w:before="18" w:line="289" w:lineRule="exact"/>
              <w:ind w:left="520"/>
              <w:rPr>
                <w:sz w:val="24"/>
              </w:rPr>
            </w:pPr>
            <w:r>
              <w:rPr>
                <w:sz w:val="24"/>
              </w:rPr>
              <w:t>其中-财政拨款:</w:t>
            </w:r>
          </w:p>
        </w:tc>
        <w:tc>
          <w:tcPr>
            <w:tcW w:w="2064" w:type="dxa"/>
          </w:tcPr>
          <w:p>
            <w:pPr>
              <w:pStyle w:val="11"/>
              <w:spacing w:before="18" w:line="289" w:lineRule="exact"/>
              <w:ind w:left="50" w:right="40"/>
              <w:jc w:val="center"/>
              <w:rPr>
                <w:sz w:val="24"/>
              </w:rPr>
            </w:pPr>
            <w:r>
              <w:rPr>
                <w:sz w:val="24"/>
              </w:rPr>
              <w:t>20 万元</w:t>
            </w:r>
          </w:p>
        </w:tc>
        <w:tc>
          <w:tcPr>
            <w:tcW w:w="2394" w:type="dxa"/>
          </w:tcPr>
          <w:p>
            <w:pPr>
              <w:pStyle w:val="11"/>
              <w:spacing w:before="18" w:line="289" w:lineRule="exact"/>
              <w:ind w:left="336" w:right="327"/>
              <w:jc w:val="center"/>
              <w:rPr>
                <w:sz w:val="24"/>
              </w:rPr>
            </w:pPr>
            <w:r>
              <w:rPr>
                <w:sz w:val="24"/>
              </w:rPr>
              <w:t>其中-财政拨款:</w:t>
            </w:r>
          </w:p>
        </w:tc>
        <w:tc>
          <w:tcPr>
            <w:tcW w:w="1902" w:type="dxa"/>
          </w:tcPr>
          <w:p>
            <w:pPr>
              <w:pStyle w:val="11"/>
              <w:spacing w:before="18" w:line="289" w:lineRule="exact"/>
              <w:ind w:left="50" w:right="39"/>
              <w:jc w:val="center"/>
              <w:rPr>
                <w:sz w:val="24"/>
              </w:rPr>
            </w:pPr>
            <w:r>
              <w:rPr>
                <w:sz w:val="24"/>
              </w:rPr>
              <w:t>20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390" w:type="dxa"/>
            <w:vMerge w:val="continue"/>
            <w:tcBorders>
              <w:top w:val="nil"/>
            </w:tcBorders>
          </w:tcPr>
          <w:p>
            <w:pPr>
              <w:rPr>
                <w:sz w:val="2"/>
                <w:szCs w:val="2"/>
              </w:rPr>
            </w:pPr>
          </w:p>
        </w:tc>
        <w:tc>
          <w:tcPr>
            <w:tcW w:w="2720" w:type="dxa"/>
            <w:gridSpan w:val="2"/>
          </w:tcPr>
          <w:p>
            <w:pPr>
              <w:pStyle w:val="11"/>
              <w:rPr>
                <w:sz w:val="24"/>
              </w:rPr>
            </w:pPr>
          </w:p>
          <w:p>
            <w:pPr>
              <w:pStyle w:val="11"/>
              <w:rPr>
                <w:sz w:val="24"/>
              </w:rPr>
            </w:pPr>
          </w:p>
          <w:p>
            <w:pPr>
              <w:pStyle w:val="11"/>
              <w:spacing w:before="158"/>
              <w:ind w:left="820"/>
              <w:rPr>
                <w:sz w:val="24"/>
              </w:rPr>
            </w:pPr>
            <w:r>
              <w:rPr>
                <w:sz w:val="24"/>
              </w:rPr>
              <w:t>其它资金:</w:t>
            </w:r>
          </w:p>
        </w:tc>
        <w:tc>
          <w:tcPr>
            <w:tcW w:w="2064" w:type="dxa"/>
          </w:tcPr>
          <w:p>
            <w:pPr>
              <w:pStyle w:val="11"/>
              <w:rPr>
                <w:sz w:val="24"/>
              </w:rPr>
            </w:pPr>
          </w:p>
          <w:p>
            <w:pPr>
              <w:pStyle w:val="11"/>
              <w:rPr>
                <w:sz w:val="24"/>
              </w:rPr>
            </w:pPr>
          </w:p>
          <w:p>
            <w:pPr>
              <w:pStyle w:val="11"/>
              <w:spacing w:before="158"/>
              <w:ind w:left="7"/>
              <w:jc w:val="center"/>
              <w:rPr>
                <w:sz w:val="24"/>
              </w:rPr>
            </w:pPr>
            <w:r>
              <w:rPr>
                <w:sz w:val="24"/>
              </w:rPr>
              <w:t>0</w:t>
            </w:r>
          </w:p>
        </w:tc>
        <w:tc>
          <w:tcPr>
            <w:tcW w:w="2394" w:type="dxa"/>
          </w:tcPr>
          <w:p>
            <w:pPr>
              <w:pStyle w:val="11"/>
              <w:rPr>
                <w:sz w:val="24"/>
              </w:rPr>
            </w:pPr>
          </w:p>
          <w:p>
            <w:pPr>
              <w:pStyle w:val="11"/>
              <w:rPr>
                <w:sz w:val="24"/>
              </w:rPr>
            </w:pPr>
          </w:p>
          <w:p>
            <w:pPr>
              <w:pStyle w:val="11"/>
              <w:spacing w:before="158"/>
              <w:ind w:left="336" w:right="327"/>
              <w:jc w:val="center"/>
              <w:rPr>
                <w:sz w:val="24"/>
              </w:rPr>
            </w:pPr>
            <w:r>
              <w:rPr>
                <w:sz w:val="24"/>
              </w:rPr>
              <w:t>其它资金:</w:t>
            </w:r>
          </w:p>
        </w:tc>
        <w:tc>
          <w:tcPr>
            <w:tcW w:w="1902" w:type="dxa"/>
          </w:tcPr>
          <w:p>
            <w:pPr>
              <w:pStyle w:val="11"/>
              <w:rPr>
                <w:sz w:val="24"/>
              </w:rPr>
            </w:pPr>
          </w:p>
          <w:p>
            <w:pPr>
              <w:pStyle w:val="11"/>
              <w:rPr>
                <w:sz w:val="24"/>
              </w:rPr>
            </w:pPr>
          </w:p>
          <w:p>
            <w:pPr>
              <w:pStyle w:val="11"/>
              <w:spacing w:before="158"/>
              <w:ind w:left="9"/>
              <w:jc w:val="center"/>
              <w:rPr>
                <w:sz w:val="24"/>
              </w:rPr>
            </w:pP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90" w:type="dxa"/>
            <w:vMerge w:val="restart"/>
          </w:tcPr>
          <w:p>
            <w:pPr>
              <w:pStyle w:val="11"/>
              <w:spacing w:before="15" w:line="310" w:lineRule="atLeast"/>
              <w:ind w:left="75" w:right="62"/>
              <w:jc w:val="both"/>
              <w:rPr>
                <w:sz w:val="24"/>
              </w:rPr>
            </w:pPr>
            <w:r>
              <w:rPr>
                <w:sz w:val="24"/>
              </w:rPr>
              <w:t>年度目标完成情况</w:t>
            </w:r>
          </w:p>
        </w:tc>
        <w:tc>
          <w:tcPr>
            <w:tcW w:w="4784" w:type="dxa"/>
            <w:gridSpan w:val="3"/>
          </w:tcPr>
          <w:p>
            <w:pPr>
              <w:pStyle w:val="11"/>
              <w:spacing w:before="18" w:line="289" w:lineRule="exact"/>
              <w:ind w:left="1892" w:right="1881"/>
              <w:jc w:val="center"/>
              <w:rPr>
                <w:sz w:val="24"/>
              </w:rPr>
            </w:pPr>
            <w:r>
              <w:rPr>
                <w:sz w:val="24"/>
              </w:rPr>
              <w:t>预期目标</w:t>
            </w:r>
          </w:p>
        </w:tc>
        <w:tc>
          <w:tcPr>
            <w:tcW w:w="4296" w:type="dxa"/>
            <w:gridSpan w:val="2"/>
          </w:tcPr>
          <w:p>
            <w:pPr>
              <w:pStyle w:val="11"/>
              <w:spacing w:before="18" w:line="289" w:lineRule="exact"/>
              <w:ind w:left="1426"/>
              <w:rPr>
                <w:sz w:val="24"/>
              </w:rPr>
            </w:pPr>
            <w:r>
              <w:rPr>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390" w:type="dxa"/>
            <w:vMerge w:val="continue"/>
            <w:tcBorders>
              <w:top w:val="nil"/>
            </w:tcBorders>
          </w:tcPr>
          <w:p>
            <w:pPr>
              <w:rPr>
                <w:sz w:val="2"/>
                <w:szCs w:val="2"/>
              </w:rPr>
            </w:pPr>
          </w:p>
        </w:tc>
        <w:tc>
          <w:tcPr>
            <w:tcW w:w="4784" w:type="dxa"/>
            <w:gridSpan w:val="3"/>
          </w:tcPr>
          <w:p>
            <w:pPr>
              <w:pStyle w:val="11"/>
              <w:rPr>
                <w:sz w:val="24"/>
              </w:rPr>
            </w:pPr>
          </w:p>
          <w:p>
            <w:pPr>
              <w:pStyle w:val="11"/>
              <w:rPr>
                <w:sz w:val="24"/>
              </w:rPr>
            </w:pPr>
          </w:p>
          <w:p>
            <w:pPr>
              <w:pStyle w:val="11"/>
              <w:spacing w:before="170" w:line="242" w:lineRule="auto"/>
              <w:ind w:left="14" w:right="-44"/>
              <w:rPr>
                <w:sz w:val="24"/>
              </w:rPr>
            </w:pPr>
            <w:r>
              <w:rPr>
                <w:spacing w:val="-12"/>
                <w:sz w:val="24"/>
              </w:rPr>
              <w:t>完成区政协系统信息的收集、整理、传输工作</w:t>
            </w:r>
            <w:r>
              <w:rPr>
                <w:spacing w:val="-13"/>
                <w:sz w:val="24"/>
              </w:rPr>
              <w:t>保障区政协办公自动化以及网络的正常运行。</w:t>
            </w:r>
          </w:p>
        </w:tc>
        <w:tc>
          <w:tcPr>
            <w:tcW w:w="4296" w:type="dxa"/>
            <w:gridSpan w:val="2"/>
          </w:tcPr>
          <w:p>
            <w:pPr>
              <w:pStyle w:val="11"/>
              <w:rPr>
                <w:sz w:val="24"/>
              </w:rPr>
            </w:pPr>
          </w:p>
          <w:p>
            <w:pPr>
              <w:pStyle w:val="11"/>
              <w:spacing w:before="1"/>
              <w:rPr>
                <w:sz w:val="25"/>
              </w:rPr>
            </w:pPr>
          </w:p>
          <w:p>
            <w:pPr>
              <w:pStyle w:val="11"/>
              <w:spacing w:line="232" w:lineRule="exact"/>
              <w:ind w:left="15"/>
              <w:rPr>
                <w:sz w:val="24"/>
              </w:rPr>
            </w:pPr>
            <w:r>
              <w:rPr>
                <w:spacing w:val="-8"/>
                <w:sz w:val="24"/>
              </w:rPr>
              <w:t>通过项目的实施，完成区政协系统信息的</w:t>
            </w:r>
          </w:p>
          <w:p>
            <w:pPr>
              <w:pStyle w:val="11"/>
              <w:spacing w:line="156" w:lineRule="exact"/>
              <w:ind w:left="-136"/>
              <w:rPr>
                <w:sz w:val="24"/>
              </w:rPr>
            </w:pPr>
            <w:r>
              <w:rPr>
                <w:sz w:val="24"/>
              </w:rPr>
              <w:t>，</w:t>
            </w:r>
          </w:p>
          <w:p>
            <w:pPr>
              <w:pStyle w:val="11"/>
              <w:spacing w:line="232" w:lineRule="exact"/>
              <w:ind w:left="15"/>
              <w:rPr>
                <w:sz w:val="24"/>
              </w:rPr>
            </w:pPr>
            <w:r>
              <w:rPr>
                <w:spacing w:val="-9"/>
                <w:sz w:val="24"/>
              </w:rPr>
              <w:t>收集、整理、传输工作，保障区政协办公</w:t>
            </w:r>
          </w:p>
          <w:p>
            <w:pPr>
              <w:pStyle w:val="11"/>
              <w:spacing w:before="5"/>
              <w:ind w:left="15"/>
              <w:rPr>
                <w:sz w:val="24"/>
              </w:rPr>
            </w:pPr>
            <w:r>
              <w:rPr>
                <w:sz w:val="24"/>
              </w:rPr>
              <w:t>自动化以及网络的正常运行。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restart"/>
          </w:tcPr>
          <w:p>
            <w:pPr>
              <w:pStyle w:val="11"/>
              <w:rPr>
                <w:sz w:val="24"/>
              </w:rPr>
            </w:pPr>
          </w:p>
          <w:p>
            <w:pPr>
              <w:pStyle w:val="11"/>
              <w:rPr>
                <w:sz w:val="24"/>
              </w:rPr>
            </w:pPr>
          </w:p>
          <w:p>
            <w:pPr>
              <w:pStyle w:val="11"/>
              <w:rPr>
                <w:sz w:val="24"/>
              </w:rPr>
            </w:pPr>
          </w:p>
          <w:p>
            <w:pPr>
              <w:pStyle w:val="11"/>
              <w:rPr>
                <w:sz w:val="24"/>
              </w:rPr>
            </w:pPr>
          </w:p>
          <w:p>
            <w:pPr>
              <w:pStyle w:val="11"/>
              <w:spacing w:before="8"/>
              <w:rPr>
                <w:sz w:val="21"/>
              </w:rPr>
            </w:pPr>
          </w:p>
          <w:p>
            <w:pPr>
              <w:pStyle w:val="11"/>
              <w:spacing w:line="242" w:lineRule="auto"/>
              <w:ind w:left="75" w:right="62"/>
              <w:jc w:val="both"/>
              <w:rPr>
                <w:sz w:val="24"/>
              </w:rPr>
            </w:pPr>
            <w:r>
              <w:rPr>
                <w:sz w:val="24"/>
              </w:rPr>
              <w:t>绩效指标完成情况</w:t>
            </w:r>
          </w:p>
        </w:tc>
        <w:tc>
          <w:tcPr>
            <w:tcW w:w="1400" w:type="dxa"/>
          </w:tcPr>
          <w:p>
            <w:pPr>
              <w:pStyle w:val="11"/>
              <w:spacing w:before="10"/>
              <w:rPr>
                <w:sz w:val="29"/>
              </w:rPr>
            </w:pPr>
          </w:p>
          <w:p>
            <w:pPr>
              <w:pStyle w:val="11"/>
              <w:ind w:left="220"/>
              <w:rPr>
                <w:sz w:val="24"/>
              </w:rPr>
            </w:pPr>
            <w:r>
              <w:rPr>
                <w:sz w:val="24"/>
              </w:rPr>
              <w:t>一级指标</w:t>
            </w:r>
          </w:p>
        </w:tc>
        <w:tc>
          <w:tcPr>
            <w:tcW w:w="1320" w:type="dxa"/>
          </w:tcPr>
          <w:p>
            <w:pPr>
              <w:pStyle w:val="11"/>
              <w:spacing w:before="10"/>
              <w:rPr>
                <w:sz w:val="29"/>
              </w:rPr>
            </w:pPr>
          </w:p>
          <w:p>
            <w:pPr>
              <w:pStyle w:val="11"/>
              <w:ind w:left="158" w:right="151"/>
              <w:jc w:val="center"/>
              <w:rPr>
                <w:sz w:val="24"/>
              </w:rPr>
            </w:pPr>
            <w:r>
              <w:rPr>
                <w:sz w:val="24"/>
              </w:rPr>
              <w:t>二级指标</w:t>
            </w:r>
          </w:p>
        </w:tc>
        <w:tc>
          <w:tcPr>
            <w:tcW w:w="2064" w:type="dxa"/>
          </w:tcPr>
          <w:p>
            <w:pPr>
              <w:pStyle w:val="11"/>
              <w:spacing w:before="10"/>
              <w:rPr>
                <w:sz w:val="29"/>
              </w:rPr>
            </w:pPr>
          </w:p>
          <w:p>
            <w:pPr>
              <w:pStyle w:val="11"/>
              <w:ind w:left="50" w:right="43"/>
              <w:jc w:val="center"/>
              <w:rPr>
                <w:sz w:val="24"/>
              </w:rPr>
            </w:pPr>
            <w:r>
              <w:rPr>
                <w:sz w:val="24"/>
              </w:rPr>
              <w:t>三级指标</w:t>
            </w:r>
          </w:p>
        </w:tc>
        <w:tc>
          <w:tcPr>
            <w:tcW w:w="2394" w:type="dxa"/>
          </w:tcPr>
          <w:p>
            <w:pPr>
              <w:pStyle w:val="11"/>
              <w:spacing w:before="8"/>
              <w:rPr>
                <w:sz w:val="17"/>
              </w:rPr>
            </w:pPr>
          </w:p>
          <w:p>
            <w:pPr>
              <w:pStyle w:val="11"/>
              <w:spacing w:line="242" w:lineRule="auto"/>
              <w:ind w:left="536" w:right="45" w:hanging="480"/>
              <w:rPr>
                <w:sz w:val="24"/>
              </w:rPr>
            </w:pPr>
            <w:r>
              <w:rPr>
                <w:sz w:val="24"/>
              </w:rPr>
              <w:t>预期指标值(包含数字及文字描述)</w:t>
            </w:r>
          </w:p>
        </w:tc>
        <w:tc>
          <w:tcPr>
            <w:tcW w:w="1902" w:type="dxa"/>
          </w:tcPr>
          <w:p>
            <w:pPr>
              <w:pStyle w:val="11"/>
              <w:spacing w:before="70" w:line="242" w:lineRule="auto"/>
              <w:ind w:left="50" w:right="39"/>
              <w:jc w:val="center"/>
              <w:rPr>
                <w:sz w:val="24"/>
              </w:rPr>
            </w:pPr>
            <w:r>
              <w:rPr>
                <w:sz w:val="24"/>
              </w:rPr>
              <w:t xml:space="preserve">实际完成指标值 </w:t>
            </w:r>
            <w:r>
              <w:rPr>
                <w:spacing w:val="-3"/>
                <w:sz w:val="24"/>
              </w:rPr>
              <w:t>(包含数字及文字</w:t>
            </w:r>
            <w:r>
              <w:rPr>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390" w:type="dxa"/>
            <w:vMerge w:val="continue"/>
            <w:tcBorders>
              <w:top w:val="nil"/>
            </w:tcBorders>
          </w:tcPr>
          <w:p>
            <w:pPr>
              <w:rPr>
                <w:sz w:val="2"/>
                <w:szCs w:val="2"/>
              </w:rPr>
            </w:pPr>
          </w:p>
        </w:tc>
        <w:tc>
          <w:tcPr>
            <w:tcW w:w="1400" w:type="dxa"/>
          </w:tcPr>
          <w:p>
            <w:pPr>
              <w:pStyle w:val="11"/>
              <w:spacing w:before="181" w:line="242" w:lineRule="auto"/>
              <w:ind w:left="580" w:right="87" w:hanging="480"/>
              <w:rPr>
                <w:sz w:val="24"/>
              </w:rPr>
            </w:pPr>
            <w:r>
              <w:rPr>
                <w:sz w:val="24"/>
              </w:rPr>
              <w:t>项目完成指标</w:t>
            </w:r>
          </w:p>
        </w:tc>
        <w:tc>
          <w:tcPr>
            <w:tcW w:w="1320" w:type="dxa"/>
          </w:tcPr>
          <w:p>
            <w:pPr>
              <w:pStyle w:val="11"/>
              <w:spacing w:before="4"/>
              <w:rPr>
                <w:sz w:val="26"/>
              </w:rPr>
            </w:pPr>
          </w:p>
          <w:p>
            <w:pPr>
              <w:pStyle w:val="11"/>
              <w:ind w:left="158" w:right="151"/>
              <w:jc w:val="center"/>
              <w:rPr>
                <w:sz w:val="24"/>
              </w:rPr>
            </w:pPr>
            <w:r>
              <w:rPr>
                <w:sz w:val="24"/>
              </w:rPr>
              <w:t>数量指标</w:t>
            </w:r>
          </w:p>
        </w:tc>
        <w:tc>
          <w:tcPr>
            <w:tcW w:w="2064" w:type="dxa"/>
          </w:tcPr>
          <w:p>
            <w:pPr>
              <w:pStyle w:val="11"/>
              <w:spacing w:before="4"/>
              <w:rPr>
                <w:sz w:val="26"/>
              </w:rPr>
            </w:pPr>
          </w:p>
          <w:p>
            <w:pPr>
              <w:pStyle w:val="11"/>
              <w:ind w:left="50" w:right="40"/>
              <w:jc w:val="center"/>
              <w:rPr>
                <w:sz w:val="24"/>
              </w:rPr>
            </w:pPr>
            <w:r>
              <w:rPr>
                <w:sz w:val="24"/>
              </w:rPr>
              <w:t>WIFI 覆盖数</w:t>
            </w:r>
          </w:p>
        </w:tc>
        <w:tc>
          <w:tcPr>
            <w:tcW w:w="2394" w:type="dxa"/>
          </w:tcPr>
          <w:p>
            <w:pPr>
              <w:pStyle w:val="11"/>
              <w:spacing w:before="4"/>
              <w:rPr>
                <w:sz w:val="26"/>
              </w:rPr>
            </w:pPr>
          </w:p>
          <w:p>
            <w:pPr>
              <w:pStyle w:val="11"/>
              <w:ind w:left="336" w:right="325"/>
              <w:jc w:val="center"/>
              <w:rPr>
                <w:sz w:val="24"/>
              </w:rPr>
            </w:pPr>
            <w:r>
              <w:rPr>
                <w:sz w:val="24"/>
              </w:rPr>
              <w:t>40 个</w:t>
            </w:r>
          </w:p>
        </w:tc>
        <w:tc>
          <w:tcPr>
            <w:tcW w:w="1902" w:type="dxa"/>
          </w:tcPr>
          <w:p>
            <w:pPr>
              <w:pStyle w:val="11"/>
              <w:spacing w:before="4"/>
              <w:rPr>
                <w:sz w:val="26"/>
              </w:rPr>
            </w:pPr>
          </w:p>
          <w:p>
            <w:pPr>
              <w:pStyle w:val="11"/>
              <w:ind w:left="50" w:right="39"/>
              <w:jc w:val="center"/>
              <w:rPr>
                <w:sz w:val="24"/>
              </w:rPr>
            </w:pPr>
            <w:r>
              <w:rPr>
                <w:sz w:val="24"/>
              </w:rPr>
              <w:t>40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390" w:type="dxa"/>
            <w:vMerge w:val="continue"/>
            <w:tcBorders>
              <w:top w:val="nil"/>
            </w:tcBorders>
          </w:tcPr>
          <w:p>
            <w:pPr>
              <w:rPr>
                <w:sz w:val="2"/>
                <w:szCs w:val="2"/>
              </w:rPr>
            </w:pPr>
          </w:p>
        </w:tc>
        <w:tc>
          <w:tcPr>
            <w:tcW w:w="1400" w:type="dxa"/>
          </w:tcPr>
          <w:p>
            <w:pPr>
              <w:pStyle w:val="11"/>
              <w:spacing w:before="7"/>
              <w:rPr>
                <w:sz w:val="27"/>
              </w:rPr>
            </w:pPr>
          </w:p>
          <w:p>
            <w:pPr>
              <w:pStyle w:val="11"/>
              <w:spacing w:line="242" w:lineRule="auto"/>
              <w:ind w:left="580" w:right="87" w:hanging="480"/>
              <w:rPr>
                <w:sz w:val="24"/>
              </w:rPr>
            </w:pPr>
            <w:r>
              <w:rPr>
                <w:sz w:val="24"/>
              </w:rPr>
              <w:t>项目完成指标</w:t>
            </w:r>
          </w:p>
        </w:tc>
        <w:tc>
          <w:tcPr>
            <w:tcW w:w="1320" w:type="dxa"/>
          </w:tcPr>
          <w:p>
            <w:pPr>
              <w:pStyle w:val="11"/>
              <w:rPr>
                <w:sz w:val="24"/>
              </w:rPr>
            </w:pPr>
          </w:p>
          <w:p>
            <w:pPr>
              <w:pStyle w:val="11"/>
              <w:spacing w:before="201"/>
              <w:ind w:left="158" w:right="151"/>
              <w:jc w:val="center"/>
              <w:rPr>
                <w:sz w:val="24"/>
              </w:rPr>
            </w:pPr>
            <w:r>
              <w:rPr>
                <w:sz w:val="24"/>
              </w:rPr>
              <w:t>数量指标</w:t>
            </w:r>
          </w:p>
        </w:tc>
        <w:tc>
          <w:tcPr>
            <w:tcW w:w="2064" w:type="dxa"/>
          </w:tcPr>
          <w:p>
            <w:pPr>
              <w:pStyle w:val="11"/>
              <w:rPr>
                <w:sz w:val="24"/>
              </w:rPr>
            </w:pPr>
          </w:p>
          <w:p>
            <w:pPr>
              <w:pStyle w:val="11"/>
              <w:spacing w:before="201"/>
              <w:ind w:left="50" w:right="43"/>
              <w:jc w:val="center"/>
              <w:rPr>
                <w:sz w:val="24"/>
              </w:rPr>
            </w:pPr>
            <w:r>
              <w:rPr>
                <w:sz w:val="24"/>
              </w:rPr>
              <w:t>机关局域网</w:t>
            </w:r>
          </w:p>
        </w:tc>
        <w:tc>
          <w:tcPr>
            <w:tcW w:w="2394" w:type="dxa"/>
          </w:tcPr>
          <w:p>
            <w:pPr>
              <w:pStyle w:val="11"/>
              <w:rPr>
                <w:sz w:val="24"/>
              </w:rPr>
            </w:pPr>
          </w:p>
          <w:p>
            <w:pPr>
              <w:pStyle w:val="11"/>
              <w:spacing w:before="201"/>
              <w:ind w:left="336" w:right="327"/>
              <w:jc w:val="center"/>
              <w:rPr>
                <w:sz w:val="24"/>
              </w:rPr>
            </w:pPr>
            <w:r>
              <w:rPr>
                <w:sz w:val="24"/>
              </w:rPr>
              <w:t>每年 1 套</w:t>
            </w:r>
          </w:p>
        </w:tc>
        <w:tc>
          <w:tcPr>
            <w:tcW w:w="1902" w:type="dxa"/>
          </w:tcPr>
          <w:p>
            <w:pPr>
              <w:pStyle w:val="11"/>
              <w:rPr>
                <w:sz w:val="24"/>
              </w:rPr>
            </w:pPr>
          </w:p>
          <w:p>
            <w:pPr>
              <w:pStyle w:val="11"/>
              <w:spacing w:before="201"/>
              <w:ind w:left="48" w:right="39"/>
              <w:jc w:val="center"/>
              <w:rPr>
                <w:sz w:val="24"/>
              </w:rPr>
            </w:pPr>
            <w:r>
              <w:rPr>
                <w:sz w:val="24"/>
              </w:rPr>
              <w:t>每年 1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390" w:type="dxa"/>
            <w:vMerge w:val="continue"/>
            <w:tcBorders>
              <w:top w:val="nil"/>
            </w:tcBorders>
          </w:tcPr>
          <w:p>
            <w:pPr>
              <w:rPr>
                <w:sz w:val="2"/>
                <w:szCs w:val="2"/>
              </w:rPr>
            </w:pPr>
          </w:p>
        </w:tc>
        <w:tc>
          <w:tcPr>
            <w:tcW w:w="1400" w:type="dxa"/>
          </w:tcPr>
          <w:p>
            <w:pPr>
              <w:pStyle w:val="11"/>
              <w:spacing w:before="8"/>
              <w:rPr>
                <w:sz w:val="17"/>
              </w:rPr>
            </w:pPr>
          </w:p>
          <w:p>
            <w:pPr>
              <w:pStyle w:val="11"/>
              <w:spacing w:line="242" w:lineRule="auto"/>
              <w:ind w:left="580" w:right="87" w:hanging="480"/>
              <w:rPr>
                <w:sz w:val="24"/>
              </w:rPr>
            </w:pPr>
            <w:r>
              <w:rPr>
                <w:sz w:val="24"/>
              </w:rPr>
              <w:t>项目完成指标</w:t>
            </w:r>
          </w:p>
        </w:tc>
        <w:tc>
          <w:tcPr>
            <w:tcW w:w="1320" w:type="dxa"/>
          </w:tcPr>
          <w:p>
            <w:pPr>
              <w:pStyle w:val="11"/>
              <w:spacing w:before="10"/>
              <w:rPr>
                <w:sz w:val="29"/>
              </w:rPr>
            </w:pPr>
          </w:p>
          <w:p>
            <w:pPr>
              <w:pStyle w:val="11"/>
              <w:ind w:left="158" w:right="151"/>
              <w:jc w:val="center"/>
              <w:rPr>
                <w:sz w:val="24"/>
              </w:rPr>
            </w:pPr>
            <w:r>
              <w:rPr>
                <w:sz w:val="24"/>
              </w:rPr>
              <w:t>数量指标</w:t>
            </w:r>
          </w:p>
        </w:tc>
        <w:tc>
          <w:tcPr>
            <w:tcW w:w="2064" w:type="dxa"/>
          </w:tcPr>
          <w:p>
            <w:pPr>
              <w:pStyle w:val="11"/>
              <w:spacing w:before="10"/>
              <w:rPr>
                <w:sz w:val="29"/>
              </w:rPr>
            </w:pPr>
          </w:p>
          <w:p>
            <w:pPr>
              <w:pStyle w:val="11"/>
              <w:ind w:left="50" w:right="43"/>
              <w:jc w:val="center"/>
              <w:rPr>
                <w:sz w:val="24"/>
              </w:rPr>
            </w:pPr>
            <w:r>
              <w:rPr>
                <w:sz w:val="24"/>
              </w:rPr>
              <w:t>更换设备及耗材</w:t>
            </w:r>
          </w:p>
        </w:tc>
        <w:tc>
          <w:tcPr>
            <w:tcW w:w="2394" w:type="dxa"/>
          </w:tcPr>
          <w:p>
            <w:pPr>
              <w:pStyle w:val="11"/>
              <w:spacing w:before="10"/>
              <w:rPr>
                <w:sz w:val="29"/>
              </w:rPr>
            </w:pPr>
          </w:p>
          <w:p>
            <w:pPr>
              <w:pStyle w:val="11"/>
              <w:ind w:left="336" w:right="325"/>
              <w:jc w:val="center"/>
              <w:rPr>
                <w:sz w:val="24"/>
              </w:rPr>
            </w:pPr>
            <w:r>
              <w:rPr>
                <w:sz w:val="24"/>
              </w:rPr>
              <w:t>80 个</w:t>
            </w:r>
          </w:p>
        </w:tc>
        <w:tc>
          <w:tcPr>
            <w:tcW w:w="1902" w:type="dxa"/>
          </w:tcPr>
          <w:p>
            <w:pPr>
              <w:pStyle w:val="11"/>
              <w:spacing w:before="10"/>
              <w:rPr>
                <w:sz w:val="29"/>
              </w:rPr>
            </w:pPr>
          </w:p>
          <w:p>
            <w:pPr>
              <w:pStyle w:val="11"/>
              <w:ind w:left="50" w:right="39"/>
              <w:jc w:val="center"/>
              <w:rPr>
                <w:sz w:val="24"/>
              </w:rPr>
            </w:pPr>
            <w:r>
              <w:rPr>
                <w:sz w:val="24"/>
              </w:rPr>
              <w:t>60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390" w:type="dxa"/>
            <w:vMerge w:val="continue"/>
            <w:tcBorders>
              <w:top w:val="nil"/>
            </w:tcBorders>
          </w:tcPr>
          <w:p>
            <w:pPr>
              <w:rPr>
                <w:sz w:val="2"/>
                <w:szCs w:val="2"/>
              </w:rPr>
            </w:pPr>
          </w:p>
        </w:tc>
        <w:tc>
          <w:tcPr>
            <w:tcW w:w="1400" w:type="dxa"/>
          </w:tcPr>
          <w:p>
            <w:pPr>
              <w:pStyle w:val="11"/>
              <w:spacing w:before="9"/>
              <w:rPr>
                <w:sz w:val="17"/>
              </w:rPr>
            </w:pPr>
          </w:p>
          <w:p>
            <w:pPr>
              <w:pStyle w:val="11"/>
              <w:spacing w:line="242" w:lineRule="auto"/>
              <w:ind w:left="580" w:right="87" w:hanging="480"/>
              <w:rPr>
                <w:sz w:val="24"/>
              </w:rPr>
            </w:pPr>
            <w:r>
              <w:rPr>
                <w:sz w:val="24"/>
              </w:rPr>
              <w:t>项目完成指标</w:t>
            </w:r>
          </w:p>
        </w:tc>
        <w:tc>
          <w:tcPr>
            <w:tcW w:w="1320" w:type="dxa"/>
          </w:tcPr>
          <w:p>
            <w:pPr>
              <w:pStyle w:val="11"/>
              <w:spacing w:before="11"/>
              <w:rPr>
                <w:sz w:val="29"/>
              </w:rPr>
            </w:pPr>
          </w:p>
          <w:p>
            <w:pPr>
              <w:pStyle w:val="11"/>
              <w:ind w:left="158" w:right="151"/>
              <w:jc w:val="center"/>
              <w:rPr>
                <w:sz w:val="24"/>
              </w:rPr>
            </w:pPr>
            <w:r>
              <w:rPr>
                <w:sz w:val="24"/>
              </w:rPr>
              <w:t>数量指标</w:t>
            </w:r>
          </w:p>
        </w:tc>
        <w:tc>
          <w:tcPr>
            <w:tcW w:w="2064" w:type="dxa"/>
          </w:tcPr>
          <w:p>
            <w:pPr>
              <w:pStyle w:val="11"/>
              <w:spacing w:before="9"/>
              <w:rPr>
                <w:sz w:val="17"/>
              </w:rPr>
            </w:pPr>
          </w:p>
          <w:p>
            <w:pPr>
              <w:pStyle w:val="11"/>
              <w:spacing w:line="242" w:lineRule="auto"/>
              <w:ind w:left="670" w:right="61" w:hanging="600"/>
              <w:rPr>
                <w:sz w:val="24"/>
              </w:rPr>
            </w:pPr>
            <w:r>
              <w:rPr>
                <w:sz w:val="24"/>
              </w:rPr>
              <w:t>处理网络及终端各类问题</w:t>
            </w:r>
          </w:p>
        </w:tc>
        <w:tc>
          <w:tcPr>
            <w:tcW w:w="2394" w:type="dxa"/>
          </w:tcPr>
          <w:p>
            <w:pPr>
              <w:pStyle w:val="11"/>
              <w:spacing w:before="11"/>
              <w:rPr>
                <w:sz w:val="29"/>
              </w:rPr>
            </w:pPr>
          </w:p>
          <w:p>
            <w:pPr>
              <w:pStyle w:val="11"/>
              <w:ind w:left="336" w:right="325"/>
              <w:jc w:val="center"/>
              <w:rPr>
                <w:sz w:val="24"/>
              </w:rPr>
            </w:pPr>
            <w:r>
              <w:rPr>
                <w:sz w:val="24"/>
              </w:rPr>
              <w:t>1200 次</w:t>
            </w:r>
          </w:p>
        </w:tc>
        <w:tc>
          <w:tcPr>
            <w:tcW w:w="1902" w:type="dxa"/>
          </w:tcPr>
          <w:p>
            <w:pPr>
              <w:pStyle w:val="11"/>
              <w:spacing w:before="11"/>
              <w:rPr>
                <w:sz w:val="29"/>
              </w:rPr>
            </w:pPr>
          </w:p>
          <w:p>
            <w:pPr>
              <w:pStyle w:val="11"/>
              <w:ind w:left="50" w:right="39"/>
              <w:jc w:val="center"/>
              <w:rPr>
                <w:sz w:val="24"/>
              </w:rPr>
            </w:pPr>
            <w:r>
              <w:rPr>
                <w:sz w:val="24"/>
              </w:rPr>
              <w:t>980 次</w:t>
            </w:r>
          </w:p>
        </w:tc>
      </w:tr>
    </w:tbl>
    <w:p>
      <w:pPr>
        <w:spacing w:after="0"/>
        <w:jc w:val="center"/>
        <w:rPr>
          <w:sz w:val="24"/>
        </w:rPr>
        <w:sectPr>
          <w:pgSz w:w="11910" w:h="16840"/>
          <w:pgMar w:top="1580" w:right="1100" w:bottom="1380" w:left="1100" w:header="0" w:footer="1116" w:gutter="0"/>
          <w:cols w:space="720" w:num="1"/>
        </w:sect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400"/>
        <w:gridCol w:w="1320"/>
        <w:gridCol w:w="2064"/>
        <w:gridCol w:w="2394"/>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restart"/>
          </w:tcPr>
          <w:p>
            <w:pPr>
              <w:pStyle w:val="11"/>
              <w:rPr>
                <w:rFonts w:ascii="Times New Roman"/>
                <w:sz w:val="22"/>
              </w:rPr>
            </w:pPr>
          </w:p>
        </w:tc>
        <w:tc>
          <w:tcPr>
            <w:tcW w:w="1400" w:type="dxa"/>
          </w:tcPr>
          <w:p>
            <w:pPr>
              <w:pStyle w:val="11"/>
              <w:rPr>
                <w:rFonts w:ascii="Times New Roman"/>
                <w:sz w:val="22"/>
              </w:rPr>
            </w:pPr>
          </w:p>
        </w:tc>
        <w:tc>
          <w:tcPr>
            <w:tcW w:w="1320" w:type="dxa"/>
          </w:tcPr>
          <w:p>
            <w:pPr>
              <w:pStyle w:val="11"/>
              <w:rPr>
                <w:rFonts w:ascii="Times New Roman"/>
                <w:sz w:val="22"/>
              </w:rPr>
            </w:pPr>
          </w:p>
        </w:tc>
        <w:tc>
          <w:tcPr>
            <w:tcW w:w="2064" w:type="dxa"/>
          </w:tcPr>
          <w:p>
            <w:pPr>
              <w:pStyle w:val="11"/>
              <w:rPr>
                <w:rFonts w:ascii="Times New Roman"/>
                <w:sz w:val="22"/>
              </w:rPr>
            </w:pPr>
          </w:p>
        </w:tc>
        <w:tc>
          <w:tcPr>
            <w:tcW w:w="2394" w:type="dxa"/>
          </w:tcPr>
          <w:p>
            <w:pPr>
              <w:pStyle w:val="11"/>
              <w:rPr>
                <w:rFonts w:ascii="Times New Roman"/>
                <w:sz w:val="22"/>
              </w:rPr>
            </w:pPr>
          </w:p>
        </w:tc>
        <w:tc>
          <w:tcPr>
            <w:tcW w:w="1902"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390" w:type="dxa"/>
            <w:vMerge w:val="continue"/>
            <w:tcBorders>
              <w:top w:val="nil"/>
            </w:tcBorders>
          </w:tcPr>
          <w:p>
            <w:pPr>
              <w:rPr>
                <w:sz w:val="2"/>
                <w:szCs w:val="2"/>
              </w:rPr>
            </w:pPr>
          </w:p>
        </w:tc>
        <w:tc>
          <w:tcPr>
            <w:tcW w:w="1400" w:type="dxa"/>
          </w:tcPr>
          <w:p>
            <w:pPr>
              <w:pStyle w:val="11"/>
              <w:spacing w:before="9"/>
              <w:rPr>
                <w:sz w:val="17"/>
              </w:rPr>
            </w:pPr>
          </w:p>
          <w:p>
            <w:pPr>
              <w:pStyle w:val="11"/>
              <w:spacing w:line="242" w:lineRule="auto"/>
              <w:ind w:left="580" w:right="87" w:hanging="480"/>
              <w:rPr>
                <w:sz w:val="24"/>
              </w:rPr>
            </w:pPr>
            <w:r>
              <w:rPr>
                <w:sz w:val="24"/>
              </w:rPr>
              <w:t>项目完成指标</w:t>
            </w:r>
          </w:p>
        </w:tc>
        <w:tc>
          <w:tcPr>
            <w:tcW w:w="1320" w:type="dxa"/>
          </w:tcPr>
          <w:p>
            <w:pPr>
              <w:pStyle w:val="11"/>
              <w:spacing w:before="11"/>
              <w:rPr>
                <w:sz w:val="29"/>
              </w:rPr>
            </w:pPr>
          </w:p>
          <w:p>
            <w:pPr>
              <w:pStyle w:val="11"/>
              <w:spacing w:before="1"/>
              <w:ind w:left="178"/>
              <w:rPr>
                <w:sz w:val="24"/>
              </w:rPr>
            </w:pPr>
            <w:r>
              <w:rPr>
                <w:sz w:val="24"/>
              </w:rPr>
              <w:t>数量指标</w:t>
            </w:r>
          </w:p>
        </w:tc>
        <w:tc>
          <w:tcPr>
            <w:tcW w:w="2064" w:type="dxa"/>
          </w:tcPr>
          <w:p>
            <w:pPr>
              <w:pStyle w:val="11"/>
              <w:spacing w:before="11"/>
              <w:rPr>
                <w:sz w:val="29"/>
              </w:rPr>
            </w:pPr>
          </w:p>
          <w:p>
            <w:pPr>
              <w:pStyle w:val="11"/>
              <w:spacing w:before="1"/>
              <w:ind w:left="50" w:right="43"/>
              <w:jc w:val="center"/>
              <w:rPr>
                <w:sz w:val="24"/>
              </w:rPr>
            </w:pPr>
            <w:r>
              <w:rPr>
                <w:sz w:val="24"/>
              </w:rPr>
              <w:t>全年发送短信</w:t>
            </w:r>
          </w:p>
        </w:tc>
        <w:tc>
          <w:tcPr>
            <w:tcW w:w="2394" w:type="dxa"/>
          </w:tcPr>
          <w:p>
            <w:pPr>
              <w:pStyle w:val="11"/>
              <w:spacing w:before="11"/>
              <w:rPr>
                <w:sz w:val="29"/>
              </w:rPr>
            </w:pPr>
          </w:p>
          <w:p>
            <w:pPr>
              <w:pStyle w:val="11"/>
              <w:spacing w:before="1"/>
              <w:ind w:left="336" w:right="325"/>
              <w:jc w:val="center"/>
              <w:rPr>
                <w:sz w:val="24"/>
              </w:rPr>
            </w:pPr>
            <w:r>
              <w:rPr>
                <w:sz w:val="24"/>
              </w:rPr>
              <w:t>4500 条</w:t>
            </w:r>
          </w:p>
        </w:tc>
        <w:tc>
          <w:tcPr>
            <w:tcW w:w="1902" w:type="dxa"/>
          </w:tcPr>
          <w:p>
            <w:pPr>
              <w:pStyle w:val="11"/>
              <w:spacing w:before="11"/>
              <w:rPr>
                <w:sz w:val="29"/>
              </w:rPr>
            </w:pPr>
          </w:p>
          <w:p>
            <w:pPr>
              <w:pStyle w:val="11"/>
              <w:spacing w:before="1"/>
              <w:ind w:left="50" w:right="39"/>
              <w:jc w:val="center"/>
              <w:rPr>
                <w:sz w:val="24"/>
              </w:rPr>
            </w:pPr>
            <w:r>
              <w:rPr>
                <w:sz w:val="24"/>
              </w:rPr>
              <w:t>4300 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continue"/>
            <w:tcBorders>
              <w:top w:val="nil"/>
            </w:tcBorders>
          </w:tcPr>
          <w:p>
            <w:pPr>
              <w:rPr>
                <w:sz w:val="2"/>
                <w:szCs w:val="2"/>
              </w:rPr>
            </w:pPr>
          </w:p>
        </w:tc>
        <w:tc>
          <w:tcPr>
            <w:tcW w:w="1400" w:type="dxa"/>
          </w:tcPr>
          <w:p>
            <w:pPr>
              <w:pStyle w:val="11"/>
              <w:spacing w:before="8"/>
              <w:rPr>
                <w:sz w:val="17"/>
              </w:rPr>
            </w:pPr>
          </w:p>
          <w:p>
            <w:pPr>
              <w:pStyle w:val="11"/>
              <w:spacing w:line="242" w:lineRule="auto"/>
              <w:ind w:left="580" w:right="87" w:hanging="480"/>
              <w:rPr>
                <w:sz w:val="24"/>
              </w:rPr>
            </w:pPr>
            <w:r>
              <w:rPr>
                <w:sz w:val="24"/>
              </w:rPr>
              <w:t>项目完成指标</w:t>
            </w:r>
          </w:p>
        </w:tc>
        <w:tc>
          <w:tcPr>
            <w:tcW w:w="1320" w:type="dxa"/>
          </w:tcPr>
          <w:p>
            <w:pPr>
              <w:pStyle w:val="11"/>
              <w:spacing w:before="10"/>
              <w:rPr>
                <w:sz w:val="29"/>
              </w:rPr>
            </w:pPr>
          </w:p>
          <w:p>
            <w:pPr>
              <w:pStyle w:val="11"/>
              <w:ind w:left="178"/>
              <w:rPr>
                <w:sz w:val="24"/>
              </w:rPr>
            </w:pPr>
            <w:r>
              <w:rPr>
                <w:sz w:val="24"/>
              </w:rPr>
              <w:t>数量指标</w:t>
            </w:r>
          </w:p>
        </w:tc>
        <w:tc>
          <w:tcPr>
            <w:tcW w:w="2064" w:type="dxa"/>
          </w:tcPr>
          <w:p>
            <w:pPr>
              <w:pStyle w:val="11"/>
              <w:spacing w:before="10"/>
              <w:rPr>
                <w:sz w:val="29"/>
              </w:rPr>
            </w:pPr>
          </w:p>
          <w:p>
            <w:pPr>
              <w:pStyle w:val="11"/>
              <w:ind w:left="50" w:right="43"/>
              <w:jc w:val="center"/>
              <w:rPr>
                <w:sz w:val="24"/>
              </w:rPr>
            </w:pPr>
            <w:r>
              <w:rPr>
                <w:sz w:val="24"/>
              </w:rPr>
              <w:t>收集委员基本信息</w:t>
            </w:r>
          </w:p>
        </w:tc>
        <w:tc>
          <w:tcPr>
            <w:tcW w:w="2394" w:type="dxa"/>
          </w:tcPr>
          <w:p>
            <w:pPr>
              <w:pStyle w:val="11"/>
              <w:spacing w:before="10"/>
              <w:rPr>
                <w:sz w:val="29"/>
              </w:rPr>
            </w:pPr>
          </w:p>
          <w:p>
            <w:pPr>
              <w:pStyle w:val="11"/>
              <w:ind w:left="336" w:right="325"/>
              <w:jc w:val="center"/>
              <w:rPr>
                <w:sz w:val="24"/>
              </w:rPr>
            </w:pPr>
            <w:r>
              <w:rPr>
                <w:sz w:val="24"/>
              </w:rPr>
              <w:t>600 条</w:t>
            </w:r>
          </w:p>
        </w:tc>
        <w:tc>
          <w:tcPr>
            <w:tcW w:w="1902" w:type="dxa"/>
          </w:tcPr>
          <w:p>
            <w:pPr>
              <w:pStyle w:val="11"/>
              <w:spacing w:before="10"/>
              <w:rPr>
                <w:sz w:val="29"/>
              </w:rPr>
            </w:pPr>
          </w:p>
          <w:p>
            <w:pPr>
              <w:pStyle w:val="11"/>
              <w:ind w:left="50" w:right="39"/>
              <w:jc w:val="center"/>
              <w:rPr>
                <w:sz w:val="24"/>
              </w:rPr>
            </w:pPr>
            <w:r>
              <w:rPr>
                <w:sz w:val="24"/>
              </w:rPr>
              <w:t>480 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continue"/>
            <w:tcBorders>
              <w:top w:val="nil"/>
            </w:tcBorders>
          </w:tcPr>
          <w:p>
            <w:pPr>
              <w:rPr>
                <w:sz w:val="2"/>
                <w:szCs w:val="2"/>
              </w:rPr>
            </w:pPr>
          </w:p>
        </w:tc>
        <w:tc>
          <w:tcPr>
            <w:tcW w:w="1400" w:type="dxa"/>
          </w:tcPr>
          <w:p>
            <w:pPr>
              <w:pStyle w:val="11"/>
              <w:spacing w:before="11"/>
              <w:rPr>
                <w:sz w:val="29"/>
              </w:rPr>
            </w:pPr>
          </w:p>
          <w:p>
            <w:pPr>
              <w:pStyle w:val="11"/>
              <w:ind w:left="80" w:right="69"/>
              <w:jc w:val="center"/>
              <w:rPr>
                <w:sz w:val="24"/>
              </w:rPr>
            </w:pPr>
            <w:r>
              <w:rPr>
                <w:sz w:val="24"/>
              </w:rPr>
              <w:t>效益指标</w:t>
            </w:r>
          </w:p>
        </w:tc>
        <w:tc>
          <w:tcPr>
            <w:tcW w:w="1320" w:type="dxa"/>
          </w:tcPr>
          <w:p>
            <w:pPr>
              <w:pStyle w:val="11"/>
              <w:spacing w:before="11"/>
              <w:rPr>
                <w:sz w:val="29"/>
              </w:rPr>
            </w:pPr>
          </w:p>
          <w:p>
            <w:pPr>
              <w:pStyle w:val="11"/>
              <w:ind w:left="15"/>
              <w:rPr>
                <w:sz w:val="24"/>
              </w:rPr>
            </w:pPr>
            <w:r>
              <w:rPr>
                <w:sz w:val="24"/>
              </w:rPr>
              <w:t>成本指标</w:t>
            </w:r>
          </w:p>
        </w:tc>
        <w:tc>
          <w:tcPr>
            <w:tcW w:w="2064" w:type="dxa"/>
          </w:tcPr>
          <w:p>
            <w:pPr>
              <w:pStyle w:val="11"/>
              <w:spacing w:before="11"/>
              <w:rPr>
                <w:sz w:val="29"/>
              </w:rPr>
            </w:pPr>
          </w:p>
          <w:p>
            <w:pPr>
              <w:pStyle w:val="11"/>
              <w:ind w:left="50" w:right="40"/>
              <w:jc w:val="center"/>
              <w:rPr>
                <w:sz w:val="24"/>
              </w:rPr>
            </w:pPr>
            <w:r>
              <w:rPr>
                <w:sz w:val="24"/>
              </w:rPr>
              <w:t>WIFI 覆盖数</w:t>
            </w:r>
          </w:p>
        </w:tc>
        <w:tc>
          <w:tcPr>
            <w:tcW w:w="2394" w:type="dxa"/>
          </w:tcPr>
          <w:p>
            <w:pPr>
              <w:pStyle w:val="11"/>
              <w:spacing w:before="11"/>
              <w:rPr>
                <w:sz w:val="29"/>
              </w:rPr>
            </w:pPr>
          </w:p>
          <w:p>
            <w:pPr>
              <w:pStyle w:val="11"/>
              <w:ind w:left="336" w:right="325"/>
              <w:jc w:val="center"/>
              <w:rPr>
                <w:sz w:val="24"/>
              </w:rPr>
            </w:pPr>
            <w:r>
              <w:rPr>
                <w:sz w:val="24"/>
              </w:rPr>
              <w:t>4 万元</w:t>
            </w:r>
          </w:p>
        </w:tc>
        <w:tc>
          <w:tcPr>
            <w:tcW w:w="1902" w:type="dxa"/>
          </w:tcPr>
          <w:p>
            <w:pPr>
              <w:pStyle w:val="11"/>
              <w:spacing w:before="11"/>
              <w:rPr>
                <w:sz w:val="29"/>
              </w:rPr>
            </w:pPr>
          </w:p>
          <w:p>
            <w:pPr>
              <w:pStyle w:val="11"/>
              <w:ind w:left="50" w:right="39"/>
              <w:jc w:val="center"/>
              <w:rPr>
                <w:sz w:val="24"/>
              </w:rPr>
            </w:pPr>
            <w:r>
              <w:rPr>
                <w:sz w:val="24"/>
              </w:rPr>
              <w:t>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continue"/>
            <w:tcBorders>
              <w:top w:val="nil"/>
            </w:tcBorders>
          </w:tcPr>
          <w:p>
            <w:pPr>
              <w:rPr>
                <w:sz w:val="2"/>
                <w:szCs w:val="2"/>
              </w:rPr>
            </w:pPr>
          </w:p>
        </w:tc>
        <w:tc>
          <w:tcPr>
            <w:tcW w:w="1400" w:type="dxa"/>
          </w:tcPr>
          <w:p>
            <w:pPr>
              <w:pStyle w:val="11"/>
              <w:spacing w:before="12"/>
              <w:rPr>
                <w:sz w:val="29"/>
              </w:rPr>
            </w:pPr>
          </w:p>
          <w:p>
            <w:pPr>
              <w:pStyle w:val="11"/>
              <w:ind w:left="80" w:right="69"/>
              <w:jc w:val="center"/>
              <w:rPr>
                <w:sz w:val="24"/>
              </w:rPr>
            </w:pPr>
            <w:r>
              <w:rPr>
                <w:sz w:val="24"/>
              </w:rPr>
              <w:t>效益指标</w:t>
            </w:r>
          </w:p>
        </w:tc>
        <w:tc>
          <w:tcPr>
            <w:tcW w:w="1320" w:type="dxa"/>
          </w:tcPr>
          <w:p>
            <w:pPr>
              <w:pStyle w:val="11"/>
              <w:spacing w:before="12"/>
              <w:rPr>
                <w:sz w:val="29"/>
              </w:rPr>
            </w:pPr>
          </w:p>
          <w:p>
            <w:pPr>
              <w:pStyle w:val="11"/>
              <w:ind w:left="15"/>
              <w:rPr>
                <w:sz w:val="24"/>
              </w:rPr>
            </w:pPr>
            <w:r>
              <w:rPr>
                <w:sz w:val="24"/>
              </w:rPr>
              <w:t>成本指标</w:t>
            </w:r>
          </w:p>
        </w:tc>
        <w:tc>
          <w:tcPr>
            <w:tcW w:w="2064" w:type="dxa"/>
          </w:tcPr>
          <w:p>
            <w:pPr>
              <w:pStyle w:val="11"/>
              <w:spacing w:before="12"/>
              <w:rPr>
                <w:sz w:val="29"/>
              </w:rPr>
            </w:pPr>
          </w:p>
          <w:p>
            <w:pPr>
              <w:pStyle w:val="11"/>
              <w:ind w:left="50" w:right="43"/>
              <w:jc w:val="center"/>
              <w:rPr>
                <w:sz w:val="24"/>
              </w:rPr>
            </w:pPr>
            <w:r>
              <w:rPr>
                <w:sz w:val="24"/>
              </w:rPr>
              <w:t>机关局域网</w:t>
            </w:r>
          </w:p>
        </w:tc>
        <w:tc>
          <w:tcPr>
            <w:tcW w:w="2394" w:type="dxa"/>
          </w:tcPr>
          <w:p>
            <w:pPr>
              <w:pStyle w:val="11"/>
              <w:spacing w:before="12"/>
              <w:rPr>
                <w:sz w:val="29"/>
              </w:rPr>
            </w:pPr>
          </w:p>
          <w:p>
            <w:pPr>
              <w:pStyle w:val="11"/>
              <w:ind w:left="336" w:right="325"/>
              <w:jc w:val="center"/>
              <w:rPr>
                <w:sz w:val="24"/>
              </w:rPr>
            </w:pPr>
            <w:r>
              <w:rPr>
                <w:sz w:val="24"/>
              </w:rPr>
              <w:t>5 万元</w:t>
            </w:r>
          </w:p>
        </w:tc>
        <w:tc>
          <w:tcPr>
            <w:tcW w:w="1902" w:type="dxa"/>
          </w:tcPr>
          <w:p>
            <w:pPr>
              <w:pStyle w:val="11"/>
              <w:spacing w:before="12"/>
              <w:rPr>
                <w:sz w:val="29"/>
              </w:rPr>
            </w:pPr>
          </w:p>
          <w:p>
            <w:pPr>
              <w:pStyle w:val="11"/>
              <w:ind w:left="50" w:right="39"/>
              <w:jc w:val="center"/>
              <w:rPr>
                <w:sz w:val="24"/>
              </w:rPr>
            </w:pPr>
            <w:r>
              <w:rPr>
                <w:sz w:val="24"/>
              </w:rPr>
              <w:t>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390" w:type="dxa"/>
            <w:vMerge w:val="continue"/>
            <w:tcBorders>
              <w:top w:val="nil"/>
            </w:tcBorders>
          </w:tcPr>
          <w:p>
            <w:pPr>
              <w:rPr>
                <w:sz w:val="2"/>
                <w:szCs w:val="2"/>
              </w:rPr>
            </w:pPr>
          </w:p>
        </w:tc>
        <w:tc>
          <w:tcPr>
            <w:tcW w:w="1400" w:type="dxa"/>
          </w:tcPr>
          <w:p>
            <w:pPr>
              <w:pStyle w:val="11"/>
              <w:spacing w:before="11"/>
              <w:rPr>
                <w:sz w:val="29"/>
              </w:rPr>
            </w:pPr>
          </w:p>
          <w:p>
            <w:pPr>
              <w:pStyle w:val="11"/>
              <w:ind w:left="80" w:right="69"/>
              <w:jc w:val="center"/>
              <w:rPr>
                <w:sz w:val="24"/>
              </w:rPr>
            </w:pPr>
            <w:r>
              <w:rPr>
                <w:sz w:val="24"/>
              </w:rPr>
              <w:t>效益指标</w:t>
            </w:r>
          </w:p>
        </w:tc>
        <w:tc>
          <w:tcPr>
            <w:tcW w:w="1320" w:type="dxa"/>
          </w:tcPr>
          <w:p>
            <w:pPr>
              <w:pStyle w:val="11"/>
              <w:spacing w:before="11"/>
              <w:rPr>
                <w:sz w:val="29"/>
              </w:rPr>
            </w:pPr>
          </w:p>
          <w:p>
            <w:pPr>
              <w:pStyle w:val="11"/>
              <w:ind w:left="15"/>
              <w:rPr>
                <w:sz w:val="24"/>
              </w:rPr>
            </w:pPr>
            <w:r>
              <w:rPr>
                <w:sz w:val="24"/>
              </w:rPr>
              <w:t>成本指标</w:t>
            </w:r>
          </w:p>
        </w:tc>
        <w:tc>
          <w:tcPr>
            <w:tcW w:w="2064" w:type="dxa"/>
          </w:tcPr>
          <w:p>
            <w:pPr>
              <w:pStyle w:val="11"/>
              <w:spacing w:before="11"/>
              <w:rPr>
                <w:sz w:val="29"/>
              </w:rPr>
            </w:pPr>
          </w:p>
          <w:p>
            <w:pPr>
              <w:pStyle w:val="11"/>
              <w:ind w:left="50" w:right="43"/>
              <w:jc w:val="center"/>
              <w:rPr>
                <w:sz w:val="24"/>
              </w:rPr>
            </w:pPr>
            <w:r>
              <w:rPr>
                <w:sz w:val="24"/>
              </w:rPr>
              <w:t>更换设备及耗材</w:t>
            </w:r>
          </w:p>
        </w:tc>
        <w:tc>
          <w:tcPr>
            <w:tcW w:w="2394" w:type="dxa"/>
          </w:tcPr>
          <w:p>
            <w:pPr>
              <w:pStyle w:val="11"/>
              <w:spacing w:before="11"/>
              <w:rPr>
                <w:sz w:val="29"/>
              </w:rPr>
            </w:pPr>
          </w:p>
          <w:p>
            <w:pPr>
              <w:pStyle w:val="11"/>
              <w:ind w:left="336" w:right="325"/>
              <w:jc w:val="center"/>
              <w:rPr>
                <w:sz w:val="24"/>
              </w:rPr>
            </w:pPr>
            <w:r>
              <w:rPr>
                <w:sz w:val="24"/>
              </w:rPr>
              <w:t>8 万元</w:t>
            </w:r>
          </w:p>
        </w:tc>
        <w:tc>
          <w:tcPr>
            <w:tcW w:w="1902" w:type="dxa"/>
          </w:tcPr>
          <w:p>
            <w:pPr>
              <w:pStyle w:val="11"/>
              <w:spacing w:before="11"/>
              <w:rPr>
                <w:sz w:val="29"/>
              </w:rPr>
            </w:pPr>
          </w:p>
          <w:p>
            <w:pPr>
              <w:pStyle w:val="11"/>
              <w:ind w:left="50" w:right="39"/>
              <w:jc w:val="center"/>
              <w:rPr>
                <w:sz w:val="24"/>
              </w:rPr>
            </w:pPr>
            <w:r>
              <w:rPr>
                <w:sz w:val="24"/>
              </w:rPr>
              <w:t>8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continue"/>
            <w:tcBorders>
              <w:top w:val="nil"/>
            </w:tcBorders>
          </w:tcPr>
          <w:p>
            <w:pPr>
              <w:rPr>
                <w:sz w:val="2"/>
                <w:szCs w:val="2"/>
              </w:rPr>
            </w:pPr>
          </w:p>
        </w:tc>
        <w:tc>
          <w:tcPr>
            <w:tcW w:w="1400" w:type="dxa"/>
          </w:tcPr>
          <w:p>
            <w:pPr>
              <w:pStyle w:val="11"/>
              <w:spacing w:before="12"/>
              <w:rPr>
                <w:sz w:val="29"/>
              </w:rPr>
            </w:pPr>
          </w:p>
          <w:p>
            <w:pPr>
              <w:pStyle w:val="11"/>
              <w:ind w:left="80" w:right="69"/>
              <w:jc w:val="center"/>
              <w:rPr>
                <w:sz w:val="24"/>
              </w:rPr>
            </w:pPr>
            <w:r>
              <w:rPr>
                <w:sz w:val="24"/>
              </w:rPr>
              <w:t>效益指标</w:t>
            </w:r>
          </w:p>
        </w:tc>
        <w:tc>
          <w:tcPr>
            <w:tcW w:w="1320" w:type="dxa"/>
          </w:tcPr>
          <w:p>
            <w:pPr>
              <w:pStyle w:val="11"/>
              <w:spacing w:before="12"/>
              <w:rPr>
                <w:sz w:val="29"/>
              </w:rPr>
            </w:pPr>
          </w:p>
          <w:p>
            <w:pPr>
              <w:pStyle w:val="11"/>
              <w:ind w:left="15"/>
              <w:rPr>
                <w:sz w:val="24"/>
              </w:rPr>
            </w:pPr>
            <w:r>
              <w:rPr>
                <w:sz w:val="24"/>
              </w:rPr>
              <w:t>成本指标</w:t>
            </w:r>
          </w:p>
        </w:tc>
        <w:tc>
          <w:tcPr>
            <w:tcW w:w="2064" w:type="dxa"/>
          </w:tcPr>
          <w:p>
            <w:pPr>
              <w:pStyle w:val="11"/>
              <w:spacing w:before="9"/>
              <w:rPr>
                <w:sz w:val="17"/>
              </w:rPr>
            </w:pPr>
          </w:p>
          <w:p>
            <w:pPr>
              <w:pStyle w:val="11"/>
              <w:spacing w:line="242" w:lineRule="auto"/>
              <w:ind w:left="190" w:right="61" w:hanging="120"/>
              <w:rPr>
                <w:sz w:val="24"/>
              </w:rPr>
            </w:pPr>
            <w:r>
              <w:rPr>
                <w:sz w:val="24"/>
              </w:rPr>
              <w:t>处理网络及终端各类问题服务外包</w:t>
            </w:r>
          </w:p>
        </w:tc>
        <w:tc>
          <w:tcPr>
            <w:tcW w:w="2394" w:type="dxa"/>
          </w:tcPr>
          <w:p>
            <w:pPr>
              <w:pStyle w:val="11"/>
              <w:spacing w:before="12"/>
              <w:rPr>
                <w:sz w:val="29"/>
              </w:rPr>
            </w:pPr>
          </w:p>
          <w:p>
            <w:pPr>
              <w:pStyle w:val="11"/>
              <w:ind w:left="336" w:right="325"/>
              <w:jc w:val="center"/>
              <w:rPr>
                <w:sz w:val="24"/>
              </w:rPr>
            </w:pPr>
            <w:r>
              <w:rPr>
                <w:sz w:val="24"/>
              </w:rPr>
              <w:t>3 万元</w:t>
            </w:r>
          </w:p>
        </w:tc>
        <w:tc>
          <w:tcPr>
            <w:tcW w:w="1902" w:type="dxa"/>
          </w:tcPr>
          <w:p>
            <w:pPr>
              <w:pStyle w:val="11"/>
              <w:spacing w:before="12"/>
              <w:rPr>
                <w:sz w:val="29"/>
              </w:rPr>
            </w:pPr>
          </w:p>
          <w:p>
            <w:pPr>
              <w:pStyle w:val="11"/>
              <w:ind w:left="50" w:right="39"/>
              <w:jc w:val="center"/>
              <w:rPr>
                <w:sz w:val="24"/>
              </w:rPr>
            </w:pPr>
            <w:r>
              <w:rPr>
                <w:sz w:val="24"/>
              </w:rPr>
              <w:t>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continue"/>
            <w:tcBorders>
              <w:top w:val="nil"/>
            </w:tcBorders>
          </w:tcPr>
          <w:p>
            <w:pPr>
              <w:rPr>
                <w:sz w:val="2"/>
                <w:szCs w:val="2"/>
              </w:rPr>
            </w:pPr>
          </w:p>
        </w:tc>
        <w:tc>
          <w:tcPr>
            <w:tcW w:w="1400" w:type="dxa"/>
          </w:tcPr>
          <w:p>
            <w:pPr>
              <w:pStyle w:val="11"/>
              <w:spacing w:before="10"/>
              <w:rPr>
                <w:sz w:val="29"/>
              </w:rPr>
            </w:pPr>
          </w:p>
          <w:p>
            <w:pPr>
              <w:pStyle w:val="11"/>
              <w:ind w:left="80" w:right="69"/>
              <w:jc w:val="center"/>
              <w:rPr>
                <w:sz w:val="24"/>
              </w:rPr>
            </w:pPr>
            <w:r>
              <w:rPr>
                <w:sz w:val="24"/>
              </w:rPr>
              <w:t>效益指标</w:t>
            </w:r>
          </w:p>
        </w:tc>
        <w:tc>
          <w:tcPr>
            <w:tcW w:w="1320" w:type="dxa"/>
          </w:tcPr>
          <w:p>
            <w:pPr>
              <w:pStyle w:val="11"/>
              <w:spacing w:before="8"/>
              <w:rPr>
                <w:sz w:val="17"/>
              </w:rPr>
            </w:pPr>
          </w:p>
          <w:p>
            <w:pPr>
              <w:pStyle w:val="11"/>
              <w:spacing w:line="242" w:lineRule="auto"/>
              <w:ind w:left="538" w:right="49" w:hanging="480"/>
              <w:rPr>
                <w:sz w:val="24"/>
              </w:rPr>
            </w:pPr>
            <w:r>
              <w:rPr>
                <w:sz w:val="24"/>
              </w:rPr>
              <w:t>社会效益指标</w:t>
            </w:r>
          </w:p>
        </w:tc>
        <w:tc>
          <w:tcPr>
            <w:tcW w:w="2064" w:type="dxa"/>
          </w:tcPr>
          <w:p>
            <w:pPr>
              <w:pStyle w:val="11"/>
              <w:spacing w:before="10"/>
              <w:rPr>
                <w:sz w:val="29"/>
              </w:rPr>
            </w:pPr>
          </w:p>
          <w:p>
            <w:pPr>
              <w:pStyle w:val="11"/>
              <w:ind w:left="50" w:right="43"/>
              <w:jc w:val="center"/>
              <w:rPr>
                <w:sz w:val="24"/>
              </w:rPr>
            </w:pPr>
            <w:r>
              <w:rPr>
                <w:sz w:val="24"/>
              </w:rPr>
              <w:t>对工作的促进作用</w:t>
            </w:r>
          </w:p>
        </w:tc>
        <w:tc>
          <w:tcPr>
            <w:tcW w:w="2394" w:type="dxa"/>
          </w:tcPr>
          <w:p>
            <w:pPr>
              <w:pStyle w:val="11"/>
              <w:spacing w:before="8"/>
              <w:rPr>
                <w:sz w:val="17"/>
              </w:rPr>
            </w:pPr>
          </w:p>
          <w:p>
            <w:pPr>
              <w:pStyle w:val="11"/>
              <w:spacing w:line="242" w:lineRule="auto"/>
              <w:ind w:left="1076" w:right="105" w:hanging="960"/>
              <w:rPr>
                <w:sz w:val="24"/>
              </w:rPr>
            </w:pPr>
            <w:r>
              <w:rPr>
                <w:sz w:val="24"/>
              </w:rPr>
              <w:t>保障信息系统正常运转</w:t>
            </w:r>
          </w:p>
        </w:tc>
        <w:tc>
          <w:tcPr>
            <w:tcW w:w="1902" w:type="dxa"/>
          </w:tcPr>
          <w:p>
            <w:pPr>
              <w:pStyle w:val="11"/>
              <w:spacing w:before="8"/>
              <w:rPr>
                <w:sz w:val="17"/>
              </w:rPr>
            </w:pPr>
          </w:p>
          <w:p>
            <w:pPr>
              <w:pStyle w:val="11"/>
              <w:spacing w:line="242" w:lineRule="auto"/>
              <w:ind w:left="590" w:right="99" w:hanging="480"/>
              <w:rPr>
                <w:sz w:val="24"/>
              </w:rPr>
            </w:pPr>
            <w:r>
              <w:rPr>
                <w:sz w:val="24"/>
              </w:rPr>
              <w:t>保障信息系统正常运转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390" w:type="dxa"/>
            <w:vMerge w:val="continue"/>
            <w:tcBorders>
              <w:top w:val="nil"/>
            </w:tcBorders>
          </w:tcPr>
          <w:p>
            <w:pPr>
              <w:rPr>
                <w:sz w:val="2"/>
                <w:szCs w:val="2"/>
              </w:rPr>
            </w:pPr>
          </w:p>
        </w:tc>
        <w:tc>
          <w:tcPr>
            <w:tcW w:w="1400" w:type="dxa"/>
          </w:tcPr>
          <w:p>
            <w:pPr>
              <w:pStyle w:val="11"/>
              <w:rPr>
                <w:sz w:val="24"/>
              </w:rPr>
            </w:pPr>
          </w:p>
          <w:p>
            <w:pPr>
              <w:pStyle w:val="11"/>
              <w:spacing w:before="1"/>
              <w:rPr>
                <w:sz w:val="26"/>
              </w:rPr>
            </w:pPr>
          </w:p>
          <w:p>
            <w:pPr>
              <w:pStyle w:val="11"/>
              <w:ind w:left="80" w:right="69"/>
              <w:jc w:val="center"/>
              <w:rPr>
                <w:sz w:val="24"/>
              </w:rPr>
            </w:pPr>
            <w:r>
              <w:rPr>
                <w:sz w:val="24"/>
              </w:rPr>
              <w:t>效益指标</w:t>
            </w:r>
          </w:p>
        </w:tc>
        <w:tc>
          <w:tcPr>
            <w:tcW w:w="1320" w:type="dxa"/>
          </w:tcPr>
          <w:p>
            <w:pPr>
              <w:pStyle w:val="11"/>
              <w:rPr>
                <w:sz w:val="24"/>
              </w:rPr>
            </w:pPr>
          </w:p>
          <w:p>
            <w:pPr>
              <w:pStyle w:val="11"/>
              <w:spacing w:before="179" w:line="242" w:lineRule="auto"/>
              <w:ind w:left="538" w:right="49" w:hanging="480"/>
              <w:rPr>
                <w:sz w:val="24"/>
              </w:rPr>
            </w:pPr>
            <w:r>
              <w:rPr>
                <w:sz w:val="24"/>
              </w:rPr>
              <w:t>社会效益指标</w:t>
            </w:r>
          </w:p>
        </w:tc>
        <w:tc>
          <w:tcPr>
            <w:tcW w:w="2064" w:type="dxa"/>
          </w:tcPr>
          <w:p>
            <w:pPr>
              <w:pStyle w:val="11"/>
              <w:spacing w:before="16" w:line="310" w:lineRule="atLeast"/>
              <w:ind w:left="70" w:right="61"/>
              <w:jc w:val="center"/>
              <w:rPr>
                <w:sz w:val="24"/>
              </w:rPr>
            </w:pPr>
            <w:r>
              <w:rPr>
                <w:spacing w:val="-3"/>
                <w:sz w:val="24"/>
              </w:rPr>
              <w:t>保障各民主党派和政协委员利用信息</w:t>
            </w:r>
            <w:r>
              <w:rPr>
                <w:sz w:val="24"/>
              </w:rPr>
              <w:t xml:space="preserve">系统反映社情民 </w:t>
            </w:r>
            <w:r>
              <w:rPr>
                <w:spacing w:val="-3"/>
                <w:sz w:val="24"/>
              </w:rPr>
              <w:t>意、提交提案完成</w:t>
            </w:r>
            <w:r>
              <w:rPr>
                <w:spacing w:val="-30"/>
                <w:sz w:val="24"/>
              </w:rPr>
              <w:t xml:space="preserve">率 </w:t>
            </w:r>
            <w:r>
              <w:rPr>
                <w:sz w:val="24"/>
              </w:rPr>
              <w:t>100%</w:t>
            </w:r>
          </w:p>
        </w:tc>
        <w:tc>
          <w:tcPr>
            <w:tcW w:w="2394" w:type="dxa"/>
          </w:tcPr>
          <w:p>
            <w:pPr>
              <w:pStyle w:val="11"/>
              <w:rPr>
                <w:sz w:val="24"/>
              </w:rPr>
            </w:pPr>
          </w:p>
          <w:p>
            <w:pPr>
              <w:pStyle w:val="11"/>
              <w:spacing w:before="1"/>
              <w:rPr>
                <w:sz w:val="26"/>
              </w:rPr>
            </w:pPr>
          </w:p>
          <w:p>
            <w:pPr>
              <w:pStyle w:val="11"/>
              <w:ind w:left="336" w:right="327"/>
              <w:jc w:val="center"/>
              <w:rPr>
                <w:sz w:val="24"/>
              </w:rPr>
            </w:pPr>
            <w:r>
              <w:rPr>
                <w:sz w:val="24"/>
              </w:rPr>
              <w:t>100%</w:t>
            </w:r>
          </w:p>
        </w:tc>
        <w:tc>
          <w:tcPr>
            <w:tcW w:w="1902" w:type="dxa"/>
          </w:tcPr>
          <w:p>
            <w:pPr>
              <w:pStyle w:val="11"/>
              <w:rPr>
                <w:sz w:val="24"/>
              </w:rPr>
            </w:pPr>
          </w:p>
          <w:p>
            <w:pPr>
              <w:pStyle w:val="11"/>
              <w:spacing w:before="1"/>
              <w:rPr>
                <w:sz w:val="26"/>
              </w:rPr>
            </w:pPr>
          </w:p>
          <w:p>
            <w:pPr>
              <w:pStyle w:val="11"/>
              <w:ind w:left="48" w:right="39"/>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390" w:type="dxa"/>
            <w:vMerge w:val="continue"/>
            <w:tcBorders>
              <w:top w:val="nil"/>
            </w:tcBorders>
          </w:tcPr>
          <w:p>
            <w:pPr>
              <w:rPr>
                <w:sz w:val="2"/>
                <w:szCs w:val="2"/>
              </w:rPr>
            </w:pPr>
          </w:p>
        </w:tc>
        <w:tc>
          <w:tcPr>
            <w:tcW w:w="1400" w:type="dxa"/>
          </w:tcPr>
          <w:p>
            <w:pPr>
              <w:pStyle w:val="11"/>
              <w:spacing w:before="2"/>
              <w:rPr>
                <w:sz w:val="30"/>
              </w:rPr>
            </w:pPr>
          </w:p>
          <w:p>
            <w:pPr>
              <w:pStyle w:val="11"/>
              <w:ind w:left="80" w:right="69"/>
              <w:jc w:val="center"/>
              <w:rPr>
                <w:sz w:val="24"/>
              </w:rPr>
            </w:pPr>
            <w:r>
              <w:rPr>
                <w:sz w:val="24"/>
              </w:rPr>
              <w:t>满意度指标</w:t>
            </w:r>
          </w:p>
        </w:tc>
        <w:tc>
          <w:tcPr>
            <w:tcW w:w="1320" w:type="dxa"/>
          </w:tcPr>
          <w:p>
            <w:pPr>
              <w:pStyle w:val="11"/>
              <w:spacing w:before="2"/>
              <w:rPr>
                <w:sz w:val="30"/>
              </w:rPr>
            </w:pPr>
          </w:p>
          <w:p>
            <w:pPr>
              <w:pStyle w:val="11"/>
              <w:ind w:left="58"/>
              <w:rPr>
                <w:sz w:val="24"/>
              </w:rPr>
            </w:pPr>
            <w:r>
              <w:rPr>
                <w:sz w:val="24"/>
              </w:rPr>
              <w:t>满意度指标</w:t>
            </w:r>
          </w:p>
        </w:tc>
        <w:tc>
          <w:tcPr>
            <w:tcW w:w="2064" w:type="dxa"/>
          </w:tcPr>
          <w:p>
            <w:pPr>
              <w:pStyle w:val="11"/>
              <w:spacing w:before="2"/>
              <w:rPr>
                <w:sz w:val="30"/>
              </w:rPr>
            </w:pPr>
          </w:p>
          <w:p>
            <w:pPr>
              <w:pStyle w:val="11"/>
              <w:ind w:left="50" w:right="43"/>
              <w:jc w:val="center"/>
              <w:rPr>
                <w:sz w:val="24"/>
              </w:rPr>
            </w:pPr>
            <w:r>
              <w:rPr>
                <w:sz w:val="24"/>
              </w:rPr>
              <w:t>服务对象满意度</w:t>
            </w:r>
          </w:p>
        </w:tc>
        <w:tc>
          <w:tcPr>
            <w:tcW w:w="2394" w:type="dxa"/>
          </w:tcPr>
          <w:p>
            <w:pPr>
              <w:pStyle w:val="11"/>
              <w:spacing w:before="2"/>
              <w:rPr>
                <w:sz w:val="30"/>
              </w:rPr>
            </w:pPr>
          </w:p>
          <w:p>
            <w:pPr>
              <w:pStyle w:val="11"/>
              <w:ind w:left="336" w:right="327"/>
              <w:jc w:val="center"/>
              <w:rPr>
                <w:sz w:val="24"/>
              </w:rPr>
            </w:pPr>
            <w:r>
              <w:rPr>
                <w:sz w:val="24"/>
              </w:rPr>
              <w:t>95%</w:t>
            </w:r>
          </w:p>
        </w:tc>
        <w:tc>
          <w:tcPr>
            <w:tcW w:w="1902" w:type="dxa"/>
          </w:tcPr>
          <w:p>
            <w:pPr>
              <w:pStyle w:val="11"/>
              <w:spacing w:before="2"/>
              <w:rPr>
                <w:sz w:val="30"/>
              </w:rPr>
            </w:pPr>
          </w:p>
          <w:p>
            <w:pPr>
              <w:pStyle w:val="11"/>
              <w:ind w:left="48" w:right="39"/>
              <w:jc w:val="center"/>
              <w:rPr>
                <w:sz w:val="24"/>
              </w:rPr>
            </w:pPr>
            <w:r>
              <w:rPr>
                <w:sz w:val="24"/>
              </w:rPr>
              <w:t>100%</w:t>
            </w:r>
          </w:p>
        </w:tc>
      </w:tr>
    </w:tbl>
    <w:p>
      <w:pPr>
        <w:spacing w:after="0"/>
        <w:jc w:val="center"/>
        <w:rPr>
          <w:sz w:val="24"/>
        </w:rPr>
        <w:sectPr>
          <w:pgSz w:w="11910" w:h="16840"/>
          <w:pgMar w:top="1420" w:right="1100" w:bottom="1300" w:left="1100" w:header="0" w:footer="1116" w:gutter="0"/>
          <w:cols w:space="720" w:num="1"/>
        </w:sectPr>
      </w:pPr>
    </w:p>
    <w:p>
      <w:pPr>
        <w:pStyle w:val="4"/>
        <w:spacing w:before="26"/>
      </w:pPr>
      <w:r>
        <w:rPr>
          <w:rFonts w:hint="eastAsia" w:ascii="楷体" w:eastAsia="楷体"/>
        </w:rPr>
        <w:t>（二）</w:t>
      </w:r>
      <w:r>
        <w:t>部门开展绩效评价结果。</w:t>
      </w:r>
    </w:p>
    <w:p>
      <w:pPr>
        <w:pStyle w:val="5"/>
        <w:spacing w:before="171"/>
        <w:ind w:left="1340"/>
      </w:pPr>
      <w:r>
        <w:t>本部门按要求对 2018 年部门整体支出绩效评价情况开</w:t>
      </w:r>
    </w:p>
    <w:p>
      <w:pPr>
        <w:pStyle w:val="5"/>
        <w:spacing w:before="171" w:line="338" w:lineRule="auto"/>
        <w:ind w:right="655"/>
      </w:pPr>
      <w:r>
        <w:t>展自评，《政协广元市昭化区委员会办公室 2018 年部门整体支出绩效评价报告》见附件。</w:t>
      </w:r>
    </w:p>
    <w:p>
      <w:pPr>
        <w:pStyle w:val="5"/>
        <w:spacing w:before="2" w:line="338" w:lineRule="auto"/>
        <w:ind w:right="539" w:firstLine="640"/>
      </w:pPr>
      <w:r>
        <w:rPr>
          <w:spacing w:val="13"/>
        </w:rPr>
        <w:t>本部门自行组织对信息平台建设维护费项目开展了绩</w:t>
      </w:r>
      <w:r>
        <w:rPr>
          <w:spacing w:val="-5"/>
        </w:rPr>
        <w:t xml:space="preserve">效评价，《信息平台建设维护费项目 </w:t>
      </w:r>
      <w:r>
        <w:t>2018</w:t>
      </w:r>
      <w:r>
        <w:rPr>
          <w:spacing w:val="-11"/>
        </w:rPr>
        <w:t xml:space="preserve"> 年绩效评价报告》</w:t>
      </w:r>
      <w:r>
        <w:rPr>
          <w:spacing w:val="-10"/>
        </w:rPr>
        <w:t>见附件。</w:t>
      </w:r>
      <w:r>
        <w:rPr>
          <w:spacing w:val="-3"/>
        </w:rPr>
        <w:t>（</w:t>
      </w:r>
      <w:r>
        <w:rPr>
          <w:spacing w:val="-1"/>
        </w:rPr>
        <w:t>非涉密部门均需公开部门整体支出评价报告，部门自行组织的绩效评价情况根据部门实际公开）</w:t>
      </w:r>
    </w:p>
    <w:p>
      <w:pPr>
        <w:pStyle w:val="5"/>
        <w:spacing w:before="2"/>
        <w:ind w:left="0"/>
        <w:rPr>
          <w:sz w:val="47"/>
        </w:rPr>
      </w:pPr>
    </w:p>
    <w:p>
      <w:pPr>
        <w:pStyle w:val="5"/>
        <w:ind w:left="1499"/>
        <w:rPr>
          <w:rFonts w:hint="eastAsia" w:ascii="黑体" w:eastAsia="黑体"/>
        </w:rPr>
      </w:pPr>
      <w:bookmarkStart w:id="37" w:name="_bookmark13"/>
      <w:bookmarkEnd w:id="37"/>
      <w:bookmarkStart w:id="38" w:name="十一、其他重要事项的情况说明"/>
      <w:bookmarkEnd w:id="38"/>
      <w:r>
        <w:rPr>
          <w:rFonts w:hint="eastAsia" w:ascii="黑体" w:eastAsia="黑体"/>
        </w:rPr>
        <w:t>十</w:t>
      </w:r>
      <w:r>
        <w:rPr>
          <w:rFonts w:hint="eastAsia" w:ascii="黑体" w:eastAsia="黑体"/>
          <w:b/>
        </w:rPr>
        <w:t>一、</w:t>
      </w:r>
      <w:r>
        <w:rPr>
          <w:rFonts w:hint="eastAsia" w:ascii="黑体" w:eastAsia="黑体"/>
        </w:rPr>
        <w:t>其他重要事项的情况说明</w:t>
      </w:r>
    </w:p>
    <w:p>
      <w:pPr>
        <w:pStyle w:val="4"/>
      </w:pPr>
      <w:bookmarkStart w:id="39" w:name="（一）机关运行经费支出情况"/>
      <w:bookmarkEnd w:id="39"/>
      <w:r>
        <w:t>（一）机关运行经费支出情况</w:t>
      </w:r>
    </w:p>
    <w:p>
      <w:pPr>
        <w:pStyle w:val="5"/>
        <w:spacing w:before="173" w:line="340" w:lineRule="auto"/>
        <w:ind w:right="697" w:firstLine="640"/>
        <w:jc w:val="both"/>
      </w:pPr>
      <w:r>
        <w:t>2018</w:t>
      </w:r>
      <w:r>
        <w:rPr>
          <w:spacing w:val="-17"/>
        </w:rPr>
        <w:t xml:space="preserve"> 年，政协机关运行经费支出 </w:t>
      </w:r>
      <w:r>
        <w:t>109.35</w:t>
      </w:r>
      <w:r>
        <w:rPr>
          <w:spacing w:val="-31"/>
        </w:rPr>
        <w:t xml:space="preserve"> 万元，比 </w:t>
      </w:r>
      <w:r>
        <w:t xml:space="preserve">2017 </w:t>
      </w:r>
      <w:r>
        <w:rPr>
          <w:spacing w:val="-22"/>
        </w:rPr>
        <w:t xml:space="preserve">年减少 </w:t>
      </w:r>
      <w:r>
        <w:t>17.12</w:t>
      </w:r>
      <w:r>
        <w:rPr>
          <w:spacing w:val="-29"/>
        </w:rPr>
        <w:t xml:space="preserve"> 万元，下降 </w:t>
      </w:r>
      <w:r>
        <w:t>15.65</w:t>
      </w:r>
      <w:r>
        <w:rPr>
          <w:spacing w:val="-9"/>
        </w:rPr>
        <w:t>%。主要原因是</w:t>
      </w:r>
      <w:r>
        <w:rPr>
          <w:rFonts w:hint="eastAsia"/>
          <w:spacing w:val="-9"/>
          <w:lang w:eastAsia="zh-CN"/>
        </w:rPr>
        <w:t>厉行</w:t>
      </w:r>
      <w:r>
        <w:rPr>
          <w:spacing w:val="-9"/>
        </w:rPr>
        <w:t>节约，从严控制运行经费支出。</w:t>
      </w:r>
    </w:p>
    <w:p>
      <w:pPr>
        <w:pStyle w:val="4"/>
        <w:spacing w:before="10"/>
      </w:pPr>
      <w:bookmarkStart w:id="40" w:name="（二）政府采购支出情况"/>
      <w:bookmarkEnd w:id="40"/>
      <w:r>
        <w:t>（二）政府采购支出情况</w:t>
      </w:r>
    </w:p>
    <w:p>
      <w:pPr>
        <w:pStyle w:val="5"/>
        <w:spacing w:before="190"/>
        <w:ind w:left="1340"/>
      </w:pPr>
      <w:r>
        <w:t>2018 年政府采购支出总额 0 万元，其中：政府采购货物</w:t>
      </w:r>
    </w:p>
    <w:p>
      <w:pPr>
        <w:pStyle w:val="5"/>
        <w:spacing w:before="190"/>
      </w:pPr>
      <w:r>
        <w:t>支出 0 万元。</w:t>
      </w:r>
    </w:p>
    <w:p>
      <w:pPr>
        <w:pStyle w:val="4"/>
      </w:pPr>
      <w:bookmarkStart w:id="41" w:name="（三）国有资产占有使用情况"/>
      <w:bookmarkEnd w:id="41"/>
      <w:r>
        <w:t>（三）国有资产占有使用情况</w:t>
      </w:r>
    </w:p>
    <w:p>
      <w:pPr>
        <w:pStyle w:val="5"/>
        <w:spacing w:before="190" w:line="350" w:lineRule="auto"/>
        <w:ind w:right="539" w:firstLine="640"/>
      </w:pPr>
      <w:r>
        <w:t>截至2018年12月31日，本部门共有车辆0辆，其中：部级领导干部用车0</w:t>
      </w:r>
      <w:r>
        <w:rPr>
          <w:spacing w:val="-2"/>
        </w:rPr>
        <w:t>辆、一般公务用车</w:t>
      </w:r>
      <w:r>
        <w:t>0</w:t>
      </w:r>
      <w:r>
        <w:rPr>
          <w:spacing w:val="-3"/>
        </w:rPr>
        <w:t xml:space="preserve">辆、一般执法执勤用车 0辆、特种专业技术用车0辆、其他用车0辆，单价50万元以 </w:t>
      </w:r>
      <w:r>
        <w:rPr>
          <w:spacing w:val="-3"/>
          <w:w w:val="95"/>
        </w:rPr>
        <w:t>上通用设备0</w:t>
      </w:r>
      <w:r>
        <w:rPr>
          <w:spacing w:val="-41"/>
          <w:w w:val="95"/>
        </w:rPr>
        <w:t>台</w:t>
      </w:r>
      <w:r>
        <w:rPr>
          <w:w w:val="95"/>
        </w:rPr>
        <w:t>（套</w:t>
      </w:r>
      <w:r>
        <w:rPr>
          <w:spacing w:val="-43"/>
          <w:w w:val="95"/>
        </w:rPr>
        <w:t>），</w:t>
      </w:r>
      <w:r>
        <w:rPr>
          <w:w w:val="95"/>
        </w:rPr>
        <w:t>单价100万元以上专用设备0</w:t>
      </w:r>
      <w:r>
        <w:rPr>
          <w:spacing w:val="-41"/>
          <w:w w:val="95"/>
        </w:rPr>
        <w:t>台</w:t>
      </w:r>
      <w:r>
        <w:rPr>
          <w:w w:val="95"/>
        </w:rPr>
        <w:t>（套</w:t>
      </w:r>
      <w:r>
        <w:rPr>
          <w:spacing w:val="-159"/>
          <w:w w:val="95"/>
        </w:rPr>
        <w:t>）</w:t>
      </w:r>
      <w:r>
        <w:rPr>
          <w:w w:val="95"/>
        </w:rPr>
        <w:t>。</w:t>
      </w:r>
    </w:p>
    <w:p>
      <w:pPr>
        <w:spacing w:after="0" w:line="350" w:lineRule="auto"/>
        <w:sectPr>
          <w:pgSz w:w="11910" w:h="16840"/>
          <w:pgMar w:top="1540" w:right="1100" w:bottom="1300" w:left="1100" w:header="0" w:footer="1116" w:gutter="0"/>
          <w:cols w:space="720" w:num="1"/>
        </w:sectPr>
      </w:pPr>
    </w:p>
    <w:p>
      <w:pPr>
        <w:pStyle w:val="5"/>
        <w:ind w:left="0"/>
        <w:rPr>
          <w:sz w:val="20"/>
        </w:rPr>
      </w:pPr>
    </w:p>
    <w:p>
      <w:pPr>
        <w:pStyle w:val="5"/>
        <w:spacing w:before="8"/>
        <w:ind w:left="0"/>
        <w:rPr>
          <w:sz w:val="16"/>
        </w:rPr>
      </w:pPr>
    </w:p>
    <w:p>
      <w:pPr>
        <w:pStyle w:val="2"/>
        <w:ind w:right="235"/>
      </w:pPr>
      <w:r>
        <w:t xml:space="preserve">第三部分 </w:t>
      </w:r>
      <w:r>
        <w:rPr>
          <w:b/>
        </w:rPr>
        <w:t>名</w:t>
      </w:r>
      <w:r>
        <w:t>词解释</w:t>
      </w:r>
    </w:p>
    <w:p>
      <w:pPr>
        <w:pStyle w:val="5"/>
        <w:spacing w:before="1"/>
        <w:ind w:left="0"/>
        <w:rPr>
          <w:rFonts w:ascii="黑体"/>
          <w:sz w:val="59"/>
        </w:rPr>
      </w:pPr>
    </w:p>
    <w:p>
      <w:pPr>
        <w:pStyle w:val="10"/>
        <w:numPr>
          <w:ilvl w:val="0"/>
          <w:numId w:val="4"/>
        </w:numPr>
        <w:tabs>
          <w:tab w:val="left" w:pos="1663"/>
        </w:tabs>
        <w:spacing w:before="0" w:after="0" w:line="350" w:lineRule="auto"/>
        <w:ind w:left="700" w:right="700" w:firstLine="640"/>
        <w:jc w:val="left"/>
        <w:rPr>
          <w:sz w:val="32"/>
        </w:rPr>
      </w:pPr>
      <w:r>
        <w:rPr>
          <w:spacing w:val="-3"/>
          <w:w w:val="95"/>
          <w:sz w:val="32"/>
        </w:rPr>
        <w:t xml:space="preserve">财政拨款收入：指单位从同级财政部门取得的财政预 </w:t>
      </w:r>
      <w:r>
        <w:rPr>
          <w:spacing w:val="-3"/>
          <w:sz w:val="32"/>
        </w:rPr>
        <w:t>算资金。</w:t>
      </w:r>
    </w:p>
    <w:p>
      <w:pPr>
        <w:pStyle w:val="10"/>
        <w:numPr>
          <w:ilvl w:val="0"/>
          <w:numId w:val="4"/>
        </w:numPr>
        <w:tabs>
          <w:tab w:val="left" w:pos="1663"/>
        </w:tabs>
        <w:spacing w:before="3" w:after="0" w:line="350" w:lineRule="auto"/>
        <w:ind w:left="700" w:right="685" w:firstLine="640"/>
        <w:jc w:val="both"/>
        <w:rPr>
          <w:sz w:val="32"/>
        </w:rPr>
      </w:pPr>
      <w:r>
        <w:rPr>
          <w:w w:val="95"/>
          <w:sz w:val="32"/>
        </w:rPr>
        <w:t xml:space="preserve">其他收入：指除“财政拨款收入”、“事业收入”、 </w:t>
      </w:r>
      <w:r>
        <w:rPr>
          <w:spacing w:val="-2"/>
          <w:sz w:val="32"/>
        </w:rPr>
        <w:t>“事业单位经营收入”等以外的收入。主要是存款利息收入等。</w:t>
      </w:r>
    </w:p>
    <w:p>
      <w:pPr>
        <w:pStyle w:val="10"/>
        <w:numPr>
          <w:ilvl w:val="0"/>
          <w:numId w:val="4"/>
        </w:numPr>
        <w:tabs>
          <w:tab w:val="left" w:pos="1663"/>
        </w:tabs>
        <w:spacing w:before="4" w:after="0" w:line="350" w:lineRule="auto"/>
        <w:ind w:left="700" w:right="700" w:firstLine="640"/>
        <w:jc w:val="left"/>
        <w:rPr>
          <w:sz w:val="32"/>
        </w:rPr>
      </w:pPr>
      <w:r>
        <w:rPr>
          <w:spacing w:val="-2"/>
          <w:w w:val="95"/>
          <w:sz w:val="32"/>
        </w:rPr>
        <w:t xml:space="preserve">年初结转和结余：指以前年度尚未完成、结转到本年 </w:t>
      </w:r>
      <w:r>
        <w:rPr>
          <w:spacing w:val="-2"/>
          <w:sz w:val="32"/>
        </w:rPr>
        <w:t>仍按原规定用途继续使用的资金。</w:t>
      </w:r>
    </w:p>
    <w:p>
      <w:pPr>
        <w:pStyle w:val="10"/>
        <w:numPr>
          <w:ilvl w:val="0"/>
          <w:numId w:val="4"/>
        </w:numPr>
        <w:tabs>
          <w:tab w:val="left" w:pos="1663"/>
        </w:tabs>
        <w:spacing w:before="3" w:after="0" w:line="350" w:lineRule="auto"/>
        <w:ind w:left="700" w:right="539" w:firstLine="640"/>
        <w:jc w:val="left"/>
        <w:rPr>
          <w:sz w:val="32"/>
        </w:rPr>
      </w:pPr>
      <w:r>
        <w:rPr>
          <w:spacing w:val="-16"/>
          <w:w w:val="99"/>
          <w:sz w:val="32"/>
        </w:rPr>
        <w:t>一般公共服务支出</w:t>
      </w:r>
      <w:r>
        <w:rPr>
          <w:spacing w:val="-3"/>
          <w:w w:val="99"/>
          <w:sz w:val="32"/>
        </w:rPr>
        <w:t>（</w:t>
      </w:r>
      <w:r>
        <w:rPr>
          <w:spacing w:val="2"/>
          <w:w w:val="99"/>
          <w:sz w:val="32"/>
        </w:rPr>
        <w:t>类</w:t>
      </w:r>
      <w:r>
        <w:rPr>
          <w:spacing w:val="-132"/>
          <w:w w:val="99"/>
          <w:sz w:val="32"/>
        </w:rPr>
        <w:t>）</w:t>
      </w:r>
      <w:r>
        <w:rPr>
          <w:spacing w:val="-32"/>
          <w:w w:val="99"/>
          <w:sz w:val="32"/>
        </w:rPr>
        <w:t>政协事务</w:t>
      </w:r>
      <w:r>
        <w:rPr>
          <w:w w:val="99"/>
          <w:sz w:val="32"/>
        </w:rPr>
        <w:t>（款</w:t>
      </w:r>
      <w:r>
        <w:rPr>
          <w:spacing w:val="-130"/>
          <w:w w:val="99"/>
          <w:sz w:val="32"/>
        </w:rPr>
        <w:t>）</w:t>
      </w:r>
      <w:r>
        <w:rPr>
          <w:spacing w:val="-33"/>
          <w:w w:val="99"/>
          <w:sz w:val="32"/>
        </w:rPr>
        <w:t>行政运行</w:t>
      </w:r>
      <w:r>
        <w:rPr>
          <w:w w:val="99"/>
          <w:sz w:val="32"/>
        </w:rPr>
        <w:t>（项</w:t>
      </w:r>
      <w:r>
        <w:rPr>
          <w:spacing w:val="-159"/>
          <w:w w:val="99"/>
          <w:sz w:val="32"/>
        </w:rPr>
        <w:t>）</w:t>
      </w:r>
      <w:r>
        <w:rPr>
          <w:w w:val="99"/>
          <w:sz w:val="32"/>
        </w:rPr>
        <w:t>：</w:t>
      </w:r>
      <w:r>
        <w:rPr>
          <w:sz w:val="32"/>
        </w:rPr>
        <w:t>指政协四川省广元市昭化区委员会办公室行政单位用于保 障机构正常运行、开展日常工作的基本支出。</w:t>
      </w:r>
    </w:p>
    <w:p>
      <w:pPr>
        <w:pStyle w:val="10"/>
        <w:numPr>
          <w:ilvl w:val="0"/>
          <w:numId w:val="4"/>
        </w:numPr>
        <w:tabs>
          <w:tab w:val="left" w:pos="1663"/>
        </w:tabs>
        <w:spacing w:before="4" w:after="0" w:line="350" w:lineRule="auto"/>
        <w:ind w:left="700" w:right="700" w:firstLine="640"/>
        <w:jc w:val="both"/>
        <w:rPr>
          <w:sz w:val="32"/>
        </w:rPr>
      </w:pPr>
      <w:r>
        <w:rPr>
          <w:spacing w:val="-1"/>
          <w:w w:val="95"/>
          <w:sz w:val="32"/>
        </w:rPr>
        <w:t>一般公共服务支出</w:t>
      </w:r>
      <w:r>
        <w:rPr>
          <w:w w:val="95"/>
          <w:sz w:val="32"/>
        </w:rPr>
        <w:t>（类</w:t>
      </w:r>
      <w:r>
        <w:rPr>
          <w:spacing w:val="-3"/>
          <w:w w:val="95"/>
          <w:sz w:val="32"/>
        </w:rPr>
        <w:t>）</w:t>
      </w:r>
      <w:r>
        <w:rPr>
          <w:spacing w:val="-1"/>
          <w:w w:val="95"/>
          <w:sz w:val="32"/>
        </w:rPr>
        <w:t>政协事务</w:t>
      </w:r>
      <w:r>
        <w:rPr>
          <w:w w:val="95"/>
          <w:sz w:val="32"/>
        </w:rPr>
        <w:t>（款</w:t>
      </w:r>
      <w:r>
        <w:rPr>
          <w:spacing w:val="-3"/>
          <w:w w:val="95"/>
          <w:sz w:val="32"/>
        </w:rPr>
        <w:t>）</w:t>
      </w:r>
      <w:r>
        <w:rPr>
          <w:w w:val="95"/>
          <w:sz w:val="32"/>
        </w:rPr>
        <w:t xml:space="preserve">一般行政管 </w:t>
      </w:r>
      <w:r>
        <w:rPr>
          <w:spacing w:val="-2"/>
          <w:sz w:val="32"/>
        </w:rPr>
        <w:t>理事务</w:t>
      </w:r>
      <w:r>
        <w:rPr>
          <w:sz w:val="32"/>
        </w:rPr>
        <w:t>（项</w:t>
      </w:r>
      <w:r>
        <w:rPr>
          <w:spacing w:val="-5"/>
          <w:sz w:val="32"/>
        </w:rPr>
        <w:t>）</w:t>
      </w:r>
      <w:r>
        <w:rPr>
          <w:spacing w:val="-2"/>
          <w:sz w:val="32"/>
        </w:rPr>
        <w:t>：指政协四川省广元市昭化区委员会办公室的项目支出。</w:t>
      </w:r>
    </w:p>
    <w:p>
      <w:pPr>
        <w:pStyle w:val="10"/>
        <w:numPr>
          <w:ilvl w:val="0"/>
          <w:numId w:val="4"/>
        </w:numPr>
        <w:tabs>
          <w:tab w:val="left" w:pos="1663"/>
        </w:tabs>
        <w:spacing w:before="4" w:after="0" w:line="350" w:lineRule="auto"/>
        <w:ind w:left="700" w:right="539" w:firstLine="640"/>
        <w:jc w:val="left"/>
        <w:rPr>
          <w:sz w:val="32"/>
        </w:rPr>
      </w:pPr>
      <w:r>
        <w:rPr>
          <w:spacing w:val="-16"/>
          <w:w w:val="99"/>
          <w:sz w:val="32"/>
        </w:rPr>
        <w:t>一般公共服务支出</w:t>
      </w:r>
      <w:r>
        <w:rPr>
          <w:spacing w:val="-3"/>
          <w:w w:val="99"/>
          <w:sz w:val="32"/>
        </w:rPr>
        <w:t>（</w:t>
      </w:r>
      <w:r>
        <w:rPr>
          <w:spacing w:val="2"/>
          <w:w w:val="99"/>
          <w:sz w:val="32"/>
        </w:rPr>
        <w:t>类</w:t>
      </w:r>
      <w:r>
        <w:rPr>
          <w:spacing w:val="-132"/>
          <w:w w:val="99"/>
          <w:sz w:val="32"/>
        </w:rPr>
        <w:t>）</w:t>
      </w:r>
      <w:r>
        <w:rPr>
          <w:spacing w:val="-32"/>
          <w:w w:val="99"/>
          <w:sz w:val="32"/>
        </w:rPr>
        <w:t>政协事务</w:t>
      </w:r>
      <w:r>
        <w:rPr>
          <w:w w:val="99"/>
          <w:sz w:val="32"/>
        </w:rPr>
        <w:t>（款</w:t>
      </w:r>
      <w:r>
        <w:rPr>
          <w:spacing w:val="-130"/>
          <w:w w:val="99"/>
          <w:sz w:val="32"/>
        </w:rPr>
        <w:t>）</w:t>
      </w:r>
      <w:r>
        <w:rPr>
          <w:spacing w:val="-33"/>
          <w:w w:val="99"/>
          <w:sz w:val="32"/>
        </w:rPr>
        <w:t>政协会议</w:t>
      </w:r>
      <w:r>
        <w:rPr>
          <w:w w:val="99"/>
          <w:sz w:val="32"/>
        </w:rPr>
        <w:t>（项</w:t>
      </w:r>
      <w:r>
        <w:rPr>
          <w:spacing w:val="-159"/>
          <w:w w:val="99"/>
          <w:sz w:val="32"/>
        </w:rPr>
        <w:t>）</w:t>
      </w:r>
      <w:r>
        <w:rPr>
          <w:w w:val="99"/>
          <w:sz w:val="32"/>
        </w:rPr>
        <w:t>：</w:t>
      </w:r>
      <w:r>
        <w:rPr>
          <w:spacing w:val="-1"/>
          <w:sz w:val="32"/>
        </w:rPr>
        <w:t>指政协四川省广元市昭化区委员会办公室召开一、二类会议的支出。</w:t>
      </w:r>
    </w:p>
    <w:p>
      <w:pPr>
        <w:pStyle w:val="10"/>
        <w:numPr>
          <w:ilvl w:val="0"/>
          <w:numId w:val="4"/>
        </w:numPr>
        <w:tabs>
          <w:tab w:val="left" w:pos="1663"/>
        </w:tabs>
        <w:spacing w:before="4" w:after="0" w:line="350" w:lineRule="auto"/>
        <w:ind w:left="700" w:right="539" w:firstLine="640"/>
        <w:jc w:val="left"/>
        <w:rPr>
          <w:sz w:val="32"/>
        </w:rPr>
      </w:pPr>
      <w:r>
        <w:rPr>
          <w:spacing w:val="-16"/>
          <w:w w:val="99"/>
          <w:sz w:val="32"/>
        </w:rPr>
        <w:t>一般公共服务支出</w:t>
      </w:r>
      <w:r>
        <w:rPr>
          <w:spacing w:val="-3"/>
          <w:w w:val="99"/>
          <w:sz w:val="32"/>
        </w:rPr>
        <w:t>（</w:t>
      </w:r>
      <w:r>
        <w:rPr>
          <w:spacing w:val="2"/>
          <w:w w:val="99"/>
          <w:sz w:val="32"/>
        </w:rPr>
        <w:t>类</w:t>
      </w:r>
      <w:r>
        <w:rPr>
          <w:spacing w:val="-132"/>
          <w:w w:val="99"/>
          <w:sz w:val="32"/>
        </w:rPr>
        <w:t>）</w:t>
      </w:r>
      <w:r>
        <w:rPr>
          <w:spacing w:val="-32"/>
          <w:w w:val="99"/>
          <w:sz w:val="32"/>
        </w:rPr>
        <w:t>政协事务</w:t>
      </w:r>
      <w:r>
        <w:rPr>
          <w:w w:val="99"/>
          <w:sz w:val="32"/>
        </w:rPr>
        <w:t>（款</w:t>
      </w:r>
      <w:r>
        <w:rPr>
          <w:spacing w:val="-130"/>
          <w:w w:val="99"/>
          <w:sz w:val="32"/>
        </w:rPr>
        <w:t>）</w:t>
      </w:r>
      <w:r>
        <w:rPr>
          <w:spacing w:val="-33"/>
          <w:w w:val="99"/>
          <w:sz w:val="32"/>
        </w:rPr>
        <w:t>委员视察</w:t>
      </w:r>
      <w:r>
        <w:rPr>
          <w:w w:val="99"/>
          <w:sz w:val="32"/>
        </w:rPr>
        <w:t>（项</w:t>
      </w:r>
      <w:r>
        <w:rPr>
          <w:spacing w:val="-159"/>
          <w:w w:val="99"/>
          <w:sz w:val="32"/>
        </w:rPr>
        <w:t>）</w:t>
      </w:r>
      <w:r>
        <w:rPr>
          <w:w w:val="99"/>
          <w:sz w:val="32"/>
        </w:rPr>
        <w:t>：</w:t>
      </w:r>
      <w:r>
        <w:rPr>
          <w:sz w:val="32"/>
        </w:rPr>
        <w:t>指组织政协四川省广元市昭化区委员会办公室开展各类视 察的支出。</w:t>
      </w:r>
    </w:p>
    <w:p>
      <w:pPr>
        <w:pStyle w:val="10"/>
        <w:numPr>
          <w:ilvl w:val="0"/>
          <w:numId w:val="4"/>
        </w:numPr>
        <w:tabs>
          <w:tab w:val="left" w:pos="1663"/>
        </w:tabs>
        <w:spacing w:before="4" w:after="0" w:line="240" w:lineRule="auto"/>
        <w:ind w:left="1662" w:right="0" w:hanging="323"/>
        <w:jc w:val="left"/>
        <w:rPr>
          <w:sz w:val="32"/>
        </w:rPr>
      </w:pPr>
      <w:r>
        <w:rPr>
          <w:spacing w:val="-16"/>
          <w:w w:val="99"/>
          <w:sz w:val="32"/>
        </w:rPr>
        <w:t>一般公共服务支出</w:t>
      </w:r>
      <w:r>
        <w:rPr>
          <w:spacing w:val="-3"/>
          <w:w w:val="99"/>
          <w:sz w:val="32"/>
        </w:rPr>
        <w:t>（</w:t>
      </w:r>
      <w:r>
        <w:rPr>
          <w:spacing w:val="2"/>
          <w:w w:val="99"/>
          <w:sz w:val="32"/>
        </w:rPr>
        <w:t>类</w:t>
      </w:r>
      <w:r>
        <w:rPr>
          <w:spacing w:val="-132"/>
          <w:w w:val="99"/>
          <w:sz w:val="32"/>
        </w:rPr>
        <w:t>）</w:t>
      </w:r>
      <w:r>
        <w:rPr>
          <w:spacing w:val="-32"/>
          <w:w w:val="99"/>
          <w:sz w:val="32"/>
        </w:rPr>
        <w:t>政协事务</w:t>
      </w:r>
      <w:r>
        <w:rPr>
          <w:w w:val="99"/>
          <w:sz w:val="32"/>
        </w:rPr>
        <w:t>（款</w:t>
      </w:r>
      <w:r>
        <w:rPr>
          <w:spacing w:val="-130"/>
          <w:w w:val="99"/>
          <w:sz w:val="32"/>
        </w:rPr>
        <w:t>）</w:t>
      </w:r>
      <w:r>
        <w:rPr>
          <w:spacing w:val="-33"/>
          <w:w w:val="99"/>
          <w:sz w:val="32"/>
        </w:rPr>
        <w:t>参政议政</w:t>
      </w:r>
      <w:r>
        <w:rPr>
          <w:w w:val="99"/>
          <w:sz w:val="32"/>
        </w:rPr>
        <w:t>（项</w:t>
      </w:r>
      <w:r>
        <w:rPr>
          <w:spacing w:val="-159"/>
          <w:w w:val="99"/>
          <w:sz w:val="32"/>
        </w:rPr>
        <w:t>）</w:t>
      </w:r>
      <w:r>
        <w:rPr>
          <w:w w:val="99"/>
          <w:sz w:val="32"/>
        </w:rPr>
        <w:t>：</w:t>
      </w:r>
    </w:p>
    <w:p>
      <w:pPr>
        <w:spacing w:after="0" w:line="240" w:lineRule="auto"/>
        <w:jc w:val="left"/>
        <w:rPr>
          <w:sz w:val="32"/>
        </w:rPr>
        <w:sectPr>
          <w:pgSz w:w="11910" w:h="16840"/>
          <w:pgMar w:top="1580" w:right="1100" w:bottom="1380" w:left="1100" w:header="0" w:footer="1116" w:gutter="0"/>
          <w:cols w:space="720" w:num="1"/>
        </w:sectPr>
      </w:pPr>
    </w:p>
    <w:p>
      <w:pPr>
        <w:pStyle w:val="5"/>
        <w:spacing w:before="43" w:line="350" w:lineRule="auto"/>
        <w:ind w:right="1005"/>
      </w:pPr>
      <w:r>
        <w:t>指政协四川省广元市昭化区委员会办公室为参政议政进行调研、协商等方面的支出。</w:t>
      </w:r>
    </w:p>
    <w:p>
      <w:pPr>
        <w:pStyle w:val="10"/>
        <w:numPr>
          <w:ilvl w:val="0"/>
          <w:numId w:val="4"/>
        </w:numPr>
        <w:tabs>
          <w:tab w:val="left" w:pos="1663"/>
        </w:tabs>
        <w:spacing w:before="3" w:after="0" w:line="350" w:lineRule="auto"/>
        <w:ind w:left="700" w:right="700" w:firstLine="640"/>
        <w:jc w:val="both"/>
        <w:rPr>
          <w:sz w:val="32"/>
        </w:rPr>
      </w:pPr>
      <w:r>
        <w:rPr>
          <w:spacing w:val="-1"/>
          <w:w w:val="95"/>
          <w:sz w:val="32"/>
        </w:rPr>
        <w:t>一般公共服务支出</w:t>
      </w:r>
      <w:r>
        <w:rPr>
          <w:w w:val="95"/>
          <w:sz w:val="32"/>
        </w:rPr>
        <w:t>（类</w:t>
      </w:r>
      <w:r>
        <w:rPr>
          <w:spacing w:val="-3"/>
          <w:w w:val="95"/>
          <w:sz w:val="32"/>
        </w:rPr>
        <w:t>）</w:t>
      </w:r>
      <w:r>
        <w:rPr>
          <w:spacing w:val="-1"/>
          <w:w w:val="95"/>
          <w:sz w:val="32"/>
        </w:rPr>
        <w:t>政协事务</w:t>
      </w:r>
      <w:r>
        <w:rPr>
          <w:w w:val="95"/>
          <w:sz w:val="32"/>
        </w:rPr>
        <w:t>（款</w:t>
      </w:r>
      <w:r>
        <w:rPr>
          <w:spacing w:val="-3"/>
          <w:w w:val="95"/>
          <w:sz w:val="32"/>
        </w:rPr>
        <w:t>）</w:t>
      </w:r>
      <w:r>
        <w:rPr>
          <w:w w:val="95"/>
          <w:sz w:val="32"/>
        </w:rPr>
        <w:t xml:space="preserve">其他政协事 </w:t>
      </w:r>
      <w:r>
        <w:rPr>
          <w:spacing w:val="-2"/>
          <w:sz w:val="32"/>
        </w:rPr>
        <w:t>务支出</w:t>
      </w:r>
      <w:r>
        <w:rPr>
          <w:sz w:val="32"/>
        </w:rPr>
        <w:t>（项</w:t>
      </w:r>
      <w:r>
        <w:rPr>
          <w:spacing w:val="-5"/>
          <w:sz w:val="32"/>
        </w:rPr>
        <w:t>）</w:t>
      </w:r>
      <w:r>
        <w:rPr>
          <w:spacing w:val="-2"/>
          <w:sz w:val="32"/>
        </w:rPr>
        <w:t>：指政协四川省广元市昭化区委员会办公室除上述项目以外的其他政协事务支出。</w:t>
      </w:r>
    </w:p>
    <w:p>
      <w:pPr>
        <w:pStyle w:val="10"/>
        <w:numPr>
          <w:ilvl w:val="0"/>
          <w:numId w:val="4"/>
        </w:numPr>
        <w:tabs>
          <w:tab w:val="left" w:pos="1821"/>
        </w:tabs>
        <w:spacing w:before="4" w:after="0" w:line="350" w:lineRule="auto"/>
        <w:ind w:left="700" w:right="539" w:firstLine="640"/>
        <w:jc w:val="left"/>
        <w:rPr>
          <w:sz w:val="32"/>
        </w:rPr>
      </w:pPr>
      <w:r>
        <w:rPr>
          <w:spacing w:val="-13"/>
          <w:sz w:val="32"/>
        </w:rPr>
        <w:t>社会保障和就业支出</w:t>
      </w:r>
      <w:r>
        <w:rPr>
          <w:sz w:val="32"/>
        </w:rPr>
        <w:t>（类</w:t>
      </w:r>
      <w:r>
        <w:rPr>
          <w:spacing w:val="-111"/>
          <w:sz w:val="32"/>
        </w:rPr>
        <w:t>）</w:t>
      </w:r>
      <w:r>
        <w:rPr>
          <w:spacing w:val="-13"/>
          <w:sz w:val="32"/>
        </w:rPr>
        <w:t>行政事业单位离退休</w:t>
      </w:r>
      <w:r>
        <w:rPr>
          <w:sz w:val="32"/>
        </w:rPr>
        <w:t xml:space="preserve">（款） </w:t>
      </w:r>
      <w:r>
        <w:rPr>
          <w:spacing w:val="-1"/>
          <w:sz w:val="32"/>
        </w:rPr>
        <w:t>未归口管理的行政单位离退休</w:t>
      </w:r>
      <w:r>
        <w:rPr>
          <w:sz w:val="32"/>
        </w:rPr>
        <w:t>（项</w:t>
      </w:r>
      <w:r>
        <w:rPr>
          <w:spacing w:val="-4"/>
          <w:sz w:val="32"/>
        </w:rPr>
        <w:t>）</w:t>
      </w:r>
      <w:r>
        <w:rPr>
          <w:spacing w:val="-2"/>
          <w:sz w:val="32"/>
        </w:rPr>
        <w:t>：指政协四川省广元市昭化区委员会办公室离退休人员支出。</w:t>
      </w:r>
    </w:p>
    <w:p>
      <w:pPr>
        <w:pStyle w:val="10"/>
        <w:numPr>
          <w:ilvl w:val="0"/>
          <w:numId w:val="4"/>
        </w:numPr>
        <w:tabs>
          <w:tab w:val="left" w:pos="1821"/>
        </w:tabs>
        <w:spacing w:before="4" w:after="0" w:line="350" w:lineRule="auto"/>
        <w:ind w:left="700" w:right="697" w:firstLine="640"/>
        <w:jc w:val="left"/>
        <w:rPr>
          <w:sz w:val="32"/>
        </w:rPr>
      </w:pPr>
      <w:r>
        <w:rPr>
          <w:sz w:val="32"/>
        </w:rPr>
        <w:t xml:space="preserve">社会保障和就业（类）行政事业单位离退休（款） </w:t>
      </w:r>
      <w:r>
        <w:rPr>
          <w:spacing w:val="-1"/>
          <w:w w:val="95"/>
          <w:sz w:val="32"/>
        </w:rPr>
        <w:t>机关事业单位基本养老保险缴费支出</w:t>
      </w:r>
      <w:r>
        <w:rPr>
          <w:w w:val="95"/>
          <w:sz w:val="32"/>
        </w:rPr>
        <w:t>（项</w:t>
      </w:r>
      <w:r>
        <w:rPr>
          <w:spacing w:val="-4"/>
          <w:w w:val="95"/>
          <w:sz w:val="32"/>
        </w:rPr>
        <w:t>）</w:t>
      </w:r>
      <w:r>
        <w:rPr>
          <w:spacing w:val="-2"/>
          <w:w w:val="95"/>
          <w:sz w:val="32"/>
        </w:rPr>
        <w:t xml:space="preserve">：指政协四川省 </w:t>
      </w:r>
      <w:r>
        <w:rPr>
          <w:spacing w:val="-2"/>
          <w:sz w:val="32"/>
        </w:rPr>
        <w:t>广元市昭化区委员会办公室为机关事业单位职工缴纳基本养老保险支出。</w:t>
      </w:r>
    </w:p>
    <w:p>
      <w:pPr>
        <w:pStyle w:val="10"/>
        <w:numPr>
          <w:ilvl w:val="0"/>
          <w:numId w:val="4"/>
        </w:numPr>
        <w:tabs>
          <w:tab w:val="left" w:pos="1821"/>
        </w:tabs>
        <w:spacing w:before="5" w:after="0" w:line="350" w:lineRule="auto"/>
        <w:ind w:left="700" w:right="700" w:firstLine="640"/>
        <w:jc w:val="left"/>
        <w:rPr>
          <w:sz w:val="32"/>
        </w:rPr>
      </w:pPr>
      <w:r>
        <w:rPr>
          <w:sz w:val="32"/>
        </w:rPr>
        <w:t xml:space="preserve">社会保障和就业（类）行政事业单位离退休（款） </w:t>
      </w:r>
      <w:r>
        <w:rPr>
          <w:spacing w:val="-1"/>
          <w:w w:val="95"/>
          <w:sz w:val="32"/>
        </w:rPr>
        <w:t>机关事业单位职业年金缴费支出</w:t>
      </w:r>
      <w:r>
        <w:rPr>
          <w:w w:val="95"/>
          <w:sz w:val="32"/>
        </w:rPr>
        <w:t>（项</w:t>
      </w:r>
      <w:r>
        <w:rPr>
          <w:spacing w:val="-4"/>
          <w:w w:val="95"/>
          <w:sz w:val="32"/>
        </w:rPr>
        <w:t>）</w:t>
      </w:r>
      <w:r>
        <w:rPr>
          <w:spacing w:val="-2"/>
          <w:w w:val="95"/>
          <w:sz w:val="32"/>
        </w:rPr>
        <w:t xml:space="preserve">：指政协四川省广元 </w:t>
      </w:r>
      <w:r>
        <w:rPr>
          <w:spacing w:val="-2"/>
          <w:sz w:val="32"/>
        </w:rPr>
        <w:t>市昭化区委员会办公室为机关事业单位职工缴纳职业年金支出。</w:t>
      </w:r>
    </w:p>
    <w:p>
      <w:pPr>
        <w:pStyle w:val="10"/>
        <w:numPr>
          <w:ilvl w:val="0"/>
          <w:numId w:val="4"/>
        </w:numPr>
        <w:tabs>
          <w:tab w:val="left" w:pos="1821"/>
        </w:tabs>
        <w:spacing w:before="6" w:after="0" w:line="350" w:lineRule="auto"/>
        <w:ind w:left="700" w:right="539" w:firstLine="640"/>
        <w:jc w:val="left"/>
        <w:rPr>
          <w:sz w:val="32"/>
        </w:rPr>
      </w:pPr>
      <w:r>
        <w:rPr>
          <w:spacing w:val="-1"/>
          <w:w w:val="95"/>
          <w:sz w:val="32"/>
        </w:rPr>
        <w:t>医疗卫生与计划生育</w:t>
      </w:r>
      <w:r>
        <w:rPr>
          <w:w w:val="95"/>
          <w:sz w:val="32"/>
        </w:rPr>
        <w:t>（类</w:t>
      </w:r>
      <w:r>
        <w:rPr>
          <w:spacing w:val="-5"/>
          <w:w w:val="95"/>
          <w:sz w:val="32"/>
        </w:rPr>
        <w:t>）</w:t>
      </w:r>
      <w:r>
        <w:rPr>
          <w:spacing w:val="-1"/>
          <w:w w:val="95"/>
          <w:sz w:val="32"/>
        </w:rPr>
        <w:t>行政事业单位医疗</w:t>
      </w:r>
      <w:r>
        <w:rPr>
          <w:w w:val="95"/>
          <w:sz w:val="32"/>
        </w:rPr>
        <w:t xml:space="preserve">（款） </w:t>
      </w:r>
      <w:r>
        <w:rPr>
          <w:spacing w:val="-1"/>
          <w:sz w:val="32"/>
        </w:rPr>
        <w:t>行政单位医疗</w:t>
      </w:r>
      <w:r>
        <w:rPr>
          <w:sz w:val="32"/>
        </w:rPr>
        <w:t>（项</w:t>
      </w:r>
      <w:r>
        <w:rPr>
          <w:spacing w:val="-5"/>
          <w:sz w:val="32"/>
        </w:rPr>
        <w:t>）</w:t>
      </w:r>
      <w:r>
        <w:rPr>
          <w:spacing w:val="-2"/>
          <w:sz w:val="32"/>
        </w:rPr>
        <w:t>：指政协四川省广元市昭化区委员会办公室为机关职工缴纳的基本医疗保险。</w:t>
      </w:r>
    </w:p>
    <w:p>
      <w:pPr>
        <w:pStyle w:val="10"/>
        <w:numPr>
          <w:ilvl w:val="0"/>
          <w:numId w:val="4"/>
        </w:numPr>
        <w:tabs>
          <w:tab w:val="left" w:pos="1821"/>
        </w:tabs>
        <w:spacing w:before="4" w:after="0" w:line="350" w:lineRule="auto"/>
        <w:ind w:left="700" w:right="697" w:firstLine="640"/>
        <w:jc w:val="left"/>
        <w:rPr>
          <w:sz w:val="32"/>
        </w:rPr>
      </w:pPr>
      <w:r>
        <w:rPr>
          <w:sz w:val="32"/>
        </w:rPr>
        <w:t>住房保障支出（类）住房改革支出（款）住房公积</w:t>
      </w:r>
      <w:r>
        <w:rPr>
          <w:spacing w:val="-3"/>
          <w:w w:val="95"/>
          <w:sz w:val="32"/>
        </w:rPr>
        <w:t>金</w:t>
      </w:r>
      <w:r>
        <w:rPr>
          <w:w w:val="95"/>
          <w:sz w:val="32"/>
        </w:rPr>
        <w:t>（项）</w:t>
      </w:r>
      <w:r>
        <w:rPr>
          <w:spacing w:val="-2"/>
          <w:w w:val="95"/>
          <w:sz w:val="32"/>
        </w:rPr>
        <w:t xml:space="preserve">：指按照《住房公积金管理条例》的规定，由政协 </w:t>
      </w:r>
      <w:r>
        <w:rPr>
          <w:spacing w:val="-2"/>
          <w:sz w:val="32"/>
        </w:rPr>
        <w:t>四川省委员会办公厅缴存的在职职工住房公积金。</w:t>
      </w:r>
    </w:p>
    <w:p>
      <w:pPr>
        <w:pStyle w:val="10"/>
        <w:numPr>
          <w:ilvl w:val="0"/>
          <w:numId w:val="4"/>
        </w:numPr>
        <w:tabs>
          <w:tab w:val="left" w:pos="1821"/>
        </w:tabs>
        <w:spacing w:before="5" w:after="0" w:line="240" w:lineRule="auto"/>
        <w:ind w:left="1820" w:right="0" w:hanging="481"/>
        <w:jc w:val="left"/>
        <w:rPr>
          <w:sz w:val="32"/>
        </w:rPr>
      </w:pPr>
      <w:r>
        <w:rPr>
          <w:sz w:val="32"/>
        </w:rPr>
        <w:t>住房保障支出（类）住房改革支出（款）购房补贴</w:t>
      </w:r>
    </w:p>
    <w:p>
      <w:pPr>
        <w:spacing w:after="0" w:line="240" w:lineRule="auto"/>
        <w:jc w:val="left"/>
        <w:rPr>
          <w:sz w:val="32"/>
        </w:rPr>
        <w:sectPr>
          <w:pgSz w:w="11910" w:h="16840"/>
          <w:pgMar w:top="1540" w:right="1100" w:bottom="1380" w:left="1100" w:header="0" w:footer="1116" w:gutter="0"/>
          <w:cols w:space="720" w:num="1"/>
        </w:sectPr>
      </w:pPr>
    </w:p>
    <w:p>
      <w:pPr>
        <w:pStyle w:val="5"/>
        <w:spacing w:before="43" w:line="350" w:lineRule="auto"/>
        <w:ind w:right="655"/>
      </w:pPr>
      <w:bookmarkStart w:id="42" w:name="第四部分 附件"/>
      <w:bookmarkEnd w:id="42"/>
      <w:r>
        <w:t>（项）：指政协四川省广元市昭化区委员会办公室支付符合政策规定的在职职工的住房公积金。</w:t>
      </w:r>
    </w:p>
    <w:p>
      <w:pPr>
        <w:pStyle w:val="10"/>
        <w:numPr>
          <w:ilvl w:val="0"/>
          <w:numId w:val="4"/>
        </w:numPr>
        <w:tabs>
          <w:tab w:val="left" w:pos="1821"/>
        </w:tabs>
        <w:spacing w:before="3" w:after="0" w:line="350" w:lineRule="auto"/>
        <w:ind w:left="700" w:right="844" w:firstLine="640"/>
        <w:jc w:val="left"/>
        <w:rPr>
          <w:sz w:val="32"/>
        </w:rPr>
      </w:pPr>
      <w:r>
        <w:rPr>
          <w:sz w:val="32"/>
        </w:rPr>
        <w:t>基本支出：指为保障机构正常运转、完成日常工作任务而发生的人员支出和公用支出。</w:t>
      </w:r>
    </w:p>
    <w:p>
      <w:pPr>
        <w:pStyle w:val="10"/>
        <w:numPr>
          <w:ilvl w:val="0"/>
          <w:numId w:val="4"/>
        </w:numPr>
        <w:tabs>
          <w:tab w:val="left" w:pos="1821"/>
        </w:tabs>
        <w:spacing w:before="2" w:after="0" w:line="350" w:lineRule="auto"/>
        <w:ind w:left="700" w:right="844" w:firstLine="640"/>
        <w:jc w:val="left"/>
        <w:rPr>
          <w:sz w:val="32"/>
        </w:rPr>
      </w:pPr>
      <w:r>
        <w:rPr>
          <w:sz w:val="32"/>
        </w:rPr>
        <w:t>项目支出：指在基本支出之外为完成特定行政任务和事业发展目标所发生的支出。</w:t>
      </w:r>
    </w:p>
    <w:p>
      <w:pPr>
        <w:pStyle w:val="10"/>
        <w:numPr>
          <w:ilvl w:val="0"/>
          <w:numId w:val="4"/>
        </w:numPr>
        <w:tabs>
          <w:tab w:val="left" w:pos="1821"/>
        </w:tabs>
        <w:spacing w:before="3" w:after="0" w:line="240" w:lineRule="auto"/>
        <w:ind w:left="1820" w:right="0" w:hanging="481"/>
        <w:jc w:val="left"/>
        <w:rPr>
          <w:sz w:val="32"/>
        </w:rPr>
      </w:pPr>
      <w:r>
        <w:rPr>
          <w:sz w:val="32"/>
        </w:rPr>
        <w:t>“三公”经费：指部门用财政拨款安排的因公出国</w:t>
      </w:r>
    </w:p>
    <w:p>
      <w:pPr>
        <w:pStyle w:val="5"/>
        <w:spacing w:before="190" w:line="350" w:lineRule="auto"/>
        <w:ind w:right="685"/>
        <w:jc w:val="both"/>
      </w:pPr>
      <w:r>
        <w:t>（境）费、公务用车购置及运行费和公务接待费。其中，因公出国（境）费反映单位公务出国（境）的国际旅费、国外城市间交通费、住宿费、伙食费、培训费、公杂费等支出； 公务用车购置及运行费反映单位公务用车车辆购置支出（含车辆购置税）及租用费、燃料费、维修费、过路过桥费、保险费等支出；公务接待费反映单位按规定开支的各类公务接待（含外宾接待）支出。</w:t>
      </w:r>
    </w:p>
    <w:p>
      <w:pPr>
        <w:pStyle w:val="10"/>
        <w:numPr>
          <w:ilvl w:val="0"/>
          <w:numId w:val="4"/>
        </w:numPr>
        <w:tabs>
          <w:tab w:val="left" w:pos="1821"/>
        </w:tabs>
        <w:spacing w:before="10" w:after="0" w:line="350" w:lineRule="auto"/>
        <w:ind w:left="700" w:right="700" w:firstLine="640"/>
        <w:jc w:val="left"/>
        <w:rPr>
          <w:sz w:val="32"/>
        </w:rPr>
      </w:pPr>
      <w:r>
        <w:rPr>
          <w:sz w:val="32"/>
        </w:rPr>
        <w:t>机关运行经费：为保障行政单位（含参照公务员法管理的事业单位</w:t>
      </w:r>
      <w:r>
        <w:rPr>
          <w:spacing w:val="-5"/>
          <w:sz w:val="32"/>
        </w:rPr>
        <w:t>）</w:t>
      </w:r>
      <w:r>
        <w:rPr>
          <w:spacing w:val="-2"/>
          <w:sz w:val="32"/>
        </w:rPr>
        <w:t>运行用于购买货物和服务的各项资金，包</w:t>
      </w:r>
      <w:r>
        <w:rPr>
          <w:spacing w:val="-3"/>
          <w:w w:val="95"/>
          <w:sz w:val="32"/>
        </w:rPr>
        <w:t xml:space="preserve">括办公及印刷费、邮电费、差旅费、会议费、福利费、日常 </w:t>
      </w:r>
      <w:r>
        <w:rPr>
          <w:spacing w:val="-3"/>
          <w:sz w:val="32"/>
        </w:rPr>
        <w:t>维修费、专用材料及一般设备购置费以及其他费用。</w:t>
      </w:r>
    </w:p>
    <w:p>
      <w:pPr>
        <w:spacing w:after="0" w:line="350" w:lineRule="auto"/>
        <w:jc w:val="left"/>
        <w:rPr>
          <w:sz w:val="32"/>
        </w:rPr>
        <w:sectPr>
          <w:pgSz w:w="11910" w:h="16840"/>
          <w:pgMar w:top="1540" w:right="1100" w:bottom="1380" w:left="1100" w:header="0" w:footer="1116" w:gutter="0"/>
          <w:cols w:space="720" w:num="1"/>
        </w:sectPr>
      </w:pPr>
    </w:p>
    <w:p>
      <w:pPr>
        <w:pStyle w:val="2"/>
        <w:spacing w:before="23"/>
      </w:pPr>
      <w:bookmarkStart w:id="43" w:name="_bookmark15"/>
      <w:bookmarkEnd w:id="43"/>
      <w:r>
        <w:t>第四部分 附件</w:t>
      </w:r>
    </w:p>
    <w:p>
      <w:pPr>
        <w:pStyle w:val="5"/>
        <w:ind w:left="0"/>
        <w:rPr>
          <w:rFonts w:ascii="黑体"/>
          <w:sz w:val="20"/>
        </w:rPr>
      </w:pPr>
    </w:p>
    <w:p>
      <w:pPr>
        <w:pStyle w:val="5"/>
        <w:ind w:left="0"/>
        <w:rPr>
          <w:rFonts w:ascii="黑体"/>
          <w:sz w:val="20"/>
        </w:rPr>
      </w:pPr>
    </w:p>
    <w:p>
      <w:pPr>
        <w:pStyle w:val="5"/>
        <w:ind w:left="0"/>
        <w:rPr>
          <w:rFonts w:ascii="黑体"/>
          <w:sz w:val="20"/>
        </w:rPr>
      </w:pPr>
    </w:p>
    <w:p>
      <w:pPr>
        <w:pStyle w:val="5"/>
        <w:spacing w:before="194"/>
      </w:pPr>
      <w:bookmarkStart w:id="44" w:name="_bookmark16"/>
      <w:bookmarkEnd w:id="44"/>
      <w:bookmarkStart w:id="45" w:name="附件1"/>
      <w:bookmarkEnd w:id="45"/>
      <w:r>
        <w:t>附件 1</w:t>
      </w:r>
    </w:p>
    <w:p>
      <w:pPr>
        <w:pStyle w:val="5"/>
        <w:spacing w:before="11"/>
        <w:ind w:left="0"/>
        <w:rPr>
          <w:sz w:val="37"/>
        </w:rPr>
      </w:pPr>
    </w:p>
    <w:p>
      <w:pPr>
        <w:pStyle w:val="3"/>
        <w:ind w:right="892"/>
      </w:pPr>
      <w:bookmarkStart w:id="46" w:name="区政协2018年部门整体支出绩效评价报告"/>
      <w:bookmarkEnd w:id="46"/>
      <w:r>
        <w:t>区政协 2018 年部门整体支出绩效评价报告</w:t>
      </w:r>
    </w:p>
    <w:p>
      <w:pPr>
        <w:pStyle w:val="5"/>
        <w:ind w:left="0"/>
        <w:rPr>
          <w:rFonts w:ascii="黑体"/>
          <w:sz w:val="36"/>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一、部门（单位）概况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（一）机构组成。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内部设置为六委一室,即办公室、农业委、提案法制委、人口环境资源委、经济委、科教文卫体委、学习文史与社会联谊委。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（二）机构职能。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政协四川省广元市昭化区委员会办公室是政协四川省广元市昭化区委员会的工作机构，承担为区政协履行政治协商、民主监督、参政议政职能服务的各项工作。主要负责政协四川省广元市昭化区委员会全体会议、常务委员会会议、主席会议和其他重要会议的会务工作；组织实施区委、区政府、区政协年度协商计划和政协四川省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 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（三）人员概况。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截止 2018 年 12 月 31 日，政协广元市昭化区委员会办公室核定行政编制 7 个，单列管理的行政编制 5 个。年未实有人数 30 人，其中：行政编制人数 24 人，事业编制人数 2有，志愿者 1 人,三支一扶 1 人，劳务派遣 2 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二、部门财政资金收支情况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（一）部门财政资金收入情况。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2018 年部门预算安排年初收入预算总额为614.39 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其中：当年财政拨款收入 650.53 万元（其中上年结转 2.71万元）。年中调整追加财政资金预算 38.85 万元，主要是追加了在职职工工资调标、目标绩效奖、离退休人员职业年金 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（二）部门财政资金支出情况。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2018 年部门财政资金支出决算总额为 653.24 万元。其中：基本支出 541.14 万元，日常公用经费支出 112.1 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三、部门整体预算绩效管理情况（根据适用指标体系进行调整）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（一）部门预算管理。 1．部门绩效目标制定情况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编制 2018 部门预算时，办公室结合区政协职能职责，围绕中心工作任务，严格按照预算编制要求，提前谋划预算编制工作，完成部门预算基础库更新，参照项目预算执行情况，统筹项目支出需要，按照保重点支出的原则，调整支出结构，优化财政资金配置，同时，结合财务决算情况，考虑预算年度增减变动因素，合理编报了部门预算，确保不漏报、 不虚报。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 目标完成情况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2018 年，政协四川省广元市昭化区委员会办公室在区委和区政协党组、主席会议的坚强领导下，牢固树立“四个意识”，</w:t>
      </w:r>
      <w:r>
        <w:rPr>
          <w:rFonts w:hint="eastAsia"/>
          <w:sz w:val="32"/>
          <w:szCs w:val="32"/>
          <w:lang w:val="en-US" w:eastAsia="zh-CN"/>
        </w:rPr>
        <w:t>坚定</w:t>
      </w:r>
      <w:r>
        <w:rPr>
          <w:rFonts w:hint="eastAsia"/>
          <w:sz w:val="32"/>
          <w:szCs w:val="32"/>
        </w:rPr>
        <w:t>“四个自信”，坚持用习近平新时代中国特色社会主义思想武装头脑，坚决做到“两个维护”，深刻领会习近平总书记对四川工作系列重要指示精神，深入学习贯彻省委十一届三次、四次全会重大决策部署，准确把握推动治蜀兴川再上新台阶的总体要求和“五个着力”的重点任务，把 协商民主贯穿政协履职全过程，自觉用中央和省委决策部署及指示要求统一思想、凝聚共识、推动工作。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一是政治协商务实开展。按照区委常委会审定的年度协商计划，组织召开全委会议同，对“一府两院”及财政、计 划工作进行了整体协商。召开常委</w:t>
      </w:r>
      <w:r>
        <w:rPr>
          <w:rFonts w:hint="eastAsia"/>
          <w:sz w:val="32"/>
          <w:szCs w:val="32"/>
          <w:lang w:val="en-US" w:eastAsia="zh-CN"/>
        </w:rPr>
        <w:t>会</w:t>
      </w:r>
      <w:bookmarkStart w:id="77" w:name="_GoBack"/>
      <w:bookmarkEnd w:id="77"/>
      <w:r>
        <w:rPr>
          <w:rFonts w:hint="eastAsia"/>
          <w:sz w:val="32"/>
          <w:szCs w:val="32"/>
        </w:rPr>
        <w:t>会议 4 次，主席会议 10次，专题协商、对口协商、界别协商会会议 9 次，聚焦经济建设“三大主战场”协商研究方案，着力“三大攻坚战”建 言献策，围绕“三大重点区域”和中国西部（广元）家居产业城建议献计出力。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二</w:t>
      </w:r>
      <w:r>
        <w:rPr>
          <w:rFonts w:hint="eastAsia"/>
          <w:sz w:val="32"/>
          <w:szCs w:val="32"/>
        </w:rPr>
        <w:t>是参政议政成果丰硕。一年来，共确立调研课题 33个，开展专题调研 42 次，专题视察、提案督办 34 次，形成《关于中国西部（广元）绿色家居产业城规划与建设情况的 调查与建议》等调研报告 41 篇、《关于盘活广元市昭化区白龙酒厂产销能力提升经济运行质量的建议》等建议案 2 篇、《关于亭子湖生态保护和开发工作的视察报告》1 篇、《关于建设幸福广场的建议》等社情民意信息专报 28 件，先后有 68 名政协委员通过大会、专题协商会、界别协商会等各种层次会议进行协商交流发言。区委区政府及有关部门高度重视区政协及委员的意见和建议，《关于进一步推进休闲农业发展的建议》《关于发展农业主导产业巩固脱贫成果的调研报告》等 8 篇调研报告和《王文公路亟待加强培修与管护》等 9 件社情民意信息得到区委区政府主要领导批示，大部分意见建议被党政决策吸收，既有力推动了相关工作开展，又极大促进了区政协各参加单位和全体政协委员的参政热情， 使民主政治的良好氛围更加浓厚。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三</w:t>
      </w:r>
      <w:r>
        <w:rPr>
          <w:rFonts w:hint="eastAsia"/>
          <w:sz w:val="32"/>
          <w:szCs w:val="32"/>
        </w:rPr>
        <w:t>是民主监督广泛有力。今年来，区委常委会 4 次研究政协民主监督工作，审定通过了《关于加强和改进人民政协民主监督工作的实施意见》，区人民政府、区纪委监委、区人民法院、区人民检察院和区级相关部门先后 21 次向政协常委会、主席会议通报工作情况，为政协常委和政协委员知情明政提供有益帮助。区政协紧紧围绕区委区政府重大决策部署，坚持区委区政府中心工作推进到哪里，政协民主监督就跟进到哪里。今年来，区政协民主监督工作聚焦区委七届五次、六次全会确定的目标，整合各专委会、各界别力量集中发力，紧扣高质量脱贫摘帽、项目投资快速增长、产业发展提质增效等中心任务和乡村振兴战略、供给侧结构性改革等重大决策部署的贯彻落实，组织开展视察、调研走访等民主监督活动，有力促进了区委区政府一系列重大决策部署的落实落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（二）专项预算管理。无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（三）结果应用情况。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1.债务管理。无新增债务。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2.信息公开。财政部门批复后 ，按要求公开本部门的预算、决算（含所有财政资金安排的“三公”经费、机构运 行经费的安排、使用情况等）。对纳入政府采购的项目在政府采购网公开。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四、评价结论及建议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总体上看，政协广元市昭化区委员会办公室预决算编制较为准确，预算执行良好；支出管理规范，内控制度不断完善，基本支出保证了机关的正常运转及日常工作顺利开展， 项目经费保障了重点工作的开展，达到了预期的绩效目标。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（二）存在问题。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一是资金效益发挥不太好；二是财务管理一些环节存在疏漏的情况，例如因把关不严。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（三）改进建议。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一是提高预算编制的准确性。二是健全和完善单位内部控制制度。三是进一步提升财务人员业务素质，提高财务管理精细化和精准化水平。</w:t>
      </w:r>
    </w:p>
    <w:p>
      <w:pPr>
        <w:spacing w:after="0" w:line="338" w:lineRule="auto"/>
        <w:jc w:val="both"/>
        <w:sectPr>
          <w:footerReference r:id="rId7" w:type="default"/>
          <w:pgSz w:w="11910" w:h="16840"/>
          <w:pgMar w:top="1540" w:right="1100" w:bottom="1380" w:left="1100" w:header="0" w:footer="1196" w:gutter="0"/>
          <w:cols w:space="720" w:num="1"/>
        </w:sectPr>
      </w:pPr>
    </w:p>
    <w:p>
      <w:pPr>
        <w:pStyle w:val="5"/>
        <w:ind w:left="0"/>
        <w:rPr>
          <w:sz w:val="20"/>
        </w:rPr>
      </w:pPr>
    </w:p>
    <w:p>
      <w:pPr>
        <w:pStyle w:val="5"/>
        <w:ind w:left="0"/>
        <w:rPr>
          <w:sz w:val="20"/>
        </w:rPr>
      </w:pPr>
    </w:p>
    <w:p>
      <w:pPr>
        <w:pStyle w:val="5"/>
        <w:spacing w:before="10"/>
        <w:ind w:left="0"/>
        <w:rPr>
          <w:sz w:val="20"/>
        </w:rPr>
      </w:pPr>
    </w:p>
    <w:p>
      <w:pPr>
        <w:pStyle w:val="5"/>
        <w:spacing w:before="54"/>
      </w:pPr>
      <w:bookmarkStart w:id="47" w:name="_bookmark17"/>
      <w:bookmarkEnd w:id="47"/>
      <w:bookmarkStart w:id="48" w:name="附件2"/>
      <w:bookmarkEnd w:id="48"/>
      <w:r>
        <w:t>附件 2</w:t>
      </w:r>
    </w:p>
    <w:p>
      <w:pPr>
        <w:pStyle w:val="5"/>
        <w:spacing w:before="7"/>
        <w:ind w:left="0"/>
        <w:rPr>
          <w:sz w:val="30"/>
        </w:rPr>
      </w:pPr>
    </w:p>
    <w:p>
      <w:pPr>
        <w:pStyle w:val="2"/>
        <w:spacing w:before="1" w:line="247" w:lineRule="auto"/>
        <w:ind w:left="3973" w:right="837" w:hanging="3137"/>
        <w:jc w:val="left"/>
      </w:pPr>
      <w:r>
        <w:t>2018</w:t>
      </w:r>
      <w:r>
        <w:rPr>
          <w:spacing w:val="-12"/>
        </w:rPr>
        <w:t xml:space="preserve"> 年信息平台建设维护费项目支出绩效</w:t>
      </w:r>
      <w:r>
        <w:t>评价报告</w:t>
      </w:r>
    </w:p>
    <w:p>
      <w:pPr>
        <w:pStyle w:val="5"/>
        <w:spacing w:before="6"/>
        <w:ind w:left="0"/>
        <w:rPr>
          <w:rFonts w:ascii="黑体"/>
          <w:sz w:val="54"/>
        </w:rPr>
      </w:pPr>
    </w:p>
    <w:p>
      <w:pPr>
        <w:pStyle w:val="5"/>
        <w:ind w:left="1340"/>
      </w:pPr>
      <w:r>
        <w:t>一、评价工作开展及项目情况</w:t>
      </w:r>
    </w:p>
    <w:p>
      <w:pPr>
        <w:pStyle w:val="5"/>
        <w:spacing w:before="159" w:line="331" w:lineRule="auto"/>
        <w:ind w:right="538" w:firstLine="640"/>
      </w:pPr>
      <w:r>
        <w:t>2018</w:t>
      </w:r>
      <w:r>
        <w:rPr>
          <w:spacing w:val="-9"/>
        </w:rPr>
        <w:t xml:space="preserve"> 年财政批复区政协办信息平台建设维护费</w:t>
      </w:r>
      <w:r>
        <w:t>20</w:t>
      </w:r>
      <w:r>
        <w:rPr>
          <w:spacing w:val="-30"/>
        </w:rPr>
        <w:t xml:space="preserve"> 万元， </w:t>
      </w:r>
      <w:r>
        <w:rPr>
          <w:spacing w:val="-19"/>
        </w:rPr>
        <w:t>根据全年专项工作安排，按照专项资金管理办法和专款专用</w:t>
      </w:r>
      <w:r>
        <w:rPr>
          <w:spacing w:val="-8"/>
        </w:rPr>
        <w:t>的原则，确保政协信息平台建设工作顺利完成。实行委员通过平台提交社情民意、提案等，及时推送相关信息，让委员</w:t>
      </w:r>
      <w:r>
        <w:rPr>
          <w:spacing w:val="-6"/>
        </w:rPr>
        <w:t>知情知政，加强学习，不断提高履职能力，实现委员意见建议的网上办理，委员履职网上管理。</w:t>
      </w:r>
    </w:p>
    <w:p>
      <w:pPr>
        <w:pStyle w:val="5"/>
        <w:spacing w:before="13"/>
        <w:ind w:left="1340"/>
      </w:pPr>
      <w:r>
        <w:t>二、评价结论及绩效分析</w:t>
      </w:r>
    </w:p>
    <w:p>
      <w:pPr>
        <w:pStyle w:val="5"/>
        <w:spacing w:before="169"/>
        <w:ind w:left="1340"/>
      </w:pPr>
      <w:r>
        <w:t>（一）评价结论</w:t>
      </w:r>
    </w:p>
    <w:p>
      <w:pPr>
        <w:pStyle w:val="5"/>
        <w:spacing w:before="171" w:line="338" w:lineRule="auto"/>
        <w:ind w:right="685" w:firstLine="640"/>
        <w:jc w:val="both"/>
      </w:pPr>
      <w:r>
        <w:t>通过项目的实施，完成区政协系统信息的收集、整理、传输工作，保障了区政协办公自动化以及网络的正常运行， 保障了各民主党派和政协委员利用信息系统反映社情民意、提交提案完成率达到 100%。</w:t>
      </w:r>
    </w:p>
    <w:p>
      <w:pPr>
        <w:pStyle w:val="5"/>
        <w:spacing w:before="8" w:line="331" w:lineRule="auto"/>
        <w:ind w:left="1340" w:right="6124"/>
      </w:pPr>
      <w:r>
        <w:t>（二）绩效分析1、项目决策</w:t>
      </w:r>
    </w:p>
    <w:p>
      <w:pPr>
        <w:pStyle w:val="5"/>
        <w:spacing w:before="1" w:line="331" w:lineRule="auto"/>
        <w:ind w:right="697" w:firstLine="640"/>
      </w:pPr>
      <w:r>
        <w:rPr>
          <w:spacing w:val="13"/>
          <w:w w:val="95"/>
        </w:rPr>
        <w:t xml:space="preserve">项目申报完全按照项目实施内容及年度内计划方案实 </w:t>
      </w:r>
      <w:r>
        <w:rPr>
          <w:spacing w:val="13"/>
        </w:rPr>
        <w:t>施，资金申报合理，操作性强，可行性高。</w:t>
      </w:r>
    </w:p>
    <w:p>
      <w:pPr>
        <w:pStyle w:val="5"/>
        <w:spacing w:before="13"/>
        <w:ind w:left="1340"/>
      </w:pPr>
      <w:r>
        <w:t>2、项目管理</w:t>
      </w:r>
    </w:p>
    <w:p>
      <w:pPr>
        <w:spacing w:after="0"/>
        <w:sectPr>
          <w:pgSz w:w="11910" w:h="16840"/>
          <w:pgMar w:top="1580" w:right="1100" w:bottom="1380" w:left="1100" w:header="0" w:footer="1196" w:gutter="0"/>
          <w:cols w:space="720" w:num="1"/>
        </w:sectPr>
      </w:pPr>
    </w:p>
    <w:p>
      <w:pPr>
        <w:pStyle w:val="5"/>
        <w:spacing w:before="34" w:line="331" w:lineRule="auto"/>
        <w:ind w:right="697" w:firstLine="640"/>
        <w:jc w:val="both"/>
      </w:pPr>
      <w:bookmarkStart w:id="49" w:name="_bookmark18"/>
      <w:bookmarkEnd w:id="49"/>
      <w:r>
        <w:rPr>
          <w:spacing w:val="-6"/>
        </w:rPr>
        <w:t>一是资金审批及时。</w:t>
      </w:r>
      <w:r>
        <w:t>2018</w:t>
      </w:r>
      <w:r>
        <w:rPr>
          <w:spacing w:val="-13"/>
        </w:rPr>
        <w:t xml:space="preserve"> 年度，区财政局及时将信息平台建设维护费指标下达我办，我办根据资金用途制定了详细</w:t>
      </w:r>
      <w:r>
        <w:rPr>
          <w:spacing w:val="-14"/>
        </w:rPr>
        <w:t>的项目实施方案及资金使用计划，确保了专项资金的专款专用。</w:t>
      </w:r>
    </w:p>
    <w:p>
      <w:pPr>
        <w:pStyle w:val="5"/>
        <w:spacing w:before="2" w:line="331" w:lineRule="auto"/>
        <w:ind w:right="685" w:firstLine="640"/>
        <w:jc w:val="right"/>
      </w:pPr>
      <w:r>
        <w:rPr>
          <w:spacing w:val="-2"/>
          <w:w w:val="95"/>
        </w:rPr>
        <w:t xml:space="preserve">二是资金使用规范合理。我办项目资金的开支范围、标 准、支付要求与预算、实际支出相符，支付依据合规合法。 </w:t>
      </w:r>
      <w:r>
        <w:rPr>
          <w:spacing w:val="-8"/>
        </w:rPr>
        <w:t xml:space="preserve">信息平台建设维护费到位资金 </w:t>
      </w:r>
      <w:r>
        <w:t>20</w:t>
      </w:r>
      <w:r>
        <w:rPr>
          <w:spacing w:val="-25"/>
        </w:rPr>
        <w:t xml:space="preserve"> 万元，支出 </w:t>
      </w:r>
      <w:r>
        <w:t>20</w:t>
      </w:r>
      <w:r>
        <w:rPr>
          <w:spacing w:val="-21"/>
        </w:rPr>
        <w:t xml:space="preserve"> 万元。</w:t>
      </w:r>
    </w:p>
    <w:p>
      <w:pPr>
        <w:pStyle w:val="5"/>
        <w:spacing w:before="12"/>
        <w:ind w:left="1340"/>
      </w:pPr>
      <w:r>
        <w:t>3、项目绩效</w:t>
      </w:r>
    </w:p>
    <w:p>
      <w:pPr>
        <w:pStyle w:val="5"/>
        <w:spacing w:before="158" w:line="331" w:lineRule="auto"/>
        <w:ind w:right="685" w:firstLine="640"/>
        <w:jc w:val="both"/>
      </w:pPr>
      <w:r>
        <w:t>2018</w:t>
      </w:r>
      <w:r>
        <w:rPr>
          <w:spacing w:val="-15"/>
        </w:rPr>
        <w:t xml:space="preserve"> 年度，在信息平台建设维护费使用中，我办严格按照方案要求进行实施，加强了资金管理，做到了专款专用， </w:t>
      </w:r>
      <w:r>
        <w:rPr>
          <w:spacing w:val="-12"/>
        </w:rPr>
        <w:t>确保了资金的安全，提高了资金使用效率。有力确保了信息平台建设工作有序推进。</w:t>
      </w:r>
    </w:p>
    <w:p>
      <w:pPr>
        <w:pStyle w:val="5"/>
        <w:spacing w:before="13"/>
        <w:ind w:left="1340"/>
        <w:jc w:val="both"/>
      </w:pPr>
      <w:r>
        <w:rPr>
          <w:spacing w:val="-11"/>
        </w:rPr>
        <w:t>四、 存在主要问题</w:t>
      </w:r>
    </w:p>
    <w:p>
      <w:pPr>
        <w:pStyle w:val="5"/>
        <w:spacing w:before="170" w:line="338" w:lineRule="auto"/>
        <w:ind w:left="1340" w:right="4845"/>
      </w:pPr>
      <w:r>
        <w:rPr>
          <w:spacing w:val="-2"/>
        </w:rPr>
        <w:t>平台作用需进一步提升。</w:t>
      </w:r>
      <w:r>
        <w:rPr>
          <w:spacing w:val="-11"/>
        </w:rPr>
        <w:t>五、 相关措施建议</w:t>
      </w:r>
    </w:p>
    <w:p>
      <w:pPr>
        <w:pStyle w:val="5"/>
        <w:spacing w:before="3"/>
        <w:ind w:left="1340"/>
      </w:pPr>
      <w:r>
        <w:t>建议加大对委员的培训力度。</w:t>
      </w:r>
    </w:p>
    <w:p>
      <w:pPr>
        <w:spacing w:after="0"/>
        <w:sectPr>
          <w:pgSz w:w="11910" w:h="16840"/>
          <w:pgMar w:top="1520" w:right="1100" w:bottom="1380" w:left="1100" w:header="0" w:footer="1196" w:gutter="0"/>
          <w:cols w:space="720" w:num="1"/>
        </w:sectPr>
      </w:pPr>
    </w:p>
    <w:p>
      <w:pPr>
        <w:pStyle w:val="5"/>
        <w:ind w:left="0"/>
        <w:rPr>
          <w:sz w:val="20"/>
        </w:rPr>
      </w:pPr>
    </w:p>
    <w:p>
      <w:pPr>
        <w:pStyle w:val="5"/>
        <w:spacing w:before="10"/>
        <w:ind w:left="0"/>
        <w:rPr>
          <w:sz w:val="14"/>
        </w:rPr>
      </w:pPr>
    </w:p>
    <w:p>
      <w:pPr>
        <w:pStyle w:val="2"/>
      </w:pPr>
      <w:bookmarkStart w:id="50" w:name="第五部分 附表"/>
      <w:bookmarkEnd w:id="50"/>
      <w:r>
        <w:t>第五部分 附表</w:t>
      </w:r>
    </w:p>
    <w:p>
      <w:pPr>
        <w:pStyle w:val="5"/>
        <w:ind w:left="0"/>
        <w:rPr>
          <w:rFonts w:ascii="黑体"/>
          <w:sz w:val="44"/>
        </w:rPr>
      </w:pPr>
    </w:p>
    <w:p>
      <w:pPr>
        <w:pStyle w:val="5"/>
        <w:spacing w:before="2"/>
        <w:ind w:left="0"/>
        <w:rPr>
          <w:rFonts w:ascii="黑体"/>
          <w:sz w:val="31"/>
        </w:rPr>
      </w:pPr>
    </w:p>
    <w:p>
      <w:pPr>
        <w:pStyle w:val="5"/>
        <w:spacing w:line="518" w:lineRule="auto"/>
        <w:ind w:right="5805"/>
      </w:pPr>
      <w:bookmarkStart w:id="51" w:name="_bookmark19"/>
      <w:bookmarkEnd w:id="51"/>
      <w:bookmarkStart w:id="52" w:name="一、收入支出决算总表"/>
      <w:bookmarkEnd w:id="52"/>
      <w:r>
        <w:rPr>
          <w:spacing w:val="-2"/>
        </w:rPr>
        <w:t>一、收入支出决算总表</w:t>
      </w:r>
      <w:bookmarkStart w:id="53" w:name="二、收入总表"/>
      <w:bookmarkEnd w:id="53"/>
      <w:bookmarkStart w:id="54" w:name="_bookmark20"/>
      <w:bookmarkEnd w:id="54"/>
      <w:r>
        <w:t>二、收入总表</w:t>
      </w:r>
    </w:p>
    <w:p>
      <w:pPr>
        <w:pStyle w:val="5"/>
        <w:spacing w:line="408" w:lineRule="exact"/>
      </w:pPr>
      <w:bookmarkStart w:id="55" w:name="_bookmark21"/>
      <w:bookmarkEnd w:id="55"/>
      <w:bookmarkStart w:id="56" w:name="三、支出总表"/>
      <w:bookmarkEnd w:id="56"/>
      <w:r>
        <w:rPr>
          <w:w w:val="95"/>
        </w:rPr>
        <w:t>三、支出总表</w:t>
      </w:r>
    </w:p>
    <w:p>
      <w:pPr>
        <w:pStyle w:val="5"/>
        <w:spacing w:before="12"/>
        <w:ind w:left="0"/>
        <w:rPr>
          <w:sz w:val="36"/>
        </w:rPr>
      </w:pPr>
    </w:p>
    <w:p>
      <w:pPr>
        <w:pStyle w:val="5"/>
      </w:pPr>
      <w:bookmarkStart w:id="57" w:name="四、财政拨款收入支出决算总表"/>
      <w:bookmarkEnd w:id="57"/>
      <w:bookmarkStart w:id="58" w:name="_bookmark22"/>
      <w:bookmarkEnd w:id="58"/>
      <w:r>
        <w:t>四、财政拨款收入支出决算总表</w:t>
      </w:r>
    </w:p>
    <w:p>
      <w:pPr>
        <w:pStyle w:val="5"/>
        <w:spacing w:before="1"/>
        <w:ind w:left="0"/>
        <w:rPr>
          <w:sz w:val="37"/>
        </w:rPr>
      </w:pPr>
    </w:p>
    <w:p>
      <w:pPr>
        <w:pStyle w:val="5"/>
        <w:spacing w:line="516" w:lineRule="auto"/>
        <w:ind w:right="1647"/>
      </w:pPr>
      <w:bookmarkStart w:id="59" w:name="_bookmark23"/>
      <w:bookmarkEnd w:id="59"/>
      <w:bookmarkStart w:id="60" w:name="五、财政拨款支出决算明细表（政府经济分类科目）"/>
      <w:bookmarkEnd w:id="60"/>
      <w:r>
        <w:t xml:space="preserve">五、财政拨款支出决算明细表（政府经济分类科目） </w:t>
      </w:r>
      <w:bookmarkStart w:id="61" w:name="六、一般公共预算财政拨款支出决算表"/>
      <w:bookmarkEnd w:id="61"/>
      <w:bookmarkStart w:id="62" w:name="_bookmark24"/>
      <w:bookmarkEnd w:id="62"/>
      <w:r>
        <w:t>六、一般公共预算财政拨款支出决算表</w:t>
      </w:r>
    </w:p>
    <w:p>
      <w:pPr>
        <w:pStyle w:val="5"/>
        <w:spacing w:before="4" w:line="518" w:lineRule="auto"/>
        <w:ind w:right="2925"/>
        <w:jc w:val="both"/>
      </w:pPr>
      <w:bookmarkStart w:id="63" w:name="七、一般公共预算财政拨款支出决算明细表"/>
      <w:bookmarkEnd w:id="63"/>
      <w:bookmarkStart w:id="64" w:name="_bookmark25"/>
      <w:bookmarkEnd w:id="64"/>
      <w:r>
        <w:t>七、一般公共预算财政拨款支出决算明细表</w:t>
      </w:r>
      <w:bookmarkStart w:id="65" w:name="八、一般公共预算财政拨款基本支出决算表"/>
      <w:bookmarkEnd w:id="65"/>
      <w:bookmarkStart w:id="66" w:name="_bookmark26"/>
      <w:bookmarkEnd w:id="66"/>
      <w:r>
        <w:t>八、一般公共预算财政拨款基本支出决算表</w:t>
      </w:r>
      <w:bookmarkStart w:id="67" w:name="_bookmark27"/>
      <w:bookmarkEnd w:id="67"/>
      <w:bookmarkStart w:id="68" w:name="九、一般公共预算财政拨款项目支出决算表"/>
      <w:bookmarkEnd w:id="68"/>
      <w:r>
        <w:t>九、一般公共预算财政拨款项目支出决算表</w:t>
      </w:r>
    </w:p>
    <w:p>
      <w:pPr>
        <w:pStyle w:val="5"/>
        <w:spacing w:line="518" w:lineRule="auto"/>
        <w:ind w:right="1645"/>
      </w:pPr>
      <w:bookmarkStart w:id="69" w:name="_bookmark28"/>
      <w:bookmarkEnd w:id="69"/>
      <w:bookmarkStart w:id="70" w:name="十、一般公共预算财政拨款“三公”经费支出决算表"/>
      <w:bookmarkEnd w:id="70"/>
      <w:r>
        <w:t>十、一般公共预算财政拨款“三公”经费支出决算表</w:t>
      </w:r>
      <w:bookmarkStart w:id="71" w:name="_bookmark29"/>
      <w:bookmarkEnd w:id="71"/>
      <w:bookmarkStart w:id="72" w:name="十一、政府性基金预算财政拨款收入支出决算表"/>
      <w:bookmarkEnd w:id="72"/>
      <w:r>
        <w:t>十一、政府性基金预算财政拨款收入支出决算表</w:t>
      </w:r>
    </w:p>
    <w:p>
      <w:pPr>
        <w:pStyle w:val="5"/>
        <w:spacing w:line="516" w:lineRule="auto"/>
        <w:ind w:right="1005"/>
      </w:pPr>
      <w:bookmarkStart w:id="73" w:name="十二、政府性基金预算财政拨款“三公”经费支出决算表"/>
      <w:bookmarkEnd w:id="73"/>
      <w:bookmarkStart w:id="74" w:name="_bookmark30"/>
      <w:bookmarkEnd w:id="74"/>
      <w:r>
        <w:t>十二、政府性基金预算财政拨款“三公”经费支出决算表</w:t>
      </w:r>
      <w:bookmarkStart w:id="75" w:name="十三、国有资本经营预算支出决算表"/>
      <w:bookmarkEnd w:id="75"/>
      <w:bookmarkStart w:id="76" w:name="_bookmark31"/>
      <w:bookmarkEnd w:id="76"/>
      <w:r>
        <w:t>十三、国有资本经营预算支出决算表</w:t>
      </w:r>
    </w:p>
    <w:sectPr>
      <w:pgSz w:w="11910" w:h="16840"/>
      <w:pgMar w:top="1580" w:right="1100" w:bottom="1380" w:left="1100" w:header="0" w:footer="11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DW3+2gAAAA0BAAAPAAAAAAAAAAEAIAAAACIAAABkcnMvZG93bnJldi54bWxQSwEC&#10;FAAUAAAACACHTuJA1YPnMr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2"/>
      </w:rPr>
    </w:pPr>
    <w:r>
      <mc:AlternateContent>
        <mc:Choice Requires="wps">
          <w:drawing>
            <wp:anchor distT="0" distB="0" distL="114300" distR="114300" simplePos="0" relativeHeight="251660288"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71.1pt;height:11pt;width:13.15pt;mso-position-horizontal-relative:page;mso-position-vertical-relative:page;z-index:-251656192;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CyGQevuAEAAHE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71.1pt;height:11pt;width:13.15pt;mso-position-horizontal-relative:page;mso-position-vertical-relative:page;z-index:-251655168;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BH6C4MuAEAAHE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0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600" w:hanging="322"/>
      </w:pPr>
      <w:rPr>
        <w:rFonts w:hint="default"/>
        <w:lang w:val="zh-CN" w:eastAsia="zh-CN" w:bidi="zh-CN"/>
      </w:rPr>
    </w:lvl>
    <w:lvl w:ilvl="2" w:tentative="0">
      <w:start w:val="0"/>
      <w:numFmt w:val="bullet"/>
      <w:lvlText w:val="•"/>
      <w:lvlJc w:val="left"/>
      <w:pPr>
        <w:ind w:left="2501" w:hanging="322"/>
      </w:pPr>
      <w:rPr>
        <w:rFonts w:hint="default"/>
        <w:lang w:val="zh-CN" w:eastAsia="zh-CN" w:bidi="zh-CN"/>
      </w:rPr>
    </w:lvl>
    <w:lvl w:ilvl="3" w:tentative="0">
      <w:start w:val="0"/>
      <w:numFmt w:val="bullet"/>
      <w:lvlText w:val="•"/>
      <w:lvlJc w:val="left"/>
      <w:pPr>
        <w:ind w:left="3401" w:hanging="322"/>
      </w:pPr>
      <w:rPr>
        <w:rFonts w:hint="default"/>
        <w:lang w:val="zh-CN" w:eastAsia="zh-CN" w:bidi="zh-CN"/>
      </w:rPr>
    </w:lvl>
    <w:lvl w:ilvl="4" w:tentative="0">
      <w:start w:val="0"/>
      <w:numFmt w:val="bullet"/>
      <w:lvlText w:val="•"/>
      <w:lvlJc w:val="left"/>
      <w:pPr>
        <w:ind w:left="4302" w:hanging="322"/>
      </w:pPr>
      <w:rPr>
        <w:rFonts w:hint="default"/>
        <w:lang w:val="zh-CN" w:eastAsia="zh-CN" w:bidi="zh-CN"/>
      </w:rPr>
    </w:lvl>
    <w:lvl w:ilvl="5" w:tentative="0">
      <w:start w:val="0"/>
      <w:numFmt w:val="bullet"/>
      <w:lvlText w:val="•"/>
      <w:lvlJc w:val="left"/>
      <w:pPr>
        <w:ind w:left="5203" w:hanging="322"/>
      </w:pPr>
      <w:rPr>
        <w:rFonts w:hint="default"/>
        <w:lang w:val="zh-CN" w:eastAsia="zh-CN" w:bidi="zh-CN"/>
      </w:rPr>
    </w:lvl>
    <w:lvl w:ilvl="6" w:tentative="0">
      <w:start w:val="0"/>
      <w:numFmt w:val="bullet"/>
      <w:lvlText w:val="•"/>
      <w:lvlJc w:val="left"/>
      <w:pPr>
        <w:ind w:left="6103" w:hanging="322"/>
      </w:pPr>
      <w:rPr>
        <w:rFonts w:hint="default"/>
        <w:lang w:val="zh-CN" w:eastAsia="zh-CN" w:bidi="zh-CN"/>
      </w:rPr>
    </w:lvl>
    <w:lvl w:ilvl="7" w:tentative="0">
      <w:start w:val="0"/>
      <w:numFmt w:val="bullet"/>
      <w:lvlText w:val="•"/>
      <w:lvlJc w:val="left"/>
      <w:pPr>
        <w:ind w:left="7004" w:hanging="322"/>
      </w:pPr>
      <w:rPr>
        <w:rFonts w:hint="default"/>
        <w:lang w:val="zh-CN" w:eastAsia="zh-CN" w:bidi="zh-CN"/>
      </w:rPr>
    </w:lvl>
    <w:lvl w:ilvl="8" w:tentative="0">
      <w:start w:val="0"/>
      <w:numFmt w:val="bullet"/>
      <w:lvlText w:val="•"/>
      <w:lvlJc w:val="left"/>
      <w:pPr>
        <w:ind w:left="7904" w:hanging="322"/>
      </w:pPr>
      <w:rPr>
        <w:rFonts w:hint="default"/>
        <w:lang w:val="zh-CN" w:eastAsia="zh-CN" w:bidi="zh-CN"/>
      </w:rPr>
    </w:lvl>
  </w:abstractNum>
  <w:abstractNum w:abstractNumId="1">
    <w:nsid w:val="CF092B84"/>
    <w:multiLevelType w:val="multilevel"/>
    <w:tmpl w:val="CF092B84"/>
    <w:lvl w:ilvl="0" w:tentative="0">
      <w:start w:val="112"/>
      <w:numFmt w:val="decimal"/>
      <w:lvlText w:val="%1"/>
      <w:lvlJc w:val="left"/>
      <w:pPr>
        <w:ind w:left="1739" w:hanging="1040"/>
        <w:jc w:val="left"/>
      </w:pPr>
      <w:rPr>
        <w:rFonts w:hint="default"/>
        <w:lang w:val="zh-CN" w:eastAsia="zh-CN" w:bidi="zh-CN"/>
      </w:rPr>
    </w:lvl>
    <w:lvl w:ilvl="1" w:tentative="0">
      <w:start w:val="10"/>
      <w:numFmt w:val="decimal"/>
      <w:lvlText w:val="%1.%2"/>
      <w:lvlJc w:val="left"/>
      <w:pPr>
        <w:ind w:left="1739" w:hanging="1040"/>
        <w:jc w:val="left"/>
      </w:pPr>
      <w:rPr>
        <w:rFonts w:hint="default" w:ascii="仿宋" w:hAnsi="仿宋" w:eastAsia="仿宋" w:cs="仿宋"/>
        <w:spacing w:val="-2"/>
        <w:w w:val="99"/>
        <w:sz w:val="32"/>
        <w:szCs w:val="32"/>
        <w:lang w:val="zh-CN" w:eastAsia="zh-CN" w:bidi="zh-CN"/>
      </w:rPr>
    </w:lvl>
    <w:lvl w:ilvl="2" w:tentative="0">
      <w:start w:val="1"/>
      <w:numFmt w:val="decimal"/>
      <w:lvlText w:val="%3."/>
      <w:lvlJc w:val="left"/>
      <w:pPr>
        <w:ind w:left="700" w:hanging="322"/>
        <w:jc w:val="left"/>
      </w:pPr>
      <w:rPr>
        <w:rFonts w:hint="default"/>
        <w:spacing w:val="-2"/>
        <w:w w:val="99"/>
        <w:lang w:val="zh-CN" w:eastAsia="zh-CN" w:bidi="zh-CN"/>
      </w:rPr>
    </w:lvl>
    <w:lvl w:ilvl="3" w:tentative="0">
      <w:start w:val="0"/>
      <w:numFmt w:val="bullet"/>
      <w:lvlText w:val="•"/>
      <w:lvlJc w:val="left"/>
      <w:pPr>
        <w:ind w:left="3510" w:hanging="322"/>
      </w:pPr>
      <w:rPr>
        <w:rFonts w:hint="default"/>
        <w:lang w:val="zh-CN" w:eastAsia="zh-CN" w:bidi="zh-CN"/>
      </w:rPr>
    </w:lvl>
    <w:lvl w:ilvl="4" w:tentative="0">
      <w:start w:val="0"/>
      <w:numFmt w:val="bullet"/>
      <w:lvlText w:val="•"/>
      <w:lvlJc w:val="left"/>
      <w:pPr>
        <w:ind w:left="4395" w:hanging="322"/>
      </w:pPr>
      <w:rPr>
        <w:rFonts w:hint="default"/>
        <w:lang w:val="zh-CN" w:eastAsia="zh-CN" w:bidi="zh-CN"/>
      </w:rPr>
    </w:lvl>
    <w:lvl w:ilvl="5" w:tentative="0">
      <w:start w:val="0"/>
      <w:numFmt w:val="bullet"/>
      <w:lvlText w:val="•"/>
      <w:lvlJc w:val="left"/>
      <w:pPr>
        <w:ind w:left="5280" w:hanging="322"/>
      </w:pPr>
      <w:rPr>
        <w:rFonts w:hint="default"/>
        <w:lang w:val="zh-CN" w:eastAsia="zh-CN" w:bidi="zh-CN"/>
      </w:rPr>
    </w:lvl>
    <w:lvl w:ilvl="6" w:tentative="0">
      <w:start w:val="0"/>
      <w:numFmt w:val="bullet"/>
      <w:lvlText w:val="•"/>
      <w:lvlJc w:val="left"/>
      <w:pPr>
        <w:ind w:left="6165" w:hanging="322"/>
      </w:pPr>
      <w:rPr>
        <w:rFonts w:hint="default"/>
        <w:lang w:val="zh-CN" w:eastAsia="zh-CN" w:bidi="zh-CN"/>
      </w:rPr>
    </w:lvl>
    <w:lvl w:ilvl="7" w:tentative="0">
      <w:start w:val="0"/>
      <w:numFmt w:val="bullet"/>
      <w:lvlText w:val="•"/>
      <w:lvlJc w:val="left"/>
      <w:pPr>
        <w:ind w:left="7050" w:hanging="322"/>
      </w:pPr>
      <w:rPr>
        <w:rFonts w:hint="default"/>
        <w:lang w:val="zh-CN" w:eastAsia="zh-CN" w:bidi="zh-CN"/>
      </w:rPr>
    </w:lvl>
    <w:lvl w:ilvl="8" w:tentative="0">
      <w:start w:val="0"/>
      <w:numFmt w:val="bullet"/>
      <w:lvlText w:val="•"/>
      <w:lvlJc w:val="left"/>
      <w:pPr>
        <w:ind w:left="7935" w:hanging="322"/>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70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600" w:hanging="322"/>
      </w:pPr>
      <w:rPr>
        <w:rFonts w:hint="default"/>
        <w:lang w:val="zh-CN" w:eastAsia="zh-CN" w:bidi="zh-CN"/>
      </w:rPr>
    </w:lvl>
    <w:lvl w:ilvl="2" w:tentative="0">
      <w:start w:val="0"/>
      <w:numFmt w:val="bullet"/>
      <w:lvlText w:val="•"/>
      <w:lvlJc w:val="left"/>
      <w:pPr>
        <w:ind w:left="2501" w:hanging="322"/>
      </w:pPr>
      <w:rPr>
        <w:rFonts w:hint="default"/>
        <w:lang w:val="zh-CN" w:eastAsia="zh-CN" w:bidi="zh-CN"/>
      </w:rPr>
    </w:lvl>
    <w:lvl w:ilvl="3" w:tentative="0">
      <w:start w:val="0"/>
      <w:numFmt w:val="bullet"/>
      <w:lvlText w:val="•"/>
      <w:lvlJc w:val="left"/>
      <w:pPr>
        <w:ind w:left="3401" w:hanging="322"/>
      </w:pPr>
      <w:rPr>
        <w:rFonts w:hint="default"/>
        <w:lang w:val="zh-CN" w:eastAsia="zh-CN" w:bidi="zh-CN"/>
      </w:rPr>
    </w:lvl>
    <w:lvl w:ilvl="4" w:tentative="0">
      <w:start w:val="0"/>
      <w:numFmt w:val="bullet"/>
      <w:lvlText w:val="•"/>
      <w:lvlJc w:val="left"/>
      <w:pPr>
        <w:ind w:left="4302" w:hanging="322"/>
      </w:pPr>
      <w:rPr>
        <w:rFonts w:hint="default"/>
        <w:lang w:val="zh-CN" w:eastAsia="zh-CN" w:bidi="zh-CN"/>
      </w:rPr>
    </w:lvl>
    <w:lvl w:ilvl="5" w:tentative="0">
      <w:start w:val="0"/>
      <w:numFmt w:val="bullet"/>
      <w:lvlText w:val="•"/>
      <w:lvlJc w:val="left"/>
      <w:pPr>
        <w:ind w:left="5203" w:hanging="322"/>
      </w:pPr>
      <w:rPr>
        <w:rFonts w:hint="default"/>
        <w:lang w:val="zh-CN" w:eastAsia="zh-CN" w:bidi="zh-CN"/>
      </w:rPr>
    </w:lvl>
    <w:lvl w:ilvl="6" w:tentative="0">
      <w:start w:val="0"/>
      <w:numFmt w:val="bullet"/>
      <w:lvlText w:val="•"/>
      <w:lvlJc w:val="left"/>
      <w:pPr>
        <w:ind w:left="6103" w:hanging="322"/>
      </w:pPr>
      <w:rPr>
        <w:rFonts w:hint="default"/>
        <w:lang w:val="zh-CN" w:eastAsia="zh-CN" w:bidi="zh-CN"/>
      </w:rPr>
    </w:lvl>
    <w:lvl w:ilvl="7" w:tentative="0">
      <w:start w:val="0"/>
      <w:numFmt w:val="bullet"/>
      <w:lvlText w:val="•"/>
      <w:lvlJc w:val="left"/>
      <w:pPr>
        <w:ind w:left="7004" w:hanging="322"/>
      </w:pPr>
      <w:rPr>
        <w:rFonts w:hint="default"/>
        <w:lang w:val="zh-CN" w:eastAsia="zh-CN" w:bidi="zh-CN"/>
      </w:rPr>
    </w:lvl>
    <w:lvl w:ilvl="8" w:tentative="0">
      <w:start w:val="0"/>
      <w:numFmt w:val="bullet"/>
      <w:lvlText w:val="•"/>
      <w:lvlJc w:val="left"/>
      <w:pPr>
        <w:ind w:left="7904" w:hanging="322"/>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700" w:hanging="322"/>
        <w:jc w:val="right"/>
      </w:pPr>
      <w:rPr>
        <w:rFonts w:hint="default"/>
        <w:spacing w:val="-2"/>
        <w:w w:val="99"/>
        <w:lang w:val="zh-CN" w:eastAsia="zh-CN" w:bidi="zh-CN"/>
      </w:rPr>
    </w:lvl>
    <w:lvl w:ilvl="1" w:tentative="0">
      <w:start w:val="0"/>
      <w:numFmt w:val="bullet"/>
      <w:lvlText w:val="•"/>
      <w:lvlJc w:val="left"/>
      <w:pPr>
        <w:ind w:left="1600" w:hanging="322"/>
      </w:pPr>
      <w:rPr>
        <w:rFonts w:hint="default"/>
        <w:lang w:val="zh-CN" w:eastAsia="zh-CN" w:bidi="zh-CN"/>
      </w:rPr>
    </w:lvl>
    <w:lvl w:ilvl="2" w:tentative="0">
      <w:start w:val="0"/>
      <w:numFmt w:val="bullet"/>
      <w:lvlText w:val="•"/>
      <w:lvlJc w:val="left"/>
      <w:pPr>
        <w:ind w:left="2501" w:hanging="322"/>
      </w:pPr>
      <w:rPr>
        <w:rFonts w:hint="default"/>
        <w:lang w:val="zh-CN" w:eastAsia="zh-CN" w:bidi="zh-CN"/>
      </w:rPr>
    </w:lvl>
    <w:lvl w:ilvl="3" w:tentative="0">
      <w:start w:val="0"/>
      <w:numFmt w:val="bullet"/>
      <w:lvlText w:val="•"/>
      <w:lvlJc w:val="left"/>
      <w:pPr>
        <w:ind w:left="3401" w:hanging="322"/>
      </w:pPr>
      <w:rPr>
        <w:rFonts w:hint="default"/>
        <w:lang w:val="zh-CN" w:eastAsia="zh-CN" w:bidi="zh-CN"/>
      </w:rPr>
    </w:lvl>
    <w:lvl w:ilvl="4" w:tentative="0">
      <w:start w:val="0"/>
      <w:numFmt w:val="bullet"/>
      <w:lvlText w:val="•"/>
      <w:lvlJc w:val="left"/>
      <w:pPr>
        <w:ind w:left="4302" w:hanging="322"/>
      </w:pPr>
      <w:rPr>
        <w:rFonts w:hint="default"/>
        <w:lang w:val="zh-CN" w:eastAsia="zh-CN" w:bidi="zh-CN"/>
      </w:rPr>
    </w:lvl>
    <w:lvl w:ilvl="5" w:tentative="0">
      <w:start w:val="0"/>
      <w:numFmt w:val="bullet"/>
      <w:lvlText w:val="•"/>
      <w:lvlJc w:val="left"/>
      <w:pPr>
        <w:ind w:left="5203" w:hanging="322"/>
      </w:pPr>
      <w:rPr>
        <w:rFonts w:hint="default"/>
        <w:lang w:val="zh-CN" w:eastAsia="zh-CN" w:bidi="zh-CN"/>
      </w:rPr>
    </w:lvl>
    <w:lvl w:ilvl="6" w:tentative="0">
      <w:start w:val="0"/>
      <w:numFmt w:val="bullet"/>
      <w:lvlText w:val="•"/>
      <w:lvlJc w:val="left"/>
      <w:pPr>
        <w:ind w:left="6103" w:hanging="322"/>
      </w:pPr>
      <w:rPr>
        <w:rFonts w:hint="default"/>
        <w:lang w:val="zh-CN" w:eastAsia="zh-CN" w:bidi="zh-CN"/>
      </w:rPr>
    </w:lvl>
    <w:lvl w:ilvl="7" w:tentative="0">
      <w:start w:val="0"/>
      <w:numFmt w:val="bullet"/>
      <w:lvlText w:val="•"/>
      <w:lvlJc w:val="left"/>
      <w:pPr>
        <w:ind w:left="7004" w:hanging="322"/>
      </w:pPr>
      <w:rPr>
        <w:rFonts w:hint="default"/>
        <w:lang w:val="zh-CN" w:eastAsia="zh-CN" w:bidi="zh-CN"/>
      </w:rPr>
    </w:lvl>
    <w:lvl w:ilvl="8" w:tentative="0">
      <w:start w:val="0"/>
      <w:numFmt w:val="bullet"/>
      <w:lvlText w:val="•"/>
      <w:lvlJc w:val="left"/>
      <w:pPr>
        <w:ind w:left="7904" w:hanging="322"/>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42D046E"/>
    <w:rsid w:val="0BCF39BE"/>
    <w:rsid w:val="1FC63B1B"/>
    <w:rsid w:val="3EFC1AA2"/>
    <w:rsid w:val="409B22A3"/>
    <w:rsid w:val="4EF86F9D"/>
    <w:rsid w:val="4F3320AB"/>
    <w:rsid w:val="57F55DD2"/>
    <w:rsid w:val="70667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7"/>
      <w:ind w:left="892" w:right="892"/>
      <w:jc w:val="center"/>
      <w:outlineLvl w:val="1"/>
    </w:pPr>
    <w:rPr>
      <w:rFonts w:ascii="黑体" w:hAnsi="黑体" w:eastAsia="黑体" w:cs="黑体"/>
      <w:sz w:val="44"/>
      <w:szCs w:val="44"/>
      <w:lang w:val="zh-CN" w:eastAsia="zh-CN" w:bidi="zh-CN"/>
    </w:rPr>
  </w:style>
  <w:style w:type="paragraph" w:styleId="3">
    <w:name w:val="heading 2"/>
    <w:basedOn w:val="1"/>
    <w:next w:val="1"/>
    <w:qFormat/>
    <w:uiPriority w:val="1"/>
    <w:pPr>
      <w:spacing w:before="1"/>
      <w:ind w:left="892"/>
      <w:jc w:val="center"/>
      <w:outlineLvl w:val="2"/>
    </w:pPr>
    <w:rPr>
      <w:rFonts w:ascii="黑体" w:hAnsi="黑体" w:eastAsia="黑体" w:cs="黑体"/>
      <w:sz w:val="36"/>
      <w:szCs w:val="36"/>
      <w:lang w:val="zh-CN" w:eastAsia="zh-CN" w:bidi="zh-CN"/>
    </w:rPr>
  </w:style>
  <w:style w:type="paragraph" w:styleId="4">
    <w:name w:val="heading 3"/>
    <w:basedOn w:val="1"/>
    <w:next w:val="1"/>
    <w:qFormat/>
    <w:uiPriority w:val="1"/>
    <w:pPr>
      <w:spacing w:before="190"/>
      <w:ind w:left="1340"/>
      <w:outlineLvl w:val="3"/>
    </w:pPr>
    <w:rPr>
      <w:rFonts w:ascii="仿宋" w:hAnsi="仿宋" w:eastAsia="仿宋" w:cs="仿宋"/>
      <w:b/>
      <w:bCs/>
      <w:sz w:val="32"/>
      <w:szCs w:val="3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700"/>
    </w:pPr>
    <w:rPr>
      <w:rFonts w:ascii="仿宋" w:hAnsi="仿宋" w:eastAsia="仿宋" w:cs="仿宋"/>
      <w:sz w:val="32"/>
      <w:szCs w:val="32"/>
      <w:lang w:val="zh-CN" w:eastAsia="zh-CN" w:bidi="zh-CN"/>
    </w:rPr>
  </w:style>
  <w:style w:type="paragraph" w:styleId="6">
    <w:name w:val="toc 1"/>
    <w:basedOn w:val="1"/>
    <w:next w:val="1"/>
    <w:qFormat/>
    <w:uiPriority w:val="1"/>
    <w:pPr>
      <w:spacing w:before="265"/>
      <w:ind w:right="705"/>
      <w:jc w:val="right"/>
    </w:pPr>
    <w:rPr>
      <w:rFonts w:ascii="仿宋" w:hAnsi="仿宋" w:eastAsia="仿宋" w:cs="仿宋"/>
      <w:sz w:val="28"/>
      <w:szCs w:val="28"/>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
      <w:ind w:left="700" w:firstLine="640"/>
    </w:pPr>
    <w:rPr>
      <w:rFonts w:ascii="仿宋" w:hAnsi="仿宋" w:eastAsia="仿宋" w:cs="仿宋"/>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9484</Words>
  <Characters>9971</Characters>
  <TotalTime>6</TotalTime>
  <ScaleCrop>false</ScaleCrop>
  <LinksUpToDate>false</LinksUpToDate>
  <CharactersWithSpaces>10479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2022-01-11T08:46:00Z</dcterms:created>
  <dc:creator>张彬茜</dc:creator>
  <cp:lastModifiedBy>DELL</cp:lastModifiedBy>
  <dcterms:modified xsi:type="dcterms:W3CDTF">2022-10-15T07:29:47Z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WPS 文字</vt:lpwstr>
  </property>
  <property fmtid="{D5CDD505-2E9C-101B-9397-08002B2CF9AE}" pid="4" name="LastSaved">
    <vt:filetime>2022-01-11T00:00:00Z</vt:filetime>
  </property>
  <property fmtid="{D5CDD505-2E9C-101B-9397-08002B2CF9AE}" pid="5" name="KSOProductBuildVer">
    <vt:lpwstr>2052-11.1.0.11744</vt:lpwstr>
  </property>
  <property fmtid="{D5CDD505-2E9C-101B-9397-08002B2CF9AE}" pid="6" name="ICV">
    <vt:lpwstr>1160EEAB8D854C87930832C22B235D07</vt:lpwstr>
  </property>
</Properties>
</file>