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4B960">
      <w:pPr>
        <w:keepNext w:val="0"/>
        <w:keepLines w:val="0"/>
        <w:pageBreakBefore w:val="0"/>
        <w:widowControl w:val="0"/>
        <w:kinsoku/>
        <w:wordWrap/>
        <w:overflowPunct/>
        <w:topLinePunct w:val="0"/>
        <w:autoSpaceDN/>
        <w:bidi w:val="0"/>
        <w:adjustRightInd w:val="0"/>
        <w:snapToGrid w:val="0"/>
        <w:spacing w:afterAutospacing="0" w:line="576" w:lineRule="exact"/>
        <w:jc w:val="center"/>
        <w:textAlignment w:val="auto"/>
        <w:outlineLvl w:val="0"/>
        <w:rPr>
          <w:rFonts w:hint="eastAsia" w:ascii="黑体" w:hAnsi="黑体" w:eastAsia="黑体"/>
          <w:color w:val="000000" w:themeColor="text1"/>
          <w:sz w:val="72"/>
          <w:szCs w:val="72"/>
        </w:rPr>
      </w:pPr>
      <w:bookmarkStart w:id="0" w:name="_Toc15377193"/>
      <w:bookmarkEnd w:id="0"/>
      <w:bookmarkStart w:id="1" w:name="_Toc15378441"/>
      <w:bookmarkEnd w:id="1"/>
      <w:bookmarkStart w:id="2" w:name="_Toc15396475"/>
      <w:bookmarkEnd w:id="2"/>
      <w:bookmarkStart w:id="3" w:name="_Toc15396597"/>
      <w:bookmarkEnd w:id="3"/>
      <w:bookmarkStart w:id="4" w:name="_Toc15377425"/>
    </w:p>
    <w:p w14:paraId="40B047DF">
      <w:pPr>
        <w:keepNext w:val="0"/>
        <w:keepLines w:val="0"/>
        <w:pageBreakBefore w:val="0"/>
        <w:widowControl w:val="0"/>
        <w:kinsoku/>
        <w:wordWrap/>
        <w:overflowPunct/>
        <w:topLinePunct w:val="0"/>
        <w:autoSpaceDN/>
        <w:bidi w:val="0"/>
        <w:adjustRightInd w:val="0"/>
        <w:snapToGrid w:val="0"/>
        <w:spacing w:afterAutospacing="0" w:line="576" w:lineRule="exact"/>
        <w:jc w:val="center"/>
        <w:textAlignment w:val="auto"/>
        <w:outlineLvl w:val="0"/>
        <w:rPr>
          <w:rFonts w:hint="eastAsia" w:ascii="黑体" w:hAnsi="黑体" w:eastAsia="黑体"/>
          <w:color w:val="000000" w:themeColor="text1"/>
          <w:sz w:val="72"/>
          <w:szCs w:val="72"/>
        </w:rPr>
      </w:pPr>
    </w:p>
    <w:p w14:paraId="19A071CB">
      <w:pPr>
        <w:keepNext w:val="0"/>
        <w:keepLines w:val="0"/>
        <w:pageBreakBefore w:val="0"/>
        <w:widowControl w:val="0"/>
        <w:kinsoku/>
        <w:wordWrap/>
        <w:overflowPunct/>
        <w:topLinePunct w:val="0"/>
        <w:autoSpaceDN/>
        <w:bidi w:val="0"/>
        <w:adjustRightInd w:val="0"/>
        <w:snapToGrid w:val="0"/>
        <w:spacing w:afterAutospacing="0" w:line="576" w:lineRule="exact"/>
        <w:jc w:val="center"/>
        <w:textAlignment w:val="auto"/>
        <w:outlineLvl w:val="0"/>
        <w:rPr>
          <w:rFonts w:hint="eastAsia" w:ascii="黑体" w:hAnsi="黑体" w:eastAsia="黑体"/>
          <w:color w:val="000000" w:themeColor="text1"/>
          <w:sz w:val="72"/>
          <w:szCs w:val="72"/>
        </w:rPr>
      </w:pPr>
    </w:p>
    <w:p w14:paraId="4B71D768">
      <w:pPr>
        <w:keepNext w:val="0"/>
        <w:keepLines w:val="0"/>
        <w:pageBreakBefore w:val="0"/>
        <w:widowControl w:val="0"/>
        <w:kinsoku/>
        <w:wordWrap/>
        <w:overflowPunct/>
        <w:topLinePunct w:val="0"/>
        <w:autoSpaceDE/>
        <w:autoSpaceDN/>
        <w:bidi w:val="0"/>
        <w:adjustRightInd w:val="0"/>
        <w:snapToGrid w:val="0"/>
        <w:spacing w:afterAutospacing="0" w:line="576" w:lineRule="exact"/>
        <w:jc w:val="center"/>
        <w:textAlignment w:val="auto"/>
        <w:outlineLvl w:val="0"/>
        <w:rPr>
          <w:rFonts w:hint="eastAsia" w:ascii="方正小标宋简体" w:hAnsi="方正小标宋简体" w:eastAsia="方正小标宋简体" w:cs="方正小标宋简体"/>
          <w:color w:val="000000" w:themeColor="text1"/>
          <w:sz w:val="72"/>
          <w:szCs w:val="72"/>
        </w:rPr>
      </w:pPr>
    </w:p>
    <w:p w14:paraId="5D523904">
      <w:pPr>
        <w:keepNext w:val="0"/>
        <w:keepLines w:val="0"/>
        <w:pageBreakBefore w:val="0"/>
        <w:widowControl w:val="0"/>
        <w:kinsoku/>
        <w:wordWrap/>
        <w:overflowPunct/>
        <w:topLinePunct w:val="0"/>
        <w:autoSpaceDE/>
        <w:autoSpaceDN/>
        <w:bidi w:val="0"/>
        <w:adjustRightInd w:val="0"/>
        <w:snapToGrid w:val="0"/>
        <w:spacing w:afterAutospacing="0" w:line="576" w:lineRule="exact"/>
        <w:jc w:val="center"/>
        <w:textAlignment w:val="auto"/>
        <w:outlineLvl w:val="0"/>
        <w:rPr>
          <w:rFonts w:hint="eastAsia" w:ascii="方正小标宋简体" w:hAnsi="方正小标宋简体" w:eastAsia="方正小标宋简体" w:cs="方正小标宋简体"/>
          <w:color w:val="000000" w:themeColor="text1"/>
          <w:sz w:val="72"/>
          <w:szCs w:val="72"/>
          <w:u w:val="none"/>
        </w:rPr>
      </w:pPr>
    </w:p>
    <w:p w14:paraId="2865DCC8">
      <w:pPr>
        <w:keepNext w:val="0"/>
        <w:keepLines w:val="0"/>
        <w:pageBreakBefore w:val="0"/>
        <w:widowControl w:val="0"/>
        <w:kinsoku/>
        <w:wordWrap/>
        <w:overflowPunct/>
        <w:topLinePunct w:val="0"/>
        <w:autoSpaceDE/>
        <w:autoSpaceDN/>
        <w:bidi w:val="0"/>
        <w:adjustRightInd w:val="0"/>
        <w:snapToGrid w:val="0"/>
        <w:spacing w:afterAutospacing="0" w:line="576" w:lineRule="exact"/>
        <w:jc w:val="center"/>
        <w:textAlignment w:val="auto"/>
        <w:outlineLvl w:val="0"/>
        <w:rPr>
          <w:rFonts w:hint="eastAsia" w:ascii="方正小标宋简体" w:hAnsi="方正小标宋简体" w:eastAsia="方正小标宋简体" w:cs="方正小标宋简体"/>
          <w:color w:val="000000" w:themeColor="text1"/>
          <w:sz w:val="72"/>
          <w:szCs w:val="72"/>
          <w:u w:val="none"/>
        </w:rPr>
      </w:pPr>
    </w:p>
    <w:p w14:paraId="096B27E8">
      <w:pPr>
        <w:keepNext w:val="0"/>
        <w:keepLines w:val="0"/>
        <w:pageBreakBefore w:val="0"/>
        <w:widowControl w:val="0"/>
        <w:kinsoku/>
        <w:wordWrap/>
        <w:overflowPunct/>
        <w:topLinePunct w:val="0"/>
        <w:autoSpaceDE/>
        <w:autoSpaceDN/>
        <w:bidi w:val="0"/>
        <w:adjustRightInd w:val="0"/>
        <w:snapToGrid w:val="0"/>
        <w:spacing w:afterAutospacing="0" w:line="1040" w:lineRule="exact"/>
        <w:jc w:val="center"/>
        <w:textAlignment w:val="auto"/>
        <w:outlineLvl w:val="0"/>
        <w:rPr>
          <w:rFonts w:hint="eastAsia" w:ascii="方正小标宋简体" w:hAnsi="方正小标宋简体" w:eastAsia="方正小标宋简体" w:cs="方正小标宋简体"/>
          <w:color w:val="000000" w:themeColor="text1"/>
          <w:sz w:val="72"/>
          <w:szCs w:val="72"/>
          <w:u w:val="none"/>
        </w:rPr>
      </w:pPr>
      <w:r>
        <w:rPr>
          <w:rFonts w:hint="eastAsia" w:ascii="方正小标宋简体" w:hAnsi="方正小标宋简体" w:eastAsia="方正小标宋简体" w:cs="方正小标宋简体"/>
          <w:color w:val="000000" w:themeColor="text1"/>
          <w:sz w:val="72"/>
          <w:szCs w:val="72"/>
          <w:u w:val="none"/>
        </w:rPr>
        <w:t>20</w:t>
      </w:r>
      <w:bookmarkEnd w:id="4"/>
      <w:r>
        <w:rPr>
          <w:rFonts w:hint="eastAsia" w:ascii="方正小标宋简体" w:hAnsi="方正小标宋简体" w:eastAsia="方正小标宋简体" w:cs="方正小标宋简体"/>
          <w:color w:val="000000" w:themeColor="text1"/>
          <w:sz w:val="72"/>
          <w:szCs w:val="72"/>
          <w:u w:val="none"/>
          <w:lang w:val="en-US" w:eastAsia="zh-CN"/>
        </w:rPr>
        <w:t>20</w:t>
      </w:r>
      <w:r>
        <w:rPr>
          <w:rFonts w:hint="eastAsia" w:ascii="方正小标宋简体" w:hAnsi="方正小标宋简体" w:eastAsia="方正小标宋简体" w:cs="方正小标宋简体"/>
          <w:color w:val="000000" w:themeColor="text1"/>
          <w:sz w:val="72"/>
          <w:szCs w:val="72"/>
          <w:u w:val="none"/>
        </w:rPr>
        <w:t>年度</w:t>
      </w:r>
    </w:p>
    <w:p w14:paraId="7F37DAED">
      <w:pPr>
        <w:keepNext w:val="0"/>
        <w:keepLines w:val="0"/>
        <w:pageBreakBefore w:val="0"/>
        <w:widowControl w:val="0"/>
        <w:kinsoku/>
        <w:wordWrap/>
        <w:overflowPunct/>
        <w:topLinePunct w:val="0"/>
        <w:autoSpaceDE/>
        <w:autoSpaceDN/>
        <w:bidi w:val="0"/>
        <w:adjustRightInd w:val="0"/>
        <w:snapToGrid w:val="0"/>
        <w:spacing w:afterAutospacing="0" w:line="1040" w:lineRule="exact"/>
        <w:jc w:val="center"/>
        <w:textAlignment w:val="auto"/>
        <w:outlineLvl w:val="0"/>
        <w:rPr>
          <w:rFonts w:hint="eastAsia" w:ascii="方正小标宋简体" w:hAnsi="方正小标宋简体" w:eastAsia="方正小标宋简体" w:cs="方正小标宋简体"/>
          <w:color w:val="000000" w:themeColor="text1"/>
          <w:sz w:val="72"/>
          <w:szCs w:val="72"/>
          <w:u w:val="none"/>
        </w:rPr>
      </w:pPr>
      <w:bookmarkStart w:id="5" w:name="_Toc15377194"/>
      <w:bookmarkEnd w:id="5"/>
      <w:bookmarkStart w:id="6" w:name="_Toc15377426"/>
      <w:bookmarkEnd w:id="6"/>
      <w:bookmarkStart w:id="7" w:name="_Toc15396476"/>
      <w:bookmarkEnd w:id="7"/>
      <w:bookmarkStart w:id="8" w:name="_Toc15378442"/>
      <w:bookmarkEnd w:id="8"/>
      <w:bookmarkStart w:id="9" w:name="_Toc15396598"/>
      <w:bookmarkEnd w:id="9"/>
      <w:bookmarkStart w:id="10" w:name="_Toc15306268"/>
      <w:r>
        <w:rPr>
          <w:rFonts w:hint="eastAsia" w:ascii="方正小标宋简体" w:hAnsi="方正小标宋简体" w:eastAsia="方正小标宋简体" w:cs="方正小标宋简体"/>
          <w:color w:val="000000" w:themeColor="text1"/>
          <w:sz w:val="72"/>
          <w:szCs w:val="72"/>
          <w:u w:val="none"/>
        </w:rPr>
        <w:t>政协广元市昭化区委员会</w:t>
      </w:r>
    </w:p>
    <w:p w14:paraId="4F6371CE">
      <w:pPr>
        <w:keepNext w:val="0"/>
        <w:keepLines w:val="0"/>
        <w:pageBreakBefore w:val="0"/>
        <w:widowControl w:val="0"/>
        <w:kinsoku/>
        <w:wordWrap/>
        <w:overflowPunct/>
        <w:topLinePunct w:val="0"/>
        <w:autoSpaceDE/>
        <w:autoSpaceDN/>
        <w:bidi w:val="0"/>
        <w:adjustRightInd w:val="0"/>
        <w:snapToGrid w:val="0"/>
        <w:spacing w:afterAutospacing="0" w:line="1040" w:lineRule="exact"/>
        <w:jc w:val="center"/>
        <w:textAlignment w:val="auto"/>
        <w:outlineLvl w:val="0"/>
        <w:rPr>
          <w:rFonts w:hint="eastAsia" w:ascii="方正小标宋简体" w:hAnsi="方正小标宋简体" w:eastAsia="方正小标宋简体" w:cs="方正小标宋简体"/>
          <w:color w:val="000000" w:themeColor="text1"/>
          <w:sz w:val="72"/>
          <w:szCs w:val="72"/>
          <w:u w:val="none"/>
        </w:rPr>
      </w:pPr>
      <w:r>
        <w:rPr>
          <w:rFonts w:hint="eastAsia" w:ascii="方正小标宋简体" w:hAnsi="方正小标宋简体" w:eastAsia="方正小标宋简体" w:cs="方正小标宋简体"/>
          <w:color w:val="000000" w:themeColor="text1"/>
          <w:sz w:val="72"/>
          <w:szCs w:val="72"/>
          <w:u w:val="none"/>
        </w:rPr>
        <w:t>办公室</w:t>
      </w:r>
      <w:bookmarkEnd w:id="10"/>
      <w:r>
        <w:rPr>
          <w:rFonts w:hint="eastAsia" w:ascii="方正小标宋简体" w:hAnsi="方正小标宋简体" w:eastAsia="方正小标宋简体" w:cs="方正小标宋简体"/>
          <w:color w:val="000000" w:themeColor="text1"/>
          <w:sz w:val="72"/>
          <w:szCs w:val="72"/>
          <w:u w:val="none"/>
        </w:rPr>
        <w:t>部门决算</w:t>
      </w:r>
    </w:p>
    <w:p w14:paraId="3582143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ascii="方正小标宋简体" w:hAnsi="宋体"/>
          <w:color w:val="000000" w:themeColor="text1"/>
          <w:sz w:val="36"/>
          <w:szCs w:val="36"/>
          <w:u w:val="none"/>
        </w:rPr>
      </w:pPr>
      <w:r>
        <w:rPr>
          <w:rFonts w:ascii="方正小标宋简体" w:hAnsi="宋体"/>
          <w:color w:val="000000" w:themeColor="text1"/>
          <w:sz w:val="36"/>
          <w:szCs w:val="36"/>
          <w:u w:val="none"/>
        </w:rPr>
        <w:br w:type="page"/>
      </w:r>
    </w:p>
    <w:p w14:paraId="37EC5A67">
      <w:pPr>
        <w:keepNext w:val="0"/>
        <w:keepLines w:val="0"/>
        <w:pageBreakBefore w:val="0"/>
        <w:widowControl/>
        <w:kinsoku/>
        <w:wordWrap/>
        <w:overflowPunct/>
        <w:topLinePunct w:val="0"/>
        <w:autoSpaceDE/>
        <w:autoSpaceDN/>
        <w:bidi w:val="0"/>
        <w:spacing w:line="576" w:lineRule="exact"/>
        <w:ind w:firstLine="3520" w:firstLineChars="800"/>
        <w:jc w:val="both"/>
        <w:textAlignment w:val="auto"/>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目</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录</w:t>
      </w:r>
    </w:p>
    <w:p w14:paraId="025CEC61">
      <w:pPr>
        <w:keepNext w:val="0"/>
        <w:keepLines w:val="0"/>
        <w:pageBreakBefore w:val="0"/>
        <w:widowControl/>
        <w:kinsoku/>
        <w:wordWrap/>
        <w:overflowPunct/>
        <w:topLinePunct w:val="0"/>
        <w:autoSpaceDE/>
        <w:autoSpaceDN/>
        <w:bidi w:val="0"/>
        <w:spacing w:line="576" w:lineRule="exact"/>
        <w:ind w:firstLine="2951" w:firstLineChars="1400"/>
        <w:jc w:val="both"/>
        <w:textAlignment w:val="auto"/>
        <w:rPr>
          <w:rFonts w:hint="default" w:ascii="Times New Roman" w:hAnsi="Times New Roman" w:eastAsia="楷体_GB2312" w:cs="Times New Roman"/>
          <w:b/>
          <w:bCs/>
        </w:rPr>
      </w:pPr>
    </w:p>
    <w:p w14:paraId="084331B2">
      <w:pPr>
        <w:keepNext w:val="0"/>
        <w:keepLines w:val="0"/>
        <w:pageBreakBefore w:val="0"/>
        <w:widowControl/>
        <w:kinsoku/>
        <w:wordWrap/>
        <w:overflowPunct/>
        <w:topLinePunct w:val="0"/>
        <w:autoSpaceDE/>
        <w:autoSpaceDN/>
        <w:bidi w:val="0"/>
        <w:spacing w:line="576" w:lineRule="exact"/>
        <w:ind w:firstLine="2249" w:firstLineChars="700"/>
        <w:jc w:val="both"/>
        <w:textAlignment w:val="auto"/>
        <w:rPr>
          <w:rFonts w:hint="default" w:ascii="Times New Roman" w:hAnsi="Times New Roman" w:eastAsia="楷体_GB2312" w:cs="Times New Roman"/>
          <w:b/>
          <w:bCs/>
          <w:sz w:val="32"/>
          <w:szCs w:val="32"/>
        </w:rPr>
      </w:pPr>
    </w:p>
    <w:p w14:paraId="2581E73C">
      <w:pPr>
        <w:pStyle w:val="2"/>
        <w:rPr>
          <w:rFonts w:hint="default" w:ascii="楷体_GB2312" w:hAnsi="楷体_GB2312" w:eastAsia="楷体_GB2312" w:cs="楷体_GB2312"/>
          <w:color w:val="auto"/>
          <w:sz w:val="28"/>
          <w:szCs w:val="28"/>
          <w:highlight w:val="none"/>
          <w:lang w:val="en-US"/>
        </w:rPr>
      </w:pPr>
      <w:r>
        <w:rPr>
          <w:rFonts w:hint="eastAsia" w:ascii="黑体" w:hAnsi="黑体" w:eastAsia="黑体"/>
          <w:color w:val="auto"/>
          <w:sz w:val="32"/>
          <w:szCs w:val="32"/>
          <w:highlight w:val="none"/>
          <w:lang w:val="en-US" w:eastAsia="zh-CN"/>
        </w:rPr>
        <w:t xml:space="preserve">    </w:t>
      </w:r>
      <w:r>
        <w:rPr>
          <w:rFonts w:hint="eastAsia" w:ascii="楷体_GB2312" w:hAnsi="楷体_GB2312" w:eastAsia="楷体_GB2312" w:cs="楷体_GB2312"/>
          <w:color w:val="auto"/>
          <w:sz w:val="28"/>
          <w:szCs w:val="28"/>
          <w:highlight w:val="none"/>
        </w:rPr>
        <w:t xml:space="preserve">第一部分 </w:t>
      </w:r>
      <w:r>
        <w:rPr>
          <w:rFonts w:hint="eastAsia" w:ascii="楷体_GB2312" w:hAnsi="楷体_GB2312" w:eastAsia="楷体_GB2312" w:cs="楷体_GB2312"/>
          <w:color w:val="auto"/>
          <w:sz w:val="28"/>
          <w:szCs w:val="28"/>
          <w:highlight w:val="none"/>
          <w:lang w:eastAsia="zh-CN"/>
        </w:rPr>
        <w:t>部门</w:t>
      </w:r>
      <w:r>
        <w:rPr>
          <w:rFonts w:hint="eastAsia" w:ascii="楷体_GB2312" w:hAnsi="楷体_GB2312" w:eastAsia="楷体_GB2312" w:cs="楷体_GB2312"/>
          <w:color w:val="auto"/>
          <w:sz w:val="28"/>
          <w:szCs w:val="28"/>
          <w:highlight w:val="none"/>
        </w:rPr>
        <w:t>概况</w:t>
      </w:r>
      <w:r>
        <w:rPr>
          <w:rFonts w:hint="eastAsia" w:asciiTheme="minorEastAsia" w:hAnsiTheme="minorEastAsia" w:eastAsiaTheme="minorEastAsia" w:cstheme="minorEastAsia"/>
          <w:color w:val="auto"/>
          <w:sz w:val="28"/>
          <w:szCs w:val="28"/>
          <w:highlight w:val="none"/>
          <w:lang w:val="en-US" w:eastAsia="zh-CN"/>
        </w:rPr>
        <w:t>......................................1</w:t>
      </w:r>
    </w:p>
    <w:p w14:paraId="1EC06659">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一、</w:t>
      </w:r>
      <w:r>
        <w:rPr>
          <w:rFonts w:hint="eastAsia" w:asciiTheme="minorEastAsia" w:hAnsiTheme="minorEastAsia" w:eastAsiaTheme="minorEastAsia" w:cstheme="minorEastAsia"/>
          <w:color w:val="auto"/>
          <w:sz w:val="28"/>
          <w:szCs w:val="28"/>
          <w:highlight w:val="none"/>
          <w:lang w:eastAsia="zh-CN"/>
        </w:rPr>
        <w:t>主要</w:t>
      </w:r>
      <w:r>
        <w:rPr>
          <w:rFonts w:hint="eastAsia" w:asciiTheme="minorEastAsia" w:hAnsiTheme="minorEastAsia" w:eastAsiaTheme="minorEastAsia" w:cstheme="minorEastAsia"/>
          <w:color w:val="auto"/>
          <w:sz w:val="28"/>
          <w:szCs w:val="28"/>
          <w:highlight w:val="none"/>
        </w:rPr>
        <w:t>职能</w:t>
      </w:r>
      <w:r>
        <w:rPr>
          <w:rFonts w:hint="eastAsia" w:asciiTheme="minorEastAsia" w:hAnsiTheme="minorEastAsia" w:eastAsiaTheme="minorEastAsia" w:cstheme="minorEastAsia"/>
          <w:color w:val="auto"/>
          <w:sz w:val="28"/>
          <w:szCs w:val="28"/>
          <w:highlight w:val="none"/>
          <w:lang w:val="en-US" w:eastAsia="zh-CN"/>
        </w:rPr>
        <w:t>...........................................1</w:t>
      </w:r>
    </w:p>
    <w:p w14:paraId="41CAB25A">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eastAsia="zh-CN"/>
        </w:rPr>
        <w:t>二、</w:t>
      </w:r>
      <w:r>
        <w:rPr>
          <w:rFonts w:hint="eastAsia" w:asciiTheme="minorEastAsia" w:hAnsiTheme="minorEastAsia" w:eastAsiaTheme="minorEastAsia" w:cstheme="minorEastAsia"/>
          <w:color w:val="auto"/>
          <w:sz w:val="28"/>
          <w:szCs w:val="28"/>
          <w:highlight w:val="none"/>
          <w:lang w:val="en-US" w:eastAsia="zh-CN"/>
        </w:rPr>
        <w:t>2020年重点</w:t>
      </w:r>
      <w:r>
        <w:rPr>
          <w:rFonts w:hint="eastAsia" w:asciiTheme="minorEastAsia" w:hAnsiTheme="minorEastAsia" w:eastAsiaTheme="minorEastAsia" w:cstheme="minorEastAsia"/>
          <w:color w:val="auto"/>
          <w:sz w:val="28"/>
          <w:szCs w:val="28"/>
          <w:highlight w:val="none"/>
        </w:rPr>
        <w:t>工作</w:t>
      </w:r>
      <w:r>
        <w:rPr>
          <w:rFonts w:hint="eastAsia" w:asciiTheme="minorEastAsia" w:hAnsiTheme="minorEastAsia" w:eastAsiaTheme="minorEastAsia" w:cstheme="minorEastAsia"/>
          <w:color w:val="auto"/>
          <w:sz w:val="28"/>
          <w:szCs w:val="28"/>
          <w:highlight w:val="none"/>
          <w:lang w:eastAsia="zh-CN"/>
        </w:rPr>
        <w:t>完成情况</w:t>
      </w:r>
      <w:r>
        <w:rPr>
          <w:rFonts w:hint="eastAsia" w:asciiTheme="minorEastAsia" w:hAnsiTheme="minorEastAsia" w:eastAsiaTheme="minorEastAsia" w:cstheme="minorEastAsia"/>
          <w:color w:val="auto"/>
          <w:sz w:val="28"/>
          <w:szCs w:val="28"/>
          <w:highlight w:val="none"/>
          <w:lang w:val="en-US" w:eastAsia="zh-CN"/>
        </w:rPr>
        <w:t>............................1</w:t>
      </w:r>
    </w:p>
    <w:p w14:paraId="6DDACA9A">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第二部分</w:t>
      </w:r>
      <w:r>
        <w:rPr>
          <w:rFonts w:hint="eastAsia" w:ascii="楷体_GB2312" w:hAnsi="楷体_GB2312" w:eastAsia="楷体_GB2312" w:cs="楷体_GB2312"/>
          <w:color w:val="auto"/>
          <w:sz w:val="28"/>
          <w:szCs w:val="28"/>
          <w:highlight w:val="none"/>
          <w:lang w:val="en-US" w:eastAsia="zh-CN"/>
        </w:rPr>
        <w:t xml:space="preserve"> 2020年度</w:t>
      </w:r>
      <w:r>
        <w:rPr>
          <w:rFonts w:hint="eastAsia" w:ascii="楷体_GB2312" w:hAnsi="楷体_GB2312" w:eastAsia="楷体_GB2312" w:cs="楷体_GB2312"/>
          <w:color w:val="auto"/>
          <w:sz w:val="28"/>
          <w:szCs w:val="28"/>
          <w:highlight w:val="none"/>
          <w:lang w:eastAsia="zh-CN"/>
        </w:rPr>
        <w:t>单位</w:t>
      </w:r>
      <w:r>
        <w:rPr>
          <w:rFonts w:hint="eastAsia" w:ascii="楷体_GB2312" w:hAnsi="楷体_GB2312" w:eastAsia="楷体_GB2312" w:cs="楷体_GB2312"/>
          <w:color w:val="auto"/>
          <w:sz w:val="28"/>
          <w:szCs w:val="28"/>
          <w:highlight w:val="none"/>
        </w:rPr>
        <w:t>决算情况说明</w:t>
      </w:r>
      <w:r>
        <w:rPr>
          <w:rFonts w:hint="eastAsia" w:asciiTheme="minorEastAsia" w:hAnsiTheme="minorEastAsia" w:eastAsiaTheme="minorEastAsia" w:cstheme="minorEastAsia"/>
          <w:color w:val="auto"/>
          <w:sz w:val="28"/>
          <w:szCs w:val="28"/>
          <w:highlight w:val="none"/>
          <w:lang w:val="en-US" w:eastAsia="zh-CN"/>
        </w:rPr>
        <w:t>......................9</w:t>
      </w:r>
    </w:p>
    <w:p w14:paraId="2764366C">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一、收入支出决算总体情况说明</w:t>
      </w:r>
      <w:r>
        <w:rPr>
          <w:rFonts w:hint="eastAsia" w:asciiTheme="minorEastAsia" w:hAnsiTheme="minorEastAsia" w:eastAsiaTheme="minorEastAsia" w:cstheme="minorEastAsia"/>
          <w:color w:val="auto"/>
          <w:sz w:val="28"/>
          <w:szCs w:val="28"/>
          <w:highlight w:val="none"/>
          <w:lang w:val="en-US" w:eastAsia="zh-CN"/>
        </w:rPr>
        <w:t>...........................9</w:t>
      </w:r>
    </w:p>
    <w:p w14:paraId="07A59FD9">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二、收入决算情况说明</w:t>
      </w:r>
      <w:r>
        <w:rPr>
          <w:rFonts w:hint="eastAsia" w:asciiTheme="minorEastAsia" w:hAnsiTheme="minorEastAsia" w:eastAsiaTheme="minorEastAsia" w:cstheme="minorEastAsia"/>
          <w:color w:val="auto"/>
          <w:sz w:val="28"/>
          <w:szCs w:val="28"/>
          <w:highlight w:val="none"/>
          <w:lang w:val="en-US" w:eastAsia="zh-CN"/>
        </w:rPr>
        <w:t>...................................9</w:t>
      </w:r>
    </w:p>
    <w:p w14:paraId="0FC71F1B">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三、支出决算情况说明</w:t>
      </w:r>
      <w:r>
        <w:rPr>
          <w:rFonts w:hint="eastAsia" w:asciiTheme="minorEastAsia" w:hAnsiTheme="minorEastAsia" w:eastAsiaTheme="minorEastAsia" w:cstheme="minorEastAsia"/>
          <w:color w:val="auto"/>
          <w:sz w:val="28"/>
          <w:szCs w:val="28"/>
          <w:highlight w:val="none"/>
          <w:lang w:val="en-US" w:eastAsia="zh-CN"/>
        </w:rPr>
        <w:t>...................................9</w:t>
      </w:r>
    </w:p>
    <w:p w14:paraId="601D284B">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四、财政拨款收入支出决算总体情况说明</w:t>
      </w:r>
      <w:r>
        <w:rPr>
          <w:rFonts w:hint="eastAsia" w:asciiTheme="minorEastAsia" w:hAnsiTheme="minorEastAsia" w:eastAsiaTheme="minorEastAsia" w:cstheme="minorEastAsia"/>
          <w:color w:val="auto"/>
          <w:sz w:val="28"/>
          <w:szCs w:val="28"/>
          <w:highlight w:val="none"/>
          <w:lang w:val="en-US" w:eastAsia="zh-CN"/>
        </w:rPr>
        <w:t>...................9</w:t>
      </w:r>
    </w:p>
    <w:p w14:paraId="71C25501">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五、一般公共预算财政拨款支出决算情况说明</w:t>
      </w:r>
      <w:r>
        <w:rPr>
          <w:rFonts w:hint="eastAsia" w:asciiTheme="minorEastAsia" w:hAnsiTheme="minorEastAsia" w:eastAsiaTheme="minorEastAsia" w:cstheme="minorEastAsia"/>
          <w:color w:val="auto"/>
          <w:sz w:val="28"/>
          <w:szCs w:val="28"/>
          <w:highlight w:val="none"/>
          <w:lang w:val="en-US" w:eastAsia="zh-CN"/>
        </w:rPr>
        <w:t>...............9</w:t>
      </w:r>
    </w:p>
    <w:p w14:paraId="3BDED3DC">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六、一般公共预算财政拨款基本支出决算情况说明</w:t>
      </w:r>
      <w:r>
        <w:rPr>
          <w:rFonts w:hint="eastAsia" w:asciiTheme="minorEastAsia" w:hAnsiTheme="minorEastAsia" w:eastAsiaTheme="minorEastAsia" w:cstheme="minorEastAsia"/>
          <w:color w:val="auto"/>
          <w:sz w:val="28"/>
          <w:szCs w:val="28"/>
          <w:highlight w:val="none"/>
          <w:lang w:val="en-US" w:eastAsia="zh-CN"/>
        </w:rPr>
        <w:t>..........10</w:t>
      </w:r>
    </w:p>
    <w:p w14:paraId="2FDC49D7">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七、</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三公”经费财政拨款支出决算情况说明</w:t>
      </w:r>
      <w:r>
        <w:rPr>
          <w:rFonts w:hint="eastAsia" w:asciiTheme="minorEastAsia" w:hAnsiTheme="minorEastAsia" w:eastAsiaTheme="minorEastAsia" w:cstheme="minorEastAsia"/>
          <w:color w:val="auto"/>
          <w:sz w:val="28"/>
          <w:szCs w:val="28"/>
          <w:highlight w:val="none"/>
          <w:lang w:val="en-US" w:eastAsia="zh-CN"/>
        </w:rPr>
        <w:t>..............11</w:t>
      </w:r>
    </w:p>
    <w:p w14:paraId="35795C4A">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八、政府性基金预算支出决算情况说明</w:t>
      </w:r>
      <w:r>
        <w:rPr>
          <w:rFonts w:hint="eastAsia" w:asciiTheme="minorEastAsia" w:hAnsiTheme="minorEastAsia" w:eastAsiaTheme="minorEastAsia" w:cstheme="minorEastAsia"/>
          <w:color w:val="auto"/>
          <w:sz w:val="28"/>
          <w:szCs w:val="28"/>
          <w:highlight w:val="none"/>
          <w:lang w:val="en-US" w:eastAsia="zh-CN"/>
        </w:rPr>
        <w:t>....................12</w:t>
      </w:r>
    </w:p>
    <w:p w14:paraId="15B70056">
      <w:pPr>
        <w:numPr>
          <w:ilvl w:val="0"/>
          <w:numId w:val="0"/>
        </w:numPr>
        <w:spacing w:line="600" w:lineRule="exact"/>
        <w:ind w:firstLine="560" w:firstLineChars="200"/>
        <w:outlineLvl w:val="1"/>
        <w:rPr>
          <w:rFonts w:hint="default" w:asciiTheme="minorEastAsia" w:hAnsiTheme="minorEastAsia" w:eastAsiaTheme="minorEastAsia" w:cstheme="minorEastAsia"/>
          <w:color w:val="auto"/>
          <w:sz w:val="28"/>
          <w:szCs w:val="28"/>
          <w:highlight w:val="none"/>
          <w:lang w:val="en-US" w:eastAsia="zh-CN"/>
        </w:rPr>
      </w:pPr>
      <w:r>
        <w:rPr>
          <w:rFonts w:hint="eastAsia" w:ascii="宋体" w:hAnsi="宋体" w:eastAsia="宋体" w:cs="宋体"/>
          <w:color w:val="auto"/>
          <w:sz w:val="28"/>
          <w:szCs w:val="28"/>
          <w:highlight w:val="none"/>
        </w:rPr>
        <w:t>九、</w:t>
      </w:r>
      <w:r>
        <w:rPr>
          <w:rStyle w:val="26"/>
          <w:rFonts w:hint="eastAsia" w:ascii="宋体" w:hAnsi="宋体" w:eastAsia="宋体" w:cs="宋体"/>
          <w:b w:val="0"/>
          <w:sz w:val="28"/>
          <w:szCs w:val="28"/>
        </w:rPr>
        <w:t>国有资本经营预算支出决算情况说明</w:t>
      </w:r>
      <w:r>
        <w:rPr>
          <w:rStyle w:val="26"/>
          <w:rFonts w:hint="eastAsia" w:ascii="宋体" w:hAnsi="宋体" w:eastAsia="宋体" w:cs="宋体"/>
          <w:b w:val="0"/>
          <w:sz w:val="28"/>
          <w:szCs w:val="28"/>
          <w:lang w:val="en-US" w:eastAsia="zh-CN"/>
        </w:rPr>
        <w:t>.</w:t>
      </w:r>
      <w:r>
        <w:rPr>
          <w:rFonts w:hint="eastAsia" w:asciiTheme="minorEastAsia" w:hAnsiTheme="minorEastAsia" w:eastAsiaTheme="minorEastAsia" w:cstheme="minorEastAsia"/>
          <w:color w:val="auto"/>
          <w:sz w:val="28"/>
          <w:szCs w:val="28"/>
          <w:highlight w:val="none"/>
          <w:lang w:val="en-US" w:eastAsia="zh-CN"/>
        </w:rPr>
        <w:t>.................12</w:t>
      </w:r>
    </w:p>
    <w:p w14:paraId="5B3E5E19">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auto"/>
          <w:sz w:val="28"/>
          <w:szCs w:val="28"/>
          <w:highlight w:val="none"/>
        </w:rPr>
        <w:t>十、其他重要事项的情况说明</w:t>
      </w:r>
      <w:r>
        <w:rPr>
          <w:rFonts w:hint="eastAsia" w:asciiTheme="minorEastAsia" w:hAnsiTheme="minorEastAsia" w:eastAsiaTheme="minorEastAsia" w:cstheme="minorEastAsia"/>
          <w:color w:val="auto"/>
          <w:sz w:val="28"/>
          <w:szCs w:val="28"/>
          <w:highlight w:val="none"/>
          <w:lang w:val="en-US" w:eastAsia="zh-CN"/>
        </w:rPr>
        <w:t>............................12</w:t>
      </w:r>
    </w:p>
    <w:p w14:paraId="1C49ECA0">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第三部分 名词解释</w:t>
      </w:r>
      <w:r>
        <w:rPr>
          <w:rFonts w:hint="eastAsia" w:asciiTheme="minorEastAsia" w:hAnsiTheme="minorEastAsia" w:eastAsiaTheme="minorEastAsia" w:cstheme="minorEastAsia"/>
          <w:color w:val="auto"/>
          <w:sz w:val="28"/>
          <w:szCs w:val="28"/>
          <w:highlight w:val="none"/>
          <w:lang w:val="en-US" w:eastAsia="zh-CN"/>
        </w:rPr>
        <w:t>.....................................15</w:t>
      </w:r>
    </w:p>
    <w:p w14:paraId="6221891B">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第四部分 附件</w:t>
      </w:r>
      <w:r>
        <w:rPr>
          <w:rFonts w:hint="eastAsia" w:asciiTheme="minorEastAsia" w:hAnsiTheme="minorEastAsia" w:eastAsiaTheme="minorEastAsia" w:cstheme="minorEastAsia"/>
          <w:color w:val="auto"/>
          <w:sz w:val="28"/>
          <w:szCs w:val="28"/>
          <w:highlight w:val="none"/>
          <w:lang w:val="en-US" w:eastAsia="zh-CN"/>
        </w:rPr>
        <w:t>.........................................18</w:t>
      </w:r>
    </w:p>
    <w:p w14:paraId="47E98581">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楷体_GB2312" w:hAnsi="楷体_GB2312" w:eastAsia="楷体_GB2312" w:cs="楷体_GB2312"/>
          <w:color w:val="auto"/>
          <w:sz w:val="28"/>
          <w:szCs w:val="28"/>
          <w:highlight w:val="none"/>
        </w:rPr>
        <w:t>第五部分 附表</w:t>
      </w:r>
      <w:r>
        <w:rPr>
          <w:rFonts w:hint="eastAsia" w:asciiTheme="minorEastAsia" w:hAnsiTheme="minorEastAsia" w:eastAsiaTheme="minorEastAsia" w:cstheme="minorEastAsia"/>
          <w:color w:val="auto"/>
          <w:sz w:val="28"/>
          <w:szCs w:val="28"/>
          <w:highlight w:val="none"/>
          <w:lang w:val="en-US" w:eastAsia="zh-CN"/>
        </w:rPr>
        <w:t>.........................................30</w:t>
      </w:r>
    </w:p>
    <w:p w14:paraId="76F555B8">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一、收入支出决算总表</w:t>
      </w:r>
      <w:r>
        <w:rPr>
          <w:rFonts w:hint="eastAsia" w:asciiTheme="minorEastAsia" w:hAnsiTheme="minorEastAsia" w:eastAsiaTheme="minorEastAsia" w:cstheme="minorEastAsia"/>
          <w:color w:val="auto"/>
          <w:sz w:val="28"/>
          <w:szCs w:val="28"/>
          <w:highlight w:val="none"/>
          <w:lang w:val="en-US" w:eastAsia="zh-CN"/>
        </w:rPr>
        <w:t>..................................30</w:t>
      </w:r>
    </w:p>
    <w:p w14:paraId="107A72EF">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二、收入决算表</w:t>
      </w:r>
      <w:r>
        <w:rPr>
          <w:rFonts w:hint="eastAsia" w:asciiTheme="minorEastAsia" w:hAnsiTheme="minorEastAsia" w:eastAsiaTheme="minorEastAsia" w:cstheme="minorEastAsia"/>
          <w:color w:val="auto"/>
          <w:sz w:val="28"/>
          <w:szCs w:val="28"/>
          <w:highlight w:val="none"/>
          <w:lang w:val="en-US" w:eastAsia="zh-CN"/>
        </w:rPr>
        <w:t>........................................30</w:t>
      </w:r>
    </w:p>
    <w:p w14:paraId="3AEE0F20">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三、支出决算表</w:t>
      </w:r>
      <w:r>
        <w:rPr>
          <w:rFonts w:hint="eastAsia" w:asciiTheme="minorEastAsia" w:hAnsiTheme="minorEastAsia" w:eastAsiaTheme="minorEastAsia" w:cstheme="minorEastAsia"/>
          <w:color w:val="auto"/>
          <w:sz w:val="28"/>
          <w:szCs w:val="28"/>
          <w:highlight w:val="none"/>
          <w:lang w:val="en-US" w:eastAsia="zh-CN"/>
        </w:rPr>
        <w:t>........................................30</w:t>
      </w:r>
    </w:p>
    <w:p w14:paraId="6DE8FDCA">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楷体_GB2312" w:hAnsi="楷体_GB2312" w:eastAsia="楷体_GB2312" w:cs="楷体_GB2312"/>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四、财政拨款收入支出决算总表</w:t>
      </w:r>
      <w:r>
        <w:rPr>
          <w:rFonts w:hint="eastAsia" w:asciiTheme="minorEastAsia" w:hAnsiTheme="minorEastAsia" w:eastAsiaTheme="minorEastAsia" w:cstheme="minorEastAsia"/>
          <w:color w:val="auto"/>
          <w:sz w:val="28"/>
          <w:szCs w:val="28"/>
          <w:highlight w:val="none"/>
          <w:lang w:val="en-US" w:eastAsia="zh-CN"/>
        </w:rPr>
        <w:t>..........................30</w:t>
      </w:r>
    </w:p>
    <w:p w14:paraId="726F0238">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五、财政拨款支出决算明细表</w:t>
      </w:r>
      <w:r>
        <w:rPr>
          <w:rFonts w:hint="eastAsia" w:asciiTheme="minorEastAsia" w:hAnsiTheme="minorEastAsia" w:eastAsiaTheme="minorEastAsia" w:cstheme="minorEastAsia"/>
          <w:color w:val="auto"/>
          <w:sz w:val="28"/>
          <w:szCs w:val="28"/>
          <w:highlight w:val="none"/>
          <w:lang w:val="en-US" w:eastAsia="zh-CN"/>
        </w:rPr>
        <w:t>............................30</w:t>
      </w:r>
    </w:p>
    <w:p w14:paraId="59909F8A">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六、一般公共预算财政拨款支出决算表</w:t>
      </w:r>
      <w:r>
        <w:rPr>
          <w:rFonts w:hint="eastAsia" w:asciiTheme="minorEastAsia" w:hAnsiTheme="minorEastAsia" w:eastAsiaTheme="minorEastAsia" w:cstheme="minorEastAsia"/>
          <w:color w:val="auto"/>
          <w:sz w:val="28"/>
          <w:szCs w:val="28"/>
          <w:highlight w:val="none"/>
          <w:lang w:val="en-US" w:eastAsia="zh-CN"/>
        </w:rPr>
        <w:t>....................30</w:t>
      </w:r>
    </w:p>
    <w:p w14:paraId="15FB1149">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七、一般公共预算财政拨款支出决算明细表</w:t>
      </w:r>
      <w:r>
        <w:rPr>
          <w:rFonts w:hint="eastAsia" w:asciiTheme="minorEastAsia" w:hAnsiTheme="minorEastAsia" w:eastAsiaTheme="minorEastAsia" w:cstheme="minorEastAsia"/>
          <w:color w:val="auto"/>
          <w:sz w:val="28"/>
          <w:szCs w:val="28"/>
          <w:highlight w:val="none"/>
          <w:lang w:val="en-US" w:eastAsia="zh-CN"/>
        </w:rPr>
        <w:t>................30</w:t>
      </w:r>
    </w:p>
    <w:p w14:paraId="4C252E2E">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八、一般公共预算财政拨款基本支出决算表</w:t>
      </w:r>
      <w:r>
        <w:rPr>
          <w:rFonts w:hint="eastAsia" w:asciiTheme="minorEastAsia" w:hAnsiTheme="minorEastAsia" w:eastAsiaTheme="minorEastAsia" w:cstheme="minorEastAsia"/>
          <w:color w:val="auto"/>
          <w:sz w:val="28"/>
          <w:szCs w:val="28"/>
          <w:highlight w:val="none"/>
          <w:lang w:val="en-US" w:eastAsia="zh-CN"/>
        </w:rPr>
        <w:t>................30</w:t>
      </w:r>
    </w:p>
    <w:p w14:paraId="79AE04C3">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九、一般公共预算财政拨款项目支出决算表</w:t>
      </w:r>
      <w:r>
        <w:rPr>
          <w:rFonts w:hint="eastAsia" w:asciiTheme="minorEastAsia" w:hAnsiTheme="minorEastAsia" w:eastAsiaTheme="minorEastAsia" w:cstheme="minorEastAsia"/>
          <w:color w:val="auto"/>
          <w:sz w:val="28"/>
          <w:szCs w:val="28"/>
          <w:highlight w:val="none"/>
          <w:lang w:val="en-US" w:eastAsia="zh-CN"/>
        </w:rPr>
        <w:t>................30</w:t>
      </w:r>
    </w:p>
    <w:p w14:paraId="211FDEFA">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十、一般公共预算财政拨款“三公”经费支出决算表</w:t>
      </w:r>
      <w:r>
        <w:rPr>
          <w:rFonts w:hint="eastAsia" w:asciiTheme="minorEastAsia" w:hAnsiTheme="minorEastAsia" w:eastAsiaTheme="minorEastAsia" w:cstheme="minorEastAsia"/>
          <w:color w:val="auto"/>
          <w:sz w:val="28"/>
          <w:szCs w:val="28"/>
          <w:highlight w:val="none"/>
          <w:lang w:val="en-US" w:eastAsia="zh-CN"/>
        </w:rPr>
        <w:t>........30</w:t>
      </w:r>
    </w:p>
    <w:p w14:paraId="54969B48">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十一、政府性基金预算财政拨款收入支出决算表</w:t>
      </w:r>
      <w:r>
        <w:rPr>
          <w:rFonts w:hint="eastAsia" w:asciiTheme="minorEastAsia" w:hAnsiTheme="minorEastAsia" w:eastAsiaTheme="minorEastAsia" w:cstheme="minorEastAsia"/>
          <w:color w:val="auto"/>
          <w:sz w:val="28"/>
          <w:szCs w:val="28"/>
          <w:highlight w:val="none"/>
          <w:lang w:val="en-US" w:eastAsia="zh-CN"/>
        </w:rPr>
        <w:t>............30</w:t>
      </w:r>
    </w:p>
    <w:p w14:paraId="60E93AE9">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十二、政府性基金预算财政拨款“三公”经费支出决算表</w:t>
      </w:r>
      <w:r>
        <w:rPr>
          <w:rFonts w:hint="eastAsia" w:asciiTheme="minorEastAsia" w:hAnsiTheme="minorEastAsia" w:eastAsiaTheme="minorEastAsia" w:cstheme="minorEastAsia"/>
          <w:color w:val="auto"/>
          <w:sz w:val="28"/>
          <w:szCs w:val="28"/>
          <w:highlight w:val="none"/>
          <w:lang w:val="en-US" w:eastAsia="zh-CN"/>
        </w:rPr>
        <w:t>...30</w:t>
      </w:r>
    </w:p>
    <w:p w14:paraId="4A29E4EE">
      <w:pPr>
        <w:pStyle w:val="8"/>
        <w:keepNext w:val="0"/>
        <w:keepLines w:val="0"/>
        <w:pageBreakBefore w:val="0"/>
        <w:tabs>
          <w:tab w:val="right" w:leader="dot" w:pos="8296"/>
        </w:tabs>
        <w:kinsoku/>
        <w:wordWrap/>
        <w:overflowPunct/>
        <w:topLinePunct w:val="0"/>
        <w:autoSpaceDE/>
        <w:autoSpaceDN/>
        <w:bidi w:val="0"/>
        <w:adjustRightInd w:val="0"/>
        <w:snapToGrid w:val="0"/>
        <w:spacing w:before="0" w:line="576"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十三、国有资本经营预算</w:t>
      </w:r>
      <w:r>
        <w:rPr>
          <w:rFonts w:hint="eastAsia" w:asciiTheme="minorEastAsia" w:hAnsiTheme="minorEastAsia" w:eastAsiaTheme="minorEastAsia" w:cstheme="minorEastAsia"/>
          <w:color w:val="auto"/>
          <w:sz w:val="28"/>
          <w:szCs w:val="28"/>
          <w:highlight w:val="none"/>
          <w:lang w:eastAsia="zh-CN"/>
        </w:rPr>
        <w:t>财政拨款收入</w:t>
      </w:r>
      <w:r>
        <w:rPr>
          <w:rFonts w:hint="eastAsia" w:asciiTheme="minorEastAsia" w:hAnsiTheme="minorEastAsia" w:eastAsiaTheme="minorEastAsia" w:cstheme="minorEastAsia"/>
          <w:color w:val="auto"/>
          <w:sz w:val="28"/>
          <w:szCs w:val="28"/>
          <w:highlight w:val="none"/>
        </w:rPr>
        <w:t>支出决算表</w:t>
      </w:r>
      <w:r>
        <w:rPr>
          <w:rFonts w:hint="eastAsia" w:asciiTheme="minorEastAsia" w:hAnsiTheme="minorEastAsia" w:eastAsiaTheme="minorEastAsia" w:cstheme="minorEastAsia"/>
          <w:color w:val="auto"/>
          <w:sz w:val="28"/>
          <w:szCs w:val="28"/>
          <w:highlight w:val="none"/>
          <w:lang w:val="en-US" w:eastAsia="zh-CN"/>
        </w:rPr>
        <w:t>.........30</w:t>
      </w:r>
    </w:p>
    <w:p w14:paraId="7E32E0F5">
      <w:pPr>
        <w:pStyle w:val="9"/>
        <w:keepNext w:val="0"/>
        <w:keepLines w:val="0"/>
        <w:pageBreakBefore w:val="0"/>
        <w:tabs>
          <w:tab w:val="right" w:leader="dot" w:pos="8296"/>
        </w:tabs>
        <w:kinsoku/>
        <w:wordWrap/>
        <w:overflowPunct/>
        <w:topLinePunct w:val="0"/>
        <w:autoSpaceDE/>
        <w:autoSpaceDN/>
        <w:bidi w:val="0"/>
        <w:adjustRightInd w:val="0"/>
        <w:snapToGrid w:val="0"/>
        <w:spacing w:line="576" w:lineRule="exact"/>
        <w:ind w:left="0" w:leftChars="0" w:firstLine="560" w:firstLineChars="200"/>
        <w:jc w:val="left"/>
        <w:textAlignment w:val="auto"/>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lang w:val="en-US" w:eastAsia="zh-CN"/>
        </w:rPr>
        <w:t>十四、国有资本经营预算财政拨款支出决算表.............30</w:t>
      </w:r>
    </w:p>
    <w:p w14:paraId="4BFC55A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ascii="方正小标宋简体" w:hAnsi="宋体"/>
          <w:color w:val="000000" w:themeColor="text1"/>
          <w:sz w:val="36"/>
          <w:szCs w:val="36"/>
          <w:u w:val="none"/>
        </w:rPr>
      </w:pPr>
    </w:p>
    <w:p w14:paraId="32EB897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64AB2D9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152B3BB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5AECDAB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733B369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24CF67F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5B6BEF3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31564DD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3DD2A88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both"/>
        <w:textAlignment w:val="auto"/>
        <w:rPr>
          <w:rFonts w:hint="eastAsia" w:ascii="方正小标宋简体" w:hAnsi="方正小标宋简体" w:eastAsia="方正小标宋简体" w:cs="方正小标宋简体"/>
          <w:color w:val="000000" w:themeColor="text1"/>
          <w:sz w:val="44"/>
          <w:szCs w:val="44"/>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5294B0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2200" w:firstLineChars="500"/>
        <w:jc w:val="both"/>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第一部分</w:t>
      </w:r>
      <w:r>
        <w:rPr>
          <w:rFonts w:hint="eastAsia" w:ascii="方正小标宋简体" w:hAnsi="方正小标宋简体" w:eastAsia="方正小标宋简体" w:cs="方正小标宋简体"/>
          <w:color w:val="000000" w:themeColor="text1"/>
          <w:sz w:val="44"/>
          <w:szCs w:val="44"/>
          <w:lang w:val="en-US" w:eastAsia="zh-CN"/>
        </w:rPr>
        <w:t xml:space="preserve">  </w:t>
      </w:r>
      <w:r>
        <w:rPr>
          <w:rFonts w:hint="eastAsia" w:ascii="方正小标宋简体" w:hAnsi="方正小标宋简体" w:eastAsia="方正小标宋简体" w:cs="方正小标宋简体"/>
          <w:color w:val="000000" w:themeColor="text1"/>
          <w:sz w:val="44"/>
          <w:szCs w:val="44"/>
        </w:rPr>
        <w:t>部门概况</w:t>
      </w:r>
    </w:p>
    <w:p w14:paraId="43A399B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318B9A9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color w:val="000000" w:themeColor="text1"/>
          <w:sz w:val="32"/>
          <w:szCs w:val="32"/>
        </w:rPr>
      </w:pPr>
      <w:bookmarkStart w:id="11" w:name="_Toc15377197"/>
      <w:bookmarkEnd w:id="11"/>
      <w:bookmarkStart w:id="12" w:name="_Toc15396600"/>
      <w:r>
        <w:rPr>
          <w:rFonts w:hint="eastAsia" w:ascii="黑体" w:hAnsi="黑体" w:eastAsia="黑体" w:cs="黑体"/>
          <w:color w:val="000000" w:themeColor="text1"/>
          <w:sz w:val="32"/>
          <w:szCs w:val="32"/>
        </w:rPr>
        <w:t>一、基</w:t>
      </w:r>
      <w:bookmarkEnd w:id="12"/>
      <w:r>
        <w:rPr>
          <w:rFonts w:hint="eastAsia" w:ascii="黑体" w:hAnsi="黑体" w:eastAsia="黑体" w:cs="黑体"/>
          <w:color w:val="000000" w:themeColor="text1"/>
          <w:sz w:val="32"/>
          <w:szCs w:val="32"/>
        </w:rPr>
        <w:t>本职能及主要工作</w:t>
      </w:r>
    </w:p>
    <w:p w14:paraId="4AC9F7C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color w:val="000000" w:themeColor="text1"/>
          <w:sz w:val="32"/>
          <w:szCs w:val="32"/>
        </w:rPr>
      </w:pPr>
      <w:bookmarkStart w:id="13" w:name="_Toc15377198"/>
      <w:bookmarkEnd w:id="13"/>
      <w:bookmarkStart w:id="14" w:name="_Toc15378445"/>
      <w:r>
        <w:rPr>
          <w:rFonts w:hint="eastAsia" w:ascii="楷体_GB2312" w:hAnsi="楷体_GB2312" w:eastAsia="楷体_GB2312" w:cs="楷体_GB2312"/>
          <w:color w:val="000000" w:themeColor="text1"/>
          <w:sz w:val="32"/>
          <w:szCs w:val="32"/>
        </w:rPr>
        <w:t>（一）主要职能</w:t>
      </w:r>
      <w:bookmarkEnd w:id="14"/>
    </w:p>
    <w:p w14:paraId="7BE60B7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政协四川省广元市昭化区委员会办公室是政协四川省广元市昭化区委员会的工作机构，承担为区政协履行政治协商、民主监督、参政议政职能服务的各项工作。主要负责政协四川省广元市昭化区委员会全体会议、常务委员会会议、主席会议和其他重要会议的会务工作；组织实施区委、区政府、区政协年度协商计划和政协四川省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14:paraId="1FDDEEB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color w:val="000000" w:themeColor="text1"/>
          <w:sz w:val="32"/>
          <w:szCs w:val="32"/>
        </w:rPr>
      </w:pPr>
      <w:bookmarkStart w:id="15" w:name="_Toc15378446"/>
      <w:bookmarkEnd w:id="15"/>
      <w:bookmarkStart w:id="16" w:name="_Toc15377199"/>
      <w:r>
        <w:rPr>
          <w:rFonts w:hint="eastAsia" w:ascii="楷体_GB2312" w:hAnsi="楷体_GB2312" w:eastAsia="楷体_GB2312" w:cs="楷体_GB2312"/>
          <w:color w:val="000000" w:themeColor="text1"/>
          <w:sz w:val="32"/>
          <w:szCs w:val="32"/>
        </w:rPr>
        <w:t>（二）20</w:t>
      </w:r>
      <w:r>
        <w:rPr>
          <w:rFonts w:hint="eastAsia" w:ascii="楷体_GB2312" w:hAnsi="楷体_GB2312" w:eastAsia="楷体_GB2312" w:cs="楷体_GB2312"/>
          <w:color w:val="000000" w:themeColor="text1"/>
          <w:sz w:val="32"/>
          <w:szCs w:val="32"/>
          <w:lang w:val="en-US" w:eastAsia="zh-CN"/>
        </w:rPr>
        <w:t>20</w:t>
      </w:r>
      <w:r>
        <w:rPr>
          <w:rFonts w:hint="eastAsia" w:ascii="楷体_GB2312" w:hAnsi="楷体_GB2312" w:eastAsia="楷体_GB2312" w:cs="楷体_GB2312"/>
          <w:color w:val="000000" w:themeColor="text1"/>
          <w:sz w:val="32"/>
          <w:szCs w:val="32"/>
        </w:rPr>
        <w:t>年重点工作完成情况。</w:t>
      </w:r>
      <w:bookmarkEnd w:id="16"/>
    </w:p>
    <w:p w14:paraId="4D1FA12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eastAsia="zh-CN"/>
        </w:rPr>
      </w:pPr>
      <w:bookmarkStart w:id="17" w:name="_Toc15377200"/>
      <w:bookmarkEnd w:id="17"/>
      <w:bookmarkStart w:id="18" w:name="_Toc15396601"/>
      <w:r>
        <w:rPr>
          <w:rFonts w:hint="eastAsia" w:ascii="仿宋_GB2312" w:hAnsi="仿宋_GB2312" w:eastAsia="仿宋_GB2312" w:cs="仿宋_GB2312"/>
          <w:b/>
          <w:bCs/>
          <w:color w:val="000000" w:themeColor="text1"/>
          <w:sz w:val="32"/>
          <w:szCs w:val="32"/>
          <w:lang w:val="en-US" w:eastAsia="zh-CN"/>
        </w:rPr>
        <w:t>1.</w:t>
      </w:r>
      <w:r>
        <w:rPr>
          <w:rFonts w:hint="eastAsia" w:ascii="仿宋_GB2312" w:hAnsi="仿宋_GB2312" w:eastAsia="仿宋_GB2312" w:cs="仿宋_GB2312"/>
          <w:b/>
          <w:bCs/>
          <w:color w:val="000000" w:themeColor="text1"/>
          <w:sz w:val="32"/>
          <w:szCs w:val="32"/>
        </w:rPr>
        <w:t>党对政协工作的全面领导更加坚强有力</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强化理论武装，筑牢政治根基</w:t>
      </w:r>
      <w:r>
        <w:rPr>
          <w:rFonts w:hint="eastAsia" w:ascii="仿宋_GB2312" w:hAnsi="仿宋_GB2312" w:eastAsia="仿宋_GB2312" w:cs="仿宋_GB2312"/>
          <w:color w:val="000000" w:themeColor="text1"/>
          <w:sz w:val="32"/>
          <w:szCs w:val="32"/>
          <w:lang w:eastAsia="zh-CN"/>
        </w:rPr>
        <w:t>。坚持</w:t>
      </w:r>
      <w:r>
        <w:rPr>
          <w:rFonts w:hint="eastAsia" w:ascii="仿宋_GB2312" w:hAnsi="仿宋_GB2312" w:eastAsia="仿宋_GB2312" w:cs="仿宋_GB2312"/>
          <w:color w:val="000000" w:themeColor="text1"/>
          <w:sz w:val="32"/>
          <w:szCs w:val="32"/>
        </w:rPr>
        <w:t>深入学习习近平新时代中国特色社会主义</w:t>
      </w:r>
      <w:r>
        <w:rPr>
          <w:rFonts w:hint="eastAsia" w:ascii="仿宋_GB2312" w:hAnsi="仿宋_GB2312" w:eastAsia="仿宋_GB2312" w:cs="仿宋_GB2312"/>
          <w:color w:val="000000" w:themeColor="text1"/>
          <w:sz w:val="32"/>
          <w:szCs w:val="32"/>
          <w:lang w:eastAsia="zh-CN"/>
        </w:rPr>
        <w:t>思想</w:t>
      </w:r>
      <w:r>
        <w:rPr>
          <w:rFonts w:hint="eastAsia" w:ascii="仿宋_GB2312" w:hAnsi="仿宋_GB2312" w:eastAsia="仿宋_GB2312" w:cs="仿宋_GB2312"/>
          <w:color w:val="000000" w:themeColor="text1"/>
          <w:sz w:val="32"/>
          <w:szCs w:val="32"/>
        </w:rPr>
        <w:t>和</w:t>
      </w:r>
      <w:r>
        <w:rPr>
          <w:rFonts w:hint="eastAsia" w:ascii="仿宋_GB2312" w:hAnsi="仿宋_GB2312" w:eastAsia="仿宋_GB2312" w:cs="仿宋_GB2312"/>
          <w:color w:val="000000" w:themeColor="text1"/>
          <w:sz w:val="32"/>
          <w:szCs w:val="32"/>
          <w:lang w:eastAsia="zh-CN"/>
        </w:rPr>
        <w:t>习近平总书记系列重要讲话精神</w:t>
      </w:r>
      <w:r>
        <w:rPr>
          <w:rFonts w:hint="eastAsia" w:ascii="仿宋_GB2312" w:hAnsi="仿宋_GB2312" w:eastAsia="仿宋_GB2312" w:cs="仿宋_GB2312"/>
          <w:color w:val="000000" w:themeColor="text1"/>
          <w:sz w:val="32"/>
          <w:szCs w:val="32"/>
        </w:rPr>
        <w:t>，深入学习习近平总书记关于加强和改进人民政协工作的重要思想、对四川工作系列重要指示精神，</w:t>
      </w:r>
      <w:r>
        <w:rPr>
          <w:rFonts w:hint="eastAsia" w:ascii="仿宋_GB2312" w:hAnsi="仿宋_GB2312" w:eastAsia="仿宋_GB2312" w:cs="仿宋_GB2312"/>
          <w:color w:val="000000" w:themeColor="text1"/>
          <w:sz w:val="32"/>
          <w:szCs w:val="32"/>
          <w:lang w:eastAsia="zh-CN"/>
        </w:rPr>
        <w:t>印发了《政协党组</w:t>
      </w:r>
      <w:r>
        <w:rPr>
          <w:rFonts w:hint="eastAsia" w:ascii="仿宋_GB2312" w:hAnsi="仿宋_GB2312" w:eastAsia="仿宋_GB2312" w:cs="仿宋_GB2312"/>
          <w:color w:val="000000" w:themeColor="text1"/>
          <w:sz w:val="32"/>
          <w:szCs w:val="32"/>
        </w:rPr>
        <w:t>理论学习</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"http://www.wenmi.org/Article/Special/xuexi/Index.html" \t "_blank" </w:instrText>
      </w:r>
      <w:r>
        <w:rPr>
          <w:rFonts w:hint="eastAsia" w:ascii="仿宋_GB2312" w:hAnsi="仿宋_GB2312" w:eastAsia="仿宋_GB2312" w:cs="仿宋_GB2312"/>
          <w:color w:val="000000" w:themeColor="text1"/>
          <w:sz w:val="32"/>
          <w:szCs w:val="32"/>
        </w:rPr>
        <w:fldChar w:fldCharType="separate"/>
      </w:r>
      <w:r>
        <w:rPr>
          <w:rFonts w:hint="eastAsia" w:ascii="仿宋_GB2312" w:hAnsi="仿宋_GB2312" w:eastAsia="仿宋_GB2312" w:cs="仿宋_GB2312"/>
          <w:color w:val="000000" w:themeColor="text1"/>
          <w:sz w:val="32"/>
          <w:szCs w:val="32"/>
        </w:rPr>
        <w:t>中心组</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sz w:val="32"/>
          <w:szCs w:val="32"/>
        </w:rPr>
        <w:t>学习</w:t>
      </w:r>
      <w:r>
        <w:rPr>
          <w:rFonts w:hint="eastAsia" w:ascii="仿宋_GB2312" w:hAnsi="仿宋_GB2312" w:eastAsia="仿宋_GB2312" w:cs="仿宋_GB2312"/>
          <w:color w:val="000000" w:themeColor="text1"/>
          <w:sz w:val="32"/>
          <w:szCs w:val="32"/>
          <w:lang w:eastAsia="zh-CN"/>
        </w:rPr>
        <w:t>规则》，将</w:t>
      </w:r>
      <w:r>
        <w:rPr>
          <w:rFonts w:hint="eastAsia" w:ascii="仿宋_GB2312" w:hAnsi="仿宋_GB2312" w:eastAsia="仿宋_GB2312" w:cs="仿宋_GB2312"/>
          <w:color w:val="000000" w:themeColor="text1"/>
          <w:sz w:val="32"/>
          <w:szCs w:val="32"/>
        </w:rPr>
        <w:t>党章、马克思主义经典著作、宪法</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习近平谈治国理政》等</w:t>
      </w:r>
      <w:r>
        <w:rPr>
          <w:rFonts w:hint="eastAsia" w:ascii="仿宋_GB2312" w:hAnsi="仿宋_GB2312" w:eastAsia="仿宋_GB2312" w:cs="仿宋_GB2312"/>
          <w:color w:val="000000" w:themeColor="text1"/>
          <w:sz w:val="32"/>
          <w:szCs w:val="32"/>
          <w:lang w:eastAsia="zh-CN"/>
        </w:rPr>
        <w:t>纳入学习计划。</w:t>
      </w:r>
      <w:r>
        <w:rPr>
          <w:rFonts w:hint="eastAsia" w:ascii="仿宋_GB2312" w:hAnsi="仿宋_GB2312" w:eastAsia="仿宋_GB2312" w:cs="仿宋_GB2312"/>
          <w:color w:val="000000" w:themeColor="text1"/>
          <w:sz w:val="32"/>
          <w:szCs w:val="32"/>
        </w:rPr>
        <w:t>通过中心组（扩大）学习会、常委会、集中学习会等多种形式组织干部职工、政协委员学习党的十九</w:t>
      </w:r>
      <w:r>
        <w:rPr>
          <w:rFonts w:hint="eastAsia" w:ascii="仿宋_GB2312" w:hAnsi="仿宋_GB2312" w:eastAsia="仿宋_GB2312" w:cs="仿宋_GB2312"/>
          <w:color w:val="000000" w:themeColor="text1"/>
          <w:sz w:val="32"/>
          <w:szCs w:val="32"/>
          <w:lang w:eastAsia="zh-CN"/>
        </w:rPr>
        <w:t>届三中、四中、五中</w:t>
      </w:r>
      <w:r>
        <w:rPr>
          <w:rFonts w:hint="eastAsia" w:ascii="仿宋_GB2312" w:hAnsi="仿宋_GB2312" w:eastAsia="仿宋_GB2312" w:cs="仿宋_GB2312"/>
          <w:color w:val="000000" w:themeColor="text1"/>
          <w:sz w:val="32"/>
          <w:szCs w:val="32"/>
        </w:rPr>
        <w:t>全会</w:t>
      </w:r>
      <w:r>
        <w:rPr>
          <w:rFonts w:hint="eastAsia" w:ascii="仿宋_GB2312" w:hAnsi="仿宋_GB2312" w:eastAsia="仿宋_GB2312" w:cs="仿宋_GB2312"/>
          <w:color w:val="000000" w:themeColor="text1"/>
          <w:sz w:val="32"/>
          <w:szCs w:val="32"/>
          <w:lang w:val="en-US" w:eastAsia="zh-CN"/>
        </w:rPr>
        <w:t>精神，系统学习省、市、区委各次全会等重要会议精神</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组织</w:t>
      </w:r>
      <w:r>
        <w:rPr>
          <w:rFonts w:hint="eastAsia" w:ascii="仿宋_GB2312" w:hAnsi="仿宋_GB2312" w:eastAsia="仿宋_GB2312" w:cs="仿宋_GB2312"/>
          <w:color w:val="000000" w:themeColor="text1"/>
          <w:sz w:val="32"/>
          <w:szCs w:val="32"/>
          <w:lang w:val="en-US" w:eastAsia="zh-CN"/>
        </w:rPr>
        <w:t>两次集体学习研讨，</w:t>
      </w:r>
      <w:r>
        <w:rPr>
          <w:rFonts w:hint="eastAsia" w:ascii="仿宋_GB2312" w:hAnsi="仿宋_GB2312" w:eastAsia="仿宋_GB2312" w:cs="仿宋_GB2312"/>
          <w:color w:val="000000" w:themeColor="text1"/>
          <w:sz w:val="32"/>
          <w:szCs w:val="32"/>
          <w:lang w:eastAsia="zh-CN"/>
        </w:rPr>
        <w:t>会前学习</w:t>
      </w:r>
      <w:r>
        <w:rPr>
          <w:rFonts w:hint="eastAsia" w:ascii="仿宋_GB2312" w:hAnsi="仿宋_GB2312" w:eastAsia="仿宋_GB2312" w:cs="仿宋_GB2312"/>
          <w:color w:val="000000" w:themeColor="text1"/>
          <w:sz w:val="32"/>
          <w:szCs w:val="32"/>
          <w:lang w:val="en-US" w:eastAsia="zh-CN"/>
        </w:rPr>
        <w:t>23次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切实</w:t>
      </w:r>
      <w:r>
        <w:rPr>
          <w:rFonts w:hint="eastAsia" w:ascii="仿宋_GB2312" w:hAnsi="仿宋_GB2312" w:eastAsia="仿宋_GB2312" w:cs="仿宋_GB2312"/>
          <w:color w:val="000000" w:themeColor="text1"/>
          <w:sz w:val="32"/>
          <w:szCs w:val="32"/>
        </w:rPr>
        <w:t>增强政治担当。</w:t>
      </w:r>
      <w:r>
        <w:rPr>
          <w:rFonts w:hint="eastAsia" w:ascii="仿宋_GB2312" w:hAnsi="仿宋_GB2312" w:eastAsia="仿宋_GB2312" w:cs="仿宋_GB2312"/>
          <w:color w:val="000000" w:themeColor="text1"/>
          <w:sz w:val="32"/>
          <w:szCs w:val="32"/>
          <w:lang w:eastAsia="zh-CN"/>
        </w:rPr>
        <w:t>始终坚持党的领导，</w:t>
      </w:r>
      <w:r>
        <w:rPr>
          <w:rFonts w:hint="eastAsia" w:ascii="仿宋_GB2312" w:hAnsi="仿宋_GB2312" w:eastAsia="仿宋_GB2312" w:cs="仿宋_GB2312"/>
          <w:color w:val="000000" w:themeColor="text1"/>
          <w:sz w:val="32"/>
          <w:szCs w:val="32"/>
        </w:rPr>
        <w:t>把牢正确政治方向</w:t>
      </w:r>
      <w:r>
        <w:rPr>
          <w:rFonts w:hint="eastAsia" w:ascii="仿宋_GB2312" w:hAnsi="仿宋_GB2312" w:eastAsia="仿宋_GB2312" w:cs="仿宋_GB2312"/>
          <w:color w:val="000000" w:themeColor="text1"/>
          <w:sz w:val="32"/>
          <w:szCs w:val="32"/>
          <w:lang w:eastAsia="zh-CN"/>
        </w:rPr>
        <w:t>。就区政协六届五次全会召开、市委政协工作会议精神传达等</w:t>
      </w:r>
      <w:r>
        <w:rPr>
          <w:rFonts w:hint="eastAsia" w:ascii="仿宋_GB2312" w:hAnsi="仿宋_GB2312" w:eastAsia="仿宋_GB2312" w:cs="仿宋_GB2312"/>
          <w:color w:val="000000" w:themeColor="text1"/>
          <w:sz w:val="32"/>
          <w:szCs w:val="32"/>
          <w:lang w:val="en-US" w:eastAsia="zh-CN"/>
        </w:rPr>
        <w:t>4次向区委常委会报告工作，</w:t>
      </w:r>
      <w:r>
        <w:rPr>
          <w:rFonts w:hint="eastAsia" w:ascii="仿宋_GB2312" w:hAnsi="仿宋_GB2312" w:eastAsia="仿宋_GB2312" w:cs="仿宋_GB2312"/>
          <w:color w:val="000000" w:themeColor="text1"/>
          <w:sz w:val="32"/>
          <w:szCs w:val="32"/>
        </w:rPr>
        <w:t>始终做到重要工作、重大活动、重要事项向区委报告后再组织实施</w:t>
      </w:r>
      <w:r>
        <w:rPr>
          <w:rFonts w:hint="eastAsia" w:ascii="仿宋_GB2312" w:hAnsi="仿宋_GB2312" w:eastAsia="仿宋_GB2312" w:cs="仿宋_GB2312"/>
          <w:color w:val="000000" w:themeColor="text1"/>
          <w:sz w:val="32"/>
          <w:szCs w:val="32"/>
          <w:lang w:eastAsia="zh-CN"/>
        </w:rPr>
        <w:t>。充分发挥政协党组的核心领导作用，</w:t>
      </w:r>
      <w:r>
        <w:rPr>
          <w:rFonts w:hint="eastAsia" w:ascii="仿宋_GB2312" w:hAnsi="仿宋_GB2312" w:eastAsia="仿宋_GB2312" w:cs="仿宋_GB2312"/>
          <w:color w:val="000000" w:themeColor="text1"/>
          <w:sz w:val="32"/>
          <w:szCs w:val="32"/>
        </w:rPr>
        <w:t>制发了《20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年区政协党建工作要点》</w:t>
      </w:r>
      <w:r>
        <w:rPr>
          <w:rFonts w:hint="eastAsia" w:ascii="仿宋_GB2312" w:hAnsi="仿宋_GB2312" w:eastAsia="仿宋_GB2312" w:cs="仿宋_GB2312"/>
          <w:color w:val="000000" w:themeColor="text1"/>
          <w:sz w:val="32"/>
          <w:szCs w:val="32"/>
          <w:lang w:eastAsia="zh-CN"/>
        </w:rPr>
        <w:t>，全面落实《党委（党组）落实全面从严治党主体责任规定》，制定了《</w:t>
      </w:r>
      <w:r>
        <w:rPr>
          <w:rFonts w:hint="eastAsia" w:ascii="仿宋_GB2312" w:hAnsi="仿宋_GB2312" w:eastAsia="仿宋_GB2312" w:cs="仿宋_GB2312"/>
          <w:color w:val="000000" w:themeColor="text1"/>
          <w:sz w:val="32"/>
          <w:szCs w:val="32"/>
          <w:lang w:val="en-US" w:eastAsia="zh-CN"/>
        </w:rPr>
        <w:t>全面</w:t>
      </w:r>
      <w:r>
        <w:rPr>
          <w:rFonts w:hint="eastAsia" w:ascii="仿宋_GB2312" w:hAnsi="仿宋_GB2312" w:eastAsia="仿宋_GB2312" w:cs="仿宋_GB2312"/>
          <w:color w:val="000000" w:themeColor="text1"/>
          <w:sz w:val="32"/>
          <w:szCs w:val="32"/>
          <w:lang w:eastAsia="zh-CN"/>
        </w:rPr>
        <w:t>从严治党责任清单》，进一步完善党建工作责任制，</w:t>
      </w:r>
      <w:r>
        <w:rPr>
          <w:rFonts w:hint="eastAsia" w:ascii="仿宋_GB2312" w:hAnsi="仿宋_GB2312" w:eastAsia="仿宋_GB2312" w:cs="仿宋_GB2312"/>
          <w:color w:val="000000" w:themeColor="text1"/>
          <w:sz w:val="32"/>
          <w:szCs w:val="32"/>
        </w:rPr>
        <w:t>实现党的领导全覆盖</w:t>
      </w:r>
      <w:r>
        <w:rPr>
          <w:rFonts w:hint="eastAsia" w:ascii="仿宋_GB2312" w:hAnsi="仿宋_GB2312" w:eastAsia="仿宋_GB2312" w:cs="仿宋_GB2312"/>
          <w:color w:val="000000" w:themeColor="text1"/>
          <w:sz w:val="32"/>
          <w:szCs w:val="32"/>
          <w:lang w:eastAsia="zh-CN"/>
        </w:rPr>
        <w:t>。</w:t>
      </w:r>
    </w:p>
    <w:p w14:paraId="2AEB8C5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2.服务大局助推高质量发展更加富有成效。</w:t>
      </w:r>
      <w:r>
        <w:rPr>
          <w:rFonts w:hint="eastAsia" w:ascii="仿宋_GB2312" w:hAnsi="仿宋_GB2312" w:eastAsia="仿宋_GB2312" w:cs="仿宋_GB2312"/>
          <w:color w:val="000000" w:themeColor="text1"/>
          <w:sz w:val="32"/>
          <w:szCs w:val="32"/>
          <w:lang w:val="en-US" w:eastAsia="zh-CN"/>
        </w:rPr>
        <w:t>围绕中心广泛协商。</w:t>
      </w:r>
      <w:r>
        <w:rPr>
          <w:rFonts w:hint="eastAsia" w:ascii="仿宋_GB2312" w:hAnsi="仿宋_GB2312" w:eastAsia="仿宋_GB2312" w:cs="仿宋_GB2312"/>
          <w:color w:val="000000" w:themeColor="text1"/>
          <w:sz w:val="32"/>
          <w:szCs w:val="32"/>
        </w:rPr>
        <w:t>紧紧围绕省委“一干多支、五区协同”发展战略、市委“三个一、三个三”兴广战略、区委“三大重点区域”建设，先后召开议政性常委会议</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专题协商、对口协商、界别协商会议</w:t>
      </w:r>
      <w:r>
        <w:rPr>
          <w:rFonts w:hint="eastAsia" w:ascii="仿宋_GB2312" w:hAnsi="仿宋_GB2312" w:eastAsia="仿宋_GB2312" w:cs="仿宋_GB2312"/>
          <w:color w:val="000000" w:themeColor="text1"/>
          <w:sz w:val="32"/>
          <w:szCs w:val="32"/>
          <w:lang w:val="en-US" w:eastAsia="zh-CN"/>
        </w:rPr>
        <w:t>21</w:t>
      </w:r>
      <w:r>
        <w:rPr>
          <w:rFonts w:hint="eastAsia" w:ascii="仿宋_GB2312" w:hAnsi="仿宋_GB2312" w:eastAsia="仿宋_GB2312" w:cs="仿宋_GB2312"/>
          <w:color w:val="000000" w:themeColor="text1"/>
          <w:sz w:val="32"/>
          <w:szCs w:val="32"/>
        </w:rPr>
        <w:t>次，民主党派座谈会</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次，专门委员会会议</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次，组织</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项视察调研、</w:t>
      </w:r>
      <w:r>
        <w:rPr>
          <w:rFonts w:hint="eastAsia" w:ascii="仿宋_GB2312" w:hAnsi="仿宋_GB2312" w:eastAsia="仿宋_GB2312" w:cs="仿宋_GB2312"/>
          <w:color w:val="000000" w:themeColor="text1"/>
          <w:sz w:val="32"/>
          <w:szCs w:val="32"/>
          <w:lang w:val="en-US" w:eastAsia="zh-CN"/>
        </w:rPr>
        <w:t>32</w:t>
      </w:r>
      <w:r>
        <w:rPr>
          <w:rFonts w:hint="eastAsia" w:ascii="仿宋_GB2312" w:hAnsi="仿宋_GB2312" w:eastAsia="仿宋_GB2312" w:cs="仿宋_GB2312"/>
          <w:color w:val="000000" w:themeColor="text1"/>
          <w:sz w:val="32"/>
          <w:szCs w:val="32"/>
        </w:rPr>
        <w:t>次界别委员小组活动，</w:t>
      </w:r>
      <w:r>
        <w:rPr>
          <w:rFonts w:hint="eastAsia" w:ascii="仿宋_GB2312" w:hAnsi="仿宋_GB2312" w:eastAsia="仿宋_GB2312" w:cs="仿宋_GB2312"/>
          <w:color w:val="000000" w:themeColor="text1"/>
          <w:sz w:val="32"/>
          <w:szCs w:val="32"/>
          <w:lang w:val="en-US" w:eastAsia="zh-CN"/>
        </w:rPr>
        <w:t>通过协商活动积极推动</w:t>
      </w:r>
      <w:r>
        <w:rPr>
          <w:rFonts w:hint="eastAsia" w:ascii="仿宋_GB2312" w:hAnsi="仿宋_GB2312" w:eastAsia="仿宋_GB2312" w:cs="仿宋_GB2312"/>
          <w:color w:val="000000" w:themeColor="text1"/>
          <w:sz w:val="32"/>
          <w:szCs w:val="32"/>
        </w:rPr>
        <w:t>全区重大决策的制定和重要工作。</w:t>
      </w:r>
      <w:r>
        <w:rPr>
          <w:rFonts w:hint="eastAsia" w:ascii="仿宋_GB2312" w:hAnsi="仿宋_GB2312" w:eastAsia="仿宋_GB2312" w:cs="仿宋_GB2312"/>
          <w:color w:val="000000" w:themeColor="text1"/>
          <w:sz w:val="32"/>
          <w:szCs w:val="32"/>
          <w:lang w:val="en-US" w:eastAsia="zh-CN"/>
        </w:rPr>
        <w:t>其中，</w:t>
      </w:r>
      <w:r>
        <w:rPr>
          <w:rFonts w:hint="eastAsia" w:ascii="仿宋_GB2312" w:hAnsi="仿宋_GB2312" w:eastAsia="仿宋_GB2312" w:cs="仿宋_GB2312"/>
          <w:color w:val="000000" w:themeColor="text1"/>
          <w:sz w:val="32"/>
          <w:szCs w:val="32"/>
        </w:rPr>
        <w:t>紧扣</w:t>
      </w:r>
      <w:r>
        <w:rPr>
          <w:rFonts w:hint="eastAsia" w:ascii="仿宋_GB2312" w:hAnsi="仿宋_GB2312" w:eastAsia="仿宋_GB2312" w:cs="仿宋_GB2312"/>
          <w:color w:val="000000" w:themeColor="text1"/>
          <w:sz w:val="32"/>
          <w:szCs w:val="32"/>
          <w:lang w:val="en-US" w:eastAsia="zh-CN"/>
        </w:rPr>
        <w:t>推进昭化快速发展主题，深入开展</w:t>
      </w:r>
      <w:r>
        <w:rPr>
          <w:rFonts w:hint="eastAsia" w:ascii="仿宋_GB2312" w:hAnsi="仿宋_GB2312" w:eastAsia="仿宋_GB2312" w:cs="仿宋_GB2312"/>
          <w:color w:val="000000" w:themeColor="text1"/>
          <w:sz w:val="32"/>
          <w:szCs w:val="32"/>
        </w:rPr>
        <w:t>“十四五”规划编制</w:t>
      </w:r>
      <w:r>
        <w:rPr>
          <w:rFonts w:hint="eastAsia" w:ascii="仿宋_GB2312" w:hAnsi="仿宋_GB2312" w:eastAsia="仿宋_GB2312" w:cs="仿宋_GB2312"/>
          <w:color w:val="000000" w:themeColor="text1"/>
          <w:sz w:val="32"/>
          <w:szCs w:val="32"/>
          <w:lang w:val="en-US" w:eastAsia="zh-CN"/>
        </w:rPr>
        <w:t>调研协商，切实把助推编制好“十四五”发展规划作为全年政协履职工作的最大重点，</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val="en-US" w:eastAsia="zh-CN"/>
        </w:rPr>
        <w:t>全面调查，学习、研讨，提出数十条积极建议。聚焦工作重点建言资政。</w:t>
      </w:r>
      <w:r>
        <w:rPr>
          <w:rFonts w:hint="eastAsia" w:ascii="仿宋_GB2312" w:hAnsi="仿宋_GB2312" w:eastAsia="仿宋_GB2312" w:cs="仿宋_GB2312"/>
          <w:color w:val="000000" w:themeColor="text1"/>
          <w:sz w:val="32"/>
          <w:szCs w:val="32"/>
          <w:lang w:eastAsia="zh-CN"/>
        </w:rPr>
        <w:t>聚焦主动融入成渝地区双城经济圈建设课题，深入调研，形成调研报告</w:t>
      </w:r>
      <w:r>
        <w:rPr>
          <w:rFonts w:hint="eastAsia" w:ascii="仿宋_GB2312" w:hAnsi="仿宋_GB2312" w:eastAsia="仿宋_GB2312" w:cs="仿宋_GB2312"/>
          <w:color w:val="000000" w:themeColor="text1"/>
          <w:sz w:val="32"/>
          <w:szCs w:val="32"/>
          <w:lang w:val="en-US" w:eastAsia="zh-CN"/>
        </w:rPr>
        <w:t>展现政协作为</w:t>
      </w:r>
      <w:r>
        <w:rPr>
          <w:rFonts w:hint="eastAsia" w:ascii="仿宋_GB2312" w:hAnsi="仿宋_GB2312" w:eastAsia="仿宋_GB2312" w:cs="仿宋_GB2312"/>
          <w:color w:val="000000" w:themeColor="text1"/>
          <w:sz w:val="32"/>
          <w:szCs w:val="32"/>
        </w:rPr>
        <w:t>。围绕天府旅游名县创建、文旅经济发展</w:t>
      </w:r>
      <w:r>
        <w:rPr>
          <w:rFonts w:hint="eastAsia" w:ascii="仿宋_GB2312" w:hAnsi="仿宋_GB2312" w:eastAsia="仿宋_GB2312" w:cs="仿宋_GB2312"/>
          <w:color w:val="000000" w:themeColor="text1"/>
          <w:sz w:val="32"/>
          <w:szCs w:val="32"/>
          <w:lang w:val="en-US" w:eastAsia="zh-CN"/>
        </w:rPr>
        <w:t>提交调研报告</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推动我区文化资源发掘保护、促进文旅融合发展</w:t>
      </w:r>
      <w:r>
        <w:rPr>
          <w:rFonts w:hint="eastAsia" w:ascii="仿宋_GB2312" w:hAnsi="仿宋_GB2312" w:eastAsia="仿宋_GB2312" w:cs="仿宋_GB2312"/>
          <w:color w:val="000000" w:themeColor="text1"/>
          <w:sz w:val="32"/>
          <w:szCs w:val="32"/>
        </w:rPr>
        <w:t>。围绕基层治理体系建设着力提升治理效能，助推做好乡镇行政区划调整改革“后半篇”文章</w:t>
      </w:r>
      <w:r>
        <w:rPr>
          <w:rFonts w:hint="eastAsia" w:ascii="仿宋_GB2312" w:hAnsi="仿宋_GB2312" w:eastAsia="仿宋_GB2312" w:cs="仿宋_GB2312"/>
          <w:color w:val="000000" w:themeColor="text1"/>
          <w:sz w:val="32"/>
          <w:szCs w:val="32"/>
          <w:lang w:val="en-US" w:eastAsia="zh-CN"/>
        </w:rPr>
        <w:t>提出高质量建议</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围绕新型城镇化建设和全区重点交通建设组织专题协商，形成高质量协商报告和项目发展清单。</w:t>
      </w:r>
      <w:r>
        <w:rPr>
          <w:rFonts w:hint="eastAsia" w:ascii="仿宋_GB2312" w:hAnsi="仿宋_GB2312" w:eastAsia="仿宋_GB2312" w:cs="仿宋_GB2312"/>
          <w:color w:val="000000" w:themeColor="text1"/>
          <w:sz w:val="32"/>
          <w:szCs w:val="32"/>
        </w:rPr>
        <w:t>围绕现代林业产业高质量发展</w:t>
      </w:r>
      <w:r>
        <w:rPr>
          <w:rFonts w:hint="eastAsia" w:ascii="仿宋_GB2312" w:hAnsi="仿宋_GB2312" w:eastAsia="仿宋_GB2312" w:cs="仿宋_GB2312"/>
          <w:color w:val="000000" w:themeColor="text1"/>
          <w:sz w:val="32"/>
          <w:szCs w:val="32"/>
          <w:lang w:eastAsia="zh-CN"/>
        </w:rPr>
        <w:t>，助推乡村振兴开展调研，提交</w:t>
      </w:r>
      <w:r>
        <w:rPr>
          <w:rFonts w:hint="eastAsia" w:ascii="仿宋_GB2312" w:hAnsi="仿宋_GB2312" w:eastAsia="仿宋_GB2312" w:cs="仿宋_GB2312"/>
          <w:color w:val="000000" w:themeColor="text1"/>
          <w:sz w:val="32"/>
          <w:szCs w:val="32"/>
          <w:lang w:val="en-US" w:eastAsia="zh-CN"/>
        </w:rPr>
        <w:t>《推动政策性农业保险高质量发展、助力乡村产业振兴》等2篇建议。重点对加强学前教育发展开展专题协商，形成协商报告，为我区的学前教育健康有序发展提供参谋参考。</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val="en-US" w:eastAsia="zh-CN"/>
        </w:rPr>
        <w:t>视察活动</w:t>
      </w:r>
      <w:r>
        <w:rPr>
          <w:rFonts w:hint="eastAsia" w:ascii="仿宋_GB2312" w:hAnsi="仿宋_GB2312" w:eastAsia="仿宋_GB2312" w:cs="仿宋_GB2312"/>
          <w:color w:val="000000" w:themeColor="text1"/>
          <w:sz w:val="32"/>
          <w:szCs w:val="32"/>
        </w:rPr>
        <w:t>。组织区政协委员视察广元东部新城、绿色家居产业城</w:t>
      </w:r>
      <w:r>
        <w:rPr>
          <w:rFonts w:hint="eastAsia" w:ascii="仿宋_GB2312" w:hAnsi="仿宋_GB2312" w:eastAsia="仿宋_GB2312" w:cs="仿宋_GB2312"/>
          <w:color w:val="000000" w:themeColor="text1"/>
          <w:sz w:val="32"/>
          <w:szCs w:val="32"/>
          <w:lang w:val="en-US" w:eastAsia="zh-CN"/>
        </w:rPr>
        <w:t>货运大道</w:t>
      </w:r>
      <w:r>
        <w:rPr>
          <w:rFonts w:hint="eastAsia" w:ascii="仿宋_GB2312" w:hAnsi="仿宋_GB2312" w:eastAsia="仿宋_GB2312" w:cs="仿宋_GB2312"/>
          <w:color w:val="000000" w:themeColor="text1"/>
          <w:sz w:val="32"/>
          <w:szCs w:val="32"/>
        </w:rPr>
        <w:t>，助力重大项目有力有效推进。组织委员到三江新区重点项目建设现场视察，召开座谈会</w:t>
      </w:r>
      <w:r>
        <w:rPr>
          <w:rFonts w:hint="eastAsia" w:ascii="仿宋_GB2312" w:hAnsi="仿宋_GB2312" w:eastAsia="仿宋_GB2312" w:cs="仿宋_GB2312"/>
          <w:color w:val="000000" w:themeColor="text1"/>
          <w:sz w:val="32"/>
          <w:szCs w:val="32"/>
          <w:lang w:val="en-US" w:eastAsia="zh-CN"/>
        </w:rPr>
        <w:t>围绕全区中小学健康教育和学校公共卫生管理，深入明觉、红岩、昭化等学校视察和座谈。开展财税视察助力财政规范运行，</w:t>
      </w:r>
      <w:r>
        <w:rPr>
          <w:rFonts w:hint="eastAsia" w:ascii="仿宋_GB2312" w:hAnsi="仿宋_GB2312" w:eastAsia="仿宋_GB2312" w:cs="仿宋_GB2312"/>
          <w:color w:val="000000" w:themeColor="text1"/>
          <w:sz w:val="32"/>
          <w:szCs w:val="32"/>
          <w:lang w:eastAsia="zh-CN"/>
        </w:rPr>
        <w:t>围绕助推</w:t>
      </w:r>
      <w:r>
        <w:rPr>
          <w:rFonts w:hint="eastAsia" w:ascii="仿宋_GB2312" w:hAnsi="仿宋_GB2312" w:eastAsia="仿宋_GB2312" w:cs="仿宋_GB2312"/>
          <w:color w:val="000000" w:themeColor="text1"/>
          <w:sz w:val="32"/>
          <w:szCs w:val="32"/>
        </w:rPr>
        <w:t>公正司法组织委员参加了区法院</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检察院 “晋贤香菇骗贷案”听证会、“法律进农村”</w:t>
      </w:r>
      <w:r>
        <w:rPr>
          <w:rFonts w:hint="eastAsia" w:ascii="仿宋_GB2312" w:hAnsi="仿宋_GB2312" w:eastAsia="仿宋_GB2312" w:cs="仿宋_GB2312"/>
          <w:color w:val="000000" w:themeColor="text1"/>
          <w:sz w:val="32"/>
          <w:szCs w:val="32"/>
          <w:lang w:eastAsia="zh-CN"/>
        </w:rPr>
        <w:t>活动</w:t>
      </w:r>
      <w:r>
        <w:rPr>
          <w:rFonts w:hint="eastAsia" w:ascii="仿宋_GB2312" w:hAnsi="仿宋_GB2312" w:eastAsia="仿宋_GB2312" w:cs="仿宋_GB2312"/>
          <w:color w:val="000000" w:themeColor="text1"/>
          <w:sz w:val="32"/>
          <w:szCs w:val="32"/>
        </w:rPr>
        <w:t>，参加区人民检察院开放日活动，旁听区人民法院案件庭审，以民主监督推进</w:t>
      </w:r>
      <w:r>
        <w:rPr>
          <w:rFonts w:hint="eastAsia" w:ascii="仿宋_GB2312" w:hAnsi="仿宋_GB2312" w:eastAsia="仿宋_GB2312" w:cs="仿宋_GB2312"/>
          <w:color w:val="000000" w:themeColor="text1"/>
          <w:sz w:val="32"/>
          <w:szCs w:val="32"/>
          <w:lang w:val="en-US" w:eastAsia="zh-CN"/>
        </w:rPr>
        <w:t>依法履职和</w:t>
      </w:r>
      <w:r>
        <w:rPr>
          <w:rFonts w:hint="eastAsia" w:ascii="仿宋_GB2312" w:hAnsi="仿宋_GB2312" w:eastAsia="仿宋_GB2312" w:cs="仿宋_GB2312"/>
          <w:color w:val="000000" w:themeColor="text1"/>
          <w:sz w:val="32"/>
          <w:szCs w:val="32"/>
        </w:rPr>
        <w:t>司法公正。</w:t>
      </w:r>
      <w:r>
        <w:rPr>
          <w:rFonts w:hint="eastAsia" w:ascii="仿宋_GB2312" w:hAnsi="仿宋_GB2312" w:eastAsia="仿宋_GB2312" w:cs="仿宋_GB2312"/>
          <w:color w:val="000000" w:themeColor="text1"/>
          <w:sz w:val="32"/>
          <w:szCs w:val="32"/>
          <w:lang w:val="en-US" w:eastAsia="zh-CN"/>
        </w:rPr>
        <w:t>切实提升</w:t>
      </w:r>
      <w:r>
        <w:rPr>
          <w:rFonts w:hint="eastAsia" w:ascii="仿宋_GB2312" w:hAnsi="仿宋_GB2312" w:eastAsia="仿宋_GB2312" w:cs="仿宋_GB2312"/>
          <w:color w:val="000000" w:themeColor="text1"/>
          <w:sz w:val="32"/>
          <w:szCs w:val="32"/>
        </w:rPr>
        <w:t>提案</w:t>
      </w:r>
      <w:r>
        <w:rPr>
          <w:rFonts w:hint="eastAsia" w:ascii="仿宋_GB2312" w:hAnsi="仿宋_GB2312" w:eastAsia="仿宋_GB2312" w:cs="仿宋_GB2312"/>
          <w:color w:val="000000" w:themeColor="text1"/>
          <w:sz w:val="32"/>
          <w:szCs w:val="32"/>
          <w:lang w:val="en-US" w:eastAsia="zh-CN"/>
        </w:rPr>
        <w:t>质量</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六</w:t>
      </w:r>
      <w:r>
        <w:rPr>
          <w:rFonts w:hint="eastAsia" w:ascii="仿宋_GB2312" w:hAnsi="仿宋_GB2312" w:eastAsia="仿宋_GB2312" w:cs="仿宋_GB2312"/>
          <w:color w:val="000000" w:themeColor="text1"/>
          <w:sz w:val="32"/>
          <w:szCs w:val="32"/>
        </w:rPr>
        <w:t>届</w:t>
      </w:r>
      <w:r>
        <w:rPr>
          <w:rFonts w:hint="eastAsia" w:ascii="仿宋_GB2312" w:hAnsi="仿宋_GB2312" w:eastAsia="仿宋_GB2312" w:cs="仿宋_GB2312"/>
          <w:color w:val="000000" w:themeColor="text1"/>
          <w:sz w:val="32"/>
          <w:szCs w:val="32"/>
          <w:lang w:val="en-US" w:eastAsia="zh-CN"/>
        </w:rPr>
        <w:t>五次</w:t>
      </w:r>
      <w:r>
        <w:rPr>
          <w:rFonts w:hint="eastAsia" w:ascii="仿宋_GB2312" w:hAnsi="仿宋_GB2312" w:eastAsia="仿宋_GB2312" w:cs="仿宋_GB2312"/>
          <w:color w:val="000000" w:themeColor="text1"/>
          <w:sz w:val="32"/>
          <w:szCs w:val="32"/>
        </w:rPr>
        <w:t>会议以来，共征集提案105件，审查立案、交办96件。</w:t>
      </w:r>
      <w:r>
        <w:rPr>
          <w:rFonts w:hint="eastAsia" w:ascii="仿宋_GB2312" w:hAnsi="仿宋_GB2312" w:eastAsia="仿宋_GB2312" w:cs="仿宋_GB2312"/>
          <w:color w:val="000000" w:themeColor="text1"/>
          <w:sz w:val="32"/>
          <w:szCs w:val="32"/>
          <w:lang w:val="en-US" w:eastAsia="zh-CN"/>
        </w:rPr>
        <w:t>通过</w:t>
      </w:r>
      <w:r>
        <w:rPr>
          <w:rFonts w:hint="eastAsia" w:ascii="仿宋_GB2312" w:hAnsi="仿宋_GB2312" w:eastAsia="仿宋_GB2312" w:cs="仿宋_GB2312"/>
          <w:color w:val="000000" w:themeColor="text1"/>
          <w:sz w:val="32"/>
          <w:szCs w:val="32"/>
        </w:rPr>
        <w:t>加强对提案办理的协商督导，遴选推荐重点督办提案5件，围绕重点提案，主席会议成员分别牵头组织视察调研，召开协商座谈会，所有提案全部按时办复，提案办理质效得到充分保证。</w:t>
      </w:r>
      <w:r>
        <w:rPr>
          <w:rFonts w:hint="eastAsia" w:ascii="仿宋_GB2312" w:hAnsi="仿宋_GB2312" w:eastAsia="仿宋_GB2312" w:cs="仿宋_GB2312"/>
          <w:color w:val="000000" w:themeColor="text1"/>
          <w:sz w:val="32"/>
          <w:szCs w:val="32"/>
          <w:lang w:val="en-US" w:eastAsia="zh-CN"/>
        </w:rPr>
        <w:t>及时反映社情民意。把反映社情民意信息作为政协履职的经常性、基础性工作，强化社情民意信息舆情汇集和民意表达功能，畅通反映渠道，加大采编力度。广大委员深入调研、走访基层，积极为民发声，全年共征集社情民意35条，涉及医疗卫生、便民服务、传统文化保护、公共交通等民生领域，其中，《</w:t>
      </w:r>
      <w:r>
        <w:rPr>
          <w:rFonts w:hint="eastAsia" w:ascii="仿宋_GB2312" w:hAnsi="仿宋_GB2312" w:eastAsia="仿宋_GB2312" w:cs="仿宋_GB2312"/>
          <w:color w:val="000000" w:themeColor="text1"/>
          <w:sz w:val="32"/>
          <w:szCs w:val="32"/>
          <w:lang w:eastAsia="zh-CN"/>
        </w:rPr>
        <w:t>“抗疫”新阶段  家禽养殖亟盼产销秩序恢复</w:t>
      </w:r>
      <w:r>
        <w:rPr>
          <w:rFonts w:hint="eastAsia" w:ascii="仿宋_GB2312" w:hAnsi="仿宋_GB2312" w:eastAsia="仿宋_GB2312" w:cs="仿宋_GB2312"/>
          <w:color w:val="000000" w:themeColor="text1"/>
          <w:sz w:val="32"/>
          <w:szCs w:val="32"/>
          <w:lang w:val="en-US" w:eastAsia="zh-CN"/>
        </w:rPr>
        <w:t>》得到市委、市政府领导的签批。</w:t>
      </w:r>
    </w:p>
    <w:p w14:paraId="0658B5B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3.汇聚团结奋斗正能量更加高效。</w:t>
      </w:r>
      <w:r>
        <w:rPr>
          <w:rFonts w:hint="eastAsia" w:ascii="仿宋_GB2312" w:hAnsi="仿宋_GB2312" w:eastAsia="仿宋_GB2312" w:cs="仿宋_GB2312"/>
          <w:color w:val="000000" w:themeColor="text1"/>
          <w:sz w:val="32"/>
          <w:szCs w:val="32"/>
        </w:rPr>
        <w:t>促进知情明政，凝聚社会共识</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创新搭建知情明政平台，组织委员及时学习中央、省委、市委和区委的重要文件，传达会议精神，适时举行座谈会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邀请区、区政府领导通报情况，</w:t>
      </w:r>
      <w:r>
        <w:rPr>
          <w:rFonts w:hint="eastAsia" w:ascii="仿宋_GB2312" w:hAnsi="仿宋_GB2312" w:eastAsia="仿宋_GB2312" w:cs="仿宋_GB2312"/>
          <w:color w:val="000000" w:themeColor="text1"/>
          <w:sz w:val="32"/>
          <w:szCs w:val="32"/>
        </w:rPr>
        <w:t>听取区人民政府、区纪委监委、区人民法院、区人民检察院和发改、</w:t>
      </w:r>
      <w:r>
        <w:rPr>
          <w:rFonts w:hint="eastAsia" w:ascii="仿宋_GB2312" w:hAnsi="仿宋_GB2312" w:eastAsia="仿宋_GB2312" w:cs="仿宋_GB2312"/>
          <w:color w:val="000000" w:themeColor="text1"/>
          <w:sz w:val="32"/>
          <w:szCs w:val="32"/>
          <w:lang w:eastAsia="zh-CN"/>
        </w:rPr>
        <w:t>财</w:t>
      </w:r>
      <w:r>
        <w:rPr>
          <w:rFonts w:hint="eastAsia" w:ascii="仿宋_GB2312" w:hAnsi="仿宋_GB2312" w:eastAsia="仿宋_GB2312" w:cs="仿宋_GB2312"/>
          <w:color w:val="000000" w:themeColor="text1"/>
          <w:sz w:val="32"/>
          <w:szCs w:val="32"/>
        </w:rPr>
        <w:t>政等区级部门工作通报</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增强了委员知情明政度，为区委、区政府一系列重大决策部署落实落地找到最大公约数、画出最大同心圆。</w:t>
      </w:r>
      <w:r>
        <w:rPr>
          <w:rFonts w:hint="eastAsia" w:ascii="仿宋_GB2312" w:hAnsi="仿宋_GB2312" w:eastAsia="仿宋_GB2312" w:cs="仿宋_GB2312"/>
          <w:color w:val="000000" w:themeColor="text1"/>
          <w:sz w:val="32"/>
          <w:szCs w:val="32"/>
          <w:lang w:val="en-US" w:eastAsia="zh-CN"/>
        </w:rPr>
        <w:t>发挥政协联谊广泛优势，</w:t>
      </w:r>
      <w:r>
        <w:rPr>
          <w:rFonts w:hint="eastAsia" w:ascii="仿宋_GB2312" w:hAnsi="仿宋_GB2312" w:eastAsia="仿宋_GB2312" w:cs="仿宋_GB2312"/>
          <w:color w:val="000000" w:themeColor="text1"/>
          <w:sz w:val="32"/>
          <w:szCs w:val="32"/>
          <w:lang w:eastAsia="zh-CN"/>
        </w:rPr>
        <w:t>积极开展对外</w:t>
      </w:r>
      <w:r>
        <w:rPr>
          <w:rFonts w:hint="eastAsia" w:ascii="仿宋_GB2312" w:hAnsi="仿宋_GB2312" w:eastAsia="仿宋_GB2312" w:cs="仿宋_GB2312"/>
          <w:color w:val="000000" w:themeColor="text1"/>
          <w:sz w:val="32"/>
          <w:szCs w:val="32"/>
          <w:lang w:val="en-US" w:eastAsia="zh-CN"/>
        </w:rPr>
        <w:t>交流。</w:t>
      </w:r>
      <w:r>
        <w:rPr>
          <w:rFonts w:hint="eastAsia" w:ascii="仿宋_GB2312" w:hAnsi="仿宋_GB2312" w:eastAsia="仿宋_GB2312" w:cs="仿宋_GB2312"/>
          <w:color w:val="000000" w:themeColor="text1"/>
          <w:sz w:val="32"/>
          <w:szCs w:val="32"/>
          <w:lang w:eastAsia="zh-CN"/>
        </w:rPr>
        <w:t>加强与浙江龙泉市、甘肃兰州市、成都市、泸州市、德阳市、遂宁市等地联谊交流，</w:t>
      </w:r>
      <w:r>
        <w:rPr>
          <w:rFonts w:hint="eastAsia" w:ascii="仿宋_GB2312" w:hAnsi="仿宋_GB2312" w:eastAsia="仿宋_GB2312" w:cs="仿宋_GB2312"/>
          <w:color w:val="000000" w:themeColor="text1"/>
          <w:sz w:val="32"/>
          <w:szCs w:val="32"/>
          <w:lang w:val="en-US" w:eastAsia="zh-CN"/>
        </w:rPr>
        <w:t>认真做好省内外政协到昭化区调研视察、检查指导，</w:t>
      </w:r>
      <w:r>
        <w:rPr>
          <w:rFonts w:hint="eastAsia" w:ascii="仿宋_GB2312" w:hAnsi="仿宋_GB2312" w:eastAsia="仿宋_GB2312" w:cs="仿宋_GB2312"/>
          <w:color w:val="000000" w:themeColor="text1"/>
          <w:sz w:val="32"/>
          <w:szCs w:val="32"/>
          <w:lang w:eastAsia="zh-CN"/>
        </w:rPr>
        <w:t>对外宣传昭化优势，助力中国西部（广元）绿色家居产业城建设。</w:t>
      </w:r>
      <w:r>
        <w:rPr>
          <w:rFonts w:hint="eastAsia" w:ascii="仿宋_GB2312" w:hAnsi="仿宋_GB2312" w:eastAsia="仿宋_GB2312" w:cs="仿宋_GB2312"/>
          <w:color w:val="000000" w:themeColor="text1"/>
          <w:sz w:val="32"/>
          <w:szCs w:val="32"/>
          <w:lang w:val="en-US" w:eastAsia="zh-CN"/>
        </w:rPr>
        <w:t>通过“走出去”宣传全区改革发展取得的成就，展示昭化形象，</w:t>
      </w:r>
      <w:r>
        <w:rPr>
          <w:rFonts w:hint="eastAsia" w:ascii="仿宋_GB2312" w:hAnsi="仿宋_GB2312" w:eastAsia="仿宋_GB2312" w:cs="仿宋_GB2312"/>
          <w:color w:val="000000" w:themeColor="text1"/>
          <w:sz w:val="32"/>
          <w:szCs w:val="32"/>
          <w:lang w:eastAsia="zh-CN"/>
        </w:rPr>
        <w:t>增强政协组织凝聚力，</w:t>
      </w:r>
      <w:r>
        <w:rPr>
          <w:rFonts w:hint="eastAsia" w:ascii="仿宋_GB2312" w:hAnsi="仿宋_GB2312" w:eastAsia="仿宋_GB2312" w:cs="仿宋_GB2312"/>
          <w:color w:val="000000" w:themeColor="text1"/>
          <w:sz w:val="32"/>
          <w:szCs w:val="32"/>
          <w:lang w:val="en-US" w:eastAsia="zh-CN"/>
        </w:rPr>
        <w:t>组织政协委员、政协干部赴外开展学习考察和联谊活动14次，提高昭化区知名度，促进政协工作。</w:t>
      </w:r>
      <w:r>
        <w:rPr>
          <w:rFonts w:hint="eastAsia" w:ascii="仿宋_GB2312" w:hAnsi="仿宋_GB2312" w:eastAsia="仿宋_GB2312" w:cs="仿宋_GB2312"/>
          <w:color w:val="000000" w:themeColor="text1"/>
          <w:sz w:val="32"/>
          <w:szCs w:val="32"/>
        </w:rPr>
        <w:t>重视存史资政，</w:t>
      </w:r>
      <w:r>
        <w:rPr>
          <w:rFonts w:hint="eastAsia" w:ascii="仿宋_GB2312" w:hAnsi="仿宋_GB2312" w:eastAsia="仿宋_GB2312" w:cs="仿宋_GB2312"/>
          <w:color w:val="000000" w:themeColor="text1"/>
          <w:sz w:val="32"/>
          <w:szCs w:val="32"/>
          <w:lang w:val="en-US" w:eastAsia="zh-CN"/>
        </w:rPr>
        <w:t>增强文化软实力</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重视和支持政协文史资料的征集、编修，</w:t>
      </w:r>
      <w:r>
        <w:rPr>
          <w:rFonts w:hint="eastAsia" w:ascii="仿宋_GB2312" w:hAnsi="仿宋_GB2312" w:eastAsia="仿宋_GB2312" w:cs="仿宋_GB2312"/>
          <w:color w:val="000000" w:themeColor="text1"/>
          <w:sz w:val="32"/>
          <w:szCs w:val="32"/>
        </w:rPr>
        <w:t>持续征集以我区“十古”为主题的文史资料</w:t>
      </w:r>
      <w:r>
        <w:rPr>
          <w:rFonts w:hint="eastAsia" w:ascii="仿宋_GB2312" w:hAnsi="仿宋_GB2312" w:eastAsia="仿宋_GB2312" w:cs="仿宋_GB2312"/>
          <w:color w:val="000000" w:themeColor="text1"/>
          <w:sz w:val="32"/>
          <w:szCs w:val="32"/>
          <w:lang w:eastAsia="zh-CN"/>
        </w:rPr>
        <w:t>，新编纂</w:t>
      </w:r>
      <w:r>
        <w:rPr>
          <w:rFonts w:hint="eastAsia" w:ascii="仿宋_GB2312" w:hAnsi="仿宋_GB2312" w:eastAsia="仿宋_GB2312" w:cs="仿宋_GB2312"/>
          <w:color w:val="000000" w:themeColor="text1"/>
          <w:sz w:val="32"/>
          <w:szCs w:val="32"/>
          <w:lang w:val="en-US" w:eastAsia="zh-CN"/>
        </w:rPr>
        <w:t>形成了30余万字的昭化文史资料初稿</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涵括</w:t>
      </w:r>
      <w:r>
        <w:rPr>
          <w:rFonts w:hint="eastAsia" w:ascii="仿宋_GB2312" w:hAnsi="仿宋_GB2312" w:eastAsia="仿宋_GB2312" w:cs="仿宋_GB2312"/>
          <w:color w:val="000000" w:themeColor="text1"/>
          <w:sz w:val="32"/>
          <w:szCs w:val="32"/>
        </w:rPr>
        <w:t>脱贫攻坚典型事迹、脱贫百佳示范户、区返乡创业典型资料、亭子湖水利工程搬迁等范畴的“三亲”资料等296篇（幅）</w:t>
      </w:r>
      <w:r>
        <w:rPr>
          <w:rFonts w:hint="eastAsia" w:ascii="仿宋_GB2312" w:hAnsi="仿宋_GB2312" w:eastAsia="仿宋_GB2312" w:cs="仿宋_GB2312"/>
          <w:color w:val="000000" w:themeColor="text1"/>
          <w:sz w:val="32"/>
          <w:szCs w:val="32"/>
          <w:lang w:eastAsia="zh-CN"/>
        </w:rPr>
        <w:t>，充分发挥政协文史资料“存史、资政、团结、育人”的社会功能，为推进文化强区建设、增强昭化区文化软实力献计出力</w:t>
      </w:r>
      <w:r>
        <w:rPr>
          <w:rFonts w:hint="eastAsia" w:ascii="仿宋_GB2312" w:hAnsi="仿宋_GB2312" w:eastAsia="仿宋_GB2312" w:cs="仿宋_GB2312"/>
          <w:color w:val="000000" w:themeColor="text1"/>
          <w:sz w:val="32"/>
          <w:szCs w:val="32"/>
          <w:lang w:val="en-US" w:eastAsia="zh-CN"/>
        </w:rPr>
        <w:t>。</w:t>
      </w:r>
    </w:p>
    <w:p w14:paraId="641EB7E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4.积极参与各项中心工作。</w:t>
      </w:r>
      <w:r>
        <w:rPr>
          <w:rFonts w:hint="eastAsia" w:ascii="仿宋_GB2312" w:hAnsi="仿宋_GB2312" w:eastAsia="仿宋_GB2312" w:cs="仿宋_GB2312"/>
          <w:color w:val="000000" w:themeColor="text1"/>
          <w:sz w:val="32"/>
          <w:szCs w:val="32"/>
          <w:lang w:val="en-US" w:eastAsia="zh-CN"/>
        </w:rPr>
        <w:t>担当作为助力疫情防控。</w:t>
      </w:r>
      <w:r>
        <w:rPr>
          <w:rFonts w:hint="eastAsia" w:ascii="仿宋_GB2312" w:hAnsi="仿宋_GB2312" w:eastAsia="仿宋_GB2312" w:cs="仿宋_GB2312"/>
          <w:color w:val="000000" w:themeColor="text1"/>
          <w:sz w:val="32"/>
          <w:szCs w:val="32"/>
        </w:rPr>
        <w:t>聚焦常态化疫情防控和经济社会发展双重任务，协力做好“六稳”工作、落实“六保”任务</w:t>
      </w:r>
      <w:r>
        <w:rPr>
          <w:rFonts w:hint="eastAsia" w:ascii="仿宋_GB2312" w:hAnsi="仿宋_GB2312" w:eastAsia="仿宋_GB2312" w:cs="仿宋_GB2312"/>
          <w:color w:val="000000" w:themeColor="text1"/>
          <w:sz w:val="32"/>
          <w:szCs w:val="32"/>
          <w:lang w:val="en-US" w:eastAsia="zh-CN"/>
        </w:rPr>
        <w:t>。围绕加强疫情防控、养殖业流通、复苏旅游市场广泛调研，形成《关于做好“抗疫”新阶段家禽养殖产销秩序恢复的建议》、《关于加紧缓解疫情期间我区部分中小微企业“融资难融资贵”问题的建议》，相关建议得到区政府主要领导签批，为有效应对疫情影响提供参考，助力企业复工复产、农民稳固增收。政协班子成员联系镇、政协机关联系村，全方位落实好各级疫情防控和发展目标任务。</w:t>
      </w:r>
      <w:r>
        <w:rPr>
          <w:rFonts w:hint="eastAsia" w:ascii="仿宋_GB2312" w:hAnsi="仿宋_GB2312" w:eastAsia="仿宋_GB2312" w:cs="仿宋_GB2312"/>
          <w:color w:val="000000" w:themeColor="text1"/>
          <w:sz w:val="32"/>
          <w:szCs w:val="32"/>
        </w:rPr>
        <w:t>脱贫攻坚干在实处。持续深化政协委员“我为扶贫攻坚做件事”活动，优化完善“三抓三联”机制，组织带领政协参加单位和广大委员积极投身决战决胜脱贫攻坚主战场，</w:t>
      </w:r>
      <w:r>
        <w:rPr>
          <w:rFonts w:hint="eastAsia" w:ascii="仿宋_GB2312" w:hAnsi="仿宋_GB2312" w:eastAsia="仿宋_GB2312" w:cs="仿宋_GB2312"/>
          <w:color w:val="000000" w:themeColor="text1"/>
          <w:sz w:val="32"/>
          <w:szCs w:val="32"/>
          <w:lang w:val="en-US" w:eastAsia="zh-CN"/>
        </w:rPr>
        <w:t>持续开展“我为扶贫攻坚做件事”活动，发挥好“桥梁”作用，有效凝聚各方力量。</w:t>
      </w:r>
      <w:r>
        <w:rPr>
          <w:rFonts w:hint="eastAsia" w:ascii="仿宋_GB2312" w:hAnsi="仿宋_GB2312" w:eastAsia="仿宋_GB2312" w:cs="仿宋_GB2312"/>
          <w:color w:val="000000" w:themeColor="text1"/>
          <w:sz w:val="32"/>
          <w:szCs w:val="32"/>
        </w:rPr>
        <w:t>政协班子成员严格落实区委脱贫攻坚部署，组织带领帮扶部门和镇村干部，统筹做好所联系乡镇工作。</w:t>
      </w:r>
      <w:r>
        <w:rPr>
          <w:rFonts w:hint="eastAsia" w:ascii="仿宋_GB2312" w:hAnsi="仿宋_GB2312" w:eastAsia="仿宋_GB2312" w:cs="仿宋_GB2312"/>
          <w:color w:val="000000" w:themeColor="text1"/>
          <w:sz w:val="32"/>
          <w:szCs w:val="32"/>
          <w:lang w:val="en-US" w:eastAsia="zh-CN"/>
        </w:rPr>
        <w:t>组织政协参加单位和广大委员积极投身决战决胜脱贫攻坚主战场，政协机关购买爱心扶贫产品16万余元，政协委员为脱贫攻坚做好事实事1365件，捐款捐物40万元。主动参与其他中心工作。定期研究区委政府安排的重点工作履职情况，扎实推进工作开展，班子成员成员分赴联系乡镇开展村（社区）两委换届指导工作；协助全区人才招引工作取得良好成效。深化交流合作，推动东西部扶贫协作；走访联系重点企业，帮助解决生产发展过程中的困难问题；积极做好河长制、森林防灭火、安全生产等重要工作；把维护和谐稳定作为重要职责，按要求参加区委、区政府群众信访接待工作，做好协调关系、化解矛盾等工作。</w:t>
      </w:r>
    </w:p>
    <w:p w14:paraId="15EB50D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5.加强自身建设，战斗堡垒作用更加突显。</w:t>
      </w:r>
      <w:r>
        <w:rPr>
          <w:rFonts w:hint="eastAsia" w:ascii="仿宋_GB2312" w:hAnsi="仿宋_GB2312" w:eastAsia="仿宋_GB2312" w:cs="仿宋_GB2312"/>
          <w:color w:val="000000" w:themeColor="text1"/>
          <w:sz w:val="32"/>
          <w:szCs w:val="32"/>
          <w:lang w:val="en-US" w:eastAsia="zh-CN"/>
        </w:rPr>
        <w:t>强化党的组织建设。全面落实</w:t>
      </w:r>
      <w:r>
        <w:rPr>
          <w:rFonts w:hint="eastAsia" w:ascii="仿宋_GB2312" w:hAnsi="仿宋_GB2312" w:eastAsia="仿宋_GB2312" w:cs="仿宋_GB2312"/>
          <w:color w:val="000000" w:themeColor="text1"/>
          <w:sz w:val="32"/>
          <w:szCs w:val="32"/>
        </w:rPr>
        <w:t>全区政协系统党的建设工作座谈会</w:t>
      </w:r>
      <w:r>
        <w:rPr>
          <w:rFonts w:hint="eastAsia" w:ascii="仿宋_GB2312" w:hAnsi="仿宋_GB2312" w:eastAsia="仿宋_GB2312" w:cs="仿宋_GB2312"/>
          <w:color w:val="000000" w:themeColor="text1"/>
          <w:sz w:val="32"/>
          <w:szCs w:val="32"/>
          <w:lang w:eastAsia="zh-CN"/>
        </w:rPr>
        <w:t>议精神</w:t>
      </w:r>
      <w:r>
        <w:rPr>
          <w:rFonts w:hint="eastAsia" w:ascii="仿宋_GB2312" w:hAnsi="仿宋_GB2312" w:eastAsia="仿宋_GB2312" w:cs="仿宋_GB2312"/>
          <w:color w:val="000000" w:themeColor="text1"/>
          <w:sz w:val="32"/>
          <w:szCs w:val="32"/>
        </w:rPr>
        <w:t>。认真贯彻执行《区政协党组成员联系党员政协委员、党员政协委员联系非中共党员政协委员制度》《临时党组织制度》等，</w:t>
      </w:r>
      <w:r>
        <w:rPr>
          <w:rFonts w:hint="eastAsia" w:ascii="仿宋_GB2312" w:hAnsi="仿宋_GB2312" w:eastAsia="仿宋_GB2312" w:cs="仿宋_GB2312"/>
          <w:color w:val="000000" w:themeColor="text1"/>
          <w:sz w:val="32"/>
          <w:szCs w:val="32"/>
          <w:lang w:eastAsia="zh-CN"/>
        </w:rPr>
        <w:t>在六届五次全会、委员外出考察培训等活动中均建立临时党组织</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坚决执行民主集中制，召开</w:t>
      </w:r>
      <w:r>
        <w:rPr>
          <w:rFonts w:hint="eastAsia" w:ascii="仿宋_GB2312" w:hAnsi="仿宋_GB2312" w:eastAsia="仿宋_GB2312" w:cs="仿宋_GB2312"/>
          <w:color w:val="000000" w:themeColor="text1"/>
          <w:sz w:val="32"/>
          <w:szCs w:val="32"/>
          <w:lang w:val="en-US" w:eastAsia="zh-CN"/>
        </w:rPr>
        <w:t>10次</w:t>
      </w:r>
      <w:r>
        <w:rPr>
          <w:rFonts w:hint="eastAsia" w:ascii="仿宋_GB2312" w:hAnsi="仿宋_GB2312" w:eastAsia="仿宋_GB2312" w:cs="仿宋_GB2312"/>
          <w:color w:val="000000" w:themeColor="text1"/>
          <w:sz w:val="32"/>
          <w:szCs w:val="32"/>
          <w:lang w:eastAsia="zh-CN"/>
        </w:rPr>
        <w:t>党组会议对政协“三重一大”事项进行研究落实。</w:t>
      </w:r>
      <w:r>
        <w:rPr>
          <w:rFonts w:hint="eastAsia" w:ascii="仿宋_GB2312" w:hAnsi="仿宋_GB2312" w:eastAsia="仿宋_GB2312" w:cs="仿宋_GB2312"/>
          <w:color w:val="000000" w:themeColor="text1"/>
          <w:sz w:val="32"/>
          <w:szCs w:val="32"/>
          <w:lang w:val="en-US" w:eastAsia="zh-CN"/>
        </w:rPr>
        <w:t>党风廉政建设和反腐败工作更加深入。</w:t>
      </w:r>
      <w:r>
        <w:rPr>
          <w:rFonts w:hint="eastAsia" w:ascii="仿宋_GB2312" w:hAnsi="仿宋_GB2312" w:eastAsia="仿宋_GB2312" w:cs="仿宋_GB2312"/>
          <w:color w:val="000000" w:themeColor="text1"/>
          <w:sz w:val="32"/>
          <w:szCs w:val="32"/>
        </w:rPr>
        <w:t>严格落实党风廉政建设主体责任</w:t>
      </w:r>
      <w:r>
        <w:rPr>
          <w:rFonts w:hint="eastAsia" w:ascii="仿宋_GB2312" w:hAnsi="仿宋_GB2312" w:eastAsia="仿宋_GB2312" w:cs="仿宋_GB2312"/>
          <w:color w:val="000000" w:themeColor="text1"/>
          <w:sz w:val="32"/>
          <w:szCs w:val="32"/>
          <w:lang w:eastAsia="zh-CN"/>
        </w:rPr>
        <w:t>，印</w:t>
      </w:r>
      <w:r>
        <w:rPr>
          <w:rFonts w:hint="eastAsia" w:ascii="仿宋_GB2312" w:hAnsi="仿宋_GB2312" w:eastAsia="仿宋_GB2312" w:cs="仿宋_GB2312"/>
          <w:color w:val="000000" w:themeColor="text1"/>
          <w:sz w:val="32"/>
          <w:szCs w:val="32"/>
        </w:rPr>
        <w:t>发了《20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年区政协党风廉政建设</w:t>
      </w:r>
      <w:r>
        <w:rPr>
          <w:rFonts w:hint="eastAsia" w:ascii="仿宋_GB2312" w:hAnsi="仿宋_GB2312" w:eastAsia="仿宋_GB2312" w:cs="仿宋_GB2312"/>
          <w:color w:val="000000" w:themeColor="text1"/>
          <w:sz w:val="32"/>
          <w:szCs w:val="32"/>
          <w:lang w:eastAsia="zh-CN"/>
        </w:rPr>
        <w:t>和反腐败</w:t>
      </w:r>
      <w:r>
        <w:rPr>
          <w:rFonts w:hint="eastAsia" w:ascii="仿宋_GB2312" w:hAnsi="仿宋_GB2312" w:eastAsia="仿宋_GB2312" w:cs="仿宋_GB2312"/>
          <w:color w:val="000000" w:themeColor="text1"/>
          <w:sz w:val="32"/>
          <w:szCs w:val="32"/>
        </w:rPr>
        <w:t>工作要点》。进一步明确了政协党组领导班子分工，压实压紧党风廉政建设责任。</w:t>
      </w:r>
      <w:r>
        <w:rPr>
          <w:rFonts w:hint="eastAsia" w:ascii="仿宋_GB2312" w:hAnsi="仿宋_GB2312" w:eastAsia="仿宋_GB2312" w:cs="仿宋_GB2312"/>
          <w:color w:val="000000" w:themeColor="text1"/>
          <w:sz w:val="32"/>
          <w:szCs w:val="32"/>
          <w:lang w:eastAsia="zh-CN"/>
        </w:rPr>
        <w:t>严格</w:t>
      </w:r>
      <w:r>
        <w:rPr>
          <w:rFonts w:hint="eastAsia" w:ascii="仿宋_GB2312" w:hAnsi="仿宋_GB2312" w:eastAsia="仿宋_GB2312" w:cs="仿宋_GB2312"/>
          <w:color w:val="000000" w:themeColor="text1"/>
          <w:sz w:val="32"/>
          <w:szCs w:val="32"/>
        </w:rPr>
        <w:t>贯彻执行中央八项规定和省</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市</w:t>
      </w:r>
      <w:r>
        <w:rPr>
          <w:rFonts w:hint="eastAsia" w:ascii="仿宋_GB2312" w:hAnsi="仿宋_GB2312" w:eastAsia="仿宋_GB2312" w:cs="仿宋_GB2312"/>
          <w:color w:val="000000" w:themeColor="text1"/>
          <w:sz w:val="32"/>
          <w:szCs w:val="32"/>
          <w:lang w:eastAsia="zh-CN"/>
        </w:rPr>
        <w:t>、区委</w:t>
      </w:r>
      <w:r>
        <w:rPr>
          <w:rFonts w:hint="eastAsia" w:ascii="仿宋_GB2312" w:hAnsi="仿宋_GB2312" w:eastAsia="仿宋_GB2312" w:cs="仿宋_GB2312"/>
          <w:color w:val="000000" w:themeColor="text1"/>
          <w:sz w:val="32"/>
          <w:szCs w:val="32"/>
        </w:rPr>
        <w:t>相关规定</w:t>
      </w:r>
      <w:r>
        <w:rPr>
          <w:rFonts w:hint="eastAsia" w:ascii="仿宋_GB2312" w:hAnsi="仿宋_GB2312" w:eastAsia="仿宋_GB2312" w:cs="仿宋_GB2312"/>
          <w:color w:val="000000" w:themeColor="text1"/>
          <w:sz w:val="32"/>
          <w:szCs w:val="32"/>
          <w:lang w:val="en-US" w:eastAsia="zh-CN"/>
        </w:rPr>
        <w:t>。切实开展巡视巡查整改，制定政协系统全面从严治党“三张清单”，全面从严治党治理格局进一步强化，权力运行更加规范。</w:t>
      </w:r>
      <w:r>
        <w:rPr>
          <w:rFonts w:hint="eastAsia" w:ascii="仿宋_GB2312" w:hAnsi="仿宋_GB2312" w:eastAsia="仿宋_GB2312" w:cs="仿宋_GB2312"/>
          <w:color w:val="000000" w:themeColor="text1"/>
          <w:sz w:val="32"/>
          <w:szCs w:val="32"/>
        </w:rPr>
        <w:t>学习传达中央纪委全会和省、市、区纪委全会精神。传达通报各级纪委监委查处的违法违纪反面典型案例，组织政协机关全体职工参观</w:t>
      </w:r>
      <w:r>
        <w:rPr>
          <w:rFonts w:hint="eastAsia" w:ascii="仿宋_GB2312" w:hAnsi="仿宋_GB2312" w:eastAsia="仿宋_GB2312" w:cs="仿宋_GB2312"/>
          <w:color w:val="000000" w:themeColor="text1"/>
          <w:sz w:val="32"/>
          <w:szCs w:val="32"/>
          <w:lang w:eastAsia="zh-CN"/>
        </w:rPr>
        <w:t>柏杨村史馆</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eastAsia="zh-CN"/>
        </w:rPr>
        <w:t>党性教育</w:t>
      </w:r>
      <w:r>
        <w:rPr>
          <w:rFonts w:hint="eastAsia" w:ascii="仿宋_GB2312" w:hAnsi="仿宋_GB2312" w:eastAsia="仿宋_GB2312" w:cs="仿宋_GB2312"/>
          <w:color w:val="000000" w:themeColor="text1"/>
          <w:sz w:val="32"/>
          <w:szCs w:val="32"/>
        </w:rPr>
        <w:t>，组织观看了</w:t>
      </w:r>
      <w:r>
        <w:rPr>
          <w:rFonts w:hint="eastAsia" w:ascii="仿宋_GB2312" w:hAnsi="仿宋_GB2312" w:eastAsia="仿宋_GB2312" w:cs="仿宋_GB2312"/>
          <w:color w:val="000000" w:themeColor="text1"/>
          <w:sz w:val="32"/>
          <w:szCs w:val="32"/>
          <w:lang w:val="en-US" w:eastAsia="zh-CN"/>
        </w:rPr>
        <w:t>《一念之误》</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越界</w:t>
      </w:r>
      <w:r>
        <w:rPr>
          <w:rFonts w:hint="eastAsia" w:ascii="仿宋_GB2312" w:hAnsi="仿宋_GB2312" w:eastAsia="仿宋_GB2312" w:cs="仿宋_GB2312"/>
          <w:color w:val="000000" w:themeColor="text1"/>
          <w:sz w:val="32"/>
          <w:szCs w:val="32"/>
        </w:rPr>
        <w:t>》等警示教育片。持续营造不敢腐的震慑氛围，筑牢干部职工廉洁自律的底线、红线、防线意识。</w:t>
      </w:r>
      <w:r>
        <w:rPr>
          <w:rFonts w:hint="eastAsia" w:ascii="仿宋_GB2312" w:hAnsi="仿宋_GB2312" w:eastAsia="仿宋_GB2312" w:cs="仿宋_GB2312"/>
          <w:color w:val="000000" w:themeColor="text1"/>
          <w:sz w:val="32"/>
          <w:szCs w:val="32"/>
          <w:lang w:eastAsia="zh-CN"/>
        </w:rPr>
        <w:t>认真组织学习贯彻市、区委</w:t>
      </w:r>
      <w:r>
        <w:rPr>
          <w:rFonts w:hint="eastAsia" w:ascii="仿宋_GB2312" w:hAnsi="仿宋_GB2312" w:eastAsia="仿宋_GB2312" w:cs="仿宋_GB2312"/>
          <w:color w:val="000000" w:themeColor="text1"/>
          <w:sz w:val="32"/>
          <w:szCs w:val="32"/>
          <w:lang w:val="en-US" w:eastAsia="zh-CN"/>
        </w:rPr>
        <w:t>《关于进一步优化政治生态的决定》主要精神，深刻开展对刘亚洲、向永东严重违纪违法案的警示反思，</w:t>
      </w:r>
      <w:r>
        <w:rPr>
          <w:rFonts w:hint="eastAsia" w:ascii="仿宋_GB2312" w:hAnsi="仿宋_GB2312" w:eastAsia="仿宋_GB2312" w:cs="仿宋_GB2312"/>
          <w:color w:val="000000" w:themeColor="text1"/>
          <w:sz w:val="32"/>
          <w:szCs w:val="32"/>
        </w:rPr>
        <w:t>进一步完善了对机关干部和广大政协委员的宣传教育和监督管理的体制机制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党管一切、全面从严治党体制机制</w:t>
      </w:r>
      <w:r>
        <w:rPr>
          <w:rFonts w:hint="eastAsia" w:ascii="仿宋_GB2312" w:hAnsi="仿宋_GB2312" w:eastAsia="仿宋_GB2312" w:cs="仿宋_GB2312"/>
          <w:color w:val="000000" w:themeColor="text1"/>
          <w:sz w:val="32"/>
          <w:szCs w:val="32"/>
          <w:lang w:val="en-US" w:eastAsia="zh-CN"/>
        </w:rPr>
        <w:t>得到加强</w:t>
      </w:r>
      <w:r>
        <w:rPr>
          <w:rFonts w:hint="eastAsia" w:ascii="仿宋_GB2312" w:hAnsi="仿宋_GB2312" w:eastAsia="仿宋_GB2312" w:cs="仿宋_GB2312"/>
          <w:color w:val="000000" w:themeColor="text1"/>
          <w:sz w:val="32"/>
          <w:szCs w:val="32"/>
          <w:lang w:eastAsia="zh-CN"/>
        </w:rPr>
        <w:t>，政治生态不断净化</w:t>
      </w:r>
      <w:r>
        <w:rPr>
          <w:rFonts w:hint="eastAsia" w:ascii="仿宋_GB2312" w:hAnsi="仿宋_GB2312" w:eastAsia="仿宋_GB2312" w:cs="仿宋_GB2312"/>
          <w:color w:val="000000" w:themeColor="text1"/>
          <w:sz w:val="32"/>
          <w:szCs w:val="32"/>
          <w:lang w:val="en-US" w:eastAsia="zh-CN"/>
        </w:rPr>
        <w:t>优化</w:t>
      </w:r>
      <w:r>
        <w:rPr>
          <w:rFonts w:hint="eastAsia" w:ascii="仿宋_GB2312" w:hAnsi="仿宋_GB2312" w:eastAsia="仿宋_GB2312" w:cs="仿宋_GB2312"/>
          <w:color w:val="000000" w:themeColor="text1"/>
          <w:sz w:val="32"/>
          <w:szCs w:val="32"/>
          <w:lang w:eastAsia="zh-CN"/>
        </w:rPr>
        <w:t>。强化</w:t>
      </w:r>
      <w:r>
        <w:rPr>
          <w:rFonts w:hint="eastAsia" w:ascii="仿宋_GB2312" w:hAnsi="仿宋_GB2312" w:eastAsia="仿宋_GB2312" w:cs="仿宋_GB2312"/>
          <w:color w:val="000000" w:themeColor="text1"/>
          <w:sz w:val="32"/>
          <w:szCs w:val="32"/>
          <w:lang w:val="en-US" w:eastAsia="zh-CN"/>
        </w:rPr>
        <w:t>意识形态工作</w:t>
      </w:r>
      <w:r>
        <w:rPr>
          <w:rFonts w:hint="eastAsia" w:ascii="仿宋_GB2312" w:hAnsi="仿宋_GB2312" w:eastAsia="仿宋_GB2312" w:cs="仿宋_GB2312"/>
          <w:color w:val="000000" w:themeColor="text1"/>
          <w:sz w:val="32"/>
          <w:szCs w:val="32"/>
          <w:lang w:eastAsia="zh-CN"/>
        </w:rPr>
        <w:t>。持续巩固</w:t>
      </w:r>
      <w:r>
        <w:rPr>
          <w:rFonts w:hint="eastAsia" w:ascii="仿宋_GB2312" w:hAnsi="仿宋_GB2312" w:eastAsia="仿宋_GB2312" w:cs="仿宋_GB2312"/>
          <w:color w:val="000000" w:themeColor="text1"/>
          <w:sz w:val="32"/>
          <w:szCs w:val="32"/>
        </w:rPr>
        <w:t>“不忘初心、牢记使命”主题教育</w:t>
      </w:r>
      <w:r>
        <w:rPr>
          <w:rFonts w:hint="eastAsia" w:ascii="仿宋_GB2312" w:hAnsi="仿宋_GB2312" w:eastAsia="仿宋_GB2312" w:cs="仿宋_GB2312"/>
          <w:color w:val="000000" w:themeColor="text1"/>
          <w:sz w:val="32"/>
          <w:szCs w:val="32"/>
          <w:lang w:eastAsia="zh-CN"/>
        </w:rPr>
        <w:t>成果</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通过</w:t>
      </w:r>
      <w:r>
        <w:rPr>
          <w:rFonts w:hint="eastAsia" w:ascii="仿宋_GB2312" w:hAnsi="仿宋_GB2312" w:eastAsia="仿宋_GB2312" w:cs="仿宋_GB2312"/>
          <w:color w:val="000000" w:themeColor="text1"/>
          <w:sz w:val="32"/>
          <w:szCs w:val="32"/>
          <w:lang w:eastAsia="zh-CN"/>
        </w:rPr>
        <w:t>党组书记讲党课，党组成员</w:t>
      </w:r>
      <w:r>
        <w:rPr>
          <w:rFonts w:hint="eastAsia" w:ascii="仿宋_GB2312" w:hAnsi="仿宋_GB2312" w:eastAsia="仿宋_GB2312" w:cs="仿宋_GB2312"/>
          <w:color w:val="000000" w:themeColor="text1"/>
          <w:sz w:val="32"/>
          <w:szCs w:val="32"/>
          <w:lang w:val="en-US" w:eastAsia="zh-CN"/>
        </w:rPr>
        <w:t>宣讲各级全会精神等形式，</w:t>
      </w:r>
      <w:r>
        <w:rPr>
          <w:rFonts w:hint="eastAsia" w:ascii="仿宋_GB2312" w:hAnsi="仿宋_GB2312" w:eastAsia="仿宋_GB2312" w:cs="仿宋_GB2312"/>
          <w:color w:val="000000" w:themeColor="text1"/>
          <w:sz w:val="32"/>
          <w:szCs w:val="32"/>
        </w:rPr>
        <w:t>务实开展理想信念教育、革命传统教育</w:t>
      </w:r>
      <w:r>
        <w:rPr>
          <w:rFonts w:hint="eastAsia" w:ascii="仿宋_GB2312" w:hAnsi="仿宋_GB2312" w:eastAsia="仿宋_GB2312" w:cs="仿宋_GB2312"/>
          <w:color w:val="000000" w:themeColor="text1"/>
          <w:sz w:val="32"/>
          <w:szCs w:val="32"/>
          <w:lang w:val="en-US" w:eastAsia="zh-CN"/>
        </w:rPr>
        <w:t>和</w:t>
      </w:r>
      <w:r>
        <w:rPr>
          <w:rFonts w:hint="eastAsia" w:ascii="仿宋_GB2312" w:hAnsi="仿宋_GB2312" w:eastAsia="仿宋_GB2312" w:cs="仿宋_GB2312"/>
          <w:color w:val="000000" w:themeColor="text1"/>
          <w:sz w:val="32"/>
          <w:szCs w:val="32"/>
        </w:rPr>
        <w:t>爱国主义教育。将意识形态工作融入</w:t>
      </w:r>
      <w:r>
        <w:rPr>
          <w:rFonts w:hint="eastAsia" w:ascii="仿宋_GB2312" w:hAnsi="仿宋_GB2312" w:eastAsia="仿宋_GB2312" w:cs="仿宋_GB2312"/>
          <w:color w:val="000000" w:themeColor="text1"/>
          <w:sz w:val="32"/>
          <w:szCs w:val="32"/>
          <w:lang w:val="en-US" w:eastAsia="zh-CN"/>
        </w:rPr>
        <w:t>委员履</w:t>
      </w:r>
      <w:r>
        <w:rPr>
          <w:rFonts w:hint="eastAsia" w:ascii="仿宋_GB2312" w:hAnsi="仿宋_GB2312" w:eastAsia="仿宋_GB2312" w:cs="仿宋_GB2312"/>
          <w:color w:val="000000" w:themeColor="text1"/>
          <w:sz w:val="32"/>
          <w:szCs w:val="32"/>
        </w:rPr>
        <w:t>职工作，引导各参加单位、广大委员</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社会各界不断增进政治认同、思想认同、理论认同</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情感认同。</w:t>
      </w:r>
      <w:r>
        <w:rPr>
          <w:rFonts w:hint="eastAsia" w:ascii="仿宋_GB2312" w:hAnsi="仿宋_GB2312" w:eastAsia="仿宋_GB2312" w:cs="仿宋_GB2312"/>
          <w:color w:val="000000" w:themeColor="text1"/>
          <w:sz w:val="32"/>
          <w:szCs w:val="32"/>
          <w:lang w:val="en-US" w:eastAsia="zh-CN"/>
        </w:rPr>
        <w:t>持续巩固首批创建落实意识形态示范单位成果。</w:t>
      </w:r>
      <w:r>
        <w:rPr>
          <w:rFonts w:hint="eastAsia" w:ascii="仿宋_GB2312" w:hAnsi="仿宋_GB2312" w:eastAsia="仿宋_GB2312" w:cs="仿宋_GB2312"/>
          <w:color w:val="000000" w:themeColor="text1"/>
          <w:sz w:val="32"/>
          <w:szCs w:val="32"/>
        </w:rPr>
        <w:t>每</w:t>
      </w:r>
      <w:r>
        <w:rPr>
          <w:rFonts w:hint="eastAsia" w:ascii="仿宋_GB2312" w:hAnsi="仿宋_GB2312" w:eastAsia="仿宋_GB2312" w:cs="仿宋_GB2312"/>
          <w:color w:val="000000" w:themeColor="text1"/>
          <w:sz w:val="32"/>
          <w:szCs w:val="32"/>
          <w:lang w:eastAsia="zh-CN"/>
        </w:rPr>
        <w:t>季度</w:t>
      </w:r>
      <w:r>
        <w:rPr>
          <w:rFonts w:hint="eastAsia" w:ascii="仿宋_GB2312" w:hAnsi="仿宋_GB2312" w:eastAsia="仿宋_GB2312" w:cs="仿宋_GB2312"/>
          <w:color w:val="000000" w:themeColor="text1"/>
          <w:sz w:val="32"/>
          <w:szCs w:val="32"/>
        </w:rPr>
        <w:t>研究一次意识形态工作</w:t>
      </w:r>
      <w:r>
        <w:rPr>
          <w:rFonts w:hint="eastAsia" w:ascii="仿宋_GB2312" w:hAnsi="仿宋_GB2312" w:eastAsia="仿宋_GB2312" w:cs="仿宋_GB2312"/>
          <w:color w:val="000000" w:themeColor="text1"/>
          <w:sz w:val="32"/>
          <w:szCs w:val="32"/>
          <w:lang w:eastAsia="zh-CN"/>
        </w:rPr>
        <w:t>，分析研判存在问题。</w:t>
      </w:r>
      <w:r>
        <w:rPr>
          <w:rFonts w:hint="eastAsia" w:ascii="仿宋_GB2312" w:hAnsi="仿宋_GB2312" w:eastAsia="仿宋_GB2312" w:cs="仿宋_GB2312"/>
          <w:color w:val="000000" w:themeColor="text1"/>
          <w:sz w:val="32"/>
          <w:szCs w:val="32"/>
        </w:rPr>
        <w:t>切实加强政协网站、</w:t>
      </w:r>
      <w:r>
        <w:rPr>
          <w:rFonts w:hint="eastAsia" w:ascii="仿宋_GB2312" w:hAnsi="仿宋_GB2312" w:eastAsia="仿宋_GB2312" w:cs="仿宋_GB2312"/>
          <w:color w:val="000000" w:themeColor="text1"/>
          <w:sz w:val="32"/>
          <w:szCs w:val="32"/>
          <w:lang w:eastAsia="zh-CN"/>
        </w:rPr>
        <w:t>《昭化</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"http://www.wenmi.org/Article/Class11/Class31/Index.html" \t "_blank" </w:instrText>
      </w:r>
      <w:r>
        <w:rPr>
          <w:rFonts w:hint="eastAsia" w:ascii="仿宋_GB2312" w:hAnsi="仿宋_GB2312" w:eastAsia="仿宋_GB2312" w:cs="仿宋_GB2312"/>
          <w:color w:val="000000" w:themeColor="text1"/>
          <w:sz w:val="32"/>
          <w:szCs w:val="32"/>
        </w:rPr>
        <w:fldChar w:fldCharType="separate"/>
      </w:r>
      <w:r>
        <w:rPr>
          <w:rFonts w:hint="eastAsia" w:ascii="仿宋_GB2312" w:hAnsi="仿宋_GB2312" w:eastAsia="仿宋_GB2312" w:cs="仿宋_GB2312"/>
          <w:color w:val="000000" w:themeColor="text1"/>
          <w:sz w:val="32"/>
          <w:szCs w:val="32"/>
        </w:rPr>
        <w:t>政协</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期刊、微信公众号等意识形态阵地的建设管理，及时更新动态</w:t>
      </w:r>
      <w:r>
        <w:rPr>
          <w:rFonts w:hint="eastAsia" w:ascii="仿宋_GB2312" w:hAnsi="仿宋_GB2312" w:eastAsia="仿宋_GB2312" w:cs="仿宋_GB2312"/>
          <w:color w:val="000000" w:themeColor="text1"/>
          <w:sz w:val="32"/>
          <w:szCs w:val="32"/>
          <w:lang w:val="en-US" w:eastAsia="zh-CN"/>
        </w:rPr>
        <w:t>信息</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“学习强国”学习平台的使用较为活跃。</w:t>
      </w:r>
      <w:r>
        <w:rPr>
          <w:rFonts w:hint="eastAsia" w:ascii="仿宋_GB2312" w:hAnsi="仿宋_GB2312" w:eastAsia="仿宋_GB2312" w:cs="仿宋_GB2312"/>
          <w:color w:val="000000" w:themeColor="text1"/>
          <w:sz w:val="32"/>
          <w:szCs w:val="32"/>
        </w:rPr>
        <w:t>牢牢把握意识形态的领导权、管理权和话语权</w:t>
      </w:r>
      <w:r>
        <w:rPr>
          <w:rFonts w:hint="eastAsia" w:ascii="仿宋_GB2312" w:hAnsi="仿宋_GB2312" w:eastAsia="仿宋_GB2312" w:cs="仿宋_GB2312"/>
          <w:color w:val="000000" w:themeColor="text1"/>
          <w:sz w:val="32"/>
          <w:szCs w:val="32"/>
          <w:lang w:eastAsia="zh-CN"/>
        </w:rPr>
        <w:t>。高素质专业化“</w:t>
      </w:r>
      <w:r>
        <w:rPr>
          <w:rFonts w:hint="eastAsia" w:ascii="仿宋_GB2312" w:hAnsi="仿宋_GB2312" w:eastAsia="仿宋_GB2312" w:cs="仿宋_GB2312"/>
          <w:color w:val="000000" w:themeColor="text1"/>
          <w:sz w:val="32"/>
          <w:szCs w:val="32"/>
          <w:lang w:val="en-US" w:eastAsia="zh-CN"/>
        </w:rPr>
        <w:t>两只</w:t>
      </w:r>
      <w:r>
        <w:rPr>
          <w:rFonts w:hint="eastAsia" w:ascii="仿宋_GB2312" w:hAnsi="仿宋_GB2312" w:eastAsia="仿宋_GB2312" w:cs="仿宋_GB2312"/>
          <w:color w:val="000000" w:themeColor="text1"/>
          <w:sz w:val="32"/>
          <w:szCs w:val="32"/>
          <w:lang w:eastAsia="zh-CN"/>
        </w:rPr>
        <w:t>队伍”。</w:t>
      </w:r>
      <w:r>
        <w:rPr>
          <w:rFonts w:hint="eastAsia" w:ascii="仿宋_GB2312" w:hAnsi="仿宋_GB2312" w:eastAsia="仿宋_GB2312" w:cs="仿宋_GB2312"/>
          <w:color w:val="000000" w:themeColor="text1"/>
          <w:sz w:val="32"/>
          <w:szCs w:val="32"/>
          <w:lang w:val="en-US" w:eastAsia="zh-CN"/>
        </w:rPr>
        <w:t>增设区委常委、统战部长担任政协党组副书记，</w:t>
      </w:r>
      <w:r>
        <w:rPr>
          <w:rFonts w:hint="eastAsia" w:ascii="仿宋_GB2312" w:hAnsi="仿宋_GB2312" w:eastAsia="仿宋_GB2312" w:cs="仿宋_GB2312"/>
          <w:color w:val="000000" w:themeColor="text1"/>
          <w:sz w:val="32"/>
          <w:szCs w:val="32"/>
          <w:lang w:eastAsia="zh-CN"/>
        </w:rPr>
        <w:t>调整</w:t>
      </w:r>
      <w:r>
        <w:rPr>
          <w:rFonts w:hint="eastAsia" w:ascii="仿宋_GB2312" w:hAnsi="仿宋_GB2312" w:eastAsia="仿宋_GB2312" w:cs="仿宋_GB2312"/>
          <w:color w:val="000000" w:themeColor="text1"/>
          <w:sz w:val="32"/>
          <w:szCs w:val="32"/>
          <w:lang w:val="en-US" w:eastAsia="zh-CN"/>
        </w:rPr>
        <w:t>3名党组成员，党组班子力量进一步充实。积极</w:t>
      </w:r>
      <w:r>
        <w:rPr>
          <w:rFonts w:hint="eastAsia" w:ascii="仿宋_GB2312" w:hAnsi="仿宋_GB2312" w:eastAsia="仿宋_GB2312" w:cs="仿宋_GB2312"/>
          <w:color w:val="000000" w:themeColor="text1"/>
          <w:sz w:val="32"/>
          <w:szCs w:val="32"/>
          <w:lang w:eastAsia="zh-CN"/>
        </w:rPr>
        <w:t>推荐优秀的政协干部到经济工作主干线上任职，提高干事创业积极性。</w:t>
      </w:r>
      <w:r>
        <w:rPr>
          <w:rFonts w:hint="eastAsia" w:ascii="仿宋_GB2312" w:hAnsi="仿宋_GB2312" w:eastAsia="仿宋_GB2312" w:cs="仿宋_GB2312"/>
          <w:color w:val="000000" w:themeColor="text1"/>
          <w:sz w:val="32"/>
          <w:szCs w:val="32"/>
          <w:lang w:val="en-US" w:eastAsia="zh-CN"/>
        </w:rPr>
        <w:t>对标“懂政协、会协商、善议政、守纪律、讲规矩、重品行”的要求，</w:t>
      </w:r>
      <w:r>
        <w:rPr>
          <w:rFonts w:hint="eastAsia" w:ascii="仿宋_GB2312" w:hAnsi="仿宋_GB2312" w:eastAsia="仿宋_GB2312" w:cs="仿宋_GB2312"/>
          <w:color w:val="000000" w:themeColor="text1"/>
          <w:sz w:val="32"/>
          <w:szCs w:val="32"/>
          <w:lang w:eastAsia="zh-CN"/>
        </w:rPr>
        <w:t>指导加强对政协常委和委员履职的管理，</w:t>
      </w:r>
      <w:r>
        <w:rPr>
          <w:rFonts w:hint="eastAsia" w:ascii="仿宋_GB2312" w:hAnsi="仿宋_GB2312" w:eastAsia="仿宋_GB2312" w:cs="仿宋_GB2312"/>
          <w:color w:val="000000" w:themeColor="text1"/>
          <w:sz w:val="32"/>
          <w:szCs w:val="32"/>
          <w:lang w:val="en-US" w:eastAsia="zh-CN"/>
        </w:rPr>
        <w:t>3名政协委员获得省级表彰、1名政协委员获得市级表彰。</w:t>
      </w:r>
      <w:r>
        <w:rPr>
          <w:rFonts w:hint="eastAsia" w:ascii="仿宋_GB2312" w:hAnsi="仿宋_GB2312" w:eastAsia="仿宋_GB2312" w:cs="仿宋_GB2312"/>
          <w:color w:val="000000" w:themeColor="text1"/>
          <w:sz w:val="32"/>
          <w:szCs w:val="32"/>
          <w:lang w:eastAsia="zh-CN"/>
        </w:rPr>
        <w:t>修订《委员履职工作规则（试行）</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广泛组织委员开展培训，严格开展</w:t>
      </w:r>
      <w:r>
        <w:rPr>
          <w:rFonts w:hint="eastAsia" w:ascii="仿宋_GB2312" w:hAnsi="仿宋_GB2312" w:eastAsia="仿宋_GB2312" w:cs="仿宋_GB2312"/>
          <w:color w:val="000000" w:themeColor="text1"/>
          <w:sz w:val="32"/>
          <w:szCs w:val="32"/>
        </w:rPr>
        <w:t>委员履职登记</w:t>
      </w:r>
      <w:r>
        <w:rPr>
          <w:rFonts w:hint="eastAsia" w:ascii="仿宋_GB2312" w:hAnsi="仿宋_GB2312" w:eastAsia="仿宋_GB2312" w:cs="仿宋_GB2312"/>
          <w:color w:val="000000" w:themeColor="text1"/>
          <w:sz w:val="32"/>
          <w:szCs w:val="32"/>
          <w:lang w:eastAsia="zh-CN"/>
        </w:rPr>
        <w:t>考核</w:t>
      </w:r>
      <w:r>
        <w:rPr>
          <w:rFonts w:hint="eastAsia" w:ascii="仿宋_GB2312" w:hAnsi="仿宋_GB2312" w:eastAsia="仿宋_GB2312" w:cs="仿宋_GB2312"/>
          <w:color w:val="000000" w:themeColor="text1"/>
          <w:sz w:val="32"/>
          <w:szCs w:val="32"/>
        </w:rPr>
        <w:t>。办好政协</w:t>
      </w:r>
      <w:r>
        <w:rPr>
          <w:rFonts w:hint="eastAsia" w:ascii="仿宋_GB2312" w:hAnsi="仿宋_GB2312" w:eastAsia="仿宋_GB2312" w:cs="仿宋_GB2312"/>
          <w:color w:val="000000" w:themeColor="text1"/>
          <w:sz w:val="32"/>
          <w:szCs w:val="32"/>
          <w:lang w:eastAsia="zh-CN"/>
        </w:rPr>
        <w:t>党员</w:t>
      </w:r>
      <w:r>
        <w:rPr>
          <w:rFonts w:hint="eastAsia" w:ascii="仿宋_GB2312" w:hAnsi="仿宋_GB2312" w:eastAsia="仿宋_GB2312" w:cs="仿宋_GB2312"/>
          <w:color w:val="000000" w:themeColor="text1"/>
          <w:sz w:val="32"/>
          <w:szCs w:val="32"/>
        </w:rPr>
        <w:t>委员及机关干部</w:t>
      </w:r>
      <w:r>
        <w:rPr>
          <w:rFonts w:hint="eastAsia" w:ascii="仿宋_GB2312" w:hAnsi="仿宋_GB2312" w:eastAsia="仿宋_GB2312" w:cs="仿宋_GB2312"/>
          <w:color w:val="000000" w:themeColor="text1"/>
          <w:sz w:val="32"/>
          <w:szCs w:val="32"/>
          <w:lang w:eastAsia="zh-CN"/>
        </w:rPr>
        <w:t>赴井冈山、延安</w:t>
      </w:r>
      <w:r>
        <w:rPr>
          <w:rFonts w:hint="eastAsia" w:ascii="仿宋_GB2312" w:hAnsi="仿宋_GB2312" w:eastAsia="仿宋_GB2312" w:cs="仿宋_GB2312"/>
          <w:color w:val="000000" w:themeColor="text1"/>
          <w:sz w:val="32"/>
          <w:szCs w:val="32"/>
        </w:rPr>
        <w:t>集中培训班，</w:t>
      </w:r>
      <w:r>
        <w:rPr>
          <w:rFonts w:hint="eastAsia" w:ascii="仿宋_GB2312" w:hAnsi="仿宋_GB2312" w:eastAsia="仿宋_GB2312" w:cs="仿宋_GB2312"/>
          <w:color w:val="000000" w:themeColor="text1"/>
          <w:sz w:val="32"/>
          <w:szCs w:val="32"/>
          <w:lang w:eastAsia="zh-CN"/>
        </w:rPr>
        <w:t>开展</w:t>
      </w:r>
      <w:r>
        <w:rPr>
          <w:rFonts w:hint="eastAsia" w:ascii="仿宋_GB2312" w:hAnsi="仿宋_GB2312" w:eastAsia="仿宋_GB2312" w:cs="仿宋_GB2312"/>
          <w:color w:val="000000" w:themeColor="text1"/>
          <w:sz w:val="32"/>
          <w:szCs w:val="32"/>
          <w:lang w:val="en-US" w:eastAsia="zh-CN"/>
        </w:rPr>
        <w:t>4次集中学习，</w:t>
      </w:r>
      <w:r>
        <w:rPr>
          <w:rFonts w:hint="eastAsia" w:ascii="仿宋_GB2312" w:hAnsi="仿宋_GB2312" w:eastAsia="仿宋_GB2312" w:cs="仿宋_GB2312"/>
          <w:color w:val="000000" w:themeColor="text1"/>
          <w:sz w:val="32"/>
          <w:szCs w:val="32"/>
        </w:rPr>
        <w:t>提升</w:t>
      </w:r>
      <w:r>
        <w:rPr>
          <w:rFonts w:hint="eastAsia" w:ascii="仿宋_GB2312" w:hAnsi="仿宋_GB2312" w:eastAsia="仿宋_GB2312" w:cs="仿宋_GB2312"/>
          <w:color w:val="000000" w:themeColor="text1"/>
          <w:sz w:val="32"/>
          <w:szCs w:val="32"/>
          <w:lang w:eastAsia="zh-CN"/>
        </w:rPr>
        <w:t>领导干部</w:t>
      </w:r>
      <w:r>
        <w:rPr>
          <w:rFonts w:hint="eastAsia" w:ascii="仿宋_GB2312" w:hAnsi="仿宋_GB2312" w:eastAsia="仿宋_GB2312" w:cs="仿宋_GB2312"/>
          <w:color w:val="000000" w:themeColor="text1"/>
          <w:sz w:val="32"/>
          <w:szCs w:val="32"/>
        </w:rPr>
        <w:t>及机关干部的政治理论水平和调查研究能力、联系群众能力、合作共事能力。</w:t>
      </w:r>
    </w:p>
    <w:p w14:paraId="2F770F6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二、</w:t>
      </w:r>
      <w:bookmarkEnd w:id="18"/>
      <w:r>
        <w:rPr>
          <w:rFonts w:hint="eastAsia" w:ascii="黑体" w:hAnsi="黑体" w:eastAsia="黑体" w:cs="黑体"/>
          <w:color w:val="000000" w:themeColor="text1"/>
          <w:sz w:val="32"/>
          <w:szCs w:val="32"/>
        </w:rPr>
        <w:t>机构设置</w:t>
      </w:r>
    </w:p>
    <w:p w14:paraId="1C68FE9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bookmarkStart w:id="19" w:name="_Toc15377204"/>
      <w:bookmarkEnd w:id="19"/>
      <w:bookmarkStart w:id="20" w:name="_Toc15396602"/>
      <w:r>
        <w:rPr>
          <w:rFonts w:hint="eastAsia" w:ascii="仿宋_GB2312" w:hAnsi="仿宋_GB2312" w:eastAsia="仿宋_GB2312" w:cs="仿宋_GB2312"/>
          <w:b/>
          <w:bCs/>
          <w:color w:val="000000" w:themeColor="text1"/>
          <w:sz w:val="32"/>
          <w:szCs w:val="32"/>
          <w:lang w:val="en-US" w:eastAsia="zh-CN"/>
        </w:rPr>
        <w:t>政协的主要职能是：</w:t>
      </w:r>
      <w:r>
        <w:rPr>
          <w:rFonts w:hint="eastAsia" w:ascii="仿宋_GB2312" w:hAnsi="仿宋_GB2312" w:eastAsia="仿宋_GB2312" w:cs="仿宋_GB2312"/>
          <w:color w:val="000000" w:themeColor="text1"/>
          <w:sz w:val="32"/>
          <w:szCs w:val="32"/>
        </w:rPr>
        <w:t>政协协商、民主监督、参政议政。</w:t>
      </w:r>
    </w:p>
    <w:p w14:paraId="28BFE95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昭化区政协机关设有六委一室，即办公室、农业委、提案法制委、人口环境资源委、经济委、科教文卫体委、学习文史与社会联谊委。核定行政编制人数7人，单列管理的行政编制人数</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人。年未实有人数</w:t>
      </w:r>
      <w:r>
        <w:rPr>
          <w:rFonts w:hint="eastAsia" w:ascii="仿宋_GB2312" w:hAnsi="仿宋_GB2312" w:eastAsia="仿宋_GB2312" w:cs="仿宋_GB2312"/>
          <w:color w:val="000000" w:themeColor="text1"/>
          <w:sz w:val="32"/>
          <w:szCs w:val="32"/>
          <w:lang w:val="en-US" w:eastAsia="zh-CN"/>
        </w:rPr>
        <w:t>47</w:t>
      </w:r>
      <w:r>
        <w:rPr>
          <w:rFonts w:hint="eastAsia" w:ascii="仿宋_GB2312" w:hAnsi="仿宋_GB2312" w:eastAsia="仿宋_GB2312" w:cs="仿宋_GB2312"/>
          <w:color w:val="000000" w:themeColor="text1"/>
          <w:sz w:val="32"/>
          <w:szCs w:val="32"/>
        </w:rPr>
        <w:t>人，其中：行政编制人数</w:t>
      </w:r>
      <w:r>
        <w:rPr>
          <w:rFonts w:hint="eastAsia" w:ascii="仿宋_GB2312" w:hAnsi="仿宋_GB2312" w:eastAsia="仿宋_GB2312" w:cs="仿宋_GB2312"/>
          <w:color w:val="000000" w:themeColor="text1"/>
          <w:sz w:val="32"/>
          <w:szCs w:val="32"/>
          <w:lang w:val="en-US" w:eastAsia="zh-CN"/>
        </w:rPr>
        <w:t>42</w:t>
      </w:r>
      <w:r>
        <w:rPr>
          <w:rFonts w:hint="eastAsia" w:ascii="仿宋_GB2312" w:hAnsi="仿宋_GB2312" w:eastAsia="仿宋_GB2312" w:cs="仿宋_GB2312"/>
          <w:color w:val="000000" w:themeColor="text1"/>
          <w:sz w:val="32"/>
          <w:szCs w:val="32"/>
        </w:rPr>
        <w:t>人，志</w:t>
      </w:r>
      <w:r>
        <w:rPr>
          <w:rFonts w:hint="eastAsia" w:ascii="仿宋_GB2312" w:hAnsi="仿宋_GB2312" w:eastAsia="仿宋_GB2312" w:cs="仿宋_GB2312"/>
          <w:color w:val="000000" w:themeColor="text1"/>
          <w:sz w:val="32"/>
          <w:szCs w:val="32"/>
          <w:lang w:val="en-US" w:eastAsia="zh-CN"/>
        </w:rPr>
        <w:t>愿</w:t>
      </w:r>
      <w:r>
        <w:rPr>
          <w:rFonts w:hint="eastAsia" w:ascii="仿宋_GB2312" w:hAnsi="仿宋_GB2312" w:eastAsia="仿宋_GB2312" w:cs="仿宋_GB2312"/>
          <w:color w:val="000000" w:themeColor="text1"/>
          <w:sz w:val="32"/>
          <w:szCs w:val="32"/>
        </w:rPr>
        <w:t>者1人，三支一扶1人，劳务派遣</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人。</w:t>
      </w:r>
    </w:p>
    <w:p w14:paraId="086534B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方正小标宋简体" w:hAnsi="方正小标宋简体" w:eastAsia="方正小标宋简体" w:cs="方正小标宋简体"/>
          <w:color w:val="000000" w:themeColor="text1"/>
          <w:sz w:val="44"/>
          <w:szCs w:val="44"/>
        </w:rPr>
      </w:pPr>
    </w:p>
    <w:p w14:paraId="0B11374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jc w:val="both"/>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第二部分</w:t>
      </w:r>
      <w:bookmarkEnd w:id="20"/>
      <w:r>
        <w:rPr>
          <w:rFonts w:hint="eastAsia" w:ascii="方正小标宋简体" w:hAnsi="方正小标宋简体" w:eastAsia="方正小标宋简体" w:cs="方正小标宋简体"/>
          <w:color w:val="000000" w:themeColor="text1"/>
          <w:sz w:val="44"/>
          <w:szCs w:val="44"/>
          <w:lang w:val="en-US" w:eastAsia="zh-CN"/>
        </w:rPr>
        <w:t xml:space="preserve">  </w:t>
      </w:r>
      <w:r>
        <w:rPr>
          <w:rFonts w:hint="eastAsia" w:ascii="方正小标宋简体" w:hAnsi="方正小标宋简体" w:eastAsia="方正小标宋简体" w:cs="方正小标宋简体"/>
          <w:color w:val="000000" w:themeColor="text1"/>
          <w:sz w:val="44"/>
          <w:szCs w:val="44"/>
        </w:rPr>
        <w:t>20</w:t>
      </w:r>
      <w:r>
        <w:rPr>
          <w:rFonts w:hint="eastAsia" w:ascii="方正小标宋简体" w:hAnsi="方正小标宋简体" w:eastAsia="方正小标宋简体" w:cs="方正小标宋简体"/>
          <w:color w:val="000000" w:themeColor="text1"/>
          <w:sz w:val="44"/>
          <w:szCs w:val="44"/>
          <w:lang w:val="en-US" w:eastAsia="zh-CN"/>
        </w:rPr>
        <w:t>20</w:t>
      </w:r>
      <w:r>
        <w:rPr>
          <w:rFonts w:hint="eastAsia" w:ascii="方正小标宋简体" w:hAnsi="方正小标宋简体" w:eastAsia="方正小标宋简体" w:cs="方正小标宋简体"/>
          <w:color w:val="000000" w:themeColor="text1"/>
          <w:sz w:val="44"/>
          <w:szCs w:val="44"/>
        </w:rPr>
        <w:t>年度部门决算情况说明</w:t>
      </w:r>
    </w:p>
    <w:p w14:paraId="525FA87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1591F21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rPr>
      </w:pPr>
      <w:bookmarkStart w:id="21" w:name="_Toc15396603"/>
      <w:bookmarkEnd w:id="21"/>
      <w:bookmarkStart w:id="22" w:name="_Toc15377205"/>
      <w:r>
        <w:rPr>
          <w:rFonts w:hint="eastAsia" w:ascii="黑体" w:hAnsi="黑体" w:eastAsia="黑体" w:cs="黑体"/>
          <w:b w:val="0"/>
          <w:bCs w:val="0"/>
          <w:color w:val="000000" w:themeColor="text1"/>
          <w:sz w:val="32"/>
          <w:szCs w:val="32"/>
          <w:lang w:eastAsia="zh-CN"/>
        </w:rPr>
        <w:t>一、</w:t>
      </w:r>
      <w:r>
        <w:rPr>
          <w:rFonts w:hint="eastAsia" w:ascii="黑体" w:hAnsi="黑体" w:eastAsia="黑体" w:cs="黑体"/>
          <w:b w:val="0"/>
          <w:bCs w:val="0"/>
          <w:color w:val="000000" w:themeColor="text1"/>
          <w:sz w:val="32"/>
          <w:szCs w:val="32"/>
        </w:rPr>
        <w:t>收</w:t>
      </w:r>
      <w:bookmarkEnd w:id="22"/>
      <w:r>
        <w:rPr>
          <w:rFonts w:hint="eastAsia" w:ascii="黑体" w:hAnsi="黑体" w:eastAsia="黑体" w:cs="黑体"/>
          <w:b w:val="0"/>
          <w:bCs w:val="0"/>
          <w:color w:val="000000" w:themeColor="text1"/>
          <w:sz w:val="32"/>
          <w:szCs w:val="32"/>
        </w:rPr>
        <w:t>入支出决算总体情况说明</w:t>
      </w:r>
    </w:p>
    <w:p w14:paraId="16A7C07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年度收、支总计</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万元。与201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年相比，</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478.22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44.53</w:t>
      </w:r>
      <w:r>
        <w:rPr>
          <w:rFonts w:hint="eastAsia" w:ascii="仿宋_GB2312" w:hAnsi="仿宋_GB2312" w:eastAsia="仿宋_GB2312" w:cs="仿宋_GB2312"/>
          <w:color w:val="000000" w:themeColor="text1"/>
          <w:sz w:val="32"/>
          <w:szCs w:val="32"/>
        </w:rPr>
        <w:t>%。主要变动原因是</w:t>
      </w:r>
      <w:r>
        <w:rPr>
          <w:rFonts w:hint="eastAsia" w:ascii="仿宋_GB2312" w:hAnsi="仿宋_GB2312" w:eastAsia="仿宋_GB2312" w:cs="仿宋_GB2312"/>
          <w:color w:val="000000" w:themeColor="text1"/>
          <w:sz w:val="32"/>
          <w:szCs w:val="32"/>
          <w:lang w:eastAsia="zh-CN"/>
        </w:rPr>
        <w:t>机构改革人员增加</w:t>
      </w:r>
      <w:r>
        <w:rPr>
          <w:rFonts w:hint="eastAsia" w:ascii="仿宋_GB2312" w:hAnsi="仿宋_GB2312" w:eastAsia="仿宋_GB2312" w:cs="仿宋_GB2312"/>
          <w:color w:val="000000" w:themeColor="text1"/>
          <w:sz w:val="32"/>
          <w:szCs w:val="32"/>
        </w:rPr>
        <w:t>。</w:t>
      </w:r>
    </w:p>
    <w:p w14:paraId="1AE7B13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bookmarkStart w:id="23" w:name="_Toc15377206"/>
      <w:bookmarkEnd w:id="23"/>
      <w:bookmarkStart w:id="24" w:name="_Toc15396604"/>
      <w:r>
        <w:rPr>
          <w:rFonts w:hint="eastAsia" w:ascii="黑体" w:hAnsi="黑体" w:eastAsia="黑体" w:cs="黑体"/>
          <w:b w:val="0"/>
          <w:bCs w:val="0"/>
          <w:color w:val="000000" w:themeColor="text1"/>
          <w:sz w:val="32"/>
          <w:szCs w:val="32"/>
          <w:lang w:eastAsia="zh-CN"/>
        </w:rPr>
        <w:t>二、收</w:t>
      </w:r>
      <w:bookmarkEnd w:id="24"/>
      <w:r>
        <w:rPr>
          <w:rFonts w:hint="eastAsia" w:ascii="黑体" w:hAnsi="黑体" w:eastAsia="黑体" w:cs="黑体"/>
          <w:b w:val="0"/>
          <w:bCs w:val="0"/>
          <w:color w:val="000000" w:themeColor="text1"/>
          <w:sz w:val="32"/>
          <w:szCs w:val="32"/>
          <w:lang w:eastAsia="zh-CN"/>
        </w:rPr>
        <w:t>入决算情况说明</w:t>
      </w:r>
    </w:p>
    <w:p w14:paraId="6F1113B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年本年收入合计</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万元，其中：一般公共预算财政拨款收入</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万元，占100%。</w:t>
      </w:r>
    </w:p>
    <w:p w14:paraId="49D317C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bookmarkStart w:id="25" w:name="_Toc15377207"/>
      <w:bookmarkEnd w:id="25"/>
      <w:bookmarkStart w:id="26" w:name="_Toc15396605"/>
      <w:r>
        <w:rPr>
          <w:rFonts w:hint="eastAsia" w:ascii="黑体" w:hAnsi="黑体" w:eastAsia="黑体" w:cs="黑体"/>
          <w:b w:val="0"/>
          <w:bCs w:val="0"/>
          <w:color w:val="000000" w:themeColor="text1"/>
          <w:sz w:val="32"/>
          <w:szCs w:val="32"/>
          <w:lang w:eastAsia="zh-CN"/>
        </w:rPr>
        <w:t>三、支</w:t>
      </w:r>
      <w:bookmarkEnd w:id="26"/>
      <w:r>
        <w:rPr>
          <w:rFonts w:hint="eastAsia" w:ascii="黑体" w:hAnsi="黑体" w:eastAsia="黑体" w:cs="黑体"/>
          <w:b w:val="0"/>
          <w:bCs w:val="0"/>
          <w:color w:val="000000" w:themeColor="text1"/>
          <w:sz w:val="32"/>
          <w:szCs w:val="32"/>
          <w:lang w:eastAsia="zh-CN"/>
        </w:rPr>
        <w:t>出决算情况说明</w:t>
      </w:r>
    </w:p>
    <w:p w14:paraId="47AEA0F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年本年支出合计</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万元，其中：基本支出</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100</w:t>
      </w:r>
      <w:r>
        <w:rPr>
          <w:rFonts w:hint="eastAsia" w:ascii="仿宋_GB2312" w:hAnsi="仿宋_GB2312" w:eastAsia="仿宋_GB2312" w:cs="仿宋_GB2312"/>
          <w:color w:val="000000" w:themeColor="text1"/>
          <w:sz w:val="32"/>
          <w:szCs w:val="32"/>
        </w:rPr>
        <w:t>%。</w:t>
      </w:r>
    </w:p>
    <w:p w14:paraId="50D0D46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bookmarkStart w:id="27" w:name="_Toc15377208"/>
      <w:bookmarkEnd w:id="27"/>
      <w:bookmarkStart w:id="28" w:name="_Toc15396606"/>
      <w:r>
        <w:rPr>
          <w:rFonts w:hint="eastAsia" w:ascii="黑体" w:hAnsi="黑体" w:eastAsia="黑体" w:cs="黑体"/>
          <w:b w:val="0"/>
          <w:bCs w:val="0"/>
          <w:color w:val="000000" w:themeColor="text1"/>
          <w:sz w:val="32"/>
          <w:szCs w:val="32"/>
          <w:lang w:eastAsia="zh-CN"/>
        </w:rPr>
        <w:t>四、财</w:t>
      </w:r>
      <w:bookmarkEnd w:id="28"/>
      <w:r>
        <w:rPr>
          <w:rFonts w:hint="eastAsia" w:ascii="黑体" w:hAnsi="黑体" w:eastAsia="黑体" w:cs="黑体"/>
          <w:b w:val="0"/>
          <w:bCs w:val="0"/>
          <w:color w:val="000000" w:themeColor="text1"/>
          <w:sz w:val="32"/>
          <w:szCs w:val="32"/>
          <w:lang w:eastAsia="zh-CN"/>
        </w:rPr>
        <w:t>政拨款收入支出决算总体情况说明</w:t>
      </w:r>
    </w:p>
    <w:p w14:paraId="40FFC86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年财政拨款收、支总计</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万元。与201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年相比，财政拨款</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478.22</w:t>
      </w:r>
      <w:r>
        <w:rPr>
          <w:rFonts w:hint="eastAsia" w:ascii="仿宋_GB2312" w:hAnsi="仿宋_GB2312" w:eastAsia="仿宋_GB2312" w:cs="仿宋_GB2312"/>
          <w:color w:val="000000" w:themeColor="text1"/>
          <w:sz w:val="32"/>
          <w:szCs w:val="32"/>
        </w:rPr>
        <w:t>万元，分别</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44.53</w:t>
      </w:r>
      <w:r>
        <w:rPr>
          <w:rFonts w:hint="eastAsia" w:ascii="仿宋_GB2312" w:hAnsi="仿宋_GB2312" w:eastAsia="仿宋_GB2312" w:cs="仿宋_GB2312"/>
          <w:color w:val="000000" w:themeColor="text1"/>
          <w:sz w:val="32"/>
          <w:szCs w:val="32"/>
        </w:rPr>
        <w:t>%。主要变动原因是</w:t>
      </w:r>
      <w:r>
        <w:rPr>
          <w:rFonts w:hint="eastAsia" w:ascii="仿宋_GB2312" w:hAnsi="仿宋_GB2312" w:eastAsia="仿宋_GB2312" w:cs="仿宋_GB2312"/>
          <w:color w:val="000000" w:themeColor="text1"/>
          <w:sz w:val="32"/>
          <w:szCs w:val="32"/>
          <w:lang w:eastAsia="zh-CN"/>
        </w:rPr>
        <w:t>机构改革人员增加</w:t>
      </w:r>
      <w:r>
        <w:rPr>
          <w:rFonts w:hint="eastAsia" w:ascii="仿宋_GB2312" w:hAnsi="仿宋_GB2312" w:eastAsia="仿宋_GB2312" w:cs="仿宋_GB2312"/>
          <w:color w:val="000000" w:themeColor="text1"/>
          <w:sz w:val="32"/>
          <w:szCs w:val="32"/>
        </w:rPr>
        <w:t>。</w:t>
      </w:r>
    </w:p>
    <w:p w14:paraId="7872C87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bookmarkStart w:id="29" w:name="_Toc15377209"/>
      <w:bookmarkEnd w:id="29"/>
      <w:r>
        <w:rPr>
          <w:rFonts w:hint="eastAsia" w:ascii="黑体" w:hAnsi="黑体" w:eastAsia="黑体" w:cs="黑体"/>
          <w:b w:val="0"/>
          <w:bCs w:val="0"/>
          <w:color w:val="000000" w:themeColor="text1"/>
          <w:sz w:val="32"/>
          <w:szCs w:val="32"/>
          <w:lang w:eastAsia="zh-CN"/>
        </w:rPr>
        <w:t>五、一般公共预算财政拨款支出决算情况说明</w:t>
      </w:r>
      <w:bookmarkStart w:id="30" w:name="_Toc15377210"/>
      <w:bookmarkEnd w:id="30"/>
    </w:p>
    <w:p w14:paraId="24CDEC4F">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（一）一般公共预算财政拨款支出决算总体情况</w:t>
      </w:r>
    </w:p>
    <w:p w14:paraId="23A3426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年一般公共预算财政拨款支出</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万元，占本年支出合计的100%。与201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年相比，一般公共预算财政拨款</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478.22</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44.53</w:t>
      </w:r>
      <w:r>
        <w:rPr>
          <w:rFonts w:hint="eastAsia" w:ascii="仿宋_GB2312" w:hAnsi="仿宋_GB2312" w:eastAsia="仿宋_GB2312" w:cs="仿宋_GB2312"/>
          <w:color w:val="000000" w:themeColor="text1"/>
          <w:sz w:val="32"/>
          <w:szCs w:val="32"/>
        </w:rPr>
        <w:t>%。主要变动原因</w:t>
      </w:r>
      <w:r>
        <w:rPr>
          <w:rFonts w:hint="eastAsia" w:ascii="仿宋_GB2312" w:hAnsi="仿宋_GB2312" w:eastAsia="仿宋_GB2312" w:cs="仿宋_GB2312"/>
          <w:color w:val="000000" w:themeColor="text1"/>
          <w:sz w:val="32"/>
          <w:szCs w:val="32"/>
          <w:lang w:eastAsia="zh-CN"/>
        </w:rPr>
        <w:t>是机构改革人员增加</w:t>
      </w:r>
      <w:r>
        <w:rPr>
          <w:rFonts w:hint="eastAsia" w:ascii="仿宋_GB2312" w:hAnsi="仿宋_GB2312" w:eastAsia="仿宋_GB2312" w:cs="仿宋_GB2312"/>
          <w:color w:val="000000" w:themeColor="text1"/>
          <w:sz w:val="32"/>
          <w:szCs w:val="32"/>
        </w:rPr>
        <w:t>。</w:t>
      </w:r>
    </w:p>
    <w:p w14:paraId="7C8B359B">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楷体_GB2312" w:hAnsi="楷体_GB2312" w:eastAsia="楷体_GB2312" w:cs="楷体_GB2312"/>
          <w:b w:val="0"/>
          <w:bCs w:val="0"/>
          <w:color w:val="000000" w:themeColor="text1"/>
          <w:sz w:val="32"/>
          <w:szCs w:val="32"/>
        </w:rPr>
      </w:pPr>
      <w:bookmarkStart w:id="31" w:name="_Toc15377211"/>
      <w:bookmarkEnd w:id="31"/>
      <w:r>
        <w:rPr>
          <w:rFonts w:hint="eastAsia" w:ascii="楷体_GB2312" w:hAnsi="楷体_GB2312" w:eastAsia="楷体_GB2312" w:cs="楷体_GB2312"/>
          <w:b w:val="0"/>
          <w:bCs w:val="0"/>
          <w:color w:val="000000" w:themeColor="text1"/>
          <w:sz w:val="32"/>
          <w:szCs w:val="32"/>
        </w:rPr>
        <w:t>（二）一般公共预算财政拨款支出决算结构情况</w:t>
      </w:r>
    </w:p>
    <w:p w14:paraId="0B4A7CC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年一般公共预算财政拨款支出</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万元，主要用于以下方面:一般公共服务（类）支出</w:t>
      </w:r>
      <w:r>
        <w:rPr>
          <w:rFonts w:hint="eastAsia" w:ascii="仿宋_GB2312" w:hAnsi="仿宋_GB2312" w:eastAsia="仿宋_GB2312" w:cs="仿宋_GB2312"/>
          <w:color w:val="000000" w:themeColor="text1"/>
          <w:sz w:val="32"/>
          <w:szCs w:val="32"/>
          <w:lang w:val="en-US" w:eastAsia="zh-CN"/>
        </w:rPr>
        <w:t>930.06</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87</w:t>
      </w:r>
      <w:r>
        <w:rPr>
          <w:rFonts w:hint="eastAsia" w:ascii="仿宋_GB2312" w:hAnsi="仿宋_GB2312" w:eastAsia="仿宋_GB2312" w:cs="仿宋_GB2312"/>
          <w:color w:val="000000" w:themeColor="text1"/>
          <w:sz w:val="32"/>
          <w:szCs w:val="32"/>
        </w:rPr>
        <w:t>%；社会保障和就业（类）支出</w:t>
      </w:r>
      <w:r>
        <w:rPr>
          <w:rFonts w:hint="eastAsia" w:ascii="仿宋_GB2312" w:hAnsi="仿宋_GB2312" w:eastAsia="仿宋_GB2312" w:cs="仿宋_GB2312"/>
          <w:color w:val="000000" w:themeColor="text1"/>
          <w:sz w:val="32"/>
          <w:szCs w:val="32"/>
          <w:lang w:val="en-US" w:eastAsia="zh-CN"/>
        </w:rPr>
        <w:t>56.2</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%；医疗卫生（类）支出</w:t>
      </w:r>
      <w:r>
        <w:rPr>
          <w:rFonts w:hint="eastAsia" w:ascii="仿宋_GB2312" w:hAnsi="仿宋_GB2312" w:eastAsia="仿宋_GB2312" w:cs="仿宋_GB2312"/>
          <w:color w:val="000000" w:themeColor="text1"/>
          <w:sz w:val="32"/>
          <w:szCs w:val="32"/>
          <w:lang w:val="en-US" w:eastAsia="zh-CN"/>
        </w:rPr>
        <w:t>28.64</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%；住房保障（类）支出</w:t>
      </w:r>
      <w:r>
        <w:rPr>
          <w:rFonts w:hint="eastAsia" w:ascii="仿宋_GB2312" w:hAnsi="仿宋_GB2312" w:eastAsia="仿宋_GB2312" w:cs="仿宋_GB2312"/>
          <w:color w:val="000000" w:themeColor="text1"/>
          <w:sz w:val="32"/>
          <w:szCs w:val="32"/>
          <w:lang w:val="en-US" w:eastAsia="zh-CN"/>
        </w:rPr>
        <w:t>59.15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w:t>
      </w:r>
    </w:p>
    <w:p w14:paraId="0A05DE9E">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楷体_GB2312" w:hAnsi="楷体_GB2312" w:eastAsia="楷体_GB2312" w:cs="楷体_GB2312"/>
          <w:b w:val="0"/>
          <w:bCs w:val="0"/>
          <w:color w:val="000000" w:themeColor="text1"/>
          <w:sz w:val="32"/>
          <w:szCs w:val="32"/>
        </w:rPr>
      </w:pPr>
      <w:bookmarkStart w:id="32" w:name="_Toc15377212"/>
      <w:bookmarkEnd w:id="32"/>
      <w:r>
        <w:rPr>
          <w:rFonts w:hint="eastAsia" w:ascii="楷体_GB2312" w:hAnsi="楷体_GB2312" w:eastAsia="楷体_GB2312" w:cs="楷体_GB2312"/>
          <w:b w:val="0"/>
          <w:bCs w:val="0"/>
          <w:color w:val="000000" w:themeColor="text1"/>
          <w:sz w:val="32"/>
          <w:szCs w:val="32"/>
        </w:rPr>
        <w:t>（三）一般公共预算财政拨款支出决算具体情况</w:t>
      </w:r>
    </w:p>
    <w:p w14:paraId="6F4E579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bookmarkStart w:id="33" w:name="_Toc15377444"/>
      <w:bookmarkEnd w:id="33"/>
      <w:bookmarkStart w:id="34" w:name="_Toc15377213"/>
      <w:bookmarkEnd w:id="34"/>
      <w:bookmarkStart w:id="35" w:name="_Toc15378460"/>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w:t>
      </w:r>
      <w:bookmarkEnd w:id="35"/>
      <w:r>
        <w:rPr>
          <w:rFonts w:hint="eastAsia" w:ascii="仿宋_GB2312" w:hAnsi="仿宋_GB2312" w:eastAsia="仿宋_GB2312" w:cs="仿宋_GB2312"/>
          <w:color w:val="000000" w:themeColor="text1"/>
          <w:sz w:val="32"/>
          <w:szCs w:val="32"/>
        </w:rPr>
        <w:t>一般公共预算支出决算数为</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，完成预算100%。其中：</w:t>
      </w:r>
    </w:p>
    <w:p w14:paraId="5419A0B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lang w:eastAsia="zh-CN"/>
        </w:rPr>
        <w:t>一般公共服务（类）政协事务（款)行政运行（项）: 支出决算为</w:t>
      </w:r>
      <w:r>
        <w:rPr>
          <w:rFonts w:hint="eastAsia" w:ascii="仿宋_GB2312" w:hAnsi="仿宋_GB2312" w:eastAsia="仿宋_GB2312" w:cs="仿宋_GB2312"/>
          <w:color w:val="000000" w:themeColor="text1"/>
          <w:sz w:val="32"/>
          <w:szCs w:val="32"/>
          <w:lang w:val="en-US" w:eastAsia="zh-CN"/>
        </w:rPr>
        <w:t>820.66</w:t>
      </w:r>
      <w:r>
        <w:rPr>
          <w:rFonts w:hint="eastAsia" w:ascii="仿宋_GB2312" w:hAnsi="仿宋_GB2312" w:eastAsia="仿宋_GB2312" w:cs="仿宋_GB2312"/>
          <w:color w:val="000000" w:themeColor="text1"/>
          <w:sz w:val="32"/>
          <w:szCs w:val="32"/>
          <w:lang w:eastAsia="zh-CN"/>
        </w:rPr>
        <w:t>万元，完成预算100%。</w:t>
      </w:r>
    </w:p>
    <w:p w14:paraId="4F43AD6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lang w:eastAsia="zh-CN"/>
        </w:rPr>
        <w:t>一般公共服务（类）政协事务（款)政协会议（项）: 支出决算为64.</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lang w:eastAsia="zh-CN"/>
        </w:rPr>
        <w:t>万元，完成预算100%。</w:t>
      </w:r>
    </w:p>
    <w:p w14:paraId="179B7B5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lang w:eastAsia="zh-CN"/>
        </w:rPr>
        <w:t>一般公共服务（类）政协事务（款)委员视察（项）: 支出决算为25万元，完成预算100%。</w:t>
      </w:r>
    </w:p>
    <w:p w14:paraId="5A131F5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lang w:eastAsia="zh-CN"/>
        </w:rPr>
        <w:t>一般公共服务（类）政协事务（款)参政议政（项）: 支出决算为</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lang w:eastAsia="zh-CN"/>
        </w:rPr>
        <w:t>万元，完成预算100%。</w:t>
      </w:r>
    </w:p>
    <w:p w14:paraId="3053667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lang w:eastAsia="zh-CN"/>
        </w:rPr>
        <w:t>.社会保障和就业（类）行政事业单位离退休（款）机关事业单位基本养老保险缴费（项）: 支出决算为</w:t>
      </w:r>
      <w:r>
        <w:rPr>
          <w:rFonts w:hint="eastAsia" w:ascii="仿宋_GB2312" w:hAnsi="仿宋_GB2312" w:eastAsia="仿宋_GB2312" w:cs="仿宋_GB2312"/>
          <w:color w:val="000000" w:themeColor="text1"/>
          <w:sz w:val="32"/>
          <w:szCs w:val="32"/>
          <w:lang w:val="en-US" w:eastAsia="zh-CN"/>
        </w:rPr>
        <w:t>56.20</w:t>
      </w:r>
      <w:r>
        <w:rPr>
          <w:rFonts w:hint="eastAsia" w:ascii="仿宋_GB2312" w:hAnsi="仿宋_GB2312" w:eastAsia="仿宋_GB2312" w:cs="仿宋_GB2312"/>
          <w:color w:val="000000" w:themeColor="text1"/>
          <w:sz w:val="32"/>
          <w:szCs w:val="32"/>
          <w:lang w:eastAsia="zh-CN"/>
        </w:rPr>
        <w:t>万元，完成预算100%。</w:t>
      </w:r>
    </w:p>
    <w:p w14:paraId="223AA4C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lang w:eastAsia="zh-CN"/>
        </w:rPr>
        <w:t>.医疗卫生与计划生育（类）行政事业单位医疗（款）行政单位医疗（项）:支出决算为</w:t>
      </w:r>
      <w:r>
        <w:rPr>
          <w:rFonts w:hint="eastAsia" w:ascii="仿宋_GB2312" w:hAnsi="仿宋_GB2312" w:eastAsia="仿宋_GB2312" w:cs="仿宋_GB2312"/>
          <w:color w:val="000000" w:themeColor="text1"/>
          <w:sz w:val="32"/>
          <w:szCs w:val="32"/>
          <w:lang w:val="en-US" w:eastAsia="zh-CN"/>
        </w:rPr>
        <w:t>28.64</w:t>
      </w:r>
      <w:r>
        <w:rPr>
          <w:rFonts w:hint="eastAsia" w:ascii="仿宋_GB2312" w:hAnsi="仿宋_GB2312" w:eastAsia="仿宋_GB2312" w:cs="仿宋_GB2312"/>
          <w:color w:val="000000" w:themeColor="text1"/>
          <w:sz w:val="32"/>
          <w:szCs w:val="32"/>
          <w:lang w:eastAsia="zh-CN"/>
        </w:rPr>
        <w:t>万元，完成预算100%。</w:t>
      </w:r>
    </w:p>
    <w:p w14:paraId="10448FC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lang w:eastAsia="zh-CN"/>
        </w:rPr>
        <w:t>.住房保障支出（类）住房改革支出（款）住房公积金（项）</w:t>
      </w:r>
      <w:r>
        <w:rPr>
          <w:rFonts w:hint="eastAsia" w:ascii="仿宋_GB2312" w:hAnsi="仿宋_GB2312" w:eastAsia="仿宋_GB2312" w:cs="仿宋_GB2312"/>
          <w:color w:val="000000" w:themeColor="text1"/>
          <w:sz w:val="32"/>
          <w:szCs w:val="32"/>
          <w:lang w:val="en-US" w:eastAsia="zh-CN"/>
        </w:rPr>
        <w:t>59.15</w:t>
      </w:r>
      <w:r>
        <w:rPr>
          <w:rFonts w:hint="eastAsia" w:ascii="仿宋_GB2312" w:hAnsi="仿宋_GB2312" w:eastAsia="仿宋_GB2312" w:cs="仿宋_GB2312"/>
          <w:color w:val="000000" w:themeColor="text1"/>
          <w:sz w:val="32"/>
          <w:szCs w:val="32"/>
          <w:lang w:eastAsia="zh-CN"/>
        </w:rPr>
        <w:t>万元，完成预算100%。</w:t>
      </w:r>
    </w:p>
    <w:p w14:paraId="702491A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bookmarkStart w:id="36" w:name="_Toc15377214"/>
      <w:bookmarkEnd w:id="36"/>
      <w:bookmarkStart w:id="37" w:name="_Toc15396608"/>
      <w:r>
        <w:rPr>
          <w:rFonts w:hint="eastAsia" w:ascii="黑体" w:hAnsi="黑体" w:eastAsia="黑体" w:cs="黑体"/>
          <w:b w:val="0"/>
          <w:bCs w:val="0"/>
          <w:color w:val="000000" w:themeColor="text1"/>
          <w:sz w:val="32"/>
          <w:szCs w:val="32"/>
          <w:lang w:eastAsia="zh-CN"/>
        </w:rPr>
        <w:t>六</w:t>
      </w:r>
      <w:bookmarkEnd w:id="37"/>
      <w:r>
        <w:rPr>
          <w:rFonts w:hint="eastAsia" w:ascii="黑体" w:hAnsi="黑体" w:eastAsia="黑体" w:cs="黑体"/>
          <w:b w:val="0"/>
          <w:bCs w:val="0"/>
          <w:color w:val="000000" w:themeColor="text1"/>
          <w:sz w:val="32"/>
          <w:szCs w:val="32"/>
          <w:lang w:eastAsia="zh-CN"/>
        </w:rPr>
        <w:t>、一般公共预算财政拨款基本支出决算情况说明</w:t>
      </w:r>
      <w:r>
        <w:rPr>
          <w:rFonts w:hint="eastAsia" w:ascii="黑体" w:hAnsi="黑体" w:eastAsia="黑体" w:cs="黑体"/>
          <w:b w:val="0"/>
          <w:bCs w:val="0"/>
          <w:color w:val="000000" w:themeColor="text1"/>
          <w:sz w:val="32"/>
          <w:szCs w:val="32"/>
          <w:lang w:eastAsia="zh-CN"/>
        </w:rPr>
        <w:tab/>
      </w:r>
    </w:p>
    <w:p w14:paraId="396BEA5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年一般公共预算财政拨款基本支出</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万元，其中：</w:t>
      </w:r>
    </w:p>
    <w:p w14:paraId="3D79680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rPr>
        <w:t>人员经费</w:t>
      </w:r>
      <w:r>
        <w:rPr>
          <w:rFonts w:hint="eastAsia" w:ascii="仿宋_GB2312" w:hAnsi="仿宋_GB2312" w:eastAsia="仿宋_GB2312" w:cs="仿宋_GB2312"/>
          <w:color w:val="000000" w:themeColor="text1"/>
          <w:sz w:val="32"/>
          <w:szCs w:val="32"/>
          <w:lang w:val="en-US" w:eastAsia="zh-CN"/>
        </w:rPr>
        <w:t>714.98</w:t>
      </w:r>
      <w:r>
        <w:rPr>
          <w:rFonts w:hint="eastAsia" w:ascii="仿宋_GB2312" w:hAnsi="仿宋_GB2312" w:eastAsia="仿宋_GB2312" w:cs="仿宋_GB2312"/>
          <w:color w:val="000000" w:themeColor="text1"/>
          <w:sz w:val="32"/>
          <w:szCs w:val="32"/>
        </w:rPr>
        <w:t>万元，主要包括：基本工资、津贴补贴、奖金、绩效工资、机关事业单位基本养老保险缴费、职业年金缴费、其他社会保障缴费、其他工资福利支出、生活补助、医疗费、奖励金、住房公积金、其他对个人和家庭的补助支出等。</w:t>
      </w:r>
    </w:p>
    <w:p w14:paraId="1A8D048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rPr>
        <w:t>公用经费</w:t>
      </w:r>
      <w:r>
        <w:rPr>
          <w:rFonts w:hint="eastAsia" w:ascii="仿宋_GB2312" w:hAnsi="仿宋_GB2312" w:eastAsia="仿宋_GB2312" w:cs="仿宋_GB2312"/>
          <w:color w:val="000000" w:themeColor="text1"/>
          <w:sz w:val="32"/>
          <w:szCs w:val="32"/>
          <w:lang w:val="en-US" w:eastAsia="zh-CN"/>
        </w:rPr>
        <w:t>359.07</w:t>
      </w:r>
      <w:r>
        <w:rPr>
          <w:rFonts w:hint="eastAsia" w:ascii="仿宋_GB2312" w:hAnsi="仿宋_GB2312" w:eastAsia="仿宋_GB2312" w:cs="仿宋_GB2312"/>
          <w:color w:val="000000" w:themeColor="text1"/>
          <w:sz w:val="32"/>
          <w:szCs w:val="32"/>
        </w:rPr>
        <w:t>万元，主要包括：办公费、印刷费、咨询费、手续费、邮电费、差旅费、维修（护）费、租赁费、会议费、培训费、公务接待费、劳务费、委托业务费、工会经费、福利费、其他交通费、税金及附加费用、其他商品和服务支出、办公设备购置、信息网络及软件购置更新、其他资本性支出等。</w:t>
      </w:r>
    </w:p>
    <w:p w14:paraId="06C8F87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bookmarkStart w:id="38" w:name="_Toc15396609"/>
      <w:bookmarkEnd w:id="38"/>
      <w:bookmarkStart w:id="39" w:name="_Toc15377215"/>
      <w:r>
        <w:rPr>
          <w:rFonts w:hint="eastAsia" w:ascii="黑体" w:hAnsi="黑体" w:eastAsia="黑体" w:cs="黑体"/>
          <w:b w:val="0"/>
          <w:bCs w:val="0"/>
          <w:color w:val="000000" w:themeColor="text1"/>
          <w:sz w:val="32"/>
          <w:szCs w:val="32"/>
          <w:lang w:eastAsia="zh-CN"/>
        </w:rPr>
        <w:t>七、</w:t>
      </w:r>
      <w:bookmarkEnd w:id="39"/>
      <w:r>
        <w:rPr>
          <w:rFonts w:hint="eastAsia" w:ascii="黑体" w:hAnsi="黑体" w:eastAsia="黑体" w:cs="黑体"/>
          <w:b w:val="0"/>
          <w:bCs w:val="0"/>
          <w:color w:val="000000" w:themeColor="text1"/>
          <w:sz w:val="32"/>
          <w:szCs w:val="32"/>
          <w:lang w:eastAsia="zh-CN"/>
        </w:rPr>
        <w:t>“三公”经费财政拨款支出决算情况说明</w:t>
      </w:r>
    </w:p>
    <w:p w14:paraId="05819533">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楷体_GB2312" w:hAnsi="楷体_GB2312" w:eastAsia="楷体_GB2312" w:cs="楷体_GB2312"/>
          <w:b w:val="0"/>
          <w:bCs w:val="0"/>
          <w:color w:val="000000" w:themeColor="text1"/>
          <w:sz w:val="32"/>
          <w:szCs w:val="32"/>
        </w:rPr>
      </w:pPr>
      <w:bookmarkStart w:id="40" w:name="_Toc15377216"/>
      <w:bookmarkEnd w:id="40"/>
      <w:r>
        <w:rPr>
          <w:rFonts w:hint="eastAsia" w:ascii="楷体_GB2312" w:hAnsi="楷体_GB2312" w:eastAsia="楷体_GB2312" w:cs="楷体_GB2312"/>
          <w:b w:val="0"/>
          <w:bCs w:val="0"/>
          <w:color w:val="000000" w:themeColor="text1"/>
          <w:sz w:val="32"/>
          <w:szCs w:val="32"/>
        </w:rPr>
        <w:t>（一）“三公”经费财政拨款支出决算总体情况说明</w:t>
      </w:r>
    </w:p>
    <w:p w14:paraId="347A46E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年“三公”经费财政拨款支出决算为</w:t>
      </w:r>
      <w:r>
        <w:rPr>
          <w:rFonts w:hint="eastAsia" w:ascii="仿宋_GB2312" w:hAnsi="仿宋_GB2312" w:eastAsia="仿宋_GB2312" w:cs="仿宋_GB2312"/>
          <w:color w:val="000000" w:themeColor="text1"/>
          <w:sz w:val="32"/>
          <w:szCs w:val="32"/>
          <w:lang w:val="en-US" w:eastAsia="zh-CN"/>
        </w:rPr>
        <w:t>10.8</w:t>
      </w:r>
      <w:r>
        <w:rPr>
          <w:rFonts w:hint="eastAsia" w:ascii="仿宋_GB2312" w:hAnsi="仿宋_GB2312" w:eastAsia="仿宋_GB2312" w:cs="仿宋_GB2312"/>
          <w:color w:val="000000" w:themeColor="text1"/>
          <w:sz w:val="32"/>
          <w:szCs w:val="32"/>
        </w:rPr>
        <w:t>万元，完成预算</w:t>
      </w:r>
      <w:r>
        <w:rPr>
          <w:rFonts w:hint="eastAsia" w:ascii="仿宋_GB2312" w:hAnsi="仿宋_GB2312" w:eastAsia="仿宋_GB2312" w:cs="仿宋_GB2312"/>
          <w:color w:val="000000" w:themeColor="text1"/>
          <w:sz w:val="32"/>
          <w:szCs w:val="32"/>
          <w:lang w:eastAsia="zh-CN"/>
        </w:rPr>
        <w:t>的</w:t>
      </w:r>
      <w:r>
        <w:rPr>
          <w:rFonts w:hint="eastAsia" w:ascii="仿宋_GB2312" w:hAnsi="仿宋_GB2312" w:eastAsia="仿宋_GB2312" w:cs="仿宋_GB2312"/>
          <w:color w:val="000000" w:themeColor="text1"/>
          <w:sz w:val="32"/>
          <w:szCs w:val="32"/>
        </w:rPr>
        <w:t>100%，决算数预算数持平的主要原因是严格执行中央八项规定，</w:t>
      </w:r>
      <w:r>
        <w:rPr>
          <w:rFonts w:hint="eastAsia" w:ascii="仿宋_GB2312" w:hAnsi="仿宋_GB2312" w:eastAsia="仿宋_GB2312" w:cs="仿宋_GB2312"/>
          <w:color w:val="000000" w:themeColor="text1"/>
          <w:sz w:val="32"/>
          <w:szCs w:val="32"/>
          <w:lang w:eastAsia="zh-CN"/>
        </w:rPr>
        <w:t>厉行节约</w:t>
      </w:r>
      <w:r>
        <w:rPr>
          <w:rFonts w:hint="eastAsia" w:ascii="仿宋_GB2312" w:hAnsi="仿宋_GB2312" w:eastAsia="仿宋_GB2312" w:cs="仿宋_GB2312"/>
          <w:color w:val="000000" w:themeColor="text1"/>
          <w:sz w:val="32"/>
          <w:szCs w:val="32"/>
        </w:rPr>
        <w:t>，严重控制“三公”经费支出。</w:t>
      </w:r>
    </w:p>
    <w:p w14:paraId="67393567">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0" w:firstLine="640" w:firstLineChars="200"/>
        <w:textAlignment w:val="auto"/>
        <w:rPr>
          <w:rFonts w:hint="eastAsia" w:ascii="楷体_GB2312" w:hAnsi="楷体_GB2312" w:eastAsia="楷体_GB2312" w:cs="楷体_GB2312"/>
          <w:b w:val="0"/>
          <w:bCs w:val="0"/>
          <w:color w:val="000000" w:themeColor="text1"/>
          <w:sz w:val="32"/>
          <w:szCs w:val="32"/>
        </w:rPr>
      </w:pPr>
      <w:bookmarkStart w:id="41" w:name="_Toc15377217"/>
      <w:bookmarkEnd w:id="41"/>
      <w:r>
        <w:rPr>
          <w:rFonts w:hint="eastAsia" w:ascii="楷体_GB2312" w:hAnsi="楷体_GB2312" w:eastAsia="楷体_GB2312" w:cs="楷体_GB2312"/>
          <w:b w:val="0"/>
          <w:bCs w:val="0"/>
          <w:color w:val="000000" w:themeColor="text1"/>
          <w:sz w:val="32"/>
          <w:szCs w:val="32"/>
        </w:rPr>
        <w:t>（二）“三公”经费财政拨款支出决算具体情况说明</w:t>
      </w:r>
    </w:p>
    <w:p w14:paraId="6B12EAB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年“三公”经费财政拨款支出决算中，因公出国（境）费支出决算0万元，占0%；公务用车购置及运行维护费支出决算0万元，占0%；公务接待费支出决算</w:t>
      </w:r>
      <w:r>
        <w:rPr>
          <w:rFonts w:hint="eastAsia" w:ascii="仿宋_GB2312" w:hAnsi="仿宋_GB2312" w:eastAsia="仿宋_GB2312" w:cs="仿宋_GB2312"/>
          <w:color w:val="000000" w:themeColor="text1"/>
          <w:sz w:val="32"/>
          <w:szCs w:val="32"/>
          <w:lang w:val="en-US" w:eastAsia="zh-CN"/>
        </w:rPr>
        <w:t>5.88</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100</w:t>
      </w:r>
      <w:r>
        <w:rPr>
          <w:rFonts w:hint="eastAsia" w:ascii="仿宋_GB2312" w:hAnsi="仿宋_GB2312" w:eastAsia="仿宋_GB2312" w:cs="仿宋_GB2312"/>
          <w:color w:val="000000" w:themeColor="text1"/>
          <w:sz w:val="32"/>
          <w:szCs w:val="32"/>
        </w:rPr>
        <w:t>%。具体情况如下：</w:t>
      </w:r>
    </w:p>
    <w:p w14:paraId="74AC0A1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lang w:eastAsia="zh-CN"/>
        </w:rPr>
        <w:t>年初未安排预算，</w:t>
      </w:r>
      <w:r>
        <w:rPr>
          <w:rFonts w:hint="eastAsia" w:ascii="仿宋_GB2312" w:eastAsia="仿宋_GB2312"/>
          <w:color w:val="000000"/>
          <w:sz w:val="32"/>
          <w:szCs w:val="32"/>
          <w:lang w:eastAsia="zh-CN"/>
        </w:rPr>
        <w:t>与</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持平</w:t>
      </w:r>
      <w:r>
        <w:rPr>
          <w:rFonts w:hint="eastAsia" w:ascii="仿宋_GB2312" w:hAnsi="仿宋_GB2312" w:eastAsia="仿宋_GB2312" w:cs="仿宋_GB2312"/>
          <w:color w:val="000000" w:themeColor="text1"/>
          <w:sz w:val="32"/>
          <w:szCs w:val="32"/>
        </w:rPr>
        <w:t>。全年安排因公出国（境）团组0次，出国（境）0人。</w:t>
      </w:r>
    </w:p>
    <w:p w14:paraId="3C3ABE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4"/>
          <w:rFonts w:hint="eastAsia" w:ascii="仿宋" w:hAnsi="仿宋" w:eastAsia="仿宋"/>
          <w:b w:val="0"/>
          <w:bCs/>
          <w:color w:val="000000"/>
          <w:sz w:val="32"/>
          <w:szCs w:val="32"/>
          <w:lang w:eastAsia="zh-CN"/>
        </w:rPr>
        <w:t>年初未安排预算，</w:t>
      </w:r>
      <w:r>
        <w:rPr>
          <w:rFonts w:hint="eastAsia" w:ascii="仿宋_GB2312" w:hAnsi="仿宋_GB2312" w:eastAsia="仿宋_GB2312" w:cs="仿宋_GB2312"/>
          <w:color w:val="000000" w:themeColor="text1"/>
          <w:sz w:val="32"/>
          <w:szCs w:val="32"/>
        </w:rPr>
        <w:t>公务用车购置及运行维护费支出决算比201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eastAsia="zh-CN"/>
        </w:rPr>
        <w:t>无变化</w:t>
      </w:r>
      <w:r>
        <w:rPr>
          <w:rFonts w:hint="eastAsia" w:ascii="仿宋_GB2312" w:hAnsi="仿宋_GB2312" w:eastAsia="仿宋_GB2312" w:cs="仿宋_GB2312"/>
          <w:color w:val="000000" w:themeColor="text1"/>
          <w:sz w:val="32"/>
          <w:szCs w:val="32"/>
        </w:rPr>
        <w:t>。</w:t>
      </w:r>
    </w:p>
    <w:p w14:paraId="192D849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其中：公务用车购置支出0万元。截至201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年12月底，单位共有公务用车0辆</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公务用车运行维护费支出0万元。</w:t>
      </w:r>
    </w:p>
    <w:p w14:paraId="06A1F48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3.公务接待费支出</w:t>
      </w:r>
      <w:r>
        <w:rPr>
          <w:rFonts w:hint="eastAsia" w:ascii="仿宋_GB2312" w:hAnsi="仿宋_GB2312" w:eastAsia="仿宋_GB2312" w:cs="仿宋_GB2312"/>
          <w:color w:val="000000" w:themeColor="text1"/>
          <w:sz w:val="32"/>
          <w:szCs w:val="32"/>
          <w:lang w:val="en-US" w:eastAsia="zh-CN"/>
        </w:rPr>
        <w:t>5.88</w:t>
      </w:r>
      <w:r>
        <w:rPr>
          <w:rFonts w:hint="eastAsia" w:ascii="仿宋_GB2312" w:hAnsi="仿宋_GB2312" w:eastAsia="仿宋_GB2312" w:cs="仿宋_GB2312"/>
          <w:color w:val="000000" w:themeColor="text1"/>
          <w:sz w:val="32"/>
          <w:szCs w:val="32"/>
        </w:rPr>
        <w:t>万元，完成预算</w:t>
      </w:r>
      <w:r>
        <w:rPr>
          <w:rFonts w:hint="eastAsia" w:ascii="仿宋_GB2312" w:hAnsi="仿宋_GB2312" w:eastAsia="仿宋_GB2312" w:cs="仿宋_GB2312"/>
          <w:color w:val="000000" w:themeColor="text1"/>
          <w:sz w:val="32"/>
          <w:szCs w:val="32"/>
          <w:lang w:val="en-US" w:eastAsia="zh-CN"/>
        </w:rPr>
        <w:t>83.67</w:t>
      </w:r>
      <w:r>
        <w:rPr>
          <w:rFonts w:hint="eastAsia" w:ascii="仿宋_GB2312" w:hAnsi="仿宋_GB2312" w:eastAsia="仿宋_GB2312" w:cs="仿宋_GB2312"/>
          <w:color w:val="000000" w:themeColor="text1"/>
          <w:sz w:val="32"/>
          <w:szCs w:val="32"/>
        </w:rPr>
        <w:t>%。公务接待费支出比</w:t>
      </w:r>
      <w:r>
        <w:rPr>
          <w:rFonts w:hint="eastAsia" w:ascii="仿宋_GB2312" w:hAnsi="仿宋_GB2312" w:eastAsia="仿宋_GB2312" w:cs="仿宋_GB2312"/>
          <w:color w:val="000000" w:themeColor="text1"/>
          <w:sz w:val="32"/>
          <w:szCs w:val="32"/>
          <w:lang w:eastAsia="zh-CN"/>
        </w:rPr>
        <w:t>预算减少</w:t>
      </w:r>
      <w:r>
        <w:rPr>
          <w:rFonts w:hint="eastAsia" w:ascii="仿宋_GB2312" w:hAnsi="仿宋_GB2312" w:eastAsia="仿宋_GB2312" w:cs="仿宋_GB2312"/>
          <w:color w:val="000000" w:themeColor="text1"/>
          <w:sz w:val="32"/>
          <w:szCs w:val="32"/>
          <w:lang w:val="en-US" w:eastAsia="zh-CN"/>
        </w:rPr>
        <w:t>4.92</w:t>
      </w:r>
      <w:r>
        <w:rPr>
          <w:rFonts w:hint="eastAsia" w:ascii="仿宋_GB2312" w:hAnsi="仿宋_GB2312" w:eastAsia="仿宋_GB2312" w:cs="仿宋_GB2312"/>
          <w:color w:val="000000" w:themeColor="text1"/>
          <w:sz w:val="32"/>
          <w:szCs w:val="32"/>
        </w:rPr>
        <w:t>，主要原因</w:t>
      </w:r>
      <w:r>
        <w:rPr>
          <w:rFonts w:hint="eastAsia" w:ascii="仿宋_GB2312" w:hAnsi="仿宋_GB2312" w:eastAsia="仿宋_GB2312" w:cs="仿宋_GB2312"/>
          <w:color w:val="000000" w:themeColor="text1"/>
          <w:sz w:val="32"/>
          <w:szCs w:val="32"/>
          <w:lang w:eastAsia="zh-CN"/>
        </w:rPr>
        <w:t>一</w:t>
      </w:r>
      <w:r>
        <w:rPr>
          <w:rFonts w:hint="eastAsia" w:ascii="仿宋_GB2312" w:hAnsi="仿宋_GB2312" w:eastAsia="仿宋_GB2312" w:cs="仿宋_GB2312"/>
          <w:color w:val="000000" w:themeColor="text1"/>
          <w:sz w:val="32"/>
          <w:szCs w:val="32"/>
        </w:rPr>
        <w:t>是严格执行中央八项规定，</w:t>
      </w:r>
      <w:r>
        <w:rPr>
          <w:rFonts w:hint="eastAsia" w:ascii="仿宋_GB2312" w:hAnsi="仿宋_GB2312" w:eastAsia="仿宋_GB2312" w:cs="仿宋_GB2312"/>
          <w:color w:val="000000" w:themeColor="text1"/>
          <w:sz w:val="32"/>
          <w:szCs w:val="32"/>
          <w:lang w:eastAsia="zh-CN"/>
        </w:rPr>
        <w:t>厉行节约</w:t>
      </w:r>
      <w:r>
        <w:rPr>
          <w:rFonts w:hint="eastAsia" w:ascii="仿宋_GB2312" w:hAnsi="仿宋_GB2312" w:eastAsia="仿宋_GB2312" w:cs="仿宋_GB2312"/>
          <w:color w:val="000000" w:themeColor="text1"/>
          <w:sz w:val="32"/>
          <w:szCs w:val="32"/>
        </w:rPr>
        <w:t>，严重控制“三公”经费支出</w:t>
      </w:r>
      <w:r>
        <w:rPr>
          <w:rFonts w:hint="eastAsia" w:ascii="仿宋_GB2312" w:hAnsi="仿宋_GB2312" w:eastAsia="仿宋_GB2312" w:cs="仿宋_GB2312"/>
          <w:color w:val="000000" w:themeColor="text1"/>
          <w:sz w:val="32"/>
          <w:szCs w:val="32"/>
          <w:lang w:eastAsia="zh-CN"/>
        </w:rPr>
        <w:t>；二是疫情期间接待减少</w:t>
      </w:r>
      <w:r>
        <w:rPr>
          <w:rFonts w:hint="eastAsia" w:ascii="仿宋_GB2312" w:hAnsi="仿宋_GB2312" w:eastAsia="仿宋_GB2312" w:cs="仿宋_GB2312"/>
          <w:color w:val="000000" w:themeColor="text1"/>
          <w:sz w:val="32"/>
          <w:szCs w:val="32"/>
        </w:rPr>
        <w:t>。</w:t>
      </w:r>
    </w:p>
    <w:p w14:paraId="47387EB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主要用于执行公务、开展业务活动开支的交通费、住宿费、用餐费等。国内公务接待</w:t>
      </w:r>
      <w:r>
        <w:rPr>
          <w:rFonts w:hint="eastAsia" w:ascii="仿宋_GB2312" w:hAnsi="仿宋_GB2312" w:eastAsia="仿宋_GB2312" w:cs="仿宋_GB2312"/>
          <w:color w:val="000000" w:themeColor="text1"/>
          <w:sz w:val="32"/>
          <w:szCs w:val="32"/>
          <w:lang w:val="en-US" w:eastAsia="zh-CN"/>
        </w:rPr>
        <w:t>90余</w:t>
      </w:r>
      <w:r>
        <w:rPr>
          <w:rFonts w:hint="eastAsia" w:ascii="仿宋_GB2312" w:hAnsi="仿宋_GB2312" w:eastAsia="仿宋_GB2312" w:cs="仿宋_GB2312"/>
          <w:color w:val="000000" w:themeColor="text1"/>
          <w:sz w:val="32"/>
          <w:szCs w:val="32"/>
        </w:rPr>
        <w:t>批次，</w:t>
      </w:r>
      <w:r>
        <w:rPr>
          <w:rFonts w:hint="eastAsia" w:ascii="仿宋_GB2312" w:hAnsi="仿宋_GB2312" w:eastAsia="仿宋_GB2312" w:cs="仿宋_GB2312"/>
          <w:color w:val="000000" w:themeColor="text1"/>
          <w:sz w:val="32"/>
          <w:szCs w:val="32"/>
          <w:lang w:val="en-US" w:eastAsia="zh-CN"/>
        </w:rPr>
        <w:t>780</w:t>
      </w:r>
      <w:r>
        <w:rPr>
          <w:rFonts w:hint="eastAsia" w:ascii="仿宋_GB2312" w:hAnsi="仿宋_GB2312" w:eastAsia="仿宋_GB2312" w:cs="仿宋_GB2312"/>
          <w:color w:val="000000" w:themeColor="text1"/>
          <w:sz w:val="32"/>
          <w:szCs w:val="32"/>
        </w:rPr>
        <w:t>人次（不包括陪同人员），共计支出</w:t>
      </w:r>
      <w:r>
        <w:rPr>
          <w:rFonts w:hint="eastAsia" w:ascii="仿宋_GB2312" w:hAnsi="仿宋_GB2312" w:eastAsia="仿宋_GB2312" w:cs="仿宋_GB2312"/>
          <w:color w:val="000000" w:themeColor="text1"/>
          <w:sz w:val="32"/>
          <w:szCs w:val="32"/>
          <w:lang w:val="en-US" w:eastAsia="zh-CN"/>
        </w:rPr>
        <w:t>5.88</w:t>
      </w:r>
      <w:r>
        <w:rPr>
          <w:rFonts w:hint="eastAsia" w:ascii="仿宋_GB2312" w:hAnsi="仿宋_GB2312" w:eastAsia="仿宋_GB2312" w:cs="仿宋_GB2312"/>
          <w:color w:val="000000" w:themeColor="text1"/>
          <w:sz w:val="32"/>
          <w:szCs w:val="32"/>
        </w:rPr>
        <w:t>万元，具体内容包括：省、市、区政协来川检查指导、考察调研、学习交流及招商引资等服务保障。</w:t>
      </w:r>
      <w:r>
        <w:rPr>
          <w:rFonts w:hint="eastAsia" w:ascii="仿宋_GB2312" w:hAnsi="仿宋_GB2312" w:eastAsia="仿宋_GB2312" w:cs="仿宋_GB2312"/>
          <w:color w:val="000000" w:themeColor="text1"/>
          <w:sz w:val="32"/>
          <w:szCs w:val="32"/>
          <w:lang w:val="en-US" w:eastAsia="zh-CN"/>
        </w:rPr>
        <w:t>2020</w:t>
      </w:r>
      <w:r>
        <w:rPr>
          <w:rFonts w:hint="eastAsia" w:ascii="仿宋_GB2312" w:hAnsi="仿宋_GB2312" w:eastAsia="仿宋_GB2312" w:cs="仿宋_GB2312"/>
          <w:color w:val="000000" w:themeColor="text1"/>
          <w:sz w:val="32"/>
          <w:szCs w:val="32"/>
        </w:rPr>
        <w:t>年全年无外事接待支出。</w:t>
      </w:r>
      <w:bookmarkStart w:id="42" w:name="_Toc15396610"/>
      <w:bookmarkEnd w:id="42"/>
    </w:p>
    <w:p w14:paraId="5F19876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lang w:eastAsia="zh-CN"/>
        </w:rPr>
        <w:t>八、政府性基金预算支出决算情况说明</w:t>
      </w:r>
    </w:p>
    <w:p w14:paraId="3C71A83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年政府性基金预算拨款支出0万元。</w:t>
      </w:r>
      <w:bookmarkStart w:id="43" w:name="_Toc15396611"/>
      <w:bookmarkEnd w:id="43"/>
      <w:bookmarkStart w:id="44" w:name="_Toc15377219"/>
      <w:r>
        <w:rPr>
          <w:rFonts w:hint="eastAsia" w:ascii="仿宋_GB2312" w:hAnsi="Times New Roman" w:eastAsia="仿宋_GB2312" w:cs="Times New Roman"/>
          <w:color w:val="000000"/>
          <w:sz w:val="32"/>
          <w:szCs w:val="32"/>
          <w:lang w:val="en-US" w:eastAsia="zh-CN"/>
        </w:rPr>
        <w:t>本单位未在政府性基金预算拨款安排</w:t>
      </w:r>
      <w:r>
        <w:rPr>
          <w:rFonts w:hint="eastAsia" w:ascii="仿宋_GB2312" w:eastAsia="仿宋_GB2312" w:cs="Times New Roman"/>
          <w:color w:val="000000"/>
          <w:sz w:val="32"/>
          <w:szCs w:val="32"/>
          <w:lang w:val="en-US" w:eastAsia="zh-CN"/>
        </w:rPr>
        <w:t>“三公”经费</w:t>
      </w:r>
      <w:r>
        <w:rPr>
          <w:rFonts w:hint="eastAsia" w:ascii="仿宋_GB2312" w:hAnsi="Times New Roman" w:eastAsia="仿宋_GB2312" w:cs="Times New Roman"/>
          <w:color w:val="000000"/>
          <w:sz w:val="32"/>
          <w:szCs w:val="32"/>
          <w:lang w:val="en-US" w:eastAsia="zh-CN"/>
        </w:rPr>
        <w:t>支出。</w:t>
      </w:r>
    </w:p>
    <w:p w14:paraId="1835ADD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color w:val="000000" w:themeColor="text1"/>
          <w:sz w:val="32"/>
          <w:szCs w:val="32"/>
          <w:lang w:eastAsia="zh-CN"/>
        </w:rPr>
      </w:pPr>
      <w:r>
        <w:rPr>
          <w:rFonts w:hint="eastAsia" w:ascii="黑体" w:hAnsi="黑体" w:eastAsia="黑体" w:cs="黑体"/>
          <w:b w:val="0"/>
          <w:bCs w:val="0"/>
          <w:color w:val="000000" w:themeColor="text1"/>
          <w:sz w:val="32"/>
          <w:szCs w:val="32"/>
          <w:lang w:eastAsia="zh-CN"/>
        </w:rPr>
        <w:t>九、国有资本经营预算支出决算情况说明</w:t>
      </w:r>
      <w:bookmarkEnd w:id="44"/>
      <w:r>
        <w:rPr>
          <w:rFonts w:hint="eastAsia" w:ascii="楷体_GB2312" w:hAnsi="楷体_GB2312" w:eastAsia="楷体_GB2312" w:cs="楷体_GB2312"/>
          <w:color w:val="000000" w:themeColor="text1"/>
          <w:sz w:val="32"/>
          <w:szCs w:val="32"/>
          <w:lang w:eastAsia="zh-CN"/>
        </w:rPr>
        <w:tab/>
      </w:r>
    </w:p>
    <w:p w14:paraId="7C4D051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年国有资本经营预算拨款支出0万元。</w:t>
      </w:r>
    </w:p>
    <w:p w14:paraId="59AB3B3B">
      <w:pPr>
        <w:pStyle w:val="9"/>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val="en-US" w:eastAsia="zh-CN"/>
        </w:rPr>
      </w:pPr>
      <w:r>
        <w:rPr>
          <w:rFonts w:hint="eastAsia" w:ascii="黑体" w:hAnsi="黑体" w:eastAsia="黑体" w:cs="黑体"/>
          <w:b w:val="0"/>
          <w:bCs w:val="0"/>
          <w:color w:val="000000" w:themeColor="text1"/>
          <w:sz w:val="32"/>
          <w:szCs w:val="32"/>
          <w:lang w:val="en-US" w:eastAsia="zh-CN"/>
        </w:rPr>
        <w:t>其它重要事项的</w:t>
      </w:r>
      <w:r>
        <w:rPr>
          <w:rFonts w:hint="eastAsia" w:ascii="黑体" w:hAnsi="黑体" w:eastAsia="黑体" w:cs="黑体"/>
          <w:b w:val="0"/>
          <w:bCs w:val="0"/>
          <w:color w:val="000000" w:themeColor="text1"/>
          <w:sz w:val="32"/>
          <w:szCs w:val="32"/>
          <w:lang w:eastAsia="zh-CN"/>
        </w:rPr>
        <w:t>情况</w:t>
      </w:r>
      <w:r>
        <w:rPr>
          <w:rFonts w:hint="eastAsia" w:ascii="黑体" w:hAnsi="黑体" w:eastAsia="黑体" w:cs="黑体"/>
          <w:b w:val="0"/>
          <w:bCs w:val="0"/>
          <w:color w:val="000000" w:themeColor="text1"/>
          <w:sz w:val="32"/>
          <w:szCs w:val="32"/>
          <w:lang w:val="en-US" w:eastAsia="zh-CN"/>
        </w:rPr>
        <w:t>说明</w:t>
      </w:r>
    </w:p>
    <w:p w14:paraId="4D779B1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（一）机关运行经费支出情况</w:t>
      </w:r>
    </w:p>
    <w:p w14:paraId="7046E16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年，政协机关运行经费支出</w:t>
      </w:r>
      <w:r>
        <w:rPr>
          <w:rFonts w:hint="eastAsia" w:ascii="仿宋_GB2312" w:hAnsi="仿宋_GB2312" w:eastAsia="仿宋_GB2312" w:cs="仿宋_GB2312"/>
          <w:color w:val="000000" w:themeColor="text1"/>
          <w:sz w:val="32"/>
          <w:szCs w:val="32"/>
          <w:lang w:val="en-US" w:eastAsia="zh-CN"/>
        </w:rPr>
        <w:t>820.67</w:t>
      </w:r>
      <w:r>
        <w:rPr>
          <w:rFonts w:hint="eastAsia" w:ascii="仿宋_GB2312" w:hAnsi="仿宋_GB2312" w:eastAsia="仿宋_GB2312" w:cs="仿宋_GB2312"/>
          <w:color w:val="000000" w:themeColor="text1"/>
          <w:sz w:val="32"/>
          <w:szCs w:val="32"/>
        </w:rPr>
        <w:t>万元，比201</w:t>
      </w:r>
      <w:r>
        <w:rPr>
          <w:rFonts w:hint="eastAsia" w:ascii="仿宋_GB2312" w:hAnsi="仿宋_GB2312" w:eastAsia="仿宋_GB2312" w:cs="仿宋_GB2312"/>
          <w:color w:val="000000" w:themeColor="text1"/>
          <w:sz w:val="32"/>
          <w:szCs w:val="32"/>
          <w:lang w:val="en-US" w:eastAsia="zh-CN"/>
        </w:rPr>
        <w:t>9</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415.8</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增加</w:t>
      </w:r>
      <w:r>
        <w:rPr>
          <w:rFonts w:hint="eastAsia" w:ascii="仿宋_GB2312" w:hAnsi="仿宋_GB2312" w:eastAsia="仿宋_GB2312" w:cs="仿宋_GB2312"/>
          <w:color w:val="000000" w:themeColor="text1"/>
          <w:sz w:val="32"/>
          <w:szCs w:val="32"/>
          <w:lang w:val="en-US" w:eastAsia="zh-CN"/>
        </w:rPr>
        <w:t>49.33</w:t>
      </w:r>
      <w:r>
        <w:rPr>
          <w:rFonts w:hint="eastAsia" w:ascii="仿宋_GB2312" w:hAnsi="仿宋_GB2312" w:eastAsia="仿宋_GB2312" w:cs="仿宋_GB2312"/>
          <w:color w:val="000000" w:themeColor="text1"/>
          <w:sz w:val="32"/>
          <w:szCs w:val="32"/>
        </w:rPr>
        <w:t>%。主要原因是</w:t>
      </w:r>
      <w:r>
        <w:rPr>
          <w:rFonts w:hint="eastAsia" w:ascii="仿宋_GB2312" w:hAnsi="仿宋_GB2312" w:eastAsia="仿宋_GB2312" w:cs="仿宋_GB2312"/>
          <w:color w:val="000000" w:themeColor="text1"/>
          <w:sz w:val="32"/>
          <w:szCs w:val="32"/>
          <w:lang w:eastAsia="zh-CN"/>
        </w:rPr>
        <w:t>人员增加</w:t>
      </w:r>
      <w:r>
        <w:rPr>
          <w:rFonts w:hint="eastAsia" w:ascii="仿宋_GB2312" w:hAnsi="仿宋_GB2312" w:eastAsia="仿宋_GB2312" w:cs="仿宋_GB2312"/>
          <w:color w:val="000000" w:themeColor="text1"/>
          <w:sz w:val="32"/>
          <w:szCs w:val="32"/>
        </w:rPr>
        <w:t>。</w:t>
      </w:r>
    </w:p>
    <w:p w14:paraId="4DC9503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（二）政府采购支出情况</w:t>
      </w:r>
    </w:p>
    <w:p w14:paraId="2B5CE79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bookmarkStart w:id="68" w:name="_GoBack"/>
      <w:bookmarkEnd w:id="68"/>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年，政府采购支出总额0万元，其中：政府采购货物支出0万元。</w:t>
      </w:r>
    </w:p>
    <w:p w14:paraId="71DF33A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（三）国有资产占有使用情况</w:t>
      </w:r>
    </w:p>
    <w:p w14:paraId="213B2DB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截至20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12月31日，本部门共有车辆0辆，其中：部级领导干部用车0辆、一般公务用车0辆、一般执法执勤用车0辆、特种专业技术用车0辆、其他用车0辆，单价50万元以上通用设备0台（套），单价100万元以上专用设备0台（套）。</w:t>
      </w:r>
    </w:p>
    <w:p w14:paraId="34DAC61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320" w:firstLineChars="100"/>
        <w:textAlignment w:val="auto"/>
        <w:rPr>
          <w:rFonts w:hint="eastAsia" w:ascii="楷体" w:hAnsi="楷体" w:eastAsia="楷体" w:cs="楷体"/>
          <w:b w:val="0"/>
          <w:bCs w:val="0"/>
          <w:color w:val="000000" w:themeColor="text1"/>
          <w:sz w:val="32"/>
          <w:szCs w:val="32"/>
          <w:lang w:eastAsia="zh-CN"/>
        </w:rPr>
      </w:pPr>
      <w:r>
        <w:rPr>
          <w:rFonts w:hint="eastAsia" w:ascii="楷体" w:hAnsi="楷体" w:eastAsia="楷体" w:cs="楷体"/>
          <w:b w:val="0"/>
          <w:bCs w:val="0"/>
          <w:kern w:val="2"/>
          <w:sz w:val="32"/>
          <w:szCs w:val="32"/>
          <w:lang w:val="en-US" w:eastAsia="zh-CN" w:bidi="ar-SA"/>
        </w:rPr>
        <w:t>（四）</w:t>
      </w:r>
      <w:r>
        <w:rPr>
          <w:rFonts w:hint="eastAsia" w:ascii="楷体" w:hAnsi="楷体" w:eastAsia="楷体" w:cs="楷体"/>
          <w:b w:val="0"/>
          <w:bCs w:val="0"/>
          <w:color w:val="000000" w:themeColor="text1"/>
          <w:sz w:val="32"/>
          <w:szCs w:val="32"/>
          <w:lang w:eastAsia="zh-CN"/>
        </w:rPr>
        <w:t>预算绩效</w:t>
      </w:r>
      <w:r>
        <w:rPr>
          <w:rFonts w:hint="eastAsia" w:ascii="楷体" w:hAnsi="楷体" w:eastAsia="楷体" w:cs="楷体"/>
          <w:b w:val="0"/>
          <w:bCs w:val="0"/>
          <w:color w:val="000000" w:themeColor="text1"/>
          <w:sz w:val="32"/>
          <w:szCs w:val="32"/>
          <w:lang w:val="en-US" w:eastAsia="zh-CN"/>
        </w:rPr>
        <w:t>管理</w:t>
      </w:r>
      <w:r>
        <w:rPr>
          <w:rFonts w:hint="eastAsia" w:ascii="楷体" w:hAnsi="楷体" w:eastAsia="楷体" w:cs="楷体"/>
          <w:b w:val="0"/>
          <w:bCs w:val="0"/>
          <w:color w:val="000000" w:themeColor="text1"/>
          <w:sz w:val="32"/>
          <w:szCs w:val="32"/>
          <w:lang w:eastAsia="zh-CN"/>
        </w:rPr>
        <w:t>情况</w:t>
      </w:r>
    </w:p>
    <w:p w14:paraId="75EB37E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根据预算绩效管理要求，本部门（单位）在年初预算编制阶段，组</w:t>
      </w:r>
      <w:r>
        <w:rPr>
          <w:rFonts w:hint="eastAsia" w:ascii="仿宋_GB2312" w:hAnsi="仿宋_GB2312" w:eastAsia="仿宋_GB2312" w:cs="仿宋_GB2312"/>
          <w:color w:val="000000" w:themeColor="text1"/>
          <w:sz w:val="32"/>
          <w:szCs w:val="32"/>
          <w:lang w:eastAsia="zh-CN"/>
        </w:rPr>
        <w:t>织对</w:t>
      </w:r>
      <w:r>
        <w:rPr>
          <w:rFonts w:hint="eastAsia" w:ascii="仿宋_GB2312" w:hAnsi="仿宋_GB2312" w:eastAsia="仿宋_GB2312" w:cs="仿宋_GB2312"/>
          <w:color w:val="000000" w:themeColor="text1"/>
          <w:sz w:val="32"/>
          <w:szCs w:val="32"/>
          <w:lang w:val="en-US" w:eastAsia="zh-CN"/>
        </w:rPr>
        <w:t>信息平台维护使用</w:t>
      </w:r>
      <w:r>
        <w:rPr>
          <w:rFonts w:hint="eastAsia" w:ascii="仿宋_GB2312" w:hAnsi="仿宋_GB2312" w:eastAsia="仿宋_GB2312" w:cs="仿宋_GB2312"/>
          <w:color w:val="000000" w:themeColor="text1"/>
          <w:sz w:val="32"/>
          <w:szCs w:val="32"/>
          <w:lang w:eastAsia="zh-CN"/>
        </w:rPr>
        <w:t>工作经费开</w:t>
      </w:r>
      <w:r>
        <w:rPr>
          <w:rFonts w:hint="eastAsia" w:ascii="仿宋_GB2312" w:hAnsi="仿宋_GB2312" w:eastAsia="仿宋_GB2312" w:cs="仿宋_GB2312"/>
          <w:color w:val="000000" w:themeColor="text1"/>
          <w:sz w:val="32"/>
          <w:szCs w:val="32"/>
        </w:rPr>
        <w:t>展了预算事前绩效评估，对1个项目编制了绩效目标，预算执行过程中，选取1个项目开展绩效监控，年终执行完毕后，计划目标完成，支出符合财政预算绩效要求，达到了工作任务要求，完成了项目产出的绩效目标。</w:t>
      </w:r>
    </w:p>
    <w:p w14:paraId="1F5FF134">
      <w:pPr>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信息平台维护使用工作经费全年预算18万元，</w:t>
      </w:r>
      <w:r>
        <w:rPr>
          <w:rFonts w:hint="eastAsia" w:ascii="仿宋_GB2312" w:hAnsi="仿宋_GB2312" w:eastAsia="仿宋_GB2312" w:cs="仿宋_GB2312"/>
          <w:sz w:val="32"/>
          <w:szCs w:val="32"/>
        </w:rPr>
        <w:t>执行数为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区政协信息平台使用，</w:t>
      </w:r>
      <w:r>
        <w:rPr>
          <w:rFonts w:hint="eastAsia" w:ascii="仿宋_GB2312" w:hAnsi="仿宋_GB2312" w:eastAsia="仿宋_GB2312" w:cs="仿宋_GB2312"/>
          <w:sz w:val="32"/>
          <w:szCs w:val="32"/>
          <w:lang w:eastAsia="zh-CN"/>
        </w:rPr>
        <w:t>使信息平台正常运转，提高工作效率，</w:t>
      </w:r>
      <w:r>
        <w:rPr>
          <w:rFonts w:hint="eastAsia" w:ascii="仿宋_GB2312" w:hAnsi="仿宋_GB2312" w:eastAsia="仿宋_GB2312" w:cs="仿宋_GB2312"/>
          <w:sz w:val="32"/>
          <w:szCs w:val="32"/>
          <w:lang w:val="en-US" w:eastAsia="zh-CN"/>
        </w:rPr>
        <w:t>通知信息及时下达，保障工作顺利开展。</w:t>
      </w:r>
    </w:p>
    <w:tbl>
      <w:tblPr>
        <w:tblStyle w:val="12"/>
        <w:tblpPr w:leftFromText="180" w:rightFromText="180" w:vertAnchor="text" w:horzAnchor="page" w:tblpX="1647" w:tblpY="-12"/>
        <w:tblOverlap w:val="never"/>
        <w:tblW w:w="8840" w:type="dxa"/>
        <w:tblInd w:w="0" w:type="dxa"/>
        <w:tblLayout w:type="fixed"/>
        <w:tblCellMar>
          <w:top w:w="0" w:type="dxa"/>
          <w:left w:w="0" w:type="dxa"/>
          <w:bottom w:w="0" w:type="dxa"/>
          <w:right w:w="0" w:type="dxa"/>
        </w:tblCellMar>
      </w:tblPr>
      <w:tblGrid>
        <w:gridCol w:w="853"/>
        <w:gridCol w:w="576"/>
        <w:gridCol w:w="1646"/>
        <w:gridCol w:w="1752"/>
        <w:gridCol w:w="460"/>
        <w:gridCol w:w="2324"/>
        <w:gridCol w:w="1229"/>
      </w:tblGrid>
      <w:tr w14:paraId="25121694">
        <w:tblPrEx>
          <w:tblCellMar>
            <w:top w:w="0" w:type="dxa"/>
            <w:left w:w="0" w:type="dxa"/>
            <w:bottom w:w="0" w:type="dxa"/>
            <w:right w:w="0" w:type="dxa"/>
          </w:tblCellMar>
        </w:tblPrEx>
        <w:trPr>
          <w:trHeight w:val="373" w:hRule="atLeast"/>
        </w:trPr>
        <w:tc>
          <w:tcPr>
            <w:tcW w:w="8840" w:type="dxa"/>
            <w:gridSpan w:val="7"/>
            <w:tcBorders>
              <w:top w:val="nil"/>
              <w:left w:val="nil"/>
              <w:bottom w:val="nil"/>
              <w:right w:val="nil"/>
            </w:tcBorders>
            <w:tcMar>
              <w:top w:w="15" w:type="dxa"/>
              <w:left w:w="15" w:type="dxa"/>
              <w:bottom w:w="0" w:type="dxa"/>
              <w:right w:w="15" w:type="dxa"/>
            </w:tcMar>
            <w:vAlign w:val="center"/>
          </w:tcPr>
          <w:p w14:paraId="5E60A0AF">
            <w:pPr>
              <w:keepNext w:val="0"/>
              <w:keepLines w:val="0"/>
              <w:pageBreakBefore w:val="0"/>
              <w:widowControl w:val="0"/>
              <w:kinsoku/>
              <w:wordWrap/>
              <w:overflowPunct/>
              <w:topLinePunct w:val="0"/>
              <w:autoSpaceDE/>
              <w:autoSpaceDN/>
              <w:bidi w:val="0"/>
              <w:adjustRightInd/>
              <w:snapToGrid/>
              <w:spacing w:afterAutospacing="0" w:line="400" w:lineRule="exact"/>
              <w:ind w:firstLine="1280" w:firstLineChars="4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项目支出绩效目标完成情况表(20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年度)</w:t>
            </w:r>
          </w:p>
        </w:tc>
      </w:tr>
      <w:tr w14:paraId="252357CF">
        <w:tblPrEx>
          <w:tblCellMar>
            <w:top w:w="0" w:type="dxa"/>
            <w:left w:w="0" w:type="dxa"/>
            <w:bottom w:w="0" w:type="dxa"/>
            <w:right w:w="0" w:type="dxa"/>
          </w:tblCellMar>
        </w:tblPrEx>
        <w:trPr>
          <w:trHeight w:val="239" w:hRule="atLeast"/>
        </w:trPr>
        <w:tc>
          <w:tcPr>
            <w:tcW w:w="307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89BBF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项目名称</w:t>
            </w:r>
          </w:p>
        </w:tc>
        <w:tc>
          <w:tcPr>
            <w:tcW w:w="5765"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0051C3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信息平</w:t>
            </w:r>
            <w:r>
              <w:rPr>
                <w:rFonts w:hint="eastAsia" w:asciiTheme="minorEastAsia" w:hAnsiTheme="minorEastAsia" w:eastAsiaTheme="minorEastAsia" w:cstheme="minorEastAsia"/>
                <w:color w:val="000000" w:themeColor="text1"/>
                <w:sz w:val="21"/>
                <w:szCs w:val="21"/>
                <w:highlight w:val="none"/>
                <w:lang w:val="en-US" w:eastAsia="zh-CN"/>
              </w:rPr>
              <w:t>台维护使用</w:t>
            </w:r>
            <w:r>
              <w:rPr>
                <w:rFonts w:hint="eastAsia" w:asciiTheme="minorEastAsia" w:hAnsiTheme="minorEastAsia" w:eastAsiaTheme="minorEastAsia" w:cstheme="minorEastAsia"/>
                <w:color w:val="000000" w:themeColor="text1"/>
                <w:sz w:val="21"/>
                <w:szCs w:val="21"/>
                <w:highlight w:val="none"/>
                <w:lang w:eastAsia="zh-CN"/>
              </w:rPr>
              <w:t>工作经</w:t>
            </w:r>
            <w:r>
              <w:rPr>
                <w:rFonts w:hint="eastAsia" w:asciiTheme="minorEastAsia" w:hAnsiTheme="minorEastAsia" w:eastAsiaTheme="minorEastAsia" w:cstheme="minorEastAsia"/>
                <w:color w:val="000000" w:themeColor="text1"/>
                <w:sz w:val="21"/>
                <w:szCs w:val="21"/>
                <w:highlight w:val="none"/>
              </w:rPr>
              <w:t>费</w:t>
            </w:r>
          </w:p>
        </w:tc>
      </w:tr>
      <w:tr w14:paraId="0ADEA79D">
        <w:tblPrEx>
          <w:tblCellMar>
            <w:top w:w="0" w:type="dxa"/>
            <w:left w:w="0" w:type="dxa"/>
            <w:bottom w:w="0" w:type="dxa"/>
            <w:right w:w="0" w:type="dxa"/>
          </w:tblCellMar>
        </w:tblPrEx>
        <w:trPr>
          <w:trHeight w:val="239" w:hRule="atLeast"/>
        </w:trPr>
        <w:tc>
          <w:tcPr>
            <w:tcW w:w="307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6817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预算单位</w:t>
            </w:r>
          </w:p>
        </w:tc>
        <w:tc>
          <w:tcPr>
            <w:tcW w:w="5765"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121466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政协广元市昭化区委员会办公室</w:t>
            </w:r>
          </w:p>
        </w:tc>
      </w:tr>
      <w:tr w14:paraId="1643FA0D">
        <w:tblPrEx>
          <w:tblCellMar>
            <w:top w:w="0" w:type="dxa"/>
            <w:left w:w="0" w:type="dxa"/>
            <w:bottom w:w="0" w:type="dxa"/>
            <w:right w:w="0" w:type="dxa"/>
          </w:tblCellMar>
        </w:tblPrEx>
        <w:trPr>
          <w:trHeight w:val="239" w:hRule="atLeast"/>
        </w:trPr>
        <w:tc>
          <w:tcPr>
            <w:tcW w:w="853"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6924AEA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预算执行情况(万元)</w:t>
            </w:r>
          </w:p>
        </w:tc>
        <w:tc>
          <w:tcPr>
            <w:tcW w:w="222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869102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预算数:</w:t>
            </w:r>
          </w:p>
        </w:tc>
        <w:tc>
          <w:tcPr>
            <w:tcW w:w="1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2AA412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18</w:t>
            </w:r>
            <w:r>
              <w:rPr>
                <w:rFonts w:hint="eastAsia" w:asciiTheme="minorEastAsia" w:hAnsiTheme="minorEastAsia" w:eastAsiaTheme="minorEastAsia" w:cstheme="minorEastAsia"/>
                <w:color w:val="000000" w:themeColor="text1"/>
                <w:sz w:val="21"/>
                <w:szCs w:val="21"/>
              </w:rPr>
              <w:t>万元</w:t>
            </w:r>
          </w:p>
        </w:tc>
        <w:tc>
          <w:tcPr>
            <w:tcW w:w="278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7A4A7F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执行数:</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4BACDD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18</w:t>
            </w:r>
            <w:r>
              <w:rPr>
                <w:rFonts w:hint="eastAsia" w:asciiTheme="minorEastAsia" w:hAnsiTheme="minorEastAsia" w:eastAsiaTheme="minorEastAsia" w:cstheme="minorEastAsia"/>
                <w:color w:val="000000" w:themeColor="text1"/>
                <w:sz w:val="21"/>
                <w:szCs w:val="21"/>
              </w:rPr>
              <w:t>万元</w:t>
            </w:r>
          </w:p>
        </w:tc>
      </w:tr>
      <w:tr w14:paraId="04C50FC3">
        <w:tblPrEx>
          <w:tblCellMar>
            <w:top w:w="0" w:type="dxa"/>
            <w:left w:w="0" w:type="dxa"/>
            <w:bottom w:w="0" w:type="dxa"/>
            <w:right w:w="0" w:type="dxa"/>
          </w:tblCellMar>
        </w:tblPrEx>
        <w:trPr>
          <w:trHeight w:val="239" w:hRule="atLeast"/>
        </w:trPr>
        <w:tc>
          <w:tcPr>
            <w:tcW w:w="853" w:type="dxa"/>
            <w:vMerge w:val="continue"/>
            <w:tcBorders>
              <w:top w:val="nil"/>
              <w:left w:val="single" w:color="000000" w:sz="4" w:space="0"/>
              <w:bottom w:val="single" w:color="000000" w:sz="4" w:space="0"/>
              <w:right w:val="single" w:color="000000" w:sz="4" w:space="0"/>
            </w:tcBorders>
            <w:vAlign w:val="center"/>
          </w:tcPr>
          <w:p w14:paraId="234EC04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222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D330AC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其中-财政拨款:</w:t>
            </w:r>
          </w:p>
        </w:tc>
        <w:tc>
          <w:tcPr>
            <w:tcW w:w="1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115BE9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18</w:t>
            </w:r>
            <w:r>
              <w:rPr>
                <w:rFonts w:hint="eastAsia" w:asciiTheme="minorEastAsia" w:hAnsiTheme="minorEastAsia" w:eastAsiaTheme="minorEastAsia" w:cstheme="minorEastAsia"/>
                <w:color w:val="000000" w:themeColor="text1"/>
                <w:sz w:val="21"/>
                <w:szCs w:val="21"/>
              </w:rPr>
              <w:t>万元</w:t>
            </w:r>
          </w:p>
        </w:tc>
        <w:tc>
          <w:tcPr>
            <w:tcW w:w="278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2A6905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其中-财政拨款:</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F913EC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lang w:val="en-US" w:eastAsia="zh-CN"/>
              </w:rPr>
              <w:t>18</w:t>
            </w:r>
            <w:r>
              <w:rPr>
                <w:rFonts w:hint="eastAsia" w:asciiTheme="minorEastAsia" w:hAnsiTheme="minorEastAsia" w:eastAsiaTheme="minorEastAsia" w:cstheme="minorEastAsia"/>
                <w:color w:val="000000" w:themeColor="text1"/>
                <w:sz w:val="21"/>
                <w:szCs w:val="21"/>
              </w:rPr>
              <w:t>万元</w:t>
            </w:r>
          </w:p>
        </w:tc>
      </w:tr>
      <w:tr w14:paraId="60A5ED43">
        <w:tblPrEx>
          <w:tblCellMar>
            <w:top w:w="0" w:type="dxa"/>
            <w:left w:w="0" w:type="dxa"/>
            <w:bottom w:w="0" w:type="dxa"/>
            <w:right w:w="0" w:type="dxa"/>
          </w:tblCellMar>
        </w:tblPrEx>
        <w:trPr>
          <w:trHeight w:val="239" w:hRule="atLeast"/>
        </w:trPr>
        <w:tc>
          <w:tcPr>
            <w:tcW w:w="853" w:type="dxa"/>
            <w:vMerge w:val="continue"/>
            <w:tcBorders>
              <w:top w:val="nil"/>
              <w:left w:val="single" w:color="000000" w:sz="4" w:space="0"/>
              <w:bottom w:val="single" w:color="000000" w:sz="4" w:space="0"/>
              <w:right w:val="single" w:color="000000" w:sz="4" w:space="0"/>
            </w:tcBorders>
            <w:vAlign w:val="center"/>
          </w:tcPr>
          <w:p w14:paraId="77EFB49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222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DD576C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其它资金:</w:t>
            </w:r>
          </w:p>
        </w:tc>
        <w:tc>
          <w:tcPr>
            <w:tcW w:w="17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F1E7F1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0</w:t>
            </w:r>
          </w:p>
        </w:tc>
        <w:tc>
          <w:tcPr>
            <w:tcW w:w="2784"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44CB19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其它资金:</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373928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0</w:t>
            </w:r>
          </w:p>
        </w:tc>
      </w:tr>
      <w:tr w14:paraId="7A9C59CB">
        <w:tblPrEx>
          <w:tblCellMar>
            <w:top w:w="0" w:type="dxa"/>
            <w:left w:w="0" w:type="dxa"/>
            <w:bottom w:w="0" w:type="dxa"/>
            <w:right w:w="0" w:type="dxa"/>
          </w:tblCellMar>
        </w:tblPrEx>
        <w:trPr>
          <w:trHeight w:val="239" w:hRule="atLeast"/>
        </w:trPr>
        <w:tc>
          <w:tcPr>
            <w:tcW w:w="853"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2A555CF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年度目标完成情</w:t>
            </w:r>
            <w:r>
              <w:rPr>
                <w:rFonts w:hint="eastAsia" w:asciiTheme="minorEastAsia" w:hAnsiTheme="minorEastAsia" w:eastAsiaTheme="minorEastAsia" w:cstheme="minorEastAsia"/>
                <w:color w:val="000000" w:themeColor="text1"/>
                <w:sz w:val="21"/>
                <w:szCs w:val="21"/>
                <w:lang w:val="en-US" w:eastAsia="zh-CN"/>
              </w:rPr>
              <w:t xml:space="preserve">  </w:t>
            </w:r>
            <w:r>
              <w:rPr>
                <w:rFonts w:hint="eastAsia" w:asciiTheme="minorEastAsia" w:hAnsiTheme="minorEastAsia" w:eastAsiaTheme="minorEastAsia" w:cstheme="minorEastAsia"/>
                <w:color w:val="000000" w:themeColor="text1"/>
                <w:sz w:val="21"/>
                <w:szCs w:val="21"/>
              </w:rPr>
              <w:t>况</w:t>
            </w:r>
          </w:p>
        </w:tc>
        <w:tc>
          <w:tcPr>
            <w:tcW w:w="397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37B8CA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预期目标</w:t>
            </w:r>
          </w:p>
        </w:tc>
        <w:tc>
          <w:tcPr>
            <w:tcW w:w="4013"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8CFEB4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实际完成目标</w:t>
            </w:r>
          </w:p>
        </w:tc>
      </w:tr>
      <w:tr w14:paraId="20F64CC2">
        <w:tblPrEx>
          <w:tblCellMar>
            <w:top w:w="0" w:type="dxa"/>
            <w:left w:w="0" w:type="dxa"/>
            <w:bottom w:w="0" w:type="dxa"/>
            <w:right w:w="0" w:type="dxa"/>
          </w:tblCellMar>
        </w:tblPrEx>
        <w:trPr>
          <w:trHeight w:val="457" w:hRule="atLeast"/>
        </w:trPr>
        <w:tc>
          <w:tcPr>
            <w:tcW w:w="853" w:type="dxa"/>
            <w:vMerge w:val="continue"/>
            <w:tcBorders>
              <w:top w:val="nil"/>
              <w:left w:val="single" w:color="000000" w:sz="4" w:space="0"/>
              <w:bottom w:val="single" w:color="000000" w:sz="4" w:space="0"/>
              <w:right w:val="single" w:color="000000" w:sz="4" w:space="0"/>
            </w:tcBorders>
            <w:vAlign w:val="center"/>
          </w:tcPr>
          <w:p w14:paraId="5F880DA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3974"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0BDA3C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val="en-US" w:eastAsia="zh-CN"/>
              </w:rPr>
              <w:t xml:space="preserve"> 保障区政协信息平台使用</w:t>
            </w:r>
          </w:p>
        </w:tc>
        <w:tc>
          <w:tcPr>
            <w:tcW w:w="4013" w:type="dxa"/>
            <w:gridSpan w:val="3"/>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681EE6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通过项目的实施，</w:t>
            </w:r>
            <w:r>
              <w:rPr>
                <w:rFonts w:hint="eastAsia" w:asciiTheme="minorEastAsia" w:hAnsiTheme="minorEastAsia" w:eastAsiaTheme="minorEastAsia" w:cstheme="minorEastAsia"/>
                <w:color w:val="000000" w:themeColor="text1"/>
                <w:sz w:val="21"/>
                <w:szCs w:val="21"/>
                <w:lang w:eastAsia="zh-CN"/>
              </w:rPr>
              <w:t>使信息平台正常运转，提高工作效率。</w:t>
            </w:r>
          </w:p>
        </w:tc>
      </w:tr>
      <w:tr w14:paraId="71980467">
        <w:tblPrEx>
          <w:tblCellMar>
            <w:top w:w="0" w:type="dxa"/>
            <w:left w:w="0" w:type="dxa"/>
            <w:bottom w:w="0" w:type="dxa"/>
            <w:right w:w="0" w:type="dxa"/>
          </w:tblCellMar>
        </w:tblPrEx>
        <w:trPr>
          <w:trHeight w:val="457" w:hRule="atLeast"/>
        </w:trPr>
        <w:tc>
          <w:tcPr>
            <w:tcW w:w="853" w:type="dxa"/>
            <w:vMerge w:val="restart"/>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14:paraId="1951A82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绩</w:t>
            </w:r>
          </w:p>
          <w:p w14:paraId="22261ED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效</w:t>
            </w:r>
          </w:p>
          <w:p w14:paraId="11AE82C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指</w:t>
            </w:r>
          </w:p>
          <w:p w14:paraId="04474B5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标</w:t>
            </w:r>
          </w:p>
        </w:tc>
        <w:tc>
          <w:tcPr>
            <w:tcW w:w="576"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14:paraId="4A5AD9C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一级</w:t>
            </w:r>
          </w:p>
          <w:p w14:paraId="17B87BD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指标</w:t>
            </w:r>
          </w:p>
        </w:tc>
        <w:tc>
          <w:tcPr>
            <w:tcW w:w="1646"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14:paraId="09466B0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二级指标</w:t>
            </w:r>
          </w:p>
        </w:tc>
        <w:tc>
          <w:tcPr>
            <w:tcW w:w="2212" w:type="dxa"/>
            <w:gridSpan w:val="2"/>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14:paraId="669EFAA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三级指标</w:t>
            </w:r>
          </w:p>
        </w:tc>
        <w:tc>
          <w:tcPr>
            <w:tcW w:w="2324"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14:paraId="5755AA0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指标值(包含数字及文字描述)</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6035EB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备</w:t>
            </w:r>
            <w:r>
              <w:rPr>
                <w:rFonts w:hint="eastAsia" w:asciiTheme="minorEastAsia" w:hAnsiTheme="minorEastAsia" w:eastAsiaTheme="minorEastAsia" w:cstheme="minorEastAsia"/>
                <w:color w:val="000000" w:themeColor="text1"/>
                <w:sz w:val="21"/>
                <w:szCs w:val="21"/>
                <w:lang w:val="en-US" w:eastAsia="zh-CN"/>
              </w:rPr>
              <w:t xml:space="preserve">  </w:t>
            </w:r>
            <w:r>
              <w:rPr>
                <w:rFonts w:hint="eastAsia" w:asciiTheme="minorEastAsia" w:hAnsiTheme="minorEastAsia" w:eastAsiaTheme="minorEastAsia" w:cstheme="minorEastAsia"/>
                <w:color w:val="000000" w:themeColor="text1"/>
                <w:sz w:val="21"/>
                <w:szCs w:val="21"/>
                <w:lang w:eastAsia="zh-CN"/>
              </w:rPr>
              <w:t>注</w:t>
            </w:r>
          </w:p>
        </w:tc>
      </w:tr>
      <w:tr w14:paraId="23FF5DAC">
        <w:tblPrEx>
          <w:tblCellMar>
            <w:top w:w="0" w:type="dxa"/>
            <w:left w:w="0" w:type="dxa"/>
            <w:bottom w:w="0" w:type="dxa"/>
            <w:right w:w="0" w:type="dxa"/>
          </w:tblCellMar>
        </w:tblPrEx>
        <w:trPr>
          <w:trHeight w:val="674" w:hRule="atLeast"/>
        </w:trPr>
        <w:tc>
          <w:tcPr>
            <w:tcW w:w="853" w:type="dxa"/>
            <w:vMerge w:val="continue"/>
            <w:tcBorders>
              <w:top w:val="nil"/>
              <w:left w:val="single" w:color="000000" w:sz="4" w:space="0"/>
              <w:bottom w:val="single" w:color="000000" w:sz="4" w:space="0"/>
              <w:right w:val="single" w:color="auto" w:sz="4" w:space="0"/>
            </w:tcBorders>
            <w:vAlign w:val="center"/>
          </w:tcPr>
          <w:p w14:paraId="6911A49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lang w:eastAsia="zh-CN"/>
              </w:rPr>
            </w:pPr>
          </w:p>
        </w:tc>
        <w:tc>
          <w:tcPr>
            <w:tcW w:w="576" w:type="dxa"/>
            <w:vMerge w:val="restart"/>
            <w:tcBorders>
              <w:top w:val="single" w:color="auto" w:sz="4" w:space="0"/>
              <w:left w:val="single" w:color="auto" w:sz="4" w:space="0"/>
              <w:right w:val="single" w:color="000000" w:sz="4" w:space="0"/>
            </w:tcBorders>
            <w:tcMar>
              <w:top w:w="15" w:type="dxa"/>
              <w:left w:w="15" w:type="dxa"/>
              <w:bottom w:w="0" w:type="dxa"/>
              <w:right w:w="15" w:type="dxa"/>
            </w:tcMar>
            <w:vAlign w:val="center"/>
          </w:tcPr>
          <w:p w14:paraId="584F72A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产出</w:t>
            </w:r>
          </w:p>
          <w:p w14:paraId="6E70FE5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指标</w:t>
            </w:r>
          </w:p>
        </w:tc>
        <w:tc>
          <w:tcPr>
            <w:tcW w:w="1646" w:type="dxa"/>
            <w:tcBorders>
              <w:top w:val="single" w:color="auto" w:sz="4" w:space="0"/>
              <w:left w:val="single" w:color="000000" w:sz="4" w:space="0"/>
              <w:right w:val="single" w:color="000000" w:sz="4" w:space="0"/>
            </w:tcBorders>
            <w:tcMar>
              <w:top w:w="15" w:type="dxa"/>
              <w:left w:w="15" w:type="dxa"/>
              <w:bottom w:w="0" w:type="dxa"/>
              <w:right w:w="15" w:type="dxa"/>
            </w:tcMar>
            <w:vAlign w:val="center"/>
          </w:tcPr>
          <w:p w14:paraId="655C5E5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数量指标</w:t>
            </w:r>
          </w:p>
        </w:tc>
        <w:tc>
          <w:tcPr>
            <w:tcW w:w="2212" w:type="dxa"/>
            <w:gridSpan w:val="2"/>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14:paraId="1EB2DF6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覆盖对象</w:t>
            </w:r>
          </w:p>
        </w:tc>
        <w:tc>
          <w:tcPr>
            <w:tcW w:w="2324" w:type="dxa"/>
            <w:tcBorders>
              <w:top w:val="single" w:color="auto" w:sz="4" w:space="0"/>
              <w:left w:val="nil"/>
              <w:bottom w:val="single" w:color="000000" w:sz="4" w:space="0"/>
              <w:right w:val="single" w:color="auto" w:sz="4" w:space="0"/>
            </w:tcBorders>
            <w:tcMar>
              <w:top w:w="15" w:type="dxa"/>
              <w:left w:w="15" w:type="dxa"/>
              <w:bottom w:w="0" w:type="dxa"/>
              <w:right w:w="15" w:type="dxa"/>
            </w:tcMar>
            <w:vAlign w:val="center"/>
          </w:tcPr>
          <w:p w14:paraId="1B5A62C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覆盖所有政协委员和工作人员，通知信息及时下达，保障工作顺利开展</w:t>
            </w:r>
          </w:p>
        </w:tc>
        <w:tc>
          <w:tcPr>
            <w:tcW w:w="1229"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F0830A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4164D7C5">
        <w:tblPrEx>
          <w:tblCellMar>
            <w:top w:w="0" w:type="dxa"/>
            <w:left w:w="0" w:type="dxa"/>
            <w:bottom w:w="0" w:type="dxa"/>
            <w:right w:w="0" w:type="dxa"/>
          </w:tblCellMar>
        </w:tblPrEx>
        <w:trPr>
          <w:trHeight w:val="674" w:hRule="atLeast"/>
        </w:trPr>
        <w:tc>
          <w:tcPr>
            <w:tcW w:w="853" w:type="dxa"/>
            <w:vMerge w:val="continue"/>
            <w:tcBorders>
              <w:top w:val="nil"/>
              <w:left w:val="single" w:color="000000" w:sz="4" w:space="0"/>
              <w:bottom w:val="single" w:color="000000" w:sz="4" w:space="0"/>
              <w:right w:val="single" w:color="auto" w:sz="4" w:space="0"/>
            </w:tcBorders>
            <w:vAlign w:val="center"/>
          </w:tcPr>
          <w:p w14:paraId="0F67079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left w:val="single" w:color="auto" w:sz="4" w:space="0"/>
              <w:right w:val="single" w:color="000000" w:sz="4" w:space="0"/>
            </w:tcBorders>
            <w:tcMar>
              <w:top w:w="15" w:type="dxa"/>
              <w:left w:w="15" w:type="dxa"/>
              <w:bottom w:w="0" w:type="dxa"/>
              <w:right w:w="15" w:type="dxa"/>
            </w:tcMar>
            <w:vAlign w:val="center"/>
          </w:tcPr>
          <w:p w14:paraId="5020F53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lang w:eastAsia="zh-CN"/>
              </w:rPr>
            </w:pPr>
          </w:p>
        </w:tc>
        <w:tc>
          <w:tcPr>
            <w:tcW w:w="1646"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0B9EE2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质量指标</w:t>
            </w:r>
          </w:p>
        </w:tc>
        <w:tc>
          <w:tcPr>
            <w:tcW w:w="22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F4335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系统维护及时</w:t>
            </w:r>
          </w:p>
        </w:tc>
        <w:tc>
          <w:tcPr>
            <w:tcW w:w="2324" w:type="dxa"/>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720F2CD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eastAsia="zh-CN"/>
              </w:rPr>
              <w:t>对系统故障及正常维护都能及时维护，确保不影响工作开展。</w:t>
            </w:r>
          </w:p>
        </w:tc>
        <w:tc>
          <w:tcPr>
            <w:tcW w:w="1229"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B4F54E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21DE376F">
        <w:tblPrEx>
          <w:tblCellMar>
            <w:top w:w="0" w:type="dxa"/>
            <w:left w:w="0" w:type="dxa"/>
            <w:bottom w:w="0" w:type="dxa"/>
            <w:right w:w="0" w:type="dxa"/>
          </w:tblCellMar>
        </w:tblPrEx>
        <w:trPr>
          <w:trHeight w:val="239" w:hRule="atLeast"/>
        </w:trPr>
        <w:tc>
          <w:tcPr>
            <w:tcW w:w="853" w:type="dxa"/>
            <w:vMerge w:val="continue"/>
            <w:tcBorders>
              <w:top w:val="nil"/>
              <w:left w:val="single" w:color="000000" w:sz="4" w:space="0"/>
              <w:bottom w:val="single" w:color="000000" w:sz="4" w:space="0"/>
              <w:right w:val="single" w:color="auto" w:sz="4" w:space="0"/>
            </w:tcBorders>
            <w:vAlign w:val="center"/>
          </w:tcPr>
          <w:p w14:paraId="738C70F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left w:val="single" w:color="auto" w:sz="4" w:space="0"/>
              <w:right w:val="single" w:color="000000" w:sz="4" w:space="0"/>
            </w:tcBorders>
            <w:tcMar>
              <w:top w:w="15" w:type="dxa"/>
              <w:left w:w="15" w:type="dxa"/>
              <w:bottom w:w="0" w:type="dxa"/>
              <w:right w:w="15" w:type="dxa"/>
            </w:tcMar>
            <w:vAlign w:val="center"/>
          </w:tcPr>
          <w:p w14:paraId="4243087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lang w:eastAsia="zh-CN"/>
              </w:rPr>
            </w:pPr>
          </w:p>
        </w:tc>
        <w:tc>
          <w:tcPr>
            <w:tcW w:w="1646"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653AFA0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2212" w:type="dxa"/>
            <w:gridSpan w:val="2"/>
            <w:tcBorders>
              <w:top w:val="nil"/>
              <w:left w:val="nil"/>
              <w:bottom w:val="single" w:color="000000" w:sz="4" w:space="0"/>
              <w:right w:val="single" w:color="000000" w:sz="4" w:space="0"/>
            </w:tcBorders>
            <w:tcMar>
              <w:top w:w="15" w:type="dxa"/>
              <w:left w:w="15" w:type="dxa"/>
              <w:bottom w:w="0" w:type="dxa"/>
              <w:right w:w="15" w:type="dxa"/>
            </w:tcMar>
            <w:vAlign w:val="center"/>
          </w:tcPr>
          <w:p w14:paraId="153A3DB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p>
        </w:tc>
        <w:tc>
          <w:tcPr>
            <w:tcW w:w="2324" w:type="dxa"/>
            <w:tcBorders>
              <w:top w:val="single" w:color="000000" w:sz="4" w:space="0"/>
              <w:left w:val="nil"/>
              <w:bottom w:val="single" w:color="000000" w:sz="4" w:space="0"/>
              <w:right w:val="single" w:color="auto" w:sz="4" w:space="0"/>
            </w:tcBorders>
            <w:tcMar>
              <w:top w:w="15" w:type="dxa"/>
              <w:left w:w="15" w:type="dxa"/>
              <w:bottom w:w="0" w:type="dxa"/>
              <w:right w:w="15" w:type="dxa"/>
            </w:tcMar>
            <w:vAlign w:val="center"/>
          </w:tcPr>
          <w:p w14:paraId="454051B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p>
        </w:tc>
        <w:tc>
          <w:tcPr>
            <w:tcW w:w="1229"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18CE9A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236AF706">
        <w:tblPrEx>
          <w:tblCellMar>
            <w:top w:w="0" w:type="dxa"/>
            <w:left w:w="0" w:type="dxa"/>
            <w:bottom w:w="0" w:type="dxa"/>
            <w:right w:w="0" w:type="dxa"/>
          </w:tblCellMar>
        </w:tblPrEx>
        <w:trPr>
          <w:trHeight w:val="457" w:hRule="atLeast"/>
        </w:trPr>
        <w:tc>
          <w:tcPr>
            <w:tcW w:w="853" w:type="dxa"/>
            <w:vMerge w:val="continue"/>
            <w:tcBorders>
              <w:top w:val="nil"/>
              <w:left w:val="single" w:color="000000" w:sz="4" w:space="0"/>
              <w:bottom w:val="nil"/>
              <w:right w:val="single" w:color="auto" w:sz="4" w:space="0"/>
            </w:tcBorders>
            <w:vAlign w:val="center"/>
          </w:tcPr>
          <w:p w14:paraId="73F91A3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left w:val="single" w:color="auto" w:sz="4" w:space="0"/>
              <w:bottom w:val="single" w:color="auto" w:sz="4" w:space="0"/>
              <w:right w:val="single" w:color="000000" w:sz="4" w:space="0"/>
            </w:tcBorders>
            <w:tcMar>
              <w:top w:w="15" w:type="dxa"/>
              <w:left w:w="15" w:type="dxa"/>
              <w:bottom w:w="0" w:type="dxa"/>
              <w:right w:w="15" w:type="dxa"/>
            </w:tcMar>
            <w:vAlign w:val="center"/>
          </w:tcPr>
          <w:p w14:paraId="694BCAA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1646" w:type="dxa"/>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14:paraId="64B8500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时效指标</w:t>
            </w:r>
          </w:p>
        </w:tc>
        <w:tc>
          <w:tcPr>
            <w:tcW w:w="2212" w:type="dxa"/>
            <w:gridSpan w:val="2"/>
            <w:tcBorders>
              <w:top w:val="single" w:color="000000" w:sz="4" w:space="0"/>
              <w:left w:val="nil"/>
              <w:bottom w:val="single" w:color="auto" w:sz="4" w:space="0"/>
              <w:right w:val="single" w:color="000000" w:sz="4" w:space="0"/>
            </w:tcBorders>
            <w:tcMar>
              <w:top w:w="15" w:type="dxa"/>
              <w:left w:w="15" w:type="dxa"/>
              <w:bottom w:w="0" w:type="dxa"/>
              <w:right w:w="15" w:type="dxa"/>
            </w:tcMar>
            <w:vAlign w:val="center"/>
          </w:tcPr>
          <w:p w14:paraId="66BA009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正常运转</w:t>
            </w:r>
          </w:p>
        </w:tc>
        <w:tc>
          <w:tcPr>
            <w:tcW w:w="2324" w:type="dxa"/>
            <w:tcBorders>
              <w:top w:val="single" w:color="000000" w:sz="4" w:space="0"/>
              <w:left w:val="nil"/>
              <w:bottom w:val="single" w:color="auto" w:sz="4" w:space="0"/>
              <w:right w:val="single" w:color="auto" w:sz="4" w:space="0"/>
            </w:tcBorders>
            <w:tcMar>
              <w:top w:w="15" w:type="dxa"/>
              <w:left w:w="15" w:type="dxa"/>
              <w:bottom w:w="0" w:type="dxa"/>
              <w:right w:w="15" w:type="dxa"/>
            </w:tcMar>
            <w:vAlign w:val="center"/>
          </w:tcPr>
          <w:p w14:paraId="69664A3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rPr>
              <w:t>及时下发通知信息，及时维护系统。</w:t>
            </w:r>
          </w:p>
        </w:tc>
        <w:tc>
          <w:tcPr>
            <w:tcW w:w="1229" w:type="dxa"/>
            <w:tcBorders>
              <w:top w:val="single" w:color="000000"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6AF91AD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3484F18F">
        <w:tblPrEx>
          <w:tblCellMar>
            <w:top w:w="0" w:type="dxa"/>
            <w:left w:w="0" w:type="dxa"/>
            <w:bottom w:w="0" w:type="dxa"/>
            <w:right w:w="0" w:type="dxa"/>
          </w:tblCellMar>
        </w:tblPrEx>
        <w:trPr>
          <w:trHeight w:val="457" w:hRule="atLeast"/>
        </w:trPr>
        <w:tc>
          <w:tcPr>
            <w:tcW w:w="853" w:type="dxa"/>
            <w:tcBorders>
              <w:top w:val="nil"/>
              <w:left w:val="single" w:color="000000" w:sz="4" w:space="0"/>
              <w:bottom w:val="nil"/>
              <w:right w:val="single" w:color="auto" w:sz="4" w:space="0"/>
            </w:tcBorders>
            <w:vAlign w:val="center"/>
          </w:tcPr>
          <w:p w14:paraId="360F017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05B60A1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1646"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14:paraId="6D09384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成本指标</w:t>
            </w:r>
          </w:p>
        </w:tc>
        <w:tc>
          <w:tcPr>
            <w:tcW w:w="2212" w:type="dxa"/>
            <w:gridSpan w:val="2"/>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14:paraId="71A1BD8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控制成本，及时兑付工作经费</w:t>
            </w:r>
          </w:p>
        </w:tc>
        <w:tc>
          <w:tcPr>
            <w:tcW w:w="2324" w:type="dxa"/>
            <w:tcBorders>
              <w:top w:val="single" w:color="auto" w:sz="4" w:space="0"/>
              <w:left w:val="nil"/>
              <w:bottom w:val="single" w:color="000000" w:sz="4" w:space="0"/>
              <w:right w:val="single" w:color="000000" w:sz="4" w:space="0"/>
            </w:tcBorders>
            <w:tcMar>
              <w:top w:w="15" w:type="dxa"/>
              <w:left w:w="15" w:type="dxa"/>
              <w:bottom w:w="0" w:type="dxa"/>
              <w:right w:w="15" w:type="dxa"/>
            </w:tcMar>
            <w:vAlign w:val="center"/>
          </w:tcPr>
          <w:p w14:paraId="0C89331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节约成本最低化</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A009D7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7D49EC94">
        <w:tblPrEx>
          <w:tblCellMar>
            <w:top w:w="0" w:type="dxa"/>
            <w:left w:w="0" w:type="dxa"/>
            <w:bottom w:w="0" w:type="dxa"/>
            <w:right w:w="0" w:type="dxa"/>
          </w:tblCellMar>
        </w:tblPrEx>
        <w:trPr>
          <w:trHeight w:val="457" w:hRule="atLeast"/>
        </w:trPr>
        <w:tc>
          <w:tcPr>
            <w:tcW w:w="853" w:type="dxa"/>
            <w:tcBorders>
              <w:top w:val="nil"/>
              <w:left w:val="single" w:color="000000" w:sz="4" w:space="0"/>
              <w:bottom w:val="nil"/>
              <w:right w:val="single" w:color="000000" w:sz="4" w:space="0"/>
            </w:tcBorders>
            <w:vAlign w:val="center"/>
          </w:tcPr>
          <w:p w14:paraId="5772A9F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restart"/>
            <w:tcBorders>
              <w:top w:val="single" w:color="000000" w:sz="4" w:space="0"/>
              <w:left w:val="nil"/>
              <w:right w:val="single" w:color="000000" w:sz="4" w:space="0"/>
            </w:tcBorders>
            <w:tcMar>
              <w:top w:w="15" w:type="dxa"/>
              <w:left w:w="15" w:type="dxa"/>
              <w:bottom w:w="0" w:type="dxa"/>
              <w:right w:w="15" w:type="dxa"/>
            </w:tcMar>
            <w:vAlign w:val="center"/>
          </w:tcPr>
          <w:p w14:paraId="3C1ED2D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效益</w:t>
            </w:r>
          </w:p>
          <w:p w14:paraId="05FCF8C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指标</w:t>
            </w:r>
          </w:p>
        </w:tc>
        <w:tc>
          <w:tcPr>
            <w:tcW w:w="164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28984D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经济效益指标</w:t>
            </w:r>
          </w:p>
        </w:tc>
        <w:tc>
          <w:tcPr>
            <w:tcW w:w="22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E9F97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设备利用率</w:t>
            </w:r>
          </w:p>
        </w:tc>
        <w:tc>
          <w:tcPr>
            <w:tcW w:w="23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5537CF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default"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eastAsia="zh-CN"/>
              </w:rPr>
              <w:t>设备利用率高，利用率</w:t>
            </w:r>
            <w:r>
              <w:rPr>
                <w:rFonts w:hint="eastAsia" w:asciiTheme="minorEastAsia" w:hAnsiTheme="minorEastAsia" w:eastAsiaTheme="minorEastAsia" w:cstheme="minorEastAsia"/>
                <w:color w:val="000000" w:themeColor="text1"/>
                <w:sz w:val="21"/>
                <w:szCs w:val="21"/>
                <w:lang w:val="en-US" w:eastAsia="zh-CN"/>
              </w:rPr>
              <w:t>100%</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B8BFC7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2123D8C9">
        <w:tblPrEx>
          <w:tblCellMar>
            <w:top w:w="0" w:type="dxa"/>
            <w:left w:w="0" w:type="dxa"/>
            <w:bottom w:w="0" w:type="dxa"/>
            <w:right w:w="0" w:type="dxa"/>
          </w:tblCellMar>
        </w:tblPrEx>
        <w:trPr>
          <w:trHeight w:val="239" w:hRule="atLeast"/>
        </w:trPr>
        <w:tc>
          <w:tcPr>
            <w:tcW w:w="853" w:type="dxa"/>
            <w:tcBorders>
              <w:top w:val="nil"/>
              <w:left w:val="single" w:color="000000" w:sz="4" w:space="0"/>
              <w:bottom w:val="nil"/>
              <w:right w:val="single" w:color="000000" w:sz="4" w:space="0"/>
            </w:tcBorders>
            <w:vAlign w:val="center"/>
          </w:tcPr>
          <w:p w14:paraId="4CDB62F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left w:val="nil"/>
              <w:right w:val="single" w:color="000000" w:sz="4" w:space="0"/>
            </w:tcBorders>
            <w:tcMar>
              <w:top w:w="15" w:type="dxa"/>
              <w:left w:w="15" w:type="dxa"/>
              <w:bottom w:w="0" w:type="dxa"/>
              <w:right w:w="15" w:type="dxa"/>
            </w:tcMar>
            <w:vAlign w:val="center"/>
          </w:tcPr>
          <w:p w14:paraId="6E14654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1646" w:type="dxa"/>
            <w:vMerge w:val="restart"/>
            <w:tcBorders>
              <w:top w:val="single" w:color="000000" w:sz="4" w:space="0"/>
              <w:left w:val="nil"/>
              <w:right w:val="single" w:color="000000" w:sz="4" w:space="0"/>
            </w:tcBorders>
            <w:tcMar>
              <w:top w:w="15" w:type="dxa"/>
              <w:left w:w="15" w:type="dxa"/>
              <w:bottom w:w="0" w:type="dxa"/>
              <w:right w:w="15" w:type="dxa"/>
            </w:tcMar>
            <w:vAlign w:val="center"/>
          </w:tcPr>
          <w:p w14:paraId="3D6A4AF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社会效益指标</w:t>
            </w:r>
          </w:p>
        </w:tc>
        <w:tc>
          <w:tcPr>
            <w:tcW w:w="22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89ACBF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系统正常运行率</w:t>
            </w:r>
          </w:p>
        </w:tc>
        <w:tc>
          <w:tcPr>
            <w:tcW w:w="23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8EF179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val="en-US" w:eastAsia="zh-CN"/>
              </w:rPr>
            </w:pPr>
            <w:r>
              <w:rPr>
                <w:rFonts w:hint="eastAsia" w:asciiTheme="minorEastAsia" w:hAnsiTheme="minorEastAsia" w:eastAsiaTheme="minorEastAsia" w:cstheme="minorEastAsia"/>
                <w:color w:val="000000" w:themeColor="text1"/>
                <w:sz w:val="21"/>
                <w:szCs w:val="21"/>
                <w:lang w:eastAsia="zh-CN"/>
              </w:rPr>
              <w:t>系统正常运转，长期使用</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9C6778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3B6405B3">
        <w:tblPrEx>
          <w:tblCellMar>
            <w:top w:w="0" w:type="dxa"/>
            <w:left w:w="0" w:type="dxa"/>
            <w:bottom w:w="0" w:type="dxa"/>
            <w:right w:w="0" w:type="dxa"/>
          </w:tblCellMar>
        </w:tblPrEx>
        <w:trPr>
          <w:trHeight w:val="239" w:hRule="atLeast"/>
        </w:trPr>
        <w:tc>
          <w:tcPr>
            <w:tcW w:w="853" w:type="dxa"/>
            <w:tcBorders>
              <w:top w:val="nil"/>
              <w:left w:val="single" w:color="000000" w:sz="4" w:space="0"/>
              <w:bottom w:val="nil"/>
              <w:right w:val="single" w:color="000000" w:sz="4" w:space="0"/>
            </w:tcBorders>
            <w:vAlign w:val="center"/>
          </w:tcPr>
          <w:p w14:paraId="0BA2CA2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left w:val="nil"/>
              <w:right w:val="single" w:color="000000" w:sz="4" w:space="0"/>
            </w:tcBorders>
            <w:tcMar>
              <w:top w:w="15" w:type="dxa"/>
              <w:left w:w="15" w:type="dxa"/>
              <w:bottom w:w="0" w:type="dxa"/>
              <w:right w:w="15" w:type="dxa"/>
            </w:tcMar>
            <w:vAlign w:val="center"/>
          </w:tcPr>
          <w:p w14:paraId="35D7DA6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164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14:paraId="50444C7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22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0DAEDF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p>
        </w:tc>
        <w:tc>
          <w:tcPr>
            <w:tcW w:w="23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9B6963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val="en-US" w:eastAsia="zh-CN"/>
              </w:rPr>
            </w:pP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6963A0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44D84F87">
        <w:tblPrEx>
          <w:tblCellMar>
            <w:top w:w="0" w:type="dxa"/>
            <w:left w:w="0" w:type="dxa"/>
            <w:bottom w:w="0" w:type="dxa"/>
            <w:right w:w="0" w:type="dxa"/>
          </w:tblCellMar>
        </w:tblPrEx>
        <w:trPr>
          <w:trHeight w:val="457" w:hRule="atLeast"/>
        </w:trPr>
        <w:tc>
          <w:tcPr>
            <w:tcW w:w="853" w:type="dxa"/>
            <w:tcBorders>
              <w:top w:val="nil"/>
              <w:left w:val="single" w:color="000000" w:sz="4" w:space="0"/>
              <w:bottom w:val="single" w:color="000000" w:sz="4" w:space="0"/>
              <w:right w:val="single" w:color="000000" w:sz="4" w:space="0"/>
            </w:tcBorders>
            <w:vAlign w:val="center"/>
          </w:tcPr>
          <w:p w14:paraId="1562E1C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576"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14:paraId="4A67FFE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Theme="minorEastAsia" w:hAnsiTheme="minorEastAsia" w:eastAsiaTheme="minorEastAsia" w:cstheme="minorEastAsia"/>
                <w:color w:val="000000" w:themeColor="text1"/>
                <w:sz w:val="21"/>
                <w:szCs w:val="21"/>
              </w:rPr>
            </w:pPr>
          </w:p>
        </w:tc>
        <w:tc>
          <w:tcPr>
            <w:tcW w:w="1646"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425626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可持续影响指标</w:t>
            </w:r>
          </w:p>
        </w:tc>
        <w:tc>
          <w:tcPr>
            <w:tcW w:w="2212" w:type="dxa"/>
            <w:gridSpan w:val="2"/>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558671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系统正常运行时间</w:t>
            </w:r>
          </w:p>
        </w:tc>
        <w:tc>
          <w:tcPr>
            <w:tcW w:w="232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D3FF27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系统正常运行，长期运行</w:t>
            </w:r>
          </w:p>
        </w:tc>
        <w:tc>
          <w:tcPr>
            <w:tcW w:w="1229"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37357A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r w14:paraId="2C23AC41">
        <w:tblPrEx>
          <w:tblCellMar>
            <w:top w:w="0" w:type="dxa"/>
            <w:left w:w="0" w:type="dxa"/>
            <w:bottom w:w="0" w:type="dxa"/>
            <w:right w:w="0" w:type="dxa"/>
          </w:tblCellMar>
        </w:tblPrEx>
        <w:trPr>
          <w:trHeight w:val="683" w:hRule="atLeast"/>
        </w:trPr>
        <w:tc>
          <w:tcPr>
            <w:tcW w:w="853" w:type="dxa"/>
            <w:tcBorders>
              <w:top w:val="single" w:color="000000" w:sz="4" w:space="0"/>
              <w:left w:val="single" w:color="000000" w:sz="4" w:space="0"/>
              <w:bottom w:val="single" w:color="000000" w:sz="4" w:space="0"/>
              <w:right w:val="single" w:color="000000" w:sz="4" w:space="0"/>
            </w:tcBorders>
            <w:vAlign w:val="center"/>
          </w:tcPr>
          <w:p w14:paraId="263B3DF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1"/>
                <w:szCs w:val="21"/>
                <w:lang w:eastAsia="zh-CN"/>
              </w:rPr>
            </w:pPr>
            <w:r>
              <w:rPr>
                <w:rFonts w:hint="eastAsia" w:asciiTheme="minorEastAsia" w:hAnsiTheme="minorEastAsia" w:eastAsiaTheme="minorEastAsia" w:cstheme="minorEastAsia"/>
                <w:color w:val="000000" w:themeColor="text1"/>
                <w:sz w:val="21"/>
                <w:szCs w:val="21"/>
                <w:lang w:eastAsia="zh-CN"/>
              </w:rPr>
              <w:t>其他说明的问题</w:t>
            </w:r>
          </w:p>
        </w:tc>
        <w:tc>
          <w:tcPr>
            <w:tcW w:w="7987" w:type="dxa"/>
            <w:gridSpan w:val="6"/>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3B13E7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000000" w:themeColor="text1"/>
                <w:sz w:val="21"/>
                <w:szCs w:val="21"/>
              </w:rPr>
            </w:pPr>
          </w:p>
        </w:tc>
      </w:tr>
    </w:tbl>
    <w:p w14:paraId="5207DE7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2.部门开展绩效评价结果。</w:t>
      </w:r>
    </w:p>
    <w:p w14:paraId="52A23ED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本部门按要求对20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年部门整体支出绩效评价情况开展自评，《政协广元市昭化区委员会办公室20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年部门整体支出绩效评价报告》见附件</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w:t>
      </w:r>
    </w:p>
    <w:p w14:paraId="0EEAC32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本部门自行组织对</w:t>
      </w:r>
      <w:r>
        <w:rPr>
          <w:rFonts w:hint="eastAsia" w:ascii="仿宋_GB2312" w:hAnsi="仿宋_GB2312" w:eastAsia="仿宋_GB2312" w:cs="仿宋_GB2312"/>
          <w:color w:val="000000" w:themeColor="text1"/>
          <w:sz w:val="32"/>
          <w:szCs w:val="32"/>
          <w:highlight w:val="none"/>
          <w:lang w:val="en-US" w:eastAsia="zh-CN"/>
        </w:rPr>
        <w:t>信息平台维护使用</w:t>
      </w:r>
      <w:r>
        <w:rPr>
          <w:rFonts w:hint="eastAsia" w:ascii="仿宋_GB2312" w:hAnsi="仿宋_GB2312" w:eastAsia="仿宋_GB2312" w:cs="仿宋_GB2312"/>
          <w:color w:val="000000" w:themeColor="text1"/>
          <w:sz w:val="32"/>
          <w:szCs w:val="32"/>
          <w:highlight w:val="none"/>
          <w:lang w:eastAsia="zh-CN"/>
        </w:rPr>
        <w:t>工作</w:t>
      </w:r>
      <w:r>
        <w:rPr>
          <w:rFonts w:hint="eastAsia" w:ascii="仿宋_GB2312" w:hAnsi="仿宋_GB2312" w:eastAsia="仿宋_GB2312" w:cs="仿宋_GB2312"/>
          <w:color w:val="000000" w:themeColor="text1"/>
          <w:sz w:val="32"/>
          <w:szCs w:val="32"/>
          <w:highlight w:val="none"/>
        </w:rPr>
        <w:t>开展了绩效评价，</w:t>
      </w:r>
      <w:r>
        <w:rPr>
          <w:rFonts w:hint="eastAsia" w:ascii="仿宋_GB2312" w:hAnsi="仿宋_GB2312" w:eastAsia="仿宋_GB2312" w:cs="仿宋_GB2312"/>
          <w:color w:val="000000" w:themeColor="text1"/>
          <w:sz w:val="32"/>
          <w:szCs w:val="32"/>
          <w:highlight w:val="none"/>
          <w:lang w:eastAsia="zh-CN"/>
        </w:rPr>
        <w:t>《20</w:t>
      </w:r>
      <w:r>
        <w:rPr>
          <w:rFonts w:hint="eastAsia" w:ascii="仿宋_GB2312" w:hAnsi="仿宋_GB2312" w:eastAsia="仿宋_GB2312" w:cs="仿宋_GB2312"/>
          <w:color w:val="000000" w:themeColor="text1"/>
          <w:sz w:val="32"/>
          <w:szCs w:val="32"/>
          <w:highlight w:val="none"/>
          <w:lang w:val="en-US" w:eastAsia="zh-CN"/>
        </w:rPr>
        <w:t>20</w:t>
      </w:r>
      <w:r>
        <w:rPr>
          <w:rFonts w:hint="eastAsia" w:ascii="仿宋_GB2312" w:hAnsi="仿宋_GB2312" w:eastAsia="仿宋_GB2312" w:cs="仿宋_GB2312"/>
          <w:color w:val="000000" w:themeColor="text1"/>
          <w:sz w:val="32"/>
          <w:szCs w:val="32"/>
          <w:highlight w:val="none"/>
          <w:lang w:eastAsia="zh-CN"/>
        </w:rPr>
        <w:t>年信息平台维护使用费项目支出（基本支出）绩效评价报告》见附件</w:t>
      </w:r>
      <w:r>
        <w:rPr>
          <w:rFonts w:hint="eastAsia" w:ascii="仿宋_GB2312" w:hAnsi="仿宋_GB2312" w:eastAsia="仿宋_GB2312" w:cs="仿宋_GB2312"/>
          <w:color w:val="000000" w:themeColor="text1"/>
          <w:sz w:val="32"/>
          <w:szCs w:val="32"/>
          <w:highlight w:val="none"/>
          <w:lang w:val="en-US" w:eastAsia="zh-CN"/>
        </w:rPr>
        <w:t>2</w:t>
      </w:r>
      <w:r>
        <w:rPr>
          <w:rFonts w:hint="eastAsia" w:ascii="仿宋_GB2312" w:hAnsi="仿宋_GB2312" w:eastAsia="仿宋_GB2312" w:cs="仿宋_GB2312"/>
          <w:color w:val="000000" w:themeColor="text1"/>
          <w:sz w:val="32"/>
          <w:szCs w:val="32"/>
          <w:highlight w:val="none"/>
          <w:lang w:eastAsia="zh-CN"/>
        </w:rPr>
        <w:t>。</w:t>
      </w:r>
      <w:bookmarkStart w:id="45" w:name="_Toc15377221"/>
      <w:bookmarkEnd w:id="45"/>
      <w:bookmarkStart w:id="46" w:name="_Toc15396612"/>
    </w:p>
    <w:bookmarkEnd w:id="46"/>
    <w:p w14:paraId="5803C14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rPr>
      </w:pPr>
      <w:bookmarkStart w:id="47" w:name="_Toc15396613"/>
      <w:bookmarkEnd w:id="47"/>
      <w:bookmarkStart w:id="48" w:name="_Toc15377225"/>
    </w:p>
    <w:p w14:paraId="0E6F663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rPr>
      </w:pPr>
    </w:p>
    <w:p w14:paraId="0AE9B6F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rPr>
      </w:pPr>
    </w:p>
    <w:p w14:paraId="6649DAF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rPr>
      </w:pPr>
    </w:p>
    <w:p w14:paraId="393A6B8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rPr>
      </w:pPr>
    </w:p>
    <w:p w14:paraId="3C51F73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rPr>
      </w:pPr>
    </w:p>
    <w:p w14:paraId="2AE4EA7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lang w:eastAsia="zh-CN"/>
        </w:rPr>
        <w:t>第三部分</w:t>
      </w:r>
      <w:r>
        <w:rPr>
          <w:rFonts w:hint="eastAsia" w:ascii="方正小标宋简体" w:hAnsi="方正小标宋简体" w:eastAsia="方正小标宋简体" w:cs="方正小标宋简体"/>
          <w:color w:val="000000" w:themeColor="text1"/>
          <w:sz w:val="44"/>
          <w:szCs w:val="44"/>
          <w:lang w:val="en-US" w:eastAsia="zh-CN"/>
        </w:rPr>
        <w:t xml:space="preserve">  </w:t>
      </w:r>
      <w:r>
        <w:rPr>
          <w:rFonts w:hint="eastAsia" w:ascii="方正小标宋简体" w:hAnsi="方正小标宋简体" w:eastAsia="方正小标宋简体" w:cs="方正小标宋简体"/>
          <w:color w:val="000000" w:themeColor="text1"/>
          <w:sz w:val="44"/>
          <w:szCs w:val="44"/>
        </w:rPr>
        <w:t>名</w:t>
      </w:r>
      <w:bookmarkEnd w:id="48"/>
      <w:r>
        <w:rPr>
          <w:rFonts w:hint="eastAsia" w:ascii="方正小标宋简体" w:hAnsi="方正小标宋简体" w:eastAsia="方正小标宋简体" w:cs="方正小标宋简体"/>
          <w:color w:val="000000" w:themeColor="text1"/>
          <w:sz w:val="44"/>
          <w:szCs w:val="44"/>
        </w:rPr>
        <w:t>词解释</w:t>
      </w:r>
    </w:p>
    <w:p w14:paraId="7CE55EB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45B0416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1.财政拨款收入：</w:t>
      </w:r>
      <w:r>
        <w:rPr>
          <w:rFonts w:hint="eastAsia" w:ascii="仿宋_GB2312" w:hAnsi="仿宋_GB2312" w:eastAsia="仿宋_GB2312" w:cs="仿宋_GB2312"/>
          <w:color w:val="000000" w:themeColor="text1"/>
          <w:sz w:val="32"/>
          <w:szCs w:val="32"/>
        </w:rPr>
        <w:t>指单位从同级财政部门取得的财政预算资金。</w:t>
      </w:r>
    </w:p>
    <w:p w14:paraId="259C56F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2.年初结转和结余：</w:t>
      </w:r>
      <w:r>
        <w:rPr>
          <w:rFonts w:hint="eastAsia" w:ascii="仿宋_GB2312" w:hAnsi="仿宋_GB2312" w:eastAsia="仿宋_GB2312" w:cs="仿宋_GB2312"/>
          <w:color w:val="000000" w:themeColor="text1"/>
          <w:sz w:val="32"/>
          <w:szCs w:val="32"/>
        </w:rPr>
        <w:t>指以前年度尚未完成、结转到本年仍按原规定用途继续使用的资金。</w:t>
      </w:r>
    </w:p>
    <w:p w14:paraId="7B9A587A">
      <w:pPr>
        <w:pStyle w:val="25"/>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bidi="ar-SA"/>
        </w:rPr>
      </w:pPr>
      <w:r>
        <w:rPr>
          <w:rFonts w:hint="eastAsia" w:ascii="楷体" w:hAnsi="楷体" w:eastAsia="楷体" w:cs="楷体"/>
          <w:b w:val="0"/>
          <w:bCs w:val="0"/>
          <w:sz w:val="32"/>
          <w:szCs w:val="32"/>
          <w:lang w:val="en-US" w:eastAsia="zh-CN"/>
        </w:rPr>
        <w:t>3.</w:t>
      </w:r>
      <w:r>
        <w:rPr>
          <w:rFonts w:hint="eastAsia" w:ascii="楷体" w:hAnsi="楷体" w:eastAsia="楷体" w:cs="楷体"/>
          <w:b w:val="0"/>
          <w:bCs w:val="0"/>
          <w:sz w:val="32"/>
          <w:szCs w:val="32"/>
        </w:rPr>
        <w:t>年末结转和结余：</w:t>
      </w:r>
      <w:r>
        <w:rPr>
          <w:rFonts w:hint="eastAsia" w:ascii="仿宋_GB2312" w:hAnsi="仿宋_GB2312" w:eastAsia="仿宋_GB2312" w:cs="仿宋_GB2312"/>
          <w:color w:val="000000" w:themeColor="text1"/>
          <w:kern w:val="2"/>
          <w:sz w:val="32"/>
          <w:szCs w:val="32"/>
          <w:lang w:val="en-US" w:eastAsia="zh-CN" w:bidi="ar-SA"/>
        </w:rPr>
        <w:t>指单位按有关规定结转到下年或以后年度继续使用的资金。</w:t>
      </w:r>
    </w:p>
    <w:p w14:paraId="22F0E8F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4.一般公共服务支出（类）政协事务（款）行政运行（项）：</w:t>
      </w:r>
      <w:r>
        <w:rPr>
          <w:rFonts w:hint="eastAsia" w:ascii="仿宋_GB2312" w:hAnsi="仿宋_GB2312" w:eastAsia="仿宋_GB2312" w:cs="仿宋_GB2312"/>
          <w:color w:val="000000" w:themeColor="text1"/>
          <w:sz w:val="32"/>
          <w:szCs w:val="32"/>
        </w:rPr>
        <w:t>指政协四川省广元市昭化区委员会办公室行政单位用于保障机构正常运行、开展日常工作的基本支出。</w:t>
      </w:r>
    </w:p>
    <w:p w14:paraId="0C692EB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5.一般公共服务支出（类）政协事务（款）一般行政管理事务（项）：</w:t>
      </w:r>
      <w:r>
        <w:rPr>
          <w:rFonts w:hint="eastAsia" w:ascii="仿宋_GB2312" w:hAnsi="仿宋_GB2312" w:eastAsia="仿宋_GB2312" w:cs="仿宋_GB2312"/>
          <w:color w:val="000000" w:themeColor="text1"/>
          <w:sz w:val="32"/>
          <w:szCs w:val="32"/>
        </w:rPr>
        <w:t>指政协四川省广元市昭化区委员会办公室的项目支出。</w:t>
      </w:r>
    </w:p>
    <w:p w14:paraId="71FD5D7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6.一般公共服务支出（类）政协事务（款）政协会议（项）：</w:t>
      </w:r>
      <w:r>
        <w:rPr>
          <w:rFonts w:hint="eastAsia" w:ascii="仿宋_GB2312" w:hAnsi="仿宋_GB2312" w:eastAsia="仿宋_GB2312" w:cs="仿宋_GB2312"/>
          <w:color w:val="000000" w:themeColor="text1"/>
          <w:sz w:val="32"/>
          <w:szCs w:val="32"/>
        </w:rPr>
        <w:t>指政协四川省广元市昭化区委员会办公室召开一、二类会议的支出。</w:t>
      </w:r>
    </w:p>
    <w:p w14:paraId="30008B3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7.一般公共服务支出（类）政协事务（款）委员视察（项）：</w:t>
      </w:r>
      <w:r>
        <w:rPr>
          <w:rFonts w:hint="eastAsia" w:ascii="仿宋_GB2312" w:hAnsi="仿宋_GB2312" w:eastAsia="仿宋_GB2312" w:cs="仿宋_GB2312"/>
          <w:color w:val="000000" w:themeColor="text1"/>
          <w:sz w:val="32"/>
          <w:szCs w:val="32"/>
        </w:rPr>
        <w:t>指组织政协四川省广元市昭化区委员会办公室开展各类视察的支出。</w:t>
      </w:r>
    </w:p>
    <w:p w14:paraId="6B107EE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8.一般公共服务支出（类）政协事务（款）参政议政（项）：</w:t>
      </w:r>
      <w:r>
        <w:rPr>
          <w:rFonts w:hint="eastAsia" w:ascii="仿宋_GB2312" w:hAnsi="仿宋_GB2312" w:eastAsia="仿宋_GB2312" w:cs="仿宋_GB2312"/>
          <w:color w:val="000000" w:themeColor="text1"/>
          <w:sz w:val="32"/>
          <w:szCs w:val="32"/>
        </w:rPr>
        <w:t>指政协四川省广元市昭化区委员会办公室为参政议政进行调研、协商等方面的支出。</w:t>
      </w:r>
    </w:p>
    <w:p w14:paraId="1648C10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9.一般公共服务支出（类）政协事务（款）其他政协事务支出（项）：</w:t>
      </w:r>
      <w:r>
        <w:rPr>
          <w:rFonts w:hint="eastAsia" w:ascii="仿宋_GB2312" w:hAnsi="仿宋_GB2312" w:eastAsia="仿宋_GB2312" w:cs="仿宋_GB2312"/>
          <w:color w:val="000000" w:themeColor="text1"/>
          <w:sz w:val="32"/>
          <w:szCs w:val="32"/>
        </w:rPr>
        <w:t>指政协四川省广元市昭化区委员会办公室除上述项目以外的其他政协事务支出。</w:t>
      </w:r>
    </w:p>
    <w:p w14:paraId="5C0A9CE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10.社会保障和就业支出（类）行政事业单位离退休（款）未归口管理的行政单位离退休（项）：</w:t>
      </w:r>
      <w:r>
        <w:rPr>
          <w:rFonts w:hint="eastAsia" w:ascii="仿宋_GB2312" w:hAnsi="仿宋_GB2312" w:eastAsia="仿宋_GB2312" w:cs="仿宋_GB2312"/>
          <w:color w:val="000000" w:themeColor="text1"/>
          <w:sz w:val="32"/>
          <w:szCs w:val="32"/>
        </w:rPr>
        <w:t>指政协四川省广元市昭化区委员会办公室离退休人员支出。</w:t>
      </w:r>
    </w:p>
    <w:p w14:paraId="0720503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11.社会保障和就业（类）行政事业单位离退休（款）机关事业单位基本养老保险缴费支出（项）：</w:t>
      </w:r>
      <w:r>
        <w:rPr>
          <w:rFonts w:hint="eastAsia" w:ascii="仿宋_GB2312" w:hAnsi="仿宋_GB2312" w:eastAsia="仿宋_GB2312" w:cs="仿宋_GB2312"/>
          <w:color w:val="000000" w:themeColor="text1"/>
          <w:sz w:val="32"/>
          <w:szCs w:val="32"/>
        </w:rPr>
        <w:t>指政协四川省广元市昭化区委员会办公室为机关事业单位职工缴纳基本养老保险支出。</w:t>
      </w:r>
    </w:p>
    <w:p w14:paraId="40C7E84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12.社会保障和就业（类）行政事业单位离退休（款）机关事业单位职业年金缴费支出（项）：</w:t>
      </w:r>
      <w:r>
        <w:rPr>
          <w:rFonts w:hint="eastAsia" w:ascii="仿宋_GB2312" w:hAnsi="仿宋_GB2312" w:eastAsia="仿宋_GB2312" w:cs="仿宋_GB2312"/>
          <w:color w:val="000000" w:themeColor="text1"/>
          <w:sz w:val="32"/>
          <w:szCs w:val="32"/>
        </w:rPr>
        <w:t>指政协四川省广元市昭化区委员会办公室为机关事业单位职工缴纳职业年金支出。</w:t>
      </w:r>
    </w:p>
    <w:p w14:paraId="553C1AB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13.医疗卫生与计划生育（类）行政事业单位医疗（款）行政单位医疗（项）：</w:t>
      </w:r>
      <w:r>
        <w:rPr>
          <w:rFonts w:hint="eastAsia" w:ascii="仿宋_GB2312" w:hAnsi="仿宋_GB2312" w:eastAsia="仿宋_GB2312" w:cs="仿宋_GB2312"/>
          <w:color w:val="000000" w:themeColor="text1"/>
          <w:sz w:val="32"/>
          <w:szCs w:val="32"/>
        </w:rPr>
        <w:t>指政协四川省广元市昭化区委员会办公室为机关职工缴纳的基本医疗保险。</w:t>
      </w:r>
    </w:p>
    <w:p w14:paraId="0201256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14.住房保障支出（类）住房改革支出（款）住房公积金（项）：</w:t>
      </w:r>
      <w:r>
        <w:rPr>
          <w:rFonts w:hint="eastAsia" w:ascii="仿宋_GB2312" w:hAnsi="仿宋_GB2312" w:eastAsia="仿宋_GB2312" w:cs="仿宋_GB2312"/>
          <w:color w:val="000000" w:themeColor="text1"/>
          <w:sz w:val="32"/>
          <w:szCs w:val="32"/>
        </w:rPr>
        <w:t>指按照《住房公积金管理条例》的规定，由政协四川省委员会办公厅缴存的在职职工住房公积金。</w:t>
      </w:r>
    </w:p>
    <w:p w14:paraId="7C81E6E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w:t>
      </w:r>
      <w:r>
        <w:rPr>
          <w:rFonts w:hint="eastAsia" w:ascii="楷体_GB2312" w:hAnsi="楷体_GB2312" w:eastAsia="楷体_GB2312" w:cs="楷体_GB2312"/>
          <w:b w:val="0"/>
          <w:bCs w:val="0"/>
          <w:color w:val="000000" w:themeColor="text1"/>
          <w:sz w:val="32"/>
          <w:szCs w:val="32"/>
          <w:lang w:val="en-US" w:eastAsia="zh-CN"/>
        </w:rPr>
        <w:t>5</w:t>
      </w:r>
      <w:r>
        <w:rPr>
          <w:rFonts w:hint="eastAsia" w:ascii="楷体_GB2312" w:hAnsi="楷体_GB2312" w:eastAsia="楷体_GB2312" w:cs="楷体_GB2312"/>
          <w:b w:val="0"/>
          <w:bCs w:val="0"/>
          <w:color w:val="000000" w:themeColor="text1"/>
          <w:sz w:val="32"/>
          <w:szCs w:val="32"/>
        </w:rPr>
        <w:t>.基本支出：</w:t>
      </w:r>
      <w:r>
        <w:rPr>
          <w:rFonts w:hint="eastAsia" w:ascii="仿宋_GB2312" w:hAnsi="仿宋_GB2312" w:eastAsia="仿宋_GB2312" w:cs="仿宋_GB2312"/>
          <w:color w:val="000000" w:themeColor="text1"/>
          <w:sz w:val="32"/>
          <w:szCs w:val="32"/>
        </w:rPr>
        <w:t>指为保障机构正常运转、完成日常工作任务而发生的人员支出和公用支出。</w:t>
      </w:r>
    </w:p>
    <w:p w14:paraId="49FAA35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w:t>
      </w:r>
      <w:r>
        <w:rPr>
          <w:rFonts w:hint="eastAsia" w:ascii="楷体_GB2312" w:hAnsi="楷体_GB2312" w:eastAsia="楷体_GB2312" w:cs="楷体_GB2312"/>
          <w:b w:val="0"/>
          <w:bCs w:val="0"/>
          <w:color w:val="000000" w:themeColor="text1"/>
          <w:sz w:val="32"/>
          <w:szCs w:val="32"/>
          <w:lang w:val="en-US" w:eastAsia="zh-CN"/>
        </w:rPr>
        <w:t>6</w:t>
      </w:r>
      <w:r>
        <w:rPr>
          <w:rFonts w:hint="eastAsia" w:ascii="楷体_GB2312" w:hAnsi="楷体_GB2312" w:eastAsia="楷体_GB2312" w:cs="楷体_GB2312"/>
          <w:b w:val="0"/>
          <w:bCs w:val="0"/>
          <w:color w:val="000000" w:themeColor="text1"/>
          <w:sz w:val="32"/>
          <w:szCs w:val="32"/>
        </w:rPr>
        <w:t>.项目支出：</w:t>
      </w:r>
      <w:r>
        <w:rPr>
          <w:rFonts w:hint="eastAsia" w:ascii="仿宋_GB2312" w:hAnsi="仿宋_GB2312" w:eastAsia="仿宋_GB2312" w:cs="仿宋_GB2312"/>
          <w:color w:val="000000" w:themeColor="text1"/>
          <w:sz w:val="32"/>
          <w:szCs w:val="32"/>
        </w:rPr>
        <w:t>指在基本支出之外为完成特定行政任务和事业发展目标所发生的支出。</w:t>
      </w:r>
    </w:p>
    <w:p w14:paraId="396A6BF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w:t>
      </w:r>
      <w:r>
        <w:rPr>
          <w:rFonts w:hint="eastAsia" w:ascii="楷体_GB2312" w:hAnsi="楷体_GB2312" w:eastAsia="楷体_GB2312" w:cs="楷体_GB2312"/>
          <w:b w:val="0"/>
          <w:bCs w:val="0"/>
          <w:color w:val="000000" w:themeColor="text1"/>
          <w:sz w:val="32"/>
          <w:szCs w:val="32"/>
          <w:lang w:val="en-US" w:eastAsia="zh-CN"/>
        </w:rPr>
        <w:t>7</w:t>
      </w:r>
      <w:r>
        <w:rPr>
          <w:rFonts w:hint="eastAsia" w:ascii="楷体_GB2312" w:hAnsi="楷体_GB2312" w:eastAsia="楷体_GB2312" w:cs="楷体_GB2312"/>
          <w:b w:val="0"/>
          <w:bCs w:val="0"/>
          <w:color w:val="000000" w:themeColor="text1"/>
          <w:sz w:val="32"/>
          <w:szCs w:val="32"/>
        </w:rPr>
        <w:t>.“三公”经费：</w:t>
      </w:r>
      <w:r>
        <w:rPr>
          <w:rFonts w:hint="eastAsia" w:ascii="仿宋_GB2312" w:hAnsi="仿宋_GB2312" w:eastAsia="仿宋_GB2312" w:cs="仿宋_GB2312"/>
          <w:color w:val="000000" w:themeColor="text1"/>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A8F8E7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楷体_GB2312" w:hAnsi="楷体_GB2312" w:eastAsia="楷体_GB2312" w:cs="楷体_GB2312"/>
          <w:b w:val="0"/>
          <w:bCs w:val="0"/>
          <w:color w:val="000000" w:themeColor="text1"/>
          <w:sz w:val="32"/>
          <w:szCs w:val="32"/>
        </w:rPr>
        <w:t>1</w:t>
      </w:r>
      <w:r>
        <w:rPr>
          <w:rFonts w:hint="eastAsia" w:ascii="楷体_GB2312" w:hAnsi="楷体_GB2312" w:eastAsia="楷体_GB2312" w:cs="楷体_GB2312"/>
          <w:b w:val="0"/>
          <w:bCs w:val="0"/>
          <w:color w:val="000000" w:themeColor="text1"/>
          <w:sz w:val="32"/>
          <w:szCs w:val="32"/>
          <w:lang w:val="en-US" w:eastAsia="zh-CN"/>
        </w:rPr>
        <w:t>8</w:t>
      </w:r>
      <w:r>
        <w:rPr>
          <w:rFonts w:hint="eastAsia" w:ascii="楷体_GB2312" w:hAnsi="楷体_GB2312" w:eastAsia="楷体_GB2312" w:cs="楷体_GB2312"/>
          <w:b w:val="0"/>
          <w:bCs w:val="0"/>
          <w:color w:val="000000" w:themeColor="text1"/>
          <w:sz w:val="32"/>
          <w:szCs w:val="32"/>
        </w:rPr>
        <w:t>.机关运行经费：</w:t>
      </w:r>
      <w:r>
        <w:rPr>
          <w:rFonts w:hint="eastAsia" w:ascii="仿宋_GB2312" w:hAnsi="仿宋_GB2312" w:eastAsia="仿宋_GB2312" w:cs="仿宋_GB2312"/>
          <w:color w:val="000000" w:themeColor="text1"/>
          <w:sz w:val="32"/>
          <w:szCs w:val="32"/>
        </w:rPr>
        <w:t>为保障行政单位（含参照公务员法管理的事业单位）运行用于购买货物和服务的各项资金，包括办公及印刷费、邮电费、差旅费、会议费、福利费、日常维修费、专用材料及一般设备购置费以及其他费用。</w:t>
      </w:r>
    </w:p>
    <w:p w14:paraId="34DE7F7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2628F62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仿宋_GB2312" w:hAnsi="仿宋_GB2312" w:eastAsia="仿宋_GB2312" w:cs="仿宋_GB2312"/>
          <w:color w:val="000000" w:themeColor="text1"/>
          <w:sz w:val="32"/>
          <w:szCs w:val="32"/>
        </w:rPr>
      </w:pPr>
      <w:bookmarkStart w:id="49" w:name="_Toc15377226"/>
      <w:bookmarkEnd w:id="49"/>
      <w:r>
        <w:rPr>
          <w:rFonts w:hint="eastAsia" w:ascii="仿宋_GB2312" w:hAnsi="仿宋_GB2312" w:eastAsia="仿宋_GB2312" w:cs="仿宋_GB2312"/>
          <w:color w:val="000000" w:themeColor="text1"/>
          <w:sz w:val="32"/>
          <w:szCs w:val="32"/>
        </w:rPr>
        <w:br w:type="page"/>
      </w:r>
      <w:bookmarkStart w:id="50" w:name="_Toc15396614"/>
      <w:bookmarkEnd w:id="50"/>
      <w:r>
        <w:rPr>
          <w:rFonts w:hint="eastAsia" w:ascii="方正小标宋简体" w:hAnsi="方正小标宋简体" w:eastAsia="方正小标宋简体" w:cs="方正小标宋简体"/>
          <w:color w:val="000000" w:themeColor="text1"/>
          <w:sz w:val="44"/>
          <w:szCs w:val="44"/>
        </w:rPr>
        <w:t>第四部分 附</w:t>
      </w:r>
      <w:r>
        <w:rPr>
          <w:rFonts w:hint="eastAsia" w:ascii="方正小标宋简体" w:hAnsi="方正小标宋简体" w:eastAsia="方正小标宋简体" w:cs="方正小标宋简体"/>
          <w:color w:val="000000" w:themeColor="text1"/>
          <w:sz w:val="44"/>
          <w:szCs w:val="44"/>
          <w:lang w:val="en-US" w:eastAsia="zh-CN"/>
        </w:rPr>
        <w:t xml:space="preserve">  </w:t>
      </w:r>
      <w:r>
        <w:rPr>
          <w:rFonts w:hint="eastAsia" w:ascii="方正小标宋简体" w:hAnsi="方正小标宋简体" w:eastAsia="方正小标宋简体" w:cs="方正小标宋简体"/>
          <w:color w:val="000000" w:themeColor="text1"/>
          <w:sz w:val="44"/>
          <w:szCs w:val="44"/>
        </w:rPr>
        <w:t>件</w:t>
      </w:r>
    </w:p>
    <w:p w14:paraId="773168B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422719F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color w:val="000000" w:themeColor="text1"/>
          <w:sz w:val="32"/>
          <w:szCs w:val="32"/>
        </w:rPr>
      </w:pPr>
      <w:bookmarkStart w:id="51" w:name="_Toc15396615"/>
      <w:bookmarkEnd w:id="51"/>
      <w:r>
        <w:rPr>
          <w:rFonts w:hint="eastAsia" w:ascii="黑体" w:hAnsi="黑体" w:eastAsia="黑体" w:cs="黑体"/>
          <w:color w:val="000000" w:themeColor="text1"/>
          <w:sz w:val="32"/>
          <w:szCs w:val="32"/>
        </w:rPr>
        <w:t>附件1</w:t>
      </w:r>
    </w:p>
    <w:p w14:paraId="6515FC3B">
      <w:pPr>
        <w:spacing w:line="600" w:lineRule="exact"/>
        <w:jc w:val="center"/>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 xml:space="preserve">     </w:t>
      </w:r>
    </w:p>
    <w:p w14:paraId="4F541E9D">
      <w:pPr>
        <w:spacing w:line="600" w:lineRule="exact"/>
        <w:jc w:val="center"/>
        <w:rPr>
          <w:rFonts w:hint="eastAsia" w:ascii="方正小标宋简体" w:hAnsi="宋体" w:eastAsia="方正小标宋简体"/>
          <w:color w:val="000000"/>
          <w:kern w:val="0"/>
          <w:sz w:val="36"/>
          <w:szCs w:val="40"/>
          <w:lang w:val="zh-CN"/>
        </w:rPr>
      </w:pPr>
      <w:r>
        <w:rPr>
          <w:rFonts w:hint="eastAsia" w:ascii="方正小标宋简体" w:hAnsi="宋体" w:eastAsia="方正小标宋简体"/>
          <w:color w:val="000000"/>
          <w:kern w:val="0"/>
          <w:sz w:val="36"/>
          <w:szCs w:val="40"/>
          <w:lang w:val="en-US" w:eastAsia="zh-CN"/>
        </w:rPr>
        <w:t>区政协办</w:t>
      </w:r>
      <w:r>
        <w:rPr>
          <w:rFonts w:hint="eastAsia" w:ascii="方正小标宋简体" w:hAnsi="宋体" w:eastAsia="方正小标宋简体"/>
          <w:color w:val="000000"/>
          <w:kern w:val="0"/>
          <w:sz w:val="36"/>
          <w:szCs w:val="40"/>
          <w:lang w:val="zh-CN"/>
        </w:rPr>
        <w:t>部门</w:t>
      </w:r>
      <w:r>
        <w:rPr>
          <w:rFonts w:ascii="方正小标宋简体" w:hAnsi="宋体" w:eastAsia="方正小标宋简体"/>
          <w:color w:val="000000"/>
          <w:kern w:val="0"/>
          <w:sz w:val="36"/>
          <w:szCs w:val="40"/>
        </w:rPr>
        <w:t>2020</w:t>
      </w:r>
      <w:r>
        <w:rPr>
          <w:rFonts w:hint="eastAsia" w:ascii="方正小标宋简体" w:hAnsi="宋体" w:eastAsia="方正小标宋简体"/>
          <w:color w:val="000000"/>
          <w:kern w:val="0"/>
          <w:sz w:val="36"/>
          <w:szCs w:val="40"/>
        </w:rPr>
        <w:t>年部门</w:t>
      </w:r>
      <w:r>
        <w:rPr>
          <w:rFonts w:hint="eastAsia" w:ascii="方正小标宋简体" w:hAnsi="宋体" w:eastAsia="方正小标宋简体"/>
          <w:color w:val="000000"/>
          <w:kern w:val="0"/>
          <w:sz w:val="36"/>
          <w:szCs w:val="40"/>
          <w:lang w:val="zh-CN"/>
        </w:rPr>
        <w:t>整体支出绩效评价报告</w:t>
      </w:r>
    </w:p>
    <w:p w14:paraId="03016920">
      <w:pPr>
        <w:rPr>
          <w:rFonts w:hint="eastAsia"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 xml:space="preserve">  </w:t>
      </w:r>
      <w:bookmarkStart w:id="52" w:name="_Toc15396616"/>
      <w:bookmarkEnd w:id="52"/>
      <w:r>
        <w:rPr>
          <w:rFonts w:hint="eastAsia" w:ascii="黑体" w:hAnsi="黑体" w:eastAsia="黑体" w:cs="黑体"/>
          <w:color w:val="000000" w:themeColor="text1"/>
          <w:sz w:val="32"/>
          <w:szCs w:val="32"/>
          <w:lang w:val="en-US" w:eastAsia="zh-CN"/>
        </w:rPr>
        <w:t xml:space="preserve">  </w:t>
      </w:r>
    </w:p>
    <w:p w14:paraId="099CB144">
      <w:pPr>
        <w:ind w:firstLine="640" w:firstLineChars="200"/>
        <w:rPr>
          <w:rFonts w:hint="eastAsia" w:ascii="黑体" w:hAnsi="黑体" w:eastAsia="黑体" w:cs="黑体"/>
          <w:b w:val="0"/>
          <w:bCs w:val="0"/>
          <w:color w:val="000000" w:themeColor="text1"/>
          <w:sz w:val="32"/>
          <w:szCs w:val="32"/>
        </w:rPr>
      </w:pP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b w:val="0"/>
          <w:bCs w:val="0"/>
          <w:color w:val="000000" w:themeColor="text1"/>
          <w:sz w:val="32"/>
          <w:szCs w:val="32"/>
        </w:rPr>
        <w:t>一、部门（单位）概况</w:t>
      </w:r>
    </w:p>
    <w:p w14:paraId="747AB0F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（一）机构组成。</w:t>
      </w:r>
    </w:p>
    <w:p w14:paraId="7B7D189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内部设置为六委一室,即办公室、农业委、提案法制委、人口环境资源委、经济委、科教文卫体委、学习文史与社会联谊委。</w:t>
      </w:r>
    </w:p>
    <w:p w14:paraId="0C15200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（二）机构职能。</w:t>
      </w:r>
    </w:p>
    <w:p w14:paraId="150C371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政协四川省广元市昭化区委员会办公室是政协四川省广元市昭化区委员会的工作机构，承担为区政协履行政治协商、民主监督、参政议政职能服务的各项工作。主要负责政协四川省广元市昭化区委员会全体会议、常务委员会会议、主席会议和其他重要会议的会务工作；组织实施区委、区政府、区政协年度协商计划和政协四川省广元市昭化区委员会全体会议、常务委员会会议、主席会议决议决定；负责委员视察、调研、座谈、研讨、反映社情民意等日常活动以及专门委员会履行职能的服务保障和具体组织工作；负责政协工作情况的对内对外宣传；收集反映各族各界的意见和建议；负责区政协委员提案办理的协调和服务工作；负责区政协开展活动的后勤保障工作、经费管理、基本建设等工作；负责权限范围内的人事任免和机构调整；负责区政协委员和政协干部培训工作；承担区委、区政府、区政协交办的其他事项。</w:t>
      </w:r>
    </w:p>
    <w:p w14:paraId="505CC23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（三）人员概况。</w:t>
      </w:r>
    </w:p>
    <w:p w14:paraId="565FFEF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截止20</w:t>
      </w:r>
      <w:r>
        <w:rPr>
          <w:rFonts w:hint="eastAsia" w:ascii="仿宋_GB2312" w:hAnsi="仿宋_GB2312" w:eastAsia="仿宋_GB2312" w:cs="仿宋_GB2312"/>
          <w:b w:val="0"/>
          <w:bCs w:val="0"/>
          <w:color w:val="000000" w:themeColor="text1"/>
          <w:sz w:val="32"/>
          <w:szCs w:val="32"/>
          <w:lang w:val="en-US" w:eastAsia="zh-CN"/>
        </w:rPr>
        <w:t>20</w:t>
      </w:r>
      <w:r>
        <w:rPr>
          <w:rFonts w:hint="eastAsia" w:ascii="仿宋_GB2312" w:hAnsi="仿宋_GB2312" w:eastAsia="仿宋_GB2312" w:cs="仿宋_GB2312"/>
          <w:b w:val="0"/>
          <w:bCs w:val="0"/>
          <w:color w:val="000000" w:themeColor="text1"/>
          <w:sz w:val="32"/>
          <w:szCs w:val="32"/>
        </w:rPr>
        <w:t>年12月31日，昭化区政协机关设有六委一室，即办公室、农业委、提案法制委、人口环境资源委、经济委、科教文卫体委、学习文史与社会联谊委。核定行政编制人数7人，单列管理的行政编制人数</w:t>
      </w:r>
      <w:r>
        <w:rPr>
          <w:rFonts w:hint="eastAsia" w:ascii="仿宋_GB2312" w:hAnsi="仿宋_GB2312" w:eastAsia="仿宋_GB2312" w:cs="仿宋_GB2312"/>
          <w:b w:val="0"/>
          <w:bCs w:val="0"/>
          <w:color w:val="000000" w:themeColor="text1"/>
          <w:sz w:val="32"/>
          <w:szCs w:val="32"/>
          <w:lang w:val="en-US" w:eastAsia="zh-CN"/>
        </w:rPr>
        <w:t>5</w:t>
      </w:r>
      <w:r>
        <w:rPr>
          <w:rFonts w:hint="eastAsia" w:ascii="仿宋_GB2312" w:hAnsi="仿宋_GB2312" w:eastAsia="仿宋_GB2312" w:cs="仿宋_GB2312"/>
          <w:b w:val="0"/>
          <w:bCs w:val="0"/>
          <w:color w:val="000000" w:themeColor="text1"/>
          <w:sz w:val="32"/>
          <w:szCs w:val="32"/>
        </w:rPr>
        <w:t>人。年未实有人数</w:t>
      </w:r>
      <w:r>
        <w:rPr>
          <w:rFonts w:hint="eastAsia" w:ascii="仿宋_GB2312" w:hAnsi="仿宋_GB2312" w:eastAsia="仿宋_GB2312" w:cs="仿宋_GB2312"/>
          <w:b w:val="0"/>
          <w:bCs w:val="0"/>
          <w:color w:val="000000" w:themeColor="text1"/>
          <w:sz w:val="32"/>
          <w:szCs w:val="32"/>
          <w:lang w:val="en-US" w:eastAsia="zh-CN"/>
        </w:rPr>
        <w:t>47</w:t>
      </w:r>
      <w:r>
        <w:rPr>
          <w:rFonts w:hint="eastAsia" w:ascii="仿宋_GB2312" w:hAnsi="仿宋_GB2312" w:eastAsia="仿宋_GB2312" w:cs="仿宋_GB2312"/>
          <w:b w:val="0"/>
          <w:bCs w:val="0"/>
          <w:color w:val="000000" w:themeColor="text1"/>
          <w:sz w:val="32"/>
          <w:szCs w:val="32"/>
        </w:rPr>
        <w:t>人，其中：行政编制人数</w:t>
      </w:r>
      <w:r>
        <w:rPr>
          <w:rFonts w:hint="eastAsia" w:ascii="仿宋_GB2312" w:hAnsi="仿宋_GB2312" w:eastAsia="仿宋_GB2312" w:cs="仿宋_GB2312"/>
          <w:b w:val="0"/>
          <w:bCs w:val="0"/>
          <w:color w:val="000000" w:themeColor="text1"/>
          <w:sz w:val="32"/>
          <w:szCs w:val="32"/>
          <w:lang w:val="en-US" w:eastAsia="zh-CN"/>
        </w:rPr>
        <w:t>42</w:t>
      </w:r>
      <w:r>
        <w:rPr>
          <w:rFonts w:hint="eastAsia" w:ascii="仿宋_GB2312" w:hAnsi="仿宋_GB2312" w:eastAsia="仿宋_GB2312" w:cs="仿宋_GB2312"/>
          <w:b w:val="0"/>
          <w:bCs w:val="0"/>
          <w:color w:val="000000" w:themeColor="text1"/>
          <w:sz w:val="32"/>
          <w:szCs w:val="32"/>
        </w:rPr>
        <w:t>人，志</w:t>
      </w:r>
      <w:r>
        <w:rPr>
          <w:rFonts w:hint="eastAsia" w:ascii="仿宋_GB2312" w:hAnsi="仿宋_GB2312" w:eastAsia="仿宋_GB2312" w:cs="仿宋_GB2312"/>
          <w:b w:val="0"/>
          <w:bCs w:val="0"/>
          <w:color w:val="000000" w:themeColor="text1"/>
          <w:sz w:val="32"/>
          <w:szCs w:val="32"/>
          <w:lang w:val="en-US" w:eastAsia="zh-CN"/>
        </w:rPr>
        <w:t>愿</w:t>
      </w:r>
      <w:r>
        <w:rPr>
          <w:rFonts w:hint="eastAsia" w:ascii="仿宋_GB2312" w:hAnsi="仿宋_GB2312" w:eastAsia="仿宋_GB2312" w:cs="仿宋_GB2312"/>
          <w:b w:val="0"/>
          <w:bCs w:val="0"/>
          <w:color w:val="000000" w:themeColor="text1"/>
          <w:sz w:val="32"/>
          <w:szCs w:val="32"/>
        </w:rPr>
        <w:t>者1人，三支一扶1人，劳务派遣</w:t>
      </w:r>
      <w:r>
        <w:rPr>
          <w:rFonts w:hint="eastAsia" w:ascii="仿宋_GB2312" w:hAnsi="仿宋_GB2312" w:eastAsia="仿宋_GB2312" w:cs="仿宋_GB2312"/>
          <w:b w:val="0"/>
          <w:bCs w:val="0"/>
          <w:color w:val="000000" w:themeColor="text1"/>
          <w:sz w:val="32"/>
          <w:szCs w:val="32"/>
          <w:lang w:val="en-US" w:eastAsia="zh-CN"/>
        </w:rPr>
        <w:t>3</w:t>
      </w:r>
      <w:r>
        <w:rPr>
          <w:rFonts w:hint="eastAsia" w:ascii="仿宋_GB2312" w:hAnsi="仿宋_GB2312" w:eastAsia="仿宋_GB2312" w:cs="仿宋_GB2312"/>
          <w:b w:val="0"/>
          <w:bCs w:val="0"/>
          <w:color w:val="000000" w:themeColor="text1"/>
          <w:sz w:val="32"/>
          <w:szCs w:val="32"/>
        </w:rPr>
        <w:t>人。</w:t>
      </w:r>
    </w:p>
    <w:p w14:paraId="19EEE10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二、部门财政资金收支情况</w:t>
      </w:r>
    </w:p>
    <w:p w14:paraId="360DFC1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（一）部门财政资金收入情况。</w:t>
      </w:r>
    </w:p>
    <w:p w14:paraId="1231F50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年部门预算安排年初收入预算总额为</w:t>
      </w:r>
      <w:r>
        <w:rPr>
          <w:rFonts w:hint="eastAsia" w:ascii="仿宋_GB2312" w:hAnsi="仿宋_GB2312" w:eastAsia="仿宋_GB2312" w:cs="仿宋_GB2312"/>
          <w:color w:val="000000" w:themeColor="text1"/>
          <w:sz w:val="32"/>
          <w:szCs w:val="32"/>
          <w:lang w:val="en-US" w:eastAsia="zh-CN"/>
        </w:rPr>
        <w:t>880.85</w:t>
      </w:r>
      <w:r>
        <w:rPr>
          <w:rFonts w:hint="eastAsia" w:ascii="仿宋_GB2312" w:hAnsi="仿宋_GB2312" w:eastAsia="仿宋_GB2312" w:cs="仿宋_GB2312"/>
          <w:color w:val="000000" w:themeColor="text1"/>
          <w:sz w:val="32"/>
          <w:szCs w:val="32"/>
        </w:rPr>
        <w:t>万元。其中：当年财政拨款收入</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年中调整追</w:t>
      </w:r>
      <w:r>
        <w:rPr>
          <w:rFonts w:hint="eastAsia" w:ascii="仿宋_GB2312" w:hAnsi="仿宋_GB2312" w:eastAsia="仿宋_GB2312" w:cs="仿宋_GB2312"/>
          <w:color w:val="000000" w:themeColor="text1"/>
          <w:sz w:val="32"/>
          <w:szCs w:val="32"/>
          <w:lang w:eastAsia="zh-CN"/>
        </w:rPr>
        <w:t>加</w:t>
      </w:r>
      <w:r>
        <w:rPr>
          <w:rFonts w:hint="eastAsia" w:ascii="仿宋_GB2312" w:hAnsi="仿宋_GB2312" w:eastAsia="仿宋_GB2312" w:cs="仿宋_GB2312"/>
          <w:color w:val="000000" w:themeColor="text1"/>
          <w:sz w:val="32"/>
          <w:szCs w:val="32"/>
        </w:rPr>
        <w:t>财政资金预算</w:t>
      </w:r>
      <w:r>
        <w:rPr>
          <w:rFonts w:hint="eastAsia" w:ascii="仿宋_GB2312" w:hAnsi="仿宋_GB2312" w:eastAsia="仿宋_GB2312" w:cs="仿宋_GB2312"/>
          <w:color w:val="000000" w:themeColor="text1"/>
          <w:sz w:val="32"/>
          <w:szCs w:val="32"/>
          <w:lang w:val="en-US" w:eastAsia="zh-CN"/>
        </w:rPr>
        <w:t>193.2</w:t>
      </w:r>
      <w:r>
        <w:rPr>
          <w:rFonts w:hint="eastAsia" w:ascii="仿宋_GB2312" w:hAnsi="仿宋_GB2312" w:eastAsia="仿宋_GB2312" w:cs="仿宋_GB2312"/>
          <w:color w:val="000000" w:themeColor="text1"/>
          <w:sz w:val="32"/>
          <w:szCs w:val="32"/>
        </w:rPr>
        <w:t>万元。</w:t>
      </w:r>
    </w:p>
    <w:p w14:paraId="05B168C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（二）部门财政资金支出情况。</w:t>
      </w:r>
    </w:p>
    <w:p w14:paraId="00B725D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年部门财政资金支出决算总额为</w:t>
      </w:r>
      <w:r>
        <w:rPr>
          <w:rFonts w:hint="eastAsia" w:ascii="仿宋_GB2312" w:hAnsi="仿宋_GB2312" w:eastAsia="仿宋_GB2312" w:cs="仿宋_GB2312"/>
          <w:color w:val="000000" w:themeColor="text1"/>
          <w:sz w:val="32"/>
          <w:szCs w:val="32"/>
          <w:lang w:val="en-US" w:eastAsia="zh-CN"/>
        </w:rPr>
        <w:t>1074.05</w:t>
      </w:r>
      <w:r>
        <w:rPr>
          <w:rFonts w:hint="eastAsia" w:ascii="仿宋_GB2312" w:hAnsi="仿宋_GB2312" w:eastAsia="仿宋_GB2312" w:cs="仿宋_GB2312"/>
          <w:color w:val="000000" w:themeColor="text1"/>
          <w:sz w:val="32"/>
          <w:szCs w:val="32"/>
        </w:rPr>
        <w:t>万元。其中：</w:t>
      </w:r>
      <w:r>
        <w:rPr>
          <w:rFonts w:hint="eastAsia" w:ascii="仿宋_GB2312" w:hAnsi="仿宋_GB2312" w:eastAsia="仿宋_GB2312" w:cs="仿宋_GB2312"/>
          <w:color w:val="000000" w:themeColor="text1"/>
          <w:sz w:val="32"/>
          <w:szCs w:val="32"/>
          <w:lang w:eastAsia="zh-CN"/>
        </w:rPr>
        <w:t>人员</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714.98</w:t>
      </w:r>
      <w:r>
        <w:rPr>
          <w:rFonts w:hint="eastAsia" w:ascii="仿宋_GB2312" w:hAnsi="仿宋_GB2312" w:eastAsia="仿宋_GB2312" w:cs="仿宋_GB2312"/>
          <w:color w:val="000000" w:themeColor="text1"/>
          <w:sz w:val="32"/>
          <w:szCs w:val="32"/>
        </w:rPr>
        <w:t>万元，日常公用经费支出</w:t>
      </w:r>
      <w:r>
        <w:rPr>
          <w:rFonts w:hint="eastAsia" w:ascii="仿宋_GB2312" w:hAnsi="仿宋_GB2312" w:eastAsia="仿宋_GB2312" w:cs="仿宋_GB2312"/>
          <w:color w:val="000000" w:themeColor="text1"/>
          <w:sz w:val="32"/>
          <w:szCs w:val="32"/>
          <w:lang w:val="en-US" w:eastAsia="zh-CN"/>
        </w:rPr>
        <w:t>359.07</w:t>
      </w:r>
      <w:r>
        <w:rPr>
          <w:rFonts w:hint="eastAsia" w:ascii="仿宋_GB2312" w:hAnsi="仿宋_GB2312" w:eastAsia="仿宋_GB2312" w:cs="仿宋_GB2312"/>
          <w:color w:val="000000" w:themeColor="text1"/>
          <w:sz w:val="32"/>
          <w:szCs w:val="32"/>
        </w:rPr>
        <w:t>万元。</w:t>
      </w:r>
    </w:p>
    <w:p w14:paraId="52F618AA">
      <w:pPr>
        <w:pStyle w:val="9"/>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部门整体预算绩效管理情况</w:t>
      </w:r>
    </w:p>
    <w:p w14:paraId="3E86DB2D">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6" w:lineRule="exact"/>
        <w:ind w:left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（一）部门预算管理。</w:t>
      </w:r>
    </w:p>
    <w:p w14:paraId="2E883ED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1．部门绩效目标制定情况</w:t>
      </w:r>
    </w:p>
    <w:p w14:paraId="790E8A4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编制20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部门预算时，办公室结合区政协职能职责，围绕中心工作任务，严格按照预算编制要求，提前谋划预算编制工作，完成部门预算基础库更新，参照项目预算执行情况，统筹项目支出需要，按照保重点支出的原则，调整支出结构，优化财政资金配置，同时，结合财务决算情况，考虑预算年度增减变动因素，合理编报了部门预算，确保不漏报、不虚报。</w:t>
      </w:r>
    </w:p>
    <w:p w14:paraId="777863A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2.</w:t>
      </w:r>
      <w:r>
        <w:rPr>
          <w:rFonts w:hint="eastAsia" w:ascii="仿宋_GB2312" w:hAnsi="仿宋_GB2312" w:eastAsia="仿宋_GB2312" w:cs="仿宋_GB2312"/>
          <w:b/>
          <w:bCs/>
          <w:color w:val="000000" w:themeColor="text1"/>
          <w:sz w:val="32"/>
          <w:szCs w:val="32"/>
        </w:rPr>
        <w:t>目标完成情况</w:t>
      </w:r>
    </w:p>
    <w:p w14:paraId="6A9214D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b/>
          <w:bCs/>
          <w:color w:val="000000" w:themeColor="text1"/>
          <w:sz w:val="32"/>
          <w:szCs w:val="32"/>
          <w:lang w:val="en-US" w:eastAsia="zh-CN"/>
        </w:rPr>
        <w:t>1.</w:t>
      </w:r>
      <w:r>
        <w:rPr>
          <w:rFonts w:hint="eastAsia" w:ascii="仿宋_GB2312" w:hAnsi="仿宋_GB2312" w:eastAsia="仿宋_GB2312" w:cs="仿宋_GB2312"/>
          <w:b/>
          <w:bCs/>
          <w:color w:val="000000" w:themeColor="text1"/>
          <w:sz w:val="32"/>
          <w:szCs w:val="32"/>
        </w:rPr>
        <w:t>党对政协工作的全面领导更加坚强有力</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强化理论武装，筑牢政治根基</w:t>
      </w:r>
      <w:r>
        <w:rPr>
          <w:rFonts w:hint="eastAsia" w:ascii="仿宋_GB2312" w:hAnsi="仿宋_GB2312" w:eastAsia="仿宋_GB2312" w:cs="仿宋_GB2312"/>
          <w:color w:val="000000" w:themeColor="text1"/>
          <w:sz w:val="32"/>
          <w:szCs w:val="32"/>
          <w:lang w:eastAsia="zh-CN"/>
        </w:rPr>
        <w:t>。坚持</w:t>
      </w:r>
      <w:r>
        <w:rPr>
          <w:rFonts w:hint="eastAsia" w:ascii="仿宋_GB2312" w:hAnsi="仿宋_GB2312" w:eastAsia="仿宋_GB2312" w:cs="仿宋_GB2312"/>
          <w:color w:val="000000" w:themeColor="text1"/>
          <w:sz w:val="32"/>
          <w:szCs w:val="32"/>
        </w:rPr>
        <w:t>深入学习习近平新时代中国特色社会主义</w:t>
      </w:r>
      <w:r>
        <w:rPr>
          <w:rFonts w:hint="eastAsia" w:ascii="仿宋_GB2312" w:hAnsi="仿宋_GB2312" w:eastAsia="仿宋_GB2312" w:cs="仿宋_GB2312"/>
          <w:color w:val="000000" w:themeColor="text1"/>
          <w:sz w:val="32"/>
          <w:szCs w:val="32"/>
          <w:lang w:eastAsia="zh-CN"/>
        </w:rPr>
        <w:t>思想</w:t>
      </w:r>
      <w:r>
        <w:rPr>
          <w:rFonts w:hint="eastAsia" w:ascii="仿宋_GB2312" w:hAnsi="仿宋_GB2312" w:eastAsia="仿宋_GB2312" w:cs="仿宋_GB2312"/>
          <w:color w:val="000000" w:themeColor="text1"/>
          <w:sz w:val="32"/>
          <w:szCs w:val="32"/>
        </w:rPr>
        <w:t>和</w:t>
      </w:r>
      <w:r>
        <w:rPr>
          <w:rFonts w:hint="eastAsia" w:ascii="仿宋_GB2312" w:hAnsi="仿宋_GB2312" w:eastAsia="仿宋_GB2312" w:cs="仿宋_GB2312"/>
          <w:color w:val="000000" w:themeColor="text1"/>
          <w:sz w:val="32"/>
          <w:szCs w:val="32"/>
          <w:lang w:eastAsia="zh-CN"/>
        </w:rPr>
        <w:t>习近平总书记系列重要讲话精神</w:t>
      </w:r>
      <w:r>
        <w:rPr>
          <w:rFonts w:hint="eastAsia" w:ascii="仿宋_GB2312" w:hAnsi="仿宋_GB2312" w:eastAsia="仿宋_GB2312" w:cs="仿宋_GB2312"/>
          <w:color w:val="000000" w:themeColor="text1"/>
          <w:sz w:val="32"/>
          <w:szCs w:val="32"/>
        </w:rPr>
        <w:t>，深入学习习近平总书记关于加强和改进人民政协工作的重要思想、对四川工作系列重要指示精神，</w:t>
      </w:r>
      <w:r>
        <w:rPr>
          <w:rFonts w:hint="eastAsia" w:ascii="仿宋_GB2312" w:hAnsi="仿宋_GB2312" w:eastAsia="仿宋_GB2312" w:cs="仿宋_GB2312"/>
          <w:color w:val="000000" w:themeColor="text1"/>
          <w:sz w:val="32"/>
          <w:szCs w:val="32"/>
          <w:lang w:eastAsia="zh-CN"/>
        </w:rPr>
        <w:t>印发了《政协党组</w:t>
      </w:r>
      <w:r>
        <w:rPr>
          <w:rFonts w:hint="eastAsia" w:ascii="仿宋_GB2312" w:hAnsi="仿宋_GB2312" w:eastAsia="仿宋_GB2312" w:cs="仿宋_GB2312"/>
          <w:color w:val="000000" w:themeColor="text1"/>
          <w:sz w:val="32"/>
          <w:szCs w:val="32"/>
        </w:rPr>
        <w:t>理论学习</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"http://www.wenmi.org/Article/Special/xuexi/Index.html" \t "_blank" </w:instrText>
      </w:r>
      <w:r>
        <w:rPr>
          <w:rFonts w:hint="eastAsia" w:ascii="仿宋_GB2312" w:hAnsi="仿宋_GB2312" w:eastAsia="仿宋_GB2312" w:cs="仿宋_GB2312"/>
          <w:color w:val="000000" w:themeColor="text1"/>
          <w:sz w:val="32"/>
          <w:szCs w:val="32"/>
        </w:rPr>
        <w:fldChar w:fldCharType="separate"/>
      </w:r>
      <w:r>
        <w:rPr>
          <w:rFonts w:hint="eastAsia" w:ascii="仿宋_GB2312" w:hAnsi="仿宋_GB2312" w:eastAsia="仿宋_GB2312" w:cs="仿宋_GB2312"/>
          <w:color w:val="000000" w:themeColor="text1"/>
          <w:sz w:val="32"/>
          <w:szCs w:val="32"/>
        </w:rPr>
        <w:t>中心组</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sz w:val="32"/>
          <w:szCs w:val="32"/>
        </w:rPr>
        <w:t>学习</w:t>
      </w:r>
      <w:r>
        <w:rPr>
          <w:rFonts w:hint="eastAsia" w:ascii="仿宋_GB2312" w:hAnsi="仿宋_GB2312" w:eastAsia="仿宋_GB2312" w:cs="仿宋_GB2312"/>
          <w:color w:val="000000" w:themeColor="text1"/>
          <w:sz w:val="32"/>
          <w:szCs w:val="32"/>
          <w:lang w:eastAsia="zh-CN"/>
        </w:rPr>
        <w:t>规则》，将</w:t>
      </w:r>
      <w:r>
        <w:rPr>
          <w:rFonts w:hint="eastAsia" w:ascii="仿宋_GB2312" w:hAnsi="仿宋_GB2312" w:eastAsia="仿宋_GB2312" w:cs="仿宋_GB2312"/>
          <w:color w:val="000000" w:themeColor="text1"/>
          <w:sz w:val="32"/>
          <w:szCs w:val="32"/>
        </w:rPr>
        <w:t>党章、马克思主义经典著作、宪法</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习近平谈治国理政》等</w:t>
      </w:r>
      <w:r>
        <w:rPr>
          <w:rFonts w:hint="eastAsia" w:ascii="仿宋_GB2312" w:hAnsi="仿宋_GB2312" w:eastAsia="仿宋_GB2312" w:cs="仿宋_GB2312"/>
          <w:color w:val="000000" w:themeColor="text1"/>
          <w:sz w:val="32"/>
          <w:szCs w:val="32"/>
          <w:lang w:eastAsia="zh-CN"/>
        </w:rPr>
        <w:t>纳入学习计划。</w:t>
      </w:r>
      <w:r>
        <w:rPr>
          <w:rFonts w:hint="eastAsia" w:ascii="仿宋_GB2312" w:hAnsi="仿宋_GB2312" w:eastAsia="仿宋_GB2312" w:cs="仿宋_GB2312"/>
          <w:color w:val="000000" w:themeColor="text1"/>
          <w:sz w:val="32"/>
          <w:szCs w:val="32"/>
        </w:rPr>
        <w:t>通过中心组（扩大）学习会、常委会、集中学习会等多种形式组织干部职工、政协委员学习党的十九</w:t>
      </w:r>
      <w:r>
        <w:rPr>
          <w:rFonts w:hint="eastAsia" w:ascii="仿宋_GB2312" w:hAnsi="仿宋_GB2312" w:eastAsia="仿宋_GB2312" w:cs="仿宋_GB2312"/>
          <w:color w:val="000000" w:themeColor="text1"/>
          <w:sz w:val="32"/>
          <w:szCs w:val="32"/>
          <w:lang w:eastAsia="zh-CN"/>
        </w:rPr>
        <w:t>届三中、四中、五中</w:t>
      </w:r>
      <w:r>
        <w:rPr>
          <w:rFonts w:hint="eastAsia" w:ascii="仿宋_GB2312" w:hAnsi="仿宋_GB2312" w:eastAsia="仿宋_GB2312" w:cs="仿宋_GB2312"/>
          <w:color w:val="000000" w:themeColor="text1"/>
          <w:sz w:val="32"/>
          <w:szCs w:val="32"/>
        </w:rPr>
        <w:t>全会</w:t>
      </w:r>
      <w:r>
        <w:rPr>
          <w:rFonts w:hint="eastAsia" w:ascii="仿宋_GB2312" w:hAnsi="仿宋_GB2312" w:eastAsia="仿宋_GB2312" w:cs="仿宋_GB2312"/>
          <w:color w:val="000000" w:themeColor="text1"/>
          <w:sz w:val="32"/>
          <w:szCs w:val="32"/>
          <w:lang w:val="en-US" w:eastAsia="zh-CN"/>
        </w:rPr>
        <w:t>精神，系统学习省、市、区委各次全会等重要会议精神</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组织</w:t>
      </w:r>
      <w:r>
        <w:rPr>
          <w:rFonts w:hint="eastAsia" w:ascii="仿宋_GB2312" w:hAnsi="仿宋_GB2312" w:eastAsia="仿宋_GB2312" w:cs="仿宋_GB2312"/>
          <w:color w:val="000000" w:themeColor="text1"/>
          <w:sz w:val="32"/>
          <w:szCs w:val="32"/>
          <w:lang w:val="en-US" w:eastAsia="zh-CN"/>
        </w:rPr>
        <w:t>两次集体学习研讨，</w:t>
      </w:r>
      <w:r>
        <w:rPr>
          <w:rFonts w:hint="eastAsia" w:ascii="仿宋_GB2312" w:hAnsi="仿宋_GB2312" w:eastAsia="仿宋_GB2312" w:cs="仿宋_GB2312"/>
          <w:color w:val="000000" w:themeColor="text1"/>
          <w:sz w:val="32"/>
          <w:szCs w:val="32"/>
          <w:lang w:eastAsia="zh-CN"/>
        </w:rPr>
        <w:t>会前学习</w:t>
      </w:r>
      <w:r>
        <w:rPr>
          <w:rFonts w:hint="eastAsia" w:ascii="仿宋_GB2312" w:hAnsi="仿宋_GB2312" w:eastAsia="仿宋_GB2312" w:cs="仿宋_GB2312"/>
          <w:color w:val="000000" w:themeColor="text1"/>
          <w:sz w:val="32"/>
          <w:szCs w:val="32"/>
          <w:lang w:val="en-US" w:eastAsia="zh-CN"/>
        </w:rPr>
        <w:t>23次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切实</w:t>
      </w:r>
      <w:r>
        <w:rPr>
          <w:rFonts w:hint="eastAsia" w:ascii="仿宋_GB2312" w:hAnsi="仿宋_GB2312" w:eastAsia="仿宋_GB2312" w:cs="仿宋_GB2312"/>
          <w:color w:val="000000" w:themeColor="text1"/>
          <w:sz w:val="32"/>
          <w:szCs w:val="32"/>
        </w:rPr>
        <w:t>增强政治担当。</w:t>
      </w:r>
      <w:r>
        <w:rPr>
          <w:rFonts w:hint="eastAsia" w:ascii="仿宋_GB2312" w:hAnsi="仿宋_GB2312" w:eastAsia="仿宋_GB2312" w:cs="仿宋_GB2312"/>
          <w:color w:val="000000" w:themeColor="text1"/>
          <w:sz w:val="32"/>
          <w:szCs w:val="32"/>
          <w:lang w:eastAsia="zh-CN"/>
        </w:rPr>
        <w:t>始终坚持党的领导，</w:t>
      </w:r>
      <w:r>
        <w:rPr>
          <w:rFonts w:hint="eastAsia" w:ascii="仿宋_GB2312" w:hAnsi="仿宋_GB2312" w:eastAsia="仿宋_GB2312" w:cs="仿宋_GB2312"/>
          <w:color w:val="000000" w:themeColor="text1"/>
          <w:sz w:val="32"/>
          <w:szCs w:val="32"/>
        </w:rPr>
        <w:t>把牢正确政治方向</w:t>
      </w:r>
      <w:r>
        <w:rPr>
          <w:rFonts w:hint="eastAsia" w:ascii="仿宋_GB2312" w:hAnsi="仿宋_GB2312" w:eastAsia="仿宋_GB2312" w:cs="仿宋_GB2312"/>
          <w:color w:val="000000" w:themeColor="text1"/>
          <w:sz w:val="32"/>
          <w:szCs w:val="32"/>
          <w:lang w:eastAsia="zh-CN"/>
        </w:rPr>
        <w:t>。就区政协六届五次全会召开、市委政协工作会议精神传达等</w:t>
      </w:r>
      <w:r>
        <w:rPr>
          <w:rFonts w:hint="eastAsia" w:ascii="仿宋_GB2312" w:hAnsi="仿宋_GB2312" w:eastAsia="仿宋_GB2312" w:cs="仿宋_GB2312"/>
          <w:color w:val="000000" w:themeColor="text1"/>
          <w:sz w:val="32"/>
          <w:szCs w:val="32"/>
          <w:lang w:val="en-US" w:eastAsia="zh-CN"/>
        </w:rPr>
        <w:t>4次向区委常委会报告工作，</w:t>
      </w:r>
      <w:r>
        <w:rPr>
          <w:rFonts w:hint="eastAsia" w:ascii="仿宋_GB2312" w:hAnsi="仿宋_GB2312" w:eastAsia="仿宋_GB2312" w:cs="仿宋_GB2312"/>
          <w:color w:val="000000" w:themeColor="text1"/>
          <w:sz w:val="32"/>
          <w:szCs w:val="32"/>
        </w:rPr>
        <w:t>始终做到重要工作、重大活动、重要事项向区委报告后再组织实施</w:t>
      </w:r>
      <w:r>
        <w:rPr>
          <w:rFonts w:hint="eastAsia" w:ascii="仿宋_GB2312" w:hAnsi="仿宋_GB2312" w:eastAsia="仿宋_GB2312" w:cs="仿宋_GB2312"/>
          <w:color w:val="000000" w:themeColor="text1"/>
          <w:sz w:val="32"/>
          <w:szCs w:val="32"/>
          <w:lang w:eastAsia="zh-CN"/>
        </w:rPr>
        <w:t>。充分发挥政协党组的核心领导作用，</w:t>
      </w:r>
      <w:r>
        <w:rPr>
          <w:rFonts w:hint="eastAsia" w:ascii="仿宋_GB2312" w:hAnsi="仿宋_GB2312" w:eastAsia="仿宋_GB2312" w:cs="仿宋_GB2312"/>
          <w:color w:val="000000" w:themeColor="text1"/>
          <w:sz w:val="32"/>
          <w:szCs w:val="32"/>
        </w:rPr>
        <w:t>制发了《20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年区政协党建工作要点》</w:t>
      </w:r>
      <w:r>
        <w:rPr>
          <w:rFonts w:hint="eastAsia" w:ascii="仿宋_GB2312" w:hAnsi="仿宋_GB2312" w:eastAsia="仿宋_GB2312" w:cs="仿宋_GB2312"/>
          <w:color w:val="000000" w:themeColor="text1"/>
          <w:sz w:val="32"/>
          <w:szCs w:val="32"/>
          <w:lang w:eastAsia="zh-CN"/>
        </w:rPr>
        <w:t>，全面落实《党委（党组）落实全面从严治党主体责任规定》，制定了《</w:t>
      </w:r>
      <w:r>
        <w:rPr>
          <w:rFonts w:hint="eastAsia" w:ascii="仿宋_GB2312" w:hAnsi="仿宋_GB2312" w:eastAsia="仿宋_GB2312" w:cs="仿宋_GB2312"/>
          <w:color w:val="000000" w:themeColor="text1"/>
          <w:sz w:val="32"/>
          <w:szCs w:val="32"/>
          <w:lang w:val="en-US" w:eastAsia="zh-CN"/>
        </w:rPr>
        <w:t>全面</w:t>
      </w:r>
      <w:r>
        <w:rPr>
          <w:rFonts w:hint="eastAsia" w:ascii="仿宋_GB2312" w:hAnsi="仿宋_GB2312" w:eastAsia="仿宋_GB2312" w:cs="仿宋_GB2312"/>
          <w:color w:val="000000" w:themeColor="text1"/>
          <w:sz w:val="32"/>
          <w:szCs w:val="32"/>
          <w:lang w:eastAsia="zh-CN"/>
        </w:rPr>
        <w:t>从严治党责任清单》，进一步完善党建工作责任制，</w:t>
      </w:r>
      <w:r>
        <w:rPr>
          <w:rFonts w:hint="eastAsia" w:ascii="仿宋_GB2312" w:hAnsi="仿宋_GB2312" w:eastAsia="仿宋_GB2312" w:cs="仿宋_GB2312"/>
          <w:color w:val="000000" w:themeColor="text1"/>
          <w:sz w:val="32"/>
          <w:szCs w:val="32"/>
        </w:rPr>
        <w:t>实现党的领导全覆盖</w:t>
      </w:r>
      <w:r>
        <w:rPr>
          <w:rFonts w:hint="eastAsia" w:ascii="仿宋_GB2312" w:hAnsi="仿宋_GB2312" w:eastAsia="仿宋_GB2312" w:cs="仿宋_GB2312"/>
          <w:color w:val="000000" w:themeColor="text1"/>
          <w:sz w:val="32"/>
          <w:szCs w:val="32"/>
          <w:lang w:eastAsia="zh-CN"/>
        </w:rPr>
        <w:t>。</w:t>
      </w:r>
    </w:p>
    <w:p w14:paraId="090DC36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2.</w:t>
      </w:r>
      <w:r>
        <w:rPr>
          <w:rFonts w:hint="eastAsia" w:ascii="仿宋_GB2312" w:hAnsi="仿宋_GB2312" w:eastAsia="仿宋_GB2312" w:cs="仿宋_GB2312"/>
          <w:b/>
          <w:bCs/>
          <w:color w:val="000000" w:themeColor="text1"/>
          <w:sz w:val="32"/>
          <w:szCs w:val="32"/>
        </w:rPr>
        <w:t>服务大局助推高质量发展更加富有成效</w:t>
      </w:r>
      <w:r>
        <w:rPr>
          <w:rFonts w:hint="eastAsia" w:ascii="仿宋_GB2312" w:hAnsi="仿宋_GB2312" w:eastAsia="仿宋_GB2312" w:cs="仿宋_GB2312"/>
          <w:b/>
          <w:bCs/>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围绕中心广泛协商。</w:t>
      </w:r>
      <w:r>
        <w:rPr>
          <w:rFonts w:hint="eastAsia" w:ascii="仿宋_GB2312" w:hAnsi="仿宋_GB2312" w:eastAsia="仿宋_GB2312" w:cs="仿宋_GB2312"/>
          <w:color w:val="000000" w:themeColor="text1"/>
          <w:sz w:val="32"/>
          <w:szCs w:val="32"/>
        </w:rPr>
        <w:t>紧紧围绕省委“一干多支、五区协同”发展战略、市委“三个一、三个三”兴广战略、区委“三大重点区域”建设，先后召开议政性常委会议</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专题协商、对口协商、界别协商会议</w:t>
      </w:r>
      <w:r>
        <w:rPr>
          <w:rFonts w:hint="eastAsia" w:ascii="仿宋_GB2312" w:hAnsi="仿宋_GB2312" w:eastAsia="仿宋_GB2312" w:cs="仿宋_GB2312"/>
          <w:color w:val="000000" w:themeColor="text1"/>
          <w:sz w:val="32"/>
          <w:szCs w:val="32"/>
          <w:lang w:val="en-US" w:eastAsia="zh-CN"/>
        </w:rPr>
        <w:t>21</w:t>
      </w:r>
      <w:r>
        <w:rPr>
          <w:rFonts w:hint="eastAsia" w:ascii="仿宋_GB2312" w:hAnsi="仿宋_GB2312" w:eastAsia="仿宋_GB2312" w:cs="仿宋_GB2312"/>
          <w:color w:val="000000" w:themeColor="text1"/>
          <w:sz w:val="32"/>
          <w:szCs w:val="32"/>
        </w:rPr>
        <w:t>次，民主党派座谈会</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次，专门委员会会议</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次，组织</w:t>
      </w:r>
      <w:r>
        <w:rPr>
          <w:rFonts w:hint="eastAsia" w:ascii="仿宋_GB2312" w:hAnsi="仿宋_GB2312" w:eastAsia="仿宋_GB2312" w:cs="仿宋_GB2312"/>
          <w:color w:val="000000" w:themeColor="text1"/>
          <w:sz w:val="32"/>
          <w:szCs w:val="32"/>
          <w:lang w:val="en-US" w:eastAsia="zh-CN"/>
        </w:rPr>
        <w:t>7</w:t>
      </w:r>
      <w:r>
        <w:rPr>
          <w:rFonts w:hint="eastAsia" w:ascii="仿宋_GB2312" w:hAnsi="仿宋_GB2312" w:eastAsia="仿宋_GB2312" w:cs="仿宋_GB2312"/>
          <w:color w:val="000000" w:themeColor="text1"/>
          <w:sz w:val="32"/>
          <w:szCs w:val="32"/>
        </w:rPr>
        <w:t>项视察调研、</w:t>
      </w:r>
      <w:r>
        <w:rPr>
          <w:rFonts w:hint="eastAsia" w:ascii="仿宋_GB2312" w:hAnsi="仿宋_GB2312" w:eastAsia="仿宋_GB2312" w:cs="仿宋_GB2312"/>
          <w:color w:val="000000" w:themeColor="text1"/>
          <w:sz w:val="32"/>
          <w:szCs w:val="32"/>
          <w:lang w:val="en-US" w:eastAsia="zh-CN"/>
        </w:rPr>
        <w:t>32</w:t>
      </w:r>
      <w:r>
        <w:rPr>
          <w:rFonts w:hint="eastAsia" w:ascii="仿宋_GB2312" w:hAnsi="仿宋_GB2312" w:eastAsia="仿宋_GB2312" w:cs="仿宋_GB2312"/>
          <w:color w:val="000000" w:themeColor="text1"/>
          <w:sz w:val="32"/>
          <w:szCs w:val="32"/>
        </w:rPr>
        <w:t>次界别委员小组活动，</w:t>
      </w:r>
      <w:r>
        <w:rPr>
          <w:rFonts w:hint="eastAsia" w:ascii="仿宋_GB2312" w:hAnsi="仿宋_GB2312" w:eastAsia="仿宋_GB2312" w:cs="仿宋_GB2312"/>
          <w:color w:val="000000" w:themeColor="text1"/>
          <w:sz w:val="32"/>
          <w:szCs w:val="32"/>
          <w:lang w:val="en-US" w:eastAsia="zh-CN"/>
        </w:rPr>
        <w:t>通过协商活动积极推动</w:t>
      </w:r>
      <w:r>
        <w:rPr>
          <w:rFonts w:hint="eastAsia" w:ascii="仿宋_GB2312" w:hAnsi="仿宋_GB2312" w:eastAsia="仿宋_GB2312" w:cs="仿宋_GB2312"/>
          <w:color w:val="000000" w:themeColor="text1"/>
          <w:sz w:val="32"/>
          <w:szCs w:val="32"/>
        </w:rPr>
        <w:t>全区重大决策的制定和重要工作。</w:t>
      </w:r>
      <w:r>
        <w:rPr>
          <w:rFonts w:hint="eastAsia" w:ascii="仿宋_GB2312" w:hAnsi="仿宋_GB2312" w:eastAsia="仿宋_GB2312" w:cs="仿宋_GB2312"/>
          <w:color w:val="000000" w:themeColor="text1"/>
          <w:sz w:val="32"/>
          <w:szCs w:val="32"/>
          <w:lang w:val="en-US" w:eastAsia="zh-CN"/>
        </w:rPr>
        <w:t>其中，</w:t>
      </w:r>
      <w:r>
        <w:rPr>
          <w:rFonts w:hint="eastAsia" w:ascii="仿宋_GB2312" w:hAnsi="仿宋_GB2312" w:eastAsia="仿宋_GB2312" w:cs="仿宋_GB2312"/>
          <w:color w:val="000000" w:themeColor="text1"/>
          <w:sz w:val="32"/>
          <w:szCs w:val="32"/>
        </w:rPr>
        <w:t>紧扣</w:t>
      </w:r>
      <w:r>
        <w:rPr>
          <w:rFonts w:hint="eastAsia" w:ascii="仿宋_GB2312" w:hAnsi="仿宋_GB2312" w:eastAsia="仿宋_GB2312" w:cs="仿宋_GB2312"/>
          <w:color w:val="000000" w:themeColor="text1"/>
          <w:sz w:val="32"/>
          <w:szCs w:val="32"/>
          <w:lang w:val="en-US" w:eastAsia="zh-CN"/>
        </w:rPr>
        <w:t>推进昭化快速发展主题，深入开展</w:t>
      </w:r>
      <w:r>
        <w:rPr>
          <w:rFonts w:hint="eastAsia" w:ascii="仿宋_GB2312" w:hAnsi="仿宋_GB2312" w:eastAsia="仿宋_GB2312" w:cs="仿宋_GB2312"/>
          <w:color w:val="000000" w:themeColor="text1"/>
          <w:sz w:val="32"/>
          <w:szCs w:val="32"/>
        </w:rPr>
        <w:t>“十四五”规划编制</w:t>
      </w:r>
      <w:r>
        <w:rPr>
          <w:rFonts w:hint="eastAsia" w:ascii="仿宋_GB2312" w:hAnsi="仿宋_GB2312" w:eastAsia="仿宋_GB2312" w:cs="仿宋_GB2312"/>
          <w:color w:val="000000" w:themeColor="text1"/>
          <w:sz w:val="32"/>
          <w:szCs w:val="32"/>
          <w:lang w:val="en-US" w:eastAsia="zh-CN"/>
        </w:rPr>
        <w:t>调研协商，切实把助推编制好“十四五”发展规划作为全年政协履职工作的最大重点，</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val="en-US" w:eastAsia="zh-CN"/>
        </w:rPr>
        <w:t>全面调查，学习、研讨，提出数十条积极建议。聚焦工作重点建言资政。</w:t>
      </w:r>
      <w:r>
        <w:rPr>
          <w:rFonts w:hint="eastAsia" w:ascii="仿宋_GB2312" w:hAnsi="仿宋_GB2312" w:eastAsia="仿宋_GB2312" w:cs="仿宋_GB2312"/>
          <w:color w:val="000000" w:themeColor="text1"/>
          <w:sz w:val="32"/>
          <w:szCs w:val="32"/>
          <w:lang w:eastAsia="zh-CN"/>
        </w:rPr>
        <w:t>聚焦主动融入成渝地区双城经济圈建设课题，深入调研，形成调研报告</w:t>
      </w:r>
      <w:r>
        <w:rPr>
          <w:rFonts w:hint="eastAsia" w:ascii="仿宋_GB2312" w:hAnsi="仿宋_GB2312" w:eastAsia="仿宋_GB2312" w:cs="仿宋_GB2312"/>
          <w:color w:val="000000" w:themeColor="text1"/>
          <w:sz w:val="32"/>
          <w:szCs w:val="32"/>
          <w:lang w:val="en-US" w:eastAsia="zh-CN"/>
        </w:rPr>
        <w:t>展现政协作为</w:t>
      </w:r>
      <w:r>
        <w:rPr>
          <w:rFonts w:hint="eastAsia" w:ascii="仿宋_GB2312" w:hAnsi="仿宋_GB2312" w:eastAsia="仿宋_GB2312" w:cs="仿宋_GB2312"/>
          <w:color w:val="000000" w:themeColor="text1"/>
          <w:sz w:val="32"/>
          <w:szCs w:val="32"/>
        </w:rPr>
        <w:t>。围绕天府旅游名县创建、文旅经济发展</w:t>
      </w:r>
      <w:r>
        <w:rPr>
          <w:rFonts w:hint="eastAsia" w:ascii="仿宋_GB2312" w:hAnsi="仿宋_GB2312" w:eastAsia="仿宋_GB2312" w:cs="仿宋_GB2312"/>
          <w:color w:val="000000" w:themeColor="text1"/>
          <w:sz w:val="32"/>
          <w:szCs w:val="32"/>
          <w:lang w:val="en-US" w:eastAsia="zh-CN"/>
        </w:rPr>
        <w:t>提交调研报告</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推动我区文化资源发掘保护、促进文旅融合发展</w:t>
      </w:r>
      <w:r>
        <w:rPr>
          <w:rFonts w:hint="eastAsia" w:ascii="仿宋_GB2312" w:hAnsi="仿宋_GB2312" w:eastAsia="仿宋_GB2312" w:cs="仿宋_GB2312"/>
          <w:color w:val="000000" w:themeColor="text1"/>
          <w:sz w:val="32"/>
          <w:szCs w:val="32"/>
        </w:rPr>
        <w:t>。围绕基层治理体系建设着力提升治理效能，助推做好乡镇行政区划调整改革“后半篇”文章</w:t>
      </w:r>
      <w:r>
        <w:rPr>
          <w:rFonts w:hint="eastAsia" w:ascii="仿宋_GB2312" w:hAnsi="仿宋_GB2312" w:eastAsia="仿宋_GB2312" w:cs="仿宋_GB2312"/>
          <w:color w:val="000000" w:themeColor="text1"/>
          <w:sz w:val="32"/>
          <w:szCs w:val="32"/>
          <w:lang w:val="en-US" w:eastAsia="zh-CN"/>
        </w:rPr>
        <w:t>提出高质量建议</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围绕新型城镇化建设和全区重点交通建设组织专题协商，形成高质量协商报告和项目发展清单。</w:t>
      </w:r>
      <w:r>
        <w:rPr>
          <w:rFonts w:hint="eastAsia" w:ascii="仿宋_GB2312" w:hAnsi="仿宋_GB2312" w:eastAsia="仿宋_GB2312" w:cs="仿宋_GB2312"/>
          <w:color w:val="000000" w:themeColor="text1"/>
          <w:sz w:val="32"/>
          <w:szCs w:val="32"/>
        </w:rPr>
        <w:t>围绕现代林业产业高质量发展</w:t>
      </w:r>
      <w:r>
        <w:rPr>
          <w:rFonts w:hint="eastAsia" w:ascii="仿宋_GB2312" w:hAnsi="仿宋_GB2312" w:eastAsia="仿宋_GB2312" w:cs="仿宋_GB2312"/>
          <w:color w:val="000000" w:themeColor="text1"/>
          <w:sz w:val="32"/>
          <w:szCs w:val="32"/>
          <w:lang w:eastAsia="zh-CN"/>
        </w:rPr>
        <w:t>，助推乡村振兴开展调研，提交</w:t>
      </w:r>
      <w:r>
        <w:rPr>
          <w:rFonts w:hint="eastAsia" w:ascii="仿宋_GB2312" w:hAnsi="仿宋_GB2312" w:eastAsia="仿宋_GB2312" w:cs="仿宋_GB2312"/>
          <w:color w:val="000000" w:themeColor="text1"/>
          <w:sz w:val="32"/>
          <w:szCs w:val="32"/>
          <w:lang w:val="en-US" w:eastAsia="zh-CN"/>
        </w:rPr>
        <w:t>《推动政策性农业保险高质量发展、助力乡村产业振兴》等2篇建议。重点对加强学前教育发展开展专题协商，形成协商报告，为我区的学前教育健康有序发展提供参谋参考。</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val="en-US" w:eastAsia="zh-CN"/>
        </w:rPr>
        <w:t>视察活动</w:t>
      </w:r>
      <w:r>
        <w:rPr>
          <w:rFonts w:hint="eastAsia" w:ascii="仿宋_GB2312" w:hAnsi="仿宋_GB2312" w:eastAsia="仿宋_GB2312" w:cs="仿宋_GB2312"/>
          <w:color w:val="000000" w:themeColor="text1"/>
          <w:sz w:val="32"/>
          <w:szCs w:val="32"/>
        </w:rPr>
        <w:t>。组织区政协委员视察广元东部新城、绿色家居产业城</w:t>
      </w:r>
      <w:r>
        <w:rPr>
          <w:rFonts w:hint="eastAsia" w:ascii="仿宋_GB2312" w:hAnsi="仿宋_GB2312" w:eastAsia="仿宋_GB2312" w:cs="仿宋_GB2312"/>
          <w:color w:val="000000" w:themeColor="text1"/>
          <w:sz w:val="32"/>
          <w:szCs w:val="32"/>
          <w:lang w:val="en-US" w:eastAsia="zh-CN"/>
        </w:rPr>
        <w:t>货运大道</w:t>
      </w:r>
      <w:r>
        <w:rPr>
          <w:rFonts w:hint="eastAsia" w:ascii="仿宋_GB2312" w:hAnsi="仿宋_GB2312" w:eastAsia="仿宋_GB2312" w:cs="仿宋_GB2312"/>
          <w:color w:val="000000" w:themeColor="text1"/>
          <w:sz w:val="32"/>
          <w:szCs w:val="32"/>
        </w:rPr>
        <w:t>，助力重大项目有力有效推进。组织委员到三江新区重点项目建设现场视察，召开座谈会</w:t>
      </w:r>
      <w:r>
        <w:rPr>
          <w:rFonts w:hint="eastAsia" w:ascii="仿宋_GB2312" w:hAnsi="仿宋_GB2312" w:eastAsia="仿宋_GB2312" w:cs="仿宋_GB2312"/>
          <w:color w:val="000000" w:themeColor="text1"/>
          <w:sz w:val="32"/>
          <w:szCs w:val="32"/>
          <w:lang w:val="en-US" w:eastAsia="zh-CN"/>
        </w:rPr>
        <w:t>围绕全区中小学健康教育和学校公共卫生管理，深入明觉、红岩、昭化等学校视察和座谈。开展财税视察助力财政规范运行，</w:t>
      </w:r>
      <w:r>
        <w:rPr>
          <w:rFonts w:hint="eastAsia" w:ascii="仿宋_GB2312" w:hAnsi="仿宋_GB2312" w:eastAsia="仿宋_GB2312" w:cs="仿宋_GB2312"/>
          <w:color w:val="000000" w:themeColor="text1"/>
          <w:sz w:val="32"/>
          <w:szCs w:val="32"/>
          <w:lang w:eastAsia="zh-CN"/>
        </w:rPr>
        <w:t>围绕助推</w:t>
      </w:r>
      <w:r>
        <w:rPr>
          <w:rFonts w:hint="eastAsia" w:ascii="仿宋_GB2312" w:hAnsi="仿宋_GB2312" w:eastAsia="仿宋_GB2312" w:cs="仿宋_GB2312"/>
          <w:color w:val="000000" w:themeColor="text1"/>
          <w:sz w:val="32"/>
          <w:szCs w:val="32"/>
        </w:rPr>
        <w:t>公正司法组织委员参加了区法院</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检察院 “晋贤香菇骗贷案”听证会、“法律进农村”</w:t>
      </w:r>
      <w:r>
        <w:rPr>
          <w:rFonts w:hint="eastAsia" w:ascii="仿宋_GB2312" w:hAnsi="仿宋_GB2312" w:eastAsia="仿宋_GB2312" w:cs="仿宋_GB2312"/>
          <w:color w:val="000000" w:themeColor="text1"/>
          <w:sz w:val="32"/>
          <w:szCs w:val="32"/>
          <w:lang w:eastAsia="zh-CN"/>
        </w:rPr>
        <w:t>活动</w:t>
      </w:r>
      <w:r>
        <w:rPr>
          <w:rFonts w:hint="eastAsia" w:ascii="仿宋_GB2312" w:hAnsi="仿宋_GB2312" w:eastAsia="仿宋_GB2312" w:cs="仿宋_GB2312"/>
          <w:color w:val="000000" w:themeColor="text1"/>
          <w:sz w:val="32"/>
          <w:szCs w:val="32"/>
        </w:rPr>
        <w:t>，参加区人民检察院开放日活动，旁听区人民法院案件庭审，以民主监督推进</w:t>
      </w:r>
      <w:r>
        <w:rPr>
          <w:rFonts w:hint="eastAsia" w:ascii="仿宋_GB2312" w:hAnsi="仿宋_GB2312" w:eastAsia="仿宋_GB2312" w:cs="仿宋_GB2312"/>
          <w:color w:val="000000" w:themeColor="text1"/>
          <w:sz w:val="32"/>
          <w:szCs w:val="32"/>
          <w:lang w:val="en-US" w:eastAsia="zh-CN"/>
        </w:rPr>
        <w:t>依法履职和</w:t>
      </w:r>
      <w:r>
        <w:rPr>
          <w:rFonts w:hint="eastAsia" w:ascii="仿宋_GB2312" w:hAnsi="仿宋_GB2312" w:eastAsia="仿宋_GB2312" w:cs="仿宋_GB2312"/>
          <w:color w:val="000000" w:themeColor="text1"/>
          <w:sz w:val="32"/>
          <w:szCs w:val="32"/>
        </w:rPr>
        <w:t>司法公正。</w:t>
      </w:r>
      <w:r>
        <w:rPr>
          <w:rFonts w:hint="eastAsia" w:ascii="仿宋_GB2312" w:hAnsi="仿宋_GB2312" w:eastAsia="仿宋_GB2312" w:cs="仿宋_GB2312"/>
          <w:color w:val="000000" w:themeColor="text1"/>
          <w:sz w:val="32"/>
          <w:szCs w:val="32"/>
          <w:lang w:val="en-US" w:eastAsia="zh-CN"/>
        </w:rPr>
        <w:t>切实提升</w:t>
      </w:r>
      <w:r>
        <w:rPr>
          <w:rFonts w:hint="eastAsia" w:ascii="仿宋_GB2312" w:hAnsi="仿宋_GB2312" w:eastAsia="仿宋_GB2312" w:cs="仿宋_GB2312"/>
          <w:color w:val="000000" w:themeColor="text1"/>
          <w:sz w:val="32"/>
          <w:szCs w:val="32"/>
        </w:rPr>
        <w:t>提案</w:t>
      </w:r>
      <w:r>
        <w:rPr>
          <w:rFonts w:hint="eastAsia" w:ascii="仿宋_GB2312" w:hAnsi="仿宋_GB2312" w:eastAsia="仿宋_GB2312" w:cs="仿宋_GB2312"/>
          <w:color w:val="000000" w:themeColor="text1"/>
          <w:sz w:val="32"/>
          <w:szCs w:val="32"/>
          <w:lang w:val="en-US" w:eastAsia="zh-CN"/>
        </w:rPr>
        <w:t>质量</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六</w:t>
      </w:r>
      <w:r>
        <w:rPr>
          <w:rFonts w:hint="eastAsia" w:ascii="仿宋_GB2312" w:hAnsi="仿宋_GB2312" w:eastAsia="仿宋_GB2312" w:cs="仿宋_GB2312"/>
          <w:color w:val="000000" w:themeColor="text1"/>
          <w:sz w:val="32"/>
          <w:szCs w:val="32"/>
        </w:rPr>
        <w:t>届</w:t>
      </w:r>
      <w:r>
        <w:rPr>
          <w:rFonts w:hint="eastAsia" w:ascii="仿宋_GB2312" w:hAnsi="仿宋_GB2312" w:eastAsia="仿宋_GB2312" w:cs="仿宋_GB2312"/>
          <w:color w:val="000000" w:themeColor="text1"/>
          <w:sz w:val="32"/>
          <w:szCs w:val="32"/>
          <w:lang w:val="en-US" w:eastAsia="zh-CN"/>
        </w:rPr>
        <w:t>五次</w:t>
      </w:r>
      <w:r>
        <w:rPr>
          <w:rFonts w:hint="eastAsia" w:ascii="仿宋_GB2312" w:hAnsi="仿宋_GB2312" w:eastAsia="仿宋_GB2312" w:cs="仿宋_GB2312"/>
          <w:color w:val="000000" w:themeColor="text1"/>
          <w:sz w:val="32"/>
          <w:szCs w:val="32"/>
        </w:rPr>
        <w:t>会议以来，共征集提案105件，审查立案、交办96件。</w:t>
      </w:r>
      <w:r>
        <w:rPr>
          <w:rFonts w:hint="eastAsia" w:ascii="仿宋_GB2312" w:hAnsi="仿宋_GB2312" w:eastAsia="仿宋_GB2312" w:cs="仿宋_GB2312"/>
          <w:color w:val="000000" w:themeColor="text1"/>
          <w:sz w:val="32"/>
          <w:szCs w:val="32"/>
          <w:lang w:val="en-US" w:eastAsia="zh-CN"/>
        </w:rPr>
        <w:t>通过</w:t>
      </w:r>
      <w:r>
        <w:rPr>
          <w:rFonts w:hint="eastAsia" w:ascii="仿宋_GB2312" w:hAnsi="仿宋_GB2312" w:eastAsia="仿宋_GB2312" w:cs="仿宋_GB2312"/>
          <w:color w:val="000000" w:themeColor="text1"/>
          <w:sz w:val="32"/>
          <w:szCs w:val="32"/>
        </w:rPr>
        <w:t>加强对提案办理的协商督导，遴选推荐重点督办提案5件，围绕重点提案，主席会议成员分别牵头组织视察调研，召开协商座谈会，所有提案全部按时办复，提案办理质效得到充分保证。</w:t>
      </w:r>
      <w:r>
        <w:rPr>
          <w:rFonts w:hint="eastAsia" w:ascii="仿宋_GB2312" w:hAnsi="仿宋_GB2312" w:eastAsia="仿宋_GB2312" w:cs="仿宋_GB2312"/>
          <w:color w:val="000000" w:themeColor="text1"/>
          <w:sz w:val="32"/>
          <w:szCs w:val="32"/>
          <w:lang w:val="en-US" w:eastAsia="zh-CN"/>
        </w:rPr>
        <w:t>及时反映社情民意。把反映社情民意信息作为政协履职的经常性、基础性工作，强化社情民意信息舆情汇集和民意表达功能，畅通反映渠道，加大采编力度。广大委员深入调研、走访基层，积极为民发声，全年共征集社情民意35条，涉及医疗卫生、便民服务、传统文化保护、公共交通等民生领域，其中，《</w:t>
      </w:r>
      <w:r>
        <w:rPr>
          <w:rFonts w:hint="eastAsia" w:ascii="仿宋_GB2312" w:hAnsi="仿宋_GB2312" w:eastAsia="仿宋_GB2312" w:cs="仿宋_GB2312"/>
          <w:color w:val="000000" w:themeColor="text1"/>
          <w:sz w:val="32"/>
          <w:szCs w:val="32"/>
          <w:lang w:eastAsia="zh-CN"/>
        </w:rPr>
        <w:t>“抗疫”新阶段  家禽养殖亟盼产销秩序恢复</w:t>
      </w:r>
      <w:r>
        <w:rPr>
          <w:rFonts w:hint="eastAsia" w:ascii="仿宋_GB2312" w:hAnsi="仿宋_GB2312" w:eastAsia="仿宋_GB2312" w:cs="仿宋_GB2312"/>
          <w:color w:val="000000" w:themeColor="text1"/>
          <w:sz w:val="32"/>
          <w:szCs w:val="32"/>
          <w:lang w:val="en-US" w:eastAsia="zh-CN"/>
        </w:rPr>
        <w:t>》得到市委、市政府领导的签批。</w:t>
      </w:r>
    </w:p>
    <w:p w14:paraId="44FF15F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3.汇聚</w:t>
      </w:r>
      <w:r>
        <w:rPr>
          <w:rFonts w:hint="eastAsia" w:ascii="仿宋_GB2312" w:hAnsi="仿宋_GB2312" w:eastAsia="仿宋_GB2312" w:cs="仿宋_GB2312"/>
          <w:b/>
          <w:bCs/>
          <w:color w:val="000000" w:themeColor="text1"/>
          <w:sz w:val="32"/>
          <w:szCs w:val="32"/>
        </w:rPr>
        <w:t>团结奋斗</w:t>
      </w:r>
      <w:r>
        <w:rPr>
          <w:rFonts w:hint="eastAsia" w:ascii="仿宋_GB2312" w:hAnsi="仿宋_GB2312" w:eastAsia="仿宋_GB2312" w:cs="仿宋_GB2312"/>
          <w:b/>
          <w:bCs/>
          <w:color w:val="000000" w:themeColor="text1"/>
          <w:sz w:val="32"/>
          <w:szCs w:val="32"/>
          <w:lang w:val="en-US" w:eastAsia="zh-CN"/>
        </w:rPr>
        <w:t>正能量</w:t>
      </w:r>
      <w:r>
        <w:rPr>
          <w:rFonts w:hint="eastAsia" w:ascii="仿宋_GB2312" w:hAnsi="仿宋_GB2312" w:eastAsia="仿宋_GB2312" w:cs="仿宋_GB2312"/>
          <w:b/>
          <w:bCs/>
          <w:color w:val="000000" w:themeColor="text1"/>
          <w:sz w:val="32"/>
          <w:szCs w:val="32"/>
        </w:rPr>
        <w:t>更加</w:t>
      </w:r>
      <w:r>
        <w:rPr>
          <w:rFonts w:hint="eastAsia" w:ascii="仿宋_GB2312" w:hAnsi="仿宋_GB2312" w:eastAsia="仿宋_GB2312" w:cs="仿宋_GB2312"/>
          <w:b/>
          <w:bCs/>
          <w:color w:val="000000" w:themeColor="text1"/>
          <w:sz w:val="32"/>
          <w:szCs w:val="32"/>
          <w:lang w:val="en-US" w:eastAsia="zh-CN"/>
        </w:rPr>
        <w:t>高效。</w:t>
      </w:r>
      <w:r>
        <w:rPr>
          <w:rFonts w:hint="eastAsia" w:ascii="仿宋_GB2312" w:hAnsi="仿宋_GB2312" w:eastAsia="仿宋_GB2312" w:cs="仿宋_GB2312"/>
          <w:color w:val="000000" w:themeColor="text1"/>
          <w:sz w:val="32"/>
          <w:szCs w:val="32"/>
        </w:rPr>
        <w:t>促进知情明政，凝聚社会共识</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创新搭建知情明政平台，组织委员及时学习中央、省委、市委和区委的重要文件，传达会议精神，适时举行座谈会</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邀请区、区政府领导通报情况，</w:t>
      </w:r>
      <w:r>
        <w:rPr>
          <w:rFonts w:hint="eastAsia" w:ascii="仿宋_GB2312" w:hAnsi="仿宋_GB2312" w:eastAsia="仿宋_GB2312" w:cs="仿宋_GB2312"/>
          <w:color w:val="000000" w:themeColor="text1"/>
          <w:sz w:val="32"/>
          <w:szCs w:val="32"/>
        </w:rPr>
        <w:t>听取区人民政府、区纪委监委、区人民法院、区人民检察院和发改、</w:t>
      </w:r>
      <w:r>
        <w:rPr>
          <w:rFonts w:hint="eastAsia" w:ascii="仿宋_GB2312" w:hAnsi="仿宋_GB2312" w:eastAsia="仿宋_GB2312" w:cs="仿宋_GB2312"/>
          <w:color w:val="000000" w:themeColor="text1"/>
          <w:sz w:val="32"/>
          <w:szCs w:val="32"/>
          <w:lang w:eastAsia="zh-CN"/>
        </w:rPr>
        <w:t>财</w:t>
      </w:r>
      <w:r>
        <w:rPr>
          <w:rFonts w:hint="eastAsia" w:ascii="仿宋_GB2312" w:hAnsi="仿宋_GB2312" w:eastAsia="仿宋_GB2312" w:cs="仿宋_GB2312"/>
          <w:color w:val="000000" w:themeColor="text1"/>
          <w:sz w:val="32"/>
          <w:szCs w:val="32"/>
        </w:rPr>
        <w:t>政等区级部门工作通报</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增强了委员知情明政度，为区委、区政府一系列重大决策部署落实落地找到最大公约数、画出最大同心圆。</w:t>
      </w:r>
      <w:r>
        <w:rPr>
          <w:rFonts w:hint="eastAsia" w:ascii="仿宋_GB2312" w:hAnsi="仿宋_GB2312" w:eastAsia="仿宋_GB2312" w:cs="仿宋_GB2312"/>
          <w:color w:val="000000" w:themeColor="text1"/>
          <w:sz w:val="32"/>
          <w:szCs w:val="32"/>
          <w:lang w:val="en-US" w:eastAsia="zh-CN"/>
        </w:rPr>
        <w:t>发挥政协联谊广泛优势，</w:t>
      </w:r>
      <w:r>
        <w:rPr>
          <w:rFonts w:hint="eastAsia" w:ascii="仿宋_GB2312" w:hAnsi="仿宋_GB2312" w:eastAsia="仿宋_GB2312" w:cs="仿宋_GB2312"/>
          <w:color w:val="000000" w:themeColor="text1"/>
          <w:sz w:val="32"/>
          <w:szCs w:val="32"/>
          <w:lang w:eastAsia="zh-CN"/>
        </w:rPr>
        <w:t>积极开展对外</w:t>
      </w:r>
      <w:r>
        <w:rPr>
          <w:rFonts w:hint="eastAsia" w:ascii="仿宋_GB2312" w:hAnsi="仿宋_GB2312" w:eastAsia="仿宋_GB2312" w:cs="仿宋_GB2312"/>
          <w:color w:val="000000" w:themeColor="text1"/>
          <w:sz w:val="32"/>
          <w:szCs w:val="32"/>
          <w:lang w:val="en-US" w:eastAsia="zh-CN"/>
        </w:rPr>
        <w:t>交流。</w:t>
      </w:r>
      <w:r>
        <w:rPr>
          <w:rFonts w:hint="eastAsia" w:ascii="仿宋_GB2312" w:hAnsi="仿宋_GB2312" w:eastAsia="仿宋_GB2312" w:cs="仿宋_GB2312"/>
          <w:color w:val="000000" w:themeColor="text1"/>
          <w:sz w:val="32"/>
          <w:szCs w:val="32"/>
          <w:lang w:eastAsia="zh-CN"/>
        </w:rPr>
        <w:t>加强与浙江龙泉市、甘肃兰州市、成都市、泸州市、德阳市、遂宁市等地联谊交流，</w:t>
      </w:r>
      <w:r>
        <w:rPr>
          <w:rFonts w:hint="eastAsia" w:ascii="仿宋_GB2312" w:hAnsi="仿宋_GB2312" w:eastAsia="仿宋_GB2312" w:cs="仿宋_GB2312"/>
          <w:color w:val="000000" w:themeColor="text1"/>
          <w:sz w:val="32"/>
          <w:szCs w:val="32"/>
          <w:lang w:val="en-US" w:eastAsia="zh-CN"/>
        </w:rPr>
        <w:t>认真做好省内外政协到昭化区调研视察、检查指导，</w:t>
      </w:r>
      <w:r>
        <w:rPr>
          <w:rFonts w:hint="eastAsia" w:ascii="仿宋_GB2312" w:hAnsi="仿宋_GB2312" w:eastAsia="仿宋_GB2312" w:cs="仿宋_GB2312"/>
          <w:color w:val="000000" w:themeColor="text1"/>
          <w:sz w:val="32"/>
          <w:szCs w:val="32"/>
          <w:lang w:eastAsia="zh-CN"/>
        </w:rPr>
        <w:t>对外宣传昭化优势，助力中国西部（广元）绿色家居产业城建设。</w:t>
      </w:r>
      <w:r>
        <w:rPr>
          <w:rFonts w:hint="eastAsia" w:ascii="仿宋_GB2312" w:hAnsi="仿宋_GB2312" w:eastAsia="仿宋_GB2312" w:cs="仿宋_GB2312"/>
          <w:color w:val="000000" w:themeColor="text1"/>
          <w:sz w:val="32"/>
          <w:szCs w:val="32"/>
          <w:lang w:val="en-US" w:eastAsia="zh-CN"/>
        </w:rPr>
        <w:t>通过“走出去”宣传全区改革发展取得的成就，展示昭化形象，</w:t>
      </w:r>
      <w:r>
        <w:rPr>
          <w:rFonts w:hint="eastAsia" w:ascii="仿宋_GB2312" w:hAnsi="仿宋_GB2312" w:eastAsia="仿宋_GB2312" w:cs="仿宋_GB2312"/>
          <w:color w:val="000000" w:themeColor="text1"/>
          <w:sz w:val="32"/>
          <w:szCs w:val="32"/>
          <w:lang w:eastAsia="zh-CN"/>
        </w:rPr>
        <w:t>增强政协组织凝聚力，</w:t>
      </w:r>
      <w:r>
        <w:rPr>
          <w:rFonts w:hint="eastAsia" w:ascii="仿宋_GB2312" w:hAnsi="仿宋_GB2312" w:eastAsia="仿宋_GB2312" w:cs="仿宋_GB2312"/>
          <w:color w:val="000000" w:themeColor="text1"/>
          <w:sz w:val="32"/>
          <w:szCs w:val="32"/>
          <w:lang w:val="en-US" w:eastAsia="zh-CN"/>
        </w:rPr>
        <w:t>组织政协委员、政协干部赴外开展学习考察和联谊活动14次，提高昭化区知名度，促进政协工作。</w:t>
      </w:r>
      <w:r>
        <w:rPr>
          <w:rFonts w:hint="eastAsia" w:ascii="仿宋_GB2312" w:hAnsi="仿宋_GB2312" w:eastAsia="仿宋_GB2312" w:cs="仿宋_GB2312"/>
          <w:color w:val="000000" w:themeColor="text1"/>
          <w:sz w:val="32"/>
          <w:szCs w:val="32"/>
        </w:rPr>
        <w:t>重视存史资政，</w:t>
      </w:r>
      <w:r>
        <w:rPr>
          <w:rFonts w:hint="eastAsia" w:ascii="仿宋_GB2312" w:hAnsi="仿宋_GB2312" w:eastAsia="仿宋_GB2312" w:cs="仿宋_GB2312"/>
          <w:color w:val="000000" w:themeColor="text1"/>
          <w:sz w:val="32"/>
          <w:szCs w:val="32"/>
          <w:lang w:val="en-US" w:eastAsia="zh-CN"/>
        </w:rPr>
        <w:t>增强文化软实力</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重视和支持政协文史资料的征集、编修，</w:t>
      </w:r>
      <w:r>
        <w:rPr>
          <w:rFonts w:hint="eastAsia" w:ascii="仿宋_GB2312" w:hAnsi="仿宋_GB2312" w:eastAsia="仿宋_GB2312" w:cs="仿宋_GB2312"/>
          <w:color w:val="000000" w:themeColor="text1"/>
          <w:sz w:val="32"/>
          <w:szCs w:val="32"/>
        </w:rPr>
        <w:t>持续征集以我区“十古”为主题的文史资料</w:t>
      </w:r>
      <w:r>
        <w:rPr>
          <w:rFonts w:hint="eastAsia" w:ascii="仿宋_GB2312" w:hAnsi="仿宋_GB2312" w:eastAsia="仿宋_GB2312" w:cs="仿宋_GB2312"/>
          <w:color w:val="000000" w:themeColor="text1"/>
          <w:sz w:val="32"/>
          <w:szCs w:val="32"/>
          <w:lang w:eastAsia="zh-CN"/>
        </w:rPr>
        <w:t>，新编纂</w:t>
      </w:r>
      <w:r>
        <w:rPr>
          <w:rFonts w:hint="eastAsia" w:ascii="仿宋_GB2312" w:hAnsi="仿宋_GB2312" w:eastAsia="仿宋_GB2312" w:cs="仿宋_GB2312"/>
          <w:color w:val="000000" w:themeColor="text1"/>
          <w:sz w:val="32"/>
          <w:szCs w:val="32"/>
          <w:lang w:val="en-US" w:eastAsia="zh-CN"/>
        </w:rPr>
        <w:t>形成了30余万字的昭化文史资料初稿</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涵括</w:t>
      </w:r>
      <w:r>
        <w:rPr>
          <w:rFonts w:hint="eastAsia" w:ascii="仿宋_GB2312" w:hAnsi="仿宋_GB2312" w:eastAsia="仿宋_GB2312" w:cs="仿宋_GB2312"/>
          <w:color w:val="000000" w:themeColor="text1"/>
          <w:sz w:val="32"/>
          <w:szCs w:val="32"/>
        </w:rPr>
        <w:t>脱贫攻坚典型事迹、脱贫百佳示范户、区返乡创业典型资料、亭子湖水利工程搬迁等范畴的“三亲”资料等296篇（幅）</w:t>
      </w:r>
      <w:r>
        <w:rPr>
          <w:rFonts w:hint="eastAsia" w:ascii="仿宋_GB2312" w:hAnsi="仿宋_GB2312" w:eastAsia="仿宋_GB2312" w:cs="仿宋_GB2312"/>
          <w:color w:val="000000" w:themeColor="text1"/>
          <w:sz w:val="32"/>
          <w:szCs w:val="32"/>
          <w:lang w:eastAsia="zh-CN"/>
        </w:rPr>
        <w:t>，充分发挥政协文史资料“存史、资政、团结、育人”的社会功能，为推进文化强区建设、增强昭化区文化软实力献计出力</w:t>
      </w:r>
      <w:r>
        <w:rPr>
          <w:rFonts w:hint="eastAsia" w:ascii="仿宋_GB2312" w:hAnsi="仿宋_GB2312" w:eastAsia="仿宋_GB2312" w:cs="仿宋_GB2312"/>
          <w:color w:val="000000" w:themeColor="text1"/>
          <w:sz w:val="32"/>
          <w:szCs w:val="32"/>
          <w:lang w:val="en-US" w:eastAsia="zh-CN"/>
        </w:rPr>
        <w:t>。</w:t>
      </w:r>
    </w:p>
    <w:p w14:paraId="2D4E15C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b/>
          <w:bCs/>
          <w:color w:val="000000" w:themeColor="text1"/>
          <w:sz w:val="32"/>
          <w:szCs w:val="32"/>
          <w:lang w:val="en-US" w:eastAsia="zh-CN"/>
        </w:rPr>
        <w:t>4.积极参与各项中心工作。</w:t>
      </w:r>
      <w:r>
        <w:rPr>
          <w:rFonts w:hint="eastAsia" w:ascii="仿宋_GB2312" w:hAnsi="仿宋_GB2312" w:eastAsia="仿宋_GB2312" w:cs="仿宋_GB2312"/>
          <w:color w:val="000000" w:themeColor="text1"/>
          <w:sz w:val="32"/>
          <w:szCs w:val="32"/>
          <w:lang w:val="en-US" w:eastAsia="zh-CN"/>
        </w:rPr>
        <w:t>担当作为助力疫情防控。</w:t>
      </w:r>
      <w:r>
        <w:rPr>
          <w:rFonts w:hint="eastAsia" w:ascii="仿宋_GB2312" w:hAnsi="仿宋_GB2312" w:eastAsia="仿宋_GB2312" w:cs="仿宋_GB2312"/>
          <w:color w:val="000000" w:themeColor="text1"/>
          <w:sz w:val="32"/>
          <w:szCs w:val="32"/>
        </w:rPr>
        <w:t>聚焦常态化疫情防控和经济社会发展双重任务，协力做好“六稳”工作、落实“六保”任务</w:t>
      </w:r>
      <w:r>
        <w:rPr>
          <w:rFonts w:hint="eastAsia" w:ascii="仿宋_GB2312" w:hAnsi="仿宋_GB2312" w:eastAsia="仿宋_GB2312" w:cs="仿宋_GB2312"/>
          <w:color w:val="000000" w:themeColor="text1"/>
          <w:sz w:val="32"/>
          <w:szCs w:val="32"/>
          <w:lang w:val="en-US" w:eastAsia="zh-CN"/>
        </w:rPr>
        <w:t>。围绕加强疫情防控、养殖业流通、复苏旅游市场广泛调研，形成《关于做好“抗疫”新阶段家禽养殖产销秩序恢复的建议》、《关于加紧缓解疫情期间我区部分中小微企业“融资难融资贵”问题的建议》，相关建议得到区政府主要领导签批，为有效应对疫情影响提供参考，助力企业复工复产、农民稳固增收。政协班子成员联系镇、政协机关联系村，全方位落实好各级疫情防控和发展目标任务。</w:t>
      </w:r>
      <w:r>
        <w:rPr>
          <w:rFonts w:hint="eastAsia" w:ascii="仿宋_GB2312" w:hAnsi="仿宋_GB2312" w:eastAsia="仿宋_GB2312" w:cs="仿宋_GB2312"/>
          <w:color w:val="000000" w:themeColor="text1"/>
          <w:sz w:val="32"/>
          <w:szCs w:val="32"/>
        </w:rPr>
        <w:t>脱贫攻坚干在实处。持续深化政协委员“我为扶贫攻坚做件事”活动，优化完善“三抓三联”机制，组织带领政协参加单位和广大委员积极投身决战决胜脱贫攻坚主战场，</w:t>
      </w:r>
      <w:r>
        <w:rPr>
          <w:rFonts w:hint="eastAsia" w:ascii="仿宋_GB2312" w:hAnsi="仿宋_GB2312" w:eastAsia="仿宋_GB2312" w:cs="仿宋_GB2312"/>
          <w:color w:val="000000" w:themeColor="text1"/>
          <w:sz w:val="32"/>
          <w:szCs w:val="32"/>
          <w:lang w:val="en-US" w:eastAsia="zh-CN"/>
        </w:rPr>
        <w:t>持续开展“我为扶贫攻坚做件事”活动，发挥好“桥梁”作用，有效凝聚各方力量。</w:t>
      </w:r>
      <w:r>
        <w:rPr>
          <w:rFonts w:hint="eastAsia" w:ascii="仿宋_GB2312" w:hAnsi="仿宋_GB2312" w:eastAsia="仿宋_GB2312" w:cs="仿宋_GB2312"/>
          <w:color w:val="000000" w:themeColor="text1"/>
          <w:sz w:val="32"/>
          <w:szCs w:val="32"/>
        </w:rPr>
        <w:t>政协班子成员严格落实区委脱贫攻坚部署，组织带领帮扶部门和镇村干部，统筹做好所联系乡镇工作。</w:t>
      </w:r>
      <w:r>
        <w:rPr>
          <w:rFonts w:hint="eastAsia" w:ascii="仿宋_GB2312" w:hAnsi="仿宋_GB2312" w:eastAsia="仿宋_GB2312" w:cs="仿宋_GB2312"/>
          <w:color w:val="000000" w:themeColor="text1"/>
          <w:sz w:val="32"/>
          <w:szCs w:val="32"/>
          <w:lang w:val="en-US" w:eastAsia="zh-CN"/>
        </w:rPr>
        <w:t>组织政协参加单位和广大委员积极投身决战决胜脱贫攻坚主战场，政协机关购买爱心扶贫产品16万余元，政协委员为脱贫攻坚做好事实事1365件，捐款捐物40万元。主动参与其他中心工作。定期研究区委政府安排的重点工作履职情况，扎实推进工作开展，班子成员成员分赴联系乡镇开展村（社区）两委换届指导工作；协助全区人才招引工作取得良好成效。深化交流合作，推动东西部扶贫协作；走访联系重点企业，帮助解决生产发展过程中的困难问题；积极做好河长制、森林防灭火、安全生产等重要工作；把维护和谐稳定作为重要职责，按要求参加区委、区政府群众信访接待工作，做好协调关系、化解矛盾等工作。</w:t>
      </w:r>
    </w:p>
    <w:p w14:paraId="5A5188B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lang w:val="en-US" w:eastAsia="zh-CN"/>
        </w:rPr>
        <w:t>5.加强自身建设，战斗堡垒作用更加突显。</w:t>
      </w:r>
      <w:r>
        <w:rPr>
          <w:rFonts w:hint="eastAsia" w:ascii="仿宋_GB2312" w:hAnsi="仿宋_GB2312" w:eastAsia="仿宋_GB2312" w:cs="仿宋_GB2312"/>
          <w:color w:val="000000" w:themeColor="text1"/>
          <w:sz w:val="32"/>
          <w:szCs w:val="32"/>
          <w:lang w:val="en-US" w:eastAsia="zh-CN"/>
        </w:rPr>
        <w:t>强化党的组织建设。全面落实</w:t>
      </w:r>
      <w:r>
        <w:rPr>
          <w:rFonts w:hint="eastAsia" w:ascii="仿宋_GB2312" w:hAnsi="仿宋_GB2312" w:eastAsia="仿宋_GB2312" w:cs="仿宋_GB2312"/>
          <w:color w:val="000000" w:themeColor="text1"/>
          <w:sz w:val="32"/>
          <w:szCs w:val="32"/>
        </w:rPr>
        <w:t>全区政协系统党的建设工作座谈会</w:t>
      </w:r>
      <w:r>
        <w:rPr>
          <w:rFonts w:hint="eastAsia" w:ascii="仿宋_GB2312" w:hAnsi="仿宋_GB2312" w:eastAsia="仿宋_GB2312" w:cs="仿宋_GB2312"/>
          <w:color w:val="000000" w:themeColor="text1"/>
          <w:sz w:val="32"/>
          <w:szCs w:val="32"/>
          <w:lang w:eastAsia="zh-CN"/>
        </w:rPr>
        <w:t>议精神</w:t>
      </w:r>
      <w:r>
        <w:rPr>
          <w:rFonts w:hint="eastAsia" w:ascii="仿宋_GB2312" w:hAnsi="仿宋_GB2312" w:eastAsia="仿宋_GB2312" w:cs="仿宋_GB2312"/>
          <w:color w:val="000000" w:themeColor="text1"/>
          <w:sz w:val="32"/>
          <w:szCs w:val="32"/>
        </w:rPr>
        <w:t>。认真贯彻执行《区政协党组成员联系党员政协委员、党员政协委员联系非中共党员政协委员制度》《临时党组织制度》等，</w:t>
      </w:r>
      <w:r>
        <w:rPr>
          <w:rFonts w:hint="eastAsia" w:ascii="仿宋_GB2312" w:hAnsi="仿宋_GB2312" w:eastAsia="仿宋_GB2312" w:cs="仿宋_GB2312"/>
          <w:color w:val="000000" w:themeColor="text1"/>
          <w:sz w:val="32"/>
          <w:szCs w:val="32"/>
          <w:lang w:eastAsia="zh-CN"/>
        </w:rPr>
        <w:t>在六届五次全会、委员外出考察培训等活动中均建立临时党组织</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坚决执行民主集中制，召开</w:t>
      </w:r>
      <w:r>
        <w:rPr>
          <w:rFonts w:hint="eastAsia" w:ascii="仿宋_GB2312" w:hAnsi="仿宋_GB2312" w:eastAsia="仿宋_GB2312" w:cs="仿宋_GB2312"/>
          <w:color w:val="000000" w:themeColor="text1"/>
          <w:sz w:val="32"/>
          <w:szCs w:val="32"/>
          <w:lang w:val="en-US" w:eastAsia="zh-CN"/>
        </w:rPr>
        <w:t>10次</w:t>
      </w:r>
      <w:r>
        <w:rPr>
          <w:rFonts w:hint="eastAsia" w:ascii="仿宋_GB2312" w:hAnsi="仿宋_GB2312" w:eastAsia="仿宋_GB2312" w:cs="仿宋_GB2312"/>
          <w:color w:val="000000" w:themeColor="text1"/>
          <w:sz w:val="32"/>
          <w:szCs w:val="32"/>
          <w:lang w:eastAsia="zh-CN"/>
        </w:rPr>
        <w:t>党组会议对政协“三重一大”事项进行研究落实。</w:t>
      </w:r>
      <w:r>
        <w:rPr>
          <w:rFonts w:hint="eastAsia" w:ascii="仿宋_GB2312" w:hAnsi="仿宋_GB2312" w:eastAsia="仿宋_GB2312" w:cs="仿宋_GB2312"/>
          <w:color w:val="000000" w:themeColor="text1"/>
          <w:sz w:val="32"/>
          <w:szCs w:val="32"/>
          <w:lang w:val="en-US" w:eastAsia="zh-CN"/>
        </w:rPr>
        <w:t>党风廉政建设和反腐败工作更加深入。</w:t>
      </w:r>
      <w:r>
        <w:rPr>
          <w:rFonts w:hint="eastAsia" w:ascii="仿宋_GB2312" w:hAnsi="仿宋_GB2312" w:eastAsia="仿宋_GB2312" w:cs="仿宋_GB2312"/>
          <w:color w:val="000000" w:themeColor="text1"/>
          <w:sz w:val="32"/>
          <w:szCs w:val="32"/>
        </w:rPr>
        <w:t>严格落实党风廉政建设主体责任</w:t>
      </w:r>
      <w:r>
        <w:rPr>
          <w:rFonts w:hint="eastAsia" w:ascii="仿宋_GB2312" w:hAnsi="仿宋_GB2312" w:eastAsia="仿宋_GB2312" w:cs="仿宋_GB2312"/>
          <w:color w:val="000000" w:themeColor="text1"/>
          <w:sz w:val="32"/>
          <w:szCs w:val="32"/>
          <w:lang w:eastAsia="zh-CN"/>
        </w:rPr>
        <w:t>，印</w:t>
      </w:r>
      <w:r>
        <w:rPr>
          <w:rFonts w:hint="eastAsia" w:ascii="仿宋_GB2312" w:hAnsi="仿宋_GB2312" w:eastAsia="仿宋_GB2312" w:cs="仿宋_GB2312"/>
          <w:color w:val="000000" w:themeColor="text1"/>
          <w:sz w:val="32"/>
          <w:szCs w:val="32"/>
        </w:rPr>
        <w:t>发了《20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年区政协党风廉政建设</w:t>
      </w:r>
      <w:r>
        <w:rPr>
          <w:rFonts w:hint="eastAsia" w:ascii="仿宋_GB2312" w:hAnsi="仿宋_GB2312" w:eastAsia="仿宋_GB2312" w:cs="仿宋_GB2312"/>
          <w:color w:val="000000" w:themeColor="text1"/>
          <w:sz w:val="32"/>
          <w:szCs w:val="32"/>
          <w:lang w:eastAsia="zh-CN"/>
        </w:rPr>
        <w:t>和反腐败</w:t>
      </w:r>
      <w:r>
        <w:rPr>
          <w:rFonts w:hint="eastAsia" w:ascii="仿宋_GB2312" w:hAnsi="仿宋_GB2312" w:eastAsia="仿宋_GB2312" w:cs="仿宋_GB2312"/>
          <w:color w:val="000000" w:themeColor="text1"/>
          <w:sz w:val="32"/>
          <w:szCs w:val="32"/>
        </w:rPr>
        <w:t>工作要点》。进一步明确了政协党组领导班子分工，压实压紧党风廉政建设责任。</w:t>
      </w:r>
      <w:r>
        <w:rPr>
          <w:rFonts w:hint="eastAsia" w:ascii="仿宋_GB2312" w:hAnsi="仿宋_GB2312" w:eastAsia="仿宋_GB2312" w:cs="仿宋_GB2312"/>
          <w:color w:val="000000" w:themeColor="text1"/>
          <w:sz w:val="32"/>
          <w:szCs w:val="32"/>
          <w:lang w:eastAsia="zh-CN"/>
        </w:rPr>
        <w:t>严格</w:t>
      </w:r>
      <w:r>
        <w:rPr>
          <w:rFonts w:hint="eastAsia" w:ascii="仿宋_GB2312" w:hAnsi="仿宋_GB2312" w:eastAsia="仿宋_GB2312" w:cs="仿宋_GB2312"/>
          <w:color w:val="000000" w:themeColor="text1"/>
          <w:sz w:val="32"/>
          <w:szCs w:val="32"/>
        </w:rPr>
        <w:t>贯彻执行中央八项规定和省</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市</w:t>
      </w:r>
      <w:r>
        <w:rPr>
          <w:rFonts w:hint="eastAsia" w:ascii="仿宋_GB2312" w:hAnsi="仿宋_GB2312" w:eastAsia="仿宋_GB2312" w:cs="仿宋_GB2312"/>
          <w:color w:val="000000" w:themeColor="text1"/>
          <w:sz w:val="32"/>
          <w:szCs w:val="32"/>
          <w:lang w:eastAsia="zh-CN"/>
        </w:rPr>
        <w:t>、区委</w:t>
      </w:r>
      <w:r>
        <w:rPr>
          <w:rFonts w:hint="eastAsia" w:ascii="仿宋_GB2312" w:hAnsi="仿宋_GB2312" w:eastAsia="仿宋_GB2312" w:cs="仿宋_GB2312"/>
          <w:color w:val="000000" w:themeColor="text1"/>
          <w:sz w:val="32"/>
          <w:szCs w:val="32"/>
        </w:rPr>
        <w:t>相关规定</w:t>
      </w:r>
      <w:r>
        <w:rPr>
          <w:rFonts w:hint="eastAsia" w:ascii="仿宋_GB2312" w:hAnsi="仿宋_GB2312" w:eastAsia="仿宋_GB2312" w:cs="仿宋_GB2312"/>
          <w:color w:val="000000" w:themeColor="text1"/>
          <w:sz w:val="32"/>
          <w:szCs w:val="32"/>
          <w:lang w:val="en-US" w:eastAsia="zh-CN"/>
        </w:rPr>
        <w:t>。切实开展巡视巡查整改，制定政协系统全面从严治党“三张清单”，全面从严治党治理格局进一步强化，权力运行更加规范。</w:t>
      </w:r>
      <w:r>
        <w:rPr>
          <w:rFonts w:hint="eastAsia" w:ascii="仿宋_GB2312" w:hAnsi="仿宋_GB2312" w:eastAsia="仿宋_GB2312" w:cs="仿宋_GB2312"/>
          <w:color w:val="000000" w:themeColor="text1"/>
          <w:sz w:val="32"/>
          <w:szCs w:val="32"/>
        </w:rPr>
        <w:t>学习传达中央纪委全会和省、市、区纪委全会精神。传达通报各级纪委监委查处的违法违纪反面典型案例，组织政协机关全体职工参观</w:t>
      </w:r>
      <w:r>
        <w:rPr>
          <w:rFonts w:hint="eastAsia" w:ascii="仿宋_GB2312" w:hAnsi="仿宋_GB2312" w:eastAsia="仿宋_GB2312" w:cs="仿宋_GB2312"/>
          <w:color w:val="000000" w:themeColor="text1"/>
          <w:sz w:val="32"/>
          <w:szCs w:val="32"/>
          <w:lang w:eastAsia="zh-CN"/>
        </w:rPr>
        <w:t>柏杨村史馆</w:t>
      </w:r>
      <w:r>
        <w:rPr>
          <w:rFonts w:hint="eastAsia" w:ascii="仿宋_GB2312" w:hAnsi="仿宋_GB2312" w:eastAsia="仿宋_GB2312" w:cs="仿宋_GB2312"/>
          <w:color w:val="000000" w:themeColor="text1"/>
          <w:sz w:val="32"/>
          <w:szCs w:val="32"/>
        </w:rPr>
        <w:t>开展</w:t>
      </w:r>
      <w:r>
        <w:rPr>
          <w:rFonts w:hint="eastAsia" w:ascii="仿宋_GB2312" w:hAnsi="仿宋_GB2312" w:eastAsia="仿宋_GB2312" w:cs="仿宋_GB2312"/>
          <w:color w:val="000000" w:themeColor="text1"/>
          <w:sz w:val="32"/>
          <w:szCs w:val="32"/>
          <w:lang w:eastAsia="zh-CN"/>
        </w:rPr>
        <w:t>党性教育</w:t>
      </w:r>
      <w:r>
        <w:rPr>
          <w:rFonts w:hint="eastAsia" w:ascii="仿宋_GB2312" w:hAnsi="仿宋_GB2312" w:eastAsia="仿宋_GB2312" w:cs="仿宋_GB2312"/>
          <w:color w:val="000000" w:themeColor="text1"/>
          <w:sz w:val="32"/>
          <w:szCs w:val="32"/>
        </w:rPr>
        <w:t>，组织观看了</w:t>
      </w:r>
      <w:r>
        <w:rPr>
          <w:rFonts w:hint="eastAsia" w:ascii="仿宋_GB2312" w:hAnsi="仿宋_GB2312" w:eastAsia="仿宋_GB2312" w:cs="仿宋_GB2312"/>
          <w:color w:val="000000" w:themeColor="text1"/>
          <w:sz w:val="32"/>
          <w:szCs w:val="32"/>
          <w:lang w:val="en-US" w:eastAsia="zh-CN"/>
        </w:rPr>
        <w:t>《一念之误》</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越界</w:t>
      </w:r>
      <w:r>
        <w:rPr>
          <w:rFonts w:hint="eastAsia" w:ascii="仿宋_GB2312" w:hAnsi="仿宋_GB2312" w:eastAsia="仿宋_GB2312" w:cs="仿宋_GB2312"/>
          <w:color w:val="000000" w:themeColor="text1"/>
          <w:sz w:val="32"/>
          <w:szCs w:val="32"/>
        </w:rPr>
        <w:t>》等警示教育片。持续营造不敢腐的震慑氛围，筑牢干部职工廉洁自律的底线、红线、防线意识。</w:t>
      </w:r>
      <w:r>
        <w:rPr>
          <w:rFonts w:hint="eastAsia" w:ascii="仿宋_GB2312" w:hAnsi="仿宋_GB2312" w:eastAsia="仿宋_GB2312" w:cs="仿宋_GB2312"/>
          <w:color w:val="000000" w:themeColor="text1"/>
          <w:sz w:val="32"/>
          <w:szCs w:val="32"/>
          <w:lang w:eastAsia="zh-CN"/>
        </w:rPr>
        <w:t>认真组织学习贯彻市、区委</w:t>
      </w:r>
      <w:r>
        <w:rPr>
          <w:rFonts w:hint="eastAsia" w:ascii="仿宋_GB2312" w:hAnsi="仿宋_GB2312" w:eastAsia="仿宋_GB2312" w:cs="仿宋_GB2312"/>
          <w:color w:val="000000" w:themeColor="text1"/>
          <w:sz w:val="32"/>
          <w:szCs w:val="32"/>
          <w:lang w:val="en-US" w:eastAsia="zh-CN"/>
        </w:rPr>
        <w:t>《关于进一步优化政治生态的决定》主要精神，深刻开展对刘亚洲、向永东严重违纪违法案的警示反思，</w:t>
      </w:r>
      <w:r>
        <w:rPr>
          <w:rFonts w:hint="eastAsia" w:ascii="仿宋_GB2312" w:hAnsi="仿宋_GB2312" w:eastAsia="仿宋_GB2312" w:cs="仿宋_GB2312"/>
          <w:color w:val="000000" w:themeColor="text1"/>
          <w:sz w:val="32"/>
          <w:szCs w:val="32"/>
        </w:rPr>
        <w:t>进一步完善了对机关干部和广大政协委员的宣传教育和监督管理的体制机制</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党管一切、全面从严治党体制机制</w:t>
      </w:r>
      <w:r>
        <w:rPr>
          <w:rFonts w:hint="eastAsia" w:ascii="仿宋_GB2312" w:hAnsi="仿宋_GB2312" w:eastAsia="仿宋_GB2312" w:cs="仿宋_GB2312"/>
          <w:color w:val="000000" w:themeColor="text1"/>
          <w:sz w:val="32"/>
          <w:szCs w:val="32"/>
          <w:lang w:val="en-US" w:eastAsia="zh-CN"/>
        </w:rPr>
        <w:t>得到加强</w:t>
      </w:r>
      <w:r>
        <w:rPr>
          <w:rFonts w:hint="eastAsia" w:ascii="仿宋_GB2312" w:hAnsi="仿宋_GB2312" w:eastAsia="仿宋_GB2312" w:cs="仿宋_GB2312"/>
          <w:color w:val="000000" w:themeColor="text1"/>
          <w:sz w:val="32"/>
          <w:szCs w:val="32"/>
          <w:lang w:eastAsia="zh-CN"/>
        </w:rPr>
        <w:t>，政治生态不断净化</w:t>
      </w:r>
      <w:r>
        <w:rPr>
          <w:rFonts w:hint="eastAsia" w:ascii="仿宋_GB2312" w:hAnsi="仿宋_GB2312" w:eastAsia="仿宋_GB2312" w:cs="仿宋_GB2312"/>
          <w:color w:val="000000" w:themeColor="text1"/>
          <w:sz w:val="32"/>
          <w:szCs w:val="32"/>
          <w:lang w:val="en-US" w:eastAsia="zh-CN"/>
        </w:rPr>
        <w:t>优化</w:t>
      </w:r>
      <w:r>
        <w:rPr>
          <w:rFonts w:hint="eastAsia" w:ascii="仿宋_GB2312" w:hAnsi="仿宋_GB2312" w:eastAsia="仿宋_GB2312" w:cs="仿宋_GB2312"/>
          <w:color w:val="000000" w:themeColor="text1"/>
          <w:sz w:val="32"/>
          <w:szCs w:val="32"/>
          <w:lang w:eastAsia="zh-CN"/>
        </w:rPr>
        <w:t>。强化</w:t>
      </w:r>
      <w:r>
        <w:rPr>
          <w:rFonts w:hint="eastAsia" w:ascii="仿宋_GB2312" w:hAnsi="仿宋_GB2312" w:eastAsia="仿宋_GB2312" w:cs="仿宋_GB2312"/>
          <w:color w:val="000000" w:themeColor="text1"/>
          <w:sz w:val="32"/>
          <w:szCs w:val="32"/>
          <w:lang w:val="en-US" w:eastAsia="zh-CN"/>
        </w:rPr>
        <w:t>意识形态工作</w:t>
      </w:r>
      <w:r>
        <w:rPr>
          <w:rFonts w:hint="eastAsia" w:ascii="仿宋_GB2312" w:hAnsi="仿宋_GB2312" w:eastAsia="仿宋_GB2312" w:cs="仿宋_GB2312"/>
          <w:color w:val="000000" w:themeColor="text1"/>
          <w:sz w:val="32"/>
          <w:szCs w:val="32"/>
          <w:lang w:eastAsia="zh-CN"/>
        </w:rPr>
        <w:t>。持续巩固</w:t>
      </w:r>
      <w:r>
        <w:rPr>
          <w:rFonts w:hint="eastAsia" w:ascii="仿宋_GB2312" w:hAnsi="仿宋_GB2312" w:eastAsia="仿宋_GB2312" w:cs="仿宋_GB2312"/>
          <w:color w:val="000000" w:themeColor="text1"/>
          <w:sz w:val="32"/>
          <w:szCs w:val="32"/>
        </w:rPr>
        <w:t>“不忘初心、牢记使命”主题教育</w:t>
      </w:r>
      <w:r>
        <w:rPr>
          <w:rFonts w:hint="eastAsia" w:ascii="仿宋_GB2312" w:hAnsi="仿宋_GB2312" w:eastAsia="仿宋_GB2312" w:cs="仿宋_GB2312"/>
          <w:color w:val="000000" w:themeColor="text1"/>
          <w:sz w:val="32"/>
          <w:szCs w:val="32"/>
          <w:lang w:eastAsia="zh-CN"/>
        </w:rPr>
        <w:t>成果</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通过</w:t>
      </w:r>
      <w:r>
        <w:rPr>
          <w:rFonts w:hint="eastAsia" w:ascii="仿宋_GB2312" w:hAnsi="仿宋_GB2312" w:eastAsia="仿宋_GB2312" w:cs="仿宋_GB2312"/>
          <w:color w:val="000000" w:themeColor="text1"/>
          <w:sz w:val="32"/>
          <w:szCs w:val="32"/>
          <w:lang w:eastAsia="zh-CN"/>
        </w:rPr>
        <w:t>党组书记讲党课，党组成员</w:t>
      </w:r>
      <w:r>
        <w:rPr>
          <w:rFonts w:hint="eastAsia" w:ascii="仿宋_GB2312" w:hAnsi="仿宋_GB2312" w:eastAsia="仿宋_GB2312" w:cs="仿宋_GB2312"/>
          <w:color w:val="000000" w:themeColor="text1"/>
          <w:sz w:val="32"/>
          <w:szCs w:val="32"/>
          <w:lang w:val="en-US" w:eastAsia="zh-CN"/>
        </w:rPr>
        <w:t>宣讲各级全会精神等形式，</w:t>
      </w:r>
      <w:r>
        <w:rPr>
          <w:rFonts w:hint="eastAsia" w:ascii="仿宋_GB2312" w:hAnsi="仿宋_GB2312" w:eastAsia="仿宋_GB2312" w:cs="仿宋_GB2312"/>
          <w:color w:val="000000" w:themeColor="text1"/>
          <w:sz w:val="32"/>
          <w:szCs w:val="32"/>
        </w:rPr>
        <w:t>务实开展理想信念教育、革命传统教育</w:t>
      </w:r>
      <w:r>
        <w:rPr>
          <w:rFonts w:hint="eastAsia" w:ascii="仿宋_GB2312" w:hAnsi="仿宋_GB2312" w:eastAsia="仿宋_GB2312" w:cs="仿宋_GB2312"/>
          <w:color w:val="000000" w:themeColor="text1"/>
          <w:sz w:val="32"/>
          <w:szCs w:val="32"/>
          <w:lang w:val="en-US" w:eastAsia="zh-CN"/>
        </w:rPr>
        <w:t>和</w:t>
      </w:r>
      <w:r>
        <w:rPr>
          <w:rFonts w:hint="eastAsia" w:ascii="仿宋_GB2312" w:hAnsi="仿宋_GB2312" w:eastAsia="仿宋_GB2312" w:cs="仿宋_GB2312"/>
          <w:color w:val="000000" w:themeColor="text1"/>
          <w:sz w:val="32"/>
          <w:szCs w:val="32"/>
        </w:rPr>
        <w:t>爱国主义教育。将意识形态工作融入</w:t>
      </w:r>
      <w:r>
        <w:rPr>
          <w:rFonts w:hint="eastAsia" w:ascii="仿宋_GB2312" w:hAnsi="仿宋_GB2312" w:eastAsia="仿宋_GB2312" w:cs="仿宋_GB2312"/>
          <w:color w:val="000000" w:themeColor="text1"/>
          <w:sz w:val="32"/>
          <w:szCs w:val="32"/>
          <w:lang w:val="en-US" w:eastAsia="zh-CN"/>
        </w:rPr>
        <w:t>委员履</w:t>
      </w:r>
      <w:r>
        <w:rPr>
          <w:rFonts w:hint="eastAsia" w:ascii="仿宋_GB2312" w:hAnsi="仿宋_GB2312" w:eastAsia="仿宋_GB2312" w:cs="仿宋_GB2312"/>
          <w:color w:val="000000" w:themeColor="text1"/>
          <w:sz w:val="32"/>
          <w:szCs w:val="32"/>
        </w:rPr>
        <w:t>职工作，引导各参加单位、广大委员</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社会各界不断增进政治认同、思想认同、理论认同</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情感认同。</w:t>
      </w:r>
      <w:r>
        <w:rPr>
          <w:rFonts w:hint="eastAsia" w:ascii="仿宋_GB2312" w:hAnsi="仿宋_GB2312" w:eastAsia="仿宋_GB2312" w:cs="仿宋_GB2312"/>
          <w:color w:val="000000" w:themeColor="text1"/>
          <w:sz w:val="32"/>
          <w:szCs w:val="32"/>
          <w:lang w:val="en-US" w:eastAsia="zh-CN"/>
        </w:rPr>
        <w:t>持续巩固首批创建落实意识形态示范单位成果。</w:t>
      </w:r>
      <w:r>
        <w:rPr>
          <w:rFonts w:hint="eastAsia" w:ascii="仿宋_GB2312" w:hAnsi="仿宋_GB2312" w:eastAsia="仿宋_GB2312" w:cs="仿宋_GB2312"/>
          <w:color w:val="000000" w:themeColor="text1"/>
          <w:sz w:val="32"/>
          <w:szCs w:val="32"/>
        </w:rPr>
        <w:t>每</w:t>
      </w:r>
      <w:r>
        <w:rPr>
          <w:rFonts w:hint="eastAsia" w:ascii="仿宋_GB2312" w:hAnsi="仿宋_GB2312" w:eastAsia="仿宋_GB2312" w:cs="仿宋_GB2312"/>
          <w:color w:val="000000" w:themeColor="text1"/>
          <w:sz w:val="32"/>
          <w:szCs w:val="32"/>
          <w:lang w:eastAsia="zh-CN"/>
        </w:rPr>
        <w:t>季度</w:t>
      </w:r>
      <w:r>
        <w:rPr>
          <w:rFonts w:hint="eastAsia" w:ascii="仿宋_GB2312" w:hAnsi="仿宋_GB2312" w:eastAsia="仿宋_GB2312" w:cs="仿宋_GB2312"/>
          <w:color w:val="000000" w:themeColor="text1"/>
          <w:sz w:val="32"/>
          <w:szCs w:val="32"/>
        </w:rPr>
        <w:t>研究一次意识形态工作</w:t>
      </w:r>
      <w:r>
        <w:rPr>
          <w:rFonts w:hint="eastAsia" w:ascii="仿宋_GB2312" w:hAnsi="仿宋_GB2312" w:eastAsia="仿宋_GB2312" w:cs="仿宋_GB2312"/>
          <w:color w:val="000000" w:themeColor="text1"/>
          <w:sz w:val="32"/>
          <w:szCs w:val="32"/>
          <w:lang w:eastAsia="zh-CN"/>
        </w:rPr>
        <w:t>，分析研判存在问题。</w:t>
      </w:r>
      <w:r>
        <w:rPr>
          <w:rFonts w:hint="eastAsia" w:ascii="仿宋_GB2312" w:hAnsi="仿宋_GB2312" w:eastAsia="仿宋_GB2312" w:cs="仿宋_GB2312"/>
          <w:color w:val="000000" w:themeColor="text1"/>
          <w:sz w:val="32"/>
          <w:szCs w:val="32"/>
        </w:rPr>
        <w:t>切实加强政协网站、</w:t>
      </w:r>
      <w:r>
        <w:rPr>
          <w:rFonts w:hint="eastAsia" w:ascii="仿宋_GB2312" w:hAnsi="仿宋_GB2312" w:eastAsia="仿宋_GB2312" w:cs="仿宋_GB2312"/>
          <w:color w:val="000000" w:themeColor="text1"/>
          <w:sz w:val="32"/>
          <w:szCs w:val="32"/>
          <w:lang w:eastAsia="zh-CN"/>
        </w:rPr>
        <w:t>《昭化</w:t>
      </w:r>
      <w:r>
        <w:rPr>
          <w:rFonts w:hint="eastAsia" w:ascii="仿宋_GB2312" w:hAnsi="仿宋_GB2312" w:eastAsia="仿宋_GB2312" w:cs="仿宋_GB2312"/>
          <w:color w:val="000000" w:themeColor="text1"/>
          <w:sz w:val="32"/>
          <w:szCs w:val="32"/>
        </w:rPr>
        <w:fldChar w:fldCharType="begin"/>
      </w:r>
      <w:r>
        <w:rPr>
          <w:rFonts w:hint="eastAsia" w:ascii="仿宋_GB2312" w:hAnsi="仿宋_GB2312" w:eastAsia="仿宋_GB2312" w:cs="仿宋_GB2312"/>
          <w:color w:val="000000" w:themeColor="text1"/>
          <w:sz w:val="32"/>
          <w:szCs w:val="32"/>
        </w:rPr>
        <w:instrText xml:space="preserve"> HYPERLINK "http://www.wenmi.org/Article/Class11/Class31/Index.html" \t "_blank" </w:instrText>
      </w:r>
      <w:r>
        <w:rPr>
          <w:rFonts w:hint="eastAsia" w:ascii="仿宋_GB2312" w:hAnsi="仿宋_GB2312" w:eastAsia="仿宋_GB2312" w:cs="仿宋_GB2312"/>
          <w:color w:val="000000" w:themeColor="text1"/>
          <w:sz w:val="32"/>
          <w:szCs w:val="32"/>
        </w:rPr>
        <w:fldChar w:fldCharType="separate"/>
      </w:r>
      <w:r>
        <w:rPr>
          <w:rFonts w:hint="eastAsia" w:ascii="仿宋_GB2312" w:hAnsi="仿宋_GB2312" w:eastAsia="仿宋_GB2312" w:cs="仿宋_GB2312"/>
          <w:color w:val="000000" w:themeColor="text1"/>
          <w:sz w:val="32"/>
          <w:szCs w:val="32"/>
        </w:rPr>
        <w:t>政协</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期刊、微信公众号等意识形态阵地的建设管理，及时更新动态</w:t>
      </w:r>
      <w:r>
        <w:rPr>
          <w:rFonts w:hint="eastAsia" w:ascii="仿宋_GB2312" w:hAnsi="仿宋_GB2312" w:eastAsia="仿宋_GB2312" w:cs="仿宋_GB2312"/>
          <w:color w:val="000000" w:themeColor="text1"/>
          <w:sz w:val="32"/>
          <w:szCs w:val="32"/>
          <w:lang w:val="en-US" w:eastAsia="zh-CN"/>
        </w:rPr>
        <w:t>信息</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“学习强国”学习平台的使用较为活跃。</w:t>
      </w:r>
      <w:r>
        <w:rPr>
          <w:rFonts w:hint="eastAsia" w:ascii="仿宋_GB2312" w:hAnsi="仿宋_GB2312" w:eastAsia="仿宋_GB2312" w:cs="仿宋_GB2312"/>
          <w:color w:val="000000" w:themeColor="text1"/>
          <w:sz w:val="32"/>
          <w:szCs w:val="32"/>
        </w:rPr>
        <w:t>牢牢把握意识形态的领导权、管理权和话语权</w:t>
      </w:r>
      <w:r>
        <w:rPr>
          <w:rFonts w:hint="eastAsia" w:ascii="仿宋_GB2312" w:hAnsi="仿宋_GB2312" w:eastAsia="仿宋_GB2312" w:cs="仿宋_GB2312"/>
          <w:color w:val="000000" w:themeColor="text1"/>
          <w:sz w:val="32"/>
          <w:szCs w:val="32"/>
          <w:lang w:eastAsia="zh-CN"/>
        </w:rPr>
        <w:t>。高素质专业化“</w:t>
      </w:r>
      <w:r>
        <w:rPr>
          <w:rFonts w:hint="eastAsia" w:ascii="仿宋_GB2312" w:hAnsi="仿宋_GB2312" w:eastAsia="仿宋_GB2312" w:cs="仿宋_GB2312"/>
          <w:color w:val="000000" w:themeColor="text1"/>
          <w:sz w:val="32"/>
          <w:szCs w:val="32"/>
          <w:lang w:val="en-US" w:eastAsia="zh-CN"/>
        </w:rPr>
        <w:t>两只</w:t>
      </w:r>
      <w:r>
        <w:rPr>
          <w:rFonts w:hint="eastAsia" w:ascii="仿宋_GB2312" w:hAnsi="仿宋_GB2312" w:eastAsia="仿宋_GB2312" w:cs="仿宋_GB2312"/>
          <w:color w:val="000000" w:themeColor="text1"/>
          <w:sz w:val="32"/>
          <w:szCs w:val="32"/>
          <w:lang w:eastAsia="zh-CN"/>
        </w:rPr>
        <w:t>队伍”。</w:t>
      </w:r>
      <w:r>
        <w:rPr>
          <w:rFonts w:hint="eastAsia" w:ascii="仿宋_GB2312" w:hAnsi="仿宋_GB2312" w:eastAsia="仿宋_GB2312" w:cs="仿宋_GB2312"/>
          <w:color w:val="000000" w:themeColor="text1"/>
          <w:sz w:val="32"/>
          <w:szCs w:val="32"/>
          <w:lang w:val="en-US" w:eastAsia="zh-CN"/>
        </w:rPr>
        <w:t>增设区委常委、统战部长担任政协党组副书记，</w:t>
      </w:r>
      <w:r>
        <w:rPr>
          <w:rFonts w:hint="eastAsia" w:ascii="仿宋_GB2312" w:hAnsi="仿宋_GB2312" w:eastAsia="仿宋_GB2312" w:cs="仿宋_GB2312"/>
          <w:color w:val="000000" w:themeColor="text1"/>
          <w:sz w:val="32"/>
          <w:szCs w:val="32"/>
          <w:lang w:eastAsia="zh-CN"/>
        </w:rPr>
        <w:t>调整</w:t>
      </w:r>
      <w:r>
        <w:rPr>
          <w:rFonts w:hint="eastAsia" w:ascii="仿宋_GB2312" w:hAnsi="仿宋_GB2312" w:eastAsia="仿宋_GB2312" w:cs="仿宋_GB2312"/>
          <w:color w:val="000000" w:themeColor="text1"/>
          <w:sz w:val="32"/>
          <w:szCs w:val="32"/>
          <w:lang w:val="en-US" w:eastAsia="zh-CN"/>
        </w:rPr>
        <w:t>3名党组成员，党组班子力量进一步充实。积极</w:t>
      </w:r>
      <w:r>
        <w:rPr>
          <w:rFonts w:hint="eastAsia" w:ascii="仿宋_GB2312" w:hAnsi="仿宋_GB2312" w:eastAsia="仿宋_GB2312" w:cs="仿宋_GB2312"/>
          <w:color w:val="000000" w:themeColor="text1"/>
          <w:sz w:val="32"/>
          <w:szCs w:val="32"/>
          <w:lang w:eastAsia="zh-CN"/>
        </w:rPr>
        <w:t>推荐优秀的政协干部到经济工作主干线上任职，提高干事创业积极性。</w:t>
      </w:r>
      <w:r>
        <w:rPr>
          <w:rFonts w:hint="eastAsia" w:ascii="仿宋_GB2312" w:hAnsi="仿宋_GB2312" w:eastAsia="仿宋_GB2312" w:cs="仿宋_GB2312"/>
          <w:color w:val="000000" w:themeColor="text1"/>
          <w:sz w:val="32"/>
          <w:szCs w:val="32"/>
          <w:lang w:val="en-US" w:eastAsia="zh-CN"/>
        </w:rPr>
        <w:t>对标“懂政协、会协商、善议政、守纪律、讲规矩、重品行”的要求，</w:t>
      </w:r>
      <w:r>
        <w:rPr>
          <w:rFonts w:hint="eastAsia" w:ascii="仿宋_GB2312" w:hAnsi="仿宋_GB2312" w:eastAsia="仿宋_GB2312" w:cs="仿宋_GB2312"/>
          <w:color w:val="000000" w:themeColor="text1"/>
          <w:sz w:val="32"/>
          <w:szCs w:val="32"/>
          <w:lang w:eastAsia="zh-CN"/>
        </w:rPr>
        <w:t>指导加强对政协常委和委员履职的管理，</w:t>
      </w:r>
      <w:r>
        <w:rPr>
          <w:rFonts w:hint="eastAsia" w:ascii="仿宋_GB2312" w:hAnsi="仿宋_GB2312" w:eastAsia="仿宋_GB2312" w:cs="仿宋_GB2312"/>
          <w:color w:val="000000" w:themeColor="text1"/>
          <w:sz w:val="32"/>
          <w:szCs w:val="32"/>
          <w:lang w:val="en-US" w:eastAsia="zh-CN"/>
        </w:rPr>
        <w:t>3名政协委员获得省级表彰、1名政协委员获得市级表彰。</w:t>
      </w:r>
      <w:r>
        <w:rPr>
          <w:rFonts w:hint="eastAsia" w:ascii="仿宋_GB2312" w:hAnsi="仿宋_GB2312" w:eastAsia="仿宋_GB2312" w:cs="仿宋_GB2312"/>
          <w:color w:val="000000" w:themeColor="text1"/>
          <w:sz w:val="32"/>
          <w:szCs w:val="32"/>
          <w:lang w:eastAsia="zh-CN"/>
        </w:rPr>
        <w:t>修订《委员履职工作规则（试行）</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广泛组织委员开展培训，严格开展</w:t>
      </w:r>
      <w:r>
        <w:rPr>
          <w:rFonts w:hint="eastAsia" w:ascii="仿宋_GB2312" w:hAnsi="仿宋_GB2312" w:eastAsia="仿宋_GB2312" w:cs="仿宋_GB2312"/>
          <w:color w:val="000000" w:themeColor="text1"/>
          <w:sz w:val="32"/>
          <w:szCs w:val="32"/>
        </w:rPr>
        <w:t>委员履职登记</w:t>
      </w:r>
      <w:r>
        <w:rPr>
          <w:rFonts w:hint="eastAsia" w:ascii="仿宋_GB2312" w:hAnsi="仿宋_GB2312" w:eastAsia="仿宋_GB2312" w:cs="仿宋_GB2312"/>
          <w:color w:val="000000" w:themeColor="text1"/>
          <w:sz w:val="32"/>
          <w:szCs w:val="32"/>
          <w:lang w:eastAsia="zh-CN"/>
        </w:rPr>
        <w:t>考核</w:t>
      </w:r>
      <w:r>
        <w:rPr>
          <w:rFonts w:hint="eastAsia" w:ascii="仿宋_GB2312" w:hAnsi="仿宋_GB2312" w:eastAsia="仿宋_GB2312" w:cs="仿宋_GB2312"/>
          <w:color w:val="000000" w:themeColor="text1"/>
          <w:sz w:val="32"/>
          <w:szCs w:val="32"/>
        </w:rPr>
        <w:t>。办好政协</w:t>
      </w:r>
      <w:r>
        <w:rPr>
          <w:rFonts w:hint="eastAsia" w:ascii="仿宋_GB2312" w:hAnsi="仿宋_GB2312" w:eastAsia="仿宋_GB2312" w:cs="仿宋_GB2312"/>
          <w:color w:val="000000" w:themeColor="text1"/>
          <w:sz w:val="32"/>
          <w:szCs w:val="32"/>
          <w:lang w:eastAsia="zh-CN"/>
        </w:rPr>
        <w:t>党员</w:t>
      </w:r>
      <w:r>
        <w:rPr>
          <w:rFonts w:hint="eastAsia" w:ascii="仿宋_GB2312" w:hAnsi="仿宋_GB2312" w:eastAsia="仿宋_GB2312" w:cs="仿宋_GB2312"/>
          <w:color w:val="000000" w:themeColor="text1"/>
          <w:sz w:val="32"/>
          <w:szCs w:val="32"/>
        </w:rPr>
        <w:t>委员及机关干部</w:t>
      </w:r>
      <w:r>
        <w:rPr>
          <w:rFonts w:hint="eastAsia" w:ascii="仿宋_GB2312" w:hAnsi="仿宋_GB2312" w:eastAsia="仿宋_GB2312" w:cs="仿宋_GB2312"/>
          <w:color w:val="000000" w:themeColor="text1"/>
          <w:sz w:val="32"/>
          <w:szCs w:val="32"/>
          <w:lang w:eastAsia="zh-CN"/>
        </w:rPr>
        <w:t>赴井冈山、延安</w:t>
      </w:r>
      <w:r>
        <w:rPr>
          <w:rFonts w:hint="eastAsia" w:ascii="仿宋_GB2312" w:hAnsi="仿宋_GB2312" w:eastAsia="仿宋_GB2312" w:cs="仿宋_GB2312"/>
          <w:color w:val="000000" w:themeColor="text1"/>
          <w:sz w:val="32"/>
          <w:szCs w:val="32"/>
        </w:rPr>
        <w:t>集中培训班，</w:t>
      </w:r>
      <w:r>
        <w:rPr>
          <w:rFonts w:hint="eastAsia" w:ascii="仿宋_GB2312" w:hAnsi="仿宋_GB2312" w:eastAsia="仿宋_GB2312" w:cs="仿宋_GB2312"/>
          <w:color w:val="000000" w:themeColor="text1"/>
          <w:sz w:val="32"/>
          <w:szCs w:val="32"/>
          <w:lang w:eastAsia="zh-CN"/>
        </w:rPr>
        <w:t>开展</w:t>
      </w:r>
      <w:r>
        <w:rPr>
          <w:rFonts w:hint="eastAsia" w:ascii="仿宋_GB2312" w:hAnsi="仿宋_GB2312" w:eastAsia="仿宋_GB2312" w:cs="仿宋_GB2312"/>
          <w:color w:val="000000" w:themeColor="text1"/>
          <w:sz w:val="32"/>
          <w:szCs w:val="32"/>
          <w:lang w:val="en-US" w:eastAsia="zh-CN"/>
        </w:rPr>
        <w:t>4次集中学习，</w:t>
      </w:r>
      <w:r>
        <w:rPr>
          <w:rFonts w:hint="eastAsia" w:ascii="仿宋_GB2312" w:hAnsi="仿宋_GB2312" w:eastAsia="仿宋_GB2312" w:cs="仿宋_GB2312"/>
          <w:color w:val="000000" w:themeColor="text1"/>
          <w:sz w:val="32"/>
          <w:szCs w:val="32"/>
        </w:rPr>
        <w:t>提升</w:t>
      </w:r>
      <w:r>
        <w:rPr>
          <w:rFonts w:hint="eastAsia" w:ascii="仿宋_GB2312" w:hAnsi="仿宋_GB2312" w:eastAsia="仿宋_GB2312" w:cs="仿宋_GB2312"/>
          <w:color w:val="000000" w:themeColor="text1"/>
          <w:sz w:val="32"/>
          <w:szCs w:val="32"/>
          <w:lang w:eastAsia="zh-CN"/>
        </w:rPr>
        <w:t>领导干部</w:t>
      </w:r>
      <w:r>
        <w:rPr>
          <w:rFonts w:hint="eastAsia" w:ascii="仿宋_GB2312" w:hAnsi="仿宋_GB2312" w:eastAsia="仿宋_GB2312" w:cs="仿宋_GB2312"/>
          <w:color w:val="000000" w:themeColor="text1"/>
          <w:sz w:val="32"/>
          <w:szCs w:val="32"/>
        </w:rPr>
        <w:t>及机关干部的政治理论水平和调查研究能力、联系群众能力、合作共事能力。</w:t>
      </w:r>
    </w:p>
    <w:p w14:paraId="3F89CA7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（二）专项预算管理。</w:t>
      </w:r>
    </w:p>
    <w:p w14:paraId="0315EED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无</w:t>
      </w:r>
    </w:p>
    <w:p w14:paraId="241DD96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（三）结果应用情况。</w:t>
      </w:r>
    </w:p>
    <w:p w14:paraId="63B1155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1.债务管理。</w:t>
      </w:r>
      <w:r>
        <w:rPr>
          <w:rFonts w:hint="eastAsia" w:ascii="仿宋_GB2312" w:hAnsi="仿宋_GB2312" w:eastAsia="仿宋_GB2312" w:cs="仿宋_GB2312"/>
          <w:color w:val="000000" w:themeColor="text1"/>
          <w:sz w:val="32"/>
          <w:szCs w:val="32"/>
        </w:rPr>
        <w:t>无新增债务。</w:t>
      </w:r>
    </w:p>
    <w:p w14:paraId="271B405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2.信息公开。</w:t>
      </w:r>
      <w:r>
        <w:rPr>
          <w:rFonts w:hint="eastAsia" w:ascii="仿宋_GB2312" w:hAnsi="仿宋_GB2312" w:eastAsia="仿宋_GB2312" w:cs="仿宋_GB2312"/>
          <w:color w:val="000000" w:themeColor="text1"/>
          <w:sz w:val="32"/>
          <w:szCs w:val="32"/>
        </w:rPr>
        <w:t>财政部门批复后 ，按要求公开本部门的预算、决算（含所有财政资金安排的“三公”经费、机构运行经费的安排、使用情况等）。对纳入政府采购的项目在政府采购网公开。</w:t>
      </w:r>
    </w:p>
    <w:p w14:paraId="6A23458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四、评价结论及建议</w:t>
      </w:r>
    </w:p>
    <w:p w14:paraId="1D64245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（一）评价结论。</w:t>
      </w:r>
    </w:p>
    <w:p w14:paraId="2AD4BB8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总体上看，政协广元市昭化区委员会办公室预决算编制较为准确，预算执行良好；支出管理规范，内控制度不断完善，基本支出保证了机关的正常运转及日常工作顺利开展，项目经费保障了重点工作的开展，达到了预期的绩效目标。</w:t>
      </w:r>
    </w:p>
    <w:p w14:paraId="3A75C75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（二）存在问题。</w:t>
      </w:r>
    </w:p>
    <w:p w14:paraId="10D527A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一是</w:t>
      </w:r>
      <w:r>
        <w:rPr>
          <w:rFonts w:hint="eastAsia" w:ascii="仿宋_GB2312" w:hAnsi="仿宋_GB2312" w:eastAsia="仿宋_GB2312" w:cs="仿宋_GB2312"/>
          <w:color w:val="000000" w:themeColor="text1"/>
          <w:sz w:val="32"/>
          <w:szCs w:val="32"/>
        </w:rPr>
        <w:t>资金效益发挥不太好</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bCs/>
          <w:color w:val="000000" w:themeColor="text1"/>
          <w:sz w:val="32"/>
          <w:szCs w:val="32"/>
        </w:rPr>
        <w:t>二是</w:t>
      </w:r>
      <w:r>
        <w:rPr>
          <w:rFonts w:hint="eastAsia" w:ascii="仿宋_GB2312" w:hAnsi="仿宋_GB2312" w:eastAsia="仿宋_GB2312" w:cs="仿宋_GB2312"/>
          <w:color w:val="000000" w:themeColor="text1"/>
          <w:sz w:val="32"/>
          <w:szCs w:val="32"/>
        </w:rPr>
        <w:t>财务管理一些环节存在疏漏的情况。</w:t>
      </w:r>
    </w:p>
    <w:p w14:paraId="24F82DC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（三）改进建议。</w:t>
      </w:r>
    </w:p>
    <w:p w14:paraId="3E788B5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一是</w:t>
      </w:r>
      <w:r>
        <w:rPr>
          <w:rFonts w:hint="eastAsia" w:ascii="仿宋_GB2312" w:hAnsi="仿宋_GB2312" w:eastAsia="仿宋_GB2312" w:cs="仿宋_GB2312"/>
          <w:color w:val="000000" w:themeColor="text1"/>
          <w:sz w:val="32"/>
          <w:szCs w:val="32"/>
        </w:rPr>
        <w:t>提高预算编制的准确性。</w:t>
      </w:r>
      <w:r>
        <w:rPr>
          <w:rFonts w:hint="eastAsia" w:ascii="仿宋_GB2312" w:hAnsi="仿宋_GB2312" w:eastAsia="仿宋_GB2312" w:cs="仿宋_GB2312"/>
          <w:b/>
          <w:bCs/>
          <w:color w:val="000000" w:themeColor="text1"/>
          <w:sz w:val="32"/>
          <w:szCs w:val="32"/>
        </w:rPr>
        <w:t>二是</w:t>
      </w:r>
      <w:r>
        <w:rPr>
          <w:rFonts w:hint="eastAsia" w:ascii="仿宋_GB2312" w:hAnsi="仿宋_GB2312" w:eastAsia="仿宋_GB2312" w:cs="仿宋_GB2312"/>
          <w:color w:val="000000" w:themeColor="text1"/>
          <w:sz w:val="32"/>
          <w:szCs w:val="32"/>
        </w:rPr>
        <w:t>健全和完善单位内部控制制度。</w:t>
      </w:r>
      <w:r>
        <w:rPr>
          <w:rFonts w:hint="eastAsia" w:ascii="仿宋_GB2312" w:hAnsi="仿宋_GB2312" w:eastAsia="仿宋_GB2312" w:cs="仿宋_GB2312"/>
          <w:b/>
          <w:bCs/>
          <w:color w:val="000000" w:themeColor="text1"/>
          <w:sz w:val="32"/>
          <w:szCs w:val="32"/>
        </w:rPr>
        <w:t>三是</w:t>
      </w:r>
      <w:r>
        <w:rPr>
          <w:rFonts w:hint="eastAsia" w:ascii="仿宋_GB2312" w:hAnsi="仿宋_GB2312" w:eastAsia="仿宋_GB2312" w:cs="仿宋_GB2312"/>
          <w:color w:val="000000" w:themeColor="text1"/>
          <w:sz w:val="32"/>
          <w:szCs w:val="32"/>
        </w:rPr>
        <w:t>进一步提升财务人员业务素质，提高财务管理精细化和精准化水平。</w:t>
      </w:r>
    </w:p>
    <w:p w14:paraId="37A8B62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5D56307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textAlignment w:val="auto"/>
        <w:rPr>
          <w:rFonts w:hint="eastAsia" w:ascii="黑体" w:hAnsi="黑体" w:eastAsia="黑体" w:cs="黑体"/>
          <w:color w:val="000000" w:themeColor="text1"/>
          <w:sz w:val="32"/>
          <w:szCs w:val="32"/>
        </w:rPr>
      </w:pPr>
      <w:r>
        <w:rPr>
          <w:rFonts w:hint="eastAsia" w:ascii="仿宋_GB2312" w:hAnsi="仿宋_GB2312" w:eastAsia="仿宋_GB2312" w:cs="仿宋_GB2312"/>
          <w:color w:val="000000" w:themeColor="text1"/>
          <w:sz w:val="32"/>
          <w:szCs w:val="32"/>
        </w:rPr>
        <w:br w:type="page"/>
      </w:r>
      <w:bookmarkStart w:id="53" w:name="_Toc15396617"/>
      <w:bookmarkEnd w:id="53"/>
      <w:r>
        <w:rPr>
          <w:rFonts w:hint="eastAsia" w:ascii="黑体" w:hAnsi="黑体" w:eastAsia="黑体" w:cs="黑体"/>
          <w:color w:val="000000" w:themeColor="text1"/>
          <w:sz w:val="32"/>
          <w:szCs w:val="32"/>
        </w:rPr>
        <w:t>附件2</w:t>
      </w:r>
    </w:p>
    <w:p w14:paraId="749D2D93">
      <w:pPr>
        <w:rPr>
          <w:rFonts w:hint="eastAsia"/>
        </w:rPr>
      </w:pPr>
    </w:p>
    <w:p w14:paraId="0AA7FA5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883" w:firstLineChars="200"/>
        <w:jc w:val="center"/>
        <w:textAlignment w:val="auto"/>
        <w:rPr>
          <w:rFonts w:hint="eastAsia" w:ascii="仿宋_GB2312" w:hAnsi="仿宋_GB2312" w:eastAsia="仿宋_GB2312" w:cs="仿宋_GB2312"/>
          <w:b/>
          <w:bCs/>
          <w:color w:val="000000" w:themeColor="text1"/>
          <w:sz w:val="44"/>
          <w:szCs w:val="44"/>
        </w:rPr>
      </w:pPr>
      <w:r>
        <w:rPr>
          <w:rFonts w:hint="eastAsia" w:ascii="仿宋_GB2312" w:hAnsi="仿宋_GB2312" w:eastAsia="仿宋_GB2312" w:cs="仿宋_GB2312"/>
          <w:b/>
          <w:bCs/>
          <w:color w:val="000000" w:themeColor="text1"/>
          <w:sz w:val="44"/>
          <w:szCs w:val="44"/>
        </w:rPr>
        <w:t>20</w:t>
      </w:r>
      <w:r>
        <w:rPr>
          <w:rFonts w:hint="eastAsia" w:ascii="仿宋_GB2312" w:hAnsi="仿宋_GB2312" w:eastAsia="仿宋_GB2312" w:cs="仿宋_GB2312"/>
          <w:b/>
          <w:bCs/>
          <w:color w:val="000000" w:themeColor="text1"/>
          <w:sz w:val="44"/>
          <w:szCs w:val="44"/>
          <w:lang w:val="en-US" w:eastAsia="zh-CN"/>
        </w:rPr>
        <w:t>20</w:t>
      </w:r>
      <w:r>
        <w:rPr>
          <w:rFonts w:hint="eastAsia" w:ascii="仿宋_GB2312" w:hAnsi="仿宋_GB2312" w:eastAsia="仿宋_GB2312" w:cs="仿宋_GB2312"/>
          <w:b/>
          <w:bCs/>
          <w:color w:val="000000" w:themeColor="text1"/>
          <w:sz w:val="44"/>
          <w:szCs w:val="44"/>
        </w:rPr>
        <w:t>年</w:t>
      </w:r>
      <w:r>
        <w:rPr>
          <w:rFonts w:hint="eastAsia" w:ascii="仿宋_GB2312" w:hAnsi="仿宋_GB2312" w:eastAsia="仿宋_GB2312" w:cs="仿宋_GB2312"/>
          <w:b/>
          <w:bCs/>
          <w:color w:val="000000" w:themeColor="text1"/>
          <w:sz w:val="44"/>
          <w:szCs w:val="44"/>
          <w:lang w:eastAsia="zh-CN"/>
        </w:rPr>
        <w:t>信息平台维护使用费</w:t>
      </w:r>
      <w:r>
        <w:rPr>
          <w:rFonts w:hint="eastAsia" w:ascii="仿宋_GB2312" w:hAnsi="仿宋_GB2312" w:eastAsia="仿宋_GB2312" w:cs="仿宋_GB2312"/>
          <w:b/>
          <w:bCs/>
          <w:color w:val="000000" w:themeColor="text1"/>
          <w:sz w:val="44"/>
          <w:szCs w:val="44"/>
        </w:rPr>
        <w:t>项目支出</w:t>
      </w:r>
    </w:p>
    <w:p w14:paraId="554C144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883" w:firstLineChars="200"/>
        <w:jc w:val="center"/>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44"/>
          <w:szCs w:val="44"/>
          <w:lang w:eastAsia="zh-CN"/>
        </w:rPr>
        <w:t>（基本支出）</w:t>
      </w:r>
      <w:r>
        <w:rPr>
          <w:rFonts w:hint="eastAsia" w:ascii="仿宋_GB2312" w:hAnsi="仿宋_GB2312" w:eastAsia="仿宋_GB2312" w:cs="仿宋_GB2312"/>
          <w:b/>
          <w:bCs/>
          <w:color w:val="000000" w:themeColor="text1"/>
          <w:sz w:val="44"/>
          <w:szCs w:val="44"/>
        </w:rPr>
        <w:t>绩效评价报告</w:t>
      </w:r>
    </w:p>
    <w:p w14:paraId="26569A1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lang w:eastAsia="zh-CN"/>
        </w:rPr>
        <w:t>一、</w:t>
      </w:r>
      <w:r>
        <w:rPr>
          <w:rFonts w:hint="eastAsia" w:ascii="黑体" w:hAnsi="黑体" w:eastAsia="黑体" w:cs="黑体"/>
          <w:b w:val="0"/>
          <w:bCs w:val="0"/>
          <w:color w:val="000000" w:themeColor="text1"/>
          <w:sz w:val="32"/>
          <w:szCs w:val="32"/>
        </w:rPr>
        <w:t>评价工作开展及项目情况</w:t>
      </w:r>
    </w:p>
    <w:p w14:paraId="5E8AD7E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年财政批复区政协办</w:t>
      </w:r>
      <w:r>
        <w:rPr>
          <w:rFonts w:hint="eastAsia" w:ascii="仿宋_GB2312" w:hAnsi="仿宋_GB2312" w:eastAsia="仿宋_GB2312" w:cs="仿宋_GB2312"/>
          <w:color w:val="000000" w:themeColor="text1"/>
          <w:sz w:val="32"/>
          <w:szCs w:val="32"/>
          <w:lang w:eastAsia="zh-CN"/>
        </w:rPr>
        <w:t>信息平台维护使用工作经</w:t>
      </w:r>
      <w:r>
        <w:rPr>
          <w:rFonts w:hint="eastAsia" w:ascii="仿宋_GB2312" w:hAnsi="仿宋_GB2312" w:eastAsia="仿宋_GB2312" w:cs="仿宋_GB2312"/>
          <w:color w:val="000000" w:themeColor="text1"/>
          <w:sz w:val="32"/>
          <w:szCs w:val="32"/>
        </w:rPr>
        <w:t>费</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万元，根据全年专项工作安排，按照专项资金管理办法和专款专用的原则，确保政协</w:t>
      </w:r>
      <w:r>
        <w:rPr>
          <w:rFonts w:hint="eastAsia" w:ascii="仿宋_GB2312" w:hAnsi="仿宋_GB2312" w:eastAsia="仿宋_GB2312" w:cs="仿宋_GB2312"/>
          <w:color w:val="000000" w:themeColor="text1"/>
          <w:sz w:val="32"/>
          <w:szCs w:val="32"/>
          <w:lang w:eastAsia="zh-CN"/>
        </w:rPr>
        <w:t>信息平台维护使用</w:t>
      </w:r>
      <w:r>
        <w:rPr>
          <w:rFonts w:hint="eastAsia" w:ascii="仿宋_GB2312" w:hAnsi="仿宋_GB2312" w:eastAsia="仿宋_GB2312" w:cs="仿宋_GB2312"/>
          <w:color w:val="000000" w:themeColor="text1"/>
          <w:sz w:val="32"/>
          <w:szCs w:val="32"/>
        </w:rPr>
        <w:t>工作顺利完成。</w:t>
      </w:r>
    </w:p>
    <w:p w14:paraId="6174F84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lang w:eastAsia="zh-CN"/>
        </w:rPr>
        <w:t>二、评价结论及绩效分析</w:t>
      </w:r>
    </w:p>
    <w:p w14:paraId="1C53F7A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（一）评价结论</w:t>
      </w:r>
    </w:p>
    <w:p w14:paraId="5B53751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通过项目的实施，保障区政协</w:t>
      </w:r>
      <w:r>
        <w:rPr>
          <w:rFonts w:hint="eastAsia" w:ascii="仿宋_GB2312" w:hAnsi="仿宋_GB2312" w:eastAsia="仿宋_GB2312" w:cs="仿宋_GB2312"/>
          <w:color w:val="000000" w:themeColor="text1"/>
          <w:sz w:val="32"/>
          <w:szCs w:val="32"/>
          <w:lang w:eastAsia="zh-CN"/>
        </w:rPr>
        <w:t>信息平台维护使用正常有序</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使政协委员满意度</w:t>
      </w:r>
      <w:r>
        <w:rPr>
          <w:rFonts w:hint="eastAsia" w:ascii="仿宋_GB2312" w:hAnsi="仿宋_GB2312" w:eastAsia="仿宋_GB2312" w:cs="仿宋_GB2312"/>
          <w:color w:val="000000" w:themeColor="text1"/>
          <w:sz w:val="32"/>
          <w:szCs w:val="32"/>
        </w:rPr>
        <w:t>率达到100%。</w:t>
      </w:r>
    </w:p>
    <w:p w14:paraId="4296D36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（二）绩效分析</w:t>
      </w:r>
    </w:p>
    <w:p w14:paraId="069D298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1、项目决策</w:t>
      </w:r>
    </w:p>
    <w:p w14:paraId="0F5F130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项目申报完全按照项目实施内容及年度内计划方案实施，资金申报合理，操作性强，可行性高。</w:t>
      </w:r>
    </w:p>
    <w:p w14:paraId="3723DDD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2、项目管理</w:t>
      </w:r>
    </w:p>
    <w:p w14:paraId="59AA55B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一是资金审批及时。</w:t>
      </w: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年度，区财政局及时</w:t>
      </w:r>
      <w:r>
        <w:rPr>
          <w:rFonts w:hint="eastAsia" w:ascii="仿宋_GB2312" w:hAnsi="仿宋_GB2312" w:eastAsia="仿宋_GB2312" w:cs="仿宋_GB2312"/>
          <w:color w:val="000000" w:themeColor="text1"/>
          <w:sz w:val="32"/>
          <w:szCs w:val="32"/>
          <w:lang w:eastAsia="zh-CN"/>
        </w:rPr>
        <w:t>将信息平台维护使用工作经费</w:t>
      </w:r>
      <w:r>
        <w:rPr>
          <w:rFonts w:hint="eastAsia" w:ascii="仿宋_GB2312" w:hAnsi="仿宋_GB2312" w:eastAsia="仿宋_GB2312" w:cs="仿宋_GB2312"/>
          <w:color w:val="000000" w:themeColor="text1"/>
          <w:sz w:val="32"/>
          <w:szCs w:val="32"/>
        </w:rPr>
        <w:t>指标下达我办，我办根据资金用途制定了详细的项目实施方案及资金使用计划，确保了专项资金的专款专用。</w:t>
      </w:r>
    </w:p>
    <w:p w14:paraId="2DBDAF9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b/>
          <w:bCs/>
          <w:color w:val="000000" w:themeColor="text1"/>
          <w:sz w:val="32"/>
          <w:szCs w:val="32"/>
        </w:rPr>
        <w:t>二是资金使用规范合理。</w:t>
      </w:r>
      <w:r>
        <w:rPr>
          <w:rFonts w:hint="eastAsia" w:ascii="仿宋_GB2312" w:hAnsi="仿宋_GB2312" w:eastAsia="仿宋_GB2312" w:cs="仿宋_GB2312"/>
          <w:color w:val="000000" w:themeColor="text1"/>
          <w:sz w:val="32"/>
          <w:szCs w:val="32"/>
        </w:rPr>
        <w:t>我办项目资金的开支范围、标准、支付要求与预算、实际支出相符，支付依据合规合法。</w:t>
      </w:r>
    </w:p>
    <w:p w14:paraId="015BA65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信息平台维护使用工作经费</w:t>
      </w:r>
      <w:r>
        <w:rPr>
          <w:rFonts w:hint="eastAsia" w:ascii="仿宋_GB2312" w:hAnsi="仿宋_GB2312" w:eastAsia="仿宋_GB2312" w:cs="仿宋_GB2312"/>
          <w:color w:val="000000" w:themeColor="text1"/>
          <w:sz w:val="32"/>
          <w:szCs w:val="32"/>
        </w:rPr>
        <w:t>到位资金</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万元，支出</w:t>
      </w:r>
      <w:r>
        <w:rPr>
          <w:rFonts w:hint="eastAsia" w:ascii="仿宋_GB2312" w:hAnsi="仿宋_GB2312" w:eastAsia="仿宋_GB2312" w:cs="仿宋_GB2312"/>
          <w:color w:val="000000" w:themeColor="text1"/>
          <w:sz w:val="32"/>
          <w:szCs w:val="32"/>
          <w:lang w:val="en-US" w:eastAsia="zh-CN"/>
        </w:rPr>
        <w:t>18</w:t>
      </w:r>
      <w:r>
        <w:rPr>
          <w:rFonts w:hint="eastAsia" w:ascii="仿宋_GB2312" w:hAnsi="仿宋_GB2312" w:eastAsia="仿宋_GB2312" w:cs="仿宋_GB2312"/>
          <w:color w:val="000000" w:themeColor="text1"/>
          <w:sz w:val="32"/>
          <w:szCs w:val="32"/>
        </w:rPr>
        <w:t>万元。</w:t>
      </w:r>
    </w:p>
    <w:p w14:paraId="2068F64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3" w:firstLineChars="200"/>
        <w:textAlignment w:val="auto"/>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3、项目绩效</w:t>
      </w:r>
    </w:p>
    <w:p w14:paraId="637BFC8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w:t>
      </w:r>
      <w:r>
        <w:rPr>
          <w:rFonts w:hint="eastAsia" w:ascii="仿宋_GB2312" w:hAnsi="仿宋_GB2312" w:eastAsia="仿宋_GB2312" w:cs="仿宋_GB2312"/>
          <w:color w:val="000000" w:themeColor="text1"/>
          <w:sz w:val="32"/>
          <w:szCs w:val="32"/>
          <w:lang w:val="en-US" w:eastAsia="zh-CN"/>
        </w:rPr>
        <w:t>20</w:t>
      </w:r>
      <w:r>
        <w:rPr>
          <w:rFonts w:hint="eastAsia" w:ascii="仿宋_GB2312" w:hAnsi="仿宋_GB2312" w:eastAsia="仿宋_GB2312" w:cs="仿宋_GB2312"/>
          <w:color w:val="000000" w:themeColor="text1"/>
          <w:sz w:val="32"/>
          <w:szCs w:val="32"/>
        </w:rPr>
        <w:t>年度，在</w:t>
      </w:r>
      <w:r>
        <w:rPr>
          <w:rFonts w:hint="eastAsia" w:ascii="仿宋_GB2312" w:hAnsi="仿宋_GB2312" w:eastAsia="仿宋_GB2312" w:cs="仿宋_GB2312"/>
          <w:color w:val="000000" w:themeColor="text1"/>
          <w:sz w:val="32"/>
          <w:szCs w:val="32"/>
          <w:lang w:eastAsia="zh-CN"/>
        </w:rPr>
        <w:t>信息平台维护使用工作经费</w:t>
      </w:r>
      <w:r>
        <w:rPr>
          <w:rFonts w:hint="eastAsia" w:ascii="仿宋_GB2312" w:hAnsi="仿宋_GB2312" w:eastAsia="仿宋_GB2312" w:cs="仿宋_GB2312"/>
          <w:color w:val="000000" w:themeColor="text1"/>
          <w:sz w:val="32"/>
          <w:szCs w:val="32"/>
        </w:rPr>
        <w:t>使用中，我办严格按照方案要求进行实施，加强了资金管理，做到了专款专用，确保了资金的安全，提高了资金使用效率。有力确保了工作有序推进。</w:t>
      </w:r>
    </w:p>
    <w:p w14:paraId="35D0D80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lang w:eastAsia="zh-CN"/>
        </w:rPr>
        <w:t>三、</w:t>
      </w:r>
      <w:r>
        <w:rPr>
          <w:rFonts w:hint="eastAsia" w:ascii="黑体" w:hAnsi="黑体" w:eastAsia="黑体" w:cs="黑体"/>
          <w:b w:val="0"/>
          <w:bCs w:val="0"/>
          <w:color w:val="000000" w:themeColor="text1"/>
          <w:sz w:val="32"/>
          <w:szCs w:val="32"/>
        </w:rPr>
        <w:t>存在主要问题</w:t>
      </w:r>
    </w:p>
    <w:p w14:paraId="483D183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资金使用效率</w:t>
      </w:r>
      <w:r>
        <w:rPr>
          <w:rFonts w:hint="eastAsia" w:ascii="仿宋_GB2312" w:hAnsi="仿宋_GB2312" w:eastAsia="仿宋_GB2312" w:cs="仿宋_GB2312"/>
          <w:color w:val="000000" w:themeColor="text1"/>
          <w:sz w:val="32"/>
          <w:szCs w:val="32"/>
        </w:rPr>
        <w:t>需进一步提升。</w:t>
      </w:r>
    </w:p>
    <w:p w14:paraId="6E01F6D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黑体" w:hAnsi="黑体" w:eastAsia="黑体" w:cs="黑体"/>
          <w:b w:val="0"/>
          <w:bCs w:val="0"/>
          <w:color w:val="000000" w:themeColor="text1"/>
          <w:sz w:val="32"/>
          <w:szCs w:val="32"/>
          <w:lang w:eastAsia="zh-CN"/>
        </w:rPr>
      </w:pPr>
      <w:r>
        <w:rPr>
          <w:rFonts w:hint="eastAsia" w:ascii="黑体" w:hAnsi="黑体" w:eastAsia="黑体" w:cs="黑体"/>
          <w:b w:val="0"/>
          <w:bCs w:val="0"/>
          <w:color w:val="000000" w:themeColor="text1"/>
          <w:sz w:val="32"/>
          <w:szCs w:val="32"/>
          <w:lang w:eastAsia="zh-CN"/>
        </w:rPr>
        <w:t>四、相关措施建议</w:t>
      </w:r>
    </w:p>
    <w:p w14:paraId="0F3D50D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建议加大对委员的</w:t>
      </w:r>
      <w:r>
        <w:rPr>
          <w:rFonts w:hint="eastAsia" w:ascii="仿宋_GB2312" w:hAnsi="仿宋_GB2312" w:eastAsia="仿宋_GB2312" w:cs="仿宋_GB2312"/>
          <w:color w:val="000000" w:themeColor="text1"/>
          <w:sz w:val="32"/>
          <w:szCs w:val="32"/>
          <w:lang w:eastAsia="zh-CN"/>
        </w:rPr>
        <w:t>能力提升</w:t>
      </w:r>
      <w:r>
        <w:rPr>
          <w:rFonts w:hint="eastAsia" w:ascii="仿宋_GB2312" w:hAnsi="仿宋_GB2312" w:eastAsia="仿宋_GB2312" w:cs="仿宋_GB2312"/>
          <w:color w:val="000000" w:themeColor="text1"/>
          <w:sz w:val="32"/>
          <w:szCs w:val="32"/>
        </w:rPr>
        <w:t>培训力度。</w:t>
      </w:r>
    </w:p>
    <w:p w14:paraId="7BE2E69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54" w:name="_Toc15396618"/>
      <w:bookmarkEnd w:id="54"/>
      <w:r>
        <w:rPr>
          <w:rFonts w:hint="eastAsia" w:ascii="仿宋_GB2312" w:hAnsi="仿宋_GB2312" w:eastAsia="仿宋_GB2312" w:cs="仿宋_GB2312"/>
          <w:color w:val="000000" w:themeColor="text1"/>
          <w:sz w:val="32"/>
          <w:szCs w:val="32"/>
        </w:rPr>
        <w:t xml:space="preserve"> </w:t>
      </w:r>
    </w:p>
    <w:p w14:paraId="3A4A229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251995C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5BAC2FC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11D7856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4F091D13">
      <w:pPr>
        <w:keepNext w:val="0"/>
        <w:keepLines w:val="0"/>
        <w:pageBreakBefore w:val="0"/>
        <w:widowControl w:val="0"/>
        <w:kinsoku/>
        <w:wordWrap/>
        <w:overflowPunct/>
        <w:topLinePunct w:val="0"/>
        <w:autoSpaceDN/>
        <w:bidi w:val="0"/>
        <w:spacing w:afterAutospacing="0" w:line="576" w:lineRule="exact"/>
        <w:textAlignment w:val="auto"/>
        <w:rPr>
          <w:rFonts w:hint="eastAsia" w:ascii="仿宋_GB2312" w:hAnsi="仿宋_GB2312" w:eastAsia="仿宋_GB2312" w:cs="仿宋_GB2312"/>
          <w:color w:val="000000" w:themeColor="text1"/>
          <w:sz w:val="32"/>
          <w:szCs w:val="32"/>
        </w:rPr>
      </w:pPr>
    </w:p>
    <w:p w14:paraId="07905222">
      <w:pPr>
        <w:pStyle w:val="2"/>
        <w:keepNext w:val="0"/>
        <w:keepLines w:val="0"/>
        <w:pageBreakBefore w:val="0"/>
        <w:widowControl w:val="0"/>
        <w:kinsoku/>
        <w:wordWrap/>
        <w:overflowPunct/>
        <w:topLinePunct w:val="0"/>
        <w:autoSpaceDN/>
        <w:bidi w:val="0"/>
        <w:spacing w:beforeLines="0" w:after="0" w:afterAutospacing="0" w:line="576" w:lineRule="exact"/>
        <w:textAlignment w:val="auto"/>
        <w:rPr>
          <w:rFonts w:hint="eastAsia" w:ascii="仿宋_GB2312" w:hAnsi="仿宋_GB2312" w:eastAsia="仿宋_GB2312" w:cs="仿宋_GB2312"/>
          <w:color w:val="000000" w:themeColor="text1"/>
          <w:sz w:val="32"/>
          <w:szCs w:val="32"/>
        </w:rPr>
      </w:pPr>
    </w:p>
    <w:p w14:paraId="773C6860">
      <w:pPr>
        <w:pStyle w:val="2"/>
        <w:keepNext w:val="0"/>
        <w:keepLines w:val="0"/>
        <w:pageBreakBefore w:val="0"/>
        <w:widowControl w:val="0"/>
        <w:kinsoku/>
        <w:wordWrap/>
        <w:overflowPunct/>
        <w:topLinePunct w:val="0"/>
        <w:autoSpaceDN/>
        <w:bidi w:val="0"/>
        <w:spacing w:beforeLines="0" w:after="0" w:afterAutospacing="0" w:line="576" w:lineRule="exact"/>
        <w:textAlignment w:val="auto"/>
        <w:rPr>
          <w:rFonts w:hint="eastAsia" w:ascii="仿宋_GB2312" w:hAnsi="仿宋_GB2312" w:eastAsia="仿宋_GB2312" w:cs="仿宋_GB2312"/>
          <w:color w:val="000000" w:themeColor="text1"/>
          <w:sz w:val="32"/>
          <w:szCs w:val="32"/>
        </w:rPr>
      </w:pPr>
    </w:p>
    <w:p w14:paraId="12C5161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352F85F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753C6D5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2F0D360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p>
    <w:p w14:paraId="0CD5BF0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第五部分</w:t>
      </w:r>
      <w:r>
        <w:rPr>
          <w:rFonts w:hint="eastAsia" w:ascii="方正小标宋简体" w:hAnsi="方正小标宋简体" w:eastAsia="方正小标宋简体" w:cs="方正小标宋简体"/>
          <w:color w:val="000000" w:themeColor="text1"/>
          <w:sz w:val="44"/>
          <w:szCs w:val="44"/>
          <w:lang w:val="en-US" w:eastAsia="zh-CN"/>
        </w:rPr>
        <w:t xml:space="preserve">  </w:t>
      </w:r>
      <w:r>
        <w:rPr>
          <w:rFonts w:hint="eastAsia" w:ascii="方正小标宋简体" w:hAnsi="方正小标宋简体" w:eastAsia="方正小标宋简体" w:cs="方正小标宋简体"/>
          <w:color w:val="000000" w:themeColor="text1"/>
          <w:sz w:val="44"/>
          <w:szCs w:val="44"/>
        </w:rPr>
        <w:t>附</w:t>
      </w:r>
      <w:r>
        <w:rPr>
          <w:rFonts w:hint="eastAsia" w:ascii="方正小标宋简体" w:hAnsi="方正小标宋简体" w:eastAsia="方正小标宋简体" w:cs="方正小标宋简体"/>
          <w:color w:val="000000" w:themeColor="text1"/>
          <w:sz w:val="44"/>
          <w:szCs w:val="44"/>
          <w:lang w:val="en-US" w:eastAsia="zh-CN"/>
        </w:rPr>
        <w:t xml:space="preserve">  </w:t>
      </w:r>
      <w:r>
        <w:rPr>
          <w:rFonts w:hint="eastAsia" w:ascii="方正小标宋简体" w:hAnsi="方正小标宋简体" w:eastAsia="方正小标宋简体" w:cs="方正小标宋简体"/>
          <w:color w:val="000000" w:themeColor="text1"/>
          <w:sz w:val="44"/>
          <w:szCs w:val="44"/>
        </w:rPr>
        <w:t>表</w:t>
      </w:r>
    </w:p>
    <w:p w14:paraId="5DD9A6C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0C83999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55" w:name="_Toc15396619"/>
      <w:bookmarkEnd w:id="55"/>
      <w:r>
        <w:rPr>
          <w:rFonts w:hint="eastAsia" w:ascii="仿宋_GB2312" w:hAnsi="仿宋_GB2312" w:eastAsia="仿宋_GB2312" w:cs="仿宋_GB2312"/>
          <w:color w:val="000000" w:themeColor="text1"/>
          <w:sz w:val="32"/>
          <w:szCs w:val="32"/>
        </w:rPr>
        <w:t>一、收入支出决算总表</w:t>
      </w:r>
    </w:p>
    <w:p w14:paraId="358FBB5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56" w:name="_Toc15396620"/>
      <w:bookmarkEnd w:id="56"/>
      <w:r>
        <w:rPr>
          <w:rFonts w:hint="eastAsia" w:ascii="仿宋_GB2312" w:hAnsi="仿宋_GB2312" w:eastAsia="仿宋_GB2312" w:cs="仿宋_GB2312"/>
          <w:color w:val="000000" w:themeColor="text1"/>
          <w:sz w:val="32"/>
          <w:szCs w:val="32"/>
        </w:rPr>
        <w:t>二、收入</w:t>
      </w:r>
      <w:r>
        <w:rPr>
          <w:rFonts w:hint="eastAsia" w:ascii="仿宋_GB2312" w:hAnsi="仿宋_GB2312" w:eastAsia="仿宋_GB2312" w:cs="仿宋_GB2312"/>
          <w:color w:val="000000" w:themeColor="text1"/>
          <w:sz w:val="32"/>
          <w:szCs w:val="32"/>
          <w:lang w:eastAsia="zh-CN"/>
        </w:rPr>
        <w:t>决算</w:t>
      </w:r>
      <w:r>
        <w:rPr>
          <w:rFonts w:hint="eastAsia" w:ascii="仿宋_GB2312" w:hAnsi="仿宋_GB2312" w:eastAsia="仿宋_GB2312" w:cs="仿宋_GB2312"/>
          <w:color w:val="000000" w:themeColor="text1"/>
          <w:sz w:val="32"/>
          <w:szCs w:val="32"/>
        </w:rPr>
        <w:t>表</w:t>
      </w:r>
    </w:p>
    <w:p w14:paraId="1A99D50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57" w:name="_Toc15396621"/>
      <w:bookmarkEnd w:id="57"/>
      <w:r>
        <w:rPr>
          <w:rFonts w:hint="eastAsia" w:ascii="仿宋_GB2312" w:hAnsi="仿宋_GB2312" w:eastAsia="仿宋_GB2312" w:cs="仿宋_GB2312"/>
          <w:color w:val="000000" w:themeColor="text1"/>
          <w:sz w:val="32"/>
          <w:szCs w:val="32"/>
        </w:rPr>
        <w:t>三、支出</w:t>
      </w:r>
      <w:r>
        <w:rPr>
          <w:rFonts w:hint="eastAsia" w:ascii="仿宋_GB2312" w:hAnsi="仿宋_GB2312" w:eastAsia="仿宋_GB2312" w:cs="仿宋_GB2312"/>
          <w:color w:val="000000" w:themeColor="text1"/>
          <w:sz w:val="32"/>
          <w:szCs w:val="32"/>
          <w:lang w:eastAsia="zh-CN"/>
        </w:rPr>
        <w:t>决算</w:t>
      </w:r>
      <w:r>
        <w:rPr>
          <w:rFonts w:hint="eastAsia" w:ascii="仿宋_GB2312" w:hAnsi="仿宋_GB2312" w:eastAsia="仿宋_GB2312" w:cs="仿宋_GB2312"/>
          <w:color w:val="000000" w:themeColor="text1"/>
          <w:sz w:val="32"/>
          <w:szCs w:val="32"/>
        </w:rPr>
        <w:t>表</w:t>
      </w:r>
    </w:p>
    <w:p w14:paraId="7BF786E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58" w:name="_Toc15396622"/>
      <w:bookmarkEnd w:id="58"/>
      <w:r>
        <w:rPr>
          <w:rFonts w:hint="eastAsia" w:ascii="仿宋_GB2312" w:hAnsi="仿宋_GB2312" w:eastAsia="仿宋_GB2312" w:cs="仿宋_GB2312"/>
          <w:color w:val="000000" w:themeColor="text1"/>
          <w:sz w:val="32"/>
          <w:szCs w:val="32"/>
        </w:rPr>
        <w:t>四、财政拨款收入支出决算总表</w:t>
      </w:r>
    </w:p>
    <w:p w14:paraId="24255C4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59" w:name="_Toc15396623"/>
      <w:bookmarkEnd w:id="59"/>
      <w:r>
        <w:rPr>
          <w:rFonts w:hint="eastAsia" w:ascii="仿宋_GB2312" w:hAnsi="仿宋_GB2312" w:eastAsia="仿宋_GB2312" w:cs="仿宋_GB2312"/>
          <w:color w:val="000000" w:themeColor="text1"/>
          <w:sz w:val="32"/>
          <w:szCs w:val="32"/>
        </w:rPr>
        <w:t>五、财政拨款支出决算明细表</w:t>
      </w:r>
    </w:p>
    <w:p w14:paraId="24E0B71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0" w:name="_Toc15396624"/>
      <w:bookmarkEnd w:id="60"/>
      <w:r>
        <w:rPr>
          <w:rFonts w:hint="eastAsia" w:ascii="仿宋_GB2312" w:hAnsi="仿宋_GB2312" w:eastAsia="仿宋_GB2312" w:cs="仿宋_GB2312"/>
          <w:color w:val="000000" w:themeColor="text1"/>
          <w:sz w:val="32"/>
          <w:szCs w:val="32"/>
        </w:rPr>
        <w:t>六、一般公共预算财政拨款支出决算表</w:t>
      </w:r>
    </w:p>
    <w:p w14:paraId="46B2584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1" w:name="_Toc15396625"/>
      <w:bookmarkEnd w:id="61"/>
      <w:r>
        <w:rPr>
          <w:rFonts w:hint="eastAsia" w:ascii="仿宋_GB2312" w:hAnsi="仿宋_GB2312" w:eastAsia="仿宋_GB2312" w:cs="仿宋_GB2312"/>
          <w:color w:val="000000" w:themeColor="text1"/>
          <w:sz w:val="32"/>
          <w:szCs w:val="32"/>
        </w:rPr>
        <w:t>七、一般公共预算财政拨款支出决算明细表</w:t>
      </w:r>
    </w:p>
    <w:p w14:paraId="575AD32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2" w:name="_Toc15396626"/>
      <w:bookmarkEnd w:id="62"/>
      <w:r>
        <w:rPr>
          <w:rFonts w:hint="eastAsia" w:ascii="仿宋_GB2312" w:hAnsi="仿宋_GB2312" w:eastAsia="仿宋_GB2312" w:cs="仿宋_GB2312"/>
          <w:color w:val="000000" w:themeColor="text1"/>
          <w:sz w:val="32"/>
          <w:szCs w:val="32"/>
        </w:rPr>
        <w:t>八、一般公共预算财政拨款基本支出决算表</w:t>
      </w:r>
    </w:p>
    <w:p w14:paraId="5A0AA94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28"/>
          <w:szCs w:val="28"/>
        </w:rPr>
      </w:pPr>
      <w:bookmarkStart w:id="63" w:name="_Toc15396627"/>
      <w:bookmarkEnd w:id="63"/>
      <w:r>
        <w:rPr>
          <w:rFonts w:hint="eastAsia" w:ascii="仿宋_GB2312" w:hAnsi="仿宋_GB2312" w:eastAsia="仿宋_GB2312" w:cs="仿宋_GB2312"/>
          <w:color w:val="000000" w:themeColor="text1"/>
          <w:sz w:val="32"/>
          <w:szCs w:val="32"/>
        </w:rPr>
        <w:t>九、一般公共预算财政拨款项目支出决算表</w:t>
      </w:r>
    </w:p>
    <w:p w14:paraId="0F404F8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4" w:name="_Toc15396628"/>
      <w:bookmarkEnd w:id="64"/>
      <w:r>
        <w:rPr>
          <w:rFonts w:hint="eastAsia" w:ascii="仿宋_GB2312" w:hAnsi="仿宋_GB2312" w:eastAsia="仿宋_GB2312" w:cs="仿宋_GB2312"/>
          <w:color w:val="000000" w:themeColor="text1"/>
          <w:sz w:val="32"/>
          <w:szCs w:val="32"/>
        </w:rPr>
        <w:t>十、一般公共预算财政拨款“三公”经费支出决算表</w:t>
      </w:r>
    </w:p>
    <w:p w14:paraId="3FF6C7A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5" w:name="_Toc15396629"/>
      <w:bookmarkEnd w:id="65"/>
      <w:r>
        <w:rPr>
          <w:rFonts w:hint="eastAsia" w:ascii="仿宋_GB2312" w:hAnsi="仿宋_GB2312" w:eastAsia="仿宋_GB2312" w:cs="仿宋_GB2312"/>
          <w:color w:val="000000" w:themeColor="text1"/>
          <w:sz w:val="32"/>
          <w:szCs w:val="32"/>
        </w:rPr>
        <w:t>十一、政府性基金预算财政拨款收入支出决算表</w:t>
      </w:r>
    </w:p>
    <w:p w14:paraId="5F066228">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6" w:name="_Toc15396630"/>
      <w:bookmarkEnd w:id="66"/>
      <w:r>
        <w:rPr>
          <w:rFonts w:hint="eastAsia" w:ascii="仿宋_GB2312" w:hAnsi="仿宋_GB2312" w:eastAsia="仿宋_GB2312" w:cs="仿宋_GB2312"/>
          <w:color w:val="000000" w:themeColor="text1"/>
          <w:sz w:val="32"/>
          <w:szCs w:val="32"/>
        </w:rPr>
        <w:t>十二、政府性基金预算财政拨款“三公”经费支出决算表</w:t>
      </w:r>
    </w:p>
    <w:p w14:paraId="22F5870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bookmarkStart w:id="67" w:name="_Toc15396631"/>
      <w:bookmarkEnd w:id="67"/>
      <w:r>
        <w:rPr>
          <w:rFonts w:hint="eastAsia" w:ascii="仿宋_GB2312" w:hAnsi="仿宋_GB2312" w:eastAsia="仿宋_GB2312" w:cs="仿宋_GB2312"/>
          <w:color w:val="000000" w:themeColor="text1"/>
          <w:sz w:val="32"/>
          <w:szCs w:val="32"/>
        </w:rPr>
        <w:t>十三、国有资本经营预算</w:t>
      </w:r>
      <w:r>
        <w:rPr>
          <w:rFonts w:hint="eastAsia" w:ascii="仿宋_GB2312" w:hAnsi="仿宋_GB2312" w:eastAsia="仿宋_GB2312" w:cs="仿宋_GB2312"/>
          <w:color w:val="000000" w:themeColor="text1"/>
          <w:sz w:val="32"/>
          <w:szCs w:val="32"/>
          <w:lang w:eastAsia="zh-CN"/>
        </w:rPr>
        <w:t>财政</w:t>
      </w:r>
      <w:r>
        <w:rPr>
          <w:rFonts w:hint="eastAsia" w:ascii="仿宋_GB2312" w:hAnsi="仿宋_GB2312" w:eastAsia="仿宋_GB2312" w:cs="仿宋_GB2312"/>
          <w:color w:val="000000" w:themeColor="text1"/>
          <w:sz w:val="32"/>
          <w:szCs w:val="32"/>
        </w:rPr>
        <w:t>拨款收入支出决算表</w:t>
      </w:r>
    </w:p>
    <w:p w14:paraId="1C74C0D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十四、</w:t>
      </w:r>
      <w:r>
        <w:rPr>
          <w:rFonts w:hint="eastAsia" w:ascii="仿宋_GB2312" w:hAnsi="仿宋_GB2312" w:eastAsia="仿宋_GB2312" w:cs="仿宋_GB2312"/>
          <w:color w:val="000000" w:themeColor="text1"/>
          <w:sz w:val="32"/>
          <w:szCs w:val="32"/>
        </w:rPr>
        <w:t>国有资本经营预算支出决算表</w:t>
      </w:r>
    </w:p>
    <w:p w14:paraId="1B837215">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textAlignment w:val="auto"/>
        <w:rPr>
          <w:rFonts w:hint="eastAsia" w:ascii="仿宋_GB2312" w:hAnsi="仿宋_GB2312" w:eastAsia="仿宋_GB2312" w:cs="仿宋_GB2312"/>
          <w:color w:val="000000" w:themeColor="text1"/>
          <w:sz w:val="32"/>
          <w:szCs w:val="32"/>
        </w:rPr>
      </w:pPr>
    </w:p>
    <w:sectPr>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7D00E0-37C9-4530-8282-1D2DA25620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CEB70E4-2B85-40C1-8265-BA795FBB6200}"/>
  </w:font>
  <w:font w:name="仿宋">
    <w:panose1 w:val="02010609060101010101"/>
    <w:charset w:val="86"/>
    <w:family w:val="auto"/>
    <w:pitch w:val="default"/>
    <w:sig w:usb0="800002BF" w:usb1="38CF7CFA" w:usb2="00000016" w:usb3="00000000" w:csb0="00040001" w:csb1="00000000"/>
    <w:embedRegular r:id="rId3" w:fontKey="{E8BB456F-6D94-46F3-B225-77B24570E3EE}"/>
  </w:font>
  <w:font w:name="方正小标宋简体">
    <w:panose1 w:val="02000000000000000000"/>
    <w:charset w:val="86"/>
    <w:family w:val="auto"/>
    <w:pitch w:val="default"/>
    <w:sig w:usb0="00000001" w:usb1="08000000" w:usb2="00000000" w:usb3="00000000" w:csb0="00040000" w:csb1="00000000"/>
    <w:embedRegular r:id="rId4" w:fontKey="{2631AA76-AD13-4D7D-920B-2F93FEEE5A00}"/>
  </w:font>
  <w:font w:name="楷体_GB2312">
    <w:panose1 w:val="02010609030101010101"/>
    <w:charset w:val="86"/>
    <w:family w:val="auto"/>
    <w:pitch w:val="default"/>
    <w:sig w:usb0="00000001" w:usb1="080E0000" w:usb2="00000000" w:usb3="00000000" w:csb0="00040000" w:csb1="00000000"/>
    <w:embedRegular r:id="rId5" w:fontKey="{F615AAE9-DD2C-4266-833B-FCD65D90BCBA}"/>
  </w:font>
  <w:font w:name="楷体">
    <w:panose1 w:val="02010609060101010101"/>
    <w:charset w:val="86"/>
    <w:family w:val="auto"/>
    <w:pitch w:val="default"/>
    <w:sig w:usb0="800002BF" w:usb1="38CF7CFA" w:usb2="00000016" w:usb3="00000000" w:csb0="00040001" w:csb1="00000000"/>
    <w:embedRegular r:id="rId6" w:fontKey="{28815183-CD1C-45E2-8EE0-BDA879E60F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BC7A">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20F6B2">
                <w:pPr>
                  <w:pStyle w:val="6"/>
                  <w:rPr>
                    <w:rFonts w:hint="eastAsia" w:ascii="仿宋_GB2312" w:hAnsi="仿宋_GB2312" w:eastAsia="仿宋_GB2312" w:cs="仿宋_GB2312"/>
                    <w:sz w:val="32"/>
                    <w:szCs w:val="32"/>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468F">
    <w:pPr>
      <w:pStyle w:val="6"/>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5C6E2E24">
                <w:pPr>
                  <w:pStyle w:val="6"/>
                </w:pPr>
                <w:r>
                  <w:fldChar w:fldCharType="begin"/>
                </w:r>
                <w:r>
                  <w:instrText xml:space="preserve"> PAGE  \* MERGEFORMAT </w:instrText>
                </w:r>
                <w:r>
                  <w:fldChar w:fldCharType="separate"/>
                </w:r>
                <w:r>
                  <w:t>- 1 -</w:t>
                </w:r>
                <w:r>
                  <w:fldChar w:fldCharType="end"/>
                </w:r>
              </w:p>
            </w:txbxContent>
          </v:textbox>
        </v:shape>
      </w:pict>
    </w: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CF24A73">
                <w:pPr>
                  <w:pStyle w:val="6"/>
                  <w:rPr>
                    <w:rFonts w:hint="eastAsia" w:ascii="仿宋_GB2312" w:hAnsi="仿宋_GB2312" w:eastAsia="仿宋_GB2312" w:cs="仿宋_GB2312"/>
                    <w:sz w:val="32"/>
                    <w:szCs w:val="32"/>
                    <w:lang w:eastAsia="zh-CN"/>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A5DD2"/>
    <w:multiLevelType w:val="singleLevel"/>
    <w:tmpl w:val="E13A5DD2"/>
    <w:lvl w:ilvl="0" w:tentative="0">
      <w:start w:val="3"/>
      <w:numFmt w:val="chineseCounting"/>
      <w:suff w:val="nothing"/>
      <w:lvlText w:val="%1、"/>
      <w:lvlJc w:val="left"/>
      <w:rPr>
        <w:rFonts w:hint="eastAsia"/>
      </w:rPr>
    </w:lvl>
  </w:abstractNum>
  <w:abstractNum w:abstractNumId="1">
    <w:nsid w:val="471F702F"/>
    <w:multiLevelType w:val="singleLevel"/>
    <w:tmpl w:val="471F702F"/>
    <w:lvl w:ilvl="0" w:tentative="0">
      <w:start w:val="10"/>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Tg4NGNkZWJkODFjNzcyZDRjM2M4Y2UzNjI5ZmUifQ=="/>
  </w:docVars>
  <w:rsids>
    <w:rsidRoot w:val="000A742F"/>
    <w:rsid w:val="000A742F"/>
    <w:rsid w:val="002A3C09"/>
    <w:rsid w:val="01A30D4C"/>
    <w:rsid w:val="02D413F9"/>
    <w:rsid w:val="037E302F"/>
    <w:rsid w:val="03D97898"/>
    <w:rsid w:val="04246A73"/>
    <w:rsid w:val="04C36398"/>
    <w:rsid w:val="07FA1D08"/>
    <w:rsid w:val="0BED5BA4"/>
    <w:rsid w:val="0BF50F07"/>
    <w:rsid w:val="0C4C6B7A"/>
    <w:rsid w:val="0D317E1F"/>
    <w:rsid w:val="0E6A23D2"/>
    <w:rsid w:val="0EEF1516"/>
    <w:rsid w:val="0F68083F"/>
    <w:rsid w:val="112D031E"/>
    <w:rsid w:val="119264E3"/>
    <w:rsid w:val="136E1DA3"/>
    <w:rsid w:val="14F434A0"/>
    <w:rsid w:val="14F67583"/>
    <w:rsid w:val="1512297C"/>
    <w:rsid w:val="15684D3F"/>
    <w:rsid w:val="15904713"/>
    <w:rsid w:val="15F0435A"/>
    <w:rsid w:val="16305DD5"/>
    <w:rsid w:val="16D325DD"/>
    <w:rsid w:val="174F2A9F"/>
    <w:rsid w:val="17B96BD2"/>
    <w:rsid w:val="1818565E"/>
    <w:rsid w:val="184E1FAE"/>
    <w:rsid w:val="1903611B"/>
    <w:rsid w:val="198C09F2"/>
    <w:rsid w:val="1C672639"/>
    <w:rsid w:val="1E510B6D"/>
    <w:rsid w:val="1F40272F"/>
    <w:rsid w:val="21380A48"/>
    <w:rsid w:val="213C02F1"/>
    <w:rsid w:val="21DE56E9"/>
    <w:rsid w:val="21FE60BD"/>
    <w:rsid w:val="220C1183"/>
    <w:rsid w:val="220F3EEF"/>
    <w:rsid w:val="22217374"/>
    <w:rsid w:val="22546F1B"/>
    <w:rsid w:val="22E93753"/>
    <w:rsid w:val="232501A0"/>
    <w:rsid w:val="23A841AA"/>
    <w:rsid w:val="23F15C42"/>
    <w:rsid w:val="2582449F"/>
    <w:rsid w:val="25E90563"/>
    <w:rsid w:val="26306853"/>
    <w:rsid w:val="26E53821"/>
    <w:rsid w:val="28386B51"/>
    <w:rsid w:val="2A572979"/>
    <w:rsid w:val="2B235E82"/>
    <w:rsid w:val="2B842B2B"/>
    <w:rsid w:val="2C21159C"/>
    <w:rsid w:val="2C9F4AA3"/>
    <w:rsid w:val="2CEE531B"/>
    <w:rsid w:val="2D242FE4"/>
    <w:rsid w:val="2F277A4D"/>
    <w:rsid w:val="2F4131BE"/>
    <w:rsid w:val="2F494B70"/>
    <w:rsid w:val="31480833"/>
    <w:rsid w:val="32367636"/>
    <w:rsid w:val="32632805"/>
    <w:rsid w:val="32AC3044"/>
    <w:rsid w:val="341771F5"/>
    <w:rsid w:val="3436583A"/>
    <w:rsid w:val="34AC0084"/>
    <w:rsid w:val="37667C65"/>
    <w:rsid w:val="3780794B"/>
    <w:rsid w:val="37BA50A1"/>
    <w:rsid w:val="3A1B7E53"/>
    <w:rsid w:val="3CF17351"/>
    <w:rsid w:val="409C46F8"/>
    <w:rsid w:val="411B0CC3"/>
    <w:rsid w:val="41797C42"/>
    <w:rsid w:val="4284682A"/>
    <w:rsid w:val="43B63D74"/>
    <w:rsid w:val="448C4EE6"/>
    <w:rsid w:val="44C27B85"/>
    <w:rsid w:val="451E1AFF"/>
    <w:rsid w:val="45920D35"/>
    <w:rsid w:val="45DD7344"/>
    <w:rsid w:val="46052E14"/>
    <w:rsid w:val="464341BD"/>
    <w:rsid w:val="46EA349E"/>
    <w:rsid w:val="47213910"/>
    <w:rsid w:val="47D77DC3"/>
    <w:rsid w:val="48701835"/>
    <w:rsid w:val="488C3DC0"/>
    <w:rsid w:val="48A72F04"/>
    <w:rsid w:val="49AF48D9"/>
    <w:rsid w:val="4A2F14BB"/>
    <w:rsid w:val="4AE32C6E"/>
    <w:rsid w:val="4B152A91"/>
    <w:rsid w:val="4B1E5582"/>
    <w:rsid w:val="4B5173F3"/>
    <w:rsid w:val="4BF44575"/>
    <w:rsid w:val="4E1C1367"/>
    <w:rsid w:val="4E352882"/>
    <w:rsid w:val="4EAA741A"/>
    <w:rsid w:val="4EF561DB"/>
    <w:rsid w:val="4F460190"/>
    <w:rsid w:val="4F9277AA"/>
    <w:rsid w:val="500E736A"/>
    <w:rsid w:val="503A4996"/>
    <w:rsid w:val="50DA4C37"/>
    <w:rsid w:val="51202CFD"/>
    <w:rsid w:val="512C574A"/>
    <w:rsid w:val="516E2C39"/>
    <w:rsid w:val="527C6137"/>
    <w:rsid w:val="52D153BA"/>
    <w:rsid w:val="52F002F0"/>
    <w:rsid w:val="538C62D8"/>
    <w:rsid w:val="53944E7A"/>
    <w:rsid w:val="54B53E09"/>
    <w:rsid w:val="550E3621"/>
    <w:rsid w:val="55617A5A"/>
    <w:rsid w:val="55985036"/>
    <w:rsid w:val="55D9480A"/>
    <w:rsid w:val="55FC5DC5"/>
    <w:rsid w:val="58BF3CD2"/>
    <w:rsid w:val="58C41995"/>
    <w:rsid w:val="58F31AEC"/>
    <w:rsid w:val="593E5EF4"/>
    <w:rsid w:val="59CB71E7"/>
    <w:rsid w:val="59F732C2"/>
    <w:rsid w:val="5B26710D"/>
    <w:rsid w:val="5BB406F0"/>
    <w:rsid w:val="5BE632BA"/>
    <w:rsid w:val="5BEB67A2"/>
    <w:rsid w:val="5C3105F0"/>
    <w:rsid w:val="5C345758"/>
    <w:rsid w:val="5C527C79"/>
    <w:rsid w:val="5D2807BB"/>
    <w:rsid w:val="5D526E3A"/>
    <w:rsid w:val="5E0224FA"/>
    <w:rsid w:val="5F5B1C86"/>
    <w:rsid w:val="5FE0758F"/>
    <w:rsid w:val="613A25F1"/>
    <w:rsid w:val="61B83547"/>
    <w:rsid w:val="646D1D55"/>
    <w:rsid w:val="64B45225"/>
    <w:rsid w:val="64BF6CBB"/>
    <w:rsid w:val="65816474"/>
    <w:rsid w:val="661C580F"/>
    <w:rsid w:val="662E6D76"/>
    <w:rsid w:val="669C2716"/>
    <w:rsid w:val="669D0821"/>
    <w:rsid w:val="675B3D1D"/>
    <w:rsid w:val="68CB07D1"/>
    <w:rsid w:val="69320EA6"/>
    <w:rsid w:val="69744561"/>
    <w:rsid w:val="6B4D4439"/>
    <w:rsid w:val="6B56415D"/>
    <w:rsid w:val="6B5D66AE"/>
    <w:rsid w:val="6C771A31"/>
    <w:rsid w:val="6CA20A02"/>
    <w:rsid w:val="6DB3635A"/>
    <w:rsid w:val="6DBA743C"/>
    <w:rsid w:val="6DC16D07"/>
    <w:rsid w:val="70A12788"/>
    <w:rsid w:val="70C94512"/>
    <w:rsid w:val="71516486"/>
    <w:rsid w:val="71641705"/>
    <w:rsid w:val="71852F0C"/>
    <w:rsid w:val="71E92405"/>
    <w:rsid w:val="7250710F"/>
    <w:rsid w:val="72674BE5"/>
    <w:rsid w:val="73352CEF"/>
    <w:rsid w:val="742064CB"/>
    <w:rsid w:val="744F1EDB"/>
    <w:rsid w:val="78803F69"/>
    <w:rsid w:val="79137B90"/>
    <w:rsid w:val="79C63670"/>
    <w:rsid w:val="79D0592D"/>
    <w:rsid w:val="7BEB695A"/>
    <w:rsid w:val="7BEB6F85"/>
    <w:rsid w:val="7E2A4CFD"/>
    <w:rsid w:val="7E5F4A8B"/>
    <w:rsid w:val="7F1D0E35"/>
    <w:rsid w:val="7FC56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5" w:lineRule="auto"/>
      <w:outlineLvl w:val="1"/>
    </w:pPr>
    <w:rPr>
      <w:rFonts w:ascii="Cambria" w:hAnsi="Cambria" w:cs="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unhideWhenUsed/>
    <w:qFormat/>
    <w:uiPriority w:val="99"/>
    <w:pPr>
      <w:spacing w:beforeLines="30" w:after="100" w:afterAutospacing="1"/>
    </w:pPr>
    <w:rPr>
      <w:rFonts w:ascii="仿宋_GB2312"/>
      <w:kern w:val="0"/>
      <w:sz w:val="30"/>
      <w:szCs w:val="30"/>
    </w:rPr>
  </w:style>
  <w:style w:type="paragraph" w:styleId="5">
    <w:name w:val="Body Text Indent"/>
    <w:basedOn w:val="1"/>
    <w:qFormat/>
    <w:uiPriority w:val="99"/>
    <w:pPr>
      <w:spacing w:after="120"/>
      <w:ind w:left="420" w:leftChars="2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semiHidden/>
    <w:unhideWhenUsed/>
    <w:qFormat/>
    <w:uiPriority w:val="99"/>
    <w:pPr>
      <w:spacing w:before="93" w:after="100" w:afterAutospacing="1"/>
      <w:jc w:val="center"/>
    </w:pPr>
    <w:rPr>
      <w:rFonts w:ascii="仿宋" w:hAnsi="仿宋" w:eastAsia="仿宋"/>
      <w:sz w:val="28"/>
      <w:szCs w:val="28"/>
    </w:rPr>
  </w:style>
  <w:style w:type="paragraph" w:styleId="9">
    <w:name w:val="toc 2"/>
    <w:basedOn w:val="1"/>
    <w:next w:val="1"/>
    <w:semiHidden/>
    <w:unhideWhenUsed/>
    <w:qFormat/>
    <w:uiPriority w:val="99"/>
    <w:pPr>
      <w:spacing w:before="100" w:beforeAutospacing="1" w:after="100" w:afterAutospacing="1"/>
      <w:ind w:left="420" w:leftChars="200"/>
    </w:pPr>
  </w:style>
  <w:style w:type="paragraph" w:styleId="10">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11">
    <w:name w:val="Body Text First Indent 2"/>
    <w:basedOn w:val="5"/>
    <w:qFormat/>
    <w:uiPriority w:val="99"/>
    <w:pPr>
      <w:spacing w:after="0"/>
      <w:ind w:firstLine="420" w:firstLineChars="200"/>
    </w:pPr>
  </w:style>
  <w:style w:type="character" w:styleId="14">
    <w:name w:val="Strong"/>
    <w:basedOn w:val="13"/>
    <w:qFormat/>
    <w:uiPriority w:val="99"/>
    <w:rPr>
      <w:rFonts w:cs="Times New Roman"/>
      <w:b/>
    </w:rPr>
  </w:style>
  <w:style w:type="character" w:styleId="15">
    <w:name w:val="Hyperlink"/>
    <w:basedOn w:val="13"/>
    <w:unhideWhenUsed/>
    <w:qFormat/>
    <w:uiPriority w:val="99"/>
    <w:rPr>
      <w:color w:val="0000FF"/>
      <w:u w:val="single"/>
    </w:rPr>
  </w:style>
  <w:style w:type="character" w:customStyle="1" w:styleId="16">
    <w:name w:val="标题 1 Char"/>
    <w:basedOn w:val="13"/>
    <w:link w:val="3"/>
    <w:qFormat/>
    <w:uiPriority w:val="99"/>
    <w:rPr>
      <w:rFonts w:ascii="Times New Roman" w:hAnsi="Times New Roman" w:eastAsia="宋体" w:cs="Times New Roman"/>
      <w:b/>
      <w:bCs/>
      <w:kern w:val="44"/>
      <w:sz w:val="44"/>
      <w:szCs w:val="44"/>
    </w:rPr>
  </w:style>
  <w:style w:type="character" w:customStyle="1" w:styleId="17">
    <w:name w:val="标题 2 Char"/>
    <w:basedOn w:val="13"/>
    <w:link w:val="4"/>
    <w:qFormat/>
    <w:uiPriority w:val="99"/>
    <w:rPr>
      <w:rFonts w:ascii="Cambria" w:hAnsi="Cambria" w:eastAsia="宋体" w:cs="黑体"/>
      <w:b/>
      <w:bCs/>
      <w:sz w:val="32"/>
      <w:szCs w:val="32"/>
    </w:rPr>
  </w:style>
  <w:style w:type="paragraph" w:customStyle="1" w:styleId="18">
    <w:name w:val="List Paragraph"/>
    <w:basedOn w:val="1"/>
    <w:qFormat/>
    <w:uiPriority w:val="0"/>
    <w:pPr>
      <w:ind w:firstLine="420" w:firstLineChars="200"/>
    </w:pPr>
  </w:style>
  <w:style w:type="character" w:customStyle="1" w:styleId="19">
    <w:name w:val="正文文本 Char"/>
    <w:basedOn w:val="13"/>
    <w:link w:val="2"/>
    <w:qFormat/>
    <w:uiPriority w:val="99"/>
    <w:rPr>
      <w:rFonts w:ascii="仿宋_GB2312" w:hAnsi="Times New Roman" w:eastAsia="宋体" w:cs="Times New Roman"/>
      <w:kern w:val="0"/>
      <w:sz w:val="30"/>
      <w:szCs w:val="30"/>
    </w:rPr>
  </w:style>
  <w:style w:type="character" w:customStyle="1" w:styleId="20">
    <w:name w:val="15"/>
    <w:basedOn w:val="13"/>
    <w:qFormat/>
    <w:uiPriority w:val="0"/>
    <w:rPr>
      <w:rFonts w:hint="default" w:ascii="Cambria" w:hAnsi="Cambria" w:eastAsia="宋体" w:cs="黑体"/>
      <w:b/>
      <w:bCs/>
      <w:kern w:val="2"/>
      <w:sz w:val="32"/>
      <w:szCs w:val="32"/>
    </w:rPr>
  </w:style>
  <w:style w:type="character" w:customStyle="1" w:styleId="21">
    <w:name w:val="16"/>
    <w:basedOn w:val="13"/>
    <w:qFormat/>
    <w:uiPriority w:val="0"/>
    <w:rPr>
      <w:rFonts w:hint="default" w:ascii="Times New Roman" w:hAnsi="Times New Roman" w:cs="Times New Roman"/>
      <w:b/>
      <w:bCs/>
      <w:kern w:val="44"/>
      <w:sz w:val="44"/>
      <w:szCs w:val="44"/>
    </w:rPr>
  </w:style>
  <w:style w:type="character" w:customStyle="1" w:styleId="22">
    <w:name w:val="17"/>
    <w:basedOn w:val="13"/>
    <w:qFormat/>
    <w:uiPriority w:val="0"/>
    <w:rPr>
      <w:rFonts w:hint="default" w:ascii="Times New Roman" w:hAnsi="Times New Roman" w:cs="Times New Roman"/>
      <w:color w:val="0000FF"/>
      <w:u w:val="single"/>
    </w:rPr>
  </w:style>
  <w:style w:type="character" w:customStyle="1" w:styleId="23">
    <w:name w:val="18"/>
    <w:basedOn w:val="13"/>
    <w:qFormat/>
    <w:uiPriority w:val="0"/>
    <w:rPr>
      <w:rFonts w:hint="default" w:ascii="Times New Roman" w:hAnsi="Times New Roman" w:cs="Times New Roman"/>
      <w:b/>
      <w:bCs/>
    </w:rPr>
  </w:style>
  <w:style w:type="paragraph" w:customStyle="1" w:styleId="24">
    <w:name w:val="abstract"/>
    <w:basedOn w:val="1"/>
    <w:qFormat/>
    <w:uiPriority w:val="0"/>
    <w:pPr>
      <w:jc w:val="left"/>
    </w:pPr>
    <w:rPr>
      <w:color w:val="666666"/>
      <w:kern w:val="0"/>
      <w:lang w:val="en-US" w:eastAsia="zh-CN"/>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6">
    <w:name w:val=" Char Char5"/>
    <w:basedOn w:val="13"/>
    <w:link w:val="4"/>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9"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7585</Words>
  <Characters>8729</Characters>
  <Lines>82</Lines>
  <Paragraphs>23</Paragraphs>
  <TotalTime>12</TotalTime>
  <ScaleCrop>false</ScaleCrop>
  <LinksUpToDate>false</LinksUpToDate>
  <CharactersWithSpaces>8768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2020-10-09T02:04:00Z</dcterms:created>
  <dc:creator>A7</dc:creator>
  <cp:lastModifiedBy>昭化融媒体</cp:lastModifiedBy>
  <cp:lastPrinted>2022-09-23T07:52:00Z</cp:lastPrinted>
  <dcterms:modified xsi:type="dcterms:W3CDTF">2024-12-26T08:23:15Z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AB45F4EF62DC413BB3F90D188D8FE49F</vt:lpwstr>
  </property>
  <property fmtid="{D5CDD505-2E9C-101B-9397-08002B2CF9AE}" pid="4" name="KSOTemplateDocerSaveRecord">
    <vt:lpwstr>eyJoZGlkIjoiMGVhYTg4NGNkZWJkODFjNzcyZDRjM2M4Y2UzNjI5ZmUiLCJ1c2VySWQiOiI2MTE2MzEwMDYifQ==</vt:lpwstr>
  </property>
</Properties>
</file>