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26ABE">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0" w:name="_Toc15377425"/>
      <w:bookmarkStart w:id="1" w:name="_Toc15396597"/>
      <w:bookmarkStart w:id="2" w:name="_Toc15396475"/>
      <w:bookmarkStart w:id="3" w:name="_Toc15377193"/>
      <w:bookmarkStart w:id="4" w:name="_Toc15378441"/>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0"/>
      <w:bookmarkEnd w:id="1"/>
      <w:bookmarkEnd w:id="2"/>
      <w:bookmarkEnd w:id="3"/>
      <w:bookmarkEnd w:id="4"/>
    </w:p>
    <w:p w14:paraId="607E7AD5">
      <w:pPr>
        <w:widowControl/>
        <w:jc w:val="center"/>
        <w:rPr>
          <w:rFonts w:hint="eastAsia" w:ascii="方正小标宋简体" w:hAnsi="宋体" w:eastAsia="方正小标宋简体"/>
          <w:color w:val="000000"/>
          <w:sz w:val="72"/>
          <w:szCs w:val="72"/>
          <w:lang w:eastAsia="zh-CN"/>
        </w:rPr>
        <w:sectPr>
          <w:footerReference r:id="rId3" w:type="default"/>
          <w:pgSz w:w="11906" w:h="16838"/>
          <w:pgMar w:top="2098" w:right="1474" w:bottom="1984" w:left="1588" w:header="851" w:footer="992" w:gutter="0"/>
          <w:pgNumType w:fmt="numberInDash" w:start="1"/>
          <w:cols w:space="720" w:num="1"/>
          <w:docGrid w:type="lines" w:linePitch="312" w:charSpace="0"/>
        </w:sectPr>
      </w:pPr>
      <w:r>
        <w:rPr>
          <w:rFonts w:hint="eastAsia" w:ascii="方正小标宋简体" w:hAnsi="宋体" w:eastAsia="方正小标宋简体"/>
          <w:color w:val="000000"/>
          <w:sz w:val="72"/>
          <w:szCs w:val="72"/>
          <w:lang w:eastAsia="zh-CN"/>
        </w:rPr>
        <w:t>中共广元市昭化区委统战部部门决算</w:t>
      </w:r>
    </w:p>
    <w:p w14:paraId="451B686F">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14:paraId="212FF58C">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3E7C37EC">
      <w:pPr>
        <w:jc w:val="both"/>
      </w:pPr>
    </w:p>
    <w:p w14:paraId="30525327">
      <w:pPr>
        <w:pStyle w:val="9"/>
        <w:jc w:val="both"/>
        <w:rPr>
          <w:rFonts w:cstheme="minorBidi"/>
        </w:rPr>
      </w:pPr>
      <w:r>
        <w:fldChar w:fldCharType="begin"/>
      </w:r>
      <w:r>
        <w:instrText xml:space="preserve"> HYPERLINK \l "_Toc15396599" </w:instrText>
      </w:r>
      <w:r>
        <w:fldChar w:fldCharType="separate"/>
      </w:r>
      <w:r>
        <w:rPr>
          <w:rStyle w:val="16"/>
          <w:rFonts w:hint="eastAsia"/>
        </w:rPr>
        <w:t>第一部分</w:t>
      </w:r>
      <w:r>
        <w:rPr>
          <w:rStyle w:val="16"/>
        </w:rPr>
        <w:t xml:space="preserve"> </w:t>
      </w:r>
      <w:r>
        <w:rPr>
          <w:rStyle w:val="16"/>
          <w:rFonts w:hint="eastAsia"/>
        </w:rPr>
        <w:t>部门概况</w:t>
      </w:r>
      <w:r>
        <w:rPr>
          <w:rFonts w:ascii="仿宋" w:hAnsi="仿宋" w:eastAsia="仿宋"/>
          <w:sz w:val="28"/>
          <w:szCs w:val="28"/>
        </w:rPr>
        <w:tab/>
      </w:r>
      <w:r>
        <w:rPr>
          <w:rFonts w:hint="eastAsia"/>
        </w:rPr>
        <w:t>4</w:t>
      </w:r>
      <w:r>
        <w:rPr>
          <w:rFonts w:hint="eastAsia"/>
        </w:rPr>
        <w:fldChar w:fldCharType="end"/>
      </w:r>
    </w:p>
    <w:p w14:paraId="5BFF1067">
      <w:pPr>
        <w:pStyle w:val="10"/>
        <w:jc w:val="both"/>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p>
    <w:p w14:paraId="4ACA0481">
      <w:pPr>
        <w:pStyle w:val="10"/>
        <w:jc w:val="both"/>
        <w:rPr>
          <w:rFonts w:hint="eastAsia" w:ascii="仿宋" w:hAnsi="仿宋" w:eastAsia="仿宋" w:cstheme="minorBidi"/>
          <w:sz w:val="28"/>
          <w:szCs w:val="28"/>
          <w:lang w:val="en-US" w:eastAsia="zh-CN"/>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14:paraId="1879226F">
      <w:pPr>
        <w:pStyle w:val="10"/>
        <w:jc w:val="both"/>
        <w:rPr>
          <w:rFonts w:hint="eastAsia" w:eastAsia="宋体"/>
          <w:lang w:val="en-US" w:eastAsia="zh-CN"/>
        </w:rPr>
      </w:pPr>
      <w:r>
        <w:rPr>
          <w:sz w:val="28"/>
          <w:szCs w:val="28"/>
        </w:rPr>
        <w:fldChar w:fldCharType="begin"/>
      </w:r>
      <w:r>
        <w:rPr>
          <w:sz w:val="28"/>
          <w:szCs w:val="28"/>
        </w:rPr>
        <w:instrText xml:space="preserve"> HYPERLINK \l "_Toc15396602" </w:instrText>
      </w:r>
      <w:r>
        <w:rPr>
          <w:sz w:val="28"/>
          <w:szCs w:val="28"/>
        </w:rPr>
        <w:fldChar w:fldCharType="separate"/>
      </w:r>
      <w:r>
        <w:rPr>
          <w:rStyle w:val="16"/>
          <w:rFonts w:hint="eastAsia" w:ascii="仿宋" w:hAnsi="仿宋" w:eastAsia="仿宋" w:cs="Times New Roman"/>
          <w:kern w:val="2"/>
          <w:sz w:val="28"/>
          <w:szCs w:val="28"/>
          <w:lang w:val="en-US" w:eastAsia="zh-CN" w:bidi="ar-SA"/>
        </w:rPr>
        <w:t>第二部分 2020年度部门决算情况说明</w:t>
      </w:r>
      <w:r>
        <w:rPr>
          <w:rFonts w:ascii="仿宋" w:hAnsi="仿宋" w:eastAsia="仿宋"/>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9</w:t>
      </w:r>
    </w:p>
    <w:p w14:paraId="1D6051E7">
      <w:pPr>
        <w:pStyle w:val="10"/>
        <w:jc w:val="both"/>
        <w:rPr>
          <w:rFonts w:hint="eastAsia"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9</w:t>
      </w:r>
    </w:p>
    <w:p w14:paraId="1857CE36">
      <w:pPr>
        <w:pStyle w:val="10"/>
        <w:jc w:val="both"/>
        <w:rPr>
          <w:rFonts w:hint="eastAsia" w:ascii="仿宋" w:hAnsi="仿宋" w:eastAsia="仿宋" w:cstheme="minorBidi"/>
          <w:sz w:val="28"/>
          <w:szCs w:val="28"/>
          <w:lang w:val="en-US" w:eastAsia="zh-CN"/>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9</w:t>
      </w:r>
    </w:p>
    <w:p w14:paraId="33C84259">
      <w:pPr>
        <w:pStyle w:val="10"/>
        <w:jc w:val="both"/>
        <w:rPr>
          <w:rFonts w:ascii="仿宋" w:hAnsi="仿宋" w:eastAsia="仿宋"/>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20</w:t>
      </w:r>
      <w:r>
        <w:rPr>
          <w:rFonts w:ascii="仿宋" w:hAnsi="仿宋" w:eastAsia="仿宋"/>
          <w:sz w:val="28"/>
          <w:szCs w:val="28"/>
        </w:rPr>
        <w:fldChar w:fldCharType="end"/>
      </w:r>
    </w:p>
    <w:p w14:paraId="0F198B42">
      <w:pPr>
        <w:pStyle w:val="10"/>
        <w:jc w:val="both"/>
        <w:rPr>
          <w:rFonts w:hint="default" w:ascii="仿宋" w:hAnsi="仿宋" w:eastAsia="仿宋" w:cstheme="minorBidi"/>
          <w:sz w:val="28"/>
          <w:szCs w:val="28"/>
          <w:lang w:val="en-US" w:eastAsia="zh-CN"/>
        </w:rPr>
      </w:pPr>
      <w:r>
        <w:rPr>
          <w:rFonts w:hint="eastAsia" w:ascii="仿宋" w:hAnsi="仿宋" w:eastAsia="仿宋"/>
          <w:sz w:val="28"/>
          <w:szCs w:val="28"/>
          <w:lang w:eastAsia="zh-CN"/>
        </w:rPr>
        <w:t>四、财政拨款收入支出决算总体情况说明</w:t>
      </w:r>
      <w:r>
        <w:rPr>
          <w:rFonts w:hint="eastAsia" w:ascii="仿宋" w:hAnsi="仿宋" w:eastAsia="仿宋"/>
          <w:sz w:val="28"/>
          <w:szCs w:val="28"/>
          <w:lang w:val="en-US" w:eastAsia="zh-CN"/>
        </w:rPr>
        <w:t>..................20</w:t>
      </w:r>
    </w:p>
    <w:p w14:paraId="2872F2F6">
      <w:pPr>
        <w:pStyle w:val="10"/>
        <w:jc w:val="both"/>
        <w:rPr>
          <w:rFonts w:hint="default"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lang w:val="en-US" w:eastAsia="zh-CN"/>
        </w:rPr>
        <w:t>20</w:t>
      </w:r>
    </w:p>
    <w:p w14:paraId="62E4326F">
      <w:pPr>
        <w:pStyle w:val="10"/>
        <w:jc w:val="both"/>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1</w:t>
      </w:r>
    </w:p>
    <w:p w14:paraId="01DA0223">
      <w:pPr>
        <w:pStyle w:val="10"/>
        <w:jc w:val="both"/>
        <w:rPr>
          <w:rFonts w:hint="default"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lang w:val="en-US" w:eastAsia="zh-CN"/>
        </w:rPr>
        <w:t>22</w:t>
      </w:r>
    </w:p>
    <w:p w14:paraId="518F7B16">
      <w:pPr>
        <w:pStyle w:val="10"/>
        <w:jc w:val="both"/>
        <w:rPr>
          <w:rFonts w:hint="default"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lang w:val="en-US" w:eastAsia="zh-CN"/>
        </w:rPr>
        <w:t>22</w:t>
      </w:r>
    </w:p>
    <w:p w14:paraId="70906808">
      <w:pPr>
        <w:pStyle w:val="10"/>
        <w:jc w:val="both"/>
        <w:rPr>
          <w:rFonts w:hint="default" w:ascii="仿宋" w:hAnsi="仿宋" w:eastAsia="仿宋" w:cstheme="minorBidi"/>
          <w:sz w:val="28"/>
          <w:szCs w:val="28"/>
          <w:lang w:val="en-US" w:eastAsia="zh-CN"/>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lang w:val="en-US" w:eastAsia="zh-CN"/>
        </w:rPr>
        <w:t>22</w:t>
      </w:r>
    </w:p>
    <w:p w14:paraId="72E3B44E">
      <w:pPr>
        <w:pStyle w:val="10"/>
        <w:jc w:val="both"/>
        <w:rPr>
          <w:rFonts w:hint="default"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、其他重要事项的情况说明</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lang w:val="en-US" w:eastAsia="zh-CN"/>
        </w:rPr>
        <w:t>22</w:t>
      </w:r>
    </w:p>
    <w:p w14:paraId="04F0017B">
      <w:pPr>
        <w:pStyle w:val="9"/>
        <w:jc w:val="both"/>
        <w:rPr>
          <w:rFonts w:hint="eastAsia" w:eastAsia="仿宋" w:cstheme="minorBidi"/>
          <w:shd w:val="clear" w:color="auto" w:fill="auto"/>
          <w:lang w:val="en-US" w:eastAsia="zh-CN"/>
        </w:rPr>
      </w:pPr>
      <w:r>
        <w:rPr>
          <w:shd w:val="clear" w:color="auto" w:fill="auto"/>
        </w:rPr>
        <w:fldChar w:fldCharType="begin"/>
      </w:r>
      <w:r>
        <w:rPr>
          <w:shd w:val="clear" w:color="auto" w:fill="auto"/>
        </w:rPr>
        <w:instrText xml:space="preserve"> HYPERLINK \l "_Toc15396613" </w:instrText>
      </w:r>
      <w:r>
        <w:rPr>
          <w:shd w:val="clear" w:color="auto" w:fill="auto"/>
        </w:rPr>
        <w:fldChar w:fldCharType="separate"/>
      </w:r>
      <w:r>
        <w:rPr>
          <w:rStyle w:val="16"/>
          <w:rFonts w:hint="eastAsia"/>
          <w:bCs/>
          <w:kern w:val="44"/>
          <w:shd w:val="clear" w:color="auto" w:fill="auto"/>
        </w:rPr>
        <w:t>第三部分</w:t>
      </w:r>
      <w:r>
        <w:rPr>
          <w:rStyle w:val="16"/>
          <w:rFonts w:hint="eastAsia"/>
          <w:shd w:val="clear" w:color="auto" w:fill="auto"/>
        </w:rPr>
        <w:t xml:space="preserve"> 名</w:t>
      </w:r>
      <w:r>
        <w:rPr>
          <w:rStyle w:val="16"/>
          <w:rFonts w:hint="eastAsia"/>
          <w:bCs/>
          <w:kern w:val="44"/>
          <w:shd w:val="clear" w:color="auto" w:fill="auto"/>
        </w:rPr>
        <w:t>词解释</w:t>
      </w:r>
      <w:r>
        <w:rPr>
          <w:shd w:val="clear" w:color="auto" w:fill="auto"/>
        </w:rPr>
        <w:tab/>
      </w:r>
      <w:r>
        <w:rPr>
          <w:rFonts w:hint="eastAsia"/>
          <w:shd w:val="clear" w:color="auto" w:fill="auto"/>
          <w:lang w:val="en-US" w:eastAsia="zh-CN"/>
        </w:rPr>
        <w:t>2</w:t>
      </w:r>
      <w:r>
        <w:rPr>
          <w:shd w:val="clear" w:color="auto" w:fill="auto"/>
        </w:rPr>
        <w:fldChar w:fldCharType="end"/>
      </w:r>
      <w:r>
        <w:rPr>
          <w:rFonts w:hint="eastAsia"/>
          <w:shd w:val="clear" w:color="auto" w:fill="auto"/>
          <w:lang w:val="en-US" w:eastAsia="zh-CN"/>
        </w:rPr>
        <w:t>7</w:t>
      </w:r>
    </w:p>
    <w:p w14:paraId="4FFAB3AD">
      <w:pPr>
        <w:pStyle w:val="9"/>
        <w:jc w:val="both"/>
        <w:rPr>
          <w:rFonts w:hint="eastAsia" w:eastAsia="仿宋" w:cstheme="minorBidi"/>
          <w:lang w:val="en-US" w:eastAsia="zh-CN"/>
        </w:rPr>
      </w:pPr>
      <w:r>
        <w:rPr>
          <w:shd w:val="clear" w:color="auto" w:fill="auto"/>
        </w:rPr>
        <w:fldChar w:fldCharType="begin"/>
      </w:r>
      <w:r>
        <w:rPr>
          <w:shd w:val="clear" w:color="auto" w:fill="auto"/>
        </w:rPr>
        <w:instrText xml:space="preserve"> HYPERLINK \l "_Toc15396614" </w:instrText>
      </w:r>
      <w:r>
        <w:rPr>
          <w:shd w:val="clear" w:color="auto" w:fill="auto"/>
        </w:rPr>
        <w:fldChar w:fldCharType="separate"/>
      </w:r>
      <w:r>
        <w:rPr>
          <w:rStyle w:val="16"/>
          <w:rFonts w:hint="eastAsia"/>
          <w:shd w:val="clear" w:color="auto" w:fill="auto"/>
        </w:rPr>
        <w:t>第</w:t>
      </w:r>
      <w:r>
        <w:rPr>
          <w:rStyle w:val="16"/>
          <w:rFonts w:hint="eastAsia"/>
          <w:bCs/>
          <w:kern w:val="44"/>
          <w:shd w:val="clear" w:color="auto" w:fill="auto"/>
        </w:rPr>
        <w:t>四部分</w:t>
      </w:r>
      <w:r>
        <w:rPr>
          <w:rStyle w:val="16"/>
          <w:bCs/>
          <w:kern w:val="44"/>
          <w:shd w:val="clear" w:color="auto" w:fill="auto"/>
        </w:rPr>
        <w:t xml:space="preserve"> </w:t>
      </w:r>
      <w:r>
        <w:rPr>
          <w:rStyle w:val="16"/>
          <w:rFonts w:hint="eastAsia"/>
          <w:bCs/>
          <w:kern w:val="44"/>
          <w:shd w:val="clear" w:color="auto" w:fill="auto"/>
        </w:rPr>
        <w:t>附件</w:t>
      </w:r>
      <w:r>
        <w:rPr>
          <w:shd w:val="clear" w:color="auto" w:fill="auto"/>
        </w:rPr>
        <w:tab/>
      </w:r>
      <w:r>
        <w:rPr>
          <w:rFonts w:hint="eastAsia"/>
          <w:shd w:val="clear" w:color="auto" w:fill="auto"/>
          <w:lang w:val="en-US" w:eastAsia="zh-CN"/>
        </w:rPr>
        <w:t>2</w:t>
      </w:r>
      <w:r>
        <w:rPr>
          <w:shd w:val="clear" w:color="auto" w:fill="auto"/>
        </w:rPr>
        <w:fldChar w:fldCharType="end"/>
      </w:r>
      <w:r>
        <w:rPr>
          <w:rFonts w:hint="eastAsia"/>
          <w:shd w:val="clear" w:color="auto" w:fill="auto"/>
          <w:lang w:val="en-US" w:eastAsia="zh-CN"/>
        </w:rPr>
        <w:t>9</w:t>
      </w:r>
    </w:p>
    <w:p w14:paraId="1F71213B">
      <w:pPr>
        <w:pStyle w:val="10"/>
        <w:jc w:val="both"/>
        <w:sectPr>
          <w:footerReference r:id="rId4" w:type="default"/>
          <w:pgSz w:w="11906" w:h="16838"/>
          <w:pgMar w:top="2098" w:right="1474" w:bottom="1984" w:left="1588" w:header="851" w:footer="992" w:gutter="0"/>
          <w:pgNumType w:fmt="numberInDash"/>
          <w:cols w:space="720" w:num="1"/>
          <w:docGrid w:type="lines" w:linePitch="312" w:charSpace="0"/>
        </w:sectPr>
      </w:pPr>
    </w:p>
    <w:p w14:paraId="5EC7AD13">
      <w:pPr>
        <w:pStyle w:val="10"/>
        <w:jc w:val="both"/>
        <w:rPr>
          <w:rFonts w:hint="eastAsia" w:ascii="仿宋" w:hAnsi="仿宋" w:eastAsia="仿宋"/>
          <w:sz w:val="28"/>
          <w:szCs w:val="28"/>
          <w:lang w:val="en-US" w:eastAsia="zh-CN"/>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9</w:t>
      </w:r>
    </w:p>
    <w:p w14:paraId="1C773DB9">
      <w:pPr>
        <w:ind w:firstLine="420" w:firstLineChars="200"/>
        <w:rPr>
          <w:rFonts w:hint="default" w:eastAsia="仿宋"/>
          <w:lang w:val="en-US" w:eastAsia="zh-CN"/>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hint="eastAsia" w:ascii="仿宋" w:hAnsi="仿宋" w:eastAsia="仿宋"/>
          <w:kern w:val="44"/>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36</w:t>
      </w:r>
    </w:p>
    <w:p w14:paraId="2535883C">
      <w:pPr>
        <w:pStyle w:val="9"/>
        <w:jc w:val="both"/>
        <w:rPr>
          <w:rFonts w:hint="eastAsia" w:eastAsia="仿宋" w:cstheme="minorBidi"/>
          <w:lang w:val="en-US" w:eastAsia="zh-CN"/>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w:t>
      </w:r>
      <w:r>
        <w:rPr>
          <w:rStyle w:val="16"/>
          <w:bCs/>
          <w:kern w:val="44"/>
        </w:rPr>
        <w:t xml:space="preserve"> </w:t>
      </w:r>
      <w:r>
        <w:rPr>
          <w:rStyle w:val="16"/>
          <w:rFonts w:hint="eastAsia"/>
          <w:bCs/>
          <w:kern w:val="44"/>
        </w:rPr>
        <w:t>附表</w:t>
      </w:r>
      <w:r>
        <w:tab/>
      </w:r>
      <w:r>
        <w:rPr>
          <w:rFonts w:hint="eastAsia"/>
          <w:lang w:val="en-US" w:eastAsia="zh-CN"/>
        </w:rPr>
        <w:t>3</w:t>
      </w:r>
      <w:r>
        <w:fldChar w:fldCharType="end"/>
      </w:r>
      <w:r>
        <w:rPr>
          <w:rFonts w:hint="eastAsia"/>
          <w:lang w:val="en-US" w:eastAsia="zh-CN"/>
        </w:rPr>
        <w:t>8</w:t>
      </w:r>
    </w:p>
    <w:p w14:paraId="790FAB89">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8</w:t>
      </w:r>
    </w:p>
    <w:p w14:paraId="2233692A">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8</w:t>
      </w:r>
    </w:p>
    <w:p w14:paraId="270A1C35">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443E2867">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2BCABF85">
      <w:pPr>
        <w:pStyle w:val="10"/>
        <w:jc w:val="both"/>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50BE77BF">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7A5FDF34">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769A888B">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22525B27">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3AB135D3">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7744F47E">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1BE69393">
      <w:pPr>
        <w:pStyle w:val="10"/>
        <w:jc w:val="both"/>
        <w:rPr>
          <w:rFonts w:hint="eastAsia" w:ascii="仿宋" w:hAnsi="仿宋" w:eastAsia="仿宋" w:cstheme="minorBidi"/>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4C00EC46">
      <w:pPr>
        <w:pStyle w:val="10"/>
        <w:jc w:val="both"/>
        <w:rPr>
          <w:rFonts w:hint="eastAsia" w:ascii="仿宋" w:hAnsi="仿宋" w:eastAsia="仿宋" w:cstheme="minorBidi"/>
          <w:sz w:val="24"/>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38</w:t>
      </w:r>
      <w:r>
        <w:rPr>
          <w:rFonts w:ascii="仿宋" w:hAnsi="仿宋" w:eastAsia="仿宋"/>
          <w:sz w:val="28"/>
          <w:szCs w:val="28"/>
        </w:rPr>
        <w:fldChar w:fldCharType="end"/>
      </w:r>
    </w:p>
    <w:p w14:paraId="7C20194B">
      <w:pPr>
        <w:pStyle w:val="12"/>
        <w:pageBreakBefore w:val="0"/>
        <w:kinsoku/>
        <w:wordWrap/>
        <w:overflowPunct/>
        <w:topLinePunct w:val="0"/>
        <w:bidi w:val="0"/>
        <w:spacing w:line="600" w:lineRule="exact"/>
        <w:ind w:left="0" w:leftChars="0"/>
        <w:rPr>
          <w:rStyle w:val="16"/>
          <w:rFonts w:hint="default" w:ascii="仿宋" w:hAnsi="仿宋" w:eastAsia="仿宋" w:cs="Times New Roman"/>
          <w:kern w:val="2"/>
          <w:sz w:val="28"/>
          <w:szCs w:val="28"/>
          <w:lang w:val="en-US" w:eastAsia="zh-CN" w:bidi="ar-SA"/>
        </w:rPr>
      </w:pPr>
      <w:r>
        <w:rPr>
          <w:rFonts w:ascii="仿宋" w:hAnsi="仿宋" w:eastAsia="仿宋"/>
          <w:color w:val="000000"/>
          <w:sz w:val="24"/>
        </w:rPr>
        <w:fldChar w:fldCharType="end"/>
      </w:r>
      <w:r>
        <w:rPr>
          <w:rStyle w:val="16"/>
          <w:rFonts w:hint="default" w:ascii="仿宋" w:hAnsi="仿宋" w:eastAsia="仿宋" w:cs="Times New Roman"/>
          <w:color w:val="auto"/>
          <w:kern w:val="2"/>
          <w:sz w:val="28"/>
          <w:szCs w:val="28"/>
          <w:u w:val="none"/>
          <w:lang w:val="en-US" w:eastAsia="zh-CN" w:bidi="ar-SA"/>
        </w:rPr>
        <w:t>十</w:t>
      </w:r>
      <w:r>
        <w:rPr>
          <w:rStyle w:val="16"/>
          <w:rFonts w:hint="eastAsia" w:ascii="仿宋" w:hAnsi="仿宋" w:eastAsia="仿宋" w:cs="Times New Roman"/>
          <w:color w:val="auto"/>
          <w:kern w:val="2"/>
          <w:sz w:val="28"/>
          <w:szCs w:val="28"/>
          <w:u w:val="none"/>
          <w:lang w:val="en-US" w:eastAsia="zh-CN" w:bidi="ar-SA"/>
        </w:rPr>
        <w:t>四</w:t>
      </w:r>
      <w:r>
        <w:rPr>
          <w:rStyle w:val="16"/>
          <w:rFonts w:hint="default" w:ascii="仿宋" w:hAnsi="仿宋" w:eastAsia="仿宋" w:cs="Times New Roman"/>
          <w:color w:val="auto"/>
          <w:kern w:val="2"/>
          <w:sz w:val="28"/>
          <w:szCs w:val="28"/>
          <w:u w:val="none"/>
          <w:lang w:val="en-US" w:eastAsia="zh-CN" w:bidi="ar-SA"/>
        </w:rPr>
        <w:t>、国有资本经营预算财政拨款支出决算表</w:t>
      </w:r>
      <w:r>
        <w:rPr>
          <w:rStyle w:val="16"/>
          <w:rFonts w:hint="eastAsia" w:ascii="仿宋" w:hAnsi="仿宋" w:eastAsia="仿宋" w:cs="Times New Roman"/>
          <w:color w:val="auto"/>
          <w:kern w:val="2"/>
          <w:sz w:val="28"/>
          <w:szCs w:val="28"/>
          <w:u w:val="none"/>
          <w:lang w:val="en-US" w:eastAsia="zh-CN" w:bidi="ar-SA"/>
        </w:rPr>
        <w:t>..............38</w:t>
      </w:r>
    </w:p>
    <w:p w14:paraId="5A1C5D54">
      <w:pPr>
        <w:pStyle w:val="12"/>
        <w:pageBreakBefore w:val="0"/>
        <w:kinsoku/>
        <w:wordWrap/>
        <w:overflowPunct/>
        <w:topLinePunct w:val="0"/>
        <w:bidi w:val="0"/>
        <w:spacing w:line="600" w:lineRule="exact"/>
        <w:ind w:left="0" w:leftChars="0"/>
        <w:rPr>
          <w:rStyle w:val="16"/>
          <w:rFonts w:hint="eastAsia" w:ascii="仿宋" w:hAnsi="仿宋" w:eastAsia="仿宋" w:cs="Times New Roman"/>
          <w:kern w:val="2"/>
          <w:sz w:val="28"/>
          <w:szCs w:val="28"/>
          <w:lang w:val="en-US" w:eastAsia="zh-CN" w:bidi="ar-SA"/>
        </w:rPr>
      </w:pPr>
    </w:p>
    <w:p w14:paraId="1F3CFD31">
      <w:pPr>
        <w:pStyle w:val="12"/>
        <w:pageBreakBefore w:val="0"/>
        <w:kinsoku/>
        <w:wordWrap/>
        <w:overflowPunct/>
        <w:topLinePunct w:val="0"/>
        <w:bidi w:val="0"/>
        <w:spacing w:line="600" w:lineRule="exact"/>
        <w:ind w:left="0" w:leftChars="0"/>
      </w:pPr>
    </w:p>
    <w:p w14:paraId="23C38E4D">
      <w:pPr>
        <w:pStyle w:val="12"/>
        <w:pageBreakBefore w:val="0"/>
        <w:kinsoku/>
        <w:wordWrap/>
        <w:overflowPunct/>
        <w:topLinePunct w:val="0"/>
        <w:bidi w:val="0"/>
        <w:spacing w:line="600" w:lineRule="exact"/>
        <w:ind w:left="0" w:leftChars="0" w:firstLine="0" w:firstLineChars="0"/>
      </w:pPr>
    </w:p>
    <w:p w14:paraId="22622154">
      <w:pPr>
        <w:pStyle w:val="12"/>
        <w:pageBreakBefore w:val="0"/>
        <w:kinsoku/>
        <w:wordWrap/>
        <w:overflowPunct/>
        <w:topLinePunct w:val="0"/>
        <w:bidi w:val="0"/>
        <w:spacing w:line="600" w:lineRule="exact"/>
        <w:ind w:left="0" w:leftChars="0"/>
        <w:sectPr>
          <w:footerReference r:id="rId5" w:type="default"/>
          <w:pgSz w:w="11906" w:h="16838"/>
          <w:pgMar w:top="2098" w:right="1474" w:bottom="1984" w:left="1588" w:header="851" w:footer="992" w:gutter="0"/>
          <w:pgNumType w:fmt="numberInDash"/>
          <w:cols w:space="720" w:num="1"/>
          <w:docGrid w:type="lines" w:linePitch="312" w:charSpace="0"/>
        </w:sectPr>
      </w:pPr>
    </w:p>
    <w:p w14:paraId="49ADE84C">
      <w:pPr>
        <w:pStyle w:val="12"/>
        <w:pageBreakBefore w:val="0"/>
        <w:kinsoku/>
        <w:wordWrap/>
        <w:overflowPunct/>
        <w:topLinePunct w:val="0"/>
        <w:bidi w:val="0"/>
        <w:spacing w:line="600" w:lineRule="exact"/>
        <w:ind w:left="0" w:leftChars="0"/>
      </w:pPr>
    </w:p>
    <w:p w14:paraId="3FB14C6C">
      <w:pPr>
        <w:pageBreakBefore w:val="0"/>
        <w:widowControl/>
        <w:kinsoku/>
        <w:wordWrap/>
        <w:overflowPunct/>
        <w:topLinePunct w:val="0"/>
        <w:bidi w:val="0"/>
        <w:spacing w:line="600" w:lineRule="exact"/>
        <w:ind w:left="0" w:leftChars="0" w:firstLine="2200" w:firstLineChars="500"/>
        <w:jc w:val="left"/>
        <w:rPr>
          <w:rFonts w:ascii="黑体" w:hAnsi="黑体" w:eastAsia="黑体" w:cs="黑体"/>
          <w:color w:val="000000"/>
          <w:sz w:val="44"/>
          <w:szCs w:val="44"/>
        </w:rPr>
      </w:pPr>
      <w:r>
        <w:rPr>
          <w:rFonts w:hint="eastAsia" w:ascii="黑体" w:hAnsi="黑体" w:eastAsia="黑体" w:cs="黑体"/>
          <w:sz w:val="44"/>
          <w:szCs w:val="44"/>
        </w:rPr>
        <w:t xml:space="preserve">第一部分 </w:t>
      </w:r>
      <w:r>
        <w:rPr>
          <w:rStyle w:val="20"/>
          <w:rFonts w:hint="eastAsia" w:ascii="黑体" w:hAnsi="黑体" w:eastAsia="黑体" w:cs="黑体"/>
          <w:b w:val="0"/>
          <w:bCs w:val="0"/>
        </w:rPr>
        <w:t>部门概况</w:t>
      </w:r>
    </w:p>
    <w:p w14:paraId="7DE3D18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Times New Roman" w:hAnsi="Times New Roman" w:eastAsia="黑体" w:cs="Times New Roman"/>
          <w:sz w:val="32"/>
          <w:szCs w:val="32"/>
          <w:lang w:eastAsia="zh-CN"/>
        </w:rPr>
      </w:pPr>
    </w:p>
    <w:p w14:paraId="1B232254">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楷体_GB2312" w:hAnsi="仿宋" w:eastAsia="楷体_GB2312"/>
          <w:b/>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主要职能职责</w:t>
      </w:r>
      <w:r>
        <w:rPr>
          <w:rFonts w:hint="eastAsia" w:ascii="Times New Roman" w:hAnsi="Times New Roman" w:eastAsia="黑体" w:cs="Times New Roman"/>
          <w:sz w:val="32"/>
          <w:szCs w:val="32"/>
          <w:lang w:eastAsia="zh-CN"/>
        </w:rPr>
        <w:t>及重点工作</w:t>
      </w:r>
    </w:p>
    <w:p w14:paraId="2346B3B9">
      <w:pPr>
        <w:pageBreakBefore w:val="0"/>
        <w:kinsoku/>
        <w:wordWrap/>
        <w:overflowPunct/>
        <w:topLinePunct w:val="0"/>
        <w:bidi w:val="0"/>
        <w:snapToGrid w:val="0"/>
        <w:spacing w:line="600" w:lineRule="exact"/>
        <w:ind w:left="0" w:leftChars="0" w:firstLine="643" w:firstLineChars="200"/>
        <w:rPr>
          <w:rFonts w:hint="eastAsia" w:ascii="楷体_GB2312" w:hAnsi="仿宋" w:eastAsia="楷体_GB2312" w:cs="Times New Roman"/>
          <w:b/>
          <w:sz w:val="32"/>
          <w:szCs w:val="32"/>
          <w:lang w:eastAsia="zh-CN"/>
        </w:rPr>
      </w:pPr>
      <w:r>
        <w:rPr>
          <w:rFonts w:hint="eastAsia" w:ascii="楷体_GB2312" w:hAnsi="仿宋" w:eastAsia="楷体_GB2312" w:cs="Times New Roman"/>
          <w:b/>
          <w:sz w:val="32"/>
          <w:szCs w:val="32"/>
          <w:lang w:eastAsia="zh-CN"/>
        </w:rPr>
        <w:t>（一）统战部主要职能。</w:t>
      </w:r>
    </w:p>
    <w:p w14:paraId="1ED6D90A">
      <w:pPr>
        <w:pageBreakBefore w:val="0"/>
        <w:tabs>
          <w:tab w:val="left" w:pos="962"/>
          <w:tab w:val="left" w:pos="6565"/>
        </w:tabs>
        <w:kinsoku/>
        <w:wordWrap/>
        <w:overflowPunct/>
        <w:topLinePunct w:val="0"/>
        <w:bidi w:val="0"/>
        <w:snapToGrid w:val="0"/>
        <w:spacing w:line="60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中共广元市昭化区委统战部是区委主管统一战线工作的只能部门，主要职责是：</w:t>
      </w:r>
    </w:p>
    <w:p w14:paraId="3A534687">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和省委、市委、区委关于统一战线工作重大决策部署，巩固壮大最广泛的统一战线。</w:t>
      </w:r>
    </w:p>
    <w:p w14:paraId="17389714">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研究拟订统一战线工作的政策草案并推动落实，深入调查研究，及时向区委报告统一战线工作情况并提出建议；统筹协调和指导各乡镇（街道）、各部门（单位）统一战线工作。</w:t>
      </w:r>
    </w:p>
    <w:p w14:paraId="094E9B5B">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负责发现、培养党外代表人士，制定党外干部培养规划，负责党外人士的政治安排，会同有关部门做好安排党外人士担任政府和司法机关等领导职务的工作，推动学校、人民团体、科研院所、国有企业党外干部安排工作。协助民主党派支部（社）、区工商联做好干部管理工作，反映和协调解决党外代表人士工作、生活中的实际困难。</w:t>
      </w:r>
    </w:p>
    <w:p w14:paraId="6C784C7A">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贯彻落实党的宣传工作方针，统筹推进全区统一战线宣传和意识形态工作，组织贯彻落实党中央、省委、市委、区委统一战线宣传工作政策和规划，统筹推进网络统战工作，研判涉及统一战线的舆情并协调有关部门应对处置。</w:t>
      </w:r>
    </w:p>
    <w:p w14:paraId="3020BFC6">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14:paraId="44C81E6F">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贯彻落实党的民族工作方针，研究拟订民族工作中的政策和重大措施，协调处理民族工作中的重大问题，统筹协调做好少数民族干部工作。依法管理民族事务，全面促进民族事业发展。</w:t>
      </w:r>
    </w:p>
    <w:p w14:paraId="59A4DD06">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贯彻落实党的宗教工作基本方针和政策，研究拟订宗教工作的重大政策措施并督促落实。依法管理宗教行政事务，保护公民宗教信仰自由和正常的宗教活动，维护宗教界合法权益，抵御境外利用宗教进行渗透，引导各宗教坚持中国化方向，巩固和发展同宗教界的爱国统一战线。</w:t>
      </w:r>
    </w:p>
    <w:p w14:paraId="7E864F8A">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规范民间信仰活动，依法管理民间信仰，维护民间信仰信众的合法权益；挖掘民间信仰中的优秀传统文化资源，引导民间信仰信众爱国守法、团结友善、服务社会、维护和谐。</w:t>
      </w:r>
    </w:p>
    <w:p w14:paraId="2E8FFE4B">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负责联系、培养无党派代表人士，支持、帮助无党派人士加强自身建设、发挥作用。调查研究全区党外知识分子情况并提出政策建议，联系、培养党外知识分子代表人士，开展思想政治工作，指导学校、科研院所、国有企业等有关单位开展统战工作。</w:t>
      </w:r>
    </w:p>
    <w:p w14:paraId="5202821B">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负责联系、培养新的社会阶层代表人士，支持、帮助新的社会阶层人士加强自身建设、发挥作用。调查研究全区新的社会阶层人士情况并提出政策建议，开展思想政治工作，指导社会组织开展新的社会阶层人士统战工作。</w:t>
      </w:r>
    </w:p>
    <w:p w14:paraId="727CA067">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11.</w:t>
      </w:r>
      <w:r>
        <w:rPr>
          <w:rFonts w:hint="eastAsia" w:ascii="仿宋_GB2312" w:hAnsi="仿宋_GB2312" w:eastAsia="仿宋_GB2312" w:cs="仿宋_GB2312"/>
          <w:bCs/>
          <w:color w:val="000000"/>
          <w:sz w:val="32"/>
          <w:szCs w:val="32"/>
        </w:rPr>
        <w:t>承担全区非公有制经济协调工作，负责全区非公有制经济代表人士工作，参与制定、推动落实鼓励支持引导非公有制经济发展的政策，调查研究全区非公有制经济人士情况并提出政策建议，了解和反映非公有制经济人士的意见，团结、服务、引导、教育非公有制经济人士，促进非公有制经济健康发展和非公有制经济人士健康成长。</w:t>
      </w:r>
    </w:p>
    <w:p w14:paraId="2334BB0C">
      <w:pPr>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12.</w:t>
      </w:r>
      <w:r>
        <w:rPr>
          <w:rFonts w:hint="eastAsia" w:ascii="仿宋_GB2312" w:hAnsi="仿宋_GB2312" w:eastAsia="仿宋_GB2312" w:cs="仿宋_GB2312"/>
          <w:bCs/>
          <w:color w:val="000000"/>
          <w:sz w:val="32"/>
          <w:szCs w:val="32"/>
        </w:rPr>
        <w:t>统一领导港澳统战工作。牵头开展港澳统战工作，贯彻落实党的海外统战工作政策和规划并组织协调、督促检查落实，会同有关部门对香港、澳门地区统一战线工作进行调查研究并向区委提出政策建议，联系香港、澳门有关党派、团体及代表人士。做好统一战线外事管理工作。</w:t>
      </w:r>
    </w:p>
    <w:p w14:paraId="183B3E16">
      <w:pPr>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13.</w:t>
      </w:r>
      <w:r>
        <w:rPr>
          <w:rFonts w:hint="eastAsia" w:ascii="仿宋_GB2312" w:hAnsi="仿宋_GB2312" w:eastAsia="仿宋_GB2312" w:cs="仿宋_GB2312"/>
          <w:bCs/>
          <w:color w:val="000000"/>
          <w:sz w:val="32"/>
          <w:szCs w:val="32"/>
        </w:rPr>
        <w:t>统一管理台湾事务工作。贯彻落实党的对台工作方针政策，研究、拟订全区对台工作计划及实施意见，经批准后组织实施，开展对台统战工作。指导、协调、检查区级部门（单位）和各乡镇（街道）及相关企业对台工作，指导我区各民主党派、工商联和其他人民团体有关重点人物、重大活动等方面的涉台工作。调查研究台湾形势和两岸关系发展动向及交流合作、人员往来发展情况，提出对策建议。广泛开展交流联络活动，会同有关部门协调指导我区对台经贸工作和金融、文化、学术、体育、科技、卫生等各个领域的交流与合作，以及相关人员往来、考察、研讨等工作。指导全区对台宣传、涉台教育，负责有关台湾工作的新闻发布。统筹协调全区涉台法律事务，会同有关部门依法开展涉台权益保护工作。联系台湾有关党派、团体及代表人士。</w:t>
      </w:r>
    </w:p>
    <w:p w14:paraId="0C363699">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14.</w:t>
      </w:r>
      <w:r>
        <w:rPr>
          <w:rFonts w:hint="eastAsia" w:ascii="仿宋_GB2312" w:hAnsi="仿宋_GB2312" w:eastAsia="仿宋_GB2312" w:cs="仿宋_GB2312"/>
          <w:bCs/>
          <w:color w:val="000000"/>
          <w:sz w:val="32"/>
          <w:szCs w:val="32"/>
        </w:rPr>
        <w:t>统一管理侨务工作，贯彻落实党的侨务工作方针政策，负责起草涉侨地方性规范性文件、拟订全区侨务工作规划并组织协调、督促检查落实，调查研究侨情和侨务工作情况，管理侨务事务，统筹协调有关部门和社会团体涉侨工作，联系海外有关侨团和代表人士，负责海外侨胞代表人士在相关统战团体的安排，指导推动涉侨宣传、文化交流、华文教育工作等，保护华侨和归侨侨眷在区内的合法权利和利益。</w:t>
      </w:r>
    </w:p>
    <w:p w14:paraId="2BFBBD2D">
      <w:pPr>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15.</w:t>
      </w:r>
      <w:r>
        <w:rPr>
          <w:rFonts w:hint="eastAsia" w:ascii="仿宋_GB2312" w:hAnsi="仿宋_GB2312" w:eastAsia="仿宋_GB2312" w:cs="仿宋_GB2312"/>
          <w:bCs/>
          <w:color w:val="000000"/>
          <w:sz w:val="32"/>
          <w:szCs w:val="32"/>
        </w:rPr>
        <w:t>受区委委托，领导区工商联党组，指导工商联工作。领导区民族宗教工作。管理区侨务工作。管理区委台湾工作办公室（区政府台湾事务办公室）工作。指导区党外知识分子联谊会、区新的社会阶层人士联谊会等工作。做好统一战线有关单位和团体及事业单位的管理工作。</w:t>
      </w:r>
    </w:p>
    <w:p w14:paraId="0BCB7CC3">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16.</w:t>
      </w:r>
      <w:r>
        <w:rPr>
          <w:rFonts w:hint="eastAsia" w:ascii="仿宋_GB2312" w:hAnsi="仿宋_GB2312" w:eastAsia="仿宋_GB2312" w:cs="仿宋_GB2312"/>
          <w:bCs/>
          <w:color w:val="000000"/>
          <w:sz w:val="32"/>
          <w:szCs w:val="32"/>
        </w:rPr>
        <w:t>完成区委交办的其他任务。</w:t>
      </w:r>
    </w:p>
    <w:p w14:paraId="7A080774">
      <w:pPr>
        <w:pageBreakBefore w:val="0"/>
        <w:kinsoku/>
        <w:wordWrap/>
        <w:overflowPunct/>
        <w:topLinePunct w:val="0"/>
        <w:bidi w:val="0"/>
        <w:snapToGrid w:val="0"/>
        <w:spacing w:line="600" w:lineRule="exact"/>
        <w:ind w:left="0" w:leftChars="0" w:firstLine="643" w:firstLineChars="200"/>
        <w:rPr>
          <w:rFonts w:hint="eastAsia" w:ascii="楷体_GB2312" w:hAnsi="仿宋" w:eastAsia="楷体_GB2312" w:cs="Times New Roman"/>
          <w:b/>
          <w:sz w:val="32"/>
          <w:szCs w:val="32"/>
          <w:lang w:eastAsia="zh-CN"/>
        </w:rPr>
      </w:pPr>
      <w:bookmarkStart w:id="5" w:name="YS060102"/>
      <w:r>
        <w:rPr>
          <w:rFonts w:hint="eastAsia" w:ascii="楷体_GB2312" w:hAnsi="仿宋" w:eastAsia="楷体_GB2312" w:cs="Times New Roman"/>
          <w:b/>
          <w:sz w:val="32"/>
          <w:szCs w:val="32"/>
          <w:lang w:eastAsia="zh-CN"/>
        </w:rPr>
        <w:t>（二）2</w:t>
      </w:r>
      <w:r>
        <w:rPr>
          <w:rFonts w:hint="eastAsia" w:ascii="楷体_GB2312" w:hAnsi="仿宋" w:eastAsia="楷体_GB2312" w:cs="Times New Roman"/>
          <w:b/>
          <w:sz w:val="32"/>
          <w:szCs w:val="32"/>
          <w:lang w:val="en-US" w:eastAsia="zh-CN"/>
        </w:rPr>
        <w:t>020</w:t>
      </w:r>
      <w:r>
        <w:rPr>
          <w:rFonts w:hint="eastAsia" w:ascii="楷体_GB2312" w:hAnsi="仿宋" w:eastAsia="楷体_GB2312" w:cs="Times New Roman"/>
          <w:b/>
          <w:sz w:val="32"/>
          <w:szCs w:val="32"/>
          <w:lang w:eastAsia="zh-CN"/>
        </w:rPr>
        <w:t>年重点工作完成情况。</w:t>
      </w:r>
    </w:p>
    <w:p w14:paraId="07B75E9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i w:val="0"/>
          <w:caps w:val="0"/>
          <w:color w:val="000000" w:themeColor="text1"/>
          <w:spacing w:val="0"/>
          <w:sz w:val="32"/>
          <w:szCs w:val="32"/>
          <w:u w:val="none" w:color="auto"/>
          <w:vertAlign w:val="baseline"/>
          <w:lang w:eastAsia="zh-CN"/>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强化基层基础，基层统战规范化建设持续夯实。</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认真贯彻落实全省基层统战创新提升年工作要求，印发《昭化区基层统战工作规范化建设实践创新工作方案》，</w:t>
      </w:r>
      <w:r>
        <w:rPr>
          <w:rFonts w:hint="default"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制定镇统战工作</w:t>
      </w:r>
      <w:r>
        <w:rPr>
          <w:rFonts w:hint="default" w:ascii="Times New Roman" w:hAnsi="Times New Roman" w:eastAsia="仿宋_GB2312" w:cs="Times New Roman"/>
          <w:b w:val="0"/>
          <w:bCs w:val="0"/>
          <w:color w:val="000000" w:themeColor="text1"/>
          <w:sz w:val="32"/>
          <w:szCs w:val="32"/>
          <w:u w:val="none" w:color="auto"/>
          <w:lang w:val="en-US" w:eastAsia="zh-CN"/>
          <w14:textFill>
            <w14:solidFill>
              <w14:schemeClr w14:val="tx1"/>
            </w14:solidFill>
          </w14:textFill>
        </w:rPr>
        <w:t>规范</w:t>
      </w:r>
      <w:r>
        <w:rPr>
          <w:rFonts w:hint="default"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化建设任务清单，</w:t>
      </w:r>
      <w:r>
        <w:rPr>
          <w:rFonts w:hint="default" w:ascii="Times New Roman" w:hAnsi="Times New Roman" w:eastAsia="仿宋_GB2312" w:cs="Times New Roman"/>
          <w:b w:val="0"/>
          <w:bCs w:val="0"/>
          <w:color w:val="000000" w:themeColor="text1"/>
          <w:sz w:val="32"/>
          <w:szCs w:val="32"/>
          <w:u w:val="none" w:color="auto"/>
          <w:lang w:val="en-US" w:eastAsia="zh-CN"/>
          <w14:textFill>
            <w14:solidFill>
              <w14:schemeClr w14:val="tx1"/>
            </w14:solidFill>
          </w14:textFill>
        </w:rPr>
        <w:t>6名</w:t>
      </w:r>
      <w:r>
        <w:rPr>
          <w:rFonts w:hint="default"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部领导班子成员联系指导</w:t>
      </w:r>
      <w:r>
        <w:rPr>
          <w:rFonts w:hint="default" w:ascii="Times New Roman" w:hAnsi="Times New Roman" w:eastAsia="仿宋_GB2312" w:cs="Times New Roman"/>
          <w:b w:val="0"/>
          <w:bCs w:val="0"/>
          <w:color w:val="000000" w:themeColor="text1"/>
          <w:sz w:val="32"/>
          <w:szCs w:val="32"/>
          <w:u w:val="none" w:color="auto"/>
          <w:lang w:val="en-US" w:eastAsia="zh-CN"/>
          <w14:textFill>
            <w14:solidFill>
              <w14:schemeClr w14:val="tx1"/>
            </w14:solidFill>
          </w14:textFill>
        </w:rPr>
        <w:t>12个</w:t>
      </w:r>
      <w:r>
        <w:rPr>
          <w:rFonts w:hint="default"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乡镇统战工作</w:t>
      </w:r>
      <w:r>
        <w:rPr>
          <w:rFonts w:hint="default" w:ascii="Times New Roman" w:hAnsi="Times New Roman" w:eastAsia="仿宋_GB2312" w:cs="Times New Roman"/>
          <w:b w:val="0"/>
          <w:bCs w:val="0"/>
          <w:color w:val="000000" w:themeColor="text1"/>
          <w:sz w:val="32"/>
          <w:szCs w:val="32"/>
          <w:u w:val="none" w:color="auto"/>
          <w:lang w:val="en-US" w:eastAsia="zh-CN"/>
          <w14:textFill>
            <w14:solidFill>
              <w14:schemeClr w14:val="tx1"/>
            </w14:solidFill>
          </w14:textFill>
        </w:rPr>
        <w:t>规范</w:t>
      </w:r>
      <w:r>
        <w:rPr>
          <w:rFonts w:hint="default"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化建设，</w:t>
      </w:r>
      <w:r>
        <w:rPr>
          <w:rFonts w:hint="default" w:ascii="Times New Roman" w:hAnsi="Times New Roman" w:eastAsia="仿宋_GB2312" w:cs="Times New Roman"/>
          <w:b w:val="0"/>
          <w:bCs w:val="0"/>
          <w:color w:val="000000" w:themeColor="text1"/>
          <w:sz w:val="32"/>
          <w:szCs w:val="32"/>
          <w:u w:val="none" w:color="auto"/>
          <w:lang w:val="en-US" w:eastAsia="zh-CN"/>
          <w14:textFill>
            <w14:solidFill>
              <w14:schemeClr w14:val="tx1"/>
            </w14:solidFill>
          </w14:textFill>
        </w:rPr>
        <w:t>打造元坝镇、卫子镇2个基层统战标准化建设示范基地，提升宗教界爱国主义教育基地1个</w:t>
      </w:r>
      <w:r>
        <w:rPr>
          <w:rFonts w:hint="default" w:ascii="Times New Roman" w:hAnsi="Times New Roman" w:eastAsia="仿宋_GB2312" w:cs="Times New Roman"/>
          <w:b w:val="0"/>
          <w:bCs w:val="0"/>
          <w:color w:val="000000" w:themeColor="text1"/>
          <w:sz w:val="32"/>
          <w:szCs w:val="32"/>
          <w:u w:val="none" w:color="auto"/>
          <w:lang w:eastAsia="zh-CN"/>
          <w14:textFill>
            <w14:solidFill>
              <w14:schemeClr w14:val="tx1"/>
            </w14:solidFill>
          </w14:textFill>
        </w:rPr>
        <w:t>。</w:t>
      </w:r>
    </w:p>
    <w:p w14:paraId="126793A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2.</w:t>
      </w:r>
      <w:r>
        <w:rPr>
          <w:rFonts w:hint="default"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用好平台载体，统战思想宣传工作再上新台阶。</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思想宣传工作再上新台阶。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区统一战线思想宣传工作坚持“同心”思想为指导，凝心聚力为目标，采取多渠道、多形式、多角度宣传全区统战领域的好做法、好经验，为全区经济社会发展汇聚正能量。全年部机关和统一战线组织在中央级统战刊物、媒体发表信息宣传稿件25篇，较上年度增加14篇，同比增加127%；在省级统战刊物、媒体发表信息宣传稿件84篇，较上年度增加25篇，同比增加42%；在市级媒体和“同心昭化”上推送稿件100余篇。</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统战领域意识形态平稳有序。高度重视统战领域意识形态工作，采取多种形式和开展各类主题教育活动加强对统战各领域代表人士思想政治引领，对新冠疫情等热点敏感问题加强引导，全年未发生负面舆情事件。</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职业教育交流不断加强。加强与浙江、重庆等地中华职教社联系，促成</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浙江省中华职业教育社“一技成”天赋教育联盟来我区参观考察民盟烛光中学和区职业高级中学，并就两地教育发展方向、教学理念、未来规划、项目合作等方面进行</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深度交流</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w:t>
      </w:r>
    </w:p>
    <w:p w14:paraId="3197C35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3.</w:t>
      </w:r>
      <w:r>
        <w:rPr>
          <w:rFonts w:hint="default"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抓好贯彻落实，民主政治建设质效不断提升。</w:t>
      </w:r>
      <w:r>
        <w:rPr>
          <w:rFonts w:hint="default" w:ascii="Times New Roman" w:hAnsi="Times New Roman" w:eastAsia="仿宋_GB2312" w:cs="Times New Roman"/>
          <w:b/>
          <w:bCs/>
          <w:i w:val="0"/>
          <w:caps w:val="0"/>
          <w:color w:val="000000" w:themeColor="text1"/>
          <w:spacing w:val="0"/>
          <w:sz w:val="32"/>
          <w:szCs w:val="32"/>
          <w:shd w:val="clear" w:color="auto" w:fill="FFFFFF"/>
          <w14:textFill>
            <w14:solidFill>
              <w14:schemeClr w14:val="tx1"/>
            </w14:solidFill>
          </w14:textFill>
        </w:rPr>
        <w:t>一是</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抓好加强政党协商等文件的贯彻落实</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协助</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区</w:t>
      </w: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委制定和落实</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2020年政党</w:t>
      </w: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协商计划，</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召开建言献策、调研协商、专题协商座谈会，广泛听取各方意见。各民主党派支部（社）、工商联和无党派代表人士对全区经济社会发展、城乡基层治理、乡村振兴等方面提出意见建议28条</w:t>
      </w: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w:t>
      </w:r>
      <w:r>
        <w:rPr>
          <w:rFonts w:hint="default" w:ascii="Times New Roman" w:hAnsi="Times New Roman" w:eastAsia="仿宋_GB2312" w:cs="Times New Roman"/>
          <w:b/>
          <w:bCs/>
          <w:i w:val="0"/>
          <w:caps w:val="0"/>
          <w:color w:val="000000" w:themeColor="text1"/>
          <w:spacing w:val="0"/>
          <w:sz w:val="32"/>
          <w:szCs w:val="32"/>
          <w:shd w:val="clear" w:color="auto" w:fill="FFFFFF"/>
          <w:lang w:val="en-US"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抓好中央加强参政党建设等文件的贯彻落实。 </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提交区委常委会传达学习</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《中共中央关于加强中国特色社会主义参政党建设的意见》《民主党派代表人士队伍建设规划（2018-2027年）》《各民主党派中央关于新时代组织发展工作座谈会纪要》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结合我区民主党派实际提出切实可行的贯彻意见。</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深入开展“四川新阶@全面小康”主题教育活动，全区新的社会阶层人士主动投入新冠疫情阻击战，大力开展“同心助学”活动和“六·一”儿童节走访慰问活动，创建广元市昭化区农特产品直供中心解决“三农”会员企业销售难的问题，助力打赢全面小康建设。建立健全新的社会阶层代表人士分类管理信息库，在昭化经开区内建设昭化区新的社会阶层人士统战工作实践创新基地1个。</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抓好统一战线各类主题教育活动的开展。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积极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支持民主党派、新的社会阶层人士开展</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不忘合作初心，继续携手前进</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“凝聚新力量·筑梦新时代”</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各类主题教育活动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p>
    <w:p w14:paraId="3A83D57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强化政治引领，促进“两个健康”取得新发展。</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力解决企业所需所盼。针对疫情期间中小微企业“融资难、融资贵”问题，深入20家会员企业就成本高、用工难、融资难、销售难等问题，进行大调研、大走访，对疫情期间存在的问题和困难进行摸排梳理，形成的《关于加紧缓解疫情期间中小微企业“融资难、融资贵”问题的建议》被</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区政府</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主要领导签批</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区政府出台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《广元市昭化区应对新型冠状肺炎疫情缓解中小企业生产经营困难十条措施》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解决企业存在问题和困难</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。同时，在第五次企业家座谈会上专题就中小微企业“融资难、融资贵”问题，“一对一”听取企业融资需求，逐一解答融资政策，金融机构现场与企业达成1000万元融资协议，有效解决企业燃眉之急。</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持续</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优化营商发展环境。全面常态推行企业家“五个一”座谈会机制，即一个部门统筹（工商联）、一个部门承办（行业主管部门）、一个企业协办、一月召开一次、一月一个主题，面对面听取企业（商协会）意见建议、解答具体困难问题，现场落实责任人和倒排完成时限。</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头组织召开企业家座谈会12次，收集意见建议和招商引资信息360余条，意见建议办结率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90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以上，兑现各类政策奖补资金2100余万元。同时，对区自然资源、市场监管、住建、人社、应急管理、审计、财政等行业部门进行满意度测评，测评靠后的作专题说明并限期整改，有效调动各单位部门工作积极性、主动性，全区营商发展环境不断向好。</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完善园区统战载体平台。</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按照“资源共享、阵地共用、活动共办”的思路，投资80余万打造“联络友谊、办事服务、学习教育、展示交流、健康文化”五大功能为一体的川北一流的园区党群公共服务中心，内设多功能党群会议室、同心调解室、群团·企业工作室、专家工作站、党员创新工作室。为准确掌握园区统战对象，推进园区统战工作，区委统战部</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牵头，会同相关部门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对</w:t>
      </w:r>
      <w:r>
        <w:rPr>
          <w:rFonts w:hint="default" w:ascii="Times New Roman" w:hAnsi="Times New Roman" w:eastAsia="仿宋_GB2312" w:cs="Times New Roman"/>
          <w:color w:val="000000" w:themeColor="text1"/>
          <w:sz w:val="32"/>
          <w:szCs w:val="32"/>
          <w14:textFill>
            <w14:solidFill>
              <w14:schemeClr w14:val="tx1"/>
            </w14:solidFill>
          </w14:textFill>
        </w:rPr>
        <w:t>园区73家民营企业开展了统战工作大调查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摸底</w:t>
      </w:r>
      <w:r>
        <w:rPr>
          <w:rFonts w:hint="default" w:ascii="Times New Roman" w:hAnsi="Times New Roman" w:eastAsia="仿宋_GB2312" w:cs="Times New Roman"/>
          <w:color w:val="000000" w:themeColor="text1"/>
          <w:sz w:val="32"/>
          <w:szCs w:val="32"/>
          <w14:textFill>
            <w14:solidFill>
              <w14:schemeClr w14:val="tx1"/>
            </w14:solidFill>
          </w14:textFill>
        </w:rPr>
        <w:t>活动，对非公有制企业经营者，具有大学本科以上学历、掌握企业核心技术和管理的专家、人员分类进行建档立卡，完善台账，建立园区统战工作数据库。统战部、工商联、园区管委会与企业实行数据共享，并定期进行数据更新，做到家底清楚，有的放矢。</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同心调解室、群团·企业工作室、专家工作站、党员创新工作室</w:t>
      </w:r>
      <w:r>
        <w:rPr>
          <w:rFonts w:hint="default" w:ascii="Times New Roman" w:hAnsi="Times New Roman" w:eastAsia="仿宋_GB2312" w:cs="Times New Roman"/>
          <w:color w:val="000000" w:themeColor="text1"/>
          <w:sz w:val="32"/>
          <w:szCs w:val="32"/>
          <w14:textFill>
            <w14:solidFill>
              <w14:schemeClr w14:val="tx1"/>
            </w14:solidFill>
          </w14:textFill>
        </w:rPr>
        <w:t>坚持每天开放，定期宣传党的方针政策，倾听园区统战对象心声，倾情帮助解决企业及统战成员生产生活中遇到的困难和问题，有效构筑了党委、政府与园区统战成员之间的“同心”桥梁，统战成员对统战工作的认知度极大增强，凝心聚力助发展的主人翁意识得到充分激发。</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理想信念教育活动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持续开展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采取</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以会代训</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等形式加强理想信念教育</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，组织非公经济代表人士1000余人次学习贯彻</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全国民营企业家座谈会</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中央经济工作会议精神</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中央、省、市区委全会精神。组织50名会员企业赴清华大学公共管理学院参加综合素质提升主题培训，现场参观清华大学艺术博物馆和香山革命纪念馆，培训现代企业制度、中小企业融资途径素养等课程，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通过会议、培训等形式促进“两个健康”</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。广元市威元建材有限公司、广元市白龙酒业有限公司被评为全市社会公益（光彩）事业先进民营企业；长三角四川昭化商会、紫云猕猴桃协会被评为全市工商联系统先进商协会。</w:t>
      </w: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广元市佳华中药材种植有限公司</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董事长商友剑荣获四川劳动模范称号，</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广元市天垠农业有限公司董事长徐丕模被四川省农民工工作领导小组表彰为四川省返乡下乡创业明星。</w:t>
      </w:r>
    </w:p>
    <w:p w14:paraId="0E22597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5.</w:t>
      </w:r>
      <w:r>
        <w:rPr>
          <w:rFonts w:hint="default"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注重培养使用，各项政策要求全面落实。</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刚性落实《条例》《细则》要求。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全区现</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有副科级以上党外领导干部38名，其中副县级领导干部5名，正科级领导干部7名，副科级领导干部26名，在17个政府部门配备党外干部26名，12个镇配备党外副镇长5名，配齐法院</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党外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副院长、检察院党外副检察长，全年新提拔党外科级干部4名、调任公务员岗位1名、职级晋升5名、在国企班子中配备党外干部2名。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现有市区党外人大代表48名，市区党外政协委员9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名，党外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常委19名，党外区政协委员、常委超过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委员、</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常委总数的60%、65%比例</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党外代表人士、党外干部配备达到了</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中央统战工作条例</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试行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省委《实施细则</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试行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相关要求。</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强化思想政治建设。充分发挥知联会联系党外知识分子桥梁纽带作用，深入</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弘扬爱国奋斗精神、建功立业新时代</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主题教育活动，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先后组织会员赴旺苍县木门、太公镇红军山开展红色文化教育和传统革命教育，强化会员与党同心思想政治建设。充分发挥党外知识分子在教育、卫健、旅游、科技等方面业务精湛的优势，组织参与抗击疫情、蜀道建设、旅游发展等中心工作，协调全区统一战线组织捐资1.6万元，支持市知联会开展“我为蜀道栽枝花”等公益活动。</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分类建立各类台账。按照教育、卫生、文化、科技、农业、财政、国资、法律等类别建立300多人的党外代表人士、党外知识分子台账，并根据人员年龄、文化、职业等情况，加强政治引导，在代表人士中发展中共党员2名，民主党派成员3名。</w:t>
      </w:r>
    </w:p>
    <w:p w14:paraId="4CCF475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6.</w:t>
      </w:r>
      <w:r>
        <w:rPr>
          <w:rFonts w:hint="default"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坚持依法管理，民族宗教领域和睦和顺。</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持续开展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民族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团结进步创建活动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将民族团结进步创建纳入</w:t>
      </w:r>
      <w:r>
        <w:rPr>
          <w:rFonts w:hint="eastAsia" w:eastAsia="仿宋_GB2312" w:cs="Times New Roman"/>
          <w:b w:val="0"/>
          <w:bCs w:val="0"/>
          <w:color w:val="000000" w:themeColor="text1"/>
          <w:sz w:val="32"/>
          <w:szCs w:val="32"/>
          <w:lang w:eastAsia="zh-CN"/>
          <w14:textFill>
            <w14:solidFill>
              <w14:schemeClr w14:val="tx1"/>
            </w14:solidFill>
          </w14:textFill>
        </w:rPr>
        <w:t>“七五”普法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和“法律进寺庙”活动内容，推进民族团结进步教育“六进”，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通过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在全区各族干部群众中深入开展民族团结进步创建和社会主义</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法治宣传</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教育活动，</w:t>
      </w:r>
      <w:r>
        <w:rPr>
          <w:rFonts w:hint="default" w:ascii="Times New Roman" w:hAnsi="Times New Roman" w:eastAsia="仿宋_GB2312" w:cs="Times New Roman"/>
          <w:b w:val="0"/>
          <w:bCs w:val="0"/>
          <w:color w:val="000000" w:themeColor="text1"/>
          <w:kern w:val="0"/>
          <w:sz w:val="32"/>
          <w:szCs w:val="32"/>
          <w:lang w:bidi="ar"/>
          <w14:textFill>
            <w14:solidFill>
              <w14:schemeClr w14:val="tx1"/>
            </w14:solidFill>
          </w14:textFill>
        </w:rPr>
        <w:t>加强</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了</w:t>
      </w:r>
      <w:r>
        <w:rPr>
          <w:rFonts w:hint="default" w:ascii="Times New Roman" w:hAnsi="Times New Roman" w:eastAsia="仿宋_GB2312" w:cs="Times New Roman"/>
          <w:b w:val="0"/>
          <w:bCs w:val="0"/>
          <w:color w:val="000000" w:themeColor="text1"/>
          <w:kern w:val="0"/>
          <w:sz w:val="32"/>
          <w:szCs w:val="32"/>
          <w:lang w:bidi="ar"/>
          <w14:textFill>
            <w14:solidFill>
              <w14:schemeClr w14:val="tx1"/>
            </w14:solidFill>
          </w14:textFill>
        </w:rPr>
        <w:t>民族团结进步教育，</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营造民族团结良好氛围</w:t>
      </w:r>
      <w:r>
        <w:rPr>
          <w:rFonts w:hint="default" w:ascii="Times New Roman" w:hAnsi="Times New Roman" w:eastAsia="仿宋_GB2312" w:cs="Times New Roman"/>
          <w:b w:val="0"/>
          <w:bCs w:val="0"/>
          <w:color w:val="000000" w:themeColor="text1"/>
          <w:kern w:val="0"/>
          <w:sz w:val="32"/>
          <w:szCs w:val="32"/>
          <w:lang w:bidi="ar"/>
          <w14:textFill>
            <w14:solidFill>
              <w14:schemeClr w14:val="tx1"/>
            </w14:solidFill>
          </w14:textFill>
        </w:rPr>
        <w:t>，确保民族领域和谐繁荣。</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强化民族资金项目申报的政策性、严肃性和程序性，充分听取基层意见，建立会商机制，将群众最急、最盼的“三小”项目纳入项目库，</w:t>
      </w:r>
      <w:r>
        <w:rPr>
          <w:rFonts w:hint="default" w:ascii="Times New Roman" w:hAnsi="Times New Roman" w:eastAsia="仿宋_GB2312" w:cs="Times New Roman"/>
          <w:b w:val="0"/>
          <w:bCs w:val="0"/>
          <w:color w:val="000000" w:themeColor="text1"/>
          <w:kern w:val="0"/>
          <w:sz w:val="32"/>
          <w:szCs w:val="32"/>
          <w:lang w:bidi="ar"/>
          <w14:textFill>
            <w14:solidFill>
              <w14:schemeClr w14:val="tx1"/>
            </w14:solidFill>
          </w14:textFill>
        </w:rPr>
        <w:t>帮助少数民族群众发展产业增收致富。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建立少数民族人口信息台账，</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公安、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民政部门共同建立民族工作联络员制度，确保工作上下衔接，落到实处。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今年，</w:t>
      </w:r>
      <w:r>
        <w:rPr>
          <w:rFonts w:hint="default" w:ascii="Times New Roman" w:hAnsi="Times New Roman" w:eastAsia="仿宋_GB2312" w:cs="Times New Roman"/>
          <w:b w:val="0"/>
          <w:bCs w:val="0"/>
          <w:color w:val="000000" w:themeColor="text1"/>
          <w:kern w:val="0"/>
          <w:sz w:val="32"/>
          <w:szCs w:val="32"/>
          <w:lang w:eastAsia="zh-CN" w:bidi="ar"/>
          <w14:textFill>
            <w14:solidFill>
              <w14:schemeClr w14:val="tx1"/>
            </w14:solidFill>
          </w14:textFill>
        </w:rPr>
        <w:t>太公镇被市委市政府表彰为民族团结进步先进单位，卫子</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镇</w:t>
      </w:r>
      <w:r>
        <w:rPr>
          <w:rFonts w:hint="default" w:ascii="Times New Roman" w:hAnsi="Times New Roman" w:eastAsia="仿宋_GB2312" w:cs="Times New Roman"/>
          <w:b w:val="0"/>
          <w:bCs w:val="0"/>
          <w:color w:val="000000" w:themeColor="text1"/>
          <w:kern w:val="0"/>
          <w:sz w:val="32"/>
          <w:szCs w:val="32"/>
          <w:lang w:eastAsia="zh-CN" w:bidi="ar"/>
          <w14:textFill>
            <w14:solidFill>
              <w14:schemeClr w14:val="tx1"/>
            </w14:solidFill>
          </w14:textFill>
        </w:rPr>
        <w:t>新荣村</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被表彰</w:t>
      </w:r>
      <w:r>
        <w:rPr>
          <w:rFonts w:hint="default" w:ascii="Times New Roman" w:hAnsi="Times New Roman" w:eastAsia="仿宋_GB2312" w:cs="Times New Roman"/>
          <w:b w:val="0"/>
          <w:bCs w:val="0"/>
          <w:color w:val="000000" w:themeColor="text1"/>
          <w:kern w:val="0"/>
          <w:sz w:val="32"/>
          <w:szCs w:val="32"/>
          <w:lang w:eastAsia="zh-CN" w:bidi="ar"/>
          <w14:textFill>
            <w14:solidFill>
              <w14:schemeClr w14:val="tx1"/>
            </w14:solidFill>
          </w14:textFill>
        </w:rPr>
        <w:t>民族团结进步示范村。</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依法加强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宗教事务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管理。组织党员干部、教职人员和信教群众深入学习新修订的《四川省宗教事务条例》和新颁布《宗教团体管理办法》，利用庙会、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“12.4宪法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日</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开展法律宣讲活动，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将“法律进寺庙”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活动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引向深入</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制定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印发《关于加强全区教育系统抵御和防范校园宗教渗透的实施方案》，加强未成年人思想道德建设</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。定期不定期</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开展非法出版物</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专项</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整治</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，查收</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各类</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非法出版</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书籍25册、各类光碟127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张</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。强化宗教场所安全管理</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对存在的消防、建筑、地灾等安全隐患进行了全面治理，对所有场所开展的大型活动进行食品卫生安全风险评估，连续</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年实现宗教场所安全“零事故”。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按照</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好</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事、物”的原则</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制定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《教职人员引入（进）办法》、《教职人员管理办法》、《教职人员考核奖惩办法》等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26项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制度</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联合</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公安、建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设、旅游</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等部门，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彻底去除小寺山天主教堂周边的宗教元素。</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始终坚持中国化方向，对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小寺山天主教堂</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宗教界爱国主义教育基地文化</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氛围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进行再提升</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成</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功</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承</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办天主教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三自</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革</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新运动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发表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70周年纪念活动作为现场参观点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督查调研反馈问题整改</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全面完成</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坚持</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把中央和省委宗教工作专项督查反馈问题整改作为宗教工作的重点，把市委暗访发现问题和巡视反馈问题整治作为抓手，围绕整改安排宗教工作，通过整改促进宗教工作，把完成整改作为检验宗教工作的标准。区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民</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宗局牵头，公安、建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设、旅游</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等部门参与，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完成对平乐寺露天观音整改工作的验收，中央宗教工作督察和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省委宗教工作调研检查反馈</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10个</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问题</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已全部整改到位。</w:t>
      </w:r>
    </w:p>
    <w:p w14:paraId="56B182E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7.</w:t>
      </w:r>
      <w:r>
        <w:rPr>
          <w:rFonts w:hint="default"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加强合作交流，海外统战工作和九广合作深入推进。</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九广合作深入开展。加强同全国各地九三学社组织的沟通联系，与九三天津市委、九三保定市委达成“帮困助学”协议，每年资助5名特困学生。与九三浙江嘉善市委达成“家具产业招商”合作协议，承接嘉善家具企业到昭化落地。继续加强与西北农林科技大学的对接联系，点对点开展猕猴桃栽培和果酒酿制技术指导。积极争取广西、南京、天津、浙江、广元等地的爱心人士和爱心企业捐赠助学资金共计4.9万元，帮助14位贫困大学生圆了“大学梦”。充分发挥九三学社“智囊”作用，对我区今年重点打造的栖凤峡景区进行调研，提出的关于增加中国化元素、爱国教育元素、嵌入党建文化等建议在建设中吸收。</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对台工作稳步推进。贯彻落实党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中央、省委、市委关于新形势下加强对台工作意见，</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进一步加强全区党员</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干部对台</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意识教育，</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建立“走出去，迎进来”长效机制</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在市委台办组织下，</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赴雅安、宜宾、泸州等地学习</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考察，就对台工作领域的经验做法进行了交流、</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探讨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。热情接待了</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台商参访团来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昭化古城考察</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三国文化、</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农旅融合新发展</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，扩大三国蜀道文化在台湾民众中的影响，取得了</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良好</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的效果。</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持续</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做好成都台商协会妇联会</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捐资助学</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工作，按时发放</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45名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贫困学生救助金5</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.4万</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元。</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侨务工作有序开展。认真做好侨务职能化转工作，争取侨办工作经费8万元。大力开展华侨、归侨、侨眷普查，全面掌握全区侨务资源基本情况，建立侨务资源统计台账。充分发挥侨务资源优势，助力经济社会发展，建立捐赠项目需求信息库，储备项目34个，涉及教育、卫生、污水治理、农村环境整治等多个方面，总金额达3000万元。认真落实</w:t>
      </w:r>
      <w:r>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14:textFill>
            <w14:solidFill>
              <w14:schemeClr w14:val="tx1"/>
            </w14:solidFill>
          </w14:textFill>
        </w:rPr>
        <w:t>李锦记希望厨师项目</w:t>
      </w:r>
      <w:r>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lang w:val="en-US" w:eastAsia="zh-CN"/>
          <w14:textFill>
            <w14:solidFill>
              <w14:schemeClr w14:val="tx1"/>
            </w14:solidFill>
          </w14:textFill>
        </w:rPr>
        <w:t>关心关怀贫困学生邓飞、王荣成都财贸职业技术学校就读情况。借助</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4”国家宪法日暨“宪法宣传周”活动，积极开展《中华人民共和国归侨侨眷权益保护法》颁布实施</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30周年宣传活动，</w:t>
      </w:r>
      <w:r>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lang w:val="en-US" w:eastAsia="zh-CN"/>
          <w14:textFill>
            <w14:solidFill>
              <w14:schemeClr w14:val="tx1"/>
            </w14:solidFill>
          </w14:textFill>
        </w:rPr>
        <w:t>发放资料宣传300余份，大力宣传涉侨权益保护，维护侨胞权益。</w:t>
      </w:r>
    </w:p>
    <w:p w14:paraId="5F7CCA6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8.</w:t>
      </w:r>
      <w:r>
        <w:rPr>
          <w:rFonts w:hint="default" w:ascii="Times New Roman" w:hAnsi="Times New Roman" w:eastAsia="楷体_GB2312" w:cs="Times New Roman"/>
          <w:b w:val="0"/>
          <w:bCs w:val="0"/>
          <w:color w:val="000000" w:themeColor="text1"/>
          <w:kern w:val="0"/>
          <w:sz w:val="32"/>
          <w:szCs w:val="32"/>
          <w:lang w:val="en-US" w:eastAsia="zh-CN" w:bidi="ar-SA"/>
          <w14:textFill>
            <w14:solidFill>
              <w14:schemeClr w14:val="tx1"/>
            </w14:solidFill>
          </w14:textFill>
        </w:rPr>
        <w:t>服务中心大局，助力全区经济社会发展成效显绩。</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充分发挥统一战线在政治、组织、人才、资源等方面优势，主动参与打赢疫情防控和经济建设双胜利这场伟大战役。</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主动参与疫情防控</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。坚决执行突发公共卫生事件Ⅰ级响应各项规定，</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大年初一，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全区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所有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宗教活动场所和民间信仰场所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全面实行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“两个暂停”，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尽最大可能减少人员流动。全区统一战线组织积极参与抗疫阻击战，组织民营企业、民主党派、区新联会、异地商会等统战组织利用各种资源、想尽一切办法购置口罩、酒精、防护服、食品等抗疫物品，第一时间将这些物资送到了有关部门和值班卡点。区新联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白龙酒业、中医康复医院、长三角昭化商会、重庆昭化商会、成都昭化商会等捐款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60余</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万元，捐赠抗疫</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物资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口罩、酒精、中药等防护物资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价值52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万元，三禾农业、绿岛农业等企业向武汉捐赠蔬菜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0余吨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sz w:val="32"/>
          <w:szCs w:val="32"/>
          <w:shd w:val="clear" w:fill="FFFFFF"/>
          <w14:textFill>
            <w14:solidFill>
              <w14:schemeClr w14:val="tx1"/>
            </w14:solidFill>
          </w14:textFill>
        </w:rPr>
        <w:t>农乡情蛋鸡养殖专业合作社</w:t>
      </w:r>
      <w:r>
        <w:rPr>
          <w:rFonts w:hint="default"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向浙江捐赠鸡蛋6万余枚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。天垠、昌禾等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企业和区新联会到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元坝高速路口、区内防疫重点村社卡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点开展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慰问20余批次，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各民主党派成员、知联会会员积极开展网上教学、测量体温等工作，</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广元市智胜人力资源公司</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配合区委、区政府</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通过包机、包专列、包专车，输送农民工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300余人到浙江务工，全区统战组织和成员从不同方面</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为抗击疫情贡献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力量。</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力决战决胜脱贫攻坚。始终把脱贫攻坚作为最大的政治任务、最大的民生工程、最大的发展机遇。全区统一战线组织、成员积极投入脱贫攻坚“一诊”、“二诊”检查、国家普查、省市级脱贫攻坚年度考核，多名统战成员赴朝天开展脱贫攻坚国家普查。深入开展“万企帮万村”精准扶贫行动，牵头抓好东西部扶贫协作社会扶贫工作，实现东部地区社会捐助资金402万元。</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积极服务“三农”会员企业。由区新联会牵头，在广元东坝城区人口密集的莲花路成立昭化区农特产品直供中心，帮助全区“三农”会员企业解决售销困难的问题，直供中心5月份营业以来，入驻企业32家，农特产品100余种，实现销售收入300余万元，利税40余万元。</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bCs/>
          <w:i w:val="0"/>
          <w:caps w:val="0"/>
          <w:color w:val="000000" w:themeColor="text1"/>
          <w:spacing w:val="0"/>
          <w:sz w:val="32"/>
          <w:szCs w:val="32"/>
          <w:shd w:val="clear" w:fill="FFFFFF"/>
          <w:lang w:val="en-US" w:eastAsia="zh-CN"/>
          <w14:textFill>
            <w14:solidFill>
              <w14:schemeClr w14:val="tx1"/>
            </w14:solidFill>
          </w14:textFill>
        </w:rPr>
        <w:t>是</w:t>
      </w:r>
      <w:r>
        <w:rPr>
          <w:rFonts w:hint="default"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为经济社会发展提供智力支持。积极支持党外人大代表、政协委员参加市区两会和其它团体召开的各类协商会议，每季度支付民主党派、新联会、知联会工作经费，解决学习调研用车、办公、食宿等费用，支持</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围绕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区委区政府中心工作建言献策，</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党外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人大代表、政协委员</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共提交议案提案</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件，上报社情民意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38</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件，</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关于在我区推行行政罚款收缴电子化管理的建议》《关于解决香溪小学幼儿园教学用房的建议》等被区委区政府主要领导签批，并用于指导实际工作。</w:t>
      </w:r>
    </w:p>
    <w:p w14:paraId="14506450">
      <w:pPr>
        <w:pStyle w:val="10"/>
        <w:pageBreakBefore w:val="0"/>
        <w:kinsoku/>
        <w:wordWrap/>
        <w:overflowPunct/>
        <w:topLinePunct w:val="0"/>
        <w:bidi w:val="0"/>
        <w:adjustRightInd w:val="0"/>
        <w:snapToGrid w:val="0"/>
        <w:spacing w:line="600" w:lineRule="exact"/>
        <w:ind w:left="0" w:leftChars="0" w:firstLine="640" w:firstLineChars="200"/>
        <w:jc w:val="lef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二、机构设置</w:t>
      </w:r>
    </w:p>
    <w:p w14:paraId="0563AC81">
      <w:pPr>
        <w:pageBreakBefore w:val="0"/>
        <w:kinsoku/>
        <w:wordWrap/>
        <w:overflowPunct/>
        <w:topLinePunct w:val="0"/>
        <w:bidi w:val="0"/>
        <w:spacing w:line="600" w:lineRule="exact"/>
        <w:ind w:left="0" w:leftChars="0" w:firstLine="640" w:firstLineChars="200"/>
        <w:rPr>
          <w:rFonts w:ascii="仿宋_GB2312" w:hAnsi="仿宋" w:eastAsia="仿宋_GB2312"/>
          <w:sz w:val="32"/>
          <w:szCs w:val="32"/>
        </w:rPr>
      </w:pPr>
      <w:r>
        <w:rPr>
          <w:rFonts w:hint="eastAsia" w:ascii="仿宋_GB2312" w:hAnsi="仿宋_GB2312" w:eastAsia="仿宋_GB2312" w:cs="仿宋_GB2312"/>
          <w:bCs/>
          <w:color w:val="000000"/>
          <w:sz w:val="32"/>
          <w:szCs w:val="32"/>
        </w:rPr>
        <w:t>中共广元市昭化区委统一战线工作部（简称区委统战部）是区委主管统一战线工作的职能部门，为正科级，列区委工作机关序列。区委统战部统一领导民族宗教工作。区民族宗教事务局（简称区民族宗教局）与区委统战部合署办公，实行一套工作机构、两个机关名称。区委统战部统一管理侨务、台湾事务工作，对外挂广元市昭化区侨务办公室、中共广元市昭化区委台湾工作办公室（广元市昭化区政府台湾事务办公室）牌子，分别简称区侨务办、区委台办（区台办）。</w:t>
      </w:r>
      <w:r>
        <w:rPr>
          <w:rFonts w:hint="eastAsia" w:ascii="仿宋_GB2312" w:hAnsi="仿宋_GB2312" w:eastAsia="仿宋_GB2312" w:cs="仿宋_GB2312"/>
          <w:bCs/>
          <w:sz w:val="32"/>
          <w:szCs w:val="32"/>
        </w:rPr>
        <w:t>一级预算单位。</w:t>
      </w:r>
    </w:p>
    <w:p w14:paraId="118FCE7A">
      <w:pPr>
        <w:pStyle w:val="12"/>
        <w:pageBreakBefore w:val="0"/>
        <w:kinsoku/>
        <w:wordWrap/>
        <w:overflowPunct/>
        <w:topLinePunct w:val="0"/>
        <w:bidi w:val="0"/>
        <w:spacing w:line="600" w:lineRule="exact"/>
        <w:ind w:left="0" w:leftChars="0"/>
      </w:pPr>
    </w:p>
    <w:p w14:paraId="53928394">
      <w:pPr>
        <w:pStyle w:val="9"/>
        <w:pageBreakBefore w:val="0"/>
        <w:kinsoku/>
        <w:wordWrap/>
        <w:overflowPunct/>
        <w:topLinePunct w:val="0"/>
        <w:bidi w:val="0"/>
        <w:adjustRightInd w:val="0"/>
        <w:snapToGrid w:val="0"/>
        <w:spacing w:before="0" w:line="600" w:lineRule="exact"/>
        <w:ind w:left="0" w:leftChars="0" w:firstLine="640" w:firstLineChars="200"/>
        <w:jc w:val="left"/>
        <w:rPr>
          <w:rFonts w:hint="eastAsia" w:ascii="黑体" w:hAnsi="黑体" w:eastAsia="黑体" w:cs="Times New Roman"/>
          <w:kern w:val="2"/>
          <w:sz w:val="32"/>
          <w:szCs w:val="32"/>
          <w:lang w:val="en-US" w:eastAsia="zh-CN" w:bidi="ar-SA"/>
        </w:rPr>
      </w:pPr>
    </w:p>
    <w:p w14:paraId="7EBB32F5">
      <w:pPr>
        <w:pStyle w:val="9"/>
        <w:pageBreakBefore w:val="0"/>
        <w:kinsoku/>
        <w:wordWrap/>
        <w:overflowPunct/>
        <w:topLinePunct w:val="0"/>
        <w:bidi w:val="0"/>
        <w:adjustRightInd w:val="0"/>
        <w:snapToGrid w:val="0"/>
        <w:spacing w:before="0" w:line="600" w:lineRule="exact"/>
        <w:ind w:left="0" w:leftChars="0" w:firstLine="640" w:firstLineChars="200"/>
        <w:jc w:val="left"/>
        <w:rPr>
          <w:rFonts w:hint="eastAsia" w:ascii="黑体" w:hAnsi="黑体" w:eastAsia="黑体" w:cs="Times New Roman"/>
          <w:kern w:val="2"/>
          <w:sz w:val="32"/>
          <w:szCs w:val="32"/>
          <w:lang w:val="en-US" w:eastAsia="zh-CN" w:bidi="ar-SA"/>
        </w:rPr>
      </w:pPr>
    </w:p>
    <w:p w14:paraId="4396809D">
      <w:pPr>
        <w:pStyle w:val="9"/>
        <w:pageBreakBefore w:val="0"/>
        <w:kinsoku/>
        <w:wordWrap/>
        <w:overflowPunct/>
        <w:topLinePunct w:val="0"/>
        <w:bidi w:val="0"/>
        <w:adjustRightInd w:val="0"/>
        <w:snapToGrid w:val="0"/>
        <w:spacing w:before="0" w:line="600" w:lineRule="exact"/>
        <w:ind w:left="0" w:leftChars="0" w:firstLine="640" w:firstLineChars="200"/>
        <w:jc w:val="left"/>
        <w:rPr>
          <w:rFonts w:hint="eastAsia" w:ascii="黑体" w:hAnsi="黑体" w:eastAsia="黑体" w:cs="Times New Roman"/>
          <w:kern w:val="2"/>
          <w:sz w:val="32"/>
          <w:szCs w:val="32"/>
          <w:lang w:val="en-US" w:eastAsia="zh-CN" w:bidi="ar-SA"/>
        </w:rPr>
      </w:pPr>
    </w:p>
    <w:p w14:paraId="2AAD5B6C">
      <w:pPr>
        <w:pStyle w:val="9"/>
        <w:pageBreakBefore w:val="0"/>
        <w:kinsoku/>
        <w:wordWrap/>
        <w:overflowPunct/>
        <w:topLinePunct w:val="0"/>
        <w:bidi w:val="0"/>
        <w:adjustRightInd w:val="0"/>
        <w:snapToGrid w:val="0"/>
        <w:spacing w:before="0" w:line="600" w:lineRule="exact"/>
        <w:ind w:left="0" w:leftChars="0" w:firstLine="640" w:firstLineChars="200"/>
        <w:jc w:val="left"/>
        <w:rPr>
          <w:rFonts w:hint="eastAsia" w:ascii="黑体" w:hAnsi="黑体" w:eastAsia="黑体" w:cs="Times New Roman"/>
          <w:kern w:val="2"/>
          <w:sz w:val="32"/>
          <w:szCs w:val="32"/>
          <w:lang w:val="en-US" w:eastAsia="zh-CN" w:bidi="ar-SA"/>
        </w:rPr>
      </w:pPr>
    </w:p>
    <w:p w14:paraId="0AAC5976">
      <w:pPr>
        <w:pStyle w:val="9"/>
        <w:pageBreakBefore w:val="0"/>
        <w:kinsoku/>
        <w:wordWrap/>
        <w:overflowPunct/>
        <w:topLinePunct w:val="0"/>
        <w:bidi w:val="0"/>
        <w:adjustRightInd w:val="0"/>
        <w:snapToGrid w:val="0"/>
        <w:spacing w:before="0" w:line="600" w:lineRule="exact"/>
        <w:ind w:left="0" w:leftChars="0" w:firstLine="640" w:firstLineChars="200"/>
        <w:jc w:val="left"/>
        <w:rPr>
          <w:rFonts w:hint="eastAsia" w:ascii="黑体" w:hAnsi="黑体" w:eastAsia="黑体" w:cs="Times New Roman"/>
          <w:kern w:val="2"/>
          <w:sz w:val="32"/>
          <w:szCs w:val="32"/>
          <w:lang w:val="en-US" w:eastAsia="zh-CN" w:bidi="ar-SA"/>
        </w:rPr>
      </w:pPr>
    </w:p>
    <w:p w14:paraId="121F3983">
      <w:pPr>
        <w:pStyle w:val="9"/>
        <w:pageBreakBefore w:val="0"/>
        <w:kinsoku/>
        <w:wordWrap/>
        <w:overflowPunct/>
        <w:topLinePunct w:val="0"/>
        <w:bidi w:val="0"/>
        <w:adjustRightInd w:val="0"/>
        <w:snapToGrid w:val="0"/>
        <w:spacing w:before="0" w:line="600" w:lineRule="exact"/>
        <w:ind w:left="0" w:leftChars="0" w:firstLine="640" w:firstLineChars="200"/>
        <w:jc w:val="left"/>
        <w:rPr>
          <w:rFonts w:hint="eastAsia" w:ascii="黑体" w:hAnsi="黑体" w:eastAsia="黑体" w:cs="Times New Roman"/>
          <w:kern w:val="2"/>
          <w:sz w:val="32"/>
          <w:szCs w:val="32"/>
          <w:lang w:val="en-US" w:eastAsia="zh-CN" w:bidi="ar-SA"/>
        </w:rPr>
      </w:pPr>
    </w:p>
    <w:p w14:paraId="3EC8183E">
      <w:pPr>
        <w:pStyle w:val="9"/>
        <w:pageBreakBefore w:val="0"/>
        <w:kinsoku/>
        <w:wordWrap/>
        <w:overflowPunct/>
        <w:topLinePunct w:val="0"/>
        <w:bidi w:val="0"/>
        <w:adjustRightInd w:val="0"/>
        <w:snapToGrid w:val="0"/>
        <w:spacing w:before="0" w:line="600" w:lineRule="exact"/>
        <w:ind w:left="0" w:leftChars="0" w:firstLine="640" w:firstLineChars="200"/>
        <w:jc w:val="left"/>
        <w:rPr>
          <w:rFonts w:hint="eastAsia" w:ascii="黑体" w:hAnsi="黑体" w:eastAsia="黑体" w:cs="Times New Roman"/>
          <w:kern w:val="2"/>
          <w:sz w:val="32"/>
          <w:szCs w:val="32"/>
          <w:lang w:val="en-US" w:eastAsia="zh-CN" w:bidi="ar-SA"/>
        </w:rPr>
      </w:pPr>
    </w:p>
    <w:p w14:paraId="6C2FFCCE">
      <w:pPr>
        <w:pStyle w:val="9"/>
        <w:pageBreakBefore w:val="0"/>
        <w:kinsoku/>
        <w:wordWrap/>
        <w:overflowPunct/>
        <w:topLinePunct w:val="0"/>
        <w:bidi w:val="0"/>
        <w:adjustRightInd w:val="0"/>
        <w:snapToGrid w:val="0"/>
        <w:spacing w:before="0" w:line="600" w:lineRule="exact"/>
        <w:ind w:left="0" w:leftChars="0" w:firstLine="640" w:firstLineChars="200"/>
        <w:jc w:val="left"/>
        <w:rPr>
          <w:rFonts w:hint="eastAsia" w:ascii="黑体" w:hAnsi="黑体" w:eastAsia="黑体" w:cs="Times New Roman"/>
          <w:kern w:val="2"/>
          <w:sz w:val="32"/>
          <w:szCs w:val="32"/>
          <w:lang w:val="en-US" w:eastAsia="zh-CN" w:bidi="ar-SA"/>
        </w:rPr>
      </w:pPr>
    </w:p>
    <w:p w14:paraId="4FFF554A">
      <w:pPr>
        <w:pageBreakBefore w:val="0"/>
        <w:kinsoku/>
        <w:wordWrap/>
        <w:overflowPunct/>
        <w:topLinePunct w:val="0"/>
        <w:bidi w:val="0"/>
        <w:spacing w:line="600" w:lineRule="exact"/>
        <w:ind w:left="0" w:leftChars="0" w:firstLine="440" w:firstLineChars="100"/>
        <w:rPr>
          <w:rFonts w:hint="eastAsia" w:ascii="黑体" w:hAnsi="黑体" w:eastAsia="黑体" w:cs="黑体"/>
          <w:color w:val="000000"/>
          <w:sz w:val="44"/>
          <w:szCs w:val="44"/>
        </w:rPr>
      </w:pPr>
    </w:p>
    <w:p w14:paraId="01D0107A">
      <w:pPr>
        <w:pageBreakBefore w:val="0"/>
        <w:kinsoku/>
        <w:wordWrap/>
        <w:overflowPunct/>
        <w:topLinePunct w:val="0"/>
        <w:bidi w:val="0"/>
        <w:spacing w:line="600" w:lineRule="exact"/>
        <w:ind w:left="0" w:leftChars="0" w:firstLine="440" w:firstLineChars="100"/>
        <w:rPr>
          <w:rFonts w:hint="eastAsia" w:ascii="黑体" w:hAnsi="黑体" w:eastAsia="黑体" w:cs="黑体"/>
          <w:color w:val="000000"/>
          <w:sz w:val="44"/>
          <w:szCs w:val="44"/>
        </w:rPr>
      </w:pPr>
    </w:p>
    <w:p w14:paraId="1E0C41EB">
      <w:pPr>
        <w:pageBreakBefore w:val="0"/>
        <w:kinsoku/>
        <w:wordWrap/>
        <w:overflowPunct/>
        <w:topLinePunct w:val="0"/>
        <w:bidi w:val="0"/>
        <w:spacing w:line="600" w:lineRule="exact"/>
        <w:ind w:left="0" w:leftChars="0" w:firstLine="440" w:firstLineChars="100"/>
        <w:rPr>
          <w:rFonts w:hint="eastAsia" w:ascii="黑体" w:hAnsi="黑体" w:eastAsia="黑体" w:cs="黑体"/>
          <w:color w:val="000000"/>
          <w:sz w:val="44"/>
          <w:szCs w:val="44"/>
        </w:rPr>
      </w:pPr>
    </w:p>
    <w:p w14:paraId="16F7917E">
      <w:pPr>
        <w:pageBreakBefore w:val="0"/>
        <w:kinsoku/>
        <w:wordWrap/>
        <w:overflowPunct/>
        <w:topLinePunct w:val="0"/>
        <w:bidi w:val="0"/>
        <w:spacing w:line="600" w:lineRule="exact"/>
        <w:ind w:left="0" w:leftChars="0" w:firstLine="440" w:firstLineChars="100"/>
        <w:rPr>
          <w:rFonts w:hint="eastAsia" w:ascii="黑体" w:hAnsi="黑体" w:eastAsia="黑体" w:cs="黑体"/>
          <w:color w:val="000000"/>
          <w:sz w:val="44"/>
          <w:szCs w:val="44"/>
        </w:rPr>
      </w:pPr>
    </w:p>
    <w:p w14:paraId="4B47FDAA">
      <w:pPr>
        <w:pageBreakBefore w:val="0"/>
        <w:kinsoku/>
        <w:wordWrap/>
        <w:overflowPunct/>
        <w:topLinePunct w:val="0"/>
        <w:bidi w:val="0"/>
        <w:spacing w:line="600" w:lineRule="exact"/>
        <w:ind w:left="0" w:leftChars="0" w:firstLine="440" w:firstLineChars="100"/>
        <w:rPr>
          <w:rFonts w:hint="eastAsia" w:ascii="黑体" w:hAnsi="黑体" w:eastAsia="黑体" w:cs="黑体"/>
          <w:color w:val="000000"/>
          <w:sz w:val="44"/>
          <w:szCs w:val="44"/>
        </w:rPr>
      </w:pPr>
    </w:p>
    <w:p w14:paraId="4516E99F">
      <w:pPr>
        <w:pageBreakBefore w:val="0"/>
        <w:kinsoku/>
        <w:wordWrap/>
        <w:overflowPunct/>
        <w:topLinePunct w:val="0"/>
        <w:bidi w:val="0"/>
        <w:spacing w:line="600" w:lineRule="exact"/>
        <w:ind w:left="0" w:leftChars="0" w:firstLine="440" w:firstLineChars="100"/>
        <w:rPr>
          <w:rFonts w:hint="eastAsia" w:ascii="黑体" w:hAnsi="黑体" w:eastAsia="黑体" w:cs="黑体"/>
          <w:color w:val="000000"/>
          <w:sz w:val="44"/>
          <w:szCs w:val="44"/>
        </w:rPr>
      </w:pPr>
    </w:p>
    <w:p w14:paraId="2C52F5EE">
      <w:pPr>
        <w:pageBreakBefore w:val="0"/>
        <w:kinsoku/>
        <w:wordWrap/>
        <w:overflowPunct/>
        <w:topLinePunct w:val="0"/>
        <w:bidi w:val="0"/>
        <w:spacing w:line="600" w:lineRule="exact"/>
        <w:ind w:left="0" w:leftChars="0" w:firstLine="440" w:firstLineChars="100"/>
        <w:rPr>
          <w:rFonts w:hint="eastAsia" w:ascii="黑体" w:hAnsi="黑体" w:eastAsia="黑体" w:cs="黑体"/>
          <w:color w:val="000000"/>
          <w:sz w:val="44"/>
          <w:szCs w:val="44"/>
        </w:rPr>
      </w:pPr>
    </w:p>
    <w:p w14:paraId="5B257002">
      <w:pPr>
        <w:pageBreakBefore w:val="0"/>
        <w:kinsoku/>
        <w:wordWrap/>
        <w:overflowPunct/>
        <w:topLinePunct w:val="0"/>
        <w:bidi w:val="0"/>
        <w:spacing w:line="600" w:lineRule="exact"/>
        <w:ind w:left="0" w:leftChars="0" w:firstLine="440" w:firstLineChars="100"/>
        <w:rPr>
          <w:rFonts w:hint="eastAsia" w:ascii="黑体" w:hAnsi="黑体" w:eastAsia="黑体" w:cs="黑体"/>
          <w:color w:val="000000"/>
          <w:sz w:val="44"/>
          <w:szCs w:val="44"/>
        </w:rPr>
      </w:pPr>
    </w:p>
    <w:p w14:paraId="58EB2858">
      <w:pPr>
        <w:pageBreakBefore w:val="0"/>
        <w:kinsoku/>
        <w:wordWrap/>
        <w:overflowPunct/>
        <w:topLinePunct w:val="0"/>
        <w:bidi w:val="0"/>
        <w:spacing w:line="600" w:lineRule="exact"/>
        <w:ind w:left="0" w:leftChars="0" w:firstLine="440" w:firstLineChars="100"/>
        <w:rPr>
          <w:rStyle w:val="20"/>
          <w:rFonts w:ascii="黑体" w:hAnsi="黑体" w:eastAsia="黑体"/>
          <w:b w:val="0"/>
          <w:bCs w:val="0"/>
        </w:rPr>
      </w:pPr>
      <w:r>
        <w:rPr>
          <w:rFonts w:hint="eastAsia" w:ascii="黑体" w:hAnsi="黑体" w:eastAsia="黑体" w:cs="黑体"/>
          <w:color w:val="000000"/>
          <w:sz w:val="44"/>
          <w:szCs w:val="44"/>
        </w:rPr>
        <w:t xml:space="preserve">第二部分   </w:t>
      </w:r>
      <w:r>
        <w:rPr>
          <w:rStyle w:val="20"/>
          <w:rFonts w:hint="eastAsia" w:ascii="黑体" w:hAnsi="黑体" w:eastAsia="黑体"/>
          <w:b w:val="0"/>
          <w:bCs w:val="0"/>
        </w:rPr>
        <w:t>20</w:t>
      </w:r>
      <w:r>
        <w:rPr>
          <w:rStyle w:val="20"/>
          <w:rFonts w:hint="eastAsia" w:ascii="黑体" w:hAnsi="黑体" w:eastAsia="黑体"/>
          <w:b w:val="0"/>
          <w:bCs w:val="0"/>
          <w:lang w:val="en-US" w:eastAsia="zh-CN"/>
        </w:rPr>
        <w:t>20</w:t>
      </w:r>
      <w:r>
        <w:rPr>
          <w:rStyle w:val="20"/>
          <w:rFonts w:hint="eastAsia" w:ascii="黑体" w:hAnsi="黑体" w:eastAsia="黑体"/>
          <w:b w:val="0"/>
          <w:bCs w:val="0"/>
        </w:rPr>
        <w:t>年度部门决算情况说明</w:t>
      </w:r>
    </w:p>
    <w:p w14:paraId="26B2EBA2">
      <w:pPr>
        <w:pStyle w:val="9"/>
        <w:pageBreakBefore w:val="0"/>
        <w:kinsoku/>
        <w:wordWrap/>
        <w:overflowPunct/>
        <w:topLinePunct w:val="0"/>
        <w:bidi w:val="0"/>
        <w:adjustRightInd w:val="0"/>
        <w:snapToGrid w:val="0"/>
        <w:spacing w:before="0" w:line="600" w:lineRule="exact"/>
        <w:ind w:left="0" w:leftChars="0" w:firstLine="640" w:firstLineChars="200"/>
        <w:jc w:val="left"/>
        <w:rPr>
          <w:rFonts w:hint="eastAsia" w:ascii="Times New Roman" w:hAnsi="Times New Roman" w:eastAsia="黑体" w:cs="Times New Roman"/>
          <w:kern w:val="0"/>
          <w:sz w:val="32"/>
          <w:szCs w:val="32"/>
          <w:lang w:val="en-US" w:eastAsia="zh-CN" w:bidi="ar"/>
        </w:rPr>
      </w:pPr>
    </w:p>
    <w:p w14:paraId="4614394E">
      <w:pPr>
        <w:pStyle w:val="10"/>
        <w:pageBreakBefore w:val="0"/>
        <w:kinsoku/>
        <w:wordWrap/>
        <w:overflowPunct/>
        <w:topLinePunct w:val="0"/>
        <w:bidi w:val="0"/>
        <w:adjustRightInd w:val="0"/>
        <w:snapToGrid w:val="0"/>
        <w:spacing w:line="600" w:lineRule="exact"/>
        <w:ind w:left="0" w:leftChars="0" w:firstLine="640" w:firstLineChars="200"/>
        <w:jc w:val="left"/>
        <w:rPr>
          <w:rFonts w:hint="default" w:ascii="Times New Roman" w:hAnsi="Times New Roman" w:eastAsia="黑体" w:cs="Times New Roman"/>
          <w:kern w:val="0"/>
          <w:sz w:val="32"/>
          <w:szCs w:val="32"/>
          <w:lang w:val="en-US" w:eastAsia="zh-CN" w:bidi="ar"/>
        </w:rPr>
      </w:pPr>
      <w:r>
        <w:rPr>
          <w:rFonts w:hint="eastAsia" w:ascii="Times New Roman" w:hAnsi="Times New Roman" w:eastAsia="黑体" w:cs="Times New Roman"/>
          <w:kern w:val="0"/>
          <w:sz w:val="32"/>
          <w:szCs w:val="32"/>
          <w:lang w:val="en-US" w:eastAsia="zh-CN" w:bidi="ar"/>
        </w:rPr>
        <w:t>一、收入支出决算总体情况说明</w:t>
      </w:r>
      <w:r>
        <w:rPr>
          <w:rFonts w:hint="eastAsia" w:eastAsia="黑体" w:cs="Times New Roman"/>
          <w:kern w:val="0"/>
          <w:sz w:val="32"/>
          <w:szCs w:val="32"/>
          <w:lang w:val="en-US" w:eastAsia="zh-CN" w:bidi="ar"/>
        </w:rPr>
        <w:t xml:space="preserve"> </w:t>
      </w:r>
    </w:p>
    <w:p w14:paraId="717915A9">
      <w:pPr>
        <w:pageBreakBefore w:val="0"/>
        <w:kinsoku/>
        <w:wordWrap/>
        <w:overflowPunct/>
        <w:topLinePunct w:val="0"/>
        <w:bidi w:val="0"/>
        <w:spacing w:line="600" w:lineRule="exact"/>
        <w:ind w:left="0" w:leftChars="0"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rPr>
        <w:t>20</w:t>
      </w:r>
      <w:r>
        <w:rPr>
          <w:rFonts w:hint="eastAsia" w:ascii="仿宋_GB2312" w:eastAsia="仿宋_GB2312" w:cs="Times New Roman"/>
          <w:color w:val="000000"/>
          <w:sz w:val="32"/>
          <w:szCs w:val="32"/>
          <w:lang w:val="en-US" w:eastAsia="zh-CN"/>
        </w:rPr>
        <w:t>20</w:t>
      </w:r>
      <w:r>
        <w:rPr>
          <w:rFonts w:hint="eastAsia" w:ascii="仿宋_GB2312" w:hAnsi="Times New Roman" w:eastAsia="仿宋_GB2312" w:cs="Times New Roman"/>
          <w:color w:val="000000"/>
          <w:sz w:val="32"/>
          <w:szCs w:val="32"/>
        </w:rPr>
        <w:t>年区委统战部财政拨款收入合计</w:t>
      </w:r>
      <w:r>
        <w:rPr>
          <w:rFonts w:hint="eastAsia" w:ascii="仿宋_GB2312" w:eastAsia="仿宋_GB2312" w:cs="Times New Roman"/>
          <w:color w:val="000000"/>
          <w:sz w:val="32"/>
          <w:szCs w:val="32"/>
          <w:lang w:val="en-US" w:eastAsia="zh-CN"/>
        </w:rPr>
        <w:t>327.48</w:t>
      </w:r>
      <w:r>
        <w:rPr>
          <w:rFonts w:hint="eastAsia" w:ascii="仿宋_GB2312" w:hAnsi="Times New Roman" w:eastAsia="仿宋_GB2312" w:cs="Times New Roman"/>
          <w:color w:val="000000"/>
          <w:sz w:val="32"/>
          <w:szCs w:val="32"/>
        </w:rPr>
        <w:t>万元，均为财政拨款收入，占100%。</w:t>
      </w:r>
      <w:r>
        <w:rPr>
          <w:rFonts w:hint="eastAsia" w:ascii="仿宋_GB2312" w:eastAsia="仿宋_GB2312" w:cs="Times New Roman"/>
          <w:color w:val="000000"/>
          <w:sz w:val="32"/>
          <w:szCs w:val="32"/>
          <w:lang w:eastAsia="zh-CN"/>
        </w:rPr>
        <w:t>较</w:t>
      </w:r>
      <w:r>
        <w:rPr>
          <w:rFonts w:hint="eastAsia" w:ascii="仿宋_GB2312" w:eastAsia="仿宋_GB2312" w:cs="Times New Roman"/>
          <w:color w:val="000000"/>
          <w:sz w:val="32"/>
          <w:szCs w:val="32"/>
          <w:lang w:val="en-US" w:eastAsia="zh-CN"/>
        </w:rPr>
        <w:t>2019年相比增加68.17万元，增加了26.29</w:t>
      </w:r>
      <w:r>
        <w:rPr>
          <w:rFonts w:hint="eastAsia" w:ascii="仿宋_GB2312" w:eastAsia="仿宋_GB2312"/>
          <w:color w:val="000000"/>
          <w:sz w:val="32"/>
          <w:szCs w:val="32"/>
        </w:rPr>
        <w:t>%</w:t>
      </w:r>
      <w:r>
        <w:rPr>
          <w:rFonts w:hint="eastAsia" w:ascii="仿宋_GB2312" w:eastAsia="仿宋_GB2312"/>
          <w:color w:val="000000"/>
          <w:sz w:val="32"/>
          <w:szCs w:val="32"/>
          <w:lang w:eastAsia="zh-CN"/>
        </w:rPr>
        <w:t>，主要原因是</w:t>
      </w:r>
      <w:r>
        <w:rPr>
          <w:rFonts w:hint="eastAsia" w:ascii="仿宋_GB2312" w:eastAsia="仿宋_GB2312"/>
          <w:color w:val="000000"/>
          <w:sz w:val="32"/>
          <w:szCs w:val="32"/>
          <w:lang w:val="en-US" w:eastAsia="zh-CN"/>
        </w:rPr>
        <w:t>2020年人员调整，人员经费增加及</w:t>
      </w:r>
      <w:r>
        <w:rPr>
          <w:rFonts w:hint="eastAsia" w:ascii="仿宋_GB2312" w:eastAsia="仿宋_GB2312"/>
          <w:color w:val="000000"/>
          <w:sz w:val="32"/>
          <w:szCs w:val="32"/>
        </w:rPr>
        <w:t>宗教事务项目工作支出。</w:t>
      </w:r>
    </w:p>
    <w:bookmarkEnd w:id="5"/>
    <w:p w14:paraId="1B366194">
      <w:pPr>
        <w:pageBreakBefore w:val="0"/>
        <w:kinsoku/>
        <w:wordWrap/>
        <w:overflowPunct/>
        <w:topLinePunct w:val="0"/>
        <w:bidi w:val="0"/>
        <w:spacing w:line="600" w:lineRule="exact"/>
        <w:ind w:left="0" w:leftChars="0" w:firstLine="640" w:firstLineChars="200"/>
        <w:rPr>
          <w:rFonts w:hint="default" w:ascii="仿宋_GB2312" w:eastAsia="仿宋_GB2312"/>
          <w:color w:val="auto"/>
          <w:sz w:val="32"/>
          <w:szCs w:val="32"/>
          <w:lang w:val="en-US" w:eastAsia="zh-CN"/>
        </w:rPr>
      </w:pPr>
      <w:r>
        <w:rPr>
          <w:rFonts w:hint="eastAsia" w:ascii="仿宋_GB2312" w:eastAsia="仿宋_GB2312" w:cs="Times New Roman"/>
          <w:color w:val="auto"/>
          <w:sz w:val="32"/>
          <w:szCs w:val="32"/>
          <w:lang w:val="en-US" w:eastAsia="zh-CN"/>
        </w:rPr>
        <w:t>2020</w:t>
      </w:r>
      <w:r>
        <w:rPr>
          <w:rFonts w:hint="eastAsia" w:ascii="仿宋_GB2312" w:hAnsi="Times New Roman" w:eastAsia="仿宋_GB2312" w:cs="Times New Roman"/>
          <w:color w:val="auto"/>
          <w:sz w:val="32"/>
          <w:szCs w:val="32"/>
        </w:rPr>
        <w:t>年全年支出合计</w:t>
      </w:r>
      <w:r>
        <w:rPr>
          <w:rFonts w:hint="eastAsia" w:ascii="仿宋_GB2312" w:eastAsia="仿宋_GB2312" w:cs="Times New Roman"/>
          <w:color w:val="auto"/>
          <w:sz w:val="32"/>
          <w:szCs w:val="32"/>
          <w:lang w:val="en-US" w:eastAsia="zh-CN"/>
        </w:rPr>
        <w:t>309.15</w:t>
      </w:r>
      <w:r>
        <w:rPr>
          <w:rFonts w:hint="eastAsia" w:ascii="仿宋_GB2312" w:hAnsi="Times New Roman" w:eastAsia="仿宋_GB2312" w:cs="Times New Roman"/>
          <w:color w:val="auto"/>
          <w:sz w:val="32"/>
          <w:szCs w:val="32"/>
        </w:rPr>
        <w:t>万</w:t>
      </w:r>
      <w:r>
        <w:rPr>
          <w:rFonts w:hint="eastAsia" w:ascii="仿宋_GB2312" w:eastAsia="仿宋_GB2312"/>
          <w:color w:val="auto"/>
          <w:sz w:val="32"/>
          <w:szCs w:val="32"/>
        </w:rPr>
        <w:t>元，其中：</w:t>
      </w:r>
      <w:r>
        <w:rPr>
          <w:rFonts w:hint="eastAsia" w:ascii="仿宋_GB2312" w:eastAsia="仿宋_GB2312"/>
          <w:color w:val="auto"/>
          <w:sz w:val="32"/>
          <w:szCs w:val="32"/>
          <w:lang w:val="en-US" w:eastAsia="zh-CN"/>
        </w:rPr>
        <w:t>一般公共服务支出271.49万元，</w:t>
      </w:r>
      <w:r>
        <w:rPr>
          <w:rFonts w:hint="eastAsia" w:ascii="仿宋_GB2312" w:eastAsia="仿宋_GB2312"/>
          <w:color w:val="auto"/>
          <w:sz w:val="32"/>
          <w:szCs w:val="32"/>
        </w:rPr>
        <w:t>占</w:t>
      </w:r>
      <w:r>
        <w:rPr>
          <w:rFonts w:hint="eastAsia" w:ascii="仿宋_GB2312" w:eastAsia="仿宋_GB2312"/>
          <w:color w:val="auto"/>
          <w:sz w:val="32"/>
          <w:szCs w:val="32"/>
          <w:lang w:val="en-US" w:eastAsia="zh-CN"/>
        </w:rPr>
        <w:t>87.82</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社会保障</w:t>
      </w:r>
      <w:r>
        <w:rPr>
          <w:rFonts w:hint="eastAsia" w:ascii="仿宋_GB2312" w:eastAsia="仿宋_GB2312"/>
          <w:color w:val="auto"/>
          <w:sz w:val="32"/>
          <w:szCs w:val="32"/>
        </w:rPr>
        <w:t>支出</w:t>
      </w:r>
      <w:r>
        <w:rPr>
          <w:rFonts w:hint="eastAsia" w:ascii="仿宋_GB2312" w:eastAsia="仿宋_GB2312"/>
          <w:color w:val="auto"/>
          <w:sz w:val="32"/>
          <w:szCs w:val="32"/>
          <w:lang w:val="en-US" w:eastAsia="zh-CN"/>
        </w:rPr>
        <w:t>15.32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占</w:t>
      </w:r>
      <w:r>
        <w:rPr>
          <w:rFonts w:hint="eastAsia" w:ascii="仿宋_GB2312" w:eastAsia="仿宋_GB2312"/>
          <w:color w:val="auto"/>
          <w:sz w:val="32"/>
          <w:szCs w:val="32"/>
          <w:lang w:val="en-US" w:eastAsia="zh-CN"/>
        </w:rPr>
        <w:t>4.96</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卫生健康支出7.02万元，</w:t>
      </w:r>
      <w:r>
        <w:rPr>
          <w:rFonts w:hint="eastAsia" w:ascii="仿宋_GB2312" w:eastAsia="仿宋_GB2312"/>
          <w:color w:val="auto"/>
          <w:sz w:val="32"/>
          <w:szCs w:val="32"/>
        </w:rPr>
        <w:t>占</w:t>
      </w:r>
      <w:r>
        <w:rPr>
          <w:rFonts w:hint="eastAsia" w:ascii="仿宋_GB2312" w:eastAsia="仿宋_GB2312"/>
          <w:color w:val="auto"/>
          <w:sz w:val="32"/>
          <w:szCs w:val="32"/>
          <w:lang w:val="en-US" w:eastAsia="zh-CN"/>
        </w:rPr>
        <w:t xml:space="preserve">2.27 </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住房保障</w:t>
      </w:r>
      <w:r>
        <w:rPr>
          <w:rFonts w:hint="eastAsia" w:ascii="仿宋_GB2312" w:eastAsia="仿宋_GB2312"/>
          <w:color w:val="auto"/>
          <w:sz w:val="32"/>
          <w:szCs w:val="32"/>
        </w:rPr>
        <w:t>支出</w:t>
      </w:r>
      <w:r>
        <w:rPr>
          <w:rFonts w:hint="eastAsia" w:ascii="仿宋_GB2312" w:eastAsia="仿宋_GB2312"/>
          <w:color w:val="auto"/>
          <w:sz w:val="32"/>
          <w:szCs w:val="32"/>
          <w:lang w:val="en-US" w:eastAsia="zh-CN"/>
        </w:rPr>
        <w:t xml:space="preserve"> 15.33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4.96</w:t>
      </w:r>
      <w:r>
        <w:rPr>
          <w:rFonts w:hint="eastAsia" w:ascii="仿宋_GB2312" w:eastAsia="仿宋_GB2312"/>
          <w:color w:val="auto"/>
          <w:sz w:val="32"/>
          <w:szCs w:val="32"/>
        </w:rPr>
        <w:t>%；上缴上级支出0万元，占0%；经营支出0万元，占0%；对附属单位补助支出0万元，占0%。</w:t>
      </w:r>
      <w:r>
        <w:rPr>
          <w:rFonts w:hint="eastAsia" w:ascii="仿宋_GB2312" w:eastAsia="仿宋_GB2312"/>
          <w:color w:val="auto"/>
          <w:sz w:val="32"/>
          <w:szCs w:val="32"/>
          <w:lang w:eastAsia="zh-CN"/>
        </w:rPr>
        <w:t>年末结转结余</w:t>
      </w:r>
      <w:r>
        <w:rPr>
          <w:rFonts w:hint="eastAsia" w:ascii="仿宋_GB2312" w:eastAsia="仿宋_GB2312"/>
          <w:color w:val="auto"/>
          <w:sz w:val="32"/>
          <w:szCs w:val="32"/>
          <w:lang w:val="en-US" w:eastAsia="zh-CN"/>
        </w:rPr>
        <w:t>18.32万元。</w:t>
      </w:r>
    </w:p>
    <w:p w14:paraId="38122D7C">
      <w:pPr>
        <w:pStyle w:val="10"/>
        <w:pageBreakBefore w:val="0"/>
        <w:kinsoku/>
        <w:wordWrap/>
        <w:overflowPunct/>
        <w:topLinePunct w:val="0"/>
        <w:bidi w:val="0"/>
        <w:adjustRightInd w:val="0"/>
        <w:snapToGrid w:val="0"/>
        <w:spacing w:line="600" w:lineRule="exact"/>
        <w:ind w:left="0" w:leftChars="0" w:firstLine="640" w:firstLineChars="200"/>
        <w:jc w:val="left"/>
        <w:rPr>
          <w:rFonts w:ascii="仿宋" w:hAnsi="仿宋" w:eastAsia="仿宋" w:cstheme="minorBidi"/>
          <w:sz w:val="24"/>
        </w:rPr>
      </w:pPr>
      <w:r>
        <w:rPr>
          <w:rFonts w:hint="eastAsia" w:ascii="Times New Roman" w:hAnsi="Times New Roman" w:eastAsia="黑体" w:cs="Times New Roman"/>
          <w:kern w:val="0"/>
          <w:sz w:val="32"/>
          <w:szCs w:val="32"/>
          <w:lang w:val="en-US" w:eastAsia="zh-CN" w:bidi="ar"/>
        </w:rPr>
        <w:t>二、收入决算情况说明</w:t>
      </w:r>
    </w:p>
    <w:p w14:paraId="3AC2CA4C">
      <w:pPr>
        <w:pageBreakBefore w:val="0"/>
        <w:kinsoku/>
        <w:wordWrap/>
        <w:overflowPunct/>
        <w:topLinePunct w:val="0"/>
        <w:bidi w:val="0"/>
        <w:spacing w:line="600" w:lineRule="exact"/>
        <w:ind w:left="0" w:leftChars="0" w:firstLine="640" w:firstLineChars="200"/>
        <w:rPr>
          <w:rFonts w:hint="default" w:ascii="仿宋_GB2312" w:eastAsia="仿宋_GB2312"/>
          <w:color w:val="auto"/>
          <w:sz w:val="32"/>
          <w:szCs w:val="32"/>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020</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327.48</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327.48</w:t>
      </w:r>
      <w:r>
        <w:rPr>
          <w:rFonts w:hint="eastAsia" w:ascii="仿宋_GB2312" w:hAnsi="仿宋_GB2312" w:eastAsia="仿宋_GB2312" w:cs="仿宋_GB2312"/>
          <w:color w:val="000000"/>
          <w:sz w:val="32"/>
          <w:szCs w:val="32"/>
        </w:rPr>
        <w:t>万元，占100%；政府性基金预算财政拨款收入0万元，占0%；国有资本经营预算财政拨款收入0万元，占0%；事业收入0万元，占0%；经营收入0万元，占0%；附属单位上缴收入0万元，占0%；其他收入0万元，占0%。</w:t>
      </w:r>
      <w:r>
        <w:rPr>
          <w:rFonts w:hint="eastAsia" w:ascii="仿宋_GB2312" w:eastAsia="仿宋_GB2312"/>
          <w:color w:val="auto"/>
          <w:sz w:val="32"/>
          <w:szCs w:val="32"/>
          <w:lang w:eastAsia="zh-CN"/>
        </w:rPr>
        <w:t>年末结转结余</w:t>
      </w:r>
      <w:r>
        <w:rPr>
          <w:rFonts w:hint="eastAsia" w:ascii="仿宋_GB2312" w:eastAsia="仿宋_GB2312"/>
          <w:color w:val="auto"/>
          <w:sz w:val="32"/>
          <w:szCs w:val="32"/>
          <w:lang w:val="en-US" w:eastAsia="zh-CN"/>
        </w:rPr>
        <w:t>18.32万元。</w:t>
      </w:r>
    </w:p>
    <w:p w14:paraId="3836D2B8">
      <w:pPr>
        <w:pageBreakBefore w:val="0"/>
        <w:kinsoku/>
        <w:wordWrap/>
        <w:overflowPunct/>
        <w:topLinePunct w:val="0"/>
        <w:bidi w:val="0"/>
        <w:spacing w:line="600" w:lineRule="exact"/>
        <w:ind w:left="0" w:leftChars="0" w:firstLine="640" w:firstLineChars="200"/>
        <w:outlineLvl w:val="1"/>
        <w:rPr>
          <w:rFonts w:ascii="仿宋_GB2312" w:hAnsi="仿宋_GB2312" w:eastAsia="仿宋_GB2312" w:cs="仿宋_GB2312"/>
          <w:color w:val="000000"/>
          <w:sz w:val="32"/>
          <w:szCs w:val="32"/>
        </w:rPr>
      </w:pPr>
    </w:p>
    <w:p w14:paraId="63417CB5">
      <w:pPr>
        <w:pStyle w:val="10"/>
        <w:pageBreakBefore w:val="0"/>
        <w:kinsoku/>
        <w:wordWrap/>
        <w:overflowPunct/>
        <w:topLinePunct w:val="0"/>
        <w:bidi w:val="0"/>
        <w:adjustRightInd w:val="0"/>
        <w:snapToGrid w:val="0"/>
        <w:spacing w:line="600" w:lineRule="exact"/>
        <w:ind w:left="0" w:leftChars="0" w:firstLine="640" w:firstLineChars="200"/>
        <w:jc w:val="left"/>
        <w:rPr>
          <w:rFonts w:hint="eastAsia" w:ascii="Times New Roman" w:hAnsi="Times New Roman" w:eastAsia="黑体" w:cs="Times New Roman"/>
          <w:kern w:val="0"/>
          <w:sz w:val="32"/>
          <w:szCs w:val="32"/>
          <w:lang w:val="en-US" w:eastAsia="zh-CN" w:bidi="ar"/>
        </w:rPr>
      </w:pPr>
      <w:r>
        <w:rPr>
          <w:rFonts w:hint="eastAsia" w:ascii="Times New Roman" w:hAnsi="Times New Roman" w:eastAsia="黑体" w:cs="Times New Roman"/>
          <w:kern w:val="0"/>
          <w:sz w:val="32"/>
          <w:szCs w:val="32"/>
          <w:lang w:val="en-US" w:eastAsia="zh-CN" w:bidi="ar"/>
        </w:rPr>
        <w:t>三、支出决算情况说明</w:t>
      </w:r>
    </w:p>
    <w:p w14:paraId="3157B442">
      <w:pPr>
        <w:pageBreakBefore w:val="0"/>
        <w:kinsoku/>
        <w:wordWrap/>
        <w:overflowPunct/>
        <w:topLinePunct w:val="0"/>
        <w:bidi w:val="0"/>
        <w:snapToGrid w:val="0"/>
        <w:spacing w:line="600" w:lineRule="exact"/>
        <w:ind w:left="0" w:leftChars="0" w:firstLine="640" w:firstLineChars="200"/>
        <w:rPr>
          <w:rFonts w:ascii="仿宋_GB2312" w:hAnsi="仿宋" w:eastAsia="仿宋_GB2312"/>
          <w:b/>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年区委统战部本年支出合计</w:t>
      </w:r>
      <w:r>
        <w:rPr>
          <w:rFonts w:hint="eastAsia" w:ascii="仿宋_GB2312" w:eastAsia="仿宋_GB2312"/>
          <w:color w:val="000000"/>
          <w:sz w:val="32"/>
          <w:szCs w:val="32"/>
          <w:lang w:val="en-US" w:eastAsia="zh-CN"/>
        </w:rPr>
        <w:t>309.15</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269.15</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87</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06</w:t>
      </w:r>
      <w:r>
        <w:rPr>
          <w:rFonts w:hint="eastAsia" w:ascii="仿宋_GB2312" w:eastAsia="仿宋_GB2312"/>
          <w:color w:val="000000"/>
          <w:sz w:val="32"/>
          <w:szCs w:val="32"/>
        </w:rPr>
        <w:t>%，项目支出</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12.94</w:t>
      </w:r>
      <w:r>
        <w:rPr>
          <w:rFonts w:hint="eastAsia" w:ascii="仿宋_GB2312" w:eastAsia="仿宋_GB2312"/>
          <w:color w:val="000000"/>
          <w:sz w:val="32"/>
          <w:szCs w:val="32"/>
        </w:rPr>
        <w:t>%。</w:t>
      </w:r>
    </w:p>
    <w:p w14:paraId="459655F7">
      <w:pPr>
        <w:pStyle w:val="10"/>
        <w:pageBreakBefore w:val="0"/>
        <w:tabs>
          <w:tab w:val="left" w:pos="368"/>
          <w:tab w:val="clear" w:pos="8296"/>
        </w:tabs>
        <w:kinsoku/>
        <w:wordWrap/>
        <w:overflowPunct/>
        <w:topLinePunct w:val="0"/>
        <w:bidi w:val="0"/>
        <w:adjustRightInd w:val="0"/>
        <w:snapToGrid w:val="0"/>
        <w:spacing w:line="600" w:lineRule="exact"/>
        <w:ind w:left="0" w:leftChars="0" w:firstLine="640" w:firstLineChars="200"/>
        <w:jc w:val="left"/>
        <w:rPr>
          <w:rFonts w:hint="eastAsia" w:ascii="Times New Roman" w:hAnsi="Times New Roman" w:eastAsia="黑体" w:cs="Times New Roman"/>
          <w:kern w:val="0"/>
          <w:sz w:val="32"/>
          <w:szCs w:val="32"/>
          <w:lang w:val="en-US" w:eastAsia="zh-CN" w:bidi="ar"/>
        </w:rPr>
      </w:pPr>
      <w:r>
        <w:rPr>
          <w:rFonts w:hint="eastAsia" w:ascii="Times New Roman" w:hAnsi="Times New Roman" w:eastAsia="黑体" w:cs="Times New Roman"/>
          <w:kern w:val="0"/>
          <w:sz w:val="32"/>
          <w:szCs w:val="32"/>
          <w:lang w:val="en-US" w:eastAsia="zh-CN" w:bidi="ar"/>
        </w:rPr>
        <w:t>四、财政拨款收入支出决算总体情况说明</w:t>
      </w:r>
    </w:p>
    <w:p w14:paraId="0D766E4F">
      <w:pPr>
        <w:pageBreakBefore w:val="0"/>
        <w:kinsoku/>
        <w:wordWrap/>
        <w:overflowPunct/>
        <w:topLinePunct w:val="0"/>
        <w:bidi w:val="0"/>
        <w:spacing w:line="600" w:lineRule="exact"/>
        <w:ind w:left="0" w:leftChars="0" w:firstLine="640" w:firstLineChars="200"/>
        <w:rPr>
          <w:rFonts w:ascii="仿宋_GB2312" w:hAnsi="仿宋" w:eastAsia="仿宋_GB2312"/>
          <w:sz w:val="32"/>
          <w:szCs w:val="32"/>
        </w:rPr>
      </w:pPr>
      <w:r>
        <w:rPr>
          <w:rFonts w:hint="eastAsia" w:ascii="仿宋_GB2312" w:eastAsia="仿宋_GB2312"/>
          <w:color w:val="000000"/>
          <w:sz w:val="32"/>
          <w:szCs w:val="32"/>
        </w:rPr>
        <w:t>区委统战部20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年度财政拨款收支总决算分别为</w:t>
      </w:r>
      <w:r>
        <w:rPr>
          <w:rFonts w:hint="eastAsia" w:ascii="仿宋_GB2312" w:eastAsia="仿宋_GB2312"/>
          <w:color w:val="000000"/>
          <w:sz w:val="32"/>
          <w:szCs w:val="32"/>
          <w:lang w:val="en-US" w:eastAsia="zh-CN"/>
        </w:rPr>
        <w:t>309.15</w:t>
      </w:r>
      <w:r>
        <w:rPr>
          <w:rFonts w:hint="eastAsia" w:ascii="仿宋_GB2312" w:eastAsia="仿宋_GB2312"/>
          <w:color w:val="000000"/>
          <w:sz w:val="32"/>
          <w:szCs w:val="32"/>
        </w:rPr>
        <w:t>万元万元。与201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年财政拨款支出259.31万元相比增加</w:t>
      </w:r>
      <w:r>
        <w:rPr>
          <w:rFonts w:hint="eastAsia" w:ascii="仿宋_GB2312" w:eastAsia="仿宋_GB2312"/>
          <w:color w:val="000000"/>
          <w:sz w:val="32"/>
          <w:szCs w:val="32"/>
          <w:lang w:val="en-US" w:eastAsia="zh-CN"/>
        </w:rPr>
        <w:t>49.84</w:t>
      </w:r>
      <w:r>
        <w:rPr>
          <w:rFonts w:hint="eastAsia" w:ascii="仿宋_GB2312" w:eastAsia="仿宋_GB2312"/>
          <w:color w:val="000000"/>
          <w:sz w:val="32"/>
          <w:szCs w:val="32"/>
        </w:rPr>
        <w:t>万元，增加</w:t>
      </w:r>
      <w:r>
        <w:rPr>
          <w:rFonts w:hint="eastAsia" w:ascii="仿宋_GB2312" w:eastAsia="仿宋_GB2312"/>
          <w:color w:val="000000"/>
          <w:sz w:val="32"/>
          <w:szCs w:val="32"/>
          <w:lang w:val="en-US" w:eastAsia="zh-CN"/>
        </w:rPr>
        <w:t>16.12</w:t>
      </w:r>
      <w:r>
        <w:rPr>
          <w:rFonts w:hint="eastAsia" w:ascii="仿宋_GB2312" w:eastAsia="仿宋_GB2312"/>
          <w:color w:val="000000"/>
          <w:sz w:val="32"/>
          <w:szCs w:val="32"/>
        </w:rPr>
        <w:t>%。</w:t>
      </w:r>
      <w:r>
        <w:rPr>
          <w:rFonts w:hint="eastAsia" w:ascii="仿宋_GB2312" w:eastAsia="仿宋_GB2312"/>
          <w:color w:val="000000"/>
          <w:sz w:val="32"/>
          <w:szCs w:val="32"/>
          <w:lang w:eastAsia="zh-CN"/>
        </w:rPr>
        <w:t>主要原因是</w:t>
      </w:r>
      <w:r>
        <w:rPr>
          <w:rFonts w:hint="eastAsia" w:ascii="仿宋_GB2312" w:eastAsia="仿宋_GB2312"/>
          <w:color w:val="000000"/>
          <w:sz w:val="32"/>
          <w:szCs w:val="32"/>
          <w:lang w:val="en-US" w:eastAsia="zh-CN"/>
        </w:rPr>
        <w:t>2020年人员调整，人员经费增加及</w:t>
      </w:r>
      <w:r>
        <w:rPr>
          <w:rFonts w:hint="eastAsia" w:ascii="仿宋_GB2312" w:eastAsia="仿宋_GB2312"/>
          <w:color w:val="000000"/>
          <w:sz w:val="32"/>
          <w:szCs w:val="32"/>
        </w:rPr>
        <w:t>宗教事务项目工作支出。</w:t>
      </w:r>
    </w:p>
    <w:p w14:paraId="22D1647E">
      <w:pPr>
        <w:pStyle w:val="10"/>
        <w:pageBreakBefore w:val="0"/>
        <w:numPr>
          <w:ilvl w:val="0"/>
          <w:numId w:val="0"/>
        </w:numPr>
        <w:kinsoku/>
        <w:wordWrap/>
        <w:overflowPunct/>
        <w:topLinePunct w:val="0"/>
        <w:bidi w:val="0"/>
        <w:adjustRightInd w:val="0"/>
        <w:snapToGrid w:val="0"/>
        <w:spacing w:line="600" w:lineRule="exact"/>
        <w:ind w:left="0" w:leftChars="0" w:firstLine="640" w:firstLineChars="200"/>
        <w:jc w:val="left"/>
        <w:rPr>
          <w:rFonts w:ascii="仿宋_GB2312" w:hAnsi="仿宋_GB2312" w:eastAsia="仿宋_GB2312" w:cs="仿宋_GB2312"/>
          <w:color w:val="000000"/>
          <w:sz w:val="32"/>
          <w:szCs w:val="32"/>
        </w:rPr>
      </w:pPr>
      <w:r>
        <w:rPr>
          <w:rFonts w:hint="eastAsia" w:ascii="Times New Roman" w:hAnsi="Times New Roman" w:eastAsia="黑体" w:cs="Times New Roman"/>
          <w:kern w:val="0"/>
          <w:sz w:val="32"/>
          <w:szCs w:val="32"/>
          <w:lang w:val="en-US" w:eastAsia="zh-CN" w:bidi="ar"/>
        </w:rPr>
        <w:t>五、一般公共预算财政拨款支出决算情况说明</w:t>
      </w:r>
    </w:p>
    <w:p w14:paraId="74FD7693">
      <w:pPr>
        <w:pageBreakBefore w:val="0"/>
        <w:numPr>
          <w:ilvl w:val="0"/>
          <w:numId w:val="1"/>
        </w:numPr>
        <w:kinsoku/>
        <w:wordWrap/>
        <w:overflowPunct/>
        <w:topLinePunct w:val="0"/>
        <w:bidi w:val="0"/>
        <w:spacing w:line="600" w:lineRule="exact"/>
        <w:ind w:left="0" w:leftChars="0" w:firstLine="643" w:firstLineChars="200"/>
        <w:outlineLvl w:val="2"/>
        <w:rPr>
          <w:rFonts w:hint="eastAsia" w:ascii="仿宋" w:hAnsi="仿宋" w:eastAsia="仿宋"/>
          <w:b/>
          <w:color w:val="000000"/>
          <w:sz w:val="32"/>
          <w:szCs w:val="32"/>
        </w:rPr>
      </w:pPr>
      <w:bookmarkStart w:id="6" w:name="_Toc15377210"/>
      <w:r>
        <w:rPr>
          <w:rFonts w:hint="eastAsia" w:ascii="仿宋" w:hAnsi="仿宋" w:eastAsia="仿宋"/>
          <w:b/>
          <w:color w:val="000000"/>
          <w:sz w:val="32"/>
          <w:szCs w:val="32"/>
        </w:rPr>
        <w:t>一般公共预算财政拨款支出决算总体情况</w:t>
      </w:r>
      <w:bookmarkEnd w:id="6"/>
    </w:p>
    <w:p w14:paraId="03DD6AB0">
      <w:pPr>
        <w:pageBreakBefore w:val="0"/>
        <w:kinsoku/>
        <w:wordWrap/>
        <w:overflowPunct/>
        <w:topLinePunct w:val="0"/>
        <w:bidi w:val="0"/>
        <w:spacing w:line="600" w:lineRule="exact"/>
        <w:ind w:left="0" w:leftChars="0" w:firstLine="640" w:firstLineChars="200"/>
      </w:pP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 xml:space="preserve"> 309.15</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 xml:space="preserve">100 </w:t>
      </w:r>
      <w:r>
        <w:rPr>
          <w:rFonts w:hint="eastAsia" w:ascii="仿宋_GB2312" w:hAnsi="仿宋_GB2312" w:eastAsia="仿宋_GB2312" w:cs="仿宋_GB2312"/>
          <w:color w:val="000000"/>
          <w:sz w:val="32"/>
          <w:szCs w:val="32"/>
        </w:rPr>
        <w:t>%。</w:t>
      </w:r>
      <w:r>
        <w:rPr>
          <w:rFonts w:hint="eastAsia" w:ascii="仿宋_GB2312" w:eastAsia="仿宋_GB2312" w:cs="Times New Roman"/>
          <w:color w:val="000000"/>
          <w:sz w:val="32"/>
          <w:szCs w:val="32"/>
          <w:lang w:eastAsia="zh-CN"/>
        </w:rPr>
        <w:t>较</w:t>
      </w:r>
      <w:r>
        <w:rPr>
          <w:rFonts w:hint="eastAsia" w:ascii="仿宋_GB2312" w:eastAsia="仿宋_GB2312" w:cs="Times New Roman"/>
          <w:color w:val="000000"/>
          <w:sz w:val="32"/>
          <w:szCs w:val="32"/>
          <w:lang w:val="en-US" w:eastAsia="zh-CN"/>
        </w:rPr>
        <w:t>2019年相比增加49.84万元，增加了16.12</w:t>
      </w:r>
      <w:r>
        <w:rPr>
          <w:rFonts w:hint="eastAsia" w:ascii="仿宋_GB2312" w:eastAsia="仿宋_GB2312"/>
          <w:color w:val="000000"/>
          <w:sz w:val="32"/>
          <w:szCs w:val="32"/>
        </w:rPr>
        <w:t>%</w:t>
      </w:r>
      <w:r>
        <w:rPr>
          <w:rFonts w:hint="eastAsia" w:ascii="仿宋_GB2312" w:eastAsia="仿宋_GB2312"/>
          <w:color w:val="000000"/>
          <w:sz w:val="32"/>
          <w:szCs w:val="32"/>
          <w:lang w:eastAsia="zh-CN"/>
        </w:rPr>
        <w:t>，主要原因是</w:t>
      </w:r>
      <w:r>
        <w:rPr>
          <w:rFonts w:hint="eastAsia" w:ascii="仿宋_GB2312" w:eastAsia="仿宋_GB2312"/>
          <w:color w:val="000000"/>
          <w:sz w:val="32"/>
          <w:szCs w:val="32"/>
          <w:lang w:val="en-US" w:eastAsia="zh-CN"/>
        </w:rPr>
        <w:t>2020年人员调整，人员经费增加及</w:t>
      </w:r>
      <w:r>
        <w:rPr>
          <w:rFonts w:hint="eastAsia" w:ascii="仿宋_GB2312" w:eastAsia="仿宋_GB2312"/>
          <w:color w:val="000000"/>
          <w:sz w:val="32"/>
          <w:szCs w:val="32"/>
        </w:rPr>
        <w:t>宗教事务项目工作支出。</w:t>
      </w:r>
    </w:p>
    <w:p w14:paraId="2A13ACE9">
      <w:pPr>
        <w:pageBreakBefore w:val="0"/>
        <w:numPr>
          <w:ilvl w:val="0"/>
          <w:numId w:val="1"/>
        </w:numPr>
        <w:kinsoku/>
        <w:wordWrap/>
        <w:overflowPunct/>
        <w:topLinePunct w:val="0"/>
        <w:bidi w:val="0"/>
        <w:spacing w:line="600" w:lineRule="exact"/>
        <w:ind w:left="0" w:leftChars="0" w:firstLine="643" w:firstLineChars="200"/>
        <w:outlineLvl w:val="2"/>
        <w:rPr>
          <w:rFonts w:hint="eastAsia" w:ascii="仿宋" w:hAnsi="仿宋" w:eastAsia="仿宋"/>
          <w:b/>
          <w:color w:val="000000"/>
          <w:sz w:val="32"/>
          <w:szCs w:val="32"/>
        </w:rPr>
      </w:pPr>
      <w:bookmarkStart w:id="7" w:name="_Toc15377211"/>
      <w:r>
        <w:rPr>
          <w:rFonts w:hint="eastAsia" w:ascii="仿宋" w:hAnsi="仿宋" w:eastAsia="仿宋"/>
          <w:b/>
          <w:color w:val="000000"/>
          <w:sz w:val="32"/>
          <w:szCs w:val="32"/>
        </w:rPr>
        <w:t>一般公共预算财政拨款支出决算结构情况</w:t>
      </w:r>
      <w:bookmarkEnd w:id="7"/>
    </w:p>
    <w:p w14:paraId="3A17D440">
      <w:pPr>
        <w:pageBreakBefore w:val="0"/>
        <w:kinsoku/>
        <w:wordWrap/>
        <w:overflowPunct/>
        <w:topLinePunct w:val="0"/>
        <w:bidi w:val="0"/>
        <w:spacing w:line="600" w:lineRule="exact"/>
        <w:ind w:left="0" w:leftChars="0"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309.15</w:t>
      </w:r>
      <w:r>
        <w:rPr>
          <w:rFonts w:hint="eastAsia" w:ascii="仿宋_GB2312" w:hAnsi="仿宋_GB2312" w:eastAsia="仿宋_GB2312" w:cs="仿宋_GB2312"/>
          <w:color w:val="000000"/>
          <w:sz w:val="32"/>
          <w:szCs w:val="32"/>
        </w:rPr>
        <w:t>万元，主要用于以下方面:一般公共服务（类）支出</w:t>
      </w:r>
      <w:r>
        <w:rPr>
          <w:rFonts w:hint="eastAsia" w:ascii="仿宋_GB2312" w:hAnsi="仿宋_GB2312" w:eastAsia="仿宋_GB2312" w:cs="仿宋_GB2312"/>
          <w:color w:val="000000"/>
          <w:sz w:val="32"/>
          <w:szCs w:val="32"/>
          <w:lang w:val="en-US" w:eastAsia="zh-CN"/>
        </w:rPr>
        <w:t xml:space="preserve"> 271.49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 xml:space="preserve"> 87.82</w:t>
      </w:r>
      <w:r>
        <w:rPr>
          <w:rFonts w:hint="eastAsia" w:ascii="仿宋_GB2312" w:hAnsi="仿宋_GB2312" w:eastAsia="仿宋_GB2312" w:cs="仿宋_GB2312"/>
          <w:color w:val="000000"/>
          <w:sz w:val="32"/>
          <w:szCs w:val="32"/>
        </w:rPr>
        <w:t>%；社会保障和就业（类）支出</w:t>
      </w:r>
      <w:r>
        <w:rPr>
          <w:rFonts w:hint="eastAsia" w:ascii="仿宋_GB2312" w:hAnsi="仿宋_GB2312" w:eastAsia="仿宋_GB2312" w:cs="仿宋_GB2312"/>
          <w:color w:val="000000"/>
          <w:sz w:val="32"/>
          <w:szCs w:val="32"/>
          <w:lang w:val="en-US" w:eastAsia="zh-CN"/>
        </w:rPr>
        <w:t>15.32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 xml:space="preserve">4.96 </w:t>
      </w:r>
      <w:r>
        <w:rPr>
          <w:rFonts w:hint="eastAsia" w:ascii="仿宋_GB2312" w:hAnsi="仿宋_GB2312" w:eastAsia="仿宋_GB2312" w:cs="仿宋_GB2312"/>
          <w:color w:val="000000"/>
          <w:sz w:val="32"/>
          <w:szCs w:val="32"/>
        </w:rPr>
        <w:t>%；医疗卫生</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类）支出</w:t>
      </w:r>
      <w:r>
        <w:rPr>
          <w:rFonts w:hint="eastAsia" w:ascii="仿宋_GB2312" w:hAnsi="仿宋_GB2312" w:eastAsia="仿宋_GB2312" w:cs="仿宋_GB2312"/>
          <w:color w:val="000000"/>
          <w:sz w:val="32"/>
          <w:szCs w:val="32"/>
          <w:lang w:val="en-US" w:eastAsia="zh-CN"/>
        </w:rPr>
        <w:t>7.02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 xml:space="preserve">2.27 </w:t>
      </w:r>
      <w:r>
        <w:rPr>
          <w:rFonts w:hint="eastAsia" w:ascii="仿宋_GB2312" w:hAnsi="仿宋_GB2312" w:eastAsia="仿宋_GB2312" w:cs="仿宋_GB2312"/>
          <w:color w:val="000000"/>
          <w:sz w:val="32"/>
          <w:szCs w:val="32"/>
        </w:rPr>
        <w:t>%；住房保障</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类）支出</w:t>
      </w:r>
      <w:r>
        <w:rPr>
          <w:rFonts w:hint="eastAsia" w:ascii="仿宋_GB2312" w:hAnsi="仿宋_GB2312" w:eastAsia="仿宋_GB2312" w:cs="仿宋_GB2312"/>
          <w:color w:val="000000"/>
          <w:sz w:val="32"/>
          <w:szCs w:val="32"/>
          <w:lang w:val="en-US" w:eastAsia="zh-CN"/>
        </w:rPr>
        <w:t xml:space="preserve"> 15.33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4.96</w:t>
      </w:r>
      <w:r>
        <w:rPr>
          <w:rFonts w:hint="eastAsia" w:ascii="仿宋_GB2312" w:hAnsi="仿宋_GB2312" w:eastAsia="仿宋_GB2312" w:cs="仿宋_GB2312"/>
          <w:color w:val="000000"/>
          <w:sz w:val="32"/>
          <w:szCs w:val="32"/>
        </w:rPr>
        <w:t>%。</w:t>
      </w:r>
    </w:p>
    <w:p w14:paraId="76CD01F8">
      <w:pPr>
        <w:pageBreakBefore w:val="0"/>
        <w:numPr>
          <w:ilvl w:val="0"/>
          <w:numId w:val="1"/>
        </w:numPr>
        <w:kinsoku/>
        <w:wordWrap/>
        <w:overflowPunct/>
        <w:topLinePunct w:val="0"/>
        <w:bidi w:val="0"/>
        <w:spacing w:line="600" w:lineRule="exact"/>
        <w:ind w:left="0" w:leftChars="0" w:firstLine="643" w:firstLineChars="200"/>
        <w:outlineLvl w:val="2"/>
        <w:rPr>
          <w:rFonts w:hint="eastAsia" w:ascii="仿宋" w:hAnsi="仿宋" w:eastAsia="仿宋"/>
          <w:b/>
          <w:color w:val="000000"/>
          <w:sz w:val="32"/>
          <w:szCs w:val="32"/>
        </w:rPr>
      </w:pPr>
      <w:r>
        <w:rPr>
          <w:rFonts w:hint="eastAsia" w:ascii="仿宋" w:hAnsi="仿宋" w:eastAsia="仿宋"/>
          <w:b/>
          <w:color w:val="000000"/>
          <w:sz w:val="32"/>
          <w:szCs w:val="32"/>
        </w:rPr>
        <w:t>一般公共预算财政拨款支出决算具体情况</w:t>
      </w:r>
    </w:p>
    <w:p w14:paraId="3382A72D">
      <w:pPr>
        <w:pageBreakBefore w:val="0"/>
        <w:kinsoku/>
        <w:wordWrap/>
        <w:overflowPunct/>
        <w:topLinePunct w:val="0"/>
        <w:bidi w:val="0"/>
        <w:spacing w:line="600" w:lineRule="exact"/>
        <w:ind w:left="0" w:leftChars="0" w:firstLine="640" w:firstLineChars="200"/>
        <w:outlineLvl w:val="2"/>
        <w:rPr>
          <w:rFonts w:ascii="仿宋_GB2312" w:hAnsi="仿宋_GB2312" w:eastAsia="仿宋_GB2312" w:cs="仿宋_GB2312"/>
          <w:bCs/>
          <w:color w:val="FF0000"/>
          <w:sz w:val="32"/>
          <w:szCs w:val="32"/>
        </w:rPr>
      </w:pPr>
      <w:bookmarkStart w:id="8" w:name="_Toc15378460"/>
      <w:bookmarkStart w:id="9" w:name="_Toc15377213"/>
      <w:bookmarkStart w:id="10" w:name="_Toc15377444"/>
      <w:r>
        <w:rPr>
          <w:rFonts w:hint="eastAsia" w:ascii="仿宋_GB2312" w:hAnsi="仿宋_GB2312" w:eastAsia="仿宋_GB2312" w:cs="仿宋_GB2312"/>
          <w:bCs/>
          <w:color w:val="000000" w:themeColor="text1"/>
          <w:sz w:val="32"/>
          <w:szCs w:val="32"/>
          <w14:textFill>
            <w14:solidFill>
              <w14:schemeClr w14:val="tx1"/>
            </w14:solidFill>
          </w14:textFill>
        </w:rPr>
        <w:t>20</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Cs/>
          <w:color w:val="000000" w:themeColor="text1"/>
          <w:sz w:val="32"/>
          <w:szCs w:val="32"/>
          <w14:textFill>
            <w14:solidFill>
              <w14:schemeClr w14:val="tx1"/>
            </w14:solidFill>
          </w14:textFill>
        </w:rPr>
        <w:t>般公共预算支出决算数为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309.15万元</w:t>
      </w:r>
      <w:r>
        <w:rPr>
          <w:rFonts w:hint="eastAsia" w:ascii="仿宋_GB2312" w:hAnsi="仿宋_GB2312" w:eastAsia="仿宋_GB2312" w:cs="仿宋_GB2312"/>
          <w:bCs/>
          <w:color w:val="000000" w:themeColor="text1"/>
          <w:sz w:val="32"/>
          <w:szCs w:val="32"/>
          <w14:textFill>
            <w14:solidFill>
              <w14:schemeClr w14:val="tx1"/>
            </w14:solidFill>
          </w14:textFill>
        </w:rPr>
        <w:t>，</w:t>
      </w:r>
      <w:r>
        <w:rPr>
          <w:rStyle w:val="15"/>
          <w:rFonts w:hint="eastAsia" w:ascii="仿宋_GB2312" w:hAnsi="仿宋_GB2312" w:eastAsia="仿宋_GB2312" w:cs="仿宋_GB2312"/>
          <w:b w:val="0"/>
          <w:bCs/>
          <w:color w:val="000000" w:themeColor="text1"/>
          <w:sz w:val="32"/>
          <w:szCs w:val="32"/>
          <w14:textFill>
            <w14:solidFill>
              <w14:schemeClr w14:val="tx1"/>
            </w14:solidFill>
          </w14:textFill>
        </w:rPr>
        <w:t>完成</w:t>
      </w:r>
      <w:r>
        <w:rPr>
          <w:rStyle w:val="15"/>
          <w:rFonts w:hint="eastAsia" w:ascii="仿宋_GB2312" w:hAnsi="仿宋_GB2312" w:eastAsia="仿宋_GB2312" w:cs="仿宋_GB2312"/>
          <w:b w:val="0"/>
          <w:bCs/>
          <w:color w:val="000000"/>
          <w:sz w:val="32"/>
          <w:szCs w:val="32"/>
        </w:rPr>
        <w:t>预算100%。</w:t>
      </w:r>
      <w:bookmarkEnd w:id="8"/>
      <w:bookmarkEnd w:id="9"/>
      <w:bookmarkEnd w:id="10"/>
    </w:p>
    <w:p w14:paraId="291DEAD4">
      <w:pPr>
        <w:pageBreakBefore w:val="0"/>
        <w:kinsoku/>
        <w:wordWrap/>
        <w:overflowPunct/>
        <w:topLinePunct w:val="0"/>
        <w:bidi w:val="0"/>
        <w:spacing w:line="600" w:lineRule="exact"/>
        <w:ind w:left="0" w:leftChars="0" w:firstLine="643" w:firstLineChars="200"/>
        <w:rPr>
          <w:rFonts w:ascii="仿宋_GB2312" w:hAnsi="仿宋_GB2312" w:eastAsia="仿宋_GB2312" w:cs="仿宋_GB2312"/>
          <w:b/>
          <w:color w:val="000000"/>
          <w:sz w:val="32"/>
          <w:szCs w:val="32"/>
        </w:rPr>
      </w:pPr>
      <w:r>
        <w:rPr>
          <w:rStyle w:val="15"/>
          <w:rFonts w:ascii="仿宋" w:hAnsi="仿宋" w:eastAsia="仿宋"/>
          <w:bCs/>
          <w:color w:val="000000"/>
          <w:sz w:val="32"/>
          <w:szCs w:val="32"/>
        </w:rPr>
        <w:t>1.</w:t>
      </w:r>
      <w:r>
        <w:rPr>
          <w:rStyle w:val="15"/>
          <w:rFonts w:hint="eastAsia" w:ascii="仿宋_GB2312" w:eastAsia="仿宋_GB2312"/>
          <w:color w:val="000000"/>
          <w:sz w:val="32"/>
          <w:szCs w:val="32"/>
        </w:rPr>
        <w:t>一般公共服务</w:t>
      </w:r>
      <w:r>
        <w:rPr>
          <w:rStyle w:val="15"/>
          <w:rFonts w:hint="eastAsia" w:ascii="仿宋_GB2312" w:eastAsia="仿宋_GB2312"/>
          <w:bCs/>
          <w:color w:val="000000"/>
          <w:sz w:val="32"/>
          <w:szCs w:val="32"/>
        </w:rPr>
        <w:t>（类）政府办公厅（室）及相关机构事务（款）行政运行（项）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271.49</w:t>
      </w:r>
      <w:r>
        <w:rPr>
          <w:rStyle w:val="15"/>
          <w:rFonts w:hint="eastAsia" w:ascii="仿宋_GB2312" w:hAnsi="仿宋_GB2312" w:eastAsia="仿宋_GB2312" w:cs="仿宋_GB2312"/>
          <w:b w:val="0"/>
          <w:bCs/>
          <w:color w:val="000000"/>
          <w:sz w:val="32"/>
          <w:szCs w:val="32"/>
        </w:rPr>
        <w:t>万元，完成预算100%。</w:t>
      </w:r>
    </w:p>
    <w:p w14:paraId="45416DB9">
      <w:pPr>
        <w:pageBreakBefore w:val="0"/>
        <w:kinsoku/>
        <w:wordWrap/>
        <w:overflowPunct/>
        <w:topLinePunct w:val="0"/>
        <w:bidi w:val="0"/>
        <w:spacing w:line="600" w:lineRule="exact"/>
        <w:ind w:left="0" w:leftChars="0" w:firstLine="643" w:firstLineChars="200"/>
        <w:rPr>
          <w:rFonts w:ascii="仿宋_GB2312" w:hAnsi="仿宋_GB2312" w:eastAsia="仿宋_GB2312" w:cs="仿宋_GB2312"/>
          <w:b/>
          <w:color w:val="000000"/>
          <w:sz w:val="32"/>
          <w:szCs w:val="32"/>
        </w:rPr>
      </w:pPr>
      <w:r>
        <w:rPr>
          <w:rStyle w:val="15"/>
          <w:rFonts w:ascii="仿宋" w:hAnsi="仿宋" w:eastAsia="仿宋"/>
          <w:bCs/>
          <w:color w:val="000000"/>
          <w:sz w:val="32"/>
          <w:szCs w:val="32"/>
        </w:rPr>
        <w:t>2.</w:t>
      </w:r>
      <w:r>
        <w:rPr>
          <w:rStyle w:val="15"/>
          <w:rFonts w:hint="eastAsia" w:ascii="仿宋_GB2312" w:eastAsia="仿宋_GB2312"/>
          <w:color w:val="000000"/>
          <w:sz w:val="32"/>
          <w:szCs w:val="32"/>
        </w:rPr>
        <w:t>社会保障和就业（类）社会保障和就业支出（款）行政事业单位离退休（项）机关事业单位基本养老保险缴费支出:</w:t>
      </w:r>
      <w:r>
        <w:rPr>
          <w:rStyle w:val="15"/>
          <w:rFonts w:hint="eastAsia" w:ascii="仿宋_GB2312" w:eastAsia="仿宋_GB2312"/>
          <w:b w:val="0"/>
          <w:color w:val="000000"/>
          <w:sz w:val="32"/>
          <w:szCs w:val="32"/>
        </w:rPr>
        <w:t xml:space="preserve"> </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15.32</w:t>
      </w:r>
      <w:r>
        <w:rPr>
          <w:rStyle w:val="15"/>
          <w:rFonts w:hint="eastAsia" w:ascii="仿宋_GB2312" w:hAnsi="仿宋_GB2312" w:eastAsia="仿宋_GB2312" w:cs="仿宋_GB2312"/>
          <w:b w:val="0"/>
          <w:bCs/>
          <w:color w:val="000000"/>
          <w:sz w:val="32"/>
          <w:szCs w:val="32"/>
        </w:rPr>
        <w:t>万元，完成预算100%。</w:t>
      </w:r>
    </w:p>
    <w:p w14:paraId="6AF70BDA">
      <w:pPr>
        <w:pageBreakBefore w:val="0"/>
        <w:kinsoku/>
        <w:wordWrap/>
        <w:overflowPunct/>
        <w:topLinePunct w:val="0"/>
        <w:bidi w:val="0"/>
        <w:spacing w:line="600" w:lineRule="exact"/>
        <w:ind w:left="0" w:leftChars="0" w:firstLine="643" w:firstLineChars="200"/>
        <w:rPr>
          <w:rFonts w:ascii="仿宋_GB2312" w:hAnsi="仿宋_GB2312" w:eastAsia="仿宋_GB2312" w:cs="仿宋_GB2312"/>
          <w:color w:val="000000"/>
          <w:sz w:val="32"/>
          <w:szCs w:val="32"/>
        </w:rPr>
      </w:pPr>
      <w:r>
        <w:rPr>
          <w:rStyle w:val="15"/>
          <w:rFonts w:hint="eastAsia" w:ascii="仿宋" w:hAnsi="仿宋" w:eastAsia="仿宋"/>
          <w:bCs/>
          <w:color w:val="000000"/>
          <w:sz w:val="32"/>
          <w:szCs w:val="32"/>
        </w:rPr>
        <w:t>3</w:t>
      </w:r>
      <w:r>
        <w:rPr>
          <w:rStyle w:val="15"/>
          <w:rFonts w:ascii="仿宋" w:hAnsi="仿宋" w:eastAsia="仿宋"/>
          <w:bCs/>
          <w:color w:val="000000"/>
          <w:sz w:val="32"/>
          <w:szCs w:val="32"/>
        </w:rPr>
        <w:t>.</w:t>
      </w:r>
      <w:r>
        <w:rPr>
          <w:rStyle w:val="15"/>
          <w:rFonts w:hint="eastAsia" w:ascii="仿宋_GB2312" w:eastAsia="仿宋_GB2312"/>
          <w:color w:val="000000"/>
          <w:sz w:val="32"/>
          <w:szCs w:val="32"/>
        </w:rPr>
        <w:t>医疗卫生与计划生育（类）医疗卫生与计划生育支出（款）行政事业单位医疗（项）行政单位医疗</w:t>
      </w:r>
      <w:r>
        <w:rPr>
          <w:rStyle w:val="15"/>
          <w:rFonts w:ascii="仿宋" w:hAnsi="仿宋" w:eastAsia="仿宋"/>
          <w:bCs/>
          <w:color w:val="000000"/>
          <w:sz w:val="32"/>
          <w:szCs w:val="32"/>
        </w:rPr>
        <w:t>:</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7.02</w:t>
      </w:r>
      <w:r>
        <w:rPr>
          <w:rStyle w:val="15"/>
          <w:rFonts w:hint="eastAsia" w:ascii="仿宋_GB2312" w:hAnsi="仿宋_GB2312" w:eastAsia="仿宋_GB2312" w:cs="仿宋_GB2312"/>
          <w:b w:val="0"/>
          <w:bCs/>
          <w:color w:val="000000"/>
          <w:sz w:val="32"/>
          <w:szCs w:val="32"/>
        </w:rPr>
        <w:t>万元，完成预算100%。</w:t>
      </w:r>
    </w:p>
    <w:p w14:paraId="62B962BE">
      <w:pPr>
        <w:pStyle w:val="12"/>
        <w:pageBreakBefore w:val="0"/>
        <w:numPr>
          <w:ilvl w:val="0"/>
          <w:numId w:val="0"/>
        </w:numPr>
        <w:kinsoku/>
        <w:wordWrap/>
        <w:overflowPunct/>
        <w:topLinePunct w:val="0"/>
        <w:bidi w:val="0"/>
        <w:spacing w:line="600" w:lineRule="exact"/>
        <w:ind w:left="0" w:leftChars="0" w:firstLine="643" w:firstLineChars="200"/>
        <w:rPr>
          <w:rFonts w:hint="eastAsia" w:ascii="仿宋_GB2312" w:eastAsia="仿宋_GB2312"/>
          <w:color w:val="000000"/>
          <w:sz w:val="32"/>
          <w:szCs w:val="32"/>
        </w:rPr>
      </w:pPr>
      <w:r>
        <w:rPr>
          <w:rStyle w:val="15"/>
          <w:rFonts w:hint="eastAsia" w:ascii="仿宋_GB2312" w:eastAsia="仿宋_GB2312"/>
          <w:bCs/>
          <w:color w:val="000000"/>
          <w:sz w:val="32"/>
          <w:szCs w:val="32"/>
        </w:rPr>
        <w:t>4、住房保障支出（类）住房改革支出（款）住房公积金（项）:</w:t>
      </w:r>
      <w:r>
        <w:rPr>
          <w:rFonts w:hint="eastAsia" w:ascii="仿宋_GB2312" w:eastAsia="仿宋_GB2312"/>
          <w:color w:val="000000"/>
          <w:sz w:val="32"/>
          <w:szCs w:val="32"/>
        </w:rPr>
        <w:t>支出决算数为</w:t>
      </w:r>
      <w:r>
        <w:rPr>
          <w:rFonts w:hint="eastAsia" w:ascii="仿宋_GB2312" w:eastAsia="仿宋_GB2312"/>
          <w:color w:val="000000"/>
          <w:sz w:val="32"/>
          <w:szCs w:val="32"/>
          <w:lang w:val="en-US" w:eastAsia="zh-CN"/>
        </w:rPr>
        <w:t xml:space="preserve">15.33 </w:t>
      </w:r>
      <w:r>
        <w:rPr>
          <w:rFonts w:hint="eastAsia" w:ascii="仿宋_GB2312" w:eastAsia="仿宋_GB2312"/>
          <w:color w:val="000000"/>
          <w:sz w:val="32"/>
          <w:szCs w:val="32"/>
        </w:rPr>
        <w:t>万元，完成预算100%。</w:t>
      </w:r>
    </w:p>
    <w:p w14:paraId="7C11F7B8">
      <w:pPr>
        <w:pageBreakBefore w:val="0"/>
        <w:tabs>
          <w:tab w:val="right" w:pos="8306"/>
        </w:tabs>
        <w:kinsoku/>
        <w:wordWrap/>
        <w:overflowPunct/>
        <w:topLinePunct w:val="0"/>
        <w:bidi w:val="0"/>
        <w:spacing w:line="600" w:lineRule="exact"/>
        <w:ind w:left="0" w:leftChars="0" w:firstLine="640" w:firstLineChars="200"/>
        <w:outlineLvl w:val="1"/>
        <w:rPr>
          <w:rStyle w:val="21"/>
        </w:rPr>
      </w:pPr>
      <w:bookmarkStart w:id="11" w:name="_Toc15396608"/>
      <w:bookmarkStart w:id="1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1"/>
          <w:rFonts w:hint="eastAsia" w:ascii="黑体" w:hAnsi="黑体" w:eastAsia="黑体"/>
          <w:b w:val="0"/>
        </w:rPr>
        <w:t>般公共预算财政拨款基本支出决算情况说明</w:t>
      </w:r>
      <w:bookmarkEnd w:id="11"/>
      <w:bookmarkEnd w:id="12"/>
      <w:r>
        <w:rPr>
          <w:rStyle w:val="21"/>
          <w:rFonts w:ascii="黑体" w:hAnsi="黑体" w:eastAsia="黑体"/>
          <w:b w:val="0"/>
        </w:rPr>
        <w:tab/>
      </w:r>
    </w:p>
    <w:p w14:paraId="72BBAC4A">
      <w:pPr>
        <w:pageBreakBefore w:val="0"/>
        <w:kinsoku/>
        <w:wordWrap/>
        <w:overflowPunct/>
        <w:topLinePunct w:val="0"/>
        <w:bidi w:val="0"/>
        <w:spacing w:line="600" w:lineRule="exact"/>
        <w:ind w:left="0" w:leftChars="0"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269.15</w:t>
      </w:r>
      <w:r>
        <w:rPr>
          <w:rFonts w:hint="eastAsia" w:ascii="仿宋_GB2312" w:hAnsi="仿宋_GB2312" w:eastAsia="仿宋_GB2312" w:cs="仿宋_GB2312"/>
          <w:color w:val="000000"/>
          <w:sz w:val="32"/>
          <w:szCs w:val="32"/>
        </w:rPr>
        <w:t>万元，</w:t>
      </w:r>
    </w:p>
    <w:p w14:paraId="4869D66E">
      <w:pPr>
        <w:pageBreakBefore w:val="0"/>
        <w:kinsoku/>
        <w:wordWrap/>
        <w:overflowPunct/>
        <w:topLinePunct w:val="0"/>
        <w:bidi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p>
    <w:p w14:paraId="02B9EB13">
      <w:pPr>
        <w:pageBreakBefore w:val="0"/>
        <w:kinsoku/>
        <w:wordWrap/>
        <w:overflowPunct/>
        <w:topLinePunct w:val="0"/>
        <w:bidi w:val="0"/>
        <w:spacing w:line="600" w:lineRule="exact"/>
        <w:ind w:left="0" w:leftChars="0"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178.11</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等。</w:t>
      </w:r>
    </w:p>
    <w:p w14:paraId="186342B4">
      <w:pPr>
        <w:pageBreakBefore w:val="0"/>
        <w:kinsoku/>
        <w:wordWrap/>
        <w:overflowPunct/>
        <w:topLinePunct w:val="0"/>
        <w:bidi w:val="0"/>
        <w:spacing w:line="600" w:lineRule="exact"/>
        <w:ind w:left="0" w:leftChars="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 xml:space="preserve"> 91.04</w:t>
      </w:r>
      <w:r>
        <w:rPr>
          <w:rFonts w:hint="eastAsia" w:ascii="仿宋_GB2312" w:hAnsi="仿宋_GB2312" w:eastAsia="仿宋_GB2312" w:cs="仿宋_GB2312"/>
          <w:sz w:val="32"/>
          <w:szCs w:val="32"/>
        </w:rPr>
        <w:t>万元，主要包括：办公费、印刷费、咨询费、手续费、水费、电费、邮电费、差旅费、维修（护）费、租赁费、会议费、培训费、公务接待费、劳务费、委托业务费、工会经费、其他交通费、其他商品和服务支出等。</w:t>
      </w:r>
    </w:p>
    <w:p w14:paraId="65D1B5A9">
      <w:pPr>
        <w:pStyle w:val="1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eastAsia="仿宋_GB2312"/>
          <w:lang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w:t>
      </w:r>
      <w:r>
        <w:rPr>
          <w:rFonts w:hint="eastAsia" w:ascii="仿宋_GB2312" w:eastAsia="仿宋_GB2312"/>
          <w:color w:val="000000"/>
          <w:sz w:val="32"/>
          <w:szCs w:val="32"/>
        </w:rPr>
        <w:t>项目支出</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0万元</w:t>
      </w:r>
      <w:r>
        <w:rPr>
          <w:rFonts w:hint="eastAsia" w:ascii="仿宋_GB2312" w:eastAsia="仿宋_GB2312"/>
          <w:color w:val="000000"/>
          <w:sz w:val="32"/>
          <w:szCs w:val="32"/>
          <w:lang w:eastAsia="zh-CN"/>
        </w:rPr>
        <w:t>。</w:t>
      </w:r>
    </w:p>
    <w:p w14:paraId="5C6062D5">
      <w:pPr>
        <w:pStyle w:val="10"/>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黑体" w:cs="Times New Roman"/>
          <w:kern w:val="0"/>
          <w:sz w:val="32"/>
          <w:szCs w:val="32"/>
          <w:lang w:val="en-US" w:eastAsia="zh-CN" w:bidi="ar"/>
        </w:rPr>
      </w:pPr>
      <w:r>
        <w:rPr>
          <w:rFonts w:hint="eastAsia" w:eastAsia="黑体" w:cs="Times New Roman"/>
          <w:kern w:val="0"/>
          <w:sz w:val="32"/>
          <w:szCs w:val="32"/>
          <w:lang w:val="en-US" w:eastAsia="zh-CN" w:bidi="ar"/>
        </w:rPr>
        <w:t>七</w:t>
      </w:r>
      <w:r>
        <w:rPr>
          <w:rFonts w:hint="eastAsia" w:ascii="Times New Roman" w:hAnsi="Times New Roman" w:eastAsia="黑体" w:cs="Times New Roman"/>
          <w:kern w:val="0"/>
          <w:sz w:val="32"/>
          <w:szCs w:val="32"/>
          <w:lang w:val="en-US" w:eastAsia="zh-CN" w:bidi="ar"/>
        </w:rPr>
        <w:t>、“三公”经费财政拨款支出决算情况说明</w:t>
      </w:r>
    </w:p>
    <w:p w14:paraId="7AB248C6">
      <w:pPr>
        <w:pageBreakBefore w:val="0"/>
        <w:kinsoku/>
        <w:wordWrap/>
        <w:overflowPunct/>
        <w:topLinePunct w:val="0"/>
        <w:bidi w:val="0"/>
        <w:spacing w:line="600" w:lineRule="exact"/>
        <w:ind w:left="0" w:leftChars="0" w:firstLine="640"/>
        <w:rPr>
          <w:rFonts w:hint="eastAsia" w:ascii="Times New Roman" w:hAnsi="Times New Roman" w:eastAsia="仿宋_GB2312" w:cs="Times New Roman"/>
          <w:sz w:val="32"/>
          <w:szCs w:val="32"/>
          <w:lang w:eastAsia="zh-CN"/>
        </w:rPr>
      </w:pPr>
      <w:r>
        <w:rPr>
          <w:rFonts w:hint="eastAsia" w:ascii="仿宋_GB2312" w:hAnsi="仿宋" w:eastAsia="仿宋_GB2312"/>
          <w:sz w:val="32"/>
          <w:szCs w:val="32"/>
        </w:rPr>
        <w:t>“三公”经费支出情况：</w:t>
      </w:r>
      <w:r>
        <w:rPr>
          <w:rFonts w:hint="eastAsia" w:ascii="仿宋_GB2312" w:eastAsia="仿宋_GB2312"/>
          <w:sz w:val="32"/>
          <w:szCs w:val="32"/>
        </w:rPr>
        <w:t>区委统战部2</w:t>
      </w:r>
      <w:r>
        <w:rPr>
          <w:rFonts w:hint="eastAsia" w:ascii="仿宋_GB2312" w:eastAsia="仿宋_GB2312"/>
          <w:sz w:val="32"/>
          <w:szCs w:val="32"/>
          <w:lang w:val="en-US" w:eastAsia="zh-CN"/>
        </w:rPr>
        <w:t>020</w:t>
      </w:r>
      <w:r>
        <w:rPr>
          <w:rFonts w:hint="eastAsia" w:ascii="仿宋_GB2312" w:eastAsia="仿宋_GB2312"/>
          <w:sz w:val="32"/>
          <w:szCs w:val="32"/>
        </w:rPr>
        <w:t>年度“三公”经费财政拨款支出决算为4.5</w:t>
      </w:r>
      <w:r>
        <w:rPr>
          <w:rFonts w:hint="eastAsia" w:ascii="仿宋_GB2312" w:eastAsia="仿宋_GB2312"/>
          <w:sz w:val="32"/>
          <w:szCs w:val="32"/>
          <w:lang w:val="en-US" w:eastAsia="zh-CN"/>
        </w:rPr>
        <w:t>4</w:t>
      </w:r>
      <w:r>
        <w:rPr>
          <w:rFonts w:hint="eastAsia" w:ascii="仿宋_GB2312" w:eastAsia="仿宋_GB2312"/>
          <w:sz w:val="32"/>
          <w:szCs w:val="32"/>
        </w:rPr>
        <w:t>万元，完成预算9</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%，其中：因公出国（境）费支出为0万元</w:t>
      </w:r>
      <w:r>
        <w:rPr>
          <w:rFonts w:hint="eastAsia" w:ascii="仿宋_GB2312" w:eastAsia="仿宋_GB2312"/>
          <w:sz w:val="32"/>
          <w:szCs w:val="32"/>
          <w:lang w:eastAsia="zh-CN"/>
        </w:rPr>
        <w:t>，</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_GB2312" w:eastAsia="仿宋_GB2312"/>
          <w:sz w:val="32"/>
          <w:szCs w:val="32"/>
        </w:rPr>
        <w:t>公务用车购置</w:t>
      </w:r>
      <w:r>
        <w:rPr>
          <w:rFonts w:hint="eastAsia" w:ascii="仿宋_GB2312" w:eastAsia="仿宋_GB2312"/>
          <w:sz w:val="32"/>
          <w:szCs w:val="32"/>
          <w:lang w:eastAsia="zh-CN"/>
        </w:rPr>
        <w:t>费支出为</w:t>
      </w:r>
      <w:r>
        <w:rPr>
          <w:rFonts w:hint="eastAsia" w:ascii="仿宋_GB2312" w:eastAsia="仿宋_GB2312"/>
          <w:sz w:val="32"/>
          <w:szCs w:val="32"/>
          <w:lang w:val="en-US" w:eastAsia="zh-CN"/>
        </w:rPr>
        <w:t>0万元，</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_GB2312" w:eastAsia="仿宋_GB2312"/>
          <w:sz w:val="32"/>
          <w:szCs w:val="32"/>
        </w:rPr>
        <w:t>公务用车运行维护费支出为0万元</w:t>
      </w:r>
      <w:r>
        <w:rPr>
          <w:rFonts w:hint="eastAsia" w:ascii="仿宋_GB2312" w:eastAsia="仿宋_GB2312"/>
          <w:sz w:val="32"/>
          <w:szCs w:val="32"/>
          <w:lang w:eastAsia="zh-CN"/>
        </w:rPr>
        <w:t>，</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47F0EF9">
      <w:pPr>
        <w:pageBreakBefore w:val="0"/>
        <w:kinsoku/>
        <w:wordWrap/>
        <w:overflowPunct/>
        <w:topLinePunct w:val="0"/>
        <w:bidi w:val="0"/>
        <w:spacing w:line="600" w:lineRule="exact"/>
        <w:ind w:left="0" w:leftChars="0" w:firstLine="640"/>
        <w:rPr>
          <w:rFonts w:ascii="仿宋_GB2312" w:eastAsia="仿宋_GB2312"/>
          <w:b/>
          <w:bCs/>
          <w:sz w:val="32"/>
          <w:szCs w:val="32"/>
        </w:rPr>
      </w:pPr>
      <w:r>
        <w:rPr>
          <w:rFonts w:hint="eastAsia" w:ascii="仿宋_GB2312" w:eastAsia="仿宋_GB2312"/>
          <w:b/>
          <w:bCs/>
          <w:sz w:val="32"/>
          <w:szCs w:val="32"/>
        </w:rPr>
        <w:t>公务接待费支出决算为4.5</w:t>
      </w:r>
      <w:r>
        <w:rPr>
          <w:rFonts w:hint="eastAsia" w:ascii="仿宋_GB2312" w:eastAsia="仿宋_GB2312"/>
          <w:b/>
          <w:bCs/>
          <w:sz w:val="32"/>
          <w:szCs w:val="32"/>
          <w:lang w:val="en-US" w:eastAsia="zh-CN"/>
        </w:rPr>
        <w:t>4</w:t>
      </w:r>
      <w:r>
        <w:rPr>
          <w:rFonts w:hint="eastAsia" w:ascii="仿宋_GB2312" w:eastAsia="仿宋_GB2312"/>
          <w:b/>
          <w:bCs/>
          <w:sz w:val="32"/>
          <w:szCs w:val="32"/>
        </w:rPr>
        <w:t>万元，完成预算9</w:t>
      </w:r>
      <w:r>
        <w:rPr>
          <w:rFonts w:hint="eastAsia" w:ascii="仿宋_GB2312" w:eastAsia="仿宋_GB2312"/>
          <w:b/>
          <w:bCs/>
          <w:sz w:val="32"/>
          <w:szCs w:val="32"/>
          <w:lang w:val="en-US" w:eastAsia="zh-CN"/>
        </w:rPr>
        <w:t>0.8</w:t>
      </w:r>
      <w:r>
        <w:rPr>
          <w:rFonts w:hint="eastAsia" w:ascii="仿宋_GB2312" w:eastAsia="仿宋_GB2312"/>
          <w:b/>
          <w:bCs/>
          <w:sz w:val="32"/>
          <w:szCs w:val="32"/>
        </w:rPr>
        <w:t>%</w:t>
      </w:r>
      <w:r>
        <w:rPr>
          <w:rFonts w:hint="eastAsia" w:ascii="仿宋_GB2312" w:eastAsia="仿宋_GB2312"/>
          <w:b/>
          <w:bCs/>
          <w:sz w:val="32"/>
          <w:szCs w:val="32"/>
          <w:lang w:eastAsia="zh-CN"/>
        </w:rPr>
        <w:t>，</w:t>
      </w:r>
      <w:r>
        <w:rPr>
          <w:rFonts w:hint="eastAsia" w:ascii="仿宋_GB2312" w:eastAsia="仿宋_GB2312"/>
          <w:sz w:val="32"/>
          <w:szCs w:val="32"/>
          <w:lang w:val="en-US" w:eastAsia="zh-CN"/>
        </w:rPr>
        <w:t>2020年接待63批次，460多人。</w:t>
      </w:r>
      <w:r>
        <w:rPr>
          <w:rFonts w:hint="eastAsia" w:ascii="仿宋_GB2312" w:eastAsia="仿宋_GB2312"/>
          <w:sz w:val="32"/>
          <w:szCs w:val="32"/>
          <w:lang w:eastAsia="zh-CN"/>
        </w:rPr>
        <w:t>主要用于开展活动的交通费费和用餐费等。</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年度“三公”经费支出决算数小于预算数的主要原因是严格执行规范三公经费管理的相关规定，控制接待次数和接待标准，厉行节约。</w:t>
      </w:r>
      <w:r>
        <w:rPr>
          <w:rFonts w:hint="eastAsia" w:ascii="仿宋_GB2312" w:eastAsia="仿宋_GB2312"/>
          <w:b/>
          <w:bCs/>
          <w:sz w:val="32"/>
          <w:szCs w:val="32"/>
        </w:rPr>
        <w:t>外事接待支出0万元，</w:t>
      </w:r>
      <w:r>
        <w:rPr>
          <w:rFonts w:hint="eastAsia" w:ascii="仿宋_GB2312" w:eastAsia="仿宋_GB2312"/>
          <w:sz w:val="32"/>
          <w:szCs w:val="32"/>
        </w:rPr>
        <w:t>外事接待0批次，0人，共计支出0万元。</w:t>
      </w:r>
    </w:p>
    <w:p w14:paraId="50C92DD9">
      <w:pPr>
        <w:pageBreakBefore w:val="0"/>
        <w:kinsoku/>
        <w:wordWrap/>
        <w:overflowPunct/>
        <w:topLinePunct w:val="0"/>
        <w:bidi w:val="0"/>
        <w:spacing w:line="600" w:lineRule="exact"/>
        <w:ind w:left="0" w:leftChars="0" w:firstLine="640"/>
        <w:rPr>
          <w:rFonts w:ascii="仿宋_GB2312" w:eastAsia="仿宋_GB2312"/>
          <w:sz w:val="32"/>
          <w:szCs w:val="32"/>
        </w:rPr>
      </w:pPr>
      <w:r>
        <w:rPr>
          <w:rFonts w:ascii="仿宋_GB2312" w:eastAsia="仿宋_GB2312"/>
          <w:b/>
          <w:bCs/>
          <w:sz w:val="32"/>
          <w:szCs w:val="32"/>
        </w:rPr>
        <w:t>20</w:t>
      </w:r>
      <w:r>
        <w:rPr>
          <w:rFonts w:hint="eastAsia" w:ascii="仿宋_GB2312" w:eastAsia="仿宋_GB2312"/>
          <w:b/>
          <w:bCs/>
          <w:sz w:val="32"/>
          <w:szCs w:val="32"/>
          <w:lang w:val="en-US" w:eastAsia="zh-CN"/>
        </w:rPr>
        <w:t>20</w:t>
      </w:r>
      <w:r>
        <w:rPr>
          <w:rFonts w:hint="eastAsia" w:ascii="仿宋_GB2312" w:eastAsia="仿宋_GB2312"/>
          <w:b/>
          <w:bCs/>
          <w:sz w:val="32"/>
          <w:szCs w:val="32"/>
        </w:rPr>
        <w:t>年因公出国（境）费0万元</w:t>
      </w:r>
      <w:r>
        <w:rPr>
          <w:rFonts w:hint="eastAsia" w:ascii="仿宋_GB2312" w:eastAsia="仿宋_GB2312"/>
          <w:sz w:val="32"/>
          <w:szCs w:val="32"/>
          <w:lang w:eastAsia="zh-CN"/>
        </w:rPr>
        <w:t>，</w:t>
      </w:r>
      <w:r>
        <w:rPr>
          <w:rFonts w:hint="eastAsia" w:eastAsia="仿宋_GB2312" w:cs="Times New Roman"/>
          <w:sz w:val="32"/>
          <w:szCs w:val="32"/>
          <w:lang w:eastAsia="zh-CN"/>
        </w:rPr>
        <w:t>年初未安排预算，与上年数持平。</w:t>
      </w:r>
    </w:p>
    <w:p w14:paraId="0C44E2F7">
      <w:pPr>
        <w:pageBreakBefore w:val="0"/>
        <w:kinsoku/>
        <w:wordWrap/>
        <w:overflowPunct/>
        <w:topLinePunct w:val="0"/>
        <w:bidi w:val="0"/>
        <w:spacing w:beforeAutospacing="0" w:afterAutospacing="0" w:line="500" w:lineRule="exact"/>
        <w:ind w:firstLine="964" w:firstLineChars="300"/>
        <w:textAlignment w:val="auto"/>
        <w:rPr>
          <w:rFonts w:hint="eastAsia" w:eastAsia="仿宋_GB2312" w:cs="Times New Roman"/>
          <w:sz w:val="32"/>
          <w:szCs w:val="32"/>
          <w:lang w:eastAsia="zh-CN"/>
        </w:rPr>
      </w:pPr>
      <w:r>
        <w:rPr>
          <w:rFonts w:ascii="仿宋_GB2312" w:eastAsia="仿宋_GB2312"/>
          <w:b/>
          <w:bCs/>
          <w:sz w:val="32"/>
          <w:szCs w:val="32"/>
        </w:rPr>
        <w:t>20</w:t>
      </w:r>
      <w:r>
        <w:rPr>
          <w:rFonts w:hint="eastAsia" w:ascii="仿宋_GB2312" w:eastAsia="仿宋_GB2312"/>
          <w:b/>
          <w:bCs/>
          <w:sz w:val="32"/>
          <w:szCs w:val="32"/>
          <w:lang w:val="en-US" w:eastAsia="zh-CN"/>
        </w:rPr>
        <w:t>20</w:t>
      </w:r>
      <w:r>
        <w:rPr>
          <w:rFonts w:hint="eastAsia" w:ascii="仿宋_GB2312" w:eastAsia="仿宋_GB2312"/>
          <w:b/>
          <w:bCs/>
          <w:sz w:val="32"/>
          <w:szCs w:val="32"/>
        </w:rPr>
        <w:t>年公务用车购置及运行维护费0万元</w:t>
      </w:r>
      <w:r>
        <w:rPr>
          <w:rFonts w:hint="eastAsia" w:ascii="仿宋_GB2312" w:eastAsia="仿宋_GB2312"/>
          <w:b/>
          <w:bCs/>
          <w:sz w:val="32"/>
          <w:szCs w:val="32"/>
          <w:lang w:eastAsia="zh-CN"/>
        </w:rPr>
        <w:t>，</w:t>
      </w:r>
      <w:r>
        <w:rPr>
          <w:rFonts w:hint="eastAsia" w:eastAsia="仿宋_GB2312" w:cs="Times New Roman"/>
          <w:sz w:val="32"/>
          <w:szCs w:val="32"/>
          <w:lang w:eastAsia="zh-CN"/>
        </w:rPr>
        <w:t>年初未安排预算，与上年数持平。</w:t>
      </w:r>
    </w:p>
    <w:p w14:paraId="61CAC134">
      <w:pPr>
        <w:pageBreakBefore w:val="0"/>
        <w:kinsoku/>
        <w:wordWrap/>
        <w:overflowPunct/>
        <w:topLinePunct w:val="0"/>
        <w:bidi w:val="0"/>
        <w:spacing w:beforeAutospacing="0" w:afterAutospacing="0" w:line="500" w:lineRule="exact"/>
        <w:ind w:firstLine="960" w:firstLineChars="3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其中：公务用车购置支出0万元，年初未安排预算</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与2019年持平。全年按照规定更新购置公务用车0辆。截止2020年12月底，单位共有公务用车0辆。</w:t>
      </w:r>
    </w:p>
    <w:p w14:paraId="79130D67">
      <w:pPr>
        <w:pageBreakBefore w:val="0"/>
        <w:kinsoku/>
        <w:wordWrap/>
        <w:overflowPunct/>
        <w:topLinePunct w:val="0"/>
        <w:bidi w:val="0"/>
        <w:spacing w:beforeAutospacing="0" w:afterAutospacing="0" w:line="500" w:lineRule="exact"/>
        <w:ind w:firstLine="960" w:firstLineChars="300"/>
        <w:textAlignment w:val="auto"/>
        <w:rPr>
          <w:rFonts w:ascii="仿宋_GB2312" w:eastAsia="仿宋_GB2312"/>
          <w:sz w:val="32"/>
          <w:szCs w:val="32"/>
        </w:rPr>
      </w:pPr>
      <w:r>
        <w:rPr>
          <w:rFonts w:hint="eastAsia" w:ascii="仿宋_GB2312" w:hAnsi="Times New Roman" w:eastAsia="仿宋_GB2312" w:cs="Times New Roman"/>
          <w:sz w:val="32"/>
          <w:szCs w:val="32"/>
        </w:rPr>
        <w:t>   公务用车运行维护费支出0万元，年初未安排预算。</w:t>
      </w:r>
      <w:r>
        <w:rPr>
          <w:rFonts w:hint="eastAsia" w:ascii="仿宋_GB2312" w:hAnsi="Times New Roman" w:eastAsia="仿宋_GB2312" w:cs="Times New Roman"/>
          <w:sz w:val="32"/>
          <w:szCs w:val="32"/>
          <w:lang w:val="en-US" w:eastAsia="zh-CN"/>
        </w:rPr>
        <w:t>公务用车运行维护费</w:t>
      </w:r>
      <w:r>
        <w:rPr>
          <w:rFonts w:hint="eastAsia" w:ascii="仿宋_GB2312" w:hAnsi="Times New Roman" w:eastAsia="仿宋_GB2312" w:cs="Times New Roman"/>
          <w:sz w:val="32"/>
          <w:szCs w:val="32"/>
        </w:rPr>
        <w:t>支出决算</w:t>
      </w:r>
      <w:r>
        <w:rPr>
          <w:rFonts w:hint="eastAsia" w:ascii="仿宋_GB2312" w:hAnsi="Times New Roman" w:eastAsia="仿宋_GB2312" w:cs="Times New Roman"/>
          <w:sz w:val="32"/>
          <w:szCs w:val="32"/>
          <w:lang w:val="en-US" w:eastAsia="zh-CN"/>
        </w:rPr>
        <w:t>与</w:t>
      </w: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19</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持平</w:t>
      </w:r>
      <w:r>
        <w:rPr>
          <w:rFonts w:hint="eastAsia" w:ascii="仿宋_GB2312" w:eastAsia="仿宋_GB2312"/>
          <w:color w:val="000000"/>
          <w:sz w:val="32"/>
          <w:szCs w:val="32"/>
        </w:rPr>
        <w:t>。</w:t>
      </w:r>
    </w:p>
    <w:p w14:paraId="62CCFAA6">
      <w:pPr>
        <w:pStyle w:val="10"/>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黑体" w:cs="Times New Roman"/>
          <w:kern w:val="0"/>
          <w:sz w:val="32"/>
          <w:szCs w:val="32"/>
          <w:lang w:val="en-US" w:eastAsia="zh-CN" w:bidi="ar"/>
        </w:rPr>
      </w:pPr>
      <w:r>
        <w:rPr>
          <w:rFonts w:hint="eastAsia" w:eastAsia="黑体" w:cs="Times New Roman"/>
          <w:kern w:val="0"/>
          <w:sz w:val="32"/>
          <w:szCs w:val="32"/>
          <w:lang w:val="en-US" w:eastAsia="zh-CN" w:bidi="ar"/>
        </w:rPr>
        <w:t>八</w:t>
      </w:r>
      <w:r>
        <w:rPr>
          <w:rFonts w:hint="eastAsia" w:ascii="Times New Roman" w:hAnsi="Times New Roman" w:eastAsia="黑体" w:cs="Times New Roman"/>
          <w:kern w:val="0"/>
          <w:sz w:val="32"/>
          <w:szCs w:val="32"/>
          <w:lang w:val="en-US" w:eastAsia="zh-CN" w:bidi="ar"/>
        </w:rPr>
        <w:t>、政府性基金预算支出决算情况说明</w:t>
      </w:r>
    </w:p>
    <w:p w14:paraId="016CAC8F">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default" w:ascii="仿宋_GB2312" w:hAnsi="微软雅黑" w:eastAsia="仿宋_GB2312" w:cs="仿宋_GB2312"/>
          <w:color w:val="auto"/>
          <w:sz w:val="32"/>
          <w:szCs w:val="32"/>
          <w:lang w:val="en-US"/>
        </w:rPr>
      </w:pPr>
      <w:r>
        <w:rPr>
          <w:rFonts w:hint="default" w:ascii="仿宋_GB2312" w:hAnsi="微软雅黑" w:eastAsia="仿宋_GB2312" w:cs="仿宋_GB2312"/>
          <w:color w:val="auto"/>
          <w:sz w:val="32"/>
          <w:szCs w:val="32"/>
        </w:rPr>
        <w:t>2020年没有使用政府性基金预算拨款安排的支出。</w:t>
      </w:r>
      <w:r>
        <w:rPr>
          <w:rFonts w:hint="eastAsia" w:ascii="仿宋_GB2312" w:hAnsi="微软雅黑" w:eastAsia="仿宋_GB2312" w:cs="仿宋_GB2312"/>
          <w:color w:val="auto"/>
          <w:sz w:val="32"/>
          <w:szCs w:val="32"/>
          <w:lang w:val="en-US" w:eastAsia="zh-CN"/>
        </w:rPr>
        <w:t>2020年本单位未在政府性基金预算拨款安排“三公”经费支出.</w:t>
      </w:r>
    </w:p>
    <w:p w14:paraId="34DEFEB0">
      <w:pPr>
        <w:pStyle w:val="10"/>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黑体" w:cs="Times New Roman"/>
          <w:kern w:val="0"/>
          <w:sz w:val="32"/>
          <w:szCs w:val="32"/>
          <w:lang w:val="en-US" w:eastAsia="zh-CN" w:bidi="ar"/>
        </w:rPr>
      </w:pPr>
      <w:r>
        <w:rPr>
          <w:rFonts w:hint="eastAsia" w:eastAsia="黑体" w:cs="Times New Roman"/>
          <w:kern w:val="0"/>
          <w:sz w:val="32"/>
          <w:szCs w:val="32"/>
          <w:lang w:val="en-US" w:eastAsia="zh-CN" w:bidi="ar"/>
        </w:rPr>
        <w:t>九</w:t>
      </w:r>
      <w:r>
        <w:rPr>
          <w:rFonts w:hint="eastAsia" w:ascii="Times New Roman" w:hAnsi="Times New Roman" w:eastAsia="黑体" w:cs="Times New Roman"/>
          <w:kern w:val="0"/>
          <w:sz w:val="32"/>
          <w:szCs w:val="32"/>
          <w:lang w:val="en-US" w:eastAsia="zh-CN" w:bidi="ar"/>
        </w:rPr>
        <w:t>、 国有资本经营预算支出决算情况说明</w:t>
      </w:r>
    </w:p>
    <w:p w14:paraId="290695C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仿宋_GB2312" w:hAnsi="微软雅黑" w:eastAsia="仿宋_GB2312" w:cs="仿宋_GB2312"/>
          <w:color w:val="auto"/>
          <w:sz w:val="32"/>
          <w:szCs w:val="32"/>
        </w:rPr>
        <w:t>2020年没有使用国有资本经营预算拨款安排的支</w:t>
      </w:r>
      <w:r>
        <w:rPr>
          <w:rFonts w:hint="default" w:ascii="仿宋_GB2312" w:hAnsi="微软雅黑" w:eastAsia="仿宋_GB2312" w:cs="仿宋_GB2312"/>
          <w:color w:val="auto"/>
          <w:sz w:val="32"/>
          <w:szCs w:val="32"/>
          <w:lang w:val="en-US" w:eastAsia="zh-CN"/>
        </w:rPr>
        <w:t>出。</w:t>
      </w:r>
    </w:p>
    <w:p w14:paraId="55CAE671">
      <w:pPr>
        <w:pStyle w:val="10"/>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pPr>
      <w:r>
        <w:rPr>
          <w:rFonts w:hint="eastAsia" w:eastAsia="黑体" w:cs="Times New Roman"/>
          <w:kern w:val="0"/>
          <w:sz w:val="32"/>
          <w:szCs w:val="32"/>
          <w:lang w:val="en-US" w:eastAsia="zh-CN" w:bidi="ar"/>
        </w:rPr>
        <w:t>十</w:t>
      </w:r>
      <w:r>
        <w:rPr>
          <w:rFonts w:hint="eastAsia" w:ascii="Times New Roman" w:hAnsi="Times New Roman" w:eastAsia="黑体" w:cs="Times New Roman"/>
          <w:kern w:val="0"/>
          <w:sz w:val="32"/>
          <w:szCs w:val="32"/>
          <w:lang w:val="en-US" w:eastAsia="zh-CN" w:bidi="ar"/>
        </w:rPr>
        <w:t>、其他重要事项的情况说明</w:t>
      </w:r>
    </w:p>
    <w:p w14:paraId="166D8935">
      <w:pPr>
        <w:spacing w:line="600" w:lineRule="exact"/>
        <w:ind w:firstLine="643" w:firstLineChars="200"/>
        <w:outlineLvl w:val="2"/>
        <w:rPr>
          <w:rFonts w:ascii="仿宋" w:hAnsi="仿宋" w:eastAsia="仿宋"/>
          <w:color w:val="000000"/>
          <w:sz w:val="32"/>
          <w:szCs w:val="32"/>
        </w:rPr>
      </w:pPr>
      <w:bookmarkStart w:id="13" w:name="_Toc15377222"/>
      <w:r>
        <w:rPr>
          <w:rFonts w:hint="eastAsia" w:ascii="仿宋" w:hAnsi="仿宋" w:eastAsia="仿宋"/>
          <w:b/>
          <w:color w:val="000000"/>
          <w:sz w:val="32"/>
          <w:szCs w:val="32"/>
        </w:rPr>
        <w:t>（一）机关运行经费支出情况</w:t>
      </w:r>
      <w:bookmarkEnd w:id="13"/>
    </w:p>
    <w:p w14:paraId="0B641ED3">
      <w:pPr>
        <w:spacing w:line="600" w:lineRule="exact"/>
        <w:ind w:firstLine="640" w:firstLineChars="200"/>
        <w:rPr>
          <w:rFonts w:ascii="仿宋_GB2312" w:eastAsia="仿宋_GB2312"/>
          <w:color w:val="C00000"/>
          <w:sz w:val="32"/>
          <w:szCs w:val="32"/>
          <w:highlight w:val="yellow"/>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年，中共广元市昭化区委</w:t>
      </w:r>
      <w:r>
        <w:rPr>
          <w:rFonts w:hint="eastAsia" w:ascii="仿宋_GB2312" w:eastAsia="仿宋_GB2312"/>
          <w:sz w:val="32"/>
          <w:szCs w:val="32"/>
          <w:lang w:eastAsia="zh-CN"/>
        </w:rPr>
        <w:t>统战部</w:t>
      </w:r>
      <w:r>
        <w:rPr>
          <w:rFonts w:hint="eastAsia" w:ascii="仿宋_GB2312" w:eastAsia="仿宋_GB2312"/>
          <w:sz w:val="32"/>
          <w:szCs w:val="32"/>
        </w:rPr>
        <w:t>运行经费支出</w:t>
      </w:r>
      <w:r>
        <w:rPr>
          <w:rFonts w:hint="eastAsia" w:ascii="仿宋_GB2312" w:hAnsi="仿宋_GB2312" w:eastAsia="仿宋_GB2312" w:cs="仿宋_GB2312"/>
          <w:color w:val="000000"/>
          <w:sz w:val="32"/>
          <w:szCs w:val="32"/>
          <w:lang w:val="en-US" w:eastAsia="zh-CN"/>
        </w:rPr>
        <w:t>269.15</w:t>
      </w:r>
      <w:r>
        <w:rPr>
          <w:rFonts w:hint="eastAsia" w:ascii="仿宋_GB2312" w:eastAsia="仿宋_GB2312"/>
          <w:sz w:val="32"/>
          <w:szCs w:val="32"/>
        </w:rPr>
        <w:t>万元，比</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年增加</w:t>
      </w:r>
      <w:r>
        <w:rPr>
          <w:rFonts w:hint="eastAsia" w:ascii="仿宋_GB2312" w:eastAsia="仿宋_GB2312"/>
          <w:sz w:val="32"/>
          <w:szCs w:val="32"/>
          <w:lang w:val="en-US" w:eastAsia="zh-CN"/>
        </w:rPr>
        <w:t>39.84</w:t>
      </w:r>
      <w:r>
        <w:rPr>
          <w:rFonts w:hint="eastAsia" w:ascii="仿宋_GB2312" w:eastAsia="仿宋_GB2312"/>
          <w:sz w:val="32"/>
          <w:szCs w:val="32"/>
        </w:rPr>
        <w:t>万元，增长</w:t>
      </w:r>
      <w:r>
        <w:rPr>
          <w:rFonts w:hint="eastAsia" w:ascii="仿宋_GB2312" w:eastAsia="仿宋_GB2312"/>
          <w:sz w:val="32"/>
          <w:szCs w:val="32"/>
          <w:lang w:val="en-US" w:eastAsia="zh-CN"/>
        </w:rPr>
        <w:t>14.8</w:t>
      </w:r>
      <w:r>
        <w:rPr>
          <w:rFonts w:ascii="仿宋_GB2312" w:eastAsia="仿宋_GB2312"/>
          <w:sz w:val="32"/>
          <w:szCs w:val="32"/>
        </w:rPr>
        <w:t>%</w:t>
      </w:r>
      <w:r>
        <w:rPr>
          <w:rFonts w:hint="eastAsia" w:ascii="仿宋_GB2312" w:eastAsia="仿宋_GB2312"/>
          <w:sz w:val="32"/>
          <w:szCs w:val="32"/>
        </w:rPr>
        <w:t>，由于</w:t>
      </w:r>
      <w:r>
        <w:rPr>
          <w:rFonts w:hint="eastAsia" w:ascii="仿宋_GB2312" w:eastAsia="仿宋_GB2312"/>
          <w:sz w:val="32"/>
          <w:szCs w:val="32"/>
          <w:lang w:val="en-US" w:eastAsia="zh-CN"/>
        </w:rPr>
        <w:t>人员</w:t>
      </w:r>
      <w:r>
        <w:rPr>
          <w:rFonts w:hint="eastAsia" w:ascii="仿宋_GB2312" w:eastAsia="仿宋_GB2312"/>
          <w:sz w:val="32"/>
          <w:szCs w:val="32"/>
        </w:rPr>
        <w:t>增加。</w:t>
      </w:r>
    </w:p>
    <w:p w14:paraId="7F2C6A2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4" w:name="_Toc15377223"/>
      <w:r>
        <w:rPr>
          <w:rFonts w:hint="eastAsia" w:ascii="仿宋" w:hAnsi="仿宋" w:eastAsia="仿宋"/>
          <w:b/>
          <w:color w:val="000000"/>
          <w:sz w:val="32"/>
          <w:szCs w:val="32"/>
        </w:rPr>
        <w:t>（二）政府采购支出情况</w:t>
      </w:r>
      <w:bookmarkEnd w:id="14"/>
    </w:p>
    <w:p w14:paraId="4CBDEB9B">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570A834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5" w:name="_Toc15377224"/>
      <w:r>
        <w:rPr>
          <w:rFonts w:hint="eastAsia" w:ascii="仿宋" w:hAnsi="仿宋" w:eastAsia="仿宋"/>
          <w:b/>
          <w:color w:val="000000"/>
          <w:sz w:val="32"/>
          <w:szCs w:val="32"/>
        </w:rPr>
        <w:t>（三）国有资产占有使用情况</w:t>
      </w:r>
      <w:bookmarkEnd w:id="15"/>
    </w:p>
    <w:p w14:paraId="21371061">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日，共有车辆0辆，其中：部级领导干部用车0辆、一般公务用车0辆、一般执法执勤用车0辆、特种专业技术用车0辆、其他用车0辆，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14:paraId="3AC3FB29">
      <w:pPr>
        <w:pStyle w:val="12"/>
        <w:pageBreakBefore w:val="0"/>
        <w:kinsoku/>
        <w:wordWrap/>
        <w:overflowPunct/>
        <w:topLinePunct w:val="0"/>
        <w:bidi w:val="0"/>
        <w:spacing w:line="600" w:lineRule="exact"/>
        <w:ind w:left="0" w:leftChars="0"/>
      </w:pPr>
      <w:r>
        <w:rPr>
          <w:rFonts w:hint="eastAsia" w:ascii="仿宋" w:hAnsi="仿宋" w:eastAsia="仿宋"/>
          <w:b/>
          <w:color w:val="000000"/>
          <w:sz w:val="32"/>
          <w:szCs w:val="32"/>
          <w:lang w:eastAsia="zh-CN"/>
        </w:rPr>
        <w:t>（四</w:t>
      </w:r>
      <w:r>
        <w:rPr>
          <w:rFonts w:hint="eastAsia" w:ascii="仿宋" w:hAnsi="仿宋" w:eastAsia="仿宋"/>
          <w:b/>
          <w:color w:val="000000"/>
          <w:sz w:val="32"/>
          <w:szCs w:val="32"/>
        </w:rPr>
        <w:t>）</w:t>
      </w:r>
      <w:r>
        <w:rPr>
          <w:rFonts w:hint="eastAsia" w:ascii="仿宋" w:hAnsi="仿宋" w:eastAsia="仿宋"/>
          <w:b/>
          <w:color w:val="000000"/>
          <w:sz w:val="32"/>
          <w:szCs w:val="32"/>
          <w:lang w:eastAsia="zh-CN"/>
        </w:rPr>
        <w:t>预算绩效管理</w:t>
      </w:r>
      <w:r>
        <w:rPr>
          <w:rFonts w:hint="eastAsia" w:ascii="仿宋" w:hAnsi="仿宋" w:eastAsia="仿宋"/>
          <w:b/>
          <w:color w:val="000000"/>
          <w:sz w:val="32"/>
          <w:szCs w:val="32"/>
        </w:rPr>
        <w:t>情况</w:t>
      </w:r>
    </w:p>
    <w:p w14:paraId="7C622EF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根据</w:t>
      </w:r>
      <w:r>
        <w:rPr>
          <w:rFonts w:hint="eastAsia" w:ascii="仿宋_GB2312" w:eastAsia="仿宋_GB2312"/>
          <w:color w:val="000000"/>
          <w:sz w:val="32"/>
          <w:szCs w:val="32"/>
          <w:lang w:eastAsia="zh-CN"/>
        </w:rPr>
        <w:t>绩效</w:t>
      </w:r>
      <w:r>
        <w:rPr>
          <w:rFonts w:hint="eastAsia" w:ascii="仿宋_GB2312" w:eastAsia="仿宋_GB2312"/>
          <w:color w:val="000000"/>
          <w:sz w:val="32"/>
          <w:szCs w:val="32"/>
        </w:rPr>
        <w:t>管理要求，</w:t>
      </w:r>
      <w:r>
        <w:rPr>
          <w:rFonts w:hint="eastAsia" w:ascii="仿宋_GB2312" w:eastAsia="仿宋_GB2312"/>
          <w:color w:val="000000"/>
          <w:sz w:val="32"/>
          <w:szCs w:val="32"/>
          <w:lang w:eastAsia="zh-CN"/>
        </w:rPr>
        <w:t>区委统战部</w:t>
      </w:r>
      <w:r>
        <w:rPr>
          <w:rFonts w:hint="eastAsia" w:ascii="仿宋_GB2312" w:eastAsia="仿宋_GB2312"/>
          <w:color w:val="000000"/>
          <w:sz w:val="32"/>
          <w:szCs w:val="32"/>
        </w:rPr>
        <w:t>在年初预算编制阶段组织对</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民族宗教工作经费和侨务工作经费</w:t>
      </w:r>
      <w:r>
        <w:rPr>
          <w:rFonts w:hint="eastAsia" w:ascii="仿宋_GB2312" w:eastAsia="仿宋_GB2312"/>
          <w:color w:val="000000"/>
          <w:sz w:val="32"/>
          <w:szCs w:val="32"/>
        </w:rPr>
        <w:t>开展了预算事前绩效评估，对2020年</w:t>
      </w:r>
      <w:r>
        <w:rPr>
          <w:rFonts w:hint="eastAsia" w:ascii="仿宋_GB2312" w:eastAsia="仿宋_GB2312"/>
          <w:color w:val="000000"/>
          <w:sz w:val="32"/>
          <w:szCs w:val="32"/>
          <w:lang w:eastAsia="zh-CN"/>
        </w:rPr>
        <w:t>民族宗教工作经费和侨务工作经费</w:t>
      </w:r>
      <w:r>
        <w:rPr>
          <w:rFonts w:hint="eastAsia" w:ascii="仿宋_GB2312" w:eastAsia="仿宋_GB2312"/>
          <w:color w:val="000000"/>
          <w:sz w:val="32"/>
          <w:szCs w:val="32"/>
        </w:rPr>
        <w:t>編制了绩效目标，预算执行过程中，选取</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民族宗教工作经费和侨务工作经费</w:t>
      </w:r>
      <w:r>
        <w:rPr>
          <w:rFonts w:hint="eastAsia" w:ascii="仿宋_GB2312" w:eastAsia="仿宋_GB2312"/>
          <w:color w:val="000000"/>
          <w:sz w:val="32"/>
          <w:szCs w:val="32"/>
        </w:rPr>
        <w:t>开展绩效监控，年终执行完毕后，对2020年</w:t>
      </w:r>
      <w:r>
        <w:rPr>
          <w:rFonts w:hint="eastAsia" w:ascii="仿宋_GB2312" w:eastAsia="仿宋_GB2312"/>
          <w:color w:val="000000"/>
          <w:sz w:val="32"/>
          <w:szCs w:val="32"/>
          <w:lang w:eastAsia="zh-CN"/>
        </w:rPr>
        <w:t>民族宗教工作经费和侨务工作经费</w:t>
      </w:r>
      <w:r>
        <w:rPr>
          <w:rFonts w:hint="eastAsia" w:ascii="仿宋_GB2312" w:eastAsia="仿宋_GB2312"/>
          <w:color w:val="000000"/>
          <w:sz w:val="32"/>
          <w:szCs w:val="32"/>
        </w:rPr>
        <w:t>开展</w:t>
      </w:r>
      <w:r>
        <w:rPr>
          <w:rFonts w:hint="eastAsia" w:ascii="仿宋_GB2312" w:eastAsia="仿宋_GB2312"/>
          <w:color w:val="000000"/>
          <w:sz w:val="32"/>
          <w:szCs w:val="32"/>
          <w:lang w:eastAsia="zh-CN"/>
        </w:rPr>
        <w:t>了</w:t>
      </w:r>
      <w:r>
        <w:rPr>
          <w:rFonts w:hint="eastAsia" w:ascii="仿宋_GB2312" w:eastAsia="仿宋_GB2312"/>
          <w:color w:val="000000"/>
          <w:sz w:val="32"/>
          <w:szCs w:val="32"/>
        </w:rPr>
        <w:t>绩效目标完成</w:t>
      </w:r>
      <w:r>
        <w:rPr>
          <w:rFonts w:hint="eastAsia" w:ascii="仿宋_GB2312" w:eastAsia="仿宋_GB2312"/>
          <w:color w:val="000000"/>
          <w:sz w:val="32"/>
          <w:szCs w:val="32"/>
          <w:lang w:eastAsia="zh-CN"/>
        </w:rPr>
        <w:t>情况</w:t>
      </w:r>
      <w:r>
        <w:rPr>
          <w:rFonts w:hint="eastAsia" w:ascii="仿宋_GB2312" w:eastAsia="仿宋_GB2312"/>
          <w:color w:val="000000"/>
          <w:sz w:val="32"/>
          <w:szCs w:val="32"/>
        </w:rPr>
        <w:t>自评。</w:t>
      </w:r>
    </w:p>
    <w:p w14:paraId="7B5A032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区委统战部按</w:t>
      </w:r>
      <w:r>
        <w:rPr>
          <w:rFonts w:hint="eastAsia" w:ascii="仿宋_GB2312" w:eastAsia="仿宋_GB2312"/>
          <w:color w:val="000000"/>
          <w:sz w:val="32"/>
          <w:szCs w:val="32"/>
        </w:rPr>
        <w:t>要求对</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年部门</w:t>
      </w:r>
      <w:r>
        <w:rPr>
          <w:rFonts w:hint="eastAsia" w:ascii="仿宋_GB2312" w:eastAsia="仿宋_GB2312"/>
          <w:color w:val="000000"/>
          <w:sz w:val="32"/>
          <w:szCs w:val="32"/>
          <w:lang w:eastAsia="zh-CN"/>
        </w:rPr>
        <w:t>整体</w:t>
      </w:r>
      <w:r>
        <w:rPr>
          <w:rFonts w:hint="eastAsia" w:ascii="仿宋_GB2312" w:eastAsia="仿宋_GB2312"/>
          <w:color w:val="000000"/>
          <w:sz w:val="32"/>
          <w:szCs w:val="32"/>
        </w:rPr>
        <w:t>支出开展</w:t>
      </w:r>
      <w:r>
        <w:rPr>
          <w:rFonts w:hint="eastAsia" w:ascii="仿宋_GB2312" w:eastAsia="仿宋_GB2312"/>
          <w:color w:val="000000"/>
          <w:sz w:val="32"/>
          <w:szCs w:val="32"/>
          <w:lang w:eastAsia="zh-CN"/>
        </w:rPr>
        <w:t>绩效</w:t>
      </w:r>
      <w:r>
        <w:rPr>
          <w:rFonts w:hint="eastAsia" w:ascii="仿宋_GB2312" w:eastAsia="仿宋_GB2312"/>
          <w:color w:val="000000"/>
          <w:sz w:val="32"/>
          <w:szCs w:val="32"/>
        </w:rPr>
        <w:t>自评，从评价</w:t>
      </w:r>
      <w:r>
        <w:rPr>
          <w:rFonts w:hint="eastAsia" w:ascii="仿宋_GB2312" w:eastAsia="仿宋_GB2312"/>
          <w:color w:val="000000"/>
          <w:sz w:val="32"/>
          <w:szCs w:val="32"/>
          <w:lang w:eastAsia="zh-CN"/>
        </w:rPr>
        <w:t>情况</w:t>
      </w:r>
      <w:r>
        <w:rPr>
          <w:rFonts w:hint="eastAsia" w:ascii="仿宋_GB2312" w:eastAsia="仿宋_GB2312"/>
          <w:color w:val="000000"/>
          <w:sz w:val="32"/>
          <w:szCs w:val="32"/>
        </w:rPr>
        <w:t>来看我</w:t>
      </w:r>
      <w:r>
        <w:rPr>
          <w:rFonts w:hint="eastAsia" w:ascii="仿宋_GB2312" w:eastAsia="仿宋_GB2312"/>
          <w:color w:val="000000"/>
          <w:sz w:val="32"/>
          <w:szCs w:val="32"/>
          <w:lang w:eastAsia="zh-CN"/>
        </w:rPr>
        <w:t>部</w:t>
      </w:r>
      <w:r>
        <w:rPr>
          <w:rFonts w:hint="eastAsia" w:ascii="仿宋_GB2312" w:eastAsia="仿宋_GB2312"/>
          <w:color w:val="000000"/>
          <w:sz w:val="32"/>
          <w:szCs w:val="32"/>
        </w:rPr>
        <w:t>积极依法管理宗教行政事务，保护公民宗教信仰自由和正常的宗教活动，维护宗教界合法权益，抵御境外利用宗教进行渗透，引导各宗教坚持中国化方向，巩固和发展同宗教界的爱国统一战线。依法管理民族事务，全面促进民族事业发展。</w:t>
      </w:r>
      <w:r>
        <w:rPr>
          <w:rFonts w:hint="default" w:ascii="仿宋_GB2312" w:eastAsia="仿宋_GB2312"/>
          <w:color w:val="000000"/>
          <w:sz w:val="32"/>
          <w:szCs w:val="32"/>
          <w:lang w:val="en-US" w:eastAsia="zh-CN"/>
        </w:rPr>
        <w:t>大力开展华侨、归侨、侨眷普查，全面掌握全区侨务资源基本情况，建立侨务资源统计台账。充分发挥侨务资源优势，助力经济社会发展，建立捐赠项目需求信息库，储备项目34个，涉及教育、卫生、污水治理、农村环境整治等多个方面，总金额达3000万元。借助</w:t>
      </w:r>
      <w:r>
        <w:rPr>
          <w:rFonts w:hint="default" w:ascii="仿宋_GB2312" w:eastAsia="仿宋_GB2312"/>
          <w:color w:val="000000"/>
          <w:sz w:val="32"/>
          <w:szCs w:val="32"/>
          <w:lang w:eastAsia="zh-CN"/>
        </w:rPr>
        <w:t>“12</w:t>
      </w:r>
      <w:r>
        <w:rPr>
          <w:rFonts w:hint="default" w:ascii="仿宋_GB2312" w:eastAsia="仿宋_GB2312"/>
          <w:color w:val="000000"/>
          <w:sz w:val="32"/>
          <w:szCs w:val="32"/>
          <w:lang w:val="en-US" w:eastAsia="zh-CN"/>
        </w:rPr>
        <w:t>·</w:t>
      </w:r>
      <w:r>
        <w:rPr>
          <w:rFonts w:hint="default" w:ascii="仿宋_GB2312" w:eastAsia="仿宋_GB2312"/>
          <w:color w:val="000000"/>
          <w:sz w:val="32"/>
          <w:szCs w:val="32"/>
          <w:lang w:eastAsia="zh-CN"/>
        </w:rPr>
        <w:t>4”国家宪法日暨“宪法宣传周”活动，积极开展《中华人民共和国归侨侨眷权益保护法》颁布实施</w:t>
      </w:r>
      <w:r>
        <w:rPr>
          <w:rFonts w:hint="default" w:ascii="仿宋_GB2312" w:eastAsia="仿宋_GB2312"/>
          <w:color w:val="000000"/>
          <w:sz w:val="32"/>
          <w:szCs w:val="32"/>
          <w:lang w:val="en-US" w:eastAsia="zh-CN"/>
        </w:rPr>
        <w:t>宣传活动，发放资料宣传300余份，大力宣传涉侨权益保护，维护侨胞权益。</w:t>
      </w:r>
    </w:p>
    <w:p w14:paraId="3B7B71B9">
      <w:pPr>
        <w:rPr>
          <w:rFonts w:hint="default" w:ascii="仿宋_GB2312" w:eastAsia="仿宋_GB2312"/>
          <w:color w:val="000000"/>
          <w:sz w:val="32"/>
          <w:szCs w:val="32"/>
          <w:lang w:val="en-US" w:eastAsia="zh-CN"/>
        </w:rPr>
      </w:pPr>
      <w:r>
        <w:rPr>
          <w:rFonts w:hint="default" w:ascii="仿宋_GB2312" w:eastAsia="仿宋_GB2312"/>
          <w:color w:val="000000"/>
          <w:sz w:val="32"/>
          <w:szCs w:val="32"/>
          <w:lang w:val="en-US" w:eastAsia="zh-CN"/>
        </w:rPr>
        <w:br w:type="page"/>
      </w:r>
    </w:p>
    <w:p w14:paraId="7309C2BC">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宋体" w:eastAsia="宋体" w:cs="宋体"/>
          <w:color w:val="000000"/>
          <w:sz w:val="36"/>
          <w:szCs w:val="36"/>
          <w:lang w:eastAsia="zh-CN"/>
        </w:rPr>
      </w:pPr>
      <w:r>
        <w:rPr>
          <w:rFonts w:hint="eastAsia" w:ascii="方正小标宋简体" w:hAnsi="方正小标宋简体" w:eastAsia="方正小标宋简体" w:cs="方正小标宋简体"/>
          <w:b w:val="0"/>
          <w:bCs w:val="0"/>
          <w:color w:val="000000"/>
          <w:kern w:val="0"/>
          <w:sz w:val="44"/>
          <w:szCs w:val="44"/>
          <w:lang w:bidi="ar"/>
        </w:rPr>
        <w:t>项目绩效目标完成情况表</w:t>
      </w:r>
      <w:r>
        <w:rPr>
          <w:rFonts w:ascii="宋体" w:cs="宋体"/>
          <w:b/>
          <w:bCs/>
          <w:color w:val="000000"/>
          <w:kern w:val="0"/>
          <w:sz w:val="36"/>
          <w:szCs w:val="36"/>
          <w:lang w:bidi="ar"/>
        </w:rPr>
        <w:br w:type="textWrapping"/>
      </w:r>
      <w:r>
        <w:rPr>
          <w:rFonts w:hint="eastAsia" w:ascii="宋体" w:hAnsi="宋体" w:cs="宋体"/>
          <w:color w:val="000000"/>
          <w:kern w:val="0"/>
          <w:sz w:val="36"/>
          <w:szCs w:val="36"/>
          <w:lang w:eastAsia="zh-CN" w:bidi="ar"/>
        </w:rPr>
        <w:t>（</w:t>
      </w:r>
      <w:r>
        <w:rPr>
          <w:rFonts w:ascii="Times New Roman" w:hAnsi="Times New Roman" w:cs="宋体"/>
          <w:color w:val="000000"/>
          <w:kern w:val="0"/>
          <w:sz w:val="36"/>
          <w:szCs w:val="36"/>
          <w:lang w:bidi="ar"/>
        </w:rPr>
        <w:t>2020</w:t>
      </w:r>
      <w:r>
        <w:rPr>
          <w:rFonts w:hint="eastAsia" w:ascii="宋体" w:hAnsi="宋体" w:cs="宋体"/>
          <w:color w:val="000000"/>
          <w:kern w:val="0"/>
          <w:sz w:val="36"/>
          <w:szCs w:val="36"/>
          <w:lang w:bidi="ar"/>
        </w:rPr>
        <w:t>年度</w:t>
      </w:r>
      <w:r>
        <w:rPr>
          <w:rFonts w:hint="eastAsia" w:ascii="宋体" w:hAnsi="宋体" w:cs="宋体"/>
          <w:color w:val="000000"/>
          <w:kern w:val="0"/>
          <w:sz w:val="36"/>
          <w:szCs w:val="36"/>
          <w:lang w:eastAsia="zh-CN" w:bidi="ar"/>
        </w:rPr>
        <w:t>）</w:t>
      </w:r>
    </w:p>
    <w:tbl>
      <w:tblPr>
        <w:tblStyle w:val="13"/>
        <w:tblW w:w="10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9"/>
        <w:gridCol w:w="968"/>
        <w:gridCol w:w="1025"/>
        <w:gridCol w:w="2619"/>
        <w:gridCol w:w="2167"/>
        <w:gridCol w:w="2614"/>
      </w:tblGrid>
      <w:tr w14:paraId="4365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82" w:type="dxa"/>
            <w:gridSpan w:val="3"/>
            <w:tcBorders>
              <w:tl2br w:val="nil"/>
              <w:tr2bl w:val="nil"/>
            </w:tcBorders>
            <w:noWrap w:val="0"/>
            <w:tcMar>
              <w:top w:w="15" w:type="dxa"/>
              <w:left w:w="15" w:type="dxa"/>
              <w:right w:w="15" w:type="dxa"/>
            </w:tcMar>
            <w:vAlign w:val="center"/>
          </w:tcPr>
          <w:p w14:paraId="7C838DE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项目名称</w:t>
            </w:r>
          </w:p>
        </w:tc>
        <w:tc>
          <w:tcPr>
            <w:tcW w:w="7400" w:type="dxa"/>
            <w:gridSpan w:val="3"/>
            <w:tcBorders>
              <w:tl2br w:val="nil"/>
              <w:tr2bl w:val="nil"/>
            </w:tcBorders>
            <w:noWrap w:val="0"/>
            <w:tcMar>
              <w:top w:w="15" w:type="dxa"/>
              <w:left w:w="15" w:type="dxa"/>
              <w:right w:w="15" w:type="dxa"/>
            </w:tcMar>
            <w:vAlign w:val="center"/>
          </w:tcPr>
          <w:p w14:paraId="527BD9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民族宗教工作经费</w:t>
            </w:r>
          </w:p>
        </w:tc>
      </w:tr>
      <w:tr w14:paraId="08DE6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82" w:type="dxa"/>
            <w:gridSpan w:val="3"/>
            <w:tcBorders>
              <w:tl2br w:val="nil"/>
              <w:tr2bl w:val="nil"/>
            </w:tcBorders>
            <w:noWrap w:val="0"/>
            <w:tcMar>
              <w:top w:w="15" w:type="dxa"/>
              <w:left w:w="15" w:type="dxa"/>
              <w:right w:w="15" w:type="dxa"/>
            </w:tcMar>
            <w:vAlign w:val="center"/>
          </w:tcPr>
          <w:p w14:paraId="33D10E7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预算单位</w:t>
            </w:r>
          </w:p>
        </w:tc>
        <w:tc>
          <w:tcPr>
            <w:tcW w:w="7400" w:type="dxa"/>
            <w:gridSpan w:val="3"/>
            <w:tcBorders>
              <w:tl2br w:val="nil"/>
              <w:tr2bl w:val="nil"/>
            </w:tcBorders>
            <w:noWrap w:val="0"/>
            <w:tcMar>
              <w:top w:w="15" w:type="dxa"/>
              <w:left w:w="15" w:type="dxa"/>
              <w:right w:w="15" w:type="dxa"/>
            </w:tcMar>
            <w:vAlign w:val="center"/>
          </w:tcPr>
          <w:p w14:paraId="4A8795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中共广元市昭化区委统战部</w:t>
            </w:r>
          </w:p>
        </w:tc>
      </w:tr>
      <w:tr w14:paraId="3CB9B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89" w:type="dxa"/>
            <w:vMerge w:val="restart"/>
            <w:tcBorders>
              <w:tl2br w:val="nil"/>
              <w:tr2bl w:val="nil"/>
            </w:tcBorders>
            <w:noWrap w:val="0"/>
            <w:tcMar>
              <w:top w:w="15" w:type="dxa"/>
              <w:left w:w="15" w:type="dxa"/>
              <w:right w:w="15" w:type="dxa"/>
            </w:tcMar>
            <w:vAlign w:val="center"/>
          </w:tcPr>
          <w:p w14:paraId="2C57C106">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预算执行情况</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万元</w:t>
            </w:r>
            <w:r>
              <w:rPr>
                <w:rFonts w:hint="eastAsia" w:ascii="宋体" w:hAnsi="宋体" w:eastAsia="宋体" w:cs="宋体"/>
                <w:color w:val="000000"/>
                <w:kern w:val="0"/>
                <w:sz w:val="21"/>
                <w:szCs w:val="21"/>
                <w:lang w:eastAsia="zh-CN" w:bidi="ar"/>
              </w:rPr>
              <w:t>）</w:t>
            </w:r>
          </w:p>
        </w:tc>
        <w:tc>
          <w:tcPr>
            <w:tcW w:w="1993" w:type="dxa"/>
            <w:gridSpan w:val="2"/>
            <w:tcBorders>
              <w:tl2br w:val="nil"/>
              <w:tr2bl w:val="nil"/>
            </w:tcBorders>
            <w:noWrap w:val="0"/>
            <w:tcMar>
              <w:top w:w="15" w:type="dxa"/>
              <w:left w:w="15" w:type="dxa"/>
              <w:right w:w="15" w:type="dxa"/>
            </w:tcMar>
            <w:vAlign w:val="center"/>
          </w:tcPr>
          <w:p w14:paraId="1C6F699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预算数:</w:t>
            </w:r>
          </w:p>
        </w:tc>
        <w:tc>
          <w:tcPr>
            <w:tcW w:w="2619" w:type="dxa"/>
            <w:tcBorders>
              <w:tl2br w:val="nil"/>
              <w:tr2bl w:val="nil"/>
            </w:tcBorders>
            <w:noWrap w:val="0"/>
            <w:tcMar>
              <w:top w:w="15" w:type="dxa"/>
              <w:left w:w="15" w:type="dxa"/>
              <w:right w:w="15" w:type="dxa"/>
            </w:tcMar>
            <w:vAlign w:val="center"/>
          </w:tcPr>
          <w:p w14:paraId="7F349F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2167" w:type="dxa"/>
            <w:tcBorders>
              <w:tl2br w:val="nil"/>
              <w:tr2bl w:val="nil"/>
            </w:tcBorders>
            <w:noWrap w:val="0"/>
            <w:tcMar>
              <w:top w:w="15" w:type="dxa"/>
              <w:left w:w="15" w:type="dxa"/>
              <w:right w:w="15" w:type="dxa"/>
            </w:tcMar>
            <w:vAlign w:val="center"/>
          </w:tcPr>
          <w:p w14:paraId="2C6784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执行数:</w:t>
            </w:r>
          </w:p>
        </w:tc>
        <w:tc>
          <w:tcPr>
            <w:tcW w:w="2614" w:type="dxa"/>
            <w:tcBorders>
              <w:tl2br w:val="nil"/>
              <w:tr2bl w:val="nil"/>
            </w:tcBorders>
            <w:noWrap w:val="0"/>
            <w:tcMar>
              <w:top w:w="15" w:type="dxa"/>
              <w:left w:w="15" w:type="dxa"/>
              <w:right w:w="15" w:type="dxa"/>
            </w:tcMar>
            <w:vAlign w:val="center"/>
          </w:tcPr>
          <w:p w14:paraId="1EB671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r>
      <w:tr w14:paraId="797AE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89" w:type="dxa"/>
            <w:vMerge w:val="continue"/>
            <w:tcBorders>
              <w:tl2br w:val="nil"/>
              <w:tr2bl w:val="nil"/>
            </w:tcBorders>
            <w:noWrap w:val="0"/>
            <w:tcMar>
              <w:top w:w="15" w:type="dxa"/>
              <w:left w:w="15" w:type="dxa"/>
              <w:right w:w="15" w:type="dxa"/>
            </w:tcMar>
            <w:vAlign w:val="center"/>
          </w:tcPr>
          <w:p w14:paraId="1E593CE1">
            <w:pPr>
              <w:jc w:val="center"/>
              <w:rPr>
                <w:rFonts w:hint="eastAsia" w:ascii="宋体" w:hAnsi="宋体" w:eastAsia="宋体" w:cs="宋体"/>
                <w:color w:val="000000"/>
                <w:sz w:val="21"/>
                <w:szCs w:val="21"/>
              </w:rPr>
            </w:pPr>
          </w:p>
        </w:tc>
        <w:tc>
          <w:tcPr>
            <w:tcW w:w="1993" w:type="dxa"/>
            <w:gridSpan w:val="2"/>
            <w:tcBorders>
              <w:tl2br w:val="nil"/>
              <w:tr2bl w:val="nil"/>
            </w:tcBorders>
            <w:noWrap w:val="0"/>
            <w:tcMar>
              <w:top w:w="15" w:type="dxa"/>
              <w:left w:w="15" w:type="dxa"/>
              <w:right w:w="15" w:type="dxa"/>
            </w:tcMar>
            <w:vAlign w:val="center"/>
          </w:tcPr>
          <w:p w14:paraId="44D7FB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其中-财政拨款:</w:t>
            </w:r>
          </w:p>
        </w:tc>
        <w:tc>
          <w:tcPr>
            <w:tcW w:w="2619" w:type="dxa"/>
            <w:tcBorders>
              <w:tl2br w:val="nil"/>
              <w:tr2bl w:val="nil"/>
            </w:tcBorders>
            <w:noWrap w:val="0"/>
            <w:tcMar>
              <w:top w:w="15" w:type="dxa"/>
              <w:left w:w="15" w:type="dxa"/>
              <w:right w:w="15" w:type="dxa"/>
            </w:tcMar>
            <w:vAlign w:val="center"/>
          </w:tcPr>
          <w:p w14:paraId="23E631D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2167" w:type="dxa"/>
            <w:tcBorders>
              <w:tl2br w:val="nil"/>
              <w:tr2bl w:val="nil"/>
            </w:tcBorders>
            <w:noWrap w:val="0"/>
            <w:tcMar>
              <w:top w:w="15" w:type="dxa"/>
              <w:left w:w="15" w:type="dxa"/>
              <w:right w:w="15" w:type="dxa"/>
            </w:tcMar>
            <w:vAlign w:val="center"/>
          </w:tcPr>
          <w:p w14:paraId="303FAE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其中-财政拨款:</w:t>
            </w:r>
          </w:p>
        </w:tc>
        <w:tc>
          <w:tcPr>
            <w:tcW w:w="2614" w:type="dxa"/>
            <w:tcBorders>
              <w:tl2br w:val="nil"/>
              <w:tr2bl w:val="nil"/>
            </w:tcBorders>
            <w:noWrap w:val="0"/>
            <w:tcMar>
              <w:top w:w="15" w:type="dxa"/>
              <w:left w:w="15" w:type="dxa"/>
              <w:right w:w="15" w:type="dxa"/>
            </w:tcMar>
            <w:vAlign w:val="center"/>
          </w:tcPr>
          <w:p w14:paraId="669D7C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r>
      <w:tr w14:paraId="14268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89" w:type="dxa"/>
            <w:vMerge w:val="continue"/>
            <w:tcBorders>
              <w:tl2br w:val="nil"/>
              <w:tr2bl w:val="nil"/>
            </w:tcBorders>
            <w:noWrap w:val="0"/>
            <w:tcMar>
              <w:top w:w="15" w:type="dxa"/>
              <w:left w:w="15" w:type="dxa"/>
              <w:right w:w="15" w:type="dxa"/>
            </w:tcMar>
            <w:vAlign w:val="center"/>
          </w:tcPr>
          <w:p w14:paraId="173FDC14">
            <w:pPr>
              <w:jc w:val="center"/>
              <w:rPr>
                <w:rFonts w:hint="eastAsia" w:ascii="宋体" w:hAnsi="宋体" w:eastAsia="宋体" w:cs="宋体"/>
                <w:color w:val="000000"/>
                <w:sz w:val="21"/>
                <w:szCs w:val="21"/>
              </w:rPr>
            </w:pPr>
          </w:p>
        </w:tc>
        <w:tc>
          <w:tcPr>
            <w:tcW w:w="1993" w:type="dxa"/>
            <w:gridSpan w:val="2"/>
            <w:tcBorders>
              <w:tl2br w:val="nil"/>
              <w:tr2bl w:val="nil"/>
            </w:tcBorders>
            <w:noWrap w:val="0"/>
            <w:tcMar>
              <w:top w:w="15" w:type="dxa"/>
              <w:left w:w="15" w:type="dxa"/>
              <w:right w:w="15" w:type="dxa"/>
            </w:tcMar>
            <w:vAlign w:val="center"/>
          </w:tcPr>
          <w:p w14:paraId="26C3C76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其它资金:</w:t>
            </w:r>
          </w:p>
        </w:tc>
        <w:tc>
          <w:tcPr>
            <w:tcW w:w="2619" w:type="dxa"/>
            <w:tcBorders>
              <w:tl2br w:val="nil"/>
              <w:tr2bl w:val="nil"/>
            </w:tcBorders>
            <w:noWrap w:val="0"/>
            <w:tcMar>
              <w:top w:w="15" w:type="dxa"/>
              <w:left w:w="15" w:type="dxa"/>
              <w:right w:w="15" w:type="dxa"/>
            </w:tcMar>
            <w:vAlign w:val="center"/>
          </w:tcPr>
          <w:p w14:paraId="1A2D17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167" w:type="dxa"/>
            <w:tcBorders>
              <w:tl2br w:val="nil"/>
              <w:tr2bl w:val="nil"/>
            </w:tcBorders>
            <w:noWrap w:val="0"/>
            <w:tcMar>
              <w:top w:w="15" w:type="dxa"/>
              <w:left w:w="15" w:type="dxa"/>
              <w:right w:w="15" w:type="dxa"/>
            </w:tcMar>
            <w:vAlign w:val="center"/>
          </w:tcPr>
          <w:p w14:paraId="65621AF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其它资金:</w:t>
            </w:r>
          </w:p>
        </w:tc>
        <w:tc>
          <w:tcPr>
            <w:tcW w:w="2614" w:type="dxa"/>
            <w:tcBorders>
              <w:tl2br w:val="nil"/>
              <w:tr2bl w:val="nil"/>
            </w:tcBorders>
            <w:noWrap w:val="0"/>
            <w:tcMar>
              <w:top w:w="15" w:type="dxa"/>
              <w:left w:w="15" w:type="dxa"/>
              <w:right w:w="15" w:type="dxa"/>
            </w:tcMar>
            <w:vAlign w:val="center"/>
          </w:tcPr>
          <w:p w14:paraId="6AB8C9A5">
            <w:pPr>
              <w:keepNext w:val="0"/>
              <w:keepLines w:val="0"/>
              <w:pageBreakBefore w:val="0"/>
              <w:widowControl/>
              <w:kinsoku/>
              <w:wordWrap/>
              <w:overflowPunct/>
              <w:topLinePunct w:val="0"/>
              <w:autoSpaceDE/>
              <w:autoSpaceDN/>
              <w:bidi w:val="0"/>
              <w:adjustRightInd/>
              <w:snapToGrid/>
              <w:spacing w:line="32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23EAE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89" w:type="dxa"/>
            <w:vMerge w:val="restart"/>
            <w:tcBorders>
              <w:tl2br w:val="nil"/>
              <w:tr2bl w:val="nil"/>
            </w:tcBorders>
            <w:noWrap w:val="0"/>
            <w:tcMar>
              <w:top w:w="15" w:type="dxa"/>
              <w:left w:w="15" w:type="dxa"/>
              <w:right w:w="15" w:type="dxa"/>
            </w:tcMar>
            <w:vAlign w:val="center"/>
          </w:tcPr>
          <w:p w14:paraId="05DFBAA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年度目标完成情况</w:t>
            </w:r>
          </w:p>
        </w:tc>
        <w:tc>
          <w:tcPr>
            <w:tcW w:w="4612" w:type="dxa"/>
            <w:gridSpan w:val="3"/>
            <w:tcBorders>
              <w:tl2br w:val="nil"/>
              <w:tr2bl w:val="nil"/>
            </w:tcBorders>
            <w:noWrap w:val="0"/>
            <w:tcMar>
              <w:top w:w="15" w:type="dxa"/>
              <w:left w:w="15" w:type="dxa"/>
              <w:right w:w="15" w:type="dxa"/>
            </w:tcMar>
            <w:vAlign w:val="center"/>
          </w:tcPr>
          <w:p w14:paraId="571F349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预期目标</w:t>
            </w:r>
          </w:p>
        </w:tc>
        <w:tc>
          <w:tcPr>
            <w:tcW w:w="4781" w:type="dxa"/>
            <w:gridSpan w:val="2"/>
            <w:tcBorders>
              <w:tl2br w:val="nil"/>
              <w:tr2bl w:val="nil"/>
            </w:tcBorders>
            <w:noWrap w:val="0"/>
            <w:tcMar>
              <w:top w:w="15" w:type="dxa"/>
              <w:left w:w="15" w:type="dxa"/>
              <w:right w:w="15" w:type="dxa"/>
            </w:tcMar>
            <w:vAlign w:val="center"/>
          </w:tcPr>
          <w:p w14:paraId="33EE53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实际完成目标</w:t>
            </w:r>
          </w:p>
        </w:tc>
      </w:tr>
      <w:tr w14:paraId="1F399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jc w:val="center"/>
        </w:trPr>
        <w:tc>
          <w:tcPr>
            <w:tcW w:w="789" w:type="dxa"/>
            <w:vMerge w:val="continue"/>
            <w:tcBorders>
              <w:tl2br w:val="nil"/>
              <w:tr2bl w:val="nil"/>
            </w:tcBorders>
            <w:noWrap w:val="0"/>
            <w:tcMar>
              <w:top w:w="15" w:type="dxa"/>
              <w:left w:w="15" w:type="dxa"/>
              <w:right w:w="15" w:type="dxa"/>
            </w:tcMar>
            <w:vAlign w:val="center"/>
          </w:tcPr>
          <w:p w14:paraId="523937B5">
            <w:pPr>
              <w:jc w:val="center"/>
              <w:rPr>
                <w:rFonts w:hint="eastAsia" w:ascii="宋体" w:hAnsi="宋体" w:eastAsia="宋体" w:cs="宋体"/>
                <w:color w:val="000000"/>
                <w:sz w:val="21"/>
                <w:szCs w:val="21"/>
              </w:rPr>
            </w:pPr>
          </w:p>
        </w:tc>
        <w:tc>
          <w:tcPr>
            <w:tcW w:w="4612" w:type="dxa"/>
            <w:gridSpan w:val="3"/>
            <w:tcBorders>
              <w:tl2br w:val="nil"/>
              <w:tr2bl w:val="nil"/>
            </w:tcBorders>
            <w:noWrap w:val="0"/>
            <w:tcMar>
              <w:top w:w="15" w:type="dxa"/>
              <w:left w:w="15" w:type="dxa"/>
              <w:right w:w="15" w:type="dxa"/>
            </w:tcMar>
            <w:vAlign w:val="top"/>
          </w:tcPr>
          <w:p w14:paraId="3539FA93">
            <w:pPr>
              <w:keepNext w:val="0"/>
              <w:keepLines w:val="0"/>
              <w:pageBreakBefore w:val="0"/>
              <w:widowControl/>
              <w:suppressLineNumbers w:val="0"/>
              <w:kinsoku/>
              <w:wordWrap/>
              <w:overflowPunct/>
              <w:topLinePunct w:val="0"/>
              <w:autoSpaceDE/>
              <w:autoSpaceDN/>
              <w:bidi w:val="0"/>
              <w:adjustRightInd/>
              <w:snapToGrid/>
              <w:spacing w:line="280" w:lineRule="exact"/>
              <w:ind w:firstLine="356" w:firstLineChars="200"/>
              <w:jc w:val="left"/>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一是全面推进民族团结进步示范创建工作。构建“互嵌”式社会结构管理体制机制，搭建少数民族流动人口服务管理体制机制，建立少数民族人口信息台账；</w:t>
            </w:r>
          </w:p>
          <w:p w14:paraId="528F708F">
            <w:pPr>
              <w:keepNext w:val="0"/>
              <w:keepLines w:val="0"/>
              <w:pageBreakBefore w:val="0"/>
              <w:widowControl/>
              <w:suppressLineNumbers w:val="0"/>
              <w:kinsoku/>
              <w:wordWrap/>
              <w:overflowPunct/>
              <w:topLinePunct w:val="0"/>
              <w:autoSpaceDE/>
              <w:autoSpaceDN/>
              <w:bidi w:val="0"/>
              <w:adjustRightInd/>
              <w:snapToGrid/>
              <w:spacing w:line="280" w:lineRule="exact"/>
              <w:ind w:firstLine="356" w:firstLineChars="200"/>
              <w:jc w:val="left"/>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二是加强对宗教政策的宣传，严厉打击非法宗教活动，抵御境外渗透，妥善处理因民族宗教引起的突发事件，做好小寺山爱国主义教育基地工作。</w:t>
            </w:r>
          </w:p>
        </w:tc>
        <w:tc>
          <w:tcPr>
            <w:tcW w:w="4781" w:type="dxa"/>
            <w:gridSpan w:val="2"/>
            <w:tcBorders>
              <w:tl2br w:val="nil"/>
              <w:tr2bl w:val="nil"/>
            </w:tcBorders>
            <w:noWrap w:val="0"/>
            <w:tcMar>
              <w:top w:w="15" w:type="dxa"/>
              <w:left w:w="15" w:type="dxa"/>
              <w:right w:w="15" w:type="dxa"/>
            </w:tcMar>
            <w:vAlign w:val="top"/>
          </w:tcPr>
          <w:p w14:paraId="785EBE16">
            <w:pPr>
              <w:keepNext w:val="0"/>
              <w:keepLines w:val="0"/>
              <w:pageBreakBefore w:val="0"/>
              <w:widowControl/>
              <w:suppressLineNumbers w:val="0"/>
              <w:kinsoku/>
              <w:wordWrap/>
              <w:overflowPunct/>
              <w:topLinePunct w:val="0"/>
              <w:autoSpaceDE/>
              <w:autoSpaceDN/>
              <w:bidi w:val="0"/>
              <w:adjustRightInd/>
              <w:snapToGrid/>
              <w:spacing w:line="280" w:lineRule="exact"/>
              <w:ind w:firstLine="356" w:firstLineChars="200"/>
              <w:jc w:val="left"/>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全面推进民族团结进步示范创建工作。构建“互嵌”式社会结构管理体制机制，搭建少数民族流动人口服务管理体制机制，建立少数民族人口信息台账；加强对宗教政策的宣传，严厉打击非法宗教活动，抵御境外渗透，妥善处理因民族宗教引起的突发事件，做好小寺山爱国主义教育基地工作。</w:t>
            </w:r>
          </w:p>
        </w:tc>
      </w:tr>
      <w:tr w14:paraId="04FFC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789" w:type="dxa"/>
            <w:vMerge w:val="restart"/>
            <w:tcBorders>
              <w:tl2br w:val="nil"/>
              <w:tr2bl w:val="nil"/>
            </w:tcBorders>
            <w:noWrap w:val="0"/>
            <w:tcMar>
              <w:top w:w="15" w:type="dxa"/>
              <w:left w:w="15" w:type="dxa"/>
              <w:right w:w="15" w:type="dxa"/>
            </w:tcMar>
            <w:vAlign w:val="center"/>
          </w:tcPr>
          <w:p w14:paraId="4565636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绩效指标完成情况</w:t>
            </w:r>
          </w:p>
        </w:tc>
        <w:tc>
          <w:tcPr>
            <w:tcW w:w="968" w:type="dxa"/>
            <w:tcBorders>
              <w:tl2br w:val="nil"/>
              <w:tr2bl w:val="nil"/>
            </w:tcBorders>
            <w:noWrap w:val="0"/>
            <w:tcMar>
              <w:top w:w="15" w:type="dxa"/>
              <w:left w:w="15" w:type="dxa"/>
              <w:right w:w="15" w:type="dxa"/>
            </w:tcMar>
            <w:vAlign w:val="center"/>
          </w:tcPr>
          <w:p w14:paraId="3CEF5A3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一级指标</w:t>
            </w:r>
          </w:p>
        </w:tc>
        <w:tc>
          <w:tcPr>
            <w:tcW w:w="1025" w:type="dxa"/>
            <w:tcBorders>
              <w:tl2br w:val="nil"/>
              <w:tr2bl w:val="nil"/>
            </w:tcBorders>
            <w:noWrap w:val="0"/>
            <w:tcMar>
              <w:top w:w="15" w:type="dxa"/>
              <w:left w:w="15" w:type="dxa"/>
              <w:right w:w="15" w:type="dxa"/>
            </w:tcMar>
            <w:vAlign w:val="center"/>
          </w:tcPr>
          <w:p w14:paraId="4AC389C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二级指标</w:t>
            </w:r>
          </w:p>
        </w:tc>
        <w:tc>
          <w:tcPr>
            <w:tcW w:w="2619" w:type="dxa"/>
            <w:tcBorders>
              <w:tl2br w:val="nil"/>
              <w:tr2bl w:val="nil"/>
            </w:tcBorders>
            <w:noWrap w:val="0"/>
            <w:tcMar>
              <w:top w:w="15" w:type="dxa"/>
              <w:left w:w="15" w:type="dxa"/>
              <w:right w:w="15" w:type="dxa"/>
            </w:tcMar>
            <w:vAlign w:val="center"/>
          </w:tcPr>
          <w:p w14:paraId="51D25B9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三级指标</w:t>
            </w:r>
          </w:p>
        </w:tc>
        <w:tc>
          <w:tcPr>
            <w:tcW w:w="2167" w:type="dxa"/>
            <w:tcBorders>
              <w:tl2br w:val="nil"/>
              <w:tr2bl w:val="nil"/>
            </w:tcBorders>
            <w:noWrap w:val="0"/>
            <w:tcMar>
              <w:top w:w="15" w:type="dxa"/>
              <w:left w:w="15" w:type="dxa"/>
              <w:right w:w="15" w:type="dxa"/>
            </w:tcMar>
            <w:vAlign w:val="center"/>
          </w:tcPr>
          <w:p w14:paraId="7DCDC598">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预期指标值</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包含数字及文字描述</w:t>
            </w:r>
            <w:r>
              <w:rPr>
                <w:rFonts w:hint="eastAsia" w:ascii="宋体" w:hAnsi="宋体" w:eastAsia="宋体" w:cs="宋体"/>
                <w:color w:val="000000"/>
                <w:kern w:val="0"/>
                <w:sz w:val="21"/>
                <w:szCs w:val="21"/>
                <w:lang w:eastAsia="zh-CN" w:bidi="ar"/>
              </w:rPr>
              <w:t>）</w:t>
            </w:r>
          </w:p>
        </w:tc>
        <w:tc>
          <w:tcPr>
            <w:tcW w:w="2614" w:type="dxa"/>
            <w:tcBorders>
              <w:tl2br w:val="nil"/>
              <w:tr2bl w:val="nil"/>
            </w:tcBorders>
            <w:noWrap w:val="0"/>
            <w:tcMar>
              <w:top w:w="15" w:type="dxa"/>
              <w:left w:w="15" w:type="dxa"/>
              <w:right w:w="15" w:type="dxa"/>
            </w:tcMar>
            <w:vAlign w:val="center"/>
          </w:tcPr>
          <w:p w14:paraId="32796482">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实际完成指标值</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包含数字及文字描述</w:t>
            </w:r>
            <w:r>
              <w:rPr>
                <w:rFonts w:hint="eastAsia" w:ascii="宋体" w:hAnsi="宋体" w:eastAsia="宋体" w:cs="宋体"/>
                <w:color w:val="000000"/>
                <w:kern w:val="0"/>
                <w:sz w:val="21"/>
                <w:szCs w:val="21"/>
                <w:lang w:eastAsia="zh-CN" w:bidi="ar"/>
              </w:rPr>
              <w:t>）</w:t>
            </w:r>
          </w:p>
        </w:tc>
      </w:tr>
      <w:tr w14:paraId="0EC4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789" w:type="dxa"/>
            <w:vMerge w:val="continue"/>
            <w:tcBorders>
              <w:tl2br w:val="nil"/>
              <w:tr2bl w:val="nil"/>
            </w:tcBorders>
            <w:noWrap w:val="0"/>
            <w:tcMar>
              <w:top w:w="15" w:type="dxa"/>
              <w:left w:w="15" w:type="dxa"/>
              <w:right w:w="15" w:type="dxa"/>
            </w:tcMar>
            <w:vAlign w:val="center"/>
          </w:tcPr>
          <w:p w14:paraId="06C2C012">
            <w:pPr>
              <w:widowControl/>
              <w:jc w:val="center"/>
              <w:textAlignment w:val="center"/>
              <w:rPr>
                <w:rFonts w:hint="eastAsia" w:ascii="宋体" w:hAnsi="宋体" w:eastAsia="宋体" w:cs="宋体"/>
                <w:color w:val="000000"/>
                <w:sz w:val="21"/>
                <w:szCs w:val="21"/>
              </w:rPr>
            </w:pPr>
          </w:p>
        </w:tc>
        <w:tc>
          <w:tcPr>
            <w:tcW w:w="968" w:type="dxa"/>
            <w:tcBorders>
              <w:tl2br w:val="nil"/>
              <w:tr2bl w:val="nil"/>
            </w:tcBorders>
            <w:noWrap w:val="0"/>
            <w:tcMar>
              <w:top w:w="15" w:type="dxa"/>
              <w:left w:w="15" w:type="dxa"/>
              <w:right w:w="15" w:type="dxa"/>
            </w:tcMar>
            <w:vAlign w:val="center"/>
          </w:tcPr>
          <w:p w14:paraId="47306AC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项目完成指标</w:t>
            </w:r>
          </w:p>
        </w:tc>
        <w:tc>
          <w:tcPr>
            <w:tcW w:w="1025" w:type="dxa"/>
            <w:tcBorders>
              <w:tl2br w:val="nil"/>
              <w:tr2bl w:val="nil"/>
            </w:tcBorders>
            <w:noWrap w:val="0"/>
            <w:tcMar>
              <w:top w:w="15" w:type="dxa"/>
              <w:left w:w="15" w:type="dxa"/>
              <w:right w:w="15" w:type="dxa"/>
            </w:tcMar>
            <w:vAlign w:val="center"/>
          </w:tcPr>
          <w:p w14:paraId="3B9ADF3D">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数量指标</w:t>
            </w:r>
          </w:p>
        </w:tc>
        <w:tc>
          <w:tcPr>
            <w:tcW w:w="2619" w:type="dxa"/>
            <w:tcBorders>
              <w:tl2br w:val="nil"/>
              <w:tr2bl w:val="nil"/>
            </w:tcBorders>
            <w:noWrap w:val="0"/>
            <w:tcMar>
              <w:top w:w="15" w:type="dxa"/>
              <w:left w:w="15" w:type="dxa"/>
              <w:right w:w="15" w:type="dxa"/>
            </w:tcMar>
            <w:vAlign w:val="center"/>
          </w:tcPr>
          <w:p w14:paraId="4BA6E78D">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召开民族宗教专题培训会、专项检查场次</w:t>
            </w:r>
          </w:p>
        </w:tc>
        <w:tc>
          <w:tcPr>
            <w:tcW w:w="2167" w:type="dxa"/>
            <w:tcBorders>
              <w:tl2br w:val="nil"/>
              <w:tr2bl w:val="nil"/>
            </w:tcBorders>
            <w:noWrap w:val="0"/>
            <w:tcMar>
              <w:top w:w="15" w:type="dxa"/>
              <w:left w:w="15" w:type="dxa"/>
              <w:right w:w="15" w:type="dxa"/>
            </w:tcMar>
            <w:vAlign w:val="center"/>
          </w:tcPr>
          <w:p w14:paraId="507AE899">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40</w:t>
            </w:r>
            <w:r>
              <w:rPr>
                <w:rFonts w:hint="eastAsia" w:ascii="宋体" w:hAnsi="宋体" w:eastAsia="宋体" w:cs="宋体"/>
                <w:color w:val="000000"/>
                <w:sz w:val="21"/>
                <w:szCs w:val="21"/>
                <w:lang w:val="en-US" w:eastAsia="zh-CN"/>
              </w:rPr>
              <w:t>次</w:t>
            </w:r>
          </w:p>
        </w:tc>
        <w:tc>
          <w:tcPr>
            <w:tcW w:w="2614" w:type="dxa"/>
            <w:tcBorders>
              <w:tl2br w:val="nil"/>
              <w:tr2bl w:val="nil"/>
            </w:tcBorders>
            <w:noWrap w:val="0"/>
            <w:tcMar>
              <w:top w:w="15" w:type="dxa"/>
              <w:left w:w="15" w:type="dxa"/>
              <w:right w:w="15" w:type="dxa"/>
            </w:tcMar>
            <w:vAlign w:val="center"/>
          </w:tcPr>
          <w:p w14:paraId="38D9E77D">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w:t>
            </w:r>
          </w:p>
        </w:tc>
      </w:tr>
      <w:tr w14:paraId="21CA1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789" w:type="dxa"/>
            <w:vMerge w:val="continue"/>
            <w:tcBorders>
              <w:tl2br w:val="nil"/>
              <w:tr2bl w:val="nil"/>
            </w:tcBorders>
            <w:noWrap w:val="0"/>
            <w:tcMar>
              <w:top w:w="15" w:type="dxa"/>
              <w:left w:w="15" w:type="dxa"/>
              <w:right w:w="15" w:type="dxa"/>
            </w:tcMar>
            <w:vAlign w:val="center"/>
          </w:tcPr>
          <w:p w14:paraId="5E76D4FF">
            <w:pPr>
              <w:widowControl/>
              <w:jc w:val="center"/>
              <w:textAlignment w:val="center"/>
              <w:rPr>
                <w:rFonts w:hint="eastAsia" w:ascii="宋体" w:hAnsi="宋体" w:eastAsia="宋体" w:cs="宋体"/>
                <w:color w:val="000000"/>
                <w:sz w:val="21"/>
                <w:szCs w:val="21"/>
              </w:rPr>
            </w:pPr>
          </w:p>
        </w:tc>
        <w:tc>
          <w:tcPr>
            <w:tcW w:w="968" w:type="dxa"/>
            <w:tcBorders>
              <w:tl2br w:val="nil"/>
              <w:tr2bl w:val="nil"/>
            </w:tcBorders>
            <w:noWrap w:val="0"/>
            <w:tcMar>
              <w:top w:w="15" w:type="dxa"/>
              <w:left w:w="15" w:type="dxa"/>
              <w:right w:w="15" w:type="dxa"/>
            </w:tcMar>
            <w:vAlign w:val="center"/>
          </w:tcPr>
          <w:p w14:paraId="16FCDC5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项目完成指标</w:t>
            </w:r>
          </w:p>
        </w:tc>
        <w:tc>
          <w:tcPr>
            <w:tcW w:w="1025" w:type="dxa"/>
            <w:tcBorders>
              <w:tl2br w:val="nil"/>
              <w:tr2bl w:val="nil"/>
            </w:tcBorders>
            <w:noWrap w:val="0"/>
            <w:tcMar>
              <w:top w:w="15" w:type="dxa"/>
              <w:left w:w="15" w:type="dxa"/>
              <w:right w:w="15" w:type="dxa"/>
            </w:tcMar>
            <w:vAlign w:val="center"/>
          </w:tcPr>
          <w:p w14:paraId="62E113E5">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质量指标</w:t>
            </w:r>
          </w:p>
        </w:tc>
        <w:tc>
          <w:tcPr>
            <w:tcW w:w="2619" w:type="dxa"/>
            <w:tcBorders>
              <w:tl2br w:val="nil"/>
              <w:tr2bl w:val="nil"/>
            </w:tcBorders>
            <w:noWrap w:val="0"/>
            <w:tcMar>
              <w:top w:w="15" w:type="dxa"/>
              <w:left w:w="15" w:type="dxa"/>
              <w:right w:w="15" w:type="dxa"/>
            </w:tcMar>
            <w:vAlign w:val="center"/>
          </w:tcPr>
          <w:p w14:paraId="43070E92">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加强非法宗教活动、非法宣传活动打击力度，提高防邪、反恐、禁毒知识专题培训和反恐演练开展频次</w:t>
            </w:r>
          </w:p>
        </w:tc>
        <w:tc>
          <w:tcPr>
            <w:tcW w:w="2167" w:type="dxa"/>
            <w:tcBorders>
              <w:tl2br w:val="nil"/>
              <w:tr2bl w:val="nil"/>
            </w:tcBorders>
            <w:noWrap w:val="0"/>
            <w:tcMar>
              <w:top w:w="15" w:type="dxa"/>
              <w:left w:w="15" w:type="dxa"/>
              <w:right w:w="15" w:type="dxa"/>
            </w:tcMar>
            <w:vAlign w:val="center"/>
          </w:tcPr>
          <w:p w14:paraId="34D17B12">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优良中低差</w:t>
            </w:r>
          </w:p>
        </w:tc>
        <w:tc>
          <w:tcPr>
            <w:tcW w:w="2614" w:type="dxa"/>
            <w:tcBorders>
              <w:tl2br w:val="nil"/>
              <w:tr2bl w:val="nil"/>
            </w:tcBorders>
            <w:noWrap w:val="0"/>
            <w:tcMar>
              <w:top w:w="15" w:type="dxa"/>
              <w:left w:w="15" w:type="dxa"/>
              <w:right w:w="15" w:type="dxa"/>
            </w:tcMar>
            <w:vAlign w:val="center"/>
          </w:tcPr>
          <w:p w14:paraId="026F486E">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优</w:t>
            </w:r>
          </w:p>
        </w:tc>
      </w:tr>
      <w:tr w14:paraId="3F9E5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789" w:type="dxa"/>
            <w:vMerge w:val="continue"/>
            <w:tcBorders>
              <w:tl2br w:val="nil"/>
              <w:tr2bl w:val="nil"/>
            </w:tcBorders>
            <w:noWrap w:val="0"/>
            <w:tcMar>
              <w:top w:w="15" w:type="dxa"/>
              <w:left w:w="15" w:type="dxa"/>
              <w:right w:w="15" w:type="dxa"/>
            </w:tcMar>
            <w:vAlign w:val="center"/>
          </w:tcPr>
          <w:p w14:paraId="4245861A">
            <w:pPr>
              <w:widowControl/>
              <w:jc w:val="center"/>
              <w:textAlignment w:val="center"/>
              <w:rPr>
                <w:rFonts w:hint="eastAsia" w:ascii="宋体" w:hAnsi="宋体" w:eastAsia="宋体" w:cs="宋体"/>
                <w:color w:val="000000"/>
                <w:sz w:val="21"/>
                <w:szCs w:val="21"/>
              </w:rPr>
            </w:pPr>
          </w:p>
        </w:tc>
        <w:tc>
          <w:tcPr>
            <w:tcW w:w="968" w:type="dxa"/>
            <w:tcBorders>
              <w:tl2br w:val="nil"/>
              <w:tr2bl w:val="nil"/>
            </w:tcBorders>
            <w:noWrap w:val="0"/>
            <w:tcMar>
              <w:top w:w="15" w:type="dxa"/>
              <w:left w:w="15" w:type="dxa"/>
              <w:right w:w="15" w:type="dxa"/>
            </w:tcMar>
            <w:vAlign w:val="center"/>
          </w:tcPr>
          <w:p w14:paraId="5812A9AD">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项目完成指标</w:t>
            </w:r>
          </w:p>
        </w:tc>
        <w:tc>
          <w:tcPr>
            <w:tcW w:w="1025" w:type="dxa"/>
            <w:tcBorders>
              <w:tl2br w:val="nil"/>
              <w:tr2bl w:val="nil"/>
            </w:tcBorders>
            <w:noWrap w:val="0"/>
            <w:tcMar>
              <w:top w:w="15" w:type="dxa"/>
              <w:left w:w="15" w:type="dxa"/>
              <w:right w:w="15" w:type="dxa"/>
            </w:tcMar>
            <w:vAlign w:val="center"/>
          </w:tcPr>
          <w:p w14:paraId="0FBCDD02">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时效指标</w:t>
            </w:r>
          </w:p>
        </w:tc>
        <w:tc>
          <w:tcPr>
            <w:tcW w:w="2619" w:type="dxa"/>
            <w:tcBorders>
              <w:tl2br w:val="nil"/>
              <w:tr2bl w:val="nil"/>
            </w:tcBorders>
            <w:noWrap w:val="0"/>
            <w:tcMar>
              <w:top w:w="15" w:type="dxa"/>
              <w:left w:w="15" w:type="dxa"/>
              <w:right w:w="15" w:type="dxa"/>
            </w:tcMar>
            <w:vAlign w:val="center"/>
          </w:tcPr>
          <w:p w14:paraId="18EE764B">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工作完成时间</w:t>
            </w:r>
          </w:p>
        </w:tc>
        <w:tc>
          <w:tcPr>
            <w:tcW w:w="2167" w:type="dxa"/>
            <w:tcBorders>
              <w:tl2br w:val="nil"/>
              <w:tr2bl w:val="nil"/>
            </w:tcBorders>
            <w:noWrap w:val="0"/>
            <w:tcMar>
              <w:top w:w="15" w:type="dxa"/>
              <w:left w:w="15" w:type="dxa"/>
              <w:right w:w="15" w:type="dxa"/>
            </w:tcMar>
            <w:vAlign w:val="center"/>
          </w:tcPr>
          <w:p w14:paraId="423EC35B">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12个月</w:t>
            </w:r>
          </w:p>
        </w:tc>
        <w:tc>
          <w:tcPr>
            <w:tcW w:w="2614" w:type="dxa"/>
            <w:tcBorders>
              <w:tl2br w:val="nil"/>
              <w:tr2bl w:val="nil"/>
            </w:tcBorders>
            <w:noWrap w:val="0"/>
            <w:tcMar>
              <w:top w:w="15" w:type="dxa"/>
              <w:left w:w="15" w:type="dxa"/>
              <w:right w:w="15" w:type="dxa"/>
            </w:tcMar>
            <w:vAlign w:val="center"/>
          </w:tcPr>
          <w:p w14:paraId="39E8779F">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w:t>
            </w:r>
          </w:p>
        </w:tc>
      </w:tr>
      <w:tr w14:paraId="14005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789" w:type="dxa"/>
            <w:vMerge w:val="continue"/>
            <w:tcBorders>
              <w:tl2br w:val="nil"/>
              <w:tr2bl w:val="nil"/>
            </w:tcBorders>
            <w:noWrap w:val="0"/>
            <w:tcMar>
              <w:top w:w="15" w:type="dxa"/>
              <w:left w:w="15" w:type="dxa"/>
              <w:right w:w="15" w:type="dxa"/>
            </w:tcMar>
            <w:vAlign w:val="center"/>
          </w:tcPr>
          <w:p w14:paraId="368A9B6B">
            <w:pPr>
              <w:widowControl/>
              <w:jc w:val="center"/>
              <w:textAlignment w:val="center"/>
              <w:rPr>
                <w:rFonts w:hint="eastAsia" w:ascii="宋体" w:hAnsi="宋体" w:eastAsia="宋体" w:cs="宋体"/>
                <w:color w:val="000000"/>
                <w:sz w:val="21"/>
                <w:szCs w:val="21"/>
              </w:rPr>
            </w:pPr>
          </w:p>
        </w:tc>
        <w:tc>
          <w:tcPr>
            <w:tcW w:w="968" w:type="dxa"/>
            <w:tcBorders>
              <w:tl2br w:val="nil"/>
              <w:tr2bl w:val="nil"/>
            </w:tcBorders>
            <w:noWrap w:val="0"/>
            <w:tcMar>
              <w:top w:w="15" w:type="dxa"/>
              <w:left w:w="15" w:type="dxa"/>
              <w:right w:w="15" w:type="dxa"/>
            </w:tcMar>
            <w:vAlign w:val="center"/>
          </w:tcPr>
          <w:p w14:paraId="4062A3F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效益指标</w:t>
            </w:r>
          </w:p>
        </w:tc>
        <w:tc>
          <w:tcPr>
            <w:tcW w:w="1025" w:type="dxa"/>
            <w:tcBorders>
              <w:tl2br w:val="nil"/>
              <w:tr2bl w:val="nil"/>
            </w:tcBorders>
            <w:noWrap w:val="0"/>
            <w:tcMar>
              <w:top w:w="15" w:type="dxa"/>
              <w:left w:w="15" w:type="dxa"/>
              <w:right w:w="15" w:type="dxa"/>
            </w:tcMar>
            <w:vAlign w:val="center"/>
          </w:tcPr>
          <w:p w14:paraId="1346921F">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社会效益</w:t>
            </w:r>
          </w:p>
        </w:tc>
        <w:tc>
          <w:tcPr>
            <w:tcW w:w="2619" w:type="dxa"/>
            <w:tcBorders>
              <w:tl2br w:val="nil"/>
              <w:tr2bl w:val="nil"/>
            </w:tcBorders>
            <w:noWrap w:val="0"/>
            <w:tcMar>
              <w:top w:w="15" w:type="dxa"/>
              <w:left w:w="15" w:type="dxa"/>
              <w:right w:w="15" w:type="dxa"/>
            </w:tcMar>
            <w:vAlign w:val="center"/>
          </w:tcPr>
          <w:p w14:paraId="70610957">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确保民族宗教领域和睦和顺</w:t>
            </w:r>
          </w:p>
        </w:tc>
        <w:tc>
          <w:tcPr>
            <w:tcW w:w="2167" w:type="dxa"/>
            <w:tcBorders>
              <w:tl2br w:val="nil"/>
              <w:tr2bl w:val="nil"/>
            </w:tcBorders>
            <w:noWrap w:val="0"/>
            <w:tcMar>
              <w:top w:w="15" w:type="dxa"/>
              <w:left w:w="15" w:type="dxa"/>
              <w:right w:w="15" w:type="dxa"/>
            </w:tcMar>
            <w:vAlign w:val="center"/>
          </w:tcPr>
          <w:p w14:paraId="66A62870">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优良中低差</w:t>
            </w:r>
          </w:p>
        </w:tc>
        <w:tc>
          <w:tcPr>
            <w:tcW w:w="2614" w:type="dxa"/>
            <w:tcBorders>
              <w:tl2br w:val="nil"/>
              <w:tr2bl w:val="nil"/>
            </w:tcBorders>
            <w:noWrap w:val="0"/>
            <w:tcMar>
              <w:top w:w="15" w:type="dxa"/>
              <w:left w:w="15" w:type="dxa"/>
              <w:right w:w="15" w:type="dxa"/>
            </w:tcMar>
            <w:vAlign w:val="center"/>
          </w:tcPr>
          <w:p w14:paraId="367F0426">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优</w:t>
            </w:r>
          </w:p>
        </w:tc>
      </w:tr>
      <w:tr w14:paraId="38494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789" w:type="dxa"/>
            <w:vMerge w:val="continue"/>
            <w:tcBorders>
              <w:tl2br w:val="nil"/>
              <w:tr2bl w:val="nil"/>
            </w:tcBorders>
            <w:noWrap w:val="0"/>
            <w:tcMar>
              <w:top w:w="15" w:type="dxa"/>
              <w:left w:w="15" w:type="dxa"/>
              <w:right w:w="15" w:type="dxa"/>
            </w:tcMar>
            <w:vAlign w:val="center"/>
          </w:tcPr>
          <w:p w14:paraId="5091EC79">
            <w:pPr>
              <w:widowControl/>
              <w:jc w:val="center"/>
              <w:textAlignment w:val="center"/>
              <w:rPr>
                <w:rFonts w:hint="eastAsia" w:ascii="宋体" w:hAnsi="宋体" w:eastAsia="宋体" w:cs="宋体"/>
                <w:color w:val="000000"/>
                <w:sz w:val="21"/>
                <w:szCs w:val="21"/>
              </w:rPr>
            </w:pPr>
          </w:p>
        </w:tc>
        <w:tc>
          <w:tcPr>
            <w:tcW w:w="968" w:type="dxa"/>
            <w:tcBorders>
              <w:tl2br w:val="nil"/>
              <w:tr2bl w:val="nil"/>
            </w:tcBorders>
            <w:noWrap w:val="0"/>
            <w:tcMar>
              <w:top w:w="15" w:type="dxa"/>
              <w:left w:w="15" w:type="dxa"/>
              <w:right w:w="15" w:type="dxa"/>
            </w:tcMar>
            <w:vAlign w:val="center"/>
          </w:tcPr>
          <w:p w14:paraId="63FC07F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满意度指标</w:t>
            </w:r>
          </w:p>
        </w:tc>
        <w:tc>
          <w:tcPr>
            <w:tcW w:w="1025" w:type="dxa"/>
            <w:tcBorders>
              <w:tl2br w:val="nil"/>
              <w:tr2bl w:val="nil"/>
            </w:tcBorders>
            <w:noWrap w:val="0"/>
            <w:tcMar>
              <w:top w:w="15" w:type="dxa"/>
              <w:left w:w="15" w:type="dxa"/>
              <w:right w:w="15" w:type="dxa"/>
            </w:tcMar>
            <w:vAlign w:val="center"/>
          </w:tcPr>
          <w:p w14:paraId="0A2B0B0C">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服务对象问卷调查</w:t>
            </w:r>
          </w:p>
        </w:tc>
        <w:tc>
          <w:tcPr>
            <w:tcW w:w="2619" w:type="dxa"/>
            <w:tcBorders>
              <w:tl2br w:val="nil"/>
              <w:tr2bl w:val="nil"/>
            </w:tcBorders>
            <w:noWrap w:val="0"/>
            <w:tcMar>
              <w:top w:w="15" w:type="dxa"/>
              <w:left w:w="15" w:type="dxa"/>
              <w:right w:w="15" w:type="dxa"/>
            </w:tcMar>
            <w:vAlign w:val="center"/>
          </w:tcPr>
          <w:p w14:paraId="3480D813">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各族人民群众</w:t>
            </w:r>
            <w:r>
              <w:rPr>
                <w:rFonts w:hint="eastAsia" w:ascii="宋体" w:hAnsi="宋体" w:cs="宋体"/>
                <w:color w:val="000000"/>
                <w:sz w:val="21"/>
                <w:szCs w:val="21"/>
                <w:lang w:val="en-US" w:eastAsia="zh-CN"/>
              </w:rPr>
              <w:t>、宗教界人士及信教群众满意度</w:t>
            </w:r>
          </w:p>
        </w:tc>
        <w:tc>
          <w:tcPr>
            <w:tcW w:w="2167" w:type="dxa"/>
            <w:tcBorders>
              <w:tl2br w:val="nil"/>
              <w:tr2bl w:val="nil"/>
            </w:tcBorders>
            <w:noWrap w:val="0"/>
            <w:tcMar>
              <w:top w:w="15" w:type="dxa"/>
              <w:left w:w="15" w:type="dxa"/>
              <w:right w:w="15" w:type="dxa"/>
            </w:tcMar>
            <w:vAlign w:val="center"/>
          </w:tcPr>
          <w:p w14:paraId="0D338FD6">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98</w:t>
            </w:r>
            <w:r>
              <w:rPr>
                <w:rFonts w:hint="eastAsia" w:ascii="宋体" w:hAnsi="宋体" w:eastAsia="宋体" w:cs="宋体"/>
                <w:color w:val="000000"/>
                <w:sz w:val="21"/>
                <w:szCs w:val="21"/>
                <w:lang w:val="en-US" w:eastAsia="zh-CN"/>
              </w:rPr>
              <w:t>%</w:t>
            </w:r>
          </w:p>
        </w:tc>
        <w:tc>
          <w:tcPr>
            <w:tcW w:w="2614" w:type="dxa"/>
            <w:tcBorders>
              <w:tl2br w:val="nil"/>
              <w:tr2bl w:val="nil"/>
            </w:tcBorders>
            <w:noWrap w:val="0"/>
            <w:tcMar>
              <w:top w:w="15" w:type="dxa"/>
              <w:left w:w="15" w:type="dxa"/>
              <w:right w:w="15" w:type="dxa"/>
            </w:tcMar>
            <w:vAlign w:val="center"/>
          </w:tcPr>
          <w:p w14:paraId="645811C0">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95%</w:t>
            </w:r>
          </w:p>
        </w:tc>
      </w:tr>
    </w:tbl>
    <w:p w14:paraId="4B9226A3">
      <w:pPr>
        <w:spacing w:line="580" w:lineRule="exact"/>
        <w:ind w:left="0" w:leftChars="0" w:firstLine="0" w:firstLineChars="0"/>
        <w:jc w:val="center"/>
        <w:rPr>
          <w:rFonts w:hint="eastAsia" w:ascii="宋体" w:eastAsia="宋体" w:cs="宋体"/>
          <w:color w:val="000000"/>
          <w:sz w:val="36"/>
          <w:szCs w:val="36"/>
          <w:lang w:eastAsia="zh-CN"/>
        </w:rPr>
      </w:pPr>
      <w:r>
        <w:rPr>
          <w:rFonts w:ascii="仿宋_GB2312" w:hAnsi="仿宋_GB2312" w:eastAsia="仿宋_GB2312" w:cs="仿宋_GB2312"/>
          <w:sz w:val="32"/>
          <w:szCs w:val="32"/>
        </w:rPr>
        <w:br w:type="page"/>
      </w:r>
      <w:r>
        <w:rPr>
          <w:rFonts w:hint="eastAsia" w:ascii="方正小标宋简体" w:hAnsi="方正小标宋简体" w:eastAsia="方正小标宋简体" w:cs="方正小标宋简体"/>
          <w:b w:val="0"/>
          <w:bCs w:val="0"/>
          <w:color w:val="000000"/>
          <w:kern w:val="0"/>
          <w:sz w:val="44"/>
          <w:szCs w:val="44"/>
          <w:lang w:bidi="ar"/>
        </w:rPr>
        <w:t>项目绩效目标完成情况表</w:t>
      </w:r>
      <w:r>
        <w:rPr>
          <w:rFonts w:hint="eastAsia" w:ascii="方正小标宋简体" w:hAnsi="方正小标宋简体" w:eastAsia="方正小标宋简体" w:cs="方正小标宋简体"/>
          <w:b w:val="0"/>
          <w:bCs w:val="0"/>
          <w:color w:val="000000"/>
          <w:kern w:val="0"/>
          <w:sz w:val="44"/>
          <w:szCs w:val="44"/>
          <w:lang w:bidi="ar"/>
        </w:rPr>
        <w:br w:type="textWrapping"/>
      </w:r>
      <w:r>
        <w:rPr>
          <w:rFonts w:hint="eastAsia" w:ascii="宋体" w:hAnsi="宋体" w:cs="宋体"/>
          <w:color w:val="000000"/>
          <w:kern w:val="0"/>
          <w:sz w:val="36"/>
          <w:szCs w:val="36"/>
          <w:lang w:eastAsia="zh-CN" w:bidi="ar"/>
        </w:rPr>
        <w:t>（</w:t>
      </w:r>
      <w:r>
        <w:rPr>
          <w:rFonts w:ascii="Times New Roman" w:hAnsi="Times New Roman" w:cs="宋体"/>
          <w:color w:val="000000"/>
          <w:kern w:val="0"/>
          <w:sz w:val="36"/>
          <w:szCs w:val="36"/>
          <w:lang w:bidi="ar"/>
        </w:rPr>
        <w:t>2020</w:t>
      </w:r>
      <w:r>
        <w:rPr>
          <w:rFonts w:hint="eastAsia" w:ascii="宋体" w:hAnsi="宋体" w:cs="宋体"/>
          <w:color w:val="000000"/>
          <w:kern w:val="0"/>
          <w:sz w:val="36"/>
          <w:szCs w:val="36"/>
          <w:lang w:bidi="ar"/>
        </w:rPr>
        <w:t>年度</w:t>
      </w:r>
      <w:r>
        <w:rPr>
          <w:rFonts w:hint="eastAsia" w:ascii="宋体" w:hAnsi="宋体" w:cs="宋体"/>
          <w:color w:val="000000"/>
          <w:kern w:val="0"/>
          <w:sz w:val="36"/>
          <w:szCs w:val="36"/>
          <w:lang w:eastAsia="zh-CN" w:bidi="ar"/>
        </w:rPr>
        <w:t>）</w:t>
      </w:r>
    </w:p>
    <w:tbl>
      <w:tblPr>
        <w:tblStyle w:val="13"/>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1"/>
        <w:gridCol w:w="826"/>
        <w:gridCol w:w="1025"/>
        <w:gridCol w:w="2392"/>
        <w:gridCol w:w="2394"/>
        <w:gridCol w:w="2392"/>
      </w:tblGrid>
      <w:tr w14:paraId="33837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82" w:type="dxa"/>
            <w:gridSpan w:val="3"/>
            <w:tcBorders>
              <w:tl2br w:val="nil"/>
              <w:tr2bl w:val="nil"/>
            </w:tcBorders>
            <w:noWrap w:val="0"/>
            <w:tcMar>
              <w:top w:w="15" w:type="dxa"/>
              <w:left w:w="15" w:type="dxa"/>
              <w:right w:w="15" w:type="dxa"/>
            </w:tcMar>
            <w:vAlign w:val="center"/>
          </w:tcPr>
          <w:p w14:paraId="756D01F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项目名称</w:t>
            </w:r>
          </w:p>
        </w:tc>
        <w:tc>
          <w:tcPr>
            <w:tcW w:w="7178" w:type="dxa"/>
            <w:gridSpan w:val="3"/>
            <w:tcBorders>
              <w:tl2br w:val="nil"/>
              <w:tr2bl w:val="nil"/>
            </w:tcBorders>
            <w:noWrap w:val="0"/>
            <w:tcMar>
              <w:top w:w="15" w:type="dxa"/>
              <w:left w:w="15" w:type="dxa"/>
              <w:right w:w="15" w:type="dxa"/>
            </w:tcMar>
            <w:vAlign w:val="center"/>
          </w:tcPr>
          <w:p w14:paraId="0CEA3CC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侨务工作经费</w:t>
            </w:r>
          </w:p>
        </w:tc>
      </w:tr>
      <w:tr w14:paraId="7521E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82" w:type="dxa"/>
            <w:gridSpan w:val="3"/>
            <w:tcBorders>
              <w:tl2br w:val="nil"/>
              <w:tr2bl w:val="nil"/>
            </w:tcBorders>
            <w:noWrap w:val="0"/>
            <w:tcMar>
              <w:top w:w="15" w:type="dxa"/>
              <w:left w:w="15" w:type="dxa"/>
              <w:right w:w="15" w:type="dxa"/>
            </w:tcMar>
            <w:vAlign w:val="center"/>
          </w:tcPr>
          <w:p w14:paraId="0CCA381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预算单位</w:t>
            </w:r>
          </w:p>
        </w:tc>
        <w:tc>
          <w:tcPr>
            <w:tcW w:w="7178" w:type="dxa"/>
            <w:gridSpan w:val="3"/>
            <w:tcBorders>
              <w:tl2br w:val="nil"/>
              <w:tr2bl w:val="nil"/>
            </w:tcBorders>
            <w:noWrap w:val="0"/>
            <w:tcMar>
              <w:top w:w="15" w:type="dxa"/>
              <w:left w:w="15" w:type="dxa"/>
              <w:right w:w="15" w:type="dxa"/>
            </w:tcMar>
            <w:vAlign w:val="center"/>
          </w:tcPr>
          <w:p w14:paraId="7C6ED5C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中共广元市昭化区委统战部</w:t>
            </w:r>
          </w:p>
        </w:tc>
      </w:tr>
      <w:tr w14:paraId="21FDB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31" w:type="dxa"/>
            <w:vMerge w:val="restart"/>
            <w:tcBorders>
              <w:tl2br w:val="nil"/>
              <w:tr2bl w:val="nil"/>
            </w:tcBorders>
            <w:noWrap w:val="0"/>
            <w:tcMar>
              <w:top w:w="15" w:type="dxa"/>
              <w:left w:w="15" w:type="dxa"/>
              <w:right w:w="15" w:type="dxa"/>
            </w:tcMar>
            <w:vAlign w:val="center"/>
          </w:tcPr>
          <w:p w14:paraId="2C79E5A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预算执行情况</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万元</w:t>
            </w:r>
            <w:r>
              <w:rPr>
                <w:rFonts w:hint="eastAsia" w:ascii="宋体" w:hAnsi="宋体" w:eastAsia="宋体" w:cs="宋体"/>
                <w:color w:val="000000"/>
                <w:kern w:val="0"/>
                <w:sz w:val="21"/>
                <w:szCs w:val="21"/>
                <w:lang w:eastAsia="zh-CN" w:bidi="ar"/>
              </w:rPr>
              <w:t>）</w:t>
            </w:r>
          </w:p>
        </w:tc>
        <w:tc>
          <w:tcPr>
            <w:tcW w:w="1851" w:type="dxa"/>
            <w:gridSpan w:val="2"/>
            <w:tcBorders>
              <w:tl2br w:val="nil"/>
              <w:tr2bl w:val="nil"/>
            </w:tcBorders>
            <w:noWrap w:val="0"/>
            <w:tcMar>
              <w:top w:w="15" w:type="dxa"/>
              <w:left w:w="15" w:type="dxa"/>
              <w:right w:w="15" w:type="dxa"/>
            </w:tcMar>
            <w:vAlign w:val="center"/>
          </w:tcPr>
          <w:p w14:paraId="48159C5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预算数:</w:t>
            </w:r>
          </w:p>
        </w:tc>
        <w:tc>
          <w:tcPr>
            <w:tcW w:w="2392" w:type="dxa"/>
            <w:tcBorders>
              <w:tl2br w:val="nil"/>
              <w:tr2bl w:val="nil"/>
            </w:tcBorders>
            <w:noWrap w:val="0"/>
            <w:tcMar>
              <w:top w:w="15" w:type="dxa"/>
              <w:left w:w="15" w:type="dxa"/>
              <w:right w:w="15" w:type="dxa"/>
            </w:tcMar>
            <w:vAlign w:val="center"/>
          </w:tcPr>
          <w:p w14:paraId="35C7A7A6">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2394" w:type="dxa"/>
            <w:tcBorders>
              <w:tl2br w:val="nil"/>
              <w:tr2bl w:val="nil"/>
            </w:tcBorders>
            <w:noWrap w:val="0"/>
            <w:tcMar>
              <w:top w:w="15" w:type="dxa"/>
              <w:left w:w="15" w:type="dxa"/>
              <w:right w:w="15" w:type="dxa"/>
            </w:tcMar>
            <w:vAlign w:val="center"/>
          </w:tcPr>
          <w:p w14:paraId="01509CC0">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执行数:</w:t>
            </w:r>
          </w:p>
        </w:tc>
        <w:tc>
          <w:tcPr>
            <w:tcW w:w="2392" w:type="dxa"/>
            <w:tcBorders>
              <w:tl2br w:val="nil"/>
              <w:tr2bl w:val="nil"/>
            </w:tcBorders>
            <w:noWrap w:val="0"/>
            <w:tcMar>
              <w:top w:w="15" w:type="dxa"/>
              <w:left w:w="15" w:type="dxa"/>
              <w:right w:w="15" w:type="dxa"/>
            </w:tcMar>
            <w:vAlign w:val="center"/>
          </w:tcPr>
          <w:p w14:paraId="6F1A268A">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r>
      <w:tr w14:paraId="53E50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31" w:type="dxa"/>
            <w:vMerge w:val="continue"/>
            <w:tcBorders>
              <w:tl2br w:val="nil"/>
              <w:tr2bl w:val="nil"/>
            </w:tcBorders>
            <w:noWrap w:val="0"/>
            <w:tcMar>
              <w:top w:w="15" w:type="dxa"/>
              <w:left w:w="15" w:type="dxa"/>
              <w:right w:w="15" w:type="dxa"/>
            </w:tcMar>
            <w:vAlign w:val="center"/>
          </w:tcPr>
          <w:p w14:paraId="6BF807F7">
            <w:pPr>
              <w:keepNext w:val="0"/>
              <w:keepLines w:val="0"/>
              <w:pageBreakBefore w:val="0"/>
              <w:widowControl/>
              <w:kinsoku/>
              <w:wordWrap/>
              <w:overflowPunct/>
              <w:topLinePunct w:val="0"/>
              <w:autoSpaceDE/>
              <w:autoSpaceDN/>
              <w:bidi w:val="0"/>
              <w:adjustRightInd/>
              <w:snapToGrid/>
              <w:spacing w:line="330" w:lineRule="exact"/>
              <w:jc w:val="center"/>
              <w:rPr>
                <w:rFonts w:hint="eastAsia" w:ascii="宋体" w:hAnsi="宋体" w:eastAsia="宋体" w:cs="宋体"/>
                <w:color w:val="000000"/>
                <w:sz w:val="21"/>
                <w:szCs w:val="21"/>
              </w:rPr>
            </w:pPr>
          </w:p>
        </w:tc>
        <w:tc>
          <w:tcPr>
            <w:tcW w:w="1851" w:type="dxa"/>
            <w:gridSpan w:val="2"/>
            <w:tcBorders>
              <w:tl2br w:val="nil"/>
              <w:tr2bl w:val="nil"/>
            </w:tcBorders>
            <w:noWrap w:val="0"/>
            <w:tcMar>
              <w:top w:w="15" w:type="dxa"/>
              <w:left w:w="15" w:type="dxa"/>
              <w:right w:w="15" w:type="dxa"/>
            </w:tcMar>
            <w:vAlign w:val="center"/>
          </w:tcPr>
          <w:p w14:paraId="7038480E">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其中-财政拨款:</w:t>
            </w:r>
          </w:p>
        </w:tc>
        <w:tc>
          <w:tcPr>
            <w:tcW w:w="2392" w:type="dxa"/>
            <w:tcBorders>
              <w:tl2br w:val="nil"/>
              <w:tr2bl w:val="nil"/>
            </w:tcBorders>
            <w:noWrap w:val="0"/>
            <w:tcMar>
              <w:top w:w="15" w:type="dxa"/>
              <w:left w:w="15" w:type="dxa"/>
              <w:right w:w="15" w:type="dxa"/>
            </w:tcMar>
            <w:vAlign w:val="center"/>
          </w:tcPr>
          <w:p w14:paraId="39065667">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2394" w:type="dxa"/>
            <w:tcBorders>
              <w:tl2br w:val="nil"/>
              <w:tr2bl w:val="nil"/>
            </w:tcBorders>
            <w:noWrap w:val="0"/>
            <w:tcMar>
              <w:top w:w="15" w:type="dxa"/>
              <w:left w:w="15" w:type="dxa"/>
              <w:right w:w="15" w:type="dxa"/>
            </w:tcMar>
            <w:vAlign w:val="center"/>
          </w:tcPr>
          <w:p w14:paraId="1CEBEC3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其中-财政拨款:</w:t>
            </w:r>
          </w:p>
        </w:tc>
        <w:tc>
          <w:tcPr>
            <w:tcW w:w="2392" w:type="dxa"/>
            <w:tcBorders>
              <w:tl2br w:val="nil"/>
              <w:tr2bl w:val="nil"/>
            </w:tcBorders>
            <w:noWrap w:val="0"/>
            <w:tcMar>
              <w:top w:w="15" w:type="dxa"/>
              <w:left w:w="15" w:type="dxa"/>
              <w:right w:w="15" w:type="dxa"/>
            </w:tcMar>
            <w:vAlign w:val="center"/>
          </w:tcPr>
          <w:p w14:paraId="13C2486C">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r>
      <w:tr w14:paraId="6B0F8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31" w:type="dxa"/>
            <w:vMerge w:val="continue"/>
            <w:tcBorders>
              <w:tl2br w:val="nil"/>
              <w:tr2bl w:val="nil"/>
            </w:tcBorders>
            <w:noWrap w:val="0"/>
            <w:tcMar>
              <w:top w:w="15" w:type="dxa"/>
              <w:left w:w="15" w:type="dxa"/>
              <w:right w:w="15" w:type="dxa"/>
            </w:tcMar>
            <w:vAlign w:val="center"/>
          </w:tcPr>
          <w:p w14:paraId="1B018BC1">
            <w:pPr>
              <w:keepNext w:val="0"/>
              <w:keepLines w:val="0"/>
              <w:pageBreakBefore w:val="0"/>
              <w:widowControl/>
              <w:kinsoku/>
              <w:wordWrap/>
              <w:overflowPunct/>
              <w:topLinePunct w:val="0"/>
              <w:autoSpaceDE/>
              <w:autoSpaceDN/>
              <w:bidi w:val="0"/>
              <w:adjustRightInd/>
              <w:snapToGrid/>
              <w:spacing w:line="330" w:lineRule="exact"/>
              <w:jc w:val="center"/>
              <w:rPr>
                <w:rFonts w:hint="eastAsia" w:ascii="宋体" w:hAnsi="宋体" w:eastAsia="宋体" w:cs="宋体"/>
                <w:color w:val="000000"/>
                <w:sz w:val="21"/>
                <w:szCs w:val="21"/>
              </w:rPr>
            </w:pPr>
          </w:p>
        </w:tc>
        <w:tc>
          <w:tcPr>
            <w:tcW w:w="1851" w:type="dxa"/>
            <w:gridSpan w:val="2"/>
            <w:tcBorders>
              <w:tl2br w:val="nil"/>
              <w:tr2bl w:val="nil"/>
            </w:tcBorders>
            <w:noWrap w:val="0"/>
            <w:tcMar>
              <w:top w:w="15" w:type="dxa"/>
              <w:left w:w="15" w:type="dxa"/>
              <w:right w:w="15" w:type="dxa"/>
            </w:tcMar>
            <w:vAlign w:val="center"/>
          </w:tcPr>
          <w:p w14:paraId="63FF2C4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其它资金:</w:t>
            </w:r>
          </w:p>
        </w:tc>
        <w:tc>
          <w:tcPr>
            <w:tcW w:w="2392" w:type="dxa"/>
            <w:tcBorders>
              <w:tl2br w:val="nil"/>
              <w:tr2bl w:val="nil"/>
            </w:tcBorders>
            <w:noWrap w:val="0"/>
            <w:tcMar>
              <w:top w:w="15" w:type="dxa"/>
              <w:left w:w="15" w:type="dxa"/>
              <w:right w:w="15" w:type="dxa"/>
            </w:tcMar>
            <w:vAlign w:val="center"/>
          </w:tcPr>
          <w:p w14:paraId="0507A3F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94" w:type="dxa"/>
            <w:tcBorders>
              <w:tl2br w:val="nil"/>
              <w:tr2bl w:val="nil"/>
            </w:tcBorders>
            <w:noWrap w:val="0"/>
            <w:tcMar>
              <w:top w:w="15" w:type="dxa"/>
              <w:left w:w="15" w:type="dxa"/>
              <w:right w:w="15" w:type="dxa"/>
            </w:tcMar>
            <w:vAlign w:val="center"/>
          </w:tcPr>
          <w:p w14:paraId="3DE971B5">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其它资金:</w:t>
            </w:r>
          </w:p>
        </w:tc>
        <w:tc>
          <w:tcPr>
            <w:tcW w:w="2392" w:type="dxa"/>
            <w:tcBorders>
              <w:tl2br w:val="nil"/>
              <w:tr2bl w:val="nil"/>
            </w:tcBorders>
            <w:noWrap w:val="0"/>
            <w:tcMar>
              <w:top w:w="15" w:type="dxa"/>
              <w:left w:w="15" w:type="dxa"/>
              <w:right w:w="15" w:type="dxa"/>
            </w:tcMar>
            <w:vAlign w:val="center"/>
          </w:tcPr>
          <w:p w14:paraId="36DBA6C2">
            <w:pPr>
              <w:keepNext w:val="0"/>
              <w:keepLines w:val="0"/>
              <w:pageBreakBefore w:val="0"/>
              <w:widowControl/>
              <w:kinsoku/>
              <w:wordWrap/>
              <w:overflowPunct/>
              <w:topLinePunct w:val="0"/>
              <w:autoSpaceDE/>
              <w:autoSpaceDN/>
              <w:bidi w:val="0"/>
              <w:adjustRightInd/>
              <w:snapToGrid/>
              <w:spacing w:line="33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31729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31" w:type="dxa"/>
            <w:vMerge w:val="restart"/>
            <w:tcBorders>
              <w:tl2br w:val="nil"/>
              <w:tr2bl w:val="nil"/>
            </w:tcBorders>
            <w:noWrap w:val="0"/>
            <w:tcMar>
              <w:top w:w="15" w:type="dxa"/>
              <w:left w:w="15" w:type="dxa"/>
              <w:right w:w="15" w:type="dxa"/>
            </w:tcMar>
            <w:vAlign w:val="center"/>
          </w:tcPr>
          <w:p w14:paraId="65268FC8">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年度目标完成情况</w:t>
            </w:r>
          </w:p>
        </w:tc>
        <w:tc>
          <w:tcPr>
            <w:tcW w:w="4243" w:type="dxa"/>
            <w:gridSpan w:val="3"/>
            <w:tcBorders>
              <w:tl2br w:val="nil"/>
              <w:tr2bl w:val="nil"/>
            </w:tcBorders>
            <w:noWrap w:val="0"/>
            <w:tcMar>
              <w:top w:w="15" w:type="dxa"/>
              <w:left w:w="15" w:type="dxa"/>
              <w:right w:w="15" w:type="dxa"/>
            </w:tcMar>
            <w:vAlign w:val="center"/>
          </w:tcPr>
          <w:p w14:paraId="328EEFBF">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预期目标</w:t>
            </w:r>
          </w:p>
        </w:tc>
        <w:tc>
          <w:tcPr>
            <w:tcW w:w="4786" w:type="dxa"/>
            <w:gridSpan w:val="2"/>
            <w:tcBorders>
              <w:tl2br w:val="nil"/>
              <w:tr2bl w:val="nil"/>
            </w:tcBorders>
            <w:noWrap w:val="0"/>
            <w:tcMar>
              <w:top w:w="15" w:type="dxa"/>
              <w:left w:w="15" w:type="dxa"/>
              <w:right w:w="15" w:type="dxa"/>
            </w:tcMar>
            <w:vAlign w:val="center"/>
          </w:tcPr>
          <w:p w14:paraId="43922981">
            <w:pPr>
              <w:keepNext w:val="0"/>
              <w:keepLines w:val="0"/>
              <w:pageBreakBefore w:val="0"/>
              <w:widowControl/>
              <w:kinsoku/>
              <w:wordWrap/>
              <w:overflowPunct/>
              <w:topLinePunct w:val="0"/>
              <w:autoSpaceDE/>
              <w:autoSpaceDN/>
              <w:bidi w:val="0"/>
              <w:adjustRightInd/>
              <w:snapToGrid/>
              <w:spacing w:line="33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实际完成目标</w:t>
            </w:r>
          </w:p>
        </w:tc>
      </w:tr>
      <w:tr w14:paraId="32F72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931" w:type="dxa"/>
            <w:vMerge w:val="continue"/>
            <w:tcBorders>
              <w:tl2br w:val="nil"/>
              <w:tr2bl w:val="nil"/>
            </w:tcBorders>
            <w:noWrap w:val="0"/>
            <w:tcMar>
              <w:top w:w="15" w:type="dxa"/>
              <w:left w:w="15" w:type="dxa"/>
              <w:right w:w="15" w:type="dxa"/>
            </w:tcMar>
            <w:vAlign w:val="center"/>
          </w:tcPr>
          <w:p w14:paraId="7275F919">
            <w:pPr>
              <w:jc w:val="center"/>
              <w:rPr>
                <w:rFonts w:hint="eastAsia" w:ascii="宋体" w:hAnsi="宋体" w:eastAsia="宋体" w:cs="宋体"/>
                <w:color w:val="000000"/>
                <w:sz w:val="21"/>
                <w:szCs w:val="21"/>
              </w:rPr>
            </w:pPr>
          </w:p>
        </w:tc>
        <w:tc>
          <w:tcPr>
            <w:tcW w:w="4243" w:type="dxa"/>
            <w:gridSpan w:val="3"/>
            <w:tcBorders>
              <w:tl2br w:val="nil"/>
              <w:tr2bl w:val="nil"/>
            </w:tcBorders>
            <w:noWrap w:val="0"/>
            <w:tcMar>
              <w:top w:w="15" w:type="dxa"/>
              <w:left w:w="15" w:type="dxa"/>
              <w:right w:w="15" w:type="dxa"/>
            </w:tcMar>
            <w:vAlign w:val="top"/>
          </w:tcPr>
          <w:p w14:paraId="046EB442">
            <w:pPr>
              <w:keepNext w:val="0"/>
              <w:keepLines w:val="0"/>
              <w:pageBreakBefore w:val="0"/>
              <w:widowControl/>
              <w:suppressLineNumbers w:val="0"/>
              <w:kinsoku/>
              <w:wordWrap/>
              <w:overflowPunct/>
              <w:topLinePunct w:val="0"/>
              <w:autoSpaceDE/>
              <w:autoSpaceDN/>
              <w:bidi w:val="0"/>
              <w:adjustRightInd/>
              <w:snapToGrid/>
              <w:ind w:firstLine="356" w:firstLineChars="200"/>
              <w:jc w:val="left"/>
              <w:textAlignment w:val="center"/>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深化为侨服务，积极宣传、贯彻落实《四川省华侨权益保护条例》。健全完善工作体制机制，贯彻落实《中共中央关于加强新时代海外统战工作的意见》，确保区海外统战工作协作机制高效有序运转。</w:t>
            </w:r>
          </w:p>
        </w:tc>
        <w:tc>
          <w:tcPr>
            <w:tcW w:w="4786" w:type="dxa"/>
            <w:gridSpan w:val="2"/>
            <w:tcBorders>
              <w:tl2br w:val="nil"/>
              <w:tr2bl w:val="nil"/>
            </w:tcBorders>
            <w:noWrap w:val="0"/>
            <w:tcMar>
              <w:top w:w="15" w:type="dxa"/>
              <w:left w:w="15" w:type="dxa"/>
              <w:right w:w="15" w:type="dxa"/>
            </w:tcMar>
            <w:vAlign w:val="top"/>
          </w:tcPr>
          <w:p w14:paraId="59A57061">
            <w:pPr>
              <w:keepNext w:val="0"/>
              <w:keepLines w:val="0"/>
              <w:pageBreakBefore w:val="0"/>
              <w:widowControl/>
              <w:suppressLineNumbers w:val="0"/>
              <w:kinsoku/>
              <w:wordWrap/>
              <w:overflowPunct/>
              <w:topLinePunct w:val="0"/>
              <w:autoSpaceDE/>
              <w:autoSpaceDN/>
              <w:bidi w:val="0"/>
              <w:adjustRightInd/>
              <w:snapToGrid/>
              <w:ind w:firstLine="356" w:firstLineChars="200"/>
              <w:jc w:val="left"/>
              <w:textAlignment w:val="center"/>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凝聚侨智侨力服务大局，积极开展“暖侨行动”，主动融入“大侨务”工作格局，引导海内外侨胞积极参与社会主义现代化昭化建设。完成区侨联成立和侨胞之家建设，积极开展归侨、侨眷走访慰问活动，帮助解决生活中遇到的困难问题。</w:t>
            </w:r>
          </w:p>
        </w:tc>
      </w:tr>
      <w:tr w14:paraId="40CA8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931" w:type="dxa"/>
            <w:vMerge w:val="restart"/>
            <w:tcBorders>
              <w:tl2br w:val="nil"/>
              <w:tr2bl w:val="nil"/>
            </w:tcBorders>
            <w:noWrap w:val="0"/>
            <w:tcMar>
              <w:top w:w="15" w:type="dxa"/>
              <w:left w:w="15" w:type="dxa"/>
              <w:right w:w="15" w:type="dxa"/>
            </w:tcMar>
            <w:vAlign w:val="center"/>
          </w:tcPr>
          <w:p w14:paraId="41166A6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绩效指标完成情况</w:t>
            </w:r>
          </w:p>
        </w:tc>
        <w:tc>
          <w:tcPr>
            <w:tcW w:w="826" w:type="dxa"/>
            <w:tcBorders>
              <w:tl2br w:val="nil"/>
              <w:tr2bl w:val="nil"/>
            </w:tcBorders>
            <w:noWrap w:val="0"/>
            <w:tcMar>
              <w:top w:w="15" w:type="dxa"/>
              <w:left w:w="15" w:type="dxa"/>
              <w:right w:w="15" w:type="dxa"/>
            </w:tcMar>
            <w:vAlign w:val="center"/>
          </w:tcPr>
          <w:p w14:paraId="655F7C4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一级指标</w:t>
            </w:r>
          </w:p>
        </w:tc>
        <w:tc>
          <w:tcPr>
            <w:tcW w:w="1025" w:type="dxa"/>
            <w:tcBorders>
              <w:tl2br w:val="nil"/>
              <w:tr2bl w:val="nil"/>
            </w:tcBorders>
            <w:noWrap w:val="0"/>
            <w:tcMar>
              <w:top w:w="15" w:type="dxa"/>
              <w:left w:w="15" w:type="dxa"/>
              <w:right w:w="15" w:type="dxa"/>
            </w:tcMar>
            <w:vAlign w:val="center"/>
          </w:tcPr>
          <w:p w14:paraId="2891A8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二级指标</w:t>
            </w:r>
          </w:p>
        </w:tc>
        <w:tc>
          <w:tcPr>
            <w:tcW w:w="2392" w:type="dxa"/>
            <w:tcBorders>
              <w:tl2br w:val="nil"/>
              <w:tr2bl w:val="nil"/>
            </w:tcBorders>
            <w:noWrap w:val="0"/>
            <w:tcMar>
              <w:top w:w="15" w:type="dxa"/>
              <w:left w:w="15" w:type="dxa"/>
              <w:right w:w="15" w:type="dxa"/>
            </w:tcMar>
            <w:vAlign w:val="center"/>
          </w:tcPr>
          <w:p w14:paraId="685E7D7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三级指标</w:t>
            </w:r>
          </w:p>
        </w:tc>
        <w:tc>
          <w:tcPr>
            <w:tcW w:w="2394" w:type="dxa"/>
            <w:tcBorders>
              <w:tl2br w:val="nil"/>
              <w:tr2bl w:val="nil"/>
            </w:tcBorders>
            <w:noWrap w:val="0"/>
            <w:tcMar>
              <w:top w:w="15" w:type="dxa"/>
              <w:left w:w="15" w:type="dxa"/>
              <w:right w:w="15" w:type="dxa"/>
            </w:tcMar>
            <w:vAlign w:val="center"/>
          </w:tcPr>
          <w:p w14:paraId="25D84294">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预期指标值</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包含数字及文字描述</w:t>
            </w:r>
            <w:r>
              <w:rPr>
                <w:rFonts w:hint="eastAsia" w:ascii="宋体" w:hAnsi="宋体" w:eastAsia="宋体" w:cs="宋体"/>
                <w:color w:val="000000"/>
                <w:kern w:val="0"/>
                <w:sz w:val="21"/>
                <w:szCs w:val="21"/>
                <w:lang w:eastAsia="zh-CN" w:bidi="ar"/>
              </w:rPr>
              <w:t>）</w:t>
            </w:r>
          </w:p>
        </w:tc>
        <w:tc>
          <w:tcPr>
            <w:tcW w:w="2392" w:type="dxa"/>
            <w:tcBorders>
              <w:tl2br w:val="nil"/>
              <w:tr2bl w:val="nil"/>
            </w:tcBorders>
            <w:noWrap w:val="0"/>
            <w:tcMar>
              <w:top w:w="15" w:type="dxa"/>
              <w:left w:w="15" w:type="dxa"/>
              <w:right w:w="15" w:type="dxa"/>
            </w:tcMar>
            <w:vAlign w:val="center"/>
          </w:tcPr>
          <w:p w14:paraId="22BBD2CC">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实际完成指标值</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包含数字及文字描述</w:t>
            </w:r>
            <w:r>
              <w:rPr>
                <w:rFonts w:hint="eastAsia" w:ascii="宋体" w:hAnsi="宋体" w:eastAsia="宋体" w:cs="宋体"/>
                <w:color w:val="000000"/>
                <w:kern w:val="0"/>
                <w:sz w:val="21"/>
                <w:szCs w:val="21"/>
                <w:lang w:eastAsia="zh-CN" w:bidi="ar"/>
              </w:rPr>
              <w:t>）</w:t>
            </w:r>
          </w:p>
        </w:tc>
      </w:tr>
      <w:tr w14:paraId="2C36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931" w:type="dxa"/>
            <w:vMerge w:val="continue"/>
            <w:tcBorders>
              <w:tl2br w:val="nil"/>
              <w:tr2bl w:val="nil"/>
            </w:tcBorders>
            <w:noWrap w:val="0"/>
            <w:tcMar>
              <w:top w:w="15" w:type="dxa"/>
              <w:left w:w="15" w:type="dxa"/>
              <w:right w:w="15" w:type="dxa"/>
            </w:tcMar>
            <w:vAlign w:val="center"/>
          </w:tcPr>
          <w:p w14:paraId="4C73CDDB">
            <w:pPr>
              <w:widowControl/>
              <w:jc w:val="center"/>
              <w:textAlignment w:val="center"/>
              <w:rPr>
                <w:rFonts w:hint="eastAsia" w:ascii="宋体" w:hAnsi="宋体" w:eastAsia="宋体" w:cs="宋体"/>
                <w:color w:val="000000"/>
                <w:sz w:val="21"/>
                <w:szCs w:val="21"/>
              </w:rPr>
            </w:pPr>
          </w:p>
        </w:tc>
        <w:tc>
          <w:tcPr>
            <w:tcW w:w="826" w:type="dxa"/>
            <w:tcBorders>
              <w:tl2br w:val="nil"/>
              <w:tr2bl w:val="nil"/>
            </w:tcBorders>
            <w:noWrap w:val="0"/>
            <w:tcMar>
              <w:top w:w="15" w:type="dxa"/>
              <w:left w:w="15" w:type="dxa"/>
              <w:right w:w="15" w:type="dxa"/>
            </w:tcMar>
            <w:vAlign w:val="center"/>
          </w:tcPr>
          <w:p w14:paraId="2420F1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项目完成指标</w:t>
            </w:r>
          </w:p>
        </w:tc>
        <w:tc>
          <w:tcPr>
            <w:tcW w:w="1025" w:type="dxa"/>
            <w:tcBorders>
              <w:tl2br w:val="nil"/>
              <w:tr2bl w:val="nil"/>
            </w:tcBorders>
            <w:noWrap w:val="0"/>
            <w:tcMar>
              <w:top w:w="15" w:type="dxa"/>
              <w:left w:w="15" w:type="dxa"/>
              <w:right w:w="15" w:type="dxa"/>
            </w:tcMar>
            <w:vAlign w:val="center"/>
          </w:tcPr>
          <w:p w14:paraId="5CE21B63">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数量指标</w:t>
            </w:r>
          </w:p>
        </w:tc>
        <w:tc>
          <w:tcPr>
            <w:tcW w:w="2392" w:type="dxa"/>
            <w:tcBorders>
              <w:tl2br w:val="nil"/>
              <w:tr2bl w:val="nil"/>
            </w:tcBorders>
            <w:noWrap w:val="0"/>
            <w:tcMar>
              <w:top w:w="15" w:type="dxa"/>
              <w:left w:w="15" w:type="dxa"/>
              <w:right w:w="15" w:type="dxa"/>
            </w:tcMar>
            <w:vAlign w:val="center"/>
          </w:tcPr>
          <w:p w14:paraId="17CAAD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auto"/>
                <w:spacing w:val="-11"/>
                <w:sz w:val="20"/>
                <w:szCs w:val="20"/>
                <w:u w:val="none"/>
                <w:lang w:val="en-US" w:eastAsia="zh-CN"/>
              </w:rPr>
              <w:t>大力开展华侨、归侨、侨眷普查，组织召开区侨联会议及培训人次。</w:t>
            </w:r>
          </w:p>
        </w:tc>
        <w:tc>
          <w:tcPr>
            <w:tcW w:w="2394" w:type="dxa"/>
            <w:tcBorders>
              <w:tl2br w:val="nil"/>
              <w:tr2bl w:val="nil"/>
            </w:tcBorders>
            <w:noWrap w:val="0"/>
            <w:tcMar>
              <w:top w:w="15" w:type="dxa"/>
              <w:left w:w="15" w:type="dxa"/>
              <w:right w:w="15" w:type="dxa"/>
            </w:tcMar>
            <w:vAlign w:val="center"/>
          </w:tcPr>
          <w:p w14:paraId="65F248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次</w:t>
            </w:r>
          </w:p>
        </w:tc>
        <w:tc>
          <w:tcPr>
            <w:tcW w:w="2392" w:type="dxa"/>
            <w:tcBorders>
              <w:tl2br w:val="nil"/>
              <w:tr2bl w:val="nil"/>
            </w:tcBorders>
            <w:noWrap w:val="0"/>
            <w:tcMar>
              <w:top w:w="15" w:type="dxa"/>
              <w:left w:w="15" w:type="dxa"/>
              <w:right w:w="15" w:type="dxa"/>
            </w:tcMar>
            <w:vAlign w:val="center"/>
          </w:tcPr>
          <w:p w14:paraId="778899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0052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7" w:hRule="atLeast"/>
          <w:jc w:val="center"/>
        </w:trPr>
        <w:tc>
          <w:tcPr>
            <w:tcW w:w="931" w:type="dxa"/>
            <w:vMerge w:val="continue"/>
            <w:tcBorders>
              <w:tl2br w:val="nil"/>
              <w:tr2bl w:val="nil"/>
            </w:tcBorders>
            <w:noWrap w:val="0"/>
            <w:tcMar>
              <w:top w:w="15" w:type="dxa"/>
              <w:left w:w="15" w:type="dxa"/>
              <w:right w:w="15" w:type="dxa"/>
            </w:tcMar>
            <w:vAlign w:val="center"/>
          </w:tcPr>
          <w:p w14:paraId="5B19E820">
            <w:pPr>
              <w:widowControl/>
              <w:jc w:val="center"/>
              <w:textAlignment w:val="center"/>
              <w:rPr>
                <w:rFonts w:hint="eastAsia" w:ascii="宋体" w:hAnsi="宋体" w:eastAsia="宋体" w:cs="宋体"/>
                <w:color w:val="000000"/>
                <w:sz w:val="21"/>
                <w:szCs w:val="21"/>
              </w:rPr>
            </w:pPr>
          </w:p>
        </w:tc>
        <w:tc>
          <w:tcPr>
            <w:tcW w:w="826" w:type="dxa"/>
            <w:tcBorders>
              <w:tl2br w:val="nil"/>
              <w:tr2bl w:val="nil"/>
            </w:tcBorders>
            <w:noWrap w:val="0"/>
            <w:tcMar>
              <w:top w:w="15" w:type="dxa"/>
              <w:left w:w="15" w:type="dxa"/>
              <w:right w:w="15" w:type="dxa"/>
            </w:tcMar>
            <w:vAlign w:val="center"/>
          </w:tcPr>
          <w:p w14:paraId="0A47280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项目完成指标</w:t>
            </w:r>
          </w:p>
        </w:tc>
        <w:tc>
          <w:tcPr>
            <w:tcW w:w="1025" w:type="dxa"/>
            <w:tcBorders>
              <w:tl2br w:val="nil"/>
              <w:tr2bl w:val="nil"/>
            </w:tcBorders>
            <w:noWrap w:val="0"/>
            <w:tcMar>
              <w:top w:w="15" w:type="dxa"/>
              <w:left w:w="15" w:type="dxa"/>
              <w:right w:w="15" w:type="dxa"/>
            </w:tcMar>
            <w:vAlign w:val="center"/>
          </w:tcPr>
          <w:p w14:paraId="145F0144">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质量指标</w:t>
            </w:r>
          </w:p>
        </w:tc>
        <w:tc>
          <w:tcPr>
            <w:tcW w:w="2392" w:type="dxa"/>
            <w:tcBorders>
              <w:tl2br w:val="nil"/>
              <w:tr2bl w:val="nil"/>
            </w:tcBorders>
            <w:noWrap w:val="0"/>
            <w:tcMar>
              <w:top w:w="15" w:type="dxa"/>
              <w:left w:w="15" w:type="dxa"/>
              <w:right w:w="15" w:type="dxa"/>
            </w:tcMar>
            <w:vAlign w:val="center"/>
          </w:tcPr>
          <w:p w14:paraId="0473E4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auto"/>
                <w:spacing w:val="-11"/>
                <w:sz w:val="20"/>
                <w:szCs w:val="20"/>
                <w:u w:val="none"/>
                <w:lang w:val="en-US" w:eastAsia="zh-CN"/>
              </w:rPr>
              <w:t>凝聚侨智侨力服务大局，开展好侨务工作，帮助解决生活中遇到的困难问题件数。</w:t>
            </w:r>
          </w:p>
        </w:tc>
        <w:tc>
          <w:tcPr>
            <w:tcW w:w="2394" w:type="dxa"/>
            <w:tcBorders>
              <w:tl2br w:val="nil"/>
              <w:tr2bl w:val="nil"/>
            </w:tcBorders>
            <w:noWrap w:val="0"/>
            <w:tcMar>
              <w:top w:w="15" w:type="dxa"/>
              <w:left w:w="15" w:type="dxa"/>
              <w:right w:w="15" w:type="dxa"/>
            </w:tcMar>
            <w:vAlign w:val="center"/>
          </w:tcPr>
          <w:p w14:paraId="38F6A5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件</w:t>
            </w:r>
          </w:p>
        </w:tc>
        <w:tc>
          <w:tcPr>
            <w:tcW w:w="2392" w:type="dxa"/>
            <w:tcBorders>
              <w:tl2br w:val="nil"/>
              <w:tr2bl w:val="nil"/>
            </w:tcBorders>
            <w:noWrap w:val="0"/>
            <w:tcMar>
              <w:top w:w="15" w:type="dxa"/>
              <w:left w:w="15" w:type="dxa"/>
              <w:right w:w="15" w:type="dxa"/>
            </w:tcMar>
            <w:vAlign w:val="center"/>
          </w:tcPr>
          <w:p w14:paraId="1A16CC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0D8A4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jc w:val="center"/>
        </w:trPr>
        <w:tc>
          <w:tcPr>
            <w:tcW w:w="931" w:type="dxa"/>
            <w:vMerge w:val="continue"/>
            <w:tcBorders>
              <w:tl2br w:val="nil"/>
              <w:tr2bl w:val="nil"/>
            </w:tcBorders>
            <w:noWrap w:val="0"/>
            <w:tcMar>
              <w:top w:w="15" w:type="dxa"/>
              <w:left w:w="15" w:type="dxa"/>
              <w:right w:w="15" w:type="dxa"/>
            </w:tcMar>
            <w:vAlign w:val="center"/>
          </w:tcPr>
          <w:p w14:paraId="48BF5F03">
            <w:pPr>
              <w:widowControl/>
              <w:jc w:val="center"/>
              <w:textAlignment w:val="center"/>
              <w:rPr>
                <w:rFonts w:hint="eastAsia" w:ascii="宋体" w:hAnsi="宋体" w:eastAsia="宋体" w:cs="宋体"/>
                <w:color w:val="000000"/>
                <w:sz w:val="21"/>
                <w:szCs w:val="21"/>
              </w:rPr>
            </w:pPr>
          </w:p>
        </w:tc>
        <w:tc>
          <w:tcPr>
            <w:tcW w:w="826" w:type="dxa"/>
            <w:tcBorders>
              <w:tl2br w:val="nil"/>
              <w:tr2bl w:val="nil"/>
            </w:tcBorders>
            <w:noWrap w:val="0"/>
            <w:tcMar>
              <w:top w:w="15" w:type="dxa"/>
              <w:left w:w="15" w:type="dxa"/>
              <w:right w:w="15" w:type="dxa"/>
            </w:tcMar>
            <w:vAlign w:val="center"/>
          </w:tcPr>
          <w:p w14:paraId="191ED5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效益指标</w:t>
            </w:r>
          </w:p>
        </w:tc>
        <w:tc>
          <w:tcPr>
            <w:tcW w:w="1025" w:type="dxa"/>
            <w:tcBorders>
              <w:tl2br w:val="nil"/>
              <w:tr2bl w:val="nil"/>
            </w:tcBorders>
            <w:noWrap w:val="0"/>
            <w:tcMar>
              <w:top w:w="15" w:type="dxa"/>
              <w:left w:w="15" w:type="dxa"/>
              <w:right w:w="15" w:type="dxa"/>
            </w:tcMar>
            <w:vAlign w:val="center"/>
          </w:tcPr>
          <w:p w14:paraId="13032279">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社会效益</w:t>
            </w:r>
          </w:p>
        </w:tc>
        <w:tc>
          <w:tcPr>
            <w:tcW w:w="2392" w:type="dxa"/>
            <w:tcBorders>
              <w:tl2br w:val="nil"/>
              <w:tr2bl w:val="nil"/>
            </w:tcBorders>
            <w:noWrap w:val="0"/>
            <w:tcMar>
              <w:top w:w="15" w:type="dxa"/>
              <w:left w:w="15" w:type="dxa"/>
              <w:right w:w="15" w:type="dxa"/>
            </w:tcMar>
            <w:vAlign w:val="center"/>
          </w:tcPr>
          <w:p w14:paraId="506E47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auto"/>
                <w:spacing w:val="-11"/>
                <w:sz w:val="20"/>
                <w:szCs w:val="20"/>
                <w:u w:val="none"/>
                <w:lang w:val="en-US" w:eastAsia="zh-CN"/>
              </w:rPr>
              <w:t>确保区海外统战工作协作机制高效有序运转，深化为侨服务。</w:t>
            </w:r>
          </w:p>
        </w:tc>
        <w:tc>
          <w:tcPr>
            <w:tcW w:w="2394" w:type="dxa"/>
            <w:tcBorders>
              <w:tl2br w:val="nil"/>
              <w:tr2bl w:val="nil"/>
            </w:tcBorders>
            <w:noWrap w:val="0"/>
            <w:tcMar>
              <w:top w:w="15" w:type="dxa"/>
              <w:left w:w="15" w:type="dxa"/>
              <w:right w:w="15" w:type="dxa"/>
            </w:tcMar>
            <w:vAlign w:val="center"/>
          </w:tcPr>
          <w:p w14:paraId="60C8F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优良中低差</w:t>
            </w:r>
          </w:p>
        </w:tc>
        <w:tc>
          <w:tcPr>
            <w:tcW w:w="2392" w:type="dxa"/>
            <w:tcBorders>
              <w:tl2br w:val="nil"/>
              <w:tr2bl w:val="nil"/>
            </w:tcBorders>
            <w:noWrap w:val="0"/>
            <w:tcMar>
              <w:top w:w="15" w:type="dxa"/>
              <w:left w:w="15" w:type="dxa"/>
              <w:right w:w="15" w:type="dxa"/>
            </w:tcMar>
            <w:vAlign w:val="center"/>
          </w:tcPr>
          <w:p w14:paraId="5E3D1558">
            <w:pPr>
              <w:keepNext w:val="0"/>
              <w:keepLines w:val="0"/>
              <w:widowControl/>
              <w:suppressLineNumbers w:val="0"/>
              <w:jc w:val="center"/>
              <w:textAlignment w:val="center"/>
              <w:rPr>
                <w:rFonts w:hint="eastAsia" w:ascii="仿宋_GB2312" w:hAnsi="仿宋_GB2312" w:eastAsia="仿宋_GB2312" w:cs="仿宋_GB2312"/>
                <w:i w:val="0"/>
                <w:color w:val="auto"/>
                <w:kern w:val="2"/>
                <w:sz w:val="28"/>
                <w:szCs w:val="28"/>
                <w:u w:val="none"/>
                <w:lang w:val="en-US" w:eastAsia="zh-CN" w:bidi="ar-SA"/>
              </w:rPr>
            </w:pPr>
            <w:r>
              <w:rPr>
                <w:rFonts w:hint="eastAsia" w:ascii="宋体" w:hAnsi="宋体" w:eastAsia="宋体" w:cs="宋体"/>
                <w:i w:val="0"/>
                <w:iCs w:val="0"/>
                <w:color w:val="000000"/>
                <w:kern w:val="0"/>
                <w:sz w:val="22"/>
                <w:szCs w:val="22"/>
                <w:u w:val="none"/>
                <w:lang w:val="en-US" w:eastAsia="zh-CN" w:bidi="ar"/>
              </w:rPr>
              <w:t>优</w:t>
            </w:r>
          </w:p>
        </w:tc>
      </w:tr>
      <w:tr w14:paraId="380E5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931" w:type="dxa"/>
            <w:vMerge w:val="continue"/>
            <w:tcBorders>
              <w:tl2br w:val="nil"/>
              <w:tr2bl w:val="nil"/>
            </w:tcBorders>
            <w:noWrap w:val="0"/>
            <w:tcMar>
              <w:top w:w="15" w:type="dxa"/>
              <w:left w:w="15" w:type="dxa"/>
              <w:right w:w="15" w:type="dxa"/>
            </w:tcMar>
            <w:vAlign w:val="center"/>
          </w:tcPr>
          <w:p w14:paraId="1F679E2D">
            <w:pPr>
              <w:widowControl/>
              <w:jc w:val="center"/>
              <w:textAlignment w:val="center"/>
              <w:rPr>
                <w:rFonts w:hint="eastAsia" w:ascii="宋体" w:hAnsi="宋体" w:eastAsia="宋体" w:cs="宋体"/>
                <w:color w:val="000000"/>
                <w:sz w:val="21"/>
                <w:szCs w:val="21"/>
              </w:rPr>
            </w:pPr>
          </w:p>
        </w:tc>
        <w:tc>
          <w:tcPr>
            <w:tcW w:w="826" w:type="dxa"/>
            <w:tcBorders>
              <w:tl2br w:val="nil"/>
              <w:tr2bl w:val="nil"/>
            </w:tcBorders>
            <w:noWrap w:val="0"/>
            <w:tcMar>
              <w:top w:w="15" w:type="dxa"/>
              <w:left w:w="15" w:type="dxa"/>
              <w:right w:w="15" w:type="dxa"/>
            </w:tcMar>
            <w:vAlign w:val="center"/>
          </w:tcPr>
          <w:p w14:paraId="05DA95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满意度指标</w:t>
            </w:r>
          </w:p>
        </w:tc>
        <w:tc>
          <w:tcPr>
            <w:tcW w:w="1025" w:type="dxa"/>
            <w:tcBorders>
              <w:tl2br w:val="nil"/>
              <w:tr2bl w:val="nil"/>
            </w:tcBorders>
            <w:noWrap w:val="0"/>
            <w:tcMar>
              <w:top w:w="15" w:type="dxa"/>
              <w:left w:w="15" w:type="dxa"/>
              <w:right w:w="15" w:type="dxa"/>
            </w:tcMar>
            <w:vAlign w:val="center"/>
          </w:tcPr>
          <w:p w14:paraId="4EDC6501">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问卷调查</w:t>
            </w:r>
          </w:p>
        </w:tc>
        <w:tc>
          <w:tcPr>
            <w:tcW w:w="2392" w:type="dxa"/>
            <w:tcBorders>
              <w:tl2br w:val="nil"/>
              <w:tr2bl w:val="nil"/>
            </w:tcBorders>
            <w:noWrap w:val="0"/>
            <w:tcMar>
              <w:top w:w="15" w:type="dxa"/>
              <w:left w:w="15" w:type="dxa"/>
              <w:right w:w="15" w:type="dxa"/>
            </w:tcMar>
            <w:vAlign w:val="center"/>
          </w:tcPr>
          <w:p w14:paraId="6AD25B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20"/>
                <w:kern w:val="2"/>
                <w:sz w:val="22"/>
                <w:szCs w:val="22"/>
                <w:u w:val="none"/>
                <w:lang w:val="en-US" w:eastAsia="zh-CN" w:bidi="ar-SA"/>
              </w:rPr>
            </w:pPr>
            <w:r>
              <w:rPr>
                <w:rFonts w:hint="eastAsia" w:ascii="宋体" w:hAnsi="宋体" w:eastAsia="宋体" w:cs="宋体"/>
                <w:i w:val="0"/>
                <w:color w:val="auto"/>
                <w:spacing w:val="-11"/>
                <w:sz w:val="20"/>
                <w:szCs w:val="20"/>
                <w:u w:val="none"/>
                <w:lang w:val="en-US" w:eastAsia="zh-CN"/>
              </w:rPr>
              <w:t>侨胞侨属</w:t>
            </w:r>
            <w:r>
              <w:rPr>
                <w:rFonts w:hint="eastAsia" w:ascii="宋体" w:hAnsi="宋体" w:cs="宋体"/>
                <w:i w:val="0"/>
                <w:color w:val="auto"/>
                <w:spacing w:val="-11"/>
                <w:sz w:val="20"/>
                <w:szCs w:val="20"/>
                <w:u w:val="none"/>
                <w:lang w:val="en-US" w:eastAsia="zh-CN"/>
              </w:rPr>
              <w:t>侨眷满意度</w:t>
            </w:r>
          </w:p>
        </w:tc>
        <w:tc>
          <w:tcPr>
            <w:tcW w:w="2394" w:type="dxa"/>
            <w:tcBorders>
              <w:tl2br w:val="nil"/>
              <w:tr2bl w:val="nil"/>
            </w:tcBorders>
            <w:noWrap w:val="0"/>
            <w:tcMar>
              <w:top w:w="15" w:type="dxa"/>
              <w:left w:w="15" w:type="dxa"/>
              <w:right w:w="15" w:type="dxa"/>
            </w:tcMar>
            <w:vAlign w:val="center"/>
          </w:tcPr>
          <w:p w14:paraId="2334B8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w:t>
            </w:r>
          </w:p>
        </w:tc>
        <w:tc>
          <w:tcPr>
            <w:tcW w:w="2392" w:type="dxa"/>
            <w:tcBorders>
              <w:tl2br w:val="nil"/>
              <w:tr2bl w:val="nil"/>
            </w:tcBorders>
            <w:noWrap w:val="0"/>
            <w:tcMar>
              <w:top w:w="15" w:type="dxa"/>
              <w:left w:w="15" w:type="dxa"/>
              <w:right w:w="15" w:type="dxa"/>
            </w:tcMar>
            <w:vAlign w:val="center"/>
          </w:tcPr>
          <w:p w14:paraId="28AE3F61">
            <w:pPr>
              <w:keepNext w:val="0"/>
              <w:keepLines w:val="0"/>
              <w:widowControl/>
              <w:suppressLineNumbers w:val="0"/>
              <w:jc w:val="center"/>
              <w:textAlignment w:val="center"/>
              <w:rPr>
                <w:rFonts w:hint="default" w:ascii="仿宋_GB2312" w:hAnsi="仿宋_GB2312" w:eastAsia="仿宋_GB2312" w:cs="仿宋_GB2312"/>
                <w:i w:val="0"/>
                <w:color w:val="auto"/>
                <w:kern w:val="2"/>
                <w:sz w:val="28"/>
                <w:szCs w:val="28"/>
                <w:u w:val="none"/>
                <w:lang w:val="en-US" w:eastAsia="zh-CN" w:bidi="ar-SA"/>
              </w:rPr>
            </w:pPr>
            <w:r>
              <w:rPr>
                <w:rFonts w:hint="eastAsia" w:ascii="宋体" w:hAnsi="宋体" w:cs="宋体"/>
                <w:i w:val="0"/>
                <w:iCs w:val="0"/>
                <w:color w:val="000000"/>
                <w:kern w:val="0"/>
                <w:sz w:val="22"/>
                <w:szCs w:val="22"/>
                <w:u w:val="none"/>
                <w:lang w:val="en-US" w:eastAsia="zh-CN" w:bidi="ar"/>
              </w:rPr>
              <w:t>98%</w:t>
            </w:r>
          </w:p>
        </w:tc>
      </w:tr>
    </w:tbl>
    <w:p w14:paraId="0C4FB984">
      <w:pPr>
        <w:rPr>
          <w:rFonts w:hint="eastAsia" w:ascii="黑体" w:hAnsi="黑体" w:eastAsia="黑体"/>
          <w:b/>
          <w:color w:val="000000"/>
          <w:sz w:val="44"/>
          <w:szCs w:val="44"/>
          <w:lang w:eastAsia="zh-CN"/>
        </w:rPr>
      </w:pPr>
      <w:r>
        <w:rPr>
          <w:rFonts w:hint="eastAsia" w:ascii="黑体" w:hAnsi="黑体" w:eastAsia="黑体"/>
          <w:b/>
          <w:color w:val="000000"/>
          <w:sz w:val="44"/>
          <w:szCs w:val="44"/>
          <w:lang w:eastAsia="zh-CN"/>
        </w:rPr>
        <w:br w:type="page"/>
      </w:r>
    </w:p>
    <w:p w14:paraId="55BF7198">
      <w:pPr>
        <w:pageBreakBefore w:val="0"/>
        <w:numPr>
          <w:ilvl w:val="0"/>
          <w:numId w:val="0"/>
        </w:numPr>
        <w:tabs>
          <w:tab w:val="left" w:pos="2762"/>
          <w:tab w:val="center" w:pos="5801"/>
        </w:tabs>
        <w:kinsoku/>
        <w:wordWrap/>
        <w:overflowPunct/>
        <w:topLinePunct w:val="0"/>
        <w:bidi w:val="0"/>
        <w:spacing w:line="600" w:lineRule="exact"/>
        <w:ind w:firstLine="2209" w:firstLineChars="500"/>
        <w:jc w:val="left"/>
        <w:outlineLvl w:val="0"/>
        <w:rPr>
          <w:rStyle w:val="20"/>
          <w:rFonts w:ascii="黑体" w:hAnsi="黑体" w:eastAsia="黑体"/>
          <w:b w:val="0"/>
        </w:rPr>
      </w:pPr>
      <w:r>
        <w:rPr>
          <w:rFonts w:hint="eastAsia" w:ascii="黑体" w:hAnsi="黑体" w:eastAsia="黑体"/>
          <w:b/>
          <w:color w:val="000000"/>
          <w:sz w:val="44"/>
          <w:szCs w:val="44"/>
          <w:lang w:eastAsia="zh-CN"/>
        </w:rPr>
        <w:t>第三部分</w:t>
      </w:r>
      <w:r>
        <w:rPr>
          <w:rFonts w:hint="eastAsia" w:ascii="黑体" w:hAnsi="黑体" w:eastAsia="黑体"/>
          <w:b/>
          <w:color w:val="000000"/>
          <w:sz w:val="44"/>
          <w:szCs w:val="44"/>
          <w:lang w:val="en-US" w:eastAsia="zh-CN"/>
        </w:rPr>
        <w:t xml:space="preserve"> </w:t>
      </w:r>
      <w:r>
        <w:rPr>
          <w:rFonts w:hint="eastAsia" w:ascii="黑体" w:hAnsi="黑体" w:eastAsia="黑体"/>
          <w:b/>
          <w:color w:val="000000"/>
          <w:sz w:val="44"/>
          <w:szCs w:val="44"/>
        </w:rPr>
        <w:t>名</w:t>
      </w:r>
      <w:r>
        <w:rPr>
          <w:rStyle w:val="20"/>
          <w:rFonts w:hint="eastAsia" w:ascii="黑体" w:hAnsi="黑体" w:eastAsia="黑体"/>
          <w:b w:val="0"/>
        </w:rPr>
        <w:t>词解释</w:t>
      </w:r>
    </w:p>
    <w:p w14:paraId="3053C01A">
      <w:pPr>
        <w:pageBreakBefore w:val="0"/>
        <w:kinsoku/>
        <w:wordWrap/>
        <w:overflowPunct/>
        <w:topLinePunct w:val="0"/>
        <w:bidi w:val="0"/>
        <w:spacing w:line="600" w:lineRule="exact"/>
        <w:ind w:left="0" w:leftChars="0"/>
        <w:jc w:val="left"/>
        <w:rPr>
          <w:rFonts w:ascii="宋体"/>
          <w:b/>
          <w:color w:val="000000"/>
          <w:sz w:val="44"/>
          <w:szCs w:val="44"/>
        </w:rPr>
      </w:pPr>
    </w:p>
    <w:p w14:paraId="6CCF18EA">
      <w:pPr>
        <w:pStyle w:val="22"/>
        <w:pageBreakBefore w:val="0"/>
        <w:kinsoku/>
        <w:wordWrap/>
        <w:overflowPunct/>
        <w:topLinePunct w:val="0"/>
        <w:bidi w:val="0"/>
        <w:spacing w:line="600" w:lineRule="exact"/>
        <w:ind w:left="0" w:leftChars="0"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B370403">
      <w:pPr>
        <w:pStyle w:val="22"/>
        <w:pageBreakBefore w:val="0"/>
        <w:kinsoku/>
        <w:wordWrap/>
        <w:overflowPunct/>
        <w:topLinePunct w:val="0"/>
        <w:bidi w:val="0"/>
        <w:spacing w:line="600" w:lineRule="exact"/>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101D8B3C">
      <w:pPr>
        <w:pStyle w:val="22"/>
        <w:pageBreakBefore w:val="0"/>
        <w:kinsoku/>
        <w:wordWrap/>
        <w:overflowPunct/>
        <w:topLinePunct w:val="0"/>
        <w:bidi w:val="0"/>
        <w:spacing w:line="600" w:lineRule="exact"/>
        <w:ind w:left="0" w:leftChars="0" w:firstLine="640" w:firstLineChars="200"/>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14:paraId="4E32E4F1">
      <w:pPr>
        <w:pageBreakBefore w:val="0"/>
        <w:kinsoku/>
        <w:wordWrap/>
        <w:overflowPunct/>
        <w:topLinePunct w:val="0"/>
        <w:bidi w:val="0"/>
        <w:spacing w:line="600" w:lineRule="exact"/>
        <w:ind w:left="0" w:leftChars="0" w:firstLine="640" w:firstLineChars="200"/>
        <w:outlineLvl w:val="2"/>
        <w:rPr>
          <w:rStyle w:val="15"/>
          <w:rFonts w:ascii="仿宋_GB2312" w:hAnsi="仿宋_GB2312" w:eastAsia="仿宋" w:cs="仿宋_GB2312"/>
          <w:b w:val="0"/>
          <w:bCs/>
          <w:sz w:val="32"/>
          <w:szCs w:val="32"/>
          <w:highlight w:val="yellow"/>
        </w:rPr>
      </w:pPr>
      <w:r>
        <w:rPr>
          <w:rStyle w:val="15"/>
          <w:rFonts w:hint="eastAsia" w:ascii="仿宋_GB2312" w:hAnsi="仿宋_GB2312" w:eastAsia="仿宋_GB2312" w:cs="仿宋_GB2312"/>
          <w:b w:val="0"/>
          <w:bCs/>
          <w:color w:val="000000"/>
          <w:sz w:val="32"/>
          <w:szCs w:val="32"/>
        </w:rPr>
        <w:t>4.</w:t>
      </w:r>
      <w:r>
        <w:rPr>
          <w:rStyle w:val="15"/>
          <w:rFonts w:hint="eastAsia" w:ascii="仿宋_GB2312" w:eastAsia="仿宋_GB2312"/>
          <w:b w:val="0"/>
          <w:bCs/>
          <w:color w:val="000000"/>
          <w:sz w:val="32"/>
          <w:szCs w:val="32"/>
        </w:rPr>
        <w:t>一般公共服务（类）政府办公厅（室）及相关机构事务（款）行政运行（项）</w:t>
      </w:r>
      <w:r>
        <w:rPr>
          <w:rStyle w:val="15"/>
          <w:rFonts w:ascii="仿宋" w:hAnsi="仿宋" w:eastAsia="仿宋"/>
          <w:b w:val="0"/>
          <w:bCs/>
          <w:color w:val="000000"/>
          <w:sz w:val="32"/>
          <w:szCs w:val="32"/>
        </w:rPr>
        <w:t xml:space="preserve">: </w:t>
      </w:r>
      <w:r>
        <w:rPr>
          <w:rStyle w:val="15"/>
          <w:rFonts w:hint="eastAsia" w:ascii="仿宋_GB2312" w:hAnsi="仿宋_GB2312" w:eastAsia="仿宋_GB2312" w:cs="仿宋_GB2312"/>
          <w:b w:val="0"/>
          <w:bCs/>
          <w:color w:val="000000"/>
          <w:sz w:val="32"/>
          <w:szCs w:val="32"/>
        </w:rPr>
        <w:t>指区委编办的基本支出。</w:t>
      </w:r>
    </w:p>
    <w:p w14:paraId="11E94F5B">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Style w:val="15"/>
          <w:rFonts w:hint="eastAsia" w:ascii="仿宋" w:hAnsi="仿宋" w:eastAsia="仿宋"/>
          <w:b w:val="0"/>
          <w:bCs/>
          <w:color w:val="000000"/>
          <w:sz w:val="32"/>
          <w:szCs w:val="32"/>
        </w:rPr>
        <w:t>5</w:t>
      </w:r>
      <w:r>
        <w:rPr>
          <w:rStyle w:val="15"/>
          <w:rFonts w:ascii="仿宋" w:hAnsi="仿宋" w:eastAsia="仿宋"/>
          <w:b w:val="0"/>
          <w:bCs/>
          <w:color w:val="000000"/>
          <w:sz w:val="32"/>
          <w:szCs w:val="32"/>
        </w:rPr>
        <w:t>.</w:t>
      </w:r>
      <w:r>
        <w:rPr>
          <w:rStyle w:val="15"/>
          <w:rFonts w:hint="eastAsia" w:ascii="仿宋_GB2312" w:eastAsia="仿宋_GB2312"/>
          <w:b w:val="0"/>
          <w:bCs/>
          <w:color w:val="000000"/>
          <w:sz w:val="32"/>
          <w:szCs w:val="32"/>
        </w:rPr>
        <w:t>社会保障和就业（类）社会保障和就业支出（款）行政事业单位离退休（项）：指区委编办为单位职工缴纳基本养老保险缴费支出。</w:t>
      </w:r>
    </w:p>
    <w:p w14:paraId="2C5B4438">
      <w:pPr>
        <w:pageBreakBefore w:val="0"/>
        <w:kinsoku/>
        <w:wordWrap/>
        <w:overflowPunct/>
        <w:topLinePunct w:val="0"/>
        <w:bidi w:val="0"/>
        <w:spacing w:line="600" w:lineRule="exact"/>
        <w:ind w:left="0" w:leftChars="0" w:firstLine="640" w:firstLineChars="200"/>
        <w:rPr>
          <w:rStyle w:val="15"/>
          <w:rFonts w:ascii="仿宋_GB2312" w:hAnsi="仿宋_GB2312" w:eastAsia="仿宋_GB2312" w:cs="仿宋_GB2312"/>
          <w:b w:val="0"/>
          <w:bCs/>
          <w:color w:val="000000"/>
          <w:sz w:val="32"/>
          <w:szCs w:val="32"/>
          <w:highlight w:val="yellow"/>
        </w:rPr>
      </w:pPr>
      <w:r>
        <w:rPr>
          <w:rStyle w:val="15"/>
          <w:rFonts w:hint="eastAsia" w:ascii="仿宋" w:hAnsi="仿宋" w:eastAsia="仿宋"/>
          <w:b w:val="0"/>
          <w:bCs/>
          <w:color w:val="000000"/>
          <w:sz w:val="32"/>
          <w:szCs w:val="32"/>
        </w:rPr>
        <w:t>6</w:t>
      </w:r>
      <w:r>
        <w:rPr>
          <w:rStyle w:val="15"/>
          <w:rFonts w:ascii="仿宋" w:hAnsi="仿宋" w:eastAsia="仿宋"/>
          <w:b w:val="0"/>
          <w:bCs/>
          <w:color w:val="000000"/>
          <w:sz w:val="32"/>
          <w:szCs w:val="32"/>
        </w:rPr>
        <w:t>.</w:t>
      </w:r>
      <w:r>
        <w:rPr>
          <w:rStyle w:val="15"/>
          <w:rFonts w:hint="eastAsia" w:ascii="仿宋_GB2312" w:eastAsia="仿宋_GB2312"/>
          <w:b w:val="0"/>
          <w:bCs/>
          <w:color w:val="000000"/>
          <w:sz w:val="32"/>
          <w:szCs w:val="32"/>
        </w:rPr>
        <w:t>医疗卫生与计划生育（类）医疗卫生与计划生育支出（款）行政事业单位医疗（项）行政单位医疗：指区委编办为单位职工缴纳的医疗保险支出</w:t>
      </w:r>
      <w:r>
        <w:rPr>
          <w:rStyle w:val="15"/>
          <w:rFonts w:hint="eastAsia" w:ascii="仿宋" w:hAnsi="仿宋" w:eastAsia="仿宋"/>
          <w:b w:val="0"/>
          <w:bCs/>
          <w:color w:val="000000"/>
          <w:sz w:val="32"/>
          <w:szCs w:val="32"/>
        </w:rPr>
        <w:t>。</w:t>
      </w:r>
    </w:p>
    <w:p w14:paraId="4278F5C7">
      <w:pPr>
        <w:pageBreakBefore w:val="0"/>
        <w:kinsoku/>
        <w:wordWrap/>
        <w:overflowPunct/>
        <w:topLinePunct w:val="0"/>
        <w:bidi w:val="0"/>
        <w:spacing w:line="600" w:lineRule="exact"/>
        <w:ind w:left="0" w:leftChars="0" w:firstLine="640"/>
        <w:rPr>
          <w:rFonts w:ascii="仿宋_GB2312" w:eastAsia="仿宋_GB2312"/>
          <w:bCs/>
          <w:color w:val="000000"/>
          <w:sz w:val="32"/>
          <w:szCs w:val="32"/>
        </w:rPr>
      </w:pPr>
      <w:r>
        <w:rPr>
          <w:rStyle w:val="15"/>
          <w:rFonts w:hint="eastAsia" w:ascii="仿宋_GB2312" w:eastAsia="仿宋_GB2312"/>
          <w:b w:val="0"/>
          <w:bCs/>
          <w:color w:val="000000"/>
          <w:sz w:val="32"/>
          <w:szCs w:val="32"/>
        </w:rPr>
        <w:t>7.住房保障支出（类）住房改革支出（款）住房公积金（项）:指区委编办为单位职工缴纳的住房公积金支出</w:t>
      </w:r>
      <w:r>
        <w:rPr>
          <w:rFonts w:hint="eastAsia" w:ascii="仿宋_GB2312" w:eastAsia="仿宋_GB2312"/>
          <w:bCs/>
          <w:color w:val="000000"/>
          <w:sz w:val="32"/>
          <w:szCs w:val="32"/>
        </w:rPr>
        <w:t>。</w:t>
      </w:r>
    </w:p>
    <w:p w14:paraId="1919952F">
      <w:pPr>
        <w:pageBreakBefore w:val="0"/>
        <w:kinsoku/>
        <w:wordWrap/>
        <w:overflowPunct/>
        <w:topLinePunct w:val="0"/>
        <w:bidi w:val="0"/>
        <w:spacing w:line="600" w:lineRule="exact"/>
        <w:ind w:left="0" w:leftChars="0"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4C3B277">
      <w:pPr>
        <w:pStyle w:val="22"/>
        <w:pageBreakBefore w:val="0"/>
        <w:kinsoku/>
        <w:wordWrap/>
        <w:overflowPunct/>
        <w:topLinePunct w:val="0"/>
        <w:bidi w:val="0"/>
        <w:spacing w:line="600" w:lineRule="exact"/>
        <w:ind w:left="0" w:leftChars="0"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531E24">
      <w:pPr>
        <w:pStyle w:val="22"/>
        <w:pageBreakBefore w:val="0"/>
        <w:kinsoku/>
        <w:wordWrap/>
        <w:overflowPunct/>
        <w:topLinePunct w:val="0"/>
        <w:bidi w:val="0"/>
        <w:spacing w:line="600" w:lineRule="exact"/>
        <w:ind w:left="0" w:leftChars="0"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2CF09886">
      <w:pPr>
        <w:pageBreakBefore w:val="0"/>
        <w:widowControl/>
        <w:kinsoku/>
        <w:wordWrap/>
        <w:overflowPunct/>
        <w:topLinePunct w:val="0"/>
        <w:bidi w:val="0"/>
        <w:spacing w:line="600" w:lineRule="exact"/>
        <w:ind w:left="0" w:leftChars="0" w:firstLine="640" w:firstLineChars="200"/>
        <w:textAlignment w:val="center"/>
        <w:rPr>
          <w:color w:val="0000FF"/>
          <w:sz w:val="32"/>
          <w:szCs w:val="32"/>
        </w:rPr>
      </w:pPr>
    </w:p>
    <w:p w14:paraId="568F5E50">
      <w:pPr>
        <w:pStyle w:val="12"/>
        <w:pageBreakBefore w:val="0"/>
        <w:kinsoku/>
        <w:wordWrap/>
        <w:overflowPunct/>
        <w:topLinePunct w:val="0"/>
        <w:bidi w:val="0"/>
        <w:spacing w:line="600" w:lineRule="exact"/>
        <w:ind w:left="0" w:leftChars="0"/>
        <w:rPr>
          <w:color w:val="0000FF"/>
          <w:sz w:val="32"/>
          <w:szCs w:val="32"/>
        </w:rPr>
      </w:pPr>
    </w:p>
    <w:p w14:paraId="5466D3AB">
      <w:pPr>
        <w:pStyle w:val="12"/>
        <w:pageBreakBefore w:val="0"/>
        <w:kinsoku/>
        <w:wordWrap/>
        <w:overflowPunct/>
        <w:topLinePunct w:val="0"/>
        <w:bidi w:val="0"/>
        <w:spacing w:line="600" w:lineRule="exact"/>
        <w:ind w:left="0" w:leftChars="0"/>
        <w:rPr>
          <w:color w:val="0000FF"/>
          <w:sz w:val="32"/>
          <w:szCs w:val="32"/>
        </w:rPr>
      </w:pPr>
    </w:p>
    <w:p w14:paraId="0FEE92E3">
      <w:pPr>
        <w:pStyle w:val="12"/>
        <w:pageBreakBefore w:val="0"/>
        <w:kinsoku/>
        <w:wordWrap/>
        <w:overflowPunct/>
        <w:topLinePunct w:val="0"/>
        <w:bidi w:val="0"/>
        <w:spacing w:line="600" w:lineRule="exact"/>
        <w:ind w:left="0" w:leftChars="0"/>
        <w:rPr>
          <w:color w:val="0000FF"/>
          <w:sz w:val="32"/>
          <w:szCs w:val="32"/>
        </w:rPr>
      </w:pPr>
    </w:p>
    <w:p w14:paraId="235F10A9">
      <w:pPr>
        <w:pageBreakBefore w:val="0"/>
        <w:kinsoku/>
        <w:wordWrap/>
        <w:overflowPunct/>
        <w:topLinePunct w:val="0"/>
        <w:bidi w:val="0"/>
        <w:spacing w:line="600" w:lineRule="exact"/>
        <w:ind w:left="0" w:leftChars="0"/>
        <w:jc w:val="center"/>
        <w:outlineLvl w:val="0"/>
        <w:rPr>
          <w:rFonts w:hint="eastAsia" w:ascii="黑体" w:hAnsi="黑体" w:eastAsia="黑体"/>
          <w:color w:val="000000"/>
          <w:sz w:val="44"/>
          <w:szCs w:val="44"/>
        </w:rPr>
      </w:pPr>
      <w:bookmarkStart w:id="16" w:name="_Toc15396614"/>
    </w:p>
    <w:p w14:paraId="56BE91E0">
      <w:pPr>
        <w:pageBreakBefore w:val="0"/>
        <w:kinsoku/>
        <w:wordWrap/>
        <w:overflowPunct/>
        <w:topLinePunct w:val="0"/>
        <w:bidi w:val="0"/>
        <w:spacing w:line="600" w:lineRule="exact"/>
        <w:ind w:left="0" w:leftChars="0"/>
        <w:jc w:val="center"/>
        <w:outlineLvl w:val="0"/>
        <w:rPr>
          <w:rFonts w:hint="eastAsia" w:ascii="黑体" w:hAnsi="黑体" w:eastAsia="黑体"/>
          <w:color w:val="000000"/>
          <w:sz w:val="44"/>
          <w:szCs w:val="44"/>
        </w:rPr>
      </w:pPr>
    </w:p>
    <w:p w14:paraId="69308BDE">
      <w:pPr>
        <w:pageBreakBefore w:val="0"/>
        <w:kinsoku/>
        <w:wordWrap/>
        <w:overflowPunct/>
        <w:topLinePunct w:val="0"/>
        <w:bidi w:val="0"/>
        <w:spacing w:line="600" w:lineRule="exact"/>
        <w:ind w:left="0" w:leftChars="0"/>
        <w:jc w:val="center"/>
        <w:outlineLvl w:val="0"/>
        <w:rPr>
          <w:rFonts w:hint="eastAsia" w:ascii="黑体" w:hAnsi="黑体" w:eastAsia="黑体"/>
          <w:color w:val="000000"/>
          <w:sz w:val="44"/>
          <w:szCs w:val="44"/>
        </w:rPr>
      </w:pPr>
    </w:p>
    <w:p w14:paraId="57DD0B42">
      <w:pPr>
        <w:pageBreakBefore w:val="0"/>
        <w:kinsoku/>
        <w:wordWrap/>
        <w:overflowPunct/>
        <w:topLinePunct w:val="0"/>
        <w:bidi w:val="0"/>
        <w:spacing w:line="600" w:lineRule="exact"/>
        <w:ind w:left="0" w:leftChars="0"/>
        <w:jc w:val="center"/>
        <w:outlineLvl w:val="0"/>
        <w:rPr>
          <w:rFonts w:hint="eastAsia" w:ascii="黑体" w:hAnsi="黑体" w:eastAsia="黑体"/>
          <w:color w:val="000000"/>
          <w:sz w:val="44"/>
          <w:szCs w:val="44"/>
        </w:rPr>
      </w:pPr>
    </w:p>
    <w:p w14:paraId="7FBC866F">
      <w:pPr>
        <w:pageBreakBefore w:val="0"/>
        <w:kinsoku/>
        <w:wordWrap/>
        <w:overflowPunct/>
        <w:topLinePunct w:val="0"/>
        <w:bidi w:val="0"/>
        <w:spacing w:line="600" w:lineRule="exact"/>
        <w:ind w:left="0" w:leftChars="0"/>
        <w:jc w:val="center"/>
        <w:outlineLvl w:val="0"/>
        <w:rPr>
          <w:rFonts w:hint="eastAsia" w:ascii="黑体" w:hAnsi="黑体" w:eastAsia="黑体"/>
          <w:color w:val="000000"/>
          <w:sz w:val="44"/>
          <w:szCs w:val="44"/>
        </w:rPr>
      </w:pPr>
    </w:p>
    <w:p w14:paraId="619E92CD">
      <w:pPr>
        <w:pageBreakBefore w:val="0"/>
        <w:kinsoku/>
        <w:wordWrap/>
        <w:overflowPunct/>
        <w:topLinePunct w:val="0"/>
        <w:bidi w:val="0"/>
        <w:spacing w:line="600" w:lineRule="exact"/>
        <w:ind w:left="0" w:leftChars="0"/>
        <w:jc w:val="both"/>
        <w:outlineLvl w:val="0"/>
        <w:rPr>
          <w:rFonts w:hint="eastAsia" w:ascii="黑体" w:hAnsi="黑体" w:eastAsia="黑体"/>
          <w:color w:val="000000"/>
          <w:sz w:val="44"/>
          <w:szCs w:val="44"/>
        </w:rPr>
      </w:pPr>
    </w:p>
    <w:p w14:paraId="024E721A">
      <w:pPr>
        <w:pageBreakBefore w:val="0"/>
        <w:kinsoku/>
        <w:wordWrap/>
        <w:overflowPunct/>
        <w:topLinePunct w:val="0"/>
        <w:bidi w:val="0"/>
        <w:spacing w:line="600" w:lineRule="exact"/>
        <w:ind w:left="0" w:leftChars="0"/>
        <w:jc w:val="center"/>
        <w:outlineLvl w:val="0"/>
        <w:rPr>
          <w:rFonts w:hint="eastAsia" w:ascii="黑体" w:hAnsi="黑体" w:eastAsia="黑体"/>
          <w:color w:val="000000"/>
          <w:sz w:val="44"/>
          <w:szCs w:val="44"/>
        </w:rPr>
      </w:pPr>
    </w:p>
    <w:p w14:paraId="309FB527">
      <w:pPr>
        <w:pageBreakBefore w:val="0"/>
        <w:kinsoku/>
        <w:wordWrap/>
        <w:overflowPunct/>
        <w:topLinePunct w:val="0"/>
        <w:bidi w:val="0"/>
        <w:spacing w:line="600" w:lineRule="exact"/>
        <w:ind w:left="0" w:leftChars="0"/>
        <w:jc w:val="center"/>
        <w:outlineLvl w:val="0"/>
        <w:rPr>
          <w:rStyle w:val="20"/>
          <w:rFonts w:ascii="黑体" w:hAnsi="黑体" w:eastAsia="黑体"/>
          <w:b w:val="0"/>
        </w:rPr>
      </w:pPr>
      <w:r>
        <w:rPr>
          <w:rFonts w:hint="eastAsia" w:ascii="黑体" w:hAnsi="黑体" w:eastAsia="黑体"/>
          <w:color w:val="000000"/>
          <w:sz w:val="44"/>
          <w:szCs w:val="44"/>
        </w:rPr>
        <w:t>第</w:t>
      </w:r>
      <w:r>
        <w:rPr>
          <w:rStyle w:val="20"/>
          <w:rFonts w:hint="eastAsia" w:ascii="黑体" w:hAnsi="黑体" w:eastAsia="黑体"/>
          <w:b w:val="0"/>
        </w:rPr>
        <w:t>四部分 附件</w:t>
      </w:r>
      <w:bookmarkEnd w:id="16"/>
    </w:p>
    <w:p w14:paraId="7FEC31C1">
      <w:pPr>
        <w:pageBreakBefore w:val="0"/>
        <w:kinsoku/>
        <w:wordWrap/>
        <w:overflowPunct/>
        <w:topLinePunct w:val="0"/>
        <w:bidi w:val="0"/>
        <w:spacing w:line="600" w:lineRule="exact"/>
        <w:ind w:left="0" w:leftChars="0"/>
        <w:jc w:val="center"/>
        <w:outlineLvl w:val="0"/>
        <w:rPr>
          <w:rStyle w:val="20"/>
        </w:rPr>
      </w:pPr>
    </w:p>
    <w:p w14:paraId="6CB89434">
      <w:pPr>
        <w:pStyle w:val="4"/>
        <w:pageBreakBefore w:val="0"/>
        <w:kinsoku/>
        <w:wordWrap/>
        <w:overflowPunct/>
        <w:topLinePunct w:val="0"/>
        <w:bidi w:val="0"/>
        <w:spacing w:before="0" w:after="0" w:line="600" w:lineRule="exact"/>
        <w:ind w:left="0" w:leftChars="0"/>
        <w:rPr>
          <w:rStyle w:val="20"/>
          <w:rFonts w:ascii="仿宋" w:hAnsi="仿宋" w:eastAsia="仿宋"/>
          <w:b w:val="0"/>
          <w:bCs w:val="0"/>
          <w:sz w:val="32"/>
          <w:szCs w:val="32"/>
        </w:rPr>
      </w:pPr>
      <w:bookmarkStart w:id="17" w:name="_Toc15396615"/>
      <w:r>
        <w:rPr>
          <w:rStyle w:val="20"/>
          <w:rFonts w:hint="eastAsia" w:ascii="仿宋" w:hAnsi="仿宋" w:eastAsia="仿宋"/>
          <w:b w:val="0"/>
          <w:bCs w:val="0"/>
          <w:sz w:val="32"/>
          <w:szCs w:val="32"/>
        </w:rPr>
        <w:t>附件1</w:t>
      </w:r>
      <w:bookmarkEnd w:id="17"/>
    </w:p>
    <w:p w14:paraId="63239C92">
      <w:pPr>
        <w:pageBreakBefore w:val="0"/>
        <w:kinsoku/>
        <w:wordWrap/>
        <w:overflowPunct/>
        <w:topLinePunct w:val="0"/>
        <w:autoSpaceDE/>
        <w:autoSpaceDN/>
        <w:bidi w:val="0"/>
        <w:adjustRightInd/>
        <w:spacing w:beforeAutospacing="0" w:afterAutospacing="0" w:line="600" w:lineRule="exact"/>
        <w:ind w:left="0" w:leftChars="0"/>
        <w:jc w:val="center"/>
        <w:textAlignment w:val="auto"/>
        <w:outlineLvl w:val="0"/>
        <w:rPr>
          <w:rFonts w:ascii="黑体" w:hAnsi="黑体" w:eastAsia="黑体" w:cs="方正小标宋简体"/>
          <w:sz w:val="36"/>
          <w:szCs w:val="36"/>
        </w:rPr>
      </w:pPr>
      <w:bookmarkStart w:id="18" w:name="_Toc15396616"/>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20</w:t>
      </w:r>
      <w:r>
        <w:rPr>
          <w:rFonts w:hint="eastAsia" w:ascii="黑体" w:hAnsi="黑体" w:eastAsia="黑体" w:cs="方正小标宋简体"/>
          <w:sz w:val="36"/>
          <w:szCs w:val="36"/>
        </w:rPr>
        <w:t>年部门整体支出绩效评价报告</w:t>
      </w:r>
      <w:bookmarkEnd w:id="18"/>
    </w:p>
    <w:p w14:paraId="7F6BFAB5">
      <w:pPr>
        <w:pStyle w:val="11"/>
        <w:keepNext w:val="0"/>
        <w:keepLines w:val="0"/>
        <w:pageBreakBefore w:val="0"/>
        <w:widowControl/>
        <w:numPr>
          <w:ilvl w:val="0"/>
          <w:numId w:val="2"/>
        </w:numPr>
        <w:suppressLineNumbers w:val="0"/>
        <w:shd w:val="clear" w:fill="FFFFFF"/>
        <w:kinsoku/>
        <w:wordWrap/>
        <w:overflowPunct/>
        <w:topLinePunct w:val="0"/>
        <w:autoSpaceDE/>
        <w:autoSpaceDN/>
        <w:bidi w:val="0"/>
        <w:adjustRightInd/>
        <w:spacing w:before="0" w:beforeAutospacing="0" w:after="0" w:afterAutospacing="0" w:line="600" w:lineRule="exact"/>
        <w:ind w:left="0" w:leftChars="0" w:firstLine="645"/>
        <w:textAlignment w:val="auto"/>
        <w:rPr>
          <w:rFonts w:ascii="黑体" w:hAnsi="宋体" w:eastAsia="黑体" w:cs="黑体"/>
          <w:i w:val="0"/>
          <w:caps w:val="0"/>
          <w:color w:val="161616"/>
          <w:spacing w:val="0"/>
          <w:sz w:val="31"/>
          <w:szCs w:val="31"/>
          <w:shd w:val="clear" w:fill="FFFFFF"/>
        </w:rPr>
      </w:pPr>
      <w:r>
        <w:rPr>
          <w:rFonts w:ascii="黑体" w:hAnsi="宋体" w:eastAsia="黑体" w:cs="黑体"/>
          <w:i w:val="0"/>
          <w:caps w:val="0"/>
          <w:color w:val="161616"/>
          <w:spacing w:val="0"/>
          <w:sz w:val="31"/>
          <w:szCs w:val="31"/>
          <w:shd w:val="clear" w:fill="FFFFFF"/>
        </w:rPr>
        <w:t>部门（单位）概况</w:t>
      </w:r>
    </w:p>
    <w:p w14:paraId="02823DFB">
      <w:pPr>
        <w:pStyle w:val="11"/>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0" w:afterAutospacing="0" w:line="600" w:lineRule="exact"/>
        <w:ind w:left="0" w:leftChars="0"/>
        <w:textAlignment w:val="auto"/>
        <w:rPr>
          <w:rFonts w:hint="eastAsia" w:ascii="微软雅黑" w:hAnsi="微软雅黑" w:eastAsia="微软雅黑" w:cs="微软雅黑"/>
          <w:i w:val="0"/>
          <w:caps w:val="0"/>
          <w:color w:val="161616"/>
          <w:spacing w:val="0"/>
          <w:sz w:val="20"/>
          <w:szCs w:val="20"/>
        </w:rPr>
      </w:pPr>
      <w:r>
        <w:rPr>
          <w:rFonts w:ascii="楷体" w:hAnsi="楷体" w:eastAsia="楷体" w:cs="楷体"/>
          <w:i w:val="0"/>
          <w:caps w:val="0"/>
          <w:color w:val="161616"/>
          <w:spacing w:val="0"/>
          <w:sz w:val="31"/>
          <w:szCs w:val="31"/>
          <w:shd w:val="clear" w:fill="FFFFFF"/>
        </w:rPr>
        <w:t>（一）机构组成。</w:t>
      </w:r>
    </w:p>
    <w:p w14:paraId="684480C6">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中共广元市昭化区委统一战线工作部（简称区委统战部）是区委主管统一战线工作的职能部门，为正科级，列区委工作机关序列。区委统战部统一领导民族宗教工作。区民族宗教事务局（简称区民族宗教局）与区委统战部合署办公，实行一套工作机构、两个机关名称。区委统战部统一管理侨务、台湾事务工作，对外挂广元市昭化区侨务办公室、中共广元市昭化区委台湾工作办公室（广元市昭化区政府台湾事务办公室）牌子，分别简称区侨务办、区委台办（区台办）。</w:t>
      </w:r>
      <w:r>
        <w:rPr>
          <w:rFonts w:hint="eastAsia" w:ascii="仿宋_GB2312" w:hAnsi="仿宋_GB2312" w:eastAsia="仿宋_GB2312" w:cs="仿宋_GB2312"/>
          <w:bCs/>
          <w:sz w:val="32"/>
          <w:szCs w:val="32"/>
        </w:rPr>
        <w:t>一级预算单位。</w:t>
      </w:r>
    </w:p>
    <w:p w14:paraId="7154F3D1">
      <w:pPr>
        <w:pStyle w:val="12"/>
        <w:pageBreakBefore w:val="0"/>
        <w:numPr>
          <w:ilvl w:val="0"/>
          <w:numId w:val="3"/>
        </w:numPr>
        <w:kinsoku/>
        <w:wordWrap/>
        <w:overflowPunct/>
        <w:topLinePunct w:val="0"/>
        <w:autoSpaceDE/>
        <w:autoSpaceDN/>
        <w:bidi w:val="0"/>
        <w:adjustRightInd/>
        <w:spacing w:beforeAutospacing="0" w:afterAutospacing="0" w:line="600" w:lineRule="exact"/>
        <w:ind w:left="0" w:leftChars="0"/>
        <w:textAlignment w:val="auto"/>
        <w:rPr>
          <w:rFonts w:ascii="楷体" w:hAnsi="楷体" w:eastAsia="楷体" w:cs="楷体"/>
          <w:i w:val="0"/>
          <w:caps w:val="0"/>
          <w:color w:val="161616"/>
          <w:spacing w:val="0"/>
          <w:sz w:val="31"/>
          <w:szCs w:val="31"/>
          <w:shd w:val="clear" w:fill="FFFFFF"/>
        </w:rPr>
      </w:pPr>
      <w:r>
        <w:rPr>
          <w:rFonts w:ascii="楷体" w:hAnsi="楷体" w:eastAsia="楷体" w:cs="楷体"/>
          <w:i w:val="0"/>
          <w:caps w:val="0"/>
          <w:color w:val="161616"/>
          <w:spacing w:val="0"/>
          <w:sz w:val="31"/>
          <w:szCs w:val="31"/>
          <w:shd w:val="clear" w:fill="FFFFFF"/>
        </w:rPr>
        <w:t>机构职能。</w:t>
      </w:r>
    </w:p>
    <w:p w14:paraId="3880217B">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和省委、市委、区委关于统一战线工作重大决策部署，巩固壮大最广泛的统一战线。</w:t>
      </w:r>
    </w:p>
    <w:p w14:paraId="6E97016B">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研究拟订统一战线工作的政策草案并推动落实，深入调查研究，及时向区委报告统一战线工作情况并提出建议；统筹协调和指导各乡镇（街道）、各部门（单位）统一战线工作。</w:t>
      </w:r>
    </w:p>
    <w:p w14:paraId="439B4F74">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负责发现、培养党外代表人士，制定党外干部培养规划，负责党外人士的政治安排，会同有关部门做好安排党外人士担任政府和司法机关等领导职务的工作，推动学校、人民团体、科研院所、国有企业党外干部安排工作。协助民主党派支部（社）、区工商联做好干部管理工作，反映和协调解决党外代表人士工作、生活中的实际困难。</w:t>
      </w:r>
    </w:p>
    <w:p w14:paraId="4E906A0A">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贯彻落实党的宣传工作方针，统筹推进全区统一战线宣传和意识形态工作，组织贯彻落实党中央、省委、市委、区委统一战线宣传工作政策和规划，统筹推进网络统战工作，研判涉及统一战线的舆情并协调有关部门应对处置。</w:t>
      </w:r>
    </w:p>
    <w:p w14:paraId="0DE23DCD">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14:paraId="2B1B4A74">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贯彻落实党的民族工作方针，研究拟订民族工作中的政策和重大措施，协调处理民族工作中的重大问题，统筹协调做好少数民族干部工作。依法管理民族事务，全面促进民族事业发展。</w:t>
      </w:r>
    </w:p>
    <w:p w14:paraId="08692A77">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贯彻落实党的宗教工作基本方针和政策，研究拟订宗教工作的重大政策措施并督促落实。依法管理宗教行政事务，保护公民宗教信仰自由和正常的宗教活动，维护宗教界合法权益，抵御境外利用宗教进行渗透，引导各宗教坚持中国化方向，巩固和发展同宗教界的爱国统一战线。</w:t>
      </w:r>
    </w:p>
    <w:p w14:paraId="3FBF4DC3">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规范民间信仰活动，依法管理民间信仰，维护民间信仰信众的合法权益；挖掘民间信仰中的优秀传统文化资源，引导民间信仰信众爱国守法、团结友善、服务社会、维护和谐。</w:t>
      </w:r>
    </w:p>
    <w:p w14:paraId="202E9A64">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负责联系、培养无党派代表人士，支持、帮助无党派人士加强自身建设、发挥作用。调查研究全区党外知识分子情况并提出政策建议，联系、培养党外知识分子代表人士，开展思想政治工作，指导学校、科研院所、国有企业等有关单位开展统战工作。</w:t>
      </w:r>
    </w:p>
    <w:p w14:paraId="285385E4">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负责联系、培养新的社会阶层代表人士，支持、帮助新的社会阶层人士加强自身建设、发挥作用。调查研究全区新的社会阶层人士情况并提出政策建议，开展思想政治工作，指导社会组织开展新的社会阶层人士统战工作。</w:t>
      </w:r>
    </w:p>
    <w:p w14:paraId="053E7674">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11.</w:t>
      </w:r>
      <w:r>
        <w:rPr>
          <w:rFonts w:hint="eastAsia" w:ascii="仿宋_GB2312" w:hAnsi="仿宋_GB2312" w:eastAsia="仿宋_GB2312" w:cs="仿宋_GB2312"/>
          <w:bCs/>
          <w:color w:val="000000"/>
          <w:sz w:val="32"/>
          <w:szCs w:val="32"/>
        </w:rPr>
        <w:t>承担全区非公有制经济协调工作，负责全区非公有制经济代表人士工作，参与制定、推动落实鼓励支持引导非公有制经济发展的政策，调查研究全区非公有制经济人士情况并提出政策建议，了解和反映非公有制经济人士的意见，团结、服务、引导、教育非公有制经济人士，促进非公有制经济健康发展和非公有制经济人士健康成长。</w:t>
      </w:r>
    </w:p>
    <w:p w14:paraId="0F0E3E0D">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12.</w:t>
      </w:r>
      <w:r>
        <w:rPr>
          <w:rFonts w:hint="eastAsia" w:ascii="仿宋_GB2312" w:hAnsi="仿宋_GB2312" w:eastAsia="仿宋_GB2312" w:cs="仿宋_GB2312"/>
          <w:bCs/>
          <w:color w:val="000000"/>
          <w:sz w:val="32"/>
          <w:szCs w:val="32"/>
        </w:rPr>
        <w:t>统一领导港澳统战工作。牵头开展港澳统战工作，贯彻落实党的海外统战工作政策和规划并组织协调、督促检查落实，会同有关部门对香港、澳门地区统一战线工作进行调查研究并向区委提出政策建议，联系香港、澳门有关党派、团体及代表人士。做好统一战线外事管理工作。</w:t>
      </w:r>
    </w:p>
    <w:p w14:paraId="105AC7D9">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13.</w:t>
      </w:r>
      <w:r>
        <w:rPr>
          <w:rFonts w:hint="eastAsia" w:ascii="仿宋_GB2312" w:hAnsi="仿宋_GB2312" w:eastAsia="仿宋_GB2312" w:cs="仿宋_GB2312"/>
          <w:bCs/>
          <w:color w:val="000000"/>
          <w:sz w:val="32"/>
          <w:szCs w:val="32"/>
        </w:rPr>
        <w:t>统一管理台湾事务工作。贯彻落实党的对台工作方针政策，研究、拟订全区对台工作计划及实施意见，经批准后组织实施，开展对台统战工作。指导、协调、检查区级部门（单位）和各乡镇（街道）及相关企业对台工作，指导我区各民主党派、工商联和其他人民团体有关重点人物、重大活动等方面的涉台工作。调查研究台湾形势和两岸关系发展动向及交流合作、人员往来发展情况，提出对策建议。广泛开展交流联络活动，会同有关部门协调指导我区对台经贸工作和金融、文化、学术、体育、科技、卫生等各个领域的交流与合作，以及相关人员往来、考察、研讨等工作。指导全区对台宣传、涉台教育，负责有关台湾工作的新闻发布。统筹协调全区涉台法律事务，会同有关部门依法开展涉台权益保护工作。联系台湾有关党派、团体及代表人士。</w:t>
      </w:r>
    </w:p>
    <w:p w14:paraId="23C459CB">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14.</w:t>
      </w:r>
      <w:r>
        <w:rPr>
          <w:rFonts w:hint="eastAsia" w:ascii="仿宋_GB2312" w:hAnsi="仿宋_GB2312" w:eastAsia="仿宋_GB2312" w:cs="仿宋_GB2312"/>
          <w:bCs/>
          <w:color w:val="000000"/>
          <w:sz w:val="32"/>
          <w:szCs w:val="32"/>
        </w:rPr>
        <w:t>统一管理侨务工作，贯彻落实党的侨务工作方针政策，负责起草涉侨地方性规范性文件、拟订全区侨务工作规划并组织协调、督促检查落实，调查研究侨情和侨务工作情况，管理侨务事务，统筹协调有关部门和社会团体涉侨工作，联系海外有关侨团和代表人士，负责海外侨胞代表人士在相关统战团体的安排，指导推动涉侨宣传、文化交流、华文教育工作等，保护华侨和归侨侨眷在区内的合法权利和利益。</w:t>
      </w:r>
    </w:p>
    <w:p w14:paraId="4729F6E6">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15.</w:t>
      </w:r>
      <w:r>
        <w:rPr>
          <w:rFonts w:hint="eastAsia" w:ascii="仿宋_GB2312" w:hAnsi="仿宋_GB2312" w:eastAsia="仿宋_GB2312" w:cs="仿宋_GB2312"/>
          <w:bCs/>
          <w:color w:val="000000"/>
          <w:sz w:val="32"/>
          <w:szCs w:val="32"/>
        </w:rPr>
        <w:t>受区委委托，领导区工商联党组，指导工商联工作。领导区民族宗教工作。管理区侨务工作。管理区委台湾工作办公室（区政府台湾事务办公室）工作。指导区党外知识分子联谊会、区新的社会阶层人士联谊会等工作。做好统一战线有关单位和团体及事业单位的管理工作。</w:t>
      </w:r>
    </w:p>
    <w:p w14:paraId="326E64DF">
      <w:pPr>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16.</w:t>
      </w:r>
      <w:r>
        <w:rPr>
          <w:rFonts w:hint="eastAsia" w:ascii="仿宋_GB2312" w:hAnsi="仿宋_GB2312" w:eastAsia="仿宋_GB2312" w:cs="仿宋_GB2312"/>
          <w:bCs/>
          <w:color w:val="000000"/>
          <w:sz w:val="32"/>
          <w:szCs w:val="32"/>
        </w:rPr>
        <w:t>完成区委交办的其他任务。</w:t>
      </w:r>
    </w:p>
    <w:p w14:paraId="08B63DFB">
      <w:pPr>
        <w:pageBreakBefore w:val="0"/>
        <w:kinsoku/>
        <w:wordWrap/>
        <w:overflowPunct/>
        <w:topLinePunct w:val="0"/>
        <w:autoSpaceDE/>
        <w:autoSpaceDN/>
        <w:bidi w:val="0"/>
        <w:adjustRightInd/>
        <w:spacing w:beforeAutospacing="0" w:afterAutospacing="0" w:line="600" w:lineRule="exact"/>
        <w:ind w:left="0" w:leftChars="0" w:firstLine="622" w:firstLineChars="200"/>
        <w:textAlignment w:val="auto"/>
        <w:rPr>
          <w:rFonts w:ascii="楷体" w:hAnsi="楷体" w:eastAsia="楷体" w:cs="楷体"/>
          <w:b/>
          <w:bCs/>
          <w:i w:val="0"/>
          <w:caps w:val="0"/>
          <w:color w:val="161616"/>
          <w:spacing w:val="0"/>
          <w:sz w:val="31"/>
          <w:szCs w:val="31"/>
          <w:shd w:val="clear" w:fill="FFFFFF"/>
        </w:rPr>
      </w:pPr>
      <w:r>
        <w:rPr>
          <w:rFonts w:ascii="楷体" w:hAnsi="楷体" w:eastAsia="楷体" w:cs="楷体"/>
          <w:b/>
          <w:bCs/>
          <w:i w:val="0"/>
          <w:caps w:val="0"/>
          <w:color w:val="161616"/>
          <w:spacing w:val="0"/>
          <w:sz w:val="31"/>
          <w:szCs w:val="31"/>
          <w:shd w:val="clear" w:fill="FFFFFF"/>
        </w:rPr>
        <w:t>（三）人员概况。</w:t>
      </w:r>
    </w:p>
    <w:p w14:paraId="4097BAFA">
      <w:pPr>
        <w:pStyle w:val="12"/>
        <w:pageBreakBefore w:val="0"/>
        <w:numPr>
          <w:ilvl w:val="0"/>
          <w:numId w:val="0"/>
        </w:numPr>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区委统战部现共有编制12人，其中行政编制11人，事业编制1人。2019年预算实有在职编制内人员12人，其中行政编制11人（副县级领导干部1人，四级调研员3人，一级主任科员1人，正科级领导干部3人，二级主任科员1人，副科级领导干部2人），事业编制1人，均为财政全额供给行政人员。退休2人，系行政人员。</w:t>
      </w:r>
    </w:p>
    <w:p w14:paraId="5AAED465">
      <w:pPr>
        <w:pStyle w:val="12"/>
        <w:pageBreakBefore w:val="0"/>
        <w:numPr>
          <w:ilvl w:val="0"/>
          <w:numId w:val="4"/>
        </w:numPr>
        <w:kinsoku/>
        <w:wordWrap/>
        <w:overflowPunct/>
        <w:topLinePunct w:val="0"/>
        <w:autoSpaceDE/>
        <w:autoSpaceDN/>
        <w:bidi w:val="0"/>
        <w:adjustRightInd/>
        <w:spacing w:beforeAutospacing="0" w:afterAutospacing="0" w:line="600" w:lineRule="exact"/>
        <w:ind w:left="0" w:leftChars="0"/>
        <w:textAlignment w:val="auto"/>
        <w:rPr>
          <w:rFonts w:ascii="黑体" w:hAnsi="宋体" w:eastAsia="黑体" w:cs="黑体"/>
          <w:i w:val="0"/>
          <w:caps w:val="0"/>
          <w:color w:val="161616"/>
          <w:spacing w:val="0"/>
          <w:sz w:val="31"/>
          <w:szCs w:val="31"/>
          <w:shd w:val="clear" w:fill="FFFFFF"/>
        </w:rPr>
      </w:pPr>
      <w:r>
        <w:rPr>
          <w:rFonts w:ascii="黑体" w:hAnsi="宋体" w:eastAsia="黑体" w:cs="黑体"/>
          <w:i w:val="0"/>
          <w:caps w:val="0"/>
          <w:color w:val="161616"/>
          <w:spacing w:val="0"/>
          <w:sz w:val="31"/>
          <w:szCs w:val="31"/>
          <w:shd w:val="clear" w:fill="FFFFFF"/>
        </w:rPr>
        <w:t>部门财政资金收支情况</w:t>
      </w:r>
    </w:p>
    <w:p w14:paraId="44D66C66">
      <w:pPr>
        <w:pageBreakBefore w:val="0"/>
        <w:kinsoku/>
        <w:wordWrap/>
        <w:overflowPunct/>
        <w:topLinePunct w:val="0"/>
        <w:autoSpaceDE/>
        <w:autoSpaceDN/>
        <w:bidi w:val="0"/>
        <w:adjustRightInd/>
        <w:spacing w:beforeAutospacing="0" w:afterAutospacing="0" w:line="600" w:lineRule="exact"/>
        <w:ind w:left="0" w:leftChars="0" w:firstLine="622" w:firstLineChars="200"/>
        <w:textAlignment w:val="auto"/>
        <w:rPr>
          <w:rFonts w:hint="eastAsia" w:ascii="仿宋_GB2312" w:eastAsia="仿宋_GB2312"/>
          <w:b/>
          <w:bCs/>
          <w:color w:val="000000"/>
          <w:sz w:val="32"/>
          <w:szCs w:val="32"/>
        </w:rPr>
      </w:pPr>
      <w:r>
        <w:rPr>
          <w:rFonts w:ascii="楷体" w:hAnsi="楷体" w:eastAsia="楷体" w:cs="楷体"/>
          <w:b/>
          <w:bCs/>
          <w:i w:val="0"/>
          <w:caps w:val="0"/>
          <w:color w:val="161616"/>
          <w:spacing w:val="0"/>
          <w:sz w:val="31"/>
          <w:szCs w:val="31"/>
          <w:shd w:val="clear" w:fill="FFFFFF"/>
        </w:rPr>
        <w:t>（一）部门财政资金收入情况。</w:t>
      </w:r>
    </w:p>
    <w:p w14:paraId="6E1E369C">
      <w:pPr>
        <w:pStyle w:val="12"/>
        <w:pageBreakBefore w:val="0"/>
        <w:numPr>
          <w:ilvl w:val="0"/>
          <w:numId w:val="0"/>
        </w:numPr>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2020年区委统战部财政拨款收入合计327.48万元，均为财政拨款收入，占100%。与2019年财政拨款收入259.31万元相比，增加68.17万元，增加26.29%。主要原因是增加目标奖资金、宗教事务项目工作和人员增加。</w:t>
      </w:r>
    </w:p>
    <w:p w14:paraId="1BF844B4">
      <w:pPr>
        <w:pageBreakBefore w:val="0"/>
        <w:kinsoku/>
        <w:wordWrap/>
        <w:overflowPunct/>
        <w:topLinePunct w:val="0"/>
        <w:autoSpaceDE/>
        <w:autoSpaceDN/>
        <w:bidi w:val="0"/>
        <w:adjustRightInd/>
        <w:spacing w:beforeAutospacing="0" w:afterAutospacing="0" w:line="600" w:lineRule="exact"/>
        <w:ind w:left="0" w:leftChars="0" w:firstLine="622" w:firstLineChars="200"/>
        <w:textAlignment w:val="auto"/>
        <w:rPr>
          <w:rFonts w:ascii="楷体" w:hAnsi="楷体" w:eastAsia="楷体" w:cs="楷体"/>
          <w:b/>
          <w:bCs/>
          <w:i w:val="0"/>
          <w:caps w:val="0"/>
          <w:color w:val="161616"/>
          <w:spacing w:val="0"/>
          <w:sz w:val="31"/>
          <w:szCs w:val="31"/>
          <w:shd w:val="clear" w:fill="FFFFFF"/>
        </w:rPr>
      </w:pPr>
      <w:r>
        <w:rPr>
          <w:rFonts w:hint="eastAsia" w:ascii="楷体" w:hAnsi="楷体" w:eastAsia="楷体" w:cs="楷体"/>
          <w:b/>
          <w:bCs/>
          <w:i w:val="0"/>
          <w:caps w:val="0"/>
          <w:color w:val="161616"/>
          <w:spacing w:val="0"/>
          <w:sz w:val="31"/>
          <w:szCs w:val="31"/>
          <w:shd w:val="clear" w:fill="FFFFFF"/>
          <w:lang w:eastAsia="zh-CN"/>
        </w:rPr>
        <w:t>（三）</w:t>
      </w:r>
      <w:r>
        <w:rPr>
          <w:rFonts w:ascii="楷体" w:hAnsi="楷体" w:eastAsia="楷体" w:cs="楷体"/>
          <w:b/>
          <w:bCs/>
          <w:i w:val="0"/>
          <w:caps w:val="0"/>
          <w:color w:val="161616"/>
          <w:spacing w:val="0"/>
          <w:sz w:val="31"/>
          <w:szCs w:val="31"/>
          <w:shd w:val="clear" w:fill="FFFFFF"/>
        </w:rPr>
        <w:t>部门财政资金支出情况。</w:t>
      </w:r>
    </w:p>
    <w:p w14:paraId="487D281A">
      <w:pPr>
        <w:pStyle w:val="12"/>
        <w:pageBreakBefore w:val="0"/>
        <w:numPr>
          <w:ilvl w:val="0"/>
          <w:numId w:val="0"/>
        </w:numPr>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2020年全年支出合计309.15万元。</w:t>
      </w:r>
    </w:p>
    <w:p w14:paraId="152A4F4F">
      <w:pPr>
        <w:pStyle w:val="12"/>
        <w:pageBreakBefore w:val="0"/>
        <w:numPr>
          <w:ilvl w:val="0"/>
          <w:numId w:val="0"/>
        </w:numPr>
        <w:kinsoku/>
        <w:wordWrap/>
        <w:overflowPunct/>
        <w:topLinePunct w:val="0"/>
        <w:autoSpaceDE/>
        <w:autoSpaceDN/>
        <w:bidi w:val="0"/>
        <w:adjustRightInd/>
        <w:spacing w:beforeAutospacing="0" w:afterAutospacing="0" w:line="600" w:lineRule="exact"/>
        <w:ind w:leftChars="200"/>
        <w:textAlignment w:val="auto"/>
        <w:rPr>
          <w:rFonts w:ascii="黑体" w:hAnsi="宋体" w:eastAsia="黑体" w:cs="黑体"/>
          <w:i w:val="0"/>
          <w:caps w:val="0"/>
          <w:color w:val="161616"/>
          <w:spacing w:val="0"/>
          <w:sz w:val="31"/>
          <w:szCs w:val="31"/>
          <w:shd w:val="clear" w:fill="FFFFFF"/>
        </w:rPr>
      </w:pPr>
      <w:r>
        <w:rPr>
          <w:rFonts w:ascii="黑体" w:hAnsi="宋体" w:eastAsia="黑体" w:cs="黑体"/>
          <w:i w:val="0"/>
          <w:caps w:val="0"/>
          <w:color w:val="161616"/>
          <w:spacing w:val="0"/>
          <w:sz w:val="31"/>
          <w:szCs w:val="31"/>
          <w:shd w:val="clear" w:fill="FFFFFF"/>
        </w:rPr>
        <w:t>三、部门整体预算绩效管理情况</w:t>
      </w:r>
    </w:p>
    <w:p w14:paraId="2BB87A93">
      <w:pPr>
        <w:pageBreakBefore w:val="0"/>
        <w:kinsoku/>
        <w:wordWrap/>
        <w:overflowPunct/>
        <w:topLinePunct w:val="0"/>
        <w:autoSpaceDE/>
        <w:autoSpaceDN/>
        <w:bidi w:val="0"/>
        <w:adjustRightInd/>
        <w:spacing w:beforeAutospacing="0" w:afterAutospacing="0" w:line="600" w:lineRule="exact"/>
        <w:ind w:left="0" w:leftChars="0" w:firstLine="622" w:firstLineChars="200"/>
        <w:textAlignment w:val="auto"/>
        <w:rPr>
          <w:rFonts w:hint="eastAsia" w:ascii="楷体" w:hAnsi="楷体" w:eastAsia="楷体" w:cs="楷体"/>
          <w:b/>
          <w:bCs/>
          <w:i w:val="0"/>
          <w:caps w:val="0"/>
          <w:color w:val="161616"/>
          <w:spacing w:val="0"/>
          <w:sz w:val="31"/>
          <w:szCs w:val="31"/>
          <w:shd w:val="clear" w:fill="FFFFFF"/>
          <w:lang w:val="en-US" w:eastAsia="zh-CN"/>
        </w:rPr>
      </w:pPr>
      <w:r>
        <w:rPr>
          <w:rFonts w:hint="eastAsia" w:ascii="楷体" w:hAnsi="楷体" w:eastAsia="楷体" w:cs="楷体"/>
          <w:b/>
          <w:bCs/>
          <w:i w:val="0"/>
          <w:caps w:val="0"/>
          <w:color w:val="161616"/>
          <w:spacing w:val="0"/>
          <w:sz w:val="31"/>
          <w:szCs w:val="31"/>
          <w:shd w:val="clear" w:fill="FFFFFF"/>
          <w:lang w:val="en-US" w:eastAsia="zh-CN"/>
        </w:rPr>
        <w:t>（一）部门预算管理。</w:t>
      </w:r>
    </w:p>
    <w:p w14:paraId="33EA1FF6">
      <w:pPr>
        <w:pStyle w:val="12"/>
        <w:pageBreakBefore w:val="0"/>
        <w:numPr>
          <w:ilvl w:val="0"/>
          <w:numId w:val="0"/>
        </w:numPr>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根据区财政局的相关政策文件要求，2020年我部严格按照资金来源、用途使用资金；资金拨付有完整的审批程序和手续；资金使用无截留、挤占、挪用、虚列支出等情况。加强资金的使用管理，坚持厉行节约，反对奢侈浪费，按制度办事，确保每一分钱都落到实处，每一环节按程序进行。预决算信息公开及时：能按规定时间、内容在政府门户网站上公开预决算信息，并做到信息资料真实、准确。</w:t>
      </w:r>
    </w:p>
    <w:p w14:paraId="122DD4D3">
      <w:pPr>
        <w:pageBreakBefore w:val="0"/>
        <w:kinsoku/>
        <w:wordWrap/>
        <w:overflowPunct/>
        <w:topLinePunct w:val="0"/>
        <w:autoSpaceDE/>
        <w:autoSpaceDN/>
        <w:bidi w:val="0"/>
        <w:adjustRightInd/>
        <w:spacing w:beforeAutospacing="0" w:afterAutospacing="0" w:line="600" w:lineRule="exact"/>
        <w:ind w:left="0" w:leftChars="0" w:firstLine="622" w:firstLineChars="200"/>
        <w:textAlignment w:val="auto"/>
        <w:rPr>
          <w:rFonts w:hint="eastAsia" w:ascii="楷体" w:hAnsi="楷体" w:eastAsia="楷体" w:cs="楷体"/>
          <w:b/>
          <w:bCs/>
          <w:i w:val="0"/>
          <w:caps w:val="0"/>
          <w:color w:val="161616"/>
          <w:spacing w:val="0"/>
          <w:sz w:val="31"/>
          <w:szCs w:val="31"/>
          <w:shd w:val="clear" w:fill="FFFFFF"/>
          <w:lang w:val="en-US" w:eastAsia="zh-CN"/>
        </w:rPr>
      </w:pPr>
      <w:r>
        <w:rPr>
          <w:rFonts w:hint="eastAsia" w:ascii="楷体" w:hAnsi="楷体" w:eastAsia="楷体" w:cs="楷体"/>
          <w:b/>
          <w:bCs/>
          <w:i w:val="0"/>
          <w:caps w:val="0"/>
          <w:color w:val="161616"/>
          <w:spacing w:val="0"/>
          <w:sz w:val="31"/>
          <w:szCs w:val="31"/>
          <w:shd w:val="clear" w:fill="FFFFFF"/>
          <w:lang w:val="en-US" w:eastAsia="zh-CN"/>
        </w:rPr>
        <w:t>（二）结果应用情况。</w:t>
      </w:r>
    </w:p>
    <w:p w14:paraId="1A61DA16">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通过加强预算收支管理，不断建立健全内部管理制度，梳理内部管理流程，部门整体支出管理情况得到提升。</w:t>
      </w:r>
    </w:p>
    <w:p w14:paraId="447A39DC">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20" w:firstLineChars="200"/>
        <w:textAlignment w:val="auto"/>
        <w:rPr>
          <w:rFonts w:hint="eastAsia" w:ascii="黑体" w:hAnsi="宋体" w:eastAsia="黑体" w:cs="黑体"/>
          <w:i w:val="0"/>
          <w:caps w:val="0"/>
          <w:color w:val="161616"/>
          <w:spacing w:val="0"/>
          <w:sz w:val="31"/>
          <w:szCs w:val="31"/>
          <w:shd w:val="clear" w:fill="FFFFFF"/>
        </w:rPr>
      </w:pPr>
      <w:r>
        <w:rPr>
          <w:rFonts w:hint="eastAsia" w:ascii="黑体" w:hAnsi="宋体" w:eastAsia="黑体" w:cs="黑体"/>
          <w:i w:val="0"/>
          <w:caps w:val="0"/>
          <w:color w:val="161616"/>
          <w:spacing w:val="0"/>
          <w:sz w:val="31"/>
          <w:szCs w:val="31"/>
          <w:shd w:val="clear" w:fill="FFFFFF"/>
        </w:rPr>
        <w:t>四、评价结论及建议</w:t>
      </w:r>
    </w:p>
    <w:p w14:paraId="7831B3A3">
      <w:pPr>
        <w:pageBreakBefore w:val="0"/>
        <w:kinsoku/>
        <w:wordWrap/>
        <w:overflowPunct/>
        <w:topLinePunct w:val="0"/>
        <w:autoSpaceDE/>
        <w:autoSpaceDN/>
        <w:bidi w:val="0"/>
        <w:adjustRightInd/>
        <w:spacing w:beforeAutospacing="0" w:afterAutospacing="0" w:line="600" w:lineRule="exact"/>
        <w:ind w:left="0" w:leftChars="0" w:firstLine="622" w:firstLineChars="200"/>
        <w:textAlignment w:val="auto"/>
        <w:rPr>
          <w:rFonts w:hint="eastAsia" w:ascii="楷体" w:hAnsi="楷体" w:eastAsia="楷体" w:cs="楷体"/>
          <w:b/>
          <w:bCs/>
          <w:i w:val="0"/>
          <w:caps w:val="0"/>
          <w:color w:val="161616"/>
          <w:spacing w:val="0"/>
          <w:sz w:val="31"/>
          <w:szCs w:val="31"/>
          <w:shd w:val="clear" w:fill="FFFFFF"/>
          <w:lang w:val="en-US" w:eastAsia="zh-CN"/>
        </w:rPr>
      </w:pPr>
      <w:r>
        <w:rPr>
          <w:rFonts w:hint="eastAsia" w:ascii="楷体" w:hAnsi="楷体" w:eastAsia="楷体" w:cs="楷体"/>
          <w:b/>
          <w:bCs/>
          <w:i w:val="0"/>
          <w:caps w:val="0"/>
          <w:color w:val="161616"/>
          <w:spacing w:val="0"/>
          <w:sz w:val="31"/>
          <w:szCs w:val="31"/>
          <w:shd w:val="clear" w:fill="FFFFFF"/>
          <w:lang w:val="en-US" w:eastAsia="zh-CN"/>
        </w:rPr>
        <w:t>（一）评价结论。</w:t>
      </w:r>
    </w:p>
    <w:p w14:paraId="0C98175D">
      <w:pPr>
        <w:pStyle w:val="12"/>
        <w:pageBreakBefore w:val="0"/>
        <w:numPr>
          <w:ilvl w:val="0"/>
          <w:numId w:val="0"/>
        </w:numPr>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预算执行方面，支出总额控制在预算总额以内。预算管理方面，制度执行总体较为有效。资产管理方面，建立了资产管理制度，定期进行了盘点和资产清理，总体执行较好。</w:t>
      </w:r>
    </w:p>
    <w:p w14:paraId="79AC9059">
      <w:pPr>
        <w:pageBreakBefore w:val="0"/>
        <w:kinsoku/>
        <w:wordWrap/>
        <w:overflowPunct/>
        <w:topLinePunct w:val="0"/>
        <w:autoSpaceDE/>
        <w:autoSpaceDN/>
        <w:bidi w:val="0"/>
        <w:adjustRightInd/>
        <w:spacing w:beforeAutospacing="0" w:afterAutospacing="0" w:line="600" w:lineRule="exact"/>
        <w:ind w:left="0" w:leftChars="0" w:firstLine="622" w:firstLineChars="200"/>
        <w:textAlignment w:val="auto"/>
        <w:rPr>
          <w:rFonts w:hint="eastAsia" w:ascii="楷体" w:hAnsi="楷体" w:eastAsia="楷体" w:cs="楷体"/>
          <w:b/>
          <w:bCs/>
          <w:i w:val="0"/>
          <w:caps w:val="0"/>
          <w:color w:val="161616"/>
          <w:spacing w:val="0"/>
          <w:sz w:val="31"/>
          <w:szCs w:val="31"/>
          <w:shd w:val="clear" w:fill="FFFFFF"/>
          <w:lang w:val="en-US" w:eastAsia="zh-CN"/>
        </w:rPr>
      </w:pPr>
      <w:r>
        <w:rPr>
          <w:rFonts w:hint="eastAsia" w:ascii="楷体" w:hAnsi="楷体" w:eastAsia="楷体" w:cs="楷体"/>
          <w:b/>
          <w:bCs/>
          <w:i w:val="0"/>
          <w:caps w:val="0"/>
          <w:color w:val="161616"/>
          <w:spacing w:val="0"/>
          <w:sz w:val="31"/>
          <w:szCs w:val="31"/>
          <w:shd w:val="clear" w:fill="FFFFFF"/>
          <w:lang w:val="en-US" w:eastAsia="zh-CN"/>
        </w:rPr>
        <w:t>（二）存在问题。</w:t>
      </w:r>
    </w:p>
    <w:p w14:paraId="6209AEBF">
      <w:pPr>
        <w:pStyle w:val="12"/>
        <w:pageBreakBefore w:val="0"/>
        <w:kinsoku/>
        <w:wordWrap/>
        <w:overflowPunct/>
        <w:topLinePunct w:val="0"/>
        <w:autoSpaceDE/>
        <w:autoSpaceDN/>
        <w:bidi w:val="0"/>
        <w:adjustRightInd/>
        <w:spacing w:beforeAutospacing="0" w:afterAutospacing="0" w:line="600" w:lineRule="exact"/>
        <w:ind w:left="0" w:leftChars="0" w:firstLine="640"/>
        <w:textAlignment w:val="auto"/>
        <w:rPr>
          <w:rFonts w:hint="eastAsia" w:ascii="微软雅黑" w:hAnsi="微软雅黑" w:eastAsia="微软雅黑" w:cs="微软雅黑"/>
          <w:i w:val="0"/>
          <w:caps w:val="0"/>
          <w:color w:val="161616"/>
          <w:spacing w:val="0"/>
          <w:sz w:val="20"/>
          <w:szCs w:val="20"/>
        </w:rPr>
      </w:pPr>
      <w:r>
        <w:rPr>
          <w:rFonts w:hint="eastAsia" w:ascii="仿宋_GB2312" w:hAnsi="仿宋_GB2312" w:eastAsia="仿宋_GB2312" w:cs="仿宋_GB2312"/>
          <w:bCs/>
          <w:color w:val="000000"/>
          <w:kern w:val="2"/>
          <w:sz w:val="32"/>
          <w:szCs w:val="32"/>
          <w:lang w:val="en-US" w:eastAsia="zh-CN" w:bidi="ar-SA"/>
        </w:rPr>
        <w:t>区委统战部重点经济分类支出中在经济科目分类中还需进一步优化，财务制度执行力有待加强，资金使用计划有待细化。</w:t>
      </w:r>
    </w:p>
    <w:p w14:paraId="5399FE75">
      <w:pPr>
        <w:pageBreakBefore w:val="0"/>
        <w:kinsoku/>
        <w:wordWrap/>
        <w:overflowPunct/>
        <w:topLinePunct w:val="0"/>
        <w:autoSpaceDE/>
        <w:autoSpaceDN/>
        <w:bidi w:val="0"/>
        <w:adjustRightInd/>
        <w:spacing w:beforeAutospacing="0" w:afterAutospacing="0" w:line="600" w:lineRule="exact"/>
        <w:ind w:left="0" w:leftChars="0" w:firstLine="622" w:firstLineChars="200"/>
        <w:textAlignment w:val="auto"/>
        <w:rPr>
          <w:rFonts w:hint="eastAsia" w:ascii="楷体" w:hAnsi="楷体" w:eastAsia="楷体" w:cs="楷体"/>
          <w:b/>
          <w:bCs/>
          <w:i w:val="0"/>
          <w:caps w:val="0"/>
          <w:color w:val="161616"/>
          <w:spacing w:val="0"/>
          <w:sz w:val="31"/>
          <w:szCs w:val="31"/>
          <w:shd w:val="clear" w:fill="FFFFFF"/>
          <w:lang w:val="en-US" w:eastAsia="zh-CN"/>
        </w:rPr>
      </w:pPr>
      <w:r>
        <w:rPr>
          <w:rFonts w:hint="eastAsia" w:ascii="楷体" w:hAnsi="楷体" w:eastAsia="楷体" w:cs="楷体"/>
          <w:b/>
          <w:bCs/>
          <w:i w:val="0"/>
          <w:caps w:val="0"/>
          <w:color w:val="161616"/>
          <w:spacing w:val="0"/>
          <w:sz w:val="31"/>
          <w:szCs w:val="31"/>
          <w:shd w:val="clear" w:fill="FFFFFF"/>
          <w:lang w:val="en-US" w:eastAsia="zh-CN"/>
        </w:rPr>
        <w:t>（三）改进建议。</w:t>
      </w:r>
    </w:p>
    <w:p w14:paraId="56EC1E14">
      <w:pPr>
        <w:pStyle w:val="11"/>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600" w:lineRule="exact"/>
        <w:ind w:left="0" w:leftChars="0" w:firstLine="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 w:hAnsi="仿宋" w:eastAsia="仿宋" w:cs="仿宋"/>
          <w:i w:val="0"/>
          <w:caps w:val="0"/>
          <w:color w:val="161616"/>
          <w:spacing w:val="0"/>
          <w:kern w:val="0"/>
          <w:sz w:val="31"/>
          <w:szCs w:val="31"/>
          <w:shd w:val="clear" w:fill="FFFFFF"/>
          <w:lang w:val="en-US" w:eastAsia="zh-CN" w:bidi="ar-SA"/>
        </w:rPr>
        <w:t xml:space="preserve">     </w:t>
      </w:r>
      <w:r>
        <w:rPr>
          <w:rFonts w:hint="eastAsia" w:ascii="仿宋_GB2312" w:hAnsi="仿宋_GB2312" w:eastAsia="仿宋_GB2312" w:cs="仿宋_GB2312"/>
          <w:bCs/>
          <w:color w:val="000000"/>
          <w:kern w:val="2"/>
          <w:sz w:val="32"/>
          <w:szCs w:val="32"/>
          <w:lang w:val="en-US" w:eastAsia="zh-CN" w:bidi="ar-SA"/>
        </w:rPr>
        <w:t>加强财经纪律和《政府收支分类科目》的学习，准确做好经济科目的分类填写工作，细化预算编制工作，认真做好预算的编制。进一步加强单位内部各科室的预算管理意识，严格按照预算编制的相关制度和要求进行预算编制。加强与区财政局的沟通，争取年初预算全面具体。</w:t>
      </w:r>
    </w:p>
    <w:p w14:paraId="163CC44F">
      <w:pPr>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br w:type="page"/>
      </w:r>
    </w:p>
    <w:p w14:paraId="7A852624">
      <w:pPr>
        <w:pStyle w:val="12"/>
        <w:ind w:left="0" w:leftChars="0" w:firstLine="0" w:firstLineChars="0"/>
        <w:rPr>
          <w:rFonts w:hint="eastAsia" w:ascii="仿宋" w:hAnsi="仿宋" w:eastAsia="仿宋" w:cs="仿宋"/>
          <w:i w:val="0"/>
          <w:caps w:val="0"/>
          <w:color w:val="161616"/>
          <w:spacing w:val="0"/>
          <w:kern w:val="0"/>
          <w:sz w:val="31"/>
          <w:szCs w:val="31"/>
          <w:shd w:val="clear" w:fill="FFFFFF"/>
          <w:lang w:val="en-US" w:eastAsia="zh-CN" w:bidi="ar-SA"/>
        </w:rPr>
      </w:pPr>
      <w:bookmarkStart w:id="19" w:name="_Toc15396618"/>
      <w:r>
        <w:rPr>
          <w:rFonts w:hint="eastAsia" w:ascii="仿宋" w:hAnsi="仿宋" w:eastAsia="仿宋" w:cs="仿宋"/>
          <w:i w:val="0"/>
          <w:caps w:val="0"/>
          <w:color w:val="161616"/>
          <w:spacing w:val="0"/>
          <w:kern w:val="0"/>
          <w:sz w:val="31"/>
          <w:szCs w:val="31"/>
          <w:shd w:val="clear" w:fill="FFFFFF"/>
          <w:lang w:val="en-US" w:eastAsia="zh-CN" w:bidi="ar-SA"/>
        </w:rPr>
        <w:t>附件2</w:t>
      </w:r>
    </w:p>
    <w:p w14:paraId="3724DE92">
      <w:pPr>
        <w:spacing w:line="580" w:lineRule="exact"/>
        <w:jc w:val="center"/>
        <w:rPr>
          <w:rFonts w:hint="eastAsia" w:ascii="黑体" w:hAnsi="黑体" w:eastAsia="黑体" w:cs="方正小标宋简体"/>
          <w:sz w:val="44"/>
          <w:szCs w:val="44"/>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20</w:t>
      </w:r>
      <w:r>
        <w:rPr>
          <w:rFonts w:hint="eastAsia" w:ascii="黑体" w:hAnsi="黑体" w:eastAsia="黑体" w:cs="方正小标宋简体"/>
          <w:sz w:val="44"/>
          <w:szCs w:val="44"/>
        </w:rPr>
        <w:t>年项目支出绩效评价报告</w:t>
      </w:r>
    </w:p>
    <w:p w14:paraId="72829236">
      <w:pPr>
        <w:adjustRightInd w:val="0"/>
        <w:snapToGrid w:val="0"/>
        <w:spacing w:line="600" w:lineRule="exact"/>
        <w:ind w:firstLine="720"/>
        <w:rPr>
          <w:rFonts w:hint="eastAsia" w:ascii="黑体" w:hAnsi="宋体" w:eastAsia="黑体"/>
          <w:sz w:val="32"/>
          <w:szCs w:val="32"/>
        </w:rPr>
      </w:pPr>
    </w:p>
    <w:p w14:paraId="6041D603">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3E1F7FB">
      <w:pPr>
        <w:spacing w:line="58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侨务工作并入统战工作后，开展归国华侨的摸排统计，成立昭化区归国华侨联合会，加强与上级侨联组织的联系，特别是省侨办的沟通对接，争取侨资侨企到昭化投资兴业，积极争取海外华侨加大对昭化的捐赠和支持。项目使用费用8万元。</w:t>
      </w:r>
    </w:p>
    <w:p w14:paraId="5F5C7813">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二、评价结论及绩效分析</w:t>
      </w:r>
    </w:p>
    <w:p w14:paraId="7ADCC2EC">
      <w:pPr>
        <w:spacing w:line="580" w:lineRule="exact"/>
        <w:ind w:firstLine="643" w:firstLineChars="200"/>
        <w:rPr>
          <w:rFonts w:ascii="仿宋" w:hAnsi="仿宋" w:eastAsia="仿宋" w:cs="仿宋_GB2312"/>
          <w:b/>
          <w:bCs/>
          <w:sz w:val="32"/>
          <w:szCs w:val="32"/>
        </w:rPr>
      </w:pPr>
      <w:r>
        <w:rPr>
          <w:rFonts w:ascii="仿宋" w:hAnsi="仿宋" w:eastAsia="仿宋" w:cs="仿宋_GB2312"/>
          <w:b/>
          <w:bCs/>
          <w:sz w:val="32"/>
          <w:szCs w:val="32"/>
        </w:rPr>
        <w:t>（一）评价结论</w:t>
      </w:r>
    </w:p>
    <w:p w14:paraId="3B8130EA">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统战部</w:t>
      </w:r>
      <w:r>
        <w:rPr>
          <w:rFonts w:hint="eastAsia" w:ascii="仿宋_GB2312" w:hAnsi="仿宋_GB2312" w:eastAsia="仿宋_GB2312" w:cs="仿宋_GB2312"/>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年基本完成，在保障机关运转、履行职能职责上整体情况良好。</w:t>
      </w:r>
    </w:p>
    <w:p w14:paraId="14B9AE9D">
      <w:pPr>
        <w:spacing w:line="58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lang w:eastAsia="zh-CN"/>
        </w:rPr>
        <w:t>（二）</w:t>
      </w:r>
      <w:r>
        <w:rPr>
          <w:rFonts w:ascii="仿宋" w:hAnsi="仿宋" w:eastAsia="仿宋" w:cs="仿宋_GB2312"/>
          <w:b/>
          <w:bCs/>
          <w:sz w:val="32"/>
          <w:szCs w:val="32"/>
        </w:rPr>
        <w:t>绩效分析</w:t>
      </w:r>
    </w:p>
    <w:p w14:paraId="38E1E3A6">
      <w:pPr>
        <w:numPr>
          <w:ilvl w:val="0"/>
          <w:numId w:val="0"/>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ascii="仿宋" w:hAnsi="仿宋" w:eastAsia="仿宋" w:cs="仿宋_GB2312"/>
          <w:sz w:val="32"/>
          <w:szCs w:val="32"/>
        </w:rPr>
        <w:t>项目决策</w:t>
      </w:r>
    </w:p>
    <w:p w14:paraId="75FBEE8F">
      <w:pPr>
        <w:pStyle w:val="12"/>
        <w:numPr>
          <w:ilvl w:val="0"/>
          <w:numId w:val="0"/>
        </w:numPr>
        <w:ind w:firstLine="640" w:firstLineChars="200"/>
      </w:pPr>
      <w:r>
        <w:rPr>
          <w:rFonts w:hint="eastAsia" w:ascii="仿宋_GB2312" w:hAnsi="仿宋_GB2312" w:eastAsia="仿宋_GB2312" w:cs="仿宋_GB2312"/>
          <w:kern w:val="2"/>
          <w:sz w:val="32"/>
          <w:szCs w:val="32"/>
          <w:lang w:val="en-US" w:eastAsia="zh-CN" w:bidi="ar-SA"/>
        </w:rPr>
        <w:t>对全区侨务资源摸底调查、建立台账、</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开展华侨、归侨、侨眷普查，全面掌握全区侨务资源基本情况，充分发挥侨务资源优势，助力经济社会发展，建立捐赠项目需求信息库</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w:t>
      </w:r>
    </w:p>
    <w:p w14:paraId="4C57729D">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lang w:val="en-US" w:eastAsia="zh-CN"/>
        </w:rPr>
        <w:t>.</w:t>
      </w:r>
      <w:r>
        <w:rPr>
          <w:rFonts w:ascii="仿宋" w:hAnsi="仿宋" w:eastAsia="仿宋" w:cs="仿宋_GB2312"/>
          <w:sz w:val="32"/>
          <w:szCs w:val="32"/>
        </w:rPr>
        <w:t>项目管理</w:t>
      </w:r>
    </w:p>
    <w:p w14:paraId="679E94D3">
      <w:pPr>
        <w:snapToGrid w:val="0"/>
        <w:spacing w:line="360" w:lineRule="auto"/>
        <w:ind w:firstLine="640" w:firstLineChars="200"/>
      </w:pPr>
      <w:r>
        <w:rPr>
          <w:rFonts w:hint="eastAsia" w:ascii="仿宋_GB2312" w:hAnsi="仿宋_GB2312" w:eastAsia="仿宋_GB2312" w:cs="仿宋_GB2312"/>
          <w:sz w:val="32"/>
          <w:szCs w:val="32"/>
          <w:lang w:eastAsia="zh-CN"/>
        </w:rPr>
        <w:t>统战部</w:t>
      </w:r>
      <w:r>
        <w:rPr>
          <w:rFonts w:hint="eastAsia" w:ascii="仿宋_GB2312" w:hAnsi="仿宋_GB2312" w:eastAsia="仿宋_GB2312" w:cs="仿宋_GB2312"/>
          <w:sz w:val="32"/>
          <w:szCs w:val="32"/>
        </w:rPr>
        <w:t>严格按单位项目管理制度执行，根据项目建设的进度及合同约定，达到付款条件后，经单位领导审核后，</w:t>
      </w:r>
      <w:r>
        <w:rPr>
          <w:rFonts w:hint="eastAsia" w:ascii="仿宋_GB2312" w:hAnsi="仿宋_GB2312" w:eastAsia="仿宋_GB2312" w:cs="仿宋_GB2312"/>
          <w:sz w:val="32"/>
          <w:szCs w:val="32"/>
          <w:lang w:eastAsia="zh-CN"/>
        </w:rPr>
        <w:t>再</w:t>
      </w:r>
      <w:r>
        <w:rPr>
          <w:rFonts w:hint="eastAsia" w:ascii="仿宋_GB2312" w:hAnsi="仿宋_GB2312" w:eastAsia="仿宋_GB2312" w:cs="仿宋_GB2312"/>
          <w:sz w:val="32"/>
          <w:szCs w:val="32"/>
        </w:rPr>
        <w:t>支付。</w:t>
      </w:r>
      <w:r>
        <w:rPr>
          <w:rFonts w:hint="eastAsia" w:ascii="仿宋_GB2312" w:hAnsi="仿宋_GB2312" w:eastAsia="仿宋_GB2312" w:cs="仿宋_GB2312"/>
          <w:color w:val="000000"/>
          <w:sz w:val="32"/>
          <w:szCs w:val="32"/>
        </w:rPr>
        <w:t>专项资金</w:t>
      </w:r>
      <w:r>
        <w:rPr>
          <w:rFonts w:hint="eastAsia" w:ascii="仿宋_GB2312" w:hAnsi="仿宋_GB2312" w:eastAsia="仿宋_GB2312" w:cs="仿宋_GB2312"/>
          <w:sz w:val="32"/>
          <w:szCs w:val="32"/>
        </w:rPr>
        <w:t>的支付范围、支付标准基本合规合法，支付依据充分。资金使用无截留、挤占、挪用、虚列支出等情况。</w:t>
      </w:r>
    </w:p>
    <w:p w14:paraId="3938AB72">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绩效目标完成情况。</w:t>
      </w:r>
    </w:p>
    <w:p w14:paraId="7B31555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hAnsi="仿宋" w:eastAsia="仿宋_GB2312"/>
          <w:sz w:val="32"/>
          <w:szCs w:val="32"/>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大力开展华侨、归侨、侨眷普查，全面掌握全区侨务资源基本情况，建立侨务资源统计台账。充分发挥侨务资源优势，助力经济社会发展，建立捐赠项目需求信息库，储备项目34个，涉及教育、卫生、污水治理、农村环境整治等多个方面，总金额达3000万元。认真落实</w:t>
      </w:r>
      <w:r>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14:textFill>
            <w14:solidFill>
              <w14:schemeClr w14:val="tx1"/>
            </w14:solidFill>
          </w14:textFill>
        </w:rPr>
        <w:t>李锦记希望厨师项目</w:t>
      </w:r>
      <w:r>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lang w:val="en-US" w:eastAsia="zh-CN"/>
          <w14:textFill>
            <w14:solidFill>
              <w14:schemeClr w14:val="tx1"/>
            </w14:solidFill>
          </w14:textFill>
        </w:rPr>
        <w:t>关心关怀贫困学生邓飞、王荣成都财贸职业技术学校就读情况。借助</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4”国家宪法日暨“宪法宣传周”活动，积极开展《中华人民共和国归侨侨眷权益保护法》颁布实施</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30周年宣传活动，</w:t>
      </w:r>
      <w:r>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lang w:val="en-US" w:eastAsia="zh-CN"/>
          <w14:textFill>
            <w14:solidFill>
              <w14:schemeClr w14:val="tx1"/>
            </w14:solidFill>
          </w14:textFill>
        </w:rPr>
        <w:t>发放资料宣传300余份，大力宣传涉侨权益保护，维</w:t>
      </w:r>
      <w:bookmarkStart w:id="33" w:name="_GoBack"/>
      <w:bookmarkEnd w:id="33"/>
      <w:r>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lang w:val="en-US" w:eastAsia="zh-CN"/>
          <w14:textFill>
            <w14:solidFill>
              <w14:schemeClr w14:val="tx1"/>
            </w14:solidFill>
          </w14:textFill>
        </w:rPr>
        <w:t>护侨胞权益。</w:t>
      </w:r>
    </w:p>
    <w:p w14:paraId="5709E871">
      <w:pPr>
        <w:spacing w:line="580" w:lineRule="exact"/>
        <w:ind w:firstLine="643" w:firstLineChars="200"/>
        <w:rPr>
          <w:rFonts w:hint="eastAsia" w:ascii="仿宋" w:hAnsi="仿宋" w:eastAsia="仿宋" w:cs="仿宋_GB2312"/>
          <w:b/>
          <w:bCs/>
          <w:sz w:val="32"/>
          <w:szCs w:val="32"/>
          <w:lang w:eastAsia="zh-CN"/>
        </w:rPr>
      </w:pPr>
      <w:r>
        <w:rPr>
          <w:rFonts w:hint="eastAsia" w:ascii="仿宋" w:hAnsi="仿宋" w:eastAsia="仿宋" w:cs="仿宋_GB2312"/>
          <w:b/>
          <w:bCs/>
          <w:sz w:val="32"/>
          <w:szCs w:val="32"/>
          <w:lang w:eastAsia="zh-CN"/>
        </w:rPr>
        <w:t>（三）当年预算执行及绩效管理中存在问题、原因及改进措施。</w:t>
      </w:r>
    </w:p>
    <w:p w14:paraId="724DBE4A">
      <w:pPr>
        <w:snapToGrid w:val="0"/>
        <w:spacing w:line="576" w:lineRule="exact"/>
        <w:ind w:firstLine="640" w:firstLineChars="200"/>
      </w:pPr>
      <w:r>
        <w:rPr>
          <w:rFonts w:hint="eastAsia" w:ascii="仿宋_GB2312" w:hAnsi="仿宋_GB2312" w:eastAsia="仿宋_GB2312" w:cs="仿宋_GB2312"/>
          <w:kern w:val="0"/>
          <w:sz w:val="32"/>
          <w:szCs w:val="32"/>
        </w:rPr>
        <w:t>在</w:t>
      </w:r>
      <w:r>
        <w:rPr>
          <w:rFonts w:hint="eastAsia" w:ascii="仿宋_GB2312" w:hAnsi="仿宋_GB2312" w:eastAsia="仿宋_GB2312" w:cs="仿宋_GB2312"/>
          <w:kern w:val="0"/>
          <w:sz w:val="32"/>
          <w:szCs w:val="32"/>
          <w:lang w:eastAsia="zh-CN"/>
        </w:rPr>
        <w:t>侨务</w:t>
      </w:r>
      <w:r>
        <w:rPr>
          <w:rFonts w:hint="eastAsia" w:ascii="仿宋_GB2312" w:hAnsi="仿宋_GB2312" w:eastAsia="仿宋_GB2312" w:cs="仿宋_GB2312"/>
          <w:kern w:val="0"/>
          <w:sz w:val="32"/>
          <w:szCs w:val="32"/>
        </w:rPr>
        <w:t>工作中，我们宣传工作还做的不够到位，</w:t>
      </w:r>
      <w:r>
        <w:rPr>
          <w:rFonts w:hint="eastAsia" w:ascii="仿宋_GB2312" w:hAnsi="仿宋_GB2312" w:eastAsia="仿宋_GB2312" w:cs="仿宋_GB2312"/>
          <w:kern w:val="0"/>
          <w:sz w:val="32"/>
          <w:szCs w:val="32"/>
          <w:lang w:eastAsia="zh-CN"/>
        </w:rPr>
        <w:t>跟省市侨务工作部分联系不够紧密，</w:t>
      </w:r>
      <w:r>
        <w:rPr>
          <w:rFonts w:hint="eastAsia" w:ascii="仿宋_GB2312" w:hAnsi="仿宋_GB2312" w:eastAsia="仿宋_GB2312" w:cs="仿宋_GB2312"/>
          <w:kern w:val="0"/>
          <w:sz w:val="32"/>
          <w:szCs w:val="32"/>
        </w:rPr>
        <w:t>下一步，我们将加强与上级侨联组织的联系，特别是省侨办的沟通对接，争取侨资侨企到昭化投资兴业，积极争取海外华侨加大对昭化的捐赠和支持</w:t>
      </w:r>
    </w:p>
    <w:p w14:paraId="626AE971">
      <w:pPr>
        <w:pageBreakBefore w:val="0"/>
        <w:kinsoku/>
        <w:wordWrap/>
        <w:overflowPunct/>
        <w:topLinePunct w:val="0"/>
        <w:autoSpaceDE/>
        <w:autoSpaceDN/>
        <w:bidi w:val="0"/>
        <w:adjustRightInd/>
        <w:spacing w:beforeAutospacing="0" w:afterAutospacing="0" w:line="600" w:lineRule="exact"/>
        <w:ind w:left="0" w:leftChars="0"/>
        <w:jc w:val="center"/>
        <w:textAlignment w:val="auto"/>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五部分 附表</w:t>
      </w:r>
      <w:bookmarkEnd w:id="19"/>
    </w:p>
    <w:p w14:paraId="7730CDEA">
      <w:pPr>
        <w:pageBreakBefore w:val="0"/>
        <w:kinsoku/>
        <w:wordWrap/>
        <w:overflowPunct/>
        <w:topLinePunct w:val="0"/>
        <w:autoSpaceDE/>
        <w:autoSpaceDN/>
        <w:bidi w:val="0"/>
        <w:adjustRightInd/>
        <w:spacing w:beforeAutospacing="0" w:afterAutospacing="0" w:line="600" w:lineRule="exact"/>
        <w:ind w:left="0" w:leftChars="0"/>
        <w:jc w:val="center"/>
        <w:textAlignment w:val="auto"/>
        <w:outlineLvl w:val="0"/>
        <w:rPr>
          <w:rFonts w:ascii="仿宋" w:hAnsi="仿宋" w:eastAsia="仿宋"/>
          <w:b/>
          <w:color w:val="000000"/>
          <w:sz w:val="44"/>
          <w:szCs w:val="44"/>
        </w:rPr>
      </w:pPr>
    </w:p>
    <w:p w14:paraId="1450AA7F">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color w:val="000000"/>
        </w:rPr>
      </w:pPr>
      <w:bookmarkStart w:id="20" w:name="_Toc15396619"/>
      <w:r>
        <w:rPr>
          <w:rFonts w:hint="eastAsia" w:ascii="仿宋" w:hAnsi="仿宋" w:eastAsia="仿宋"/>
          <w:b w:val="0"/>
          <w:color w:val="000000"/>
        </w:rPr>
        <w:t>一、收</w:t>
      </w:r>
      <w:r>
        <w:rPr>
          <w:rStyle w:val="24"/>
          <w:rFonts w:hint="eastAsia" w:ascii="仿宋" w:hAnsi="仿宋" w:eastAsia="仿宋"/>
          <w:b w:val="0"/>
          <w:bCs w:val="0"/>
        </w:rPr>
        <w:t>入支出决算总表</w:t>
      </w:r>
      <w:bookmarkEnd w:id="20"/>
    </w:p>
    <w:p w14:paraId="06A64041">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color w:val="000000"/>
        </w:rPr>
      </w:pPr>
      <w:bookmarkStart w:id="21" w:name="_Toc15396620"/>
      <w:r>
        <w:rPr>
          <w:rFonts w:hint="eastAsia" w:ascii="仿宋" w:hAnsi="仿宋" w:eastAsia="仿宋"/>
          <w:b w:val="0"/>
          <w:color w:val="000000"/>
        </w:rPr>
        <w:t>二、收</w:t>
      </w:r>
      <w:r>
        <w:rPr>
          <w:rStyle w:val="24"/>
          <w:rFonts w:hint="eastAsia" w:ascii="仿宋" w:hAnsi="仿宋" w:eastAsia="仿宋"/>
          <w:b w:val="0"/>
          <w:bCs w:val="0"/>
        </w:rPr>
        <w:t>入决算表</w:t>
      </w:r>
      <w:bookmarkEnd w:id="21"/>
    </w:p>
    <w:p w14:paraId="6AEDD8DB">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color w:val="000000"/>
        </w:rPr>
      </w:pPr>
      <w:bookmarkStart w:id="22" w:name="_Toc15396621"/>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22"/>
    </w:p>
    <w:p w14:paraId="368C04A0">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b w:val="0"/>
          <w:color w:val="000000"/>
        </w:rPr>
      </w:pPr>
      <w:bookmarkStart w:id="23" w:name="_Toc15396622"/>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23"/>
    </w:p>
    <w:p w14:paraId="7A51EEB7">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Style w:val="24"/>
          <w:rFonts w:ascii="仿宋" w:hAnsi="仿宋" w:eastAsia="仿宋"/>
          <w:b w:val="0"/>
          <w:bCs w:val="0"/>
        </w:rPr>
      </w:pPr>
      <w:bookmarkStart w:id="24" w:name="_Toc15396623"/>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24"/>
      <w:bookmarkStart w:id="25" w:name="_Toc15396624"/>
    </w:p>
    <w:p w14:paraId="4DB4E716">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color w:val="000000"/>
        </w:rPr>
      </w:pPr>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25"/>
    </w:p>
    <w:p w14:paraId="39B38942">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color w:val="000000"/>
        </w:rPr>
      </w:pPr>
      <w:bookmarkStart w:id="26" w:name="_Toc15396625"/>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26"/>
    </w:p>
    <w:p w14:paraId="0A46886A">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color w:val="000000"/>
        </w:rPr>
      </w:pPr>
      <w:bookmarkStart w:id="27" w:name="_Toc15396626"/>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27"/>
    </w:p>
    <w:p w14:paraId="6DE33DF0">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color w:val="000000"/>
        </w:rPr>
      </w:pPr>
      <w:bookmarkStart w:id="28" w:name="_Toc15396627"/>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28"/>
    </w:p>
    <w:p w14:paraId="75BFFB93">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color w:val="000000"/>
        </w:rPr>
      </w:pPr>
      <w:bookmarkStart w:id="29" w:name="_Toc15396628"/>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29"/>
    </w:p>
    <w:p w14:paraId="2DE058DC">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color w:val="000000"/>
        </w:rPr>
      </w:pPr>
      <w:bookmarkStart w:id="30" w:name="_Toc15396629"/>
      <w:r>
        <w:rPr>
          <w:rStyle w:val="24"/>
          <w:rFonts w:hint="eastAsia" w:ascii="仿宋" w:hAnsi="仿宋" w:eastAsia="仿宋"/>
          <w:b w:val="0"/>
          <w:bCs w:val="0"/>
        </w:rPr>
        <w:t>十一、</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bookmarkEnd w:id="30"/>
    </w:p>
    <w:p w14:paraId="314403A6">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ascii="仿宋" w:hAnsi="仿宋" w:eastAsia="仿宋"/>
          <w:color w:val="000000"/>
        </w:rPr>
      </w:pPr>
      <w:bookmarkStart w:id="31" w:name="_Toc15396630"/>
      <w:r>
        <w:rPr>
          <w:rStyle w:val="24"/>
          <w:rFonts w:hint="eastAsia" w:ascii="仿宋" w:hAnsi="仿宋" w:eastAsia="仿宋"/>
          <w:b w:val="0"/>
          <w:bCs w:val="0"/>
        </w:rPr>
        <w:t>十二、</w:t>
      </w:r>
      <w:r>
        <w:rPr>
          <w:rFonts w:hint="eastAsia" w:ascii="仿宋" w:hAnsi="仿宋" w:eastAsia="仿宋"/>
          <w:b w:val="0"/>
          <w:color w:val="000000"/>
        </w:rPr>
        <w:t>政</w:t>
      </w:r>
      <w:r>
        <w:rPr>
          <w:rStyle w:val="24"/>
          <w:rFonts w:hint="eastAsia" w:ascii="仿宋" w:hAnsi="仿宋" w:eastAsia="仿宋"/>
          <w:b w:val="0"/>
          <w:bCs w:val="0"/>
        </w:rPr>
        <w:t>府性基金预算财政拨款“三公”经费支出决算表</w:t>
      </w:r>
      <w:bookmarkEnd w:id="31"/>
    </w:p>
    <w:p w14:paraId="56985166">
      <w:pPr>
        <w:pStyle w:val="4"/>
        <w:pageBreakBefore w:val="0"/>
        <w:kinsoku/>
        <w:wordWrap/>
        <w:overflowPunct/>
        <w:topLinePunct w:val="0"/>
        <w:autoSpaceDE/>
        <w:autoSpaceDN/>
        <w:bidi w:val="0"/>
        <w:adjustRightInd/>
        <w:spacing w:before="0" w:beforeAutospacing="0" w:after="0" w:afterAutospacing="0" w:line="600" w:lineRule="exact"/>
        <w:ind w:left="0" w:leftChars="0"/>
        <w:textAlignment w:val="auto"/>
        <w:rPr>
          <w:rFonts w:hint="eastAsia" w:ascii="仿宋" w:hAnsi="仿宋" w:eastAsia="仿宋"/>
          <w:b w:val="0"/>
          <w:color w:val="000000"/>
        </w:rPr>
      </w:pPr>
      <w:bookmarkStart w:id="32" w:name="_Toc15396631"/>
      <w:r>
        <w:rPr>
          <w:rStyle w:val="24"/>
          <w:rFonts w:hint="eastAsia" w:ascii="仿宋" w:hAnsi="仿宋" w:eastAsia="仿宋"/>
          <w:b w:val="0"/>
          <w:bCs w:val="0"/>
        </w:rPr>
        <w:t>十三、</w:t>
      </w:r>
      <w:bookmarkEnd w:id="32"/>
      <w:r>
        <w:rPr>
          <w:rFonts w:hint="eastAsia" w:ascii="仿宋" w:hAnsi="仿宋" w:eastAsia="仿宋"/>
          <w:b w:val="0"/>
          <w:color w:val="000000"/>
        </w:rPr>
        <w:t>国有资本经营预算财政拨款收入支出决算表</w:t>
      </w:r>
    </w:p>
    <w:p w14:paraId="13C440CA">
      <w:pPr>
        <w:pStyle w:val="12"/>
        <w:pageBreakBefore w:val="0"/>
        <w:numPr>
          <w:ilvl w:val="0"/>
          <w:numId w:val="0"/>
        </w:numPr>
        <w:kinsoku/>
        <w:wordWrap/>
        <w:overflowPunct/>
        <w:topLinePunct w:val="0"/>
        <w:autoSpaceDE/>
        <w:autoSpaceDN/>
        <w:bidi w:val="0"/>
        <w:adjustRightInd/>
        <w:spacing w:beforeAutospacing="0" w:afterAutospacing="0" w:line="600" w:lineRule="exact"/>
        <w:ind w:left="0" w:leftChars="0"/>
        <w:textAlignment w:val="auto"/>
        <w:rPr>
          <w:rFonts w:hint="eastAsia" w:ascii="仿宋" w:hAnsi="仿宋" w:eastAsia="仿宋" w:cstheme="majorBidi"/>
          <w:b w:val="0"/>
          <w:bCs/>
          <w:color w:val="000000"/>
          <w:kern w:val="2"/>
          <w:sz w:val="32"/>
          <w:szCs w:val="32"/>
          <w:lang w:val="en-US" w:eastAsia="zh-CN" w:bidi="ar-SA"/>
        </w:rPr>
      </w:pPr>
      <w:r>
        <w:rPr>
          <w:rFonts w:hint="eastAsia" w:ascii="仿宋" w:hAnsi="仿宋" w:eastAsia="仿宋" w:cstheme="majorBidi"/>
          <w:b w:val="0"/>
          <w:bCs/>
          <w:color w:val="000000"/>
          <w:kern w:val="2"/>
          <w:sz w:val="32"/>
          <w:szCs w:val="32"/>
          <w:lang w:val="en-US" w:eastAsia="zh-CN" w:bidi="ar-SA"/>
        </w:rPr>
        <w:t>十四、国有资本经营预算财政拨款支出决算表</w:t>
      </w:r>
    </w:p>
    <w:sectPr>
      <w:footerReference r:id="rId6" w:type="default"/>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7A33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C97FC">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A7C97FC">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6EE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277DB">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C0277DB">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2C73">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5B98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E5B98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11F7F">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3067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473067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EF97C"/>
    <w:multiLevelType w:val="singleLevel"/>
    <w:tmpl w:val="838EF97C"/>
    <w:lvl w:ilvl="0" w:tentative="0">
      <w:start w:val="1"/>
      <w:numFmt w:val="chineseCounting"/>
      <w:suff w:val="nothing"/>
      <w:lvlText w:val="（%1）"/>
      <w:lvlJc w:val="left"/>
      <w:rPr>
        <w:rFonts w:hint="eastAsia"/>
      </w:rPr>
    </w:lvl>
  </w:abstractNum>
  <w:abstractNum w:abstractNumId="1">
    <w:nsid w:val="8659FAAE"/>
    <w:multiLevelType w:val="singleLevel"/>
    <w:tmpl w:val="8659FAAE"/>
    <w:lvl w:ilvl="0" w:tentative="0">
      <w:start w:val="1"/>
      <w:numFmt w:val="chineseCounting"/>
      <w:suff w:val="nothing"/>
      <w:lvlText w:val="%1、"/>
      <w:lvlJc w:val="left"/>
      <w:rPr>
        <w:rFonts w:hint="eastAsia"/>
      </w:rPr>
    </w:lvl>
  </w:abstractNum>
  <w:abstractNum w:abstractNumId="2">
    <w:nsid w:val="AE09F17B"/>
    <w:multiLevelType w:val="singleLevel"/>
    <w:tmpl w:val="AE09F17B"/>
    <w:lvl w:ilvl="0" w:tentative="0">
      <w:start w:val="2"/>
      <w:numFmt w:val="chineseCounting"/>
      <w:suff w:val="nothing"/>
      <w:lvlText w:val="%1、"/>
      <w:lvlJc w:val="left"/>
      <w:rPr>
        <w:rFonts w:hint="eastAsia"/>
      </w:rPr>
    </w:lvl>
  </w:abstractNum>
  <w:abstractNum w:abstractNumId="3">
    <w:nsid w:val="1AE6B8A4"/>
    <w:multiLevelType w:val="singleLevel"/>
    <w:tmpl w:val="1AE6B8A4"/>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32090E"/>
    <w:rsid w:val="00157B81"/>
    <w:rsid w:val="0032090E"/>
    <w:rsid w:val="00790918"/>
    <w:rsid w:val="019561C7"/>
    <w:rsid w:val="02E60BAE"/>
    <w:rsid w:val="03165A7A"/>
    <w:rsid w:val="03BA7835"/>
    <w:rsid w:val="04CC1370"/>
    <w:rsid w:val="051C0106"/>
    <w:rsid w:val="053B524D"/>
    <w:rsid w:val="058E54A5"/>
    <w:rsid w:val="0834454E"/>
    <w:rsid w:val="087544BB"/>
    <w:rsid w:val="088C558B"/>
    <w:rsid w:val="08CF488E"/>
    <w:rsid w:val="0A3B695A"/>
    <w:rsid w:val="0AE64A39"/>
    <w:rsid w:val="0E28039E"/>
    <w:rsid w:val="0FC8656F"/>
    <w:rsid w:val="105225C9"/>
    <w:rsid w:val="111F7999"/>
    <w:rsid w:val="11A63E76"/>
    <w:rsid w:val="11D3635A"/>
    <w:rsid w:val="12797DB3"/>
    <w:rsid w:val="12EA1303"/>
    <w:rsid w:val="134B49A8"/>
    <w:rsid w:val="143E6E50"/>
    <w:rsid w:val="15842905"/>
    <w:rsid w:val="15E51173"/>
    <w:rsid w:val="16FF7249"/>
    <w:rsid w:val="18260683"/>
    <w:rsid w:val="1ADA20EF"/>
    <w:rsid w:val="1BB211B7"/>
    <w:rsid w:val="1BFF5569"/>
    <w:rsid w:val="1E2633E1"/>
    <w:rsid w:val="1FF072AA"/>
    <w:rsid w:val="204C321B"/>
    <w:rsid w:val="20C12077"/>
    <w:rsid w:val="21C701DE"/>
    <w:rsid w:val="21DC13D3"/>
    <w:rsid w:val="23C80C72"/>
    <w:rsid w:val="2444594A"/>
    <w:rsid w:val="25305C55"/>
    <w:rsid w:val="28716376"/>
    <w:rsid w:val="29940701"/>
    <w:rsid w:val="2AAC0318"/>
    <w:rsid w:val="2BC311B1"/>
    <w:rsid w:val="2D1F1BD0"/>
    <w:rsid w:val="2D782A30"/>
    <w:rsid w:val="329B5606"/>
    <w:rsid w:val="34653BFF"/>
    <w:rsid w:val="36BE64A9"/>
    <w:rsid w:val="38CA44A3"/>
    <w:rsid w:val="3C17717E"/>
    <w:rsid w:val="3C3903F7"/>
    <w:rsid w:val="3C8F6F50"/>
    <w:rsid w:val="3D89702B"/>
    <w:rsid w:val="3F6620AD"/>
    <w:rsid w:val="3F985D61"/>
    <w:rsid w:val="40E7478E"/>
    <w:rsid w:val="41754255"/>
    <w:rsid w:val="42C138DE"/>
    <w:rsid w:val="43ED501A"/>
    <w:rsid w:val="444143A3"/>
    <w:rsid w:val="4AD14AC5"/>
    <w:rsid w:val="4C2D79AE"/>
    <w:rsid w:val="4CA60800"/>
    <w:rsid w:val="4E32201F"/>
    <w:rsid w:val="50050A57"/>
    <w:rsid w:val="52726CF1"/>
    <w:rsid w:val="536055D6"/>
    <w:rsid w:val="53822B98"/>
    <w:rsid w:val="5502468C"/>
    <w:rsid w:val="55944CBE"/>
    <w:rsid w:val="56B24F8F"/>
    <w:rsid w:val="596B33A8"/>
    <w:rsid w:val="5CAA49E9"/>
    <w:rsid w:val="5EFD4F18"/>
    <w:rsid w:val="5F0E7032"/>
    <w:rsid w:val="5F7702ED"/>
    <w:rsid w:val="60805854"/>
    <w:rsid w:val="62B1301D"/>
    <w:rsid w:val="62F40194"/>
    <w:rsid w:val="64526435"/>
    <w:rsid w:val="64CF7446"/>
    <w:rsid w:val="686923E4"/>
    <w:rsid w:val="687262DE"/>
    <w:rsid w:val="6A14511D"/>
    <w:rsid w:val="6A5C42DB"/>
    <w:rsid w:val="6B5A2FE4"/>
    <w:rsid w:val="6BC568DE"/>
    <w:rsid w:val="6C9D18A4"/>
    <w:rsid w:val="6E7D57A6"/>
    <w:rsid w:val="6E911D00"/>
    <w:rsid w:val="6EF57751"/>
    <w:rsid w:val="74402821"/>
    <w:rsid w:val="79C75243"/>
    <w:rsid w:val="7B301853"/>
    <w:rsid w:val="7B7C2434"/>
    <w:rsid w:val="7DAF67DF"/>
    <w:rsid w:val="7E340452"/>
    <w:rsid w:val="7EB231B8"/>
    <w:rsid w:val="7EC31A5E"/>
    <w:rsid w:val="7F472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Salutation"/>
    <w:basedOn w:val="1"/>
    <w:next w:val="1"/>
    <w:qFormat/>
    <w:uiPriority w:val="99"/>
  </w:style>
  <w:style w:type="paragraph" w:styleId="6">
    <w:name w:val="Body Text Indent"/>
    <w:basedOn w:val="1"/>
    <w:unhideWhenUsed/>
    <w:qFormat/>
    <w:uiPriority w:val="99"/>
    <w:pPr>
      <w:ind w:left="420" w:leftChars="200"/>
    </w:p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6"/>
    <w:unhideWhenUsed/>
    <w:qFormat/>
    <w:uiPriority w:val="99"/>
    <w:pPr>
      <w:ind w:firstLine="420" w:firstLineChars="200"/>
    </w:pPr>
  </w:style>
  <w:style w:type="character" w:styleId="15">
    <w:name w:val="Strong"/>
    <w:basedOn w:val="14"/>
    <w:qFormat/>
    <w:uiPriority w:val="99"/>
    <w:rPr>
      <w:b/>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paragraph" w:customStyle="1" w:styleId="17">
    <w:name w:val="table of figures1"/>
    <w:basedOn w:val="1"/>
    <w:next w:val="1"/>
    <w:qFormat/>
    <w:uiPriority w:val="99"/>
    <w:pPr>
      <w:ind w:left="200" w:leftChars="200" w:hanging="200" w:hangingChars="200"/>
    </w:pPr>
  </w:style>
  <w:style w:type="character" w:customStyle="1" w:styleId="18">
    <w:name w:val="页眉 Char"/>
    <w:basedOn w:val="14"/>
    <w:link w:val="8"/>
    <w:qFormat/>
    <w:uiPriority w:val="0"/>
    <w:rPr>
      <w:kern w:val="2"/>
      <w:sz w:val="18"/>
      <w:szCs w:val="18"/>
    </w:rPr>
  </w:style>
  <w:style w:type="character" w:customStyle="1" w:styleId="19">
    <w:name w:val="页脚 Char"/>
    <w:basedOn w:val="14"/>
    <w:link w:val="7"/>
    <w:qFormat/>
    <w:uiPriority w:val="0"/>
    <w:rPr>
      <w:kern w:val="2"/>
      <w:sz w:val="18"/>
      <w:szCs w:val="18"/>
    </w:rPr>
  </w:style>
  <w:style w:type="character" w:customStyle="1" w:styleId="20">
    <w:name w:val="标题 1 字符"/>
    <w:basedOn w:val="14"/>
    <w:link w:val="3"/>
    <w:qFormat/>
    <w:uiPriority w:val="9"/>
    <w:rPr>
      <w:b/>
      <w:bCs/>
      <w:kern w:val="44"/>
      <w:sz w:val="44"/>
      <w:szCs w:val="44"/>
    </w:rPr>
  </w:style>
  <w:style w:type="character" w:customStyle="1" w:styleId="21">
    <w:name w:val="标题 2 字符"/>
    <w:basedOn w:val="14"/>
    <w:link w:val="4"/>
    <w:qFormat/>
    <w:uiPriority w:val="9"/>
    <w:rPr>
      <w:rFonts w:asciiTheme="majorHAnsi" w:hAnsiTheme="majorHAnsi" w:eastAsiaTheme="majorEastAsia" w:cstheme="majorBidi"/>
      <w:b/>
      <w:bCs/>
      <w:sz w:val="32"/>
      <w:szCs w:val="32"/>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标题 1 Char"/>
    <w:basedOn w:val="14"/>
    <w:link w:val="3"/>
    <w:qFormat/>
    <w:uiPriority w:val="9"/>
    <w:rPr>
      <w:rFonts w:ascii="Times New Roman" w:hAnsi="Times New Roman"/>
      <w:b/>
      <w:bCs/>
      <w:kern w:val="44"/>
      <w:sz w:val="44"/>
      <w:szCs w:val="44"/>
    </w:rPr>
  </w:style>
  <w:style w:type="character" w:customStyle="1" w:styleId="24">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5">
    <w:name w:val="Char1"/>
    <w:basedOn w:val="1"/>
    <w:qFormat/>
    <w:uiPriority w:val="0"/>
    <w:rPr>
      <w:rFonts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14348</Words>
  <Characters>15057</Characters>
  <Lines>67</Lines>
  <Paragraphs>18</Paragraphs>
  <TotalTime>0</TotalTime>
  <ScaleCrop>false</ScaleCrop>
  <LinksUpToDate>false</LinksUpToDate>
  <CharactersWithSpaces>15124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2019-09-04T14:45:00Z</dcterms:created>
  <dc:creator>admin</dc:creator>
  <cp:lastModifiedBy>昭化融媒体</cp:lastModifiedBy>
  <cp:lastPrinted>2022-09-24T06:34:00Z</cp:lastPrinted>
  <dcterms:modified xsi:type="dcterms:W3CDTF">2025-06-24T03:40:00Z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F255753A30864CAFADF1842F8B7C55A5</vt:lpwstr>
  </property>
  <property fmtid="{D5CDD505-2E9C-101B-9397-08002B2CF9AE}" pid="4" name="KSOTemplateDocerSaveRecord">
    <vt:lpwstr>eyJoZGlkIjoiMGVhYTg4NGNkZWJkODFjNzcyZDRjM2M4Y2UzNjI5ZmUiLCJ1c2VySWQiOiI2MTE2MzEwMDYifQ==</vt:lpwstr>
  </property>
</Properties>
</file>