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1CAC6">
      <w:pPr>
        <w:adjustRightInd w:val="0"/>
        <w:snapToGrid w:val="0"/>
        <w:spacing w:line="360" w:lineRule="auto"/>
        <w:jc w:val="center"/>
        <w:outlineLvl w:val="0"/>
        <w:rPr>
          <w:rFonts w:ascii="黑体" w:hAnsi="黑体" w:eastAsia="黑体"/>
          <w:color w:val="000000"/>
          <w:sz w:val="72"/>
          <w:szCs w:val="72"/>
        </w:rPr>
      </w:pPr>
      <w:bookmarkStart w:id="0" w:name="_Toc15377193"/>
      <w:bookmarkStart w:id="1" w:name="_Toc15378441"/>
      <w:bookmarkStart w:id="2" w:name="_Toc72671111"/>
      <w:bookmarkStart w:id="3" w:name="_Toc15396597"/>
      <w:bookmarkStart w:id="4" w:name="_Toc15396475"/>
      <w:bookmarkStart w:id="5" w:name="_Toc15377425"/>
    </w:p>
    <w:p w14:paraId="56802181">
      <w:pPr>
        <w:adjustRightInd w:val="0"/>
        <w:snapToGrid w:val="0"/>
        <w:spacing w:line="360" w:lineRule="auto"/>
        <w:jc w:val="center"/>
        <w:outlineLvl w:val="0"/>
        <w:rPr>
          <w:rFonts w:ascii="黑体" w:hAnsi="黑体" w:eastAsia="黑体"/>
          <w:color w:val="000000"/>
          <w:sz w:val="72"/>
          <w:szCs w:val="72"/>
        </w:rPr>
      </w:pPr>
    </w:p>
    <w:p w14:paraId="109BE30F">
      <w:pPr>
        <w:adjustRightInd w:val="0"/>
        <w:snapToGrid w:val="0"/>
        <w:spacing w:line="360" w:lineRule="auto"/>
        <w:jc w:val="center"/>
        <w:outlineLvl w:val="0"/>
        <w:rPr>
          <w:rFonts w:ascii="黑体" w:hAnsi="黑体" w:eastAsia="黑体"/>
          <w:color w:val="000000"/>
          <w:sz w:val="72"/>
          <w:szCs w:val="72"/>
        </w:rPr>
      </w:pPr>
    </w:p>
    <w:p w14:paraId="2FCDE427">
      <w:pPr>
        <w:adjustRightInd w:val="0"/>
        <w:snapToGrid w:val="0"/>
        <w:spacing w:line="360" w:lineRule="auto"/>
        <w:jc w:val="center"/>
        <w:outlineLvl w:val="0"/>
        <w:rPr>
          <w:rFonts w:ascii="黑体" w:hAnsi="黑体" w:eastAsia="黑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20年度</w:t>
      </w:r>
      <w:bookmarkEnd w:id="0"/>
      <w:bookmarkEnd w:id="1"/>
      <w:bookmarkEnd w:id="2"/>
      <w:bookmarkEnd w:id="3"/>
      <w:bookmarkEnd w:id="4"/>
      <w:bookmarkEnd w:id="5"/>
    </w:p>
    <w:p w14:paraId="7A09FF72">
      <w:pPr>
        <w:widowControl/>
        <w:jc w:val="center"/>
        <w:rPr>
          <w:rFonts w:ascii="仿宋" w:hAnsi="仿宋" w:eastAsia="仿宋" w:cs="Times New Roman"/>
          <w:color w:val="000000" w:themeColor="text1"/>
          <w:kern w:val="2"/>
          <w:sz w:val="24"/>
          <w:szCs w:val="24"/>
          <w:lang w:val="en-US" w:eastAsia="zh-CN" w:bidi="ar-SA"/>
          <w14:textFill>
            <w14:solidFill>
              <w14:schemeClr w14:val="tx1"/>
            </w14:solidFill>
          </w14:textFill>
        </w:rPr>
      </w:pPr>
      <w:bookmarkStart w:id="6" w:name="_Toc15396598"/>
      <w:bookmarkStart w:id="7" w:name="_Toc15378442"/>
      <w:bookmarkStart w:id="8" w:name="_Toc15377426"/>
      <w:bookmarkStart w:id="9" w:name="_Toc15377194"/>
      <w:bookmarkStart w:id="10" w:name="_Toc15396476"/>
      <w:bookmarkStart w:id="11" w:name="_Toc72671112"/>
      <w:r>
        <w:rPr>
          <w:rFonts w:hint="eastAsia" w:ascii="黑体" w:hAnsi="黑体" w:eastAsia="黑体"/>
          <w:color w:val="000000"/>
          <w:sz w:val="72"/>
          <w:szCs w:val="72"/>
        </w:rPr>
        <w:t>中共</w:t>
      </w:r>
      <w:bookmarkStart w:id="12" w:name="_Toc15306268"/>
      <w:r>
        <w:rPr>
          <w:rFonts w:hint="eastAsia" w:ascii="黑体" w:hAnsi="黑体" w:eastAsia="黑体"/>
          <w:color w:val="000000"/>
          <w:sz w:val="72"/>
          <w:szCs w:val="72"/>
        </w:rPr>
        <w:t>四川省广元市昭化区委机构编制委员会办公室部门决算</w:t>
      </w:r>
      <w:bookmarkEnd w:id="6"/>
      <w:bookmarkEnd w:id="7"/>
      <w:bookmarkEnd w:id="8"/>
      <w:bookmarkEnd w:id="9"/>
      <w:bookmarkEnd w:id="10"/>
      <w:bookmarkEnd w:id="12"/>
      <w:r>
        <w:rPr>
          <w:rFonts w:ascii="黑体" w:hAnsi="黑体" w:eastAsia="黑体"/>
          <w:color w:val="000000"/>
          <w:sz w:val="72"/>
          <w:szCs w:val="72"/>
        </w:rPr>
        <w:br w:type="page"/>
      </w:r>
      <w:bookmarkEnd w:id="11"/>
      <w:r>
        <w:rPr>
          <w:rFonts w:hint="eastAsia" w:ascii="黑体" w:hAnsi="黑体" w:eastAsia="黑体"/>
          <w:color w:val="000000"/>
          <w:sz w:val="48"/>
          <w:szCs w:val="48"/>
        </w:rPr>
        <w:t>目录</w:t>
      </w:r>
      <w:r>
        <w:rPr>
          <w:rFonts w:ascii="黑体" w:hAnsi="黑体" w:eastAsia="黑体"/>
          <w:color w:val="000000" w:themeColor="text1"/>
          <w:sz w:val="48"/>
          <w:szCs w:val="48"/>
          <w14:textFill>
            <w14:solidFill>
              <w14:schemeClr w14:val="tx1"/>
            </w14:solidFill>
          </w14:textFill>
        </w:rPr>
        <w:fldChar w:fldCharType="begin"/>
      </w:r>
      <w:r>
        <w:rPr>
          <w:rFonts w:ascii="黑体" w:hAnsi="黑体" w:eastAsia="黑体"/>
          <w:color w:val="000000" w:themeColor="text1"/>
          <w:sz w:val="48"/>
          <w:szCs w:val="48"/>
          <w14:textFill>
            <w14:solidFill>
              <w14:schemeClr w14:val="tx1"/>
            </w14:solidFill>
          </w14:textFill>
        </w:rPr>
        <w:instrText xml:space="preserve"> TOC \o "1-2" \h \z \u </w:instrText>
      </w:r>
      <w:r>
        <w:rPr>
          <w:rFonts w:ascii="黑体" w:hAnsi="黑体" w:eastAsia="黑体"/>
          <w:color w:val="000000" w:themeColor="text1"/>
          <w:sz w:val="48"/>
          <w:szCs w:val="48"/>
          <w14:textFill>
            <w14:solidFill>
              <w14:schemeClr w14:val="tx1"/>
            </w14:solidFill>
          </w14:textFill>
        </w:rPr>
        <w:fldChar w:fldCharType="separate"/>
      </w:r>
    </w:p>
    <w:p w14:paraId="6EDA298C">
      <w:pPr>
        <w:tabs>
          <w:tab w:val="right" w:leader="dot" w:pos="8296"/>
        </w:tabs>
        <w:spacing w:before="93"/>
        <w:jc w:val="center"/>
        <w:rPr>
          <w:rFonts w:ascii="仿宋" w:hAnsi="仿宋" w:eastAsia="仿宋" w:cstheme="minorBidi"/>
          <w:color w:val="000000" w:themeColor="text1"/>
          <w:sz w:val="28"/>
          <w:szCs w:val="28"/>
          <w14:textFill>
            <w14:solidFill>
              <w14:schemeClr w14:val="tx1"/>
            </w14:solidFill>
          </w14:textFill>
        </w:rPr>
      </w:pPr>
      <w:r>
        <w:fldChar w:fldCharType="begin"/>
      </w:r>
      <w:r>
        <w:instrText xml:space="preserve"> HYPERLINK \l "_Toc15396599" </w:instrText>
      </w:r>
      <w:r>
        <w:fldChar w:fldCharType="separate"/>
      </w:r>
      <w:r>
        <w:rPr>
          <w:rFonts w:hint="eastAsia" w:ascii="仿宋" w:hAnsi="仿宋" w:eastAsia="仿宋"/>
          <w:color w:val="000000" w:themeColor="text1"/>
          <w:sz w:val="28"/>
          <w:szCs w:val="28"/>
          <w14:textFill>
            <w14:solidFill>
              <w14:schemeClr w14:val="tx1"/>
            </w14:solidFill>
          </w14:textFill>
        </w:rPr>
        <w:t>第一部分</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部门概况</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fldChar w:fldCharType="end"/>
      </w:r>
    </w:p>
    <w:p w14:paraId="4FDD65A3">
      <w:pPr>
        <w:tabs>
          <w:tab w:val="right" w:leader="dot" w:pos="8296"/>
        </w:tabs>
        <w:ind w:left="420" w:leftChars="200"/>
        <w:rPr>
          <w:rFonts w:ascii="仿宋" w:hAnsi="仿宋" w:eastAsia="仿宋" w:cstheme="minorBidi"/>
          <w:color w:val="000000" w:themeColor="text1"/>
          <w:sz w:val="28"/>
          <w:szCs w:val="28"/>
          <w14:textFill>
            <w14:solidFill>
              <w14:schemeClr w14:val="tx1"/>
            </w14:solidFill>
          </w14:textFill>
        </w:rPr>
      </w:pPr>
      <w:r>
        <w:fldChar w:fldCharType="begin"/>
      </w:r>
      <w:r>
        <w:instrText xml:space="preserve"> HYPERLINK \l "_Toc15396600" </w:instrText>
      </w:r>
      <w:r>
        <w:fldChar w:fldCharType="separate"/>
      </w:r>
      <w:r>
        <w:rPr>
          <w:rFonts w:hint="eastAsia" w:ascii="仿宋" w:hAnsi="仿宋" w:eastAsia="仿宋"/>
          <w:color w:val="000000" w:themeColor="text1"/>
          <w:sz w:val="28"/>
          <w:szCs w:val="28"/>
          <w14:textFill>
            <w14:solidFill>
              <w14:schemeClr w14:val="tx1"/>
            </w14:solidFill>
          </w14:textFill>
        </w:rPr>
        <w:t>一、基本职能及主要工作</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fldChar w:fldCharType="end"/>
      </w:r>
    </w:p>
    <w:p w14:paraId="730F1C05">
      <w:pPr>
        <w:tabs>
          <w:tab w:val="right" w:leader="dot" w:pos="8296"/>
        </w:tabs>
        <w:ind w:left="420" w:leftChars="200"/>
        <w:rPr>
          <w:rFonts w:hint="eastAsia"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"_Toc15396601" </w:instrText>
      </w:r>
      <w:r>
        <w:fldChar w:fldCharType="separate"/>
      </w:r>
      <w:r>
        <w:rPr>
          <w:rFonts w:hint="eastAsia" w:ascii="仿宋" w:hAnsi="仿宋" w:eastAsia="仿宋"/>
          <w:color w:val="000000" w:themeColor="text1"/>
          <w:sz w:val="28"/>
          <w:szCs w:val="28"/>
          <w14:textFill>
            <w14:solidFill>
              <w14:schemeClr w14:val="tx1"/>
            </w14:solidFill>
          </w14:textFill>
        </w:rPr>
        <w:t>二、机构设置</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6</w:t>
      </w:r>
    </w:p>
    <w:p w14:paraId="1E649CAF">
      <w:pPr>
        <w:tabs>
          <w:tab w:val="right" w:leader="dot" w:pos="8296"/>
        </w:tabs>
        <w:spacing w:before="93"/>
        <w:jc w:val="center"/>
        <w:rPr>
          <w:rFonts w:hint="eastAsia" w:ascii="仿宋" w:hAnsi="仿宋" w:eastAsia="仿宋"/>
          <w:color w:val="000000" w:themeColor="text1"/>
          <w:sz w:val="28"/>
          <w:szCs w:val="28"/>
          <w:lang w:val="en-US" w:eastAsia="zh-CN"/>
          <w14:textFill>
            <w14:solidFill>
              <w14:schemeClr w14:val="tx1"/>
            </w14:solidFill>
          </w14:textFill>
        </w:rPr>
      </w:pPr>
      <w:r>
        <w:fldChar w:fldCharType="begin"/>
      </w:r>
      <w:r>
        <w:instrText xml:space="preserve"> HYPERLINK \l "_Toc15396602" </w:instrText>
      </w:r>
      <w:r>
        <w:fldChar w:fldCharType="separate"/>
      </w:r>
      <w:r>
        <w:rPr>
          <w:rFonts w:hint="eastAsia" w:ascii="仿宋" w:hAnsi="仿宋" w:eastAsia="仿宋"/>
          <w:color w:val="000000" w:themeColor="text1"/>
          <w:sz w:val="28"/>
          <w:szCs w:val="28"/>
          <w14:textFill>
            <w14:solidFill>
              <w14:schemeClr w14:val="tx1"/>
            </w14:solidFill>
          </w14:textFill>
        </w:rPr>
        <w:t>第二部分</w:t>
      </w:r>
      <w:r>
        <w:rPr>
          <w:rFonts w:ascii="仿宋" w:hAnsi="仿宋" w:eastAsia="仿宋"/>
          <w:color w:val="000000" w:themeColor="text1"/>
          <w:sz w:val="28"/>
          <w:szCs w:val="28"/>
          <w14:textFill>
            <w14:solidFill>
              <w14:schemeClr w14:val="tx1"/>
            </w14:solidFill>
          </w14:textFill>
        </w:rPr>
        <w:t xml:space="preserve"> 20</w:t>
      </w:r>
      <w:r>
        <w:rPr>
          <w:rFonts w:hint="eastAsia" w:ascii="仿宋" w:hAnsi="仿宋" w:eastAsia="仿宋"/>
          <w:color w:val="000000" w:themeColor="text1"/>
          <w:sz w:val="28"/>
          <w:szCs w:val="28"/>
          <w14:textFill>
            <w14:solidFill>
              <w14:schemeClr w14:val="tx1"/>
            </w14:solidFill>
          </w14:textFill>
        </w:rPr>
        <w:t>20年度部门决算情况说明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7</w:t>
      </w:r>
    </w:p>
    <w:p w14:paraId="769CC1B1">
      <w:pPr>
        <w:tabs>
          <w:tab w:val="right" w:leader="dot" w:pos="8296"/>
        </w:tabs>
        <w:ind w:left="420" w:leftChars="200"/>
        <w:rPr>
          <w:rFonts w:hint="eastAsia"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"_Toc15396603" </w:instrText>
      </w:r>
      <w:r>
        <w:fldChar w:fldCharType="separate"/>
      </w:r>
      <w:r>
        <w:rPr>
          <w:rFonts w:hint="eastAsia" w:ascii="仿宋" w:hAnsi="仿宋" w:eastAsia="仿宋" w:cstheme="majorBidi"/>
          <w:bCs/>
          <w:color w:val="000000" w:themeColor="text1"/>
          <w:sz w:val="28"/>
          <w:szCs w:val="28"/>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收</w:t>
      </w:r>
      <w:r>
        <w:rPr>
          <w:rFonts w:hint="eastAsia" w:ascii="仿宋" w:hAnsi="仿宋" w:eastAsia="仿宋" w:cstheme="majorBidi"/>
          <w:bCs/>
          <w:color w:val="000000" w:themeColor="text1"/>
          <w:sz w:val="28"/>
          <w:szCs w:val="28"/>
          <w14:textFill>
            <w14:solidFill>
              <w14:schemeClr w14:val="tx1"/>
            </w14:solidFill>
          </w14:textFill>
        </w:rPr>
        <w:t>入支出决算总体情况说明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7</w:t>
      </w:r>
    </w:p>
    <w:p w14:paraId="77DF1399">
      <w:pPr>
        <w:tabs>
          <w:tab w:val="right" w:leader="dot" w:pos="8296"/>
        </w:tabs>
        <w:ind w:left="420" w:leftChars="200"/>
        <w:rPr>
          <w:rFonts w:hint="eastAsia"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"_Toc15396604" </w:instrText>
      </w:r>
      <w:r>
        <w:fldChar w:fldCharType="separate"/>
      </w:r>
      <w:r>
        <w:rPr>
          <w:rFonts w:hint="eastAsia" w:ascii="仿宋" w:hAnsi="仿宋" w:eastAsia="仿宋" w:cstheme="majorBidi"/>
          <w:bCs/>
          <w:color w:val="000000" w:themeColor="text1"/>
          <w:sz w:val="28"/>
          <w:szCs w:val="28"/>
          <w14:textFill>
            <w14:solidFill>
              <w14:schemeClr w14:val="tx1"/>
            </w14:solidFill>
          </w14:textFill>
        </w:rPr>
        <w:t>二、</w:t>
      </w:r>
      <w:r>
        <w:rPr>
          <w:rFonts w:hint="eastAsia" w:ascii="仿宋" w:hAnsi="仿宋" w:eastAsia="仿宋"/>
          <w:color w:val="000000" w:themeColor="text1"/>
          <w:sz w:val="28"/>
          <w:szCs w:val="28"/>
          <w14:textFill>
            <w14:solidFill>
              <w14:schemeClr w14:val="tx1"/>
            </w14:solidFill>
          </w14:textFill>
        </w:rPr>
        <w:t>收</w:t>
      </w:r>
      <w:r>
        <w:rPr>
          <w:rFonts w:hint="eastAsia" w:ascii="仿宋" w:hAnsi="仿宋" w:eastAsia="仿宋" w:cstheme="majorBidi"/>
          <w:bCs/>
          <w:color w:val="000000" w:themeColor="text1"/>
          <w:sz w:val="28"/>
          <w:szCs w:val="28"/>
          <w14:textFill>
            <w14:solidFill>
              <w14:schemeClr w14:val="tx1"/>
            </w14:solidFill>
          </w14:textFill>
        </w:rPr>
        <w:t>入决算情况说明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7</w:t>
      </w:r>
    </w:p>
    <w:p w14:paraId="4B066B7F">
      <w:pPr>
        <w:tabs>
          <w:tab w:val="right" w:leader="dot" w:pos="8296"/>
        </w:tabs>
        <w:ind w:left="420" w:leftChars="200"/>
        <w:rPr>
          <w:rFonts w:hint="eastAsia"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"_Toc15396605" </w:instrText>
      </w:r>
      <w:r>
        <w:fldChar w:fldCharType="separate"/>
      </w:r>
      <w:r>
        <w:rPr>
          <w:rFonts w:hint="eastAsia" w:ascii="仿宋" w:hAnsi="仿宋" w:eastAsia="仿宋" w:cstheme="majorBidi"/>
          <w:bCs/>
          <w:color w:val="000000" w:themeColor="text1"/>
          <w:sz w:val="28"/>
          <w:szCs w:val="28"/>
          <w14:textFill>
            <w14:solidFill>
              <w14:schemeClr w14:val="tx1"/>
            </w14:solidFill>
          </w14:textFill>
        </w:rPr>
        <w:t>三、</w:t>
      </w:r>
      <w:r>
        <w:rPr>
          <w:rFonts w:hint="eastAsia" w:ascii="仿宋" w:hAnsi="仿宋" w:eastAsia="仿宋"/>
          <w:color w:val="000000" w:themeColor="text1"/>
          <w:sz w:val="28"/>
          <w:szCs w:val="28"/>
          <w14:textFill>
            <w14:solidFill>
              <w14:schemeClr w14:val="tx1"/>
            </w14:solidFill>
          </w14:textFill>
        </w:rPr>
        <w:t>支</w:t>
      </w:r>
      <w:r>
        <w:rPr>
          <w:rFonts w:hint="eastAsia" w:ascii="仿宋" w:hAnsi="仿宋" w:eastAsia="仿宋" w:cstheme="majorBidi"/>
          <w:bCs/>
          <w:color w:val="000000" w:themeColor="text1"/>
          <w:sz w:val="28"/>
          <w:szCs w:val="28"/>
          <w14:textFill>
            <w14:solidFill>
              <w14:schemeClr w14:val="tx1"/>
            </w14:solidFill>
          </w14:textFill>
        </w:rPr>
        <w:t>出决算情况说明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7</w:t>
      </w:r>
    </w:p>
    <w:p w14:paraId="5F31E8EC">
      <w:pPr>
        <w:tabs>
          <w:tab w:val="right" w:leader="dot" w:pos="8296"/>
        </w:tabs>
        <w:ind w:left="420" w:leftChars="200"/>
        <w:rPr>
          <w:rFonts w:hint="eastAsia"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"_Toc15396606" </w:instrText>
      </w:r>
      <w:r>
        <w:fldChar w:fldCharType="separate"/>
      </w:r>
      <w:r>
        <w:rPr>
          <w:rFonts w:hint="eastAsia" w:ascii="仿宋" w:hAnsi="仿宋" w:eastAsia="仿宋"/>
          <w:color w:val="000000" w:themeColor="text1"/>
          <w:sz w:val="28"/>
          <w:szCs w:val="28"/>
          <w14:textFill>
            <w14:solidFill>
              <w14:schemeClr w14:val="tx1"/>
            </w14:solidFill>
          </w14:textFill>
        </w:rPr>
        <w:t>四、财</w:t>
      </w:r>
      <w:r>
        <w:rPr>
          <w:rFonts w:hint="eastAsia" w:ascii="仿宋" w:hAnsi="仿宋" w:eastAsia="仿宋" w:cstheme="majorBidi"/>
          <w:bCs/>
          <w:color w:val="000000" w:themeColor="text1"/>
          <w:sz w:val="28"/>
          <w:szCs w:val="28"/>
          <w14:textFill>
            <w14:solidFill>
              <w14:schemeClr w14:val="tx1"/>
            </w14:solidFill>
          </w14:textFill>
        </w:rPr>
        <w:t>政拨款收入支出决算总体情况说明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7</w:t>
      </w:r>
    </w:p>
    <w:p w14:paraId="05CEB79A">
      <w:pPr>
        <w:tabs>
          <w:tab w:val="right" w:leader="dot" w:pos="8296"/>
        </w:tabs>
        <w:ind w:left="420" w:leftChars="200"/>
        <w:rPr>
          <w:rFonts w:ascii="仿宋" w:hAnsi="仿宋" w:eastAsia="仿宋" w:cstheme="minorBidi"/>
          <w:color w:val="000000" w:themeColor="text1"/>
          <w:sz w:val="28"/>
          <w:szCs w:val="28"/>
          <w14:textFill>
            <w14:solidFill>
              <w14:schemeClr w14:val="tx1"/>
            </w14:solidFill>
          </w14:textFill>
        </w:rPr>
      </w:pPr>
      <w:r>
        <w:fldChar w:fldCharType="begin"/>
      </w:r>
      <w:r>
        <w:instrText xml:space="preserve"> HYPERLINK \l "_Toc15396607" </w:instrText>
      </w:r>
      <w:r>
        <w:fldChar w:fldCharType="separate"/>
      </w:r>
      <w:r>
        <w:rPr>
          <w:rFonts w:hint="eastAsia" w:ascii="仿宋" w:hAnsi="仿宋" w:eastAsia="仿宋"/>
          <w:color w:val="000000" w:themeColor="text1"/>
          <w:sz w:val="28"/>
          <w:szCs w:val="28"/>
          <w14:textFill>
            <w14:solidFill>
              <w14:schemeClr w14:val="tx1"/>
            </w14:solidFill>
          </w14:textFill>
        </w:rPr>
        <w:t>五、一</w:t>
      </w:r>
      <w:r>
        <w:rPr>
          <w:rFonts w:hint="eastAsia" w:ascii="仿宋" w:hAnsi="仿宋" w:eastAsia="仿宋" w:cstheme="majorBidi"/>
          <w:bCs/>
          <w:color w:val="000000" w:themeColor="text1"/>
          <w:sz w:val="28"/>
          <w:szCs w:val="28"/>
          <w14:textFill>
            <w14:solidFill>
              <w14:schemeClr w14:val="tx1"/>
            </w14:solidFill>
          </w14:textFill>
        </w:rPr>
        <w:t>般公共预算财政拨款支出决算情况说明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9</w:t>
      </w:r>
      <w:r>
        <w:rPr>
          <w:rFonts w:ascii="仿宋" w:hAnsi="仿宋" w:eastAsia="仿宋"/>
          <w:color w:val="000000" w:themeColor="text1"/>
          <w:sz w:val="28"/>
          <w:szCs w:val="28"/>
          <w14:textFill>
            <w14:solidFill>
              <w14:schemeClr w14:val="tx1"/>
            </w14:solidFill>
          </w14:textFill>
        </w:rPr>
        <w:fldChar w:fldCharType="end"/>
      </w:r>
    </w:p>
    <w:p w14:paraId="2C3C484A">
      <w:pPr>
        <w:tabs>
          <w:tab w:val="right" w:leader="dot" w:pos="8296"/>
        </w:tabs>
        <w:ind w:left="420" w:leftChars="200"/>
        <w:rPr>
          <w:rFonts w:ascii="仿宋" w:hAnsi="仿宋" w:eastAsia="仿宋" w:cstheme="minorBidi"/>
          <w:color w:val="000000" w:themeColor="text1"/>
          <w:sz w:val="28"/>
          <w:szCs w:val="28"/>
          <w14:textFill>
            <w14:solidFill>
              <w14:schemeClr w14:val="tx1"/>
            </w14:solidFill>
          </w14:textFill>
        </w:rPr>
      </w:pPr>
      <w:r>
        <w:fldChar w:fldCharType="begin"/>
      </w:r>
      <w:r>
        <w:instrText xml:space="preserve"> HYPERLINK \l "_Toc15396608" </w:instrText>
      </w:r>
      <w:r>
        <w:fldChar w:fldCharType="separate"/>
      </w:r>
      <w:r>
        <w:rPr>
          <w:rFonts w:hint="eastAsia" w:ascii="仿宋" w:hAnsi="仿宋" w:eastAsia="仿宋"/>
          <w:color w:val="000000" w:themeColor="text1"/>
          <w:sz w:val="28"/>
          <w:szCs w:val="28"/>
          <w14:textFill>
            <w14:solidFill>
              <w14:schemeClr w14:val="tx1"/>
            </w14:solidFill>
          </w14:textFill>
        </w:rPr>
        <w:t>六、一</w:t>
      </w:r>
      <w:r>
        <w:rPr>
          <w:rFonts w:hint="eastAsia" w:ascii="仿宋" w:hAnsi="仿宋" w:eastAsia="仿宋" w:cstheme="majorBidi"/>
          <w:bCs/>
          <w:color w:val="000000" w:themeColor="text1"/>
          <w:sz w:val="28"/>
          <w:szCs w:val="28"/>
          <w14:textFill>
            <w14:solidFill>
              <w14:schemeClr w14:val="tx1"/>
            </w14:solidFill>
          </w14:textFill>
        </w:rPr>
        <w:t>般公共预算财政拨款基本支出决算情况说明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9</w:t>
      </w:r>
      <w:r>
        <w:rPr>
          <w:rFonts w:ascii="仿宋" w:hAnsi="仿宋" w:eastAsia="仿宋"/>
          <w:color w:val="000000" w:themeColor="text1"/>
          <w:sz w:val="28"/>
          <w:szCs w:val="28"/>
          <w14:textFill>
            <w14:solidFill>
              <w14:schemeClr w14:val="tx1"/>
            </w14:solidFill>
          </w14:textFill>
        </w:rPr>
        <w:fldChar w:fldCharType="end"/>
      </w:r>
    </w:p>
    <w:p w14:paraId="5CCDCE2F">
      <w:pPr>
        <w:tabs>
          <w:tab w:val="right" w:leader="dot" w:pos="8296"/>
        </w:tabs>
        <w:ind w:left="420" w:leftChars="200"/>
        <w:rPr>
          <w:rFonts w:ascii="仿宋" w:hAnsi="仿宋" w:eastAsia="仿宋" w:cstheme="minorBidi"/>
          <w:color w:val="000000" w:themeColor="text1"/>
          <w:sz w:val="28"/>
          <w:szCs w:val="28"/>
          <w14:textFill>
            <w14:solidFill>
              <w14:schemeClr w14:val="tx1"/>
            </w14:solidFill>
          </w14:textFill>
        </w:rPr>
      </w:pPr>
      <w:r>
        <w:fldChar w:fldCharType="begin"/>
      </w:r>
      <w:r>
        <w:instrText xml:space="preserve"> HYPERLINK \l "_Toc15396609" </w:instrText>
      </w:r>
      <w:r>
        <w:fldChar w:fldCharType="separate"/>
      </w:r>
      <w:r>
        <w:rPr>
          <w:rFonts w:hint="eastAsia" w:ascii="仿宋" w:hAnsi="仿宋" w:eastAsia="仿宋"/>
          <w:color w:val="000000" w:themeColor="text1"/>
          <w:sz w:val="28"/>
          <w:szCs w:val="28"/>
          <w14:textFill>
            <w14:solidFill>
              <w14:schemeClr w14:val="tx1"/>
            </w14:solidFill>
          </w14:textFill>
        </w:rPr>
        <w:t>七、</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stheme="majorBidi"/>
          <w:bCs/>
          <w:color w:val="000000" w:themeColor="text1"/>
          <w:sz w:val="28"/>
          <w:szCs w:val="28"/>
          <w14:textFill>
            <w14:solidFill>
              <w14:schemeClr w14:val="tx1"/>
            </w14:solidFill>
          </w14:textFill>
        </w:rPr>
        <w:t>三公”经费财政拨款支出决算情况说明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9</w:t>
      </w:r>
      <w:r>
        <w:rPr>
          <w:rFonts w:ascii="仿宋" w:hAnsi="仿宋" w:eastAsia="仿宋"/>
          <w:color w:val="000000" w:themeColor="text1"/>
          <w:sz w:val="28"/>
          <w:szCs w:val="28"/>
          <w14:textFill>
            <w14:solidFill>
              <w14:schemeClr w14:val="tx1"/>
            </w14:solidFill>
          </w14:textFill>
        </w:rPr>
        <w:fldChar w:fldCharType="end"/>
      </w:r>
    </w:p>
    <w:p w14:paraId="4A28CBE2">
      <w:pPr>
        <w:tabs>
          <w:tab w:val="right" w:leader="dot" w:pos="8296"/>
        </w:tabs>
        <w:ind w:left="420" w:leftChars="200"/>
        <w:rPr>
          <w:rFonts w:hint="eastAsia"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"_Toc15396610" </w:instrText>
      </w:r>
      <w:r>
        <w:fldChar w:fldCharType="separate"/>
      </w:r>
      <w:r>
        <w:rPr>
          <w:rFonts w:hint="eastAsia" w:ascii="仿宋" w:hAnsi="仿宋" w:eastAsia="仿宋"/>
          <w:color w:val="000000" w:themeColor="text1"/>
          <w:sz w:val="28"/>
          <w:szCs w:val="28"/>
          <w14:textFill>
            <w14:solidFill>
              <w14:schemeClr w14:val="tx1"/>
            </w14:solidFill>
          </w14:textFill>
        </w:rPr>
        <w:t>八、</w:t>
      </w:r>
      <w:r>
        <w:rPr>
          <w:rFonts w:hint="eastAsia" w:ascii="仿宋" w:hAnsi="仿宋" w:eastAsia="仿宋" w:cstheme="majorBidi"/>
          <w:bCs/>
          <w:color w:val="000000" w:themeColor="text1"/>
          <w:sz w:val="28"/>
          <w:szCs w:val="28"/>
          <w14:textFill>
            <w14:solidFill>
              <w14:schemeClr w14:val="tx1"/>
            </w14:solidFill>
          </w14:textFill>
        </w:rPr>
        <w:t>政府性基金预算支出决算情况说明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0</w:t>
      </w:r>
    </w:p>
    <w:p w14:paraId="5B045B7B">
      <w:pPr>
        <w:tabs>
          <w:tab w:val="right" w:leader="dot" w:pos="8296"/>
        </w:tabs>
        <w:ind w:left="420" w:leftChars="200"/>
        <w:rPr>
          <w:rFonts w:hint="eastAsia" w:ascii="仿宋" w:hAnsi="仿宋" w:eastAsia="仿宋"/>
          <w:color w:val="000000" w:themeColor="text1"/>
          <w:sz w:val="28"/>
          <w:szCs w:val="28"/>
          <w:lang w:val="en-US" w:eastAsia="zh-CN"/>
          <w14:textFill>
            <w14:solidFill>
              <w14:schemeClr w14:val="tx1"/>
            </w14:solidFill>
          </w14:textFill>
        </w:rPr>
      </w:pPr>
      <w:r>
        <w:fldChar w:fldCharType="begin"/>
      </w:r>
      <w:r>
        <w:instrText xml:space="preserve"> HYPERLINK \l "_Toc15396611" </w:instrText>
      </w:r>
      <w:r>
        <w:fldChar w:fldCharType="separate"/>
      </w:r>
      <w:r>
        <w:rPr>
          <w:rFonts w:hint="eastAsia" w:ascii="仿宋" w:hAnsi="仿宋" w:eastAsia="仿宋" w:cstheme="majorBidi"/>
          <w:bCs/>
          <w:color w:val="000000" w:themeColor="text1"/>
          <w:sz w:val="28"/>
          <w:szCs w:val="28"/>
          <w14:textFill>
            <w14:solidFill>
              <w14:schemeClr w14:val="tx1"/>
            </w14:solidFill>
          </w14:textFill>
        </w:rPr>
        <w:t>九、</w:t>
      </w:r>
      <w:r>
        <w:rPr>
          <w:rFonts w:hint="eastAsia" w:ascii="仿宋" w:hAnsi="仿宋" w:eastAsia="仿宋"/>
          <w:color w:val="000000" w:themeColor="text1"/>
          <w:sz w:val="28"/>
          <w:szCs w:val="28"/>
          <w14:textFill>
            <w14:solidFill>
              <w14:schemeClr w14:val="tx1"/>
            </w14:solidFill>
          </w14:textFill>
        </w:rPr>
        <w:t xml:space="preserve"> 国</w:t>
      </w:r>
      <w:r>
        <w:rPr>
          <w:rFonts w:hint="eastAsia" w:ascii="仿宋" w:hAnsi="仿宋" w:eastAsia="仿宋" w:cstheme="majorBidi"/>
          <w:bCs/>
          <w:color w:val="000000" w:themeColor="text1"/>
          <w:sz w:val="28"/>
          <w:szCs w:val="28"/>
          <w14:textFill>
            <w14:solidFill>
              <w14:schemeClr w14:val="tx1"/>
            </w14:solidFill>
          </w14:textFill>
        </w:rPr>
        <w:t>有资本经营预算支出决算情况说明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1</w:t>
      </w:r>
    </w:p>
    <w:p w14:paraId="248F5B88">
      <w:pPr>
        <w:tabs>
          <w:tab w:val="right" w:leader="dot" w:pos="8296"/>
        </w:tabs>
        <w:ind w:left="420" w:leftChars="200"/>
        <w:rPr>
          <w:rFonts w:hint="eastAsia" w:eastAsia="仿宋"/>
          <w:color w:val="000000" w:themeColor="text1"/>
          <w:lang w:val="en-US" w:eastAsia="zh-CN"/>
          <w14:textFill>
            <w14:solidFill>
              <w14:schemeClr w14:val="tx1"/>
            </w14:solidFill>
          </w14:textFill>
        </w:rPr>
      </w:pPr>
      <w:r>
        <w:fldChar w:fldCharType="begin"/>
      </w:r>
      <w:r>
        <w:instrText xml:space="preserve"> HYPERLINK \l "_Toc15396611" </w:instrText>
      </w:r>
      <w:r>
        <w:fldChar w:fldCharType="separate"/>
      </w:r>
      <w:r>
        <w:rPr>
          <w:rFonts w:hint="eastAsia" w:ascii="仿宋" w:hAnsi="仿宋" w:eastAsia="仿宋" w:cs="仿宋"/>
          <w:color w:val="000000" w:themeColor="text1"/>
          <w:sz w:val="28"/>
          <w:szCs w:val="28"/>
          <w14:textFill>
            <w14:solidFill>
              <w14:schemeClr w14:val="tx1"/>
            </w14:solidFill>
          </w14:textFill>
        </w:rPr>
        <w:t>十</w:t>
      </w:r>
      <w:r>
        <w:rPr>
          <w:rFonts w:hint="eastAsia" w:ascii="仿宋" w:hAnsi="仿宋" w:eastAsia="仿宋" w:cstheme="majorBidi"/>
          <w:bCs/>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 xml:space="preserve"> 其他重要事项的情况说明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1</w:t>
      </w:r>
    </w:p>
    <w:p w14:paraId="2BC6639F">
      <w:pPr>
        <w:tabs>
          <w:tab w:val="right" w:leader="dot" w:pos="8296"/>
        </w:tabs>
        <w:spacing w:before="93"/>
        <w:jc w:val="center"/>
        <w:rPr>
          <w:rFonts w:hint="default"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"_Toc15396613" </w:instrText>
      </w:r>
      <w:r>
        <w:fldChar w:fldCharType="separate"/>
      </w:r>
      <w:r>
        <w:rPr>
          <w:rFonts w:hint="eastAsia" w:ascii="仿宋" w:hAnsi="仿宋" w:eastAsia="仿宋"/>
          <w:bCs/>
          <w:color w:val="000000" w:themeColor="text1"/>
          <w:kern w:val="44"/>
          <w:sz w:val="28"/>
          <w:szCs w:val="28"/>
          <w14:textFill>
            <w14:solidFill>
              <w14:schemeClr w14:val="tx1"/>
            </w14:solidFill>
          </w14:textFill>
        </w:rPr>
        <w:t>第三部分</w:t>
      </w:r>
      <w:r>
        <w:rPr>
          <w:rFonts w:hint="eastAsia" w:ascii="仿宋" w:hAnsi="仿宋" w:eastAsia="仿宋"/>
          <w:color w:val="000000" w:themeColor="text1"/>
          <w:sz w:val="28"/>
          <w:szCs w:val="28"/>
          <w14:textFill>
            <w14:solidFill>
              <w14:schemeClr w14:val="tx1"/>
            </w14:solidFill>
          </w14:textFill>
        </w:rPr>
        <w:t xml:space="preserve"> 名</w:t>
      </w:r>
      <w:r>
        <w:rPr>
          <w:rFonts w:hint="eastAsia" w:ascii="仿宋" w:hAnsi="仿宋" w:eastAsia="仿宋"/>
          <w:bCs/>
          <w:color w:val="000000" w:themeColor="text1"/>
          <w:kern w:val="44"/>
          <w:sz w:val="28"/>
          <w:szCs w:val="28"/>
          <w14:textFill>
            <w14:solidFill>
              <w14:schemeClr w14:val="tx1"/>
            </w14:solidFill>
          </w14:textFill>
        </w:rPr>
        <w:t>词解释</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25</w:t>
      </w:r>
    </w:p>
    <w:p w14:paraId="4E4BB1D5">
      <w:pPr>
        <w:tabs>
          <w:tab w:val="right" w:leader="dot" w:pos="8296"/>
        </w:tabs>
        <w:spacing w:before="93"/>
        <w:jc w:val="center"/>
        <w:rPr>
          <w:rFonts w:hint="eastAsia"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"_Toc15396614" </w:instrText>
      </w:r>
      <w:r>
        <w:fldChar w:fldCharType="separate"/>
      </w:r>
      <w:r>
        <w:rPr>
          <w:rFonts w:hint="eastAsia" w:ascii="仿宋" w:hAnsi="仿宋" w:eastAsia="仿宋"/>
          <w:color w:val="000000" w:themeColor="text1"/>
          <w:sz w:val="28"/>
          <w:szCs w:val="28"/>
          <w14:textFill>
            <w14:solidFill>
              <w14:schemeClr w14:val="tx1"/>
            </w14:solidFill>
          </w14:textFill>
        </w:rPr>
        <w:t>第</w:t>
      </w:r>
      <w:r>
        <w:rPr>
          <w:rFonts w:hint="eastAsia" w:ascii="仿宋" w:hAnsi="仿宋" w:eastAsia="仿宋"/>
          <w:bCs/>
          <w:color w:val="000000" w:themeColor="text1"/>
          <w:kern w:val="44"/>
          <w:sz w:val="28"/>
          <w:szCs w:val="28"/>
          <w14:textFill>
            <w14:solidFill>
              <w14:schemeClr w14:val="tx1"/>
            </w14:solidFill>
          </w14:textFill>
        </w:rPr>
        <w:t>四部分</w:t>
      </w:r>
      <w:r>
        <w:rPr>
          <w:rFonts w:ascii="仿宋" w:hAnsi="仿宋" w:eastAsia="仿宋"/>
          <w:bCs/>
          <w:color w:val="000000" w:themeColor="text1"/>
          <w:kern w:val="44"/>
          <w:sz w:val="28"/>
          <w:szCs w:val="28"/>
          <w14:textFill>
            <w14:solidFill>
              <w14:schemeClr w14:val="tx1"/>
            </w14:solidFill>
          </w14:textFill>
        </w:rPr>
        <w:t xml:space="preserve"> </w:t>
      </w:r>
      <w:r>
        <w:rPr>
          <w:rFonts w:hint="eastAsia" w:ascii="仿宋" w:hAnsi="仿宋" w:eastAsia="仿宋"/>
          <w:bCs/>
          <w:color w:val="000000" w:themeColor="text1"/>
          <w:kern w:val="44"/>
          <w:sz w:val="28"/>
          <w:szCs w:val="28"/>
          <w14:textFill>
            <w14:solidFill>
              <w14:schemeClr w14:val="tx1"/>
            </w14:solidFill>
          </w14:textFill>
        </w:rPr>
        <w:t>附件</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7</w:t>
      </w:r>
    </w:p>
    <w:p w14:paraId="5D78EEEC">
      <w:pPr>
        <w:tabs>
          <w:tab w:val="right" w:leader="dot" w:pos="8296"/>
        </w:tabs>
        <w:ind w:left="420" w:leftChars="200"/>
        <w:rPr>
          <w:rFonts w:hint="eastAsia"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"_Toc15396615" </w:instrText>
      </w:r>
      <w:r>
        <w:fldChar w:fldCharType="separate"/>
      </w:r>
      <w:r>
        <w:rPr>
          <w:rFonts w:hint="eastAsia" w:ascii="仿宋" w:hAnsi="仿宋" w:eastAsia="仿宋"/>
          <w:color w:val="000000" w:themeColor="text1"/>
          <w:kern w:val="44"/>
          <w:sz w:val="28"/>
          <w:szCs w:val="28"/>
          <w14:textFill>
            <w14:solidFill>
              <w14:schemeClr w14:val="tx1"/>
            </w14:solidFill>
          </w14:textFill>
        </w:rPr>
        <w:t>附件</w:t>
      </w:r>
      <w:r>
        <w:rPr>
          <w:rFonts w:ascii="仿宋" w:hAnsi="仿宋" w:eastAsia="仿宋"/>
          <w:color w:val="000000" w:themeColor="text1"/>
          <w:kern w:val="44"/>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7</w:t>
      </w:r>
    </w:p>
    <w:p w14:paraId="5E4E950D">
      <w:pPr>
        <w:tabs>
          <w:tab w:val="right" w:leader="dot" w:pos="8296"/>
        </w:tabs>
        <w:ind w:left="420" w:leftChars="200"/>
        <w:rPr>
          <w:rFonts w:hint="eastAsia" w:ascii="仿宋" w:hAnsi="仿宋" w:eastAsia="仿宋" w:cstheme="minorBidi"/>
          <w:color w:val="000000" w:themeColor="text1"/>
          <w:sz w:val="28"/>
          <w:szCs w:val="28"/>
          <w:lang w:val="en-US" w:eastAsia="zh-CN"/>
          <w14:textFill>
            <w14:solidFill>
              <w14:schemeClr w14:val="tx1"/>
            </w14:solidFill>
          </w14:textFill>
        </w:rPr>
      </w:pPr>
      <w:r>
        <w:fldChar w:fldCharType="begin"/>
      </w:r>
      <w:r>
        <w:instrText xml:space="preserve"> HYPERLINK \l "_Toc15396617" </w:instrText>
      </w:r>
      <w:r>
        <w:fldChar w:fldCharType="separate"/>
      </w:r>
      <w:r>
        <w:rPr>
          <w:rFonts w:hint="eastAsia" w:ascii="仿宋" w:hAnsi="仿宋" w:eastAsia="仿宋"/>
          <w:color w:val="000000" w:themeColor="text1"/>
          <w:kern w:val="44"/>
          <w:sz w:val="28"/>
          <w:szCs w:val="28"/>
          <w14:textFill>
            <w14:solidFill>
              <w14:schemeClr w14:val="tx1"/>
            </w14:solidFill>
          </w14:textFill>
        </w:rPr>
        <w:t>附件</w:t>
      </w:r>
      <w:r>
        <w:rPr>
          <w:rFonts w:ascii="仿宋" w:hAnsi="仿宋" w:eastAsia="仿宋"/>
          <w:color w:val="000000" w:themeColor="text1"/>
          <w:kern w:val="44"/>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1</w:t>
      </w:r>
    </w:p>
    <w:p w14:paraId="302D880A">
      <w:pPr>
        <w:tabs>
          <w:tab w:val="right" w:leader="dot" w:pos="8296"/>
        </w:tabs>
        <w:spacing w:before="93"/>
        <w:jc w:val="center"/>
        <w:rPr>
          <w:rFonts w:hint="eastAsia" w:ascii="仿宋" w:hAnsi="仿宋" w:eastAsia="仿宋"/>
          <w:color w:val="000000" w:themeColor="text1"/>
          <w:sz w:val="28"/>
          <w:szCs w:val="28"/>
          <w:lang w:val="en-US" w:eastAsia="zh-CN"/>
          <w14:textFill>
            <w14:solidFill>
              <w14:schemeClr w14:val="tx1"/>
            </w14:solidFill>
          </w14:textFill>
        </w:rPr>
      </w:pPr>
      <w:r>
        <w:fldChar w:fldCharType="begin"/>
      </w:r>
      <w:r>
        <w:instrText xml:space="preserve"> HYPERLINK \l "_Toc15396618" </w:instrText>
      </w:r>
      <w:r>
        <w:fldChar w:fldCharType="separate"/>
      </w:r>
      <w:r>
        <w:rPr>
          <w:rFonts w:hint="eastAsia" w:ascii="仿宋" w:hAnsi="仿宋" w:eastAsia="仿宋"/>
          <w:color w:val="000000" w:themeColor="text1"/>
          <w:sz w:val="28"/>
          <w:szCs w:val="28"/>
          <w14:textFill>
            <w14:solidFill>
              <w14:schemeClr w14:val="tx1"/>
            </w14:solidFill>
          </w14:textFill>
        </w:rPr>
        <w:t>第</w:t>
      </w:r>
      <w:r>
        <w:rPr>
          <w:rFonts w:hint="eastAsia" w:ascii="仿宋" w:hAnsi="仿宋" w:eastAsia="仿宋"/>
          <w:bCs/>
          <w:color w:val="000000" w:themeColor="text1"/>
          <w:kern w:val="44"/>
          <w:sz w:val="28"/>
          <w:szCs w:val="28"/>
          <w14:textFill>
            <w14:solidFill>
              <w14:schemeClr w14:val="tx1"/>
            </w14:solidFill>
          </w14:textFill>
        </w:rPr>
        <w:t>五部分</w:t>
      </w:r>
      <w:r>
        <w:rPr>
          <w:rFonts w:ascii="仿宋" w:hAnsi="仿宋" w:eastAsia="仿宋"/>
          <w:bCs/>
          <w:color w:val="000000" w:themeColor="text1"/>
          <w:kern w:val="44"/>
          <w:sz w:val="28"/>
          <w:szCs w:val="28"/>
          <w14:textFill>
            <w14:solidFill>
              <w14:schemeClr w14:val="tx1"/>
            </w14:solidFill>
          </w14:textFill>
        </w:rPr>
        <w:t xml:space="preserve"> </w:t>
      </w:r>
      <w:r>
        <w:rPr>
          <w:rFonts w:hint="eastAsia" w:ascii="仿宋" w:hAnsi="仿宋" w:eastAsia="仿宋"/>
          <w:bCs/>
          <w:color w:val="000000" w:themeColor="text1"/>
          <w:kern w:val="44"/>
          <w:sz w:val="28"/>
          <w:szCs w:val="28"/>
          <w14:textFill>
            <w14:solidFill>
              <w14:schemeClr w14:val="tx1"/>
            </w14:solidFill>
          </w14:textFill>
        </w:rPr>
        <w:t>附表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4</w:t>
      </w:r>
    </w:p>
    <w:p w14:paraId="4D480D4C">
      <w:pPr>
        <w:pStyle w:val="8"/>
        <w:tabs>
          <w:tab w:val="right" w:leader="dot" w:pos="8306"/>
        </w:tabs>
      </w:pPr>
      <w:r>
        <w:rPr>
          <w:rFonts w:hint="eastAsia" w:ascii="仿宋" w:hAnsi="仿宋" w:eastAsia="仿宋"/>
          <w:color w:val="000000" w:themeColor="text1"/>
          <w:sz w:val="28"/>
          <w:szCs w:val="28"/>
          <w14:textFill>
            <w14:solidFill>
              <w14:schemeClr w14:val="tx1"/>
            </w14:solidFill>
          </w14:textFill>
        </w:rPr>
        <w:t>一、</w:t>
      </w:r>
      <w:r>
        <w:fldChar w:fldCharType="begin"/>
      </w:r>
      <w:r>
        <w:instrText xml:space="preserve"> HYPERLINK \l "_Toc15396619" </w:instrText>
      </w:r>
      <w:r>
        <w:fldChar w:fldCharType="separate"/>
      </w:r>
      <w:r>
        <w:rPr>
          <w:rFonts w:hint="eastAsia" w:ascii="仿宋" w:hAnsi="仿宋" w:eastAsia="仿宋"/>
          <w:color w:val="000000" w:themeColor="text1"/>
          <w:sz w:val="28"/>
          <w:szCs w:val="28"/>
          <w14:textFill>
            <w14:solidFill>
              <w14:schemeClr w14:val="tx1"/>
            </w14:solidFill>
          </w14:textFill>
        </w:rPr>
        <w:t>收入支出决算总表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4</w:t>
      </w:r>
    </w:p>
    <w:p w14:paraId="50C3FD91">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_Toc653767109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二、收入决算表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_Toc653767109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12802007">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_Toc1337462911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三、支出决算表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_Toc1337462911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17924AD7">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_Toc1027812028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四、财政拨款收入支出决算总表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_Toc1027812028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0968AD77">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_Toc78298128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五、财政拨款支出决算明细表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_Toc78298128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6F83D00E">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_Toc1696645332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六、一般公共预算财政拨款支出决算表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_Toc1696645332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03EFAA79">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_Toc1230230058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七、一般公共预算财政拨款支出决算明细表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_Toc1230230058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6D9DC34C">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_Toc504031490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八、一般公共预算财政拨款基本支出决算表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_Toc504031490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73DB0CB7">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_Toc1581748662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九、一般公共预算财政拨款项目支出决算表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_Toc1581748662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6C4E3B2A">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_Toc749696021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十、一般公共预算财政拨款“三公”经费支出决算表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_Toc749696021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03E44EDA">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_Toc854467998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十一、政府性基金预算财政拨款收入支出决算表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_Toc854467998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6117CD06">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_Toc820494897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十二、政府性基金预算财政拨款“三公”经费支出决算表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_Toc820494897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5E6C269C">
      <w:pPr>
        <w:pStyle w:val="8"/>
        <w:tabs>
          <w:tab w:val="right" w:leader="dot" w:pos="8306"/>
        </w:tabs>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_Toc1065236492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Hans"/>
          <w14:textFill>
            <w14:solidFill>
              <w14:schemeClr w14:val="tx1"/>
            </w14:solidFill>
          </w14:textFill>
        </w:rPr>
        <w:t>十三</w:t>
      </w:r>
      <w:r>
        <w:rPr>
          <w:rFonts w:hint="default" w:ascii="仿宋" w:hAnsi="仿宋" w:eastAsia="仿宋"/>
          <w:color w:val="000000" w:themeColor="text1"/>
          <w:sz w:val="28"/>
          <w:szCs w:val="28"/>
          <w:lang w:val="en-US" w:eastAsia="zh-Hans"/>
          <w14:textFill>
            <w14:solidFill>
              <w14:schemeClr w14:val="tx1"/>
            </w14:solidFill>
          </w14:textFill>
        </w:rPr>
        <w:t>、</w:t>
      </w:r>
      <w:r>
        <w:rPr>
          <w:rFonts w:hint="eastAsia" w:ascii="仿宋" w:hAnsi="仿宋" w:eastAsia="仿宋"/>
          <w:color w:val="000000" w:themeColor="text1"/>
          <w:sz w:val="28"/>
          <w:szCs w:val="28"/>
          <w:lang w:val="en-US" w:eastAsia="zh-Hans"/>
          <w14:textFill>
            <w14:solidFill>
              <w14:schemeClr w14:val="tx1"/>
            </w14:solidFill>
          </w14:textFill>
        </w:rPr>
        <w:t>国有资本国有资本经营预算财政拨款收入支出决算表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_Toc1065236492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61D17BB9">
      <w:pPr>
        <w:pStyle w:val="8"/>
        <w:tabs>
          <w:tab w:val="right" w:leader="dot" w:pos="8306"/>
        </w:tabs>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\l _Toc2006039652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lang w:val="en-US" w:eastAsia="zh-CN"/>
          <w14:textFill>
            <w14:solidFill>
              <w14:schemeClr w14:val="tx1"/>
            </w14:solidFill>
          </w14:textFill>
        </w:rPr>
        <w:t>十</w:t>
      </w:r>
      <w:r>
        <w:rPr>
          <w:rFonts w:hint="eastAsia" w:ascii="仿宋" w:hAnsi="仿宋" w:eastAsia="仿宋"/>
          <w:color w:val="000000" w:themeColor="text1"/>
          <w:sz w:val="28"/>
          <w:szCs w:val="28"/>
          <w:lang w:val="en-US" w:eastAsia="zh-Hans"/>
          <w14:textFill>
            <w14:solidFill>
              <w14:schemeClr w14:val="tx1"/>
            </w14:solidFill>
          </w14:textFill>
        </w:rPr>
        <w:t>四</w:t>
      </w:r>
      <w:r>
        <w:rPr>
          <w:rFonts w:hint="eastAsia" w:ascii="仿宋" w:hAnsi="仿宋" w:eastAsia="仿宋"/>
          <w:color w:val="000000" w:themeColor="text1"/>
          <w:sz w:val="28"/>
          <w:szCs w:val="28"/>
          <w:lang w:val="en-US" w:eastAsia="zh-CN"/>
          <w14:textFill>
            <w14:solidFill>
              <w14:schemeClr w14:val="tx1"/>
            </w14:solidFill>
          </w14:textFill>
        </w:rPr>
        <w:t>、国有资本经营预算财政拨款支出决算表</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PAGEREF _Toc2006039652 </w:instrText>
      </w:r>
      <w:r>
        <w:rPr>
          <w:rFonts w:hint="eastAsia" w:ascii="仿宋" w:hAnsi="仿宋" w:eastAsia="仿宋"/>
          <w:color w:val="000000" w:themeColor="text1"/>
          <w:sz w:val="28"/>
          <w:szCs w:val="28"/>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34</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fldChar w:fldCharType="end"/>
      </w:r>
    </w:p>
    <w:p w14:paraId="5B7E4338">
      <w:pP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fldChar w:fldCharType="end"/>
      </w:r>
    </w:p>
    <w:p w14:paraId="4CB5EF80">
      <w:pPr>
        <w:widowControl/>
        <w:ind w:firstLine="2200" w:firstLineChars="500"/>
        <w:jc w:val="left"/>
        <w:rPr>
          <w:rFonts w:hint="eastAsia" w:ascii="黑体" w:hAnsi="黑体" w:eastAsia="黑体" w:cs="黑体"/>
          <w:sz w:val="44"/>
          <w:szCs w:val="44"/>
        </w:rPr>
        <w:sectPr>
          <w:footerReference r:id="rId3" w:type="default"/>
          <w:pgSz w:w="11906" w:h="16838"/>
          <w:pgMar w:top="1440" w:right="1800" w:bottom="1440" w:left="1800" w:header="851" w:footer="992" w:gutter="0"/>
          <w:pgNumType w:fmt="decimal"/>
          <w:cols w:space="425" w:num="1"/>
          <w:docGrid w:type="lines" w:linePitch="312" w:charSpace="0"/>
        </w:sectPr>
      </w:pPr>
    </w:p>
    <w:p w14:paraId="3AA6B56F">
      <w:pPr>
        <w:widowControl/>
        <w:ind w:firstLine="2200" w:firstLineChars="500"/>
        <w:jc w:val="left"/>
        <w:rPr>
          <w:rFonts w:ascii="黑体" w:hAnsi="黑体" w:eastAsia="黑体" w:cs="黑体"/>
          <w:sz w:val="44"/>
          <w:szCs w:val="44"/>
        </w:rPr>
      </w:pPr>
      <w:r>
        <w:rPr>
          <w:rFonts w:hint="eastAsia" w:ascii="黑体" w:hAnsi="黑体" w:eastAsia="黑体" w:cs="黑体"/>
          <w:sz w:val="44"/>
          <w:szCs w:val="44"/>
        </w:rPr>
        <w:t>第一部分 部门概况</w:t>
      </w:r>
    </w:p>
    <w:p w14:paraId="54C7B9CC">
      <w:pPr>
        <w:pStyle w:val="4"/>
        <w:spacing w:line="576" w:lineRule="exact"/>
        <w:ind w:firstLine="640" w:firstLineChars="200"/>
        <w:rPr>
          <w:rStyle w:val="14"/>
          <w:rFonts w:ascii="黑体" w:hAnsi="黑体" w:eastAsia="黑体"/>
          <w:b w:val="0"/>
          <w:bCs w:val="0"/>
        </w:rPr>
      </w:pPr>
      <w:bookmarkStart w:id="13" w:name="_Toc15396600"/>
      <w:bookmarkStart w:id="14" w:name="_Toc15377197"/>
      <w:bookmarkStart w:id="15" w:name="_Toc72671113"/>
      <w:r>
        <w:rPr>
          <w:rFonts w:hint="eastAsia" w:ascii="黑体" w:hAnsi="黑体" w:eastAsia="黑体"/>
          <w:b w:val="0"/>
          <w:bCs w:val="0"/>
          <w:color w:val="000000"/>
        </w:rPr>
        <w:t>一、基</w:t>
      </w:r>
      <w:r>
        <w:rPr>
          <w:rStyle w:val="14"/>
          <w:rFonts w:hint="eastAsia" w:ascii="黑体" w:hAnsi="黑体" w:eastAsia="黑体"/>
          <w:b w:val="0"/>
          <w:bCs w:val="0"/>
        </w:rPr>
        <w:t>本职能及主要工作</w:t>
      </w:r>
      <w:bookmarkEnd w:id="13"/>
      <w:bookmarkEnd w:id="14"/>
      <w:bookmarkEnd w:id="15"/>
    </w:p>
    <w:p w14:paraId="6041FD19">
      <w:pPr>
        <w:pStyle w:val="4"/>
        <w:adjustRightInd w:val="0"/>
        <w:spacing w:line="576" w:lineRule="exact"/>
        <w:ind w:firstLine="720" w:firstLineChars="200"/>
        <w:rPr>
          <w:rFonts w:asciiTheme="majorEastAsia" w:hAnsiTheme="majorEastAsia"/>
          <w:b w:val="0"/>
          <w:bCs w:val="0"/>
          <w:color w:val="000000"/>
          <w:sz w:val="36"/>
          <w:szCs w:val="36"/>
        </w:rPr>
      </w:pPr>
      <w:bookmarkStart w:id="16" w:name="_Toc72671114"/>
      <w:r>
        <w:rPr>
          <w:rFonts w:hint="eastAsia" w:asciiTheme="majorEastAsia" w:hAnsiTheme="majorEastAsia"/>
          <w:b w:val="0"/>
          <w:bCs w:val="0"/>
          <w:color w:val="000000"/>
          <w:sz w:val="36"/>
          <w:szCs w:val="36"/>
        </w:rPr>
        <w:t>（一）主要职责</w:t>
      </w:r>
      <w:bookmarkEnd w:id="16"/>
    </w:p>
    <w:p w14:paraId="75B7D442">
      <w:pPr>
        <w:pStyle w:val="4"/>
        <w:adjustRightInd w:val="0"/>
        <w:spacing w:line="576" w:lineRule="exact"/>
        <w:ind w:firstLine="640" w:firstLineChars="200"/>
        <w:rPr>
          <w:rFonts w:ascii="楷体" w:hAnsi="楷体" w:eastAsia="楷体"/>
          <w:b w:val="0"/>
          <w:bCs w:val="0"/>
          <w:color w:val="000000"/>
        </w:rPr>
      </w:pPr>
      <w:bookmarkStart w:id="17" w:name="_Toc72671115"/>
      <w:r>
        <w:rPr>
          <w:rFonts w:ascii="仿宋" w:hAnsi="仿宋" w:eastAsia="仿宋"/>
          <w:b w:val="0"/>
          <w:bCs w:val="0"/>
        </w:rPr>
        <w:t>（</w:t>
      </w:r>
      <w:r>
        <w:rPr>
          <w:rFonts w:hint="eastAsia" w:ascii="仿宋" w:hAnsi="仿宋" w:eastAsia="仿宋"/>
          <w:b w:val="0"/>
          <w:bCs w:val="0"/>
        </w:rPr>
        <w:t>1</w:t>
      </w:r>
      <w:r>
        <w:rPr>
          <w:rFonts w:ascii="仿宋" w:hAnsi="仿宋" w:eastAsia="仿宋"/>
          <w:b w:val="0"/>
          <w:bCs w:val="0"/>
        </w:rPr>
        <w:t>）</w:t>
      </w:r>
      <w:r>
        <w:rPr>
          <w:rFonts w:hint="eastAsia" w:ascii="仿宋_GB2312" w:hAnsi="仿宋_GB2312" w:eastAsia="仿宋_GB2312" w:cs="仿宋_GB2312"/>
          <w:b w:val="0"/>
          <w:bCs w:val="0"/>
        </w:rPr>
        <w:t>贯彻执行中央关于行政管理体制改革和机构改革、事业单位改革及机构编制管理的方针政策、法律法</w:t>
      </w:r>
      <w:r>
        <w:rPr>
          <w:rFonts w:ascii="仿宋" w:hAnsi="仿宋" w:eastAsia="仿宋"/>
          <w:b w:val="0"/>
          <w:bCs w:val="0"/>
        </w:rPr>
        <w:t>规规章，研究起草规章草案、规范性文件，制定相关政策并监督实施。</w:t>
      </w:r>
      <w:bookmarkEnd w:id="17"/>
    </w:p>
    <w:p w14:paraId="1C78127F">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ascii="仿宋" w:hAnsi="仿宋" w:eastAsia="仿宋"/>
          <w:sz w:val="32"/>
          <w:szCs w:val="32"/>
        </w:rPr>
        <w:t>（</w:t>
      </w:r>
      <w:r>
        <w:rPr>
          <w:rFonts w:hint="eastAsia" w:ascii="仿宋" w:hAnsi="仿宋" w:eastAsia="仿宋"/>
          <w:sz w:val="32"/>
          <w:szCs w:val="32"/>
        </w:rPr>
        <w:t>2</w:t>
      </w:r>
      <w:r>
        <w:rPr>
          <w:rFonts w:ascii="仿宋" w:hAnsi="仿宋" w:eastAsia="仿宋"/>
          <w:sz w:val="32"/>
          <w:szCs w:val="32"/>
        </w:rPr>
        <w:t>）</w:t>
      </w:r>
      <w:r>
        <w:rPr>
          <w:rFonts w:hint="eastAsia" w:ascii="仿宋_GB2312" w:hAnsi="仿宋_GB2312" w:eastAsia="仿宋_GB2312" w:cs="仿宋_GB2312"/>
          <w:b w:val="0"/>
          <w:bCs w:val="0"/>
          <w:kern w:val="2"/>
          <w:sz w:val="32"/>
          <w:szCs w:val="32"/>
          <w:lang w:val="en-US" w:eastAsia="zh-CN" w:bidi="ar-SA"/>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14:paraId="47074490">
      <w:pPr>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（3）拟订全区各级行政编制总额分配方案，分配政法专项编制。负责全区行政事业编制总量控制和机关事业单位机构编制实名制管理工作，对区直机关和区属事业单位使用空缺编制补充人员进行核批。</w:t>
      </w:r>
    </w:p>
    <w:p w14:paraId="593D001E">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（4）负责区委、区政府各部门，区人大、区政协机关，区法院、区检察院机关，各民主党派区委机关、区人民团体机关的机构编制管理工作。协调区级部门之间的职责分工。</w:t>
      </w:r>
    </w:p>
    <w:p w14:paraId="21F1E5F7">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（5）给市委编委呈报副科级或按照副科级及以上规格管理机构的设置、调整。</w:t>
      </w:r>
    </w:p>
    <w:p w14:paraId="6AC8398A">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（6）研究拟订全区事业单位改革方案和事业单位编制标准及实施意见，负责区属事业单位机构编制管理，审核区属事业单位的机构编制方案，负责参照《公务员法》管理事业单位职责的审核工作。</w:t>
      </w:r>
    </w:p>
    <w:p w14:paraId="7A246E46">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（7）监督检查全区行政管理体制改革和机构改革方案及机构编制规定执行情况，按照市委编委的要求，建立机构编制工作考核评估制度，会同有关部门查处机构编制违法违纪行为。</w:t>
      </w:r>
    </w:p>
    <w:p w14:paraId="4A1F1F2D">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（8）负责全区事业单位登记管理工作。</w:t>
      </w:r>
    </w:p>
    <w:p w14:paraId="3828B289">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（9）指导、协调、监督并推进全区深化行政审批制度改革工作。</w:t>
      </w:r>
    </w:p>
    <w:p w14:paraId="43BEF686">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（10）承办区委、区政府和区委编委交办的其他事项。</w:t>
      </w:r>
    </w:p>
    <w:p w14:paraId="0BBF5619">
      <w:pPr>
        <w:pStyle w:val="4"/>
        <w:spacing w:line="576" w:lineRule="exact"/>
        <w:ind w:firstLine="640" w:firstLineChars="200"/>
        <w:rPr>
          <w:rFonts w:hint="eastAsia" w:ascii="黑体" w:hAnsi="黑体" w:eastAsia="黑体"/>
          <w:b w:val="0"/>
          <w:bCs w:val="0"/>
          <w:color w:val="000000"/>
        </w:rPr>
      </w:pPr>
      <w:r>
        <w:rPr>
          <w:rFonts w:hint="eastAsia" w:ascii="黑体" w:hAnsi="黑体" w:eastAsia="黑体"/>
          <w:b w:val="0"/>
          <w:bCs w:val="0"/>
          <w:color w:val="000000"/>
        </w:rPr>
        <w:t>（二）2020年重点工作完成情况</w:t>
      </w:r>
    </w:p>
    <w:p w14:paraId="37806049">
      <w:pPr>
        <w:spacing w:line="560" w:lineRule="exact"/>
        <w:ind w:firstLine="960" w:firstLineChars="30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val="en-US" w:eastAsia="zh-CN"/>
        </w:rPr>
        <w:t>以体制机制改革为先导，坚定不移贯彻党中央、省市区委各项决策部署要求</w:t>
      </w:r>
    </w:p>
    <w:p w14:paraId="7DE9AE7B">
      <w:pPr>
        <w:adjustRightInd w:val="0"/>
        <w:spacing w:line="576" w:lineRule="exact"/>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default" w:ascii="仿宋_GB2312" w:hAnsi="仿宋_GB2312" w:eastAsia="仿宋_GB2312" w:cs="仿宋_GB2312"/>
          <w:b w:val="0"/>
          <w:bCs w:val="0"/>
          <w:kern w:val="2"/>
          <w:sz w:val="32"/>
          <w:szCs w:val="32"/>
          <w:lang w:val="en-US" w:eastAsia="zh-CN" w:bidi="ar-SA"/>
        </w:rPr>
        <w:t>乡镇行政区划调整改革全面完成。3月24日全区12个镇机构编制方案</w:t>
      </w:r>
      <w:r>
        <w:rPr>
          <w:rFonts w:hint="eastAsia" w:ascii="仿宋_GB2312" w:hAnsi="仿宋_GB2312" w:eastAsia="仿宋_GB2312" w:cs="仿宋_GB2312"/>
          <w:b w:val="0"/>
          <w:bCs w:val="0"/>
          <w:kern w:val="2"/>
          <w:sz w:val="32"/>
          <w:szCs w:val="32"/>
          <w:lang w:val="en-US" w:eastAsia="zh-CN" w:bidi="ar-SA"/>
        </w:rPr>
        <w:t>正式印发实施。12个镇设置乡村振兴与党政综合办公室等党政办事机构91个和便民服务中心等事业单位54个。共核定行政编制332名，事业编制384名，工勤编制33名。改革后，全区各镇统一设</w:t>
      </w:r>
      <w:r>
        <w:rPr>
          <w:rFonts w:hint="default" w:ascii="仿宋_GB2312" w:hAnsi="仿宋_GB2312" w:eastAsia="仿宋_GB2312" w:cs="仿宋_GB2312"/>
          <w:b w:val="0"/>
          <w:bCs w:val="0"/>
          <w:kern w:val="2"/>
          <w:sz w:val="32"/>
          <w:szCs w:val="32"/>
          <w:lang w:val="en-US" w:eastAsia="zh-CN" w:bidi="ar-SA"/>
        </w:rPr>
        <w:t>置党政综合办事机构和事业单位减少为145个（较改革前减少29个），各镇编制总量较改革前平均增加42.5名，其中行政编制平均增加15.8名，事业编制平均增加25.1名，工勤编制平均增加1.6名。目前机构运转平稳有序，在疫情阻击战和脱贫攻坚工作中，充分展现了各镇新领导班子的凝聚力和战斗力。</w:t>
      </w:r>
    </w:p>
    <w:p w14:paraId="1B591B92">
      <w:pPr>
        <w:adjustRightInd w:val="0"/>
        <w:spacing w:line="576" w:lineRule="exact"/>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 xml:space="preserve">四大领域综合行政执法改革全面完成。按照减少层次、整合队伍、提高效率的原则，对市场监管等4个领域的10支执法机构进行精简整合，组建了市场监管、文化市场、交通运输、农业4支综合行政执法队伍，实行“局队合一”管理体制，实现“一个领域一支执法队伍”。各领域综合行政执法大队根据编制数量设置2-4个内设机构，明确内设机构依法承担行政执法职责。根据各领域实际承担的行政执法职能，共锁定综合执法机构编制67名。转隶执法人员67人、事业人员14人、工勤人员10人。有效整合了执法队伍，理顺了职能配置，夯实了基层执法基础，基本建立起了职责明确、边界清晰、运转高效的综合行政执法体制。 </w:t>
      </w:r>
    </w:p>
    <w:p w14:paraId="0F27F5A8">
      <w:pPr>
        <w:adjustRightInd w:val="0"/>
        <w:spacing w:line="576" w:lineRule="exact"/>
        <w:ind w:firstLine="640" w:firstLineChars="200"/>
        <w:rPr>
          <w:rFonts w:hint="default" w:ascii="Times New Roman" w:hAnsi="Times New Roman" w:eastAsia="仿宋_GB2312" w:cs="Times New Roman"/>
          <w:color w:val="auto"/>
          <w:sz w:val="32"/>
          <w:szCs w:val="32"/>
        </w:rPr>
      </w:pPr>
      <w:r>
        <w:rPr>
          <w:rFonts w:hint="eastAsia" w:ascii="仿宋_GB2312" w:hAnsi="仿宋_GB2312" w:eastAsia="仿宋_GB2312" w:cs="仿宋_GB2312"/>
          <w:b w:val="0"/>
          <w:bCs w:val="0"/>
          <w:kern w:val="2"/>
          <w:sz w:val="32"/>
          <w:szCs w:val="32"/>
          <w:lang w:val="en-US" w:eastAsia="zh-CN" w:bidi="ar-SA"/>
        </w:rPr>
        <w:t>（3）</w:t>
      </w:r>
      <w:r>
        <w:rPr>
          <w:rFonts w:hint="default" w:ascii="仿宋_GB2312" w:hAnsi="仿宋_GB2312" w:eastAsia="仿宋_GB2312" w:cs="仿宋_GB2312"/>
          <w:b w:val="0"/>
          <w:bCs w:val="0"/>
          <w:kern w:val="2"/>
          <w:sz w:val="32"/>
          <w:szCs w:val="32"/>
          <w:lang w:val="en-US" w:eastAsia="zh-CN" w:bidi="ar-SA"/>
        </w:rPr>
        <w:t>行政审批制度改革工作有序推进。结合《四川省行政权力指导清单（2019年本）》，出台了《广元市昭化区区本级行政权力清单（2019年本）》，共计5431项行政权</w:t>
      </w:r>
      <w:r>
        <w:rPr>
          <w:rFonts w:hint="default" w:ascii="Times New Roman" w:hAnsi="Times New Roman" w:eastAsia="仿宋_GB2312" w:cs="Times New Roman"/>
          <w:color w:val="auto"/>
          <w:sz w:val="32"/>
          <w:szCs w:val="32"/>
        </w:rPr>
        <w:t>力通过政府网站对外公开。完成区公安分局等3个部门共计11项行政权力事项调整（其中取消9项，新增2项）。以提升基层</w:t>
      </w:r>
      <w:r>
        <w:rPr>
          <w:rFonts w:hint="eastAsia" w:eastAsia="仿宋_GB2312" w:cs="Times New Roman"/>
          <w:color w:val="auto"/>
          <w:sz w:val="32"/>
          <w:szCs w:val="32"/>
          <w:lang w:eastAsia="zh-CN"/>
        </w:rPr>
        <w:t>治理体系和治理能力现代化</w:t>
      </w:r>
      <w:r>
        <w:rPr>
          <w:rFonts w:hint="default" w:ascii="Times New Roman" w:hAnsi="Times New Roman" w:eastAsia="仿宋_GB2312" w:cs="Times New Roman"/>
          <w:color w:val="auto"/>
          <w:sz w:val="32"/>
          <w:szCs w:val="32"/>
        </w:rPr>
        <w:t>为目标，聚焦基层工作痛点、难点，印发了《乡镇（街道）属地事项责任清单（2020年本）》，落实乡镇属地事项109项（其中主体责任63项，配合责任46项）。</w:t>
      </w:r>
    </w:p>
    <w:p w14:paraId="217038B6">
      <w:pPr>
        <w:pStyle w:val="2"/>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持续</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事业单位改革。</w:t>
      </w:r>
      <w:r>
        <w:rPr>
          <w:rFonts w:hint="default" w:ascii="Times New Roman" w:hAnsi="Times New Roman" w:eastAsia="仿宋_GB2312" w:cs="Times New Roman"/>
          <w:color w:val="auto"/>
          <w:sz w:val="32"/>
          <w:szCs w:val="32"/>
          <w:lang w:val="en-US" w:eastAsia="zh-CN"/>
        </w:rPr>
        <w:t>一是加大弱而小事业单位整合精简力度。</w:t>
      </w:r>
      <w:r>
        <w:rPr>
          <w:rFonts w:hint="default" w:ascii="Times New Roman" w:hAnsi="Times New Roman" w:eastAsia="仿宋_GB2312" w:cs="Times New Roman"/>
          <w:color w:val="auto"/>
          <w:sz w:val="32"/>
          <w:szCs w:val="32"/>
        </w:rPr>
        <w:t>坚持“瘦身”与“强身”相结合，优化整合、精简一批机构规模较小、工作任务不饱满或不符合发展需要、职责任务弱化、职责相同相近的事业单位，实现事业单位优化设置。累计整合事业单位</w:t>
      </w:r>
      <w:r>
        <w:rPr>
          <w:rFonts w:hint="default" w:ascii="Times New Roman" w:hAnsi="Times New Roman" w:eastAsia="仿宋_GB2312" w:cs="Times New Roman"/>
          <w:color w:val="auto"/>
          <w:sz w:val="32"/>
          <w:szCs w:val="32"/>
          <w:lang w:val="en-US" w:eastAsia="zh-CN"/>
        </w:rPr>
        <w:t>12个</w:t>
      </w:r>
      <w:r>
        <w:rPr>
          <w:rFonts w:hint="default" w:ascii="Times New Roman" w:hAnsi="Times New Roman" w:eastAsia="仿宋_GB2312" w:cs="Times New Roman"/>
          <w:color w:val="auto"/>
          <w:sz w:val="32"/>
          <w:szCs w:val="32"/>
        </w:rPr>
        <w:t>，撤销208</w:t>
      </w:r>
      <w:r>
        <w:rPr>
          <w:rFonts w:hint="default" w:ascii="Times New Roman" w:hAnsi="Times New Roman" w:eastAsia="仿宋_GB2312" w:cs="Times New Roman"/>
          <w:color w:val="auto"/>
          <w:sz w:val="32"/>
          <w:szCs w:val="32"/>
          <w:lang w:val="en-US" w:eastAsia="zh-CN"/>
        </w:rPr>
        <w:t>个</w:t>
      </w:r>
      <w:r>
        <w:rPr>
          <w:rFonts w:hint="default" w:ascii="Times New Roman" w:hAnsi="Times New Roman" w:eastAsia="仿宋_GB2312" w:cs="Times New Roman"/>
          <w:color w:val="auto"/>
          <w:sz w:val="32"/>
          <w:szCs w:val="32"/>
        </w:rPr>
        <w:t>，精简事业、执法、工勤等各类编制470名。</w:t>
      </w:r>
      <w:r>
        <w:rPr>
          <w:rFonts w:hint="default" w:ascii="Times New Roman" w:hAnsi="Times New Roman" w:eastAsia="仿宋_GB2312" w:cs="Times New Roman"/>
          <w:color w:val="auto"/>
          <w:sz w:val="32"/>
          <w:szCs w:val="32"/>
          <w:lang w:val="en-US" w:eastAsia="zh-CN"/>
        </w:rPr>
        <w:t>二是</w:t>
      </w:r>
      <w:r>
        <w:rPr>
          <w:rFonts w:hint="default" w:ascii="Times New Roman" w:hAnsi="Times New Roman" w:eastAsia="仿宋_GB2312" w:cs="Times New Roman"/>
          <w:color w:val="auto"/>
          <w:sz w:val="32"/>
          <w:szCs w:val="32"/>
        </w:rPr>
        <w:t>全面完成行政类事业单位改革。对全区承担行政职能的9</w:t>
      </w:r>
      <w:r>
        <w:rPr>
          <w:rFonts w:hint="default" w:ascii="Times New Roman" w:hAnsi="Times New Roman" w:eastAsia="仿宋_GB2312" w:cs="Times New Roman"/>
          <w:color w:val="auto"/>
          <w:sz w:val="32"/>
          <w:szCs w:val="32"/>
          <w:lang w:val="en-US" w:eastAsia="zh-CN"/>
        </w:rPr>
        <w:t>个</w:t>
      </w:r>
      <w:r>
        <w:rPr>
          <w:rFonts w:hint="default" w:ascii="Times New Roman" w:hAnsi="Times New Roman" w:eastAsia="仿宋_GB2312" w:cs="Times New Roman"/>
          <w:color w:val="auto"/>
          <w:sz w:val="32"/>
          <w:szCs w:val="32"/>
        </w:rPr>
        <w:t>事业单位工作职责进行全面清理，除区人防办保持不变外，</w:t>
      </w:r>
      <w:r>
        <w:rPr>
          <w:rFonts w:hint="default" w:ascii="Times New Roman" w:hAnsi="Times New Roman" w:eastAsia="仿宋_GB2312" w:cs="Times New Roman"/>
          <w:color w:val="auto"/>
          <w:sz w:val="32"/>
          <w:szCs w:val="32"/>
          <w:lang w:val="en-US" w:eastAsia="zh-CN"/>
        </w:rPr>
        <w:t>其余8个事业单位行政职能划转至相关行政机构或综合执法机构，将公益服务职责划转至其他公益类事业单位。三</w:t>
      </w:r>
      <w:r>
        <w:rPr>
          <w:rFonts w:hint="default" w:ascii="Times New Roman" w:hAnsi="Times New Roman" w:eastAsia="仿宋_GB2312" w:cs="Times New Roman"/>
          <w:color w:val="auto"/>
          <w:sz w:val="32"/>
          <w:szCs w:val="32"/>
        </w:rPr>
        <w:t>是统筹推进公益类事业单位改革。除已明确从事公益服务职责的学校、医院外，对其它公益类事业单位工作职责进行全领域全覆盖清理，共清理出26个事业单位承担的行政权力500余项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并将行政职能划转至相应的主管部门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是明确界定新组建事业单位职能职责和工作定位。对因工作需要新组建的区委区政府（镇）直属事业单位和部门所属事业单位，赋予公共服务和技术保障等公益职责。今年以来，全区累计规范和新界定93</w:t>
      </w:r>
      <w:r>
        <w:rPr>
          <w:rFonts w:hint="default" w:ascii="Times New Roman" w:hAnsi="Times New Roman" w:eastAsia="仿宋_GB2312" w:cs="Times New Roman"/>
          <w:color w:val="auto"/>
          <w:sz w:val="32"/>
          <w:szCs w:val="32"/>
          <w:lang w:val="en-US" w:eastAsia="zh-CN"/>
        </w:rPr>
        <w:t>个</w:t>
      </w:r>
      <w:r>
        <w:rPr>
          <w:rFonts w:hint="default" w:ascii="Times New Roman" w:hAnsi="Times New Roman" w:eastAsia="仿宋_GB2312" w:cs="Times New Roman"/>
          <w:color w:val="auto"/>
          <w:sz w:val="32"/>
          <w:szCs w:val="32"/>
        </w:rPr>
        <w:t>事业单位工作职责。</w:t>
      </w:r>
    </w:p>
    <w:p w14:paraId="7B4A7C37">
      <w:pPr>
        <w:pStyle w:val="2"/>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en-US" w:eastAsia="zh-CN"/>
        </w:rPr>
        <w:t>以优化协同高效为核心，持续优化机构编制资源配置</w:t>
      </w:r>
    </w:p>
    <w:p w14:paraId="7AE81192">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持续提升机构编制服务中心大局的水平</w:t>
      </w:r>
      <w:r>
        <w:rPr>
          <w:rFonts w:hint="default" w:ascii="Times New Roman" w:hAnsi="Times New Roman" w:eastAsia="仿宋_GB2312" w:cs="Times New Roman"/>
          <w:color w:val="auto"/>
          <w:sz w:val="32"/>
          <w:szCs w:val="32"/>
        </w:rPr>
        <w:t>。一是优化科级机构及职数设置。按照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撤</w:t>
      </w:r>
      <w:r>
        <w:rPr>
          <w:rFonts w:hint="default" w:ascii="Times New Roman" w:hAnsi="Times New Roman" w:eastAsia="仿宋_GB2312" w:cs="Times New Roman"/>
          <w:color w:val="auto"/>
          <w:sz w:val="32"/>
          <w:szCs w:val="32"/>
        </w:rPr>
        <w:t>一建一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auto"/>
          <w:sz w:val="32"/>
          <w:szCs w:val="32"/>
        </w:rPr>
        <w:t>区三江新区发展事务中心、区机关事务服务中心主要负责人</w:t>
      </w:r>
      <w:r>
        <w:rPr>
          <w:rFonts w:hint="default" w:ascii="Times New Roman" w:hAnsi="Times New Roman" w:eastAsia="仿宋_GB2312" w:cs="Times New Roman"/>
          <w:color w:val="auto"/>
          <w:sz w:val="32"/>
          <w:szCs w:val="32"/>
          <w:lang w:val="en-US" w:eastAsia="zh-CN"/>
        </w:rPr>
        <w:t>职级明确为正科级，将</w:t>
      </w:r>
      <w:r>
        <w:rPr>
          <w:rFonts w:hint="default" w:ascii="Times New Roman" w:hAnsi="Times New Roman" w:eastAsia="仿宋_GB2312" w:cs="Times New Roman"/>
          <w:color w:val="auto"/>
          <w:sz w:val="32"/>
          <w:szCs w:val="32"/>
        </w:rPr>
        <w:t>区农民工服务中心（区创业指导服务中心）、区文化旅游事务服务中心、区财政绩效事务中心、区人才交流中心（区人事考试中心）、区社会保险事务中心、区防灾减灾应急指挥保障中心主要负责人</w:t>
      </w:r>
      <w:r>
        <w:rPr>
          <w:rFonts w:hint="default" w:ascii="Times New Roman" w:hAnsi="Times New Roman" w:eastAsia="仿宋_GB2312" w:cs="Times New Roman"/>
          <w:color w:val="auto"/>
          <w:sz w:val="32"/>
          <w:szCs w:val="32"/>
          <w:lang w:val="en-US" w:eastAsia="zh-CN"/>
        </w:rPr>
        <w:t>职级明确为</w:t>
      </w:r>
      <w:r>
        <w:rPr>
          <w:rFonts w:hint="default" w:ascii="Times New Roman" w:hAnsi="Times New Roman" w:eastAsia="仿宋_GB2312" w:cs="Times New Roman"/>
          <w:color w:val="auto"/>
          <w:sz w:val="32"/>
          <w:szCs w:val="32"/>
        </w:rPr>
        <w:t>副科级。为区供销联社</w:t>
      </w:r>
      <w:r>
        <w:rPr>
          <w:rFonts w:hint="default" w:ascii="Times New Roman" w:hAnsi="Times New Roman" w:eastAsia="仿宋_GB2312" w:cs="Times New Roman"/>
          <w:color w:val="auto"/>
          <w:sz w:val="32"/>
          <w:szCs w:val="32"/>
          <w:lang w:val="en-US" w:eastAsia="zh-CN"/>
        </w:rPr>
        <w:t>等区、镇机关事业单位增核科级领导职数25名</w:t>
      </w:r>
      <w:r>
        <w:rPr>
          <w:rFonts w:hint="default" w:ascii="Times New Roman" w:hAnsi="Times New Roman" w:eastAsia="仿宋_GB2312" w:cs="Times New Roman"/>
          <w:color w:val="auto"/>
          <w:sz w:val="32"/>
          <w:szCs w:val="32"/>
        </w:rPr>
        <w:t>。二是优化调整编制资源。</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各镇幅员面积和人口为基础，坚持“大不动、小调整”的原则，按照</w:t>
      </w:r>
      <w:r>
        <w:rPr>
          <w:rFonts w:hint="default" w:ascii="Times New Roman" w:hAnsi="Times New Roman" w:eastAsia="仿宋_GB2312" w:cs="Times New Roman"/>
          <w:color w:val="auto"/>
          <w:sz w:val="32"/>
          <w:szCs w:val="32"/>
          <w:lang w:val="en-US" w:eastAsia="zh-CN"/>
        </w:rPr>
        <w:t>幅员</w:t>
      </w:r>
      <w:r>
        <w:rPr>
          <w:rFonts w:hint="default" w:ascii="Times New Roman" w:hAnsi="Times New Roman" w:eastAsia="仿宋_GB2312" w:cs="Times New Roman"/>
          <w:color w:val="auto"/>
          <w:sz w:val="32"/>
          <w:szCs w:val="32"/>
        </w:rPr>
        <w:t>面积占40%和人口总量占60%的权重，对全区12个镇编制进行了</w:t>
      </w:r>
      <w:r>
        <w:rPr>
          <w:rFonts w:hint="default" w:ascii="Times New Roman" w:hAnsi="Times New Roman" w:eastAsia="仿宋_GB2312" w:cs="Times New Roman"/>
          <w:color w:val="auto"/>
          <w:sz w:val="32"/>
          <w:szCs w:val="32"/>
          <w:lang w:val="en-US" w:eastAsia="zh-CN"/>
        </w:rPr>
        <w:t>优化</w:t>
      </w:r>
      <w:r>
        <w:rPr>
          <w:rFonts w:hint="default" w:ascii="Times New Roman" w:hAnsi="Times New Roman" w:eastAsia="仿宋_GB2312" w:cs="Times New Roman"/>
          <w:color w:val="auto"/>
          <w:sz w:val="32"/>
          <w:szCs w:val="32"/>
        </w:rPr>
        <w:t>微调。年内给区农民工服务中心（区创业指导服务中心）等</w:t>
      </w:r>
      <w:r>
        <w:rPr>
          <w:rFonts w:hint="default" w:ascii="Times New Roman" w:hAnsi="Times New Roman" w:eastAsia="仿宋_GB2312" w:cs="Times New Roman"/>
          <w:color w:val="auto"/>
          <w:sz w:val="32"/>
          <w:szCs w:val="32"/>
          <w:lang w:val="en-US" w:eastAsia="zh-CN"/>
        </w:rPr>
        <w:t>区级</w:t>
      </w:r>
      <w:r>
        <w:rPr>
          <w:rFonts w:hint="default" w:ascii="Times New Roman" w:hAnsi="Times New Roman" w:eastAsia="仿宋_GB2312" w:cs="Times New Roman"/>
          <w:color w:val="auto"/>
          <w:sz w:val="32"/>
          <w:szCs w:val="32"/>
        </w:rPr>
        <w:t>事业单位增核事业编制58名（其中参公3名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，划转区融媒体中心、广元市公安局昭化区分局森林警察大队等</w:t>
      </w:r>
      <w:r>
        <w:rPr>
          <w:rFonts w:hint="default" w:ascii="Times New Roman" w:hAnsi="Times New Roman" w:eastAsia="仿宋_GB2312" w:cs="Times New Roman"/>
          <w:color w:val="auto"/>
          <w:sz w:val="32"/>
          <w:szCs w:val="32"/>
          <w:lang w:val="en-US" w:eastAsia="zh-CN"/>
        </w:rPr>
        <w:t>区级机关事业</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val="en-US" w:eastAsia="zh-CN"/>
        </w:rPr>
        <w:t>各类</w:t>
      </w:r>
      <w:r>
        <w:rPr>
          <w:rFonts w:hint="default" w:ascii="Times New Roman" w:hAnsi="Times New Roman" w:eastAsia="仿宋_GB2312" w:cs="Times New Roman"/>
          <w:color w:val="auto"/>
          <w:sz w:val="32"/>
          <w:szCs w:val="32"/>
        </w:rPr>
        <w:t>编制133名（其中工勤编制1名，政法编制9名），给区国资</w:t>
      </w:r>
      <w:r>
        <w:rPr>
          <w:rFonts w:hint="default" w:ascii="Times New Roman" w:hAnsi="Times New Roman" w:eastAsia="仿宋_GB2312" w:cs="Times New Roman"/>
          <w:color w:val="auto"/>
          <w:sz w:val="32"/>
          <w:szCs w:val="32"/>
          <w:lang w:val="en-US" w:eastAsia="zh-CN"/>
        </w:rPr>
        <w:t>事务</w:t>
      </w:r>
      <w:r>
        <w:rPr>
          <w:rFonts w:hint="default" w:ascii="Times New Roman" w:hAnsi="Times New Roman" w:eastAsia="仿宋_GB2312" w:cs="Times New Roman"/>
          <w:color w:val="auto"/>
          <w:sz w:val="32"/>
          <w:szCs w:val="32"/>
        </w:rPr>
        <w:t>中心、区综合应急救援大队增加政府购买服务限额7名，</w:t>
      </w:r>
      <w:r>
        <w:rPr>
          <w:rFonts w:hint="default" w:ascii="Times New Roman" w:hAnsi="Times New Roman" w:eastAsia="仿宋_GB2312" w:cs="Times New Roman"/>
          <w:color w:val="auto"/>
          <w:sz w:val="32"/>
          <w:szCs w:val="32"/>
          <w:lang w:val="en-US" w:eastAsia="zh-CN"/>
        </w:rPr>
        <w:t>累计</w:t>
      </w:r>
      <w:r>
        <w:rPr>
          <w:rFonts w:hint="default" w:ascii="Times New Roman" w:hAnsi="Times New Roman" w:eastAsia="仿宋_GB2312" w:cs="Times New Roman"/>
          <w:color w:val="auto"/>
          <w:sz w:val="32"/>
          <w:szCs w:val="32"/>
        </w:rPr>
        <w:t>收回事业编制15名（其中参公5名）。年内共计招考事业干部76人，引进急需紧缺高层次人才29人，定向安置</w:t>
      </w:r>
      <w:r>
        <w:rPr>
          <w:rFonts w:hint="default" w:ascii="Times New Roman" w:hAnsi="Times New Roman" w:eastAsia="仿宋_GB2312" w:cs="Times New Roman"/>
          <w:color w:val="auto"/>
          <w:sz w:val="32"/>
          <w:szCs w:val="32"/>
          <w:lang w:val="en-US" w:eastAsia="zh-CN"/>
        </w:rPr>
        <w:t>免费</w:t>
      </w:r>
      <w:r>
        <w:rPr>
          <w:rFonts w:hint="default" w:ascii="Times New Roman" w:hAnsi="Times New Roman" w:eastAsia="仿宋_GB2312" w:cs="Times New Roman"/>
          <w:color w:val="auto"/>
          <w:sz w:val="32"/>
          <w:szCs w:val="32"/>
        </w:rPr>
        <w:t>医学生6人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安置退伍军人6名</w:t>
      </w:r>
      <w:r>
        <w:rPr>
          <w:rFonts w:hint="default" w:ascii="Times New Roman" w:hAnsi="Times New Roman" w:eastAsia="仿宋_GB2312" w:cs="Times New Roman"/>
          <w:color w:val="auto"/>
          <w:sz w:val="32"/>
          <w:szCs w:val="32"/>
        </w:rPr>
        <w:t>。三是服务保障重点领域编制资源需求。将编制资源向医疗、救助、退役军人、应急救援等重要民生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重点领域领</w:t>
      </w:r>
      <w:r>
        <w:rPr>
          <w:rFonts w:hint="default" w:ascii="Times New Roman" w:hAnsi="Times New Roman" w:eastAsia="仿宋_GB2312" w:cs="Times New Roman"/>
          <w:color w:val="auto"/>
          <w:sz w:val="32"/>
          <w:szCs w:val="32"/>
          <w:lang w:val="en-US" w:eastAsia="zh-CN"/>
        </w:rPr>
        <w:t>和基层一线</w:t>
      </w:r>
      <w:r>
        <w:rPr>
          <w:rFonts w:hint="default" w:ascii="Times New Roman" w:hAnsi="Times New Roman" w:eastAsia="仿宋_GB2312" w:cs="Times New Roman"/>
          <w:color w:val="auto"/>
          <w:sz w:val="32"/>
          <w:szCs w:val="32"/>
        </w:rPr>
        <w:t>倾斜，结合乡镇行政区划调整和机构改革实际，将原来由区农业、林业、水利、人社主管的基层畜牧兽医站、林业站、水利站和社保中心186名事业编制下沉到各镇，推进工作力量向基层延伸和下沉，为乡村振兴、“三农”发展提供可靠的机构编制保障。</w:t>
      </w:r>
    </w:p>
    <w:p w14:paraId="310AFA2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森林防灭火体制机制和党政责任</w:t>
      </w:r>
      <w:r>
        <w:rPr>
          <w:rFonts w:hint="default" w:ascii="Times New Roman" w:hAnsi="Times New Roman" w:eastAsia="仿宋_GB2312" w:cs="Times New Roman"/>
          <w:color w:val="auto"/>
          <w:sz w:val="32"/>
          <w:szCs w:val="32"/>
          <w:lang w:val="en-US" w:eastAsia="zh-CN"/>
        </w:rPr>
        <w:t>落实专项整治</w:t>
      </w:r>
      <w:r>
        <w:rPr>
          <w:rFonts w:hint="default" w:ascii="Times New Roman" w:hAnsi="Times New Roman" w:eastAsia="仿宋_GB2312" w:cs="Times New Roman"/>
          <w:color w:val="auto"/>
          <w:sz w:val="32"/>
          <w:szCs w:val="32"/>
        </w:rPr>
        <w:t>取得阶段性成效。</w:t>
      </w:r>
      <w:r>
        <w:rPr>
          <w:rFonts w:hint="default" w:ascii="Times New Roman" w:hAnsi="Times New Roman" w:eastAsia="仿宋_GB2312" w:cs="Times New Roman"/>
          <w:color w:val="auto"/>
          <w:sz w:val="32"/>
          <w:szCs w:val="32"/>
          <w:lang w:val="en-US" w:eastAsia="zh-CN"/>
        </w:rPr>
        <w:t>在全市率先完成了森林防灭火指挥部及其办公室调整设置工作，并同步成立“一办六组”，实现了无缝衔接，新的机构运行顺畅高效。</w:t>
      </w:r>
      <w:r>
        <w:rPr>
          <w:rFonts w:hint="default" w:ascii="Times New Roman" w:hAnsi="Times New Roman" w:eastAsia="仿宋_GB2312" w:cs="Times New Roman"/>
          <w:color w:val="auto"/>
          <w:sz w:val="32"/>
          <w:szCs w:val="32"/>
        </w:rPr>
        <w:t>成立防灭火体制机制和党政责任落实专项领导小组，明确了区应急管理局、区林业局和区水利局等区级部门应急管理工作职责、镇政府及党政办事机构和事业单位森</w:t>
      </w:r>
      <w:r>
        <w:rPr>
          <w:rFonts w:hint="default" w:ascii="Times New Roman" w:hAnsi="Times New Roman" w:eastAsia="仿宋_GB2312" w:cs="Times New Roman"/>
          <w:color w:val="auto"/>
          <w:sz w:val="32"/>
          <w:szCs w:val="32"/>
          <w:lang w:val="en-US" w:eastAsia="zh-CN"/>
        </w:rPr>
        <w:t>林</w:t>
      </w:r>
      <w:r>
        <w:rPr>
          <w:rFonts w:hint="default" w:ascii="Times New Roman" w:hAnsi="Times New Roman" w:eastAsia="仿宋_GB2312" w:cs="Times New Roman"/>
          <w:color w:val="auto"/>
          <w:sz w:val="32"/>
          <w:szCs w:val="32"/>
        </w:rPr>
        <w:t>防灭火职责及工作力量，为区应急管理局明确兼职副局长2名，增核森林防灭火专职副指挥长领导职数1名（副科级）。广元市昭化区综合应急救援大队加挂区生产安全应急救援队、区人民防空应急救援队、区水上应急救援队、区森林消防应急救援队牌子，为区综合应急救援大队增核事业编制3名，补充政府购买服务限额4名（共35名）。推动森林防灭火职责落细落实落地，织密森林防灭火体制机制覆盖网。《四川省广元市昭化区委编办“四举措”完善森林防灭火体制机制》被中编办网站刊载。</w:t>
      </w:r>
    </w:p>
    <w:p w14:paraId="064B35C8">
      <w:pPr>
        <w:pStyle w:val="2"/>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cs="Times New Roman"/>
          <w:color w:val="auto"/>
          <w:sz w:val="32"/>
          <w:szCs w:val="32"/>
        </w:rPr>
      </w:pPr>
      <w:r>
        <w:rPr>
          <w:rFonts w:hint="eastAsia"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健全</w:t>
      </w:r>
      <w:r>
        <w:rPr>
          <w:rFonts w:hint="default" w:ascii="Times New Roman" w:hAnsi="Times New Roman" w:eastAsia="仿宋_GB2312" w:cs="Times New Roman"/>
          <w:color w:val="auto"/>
          <w:sz w:val="32"/>
          <w:szCs w:val="32"/>
          <w:lang w:val="en-US" w:eastAsia="zh-CN"/>
        </w:rPr>
        <w:t>完善</w:t>
      </w:r>
      <w:r>
        <w:rPr>
          <w:rFonts w:hint="default" w:ascii="Times New Roman" w:hAnsi="Times New Roman" w:eastAsia="仿宋_GB2312" w:cs="Times New Roman"/>
          <w:color w:val="auto"/>
          <w:sz w:val="32"/>
          <w:szCs w:val="32"/>
        </w:rPr>
        <w:t>了基层治理服务体系。调整充实区委城乡基层治理委员会成员及其办公室，领导小组办公室设在</w:t>
      </w:r>
      <w:r>
        <w:rPr>
          <w:rFonts w:hint="default" w:ascii="Times New Roman" w:hAnsi="Times New Roman" w:eastAsia="仿宋_GB2312" w:cs="Times New Roman"/>
          <w:color w:val="auto"/>
          <w:sz w:val="32"/>
          <w:szCs w:val="32"/>
          <w:lang w:val="en-US" w:eastAsia="zh-CN"/>
        </w:rPr>
        <w:t>区委</w:t>
      </w:r>
      <w:r>
        <w:rPr>
          <w:rFonts w:hint="default" w:ascii="Times New Roman" w:hAnsi="Times New Roman" w:eastAsia="仿宋_GB2312" w:cs="Times New Roman"/>
          <w:color w:val="auto"/>
          <w:sz w:val="32"/>
          <w:szCs w:val="32"/>
        </w:rPr>
        <w:t>组织部，成立区委城乡基层治理委员会办公室秘书股，在区委组织部组织二股挂牌，给区党员教育服务中心增核3名事业编制用于承担城乡基层治理具体事务工作。在乡镇区划调整改革中同步推进构建基层便民服务体系，完成了各镇司法所（副科级）设置，正在落实各镇派出所设置。扎实推进便民服务平台向村社延伸，配合完成12个镇便民服务中心、17个便民服务站、126个村代办站提档升级，通过一体化平台梳理下放镇可办事项124项、村可办事项45项，确保更多事项“就近能办”。</w:t>
      </w:r>
    </w:p>
    <w:p w14:paraId="0700FCD1">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加强重点领域体制机制改革</w:t>
      </w:r>
      <w:r>
        <w:rPr>
          <w:rFonts w:hint="default" w:ascii="Times New Roman" w:hAnsi="Times New Roman" w:eastAsia="仿宋_GB2312" w:cs="Times New Roman"/>
          <w:color w:val="auto"/>
          <w:sz w:val="32"/>
          <w:szCs w:val="32"/>
          <w:lang w:val="en-US" w:eastAsia="zh-CN"/>
        </w:rPr>
        <w:t>创新</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一是强化体制机制研究创新。</w:t>
      </w:r>
      <w:r>
        <w:rPr>
          <w:rFonts w:hint="default" w:ascii="Times New Roman" w:hAnsi="Times New Roman" w:eastAsia="仿宋_GB2312" w:cs="Times New Roman"/>
          <w:color w:val="auto"/>
          <w:sz w:val="32"/>
          <w:szCs w:val="32"/>
        </w:rPr>
        <w:t>强化对挂牌机构、派出机构运行等问题</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研究，开展了各部门和各镇机构挂牌等事项的专项督查，对相关单位机构挂牌等工作提出了规范性意见。调整规范开发区管理机构，设立四川广元昭化经济开发区管理委员会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rPr>
        <w:t>中共四川广元昭化经济开发区工作委员会合署办公。</w:t>
      </w:r>
      <w:r>
        <w:rPr>
          <w:rFonts w:hint="default" w:ascii="Times New Roman" w:hAnsi="Times New Roman" w:eastAsia="仿宋_GB2312" w:cs="Times New Roman"/>
          <w:color w:val="auto"/>
          <w:sz w:val="32"/>
          <w:szCs w:val="32"/>
          <w:lang w:val="en-US" w:eastAsia="zh-CN"/>
        </w:rPr>
        <w:t>二是</w:t>
      </w:r>
      <w:r>
        <w:rPr>
          <w:rFonts w:hint="default" w:ascii="Times New Roman" w:hAnsi="Times New Roman" w:eastAsia="仿宋_GB2312" w:cs="Times New Roman"/>
          <w:color w:val="auto"/>
          <w:sz w:val="32"/>
          <w:szCs w:val="32"/>
        </w:rPr>
        <w:t>完善党的全面领导制度保障。成立了区网络综合治理体系建设工作协调小组等15个议事协调机构，调整完善区委巡察工作领导小组等40余个议事协调机构，全面提升党对重大工作的领导体制机制。加强党委部门归口协调管理职责，健全完善区融媒体中心归口区委宣传部归口管理体制。</w:t>
      </w:r>
      <w:r>
        <w:rPr>
          <w:rFonts w:hint="default" w:ascii="Times New Roman" w:hAnsi="Times New Roman" w:eastAsia="仿宋_GB2312" w:cs="Times New Roman"/>
          <w:color w:val="auto"/>
          <w:sz w:val="32"/>
          <w:szCs w:val="32"/>
          <w:lang w:val="en-US" w:eastAsia="zh-CN"/>
        </w:rPr>
        <w:t>三是</w:t>
      </w:r>
      <w:r>
        <w:rPr>
          <w:rFonts w:hint="default" w:ascii="Times New Roman" w:hAnsi="Times New Roman" w:eastAsia="仿宋_GB2312" w:cs="Times New Roman"/>
          <w:color w:val="auto"/>
          <w:sz w:val="32"/>
          <w:szCs w:val="32"/>
        </w:rPr>
        <w:t>健全重大疫情防控体系。落实重大疫情防控协调配合机制，成立了区委应对新型冠状病毒感染肺炎疫情工作领导小组及广元市昭化区应对新型冠状病毒感染肺炎疫情应急指挥部，领导小组和指挥部实行合署办公，共</w:t>
      </w:r>
      <w:r>
        <w:rPr>
          <w:rFonts w:hint="default" w:ascii="Times New Roman" w:hAnsi="Times New Roman" w:eastAsia="仿宋_GB2312" w:cs="Times New Roman"/>
          <w:color w:val="auto"/>
          <w:sz w:val="32"/>
          <w:szCs w:val="32"/>
          <w:lang w:val="en-US" w:eastAsia="zh-CN"/>
        </w:rPr>
        <w:t>同设立“1办9组”，为疫情防控奠定了体制机制保障。</w:t>
      </w:r>
    </w:p>
    <w:p w14:paraId="0E50A6FC">
      <w:pPr>
        <w:pStyle w:val="2"/>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val="en-US" w:eastAsia="zh-CN"/>
        </w:rPr>
        <w:t>以贯彻《条例》《办法》为根本，持续提升机构编制工作规范化水平</w:t>
      </w:r>
    </w:p>
    <w:p w14:paraId="211292E2">
      <w:pPr>
        <w:pStyle w:val="2"/>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扎实抓好《条例》和《办法》宣传贯彻。我办以《中国共产党机构编制工作条例》为抓手，深入学习《四川省贯彻〈中国共产党机构编制工作条例〉实施办法》《“三定”规定制定和实施办法》《机构编制监督检查工作办法》，从自身学到带动身边学再到宣传倡导全区学，逐步传导加大机构编制条例宣传工作，通过会前学、文件学、线上学、答题学等多种形式将机构编制工作的重要性、严肃性、权威性传达到全区各级党员干部心中，真正做到学有所思，学有所用，让每一名党员领导干部知道机构编制工作的红线，为我区机构编制工作的普及性、规范性、有效性营造出浓厚的氛围。将《条例》和《实施办法》纳入七届区委第137次和157次常委</w:t>
      </w:r>
      <w:r>
        <w:rPr>
          <w:rFonts w:hint="eastAsia" w:ascii="Times New Roman" w:cs="Times New Roman"/>
          <w:color w:val="auto"/>
          <w:sz w:val="32"/>
          <w:szCs w:val="32"/>
          <w:lang w:val="en-US" w:eastAsia="zh-CN"/>
        </w:rPr>
        <w:t>会</w:t>
      </w:r>
      <w:r>
        <w:rPr>
          <w:rFonts w:hint="default" w:ascii="Times New Roman" w:hAnsi="Times New Roman" w:eastAsia="仿宋_GB2312" w:cs="Times New Roman"/>
          <w:color w:val="auto"/>
          <w:sz w:val="32"/>
          <w:szCs w:val="32"/>
          <w:lang w:val="en-US" w:eastAsia="zh-CN"/>
        </w:rPr>
        <w:t>会议、区委编委会及2020年区委党校干部培训内容。充分运用昭化组工微信公众号、政府门户网站等平台学习宣传《条例》和《实施办法》，组织全区机关事业单位近600余人参与《条例》《实施办法》线上知识竞赛活动，不断扩大宣传</w:t>
      </w:r>
      <w:r>
        <w:rPr>
          <w:rFonts w:hint="default" w:ascii="Times New Roman" w:hAnsi="Times New Roman" w:eastAsia="仿宋_GB2312" w:cs="Times New Roman"/>
          <w:color w:val="auto"/>
          <w:sz w:val="32"/>
          <w:szCs w:val="32"/>
        </w:rPr>
        <w:t>覆盖面和政策知晓率，营造浓厚的舆论氛围。</w:t>
      </w:r>
    </w:p>
    <w:p w14:paraId="7AF47B74">
      <w:pPr>
        <w:pStyle w:val="2"/>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加强机</w:t>
      </w:r>
      <w:r>
        <w:rPr>
          <w:rFonts w:hint="default" w:ascii="Times New Roman" w:hAnsi="Times New Roman" w:eastAsia="仿宋_GB2312" w:cs="Times New Roman"/>
          <w:color w:val="auto"/>
          <w:sz w:val="32"/>
          <w:szCs w:val="32"/>
        </w:rPr>
        <w:t>构编制管理刚性约束。健全了机构编制违规违纪台账管理制度、领导职数管理台账制度，对全区机关事业单位机构编制违规违纪行为、副科级以上领导职数实行台账制管理。完成了省委选人用人专项巡视反馈的机构编制问题的整改落实。将机构编制执行情况纳入党委巡察和党政主要领导干部经济责任审计。开展了超审批权限设置机构等三类重点问题监督检查，对区纪委监委领导职数表述不规范、工会主席职数设置未上下对应等问题进行了全方位的整改落实，并举一反三自查自纠整改了区征收中心超核的股级职数1名</w:t>
      </w:r>
      <w:r>
        <w:rPr>
          <w:rFonts w:hint="default" w:ascii="Times New Roman" w:hAnsi="Times New Roman" w:eastAsia="仿宋_GB2312" w:cs="Times New Roman"/>
          <w:color w:val="auto"/>
          <w:sz w:val="32"/>
          <w:szCs w:val="32"/>
          <w:lang w:eastAsia="zh-CN"/>
        </w:rPr>
        <w:t>。</w:t>
      </w:r>
      <w:r>
        <w:rPr>
          <w:rFonts w:hint="eastAsia" w:ascii="Times New Roman" w:cs="Times New Roman"/>
          <w:color w:val="auto"/>
          <w:sz w:val="32"/>
          <w:szCs w:val="32"/>
          <w:lang w:val="en-US" w:eastAsia="zh-CN"/>
        </w:rPr>
        <w:t>截至目前</w:t>
      </w:r>
      <w:r>
        <w:rPr>
          <w:rFonts w:hint="default" w:ascii="Times New Roman" w:hAnsi="Times New Roman" w:eastAsia="仿宋_GB2312" w:cs="Times New Roman"/>
          <w:color w:val="auto"/>
          <w:sz w:val="32"/>
          <w:szCs w:val="32"/>
          <w:lang w:val="en-US" w:eastAsia="zh-CN"/>
        </w:rPr>
        <w:t>，除人大政协委室及专委会设置、</w:t>
      </w:r>
      <w:r>
        <w:rPr>
          <w:rFonts w:hint="default" w:ascii="Times New Roman" w:hAnsi="Times New Roman" w:eastAsia="仿宋_GB2312" w:cs="Times New Roman"/>
          <w:color w:val="auto"/>
          <w:sz w:val="32"/>
          <w:szCs w:val="32"/>
        </w:rPr>
        <w:t>1个暂缓整改事项和1个经核实反馈不实事项外，</w:t>
      </w:r>
      <w:r>
        <w:rPr>
          <w:rFonts w:hint="default" w:ascii="Times New Roman" w:hAnsi="Times New Roman" w:eastAsia="仿宋_GB2312" w:cs="Times New Roman"/>
          <w:color w:val="auto"/>
          <w:sz w:val="32"/>
          <w:szCs w:val="32"/>
          <w:lang w:val="en-US" w:eastAsia="zh-CN"/>
        </w:rPr>
        <w:t>在全市县区中率先完成</w:t>
      </w:r>
      <w:r>
        <w:rPr>
          <w:rFonts w:hint="default" w:ascii="Times New Roman" w:hAnsi="Times New Roman" w:eastAsia="仿宋_GB2312" w:cs="Times New Roman"/>
          <w:color w:val="auto"/>
          <w:sz w:val="32"/>
          <w:szCs w:val="32"/>
        </w:rPr>
        <w:t>相关反馈和举一反三问题整改。</w:t>
      </w:r>
      <w:r>
        <w:rPr>
          <w:rFonts w:hint="eastAsia" w:ascii="Times New Roman" w:hAnsi="Times New Roman"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rPr>
        <w:t>四川省广元市昭化区以&lt;条例&gt;&lt;办法&gt;为遵循扎实推进机构编制监督检查</w:t>
      </w:r>
      <w:r>
        <w:rPr>
          <w:rFonts w:hint="eastAsia" w:ascii="Times New Roman" w:hAnsi="Times New Roman" w:eastAsia="仿宋_GB2312"/>
          <w:color w:val="auto"/>
          <w:sz w:val="32"/>
          <w:szCs w:val="32"/>
          <w:highlight w:val="none"/>
          <w:lang w:val="en-US" w:eastAsia="zh-CN"/>
        </w:rPr>
        <w:t>》被</w:t>
      </w:r>
      <w:r>
        <w:rPr>
          <w:rFonts w:hint="eastAsia" w:ascii="Times New Roman" w:hAnsi="Times New Roman" w:eastAsia="仿宋_GB2312"/>
          <w:color w:val="auto"/>
          <w:sz w:val="32"/>
          <w:szCs w:val="32"/>
          <w:highlight w:val="none"/>
        </w:rPr>
        <w:t>中编办网站刊载。</w:t>
      </w:r>
    </w:p>
    <w:p w14:paraId="33719B28">
      <w:pPr>
        <w:pStyle w:val="2"/>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加强机构编制实名制管理。一是健全完善实名制系统。全面清理系统缺失文件，上传60余个机构编制文件，保障机关事业单位机构编制文件完整性、可靠性、连续性。</w:t>
      </w:r>
      <w:r>
        <w:rPr>
          <w:rFonts w:hint="default" w:ascii="Times New Roman" w:hAnsi="Times New Roman" w:eastAsia="仿宋_GB2312" w:cs="Times New Roman"/>
          <w:color w:val="auto"/>
          <w:sz w:val="32"/>
          <w:szCs w:val="32"/>
          <w:lang w:val="en-US" w:eastAsia="zh-CN"/>
        </w:rPr>
        <w:t>健全完善</w:t>
      </w:r>
      <w:r>
        <w:rPr>
          <w:rFonts w:hint="default" w:ascii="Times New Roman" w:hAnsi="Times New Roman" w:eastAsia="仿宋_GB2312" w:cs="Times New Roman"/>
          <w:color w:val="auto"/>
          <w:sz w:val="32"/>
          <w:szCs w:val="32"/>
        </w:rPr>
        <w:t>全区机关事业单位人员台账。二是及时完善更新了系统内机构编制人员调整信息，2020年共办理行政人员上下编共计140余次，办理事业人员上下编制</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0余次。完成29个乡镇街道调整为12个镇的机构整合、撤销和人员的划转，共计划转行政人员270余人、事业人员370余人、机关工勤人员40余人。以实名制系统为基础完成了机关事业单位养老保险参保审核、实名制月报在线报送以及机构编制专项统计等工作。</w:t>
      </w:r>
    </w:p>
    <w:p w14:paraId="34EF701B">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持续推进“三定”规定运行评估。以部门“三定”规定为依据，以促进机构职能优化协同高效为目标，以部门职能运行为重点，通过部门自评、互评、实地调研的方式全面评估区级机关落实区委区政府工作部署、依法履职尽责、优化运行流程等情况，及时将区森林公安、应急</w:t>
      </w:r>
      <w:r>
        <w:rPr>
          <w:rFonts w:hint="default" w:ascii="Times New Roman" w:hAnsi="Times New Roman" w:eastAsia="仿宋_GB2312" w:cs="Times New Roman"/>
          <w:color w:val="auto"/>
          <w:sz w:val="32"/>
          <w:szCs w:val="32"/>
          <w:lang w:val="en-US" w:eastAsia="zh-CN"/>
        </w:rPr>
        <w:t>和自然灾害</w:t>
      </w:r>
      <w:r>
        <w:rPr>
          <w:rFonts w:hint="default" w:ascii="Times New Roman" w:hAnsi="Times New Roman" w:eastAsia="仿宋_GB2312" w:cs="Times New Roman"/>
          <w:color w:val="auto"/>
          <w:sz w:val="32"/>
          <w:szCs w:val="32"/>
        </w:rPr>
        <w:t>管理、编外人员管理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派驻（出）纪检监察体制</w:t>
      </w:r>
      <w:r>
        <w:rPr>
          <w:rFonts w:hint="default" w:ascii="Times New Roman" w:hAnsi="Times New Roman" w:eastAsia="仿宋_GB2312" w:cs="Times New Roman"/>
          <w:color w:val="auto"/>
          <w:sz w:val="32"/>
          <w:szCs w:val="32"/>
        </w:rPr>
        <w:t>等职能职责调整和明确到位，并提出</w:t>
      </w:r>
      <w:r>
        <w:rPr>
          <w:rFonts w:hint="default" w:ascii="Times New Roman" w:hAnsi="Times New Roman" w:eastAsia="仿宋_GB2312" w:cs="Times New Roman"/>
          <w:color w:val="auto"/>
          <w:sz w:val="32"/>
          <w:szCs w:val="32"/>
          <w:lang w:val="en-US" w:eastAsia="zh-CN"/>
        </w:rPr>
        <w:t>后续</w:t>
      </w:r>
      <w:r>
        <w:rPr>
          <w:rFonts w:hint="default" w:ascii="Times New Roman" w:hAnsi="Times New Roman" w:eastAsia="仿宋_GB2312" w:cs="Times New Roman"/>
          <w:color w:val="auto"/>
          <w:sz w:val="32"/>
          <w:szCs w:val="32"/>
        </w:rPr>
        <w:t>调整完善建议10余条，拟提交区委编委会审议。</w:t>
      </w:r>
    </w:p>
    <w:p w14:paraId="2626C04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持续做好事业单位登记管理工作。</w:t>
      </w:r>
      <w:r>
        <w:rPr>
          <w:rFonts w:hint="default" w:ascii="Times New Roman" w:hAnsi="Times New Roman" w:eastAsia="仿宋_GB2312" w:cs="Times New Roman"/>
          <w:color w:val="auto"/>
          <w:sz w:val="32"/>
          <w:szCs w:val="32"/>
          <w:lang w:val="en-US" w:eastAsia="zh-CN"/>
        </w:rPr>
        <w:t>一是坚定不移服务中心大局，平稳有序推进机关事业单位改革登记服务。紧密跟进党政机构改革、乡镇行政区划调整、综合行政执法、事业单位改革进程，统筹做好涉改党政机关统一社会信用代码赋码颁（换）证和涉改事业单位登记管理工作。2020年全区登记机关群团单位总数为34个，变更登记10个、注销登记26个、法人证书补领1个。全区登记事业单位总数为182个，新增登记2个、变更登记26个、注销登记115个，确保了新老机构接替及时到位和改革期间颁(换)证工作平稳有序进行。二是全面更新中文域名和网站标识，实现“两个全覆盖”。依托网上名称注册管理系统，对涉改单位注册的中文域名、到期时间等进行清理和规范，累计删除已注销机关事业单位域名239个，新增87个，变更81个，对清理后的340个事业单位全部续费，中文域名和网站挂标覆盖率均达100%。三是加强监督管理，提高事业单位公益服务能力。在规定期限内，全面完成249个事业单位法人年度报告工作，公示率达100%。积极推进事业单位信用积分制管理试点工作，对试点的10个事业单位进行综合评定，共评定A级事业单位1个，B级事业单位9个。持续开展事业单位绩效评估工作。通过听取情况汇报、查阅相关资料、组织干部群众测评、实地检查察看等形式，对5个事业单位开展绩效评估工作，确定了评估等级。按照“双随机、一公开”监管全覆盖、常态化的要求，采取交叉抽查的方式，对6个事业单位进行核查，并将抽查情况记入事业单位法人登记档案。组织10名事业单位新任法定代表人参加了全市新任法定代表人和举办单位人事部门负责人培训班。</w:t>
      </w:r>
    </w:p>
    <w:p w14:paraId="462C3DF0">
      <w:pPr>
        <w:pStyle w:val="2"/>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en-US" w:eastAsia="zh-CN"/>
        </w:rPr>
        <w:t>以五个机关建设为抓手，持续加强机构编制队伍建设</w:t>
      </w:r>
    </w:p>
    <w:p w14:paraId="3F98CEF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扎实推进政治机关建设。坚持以政治建设为统领，抓好政治建办、能力立办、作风强办、从严治办，抓好党章党规的学习贯彻。进一步强化“组织口”意识，对标“组织口”标准，培育“组织口”作风。</w:t>
      </w:r>
      <w:r>
        <w:rPr>
          <w:rFonts w:hint="default" w:ascii="Times New Roman" w:hAnsi="Times New Roman" w:eastAsia="仿宋_GB2312" w:cs="Times New Roman"/>
          <w:color w:val="auto"/>
          <w:sz w:val="32"/>
          <w:szCs w:val="32"/>
          <w:lang w:val="en-US" w:eastAsia="zh-CN"/>
        </w:rPr>
        <w:t>及时组织召开理论学习会，</w:t>
      </w:r>
      <w:r>
        <w:rPr>
          <w:rFonts w:hint="default" w:ascii="Times New Roman" w:hAnsi="Times New Roman" w:eastAsia="仿宋_GB2312" w:cs="Times New Roman"/>
          <w:color w:val="auto"/>
          <w:sz w:val="32"/>
          <w:szCs w:val="32"/>
        </w:rPr>
        <w:t>集中学习了习近平总书记在中央编委第一次会议上的讲话、十九届四中、五中全会等相关会议精神。持续加强干部职工理想信念和党性教育。组织全体党员到元坝镇党史陈列馆开展社会主义建设史专题教育，培育干部职工知史爱党、知史爱国的意识。结合主题党日活动，组织全体</w:t>
      </w:r>
      <w:r>
        <w:rPr>
          <w:rFonts w:hint="default" w:ascii="Times New Roman" w:hAnsi="Times New Roman" w:eastAsia="仿宋_GB2312" w:cs="Times New Roman"/>
          <w:color w:val="auto"/>
          <w:sz w:val="32"/>
          <w:szCs w:val="32"/>
          <w:lang w:val="en-US" w:eastAsia="zh-CN"/>
        </w:rPr>
        <w:t>党员</w:t>
      </w:r>
      <w:r>
        <w:rPr>
          <w:rFonts w:hint="default" w:ascii="Times New Roman" w:hAnsi="Times New Roman" w:eastAsia="仿宋_GB2312" w:cs="Times New Roman"/>
          <w:color w:val="auto"/>
          <w:sz w:val="32"/>
          <w:szCs w:val="32"/>
        </w:rPr>
        <w:t>面向党旗庄严宣誓1次。经常性开展干部职工政治体检。年内</w:t>
      </w:r>
      <w:r>
        <w:rPr>
          <w:rFonts w:hint="default" w:ascii="Times New Roman" w:hAnsi="Times New Roman" w:eastAsia="仿宋_GB2312" w:cs="Times New Roman"/>
          <w:color w:val="auto"/>
          <w:sz w:val="32"/>
          <w:szCs w:val="32"/>
          <w:lang w:val="en-US" w:eastAsia="zh-CN"/>
        </w:rPr>
        <w:t>全覆盖</w:t>
      </w:r>
      <w:r>
        <w:rPr>
          <w:rFonts w:hint="default" w:ascii="Times New Roman" w:hAnsi="Times New Roman" w:eastAsia="仿宋_GB2312" w:cs="Times New Roman"/>
          <w:color w:val="auto"/>
          <w:sz w:val="32"/>
          <w:szCs w:val="32"/>
        </w:rPr>
        <w:t>开展干部职工谈心谈话2次，开展了干部职工述职述责述廉。年内召开大额资金采购、先进推荐等“三重一大”事项</w:t>
      </w:r>
      <w:r>
        <w:rPr>
          <w:rFonts w:hint="default" w:ascii="Times New Roman" w:hAnsi="Times New Roman" w:eastAsia="仿宋_GB2312" w:cs="Times New Roman"/>
          <w:color w:val="auto"/>
          <w:sz w:val="32"/>
          <w:szCs w:val="32"/>
          <w:lang w:val="en-US" w:eastAsia="zh-CN"/>
        </w:rPr>
        <w:t>会议</w:t>
      </w:r>
      <w:r>
        <w:rPr>
          <w:rFonts w:hint="default" w:ascii="Times New Roman" w:hAnsi="Times New Roman" w:eastAsia="仿宋_GB2312" w:cs="Times New Roman"/>
          <w:color w:val="auto"/>
          <w:sz w:val="32"/>
          <w:szCs w:val="32"/>
        </w:rPr>
        <w:t>11次，召开专题学习会议十余次，有效提升了全办干部职工的政治意识。</w:t>
      </w:r>
    </w:p>
    <w:p w14:paraId="774EF41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扎实推进专业机关建设。</w:t>
      </w:r>
      <w:r>
        <w:rPr>
          <w:rFonts w:hint="default" w:ascii="Times New Roman" w:hAnsi="Times New Roman" w:eastAsia="仿宋_GB2312" w:cs="Times New Roman"/>
          <w:color w:val="auto"/>
          <w:sz w:val="32"/>
          <w:szCs w:val="32"/>
          <w:lang w:val="en-US" w:eastAsia="zh-CN"/>
        </w:rPr>
        <w:t>认真履行法定职责，筹备召开区委编委会4次，提请审议议题48个。</w:t>
      </w:r>
      <w:r>
        <w:rPr>
          <w:rFonts w:hint="default" w:ascii="Times New Roman" w:hAnsi="Times New Roman" w:eastAsia="仿宋_GB2312" w:cs="Times New Roman"/>
          <w:color w:val="auto"/>
          <w:sz w:val="32"/>
          <w:szCs w:val="32"/>
        </w:rPr>
        <w:t>制定了《区委编办干部行为“十条规范”》等15项制度，逐渐形成按制度管事、用制度管人的良好氛围。从政治思想、组织体系、组织生活等七个方面重点推进党组织标准化规范化建设。按规定完成了支部届中选举。每季度定期开展讲党课活动，开展“主题党日”活动</w:t>
      </w:r>
      <w:r>
        <w:rPr>
          <w:rFonts w:hint="default" w:ascii="Times New Roman" w:hAnsi="Times New Roman" w:eastAsia="仿宋_GB2312" w:cs="Times New Roman"/>
          <w:color w:val="auto"/>
          <w:sz w:val="32"/>
          <w:szCs w:val="32"/>
          <w:lang w:val="en-US" w:eastAsia="zh-CN"/>
        </w:rPr>
        <w:t>5次</w:t>
      </w:r>
      <w:r>
        <w:rPr>
          <w:rFonts w:hint="default" w:ascii="Times New Roman" w:hAnsi="Times New Roman" w:eastAsia="仿宋_GB2312" w:cs="Times New Roman"/>
          <w:color w:val="auto"/>
          <w:sz w:val="32"/>
          <w:szCs w:val="32"/>
        </w:rPr>
        <w:t>，按期缴纳了党员党费并做好登记管理。大兴调查研究之风，年内开展了机构编制监督检查、编外人员管理、事业单位登记管理等专项调研3次，并形成调研成果向市委编办报告。制定了全办《2020年度工作责任清单》，建立完善</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内部目标绩效考核制度。</w:t>
      </w:r>
    </w:p>
    <w:p w14:paraId="377F6DE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扎实推进高效机关建设。坚持把能力建设贯穿始终，持续开展创先争优活动，我办被区委表彰为2019年度目标绩效考核先进单位、2019年度驻村帮扶先进单位、</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019年度政法目标考核先进单位，被市委表彰为拥军优属先进单位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被市事登局表彰为信息报送先进单位</w:t>
      </w:r>
      <w:r>
        <w:rPr>
          <w:rFonts w:hint="default" w:ascii="Times New Roman" w:hAnsi="Times New Roman" w:eastAsia="仿宋_GB2312" w:cs="Times New Roman"/>
          <w:color w:val="auto"/>
          <w:sz w:val="32"/>
          <w:szCs w:val="32"/>
        </w:rPr>
        <w:t>，一名同志被市委表彰为拥军优属先进个人，一名干部被市委表彰为优秀驻村工作队员，一名干部被表彰为昭化区疫情防控表现突出的共产党员。年内组织干部职工7</w:t>
      </w:r>
      <w:r>
        <w:rPr>
          <w:rFonts w:hint="default"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color w:val="auto"/>
          <w:sz w:val="32"/>
          <w:szCs w:val="32"/>
        </w:rPr>
        <w:t>次到浙江大学、井冈山等地开展党务干部能力提升等培训。继续派驻第一书记及驻村工作队扎实开展脱贫攻坚工作，到帮扶村宣讲</w:t>
      </w:r>
      <w:r>
        <w:rPr>
          <w:rFonts w:hint="eastAsia" w:eastAsia="仿宋_GB2312" w:cs="Times New Roman"/>
          <w:color w:val="auto"/>
          <w:sz w:val="32"/>
          <w:szCs w:val="32"/>
          <w:lang w:val="en-US" w:eastAsia="zh-CN"/>
        </w:rPr>
        <w:t>党的</w:t>
      </w:r>
      <w:r>
        <w:rPr>
          <w:rFonts w:hint="default" w:ascii="Times New Roman" w:hAnsi="Times New Roman" w:eastAsia="仿宋_GB2312" w:cs="Times New Roman"/>
          <w:color w:val="auto"/>
          <w:sz w:val="32"/>
          <w:szCs w:val="32"/>
        </w:rPr>
        <w:t>十九届四中全会精神等3次。针对部分贫困户因病生活困难，我办及时衔接民政等部门落实了救助措施，</w:t>
      </w:r>
      <w:bookmarkStart w:id="96" w:name="_GoBack"/>
      <w:bookmarkEnd w:id="96"/>
      <w:r>
        <w:rPr>
          <w:rFonts w:hint="default" w:ascii="Times New Roman" w:hAnsi="Times New Roman" w:eastAsia="仿宋_GB2312" w:cs="Times New Roman"/>
          <w:color w:val="auto"/>
          <w:sz w:val="32"/>
          <w:szCs w:val="32"/>
        </w:rPr>
        <w:t>防止返贫。今年8月，石庙村高质量通过了脱贫攻坚普查验收。</w:t>
      </w:r>
    </w:p>
    <w:p w14:paraId="1825E8B0">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扎实推进服务机关建设。疫情期间</w:t>
      </w:r>
      <w:r>
        <w:rPr>
          <w:rFonts w:hint="default" w:ascii="Times New Roman" w:hAnsi="Times New Roman" w:eastAsia="仿宋_GB2312" w:cs="Times New Roman"/>
          <w:color w:val="auto"/>
          <w:sz w:val="32"/>
          <w:szCs w:val="32"/>
          <w:lang w:val="en-US" w:eastAsia="zh-CN"/>
        </w:rPr>
        <w:t>分批次参与疫情防控值守。</w:t>
      </w:r>
      <w:r>
        <w:rPr>
          <w:rFonts w:hint="default" w:ascii="Times New Roman" w:hAnsi="Times New Roman" w:eastAsia="仿宋_GB2312" w:cs="Times New Roman"/>
          <w:color w:val="auto"/>
          <w:sz w:val="32"/>
          <w:szCs w:val="32"/>
        </w:rPr>
        <w:t>实施机关事业单位登记“不见面”审批，有效提升了办事服务效率。凡上下编业务实行一次性告知、一次性办结。印发了《2020年度信息工作目标任务》和《2020年度信息采用计分标准及结果运用》，明确全办干部职工信息宣传任务，年内向各级部门及媒体上报工作信息40余条，撰写网评文章10余篇。制定《区委编办中心组理论学习制度》，把意识形态工作入重要议事日程。专题会议安排部署2020年意识形态工作，并结合思想工作实际抓好2020年度理论学习，年内组织开展了6次中心组理论学习。同时督促党员干部利用学习强国平台开展自主学习。</w:t>
      </w:r>
    </w:p>
    <w:p w14:paraId="0C2BE06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扎实推进廉洁机关建设。</w:t>
      </w:r>
      <w:r>
        <w:rPr>
          <w:rFonts w:hint="default" w:ascii="Times New Roman" w:hAnsi="Times New Roman" w:eastAsia="仿宋_GB2312" w:cs="Times New Roman"/>
          <w:color w:val="auto"/>
          <w:sz w:val="32"/>
          <w:szCs w:val="32"/>
        </w:rPr>
        <w:t>印发了《区委编办2020年全面从严治党主体责任清单》和《区委编办（岗位）权力风险防控清单》，坚决贯彻落实上级党组织关于党风廉政建设的部署要求。</w:t>
      </w:r>
      <w:r>
        <w:rPr>
          <w:rFonts w:hint="default" w:ascii="Times New Roman" w:hAnsi="Times New Roman" w:eastAsia="仿宋_GB2312" w:cs="Times New Roman"/>
          <w:color w:val="auto"/>
          <w:sz w:val="32"/>
          <w:szCs w:val="32"/>
          <w:lang w:val="en-US" w:eastAsia="zh-CN"/>
        </w:rPr>
        <w:t>深入贯彻实施</w:t>
      </w:r>
      <w:r>
        <w:rPr>
          <w:rFonts w:hint="default" w:ascii="Times New Roman" w:hAnsi="Times New Roman" w:eastAsia="仿宋_GB2312" w:cs="Times New Roman"/>
          <w:sz w:val="32"/>
          <w:szCs w:val="32"/>
        </w:rPr>
        <w:t>4321精准监督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制发了《昭化区委编办履行全面从严治党主体责任台账》，领导班子及成员通过台账式管理定期研究落实责任事项，推动党风廉政建设制度化、常态化。</w:t>
      </w:r>
      <w:r>
        <w:rPr>
          <w:rFonts w:hint="default" w:ascii="Times New Roman" w:hAnsi="Times New Roman" w:eastAsia="仿宋_GB2312" w:cs="Times New Roman"/>
          <w:color w:val="auto"/>
          <w:sz w:val="32"/>
          <w:szCs w:val="32"/>
        </w:rPr>
        <w:t>组织干部职工观看《面具人生—广元市城乡规划局专职副局长张彬案》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越界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等警示教育片，及时通报反腐败典型案例等方式进行反面典型警示教育，及时提醒，常敲警钟。</w:t>
      </w:r>
      <w:r>
        <w:rPr>
          <w:rFonts w:hint="default" w:ascii="Times New Roman" w:hAnsi="Times New Roman" w:eastAsia="仿宋_GB2312" w:cs="Times New Roman"/>
          <w:b w:val="0"/>
          <w:bCs w:val="0"/>
          <w:color w:val="auto"/>
          <w:sz w:val="32"/>
          <w:szCs w:val="32"/>
          <w:highlight w:val="none"/>
          <w:lang w:val="en-US" w:eastAsia="zh-CN"/>
        </w:rPr>
        <w:t>借助实名制系统更新之机，邀请各单位政工人事干部对我办党风廉政及行政效能进行社会测评，经过测评结果统计，参评人员对我办行政效能及党风廉政建设均达到满意等次。</w:t>
      </w:r>
    </w:p>
    <w:p w14:paraId="1EE6DF63">
      <w:pPr>
        <w:spacing w:line="560" w:lineRule="exact"/>
        <w:rPr>
          <w:rStyle w:val="22"/>
          <w:rFonts w:ascii="黑体" w:hAnsi="黑体" w:eastAsia="黑体" w:cs="黑体"/>
          <w:b w:val="0"/>
          <w:bCs w:val="0"/>
        </w:rPr>
      </w:pPr>
      <w:r>
        <w:rPr>
          <w:rFonts w:hint="eastAsia" w:ascii="黑体" w:hAnsi="黑体" w:eastAsia="黑体" w:cs="黑体"/>
          <w:color w:val="000000"/>
          <w:sz w:val="32"/>
          <w:szCs w:val="32"/>
        </w:rPr>
        <w:t>二、机</w:t>
      </w:r>
      <w:r>
        <w:rPr>
          <w:rStyle w:val="22"/>
          <w:rFonts w:hint="eastAsia" w:ascii="黑体" w:hAnsi="黑体" w:eastAsia="黑体" w:cs="黑体"/>
          <w:b w:val="0"/>
          <w:bCs w:val="0"/>
        </w:rPr>
        <w:t>构设置</w:t>
      </w:r>
    </w:p>
    <w:p w14:paraId="71B8A909">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区委编办下属事业单位2个，其中参照公务员法管理的事业单位1个，其他事业单位1个。</w:t>
      </w:r>
    </w:p>
    <w:p w14:paraId="09283F53">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纳入区委编办20</w:t>
      </w:r>
      <w:r>
        <w:rPr>
          <w:rFonts w:hint="eastAsia"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rPr>
        <w:t>年度部门决算编制范围的二级预算单位没有。</w:t>
      </w:r>
    </w:p>
    <w:p w14:paraId="2B5825CD">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rPr>
      </w:pPr>
    </w:p>
    <w:p w14:paraId="5DA08B6A">
      <w:r>
        <w:br w:type="page"/>
      </w:r>
    </w:p>
    <w:p w14:paraId="6B5241A4">
      <w:pPr>
        <w:pStyle w:val="10"/>
      </w:pPr>
    </w:p>
    <w:p w14:paraId="5EEED232">
      <w:pPr>
        <w:pStyle w:val="3"/>
        <w:ind w:right="440"/>
        <w:jc w:val="right"/>
        <w:rPr>
          <w:rStyle w:val="15"/>
          <w:rFonts w:ascii="黑体" w:hAnsi="黑体" w:eastAsia="黑体"/>
          <w:b w:val="0"/>
          <w:bCs w:val="0"/>
        </w:rPr>
      </w:pPr>
      <w:bookmarkStart w:id="18" w:name="_Toc15377204"/>
      <w:bookmarkStart w:id="19" w:name="_Toc15396602"/>
      <w:r>
        <w:rPr>
          <w:rFonts w:hint="eastAsia" w:ascii="黑体" w:hAnsi="黑体" w:eastAsia="黑体"/>
          <w:b w:val="0"/>
          <w:color w:val="000000"/>
        </w:rPr>
        <w:t>第二部分</w:t>
      </w:r>
      <w:r>
        <w:rPr>
          <w:rFonts w:ascii="黑体" w:hAnsi="黑体" w:eastAsia="黑体"/>
          <w:color w:val="000000"/>
        </w:rPr>
        <w:t xml:space="preserve"> </w:t>
      </w:r>
      <w:r>
        <w:rPr>
          <w:rStyle w:val="15"/>
          <w:rFonts w:ascii="黑体" w:hAnsi="黑体" w:eastAsia="黑体"/>
          <w:b w:val="0"/>
          <w:bCs w:val="0"/>
        </w:rPr>
        <w:t>2020</w:t>
      </w:r>
      <w:r>
        <w:rPr>
          <w:rStyle w:val="15"/>
          <w:rFonts w:hint="eastAsia" w:ascii="黑体" w:hAnsi="黑体" w:eastAsia="黑体"/>
          <w:b w:val="0"/>
          <w:bCs w:val="0"/>
        </w:rPr>
        <w:t>年度部门决算情况说明</w:t>
      </w:r>
      <w:bookmarkEnd w:id="18"/>
      <w:bookmarkEnd w:id="19"/>
    </w:p>
    <w:p w14:paraId="2485C4E1">
      <w:pPr>
        <w:pStyle w:val="16"/>
        <w:numPr>
          <w:ilvl w:val="0"/>
          <w:numId w:val="1"/>
        </w:numPr>
        <w:spacing w:line="600" w:lineRule="exact"/>
        <w:ind w:firstLineChars="0"/>
        <w:outlineLvl w:val="1"/>
        <w:rPr>
          <w:rStyle w:val="14"/>
          <w:rFonts w:ascii="黑体" w:hAnsi="黑体" w:eastAsia="黑体"/>
          <w:b w:val="0"/>
          <w:bCs w:val="0"/>
        </w:rPr>
      </w:pPr>
      <w:bookmarkStart w:id="20" w:name="_Toc15377205"/>
      <w:bookmarkStart w:id="21" w:name="_Toc72671116"/>
      <w:bookmarkStart w:id="22" w:name="_Toc15396603"/>
      <w:r>
        <w:rPr>
          <w:rFonts w:hint="eastAsia" w:ascii="黑体" w:hAnsi="黑体" w:eastAsia="黑体"/>
          <w:color w:val="000000"/>
          <w:sz w:val="32"/>
          <w:szCs w:val="32"/>
        </w:rPr>
        <w:t>收</w:t>
      </w:r>
      <w:r>
        <w:rPr>
          <w:rStyle w:val="14"/>
          <w:rFonts w:hint="eastAsia" w:ascii="黑体" w:hAnsi="黑体" w:eastAsia="黑体"/>
          <w:b w:val="0"/>
          <w:bCs w:val="0"/>
        </w:rPr>
        <w:t>入支出决算总体情况说明</w:t>
      </w:r>
      <w:bookmarkEnd w:id="20"/>
      <w:bookmarkEnd w:id="21"/>
      <w:bookmarkEnd w:id="22"/>
    </w:p>
    <w:p w14:paraId="110C19FD">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2020年全年收入合计204.65万元，全年支出总计206.67万元。与2019年相比，收入增加55.63万元，增长37.3%，支出增加59.67万元，增长40.1%。主要变动原因是人员调入新增及人员正常工资晋薪级、职务晋升调资；</w:t>
      </w:r>
      <w:bookmarkStart w:id="23" w:name="_Toc15377206"/>
      <w:bookmarkStart w:id="24" w:name="_Toc15396604"/>
      <w:bookmarkStart w:id="25" w:name="_Toc72671117"/>
    </w:p>
    <w:p w14:paraId="3404019C">
      <w:pPr>
        <w:spacing w:line="600" w:lineRule="exact"/>
        <w:ind w:firstLine="640" w:firstLineChars="200"/>
        <w:rPr>
          <w:rStyle w:val="14"/>
          <w:rFonts w:ascii="黑体" w:hAnsi="黑体" w:eastAsia="黑体"/>
          <w:b w:val="0"/>
          <w:bCs w:val="0"/>
        </w:rPr>
      </w:pPr>
      <w:r>
        <w:rPr>
          <w:rFonts w:hint="eastAsia" w:ascii="黑体" w:hAnsi="黑体" w:eastAsia="黑体"/>
          <w:color w:val="000000"/>
          <w:sz w:val="32"/>
          <w:szCs w:val="32"/>
        </w:rPr>
        <w:t>二、收</w:t>
      </w:r>
      <w:r>
        <w:rPr>
          <w:rStyle w:val="14"/>
          <w:rFonts w:hint="eastAsia" w:ascii="黑体" w:hAnsi="黑体" w:eastAsia="黑体"/>
          <w:b w:val="0"/>
          <w:bCs w:val="0"/>
        </w:rPr>
        <w:t>入决算情况说明</w:t>
      </w:r>
      <w:bookmarkEnd w:id="23"/>
      <w:bookmarkEnd w:id="24"/>
      <w:bookmarkEnd w:id="25"/>
    </w:p>
    <w:p w14:paraId="4DD14637">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2020年本年收入合计204.65万元，其中：一般公共预算财政拨款收入204.65万元，占100%；政府性基金预算财政拨款收入0万元，占0%；国有资本经营预算财政拨款收入0万元，占0%；事业收入0万元，占0%；经营收入0万元，占0%；附属单位上缴收入0万元，占0%；其他收入0万元，占0%。</w:t>
      </w:r>
    </w:p>
    <w:p w14:paraId="4CBAE84E">
      <w:pPr>
        <w:pStyle w:val="16"/>
        <w:numPr>
          <w:ilvl w:val="0"/>
          <w:numId w:val="2"/>
        </w:numPr>
        <w:spacing w:line="600" w:lineRule="exact"/>
        <w:ind w:firstLineChars="0"/>
        <w:outlineLvl w:val="1"/>
        <w:rPr>
          <w:rStyle w:val="14"/>
          <w:rFonts w:ascii="黑体" w:hAnsi="黑体" w:eastAsia="黑体"/>
          <w:b w:val="0"/>
          <w:bCs w:val="0"/>
        </w:rPr>
      </w:pPr>
      <w:bookmarkStart w:id="26" w:name="_Toc72671118"/>
      <w:bookmarkStart w:id="27" w:name="_Toc15396605"/>
      <w:bookmarkStart w:id="28" w:name="_Toc15377207"/>
      <w:r>
        <w:rPr>
          <w:rFonts w:hint="eastAsia" w:ascii="黑体" w:hAnsi="黑体" w:eastAsia="黑体"/>
          <w:color w:val="000000"/>
          <w:sz w:val="32"/>
          <w:szCs w:val="32"/>
        </w:rPr>
        <w:t>支</w:t>
      </w:r>
      <w:r>
        <w:rPr>
          <w:rStyle w:val="14"/>
          <w:rFonts w:hint="eastAsia" w:ascii="黑体" w:hAnsi="黑体" w:eastAsia="黑体"/>
          <w:b w:val="0"/>
          <w:bCs w:val="0"/>
        </w:rPr>
        <w:t>出决算情况说明</w:t>
      </w:r>
      <w:bookmarkEnd w:id="26"/>
      <w:bookmarkEnd w:id="27"/>
      <w:bookmarkEnd w:id="28"/>
    </w:p>
    <w:p w14:paraId="213D9ADE">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bookmarkStart w:id="29" w:name="_Toc72671119"/>
      <w:r>
        <w:rPr>
          <w:rFonts w:hint="eastAsia" w:ascii="仿宋_GB2312" w:hAnsi="仿宋_GB2312" w:eastAsia="仿宋_GB2312" w:cs="仿宋_GB2312"/>
          <w:b w:val="0"/>
          <w:bCs w:val="0"/>
          <w:kern w:val="2"/>
          <w:sz w:val="32"/>
          <w:szCs w:val="32"/>
          <w:lang w:val="en-US" w:eastAsia="zh-CN" w:bidi="ar-SA"/>
        </w:rPr>
        <w:t>2020年全年支出合计206.67万元，其中：基本支出206.67万元，占100%；项目支出0万元，占0%；上缴上级支出0万元，占0%；经营支出0万元，占0%；对附属单位补助支出0万元，占0%。</w:t>
      </w:r>
      <w:bookmarkEnd w:id="29"/>
    </w:p>
    <w:p w14:paraId="43D3DC16">
      <w:pPr>
        <w:spacing w:line="600" w:lineRule="exact"/>
        <w:ind w:firstLine="640" w:firstLineChars="200"/>
        <w:outlineLvl w:val="1"/>
        <w:rPr>
          <w:rStyle w:val="14"/>
          <w:rFonts w:ascii="黑体" w:hAnsi="黑体" w:eastAsia="黑体"/>
          <w:b w:val="0"/>
          <w:bCs w:val="0"/>
        </w:rPr>
      </w:pPr>
      <w:bookmarkStart w:id="30" w:name="_Toc15396606"/>
      <w:bookmarkStart w:id="31" w:name="_Toc72671120"/>
      <w:bookmarkStart w:id="32" w:name="_Toc15377208"/>
      <w:r>
        <w:rPr>
          <w:rFonts w:hint="eastAsia" w:ascii="黑体" w:hAnsi="黑体" w:eastAsia="黑体"/>
          <w:color w:val="000000"/>
          <w:sz w:val="32"/>
          <w:szCs w:val="32"/>
        </w:rPr>
        <w:t>四、财</w:t>
      </w:r>
      <w:r>
        <w:rPr>
          <w:rStyle w:val="14"/>
          <w:rFonts w:hint="eastAsia" w:ascii="黑体" w:hAnsi="黑体" w:eastAsia="黑体"/>
          <w:b w:val="0"/>
          <w:bCs w:val="0"/>
        </w:rPr>
        <w:t>政拨款收入支出决算总体情况说明</w:t>
      </w:r>
      <w:bookmarkEnd w:id="30"/>
      <w:bookmarkEnd w:id="31"/>
      <w:bookmarkEnd w:id="32"/>
    </w:p>
    <w:p w14:paraId="7E46315A">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2020年财政拨款收、支总计204.65万元。</w:t>
      </w:r>
      <w:bookmarkStart w:id="33" w:name="_Toc15377209"/>
      <w:bookmarkStart w:id="34" w:name="_Toc15396607"/>
      <w:bookmarkStart w:id="35" w:name="_Toc72671121"/>
      <w:r>
        <w:rPr>
          <w:rFonts w:hint="eastAsia" w:ascii="仿宋_GB2312" w:hAnsi="仿宋_GB2312" w:eastAsia="仿宋_GB2312" w:cs="仿宋_GB2312"/>
          <w:b w:val="0"/>
          <w:bCs w:val="0"/>
          <w:kern w:val="2"/>
          <w:sz w:val="32"/>
          <w:szCs w:val="32"/>
          <w:lang w:val="en-US" w:eastAsia="zh-CN" w:bidi="ar-SA"/>
        </w:rPr>
        <w:t>与2019年相比，收入增加55.63万元，增长37.3%，支出增加59.67万元，增长40.1%。主要变动原因是人员调入新增及人员正常工资晋薪级、职务晋升调资。</w:t>
      </w:r>
    </w:p>
    <w:p w14:paraId="487C1F30">
      <w:pPr>
        <w:spacing w:line="600" w:lineRule="exact"/>
        <w:ind w:firstLine="640" w:firstLineChars="200"/>
        <w:rPr>
          <w:rStyle w:val="14"/>
          <w:rFonts w:ascii="黑体" w:hAnsi="黑体" w:eastAsia="黑体"/>
          <w:b w:val="0"/>
          <w:bCs w:val="0"/>
        </w:rPr>
      </w:pPr>
      <w:r>
        <w:rPr>
          <w:rFonts w:hint="eastAsia" w:ascii="黑体" w:hAnsi="黑体" w:eastAsia="黑体"/>
          <w:color w:val="000000"/>
          <w:sz w:val="32"/>
          <w:szCs w:val="32"/>
        </w:rPr>
        <w:t>五、一</w:t>
      </w:r>
      <w:r>
        <w:rPr>
          <w:rStyle w:val="14"/>
          <w:rFonts w:hint="eastAsia" w:ascii="黑体" w:hAnsi="黑体" w:eastAsia="黑体"/>
          <w:b w:val="0"/>
          <w:bCs w:val="0"/>
        </w:rPr>
        <w:t>般公共预算财政拨款支出决算情况说明</w:t>
      </w:r>
      <w:bookmarkEnd w:id="33"/>
      <w:bookmarkEnd w:id="34"/>
      <w:bookmarkEnd w:id="35"/>
    </w:p>
    <w:p w14:paraId="542D554A">
      <w:pPr>
        <w:adjustRightInd w:val="0"/>
        <w:spacing w:line="576" w:lineRule="exact"/>
        <w:ind w:firstLine="643" w:firstLineChars="200"/>
        <w:rPr>
          <w:rFonts w:hint="eastAsia" w:ascii="仿宋_GB2312" w:hAnsi="仿宋_GB2312" w:eastAsia="仿宋_GB2312" w:cs="仿宋_GB2312"/>
          <w:b w:val="0"/>
          <w:bCs w:val="0"/>
          <w:kern w:val="2"/>
          <w:sz w:val="32"/>
          <w:szCs w:val="32"/>
          <w:lang w:val="en-US" w:eastAsia="zh-CN" w:bidi="ar-SA"/>
        </w:rPr>
      </w:pPr>
      <w:bookmarkStart w:id="36" w:name="_Toc72671122"/>
      <w:bookmarkStart w:id="37" w:name="_Toc15377210"/>
      <w:r>
        <w:rPr>
          <w:rFonts w:hint="eastAsia" w:ascii="仿宋" w:hAnsi="仿宋" w:eastAsia="仿宋"/>
          <w:b/>
          <w:color w:val="000000"/>
          <w:sz w:val="32"/>
          <w:szCs w:val="32"/>
          <w:lang w:val="en-US" w:eastAsia="zh-CN"/>
        </w:rPr>
        <w:t>（一）一般公共预算财政拨款支出决算总体情况</w:t>
      </w:r>
      <w:bookmarkEnd w:id="36"/>
      <w:bookmarkEnd w:id="37"/>
    </w:p>
    <w:p w14:paraId="2F761E14">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2020年一般公共预算财政拨款支出204.65万元，占本年支出合计的100%。与2019年相比，收入增加55.63万元，增长37.3%。主要变动原因是人员调入新增及人员正常工资晋薪级、职务晋升调资。</w:t>
      </w:r>
    </w:p>
    <w:p w14:paraId="31878CEB">
      <w:pPr>
        <w:adjustRightInd w:val="0"/>
        <w:spacing w:line="576" w:lineRule="exact"/>
        <w:ind w:firstLine="643" w:firstLineChars="200"/>
        <w:rPr>
          <w:rFonts w:hint="eastAsia" w:ascii="仿宋" w:hAnsi="仿宋" w:eastAsia="仿宋"/>
          <w:b/>
          <w:color w:val="000000"/>
          <w:sz w:val="32"/>
          <w:szCs w:val="32"/>
          <w:lang w:val="en-US" w:eastAsia="zh-CN"/>
        </w:rPr>
      </w:pPr>
      <w:bookmarkStart w:id="38" w:name="_Toc15377211"/>
      <w:bookmarkStart w:id="39" w:name="_Toc72671123"/>
      <w:r>
        <w:rPr>
          <w:rFonts w:hint="eastAsia" w:ascii="仿宋" w:hAnsi="仿宋" w:eastAsia="仿宋"/>
          <w:b/>
          <w:color w:val="000000"/>
          <w:sz w:val="32"/>
          <w:szCs w:val="32"/>
          <w:lang w:val="en-US" w:eastAsia="zh-CN"/>
        </w:rPr>
        <w:t>（二）一般公共预算财政拨款支出决算结构情况</w:t>
      </w:r>
      <w:bookmarkEnd w:id="38"/>
      <w:bookmarkEnd w:id="39"/>
    </w:p>
    <w:p w14:paraId="5C619689">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2019年一般公共预算财政拨款支出206.67万元，主要用于以下方面:</w:t>
      </w:r>
      <w:r>
        <w:rPr>
          <w:rFonts w:hint="eastAsia" w:ascii="仿宋" w:hAnsi="仿宋" w:eastAsia="仿宋"/>
          <w:b/>
          <w:color w:val="000000"/>
          <w:sz w:val="32"/>
          <w:szCs w:val="32"/>
          <w:lang w:val="en-US" w:eastAsia="zh-CN"/>
        </w:rPr>
        <w:t>一般公共服务（类）</w:t>
      </w:r>
      <w:r>
        <w:rPr>
          <w:rFonts w:hint="eastAsia" w:ascii="仿宋_GB2312" w:hAnsi="仿宋_GB2312" w:eastAsia="仿宋_GB2312" w:cs="仿宋_GB2312"/>
          <w:b w:val="0"/>
          <w:bCs w:val="0"/>
          <w:kern w:val="2"/>
          <w:sz w:val="32"/>
          <w:szCs w:val="32"/>
          <w:lang w:val="en-US" w:eastAsia="zh-CN" w:bidi="ar-SA"/>
        </w:rPr>
        <w:t>支出175.57万元，占84.95%；</w:t>
      </w:r>
      <w:r>
        <w:rPr>
          <w:rFonts w:hint="eastAsia" w:ascii="仿宋" w:hAnsi="仿宋" w:eastAsia="仿宋"/>
          <w:b/>
          <w:color w:val="000000"/>
          <w:sz w:val="32"/>
          <w:szCs w:val="32"/>
          <w:lang w:val="en-US" w:eastAsia="zh-CN"/>
        </w:rPr>
        <w:t>教育支出（类）</w:t>
      </w:r>
      <w:r>
        <w:rPr>
          <w:rFonts w:hint="eastAsia" w:ascii="仿宋_GB2312" w:hAnsi="仿宋_GB2312" w:eastAsia="仿宋_GB2312" w:cs="仿宋_GB2312"/>
          <w:b w:val="0"/>
          <w:bCs w:val="0"/>
          <w:kern w:val="2"/>
          <w:sz w:val="32"/>
          <w:szCs w:val="32"/>
          <w:lang w:val="en-US" w:eastAsia="zh-CN" w:bidi="ar-SA"/>
        </w:rPr>
        <w:t>0万元，占0%；</w:t>
      </w:r>
      <w:r>
        <w:rPr>
          <w:rFonts w:hint="eastAsia" w:ascii="仿宋" w:hAnsi="仿宋" w:eastAsia="仿宋"/>
          <w:b/>
          <w:color w:val="000000"/>
          <w:sz w:val="32"/>
          <w:szCs w:val="32"/>
          <w:lang w:val="en-US" w:eastAsia="zh-CN"/>
        </w:rPr>
        <w:t>科学技术（类）</w:t>
      </w:r>
      <w:r>
        <w:rPr>
          <w:rFonts w:hint="eastAsia" w:ascii="仿宋_GB2312" w:hAnsi="仿宋_GB2312" w:eastAsia="仿宋_GB2312" w:cs="仿宋_GB2312"/>
          <w:b w:val="0"/>
          <w:bCs w:val="0"/>
          <w:kern w:val="2"/>
          <w:sz w:val="32"/>
          <w:szCs w:val="32"/>
          <w:lang w:val="en-US" w:eastAsia="zh-CN" w:bidi="ar-SA"/>
        </w:rPr>
        <w:t>支出0万元，占0%；</w:t>
      </w:r>
      <w:r>
        <w:rPr>
          <w:rFonts w:hint="eastAsia" w:ascii="仿宋" w:hAnsi="仿宋" w:eastAsia="仿宋"/>
          <w:b/>
          <w:color w:val="000000"/>
          <w:sz w:val="32"/>
          <w:szCs w:val="32"/>
          <w:lang w:val="en-US" w:eastAsia="zh-CN"/>
        </w:rPr>
        <w:t>社会保障和就业（类）</w:t>
      </w:r>
      <w:r>
        <w:rPr>
          <w:rFonts w:hint="eastAsia" w:ascii="仿宋_GB2312" w:hAnsi="仿宋_GB2312" w:eastAsia="仿宋_GB2312" w:cs="仿宋_GB2312"/>
          <w:b w:val="0"/>
          <w:bCs w:val="0"/>
          <w:kern w:val="2"/>
          <w:sz w:val="32"/>
          <w:szCs w:val="32"/>
          <w:lang w:val="en-US" w:eastAsia="zh-CN" w:bidi="ar-SA"/>
        </w:rPr>
        <w:t>支出12.13万元，占5.88%；</w:t>
      </w:r>
      <w:r>
        <w:rPr>
          <w:rFonts w:hint="eastAsia" w:ascii="仿宋" w:hAnsi="仿宋" w:eastAsia="仿宋"/>
          <w:b/>
          <w:color w:val="000000"/>
          <w:sz w:val="32"/>
          <w:szCs w:val="32"/>
          <w:lang w:val="en-US" w:eastAsia="zh-CN"/>
        </w:rPr>
        <w:t>医疗卫生（类）</w:t>
      </w:r>
      <w:r>
        <w:rPr>
          <w:rFonts w:hint="eastAsia" w:ascii="仿宋_GB2312" w:hAnsi="仿宋_GB2312" w:eastAsia="仿宋_GB2312" w:cs="仿宋_GB2312"/>
          <w:b w:val="0"/>
          <w:bCs w:val="0"/>
          <w:kern w:val="2"/>
          <w:sz w:val="32"/>
          <w:szCs w:val="32"/>
          <w:lang w:val="en-US" w:eastAsia="zh-CN" w:bidi="ar-SA"/>
        </w:rPr>
        <w:t>支出5.9万元，占2.85%；</w:t>
      </w:r>
      <w:r>
        <w:rPr>
          <w:rFonts w:hint="eastAsia" w:ascii="仿宋" w:hAnsi="仿宋" w:eastAsia="仿宋"/>
          <w:b/>
          <w:color w:val="000000"/>
          <w:sz w:val="32"/>
          <w:szCs w:val="32"/>
          <w:lang w:val="en-US" w:eastAsia="zh-CN"/>
        </w:rPr>
        <w:t>住房保障（类）</w:t>
      </w:r>
      <w:r>
        <w:rPr>
          <w:rFonts w:hint="eastAsia" w:ascii="仿宋_GB2312" w:hAnsi="仿宋_GB2312" w:eastAsia="仿宋_GB2312" w:cs="仿宋_GB2312"/>
          <w:b w:val="0"/>
          <w:bCs w:val="0"/>
          <w:kern w:val="2"/>
          <w:sz w:val="32"/>
          <w:szCs w:val="32"/>
          <w:lang w:val="en-US" w:eastAsia="zh-CN" w:bidi="ar-SA"/>
        </w:rPr>
        <w:t>支出13.06万元，占6.32%。</w:t>
      </w:r>
    </w:p>
    <w:p w14:paraId="513612E9">
      <w:pPr>
        <w:adjustRightInd w:val="0"/>
        <w:spacing w:line="576" w:lineRule="exact"/>
        <w:ind w:firstLine="643" w:firstLineChars="200"/>
        <w:rPr>
          <w:rFonts w:hint="eastAsia" w:ascii="仿宋" w:hAnsi="仿宋" w:eastAsia="仿宋"/>
          <w:b/>
          <w:color w:val="000000"/>
          <w:sz w:val="32"/>
          <w:szCs w:val="32"/>
          <w:lang w:val="en-US" w:eastAsia="zh-CN"/>
        </w:rPr>
      </w:pPr>
      <w:bookmarkStart w:id="40" w:name="_Toc15377212"/>
      <w:bookmarkStart w:id="41" w:name="_Toc72671124"/>
      <w:r>
        <w:rPr>
          <w:rFonts w:hint="eastAsia" w:ascii="仿宋" w:hAnsi="仿宋" w:eastAsia="仿宋"/>
          <w:b/>
          <w:color w:val="000000"/>
          <w:sz w:val="32"/>
          <w:szCs w:val="32"/>
          <w:lang w:val="en-US" w:eastAsia="zh-CN"/>
        </w:rPr>
        <w:t>（三）一般公共预算财政拨款支出决算具体情况</w:t>
      </w:r>
      <w:bookmarkEnd w:id="40"/>
      <w:bookmarkEnd w:id="41"/>
    </w:p>
    <w:p w14:paraId="36B04B3B">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bookmarkStart w:id="42" w:name="_Toc15377213"/>
      <w:bookmarkStart w:id="43" w:name="_Toc15378460"/>
      <w:bookmarkStart w:id="44" w:name="_Toc15377444"/>
      <w:r>
        <w:rPr>
          <w:rFonts w:hint="eastAsia" w:ascii="仿宋_GB2312" w:hAnsi="仿宋_GB2312" w:eastAsia="仿宋_GB2312" w:cs="仿宋_GB2312"/>
          <w:b w:val="0"/>
          <w:bCs w:val="0"/>
          <w:kern w:val="2"/>
          <w:sz w:val="32"/>
          <w:szCs w:val="32"/>
          <w:lang w:val="en-US" w:eastAsia="zh-CN" w:bidi="ar-SA"/>
        </w:rPr>
        <w:t>2020年般公共预算支出决算数为206.67万元，完成预算100%。其中：</w:t>
      </w:r>
      <w:bookmarkEnd w:id="42"/>
      <w:bookmarkEnd w:id="43"/>
      <w:bookmarkEnd w:id="44"/>
    </w:p>
    <w:p w14:paraId="3F887BC3">
      <w:pPr>
        <w:adjustRightInd w:val="0"/>
        <w:spacing w:line="576" w:lineRule="exact"/>
        <w:ind w:firstLine="643" w:firstLineChars="200"/>
        <w:rPr>
          <w:rFonts w:hint="eastAsia" w:ascii="仿宋_GB2312" w:hAnsi="仿宋_GB2312" w:eastAsia="仿宋_GB2312" w:cs="仿宋_GB2312"/>
          <w:b w:val="0"/>
          <w:bCs w:val="0"/>
          <w:kern w:val="2"/>
          <w:sz w:val="32"/>
          <w:szCs w:val="32"/>
          <w:lang w:val="en-US" w:eastAsia="zh-CN" w:bidi="ar-SA"/>
        </w:rPr>
      </w:pPr>
      <w:bookmarkStart w:id="45" w:name="_Toc72671125"/>
      <w:r>
        <w:rPr>
          <w:rFonts w:hint="eastAsia" w:ascii="仿宋" w:hAnsi="仿宋" w:eastAsia="仿宋"/>
          <w:b/>
          <w:color w:val="000000"/>
          <w:sz w:val="32"/>
          <w:szCs w:val="32"/>
          <w:lang w:val="en-US" w:eastAsia="zh-CN"/>
        </w:rPr>
        <w:t>1.一般公共服务（类）政府办公厅（室）及相关机构事务（款）行政运行（项）:</w:t>
      </w:r>
      <w:r>
        <w:rPr>
          <w:rFonts w:hint="eastAsia" w:ascii="仿宋_GB2312" w:hAnsi="仿宋_GB2312" w:eastAsia="仿宋_GB2312" w:cs="仿宋_GB2312"/>
          <w:b w:val="0"/>
          <w:bCs w:val="0"/>
          <w:kern w:val="2"/>
          <w:sz w:val="32"/>
          <w:szCs w:val="32"/>
          <w:lang w:val="en-US" w:eastAsia="zh-CN" w:bidi="ar-SA"/>
        </w:rPr>
        <w:t xml:space="preserve"> 支出决算为175.57万元，完成预算100%。</w:t>
      </w:r>
      <w:bookmarkEnd w:id="45"/>
    </w:p>
    <w:p w14:paraId="7C19236F">
      <w:pPr>
        <w:adjustRightInd w:val="0"/>
        <w:spacing w:line="576" w:lineRule="exact"/>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b/>
          <w:color w:val="000000"/>
          <w:sz w:val="32"/>
          <w:szCs w:val="32"/>
          <w:lang w:val="en-US" w:eastAsia="zh-CN"/>
        </w:rPr>
        <w:t>2.社会保障和就业（类）社会保障和就业支出（款）行政事业单位离退休（项）机关事业单位基本养老保险缴费支出:</w:t>
      </w:r>
      <w:r>
        <w:rPr>
          <w:rFonts w:hint="eastAsia" w:ascii="仿宋_GB2312" w:hAnsi="仿宋_GB2312" w:eastAsia="仿宋_GB2312" w:cs="仿宋_GB2312"/>
          <w:b w:val="0"/>
          <w:bCs w:val="0"/>
          <w:kern w:val="2"/>
          <w:sz w:val="32"/>
          <w:szCs w:val="32"/>
          <w:lang w:val="en-US" w:eastAsia="zh-CN" w:bidi="ar-SA"/>
        </w:rPr>
        <w:t xml:space="preserve"> 支出决算为12.13万元，完成预算100%。</w:t>
      </w:r>
    </w:p>
    <w:p w14:paraId="6F750567">
      <w:pPr>
        <w:adjustRightInd w:val="0"/>
        <w:spacing w:line="576" w:lineRule="exact"/>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b/>
          <w:color w:val="000000"/>
          <w:sz w:val="32"/>
          <w:szCs w:val="32"/>
          <w:lang w:val="en-US" w:eastAsia="zh-CN"/>
        </w:rPr>
        <w:t>3.医疗卫生与计划生育（类）医疗卫生与计划生育支出（款）行政事业单位医疗（项）行政单位医疗:</w:t>
      </w:r>
      <w:r>
        <w:rPr>
          <w:rFonts w:hint="eastAsia" w:ascii="仿宋_GB2312" w:hAnsi="仿宋_GB2312" w:eastAsia="仿宋_GB2312" w:cs="仿宋_GB2312"/>
          <w:b w:val="0"/>
          <w:bCs w:val="0"/>
          <w:kern w:val="2"/>
          <w:sz w:val="32"/>
          <w:szCs w:val="32"/>
          <w:lang w:val="en-US" w:eastAsia="zh-CN" w:bidi="ar-SA"/>
        </w:rPr>
        <w:t>支出决算为5.9万元，完成预算100%.</w:t>
      </w:r>
    </w:p>
    <w:p w14:paraId="074C82EA">
      <w:pPr>
        <w:adjustRightInd w:val="0"/>
        <w:spacing w:line="576" w:lineRule="exact"/>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b/>
          <w:color w:val="000000"/>
          <w:sz w:val="32"/>
          <w:szCs w:val="32"/>
          <w:lang w:val="en-US" w:eastAsia="zh-CN"/>
        </w:rPr>
        <w:t>4.住房保障支出（类）住房改革支出（款）住房公积金（项）:</w:t>
      </w:r>
      <w:r>
        <w:rPr>
          <w:rFonts w:hint="eastAsia" w:ascii="仿宋_GB2312" w:hAnsi="仿宋_GB2312" w:eastAsia="仿宋_GB2312" w:cs="仿宋_GB2312"/>
          <w:b w:val="0"/>
          <w:bCs w:val="0"/>
          <w:kern w:val="2"/>
          <w:sz w:val="32"/>
          <w:szCs w:val="32"/>
          <w:lang w:val="en-US" w:eastAsia="zh-CN" w:bidi="ar-SA"/>
        </w:rPr>
        <w:t>支出决算数为13.06万元，完成预算100%。</w:t>
      </w:r>
    </w:p>
    <w:p w14:paraId="4694A1E7">
      <w:pPr>
        <w:tabs>
          <w:tab w:val="right" w:pos="8306"/>
        </w:tabs>
        <w:spacing w:line="600" w:lineRule="exact"/>
        <w:ind w:firstLine="640"/>
        <w:outlineLvl w:val="1"/>
        <w:rPr>
          <w:rStyle w:val="14"/>
          <w:rFonts w:ascii="黑体" w:hAnsi="黑体" w:eastAsia="黑体"/>
          <w:b w:val="0"/>
          <w:bCs w:val="0"/>
        </w:rPr>
      </w:pPr>
      <w:bookmarkStart w:id="46" w:name="_Toc15377214"/>
      <w:bookmarkStart w:id="47" w:name="_Toc72671126"/>
      <w:bookmarkStart w:id="48" w:name="_Toc15396608"/>
      <w:r>
        <w:rPr>
          <w:rFonts w:hint="eastAsia" w:ascii="黑体" w:hAnsi="黑体" w:eastAsia="黑体"/>
          <w:color w:val="000000"/>
          <w:sz w:val="32"/>
          <w:szCs w:val="32"/>
        </w:rPr>
        <w:t>六、一</w:t>
      </w:r>
      <w:r>
        <w:rPr>
          <w:rStyle w:val="14"/>
          <w:rFonts w:hint="eastAsia" w:ascii="黑体" w:hAnsi="黑体" w:eastAsia="黑体"/>
          <w:b w:val="0"/>
          <w:bCs w:val="0"/>
        </w:rPr>
        <w:t>般公共预算财政拨款基本支出决算情况说明</w:t>
      </w:r>
      <w:bookmarkEnd w:id="46"/>
      <w:bookmarkEnd w:id="47"/>
      <w:bookmarkEnd w:id="48"/>
      <w:r>
        <w:rPr>
          <w:rStyle w:val="14"/>
          <w:rFonts w:ascii="黑体" w:hAnsi="黑体" w:eastAsia="黑体"/>
          <w:b w:val="0"/>
          <w:bCs w:val="0"/>
        </w:rPr>
        <w:tab/>
      </w:r>
    </w:p>
    <w:p w14:paraId="6C8A58C1">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2020年一般公共预算财政拨款基本支出206.67万元，其中：</w:t>
      </w:r>
    </w:p>
    <w:p w14:paraId="7EFA7D1D">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人员经费144.48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D00EFEF">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日常公用经费62.2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CCD9CC">
      <w:pPr>
        <w:spacing w:line="600" w:lineRule="exact"/>
        <w:ind w:firstLine="640"/>
        <w:outlineLvl w:val="1"/>
        <w:rPr>
          <w:rStyle w:val="14"/>
          <w:rFonts w:ascii="黑体" w:hAnsi="黑体" w:eastAsia="黑体"/>
          <w:b w:val="0"/>
          <w:bCs w:val="0"/>
        </w:rPr>
      </w:pPr>
      <w:bookmarkStart w:id="49" w:name="_Toc72671127"/>
      <w:bookmarkStart w:id="50" w:name="_Toc15396609"/>
      <w:bookmarkStart w:id="51" w:name="_Toc15377215"/>
      <w:r>
        <w:rPr>
          <w:rFonts w:hint="eastAsia" w:ascii="黑体" w:hAnsi="黑体" w:eastAsia="黑体"/>
          <w:color w:val="000000"/>
          <w:sz w:val="32"/>
          <w:szCs w:val="32"/>
        </w:rPr>
        <w:t>七、</w:t>
      </w:r>
      <w:r>
        <w:rPr>
          <w:rStyle w:val="14"/>
          <w:rFonts w:hint="eastAsia" w:ascii="黑体" w:hAnsi="黑体" w:eastAsia="黑体"/>
          <w:b w:val="0"/>
          <w:bCs w:val="0"/>
        </w:rPr>
        <w:t>“三公”经费财政拨款支出决算情况说明</w:t>
      </w:r>
      <w:bookmarkEnd w:id="49"/>
      <w:bookmarkEnd w:id="50"/>
      <w:bookmarkEnd w:id="51"/>
    </w:p>
    <w:p w14:paraId="016A6EFA">
      <w:pPr>
        <w:spacing w:line="600" w:lineRule="exact"/>
        <w:ind w:firstLine="640"/>
        <w:outlineLvl w:val="2"/>
        <w:rPr>
          <w:rFonts w:hint="eastAsia" w:ascii="仿宋" w:hAnsi="仿宋" w:eastAsia="仿宋"/>
          <w:b/>
          <w:color w:val="000000"/>
          <w:sz w:val="32"/>
          <w:szCs w:val="32"/>
          <w:lang w:val="en-US" w:eastAsia="zh-CN"/>
        </w:rPr>
      </w:pPr>
      <w:bookmarkStart w:id="52" w:name="_Toc15377216"/>
      <w:bookmarkStart w:id="53" w:name="_Toc72671128"/>
      <w:r>
        <w:rPr>
          <w:rFonts w:hint="eastAsia" w:ascii="仿宋" w:hAnsi="仿宋" w:eastAsia="仿宋"/>
          <w:b/>
          <w:color w:val="000000"/>
          <w:sz w:val="32"/>
          <w:szCs w:val="32"/>
          <w:lang w:val="en-US" w:eastAsia="zh-CN"/>
        </w:rPr>
        <w:t>（一）“三公”经费财政拨款支出决算总体情况说明</w:t>
      </w:r>
      <w:bookmarkEnd w:id="52"/>
      <w:bookmarkEnd w:id="53"/>
    </w:p>
    <w:p w14:paraId="328D6617">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2020年“三公”经费财政拨款支出决算为1.4万元，完成预算100%。决算数与预算数持平的原因是严格执行预算，厉行节约。</w:t>
      </w:r>
    </w:p>
    <w:p w14:paraId="5A4AD2B0">
      <w:pPr>
        <w:spacing w:line="600" w:lineRule="exact"/>
        <w:ind w:firstLine="640"/>
        <w:outlineLvl w:val="2"/>
        <w:rPr>
          <w:rFonts w:hint="eastAsia" w:ascii="仿宋" w:hAnsi="仿宋" w:eastAsia="仿宋"/>
          <w:b/>
          <w:color w:val="000000"/>
          <w:sz w:val="32"/>
          <w:szCs w:val="32"/>
          <w:lang w:val="en-US" w:eastAsia="zh-CN"/>
        </w:rPr>
      </w:pPr>
      <w:bookmarkStart w:id="54" w:name="_Toc15377217"/>
      <w:bookmarkStart w:id="55" w:name="_Toc72671129"/>
      <w:r>
        <w:rPr>
          <w:rFonts w:hint="eastAsia" w:ascii="仿宋" w:hAnsi="仿宋" w:eastAsia="仿宋"/>
          <w:b/>
          <w:color w:val="000000"/>
          <w:sz w:val="32"/>
          <w:szCs w:val="32"/>
          <w:lang w:val="en-US" w:eastAsia="zh-CN"/>
        </w:rPr>
        <w:t>（二）“三公”经费财政拨款支出决算具体情况说明</w:t>
      </w:r>
      <w:bookmarkEnd w:id="54"/>
      <w:bookmarkEnd w:id="55"/>
    </w:p>
    <w:p w14:paraId="4BAF2BBD">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2020年“三公”经费财政拨款支出决算中，因公出国（境）费支出决算0万元，占0%；公务用车购置及运行维护费支出决算0万元，占0%；公务接待费支出决算1.4万元，占100%。具体情况如下：</w:t>
      </w:r>
    </w:p>
    <w:p w14:paraId="3188F733">
      <w:pPr>
        <w:adjustRightInd w:val="0"/>
        <w:spacing w:line="576" w:lineRule="exact"/>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b/>
          <w:color w:val="000000"/>
          <w:sz w:val="32"/>
          <w:szCs w:val="32"/>
          <w:lang w:val="en-US" w:eastAsia="zh-CN"/>
        </w:rPr>
        <w:t>1.因公出国（境）经费</w:t>
      </w:r>
      <w:r>
        <w:rPr>
          <w:rFonts w:hint="eastAsia" w:ascii="仿宋_GB2312" w:hAnsi="仿宋_GB2312" w:eastAsia="仿宋_GB2312" w:cs="仿宋_GB2312"/>
          <w:b w:val="0"/>
          <w:bCs w:val="0"/>
          <w:kern w:val="2"/>
          <w:sz w:val="32"/>
          <w:szCs w:val="32"/>
          <w:lang w:val="en-US" w:eastAsia="zh-CN" w:bidi="ar-SA"/>
        </w:rPr>
        <w:t>支出0万元，</w:t>
      </w:r>
      <w:r>
        <w:rPr>
          <w:rFonts w:hint="eastAsia" w:ascii="仿宋_GB2312" w:hAnsi="仿宋_GB2312" w:eastAsia="仿宋_GB2312" w:cs="仿宋_GB2312"/>
          <w:b w:val="0"/>
          <w:bCs w:val="0"/>
          <w:kern w:val="2"/>
          <w:sz w:val="32"/>
          <w:szCs w:val="32"/>
          <w:lang w:val="en-US" w:eastAsia="zh-Hans" w:bidi="ar-SA"/>
        </w:rPr>
        <w:t>年初未安排预算</w:t>
      </w:r>
      <w:r>
        <w:rPr>
          <w:rFonts w:hint="default"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CN" w:bidi="ar-SA"/>
        </w:rPr>
        <w:t xml:space="preserve">与2019年持平。   </w:t>
      </w:r>
    </w:p>
    <w:p w14:paraId="64CB8285">
      <w:pPr>
        <w:adjustRightInd w:val="0"/>
        <w:spacing w:line="576" w:lineRule="exact"/>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b/>
          <w:color w:val="000000"/>
          <w:sz w:val="32"/>
          <w:szCs w:val="32"/>
          <w:lang w:val="en-US" w:eastAsia="zh-CN"/>
        </w:rPr>
        <w:t>2.公务用车购置及运行维护费</w:t>
      </w:r>
      <w:r>
        <w:rPr>
          <w:rFonts w:hint="eastAsia" w:ascii="仿宋_GB2312" w:hAnsi="仿宋_GB2312" w:eastAsia="仿宋_GB2312" w:cs="仿宋_GB2312"/>
          <w:b w:val="0"/>
          <w:bCs w:val="0"/>
          <w:kern w:val="2"/>
          <w:sz w:val="32"/>
          <w:szCs w:val="32"/>
          <w:lang w:val="en-US" w:eastAsia="zh-CN" w:bidi="ar-SA"/>
        </w:rPr>
        <w:t>支出0万元,</w:t>
      </w:r>
      <w:r>
        <w:rPr>
          <w:rFonts w:hint="eastAsia" w:ascii="仿宋_GB2312" w:hAnsi="仿宋_GB2312" w:eastAsia="仿宋_GB2312" w:cs="仿宋_GB2312"/>
          <w:b w:val="0"/>
          <w:bCs w:val="0"/>
          <w:kern w:val="2"/>
          <w:sz w:val="32"/>
          <w:szCs w:val="32"/>
          <w:lang w:val="en-US" w:eastAsia="zh-Hans" w:bidi="ar-SA"/>
        </w:rPr>
        <w:t>年初未安排预算</w:t>
      </w:r>
      <w:r>
        <w:rPr>
          <w:rFonts w:hint="default"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与2019年持平。</w:t>
      </w:r>
    </w:p>
    <w:p w14:paraId="47195A7D">
      <w:pPr>
        <w:pageBreakBefore w:val="0"/>
        <w:kinsoku/>
        <w:wordWrap/>
        <w:overflowPunct/>
        <w:topLinePunct w:val="0"/>
        <w:bidi w:val="0"/>
        <w:spacing w:beforeAutospacing="0" w:afterAutospacing="0" w:line="500" w:lineRule="exact"/>
        <w:ind w:firstLine="960" w:firstLineChars="3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其中：公务用车购置支出0万元，年初未安排预算</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与2019年持平。全年按照规定更新购置公务用车0辆。截止2020年12月底，单位共有公务用车0辆。</w:t>
      </w:r>
    </w:p>
    <w:p w14:paraId="61AE582F">
      <w:pPr>
        <w:pStyle w:val="2"/>
        <w:rPr>
          <w:rFonts w:hint="eastAsia"/>
          <w:lang w:val="en-US" w:eastAsia="zh-CN"/>
        </w:rPr>
      </w:pPr>
      <w:r>
        <w:rPr>
          <w:rFonts w:hint="eastAsia" w:ascii="仿宋_GB2312" w:hAnsi="Times New Roman" w:eastAsia="仿宋_GB2312" w:cs="Times New Roman"/>
          <w:sz w:val="32"/>
          <w:szCs w:val="32"/>
        </w:rPr>
        <w:t>   公务用车运行维护费支出0万元，年初未安排预算。</w:t>
      </w:r>
      <w:r>
        <w:rPr>
          <w:rFonts w:hint="eastAsia" w:ascii="仿宋_GB2312" w:hAnsi="Times New Roman" w:eastAsia="仿宋_GB2312" w:cs="Times New Roman"/>
          <w:sz w:val="32"/>
          <w:szCs w:val="32"/>
          <w:lang w:val="en-US" w:eastAsia="zh-CN"/>
        </w:rPr>
        <w:t>公务用车运行维护费</w:t>
      </w:r>
      <w:r>
        <w:rPr>
          <w:rFonts w:hint="eastAsia" w:ascii="仿宋_GB2312" w:hAnsi="Times New Roman" w:eastAsia="仿宋_GB2312" w:cs="Times New Roman"/>
          <w:sz w:val="32"/>
          <w:szCs w:val="32"/>
        </w:rPr>
        <w:t>支出决算</w:t>
      </w:r>
      <w:r>
        <w:rPr>
          <w:rFonts w:hint="eastAsia" w:ascii="仿宋_GB2312" w:hAnsi="Times New Roman" w:eastAsia="仿宋_GB2312" w:cs="Times New Roman"/>
          <w:sz w:val="32"/>
          <w:szCs w:val="32"/>
          <w:lang w:val="en-US" w:eastAsia="zh-CN"/>
        </w:rPr>
        <w:t>与</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19</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持平</w:t>
      </w:r>
      <w:r>
        <w:rPr>
          <w:rFonts w:hint="eastAsia" w:ascii="仿宋_GB2312" w:eastAsia="仿宋_GB2312"/>
          <w:color w:val="000000"/>
          <w:sz w:val="32"/>
          <w:szCs w:val="32"/>
        </w:rPr>
        <w:t>。</w:t>
      </w:r>
    </w:p>
    <w:p w14:paraId="72339868">
      <w:pPr>
        <w:adjustRightInd w:val="0"/>
        <w:spacing w:line="576" w:lineRule="exact"/>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 w:hAnsi="仿宋" w:eastAsia="仿宋"/>
          <w:b/>
          <w:color w:val="000000"/>
          <w:sz w:val="32"/>
          <w:szCs w:val="32"/>
          <w:lang w:val="en-US" w:eastAsia="zh-CN"/>
        </w:rPr>
        <w:t>3.公务接待费</w:t>
      </w:r>
      <w:r>
        <w:rPr>
          <w:rFonts w:hint="eastAsia" w:ascii="仿宋_GB2312" w:hAnsi="仿宋_GB2312" w:eastAsia="仿宋_GB2312" w:cs="仿宋_GB2312"/>
          <w:b w:val="0"/>
          <w:bCs w:val="0"/>
          <w:kern w:val="2"/>
          <w:sz w:val="32"/>
          <w:szCs w:val="32"/>
          <w:lang w:val="en-US" w:eastAsia="zh-CN" w:bidi="ar-SA"/>
        </w:rPr>
        <w:t>支出1.4万元，完成预算100%。公务接待费支出决算与2019年相比减少0.07万元，主要原因是严格执行中央八项规定，厉行节约。主要用于执行公务、开展业务活动开支的交通费、住宿费、用餐费等。国内公务接待24批次，132人次（包括陪同人员），共计支出1.4万元。</w:t>
      </w:r>
    </w:p>
    <w:p w14:paraId="3C539350">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外事接待支出0万元，外事接待0批次，0人，共计支出0万元。</w:t>
      </w:r>
    </w:p>
    <w:p w14:paraId="4FD62FCE">
      <w:pPr>
        <w:adjustRightInd w:val="0"/>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其他国内公务接待支出0万元。</w:t>
      </w:r>
    </w:p>
    <w:p w14:paraId="7975E0D5">
      <w:pPr>
        <w:spacing w:line="600" w:lineRule="exact"/>
        <w:ind w:firstLine="640"/>
        <w:outlineLvl w:val="1"/>
        <w:rPr>
          <w:rStyle w:val="14"/>
          <w:rFonts w:ascii="黑体" w:hAnsi="黑体" w:eastAsia="黑体"/>
          <w:b w:val="0"/>
          <w:bCs w:val="0"/>
        </w:rPr>
      </w:pPr>
      <w:bookmarkStart w:id="56" w:name="_Toc15396610"/>
      <w:bookmarkStart w:id="57" w:name="_Toc72671130"/>
      <w:bookmarkStart w:id="58" w:name="_Toc15377218"/>
      <w:r>
        <w:rPr>
          <w:rFonts w:hint="eastAsia" w:ascii="黑体" w:hAnsi="黑体" w:eastAsia="黑体"/>
          <w:color w:val="000000"/>
          <w:sz w:val="32"/>
          <w:szCs w:val="32"/>
        </w:rPr>
        <w:t>八、</w:t>
      </w:r>
      <w:r>
        <w:rPr>
          <w:rStyle w:val="14"/>
          <w:rFonts w:hint="eastAsia" w:ascii="黑体" w:hAnsi="黑体" w:eastAsia="黑体"/>
          <w:b w:val="0"/>
          <w:bCs w:val="0"/>
        </w:rPr>
        <w:t>政府性基金预算支出决算情况说明</w:t>
      </w:r>
      <w:bookmarkEnd w:id="56"/>
      <w:bookmarkEnd w:id="57"/>
      <w:bookmarkEnd w:id="58"/>
    </w:p>
    <w:p w14:paraId="106D59CF">
      <w:pPr>
        <w:spacing w:line="600" w:lineRule="exact"/>
        <w:ind w:firstLine="640"/>
        <w:rPr>
          <w:rFonts w:ascii="仿宋" w:hAnsi="仿宋" w:eastAsia="仿宋"/>
          <w:color w:val="auto"/>
          <w:sz w:val="32"/>
          <w:szCs w:val="32"/>
        </w:rPr>
      </w:pPr>
      <w:r>
        <w:rPr>
          <w:rFonts w:ascii="仿宋" w:hAnsi="仿宋" w:eastAsia="仿宋"/>
          <w:color w:val="000000"/>
          <w:sz w:val="32"/>
          <w:szCs w:val="32"/>
        </w:rPr>
        <w:t>20</w:t>
      </w:r>
      <w:r>
        <w:rPr>
          <w:rFonts w:hint="eastAsia" w:ascii="仿宋" w:hAnsi="仿宋" w:eastAsia="仿宋"/>
          <w:color w:val="000000"/>
          <w:sz w:val="32"/>
          <w:szCs w:val="32"/>
        </w:rPr>
        <w:t>20年政府性基金预算拨款支出0万元。</w:t>
      </w:r>
      <w:r>
        <w:rPr>
          <w:rFonts w:hint="eastAsia" w:ascii="仿宋" w:hAnsi="仿宋" w:eastAsia="仿宋"/>
          <w:color w:val="auto"/>
          <w:sz w:val="32"/>
          <w:szCs w:val="32"/>
          <w:lang w:val="en-US" w:eastAsia="zh-CN"/>
        </w:rPr>
        <w:t>2020年本单位未在政府性基金预算拨款安排“三公”经费支出。</w:t>
      </w:r>
    </w:p>
    <w:p w14:paraId="413F9440">
      <w:pPr>
        <w:numPr>
          <w:ilvl w:val="0"/>
          <w:numId w:val="3"/>
        </w:numPr>
        <w:spacing w:line="600" w:lineRule="exact"/>
        <w:ind w:firstLine="640" w:firstLineChars="200"/>
        <w:outlineLvl w:val="1"/>
        <w:rPr>
          <w:rStyle w:val="14"/>
          <w:rFonts w:ascii="黑体" w:hAnsi="黑体" w:eastAsia="黑体"/>
          <w:b w:val="0"/>
          <w:bCs w:val="0"/>
        </w:rPr>
      </w:pPr>
      <w:bookmarkStart w:id="59" w:name="_Toc72671131"/>
      <w:bookmarkStart w:id="60" w:name="_Toc15396611"/>
      <w:bookmarkStart w:id="61" w:name="_Toc15377219"/>
      <w:r>
        <w:rPr>
          <w:rStyle w:val="14"/>
          <w:rFonts w:hint="eastAsia" w:ascii="黑体" w:hAnsi="黑体" w:eastAsia="黑体"/>
          <w:b w:val="0"/>
          <w:bCs w:val="0"/>
        </w:rPr>
        <w:t>国有资本经营预算支出决算情况说明</w:t>
      </w:r>
      <w:bookmarkEnd w:id="59"/>
      <w:bookmarkEnd w:id="60"/>
      <w:bookmarkEnd w:id="61"/>
    </w:p>
    <w:p w14:paraId="787223B2">
      <w:pPr>
        <w:spacing w:line="600" w:lineRule="exact"/>
        <w:ind w:firstLine="640" w:firstLineChars="200"/>
        <w:outlineLvl w:val="1"/>
        <w:rPr>
          <w:rFonts w:ascii="仿宋" w:hAnsi="仿宋" w:eastAsia="仿宋"/>
          <w:color w:val="000000"/>
          <w:sz w:val="32"/>
          <w:szCs w:val="32"/>
        </w:rPr>
      </w:pPr>
      <w:bookmarkStart w:id="62" w:name="_Toc72671132"/>
      <w:r>
        <w:rPr>
          <w:rFonts w:ascii="仿宋" w:hAnsi="仿宋" w:eastAsia="仿宋"/>
          <w:color w:val="000000"/>
          <w:sz w:val="32"/>
          <w:szCs w:val="32"/>
        </w:rPr>
        <w:t>20</w:t>
      </w:r>
      <w:r>
        <w:rPr>
          <w:rFonts w:hint="eastAsia" w:ascii="仿宋" w:hAnsi="仿宋" w:eastAsia="仿宋"/>
          <w:color w:val="000000"/>
          <w:sz w:val="32"/>
          <w:szCs w:val="32"/>
        </w:rPr>
        <w:t>20年国有资本经营预算拨款支出0万元。</w:t>
      </w:r>
      <w:bookmarkEnd w:id="62"/>
    </w:p>
    <w:p w14:paraId="162E8FB8">
      <w:pPr>
        <w:spacing w:line="600" w:lineRule="exact"/>
        <w:ind w:firstLine="640" w:firstLineChars="200"/>
        <w:outlineLvl w:val="1"/>
        <w:rPr>
          <w:rFonts w:hint="eastAsia" w:ascii="黑体" w:hAnsi="黑体" w:eastAsia="黑体"/>
          <w:color w:val="000000"/>
          <w:sz w:val="32"/>
          <w:szCs w:val="32"/>
        </w:rPr>
      </w:pPr>
      <w:bookmarkStart w:id="63" w:name="_Toc15377221"/>
      <w:bookmarkStart w:id="64" w:name="_Toc72671133"/>
      <w:bookmarkStart w:id="65" w:name="_Toc15396612"/>
    </w:p>
    <w:p w14:paraId="0A2024C5">
      <w:pPr>
        <w:spacing w:line="600" w:lineRule="exact"/>
        <w:ind w:firstLine="640" w:firstLineChars="200"/>
        <w:outlineLvl w:val="1"/>
        <w:rPr>
          <w:rStyle w:val="14"/>
          <w:rFonts w:ascii="黑体" w:hAnsi="黑体" w:eastAsia="黑体"/>
          <w:b w:val="0"/>
          <w:bCs w:val="0"/>
        </w:rPr>
      </w:pPr>
      <w:r>
        <w:rPr>
          <w:rFonts w:hint="eastAsia" w:ascii="黑体" w:hAnsi="黑体" w:eastAsia="黑体"/>
          <w:color w:val="000000"/>
          <w:sz w:val="32"/>
          <w:szCs w:val="32"/>
        </w:rPr>
        <w:t>十</w:t>
      </w:r>
      <w:r>
        <w:rPr>
          <w:rStyle w:val="14"/>
          <w:rFonts w:hint="eastAsia" w:ascii="黑体" w:hAnsi="黑体" w:eastAsia="黑体"/>
          <w:b w:val="0"/>
          <w:bCs w:val="0"/>
        </w:rPr>
        <w:t>、其他重要事项的情况说明</w:t>
      </w:r>
      <w:bookmarkEnd w:id="63"/>
      <w:bookmarkEnd w:id="64"/>
      <w:bookmarkEnd w:id="65"/>
    </w:p>
    <w:p w14:paraId="50303A0A">
      <w:pPr>
        <w:spacing w:line="600" w:lineRule="exact"/>
        <w:ind w:firstLine="643" w:firstLineChars="200"/>
        <w:outlineLvl w:val="2"/>
        <w:rPr>
          <w:rFonts w:hint="eastAsia" w:ascii="仿宋_GB2312" w:hAnsi="仿宋_GB2312" w:eastAsia="仿宋_GB2312" w:cs="仿宋_GB2312"/>
          <w:color w:val="000000"/>
          <w:sz w:val="32"/>
          <w:szCs w:val="32"/>
        </w:rPr>
      </w:pPr>
      <w:bookmarkStart w:id="66" w:name="_Toc15377222"/>
      <w:bookmarkStart w:id="67" w:name="_Toc72671134"/>
      <w:r>
        <w:rPr>
          <w:rFonts w:hint="eastAsia" w:ascii="仿宋" w:hAnsi="仿宋" w:eastAsia="仿宋"/>
          <w:b/>
          <w:color w:val="000000"/>
          <w:sz w:val="32"/>
          <w:szCs w:val="32"/>
          <w:lang w:val="en-US" w:eastAsia="zh-CN"/>
        </w:rPr>
        <w:t>（一）机关运行经费支出情况</w:t>
      </w:r>
      <w:bookmarkEnd w:id="66"/>
      <w:bookmarkEnd w:id="67"/>
    </w:p>
    <w:p w14:paraId="3A8F813A">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2020年，</w:t>
      </w:r>
      <w:r>
        <w:rPr>
          <w:rFonts w:hint="eastAsia" w:ascii="仿宋_GB2312" w:hAnsi="仿宋_GB2312" w:eastAsia="仿宋_GB2312" w:cs="仿宋_GB2312"/>
          <w:color w:val="000000" w:themeColor="text1"/>
          <w:sz w:val="32"/>
          <w:szCs w:val="32"/>
          <w14:textFill>
            <w14:solidFill>
              <w14:schemeClr w14:val="tx1"/>
            </w14:solidFill>
          </w14:textFill>
        </w:rPr>
        <w:t>中共广元市昭化区委机构编制委员会办公室</w:t>
      </w:r>
      <w:r>
        <w:rPr>
          <w:rFonts w:hint="eastAsia" w:ascii="仿宋_GB2312" w:hAnsi="仿宋_GB2312" w:eastAsia="仿宋_GB2312" w:cs="仿宋_GB2312"/>
          <w:color w:val="000000"/>
          <w:sz w:val="32"/>
          <w:szCs w:val="32"/>
        </w:rPr>
        <w:t>机关运行经费支出62.2万元，比2019年增加13.02万元，增长26.5%。</w:t>
      </w:r>
      <w:r>
        <w:rPr>
          <w:rFonts w:hint="eastAsia" w:ascii="仿宋_GB2312" w:hAnsi="仿宋_GB2312" w:eastAsia="仿宋_GB2312" w:cs="仿宋_GB2312"/>
          <w:color w:val="000000" w:themeColor="text1"/>
          <w:sz w:val="32"/>
          <w:szCs w:val="32"/>
          <w14:textFill>
            <w14:solidFill>
              <w14:schemeClr w14:val="tx1"/>
            </w14:solidFill>
          </w14:textFill>
        </w:rPr>
        <w:t>主要原因是增加了职能职责和工作任务，同时增加了人员。</w:t>
      </w:r>
    </w:p>
    <w:p w14:paraId="3F77919F">
      <w:pPr>
        <w:spacing w:line="600" w:lineRule="exact"/>
        <w:ind w:firstLine="643" w:firstLineChars="200"/>
        <w:outlineLvl w:val="2"/>
        <w:rPr>
          <w:rFonts w:hint="eastAsia" w:ascii="仿宋" w:hAnsi="仿宋" w:eastAsia="仿宋"/>
          <w:b/>
          <w:color w:val="000000"/>
          <w:sz w:val="32"/>
          <w:szCs w:val="32"/>
          <w:lang w:val="en-US" w:eastAsia="zh-CN"/>
        </w:rPr>
      </w:pPr>
      <w:bookmarkStart w:id="68" w:name="_Toc15377223"/>
      <w:bookmarkStart w:id="69" w:name="_Toc72671135"/>
      <w:r>
        <w:rPr>
          <w:rFonts w:hint="eastAsia" w:ascii="仿宋" w:hAnsi="仿宋" w:eastAsia="仿宋"/>
          <w:b/>
          <w:color w:val="000000"/>
          <w:sz w:val="32"/>
          <w:szCs w:val="32"/>
          <w:lang w:val="en-US" w:eastAsia="zh-CN"/>
        </w:rPr>
        <w:t>（二）政府采购支出情况</w:t>
      </w:r>
      <w:bookmarkEnd w:id="68"/>
      <w:bookmarkEnd w:id="69"/>
    </w:p>
    <w:p w14:paraId="74166B1C">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政府采购支出总额1.52万元，其中：政府采购货物支出0万元、政府采购工程支出0万元、政府采购服务支出0万元。主要用于采购办公桌椅、电脑、打印机、沙发、文件柜等。授予中小企业合同金额0万元，占政府采购支出总额的0%，其中：授予小微企业合同金额0万元，占政府采购支出总额的0%。</w:t>
      </w:r>
    </w:p>
    <w:p w14:paraId="375515B2">
      <w:pPr>
        <w:spacing w:line="600" w:lineRule="exact"/>
        <w:ind w:firstLine="643" w:firstLineChars="200"/>
        <w:outlineLvl w:val="2"/>
        <w:rPr>
          <w:rFonts w:hint="eastAsia" w:ascii="仿宋" w:hAnsi="仿宋" w:eastAsia="仿宋"/>
          <w:b/>
          <w:color w:val="000000"/>
          <w:sz w:val="32"/>
          <w:szCs w:val="32"/>
          <w:lang w:val="en-US" w:eastAsia="zh-CN"/>
        </w:rPr>
      </w:pPr>
      <w:bookmarkStart w:id="70" w:name="_Toc72671136"/>
      <w:bookmarkStart w:id="71" w:name="_Toc15377224"/>
      <w:r>
        <w:rPr>
          <w:rFonts w:hint="eastAsia" w:ascii="仿宋" w:hAnsi="仿宋" w:eastAsia="仿宋"/>
          <w:b/>
          <w:color w:val="000000"/>
          <w:sz w:val="32"/>
          <w:szCs w:val="32"/>
          <w:lang w:val="en-US" w:eastAsia="zh-CN"/>
        </w:rPr>
        <w:t>（三）国有资产占有使用情况</w:t>
      </w:r>
      <w:bookmarkEnd w:id="70"/>
      <w:bookmarkEnd w:id="71"/>
    </w:p>
    <w:p w14:paraId="0A3B6207">
      <w:pPr>
        <w:autoSpaceDE w:val="0"/>
        <w:autoSpaceDN w:val="0"/>
        <w:adjustRightInd w:val="0"/>
        <w:spacing w:line="60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sz w:val="32"/>
          <w:szCs w:val="32"/>
        </w:rPr>
        <w:t>截至2020年12月31日，共有车辆0辆，其中：部级领导干部用车0辆、一般公务用车0辆、一般执法执勤用车0辆、特种专业技术用车0辆、其他用车0辆，</w:t>
      </w:r>
      <w:r>
        <w:rPr>
          <w:rFonts w:hint="eastAsia" w:ascii="仿宋_GB2312" w:hAnsi="仿宋_GB2312" w:eastAsia="仿宋_GB2312" w:cs="仿宋_GB2312"/>
          <w:color w:val="000000" w:themeColor="text1"/>
          <w:sz w:val="32"/>
          <w:szCs w:val="32"/>
          <w14:textFill>
            <w14:solidFill>
              <w14:schemeClr w14:val="tx1"/>
            </w14:solidFill>
          </w14:textFill>
        </w:rPr>
        <w:t>单价50万元以上通用设备0台（套），单价100</w:t>
      </w:r>
      <w:r>
        <w:rPr>
          <w:rFonts w:hint="eastAsia" w:ascii="仿宋_GB2312" w:hAnsi="仿宋_GB2312" w:eastAsia="仿宋_GB2312" w:cs="仿宋_GB2312"/>
          <w:color w:val="000000"/>
          <w:sz w:val="32"/>
          <w:szCs w:val="32"/>
        </w:rPr>
        <w:t>万元以上专用设备0台（套）。</w:t>
      </w:r>
    </w:p>
    <w:p w14:paraId="164CAA3A">
      <w:pPr>
        <w:numPr>
          <w:ilvl w:val="0"/>
          <w:numId w:val="0"/>
        </w:numPr>
        <w:autoSpaceDE w:val="0"/>
        <w:autoSpaceDN w:val="0"/>
        <w:adjustRightInd w:val="0"/>
        <w:spacing w:line="600" w:lineRule="exact"/>
        <w:ind w:firstLine="643" w:firstLineChars="200"/>
        <w:jc w:val="left"/>
        <w:outlineLvl w:val="2"/>
        <w:rPr>
          <w:rFonts w:hint="eastAsia" w:ascii="仿宋" w:hAnsi="仿宋" w:eastAsia="仿宋"/>
          <w:b/>
          <w:color w:val="FF0000"/>
          <w:sz w:val="32"/>
          <w:szCs w:val="32"/>
          <w:lang w:val="en-US" w:eastAsia="zh-CN"/>
        </w:rPr>
      </w:pPr>
      <w:bookmarkStart w:id="72" w:name="_Toc72671137"/>
      <w:r>
        <w:rPr>
          <w:rFonts w:hint="default" w:ascii="仿宋" w:hAnsi="仿宋" w:eastAsia="仿宋"/>
          <w:b/>
          <w:color w:val="000000"/>
          <w:sz w:val="32"/>
          <w:szCs w:val="32"/>
          <w:lang w:eastAsia="zh-CN"/>
        </w:rPr>
        <w:t>（</w:t>
      </w:r>
      <w:r>
        <w:rPr>
          <w:rFonts w:hint="eastAsia" w:ascii="仿宋" w:hAnsi="仿宋" w:eastAsia="仿宋"/>
          <w:b/>
          <w:color w:val="000000"/>
          <w:sz w:val="32"/>
          <w:szCs w:val="32"/>
          <w:lang w:val="en-US" w:eastAsia="zh-Hans"/>
        </w:rPr>
        <w:t>四</w:t>
      </w:r>
      <w:r>
        <w:rPr>
          <w:rFonts w:hint="default" w:ascii="仿宋" w:hAnsi="仿宋" w:eastAsia="仿宋"/>
          <w:b/>
          <w:color w:val="000000"/>
          <w:sz w:val="32"/>
          <w:szCs w:val="32"/>
          <w:lang w:eastAsia="zh-Hans"/>
        </w:rPr>
        <w:t>）</w:t>
      </w:r>
      <w:r>
        <w:rPr>
          <w:rFonts w:hint="eastAsia" w:ascii="仿宋" w:hAnsi="仿宋" w:eastAsia="仿宋"/>
          <w:b/>
          <w:color w:val="000000"/>
          <w:sz w:val="32"/>
          <w:szCs w:val="32"/>
          <w:lang w:val="en-US" w:eastAsia="zh-CN"/>
        </w:rPr>
        <w:t>预算绩效管理情况。</w:t>
      </w:r>
      <w:bookmarkEnd w:id="72"/>
    </w:p>
    <w:p w14:paraId="367C2948">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根据预算绩效管理要求，本部门（单位）在年初预算编制阶段，组织对</w:t>
      </w:r>
      <w:r>
        <w:rPr>
          <w:rFonts w:hint="eastAsia" w:ascii="仿宋_GB2312" w:hAnsi="仿宋_GB2312" w:eastAsia="仿宋_GB2312" w:cs="仿宋_GB2312"/>
          <w:sz w:val="32"/>
          <w:szCs w:val="32"/>
          <w:highlight w:val="none"/>
          <w:lang w:eastAsia="zh-CN"/>
        </w:rPr>
        <w:t>机构改革工作经费</w:t>
      </w:r>
      <w:r>
        <w:rPr>
          <w:rFonts w:hint="eastAsia" w:ascii="仿宋_GB2312" w:hAnsi="仿宋_GB2312" w:eastAsia="仿宋_GB2312" w:cs="仿宋_GB2312"/>
          <w:color w:val="auto"/>
          <w:sz w:val="32"/>
          <w:szCs w:val="32"/>
          <w:highlight w:val="none"/>
          <w:lang w:val="en-US" w:eastAsia="zh-CN"/>
        </w:rPr>
        <w:t>等</w:t>
      </w: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个项目</w:t>
      </w:r>
      <w:r>
        <w:rPr>
          <w:rFonts w:hint="eastAsia" w:ascii="仿宋_GB2312" w:hAnsi="仿宋_GB2312" w:eastAsia="仿宋_GB2312" w:cs="仿宋_GB2312"/>
          <w:color w:val="auto"/>
          <w:sz w:val="32"/>
          <w:szCs w:val="32"/>
          <w:highlight w:val="none"/>
        </w:rPr>
        <w:t>开展了预算事前绩效评估，对</w:t>
      </w: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个</w:t>
      </w:r>
      <w:r>
        <w:rPr>
          <w:rFonts w:hint="eastAsia" w:ascii="仿宋_GB2312" w:hAnsi="仿宋_GB2312" w:eastAsia="仿宋_GB2312" w:cs="仿宋_GB2312"/>
          <w:color w:val="auto"/>
          <w:sz w:val="32"/>
          <w:szCs w:val="32"/>
          <w:highlight w:val="none"/>
        </w:rPr>
        <w:t>项目编制了绩效目标，预算执行过程中，</w:t>
      </w:r>
      <w:r>
        <w:rPr>
          <w:rFonts w:hint="eastAsia" w:ascii="仿宋_GB2312" w:hAnsi="仿宋_GB2312" w:eastAsia="仿宋_GB2312" w:cs="仿宋_GB2312"/>
          <w:color w:val="auto"/>
          <w:sz w:val="32"/>
          <w:szCs w:val="32"/>
          <w:highlight w:val="none"/>
          <w:lang w:val="en-US" w:eastAsia="zh-Hans"/>
        </w:rPr>
        <w:t>对</w:t>
      </w: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个项目开展了绩效目标完成情况自评。</w:t>
      </w:r>
    </w:p>
    <w:p w14:paraId="276365E4">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本部门按要求对20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_GB2312" w:hAnsi="仿宋_GB2312" w:eastAsia="仿宋_GB2312" w:cs="仿宋_GB2312"/>
          <w:color w:val="auto"/>
          <w:sz w:val="32"/>
          <w:szCs w:val="32"/>
          <w:highlight w:val="none"/>
          <w:lang w:val="en-US" w:eastAsia="zh-CN"/>
        </w:rPr>
        <w:t>完成了全年的绩效目标任务，确保各项工作顺利开展。</w:t>
      </w:r>
    </w:p>
    <w:p w14:paraId="717382D4">
      <w:pPr>
        <w:spacing w:line="580" w:lineRule="exact"/>
        <w:ind w:firstLine="640" w:firstLineChars="200"/>
        <w:rPr>
          <w:rFonts w:hint="eastAsia" w:ascii="楷体_GB2312" w:hAnsi="楷体_GB2312" w:eastAsia="楷体_GB2312" w:cs="楷体_GB2312"/>
          <w:color w:val="auto"/>
          <w:sz w:val="32"/>
          <w:szCs w:val="32"/>
          <w:highlight w:val="none"/>
          <w:lang w:eastAsia="zh-CN"/>
        </w:rPr>
      </w:pPr>
      <w:r>
        <w:rPr>
          <w:rFonts w:ascii="楷体_GB2312" w:hAnsi="楷体_GB2312" w:eastAsia="楷体_GB2312" w:cs="楷体_GB2312"/>
          <w:color w:val="auto"/>
          <w:sz w:val="32"/>
          <w:szCs w:val="32"/>
          <w:highlight w:val="none"/>
        </w:rPr>
        <w:t>1.</w:t>
      </w:r>
      <w:r>
        <w:rPr>
          <w:rFonts w:hint="eastAsia" w:ascii="楷体_GB2312" w:hAnsi="楷体_GB2312" w:eastAsia="楷体_GB2312" w:cs="楷体_GB2312"/>
          <w:color w:val="auto"/>
          <w:sz w:val="32"/>
          <w:szCs w:val="32"/>
          <w:highlight w:val="none"/>
        </w:rPr>
        <w:t>项目绩效目标完成情况。</w:t>
      </w:r>
    </w:p>
    <w:p w14:paraId="0C176930">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年度部门决算中反映“</w:t>
      </w:r>
      <w:r>
        <w:rPr>
          <w:rFonts w:hint="eastAsia" w:ascii="仿宋_GB2312" w:hAnsi="仿宋_GB2312" w:eastAsia="仿宋_GB2312" w:cs="仿宋_GB2312"/>
          <w:color w:val="auto"/>
          <w:sz w:val="32"/>
          <w:szCs w:val="32"/>
          <w:highlight w:val="none"/>
          <w:lang w:val="en-US" w:eastAsia="zh-Hans"/>
        </w:rPr>
        <w:t>机构改革工作经费</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等</w:t>
      </w: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个项目绩效目标实际完成情况。</w:t>
      </w:r>
    </w:p>
    <w:p w14:paraId="1CA66F3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机构改革工作经费。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用于对机关、事业单位的职能配置、机构设置、人员数额及人员结构的统一管理、检查监督；协调部门的职能配置及其调整；研究拟定全区行政管理体制与机构改革方案及有关规定，落实上级机构改革任务，进一步深化行政体制改革工作，完成事业单位分类改革任务。从完成、效益、满意度方面设置了绩效目标，综合反映基本支出绩效目标预期完成的数量、成本、时效、质量，预期达到的社会效益、可持续影响以及服务对象满意度等情况。</w:t>
      </w:r>
    </w:p>
    <w:tbl>
      <w:tblPr>
        <w:tblStyle w:val="11"/>
        <w:tblpPr w:leftFromText="180" w:rightFromText="180" w:vertAnchor="text" w:horzAnchor="page" w:tblpX="906" w:tblpY="910"/>
        <w:tblOverlap w:val="never"/>
        <w:tblW w:w="10160" w:type="dxa"/>
        <w:jc w:val="center"/>
        <w:tblLayout w:type="fixed"/>
        <w:tblCellMar>
          <w:top w:w="0" w:type="dxa"/>
          <w:left w:w="0" w:type="dxa"/>
          <w:bottom w:w="0" w:type="dxa"/>
          <w:right w:w="0" w:type="dxa"/>
        </w:tblCellMar>
      </w:tblPr>
      <w:tblGrid>
        <w:gridCol w:w="20"/>
        <w:gridCol w:w="1203"/>
        <w:gridCol w:w="1110"/>
        <w:gridCol w:w="1695"/>
        <w:gridCol w:w="1350"/>
        <w:gridCol w:w="1380"/>
        <w:gridCol w:w="3382"/>
        <w:gridCol w:w="20"/>
      </w:tblGrid>
      <w:tr w14:paraId="0C75E3A1">
        <w:tblPrEx>
          <w:tblCellMar>
            <w:top w:w="0" w:type="dxa"/>
            <w:left w:w="0" w:type="dxa"/>
            <w:bottom w:w="0" w:type="dxa"/>
            <w:right w:w="0" w:type="dxa"/>
          </w:tblCellMar>
        </w:tblPrEx>
        <w:trPr>
          <w:gridAfter w:val="1"/>
          <w:wAfter w:w="20" w:type="dxa"/>
          <w:trHeight w:val="813" w:hRule="atLeast"/>
          <w:jc w:val="center"/>
        </w:trPr>
        <w:tc>
          <w:tcPr>
            <w:tcW w:w="10140" w:type="dxa"/>
            <w:gridSpan w:val="7"/>
            <w:tcBorders>
              <w:top w:val="nil"/>
              <w:left w:val="nil"/>
              <w:bottom w:val="nil"/>
              <w:right w:val="nil"/>
            </w:tcBorders>
            <w:shd w:val="clear" w:color="auto" w:fill="auto"/>
            <w:tcMar>
              <w:top w:w="15" w:type="dxa"/>
              <w:left w:w="15" w:type="dxa"/>
              <w:right w:w="15" w:type="dxa"/>
            </w:tcMar>
            <w:vAlign w:val="center"/>
          </w:tcPr>
          <w:p w14:paraId="0C055F54">
            <w:pPr>
              <w:widowControl/>
              <w:ind w:firstLine="2100" w:firstLineChars="700"/>
              <w:textAlignment w:val="center"/>
              <w:rPr>
                <w:rFonts w:ascii="仿宋" w:hAnsi="仿宋" w:eastAsia="仿宋" w:cs="仿宋_GB2312"/>
                <w:color w:val="000000"/>
                <w:sz w:val="30"/>
                <w:szCs w:val="30"/>
              </w:rPr>
            </w:pPr>
            <w:r>
              <w:rPr>
                <w:rStyle w:val="17"/>
                <w:rFonts w:hint="eastAsia" w:ascii="仿宋" w:hAnsi="仿宋" w:eastAsia="仿宋"/>
                <w:sz w:val="30"/>
                <w:szCs w:val="30"/>
                <w:lang w:eastAsia="zh-CN" w:bidi="ar"/>
              </w:rPr>
              <w:t>机构改革工作经费</w:t>
            </w:r>
            <w:r>
              <w:rPr>
                <w:rStyle w:val="18"/>
                <w:rFonts w:hint="default" w:ascii="仿宋" w:hAnsi="仿宋" w:eastAsia="仿宋"/>
                <w:sz w:val="30"/>
                <w:szCs w:val="30"/>
                <w:lang w:bidi="ar"/>
              </w:rPr>
              <w:t>支出绩效目标完成情况表</w:t>
            </w:r>
          </w:p>
        </w:tc>
      </w:tr>
      <w:tr w14:paraId="09CB6ADD">
        <w:tblPrEx>
          <w:tblCellMar>
            <w:top w:w="0" w:type="dxa"/>
            <w:left w:w="0" w:type="dxa"/>
            <w:bottom w:w="0" w:type="dxa"/>
            <w:right w:w="0" w:type="dxa"/>
          </w:tblCellMar>
        </w:tblPrEx>
        <w:trPr>
          <w:gridAfter w:val="1"/>
          <w:wAfter w:w="20" w:type="dxa"/>
          <w:trHeight w:val="379" w:hRule="atLeast"/>
          <w:jc w:val="center"/>
        </w:trPr>
        <w:tc>
          <w:tcPr>
            <w:tcW w:w="10140" w:type="dxa"/>
            <w:gridSpan w:val="7"/>
            <w:tcBorders>
              <w:top w:val="nil"/>
              <w:left w:val="nil"/>
              <w:bottom w:val="single" w:color="000000" w:sz="8" w:space="0"/>
              <w:right w:val="nil"/>
            </w:tcBorders>
            <w:shd w:val="clear" w:color="auto" w:fill="auto"/>
            <w:tcMar>
              <w:top w:w="15" w:type="dxa"/>
              <w:left w:w="15" w:type="dxa"/>
              <w:right w:w="15" w:type="dxa"/>
            </w:tcMar>
            <w:vAlign w:val="center"/>
          </w:tcPr>
          <w:p w14:paraId="7876D5BF">
            <w:pPr>
              <w:widowControl/>
              <w:textAlignment w:val="center"/>
              <w:rPr>
                <w:rFonts w:hint="eastAsia" w:ascii="仿宋" w:hAnsi="仿宋" w:eastAsia="仿宋" w:cs="仿宋_GB2312"/>
                <w:color w:val="000000"/>
                <w:kern w:val="0"/>
                <w:sz w:val="24"/>
                <w:lang w:bidi="ar"/>
              </w:rPr>
            </w:pPr>
          </w:p>
          <w:p w14:paraId="71904B69">
            <w:pPr>
              <w:widowControl/>
              <w:ind w:firstLine="4080" w:firstLineChars="1700"/>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(20</w:t>
            </w:r>
            <w:r>
              <w:rPr>
                <w:rFonts w:hint="eastAsia" w:ascii="仿宋" w:hAnsi="仿宋" w:eastAsia="仿宋" w:cs="仿宋_GB2312"/>
                <w:color w:val="000000"/>
                <w:kern w:val="0"/>
                <w:sz w:val="24"/>
                <w:lang w:val="en-US" w:eastAsia="zh-CN" w:bidi="ar"/>
              </w:rPr>
              <w:t>20</w:t>
            </w:r>
            <w:r>
              <w:rPr>
                <w:rFonts w:hint="eastAsia" w:ascii="仿宋" w:hAnsi="仿宋" w:eastAsia="仿宋" w:cs="仿宋_GB2312"/>
                <w:color w:val="000000"/>
                <w:kern w:val="0"/>
                <w:sz w:val="24"/>
                <w:lang w:bidi="ar"/>
              </w:rPr>
              <w:t xml:space="preserve"> 年度)</w:t>
            </w:r>
          </w:p>
        </w:tc>
      </w:tr>
      <w:tr w14:paraId="1D070E9F">
        <w:tblPrEx>
          <w:tblCellMar>
            <w:top w:w="0" w:type="dxa"/>
            <w:left w:w="0" w:type="dxa"/>
            <w:bottom w:w="0" w:type="dxa"/>
            <w:right w:w="0" w:type="dxa"/>
          </w:tblCellMar>
        </w:tblPrEx>
        <w:trPr>
          <w:gridBefore w:val="1"/>
          <w:wBefore w:w="20" w:type="dxa"/>
          <w:trHeight w:val="514" w:hRule="atLeast"/>
          <w:jc w:val="center"/>
        </w:trPr>
        <w:tc>
          <w:tcPr>
            <w:tcW w:w="400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4BCAC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项目名称</w:t>
            </w:r>
          </w:p>
        </w:tc>
        <w:tc>
          <w:tcPr>
            <w:tcW w:w="6132"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AC6C16">
            <w:pPr>
              <w:widowControl/>
              <w:jc w:val="center"/>
              <w:textAlignment w:val="center"/>
              <w:rPr>
                <w:rFonts w:ascii="仿宋" w:hAnsi="仿宋" w:eastAsia="仿宋" w:cs="宋体"/>
                <w:color w:val="000000"/>
                <w:sz w:val="24"/>
              </w:rPr>
            </w:pPr>
            <w:r>
              <w:rPr>
                <w:rStyle w:val="17"/>
                <w:rFonts w:hint="eastAsia" w:ascii="仿宋" w:hAnsi="仿宋" w:eastAsia="仿宋"/>
                <w:sz w:val="30"/>
                <w:szCs w:val="30"/>
                <w:lang w:eastAsia="zh-CN" w:bidi="ar"/>
              </w:rPr>
              <w:t>机构改革工作经费</w:t>
            </w:r>
          </w:p>
        </w:tc>
      </w:tr>
      <w:tr w14:paraId="173D34C4">
        <w:tblPrEx>
          <w:tblCellMar>
            <w:top w:w="0" w:type="dxa"/>
            <w:left w:w="0" w:type="dxa"/>
            <w:bottom w:w="0" w:type="dxa"/>
            <w:right w:w="0" w:type="dxa"/>
          </w:tblCellMar>
        </w:tblPrEx>
        <w:trPr>
          <w:gridBefore w:val="1"/>
          <w:wBefore w:w="20" w:type="dxa"/>
          <w:trHeight w:val="300" w:hRule="atLeast"/>
          <w:jc w:val="center"/>
        </w:trPr>
        <w:tc>
          <w:tcPr>
            <w:tcW w:w="400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23F6E4">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预算单位</w:t>
            </w:r>
          </w:p>
        </w:tc>
        <w:tc>
          <w:tcPr>
            <w:tcW w:w="6132"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26D93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区委编办</w:t>
            </w:r>
          </w:p>
        </w:tc>
      </w:tr>
      <w:tr w14:paraId="39C9A9FE">
        <w:tblPrEx>
          <w:tblCellMar>
            <w:top w:w="0" w:type="dxa"/>
            <w:left w:w="0" w:type="dxa"/>
            <w:bottom w:w="0" w:type="dxa"/>
            <w:right w:w="0" w:type="dxa"/>
          </w:tblCellMar>
        </w:tblPrEx>
        <w:trPr>
          <w:gridBefore w:val="1"/>
          <w:wBefore w:w="20" w:type="dxa"/>
          <w:trHeight w:val="741" w:hRule="atLeast"/>
          <w:jc w:val="center"/>
        </w:trPr>
        <w:tc>
          <w:tcPr>
            <w:tcW w:w="12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A924F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预算执行情况(万元)</w:t>
            </w:r>
          </w:p>
        </w:tc>
        <w:tc>
          <w:tcPr>
            <w:tcW w:w="28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DD8C3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预算数:</w:t>
            </w:r>
          </w:p>
        </w:tc>
        <w:tc>
          <w:tcPr>
            <w:tcW w:w="13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9CAA337">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kern w:val="0"/>
                <w:sz w:val="24"/>
                <w:lang w:val="en-US" w:eastAsia="zh-CN" w:bidi="ar"/>
              </w:rPr>
              <w:t>100000</w:t>
            </w:r>
          </w:p>
        </w:tc>
        <w:tc>
          <w:tcPr>
            <w:tcW w:w="1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C0AFE5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执行数:</w:t>
            </w:r>
          </w:p>
        </w:tc>
        <w:tc>
          <w:tcPr>
            <w:tcW w:w="3402"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985E2F5">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kern w:val="0"/>
                <w:sz w:val="24"/>
                <w:lang w:val="en-US" w:eastAsia="zh-CN" w:bidi="ar"/>
              </w:rPr>
              <w:t>100000</w:t>
            </w:r>
          </w:p>
        </w:tc>
      </w:tr>
      <w:tr w14:paraId="2835FBB4">
        <w:tblPrEx>
          <w:tblCellMar>
            <w:top w:w="0" w:type="dxa"/>
            <w:left w:w="0" w:type="dxa"/>
            <w:bottom w:w="0" w:type="dxa"/>
            <w:right w:w="0" w:type="dxa"/>
          </w:tblCellMar>
        </w:tblPrEx>
        <w:trPr>
          <w:gridBefore w:val="1"/>
          <w:wBefore w:w="20" w:type="dxa"/>
          <w:trHeight w:val="300" w:hRule="atLeast"/>
          <w:jc w:val="center"/>
        </w:trPr>
        <w:tc>
          <w:tcPr>
            <w:tcW w:w="12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ACB4A6">
            <w:pPr>
              <w:jc w:val="left"/>
              <w:rPr>
                <w:rFonts w:ascii="仿宋" w:hAnsi="仿宋" w:eastAsia="仿宋" w:cs="宋体"/>
                <w:color w:val="000000"/>
                <w:sz w:val="24"/>
              </w:rPr>
            </w:pPr>
          </w:p>
        </w:tc>
        <w:tc>
          <w:tcPr>
            <w:tcW w:w="28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6BBD95">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其中-财政拨款:</w:t>
            </w: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395B26">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kern w:val="0"/>
                <w:sz w:val="24"/>
                <w:lang w:val="en-US" w:eastAsia="zh-CN" w:bidi="ar"/>
              </w:rPr>
              <w:t>100000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E4E9E3">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其中-财政拨款:</w:t>
            </w:r>
          </w:p>
        </w:tc>
        <w:tc>
          <w:tcPr>
            <w:tcW w:w="340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68592D">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kern w:val="0"/>
                <w:sz w:val="24"/>
                <w:lang w:val="en-US" w:eastAsia="zh-CN" w:bidi="ar"/>
              </w:rPr>
              <w:t>100000</w:t>
            </w:r>
          </w:p>
        </w:tc>
      </w:tr>
      <w:tr w14:paraId="3B4280F3">
        <w:tblPrEx>
          <w:tblCellMar>
            <w:top w:w="0" w:type="dxa"/>
            <w:left w:w="0" w:type="dxa"/>
            <w:bottom w:w="0" w:type="dxa"/>
            <w:right w:w="0" w:type="dxa"/>
          </w:tblCellMar>
        </w:tblPrEx>
        <w:trPr>
          <w:gridBefore w:val="1"/>
          <w:wBefore w:w="20" w:type="dxa"/>
          <w:trHeight w:val="300" w:hRule="atLeast"/>
          <w:jc w:val="center"/>
        </w:trPr>
        <w:tc>
          <w:tcPr>
            <w:tcW w:w="120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39C4AC">
            <w:pPr>
              <w:jc w:val="left"/>
              <w:rPr>
                <w:rFonts w:ascii="仿宋" w:hAnsi="仿宋" w:eastAsia="仿宋" w:cs="宋体"/>
                <w:color w:val="000000"/>
                <w:sz w:val="24"/>
              </w:rPr>
            </w:pPr>
          </w:p>
        </w:tc>
        <w:tc>
          <w:tcPr>
            <w:tcW w:w="28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50E89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其它资金:</w:t>
            </w: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ED1EB5">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0</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878D9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其它资金:</w:t>
            </w:r>
          </w:p>
        </w:tc>
        <w:tc>
          <w:tcPr>
            <w:tcW w:w="340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2CF47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0</w:t>
            </w:r>
          </w:p>
        </w:tc>
      </w:tr>
      <w:tr w14:paraId="32C7EACB">
        <w:tblPrEx>
          <w:tblCellMar>
            <w:top w:w="0" w:type="dxa"/>
            <w:left w:w="0" w:type="dxa"/>
            <w:bottom w:w="0" w:type="dxa"/>
            <w:right w:w="0" w:type="dxa"/>
          </w:tblCellMar>
        </w:tblPrEx>
        <w:trPr>
          <w:gridBefore w:val="1"/>
          <w:wBefore w:w="20" w:type="dxa"/>
          <w:trHeight w:val="585" w:hRule="atLeast"/>
          <w:jc w:val="center"/>
        </w:trPr>
        <w:tc>
          <w:tcPr>
            <w:tcW w:w="120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985A0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年度目标完成情况</w:t>
            </w:r>
          </w:p>
        </w:tc>
        <w:tc>
          <w:tcPr>
            <w:tcW w:w="415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C57A2D">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预期目标</w:t>
            </w:r>
          </w:p>
        </w:tc>
        <w:tc>
          <w:tcPr>
            <w:tcW w:w="478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11B98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实际完成目标</w:t>
            </w:r>
          </w:p>
        </w:tc>
      </w:tr>
      <w:tr w14:paraId="36ACAD32">
        <w:tblPrEx>
          <w:tblCellMar>
            <w:top w:w="0" w:type="dxa"/>
            <w:left w:w="0" w:type="dxa"/>
            <w:bottom w:w="0" w:type="dxa"/>
            <w:right w:w="0" w:type="dxa"/>
          </w:tblCellMar>
        </w:tblPrEx>
        <w:trPr>
          <w:gridBefore w:val="1"/>
          <w:wBefore w:w="20" w:type="dxa"/>
          <w:trHeight w:val="855" w:hRule="atLeast"/>
          <w:jc w:val="center"/>
        </w:trPr>
        <w:tc>
          <w:tcPr>
            <w:tcW w:w="12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811035">
            <w:pPr>
              <w:jc w:val="center"/>
              <w:rPr>
                <w:rFonts w:ascii="仿宋" w:hAnsi="仿宋" w:eastAsia="仿宋" w:cs="宋体"/>
                <w:color w:val="000000"/>
                <w:sz w:val="24"/>
              </w:rPr>
            </w:pPr>
          </w:p>
        </w:tc>
        <w:tc>
          <w:tcPr>
            <w:tcW w:w="415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0F7568">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全区所有党政群机关事业单位</w:t>
            </w:r>
          </w:p>
        </w:tc>
        <w:tc>
          <w:tcPr>
            <w:tcW w:w="478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375E1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全区所有党政群机关事业单位全覆盖</w:t>
            </w:r>
          </w:p>
        </w:tc>
      </w:tr>
      <w:tr w14:paraId="0A521444">
        <w:tblPrEx>
          <w:tblCellMar>
            <w:top w:w="0" w:type="dxa"/>
            <w:left w:w="0" w:type="dxa"/>
            <w:bottom w:w="0" w:type="dxa"/>
            <w:right w:w="0" w:type="dxa"/>
          </w:tblCellMar>
        </w:tblPrEx>
        <w:trPr>
          <w:gridBefore w:val="1"/>
          <w:wBefore w:w="20" w:type="dxa"/>
          <w:trHeight w:val="585" w:hRule="atLeast"/>
          <w:jc w:val="center"/>
        </w:trPr>
        <w:tc>
          <w:tcPr>
            <w:tcW w:w="1203" w:type="dxa"/>
            <w:vMerge w:val="restart"/>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14:paraId="5C984A2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绩效指标完成情况</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4C5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一级指标</w:t>
            </w:r>
          </w:p>
        </w:tc>
        <w:tc>
          <w:tcPr>
            <w:tcW w:w="16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8E96C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二级指标</w:t>
            </w:r>
          </w:p>
        </w:tc>
        <w:tc>
          <w:tcPr>
            <w:tcW w:w="13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15AA0C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三级指标</w:t>
            </w:r>
          </w:p>
        </w:tc>
        <w:tc>
          <w:tcPr>
            <w:tcW w:w="1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CABA88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预期指标值(包含数字及文字描述)</w:t>
            </w:r>
          </w:p>
        </w:tc>
        <w:tc>
          <w:tcPr>
            <w:tcW w:w="3402"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8278AA5">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实际完成指标值(包含数字及文字描述)</w:t>
            </w:r>
          </w:p>
        </w:tc>
      </w:tr>
      <w:tr w14:paraId="4EB9BFCC">
        <w:tblPrEx>
          <w:tblCellMar>
            <w:top w:w="0" w:type="dxa"/>
            <w:left w:w="0" w:type="dxa"/>
            <w:bottom w:w="0" w:type="dxa"/>
            <w:right w:w="0" w:type="dxa"/>
          </w:tblCellMar>
        </w:tblPrEx>
        <w:trPr>
          <w:gridBefore w:val="1"/>
          <w:wBefore w:w="20" w:type="dxa"/>
          <w:trHeight w:val="495" w:hRule="atLeast"/>
          <w:jc w:val="center"/>
        </w:trPr>
        <w:tc>
          <w:tcPr>
            <w:tcW w:w="120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14:paraId="7309750F">
            <w:pPr>
              <w:jc w:val="center"/>
              <w:rPr>
                <w:rFonts w:ascii="仿宋" w:hAnsi="仿宋" w:eastAsia="仿宋" w:cs="宋体"/>
                <w:color w:val="000000"/>
                <w:sz w:val="24"/>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09CF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产出指标</w:t>
            </w:r>
          </w:p>
        </w:tc>
        <w:tc>
          <w:tcPr>
            <w:tcW w:w="16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DF3155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数量指标</w:t>
            </w: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A60393">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kern w:val="0"/>
                <w:sz w:val="24"/>
                <w:lang w:eastAsia="zh-CN" w:bidi="ar"/>
              </w:rPr>
              <w:t>机构改革完成数额</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6B0CFD">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kern w:val="0"/>
                <w:sz w:val="24"/>
                <w:lang w:val="en-US" w:eastAsia="zh-CN" w:bidi="ar"/>
              </w:rPr>
              <w:t>35</w:t>
            </w:r>
            <w:r>
              <w:rPr>
                <w:rFonts w:hint="eastAsia" w:ascii="仿宋" w:hAnsi="仿宋" w:eastAsia="仿宋" w:cs="宋体"/>
                <w:color w:val="000000"/>
                <w:kern w:val="0"/>
                <w:sz w:val="24"/>
                <w:lang w:bidi="ar"/>
              </w:rPr>
              <w:t>个</w:t>
            </w:r>
            <w:r>
              <w:rPr>
                <w:rFonts w:hint="eastAsia" w:ascii="仿宋" w:hAnsi="仿宋" w:eastAsia="仿宋" w:cs="宋体"/>
                <w:color w:val="000000"/>
                <w:kern w:val="0"/>
                <w:sz w:val="24"/>
                <w:lang w:eastAsia="zh-CN" w:bidi="ar"/>
              </w:rPr>
              <w:t>部门及</w:t>
            </w:r>
            <w:r>
              <w:rPr>
                <w:rFonts w:hint="eastAsia" w:ascii="仿宋" w:hAnsi="仿宋" w:eastAsia="仿宋" w:cs="宋体"/>
                <w:color w:val="000000"/>
                <w:kern w:val="0"/>
                <w:sz w:val="24"/>
                <w:lang w:val="en-US" w:eastAsia="zh-CN" w:bidi="ar"/>
              </w:rPr>
              <w:t>11个直属部门</w:t>
            </w:r>
          </w:p>
        </w:tc>
        <w:tc>
          <w:tcPr>
            <w:tcW w:w="340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9ADF74">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val="en-US" w:eastAsia="zh-CN" w:bidi="ar"/>
              </w:rPr>
              <w:t>35</w:t>
            </w:r>
            <w:r>
              <w:rPr>
                <w:rFonts w:hint="eastAsia" w:ascii="仿宋" w:hAnsi="仿宋" w:eastAsia="仿宋" w:cs="宋体"/>
                <w:color w:val="000000"/>
                <w:kern w:val="0"/>
                <w:sz w:val="24"/>
                <w:lang w:bidi="ar"/>
              </w:rPr>
              <w:t>个</w:t>
            </w:r>
            <w:r>
              <w:rPr>
                <w:rFonts w:hint="eastAsia" w:ascii="仿宋" w:hAnsi="仿宋" w:eastAsia="仿宋" w:cs="宋体"/>
                <w:color w:val="000000"/>
                <w:kern w:val="0"/>
                <w:sz w:val="24"/>
                <w:lang w:eastAsia="zh-CN" w:bidi="ar"/>
              </w:rPr>
              <w:t>部门及</w:t>
            </w:r>
            <w:r>
              <w:rPr>
                <w:rFonts w:hint="eastAsia" w:ascii="仿宋" w:hAnsi="仿宋" w:eastAsia="仿宋" w:cs="宋体"/>
                <w:color w:val="000000"/>
                <w:kern w:val="0"/>
                <w:sz w:val="24"/>
                <w:lang w:val="en-US" w:eastAsia="zh-CN" w:bidi="ar"/>
              </w:rPr>
              <w:t>11个直属部门</w:t>
            </w:r>
          </w:p>
        </w:tc>
      </w:tr>
      <w:tr w14:paraId="6EF04AB7">
        <w:tblPrEx>
          <w:tblCellMar>
            <w:top w:w="0" w:type="dxa"/>
            <w:left w:w="0" w:type="dxa"/>
            <w:bottom w:w="0" w:type="dxa"/>
            <w:right w:w="0" w:type="dxa"/>
          </w:tblCellMar>
        </w:tblPrEx>
        <w:trPr>
          <w:gridBefore w:val="1"/>
          <w:wBefore w:w="20" w:type="dxa"/>
          <w:trHeight w:val="585" w:hRule="atLeast"/>
          <w:jc w:val="center"/>
        </w:trPr>
        <w:tc>
          <w:tcPr>
            <w:tcW w:w="120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14:paraId="03F8DA5A">
            <w:pPr>
              <w:jc w:val="center"/>
              <w:rPr>
                <w:rFonts w:ascii="仿宋" w:hAnsi="仿宋" w:eastAsia="仿宋" w:cs="宋体"/>
                <w:color w:val="000000"/>
                <w:sz w:val="24"/>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103D">
            <w:pPr>
              <w:jc w:val="center"/>
              <w:rPr>
                <w:rFonts w:ascii="仿宋" w:hAnsi="仿宋" w:eastAsia="仿宋" w:cs="宋体"/>
                <w:color w:val="000000"/>
                <w:sz w:val="24"/>
              </w:rPr>
            </w:pPr>
          </w:p>
        </w:tc>
        <w:tc>
          <w:tcPr>
            <w:tcW w:w="1695" w:type="dxa"/>
            <w:tcBorders>
              <w:top w:val="nil"/>
              <w:left w:val="nil"/>
              <w:bottom w:val="nil"/>
              <w:right w:val="single" w:color="000000" w:sz="8" w:space="0"/>
            </w:tcBorders>
            <w:shd w:val="clear" w:color="auto" w:fill="auto"/>
            <w:tcMar>
              <w:top w:w="15" w:type="dxa"/>
              <w:left w:w="15" w:type="dxa"/>
              <w:right w:w="15" w:type="dxa"/>
            </w:tcMar>
            <w:vAlign w:val="center"/>
          </w:tcPr>
          <w:p w14:paraId="39BF440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质量指标</w:t>
            </w: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BB95A1">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改革任务完成率</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8A0D99">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kern w:val="0"/>
                <w:sz w:val="24"/>
                <w:lang w:eastAsia="zh-CN" w:bidi="ar"/>
              </w:rPr>
              <w:t>全面完成</w:t>
            </w:r>
          </w:p>
        </w:tc>
        <w:tc>
          <w:tcPr>
            <w:tcW w:w="340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431D6B">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eastAsia="zh-CN" w:bidi="ar"/>
              </w:rPr>
              <w:t>全面完成</w:t>
            </w:r>
          </w:p>
        </w:tc>
      </w:tr>
      <w:tr w14:paraId="6291F6CE">
        <w:tblPrEx>
          <w:tblCellMar>
            <w:top w:w="0" w:type="dxa"/>
            <w:left w:w="0" w:type="dxa"/>
            <w:bottom w:w="0" w:type="dxa"/>
            <w:right w:w="0" w:type="dxa"/>
          </w:tblCellMar>
        </w:tblPrEx>
        <w:trPr>
          <w:gridBefore w:val="1"/>
          <w:wBefore w:w="20" w:type="dxa"/>
          <w:trHeight w:val="585" w:hRule="atLeast"/>
          <w:jc w:val="center"/>
        </w:trPr>
        <w:tc>
          <w:tcPr>
            <w:tcW w:w="120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14:paraId="7E8B1F5F">
            <w:pPr>
              <w:jc w:val="center"/>
              <w:rPr>
                <w:rFonts w:ascii="仿宋" w:hAnsi="仿宋" w:eastAsia="仿宋" w:cs="宋体"/>
                <w:color w:val="000000"/>
                <w:sz w:val="24"/>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A62D">
            <w:pPr>
              <w:jc w:val="center"/>
              <w:rPr>
                <w:rFonts w:ascii="仿宋" w:hAnsi="仿宋" w:eastAsia="仿宋" w:cs="宋体"/>
                <w:color w:val="000000"/>
                <w:sz w:val="24"/>
              </w:rPr>
            </w:pPr>
          </w:p>
        </w:tc>
        <w:tc>
          <w:tcPr>
            <w:tcW w:w="16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07C8B">
            <w:pPr>
              <w:widowControl/>
              <w:ind w:firstLine="480" w:firstLineChars="200"/>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时效指标</w:t>
            </w: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06BCC8">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kern w:val="0"/>
                <w:sz w:val="24"/>
                <w:lang w:eastAsia="zh-CN" w:bidi="ar"/>
              </w:rPr>
              <w:t>当年完成情况</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5D38DC">
            <w:pPr>
              <w:widowControl/>
              <w:jc w:val="center"/>
              <w:textAlignment w:val="center"/>
              <w:rPr>
                <w:rFonts w:hint="default" w:ascii="仿宋" w:hAnsi="仿宋" w:eastAsia="仿宋" w:cs="宋体"/>
                <w:color w:val="000000"/>
                <w:sz w:val="24"/>
                <w:lang w:val="en-US" w:eastAsia="zh-CN"/>
              </w:rPr>
            </w:pPr>
            <w:r>
              <w:rPr>
                <w:rFonts w:hint="eastAsia" w:ascii="仿宋" w:hAnsi="仿宋" w:eastAsia="仿宋" w:cs="宋体"/>
                <w:color w:val="000000"/>
                <w:sz w:val="24"/>
                <w:lang w:eastAsia="zh-CN"/>
              </w:rPr>
              <w:t>从</w:t>
            </w:r>
            <w:r>
              <w:rPr>
                <w:rFonts w:hint="eastAsia" w:ascii="仿宋" w:hAnsi="仿宋" w:eastAsia="仿宋" w:cs="宋体"/>
                <w:color w:val="000000"/>
                <w:sz w:val="24"/>
                <w:lang w:val="en-US" w:eastAsia="zh-CN"/>
              </w:rPr>
              <w:t>1月1日起至12月31日止</w:t>
            </w:r>
          </w:p>
        </w:tc>
        <w:tc>
          <w:tcPr>
            <w:tcW w:w="340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7EBB72">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从</w:t>
            </w:r>
            <w:r>
              <w:rPr>
                <w:rFonts w:hint="eastAsia" w:ascii="仿宋" w:hAnsi="仿宋" w:eastAsia="仿宋" w:cs="宋体"/>
                <w:color w:val="000000"/>
                <w:sz w:val="24"/>
                <w:lang w:val="en-US" w:eastAsia="zh-CN"/>
              </w:rPr>
              <w:t>1月1日起至12月31日止</w:t>
            </w:r>
          </w:p>
        </w:tc>
      </w:tr>
      <w:tr w14:paraId="7AF5788D">
        <w:tblPrEx>
          <w:tblCellMar>
            <w:top w:w="0" w:type="dxa"/>
            <w:left w:w="0" w:type="dxa"/>
            <w:bottom w:w="0" w:type="dxa"/>
            <w:right w:w="0" w:type="dxa"/>
          </w:tblCellMar>
        </w:tblPrEx>
        <w:trPr>
          <w:gridBefore w:val="1"/>
          <w:wBefore w:w="20" w:type="dxa"/>
          <w:trHeight w:val="870" w:hRule="atLeast"/>
          <w:jc w:val="center"/>
        </w:trPr>
        <w:tc>
          <w:tcPr>
            <w:tcW w:w="120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14:paraId="73AF8D5B">
            <w:pPr>
              <w:jc w:val="center"/>
              <w:rPr>
                <w:rFonts w:ascii="仿宋" w:hAnsi="仿宋" w:eastAsia="仿宋" w:cs="宋体"/>
                <w:color w:val="000000"/>
                <w:sz w:val="24"/>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D027">
            <w:pPr>
              <w:jc w:val="center"/>
              <w:rPr>
                <w:rFonts w:ascii="仿宋" w:hAnsi="仿宋" w:eastAsia="仿宋" w:cs="宋体"/>
                <w:color w:val="000000"/>
                <w:sz w:val="24"/>
              </w:rPr>
            </w:pPr>
          </w:p>
        </w:tc>
        <w:tc>
          <w:tcPr>
            <w:tcW w:w="16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C770DC">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成本指标</w:t>
            </w: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9B37D5">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kern w:val="0"/>
                <w:sz w:val="24"/>
                <w:lang w:eastAsia="zh-CN" w:bidi="ar"/>
              </w:rPr>
              <w:t>经费开支</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C762B5">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用于改革的差旅费、人员配置等</w:t>
            </w:r>
          </w:p>
        </w:tc>
        <w:tc>
          <w:tcPr>
            <w:tcW w:w="340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0229C1">
            <w:pPr>
              <w:widowControl/>
              <w:jc w:val="center"/>
              <w:textAlignment w:val="center"/>
              <w:rPr>
                <w:rFonts w:ascii="仿宋" w:hAnsi="仿宋" w:eastAsia="仿宋" w:cs="宋体"/>
                <w:color w:val="000000"/>
                <w:sz w:val="24"/>
              </w:rPr>
            </w:pPr>
            <w:r>
              <w:rPr>
                <w:rFonts w:hint="eastAsia" w:ascii="仿宋" w:hAnsi="仿宋" w:eastAsia="仿宋" w:cs="宋体"/>
                <w:color w:val="000000"/>
                <w:sz w:val="24"/>
                <w:lang w:eastAsia="zh-CN"/>
              </w:rPr>
              <w:t>用于改革的差旅费、人员配置等</w:t>
            </w:r>
          </w:p>
        </w:tc>
      </w:tr>
      <w:tr w14:paraId="08E6F19C">
        <w:tblPrEx>
          <w:tblCellMar>
            <w:top w:w="0" w:type="dxa"/>
            <w:left w:w="0" w:type="dxa"/>
            <w:bottom w:w="0" w:type="dxa"/>
            <w:right w:w="0" w:type="dxa"/>
          </w:tblCellMar>
        </w:tblPrEx>
        <w:trPr>
          <w:gridBefore w:val="1"/>
          <w:wBefore w:w="20" w:type="dxa"/>
          <w:trHeight w:val="585" w:hRule="atLeast"/>
          <w:jc w:val="center"/>
        </w:trPr>
        <w:tc>
          <w:tcPr>
            <w:tcW w:w="120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14:paraId="5C11E469">
            <w:pPr>
              <w:jc w:val="center"/>
              <w:rPr>
                <w:rFonts w:ascii="仿宋" w:hAnsi="仿宋" w:eastAsia="仿宋" w:cs="宋体"/>
                <w:color w:val="000000"/>
                <w:sz w:val="24"/>
              </w:rPr>
            </w:pPr>
          </w:p>
        </w:tc>
        <w:tc>
          <w:tcPr>
            <w:tcW w:w="111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177A7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效益指标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CC358">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社会效益指标</w:t>
            </w: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54CC82">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kern w:val="0"/>
                <w:sz w:val="24"/>
                <w:lang w:eastAsia="zh-CN" w:bidi="ar"/>
              </w:rPr>
              <w:t>公众满意度</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9F04E8">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kern w:val="0"/>
                <w:sz w:val="24"/>
                <w:lang w:eastAsia="zh-CN" w:bidi="ar"/>
              </w:rPr>
              <w:t>设置科学合理，人员编制配备精准，人员配置有利于工作开展</w:t>
            </w:r>
          </w:p>
        </w:tc>
        <w:tc>
          <w:tcPr>
            <w:tcW w:w="340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3AD3F8">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eastAsia="zh-CN" w:bidi="ar"/>
              </w:rPr>
              <w:t>设置科学合理，人员编制配备精准，人员配置有利于工作开展</w:t>
            </w:r>
          </w:p>
        </w:tc>
      </w:tr>
      <w:tr w14:paraId="14471C7B">
        <w:tblPrEx>
          <w:tblCellMar>
            <w:top w:w="0" w:type="dxa"/>
            <w:left w:w="0" w:type="dxa"/>
            <w:bottom w:w="0" w:type="dxa"/>
            <w:right w:w="0" w:type="dxa"/>
          </w:tblCellMar>
        </w:tblPrEx>
        <w:trPr>
          <w:gridBefore w:val="1"/>
          <w:wBefore w:w="20" w:type="dxa"/>
          <w:trHeight w:val="585" w:hRule="atLeast"/>
          <w:jc w:val="center"/>
        </w:trPr>
        <w:tc>
          <w:tcPr>
            <w:tcW w:w="120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14:paraId="7CBC8593">
            <w:pPr>
              <w:jc w:val="center"/>
              <w:rPr>
                <w:rFonts w:ascii="仿宋" w:hAnsi="仿宋" w:eastAsia="仿宋" w:cs="宋体"/>
                <w:color w:val="000000"/>
                <w:sz w:val="24"/>
              </w:rPr>
            </w:pPr>
          </w:p>
        </w:tc>
        <w:tc>
          <w:tcPr>
            <w:tcW w:w="111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61C0EF">
            <w:pPr>
              <w:jc w:val="center"/>
              <w:rPr>
                <w:rFonts w:ascii="仿宋" w:hAnsi="仿宋" w:eastAsia="仿宋" w:cs="宋体"/>
                <w:color w:val="000000"/>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467C7">
            <w:pPr>
              <w:widowControl/>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可持续影响指标</w:t>
            </w: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57F081">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kern w:val="0"/>
                <w:sz w:val="24"/>
                <w:lang w:eastAsia="zh-CN" w:bidi="ar"/>
              </w:rPr>
              <w:t>正常运转情况</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9D1A8B">
            <w:pPr>
              <w:widowControl/>
              <w:jc w:val="center"/>
              <w:textAlignment w:val="center"/>
              <w:rPr>
                <w:rFonts w:hint="eastAsia" w:ascii="仿宋" w:hAnsi="仿宋" w:eastAsia="仿宋" w:cs="宋体"/>
                <w:color w:val="000000"/>
                <w:sz w:val="24"/>
                <w:lang w:eastAsia="zh-CN"/>
              </w:rPr>
            </w:pPr>
            <w:r>
              <w:rPr>
                <w:rFonts w:hint="eastAsia" w:ascii="仿宋" w:hAnsi="仿宋" w:eastAsia="仿宋" w:cs="宋体"/>
                <w:color w:val="000000"/>
                <w:kern w:val="0"/>
                <w:sz w:val="24"/>
                <w:lang w:eastAsia="zh-CN" w:bidi="ar"/>
              </w:rPr>
              <w:t>工作正常开展，运转正常</w:t>
            </w:r>
          </w:p>
        </w:tc>
        <w:tc>
          <w:tcPr>
            <w:tcW w:w="340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6C49E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永久</w:t>
            </w:r>
            <w:r>
              <w:rPr>
                <w:rFonts w:hint="eastAsia" w:ascii="仿宋" w:hAnsi="仿宋" w:eastAsia="仿宋" w:cs="宋体"/>
                <w:color w:val="000000"/>
                <w:kern w:val="0"/>
                <w:sz w:val="24"/>
                <w:lang w:eastAsia="zh-CN" w:bidi="ar"/>
              </w:rPr>
              <w:t>工作正常开展，运转正常</w:t>
            </w:r>
          </w:p>
        </w:tc>
      </w:tr>
      <w:tr w14:paraId="75B8AAD9">
        <w:tblPrEx>
          <w:tblCellMar>
            <w:top w:w="0" w:type="dxa"/>
            <w:left w:w="0" w:type="dxa"/>
            <w:bottom w:w="0" w:type="dxa"/>
            <w:right w:w="0" w:type="dxa"/>
          </w:tblCellMar>
        </w:tblPrEx>
        <w:trPr>
          <w:gridBefore w:val="1"/>
          <w:wBefore w:w="20" w:type="dxa"/>
          <w:trHeight w:val="555" w:hRule="atLeast"/>
          <w:jc w:val="center"/>
        </w:trPr>
        <w:tc>
          <w:tcPr>
            <w:tcW w:w="120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14:paraId="554951DA">
            <w:pPr>
              <w:jc w:val="center"/>
              <w:rPr>
                <w:rFonts w:ascii="仿宋" w:hAnsi="仿宋" w:eastAsia="仿宋" w:cs="宋体"/>
                <w:color w:val="000000"/>
                <w:sz w:val="24"/>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8E9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满意度指标</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29CC">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服务对象满意度指标</w:t>
            </w: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E8F713">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收益单位满意度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4241C">
            <w:pPr>
              <w:widowControl/>
              <w:jc w:val="center"/>
              <w:textAlignment w:val="center"/>
              <w:rPr>
                <w:rFonts w:ascii="仿宋" w:hAnsi="仿宋" w:eastAsia="仿宋"/>
                <w:color w:val="000000"/>
                <w:sz w:val="24"/>
              </w:rPr>
            </w:pPr>
            <w:r>
              <w:rPr>
                <w:rFonts w:hint="eastAsia" w:ascii="仿宋" w:hAnsi="仿宋" w:eastAsia="仿宋" w:cs="宋体"/>
                <w:color w:val="000000"/>
                <w:kern w:val="0"/>
                <w:sz w:val="24"/>
                <w:lang w:bidi="ar"/>
              </w:rPr>
              <w:t>≥</w:t>
            </w:r>
            <w:r>
              <w:rPr>
                <w:rStyle w:val="19"/>
                <w:rFonts w:ascii="仿宋" w:hAnsi="仿宋" w:eastAsia="仿宋"/>
                <w:sz w:val="24"/>
                <w:szCs w:val="24"/>
                <w:lang w:bidi="ar"/>
              </w:rPr>
              <w:t>90%</w:t>
            </w:r>
          </w:p>
        </w:tc>
        <w:tc>
          <w:tcPr>
            <w:tcW w:w="340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37605">
            <w:pPr>
              <w:widowControl/>
              <w:jc w:val="center"/>
              <w:textAlignment w:val="center"/>
              <w:rPr>
                <w:rFonts w:ascii="仿宋" w:hAnsi="仿宋" w:eastAsia="仿宋"/>
                <w:color w:val="000000"/>
                <w:sz w:val="24"/>
              </w:rPr>
            </w:pPr>
            <w:r>
              <w:rPr>
                <w:rFonts w:hint="eastAsia" w:ascii="仿宋" w:hAnsi="仿宋" w:eastAsia="仿宋" w:cs="宋体"/>
                <w:color w:val="000000"/>
                <w:kern w:val="0"/>
                <w:sz w:val="24"/>
                <w:lang w:bidi="ar"/>
              </w:rPr>
              <w:t>≥</w:t>
            </w:r>
            <w:r>
              <w:rPr>
                <w:rStyle w:val="19"/>
                <w:rFonts w:ascii="仿宋" w:hAnsi="仿宋" w:eastAsia="仿宋"/>
                <w:sz w:val="24"/>
                <w:szCs w:val="24"/>
                <w:lang w:bidi="ar"/>
              </w:rPr>
              <w:t>90%</w:t>
            </w:r>
          </w:p>
        </w:tc>
      </w:tr>
      <w:tr w14:paraId="0CCEAECB">
        <w:tblPrEx>
          <w:tblCellMar>
            <w:top w:w="0" w:type="dxa"/>
            <w:left w:w="0" w:type="dxa"/>
            <w:bottom w:w="0" w:type="dxa"/>
            <w:right w:w="0" w:type="dxa"/>
          </w:tblCellMar>
        </w:tblPrEx>
        <w:trPr>
          <w:gridBefore w:val="1"/>
          <w:wBefore w:w="20" w:type="dxa"/>
          <w:trHeight w:val="555" w:hRule="atLeast"/>
          <w:jc w:val="center"/>
        </w:trPr>
        <w:tc>
          <w:tcPr>
            <w:tcW w:w="1203"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14:paraId="741D5461">
            <w:pPr>
              <w:jc w:val="center"/>
              <w:rPr>
                <w:rFonts w:ascii="仿宋" w:hAnsi="仿宋" w:eastAsia="仿宋" w:cs="宋体"/>
                <w:color w:val="000000"/>
                <w:sz w:val="24"/>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19FDA">
            <w:pPr>
              <w:jc w:val="center"/>
              <w:rPr>
                <w:rFonts w:ascii="仿宋" w:hAnsi="仿宋" w:eastAsia="仿宋" w:cs="宋体"/>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CEF2F">
            <w:pPr>
              <w:jc w:val="center"/>
              <w:rPr>
                <w:rFonts w:ascii="仿宋" w:hAnsi="仿宋" w:eastAsia="仿宋" w:cs="宋体"/>
                <w:color w:val="000000"/>
                <w:sz w:val="24"/>
              </w:rPr>
            </w:pPr>
          </w:p>
        </w:tc>
        <w:tc>
          <w:tcPr>
            <w:tcW w:w="13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F03E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办事单位满意度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74786">
            <w:pPr>
              <w:widowControl/>
              <w:jc w:val="center"/>
              <w:textAlignment w:val="center"/>
              <w:rPr>
                <w:rFonts w:ascii="仿宋" w:hAnsi="仿宋" w:eastAsia="仿宋"/>
                <w:color w:val="000000"/>
                <w:sz w:val="24"/>
              </w:rPr>
            </w:pPr>
            <w:r>
              <w:rPr>
                <w:rFonts w:hint="eastAsia" w:ascii="仿宋" w:hAnsi="仿宋" w:eastAsia="仿宋" w:cs="宋体"/>
                <w:color w:val="000000"/>
                <w:kern w:val="0"/>
                <w:sz w:val="24"/>
                <w:lang w:bidi="ar"/>
              </w:rPr>
              <w:t>≥</w:t>
            </w:r>
            <w:r>
              <w:rPr>
                <w:rStyle w:val="19"/>
                <w:rFonts w:ascii="仿宋" w:hAnsi="仿宋" w:eastAsia="仿宋"/>
                <w:sz w:val="24"/>
                <w:szCs w:val="24"/>
                <w:lang w:bidi="ar"/>
              </w:rPr>
              <w:t>90%</w:t>
            </w:r>
          </w:p>
        </w:tc>
        <w:tc>
          <w:tcPr>
            <w:tcW w:w="340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8DB46">
            <w:pPr>
              <w:widowControl/>
              <w:jc w:val="center"/>
              <w:textAlignment w:val="center"/>
              <w:rPr>
                <w:rFonts w:ascii="仿宋" w:hAnsi="仿宋" w:eastAsia="仿宋"/>
                <w:color w:val="000000"/>
                <w:sz w:val="24"/>
              </w:rPr>
            </w:pPr>
            <w:r>
              <w:rPr>
                <w:rFonts w:hint="eastAsia" w:ascii="仿宋" w:hAnsi="仿宋" w:eastAsia="仿宋" w:cs="宋体"/>
                <w:color w:val="000000"/>
                <w:kern w:val="0"/>
                <w:sz w:val="24"/>
                <w:lang w:bidi="ar"/>
              </w:rPr>
              <w:t>≥</w:t>
            </w:r>
            <w:r>
              <w:rPr>
                <w:rStyle w:val="19"/>
                <w:rFonts w:ascii="仿宋" w:hAnsi="仿宋" w:eastAsia="仿宋"/>
                <w:sz w:val="24"/>
                <w:szCs w:val="24"/>
                <w:lang w:bidi="ar"/>
              </w:rPr>
              <w:t>90%</w:t>
            </w:r>
          </w:p>
        </w:tc>
      </w:tr>
    </w:tbl>
    <w:p w14:paraId="55D71906">
      <w:pPr>
        <w:rPr>
          <w:rFonts w:hint="eastAsia" w:ascii="仿宋" w:hAnsi="仿宋" w:eastAsia="仿宋" w:cs="楷体_GB2312"/>
          <w:sz w:val="32"/>
          <w:szCs w:val="32"/>
        </w:rPr>
      </w:pPr>
    </w:p>
    <w:p w14:paraId="592B33E6">
      <w:pPr>
        <w:rPr>
          <w:rFonts w:ascii="仿宋" w:hAnsi="仿宋" w:eastAsia="仿宋" w:cs="仿宋_GB2312"/>
          <w:sz w:val="32"/>
          <w:szCs w:val="32"/>
        </w:rPr>
      </w:pPr>
      <w:r>
        <w:rPr>
          <w:rFonts w:hint="eastAsia" w:ascii="仿宋" w:hAnsi="仿宋" w:eastAsia="仿宋" w:cs="楷体_GB2312"/>
          <w:sz w:val="32"/>
          <w:szCs w:val="32"/>
        </w:rPr>
        <w:t>2、部门开展绩效评价结果。</w:t>
      </w:r>
    </w:p>
    <w:p w14:paraId="57276EB2">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本部门按要求对20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年部门整体支出绩效评价情况开展自评，《中共广元市昭化区委机构编制委员会办公室20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年部门整体支出绩效评价报告》见附件。</w:t>
      </w:r>
    </w:p>
    <w:p w14:paraId="249D1C02">
      <w:pPr>
        <w:rPr>
          <w:rFonts w:hint="eastAsia" w:ascii="黑体" w:hAnsi="黑体" w:eastAsia="黑体"/>
          <w:color w:val="000000"/>
          <w:sz w:val="44"/>
          <w:szCs w:val="44"/>
        </w:rPr>
      </w:pPr>
      <w:bookmarkStart w:id="73" w:name="_Toc15377225"/>
      <w:bookmarkStart w:id="74" w:name="_Toc15396613"/>
      <w:bookmarkStart w:id="75" w:name="_Toc72671138"/>
    </w:p>
    <w:p w14:paraId="62633FD9">
      <w:pPr>
        <w:rPr>
          <w:rFonts w:hint="eastAsia" w:ascii="黑体" w:hAnsi="黑体" w:eastAsia="黑体"/>
          <w:color w:val="000000"/>
          <w:sz w:val="44"/>
          <w:szCs w:val="44"/>
        </w:rPr>
      </w:pPr>
    </w:p>
    <w:p w14:paraId="02217572">
      <w:pPr>
        <w:ind w:firstLine="2200" w:firstLineChars="500"/>
        <w:rPr>
          <w:rFonts w:hint="eastAsia" w:ascii="黑体" w:hAnsi="黑体" w:eastAsia="黑体"/>
          <w:color w:val="000000"/>
          <w:sz w:val="44"/>
          <w:szCs w:val="44"/>
          <w:lang w:val="en-US" w:eastAsia="zh-CN"/>
        </w:rPr>
      </w:pPr>
    </w:p>
    <w:p w14:paraId="3DF5DD28">
      <w:pPr>
        <w:ind w:firstLine="2200" w:firstLineChars="500"/>
        <w:rPr>
          <w:rStyle w:val="20"/>
          <w:rFonts w:ascii="黑体" w:hAnsi="黑体" w:eastAsia="黑体"/>
          <w:b w:val="0"/>
          <w:bCs w:val="0"/>
        </w:rPr>
      </w:pPr>
      <w:r>
        <w:rPr>
          <w:rFonts w:hint="eastAsia" w:ascii="黑体" w:hAnsi="黑体" w:eastAsia="黑体"/>
          <w:color w:val="000000"/>
          <w:sz w:val="44"/>
          <w:szCs w:val="44"/>
          <w:lang w:val="en-US" w:eastAsia="zh-CN"/>
        </w:rPr>
        <w:t xml:space="preserve">第三部分 </w:t>
      </w:r>
      <w:r>
        <w:rPr>
          <w:rFonts w:hint="eastAsia" w:ascii="黑体" w:hAnsi="黑体" w:eastAsia="黑体"/>
          <w:color w:val="000000"/>
          <w:sz w:val="44"/>
          <w:szCs w:val="44"/>
        </w:rPr>
        <w:t>名</w:t>
      </w:r>
      <w:r>
        <w:rPr>
          <w:rStyle w:val="20"/>
          <w:rFonts w:hint="eastAsia" w:ascii="黑体" w:hAnsi="黑体" w:eastAsia="黑体"/>
          <w:b w:val="0"/>
          <w:bCs w:val="0"/>
        </w:rPr>
        <w:t>词解释</w:t>
      </w:r>
      <w:bookmarkEnd w:id="73"/>
      <w:bookmarkEnd w:id="74"/>
      <w:bookmarkEnd w:id="75"/>
    </w:p>
    <w:p w14:paraId="2BF2839F">
      <w:pPr>
        <w:spacing w:line="600" w:lineRule="exact"/>
        <w:jc w:val="left"/>
        <w:rPr>
          <w:rFonts w:ascii="仿宋" w:hAnsi="仿宋" w:eastAsia="仿宋"/>
          <w:color w:val="000000"/>
          <w:sz w:val="32"/>
          <w:szCs w:val="32"/>
        </w:rPr>
      </w:pPr>
    </w:p>
    <w:p w14:paraId="1A1EA978">
      <w:pPr>
        <w:pStyle w:val="21"/>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14:paraId="119DCD5C">
      <w:pPr>
        <w:pStyle w:val="21"/>
        <w:spacing w:line="560" w:lineRule="exact"/>
        <w:ind w:firstLine="640" w:firstLineChars="200"/>
        <w:rPr>
          <w:rFonts w:hAnsi="仿宋"/>
          <w:sz w:val="32"/>
          <w:szCs w:val="32"/>
        </w:rPr>
      </w:pPr>
      <w:r>
        <w:rPr>
          <w:rFonts w:hint="eastAsia" w:hAnsi="仿宋"/>
          <w:sz w:val="32"/>
          <w:szCs w:val="32"/>
        </w:rPr>
        <w:t>2</w:t>
      </w:r>
      <w:r>
        <w:rPr>
          <w:rFonts w:hAnsi="仿宋"/>
          <w:sz w:val="32"/>
          <w:szCs w:val="32"/>
        </w:rPr>
        <w:t>.</w:t>
      </w:r>
      <w:r>
        <w:rPr>
          <w:rFonts w:hint="eastAsia" w:hAnsi="仿宋"/>
          <w:sz w:val="32"/>
          <w:szCs w:val="32"/>
        </w:rPr>
        <w:t>年初结转和结余：指以前年度尚未完成、结转到本年按有关规定继续使用的资金。</w:t>
      </w:r>
      <w:r>
        <w:rPr>
          <w:rFonts w:hAnsi="仿宋"/>
          <w:sz w:val="32"/>
          <w:szCs w:val="32"/>
        </w:rPr>
        <w:t xml:space="preserve"> </w:t>
      </w:r>
    </w:p>
    <w:p w14:paraId="7B3C5F7C">
      <w:pPr>
        <w:pStyle w:val="21"/>
        <w:spacing w:line="560" w:lineRule="exact"/>
        <w:ind w:firstLine="640" w:firstLineChars="200"/>
        <w:rPr>
          <w:rFonts w:hAnsi="仿宋"/>
          <w:sz w:val="32"/>
          <w:szCs w:val="32"/>
        </w:rPr>
      </w:pPr>
      <w:r>
        <w:rPr>
          <w:rFonts w:hint="eastAsia" w:hAnsi="仿宋"/>
          <w:sz w:val="32"/>
          <w:szCs w:val="32"/>
        </w:rPr>
        <w:t>3、年末结转和结余：指单位按有关规定结转到下年或以后年度继续使用的资金。</w:t>
      </w:r>
    </w:p>
    <w:p w14:paraId="7676EDC7">
      <w:pPr>
        <w:spacing w:line="600" w:lineRule="exact"/>
        <w:ind w:firstLine="640" w:firstLineChars="200"/>
        <w:outlineLvl w:val="2"/>
        <w:rPr>
          <w:rStyle w:val="13"/>
          <w:rFonts w:ascii="仿宋" w:hAnsi="仿宋" w:eastAsia="仿宋" w:cs="仿宋_GB2312"/>
          <w:b w:val="0"/>
          <w:sz w:val="32"/>
          <w:szCs w:val="32"/>
          <w:highlight w:val="yellow"/>
        </w:rPr>
      </w:pPr>
      <w:bookmarkStart w:id="76" w:name="_Toc72671139"/>
      <w:r>
        <w:rPr>
          <w:rStyle w:val="13"/>
          <w:rFonts w:hint="eastAsia" w:ascii="仿宋" w:hAnsi="仿宋" w:eastAsia="仿宋" w:cs="仿宋_GB2312"/>
          <w:b w:val="0"/>
          <w:color w:val="000000"/>
          <w:sz w:val="32"/>
          <w:szCs w:val="32"/>
        </w:rPr>
        <w:t>4.</w:t>
      </w:r>
      <w:r>
        <w:rPr>
          <w:rStyle w:val="13"/>
          <w:rFonts w:hint="eastAsia" w:ascii="仿宋" w:hAnsi="仿宋" w:eastAsia="仿宋"/>
          <w:b w:val="0"/>
          <w:color w:val="000000"/>
          <w:sz w:val="32"/>
          <w:szCs w:val="32"/>
        </w:rPr>
        <w:t>一般公共服务（类）政府办公厅（室）及相关机构事务（款）行政运行（项）</w:t>
      </w:r>
      <w:r>
        <w:rPr>
          <w:rStyle w:val="13"/>
          <w:rFonts w:ascii="仿宋" w:hAnsi="仿宋" w:eastAsia="仿宋"/>
          <w:b w:val="0"/>
          <w:color w:val="000000"/>
          <w:sz w:val="32"/>
          <w:szCs w:val="32"/>
        </w:rPr>
        <w:t xml:space="preserve">: </w:t>
      </w:r>
      <w:r>
        <w:rPr>
          <w:rStyle w:val="13"/>
          <w:rFonts w:hint="eastAsia" w:ascii="仿宋" w:hAnsi="仿宋" w:eastAsia="仿宋" w:cs="仿宋_GB2312"/>
          <w:b w:val="0"/>
          <w:color w:val="000000"/>
          <w:sz w:val="32"/>
          <w:szCs w:val="32"/>
        </w:rPr>
        <w:t>指区委编办的基本支出。</w:t>
      </w:r>
      <w:bookmarkEnd w:id="76"/>
    </w:p>
    <w:p w14:paraId="7A47A142">
      <w:pPr>
        <w:spacing w:line="600" w:lineRule="exact"/>
        <w:ind w:firstLine="640" w:firstLineChars="200"/>
        <w:rPr>
          <w:rFonts w:ascii="仿宋" w:hAnsi="仿宋" w:eastAsia="仿宋" w:cs="仿宋_GB2312"/>
          <w:color w:val="000000"/>
          <w:sz w:val="32"/>
          <w:szCs w:val="32"/>
        </w:rPr>
      </w:pPr>
      <w:r>
        <w:rPr>
          <w:rStyle w:val="13"/>
          <w:rFonts w:hint="eastAsia" w:ascii="仿宋" w:hAnsi="仿宋" w:eastAsia="仿宋"/>
          <w:b w:val="0"/>
          <w:color w:val="000000"/>
          <w:sz w:val="32"/>
          <w:szCs w:val="32"/>
        </w:rPr>
        <w:t>5</w:t>
      </w:r>
      <w:r>
        <w:rPr>
          <w:rStyle w:val="13"/>
          <w:rFonts w:ascii="仿宋" w:hAnsi="仿宋" w:eastAsia="仿宋"/>
          <w:b w:val="0"/>
          <w:color w:val="000000"/>
          <w:sz w:val="32"/>
          <w:szCs w:val="32"/>
        </w:rPr>
        <w:t>.</w:t>
      </w:r>
      <w:r>
        <w:rPr>
          <w:rStyle w:val="13"/>
          <w:rFonts w:hint="eastAsia" w:ascii="仿宋" w:hAnsi="仿宋" w:eastAsia="仿宋"/>
          <w:b w:val="0"/>
          <w:color w:val="000000"/>
          <w:sz w:val="32"/>
          <w:szCs w:val="32"/>
        </w:rPr>
        <w:t>社会保障和就业（类）社会保障和就业支出（款）行政事业单位离退休（项）：指区委编办为单位职工缴纳基本养老保险缴费支出。</w:t>
      </w:r>
    </w:p>
    <w:p w14:paraId="417722E4">
      <w:pPr>
        <w:spacing w:line="600" w:lineRule="exact"/>
        <w:ind w:firstLine="640" w:firstLineChars="200"/>
        <w:rPr>
          <w:rStyle w:val="13"/>
          <w:rFonts w:ascii="仿宋" w:hAnsi="仿宋" w:eastAsia="仿宋" w:cs="仿宋_GB2312"/>
          <w:b w:val="0"/>
          <w:color w:val="000000"/>
          <w:sz w:val="32"/>
          <w:szCs w:val="32"/>
          <w:highlight w:val="yellow"/>
        </w:rPr>
      </w:pPr>
      <w:r>
        <w:rPr>
          <w:rStyle w:val="13"/>
          <w:rFonts w:hint="eastAsia" w:ascii="仿宋" w:hAnsi="仿宋" w:eastAsia="仿宋"/>
          <w:b w:val="0"/>
          <w:color w:val="000000"/>
          <w:sz w:val="32"/>
          <w:szCs w:val="32"/>
        </w:rPr>
        <w:t>6</w:t>
      </w:r>
      <w:r>
        <w:rPr>
          <w:rStyle w:val="13"/>
          <w:rFonts w:ascii="仿宋" w:hAnsi="仿宋" w:eastAsia="仿宋"/>
          <w:b w:val="0"/>
          <w:color w:val="000000"/>
          <w:sz w:val="32"/>
          <w:szCs w:val="32"/>
        </w:rPr>
        <w:t>.</w:t>
      </w:r>
      <w:r>
        <w:rPr>
          <w:rStyle w:val="13"/>
          <w:rFonts w:hint="eastAsia" w:ascii="仿宋" w:hAnsi="仿宋" w:eastAsia="仿宋"/>
          <w:b w:val="0"/>
          <w:color w:val="000000"/>
          <w:sz w:val="32"/>
          <w:szCs w:val="32"/>
        </w:rPr>
        <w:t>医疗卫生与计划生育（类）医疗卫生与计划生育支出（款）行政事业单位医疗（项）行政单位医疗：指区委编办为单位职工缴纳的医疗保险支出。</w:t>
      </w:r>
    </w:p>
    <w:p w14:paraId="68C437C0">
      <w:pPr>
        <w:spacing w:line="600" w:lineRule="exact"/>
        <w:ind w:firstLine="640"/>
        <w:rPr>
          <w:rFonts w:ascii="仿宋" w:hAnsi="仿宋" w:eastAsia="仿宋"/>
          <w:color w:val="000000"/>
          <w:sz w:val="32"/>
          <w:szCs w:val="32"/>
        </w:rPr>
      </w:pPr>
      <w:r>
        <w:rPr>
          <w:rStyle w:val="13"/>
          <w:rFonts w:hint="eastAsia" w:ascii="仿宋" w:hAnsi="仿宋" w:eastAsia="仿宋"/>
          <w:b w:val="0"/>
          <w:color w:val="000000"/>
          <w:sz w:val="32"/>
          <w:szCs w:val="32"/>
        </w:rPr>
        <w:t>7.住房保障支出（类）住房改革支出（款）住房公积金（项）:指区委编办为单位职工缴纳的住房公积金支出</w:t>
      </w:r>
      <w:r>
        <w:rPr>
          <w:rFonts w:hint="eastAsia" w:ascii="仿宋" w:hAnsi="仿宋" w:eastAsia="仿宋"/>
          <w:color w:val="000000"/>
          <w:sz w:val="32"/>
          <w:szCs w:val="32"/>
        </w:rPr>
        <w:t>。</w:t>
      </w:r>
    </w:p>
    <w:p w14:paraId="5962EAC2">
      <w:pPr>
        <w:ind w:firstLine="640" w:firstLineChars="200"/>
        <w:rPr>
          <w:rFonts w:ascii="仿宋" w:hAnsi="仿宋" w:eastAsia="仿宋"/>
          <w:color w:val="000000"/>
          <w:sz w:val="32"/>
          <w:szCs w:val="32"/>
        </w:rPr>
      </w:pPr>
      <w:r>
        <w:rPr>
          <w:rFonts w:hint="eastAsia" w:ascii="仿宋" w:hAnsi="仿宋" w:eastAsia="仿宋"/>
          <w:color w:val="000000"/>
          <w:sz w:val="32"/>
          <w:szCs w:val="32"/>
        </w:rPr>
        <w:t>8</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14:paraId="49594A10">
      <w:pPr>
        <w:pStyle w:val="21"/>
        <w:spacing w:line="560" w:lineRule="exact"/>
        <w:ind w:firstLine="640" w:firstLineChars="200"/>
        <w:rPr>
          <w:rFonts w:hAnsi="仿宋"/>
          <w:sz w:val="32"/>
          <w:szCs w:val="32"/>
        </w:rPr>
      </w:pPr>
      <w:r>
        <w:rPr>
          <w:rFonts w:hint="eastAsia" w:hAnsi="仿宋"/>
          <w:sz w:val="32"/>
          <w:szCs w:val="32"/>
        </w:rPr>
        <w:t>9</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412BB6">
      <w:pPr>
        <w:pStyle w:val="21"/>
        <w:spacing w:line="560" w:lineRule="exact"/>
        <w:ind w:firstLine="640" w:firstLineChars="200"/>
        <w:rPr>
          <w:rFonts w:hAnsi="仿宋"/>
          <w:sz w:val="32"/>
          <w:szCs w:val="32"/>
        </w:rPr>
      </w:pPr>
      <w:r>
        <w:rPr>
          <w:rFonts w:hint="eastAsia" w:hAnsi="仿宋"/>
          <w:sz w:val="32"/>
          <w:szCs w:val="32"/>
        </w:rPr>
        <w:t>10</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EFF9CB">
      <w:pPr>
        <w:pStyle w:val="21"/>
        <w:spacing w:line="560" w:lineRule="exact"/>
        <w:ind w:firstLine="640" w:firstLineChars="200"/>
        <w:rPr>
          <w:rFonts w:hAnsi="仿宋" w:cs="黑体"/>
          <w:sz w:val="32"/>
          <w:szCs w:val="32"/>
        </w:rPr>
      </w:pPr>
    </w:p>
    <w:p w14:paraId="11F009C4">
      <w:pPr>
        <w:widowControl/>
        <w:jc w:val="left"/>
        <w:rPr>
          <w:rFonts w:ascii="仿宋" w:hAnsi="仿宋" w:eastAsia="仿宋"/>
          <w:color w:val="000000"/>
          <w:sz w:val="32"/>
          <w:szCs w:val="32"/>
        </w:rPr>
      </w:pPr>
      <w:bookmarkStart w:id="77" w:name="_Toc15396614"/>
      <w:r>
        <w:rPr>
          <w:rFonts w:ascii="仿宋" w:hAnsi="仿宋" w:eastAsia="仿宋"/>
          <w:color w:val="000000"/>
          <w:sz w:val="32"/>
          <w:szCs w:val="32"/>
        </w:rPr>
        <w:br w:type="page"/>
      </w:r>
    </w:p>
    <w:p w14:paraId="6ED96DF9">
      <w:pPr>
        <w:spacing w:line="600" w:lineRule="exact"/>
        <w:jc w:val="center"/>
        <w:outlineLvl w:val="0"/>
        <w:rPr>
          <w:rStyle w:val="20"/>
          <w:rFonts w:ascii="黑体" w:hAnsi="黑体" w:eastAsia="黑体"/>
          <w:b w:val="0"/>
          <w:bCs w:val="0"/>
        </w:rPr>
      </w:pPr>
      <w:bookmarkStart w:id="78" w:name="_Toc72671140"/>
      <w:r>
        <w:rPr>
          <w:rFonts w:hint="eastAsia" w:ascii="黑体" w:hAnsi="黑体" w:eastAsia="黑体"/>
          <w:color w:val="000000"/>
          <w:sz w:val="44"/>
          <w:szCs w:val="44"/>
        </w:rPr>
        <w:t>第</w:t>
      </w:r>
      <w:r>
        <w:rPr>
          <w:rStyle w:val="20"/>
          <w:rFonts w:hint="eastAsia" w:ascii="黑体" w:hAnsi="黑体" w:eastAsia="黑体"/>
          <w:b w:val="0"/>
          <w:bCs w:val="0"/>
        </w:rPr>
        <w:t>四部分 附件</w:t>
      </w:r>
      <w:bookmarkEnd w:id="77"/>
      <w:bookmarkEnd w:id="78"/>
    </w:p>
    <w:p w14:paraId="69CD3786">
      <w:pPr>
        <w:spacing w:line="600" w:lineRule="exact"/>
        <w:jc w:val="left"/>
        <w:outlineLvl w:val="0"/>
        <w:rPr>
          <w:rFonts w:ascii="黑体" w:hAnsi="黑体" w:eastAsia="黑体" w:cs="方正小标宋简体"/>
          <w:sz w:val="32"/>
          <w:szCs w:val="32"/>
        </w:rPr>
      </w:pPr>
      <w:bookmarkStart w:id="79" w:name="_Toc72671141"/>
      <w:r>
        <w:rPr>
          <w:rFonts w:hint="eastAsia" w:ascii="黑体" w:hAnsi="黑体" w:eastAsia="黑体" w:cs="黑体"/>
          <w:sz w:val="32"/>
          <w:szCs w:val="32"/>
        </w:rPr>
        <w:t>附件1</w:t>
      </w:r>
      <w:bookmarkEnd w:id="79"/>
    </w:p>
    <w:p w14:paraId="7048CB9B">
      <w:pPr>
        <w:spacing w:line="600" w:lineRule="exact"/>
        <w:jc w:val="center"/>
        <w:outlineLvl w:val="0"/>
        <w:rPr>
          <w:rFonts w:hint="eastAsia" w:ascii="黑体" w:hAnsi="黑体" w:eastAsia="黑体" w:cs="黑体"/>
          <w:sz w:val="32"/>
          <w:szCs w:val="32"/>
        </w:rPr>
      </w:pPr>
      <w:bookmarkStart w:id="80" w:name="_Toc15396616"/>
      <w:bookmarkStart w:id="81" w:name="_Toc72671142"/>
      <w:r>
        <w:rPr>
          <w:rFonts w:hint="eastAsia" w:ascii="黑体" w:hAnsi="黑体" w:eastAsia="黑体" w:cs="黑体"/>
          <w:sz w:val="32"/>
          <w:szCs w:val="32"/>
        </w:rPr>
        <w:t>20</w:t>
      </w:r>
      <w:r>
        <w:rPr>
          <w:rFonts w:hint="eastAsia" w:ascii="黑体" w:hAnsi="黑体" w:eastAsia="黑体" w:cs="黑体"/>
          <w:sz w:val="32"/>
          <w:szCs w:val="32"/>
          <w:lang w:val="en-US" w:eastAsia="zh-CN"/>
        </w:rPr>
        <w:t>20</w:t>
      </w:r>
      <w:r>
        <w:rPr>
          <w:rFonts w:hint="eastAsia" w:ascii="黑体" w:hAnsi="黑体" w:eastAsia="黑体" w:cs="黑体"/>
          <w:sz w:val="32"/>
          <w:szCs w:val="32"/>
        </w:rPr>
        <w:t>年部门整体支出绩效评价报告</w:t>
      </w:r>
      <w:bookmarkEnd w:id="80"/>
      <w:bookmarkEnd w:id="81"/>
    </w:p>
    <w:p w14:paraId="12947A93">
      <w:pPr>
        <w:spacing w:line="580" w:lineRule="exact"/>
        <w:ind w:firstLine="640" w:firstLineChars="200"/>
        <w:rPr>
          <w:rFonts w:ascii="仿宋" w:hAnsi="仿宋" w:eastAsia="仿宋" w:cs="黑体"/>
          <w:sz w:val="32"/>
          <w:szCs w:val="32"/>
        </w:rPr>
      </w:pPr>
    </w:p>
    <w:p w14:paraId="575E9B15">
      <w:pPr>
        <w:spacing w:line="580" w:lineRule="exact"/>
        <w:ind w:firstLine="640" w:firstLineChars="200"/>
        <w:rPr>
          <w:rFonts w:ascii="仿宋" w:hAnsi="仿宋" w:eastAsia="仿宋" w:cs="黑体"/>
          <w:sz w:val="32"/>
          <w:szCs w:val="32"/>
        </w:rPr>
      </w:pPr>
      <w:r>
        <w:rPr>
          <w:rFonts w:hint="eastAsia" w:ascii="仿宋_GB2312" w:hAnsi="仿宋_GB2312" w:eastAsia="仿宋_GB2312" w:cs="仿宋_GB2312"/>
          <w:sz w:val="32"/>
          <w:szCs w:val="32"/>
        </w:rPr>
        <w:t>一、部门（单位）概况</w:t>
      </w:r>
    </w:p>
    <w:p w14:paraId="0DB43C81">
      <w:pPr>
        <w:spacing w:line="560" w:lineRule="exact"/>
        <w:ind w:firstLine="480" w:firstLineChars="150"/>
        <w:rPr>
          <w:rFonts w:ascii="仿宋" w:hAnsi="仿宋" w:eastAsia="仿宋"/>
          <w:sz w:val="32"/>
          <w:szCs w:val="32"/>
        </w:rPr>
      </w:pPr>
      <w:r>
        <w:rPr>
          <w:rFonts w:ascii="仿宋" w:hAnsi="仿宋" w:eastAsia="仿宋" w:cs="仿宋_GB2312"/>
          <w:sz w:val="32"/>
          <w:szCs w:val="32"/>
        </w:rPr>
        <w:t>（一）机构组成</w:t>
      </w:r>
    </w:p>
    <w:p w14:paraId="1E0ACCAB">
      <w:pPr>
        <w:spacing w:line="560" w:lineRule="exact"/>
        <w:ind w:firstLine="480" w:firstLineChars="150"/>
        <w:rPr>
          <w:rFonts w:ascii="仿宋" w:hAnsi="仿宋" w:eastAsia="仿宋" w:cs="仿宋_GB2312"/>
          <w:sz w:val="32"/>
          <w:szCs w:val="32"/>
        </w:rPr>
      </w:pPr>
      <w:r>
        <w:rPr>
          <w:rFonts w:hint="eastAsia" w:ascii="仿宋" w:hAnsi="仿宋" w:eastAsia="仿宋"/>
          <w:sz w:val="32"/>
          <w:szCs w:val="32"/>
        </w:rPr>
        <w:t>区委编办是一级预算单位，</w:t>
      </w:r>
      <w:r>
        <w:rPr>
          <w:rFonts w:hint="eastAsia" w:ascii="仿宋" w:hAnsi="仿宋" w:eastAsia="仿宋" w:cs="仿宋_GB2312"/>
          <w:sz w:val="32"/>
          <w:szCs w:val="32"/>
        </w:rPr>
        <w:t>下属2个事业单位，其中1个参公管理事业单位区事业单位登记服务中心，1个其他事业单位区机构编制信息中心。</w:t>
      </w:r>
    </w:p>
    <w:p w14:paraId="5D95B675">
      <w:pPr>
        <w:numPr>
          <w:ilvl w:val="0"/>
          <w:numId w:val="4"/>
        </w:numPr>
        <w:spacing w:line="560" w:lineRule="exact"/>
        <w:ind w:firstLine="600"/>
        <w:rPr>
          <w:rFonts w:ascii="仿宋" w:hAnsi="仿宋" w:eastAsia="仿宋"/>
          <w:color w:val="000000"/>
          <w:sz w:val="32"/>
          <w:szCs w:val="32"/>
        </w:rPr>
      </w:pPr>
      <w:r>
        <w:rPr>
          <w:rFonts w:ascii="仿宋" w:hAnsi="仿宋" w:eastAsia="仿宋" w:cs="仿宋_GB2312"/>
          <w:sz w:val="32"/>
          <w:szCs w:val="32"/>
        </w:rPr>
        <w:t>机构职能</w:t>
      </w:r>
    </w:p>
    <w:p w14:paraId="6309301E">
      <w:pPr>
        <w:spacing w:line="5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1</w:t>
      </w:r>
      <w:r>
        <w:rPr>
          <w:rFonts w:ascii="仿宋" w:hAnsi="仿宋" w:eastAsia="仿宋"/>
          <w:sz w:val="32"/>
          <w:szCs w:val="32"/>
        </w:rPr>
        <w:t>）贯彻执行中央关于行政管理体制改革和机构改革、事业单位改革及机构编制管理的方针政策、法律法规规章，研究起草规章草案、规范性文件，制定相关政策并监督实施。</w:t>
      </w:r>
    </w:p>
    <w:p w14:paraId="5E44E4E3">
      <w:pPr>
        <w:spacing w:line="5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w:t>
      </w:r>
      <w:r>
        <w:rPr>
          <w:rFonts w:ascii="仿宋" w:hAnsi="仿宋" w:eastAsia="仿宋"/>
          <w:sz w:val="32"/>
          <w:szCs w:val="32"/>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14:paraId="1268638D">
      <w:pPr>
        <w:spacing w:line="5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）拟订全区各级行政编制总额分配方案，分配政法专项编制。负责全区行政事业编制总量控制和机关事业单位机构编制实名制管理工作，对区直机关和区属事业单位使用空缺编制补充人员进行核批。</w:t>
      </w:r>
    </w:p>
    <w:p w14:paraId="7D599E28">
      <w:pPr>
        <w:spacing w:line="5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）负责区委、区政府各部门，区人大、区政协机关，区法院、区检察院机关，各民主党派区委机关、区人民团体机关的机构编制管理工作。协调区级部门之间的职责分工。</w:t>
      </w:r>
    </w:p>
    <w:p w14:paraId="2480739F">
      <w:pPr>
        <w:spacing w:line="5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5</w:t>
      </w:r>
      <w:r>
        <w:rPr>
          <w:rFonts w:ascii="仿宋" w:hAnsi="仿宋" w:eastAsia="仿宋"/>
          <w:sz w:val="32"/>
          <w:szCs w:val="32"/>
        </w:rPr>
        <w:t>）给市委编委呈报副科级或按照副科级及以上规格管理机构的设置、调整。</w:t>
      </w:r>
    </w:p>
    <w:p w14:paraId="3FDD8BAA">
      <w:pPr>
        <w:spacing w:line="5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）研究拟订全区事业单位改革方案和事业单位编制标准及实施意见，负责区属事业单位机构编制管理，审核区属事业单位的机构编制方案，负责参照《公务员法》管理事业单位职责的审核工作。</w:t>
      </w:r>
    </w:p>
    <w:p w14:paraId="06E9FDD6">
      <w:pPr>
        <w:spacing w:line="5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7</w:t>
      </w:r>
      <w:r>
        <w:rPr>
          <w:rFonts w:ascii="仿宋" w:hAnsi="仿宋" w:eastAsia="仿宋"/>
          <w:sz w:val="32"/>
          <w:szCs w:val="32"/>
        </w:rPr>
        <w:t>）监督检查全区行政管理体制改革和机构改革方案及机构编制规定执行情况，按照市委编委的要求，建立机构编制工作考核评估制度，会同有关部门查处机构编制违法违纪行为。</w:t>
      </w:r>
    </w:p>
    <w:p w14:paraId="1D689382">
      <w:pPr>
        <w:spacing w:line="5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8</w:t>
      </w:r>
      <w:r>
        <w:rPr>
          <w:rFonts w:ascii="仿宋" w:hAnsi="仿宋" w:eastAsia="仿宋"/>
          <w:sz w:val="32"/>
          <w:szCs w:val="32"/>
        </w:rPr>
        <w:t>）负责全区事业单位登记管理工作。</w:t>
      </w:r>
    </w:p>
    <w:p w14:paraId="50BB97EF">
      <w:pPr>
        <w:pStyle w:val="2"/>
        <w:adjustRightInd w:val="0"/>
        <w:snapToGrid w:val="0"/>
        <w:spacing w:before="93" w:line="600" w:lineRule="exact"/>
        <w:ind w:firstLine="672" w:firstLineChars="21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指导、协调、监督并推进全区深化行政审批制度改革工作。</w:t>
      </w:r>
    </w:p>
    <w:p w14:paraId="2FD2AB13">
      <w:pPr>
        <w:pStyle w:val="2"/>
        <w:adjustRightInd w:val="0"/>
        <w:snapToGrid w:val="0"/>
        <w:spacing w:before="93" w:line="600" w:lineRule="exact"/>
        <w:ind w:firstLine="672" w:firstLineChars="210"/>
        <w:rPr>
          <w:rFonts w:ascii="仿宋" w:hAnsi="仿宋" w:eastAsia="仿宋" w:cs="仿宋_GB2312"/>
          <w:color w:val="000000"/>
          <w:sz w:val="32"/>
          <w:szCs w:val="32"/>
        </w:rPr>
      </w:pPr>
      <w:r>
        <w:rPr>
          <w:rFonts w:hint="eastAsia" w:ascii="仿宋" w:hAnsi="仿宋" w:eastAsia="仿宋"/>
          <w:sz w:val="32"/>
          <w:szCs w:val="32"/>
        </w:rPr>
        <w:t>（10）</w:t>
      </w:r>
      <w:r>
        <w:rPr>
          <w:rFonts w:ascii="仿宋" w:hAnsi="仿宋" w:eastAsia="仿宋"/>
          <w:sz w:val="32"/>
          <w:szCs w:val="32"/>
        </w:rPr>
        <w:t>承办区委、区政府和区委编委交办的其他事项。</w:t>
      </w:r>
    </w:p>
    <w:p w14:paraId="201E05B0">
      <w:pPr>
        <w:spacing w:line="560" w:lineRule="exact"/>
        <w:ind w:firstLine="480" w:firstLineChars="150"/>
        <w:rPr>
          <w:rFonts w:ascii="仿宋" w:hAnsi="仿宋" w:eastAsia="仿宋" w:cs="仿宋_GB2312"/>
          <w:sz w:val="32"/>
          <w:szCs w:val="32"/>
        </w:rPr>
      </w:pPr>
      <w:r>
        <w:rPr>
          <w:rFonts w:ascii="仿宋" w:hAnsi="仿宋" w:eastAsia="仿宋" w:cs="仿宋_GB2312"/>
          <w:sz w:val="32"/>
          <w:szCs w:val="32"/>
        </w:rPr>
        <w:t>（三）人员概况</w:t>
      </w:r>
    </w:p>
    <w:p w14:paraId="549773DE">
      <w:pPr>
        <w:spacing w:line="560" w:lineRule="exact"/>
        <w:ind w:firstLine="800" w:firstLineChars="250"/>
        <w:rPr>
          <w:rFonts w:ascii="仿宋" w:hAnsi="仿宋" w:eastAsia="仿宋"/>
          <w:sz w:val="32"/>
          <w:szCs w:val="32"/>
        </w:rPr>
      </w:pPr>
      <w:r>
        <w:rPr>
          <w:rFonts w:hint="eastAsia" w:ascii="仿宋" w:hAnsi="仿宋" w:eastAsia="仿宋"/>
          <w:sz w:val="32"/>
          <w:szCs w:val="32"/>
        </w:rPr>
        <w:t>单位共有编制12名，实有人员</w:t>
      </w:r>
      <w:r>
        <w:rPr>
          <w:rFonts w:hint="eastAsia" w:ascii="仿宋" w:hAnsi="仿宋" w:eastAsia="仿宋"/>
          <w:sz w:val="32"/>
          <w:szCs w:val="32"/>
          <w:lang w:val="en-US" w:eastAsia="zh-CN"/>
        </w:rPr>
        <w:t>12</w:t>
      </w:r>
      <w:r>
        <w:rPr>
          <w:rFonts w:hint="eastAsia" w:ascii="仿宋" w:hAnsi="仿宋" w:eastAsia="仿宋"/>
          <w:sz w:val="32"/>
          <w:szCs w:val="32"/>
        </w:rPr>
        <w:t>人。其中：行政编制5人，参公事业编制管理</w:t>
      </w:r>
      <w:r>
        <w:rPr>
          <w:rFonts w:hint="eastAsia" w:ascii="仿宋" w:hAnsi="仿宋" w:eastAsia="仿宋"/>
          <w:sz w:val="32"/>
          <w:szCs w:val="32"/>
          <w:lang w:val="en-US" w:eastAsia="zh-CN"/>
        </w:rPr>
        <w:t>3</w:t>
      </w:r>
      <w:r>
        <w:rPr>
          <w:rFonts w:hint="eastAsia" w:ascii="仿宋" w:hAnsi="仿宋" w:eastAsia="仿宋"/>
          <w:sz w:val="32"/>
          <w:szCs w:val="32"/>
        </w:rPr>
        <w:t>人，其他事业编制4人。20</w:t>
      </w:r>
      <w:r>
        <w:rPr>
          <w:rFonts w:hint="eastAsia" w:ascii="仿宋" w:hAnsi="仿宋" w:eastAsia="仿宋"/>
          <w:sz w:val="32"/>
          <w:szCs w:val="32"/>
          <w:lang w:val="en-US" w:eastAsia="zh-CN"/>
        </w:rPr>
        <w:t>20</w:t>
      </w:r>
      <w:r>
        <w:rPr>
          <w:rFonts w:hint="eastAsia" w:ascii="仿宋" w:hAnsi="仿宋" w:eastAsia="仿宋"/>
          <w:sz w:val="32"/>
          <w:szCs w:val="32"/>
        </w:rPr>
        <w:t>年预算实有在职编制内人员1</w:t>
      </w:r>
      <w:r>
        <w:rPr>
          <w:rFonts w:hint="eastAsia" w:ascii="仿宋" w:hAnsi="仿宋" w:eastAsia="仿宋"/>
          <w:sz w:val="32"/>
          <w:szCs w:val="32"/>
          <w:lang w:val="en-US" w:eastAsia="zh-CN"/>
        </w:rPr>
        <w:t>2</w:t>
      </w:r>
      <w:r>
        <w:rPr>
          <w:rFonts w:hint="eastAsia" w:ascii="仿宋" w:hAnsi="仿宋" w:eastAsia="仿宋"/>
          <w:sz w:val="32"/>
          <w:szCs w:val="32"/>
        </w:rPr>
        <w:t>人,其中：行政编制人员5人、参公事业编制管理人员</w:t>
      </w:r>
      <w:r>
        <w:rPr>
          <w:rFonts w:hint="eastAsia" w:ascii="仿宋" w:hAnsi="仿宋" w:eastAsia="仿宋"/>
          <w:sz w:val="32"/>
          <w:szCs w:val="32"/>
          <w:lang w:val="en-US" w:eastAsia="zh-CN"/>
        </w:rPr>
        <w:t>3</w:t>
      </w:r>
      <w:r>
        <w:rPr>
          <w:rFonts w:hint="eastAsia" w:ascii="仿宋" w:hAnsi="仿宋" w:eastAsia="仿宋"/>
          <w:sz w:val="32"/>
          <w:szCs w:val="32"/>
        </w:rPr>
        <w:t>人、其他事业编制人员4人,均为财政全额供养人员。</w:t>
      </w:r>
    </w:p>
    <w:p w14:paraId="1D777D44">
      <w:pPr>
        <w:spacing w:line="580" w:lineRule="exact"/>
        <w:ind w:firstLine="640" w:firstLineChars="200"/>
        <w:rPr>
          <w:rFonts w:ascii="仿宋" w:hAnsi="仿宋" w:eastAsia="仿宋" w:cs="黑体"/>
          <w:sz w:val="32"/>
          <w:szCs w:val="32"/>
        </w:rPr>
      </w:pPr>
      <w:r>
        <w:rPr>
          <w:rFonts w:ascii="仿宋" w:hAnsi="仿宋" w:eastAsia="仿宋" w:cs="黑体"/>
          <w:sz w:val="32"/>
          <w:szCs w:val="32"/>
        </w:rPr>
        <w:t>二、部门财政资金收支情况</w:t>
      </w:r>
    </w:p>
    <w:p w14:paraId="5FBA5CE1">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年全年收入合计</w:t>
      </w:r>
      <w:r>
        <w:rPr>
          <w:rFonts w:hint="eastAsia" w:ascii="仿宋" w:hAnsi="仿宋" w:eastAsia="仿宋"/>
          <w:color w:val="000000"/>
          <w:sz w:val="32"/>
          <w:szCs w:val="32"/>
          <w:lang w:val="en-US" w:eastAsia="zh-CN"/>
        </w:rPr>
        <w:t>204.65</w:t>
      </w:r>
      <w:r>
        <w:rPr>
          <w:rFonts w:hint="eastAsia" w:ascii="仿宋" w:hAnsi="仿宋" w:eastAsia="仿宋"/>
          <w:color w:val="000000"/>
          <w:sz w:val="32"/>
          <w:szCs w:val="32"/>
        </w:rPr>
        <w:t>万元，其中：财政拨款收入</w:t>
      </w:r>
      <w:r>
        <w:rPr>
          <w:rFonts w:hint="eastAsia" w:ascii="仿宋" w:hAnsi="仿宋" w:eastAsia="仿宋"/>
          <w:color w:val="000000"/>
          <w:sz w:val="32"/>
          <w:szCs w:val="32"/>
          <w:lang w:val="en-US" w:eastAsia="zh-CN"/>
        </w:rPr>
        <w:t>204.65</w:t>
      </w:r>
      <w:r>
        <w:rPr>
          <w:rFonts w:hint="eastAsia" w:ascii="仿宋" w:hAnsi="仿宋" w:eastAsia="仿宋"/>
          <w:color w:val="000000"/>
          <w:sz w:val="32"/>
          <w:szCs w:val="32"/>
        </w:rPr>
        <w:t>万元，占100%；年初结转结余0万元；事业收入0万元，占0%；经营收入0万元，占0%；附属单位上缴收入0万元，占0%；其他收入0万元，占0%。</w:t>
      </w:r>
    </w:p>
    <w:p w14:paraId="7B80853E">
      <w:pPr>
        <w:spacing w:line="580" w:lineRule="exact"/>
        <w:ind w:left="6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部门财政资金支出情况。</w:t>
      </w:r>
    </w:p>
    <w:p w14:paraId="3F7E6775">
      <w:pPr>
        <w:spacing w:line="580" w:lineRule="exact"/>
        <w:ind w:firstLine="640" w:firstLineChars="200"/>
        <w:rPr>
          <w:rFonts w:ascii="仿宋" w:hAnsi="仿宋" w:eastAsia="仿宋" w:cs="仿宋_GB2312"/>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年全年支出合计</w:t>
      </w:r>
      <w:r>
        <w:rPr>
          <w:rFonts w:hint="eastAsia" w:ascii="仿宋" w:hAnsi="仿宋" w:eastAsia="仿宋"/>
          <w:color w:val="000000"/>
          <w:sz w:val="32"/>
          <w:szCs w:val="32"/>
          <w:lang w:val="en-US" w:eastAsia="zh-CN"/>
        </w:rPr>
        <w:t>206.67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206.67</w:t>
      </w:r>
      <w:r>
        <w:rPr>
          <w:rFonts w:hint="eastAsia" w:ascii="仿宋" w:hAnsi="仿宋" w:eastAsia="仿宋"/>
          <w:color w:val="000000"/>
          <w:sz w:val="32"/>
          <w:szCs w:val="32"/>
        </w:rPr>
        <w:t>万元，占100%；项目支出0万元，占0%；上缴上级支出0万元，占0%；经营支出0万元，占0%；对附属单位补助支出0万元，占0%。</w:t>
      </w:r>
    </w:p>
    <w:p w14:paraId="79681AF5">
      <w:pPr>
        <w:spacing w:line="580" w:lineRule="exact"/>
        <w:ind w:left="640"/>
        <w:rPr>
          <w:rFonts w:ascii="仿宋" w:hAnsi="仿宋" w:eastAsia="仿宋" w:cs="黑体"/>
          <w:sz w:val="32"/>
          <w:szCs w:val="32"/>
        </w:rPr>
      </w:pPr>
      <w:r>
        <w:rPr>
          <w:rFonts w:hint="eastAsia" w:ascii="仿宋" w:hAnsi="仿宋" w:eastAsia="仿宋" w:cs="黑体"/>
          <w:sz w:val="32"/>
          <w:szCs w:val="32"/>
        </w:rPr>
        <w:t>三、</w:t>
      </w:r>
      <w:r>
        <w:rPr>
          <w:rFonts w:ascii="仿宋" w:hAnsi="仿宋" w:eastAsia="仿宋" w:cs="黑体"/>
          <w:sz w:val="32"/>
          <w:szCs w:val="32"/>
        </w:rPr>
        <w:t>部门整体预算绩效管理情况</w:t>
      </w:r>
    </w:p>
    <w:p w14:paraId="32A48E49">
      <w:pPr>
        <w:spacing w:line="580" w:lineRule="exact"/>
        <w:ind w:left="640"/>
        <w:rPr>
          <w:rFonts w:ascii="仿宋" w:hAnsi="仿宋" w:eastAsia="仿宋" w:cs="仿宋_GB2312"/>
          <w:sz w:val="32"/>
          <w:szCs w:val="32"/>
        </w:rPr>
      </w:pPr>
      <w:r>
        <w:rPr>
          <w:rFonts w:ascii="仿宋" w:hAnsi="仿宋" w:eastAsia="仿宋" w:cs="仿宋_GB2312"/>
          <w:sz w:val="32"/>
          <w:szCs w:val="32"/>
        </w:rPr>
        <w:t>（一）部门预算管理。</w:t>
      </w:r>
    </w:p>
    <w:p w14:paraId="697AE7E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执行国家有关财经法规，厉行节约，量入为出，降低行政事业成本，提高资金使用效益；合理编制预算，统筹安排，节约资金，以保障单位正常运转；严格预算执行，完整、准确、及时编制决算，真实反映单位财务状况和预算执行情况；定期单位编制财务报告，进行财务活动分析，建立健全财务管理制度，实施预算绩效管理，加强对单位财务活动的控制和监督；加强单位资产管理，合理配置、有效利用、规范处置资产，防止国有资产流失。创新财务管理制度，为行政事业单位成为市场主体，降低成本，合理配置资源，以实现社会效益和经济效益最大化，提高资金使用效益。</w:t>
      </w:r>
    </w:p>
    <w:p w14:paraId="33F946FD">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14:paraId="2C10D773">
      <w:pPr>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区委编办所有基本经费支出严格按单位财务管理制度执行，对</w:t>
      </w:r>
      <w:r>
        <w:rPr>
          <w:rFonts w:hint="eastAsia" w:ascii="仿宋" w:hAnsi="仿宋" w:eastAsia="仿宋" w:cs="仿宋_GB2312"/>
          <w:color w:val="000000"/>
          <w:sz w:val="32"/>
          <w:szCs w:val="32"/>
        </w:rPr>
        <w:t>资金</w:t>
      </w:r>
      <w:r>
        <w:rPr>
          <w:rFonts w:hint="eastAsia" w:ascii="仿宋" w:hAnsi="仿宋" w:eastAsia="仿宋" w:cs="仿宋_GB2312"/>
          <w:sz w:val="32"/>
          <w:szCs w:val="32"/>
        </w:rPr>
        <w:t>的支付范围、支付标准、支付程序合规合法，支付依据充分，未发现有虚列、挤占、挪用情况。</w:t>
      </w:r>
    </w:p>
    <w:p w14:paraId="64C25B69">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14:paraId="395E0BB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区委编办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年基本完成，在保障机关运转、履行职能职责上整体情况良好。</w:t>
      </w:r>
    </w:p>
    <w:p w14:paraId="6BB4A424">
      <w:pPr>
        <w:numPr>
          <w:ilvl w:val="0"/>
          <w:numId w:val="5"/>
        </w:numPr>
        <w:spacing w:line="600" w:lineRule="atLeast"/>
        <w:ind w:firstLine="640" w:firstLineChars="200"/>
        <w:rPr>
          <w:rFonts w:ascii="仿宋" w:hAnsi="仿宋" w:eastAsia="仿宋" w:cs="黑体"/>
          <w:sz w:val="32"/>
          <w:szCs w:val="32"/>
        </w:rPr>
      </w:pPr>
      <w:r>
        <w:rPr>
          <w:rFonts w:ascii="仿宋" w:hAnsi="仿宋" w:eastAsia="仿宋" w:cs="黑体"/>
          <w:sz w:val="32"/>
          <w:szCs w:val="32"/>
        </w:rPr>
        <w:t>评价结论及建议</w:t>
      </w:r>
    </w:p>
    <w:p w14:paraId="6AF7FCD1">
      <w:pPr>
        <w:numPr>
          <w:ilvl w:val="0"/>
          <w:numId w:val="6"/>
        </w:numPr>
        <w:snapToGrid w:val="0"/>
        <w:spacing w:line="360" w:lineRule="auto"/>
        <w:ind w:firstLine="640" w:firstLineChars="200"/>
        <w:rPr>
          <w:rFonts w:ascii="仿宋" w:hAnsi="仿宋" w:eastAsia="仿宋"/>
          <w:sz w:val="32"/>
          <w:szCs w:val="32"/>
        </w:rPr>
      </w:pPr>
      <w:r>
        <w:rPr>
          <w:rFonts w:ascii="仿宋" w:hAnsi="仿宋" w:eastAsia="仿宋" w:cs="仿宋_GB2312"/>
          <w:sz w:val="32"/>
          <w:szCs w:val="32"/>
        </w:rPr>
        <w:t>评价结论</w:t>
      </w:r>
      <w:r>
        <w:rPr>
          <w:rFonts w:hint="eastAsia" w:ascii="仿宋" w:hAnsi="仿宋" w:eastAsia="仿宋" w:cs="仿宋_GB2312"/>
          <w:sz w:val="32"/>
          <w:szCs w:val="32"/>
        </w:rPr>
        <w:t>。</w:t>
      </w:r>
    </w:p>
    <w:p w14:paraId="1E23FAAA">
      <w:pPr>
        <w:snapToGrid w:val="0"/>
        <w:spacing w:line="360" w:lineRule="auto"/>
        <w:ind w:firstLine="960" w:firstLineChars="300"/>
        <w:rPr>
          <w:rFonts w:ascii="仿宋" w:hAnsi="仿宋" w:eastAsia="仿宋" w:cs="仿宋_GB2312"/>
          <w:sz w:val="32"/>
          <w:szCs w:val="32"/>
        </w:rPr>
      </w:pPr>
      <w:r>
        <w:rPr>
          <w:rFonts w:hint="eastAsia" w:ascii="仿宋" w:hAnsi="仿宋" w:eastAsia="仿宋" w:cs="仿宋_GB2312"/>
          <w:sz w:val="32"/>
          <w:szCs w:val="32"/>
        </w:rPr>
        <w:t>通过对区委编办</w:t>
      </w: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年部门财务管理指标的分析考评，区委编办</w:t>
      </w: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年部门财务管理绩效评价得分为9</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 xml:space="preserve">分，综合评价结果为良级。  </w:t>
      </w:r>
    </w:p>
    <w:p w14:paraId="066B5EBA">
      <w:pPr>
        <w:numPr>
          <w:ilvl w:val="0"/>
          <w:numId w:val="6"/>
        </w:numPr>
        <w:snapToGrid w:val="0"/>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存在问题。</w:t>
      </w:r>
    </w:p>
    <w:p w14:paraId="49E5E870">
      <w:pPr>
        <w:snapToGrid w:val="0"/>
        <w:spacing w:line="360" w:lineRule="auto"/>
        <w:ind w:firstLine="640" w:firstLineChars="200"/>
        <w:rPr>
          <w:rFonts w:ascii="仿宋" w:hAnsi="仿宋" w:eastAsia="仿宋" w:cs="仿宋_GB2312"/>
          <w:sz w:val="32"/>
          <w:szCs w:val="32"/>
        </w:rPr>
      </w:pPr>
      <w:r>
        <w:rPr>
          <w:rFonts w:hint="eastAsia" w:ascii="仿宋" w:hAnsi="仿宋" w:eastAsia="仿宋"/>
          <w:color w:val="000000"/>
          <w:sz w:val="32"/>
          <w:szCs w:val="32"/>
        </w:rPr>
        <w:t>一是绩效目标动态监控实行的不到位；二是履职成效方面，由于单位特殊，在履职方面看不出成效；</w:t>
      </w:r>
    </w:p>
    <w:p w14:paraId="67B8B71D">
      <w:pPr>
        <w:numPr>
          <w:ilvl w:val="0"/>
          <w:numId w:val="6"/>
        </w:numPr>
        <w:snapToGrid w:val="0"/>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改进建议。</w:t>
      </w:r>
    </w:p>
    <w:p w14:paraId="209A0B8E">
      <w:pPr>
        <w:snapToGrid w:val="0"/>
        <w:spacing w:line="360" w:lineRule="auto"/>
        <w:ind w:firstLine="640" w:firstLineChars="200"/>
        <w:rPr>
          <w:rFonts w:ascii="仿宋" w:hAnsi="仿宋" w:eastAsia="仿宋" w:cs="仿宋_GB2312"/>
          <w:sz w:val="32"/>
          <w:szCs w:val="32"/>
        </w:rPr>
      </w:pPr>
      <w:r>
        <w:rPr>
          <w:rFonts w:hint="eastAsia" w:ascii="仿宋" w:hAnsi="仿宋" w:eastAsia="仿宋"/>
          <w:color w:val="000000"/>
          <w:sz w:val="32"/>
          <w:szCs w:val="32"/>
        </w:rPr>
        <w:t>下一步改进措施：一是严格执行绩效目标管理和绩效目标动态监控。二是尽量做到履职有所成效。</w:t>
      </w:r>
      <w:r>
        <w:rPr>
          <w:rFonts w:hint="eastAsia" w:ascii="仿宋" w:hAnsi="仿宋" w:eastAsia="仿宋" w:cs="仿宋_GB2312"/>
          <w:sz w:val="32"/>
          <w:szCs w:val="32"/>
        </w:rPr>
        <w:t>三是严格按《行政单位财务规则》和《行政单位会计制度》的规定准确核算财务收支、编制财务报表，同时加强资产管理，定期和不定期盘点资产，以保证资产账实相符、账表相符。</w:t>
      </w:r>
    </w:p>
    <w:p w14:paraId="704BEAE6">
      <w:pPr>
        <w:widowControl/>
        <w:jc w:val="left"/>
        <w:rPr>
          <w:rFonts w:ascii="仿宋" w:hAnsi="仿宋" w:eastAsia="仿宋" w:cs="黑体"/>
          <w:sz w:val="32"/>
          <w:szCs w:val="32"/>
        </w:rPr>
      </w:pPr>
      <w:r>
        <w:rPr>
          <w:rFonts w:ascii="仿宋" w:hAnsi="仿宋" w:eastAsia="仿宋" w:cs="黑体"/>
          <w:sz w:val="32"/>
          <w:szCs w:val="32"/>
        </w:rPr>
        <w:br w:type="page"/>
      </w:r>
    </w:p>
    <w:p w14:paraId="6B4F5DB3">
      <w:pPr>
        <w:spacing w:line="580" w:lineRule="exact"/>
        <w:jc w:val="left"/>
        <w:rPr>
          <w:rFonts w:ascii="黑体" w:hAnsi="黑体" w:eastAsia="黑体" w:cs="黑体"/>
          <w:sz w:val="32"/>
          <w:szCs w:val="32"/>
        </w:rPr>
      </w:pPr>
      <w:r>
        <w:rPr>
          <w:rFonts w:hint="eastAsia" w:ascii="黑体" w:hAnsi="黑体" w:eastAsia="黑体" w:cs="黑体"/>
          <w:sz w:val="32"/>
          <w:szCs w:val="32"/>
        </w:rPr>
        <w:t>附件2</w:t>
      </w:r>
    </w:p>
    <w:p w14:paraId="732F4096">
      <w:pPr>
        <w:spacing w:line="580" w:lineRule="exact"/>
        <w:ind w:firstLine="960" w:firstLineChars="300"/>
        <w:jc w:val="left"/>
        <w:rPr>
          <w:rFonts w:hint="eastAsia"/>
        </w:rPr>
      </w:pPr>
      <w:r>
        <w:rPr>
          <w:rFonts w:hint="eastAsia" w:ascii="黑体" w:hAnsi="黑体" w:eastAsia="黑体" w:cs="黑体"/>
          <w:sz w:val="32"/>
          <w:szCs w:val="32"/>
        </w:rPr>
        <w:t>20</w:t>
      </w:r>
      <w:r>
        <w:rPr>
          <w:rFonts w:hint="eastAsia" w:ascii="黑体" w:hAnsi="黑体" w:eastAsia="黑体" w:cs="黑体"/>
          <w:sz w:val="32"/>
          <w:szCs w:val="32"/>
          <w:lang w:val="en-US" w:eastAsia="zh-CN"/>
        </w:rPr>
        <w:t>20</w:t>
      </w:r>
      <w:r>
        <w:rPr>
          <w:rFonts w:hint="eastAsia" w:ascii="黑体" w:hAnsi="黑体" w:eastAsia="黑体" w:cs="黑体"/>
          <w:sz w:val="32"/>
          <w:szCs w:val="32"/>
        </w:rPr>
        <w:t>年</w:t>
      </w:r>
      <w:r>
        <w:rPr>
          <w:rFonts w:hint="eastAsia" w:ascii="黑体" w:hAnsi="黑体" w:eastAsia="黑体" w:cs="黑体"/>
          <w:sz w:val="32"/>
          <w:szCs w:val="32"/>
          <w:lang w:eastAsia="zh-CN"/>
        </w:rPr>
        <w:t>机构改革工作经费</w:t>
      </w:r>
      <w:r>
        <w:rPr>
          <w:rFonts w:hint="eastAsia" w:ascii="黑体" w:hAnsi="黑体" w:eastAsia="黑体" w:cs="黑体"/>
          <w:sz w:val="32"/>
          <w:szCs w:val="32"/>
        </w:rPr>
        <w:t>支出绩效评价报告</w:t>
      </w:r>
    </w:p>
    <w:p w14:paraId="143F0F45">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评价工作开展及项目情况</w:t>
      </w:r>
    </w:p>
    <w:p w14:paraId="03146618">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是预算编制的前提和基础，按照“费随事定”的原则，2020年区委编办按要求编制了机构改革工作经费的基本支出绩效目标,用于对机关、事业单位的职能配置、机构设置、人员数额及人员结构的统一管理、检查监督；协调部门的职能配置及其调整；研究拟定全区行政管理体制与机构改革方案及有关规定，落实上级机构改革任务，进一步深化行政体制改革工作，完成事业单位分类改革任务。从完成、效益、满意度方面设置了绩效目标，综合反映基本支出绩效目标预期完成的数量、成本、时效、质量，预期达到的社会效益、可持续影响以及服务对象满意度等情况。</w:t>
      </w:r>
    </w:p>
    <w:p w14:paraId="078E7F2F">
      <w:pPr>
        <w:spacing w:line="580" w:lineRule="exact"/>
        <w:ind w:firstLine="640" w:firstLineChars="200"/>
        <w:rPr>
          <w:rFonts w:ascii="仿宋" w:hAnsi="仿宋" w:eastAsia="仿宋" w:cs="仿宋"/>
          <w:sz w:val="32"/>
          <w:szCs w:val="32"/>
          <w:lang w:val="zh-CN"/>
        </w:rPr>
      </w:pP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年机构改革工作经费支付资金</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万元纳入财政全额预算，主要用于</w:t>
      </w:r>
      <w:r>
        <w:rPr>
          <w:rFonts w:hint="eastAsia" w:ascii="仿宋" w:hAnsi="仿宋" w:eastAsia="仿宋" w:cs="仿宋"/>
          <w:sz w:val="32"/>
          <w:szCs w:val="32"/>
        </w:rPr>
        <w:t>用于对机关、事业单位的职能配置、机构设置、人员数额及人员结构的统一管理、检查监督；协调部门的职能配置及其调整；研究拟定全区行政管理体制与机构改革方案及有关规定，落实上级机构改革任务，进一步深化行政体制改革工作，完成事业单位分类改革任务。</w:t>
      </w:r>
      <w:r>
        <w:rPr>
          <w:rFonts w:hint="eastAsia" w:ascii="仿宋" w:hAnsi="仿宋" w:eastAsia="仿宋" w:cs="仿宋"/>
          <w:sz w:val="32"/>
          <w:szCs w:val="32"/>
          <w:lang w:val="zh-CN"/>
        </w:rPr>
        <w:t>目前项目已实施完毕。</w:t>
      </w:r>
    </w:p>
    <w:p w14:paraId="65D5C6B8">
      <w:pPr>
        <w:adjustRightInd w:val="0"/>
        <w:snapToGrid w:val="0"/>
        <w:spacing w:line="560" w:lineRule="exact"/>
        <w:ind w:firstLine="720"/>
        <w:rPr>
          <w:rFonts w:ascii="仿宋" w:hAnsi="仿宋" w:eastAsia="仿宋" w:cs="仿宋"/>
          <w:sz w:val="32"/>
          <w:szCs w:val="32"/>
          <w:lang w:val="zh-CN"/>
        </w:rPr>
      </w:pPr>
      <w:r>
        <w:rPr>
          <w:rFonts w:hint="eastAsia" w:ascii="仿宋" w:hAnsi="仿宋" w:eastAsia="仿宋" w:cs="仿宋"/>
          <w:sz w:val="32"/>
          <w:szCs w:val="32"/>
          <w:lang w:val="zh-CN"/>
        </w:rPr>
        <w:t>项目申报内容与具体实施内容相符、申报目标合理可行。</w:t>
      </w:r>
    </w:p>
    <w:p w14:paraId="4A13C146">
      <w:pPr>
        <w:spacing w:line="580" w:lineRule="exact"/>
        <w:ind w:firstLine="640" w:firstLineChars="200"/>
        <w:rPr>
          <w:rFonts w:ascii="仿宋" w:hAnsi="仿宋" w:eastAsia="仿宋" w:cs="仿宋_GB2312"/>
          <w:sz w:val="32"/>
          <w:szCs w:val="32"/>
        </w:rPr>
      </w:pPr>
      <w:r>
        <w:rPr>
          <w:rFonts w:hint="eastAsia" w:ascii="仿宋" w:hAnsi="仿宋" w:eastAsia="仿宋" w:cs="楷体_GB2312"/>
          <w:color w:val="000000"/>
          <w:kern w:val="0"/>
          <w:sz w:val="32"/>
          <w:szCs w:val="32"/>
        </w:rPr>
        <w:t>项目支出绩效评价小组以相关资料为基础，经过认真审核和核对，分析得出自评结果，形成自评结论。</w:t>
      </w:r>
    </w:p>
    <w:p w14:paraId="68F894F4">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14:paraId="617223D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5FB82871">
      <w:pPr>
        <w:snapToGrid w:val="0"/>
        <w:spacing w:line="360" w:lineRule="auto"/>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14:paraId="0F469521">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14:paraId="14CC4A1F">
      <w:pPr>
        <w:adjustRightInd w:val="0"/>
        <w:snapToGrid w:val="0"/>
        <w:spacing w:line="560" w:lineRule="exact"/>
        <w:ind w:firstLine="720"/>
        <w:rPr>
          <w:rFonts w:ascii="仿宋" w:hAnsi="仿宋" w:eastAsia="仿宋" w:cs="仿宋"/>
          <w:sz w:val="32"/>
          <w:szCs w:val="32"/>
          <w:lang w:val="zh-CN"/>
        </w:rPr>
      </w:pPr>
      <w:r>
        <w:rPr>
          <w:rFonts w:hint="eastAsia" w:ascii="仿宋" w:hAnsi="仿宋" w:eastAsia="仿宋" w:cs="仿宋"/>
          <w:sz w:val="32"/>
          <w:szCs w:val="32"/>
          <w:lang w:val="zh-CN"/>
        </w:rPr>
        <w:t>1、项目决策。</w:t>
      </w:r>
      <w:r>
        <w:rPr>
          <w:rFonts w:hint="eastAsia" w:ascii="仿宋" w:hAnsi="仿宋" w:eastAsia="仿宋" w:cs="仿宋_GB2312"/>
          <w:sz w:val="32"/>
          <w:szCs w:val="32"/>
        </w:rPr>
        <w:t>机构改革工作经费</w:t>
      </w:r>
      <w:r>
        <w:rPr>
          <w:rFonts w:hint="eastAsia" w:ascii="仿宋" w:hAnsi="仿宋" w:eastAsia="仿宋" w:cs="仿宋"/>
          <w:sz w:val="32"/>
          <w:szCs w:val="32"/>
          <w:lang w:val="zh-CN"/>
        </w:rPr>
        <w:t>于</w:t>
      </w:r>
      <w:r>
        <w:rPr>
          <w:rFonts w:hint="eastAsia" w:ascii="仿宋" w:hAnsi="仿宋" w:eastAsia="仿宋" w:cs="仿宋"/>
          <w:sz w:val="32"/>
          <w:szCs w:val="32"/>
          <w:lang w:val="en-US" w:eastAsia="zh-CN"/>
        </w:rPr>
        <w:t>2020</w:t>
      </w:r>
      <w:r>
        <w:rPr>
          <w:rFonts w:hint="eastAsia" w:ascii="仿宋" w:hAnsi="仿宋" w:eastAsia="仿宋" w:cs="仿宋"/>
          <w:sz w:val="32"/>
          <w:szCs w:val="32"/>
        </w:rPr>
        <w:t>年全部及时到位，到位率 100%，全部由区财政全额预算</w:t>
      </w:r>
      <w:r>
        <w:rPr>
          <w:rFonts w:hint="eastAsia" w:ascii="仿宋" w:hAnsi="仿宋" w:eastAsia="仿宋" w:cs="仿宋"/>
          <w:sz w:val="32"/>
          <w:szCs w:val="32"/>
          <w:lang w:val="zh-CN"/>
        </w:rPr>
        <w:t>。</w:t>
      </w:r>
    </w:p>
    <w:p w14:paraId="4F5A577C">
      <w:pPr>
        <w:adjustRightInd w:val="0"/>
        <w:snapToGrid w:val="0"/>
        <w:spacing w:line="560" w:lineRule="exact"/>
        <w:ind w:firstLine="720"/>
        <w:rPr>
          <w:rFonts w:ascii="仿宋" w:hAnsi="仿宋" w:eastAsia="仿宋" w:cs="仿宋"/>
          <w:color w:val="FF0000"/>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项目管理</w:t>
      </w:r>
      <w:r>
        <w:rPr>
          <w:rFonts w:hint="eastAsia" w:ascii="仿宋" w:hAnsi="仿宋" w:eastAsia="仿宋" w:cs="仿宋"/>
          <w:sz w:val="32"/>
          <w:szCs w:val="32"/>
        </w:rPr>
        <w:t>。</w:t>
      </w: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年机构改革工作经费</w:t>
      </w:r>
      <w:r>
        <w:rPr>
          <w:rFonts w:hint="eastAsia" w:ascii="仿宋" w:hAnsi="仿宋" w:eastAsia="仿宋" w:cs="仿宋"/>
          <w:sz w:val="32"/>
          <w:szCs w:val="32"/>
        </w:rPr>
        <w:t>实际支出</w:t>
      </w:r>
      <w:r>
        <w:rPr>
          <w:rFonts w:hint="eastAsia" w:ascii="仿宋" w:hAnsi="仿宋" w:eastAsia="仿宋" w:cs="仿宋"/>
          <w:sz w:val="32"/>
          <w:szCs w:val="32"/>
          <w:lang w:val="en-US" w:eastAsia="zh-CN"/>
        </w:rPr>
        <w:t>10</w:t>
      </w:r>
      <w:r>
        <w:rPr>
          <w:rFonts w:hint="eastAsia" w:ascii="仿宋" w:hAnsi="仿宋" w:eastAsia="仿宋" w:cs="仿宋"/>
          <w:sz w:val="32"/>
          <w:szCs w:val="32"/>
        </w:rPr>
        <w:t>万元；</w:t>
      </w:r>
      <w:r>
        <w:rPr>
          <w:rFonts w:hint="eastAsia" w:ascii="仿宋" w:hAnsi="仿宋" w:eastAsia="仿宋" w:cs="仿宋"/>
          <w:sz w:val="32"/>
          <w:szCs w:val="32"/>
          <w:lang w:val="zh-CN"/>
        </w:rPr>
        <w:t>资金开支范围：</w:t>
      </w:r>
      <w:r>
        <w:rPr>
          <w:rFonts w:hint="eastAsia" w:ascii="仿宋" w:hAnsi="仿宋" w:eastAsia="仿宋" w:cs="仿宋"/>
          <w:sz w:val="32"/>
          <w:szCs w:val="32"/>
        </w:rPr>
        <w:t>该项经费用于党政群机构改革和事业单位改革开支。严格控制预算，专款专用，支出相符，用于改革的差旅费，印刷费办公费</w:t>
      </w:r>
      <w:r>
        <w:rPr>
          <w:rFonts w:hint="eastAsia" w:ascii="仿宋" w:hAnsi="仿宋" w:eastAsia="仿宋" w:cs="仿宋"/>
          <w:sz w:val="32"/>
          <w:szCs w:val="32"/>
          <w:lang w:eastAsia="zh-CN"/>
        </w:rPr>
        <w:t>等。</w:t>
      </w:r>
      <w:r>
        <w:rPr>
          <w:rFonts w:hint="eastAsia" w:ascii="仿宋" w:hAnsi="仿宋" w:eastAsia="仿宋" w:cs="仿宋"/>
          <w:sz w:val="32"/>
          <w:szCs w:val="32"/>
          <w:lang w:val="zh-CN"/>
        </w:rPr>
        <w:t>项目财务管理制度执行</w:t>
      </w:r>
      <w:r>
        <w:rPr>
          <w:rFonts w:hint="eastAsia" w:ascii="仿宋" w:hAnsi="仿宋" w:eastAsia="仿宋" w:cs="仿宋"/>
          <w:sz w:val="32"/>
          <w:szCs w:val="32"/>
        </w:rPr>
        <w:t>区委编办</w:t>
      </w:r>
      <w:r>
        <w:rPr>
          <w:rFonts w:hint="eastAsia" w:ascii="仿宋" w:hAnsi="仿宋" w:eastAsia="仿宋" w:cs="仿宋"/>
          <w:sz w:val="32"/>
          <w:szCs w:val="32"/>
          <w:lang w:val="zh-CN"/>
        </w:rPr>
        <w:t>财务管理制度，未设置项目管理机构，会计核算及账务处理统一纳入</w:t>
      </w:r>
      <w:r>
        <w:rPr>
          <w:rFonts w:hint="eastAsia" w:ascii="仿宋" w:hAnsi="仿宋" w:eastAsia="仿宋" w:cs="仿宋"/>
          <w:sz w:val="32"/>
          <w:szCs w:val="32"/>
        </w:rPr>
        <w:t>区委编办</w:t>
      </w:r>
      <w:r>
        <w:rPr>
          <w:rFonts w:hint="eastAsia" w:ascii="仿宋" w:hAnsi="仿宋" w:eastAsia="仿宋" w:cs="仿宋"/>
          <w:sz w:val="32"/>
          <w:szCs w:val="32"/>
          <w:lang w:val="zh-CN"/>
        </w:rPr>
        <w:t>管理核算。对照项目资金管理办法，项目严格执行了财务管理制度、财务处理及时、会计核算规范。截止</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年12月31日</w:t>
      </w:r>
      <w:r>
        <w:rPr>
          <w:rFonts w:hint="eastAsia" w:ascii="仿宋" w:hAnsi="仿宋" w:eastAsia="仿宋" w:cs="仿宋"/>
          <w:sz w:val="32"/>
          <w:szCs w:val="32"/>
          <w:lang w:val="zh-CN"/>
        </w:rPr>
        <w:t>实际投资完成额</w:t>
      </w:r>
      <w:r>
        <w:rPr>
          <w:rFonts w:hint="eastAsia" w:ascii="仿宋" w:hAnsi="仿宋" w:eastAsia="仿宋" w:cs="仿宋"/>
          <w:sz w:val="32"/>
          <w:szCs w:val="32"/>
          <w:lang w:val="en-US" w:eastAsia="zh-CN"/>
        </w:rPr>
        <w:t>10</w:t>
      </w:r>
      <w:r>
        <w:rPr>
          <w:rFonts w:hint="eastAsia" w:ascii="仿宋" w:hAnsi="仿宋" w:eastAsia="仿宋" w:cs="仿宋"/>
          <w:sz w:val="32"/>
          <w:szCs w:val="32"/>
        </w:rPr>
        <w:t>万元，并全部完成绩效目标</w:t>
      </w:r>
      <w:r>
        <w:rPr>
          <w:rFonts w:hint="eastAsia" w:ascii="仿宋" w:hAnsi="仿宋" w:eastAsia="仿宋" w:cs="仿宋"/>
          <w:sz w:val="32"/>
          <w:szCs w:val="32"/>
          <w:lang w:val="zh-CN"/>
        </w:rPr>
        <w:t>。</w:t>
      </w:r>
    </w:p>
    <w:p w14:paraId="25FAAD75">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rPr>
        <w:t>3、项目绩效。</w:t>
      </w:r>
      <w:r>
        <w:rPr>
          <w:rFonts w:hint="eastAsia" w:ascii="仿宋" w:hAnsi="仿宋" w:eastAsia="仿宋" w:cs="仿宋"/>
          <w:sz w:val="32"/>
          <w:szCs w:val="32"/>
          <w:lang w:val="zh-CN"/>
        </w:rPr>
        <w:t>根据项目的顺利实施，</w:t>
      </w:r>
      <w:r>
        <w:rPr>
          <w:rFonts w:hint="eastAsia" w:ascii="仿宋" w:hAnsi="仿宋" w:eastAsia="仿宋" w:cs="仿宋"/>
          <w:sz w:val="32"/>
          <w:szCs w:val="32"/>
        </w:rPr>
        <w:t>改革后党政群机关和事业单位设置科学合理，人员编制配备精准、人员配置有利于工作开展</w:t>
      </w:r>
      <w:r>
        <w:rPr>
          <w:rFonts w:hint="eastAsia" w:ascii="仿宋" w:hAnsi="仿宋" w:eastAsia="仿宋" w:cs="仿宋"/>
          <w:sz w:val="32"/>
          <w:szCs w:val="32"/>
          <w:lang w:eastAsia="zh-CN"/>
        </w:rPr>
        <w:t>。</w:t>
      </w:r>
    </w:p>
    <w:p w14:paraId="7814C260">
      <w:pPr>
        <w:widowControl/>
        <w:ind w:firstLine="640" w:firstLineChars="200"/>
        <w:jc w:val="left"/>
        <w:rPr>
          <w:rFonts w:ascii="仿宋" w:hAnsi="仿宋" w:eastAsia="仿宋"/>
          <w:color w:val="000000"/>
          <w:sz w:val="32"/>
          <w:szCs w:val="32"/>
        </w:rPr>
      </w:pPr>
    </w:p>
    <w:p w14:paraId="5E00B15E">
      <w:pPr>
        <w:rPr>
          <w:rFonts w:hint="eastAsia" w:ascii="黑体" w:hAnsi="黑体" w:eastAsia="黑体"/>
          <w:color w:val="000000"/>
          <w:sz w:val="44"/>
          <w:szCs w:val="44"/>
        </w:rPr>
      </w:pPr>
      <w:bookmarkStart w:id="82" w:name="_Toc15396618"/>
      <w:r>
        <w:rPr>
          <w:rFonts w:hint="eastAsia" w:ascii="黑体" w:hAnsi="黑体" w:eastAsia="黑体"/>
          <w:color w:val="000000"/>
          <w:sz w:val="44"/>
          <w:szCs w:val="44"/>
        </w:rPr>
        <w:br w:type="page"/>
      </w:r>
    </w:p>
    <w:p w14:paraId="641B97CA">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82"/>
    </w:p>
    <w:p w14:paraId="34CCB3BB">
      <w:pPr>
        <w:spacing w:line="600" w:lineRule="exact"/>
        <w:jc w:val="center"/>
        <w:outlineLvl w:val="0"/>
        <w:rPr>
          <w:rFonts w:ascii="仿宋" w:hAnsi="仿宋" w:eastAsia="仿宋"/>
          <w:b/>
          <w:color w:val="000000"/>
          <w:sz w:val="44"/>
          <w:szCs w:val="44"/>
        </w:rPr>
      </w:pPr>
    </w:p>
    <w:p w14:paraId="6481E867">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83" w:name="_Toc15396619"/>
      <w:r>
        <w:rPr>
          <w:rFonts w:hint="eastAsia" w:ascii="仿宋" w:hAnsi="仿宋" w:eastAsia="仿宋" w:cs="仿宋"/>
          <w:b w:val="0"/>
          <w:bCs w:val="0"/>
          <w:kern w:val="2"/>
          <w:sz w:val="32"/>
          <w:szCs w:val="32"/>
          <w:lang w:val="en-US" w:eastAsia="zh-CN" w:bidi="ar-SA"/>
        </w:rPr>
        <w:t>一、收入支出决算总表</w:t>
      </w:r>
      <w:bookmarkEnd w:id="83"/>
    </w:p>
    <w:p w14:paraId="17E8493C">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84" w:name="_Toc15396620"/>
      <w:r>
        <w:rPr>
          <w:rFonts w:hint="eastAsia" w:ascii="仿宋" w:hAnsi="仿宋" w:eastAsia="仿宋" w:cs="仿宋"/>
          <w:b w:val="0"/>
          <w:bCs w:val="0"/>
          <w:kern w:val="2"/>
          <w:sz w:val="32"/>
          <w:szCs w:val="32"/>
          <w:lang w:val="en-US" w:eastAsia="zh-CN" w:bidi="ar-SA"/>
        </w:rPr>
        <w:t>二、收入决算表</w:t>
      </w:r>
      <w:bookmarkEnd w:id="84"/>
    </w:p>
    <w:p w14:paraId="2D69AF0C">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85" w:name="_Toc15396621"/>
      <w:r>
        <w:rPr>
          <w:rFonts w:hint="eastAsia" w:ascii="仿宋" w:hAnsi="仿宋" w:eastAsia="仿宋" w:cs="仿宋"/>
          <w:b w:val="0"/>
          <w:bCs w:val="0"/>
          <w:kern w:val="2"/>
          <w:sz w:val="32"/>
          <w:szCs w:val="32"/>
          <w:lang w:val="en-US" w:eastAsia="zh-CN" w:bidi="ar-SA"/>
        </w:rPr>
        <w:t>三、支出决算表</w:t>
      </w:r>
      <w:bookmarkEnd w:id="85"/>
    </w:p>
    <w:p w14:paraId="2B3C4B57">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86" w:name="_Toc15396622"/>
      <w:r>
        <w:rPr>
          <w:rFonts w:hint="eastAsia" w:ascii="仿宋" w:hAnsi="仿宋" w:eastAsia="仿宋" w:cs="仿宋"/>
          <w:b w:val="0"/>
          <w:bCs w:val="0"/>
          <w:kern w:val="2"/>
          <w:sz w:val="32"/>
          <w:szCs w:val="32"/>
          <w:lang w:val="en-US" w:eastAsia="zh-CN" w:bidi="ar-SA"/>
        </w:rPr>
        <w:t>四、财政拨款收入支出决算总表</w:t>
      </w:r>
      <w:bookmarkEnd w:id="86"/>
    </w:p>
    <w:p w14:paraId="6FFC2782">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87" w:name="_Toc15396623"/>
      <w:r>
        <w:rPr>
          <w:rFonts w:hint="eastAsia" w:ascii="仿宋" w:hAnsi="仿宋" w:eastAsia="仿宋" w:cs="仿宋"/>
          <w:b w:val="0"/>
          <w:bCs w:val="0"/>
          <w:kern w:val="2"/>
          <w:sz w:val="32"/>
          <w:szCs w:val="32"/>
          <w:lang w:val="en-US" w:eastAsia="zh-CN" w:bidi="ar-SA"/>
        </w:rPr>
        <w:t>五、财政拨款支出决算明细表</w:t>
      </w:r>
      <w:bookmarkEnd w:id="87"/>
      <w:bookmarkStart w:id="88" w:name="_Toc15396624"/>
    </w:p>
    <w:p w14:paraId="3C2ECE7E">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六、一般公共预算财政拨款支出决算表</w:t>
      </w:r>
      <w:bookmarkEnd w:id="88"/>
    </w:p>
    <w:p w14:paraId="67164995">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89" w:name="_Toc15396625"/>
      <w:r>
        <w:rPr>
          <w:rFonts w:hint="eastAsia" w:ascii="仿宋" w:hAnsi="仿宋" w:eastAsia="仿宋" w:cs="仿宋"/>
          <w:b w:val="0"/>
          <w:bCs w:val="0"/>
          <w:kern w:val="2"/>
          <w:sz w:val="32"/>
          <w:szCs w:val="32"/>
          <w:lang w:val="en-US" w:eastAsia="zh-CN" w:bidi="ar-SA"/>
        </w:rPr>
        <w:t>七、一般公共预算财政拨款支出决算明细表</w:t>
      </w:r>
      <w:bookmarkEnd w:id="89"/>
    </w:p>
    <w:p w14:paraId="5B0AEF61">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90" w:name="_Toc15396626"/>
      <w:r>
        <w:rPr>
          <w:rFonts w:hint="eastAsia" w:ascii="仿宋" w:hAnsi="仿宋" w:eastAsia="仿宋" w:cs="仿宋"/>
          <w:b w:val="0"/>
          <w:bCs w:val="0"/>
          <w:kern w:val="2"/>
          <w:sz w:val="32"/>
          <w:szCs w:val="32"/>
          <w:lang w:val="en-US" w:eastAsia="zh-CN" w:bidi="ar-SA"/>
        </w:rPr>
        <w:t>八、一般公共预算财政拨款基本支出决算表</w:t>
      </w:r>
      <w:bookmarkEnd w:id="90"/>
    </w:p>
    <w:p w14:paraId="00A0D636">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91" w:name="_Toc15396627"/>
      <w:r>
        <w:rPr>
          <w:rFonts w:hint="eastAsia" w:ascii="仿宋" w:hAnsi="仿宋" w:eastAsia="仿宋" w:cs="仿宋"/>
          <w:b w:val="0"/>
          <w:bCs w:val="0"/>
          <w:kern w:val="2"/>
          <w:sz w:val="32"/>
          <w:szCs w:val="32"/>
          <w:lang w:val="en-US" w:eastAsia="zh-CN" w:bidi="ar-SA"/>
        </w:rPr>
        <w:t>九、一般公共预算财政拨款项目支出决算表</w:t>
      </w:r>
      <w:bookmarkEnd w:id="91"/>
    </w:p>
    <w:p w14:paraId="35D31C75">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92" w:name="_Toc15396628"/>
      <w:r>
        <w:rPr>
          <w:rFonts w:hint="eastAsia" w:ascii="仿宋" w:hAnsi="仿宋" w:eastAsia="仿宋" w:cs="仿宋"/>
          <w:b w:val="0"/>
          <w:bCs w:val="0"/>
          <w:kern w:val="2"/>
          <w:sz w:val="32"/>
          <w:szCs w:val="32"/>
          <w:lang w:val="en-US" w:eastAsia="zh-CN" w:bidi="ar-SA"/>
        </w:rPr>
        <w:t>十、一般公共预算财政拨款“三公”经费支出决算表</w:t>
      </w:r>
      <w:bookmarkEnd w:id="92"/>
    </w:p>
    <w:p w14:paraId="27B1D7FF">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93" w:name="_Toc15396629"/>
      <w:r>
        <w:rPr>
          <w:rFonts w:hint="eastAsia" w:ascii="仿宋" w:hAnsi="仿宋" w:eastAsia="仿宋" w:cs="仿宋"/>
          <w:b w:val="0"/>
          <w:bCs w:val="0"/>
          <w:kern w:val="2"/>
          <w:sz w:val="32"/>
          <w:szCs w:val="32"/>
          <w:lang w:val="en-US" w:eastAsia="zh-CN" w:bidi="ar-SA"/>
        </w:rPr>
        <w:t>十一、政府性基金预算财政拨款收入支出决算表</w:t>
      </w:r>
      <w:bookmarkEnd w:id="93"/>
    </w:p>
    <w:p w14:paraId="3F5952FD">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94" w:name="_Toc15396630"/>
      <w:r>
        <w:rPr>
          <w:rFonts w:hint="eastAsia" w:ascii="仿宋" w:hAnsi="仿宋" w:eastAsia="仿宋" w:cs="仿宋"/>
          <w:b w:val="0"/>
          <w:bCs w:val="0"/>
          <w:kern w:val="2"/>
          <w:sz w:val="32"/>
          <w:szCs w:val="32"/>
          <w:lang w:val="en-US" w:eastAsia="zh-CN" w:bidi="ar-SA"/>
        </w:rPr>
        <w:t>十二、政府性基金预算财政拨款“三公”经费支出决算表</w:t>
      </w:r>
      <w:bookmarkEnd w:id="94"/>
    </w:p>
    <w:p w14:paraId="344CBB28">
      <w:pPr>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rPr>
          <w:rFonts w:hint="eastAsia"/>
          <w:lang w:val="en-US" w:eastAsia="zh-CN"/>
        </w:rPr>
      </w:pPr>
      <w:r>
        <w:rPr>
          <w:rFonts w:hint="eastAsia" w:ascii="仿宋" w:hAnsi="仿宋" w:eastAsia="仿宋" w:cs="仿宋"/>
          <w:b w:val="0"/>
          <w:bCs w:val="0"/>
          <w:kern w:val="2"/>
          <w:sz w:val="32"/>
          <w:szCs w:val="32"/>
          <w:lang w:val="en-US" w:eastAsia="zh-Hans" w:bidi="ar-SA"/>
        </w:rPr>
        <w:t>十三</w:t>
      </w:r>
      <w:r>
        <w:rPr>
          <w:rFonts w:hint="default" w:ascii="仿宋" w:hAnsi="仿宋" w:eastAsia="仿宋" w:cs="仿宋"/>
          <w:b w:val="0"/>
          <w:bCs w:val="0"/>
          <w:kern w:val="2"/>
          <w:sz w:val="32"/>
          <w:szCs w:val="32"/>
          <w:lang w:eastAsia="zh-Hans" w:bidi="ar-SA"/>
        </w:rPr>
        <w:t>、</w:t>
      </w:r>
      <w:r>
        <w:rPr>
          <w:rFonts w:hint="eastAsia" w:ascii="仿宋" w:hAnsi="仿宋" w:eastAsia="仿宋" w:cs="仿宋"/>
          <w:b w:val="0"/>
          <w:bCs w:val="0"/>
          <w:kern w:val="2"/>
          <w:sz w:val="32"/>
          <w:szCs w:val="32"/>
          <w:lang w:val="en-US" w:eastAsia="zh-Hans" w:bidi="ar-SA"/>
        </w:rPr>
        <w:t>国有资本国有资本经营预算财政拨款收入支出决算表</w:t>
      </w:r>
    </w:p>
    <w:p w14:paraId="345095B3">
      <w:pPr>
        <w:pStyle w:val="4"/>
        <w:pageBreakBefore w:val="0"/>
        <w:widowControl w:val="0"/>
        <w:kinsoku/>
        <w:wordWrap/>
        <w:overflowPunct/>
        <w:topLinePunct w:val="0"/>
        <w:autoSpaceDE/>
        <w:autoSpaceDN/>
        <w:bidi w:val="0"/>
        <w:adjustRightInd/>
        <w:snapToGrid/>
        <w:spacing w:before="0" w:after="0" w:line="800" w:lineRule="exact"/>
        <w:ind w:left="0" w:leftChars="0" w:right="0" w:rightChars="0" w:firstLine="0" w:firstLineChars="0"/>
        <w:jc w:val="both"/>
        <w:textAlignment w:val="auto"/>
        <w:rPr>
          <w:rFonts w:hint="eastAsia" w:ascii="仿宋" w:hAnsi="仿宋" w:eastAsia="仿宋" w:cs="仿宋"/>
          <w:b w:val="0"/>
          <w:bCs w:val="0"/>
          <w:kern w:val="2"/>
          <w:sz w:val="32"/>
          <w:szCs w:val="32"/>
          <w:lang w:val="en-US" w:eastAsia="zh-CN" w:bidi="ar-SA"/>
        </w:rPr>
      </w:pPr>
      <w:bookmarkStart w:id="95" w:name="_Toc15396631"/>
      <w:r>
        <w:rPr>
          <w:rFonts w:hint="eastAsia" w:ascii="仿宋" w:hAnsi="仿宋" w:eastAsia="仿宋" w:cs="仿宋"/>
          <w:b w:val="0"/>
          <w:bCs w:val="0"/>
          <w:kern w:val="2"/>
          <w:sz w:val="32"/>
          <w:szCs w:val="32"/>
          <w:lang w:val="en-US" w:eastAsia="zh-CN" w:bidi="ar-SA"/>
        </w:rPr>
        <w:t>十</w:t>
      </w:r>
      <w:r>
        <w:rPr>
          <w:rFonts w:hint="eastAsia" w:ascii="仿宋" w:hAnsi="仿宋" w:eastAsia="仿宋" w:cs="仿宋"/>
          <w:b w:val="0"/>
          <w:bCs w:val="0"/>
          <w:kern w:val="2"/>
          <w:sz w:val="32"/>
          <w:szCs w:val="32"/>
          <w:lang w:val="en-US" w:eastAsia="zh-Hans" w:bidi="ar-SA"/>
        </w:rPr>
        <w:t>四</w:t>
      </w:r>
      <w:r>
        <w:rPr>
          <w:rFonts w:hint="eastAsia" w:ascii="仿宋" w:hAnsi="仿宋" w:eastAsia="仿宋" w:cs="仿宋"/>
          <w:b w:val="0"/>
          <w:bCs w:val="0"/>
          <w:kern w:val="2"/>
          <w:sz w:val="32"/>
          <w:szCs w:val="32"/>
          <w:lang w:val="en-US" w:eastAsia="zh-CN" w:bidi="ar-SA"/>
        </w:rPr>
        <w:t>、国有资本经营预算财政拨款支出决算表</w:t>
      </w:r>
      <w:bookmarkEnd w:id="95"/>
    </w:p>
    <w:p w14:paraId="662A190B">
      <w:pPr>
        <w:pStyle w:val="2"/>
        <w:spacing w:before="93"/>
        <w:rPr>
          <w:rFonts w:hint="eastAsia" w:ascii="仿宋" w:hAnsi="仿宋" w:eastAsia="仿宋" w:cs="仿宋"/>
          <w:b w:val="0"/>
          <w:bCs w:val="0"/>
          <w:kern w:val="2"/>
          <w:sz w:val="32"/>
          <w:szCs w:val="32"/>
          <w:lang w:val="en-US" w:eastAsia="zh-CN" w:bidi="ar-SA"/>
        </w:rPr>
      </w:pPr>
    </w:p>
    <w:sectPr>
      <w:footerReference r:id="rId4" w:type="default"/>
      <w:pgSz w:w="11906" w:h="16838"/>
      <w:pgMar w:top="1440" w:right="1800" w:bottom="1440" w:left="1800" w:header="851" w:footer="992" w:gutter="0"/>
      <w:pgNumType w:fmt="decimal"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486A">
    <w:pPr>
      <w:pStyle w:val="6"/>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FB71F7">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1FB71F7">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DDA1">
    <w:pPr>
      <w:pStyle w:val="6"/>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64804">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0EC6480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B23F4"/>
    <w:multiLevelType w:val="singleLevel"/>
    <w:tmpl w:val="9E9B23F4"/>
    <w:lvl w:ilvl="0" w:tentative="0">
      <w:start w:val="9"/>
      <w:numFmt w:val="chineseCounting"/>
      <w:suff w:val="nothing"/>
      <w:lvlText w:val="%1、"/>
      <w:lvlJc w:val="left"/>
      <w:rPr>
        <w:rFonts w:hint="eastAsia" w:ascii="黑体" w:hAnsi="黑体" w:eastAsia="黑体"/>
      </w:rPr>
    </w:lvl>
  </w:abstractNum>
  <w:abstractNum w:abstractNumId="1">
    <w:nsid w:val="A04B0E62"/>
    <w:multiLevelType w:val="singleLevel"/>
    <w:tmpl w:val="A04B0E62"/>
    <w:lvl w:ilvl="0" w:tentative="0">
      <w:start w:val="2"/>
      <w:numFmt w:val="chineseCounting"/>
      <w:suff w:val="nothing"/>
      <w:lvlText w:val="（%1）"/>
      <w:lvlJc w:val="left"/>
      <w:rPr>
        <w:rFonts w:hint="eastAsia"/>
      </w:rPr>
    </w:lvl>
  </w:abstractNum>
  <w:abstractNum w:abstractNumId="2">
    <w:nsid w:val="BBB8BC81"/>
    <w:multiLevelType w:val="singleLevel"/>
    <w:tmpl w:val="BBB8BC81"/>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EC1E63E"/>
    <w:multiLevelType w:val="singleLevel"/>
    <w:tmpl w:val="1EC1E63E"/>
    <w:lvl w:ilvl="0" w:tentative="0">
      <w:start w:val="4"/>
      <w:numFmt w:val="chineseCounting"/>
      <w:suff w:val="nothing"/>
      <w:lvlText w:val="%1、"/>
      <w:lvlJc w:val="left"/>
      <w:rPr>
        <w:rFonts w:hint="eastAsia"/>
      </w:rPr>
    </w:lvl>
  </w:abstractNum>
  <w:abstractNum w:abstractNumId="5">
    <w:nsid w:val="3E3B0E5C"/>
    <w:multiLevelType w:val="multilevel"/>
    <w:tmpl w:val="3E3B0E5C"/>
    <w:lvl w:ilvl="0" w:tentative="0">
      <w:start w:val="3"/>
      <w:numFmt w:val="japaneseCounting"/>
      <w:lvlText w:val="%1、"/>
      <w:lvlJc w:val="left"/>
      <w:pPr>
        <w:ind w:left="1360" w:hanging="720"/>
      </w:pPr>
      <w:rPr>
        <w:rFonts w:hint="default" w:cs="Times New Roman"/>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282F07C2"/>
    <w:rsid w:val="00222AF1"/>
    <w:rsid w:val="004C5BF7"/>
    <w:rsid w:val="007B2BA4"/>
    <w:rsid w:val="00A874C6"/>
    <w:rsid w:val="00B3488C"/>
    <w:rsid w:val="062F222C"/>
    <w:rsid w:val="0B727E2E"/>
    <w:rsid w:val="0E130741"/>
    <w:rsid w:val="0E8D305A"/>
    <w:rsid w:val="0FDC3151"/>
    <w:rsid w:val="1D483F90"/>
    <w:rsid w:val="249460ED"/>
    <w:rsid w:val="282F07C2"/>
    <w:rsid w:val="31426EBF"/>
    <w:rsid w:val="350F3CA9"/>
    <w:rsid w:val="36857F28"/>
    <w:rsid w:val="36FC97E8"/>
    <w:rsid w:val="3B533F7D"/>
    <w:rsid w:val="3BFD11F8"/>
    <w:rsid w:val="405C5EFD"/>
    <w:rsid w:val="43291E39"/>
    <w:rsid w:val="4E135768"/>
    <w:rsid w:val="5899615F"/>
    <w:rsid w:val="61BFD3A2"/>
    <w:rsid w:val="6B6214E3"/>
    <w:rsid w:val="6C2B7621"/>
    <w:rsid w:val="76ED173C"/>
    <w:rsid w:val="7DFF3201"/>
    <w:rsid w:val="7FEF774F"/>
    <w:rsid w:val="AF5F6689"/>
    <w:rsid w:val="EFBE8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Body Text Indent"/>
    <w:basedOn w:val="1"/>
    <w:qFormat/>
    <w:uiPriority w:val="99"/>
    <w:pPr>
      <w:ind w:left="420" w:leftChars="200"/>
    </w:pPr>
    <w:rPr>
      <w:rFonts w:ascii="Times New Roman" w:hAnsi="Times New Roman"/>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2"/>
    <w:basedOn w:val="1"/>
    <w:next w:val="1"/>
    <w:qFormat/>
    <w:uiPriority w:val="0"/>
    <w:pPr>
      <w:ind w:left="420" w:leftChars="200"/>
    </w:p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basedOn w:val="5"/>
    <w:qFormat/>
    <w:uiPriority w:val="99"/>
    <w:pPr>
      <w:ind w:firstLine="420" w:firstLineChars="200"/>
    </w:pPr>
  </w:style>
  <w:style w:type="character" w:styleId="13">
    <w:name w:val="Strong"/>
    <w:basedOn w:val="12"/>
    <w:qFormat/>
    <w:uiPriority w:val="99"/>
    <w:rPr>
      <w:b/>
    </w:rPr>
  </w:style>
  <w:style w:type="character" w:customStyle="1" w:styleId="14">
    <w:name w:val="标题 2 Char"/>
    <w:basedOn w:val="12"/>
    <w:qFormat/>
    <w:uiPriority w:val="9"/>
    <w:rPr>
      <w:rFonts w:asciiTheme="majorHAnsi" w:hAnsiTheme="majorHAnsi" w:eastAsiaTheme="majorEastAsia" w:cstheme="majorBidi"/>
      <w:b/>
      <w:bCs/>
      <w:kern w:val="2"/>
      <w:sz w:val="32"/>
      <w:szCs w:val="32"/>
    </w:rPr>
  </w:style>
  <w:style w:type="character" w:customStyle="1" w:styleId="15">
    <w:name w:val="标题 1 Char"/>
    <w:basedOn w:val="12"/>
    <w:link w:val="3"/>
    <w:qFormat/>
    <w:locked/>
    <w:uiPriority w:val="9"/>
    <w:rPr>
      <w:b/>
      <w:bCs/>
      <w:kern w:val="44"/>
      <w:sz w:val="44"/>
      <w:szCs w:val="44"/>
    </w:rPr>
  </w:style>
  <w:style w:type="paragraph" w:customStyle="1" w:styleId="16">
    <w:name w:val="List Paragraph"/>
    <w:basedOn w:val="1"/>
    <w:qFormat/>
    <w:uiPriority w:val="34"/>
    <w:pPr>
      <w:ind w:firstLine="420" w:firstLineChars="200"/>
    </w:pPr>
  </w:style>
  <w:style w:type="character" w:customStyle="1" w:styleId="17">
    <w:name w:val="font41"/>
    <w:basedOn w:val="12"/>
    <w:qFormat/>
    <w:uiPriority w:val="0"/>
    <w:rPr>
      <w:rFonts w:hint="eastAsia" w:ascii="仿宋_GB2312" w:eastAsia="仿宋_GB2312" w:cs="仿宋_GB2312"/>
      <w:color w:val="000000"/>
      <w:sz w:val="32"/>
      <w:szCs w:val="32"/>
      <w:u w:val="none"/>
    </w:rPr>
  </w:style>
  <w:style w:type="character" w:customStyle="1" w:styleId="18">
    <w:name w:val="font01"/>
    <w:basedOn w:val="12"/>
    <w:qFormat/>
    <w:uiPriority w:val="0"/>
    <w:rPr>
      <w:rFonts w:hint="eastAsia" w:ascii="仿宋_GB2312" w:eastAsia="仿宋_GB2312" w:cs="仿宋_GB2312"/>
      <w:color w:val="000000"/>
      <w:sz w:val="32"/>
      <w:szCs w:val="32"/>
      <w:u w:val="none"/>
    </w:rPr>
  </w:style>
  <w:style w:type="character" w:customStyle="1" w:styleId="19">
    <w:name w:val="font81"/>
    <w:basedOn w:val="12"/>
    <w:qFormat/>
    <w:uiPriority w:val="0"/>
    <w:rPr>
      <w:rFonts w:hint="default" w:ascii="Times New Roman" w:hAnsi="Times New Roman" w:cs="Times New Roman"/>
      <w:color w:val="000000"/>
      <w:sz w:val="20"/>
      <w:szCs w:val="20"/>
      <w:u w:val="none"/>
    </w:rPr>
  </w:style>
  <w:style w:type="character" w:customStyle="1" w:styleId="20">
    <w:name w:val="标题 1 字符"/>
    <w:basedOn w:val="12"/>
    <w:link w:val="3"/>
    <w:qFormat/>
    <w:uiPriority w:val="9"/>
    <w:rPr>
      <w:rFonts w:ascii="Times New Roman" w:hAnsi="Times New Roman"/>
      <w:b/>
      <w:bCs/>
      <w:kern w:val="44"/>
      <w:sz w:val="44"/>
      <w:szCs w:val="44"/>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标题 2 字符"/>
    <w:basedOn w:val="12"/>
    <w:link w:val="4"/>
    <w:qFormat/>
    <w:uiPriority w:val="9"/>
    <w:rPr>
      <w:rFonts w:asciiTheme="majorHAnsi" w:hAnsiTheme="majorHAnsi" w:eastAsiaTheme="majorEastAsia" w:cstheme="majorBidi"/>
      <w:b/>
      <w:bCs/>
      <w:sz w:val="32"/>
      <w:szCs w:val="32"/>
    </w:rPr>
  </w:style>
  <w:style w:type="character" w:customStyle="1" w:styleId="23">
    <w:name w:val=" Char Char6"/>
    <w:basedOn w:val="12"/>
    <w:link w:val="3"/>
    <w:qFormat/>
    <w:locked/>
    <w:uiPriority w:val="9"/>
    <w:rPr>
      <w:rFonts w:ascii="Times New Roman" w:hAnsi="Times New Roman" w:cs="Times New Roman"/>
      <w:b/>
      <w:bCs/>
      <w:kern w:val="44"/>
      <w:sz w:val="44"/>
      <w:szCs w:val="44"/>
    </w:rPr>
  </w:style>
  <w:style w:type="character" w:customStyle="1" w:styleId="24">
    <w:name w:val=" Char Char5"/>
    <w:basedOn w:val="12"/>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10862</Words>
  <Characters>11454</Characters>
  <Lines>12</Lines>
  <Paragraphs>10</Paragraphs>
  <TotalTime>1</TotalTime>
  <ScaleCrop>false</ScaleCrop>
  <LinksUpToDate>false</LinksUpToDate>
  <CharactersWithSpaces>11507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2021-09-30T16:24:00Z</dcterms:created>
  <dc:creator>薛静</dc:creator>
  <cp:lastModifiedBy>昭化融媒体</cp:lastModifiedBy>
  <dcterms:modified xsi:type="dcterms:W3CDTF">2025-06-24T03:35:20Z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320B6EA12BD1456DB435166783002A9F</vt:lpwstr>
  </property>
  <property fmtid="{D5CDD505-2E9C-101B-9397-08002B2CF9AE}" pid="4" name="KSOTemplateDocerSaveRecord">
    <vt:lpwstr>eyJoZGlkIjoiMGVhYTg4NGNkZWJkODFjNzcyZDRjM2M4Y2UzNjI5ZmUiLCJ1c2VySWQiOiI2MTE2MzEwMDYifQ==</vt:lpwstr>
  </property>
</Properties>
</file>