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0FE48">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bookmarkStart w:id="0" w:name="_Toc15306267"/>
      <w:bookmarkStart w:id="104" w:name="_GoBack"/>
      <w:bookmarkEnd w:id="104"/>
    </w:p>
    <w:p w14:paraId="4C132E4D">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p>
    <w:p w14:paraId="2E2CBF11">
      <w:pPr>
        <w:wordWrap/>
        <w:snapToGrid/>
        <w:spacing w:line="240" w:lineRule="auto"/>
        <w:ind w:left="0" w:leftChars="0" w:right="0" w:firstLine="0" w:firstLineChars="0"/>
        <w:jc w:val="left"/>
        <w:outlineLvl w:val="9"/>
        <w:rPr>
          <w:rFonts w:ascii="方正小标宋简体" w:hAnsi="宋体" w:eastAsia="方正小标宋简体"/>
          <w:color w:val="000000"/>
          <w:sz w:val="72"/>
          <w:szCs w:val="72"/>
        </w:rPr>
      </w:pPr>
    </w:p>
    <w:p w14:paraId="2AA336A5">
      <w:pPr>
        <w:wordWrap/>
        <w:snapToGrid/>
        <w:spacing w:line="240" w:lineRule="auto"/>
        <w:ind w:left="0" w:leftChars="0" w:right="0" w:firstLine="0" w:firstLineChars="0"/>
        <w:jc w:val="left"/>
        <w:outlineLvl w:val="9"/>
        <w:rPr>
          <w:rFonts w:ascii="方正小标宋简体" w:hAnsi="宋体" w:eastAsia="方正小标宋简体"/>
          <w:color w:val="000000"/>
          <w:sz w:val="144"/>
          <w:szCs w:val="144"/>
        </w:rPr>
      </w:pPr>
    </w:p>
    <w:p w14:paraId="0164EC37">
      <w:pPr>
        <w:wordWrap/>
        <w:adjustRightInd w:val="0"/>
        <w:snapToGrid/>
        <w:spacing w:line="240" w:lineRule="auto"/>
        <w:ind w:left="0" w:leftChars="0" w:right="0" w:firstLine="0" w:firstLineChars="0"/>
        <w:jc w:val="center"/>
        <w:outlineLvl w:val="9"/>
        <w:rPr>
          <w:rFonts w:hint="eastAsia" w:ascii="黑体" w:hAnsi="黑体" w:eastAsia="黑体" w:cs="黑体"/>
          <w:color w:val="000000"/>
          <w:sz w:val="56"/>
          <w:szCs w:val="56"/>
        </w:rPr>
      </w:pPr>
      <w:bookmarkStart w:id="1" w:name="_Toc15377425"/>
      <w:bookmarkStart w:id="2" w:name="_Toc15396475"/>
      <w:bookmarkStart w:id="3" w:name="_Toc15396597"/>
      <w:bookmarkStart w:id="4" w:name="_Toc15377193"/>
      <w:bookmarkStart w:id="5" w:name="_Toc15378441"/>
      <w:r>
        <w:rPr>
          <w:rFonts w:hint="eastAsia" w:ascii="黑体" w:hAnsi="黑体" w:eastAsia="黑体" w:cs="黑体"/>
          <w:color w:val="000000"/>
          <w:sz w:val="56"/>
          <w:szCs w:val="56"/>
          <w:lang w:eastAsia="zh-CN"/>
        </w:rPr>
        <w:t>2020</w:t>
      </w:r>
      <w:r>
        <w:rPr>
          <w:rFonts w:hint="eastAsia" w:ascii="黑体" w:hAnsi="黑体" w:eastAsia="黑体" w:cs="黑体"/>
          <w:color w:val="000000"/>
          <w:sz w:val="56"/>
          <w:szCs w:val="56"/>
        </w:rPr>
        <w:t>年度</w:t>
      </w:r>
      <w:bookmarkEnd w:id="1"/>
      <w:bookmarkEnd w:id="2"/>
      <w:bookmarkEnd w:id="3"/>
      <w:bookmarkEnd w:id="4"/>
      <w:bookmarkEnd w:id="5"/>
    </w:p>
    <w:bookmarkEnd w:id="0"/>
    <w:p w14:paraId="6752B373">
      <w:pPr>
        <w:wordWrap/>
        <w:adjustRightInd w:val="0"/>
        <w:snapToGrid/>
        <w:spacing w:line="240" w:lineRule="auto"/>
        <w:ind w:left="0" w:leftChars="0" w:right="0" w:firstLine="0" w:firstLineChars="0"/>
        <w:jc w:val="center"/>
        <w:outlineLvl w:val="9"/>
        <w:rPr>
          <w:rFonts w:hint="eastAsia" w:ascii="黑体" w:hAnsi="黑体" w:eastAsia="黑体" w:cs="黑体"/>
          <w:color w:val="000000"/>
          <w:sz w:val="56"/>
          <w:szCs w:val="56"/>
          <w:lang w:val="en-US" w:eastAsia="zh-CN"/>
        </w:rPr>
      </w:pPr>
      <w:bookmarkStart w:id="6" w:name="_Toc15377426"/>
      <w:bookmarkStart w:id="7" w:name="_Toc15396598"/>
      <w:bookmarkStart w:id="8" w:name="_Toc15306268"/>
      <w:bookmarkStart w:id="9" w:name="_Toc15377194"/>
      <w:bookmarkStart w:id="10" w:name="_Toc15378442"/>
      <w:bookmarkStart w:id="11" w:name="_Toc15396476"/>
      <w:r>
        <w:rPr>
          <w:rFonts w:hint="eastAsia" w:ascii="黑体" w:hAnsi="黑体" w:eastAsia="黑体" w:cs="黑体"/>
          <w:color w:val="000000"/>
          <w:sz w:val="56"/>
          <w:szCs w:val="56"/>
          <w:lang w:val="en-US" w:eastAsia="zh-CN"/>
        </w:rPr>
        <w:t>四川省</w:t>
      </w:r>
      <w:r>
        <w:rPr>
          <w:rFonts w:hint="eastAsia" w:ascii="黑体" w:hAnsi="黑体" w:eastAsia="黑体" w:cs="黑体"/>
          <w:color w:val="000000"/>
          <w:sz w:val="56"/>
          <w:szCs w:val="56"/>
        </w:rPr>
        <w:t>广元市昭化区</w:t>
      </w:r>
      <w:r>
        <w:rPr>
          <w:rFonts w:hint="eastAsia" w:ascii="黑体" w:hAnsi="黑体" w:eastAsia="黑体" w:cs="黑体"/>
          <w:color w:val="000000"/>
          <w:sz w:val="56"/>
          <w:szCs w:val="56"/>
          <w:lang w:val="en-US" w:eastAsia="zh-CN"/>
        </w:rPr>
        <w:t>教育局</w:t>
      </w:r>
    </w:p>
    <w:p w14:paraId="259897B0">
      <w:pPr>
        <w:wordWrap/>
        <w:adjustRightInd w:val="0"/>
        <w:snapToGrid/>
        <w:spacing w:line="240" w:lineRule="auto"/>
        <w:ind w:left="0" w:leftChars="0" w:right="0" w:firstLine="0" w:firstLineChars="0"/>
        <w:jc w:val="center"/>
        <w:outlineLvl w:val="9"/>
        <w:rPr>
          <w:rFonts w:hint="eastAsia" w:ascii="黑体" w:hAnsi="黑体" w:eastAsia="黑体" w:cs="黑体"/>
          <w:color w:val="000000"/>
          <w:sz w:val="56"/>
          <w:szCs w:val="56"/>
          <w:lang w:val="en-US" w:eastAsia="zh-CN"/>
        </w:rPr>
      </w:pPr>
      <w:r>
        <w:rPr>
          <w:rFonts w:hint="eastAsia" w:ascii="黑体" w:hAnsi="黑体" w:eastAsia="黑体" w:cs="黑体"/>
          <w:color w:val="000000"/>
          <w:sz w:val="56"/>
          <w:szCs w:val="56"/>
          <w:lang w:eastAsia="zh-CN"/>
        </w:rPr>
        <w:t>（</w:t>
      </w:r>
      <w:r>
        <w:rPr>
          <w:rFonts w:hint="eastAsia" w:ascii="黑体" w:hAnsi="黑体" w:eastAsia="黑体" w:cs="黑体"/>
          <w:color w:val="000000"/>
          <w:sz w:val="56"/>
          <w:szCs w:val="56"/>
          <w:lang w:val="en-US" w:eastAsia="zh-CN"/>
        </w:rPr>
        <w:t>本级</w:t>
      </w:r>
      <w:r>
        <w:rPr>
          <w:rFonts w:hint="eastAsia" w:ascii="黑体" w:hAnsi="黑体" w:eastAsia="黑体" w:cs="黑体"/>
          <w:color w:val="000000"/>
          <w:sz w:val="56"/>
          <w:szCs w:val="56"/>
          <w:lang w:eastAsia="zh-CN"/>
        </w:rPr>
        <w:t>）</w:t>
      </w:r>
      <w:r>
        <w:rPr>
          <w:rFonts w:hint="eastAsia" w:ascii="黑体" w:hAnsi="黑体" w:eastAsia="黑体" w:cs="黑体"/>
          <w:color w:val="000000"/>
          <w:sz w:val="56"/>
          <w:szCs w:val="56"/>
        </w:rPr>
        <w:t>部门决算</w:t>
      </w:r>
      <w:bookmarkEnd w:id="6"/>
      <w:bookmarkEnd w:id="7"/>
      <w:bookmarkEnd w:id="8"/>
      <w:bookmarkEnd w:id="9"/>
      <w:bookmarkEnd w:id="10"/>
      <w:bookmarkEnd w:id="11"/>
      <w:r>
        <w:rPr>
          <w:rFonts w:hint="eastAsia" w:ascii="黑体" w:hAnsi="黑体" w:eastAsia="黑体" w:cs="黑体"/>
          <w:color w:val="000000"/>
          <w:sz w:val="56"/>
          <w:szCs w:val="56"/>
          <w:lang w:val="en-US" w:eastAsia="zh-CN"/>
        </w:rPr>
        <w:t>公开</w:t>
      </w:r>
    </w:p>
    <w:p w14:paraId="2EE25BBD">
      <w:pPr>
        <w:widowControl/>
        <w:wordWrap/>
        <w:snapToGrid/>
        <w:spacing w:line="240" w:lineRule="auto"/>
        <w:ind w:left="0" w:leftChars="0" w:right="0" w:firstLine="0" w:firstLineChars="0"/>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1DC9BEAC">
      <w:pPr>
        <w:pStyle w:val="14"/>
      </w:pPr>
      <w:bookmarkStart w:id="12" w:name="_Toc15377196"/>
      <w:bookmarkStart w:id="13" w:name="_Toc15396599"/>
      <w:r>
        <w:rPr>
          <w:rFonts w:hint="eastAsia"/>
        </w:rPr>
        <w:t>公开时间：</w:t>
      </w:r>
      <w:r>
        <w:t>2021</w:t>
      </w:r>
      <w:r>
        <w:rPr>
          <w:rFonts w:hint="eastAsia"/>
        </w:rPr>
        <w:t>年</w:t>
      </w:r>
      <w:r>
        <w:rPr>
          <w:rFonts w:hint="eastAsia"/>
          <w:lang w:val="en-US" w:eastAsia="zh-CN"/>
        </w:rPr>
        <w:t>9</w:t>
      </w:r>
      <w:r>
        <w:rPr>
          <w:rFonts w:hint="eastAsia"/>
        </w:rPr>
        <w:t>月</w:t>
      </w:r>
      <w:r>
        <w:rPr>
          <w:rFonts w:hint="eastAsia"/>
          <w:lang w:val="en-US" w:eastAsia="zh-CN"/>
        </w:rPr>
        <w:t>30</w:t>
      </w:r>
      <w:r>
        <w:rPr>
          <w:rFonts w:hint="eastAsia"/>
        </w:rPr>
        <w:t>日</w:t>
      </w:r>
    </w:p>
    <w:p w14:paraId="51F1CB99">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left="0" w:leftChars="0"/>
        <w:textAlignment w:val="auto"/>
        <w:rPr>
          <w:rFonts w:hint="eastAsia" w:ascii="方正仿宋_GB2312" w:hAnsi="方正仿宋_GB2312" w:eastAsia="方正仿宋_GB2312" w:cs="方正仿宋_GB2312"/>
          <w:sz w:val="28"/>
          <w:szCs w:val="28"/>
        </w:rPr>
      </w:pPr>
      <w:r>
        <w:fldChar w:fldCharType="begin"/>
      </w:r>
      <w:r>
        <w:instrText xml:space="preserve">TOC \o "1-3" \h \u </w:instrText>
      </w:r>
      <w:r>
        <w:fldChar w:fldCharType="separate"/>
      </w:r>
      <w:r>
        <w:rPr>
          <w:rFonts w:hint="eastAsia" w:ascii="方正楷体_GB2312" w:hAnsi="方正楷体_GB2312" w:eastAsia="方正楷体_GB2312" w:cs="方正楷体_GB2312"/>
          <w:sz w:val="28"/>
          <w:szCs w:val="28"/>
        </w:rPr>
        <w:fldChar w:fldCharType="begin"/>
      </w:r>
      <w:r>
        <w:rPr>
          <w:rFonts w:hint="eastAsia" w:ascii="方正楷体_GB2312" w:hAnsi="方正楷体_GB2312" w:eastAsia="方正楷体_GB2312" w:cs="方正楷体_GB2312"/>
          <w:sz w:val="28"/>
          <w:szCs w:val="28"/>
        </w:rPr>
        <w:instrText xml:space="preserve"> HYPERLINK \l _Toc23975 </w:instrText>
      </w:r>
      <w:r>
        <w:rPr>
          <w:rFonts w:hint="eastAsia" w:ascii="方正楷体_GB2312" w:hAnsi="方正楷体_GB2312" w:eastAsia="方正楷体_GB2312" w:cs="方正楷体_GB2312"/>
          <w:sz w:val="28"/>
          <w:szCs w:val="28"/>
        </w:rPr>
        <w:fldChar w:fldCharType="separate"/>
      </w:r>
      <w:r>
        <w:rPr>
          <w:rFonts w:hint="eastAsia" w:ascii="方正楷体_GB2312" w:hAnsi="方正楷体_GB2312" w:eastAsia="方正楷体_GB2312" w:cs="方正楷体_GB2312"/>
          <w:sz w:val="28"/>
          <w:szCs w:val="28"/>
        </w:rPr>
        <w:t xml:space="preserve">第一部分 </w:t>
      </w:r>
      <w:r>
        <w:rPr>
          <w:rFonts w:hint="eastAsia" w:ascii="方正楷体_GB2312" w:hAnsi="方正楷体_GB2312" w:eastAsia="方正楷体_GB2312" w:cs="方正楷体_GB2312"/>
          <w:bCs w:val="0"/>
          <w:sz w:val="28"/>
          <w:szCs w:val="28"/>
        </w:rPr>
        <w:t>部门概况</w:t>
      </w:r>
      <w:r>
        <w:rPr>
          <w:rFonts w:hint="eastAsia" w:ascii="方正楷体_GB2312" w:hAnsi="方正楷体_GB2312" w:eastAsia="方正楷体_GB2312" w:cs="方正楷体_GB2312"/>
          <w:sz w:val="28"/>
          <w:szCs w:val="28"/>
        </w:rPr>
        <w:tab/>
      </w:r>
      <w:r>
        <w:rPr>
          <w:rFonts w:hint="eastAsia" w:ascii="方正楷体_GB2312" w:hAnsi="方正楷体_GB2312" w:eastAsia="方正楷体_GB2312" w:cs="方正楷体_GB2312"/>
          <w:sz w:val="28"/>
          <w:szCs w:val="28"/>
        </w:rPr>
        <w:fldChar w:fldCharType="begin"/>
      </w:r>
      <w:r>
        <w:rPr>
          <w:rFonts w:hint="eastAsia" w:ascii="方正楷体_GB2312" w:hAnsi="方正楷体_GB2312" w:eastAsia="方正楷体_GB2312" w:cs="方正楷体_GB2312"/>
          <w:sz w:val="28"/>
          <w:szCs w:val="28"/>
        </w:rPr>
        <w:instrText xml:space="preserve"> PAGEREF _Toc23975 </w:instrText>
      </w:r>
      <w:r>
        <w:rPr>
          <w:rFonts w:hint="eastAsia" w:ascii="方正楷体_GB2312" w:hAnsi="方正楷体_GB2312" w:eastAsia="方正楷体_GB2312" w:cs="方正楷体_GB2312"/>
          <w:sz w:val="28"/>
          <w:szCs w:val="28"/>
        </w:rPr>
        <w:fldChar w:fldCharType="separate"/>
      </w:r>
      <w:r>
        <w:rPr>
          <w:rFonts w:hint="eastAsia" w:ascii="方正楷体_GB2312" w:hAnsi="方正楷体_GB2312" w:eastAsia="方正楷体_GB2312" w:cs="方正楷体_GB2312"/>
          <w:sz w:val="28"/>
          <w:szCs w:val="28"/>
        </w:rPr>
        <w:t>4</w:t>
      </w:r>
      <w:r>
        <w:rPr>
          <w:rFonts w:hint="eastAsia" w:ascii="方正楷体_GB2312" w:hAnsi="方正楷体_GB2312" w:eastAsia="方正楷体_GB2312" w:cs="方正楷体_GB2312"/>
          <w:sz w:val="28"/>
          <w:szCs w:val="28"/>
        </w:rPr>
        <w:fldChar w:fldCharType="end"/>
      </w:r>
      <w:r>
        <w:rPr>
          <w:rFonts w:hint="eastAsia" w:ascii="方正楷体_GB2312" w:hAnsi="方正楷体_GB2312" w:eastAsia="方正楷体_GB2312" w:cs="方正楷体_GB2312"/>
          <w:sz w:val="28"/>
          <w:szCs w:val="28"/>
        </w:rPr>
        <w:fldChar w:fldCharType="end"/>
      </w:r>
    </w:p>
    <w:p w14:paraId="1163944A">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_Toc30806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一、基</w:t>
      </w:r>
      <w:r>
        <w:rPr>
          <w:rFonts w:hint="eastAsia" w:ascii="方正仿宋_GB2312" w:hAnsi="方正仿宋_GB2312" w:eastAsia="方正仿宋_GB2312" w:cs="方正仿宋_GB2312"/>
          <w:bCs w:val="0"/>
          <w:sz w:val="28"/>
          <w:szCs w:val="28"/>
        </w:rPr>
        <w:t>本职能及主要工作</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_Toc30806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1B6D3823">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_Toc31443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（一）主要职能。</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_Toc31443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478B38DB">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_Toc17196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w:t>
      </w:r>
      <w:r>
        <w:rPr>
          <w:rFonts w:hint="eastAsia" w:ascii="方正仿宋_GB2312" w:hAnsi="方正仿宋_GB2312" w:eastAsia="方正仿宋_GB2312" w:cs="方正仿宋_GB2312"/>
          <w:sz w:val="28"/>
          <w:szCs w:val="28"/>
          <w:lang w:eastAsia="zh-CN"/>
        </w:rPr>
        <w:t>2020</w:t>
      </w:r>
      <w:r>
        <w:rPr>
          <w:rFonts w:hint="eastAsia" w:ascii="方正仿宋_GB2312" w:hAnsi="方正仿宋_GB2312" w:eastAsia="方正仿宋_GB2312" w:cs="方正仿宋_GB2312"/>
          <w:sz w:val="28"/>
          <w:szCs w:val="28"/>
        </w:rPr>
        <w:t>年重点工作完成情况。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_Toc17196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679E614C">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_Toc25700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二、机</w:t>
      </w:r>
      <w:r>
        <w:rPr>
          <w:rFonts w:hint="eastAsia" w:ascii="方正仿宋_GB2312" w:hAnsi="方正仿宋_GB2312" w:eastAsia="方正仿宋_GB2312" w:cs="方正仿宋_GB2312"/>
          <w:bCs w:val="0"/>
          <w:sz w:val="28"/>
          <w:szCs w:val="28"/>
        </w:rPr>
        <w:t>构设置</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_Toc25700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2E7F63A3">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_Toc5345 </w:instrText>
      </w:r>
      <w:r>
        <w:rPr>
          <w:rFonts w:hint="eastAsia" w:ascii="方正仿宋_GB2312" w:hAnsi="方正仿宋_GB2312" w:eastAsia="方正仿宋_GB2312" w:cs="方正仿宋_GB2312"/>
          <w:sz w:val="28"/>
          <w:szCs w:val="28"/>
        </w:rPr>
        <w:fldChar w:fldCharType="separate"/>
      </w:r>
      <w:r>
        <w:rPr>
          <w:rFonts w:hint="eastAsia" w:ascii="方正楷体_GB2312" w:hAnsi="方正楷体_GB2312" w:eastAsia="方正楷体_GB2312" w:cs="方正楷体_GB2312"/>
          <w:sz w:val="28"/>
          <w:szCs w:val="28"/>
        </w:rPr>
        <w:t xml:space="preserve">第二部分 </w:t>
      </w:r>
      <w:r>
        <w:rPr>
          <w:rFonts w:hint="eastAsia" w:ascii="方正楷体_GB2312" w:hAnsi="方正楷体_GB2312" w:eastAsia="方正楷体_GB2312" w:cs="方正楷体_GB2312"/>
          <w:bCs w:val="0"/>
          <w:sz w:val="28"/>
          <w:szCs w:val="28"/>
          <w:lang w:eastAsia="zh-CN"/>
        </w:rPr>
        <w:t>2020</w:t>
      </w:r>
      <w:r>
        <w:rPr>
          <w:rFonts w:hint="eastAsia" w:ascii="方正楷体_GB2312" w:hAnsi="方正楷体_GB2312" w:eastAsia="方正楷体_GB2312" w:cs="方正楷体_GB2312"/>
          <w:bCs w:val="0"/>
          <w:sz w:val="28"/>
          <w:szCs w:val="28"/>
        </w:rPr>
        <w:t>年度部门决算情况说</w:t>
      </w:r>
      <w:r>
        <w:rPr>
          <w:rFonts w:hint="eastAsia" w:ascii="方正仿宋_GB2312" w:hAnsi="方正仿宋_GB2312" w:eastAsia="方正仿宋_GB2312" w:cs="方正仿宋_GB2312"/>
          <w:bCs w:val="0"/>
          <w:sz w:val="28"/>
          <w:szCs w:val="28"/>
        </w:rPr>
        <w:t>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_Toc5345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12</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19B5296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_Toc32302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一、 收入支出决算总体情况说明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_Toc32302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12</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4CDF58E8">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_Toc27754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二、 收入决算情况说明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_Toc27754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12</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31950BBB">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_Toc5113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 xml:space="preserve">三、 </w:t>
      </w:r>
      <w:r>
        <w:rPr>
          <w:rFonts w:hint="eastAsia" w:ascii="方正仿宋_GB2312" w:hAnsi="方正仿宋_GB2312" w:eastAsia="方正仿宋_GB2312" w:cs="方正仿宋_GB2312"/>
          <w:sz w:val="28"/>
          <w:szCs w:val="28"/>
        </w:rPr>
        <w:t>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_Toc5113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12</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463A7675">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_Toc13428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四、 财政拨款收入支出决算总体情况说明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_Toc13428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12</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2FCCDECC">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_Toc957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五、 一般公共预算财政拨款支出决算情况说明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_Toc957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12</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22559AB6">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_Toc24870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（一）一般公共预算财政拨款支出决算总体情况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_Toc24870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12</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7C9AEEFD">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_Toc3786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（二）一般公共预算财政拨款支出决算结构情况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_Toc3786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4ABDAEA7">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_Toc32054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（三）一般公共预算财政拨款支出决算具体情况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_Toc32054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462CE39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_Toc12572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六、 一般公共预算财政拨款基本支出决算情况说明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_Toc12572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573E5FF4">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_Toc10333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sz w:val="28"/>
          <w:szCs w:val="28"/>
        </w:rPr>
        <w:t xml:space="preserve">七、 </w:t>
      </w:r>
      <w:r>
        <w:rPr>
          <w:rFonts w:hint="eastAsia" w:ascii="方正仿宋_GB2312" w:hAnsi="方正仿宋_GB2312" w:eastAsia="方正仿宋_GB2312" w:cs="方正仿宋_GB2312"/>
          <w:sz w:val="28"/>
          <w:szCs w:val="28"/>
        </w:rPr>
        <w:t>“三公”经费财政拨款支出决算情况说明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_Toc10333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14</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16F0CF8E">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_Toc6255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（一）“三公”经费财政拨款支出决算总体情况说明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_Toc6255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14</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14227186">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_Toc23211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（二）“三公”经费财政拨款支出决算具体情况说明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_Toc23211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14</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2FFF88F4">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_Toc24782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sz w:val="28"/>
          <w:szCs w:val="28"/>
        </w:rPr>
        <w:t>八、 政府性基金预算支出决算情况说明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_Toc24782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14</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1AF67F35">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_Toc6994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 xml:space="preserve">九、 </w:t>
      </w:r>
      <w:r>
        <w:rPr>
          <w:rFonts w:hint="eastAsia" w:ascii="方正仿宋_GB2312" w:hAnsi="方正仿宋_GB2312" w:eastAsia="方正仿宋_GB2312" w:cs="方正仿宋_GB2312"/>
          <w:bCs/>
          <w:sz w:val="28"/>
          <w:szCs w:val="28"/>
        </w:rPr>
        <w:t>国有资本经营预算支出决算情况说明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_Toc6994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15</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27D4A5E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_Toc10925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十、 其他重要事项的情况说明</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_Toc10925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15</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0F814908">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_Toc3801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（一）机关运行经费支出情况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_Toc3801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15</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429D31C3">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_Toc32467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（二）政府采购支出情况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_Toc32467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15</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03F884C2">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_Toc8150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（三）国有资产占有使用情况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_Toc8150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15</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3E129CAD">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_Toc22180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（四）预算绩效管理情况。</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_Toc22180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15</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6AE7D25D">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left="0" w:leftChars="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_Toc24233 </w:instrText>
      </w:r>
      <w:r>
        <w:rPr>
          <w:rFonts w:hint="eastAsia" w:ascii="方正仿宋_GB2312" w:hAnsi="方正仿宋_GB2312" w:eastAsia="方正仿宋_GB2312" w:cs="方正仿宋_GB2312"/>
          <w:sz w:val="28"/>
          <w:szCs w:val="28"/>
        </w:rPr>
        <w:fldChar w:fldCharType="separate"/>
      </w:r>
      <w:r>
        <w:rPr>
          <w:rFonts w:hint="eastAsia" w:ascii="方正楷体_GB2312" w:hAnsi="方正楷体_GB2312" w:eastAsia="方正楷体_GB2312" w:cs="方正楷体_GB2312"/>
          <w:sz w:val="28"/>
          <w:szCs w:val="28"/>
        </w:rPr>
        <w:t>第三部分 名词解释</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PAGEREF _Toc24233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20</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fldChar w:fldCharType="end"/>
      </w:r>
    </w:p>
    <w:p w14:paraId="22F0A359">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left="0" w:leftChars="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_Toc4989 </w:instrText>
      </w:r>
      <w:r>
        <w:rPr>
          <w:rFonts w:hint="eastAsia" w:ascii="方正仿宋_GB2312" w:hAnsi="方正仿宋_GB2312" w:eastAsia="方正仿宋_GB2312" w:cs="方正仿宋_GB2312"/>
          <w:sz w:val="28"/>
          <w:szCs w:val="28"/>
        </w:rPr>
        <w:fldChar w:fldCharType="separate"/>
      </w:r>
      <w:r>
        <w:rPr>
          <w:rFonts w:hint="eastAsia" w:ascii="方正楷体_GB2312" w:hAnsi="方正楷体_GB2312" w:eastAsia="方正楷体_GB2312" w:cs="方正楷体_GB2312"/>
          <w:sz w:val="28"/>
          <w:szCs w:val="28"/>
        </w:rPr>
        <w:t>第四部分 附件</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23</w:t>
      </w:r>
    </w:p>
    <w:p w14:paraId="1F3AAE85">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_Toc22471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highlight w:val="none"/>
          <w:lang w:eastAsia="zh-CN"/>
        </w:rPr>
        <w:t>附件：</w:t>
      </w:r>
      <w:r>
        <w:rPr>
          <w:rFonts w:hint="eastAsia" w:ascii="方正仿宋_GB2312" w:hAnsi="方正仿宋_GB2312" w:eastAsia="方正仿宋_GB2312" w:cs="方正仿宋_GB2312"/>
          <w:sz w:val="28"/>
          <w:szCs w:val="28"/>
          <w:highlight w:val="none"/>
          <w:lang w:val="en-US" w:eastAsia="zh-CN"/>
        </w:rPr>
        <w:t>1</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23</w:t>
      </w:r>
    </w:p>
    <w:p w14:paraId="569DC51A">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_Toc17993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附件</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28</w:t>
      </w:r>
    </w:p>
    <w:p w14:paraId="3D2A5634">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440" w:lineRule="exact"/>
        <w:ind w:left="0" w:leftChars="0"/>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_Toc23953 </w:instrText>
      </w:r>
      <w:r>
        <w:rPr>
          <w:rFonts w:hint="eastAsia" w:ascii="方正仿宋_GB2312" w:hAnsi="方正仿宋_GB2312" w:eastAsia="方正仿宋_GB2312" w:cs="方正仿宋_GB2312"/>
          <w:sz w:val="28"/>
          <w:szCs w:val="28"/>
        </w:rPr>
        <w:fldChar w:fldCharType="separate"/>
      </w:r>
      <w:r>
        <w:rPr>
          <w:rFonts w:hint="eastAsia" w:ascii="方正楷体_GB2312" w:hAnsi="方正楷体_GB2312" w:eastAsia="方正楷体_GB2312" w:cs="方正楷体_GB2312"/>
          <w:sz w:val="28"/>
          <w:szCs w:val="28"/>
        </w:rPr>
        <w:t>第五部分 附表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31</w:t>
      </w:r>
    </w:p>
    <w:p w14:paraId="256DC74E">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_Toc28799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一、收</w:t>
      </w:r>
      <w:r>
        <w:rPr>
          <w:rFonts w:hint="eastAsia" w:ascii="方正仿宋_GB2312" w:hAnsi="方正仿宋_GB2312" w:eastAsia="方正仿宋_GB2312" w:cs="方正仿宋_GB2312"/>
          <w:bCs w:val="0"/>
          <w:sz w:val="28"/>
          <w:szCs w:val="28"/>
        </w:rPr>
        <w:t>入支出决算总表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1</w:t>
      </w:r>
    </w:p>
    <w:p w14:paraId="0DEA57A4">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_Toc27095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二、收</w:t>
      </w:r>
      <w:r>
        <w:rPr>
          <w:rFonts w:hint="eastAsia" w:ascii="方正仿宋_GB2312" w:hAnsi="方正仿宋_GB2312" w:eastAsia="方正仿宋_GB2312" w:cs="方正仿宋_GB2312"/>
          <w:bCs w:val="0"/>
          <w:sz w:val="28"/>
          <w:szCs w:val="28"/>
        </w:rPr>
        <w:t>入决算表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1</w:t>
      </w:r>
    </w:p>
    <w:p w14:paraId="2FFAADBE">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_Toc29207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三、</w:t>
      </w:r>
      <w:r>
        <w:rPr>
          <w:rFonts w:hint="eastAsia" w:ascii="方正仿宋_GB2312" w:hAnsi="方正仿宋_GB2312" w:eastAsia="方正仿宋_GB2312" w:cs="方正仿宋_GB2312"/>
          <w:sz w:val="28"/>
          <w:szCs w:val="28"/>
        </w:rPr>
        <w:t>支</w:t>
      </w:r>
      <w:r>
        <w:rPr>
          <w:rFonts w:hint="eastAsia" w:ascii="方正仿宋_GB2312" w:hAnsi="方正仿宋_GB2312" w:eastAsia="方正仿宋_GB2312" w:cs="方正仿宋_GB2312"/>
          <w:bCs w:val="0"/>
          <w:sz w:val="28"/>
          <w:szCs w:val="28"/>
        </w:rPr>
        <w:t>出决算表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1</w:t>
      </w:r>
    </w:p>
    <w:p w14:paraId="0EB7C5D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_Toc7280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四、</w:t>
      </w:r>
      <w:r>
        <w:rPr>
          <w:rFonts w:hint="eastAsia" w:ascii="方正仿宋_GB2312" w:hAnsi="方正仿宋_GB2312" w:eastAsia="方正仿宋_GB2312" w:cs="方正仿宋_GB2312"/>
          <w:sz w:val="28"/>
          <w:szCs w:val="28"/>
        </w:rPr>
        <w:t>财</w:t>
      </w:r>
      <w:r>
        <w:rPr>
          <w:rFonts w:hint="eastAsia" w:ascii="方正仿宋_GB2312" w:hAnsi="方正仿宋_GB2312" w:eastAsia="方正仿宋_GB2312" w:cs="方正仿宋_GB2312"/>
          <w:bCs w:val="0"/>
          <w:sz w:val="28"/>
          <w:szCs w:val="28"/>
        </w:rPr>
        <w:t>政拨款收入支出决算总表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1</w:t>
      </w:r>
    </w:p>
    <w:p w14:paraId="373B90EB">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_Toc13383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五、</w:t>
      </w:r>
      <w:r>
        <w:rPr>
          <w:rFonts w:hint="eastAsia" w:ascii="方正仿宋_GB2312" w:hAnsi="方正仿宋_GB2312" w:eastAsia="方正仿宋_GB2312" w:cs="方正仿宋_GB2312"/>
          <w:sz w:val="28"/>
          <w:szCs w:val="28"/>
        </w:rPr>
        <w:t>财</w:t>
      </w:r>
      <w:r>
        <w:rPr>
          <w:rFonts w:hint="eastAsia" w:ascii="方正仿宋_GB2312" w:hAnsi="方正仿宋_GB2312" w:eastAsia="方正仿宋_GB2312" w:cs="方正仿宋_GB2312"/>
          <w:bCs w:val="0"/>
          <w:sz w:val="28"/>
          <w:szCs w:val="28"/>
        </w:rPr>
        <w:t>政拨款支出决算明细表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1</w:t>
      </w:r>
    </w:p>
    <w:p w14:paraId="790D1CAF">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_Toc18318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六、</w:t>
      </w: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bCs w:val="0"/>
          <w:sz w:val="28"/>
          <w:szCs w:val="28"/>
        </w:rPr>
        <w:t>般公共预算财政拨款支出决算表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1</w:t>
      </w:r>
    </w:p>
    <w:p w14:paraId="5A64AFE2">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_Toc24322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七、</w:t>
      </w: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bCs w:val="0"/>
          <w:sz w:val="28"/>
          <w:szCs w:val="28"/>
        </w:rPr>
        <w:t>般公共预算财政拨款支出决算明细表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1</w:t>
      </w:r>
    </w:p>
    <w:p w14:paraId="010D1A8E">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_Toc16313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八、</w:t>
      </w: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bCs w:val="0"/>
          <w:sz w:val="28"/>
          <w:szCs w:val="28"/>
        </w:rPr>
        <w:t>般公共预算财政拨款基本支出决算表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1</w:t>
      </w:r>
    </w:p>
    <w:p w14:paraId="1B1CFA1C">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_Toc6030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九、</w:t>
      </w: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bCs w:val="0"/>
          <w:sz w:val="28"/>
          <w:szCs w:val="28"/>
        </w:rPr>
        <w:t>般公共预算财政拨款项目支出决算表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1</w:t>
      </w:r>
    </w:p>
    <w:p w14:paraId="506DEFB5">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_Toc5267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十、</w:t>
      </w: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bCs w:val="0"/>
          <w:sz w:val="28"/>
          <w:szCs w:val="28"/>
        </w:rPr>
        <w:t>般公共预算财政拨款“三公”经费支出决算表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1</w:t>
      </w:r>
    </w:p>
    <w:p w14:paraId="6BDA4EE3">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_Toc30893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十一、</w:t>
      </w:r>
      <w:r>
        <w:rPr>
          <w:rFonts w:hint="eastAsia" w:ascii="方正仿宋_GB2312" w:hAnsi="方正仿宋_GB2312" w:eastAsia="方正仿宋_GB2312" w:cs="方正仿宋_GB2312"/>
          <w:sz w:val="28"/>
          <w:szCs w:val="28"/>
        </w:rPr>
        <w:t>政</w:t>
      </w:r>
      <w:r>
        <w:rPr>
          <w:rFonts w:hint="eastAsia" w:ascii="方正仿宋_GB2312" w:hAnsi="方正仿宋_GB2312" w:eastAsia="方正仿宋_GB2312" w:cs="方正仿宋_GB2312"/>
          <w:bCs w:val="0"/>
          <w:sz w:val="28"/>
          <w:szCs w:val="28"/>
        </w:rPr>
        <w:t>府性基金预算财政拨款收入支出决算表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1</w:t>
      </w:r>
    </w:p>
    <w:p w14:paraId="5401671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HYPERLINK \l _Toc16596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bCs w:val="0"/>
          <w:sz w:val="28"/>
          <w:szCs w:val="28"/>
        </w:rPr>
        <w:t>十二、</w:t>
      </w:r>
      <w:r>
        <w:rPr>
          <w:rFonts w:hint="eastAsia" w:ascii="方正仿宋_GB2312" w:hAnsi="方正仿宋_GB2312" w:eastAsia="方正仿宋_GB2312" w:cs="方正仿宋_GB2312"/>
          <w:sz w:val="28"/>
          <w:szCs w:val="28"/>
        </w:rPr>
        <w:t>政</w:t>
      </w:r>
      <w:r>
        <w:rPr>
          <w:rFonts w:hint="eastAsia" w:ascii="方正仿宋_GB2312" w:hAnsi="方正仿宋_GB2312" w:eastAsia="方正仿宋_GB2312" w:cs="方正仿宋_GB2312"/>
          <w:bCs w:val="0"/>
          <w:sz w:val="28"/>
          <w:szCs w:val="28"/>
        </w:rPr>
        <w:t>府性基金预算财政拨款“三公”经费支出决算表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lang w:val="en-US" w:eastAsia="zh-CN"/>
        </w:rPr>
        <w:t>1</w:t>
      </w:r>
    </w:p>
    <w:p w14:paraId="7F415DE8">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t>十三、国有资本经营预算财政拨款收入支出决算表…………………</w:t>
      </w:r>
      <w:r>
        <w:rPr>
          <w:rFonts w:hint="eastAsia" w:ascii="方正仿宋_GB2312" w:hAnsi="方正仿宋_GB2312" w:eastAsia="方正仿宋_GB2312" w:cs="方正仿宋_GB2312"/>
          <w:sz w:val="28"/>
          <w:szCs w:val="28"/>
          <w:lang w:val="en-US" w:eastAsia="zh-CN"/>
        </w:rPr>
        <w:t>31</w:t>
      </w:r>
    </w:p>
    <w:p w14:paraId="274F34F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t>十四、国有资本经营预算财政拨款支出决算表</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en-US" w:eastAsia="zh-CN"/>
        </w:rPr>
        <w:t>31</w:t>
      </w:r>
    </w:p>
    <w:p w14:paraId="318F8712">
      <w:pPr>
        <w:wordWrap/>
        <w:snapToGrid/>
        <w:spacing w:before="0" w:beforeLines="0" w:after="0" w:afterLines="0" w:line="240" w:lineRule="auto"/>
        <w:ind w:left="0" w:leftChars="0" w:right="0" w:firstLine="0" w:firstLineChars="0"/>
        <w:jc w:val="left"/>
      </w:pPr>
      <w:r>
        <w:fldChar w:fldCharType="end"/>
      </w:r>
    </w:p>
    <w:p w14:paraId="25C8EB09">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ind w:left="0" w:leftChars="0"/>
        <w:textAlignment w:val="auto"/>
        <w:rPr>
          <w:rFonts w:ascii="仿宋" w:hAnsi="仿宋" w:eastAsia="仿宋"/>
          <w:bCs/>
          <w:kern w:val="44"/>
          <w:sz w:val="24"/>
        </w:rPr>
      </w:pPr>
      <w:r>
        <w:rPr>
          <w:rFonts w:ascii="仿宋" w:hAnsi="仿宋" w:eastAsia="仿宋"/>
          <w:b/>
          <w:sz w:val="24"/>
        </w:rPr>
        <w:br w:type="page"/>
      </w:r>
    </w:p>
    <w:p w14:paraId="5A0C04A0">
      <w:pPr>
        <w:pStyle w:val="4"/>
        <w:wordWrap/>
        <w:snapToGrid/>
        <w:spacing w:before="0" w:after="0" w:line="240" w:lineRule="auto"/>
        <w:ind w:left="0" w:leftChars="0" w:right="0" w:firstLine="0" w:firstLineChars="0"/>
        <w:jc w:val="center"/>
        <w:outlineLvl w:val="0"/>
        <w:rPr>
          <w:rStyle w:val="36"/>
          <w:rFonts w:ascii="黑体" w:hAnsi="黑体" w:eastAsia="黑体"/>
          <w:b/>
          <w:bCs w:val="0"/>
        </w:rPr>
      </w:pPr>
      <w:bookmarkStart w:id="14" w:name="_Toc23975"/>
      <w:r>
        <w:rPr>
          <w:rFonts w:hint="eastAsia" w:ascii="黑体" w:hAnsi="黑体" w:eastAsia="黑体"/>
          <w:b w:val="0"/>
        </w:rPr>
        <w:t xml:space="preserve">第一部分 </w:t>
      </w:r>
      <w:r>
        <w:rPr>
          <w:rStyle w:val="36"/>
          <w:rFonts w:hint="eastAsia" w:ascii="黑体" w:hAnsi="黑体" w:eastAsia="黑体"/>
          <w:b w:val="0"/>
          <w:bCs w:val="0"/>
        </w:rPr>
        <w:t>部门概况</w:t>
      </w:r>
      <w:bookmarkEnd w:id="12"/>
      <w:bookmarkEnd w:id="13"/>
      <w:bookmarkEnd w:id="14"/>
    </w:p>
    <w:p w14:paraId="1907DDA7">
      <w:pPr>
        <w:pStyle w:val="5"/>
        <w:wordWrap/>
        <w:snapToGrid/>
        <w:spacing w:before="0" w:after="0" w:line="240" w:lineRule="auto"/>
        <w:ind w:left="0" w:leftChars="0" w:right="0" w:firstLine="640" w:firstLineChars="200"/>
        <w:jc w:val="both"/>
        <w:outlineLvl w:val="1"/>
        <w:rPr>
          <w:rStyle w:val="37"/>
          <w:rFonts w:ascii="仿宋" w:hAnsi="仿宋" w:eastAsia="仿宋"/>
          <w:b w:val="0"/>
          <w:bCs w:val="0"/>
        </w:rPr>
      </w:pPr>
      <w:bookmarkStart w:id="15" w:name="_Toc30806"/>
      <w:bookmarkStart w:id="16" w:name="_Toc15396600"/>
      <w:bookmarkStart w:id="17" w:name="_Toc15377197"/>
      <w:r>
        <w:rPr>
          <w:rFonts w:hint="eastAsia" w:ascii="黑体" w:hAnsi="黑体" w:eastAsia="黑体"/>
          <w:b w:val="0"/>
          <w:color w:val="000000"/>
        </w:rPr>
        <w:t>一、基</w:t>
      </w:r>
      <w:r>
        <w:rPr>
          <w:rStyle w:val="37"/>
          <w:rFonts w:hint="eastAsia" w:ascii="黑体" w:hAnsi="黑体" w:eastAsia="黑体"/>
          <w:b w:val="0"/>
          <w:bCs w:val="0"/>
        </w:rPr>
        <w:t>本职能及主要工作</w:t>
      </w:r>
      <w:bookmarkEnd w:id="15"/>
      <w:bookmarkEnd w:id="16"/>
      <w:bookmarkEnd w:id="17"/>
    </w:p>
    <w:p w14:paraId="18800B15">
      <w:pPr>
        <w:pStyle w:val="9"/>
        <w:widowControl w:val="0"/>
        <w:wordWrap/>
        <w:adjustRightInd w:val="0"/>
        <w:snapToGrid/>
        <w:spacing w:beforeLines="0" w:line="240" w:lineRule="auto"/>
        <w:ind w:left="0" w:leftChars="0" w:right="0" w:firstLine="602" w:firstLineChars="200"/>
        <w:jc w:val="left"/>
        <w:textAlignment w:val="auto"/>
        <w:outlineLvl w:val="2"/>
        <w:rPr>
          <w:rFonts w:hint="eastAsia" w:ascii="仿宋_GB2312" w:hAnsi="仿宋_GB2312" w:eastAsia="仿宋_GB2312" w:cs="仿宋_GB2312"/>
          <w:b/>
          <w:bCs w:val="0"/>
          <w:color w:val="000000"/>
          <w:sz w:val="30"/>
          <w:szCs w:val="30"/>
        </w:rPr>
      </w:pPr>
      <w:bookmarkStart w:id="18" w:name="_Toc15377198"/>
      <w:bookmarkStart w:id="19" w:name="_Toc31443"/>
      <w:bookmarkStart w:id="20" w:name="_Toc15378445"/>
      <w:r>
        <w:rPr>
          <w:rFonts w:hint="eastAsia" w:ascii="仿宋_GB2312" w:hAnsi="仿宋_GB2312" w:eastAsia="仿宋_GB2312" w:cs="仿宋_GB2312"/>
          <w:b/>
          <w:bCs w:val="0"/>
          <w:color w:val="000000"/>
          <w:sz w:val="30"/>
          <w:szCs w:val="30"/>
        </w:rPr>
        <w:t>（一）主要职能。</w:t>
      </w:r>
      <w:bookmarkEnd w:id="18"/>
      <w:bookmarkEnd w:id="19"/>
      <w:bookmarkEnd w:id="20"/>
    </w:p>
    <w:p w14:paraId="0975FCB3">
      <w:pPr>
        <w:rPr>
          <w:rFonts w:hint="eastAsia" w:ascii="仿宋" w:hAnsi="仿宋" w:eastAsia="仿宋" w:cs="仿宋"/>
          <w:sz w:val="32"/>
          <w:szCs w:val="32"/>
          <w:lang w:eastAsia="zh-CN"/>
        </w:rPr>
      </w:pPr>
      <w:r>
        <w:rPr>
          <w:rFonts w:hint="eastAsia" w:ascii="仿宋_GB2312" w:hAnsi="仿宋_GB2312" w:eastAsia="仿宋_GB2312" w:cs="仿宋_GB2312"/>
          <w:b w:val="0"/>
          <w:bCs/>
          <w:color w:val="000000"/>
          <w:sz w:val="30"/>
          <w:szCs w:val="30"/>
        </w:rPr>
        <w:t xml:space="preserve"> </w:t>
      </w:r>
      <w:r>
        <w:rPr>
          <w:rFonts w:hint="eastAsia" w:ascii="仿宋_GB2312" w:hAnsi="仿宋_GB2312" w:eastAsia="仿宋_GB2312" w:cs="仿宋_GB2312"/>
          <w:b w:val="0"/>
          <w:bCs/>
          <w:color w:val="000000"/>
          <w:sz w:val="30"/>
          <w:szCs w:val="30"/>
          <w:lang w:val="en-US" w:eastAsia="zh-CN"/>
        </w:rPr>
        <w:t xml:space="preserve">  </w:t>
      </w:r>
      <w:r>
        <w:rPr>
          <w:rFonts w:hint="eastAsia" w:ascii="仿宋" w:hAnsi="仿宋" w:eastAsia="仿宋" w:cs="仿宋"/>
          <w:sz w:val="32"/>
          <w:szCs w:val="32"/>
        </w:rPr>
        <w:t>1.贯彻执行中央、省、市有关教育方针政策和法律法规，提出全区教育发展战略，制订教育政策性、规范性文件并监督执行。</w:t>
      </w:r>
    </w:p>
    <w:p w14:paraId="1318D75C">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2.编制全区教育事业的发展规划和年度计划并组织实施；确定教育事业发展重点、规模和速度。</w:t>
      </w:r>
    </w:p>
    <w:p w14:paraId="74E52A8E">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综合管理全区的教育事业，负责全区幼儿教育、基础教育、成人教育、职业教育和社会力量办学工作；指导各类学校的思想政治工作、教学工作、体育卫生工作、法制教育、国防教育和安全工作；管理教学质量、考试和学历教育工作；督导评估学校办学水平和教育质量；推动全区教育体制改革、办学体制改革和学校内部管理改革；调整学校布局结构；建立适应社会主义市场经济体制、政治体制需要的教育体制和运行机制。</w:t>
      </w:r>
    </w:p>
    <w:p w14:paraId="4F8CBD2F">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根据国务院关于基础教育改革与发展的决定，负责对完全中学、职业高级中学校长和副校长的推荐、考察或参与考察，按干部管理权限任用或聘用；根据《中华人民共和国义务教育法》，负责乡镇中心小学、初级中学校长的选拔、聘用、管理；推行中小学校长聘任制和负责制；实行校长任期制；负责全区中小学校长的培训、提高工作、加强学校干部队伍建设。</w:t>
      </w:r>
    </w:p>
    <w:p w14:paraId="26B9336C">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5.统筹和指导全区教育督导工作，负责对中等及中等以下教育、扫除青壮年文盲工作的督导检查和评估验收工作，指导基础教育水平和质量的监测工作。</w:t>
      </w:r>
    </w:p>
    <w:p w14:paraId="66ADAA0C">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6.主管全区教师工作。会同有关部门规定教育系统人事管理工作的有关政策和规章制度；根据中央、省、市制定的各类学校编制标准管理学校的编制；根据国家、省、市教育发展规划纲要（2011-2020）和有关文件规定，组织实施，负责教师的招聘、调配交流、工资福利、考核奖惩工作，组织实施学校教师专业技术职务的评聘、技术工人的考核定级和教师资格考试、资格认定工作，负责教师的培养和教师的继续教育、职业教育训练工作，负责全区教育系统离退休人员管理工作；负责教育系统纪检监察的宣传教育工作，办理或会同有关部门办理全区教育系统干部职工违规违纪的查处工作。</w:t>
      </w:r>
    </w:p>
    <w:p w14:paraId="307F1BAE">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7.贯彻执行国家语言文字工作的方针政策，拟订语言文字工作中长期规划和工作计划，指导普通话推广和普通话师资培训工作。承担我区语言文字工作委员会的具体工作。</w:t>
      </w:r>
    </w:p>
    <w:p w14:paraId="446EEEC1">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8.负责全区大中专学校招生考试和高等教育自学考试工作。</w:t>
      </w:r>
    </w:p>
    <w:p w14:paraId="41DAA78E">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9.统一管理本部门的经费。参与制定教育经费、拨款、基建投资的政策和措施；具体组织实施经区财政预算的教育经费计划；会同物价、财政等部门制订教育收费项目及标准；协助教育费附加的征收管理；管理国家、省、市对我区教育项目的拨款经费；管理国内外对我区教育的援助资金和贷款。负责教育后勤与产业工作。</w:t>
      </w:r>
    </w:p>
    <w:p w14:paraId="47B6C6D2">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10.负责全区教育管理资料统计、档案及信息系统的开发和建设工作；指导教育方针政策的宣传和舆论监督工作。</w:t>
      </w:r>
    </w:p>
    <w:p w14:paraId="0C27F0BB">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11.管理区教育局直属事业单位；指导全区教育系统社团、群团组织的管理工作。</w:t>
      </w:r>
    </w:p>
    <w:p w14:paraId="08C208F1">
      <w:pPr>
        <w:rPr>
          <w:rFonts w:hint="eastAsia" w:ascii="仿宋_GB2312" w:hAnsi="仿宋_GB2312" w:eastAsia="仿宋_GB2312" w:cs="仿宋_GB2312"/>
          <w:b w:val="0"/>
          <w:bCs/>
          <w:color w:val="000000"/>
          <w:sz w:val="30"/>
          <w:szCs w:val="30"/>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12.承办区政府公布的有关行政审批事项和交办的其它事项。</w:t>
      </w:r>
    </w:p>
    <w:p w14:paraId="0FC53478">
      <w:pPr>
        <w:pStyle w:val="9"/>
        <w:wordWrap/>
        <w:adjustRightInd w:val="0"/>
        <w:snapToGrid/>
        <w:spacing w:beforeLines="0" w:line="240" w:lineRule="auto"/>
        <w:ind w:left="0" w:leftChars="0" w:right="0" w:firstLine="602" w:firstLineChars="200"/>
        <w:jc w:val="left"/>
        <w:textAlignment w:val="auto"/>
        <w:outlineLvl w:val="2"/>
        <w:rPr>
          <w:rFonts w:hint="eastAsia" w:ascii="仿宋_GB2312" w:hAnsi="仿宋_GB2312" w:eastAsia="仿宋_GB2312" w:cs="仿宋_GB2312"/>
          <w:b/>
          <w:bCs w:val="0"/>
          <w:color w:val="000000"/>
          <w:sz w:val="30"/>
          <w:szCs w:val="30"/>
        </w:rPr>
      </w:pPr>
      <w:bookmarkStart w:id="21" w:name="_Toc17196"/>
      <w:bookmarkStart w:id="22" w:name="_Toc15377199"/>
      <w:bookmarkStart w:id="23" w:name="_Toc15378446"/>
      <w:r>
        <w:rPr>
          <w:rFonts w:hint="eastAsia" w:ascii="仿宋_GB2312" w:hAnsi="仿宋_GB2312" w:eastAsia="仿宋_GB2312" w:cs="仿宋_GB2312"/>
          <w:b/>
          <w:bCs w:val="0"/>
          <w:color w:val="000000"/>
          <w:sz w:val="30"/>
          <w:szCs w:val="30"/>
        </w:rPr>
        <w:t>（二）</w:t>
      </w:r>
      <w:r>
        <w:rPr>
          <w:rFonts w:hint="eastAsia" w:hAnsi="仿宋_GB2312" w:cs="仿宋_GB2312"/>
          <w:b/>
          <w:bCs w:val="0"/>
          <w:color w:val="000000"/>
          <w:sz w:val="30"/>
          <w:szCs w:val="30"/>
          <w:lang w:eastAsia="zh-CN"/>
        </w:rPr>
        <w:t>2020</w:t>
      </w:r>
      <w:r>
        <w:rPr>
          <w:rFonts w:hint="eastAsia" w:ascii="仿宋_GB2312" w:hAnsi="仿宋_GB2312" w:eastAsia="仿宋_GB2312" w:cs="仿宋_GB2312"/>
          <w:b/>
          <w:bCs w:val="0"/>
          <w:color w:val="000000"/>
          <w:sz w:val="30"/>
          <w:szCs w:val="30"/>
        </w:rPr>
        <w:t>年重点工作完成情况。</w:t>
      </w:r>
      <w:bookmarkEnd w:id="21"/>
      <w:bookmarkEnd w:id="22"/>
      <w:bookmarkEnd w:id="23"/>
    </w:p>
    <w:p w14:paraId="24CA756E">
      <w:pPr>
        <w:spacing w:line="576" w:lineRule="exact"/>
        <w:ind w:firstLine="643" w:firstLineChars="200"/>
        <w:rPr>
          <w:rFonts w:hint="eastAsia" w:eastAsia="仿宋_GB2312"/>
          <w:sz w:val="32"/>
          <w:szCs w:val="32"/>
        </w:rPr>
      </w:pPr>
      <w:r>
        <w:rPr>
          <w:rFonts w:hint="eastAsia" w:eastAsia="仿宋_GB2312"/>
          <w:b/>
          <w:bCs/>
          <w:sz w:val="32"/>
          <w:szCs w:val="32"/>
          <w:lang w:val="en-US" w:eastAsia="zh-CN"/>
        </w:rPr>
        <w:t>1</w:t>
      </w:r>
      <w:r>
        <w:rPr>
          <w:rFonts w:hint="eastAsia" w:eastAsia="仿宋_GB2312"/>
          <w:b/>
          <w:bCs/>
          <w:sz w:val="32"/>
          <w:szCs w:val="32"/>
        </w:rPr>
        <w:t>.</w:t>
      </w:r>
      <w:r>
        <w:rPr>
          <w:rFonts w:eastAsia="仿宋_GB2312"/>
          <w:b/>
          <w:bCs/>
          <w:sz w:val="32"/>
          <w:szCs w:val="32"/>
        </w:rPr>
        <w:t>党的建设</w:t>
      </w:r>
      <w:r>
        <w:rPr>
          <w:rFonts w:hint="eastAsia" w:eastAsia="仿宋_GB2312"/>
          <w:b/>
          <w:bCs/>
          <w:sz w:val="32"/>
          <w:szCs w:val="32"/>
        </w:rPr>
        <w:t>得到新</w:t>
      </w:r>
      <w:r>
        <w:rPr>
          <w:rFonts w:eastAsia="仿宋_GB2312"/>
          <w:b/>
          <w:bCs/>
          <w:sz w:val="32"/>
          <w:szCs w:val="32"/>
        </w:rPr>
        <w:t>加强。</w:t>
      </w:r>
      <w:r>
        <w:rPr>
          <w:rFonts w:hint="eastAsia" w:eastAsia="仿宋_GB2312"/>
          <w:sz w:val="32"/>
          <w:szCs w:val="32"/>
        </w:rPr>
        <w:t>始终坚持党要管党、从严治党，持续提升系统党建工作水平。强化理论武装，深入学习贯彻落实习近平新时代中国特色社会主义思想和党的十九届三中、四中、五中全会精神。发展新党员14名，转正14名，表彰优秀党员50名、先进基层党组织6个。推动中小学校思政课改革创新，实行县级领导干部兼职特邀督学制度，31名县级领导带头开展思政课讲学活动。研制全面从严治党“三张清单”，聚焦重点领域和关键环节，健全完善廉洁风险防控管理，深入开展“以案促改”相关工作，用好监督执纪“四种形态”，立案查处赌博案件1起1人，提醒约谈校长5名。一年来，全系统无违纪违规行为发生，教育领域风清气正。</w:t>
      </w:r>
    </w:p>
    <w:p w14:paraId="7BFC65C5">
      <w:pPr>
        <w:spacing w:line="576" w:lineRule="exact"/>
        <w:ind w:firstLine="643" w:firstLineChars="200"/>
        <w:rPr>
          <w:rFonts w:eastAsia="仿宋_GB2312"/>
        </w:rPr>
      </w:pPr>
      <w:r>
        <w:rPr>
          <w:rFonts w:hint="eastAsia" w:eastAsia="仿宋_GB2312"/>
          <w:b/>
          <w:bCs/>
          <w:sz w:val="32"/>
          <w:szCs w:val="32"/>
          <w:lang w:val="en-US" w:eastAsia="zh-CN"/>
        </w:rPr>
        <w:t>2</w:t>
      </w:r>
      <w:r>
        <w:rPr>
          <w:rFonts w:eastAsia="仿宋_GB2312"/>
          <w:b/>
          <w:bCs/>
          <w:sz w:val="32"/>
          <w:szCs w:val="32"/>
        </w:rPr>
        <w:t>.</w:t>
      </w:r>
      <w:r>
        <w:rPr>
          <w:rFonts w:hint="eastAsia" w:eastAsia="仿宋_GB2312"/>
          <w:b/>
          <w:bCs/>
          <w:sz w:val="32"/>
          <w:szCs w:val="32"/>
        </w:rPr>
        <w:t>教师队伍迸发新活力</w:t>
      </w:r>
      <w:r>
        <w:rPr>
          <w:rFonts w:eastAsia="仿宋_GB2312"/>
          <w:b/>
          <w:bCs/>
          <w:sz w:val="32"/>
          <w:szCs w:val="32"/>
        </w:rPr>
        <w:t>。</w:t>
      </w:r>
      <w:r>
        <w:rPr>
          <w:rFonts w:hint="eastAsia" w:eastAsia="仿宋_GB2312"/>
          <w:sz w:val="32"/>
          <w:szCs w:val="32"/>
        </w:rPr>
        <w:t>始终把教师作为教育的第一资源，持续补数量、提质量、增活力，努力打造一支德才兼备的新时代教师队伍。</w:t>
      </w:r>
      <w:r>
        <w:rPr>
          <w:rFonts w:eastAsia="仿宋_GB2312"/>
          <w:sz w:val="32"/>
          <w:szCs w:val="32"/>
        </w:rPr>
        <w:t>申报省属公费师范生2名、市属公费师范生9名。补充教师</w:t>
      </w:r>
      <w:r>
        <w:rPr>
          <w:rFonts w:hint="eastAsia" w:eastAsia="仿宋_GB2312"/>
          <w:sz w:val="32"/>
          <w:szCs w:val="32"/>
        </w:rPr>
        <w:t>59</w:t>
      </w:r>
      <w:r>
        <w:rPr>
          <w:rFonts w:eastAsia="仿宋_GB2312"/>
          <w:sz w:val="32"/>
          <w:szCs w:val="32"/>
        </w:rPr>
        <w:t>人，招募银龄志愿教师3人，支教交流教师120人。</w:t>
      </w:r>
      <w:r>
        <w:rPr>
          <w:rFonts w:hint="eastAsia" w:eastAsia="仿宋_GB2312"/>
          <w:sz w:val="32"/>
          <w:szCs w:val="32"/>
        </w:rPr>
        <w:t>为元坝中学引进高层次、紧缺学科人才5名。</w:t>
      </w:r>
      <w:r>
        <w:rPr>
          <w:rFonts w:eastAsia="仿宋_GB2312"/>
          <w:sz w:val="32"/>
          <w:szCs w:val="32"/>
        </w:rPr>
        <w:t>评选省名师、名班主任2人，市优秀教育工作者、优秀班主任、优秀教师20人，市“立德树人”最美好老师6人。报送市名师11人，市最美乡村教师2人。实施骨干教师、校长能力提升等培训项目50个，1204人参培，培训成果3项获省等级奖，5项获市等级奖。申报市教师发展基地校1所，创建名师乡村工作室1所，开展“名师送教下乡”活动36次。发放名师工作经费34万元，农村教师生活补助602万元。</w:t>
      </w:r>
    </w:p>
    <w:p w14:paraId="3E586EF2">
      <w:pPr>
        <w:spacing w:line="576" w:lineRule="exact"/>
        <w:ind w:firstLine="643" w:firstLineChars="200"/>
        <w:rPr>
          <w:rFonts w:eastAsia="仿宋_GB2312"/>
          <w:sz w:val="32"/>
          <w:szCs w:val="32"/>
        </w:rPr>
      </w:pPr>
      <w:r>
        <w:rPr>
          <w:rFonts w:hint="eastAsia" w:eastAsia="仿宋_GB2312"/>
          <w:b/>
          <w:bCs/>
          <w:sz w:val="32"/>
          <w:szCs w:val="32"/>
          <w:lang w:val="en-US" w:eastAsia="zh-CN"/>
        </w:rPr>
        <w:t>3</w:t>
      </w:r>
      <w:r>
        <w:rPr>
          <w:rFonts w:hint="eastAsia" w:eastAsia="仿宋_GB2312"/>
          <w:b/>
          <w:bCs/>
          <w:sz w:val="32"/>
          <w:szCs w:val="32"/>
        </w:rPr>
        <w:t>.“立德树人”呈现新气象</w:t>
      </w:r>
      <w:r>
        <w:rPr>
          <w:rFonts w:eastAsia="仿宋_GB2312"/>
          <w:b/>
          <w:bCs/>
          <w:sz w:val="32"/>
          <w:szCs w:val="32"/>
        </w:rPr>
        <w:t>。</w:t>
      </w:r>
      <w:r>
        <w:rPr>
          <w:rFonts w:hint="eastAsia" w:eastAsia="仿宋_GB2312"/>
          <w:sz w:val="32"/>
          <w:szCs w:val="32"/>
        </w:rPr>
        <w:t>始终</w:t>
      </w:r>
      <w:r>
        <w:rPr>
          <w:rFonts w:eastAsia="仿宋_GB2312"/>
          <w:sz w:val="32"/>
          <w:szCs w:val="32"/>
        </w:rPr>
        <w:t>把</w:t>
      </w:r>
      <w:r>
        <w:rPr>
          <w:rFonts w:hint="eastAsia" w:eastAsia="仿宋_GB2312"/>
          <w:sz w:val="32"/>
          <w:szCs w:val="32"/>
        </w:rPr>
        <w:t>“</w:t>
      </w:r>
      <w:r>
        <w:rPr>
          <w:rFonts w:eastAsia="仿宋_GB2312"/>
          <w:sz w:val="32"/>
          <w:szCs w:val="32"/>
        </w:rPr>
        <w:t>立德树人</w:t>
      </w:r>
      <w:r>
        <w:rPr>
          <w:rFonts w:hint="eastAsia" w:eastAsia="仿宋_GB2312"/>
          <w:sz w:val="32"/>
          <w:szCs w:val="32"/>
        </w:rPr>
        <w:t>”</w:t>
      </w:r>
      <w:r>
        <w:rPr>
          <w:rFonts w:eastAsia="仿宋_GB2312"/>
          <w:sz w:val="32"/>
          <w:szCs w:val="32"/>
        </w:rPr>
        <w:t>融入思想道德教育、文化知识教育、社会实践教育各环节，</w:t>
      </w:r>
      <w:r>
        <w:rPr>
          <w:rFonts w:hint="eastAsia" w:eastAsia="仿宋_GB2312"/>
          <w:sz w:val="32"/>
          <w:szCs w:val="32"/>
        </w:rPr>
        <w:t>切实强化中小学德育工作。</w:t>
      </w:r>
      <w:r>
        <w:rPr>
          <w:rFonts w:eastAsia="仿宋_GB2312"/>
          <w:sz w:val="32"/>
          <w:szCs w:val="32"/>
        </w:rPr>
        <w:t>开展“辉煌七十年</w:t>
      </w:r>
      <w:r>
        <w:rPr>
          <w:rFonts w:hint="eastAsia" w:eastAsia="仿宋_GB2312"/>
          <w:sz w:val="32"/>
          <w:szCs w:val="32"/>
        </w:rPr>
        <w:t>，</w:t>
      </w:r>
      <w:r>
        <w:rPr>
          <w:rFonts w:eastAsia="仿宋_GB2312"/>
          <w:sz w:val="32"/>
          <w:szCs w:val="32"/>
        </w:rPr>
        <w:t>奋进新时代”“美好生活，劳动创造”等主题读书征文活动，推荐至市级以上征文500余篇，演讲、讲故事、朗诵等视频20余个，</w:t>
      </w:r>
      <w:r>
        <w:rPr>
          <w:rFonts w:hint="eastAsia" w:eastAsia="仿宋_GB2312"/>
          <w:sz w:val="32"/>
          <w:szCs w:val="32"/>
        </w:rPr>
        <w:t>我</w:t>
      </w:r>
      <w:r>
        <w:rPr>
          <w:rFonts w:eastAsia="仿宋_GB2312"/>
          <w:sz w:val="32"/>
          <w:szCs w:val="32"/>
        </w:rPr>
        <w:t>局、元坝中学、昭化职中获全国读书活动先进集体奖，实验小学、元坝中学获市第三届“小青草”征文系列活动优秀组织奖。申报桃博园、卡尔海洋世界等市级研学实践教育基地4个，</w:t>
      </w:r>
      <w:r>
        <w:rPr>
          <w:rFonts w:hint="eastAsia" w:eastAsia="仿宋_GB2312"/>
          <w:sz w:val="32"/>
          <w:szCs w:val="32"/>
        </w:rPr>
        <w:t>昭化古城成为</w:t>
      </w:r>
      <w:r>
        <w:rPr>
          <w:rFonts w:eastAsia="仿宋_GB2312"/>
          <w:sz w:val="32"/>
          <w:szCs w:val="32"/>
        </w:rPr>
        <w:t>全省实践教育现场会</w:t>
      </w:r>
      <w:r>
        <w:rPr>
          <w:rFonts w:hint="eastAsia" w:eastAsia="仿宋_GB2312"/>
          <w:sz w:val="32"/>
          <w:szCs w:val="32"/>
        </w:rPr>
        <w:t>参观点</w:t>
      </w:r>
      <w:r>
        <w:rPr>
          <w:rFonts w:eastAsia="仿宋_GB2312"/>
          <w:sz w:val="32"/>
          <w:szCs w:val="32"/>
        </w:rPr>
        <w:t>。全区中小学生禁毒教育注册率、课时完成率、禁毒知识竞赛参与率均为100%。</w:t>
      </w:r>
      <w:r>
        <w:rPr>
          <w:rFonts w:hint="eastAsia" w:eastAsia="仿宋_GB2312"/>
          <w:sz w:val="32"/>
          <w:szCs w:val="32"/>
        </w:rPr>
        <w:t>我</w:t>
      </w:r>
      <w:r>
        <w:rPr>
          <w:rFonts w:eastAsia="仿宋_GB2312"/>
          <w:sz w:val="32"/>
          <w:szCs w:val="32"/>
        </w:rPr>
        <w:t>局获市2019-2020学年度学校德育工作先进集体奖。</w:t>
      </w:r>
    </w:p>
    <w:p w14:paraId="7071E4B1">
      <w:pPr>
        <w:spacing w:line="576" w:lineRule="exact"/>
        <w:ind w:firstLine="643" w:firstLineChars="200"/>
        <w:rPr>
          <w:rFonts w:eastAsia="仿宋_GB2312"/>
          <w:sz w:val="32"/>
          <w:szCs w:val="32"/>
        </w:rPr>
      </w:pPr>
      <w:r>
        <w:rPr>
          <w:rFonts w:hint="eastAsia" w:eastAsia="仿宋_GB2312"/>
          <w:b/>
          <w:bCs/>
          <w:sz w:val="32"/>
          <w:szCs w:val="32"/>
          <w:lang w:val="en-US" w:eastAsia="zh-CN"/>
        </w:rPr>
        <w:t>4</w:t>
      </w:r>
      <w:r>
        <w:rPr>
          <w:rFonts w:eastAsia="仿宋_GB2312"/>
          <w:b/>
          <w:bCs/>
          <w:sz w:val="32"/>
          <w:szCs w:val="32"/>
        </w:rPr>
        <w:t>.</w:t>
      </w:r>
      <w:r>
        <w:rPr>
          <w:rFonts w:hint="eastAsia" w:eastAsia="仿宋_GB2312"/>
          <w:b/>
          <w:bCs/>
          <w:sz w:val="32"/>
          <w:szCs w:val="32"/>
        </w:rPr>
        <w:t>素质教育实现新跨越</w:t>
      </w:r>
      <w:r>
        <w:rPr>
          <w:rFonts w:eastAsia="仿宋_GB2312"/>
          <w:b/>
          <w:bCs/>
          <w:sz w:val="32"/>
          <w:szCs w:val="32"/>
        </w:rPr>
        <w:t>。</w:t>
      </w:r>
      <w:r>
        <w:rPr>
          <w:rFonts w:hint="eastAsia" w:eastAsia="仿宋_GB2312"/>
          <w:sz w:val="32"/>
          <w:szCs w:val="32"/>
        </w:rPr>
        <w:t>始终围绕“五育并举”育人体系，聚力促进学生全面发展、个性发展。</w:t>
      </w:r>
      <w:r>
        <w:rPr>
          <w:rFonts w:eastAsia="仿宋_GB2312"/>
          <w:bCs/>
          <w:sz w:val="32"/>
          <w:szCs w:val="32"/>
        </w:rPr>
        <w:t>加强</w:t>
      </w:r>
      <w:r>
        <w:rPr>
          <w:rFonts w:hint="eastAsia" w:eastAsia="仿宋_GB2312"/>
          <w:bCs/>
          <w:sz w:val="32"/>
          <w:szCs w:val="32"/>
        </w:rPr>
        <w:t>学校</w:t>
      </w:r>
      <w:r>
        <w:rPr>
          <w:rFonts w:eastAsia="仿宋_GB2312"/>
          <w:bCs/>
          <w:sz w:val="32"/>
          <w:szCs w:val="32"/>
        </w:rPr>
        <w:t>体育工作，柔力球、足球教师80余人参加省市培训，太公小学申报为全国校园足球特色学校。在全市中小学生乒乓球羽毛球比赛中，24支代表队66名运动员获得奖牌15个。</w:t>
      </w:r>
      <w:r>
        <w:rPr>
          <w:rFonts w:eastAsia="仿宋_GB2312"/>
          <w:sz w:val="32"/>
          <w:szCs w:val="32"/>
        </w:rPr>
        <w:t>将结核、艾滋、流感等季节性传染病防控纳入学校工作计划，开齐、开足健康教育课程，</w:t>
      </w:r>
      <w:r>
        <w:rPr>
          <w:rFonts w:eastAsia="仿宋_GB2312"/>
          <w:bCs/>
          <w:sz w:val="32"/>
          <w:szCs w:val="32"/>
        </w:rPr>
        <w:t>举办主题讲座140多场，开展宣传活动150余次，参与学生1.8万余人次。</w:t>
      </w:r>
      <w:r>
        <w:rPr>
          <w:rFonts w:eastAsia="仿宋_GB2312"/>
          <w:sz w:val="32"/>
          <w:szCs w:val="32"/>
        </w:rPr>
        <w:t>创建市优秀学生艺术社团2个，“</w:t>
      </w:r>
      <w:r>
        <w:rPr>
          <w:rFonts w:eastAsia="仿宋_GB2312"/>
          <w:bCs/>
          <w:sz w:val="32"/>
          <w:szCs w:val="32"/>
        </w:rPr>
        <w:t>六一</w:t>
      </w:r>
      <w:r>
        <w:rPr>
          <w:rFonts w:eastAsia="仿宋_GB2312"/>
          <w:sz w:val="32"/>
          <w:szCs w:val="32"/>
        </w:rPr>
        <w:t>”</w:t>
      </w:r>
      <w:r>
        <w:rPr>
          <w:rFonts w:eastAsia="仿宋_GB2312"/>
          <w:bCs/>
          <w:sz w:val="32"/>
          <w:szCs w:val="32"/>
        </w:rPr>
        <w:t>校园艺术节展</w:t>
      </w:r>
      <w:r>
        <w:rPr>
          <w:rFonts w:hint="eastAsia" w:eastAsia="仿宋_GB2312"/>
          <w:bCs/>
          <w:sz w:val="32"/>
          <w:szCs w:val="32"/>
        </w:rPr>
        <w:t>出</w:t>
      </w:r>
      <w:r>
        <w:rPr>
          <w:rFonts w:eastAsia="仿宋_GB2312"/>
          <w:bCs/>
          <w:sz w:val="32"/>
          <w:szCs w:val="32"/>
        </w:rPr>
        <w:t>师生优秀作品1600</w:t>
      </w:r>
      <w:r>
        <w:rPr>
          <w:rFonts w:hint="eastAsia" w:eastAsia="仿宋_GB2312"/>
          <w:bCs/>
          <w:sz w:val="32"/>
          <w:szCs w:val="32"/>
        </w:rPr>
        <w:t>余</w:t>
      </w:r>
      <w:r>
        <w:rPr>
          <w:rFonts w:eastAsia="仿宋_GB2312"/>
          <w:bCs/>
          <w:sz w:val="32"/>
          <w:szCs w:val="32"/>
        </w:rPr>
        <w:t>件。参加市艺术人才大赛，</w:t>
      </w:r>
      <w:r>
        <w:rPr>
          <w:rFonts w:hint="eastAsia" w:eastAsia="仿宋_GB2312"/>
          <w:bCs/>
          <w:sz w:val="32"/>
          <w:szCs w:val="32"/>
        </w:rPr>
        <w:t>学生</w:t>
      </w:r>
      <w:r>
        <w:rPr>
          <w:rFonts w:eastAsia="仿宋_GB2312"/>
          <w:bCs/>
          <w:sz w:val="32"/>
          <w:szCs w:val="32"/>
        </w:rPr>
        <w:t>获奖240人次，其中一等奖31人次。</w:t>
      </w:r>
      <w:r>
        <w:rPr>
          <w:rFonts w:eastAsia="仿宋_GB2312"/>
          <w:sz w:val="32"/>
          <w:szCs w:val="32"/>
        </w:rPr>
        <w:t>组织参加市机器人大赛</w:t>
      </w:r>
      <w:r>
        <w:rPr>
          <w:rFonts w:hint="eastAsia" w:eastAsia="仿宋_GB2312"/>
          <w:sz w:val="32"/>
          <w:szCs w:val="32"/>
        </w:rPr>
        <w:t>、</w:t>
      </w:r>
      <w:r>
        <w:rPr>
          <w:rFonts w:eastAsia="仿宋_GB2312"/>
          <w:sz w:val="32"/>
          <w:szCs w:val="32"/>
        </w:rPr>
        <w:t>中小学电脑制作活动选拔赛，101件作品获奖，机关幼儿园获“全省教玩具制作先进集体”称号。参加省第15届中小学校园影视评选活动，昭化小学获一等奖，卫子初级中学获二等奖。</w:t>
      </w:r>
    </w:p>
    <w:p w14:paraId="4B43385A">
      <w:pPr>
        <w:spacing w:line="576" w:lineRule="exact"/>
        <w:ind w:firstLine="643" w:firstLineChars="200"/>
        <w:rPr>
          <w:rFonts w:eastAsia="仿宋_GB2312"/>
        </w:rPr>
      </w:pPr>
      <w:r>
        <w:rPr>
          <w:rFonts w:hint="eastAsia" w:eastAsia="仿宋_GB2312"/>
          <w:b/>
          <w:bCs/>
          <w:sz w:val="32"/>
          <w:szCs w:val="32"/>
          <w:lang w:val="en-US" w:eastAsia="zh-CN"/>
        </w:rPr>
        <w:t>5</w:t>
      </w:r>
      <w:r>
        <w:rPr>
          <w:rFonts w:eastAsia="仿宋_GB2312"/>
          <w:b/>
          <w:bCs/>
          <w:sz w:val="32"/>
          <w:szCs w:val="32"/>
        </w:rPr>
        <w:t>.教育</w:t>
      </w:r>
      <w:r>
        <w:rPr>
          <w:rFonts w:hint="eastAsia" w:eastAsia="仿宋_GB2312"/>
          <w:b/>
          <w:bCs/>
          <w:sz w:val="32"/>
          <w:szCs w:val="32"/>
        </w:rPr>
        <w:t>质量迈上新台</w:t>
      </w:r>
      <w:r>
        <w:rPr>
          <w:rFonts w:eastAsia="仿宋_GB2312"/>
          <w:b/>
          <w:bCs/>
          <w:sz w:val="32"/>
          <w:szCs w:val="32"/>
        </w:rPr>
        <w:t>。</w:t>
      </w:r>
      <w:r>
        <w:rPr>
          <w:rFonts w:hint="eastAsia" w:eastAsia="仿宋_GB2312"/>
          <w:sz w:val="32"/>
          <w:szCs w:val="32"/>
        </w:rPr>
        <w:t>积极呼应人民群众接受优质教育期盼，大力推动质量兴校、质量兴教，努力提升教育质量。</w:t>
      </w:r>
      <w:r>
        <w:rPr>
          <w:rFonts w:eastAsia="仿宋_GB2312"/>
          <w:sz w:val="32"/>
          <w:szCs w:val="32"/>
        </w:rPr>
        <w:t>在研省市</w:t>
      </w:r>
      <w:r>
        <w:rPr>
          <w:rFonts w:hint="eastAsia" w:eastAsia="仿宋_GB2312"/>
          <w:sz w:val="32"/>
          <w:szCs w:val="32"/>
        </w:rPr>
        <w:t>区</w:t>
      </w:r>
      <w:r>
        <w:rPr>
          <w:rFonts w:eastAsia="仿宋_GB2312"/>
          <w:sz w:val="32"/>
          <w:szCs w:val="32"/>
        </w:rPr>
        <w:t>课题40项，立项省</w:t>
      </w:r>
      <w:r>
        <w:rPr>
          <w:rFonts w:hint="eastAsia" w:eastAsia="仿宋_GB2312"/>
          <w:sz w:val="32"/>
          <w:szCs w:val="32"/>
        </w:rPr>
        <w:t>级</w:t>
      </w:r>
      <w:r>
        <w:rPr>
          <w:rFonts w:eastAsia="仿宋_GB2312"/>
          <w:sz w:val="32"/>
          <w:szCs w:val="32"/>
        </w:rPr>
        <w:t>课题</w:t>
      </w:r>
      <w:r>
        <w:rPr>
          <w:rFonts w:hint="eastAsia" w:eastAsia="仿宋_GB2312"/>
          <w:sz w:val="32"/>
          <w:szCs w:val="32"/>
        </w:rPr>
        <w:t>8</w:t>
      </w:r>
      <w:r>
        <w:rPr>
          <w:rFonts w:eastAsia="仿宋_GB2312"/>
          <w:sz w:val="32"/>
          <w:szCs w:val="32"/>
        </w:rPr>
        <w:t>项，结题</w:t>
      </w:r>
      <w:r>
        <w:rPr>
          <w:rFonts w:hint="eastAsia" w:eastAsia="仿宋_GB2312"/>
          <w:sz w:val="32"/>
          <w:szCs w:val="32"/>
        </w:rPr>
        <w:t>5</w:t>
      </w:r>
      <w:r>
        <w:rPr>
          <w:rFonts w:eastAsia="仿宋_GB2312"/>
          <w:sz w:val="32"/>
          <w:szCs w:val="32"/>
        </w:rPr>
        <w:t>项，推广</w:t>
      </w:r>
      <w:r>
        <w:rPr>
          <w:rFonts w:hint="eastAsia" w:eastAsia="仿宋_GB2312"/>
          <w:sz w:val="32"/>
          <w:szCs w:val="32"/>
        </w:rPr>
        <w:t>优秀</w:t>
      </w:r>
      <w:r>
        <w:rPr>
          <w:rFonts w:eastAsia="仿宋_GB2312"/>
          <w:sz w:val="32"/>
          <w:szCs w:val="32"/>
        </w:rPr>
        <w:t>课题成果1项，</w:t>
      </w:r>
      <w:r>
        <w:rPr>
          <w:rFonts w:hint="eastAsia" w:eastAsia="仿宋_GB2312"/>
          <w:sz w:val="32"/>
          <w:szCs w:val="32"/>
        </w:rPr>
        <w:t>6</w:t>
      </w:r>
      <w:r>
        <w:rPr>
          <w:rFonts w:eastAsia="仿宋_GB2312"/>
          <w:sz w:val="32"/>
          <w:szCs w:val="32"/>
        </w:rPr>
        <w:t>项教育科研成果获</w:t>
      </w:r>
      <w:r>
        <w:rPr>
          <w:rFonts w:hint="eastAsia" w:eastAsia="仿宋_GB2312"/>
          <w:sz w:val="32"/>
          <w:szCs w:val="32"/>
        </w:rPr>
        <w:t>省优秀</w:t>
      </w:r>
      <w:r>
        <w:rPr>
          <w:rFonts w:eastAsia="仿宋_GB2312"/>
          <w:sz w:val="32"/>
          <w:szCs w:val="32"/>
        </w:rPr>
        <w:t>奖</w:t>
      </w:r>
      <w:r>
        <w:rPr>
          <w:rFonts w:hint="eastAsia" w:eastAsia="仿宋_GB2312"/>
          <w:sz w:val="32"/>
          <w:szCs w:val="32"/>
        </w:rPr>
        <w:t>，元坝中学、</w:t>
      </w:r>
      <w:r>
        <w:rPr>
          <w:rFonts w:eastAsia="仿宋_GB2312"/>
          <w:sz w:val="32"/>
          <w:szCs w:val="32"/>
        </w:rPr>
        <w:t>卫子初级中学</w:t>
      </w:r>
      <w:r>
        <w:rPr>
          <w:rFonts w:hint="eastAsia" w:eastAsia="仿宋_GB2312"/>
          <w:sz w:val="32"/>
          <w:szCs w:val="32"/>
        </w:rPr>
        <w:t>两项课题阶段成果</w:t>
      </w:r>
      <w:r>
        <w:rPr>
          <w:rFonts w:eastAsia="仿宋_GB2312"/>
          <w:sz w:val="32"/>
          <w:szCs w:val="32"/>
        </w:rPr>
        <w:t>获省</w:t>
      </w:r>
      <w:r>
        <w:rPr>
          <w:rFonts w:hint="eastAsia" w:eastAsia="仿宋_GB2312"/>
          <w:sz w:val="32"/>
          <w:szCs w:val="32"/>
        </w:rPr>
        <w:t>优秀</w:t>
      </w:r>
      <w:r>
        <w:rPr>
          <w:rFonts w:eastAsia="仿宋_GB2312"/>
          <w:sz w:val="32"/>
          <w:szCs w:val="32"/>
        </w:rPr>
        <w:t>奖。</w:t>
      </w:r>
      <w:bookmarkStart w:id="24" w:name="_Hlk49778555"/>
      <w:r>
        <w:rPr>
          <w:rFonts w:eastAsia="仿宋_GB2312"/>
          <w:sz w:val="32"/>
          <w:szCs w:val="32"/>
        </w:rPr>
        <w:t>出台《学前教育深化改革规范发展实施方案</w:t>
      </w:r>
      <w:bookmarkEnd w:id="24"/>
      <w:r>
        <w:rPr>
          <w:rFonts w:eastAsia="仿宋_GB2312"/>
          <w:sz w:val="32"/>
          <w:szCs w:val="32"/>
        </w:rPr>
        <w:t>》，创建三星级园1所、普惠性民办幼儿园9个，学前三年入园率93%</w:t>
      </w:r>
      <w:r>
        <w:rPr>
          <w:rFonts w:hint="eastAsia" w:eastAsia="仿宋_GB2312"/>
          <w:sz w:val="32"/>
          <w:szCs w:val="32"/>
        </w:rPr>
        <w:t>，</w:t>
      </w:r>
      <w:r>
        <w:rPr>
          <w:rFonts w:eastAsia="仿宋_GB2312"/>
          <w:sz w:val="32"/>
          <w:szCs w:val="32"/>
        </w:rPr>
        <w:t>普惠率90.5%。</w:t>
      </w:r>
      <w:r>
        <w:rPr>
          <w:rFonts w:hint="eastAsia" w:eastAsia="仿宋_GB2312"/>
          <w:sz w:val="32"/>
          <w:szCs w:val="32"/>
        </w:rPr>
        <w:t>小规模、精品化发展义务教育</w:t>
      </w:r>
      <w:r>
        <w:rPr>
          <w:rFonts w:eastAsia="仿宋_GB2312"/>
          <w:sz w:val="32"/>
          <w:szCs w:val="32"/>
        </w:rPr>
        <w:t>，梅树小学创建为市美丽乡村学校，</w:t>
      </w:r>
      <w:r>
        <w:rPr>
          <w:rFonts w:hint="eastAsia" w:eastAsia="仿宋_GB2312"/>
          <w:sz w:val="32"/>
          <w:szCs w:val="32"/>
        </w:rPr>
        <w:t>该校教师</w:t>
      </w:r>
      <w:r>
        <w:rPr>
          <w:rFonts w:eastAsia="仿宋_GB2312"/>
          <w:sz w:val="32"/>
          <w:szCs w:val="32"/>
        </w:rPr>
        <w:t>队伍建设经验在</w:t>
      </w:r>
      <w:r>
        <w:rPr>
          <w:rFonts w:hint="eastAsia" w:eastAsia="仿宋_GB2312"/>
          <w:sz w:val="32"/>
          <w:szCs w:val="32"/>
        </w:rPr>
        <w:t>全省首届</w:t>
      </w:r>
      <w:r>
        <w:rPr>
          <w:rFonts w:eastAsia="仿宋_GB2312"/>
          <w:sz w:val="32"/>
          <w:szCs w:val="32"/>
        </w:rPr>
        <w:t>农村</w:t>
      </w:r>
      <w:r>
        <w:rPr>
          <w:rFonts w:hint="eastAsia" w:eastAsia="仿宋_GB2312"/>
          <w:sz w:val="32"/>
          <w:szCs w:val="32"/>
        </w:rPr>
        <w:t>教育年会上</w:t>
      </w:r>
      <w:r>
        <w:rPr>
          <w:rFonts w:eastAsia="仿宋_GB2312"/>
          <w:sz w:val="32"/>
          <w:szCs w:val="32"/>
        </w:rPr>
        <w:t>交流</w:t>
      </w:r>
      <w:r>
        <w:rPr>
          <w:rFonts w:hint="eastAsia" w:eastAsia="仿宋_GB2312"/>
          <w:sz w:val="32"/>
          <w:szCs w:val="32"/>
        </w:rPr>
        <w:t>。</w:t>
      </w:r>
      <w:r>
        <w:rPr>
          <w:rFonts w:eastAsia="仿宋_GB2312"/>
          <w:sz w:val="32"/>
          <w:szCs w:val="32"/>
        </w:rPr>
        <w:t>中考普高上线率全市第四。元坝中学文化一本上线14人</w:t>
      </w:r>
      <w:r>
        <w:rPr>
          <w:rFonts w:hint="eastAsia" w:eastAsia="仿宋_GB2312"/>
          <w:sz w:val="32"/>
          <w:szCs w:val="32"/>
        </w:rPr>
        <w:t>、</w:t>
      </w:r>
      <w:r>
        <w:rPr>
          <w:rFonts w:eastAsia="仿宋_GB2312"/>
          <w:sz w:val="32"/>
          <w:szCs w:val="32"/>
        </w:rPr>
        <w:t>本科上线70人</w:t>
      </w:r>
      <w:r>
        <w:rPr>
          <w:rFonts w:hint="eastAsia" w:eastAsia="仿宋_GB2312"/>
          <w:sz w:val="32"/>
          <w:szCs w:val="32"/>
        </w:rPr>
        <w:t>。</w:t>
      </w:r>
      <w:r>
        <w:rPr>
          <w:rFonts w:eastAsia="仿宋_GB2312"/>
          <w:sz w:val="32"/>
          <w:szCs w:val="32"/>
        </w:rPr>
        <w:t>昭化职中高考本科上线12人</w:t>
      </w:r>
      <w:r>
        <w:rPr>
          <w:rFonts w:hint="eastAsia" w:eastAsia="仿宋_GB2312"/>
          <w:sz w:val="32"/>
          <w:szCs w:val="32"/>
        </w:rPr>
        <w:t>，</w:t>
      </w:r>
      <w:r>
        <w:rPr>
          <w:rFonts w:eastAsia="仿宋_GB2312"/>
          <w:sz w:val="32"/>
          <w:szCs w:val="32"/>
        </w:rPr>
        <w:t>家具设计与制作专业被市教育局评为“终生学习品牌项目”</w:t>
      </w:r>
      <w:r>
        <w:rPr>
          <w:rFonts w:hint="eastAsia" w:eastAsia="仿宋_GB2312"/>
          <w:sz w:val="32"/>
          <w:szCs w:val="32"/>
        </w:rPr>
        <w:t>。我</w:t>
      </w:r>
      <w:r>
        <w:rPr>
          <w:rFonts w:eastAsia="仿宋_GB2312"/>
          <w:sz w:val="32"/>
          <w:szCs w:val="32"/>
        </w:rPr>
        <w:t>局获职业教育招生和</w:t>
      </w:r>
      <w:r>
        <w:rPr>
          <w:rFonts w:hint="eastAsia" w:eastAsia="仿宋_GB2312"/>
          <w:sz w:val="32"/>
          <w:szCs w:val="32"/>
        </w:rPr>
        <w:t>市</w:t>
      </w:r>
      <w:r>
        <w:rPr>
          <w:rFonts w:eastAsia="仿宋_GB2312"/>
          <w:sz w:val="32"/>
          <w:szCs w:val="32"/>
        </w:rPr>
        <w:t>内生源</w:t>
      </w:r>
      <w:r>
        <w:rPr>
          <w:rFonts w:hint="eastAsia" w:eastAsia="仿宋_GB2312"/>
          <w:sz w:val="32"/>
          <w:szCs w:val="32"/>
        </w:rPr>
        <w:t>送培</w:t>
      </w:r>
      <w:r>
        <w:rPr>
          <w:rFonts w:eastAsia="仿宋_GB2312"/>
          <w:sz w:val="32"/>
          <w:szCs w:val="32"/>
        </w:rPr>
        <w:t>两大奖项。新建社区教育中心</w:t>
      </w:r>
      <w:r>
        <w:rPr>
          <w:rFonts w:hint="eastAsia" w:eastAsia="仿宋_GB2312"/>
          <w:sz w:val="32"/>
          <w:szCs w:val="32"/>
        </w:rPr>
        <w:t>、</w:t>
      </w:r>
      <w:r>
        <w:rPr>
          <w:rFonts w:eastAsia="仿宋_GB2312"/>
          <w:sz w:val="32"/>
          <w:szCs w:val="32"/>
        </w:rPr>
        <w:t>老年大学、示范社区中心各1个，报送市级学习型组织22个。</w:t>
      </w:r>
    </w:p>
    <w:p w14:paraId="269780BE">
      <w:pPr>
        <w:spacing w:line="576" w:lineRule="exact"/>
        <w:ind w:firstLine="643" w:firstLineChars="200"/>
        <w:rPr>
          <w:rFonts w:eastAsia="仿宋_GB2312"/>
          <w:sz w:val="32"/>
          <w:szCs w:val="32"/>
        </w:rPr>
      </w:pPr>
      <w:r>
        <w:rPr>
          <w:rFonts w:hint="eastAsia" w:eastAsia="仿宋_GB2312"/>
          <w:b/>
          <w:bCs/>
          <w:sz w:val="32"/>
          <w:szCs w:val="32"/>
          <w:lang w:val="en-US" w:eastAsia="zh-CN"/>
        </w:rPr>
        <w:t>6</w:t>
      </w:r>
      <w:r>
        <w:rPr>
          <w:rFonts w:eastAsia="仿宋_GB2312"/>
          <w:b/>
          <w:bCs/>
          <w:sz w:val="32"/>
          <w:szCs w:val="32"/>
        </w:rPr>
        <w:t>.扶贫</w:t>
      </w:r>
      <w:r>
        <w:rPr>
          <w:rFonts w:hint="eastAsia" w:eastAsia="仿宋_GB2312"/>
          <w:b/>
          <w:bCs/>
          <w:sz w:val="32"/>
          <w:szCs w:val="32"/>
        </w:rPr>
        <w:t>能力得到</w:t>
      </w:r>
      <w:r>
        <w:rPr>
          <w:rFonts w:eastAsia="仿宋_GB2312"/>
          <w:b/>
          <w:bCs/>
          <w:sz w:val="32"/>
          <w:szCs w:val="32"/>
        </w:rPr>
        <w:t>新</w:t>
      </w:r>
      <w:r>
        <w:rPr>
          <w:rFonts w:hint="eastAsia" w:eastAsia="仿宋_GB2312"/>
          <w:b/>
          <w:bCs/>
          <w:sz w:val="32"/>
          <w:szCs w:val="32"/>
        </w:rPr>
        <w:t>提升</w:t>
      </w:r>
      <w:r>
        <w:rPr>
          <w:rFonts w:eastAsia="仿宋_GB2312"/>
          <w:b/>
          <w:bCs/>
          <w:sz w:val="32"/>
          <w:szCs w:val="32"/>
        </w:rPr>
        <w:t>。</w:t>
      </w:r>
      <w:r>
        <w:rPr>
          <w:rFonts w:hint="eastAsia" w:eastAsia="仿宋_GB2312"/>
          <w:sz w:val="32"/>
          <w:szCs w:val="32"/>
        </w:rPr>
        <w:t>始终围绕全区脱贫攻坚大局，着力深化教育扶贫，全力提升教育惠民水平。募集教育基金28.6万元。</w:t>
      </w:r>
      <w:r>
        <w:rPr>
          <w:rFonts w:eastAsia="仿宋_GB2312"/>
          <w:sz w:val="32"/>
          <w:szCs w:val="32"/>
        </w:rPr>
        <w:t>减免、资助救助各类学生15890人次，发放资金1128.59万元。</w:t>
      </w:r>
      <w:r>
        <w:rPr>
          <w:rFonts w:hint="eastAsia" w:eastAsia="仿宋_GB2312"/>
          <w:sz w:val="32"/>
          <w:szCs w:val="32"/>
        </w:rPr>
        <w:t>深入</w:t>
      </w:r>
      <w:r>
        <w:rPr>
          <w:rFonts w:eastAsia="仿宋_GB2312"/>
          <w:sz w:val="32"/>
          <w:szCs w:val="32"/>
        </w:rPr>
        <w:t>落实“635”联控联保责任，义务教育适龄儿童少年入学率100%、巩固率100%。</w:t>
      </w:r>
      <w:r>
        <w:rPr>
          <w:rFonts w:hint="eastAsia" w:eastAsia="仿宋_GB2312"/>
          <w:sz w:val="32"/>
          <w:szCs w:val="32"/>
        </w:rPr>
        <w:t>强化教育装备管理与使用，</w:t>
      </w:r>
      <w:r>
        <w:rPr>
          <w:rFonts w:eastAsia="仿宋_GB2312"/>
          <w:sz w:val="32"/>
          <w:szCs w:val="32"/>
        </w:rPr>
        <w:t>全区28所</w:t>
      </w:r>
      <w:r>
        <w:rPr>
          <w:rFonts w:hint="eastAsia" w:eastAsia="仿宋_GB2312"/>
          <w:sz w:val="32"/>
          <w:szCs w:val="32"/>
        </w:rPr>
        <w:t>标准</w:t>
      </w:r>
      <w:r>
        <w:rPr>
          <w:rFonts w:eastAsia="仿宋_GB2312"/>
          <w:sz w:val="32"/>
          <w:szCs w:val="32"/>
        </w:rPr>
        <w:t>中心校</w:t>
      </w:r>
      <w:r>
        <w:rPr>
          <w:rFonts w:hint="eastAsia" w:eastAsia="仿宋_GB2312"/>
          <w:sz w:val="32"/>
          <w:szCs w:val="32"/>
        </w:rPr>
        <w:t>“四项指标”差异系数只减不增。</w:t>
      </w:r>
      <w:r>
        <w:rPr>
          <w:rFonts w:eastAsia="仿宋_GB2312"/>
          <w:sz w:val="32"/>
          <w:szCs w:val="32"/>
        </w:rPr>
        <w:t>“5+2”学生食堂供餐惠及学生6954人，“倍增计划”惠及学生189人。</w:t>
      </w:r>
      <w:r>
        <w:rPr>
          <w:rFonts w:hint="eastAsia" w:eastAsia="仿宋_GB2312"/>
          <w:sz w:val="32"/>
          <w:szCs w:val="32"/>
        </w:rPr>
        <w:t>我</w:t>
      </w:r>
      <w:r>
        <w:rPr>
          <w:rFonts w:eastAsia="仿宋_GB2312"/>
          <w:sz w:val="32"/>
          <w:szCs w:val="32"/>
        </w:rPr>
        <w:t>局被市委市政府</w:t>
      </w:r>
      <w:r>
        <w:rPr>
          <w:rFonts w:hint="eastAsia" w:eastAsia="仿宋_GB2312"/>
          <w:sz w:val="32"/>
          <w:szCs w:val="32"/>
        </w:rPr>
        <w:t>、区委区政府</w:t>
      </w:r>
      <w:r>
        <w:rPr>
          <w:rFonts w:eastAsia="仿宋_GB2312"/>
          <w:sz w:val="32"/>
          <w:szCs w:val="32"/>
        </w:rPr>
        <w:t>表彰为脱贫攻坚“行业扶贫先进集体”，</w:t>
      </w:r>
      <w:r>
        <w:rPr>
          <w:rFonts w:hint="eastAsia" w:eastAsia="仿宋_GB2312"/>
          <w:sz w:val="32"/>
          <w:szCs w:val="32"/>
        </w:rPr>
        <w:t>12</w:t>
      </w:r>
      <w:r>
        <w:rPr>
          <w:rFonts w:eastAsia="仿宋_GB2312"/>
          <w:sz w:val="32"/>
          <w:szCs w:val="32"/>
        </w:rPr>
        <w:t>名干部被区委区政府表彰为脱贫攻坚“优秀帮扶干部”。派驻扶贫干部5名，发展支柱产业4个、集体经济7个，对口帮扶的金紫村、傲盘村105户贫困户脱贫成效得到巩固提升。</w:t>
      </w:r>
    </w:p>
    <w:p w14:paraId="071AC251">
      <w:pPr>
        <w:spacing w:line="576" w:lineRule="exact"/>
        <w:ind w:firstLine="643" w:firstLineChars="200"/>
        <w:rPr>
          <w:rFonts w:hint="eastAsia" w:eastAsia="仿宋_GB2312"/>
          <w:sz w:val="32"/>
          <w:szCs w:val="32"/>
        </w:rPr>
      </w:pPr>
      <w:r>
        <w:rPr>
          <w:rFonts w:hint="eastAsia" w:eastAsia="仿宋_GB2312"/>
          <w:b/>
          <w:bCs/>
          <w:sz w:val="32"/>
          <w:szCs w:val="32"/>
          <w:lang w:val="en-US" w:eastAsia="zh-CN"/>
        </w:rPr>
        <w:t>7</w:t>
      </w:r>
      <w:r>
        <w:rPr>
          <w:rFonts w:eastAsia="仿宋_GB2312"/>
          <w:b/>
          <w:bCs/>
          <w:sz w:val="32"/>
          <w:szCs w:val="32"/>
        </w:rPr>
        <w:t>.</w:t>
      </w:r>
      <w:r>
        <w:rPr>
          <w:rFonts w:hint="eastAsia" w:eastAsia="仿宋_GB2312"/>
          <w:b/>
          <w:bCs/>
          <w:sz w:val="32"/>
          <w:szCs w:val="32"/>
        </w:rPr>
        <w:t>教育资源实现新扩充</w:t>
      </w:r>
      <w:r>
        <w:rPr>
          <w:rFonts w:eastAsia="仿宋_GB2312"/>
          <w:b/>
          <w:bCs/>
          <w:sz w:val="32"/>
          <w:szCs w:val="32"/>
        </w:rPr>
        <w:t>。</w:t>
      </w:r>
      <w:r>
        <w:rPr>
          <w:rFonts w:hint="eastAsia" w:eastAsia="仿宋_GB2312"/>
          <w:sz w:val="32"/>
          <w:szCs w:val="32"/>
        </w:rPr>
        <w:t>始终对标现代学校办学标准要求，加速办学条件提档升级。</w:t>
      </w:r>
      <w:r>
        <w:rPr>
          <w:rFonts w:eastAsia="仿宋_GB2312"/>
          <w:sz w:val="32"/>
          <w:szCs w:val="32"/>
        </w:rPr>
        <w:t>入库项目11个，总投资10.018</w:t>
      </w:r>
      <w:r>
        <w:rPr>
          <w:rFonts w:hint="eastAsia" w:eastAsia="仿宋_GB2312"/>
          <w:sz w:val="32"/>
          <w:szCs w:val="32"/>
        </w:rPr>
        <w:t>亿</w:t>
      </w:r>
      <w:r>
        <w:rPr>
          <w:rFonts w:eastAsia="仿宋_GB2312"/>
          <w:sz w:val="32"/>
          <w:szCs w:val="32"/>
        </w:rPr>
        <w:t>元。申报中央预算内、幼儿园一般债券等项目专项规划，争取到位资金5707万元。完成实验小学剑瓷楼</w:t>
      </w:r>
      <w:r>
        <w:rPr>
          <w:rFonts w:hint="eastAsia" w:eastAsia="仿宋_GB2312"/>
          <w:sz w:val="32"/>
          <w:szCs w:val="32"/>
        </w:rPr>
        <w:t>、</w:t>
      </w:r>
      <w:r>
        <w:rPr>
          <w:rFonts w:eastAsia="仿宋_GB2312"/>
          <w:sz w:val="32"/>
          <w:szCs w:val="32"/>
        </w:rPr>
        <w:t>石井小学等9所学校义务教育薄弱环节与能力提升项目，总投资</w:t>
      </w:r>
      <w:r>
        <w:rPr>
          <w:rFonts w:hint="eastAsia" w:eastAsia="仿宋_GB2312"/>
          <w:sz w:val="32"/>
          <w:szCs w:val="32"/>
        </w:rPr>
        <w:t>1515</w:t>
      </w:r>
      <w:r>
        <w:rPr>
          <w:rFonts w:eastAsia="仿宋_GB2312"/>
          <w:sz w:val="32"/>
          <w:szCs w:val="32"/>
        </w:rPr>
        <w:t>万元。昭化镇</w:t>
      </w:r>
      <w:r>
        <w:rPr>
          <w:rFonts w:hint="eastAsia" w:eastAsia="仿宋_GB2312"/>
          <w:sz w:val="32"/>
          <w:szCs w:val="32"/>
        </w:rPr>
        <w:t>幼儿园</w:t>
      </w:r>
      <w:r>
        <w:rPr>
          <w:rFonts w:eastAsia="仿宋_GB2312"/>
          <w:sz w:val="32"/>
          <w:szCs w:val="32"/>
        </w:rPr>
        <w:t>、中央</w:t>
      </w:r>
      <w:r>
        <w:rPr>
          <w:rFonts w:hint="eastAsia" w:eastAsia="仿宋_GB2312"/>
          <w:sz w:val="32"/>
          <w:szCs w:val="32"/>
        </w:rPr>
        <w:t>峰景</w:t>
      </w:r>
      <w:r>
        <w:rPr>
          <w:rFonts w:eastAsia="仿宋_GB2312"/>
          <w:sz w:val="32"/>
          <w:szCs w:val="32"/>
        </w:rPr>
        <w:t>小区幼儿园建设加快推进。</w:t>
      </w:r>
      <w:r>
        <w:rPr>
          <w:rFonts w:hint="eastAsia" w:eastAsia="仿宋_GB2312"/>
          <w:sz w:val="32"/>
          <w:szCs w:val="32"/>
        </w:rPr>
        <w:t>推进教育信息化，新建实验小学、元坝一小、昭化初级中学“智慧课堂”7个。建成元坝中学英语听说教学和考试系统、实验小学编程教育创客教室，对元坝一小、昭化初级中学等学校“班班通</w:t>
      </w:r>
      <w:r>
        <w:rPr>
          <w:rFonts w:eastAsia="仿宋_GB2312"/>
          <w:sz w:val="32"/>
          <w:szCs w:val="32"/>
        </w:rPr>
        <w:t>”</w:t>
      </w:r>
      <w:r>
        <w:rPr>
          <w:rFonts w:hint="eastAsia" w:eastAsia="仿宋_GB2312"/>
          <w:sz w:val="32"/>
          <w:szCs w:val="32"/>
        </w:rPr>
        <w:t>设备、基础网络进行了升级改造。推进“智慧校园”管理平台和学乐云“人人通”空间资源平台建设，全区师生网络学习空间应用率100%。</w:t>
      </w:r>
    </w:p>
    <w:p w14:paraId="62F7A213">
      <w:pPr>
        <w:spacing w:line="576" w:lineRule="exact"/>
        <w:ind w:firstLine="643" w:firstLineChars="200"/>
        <w:rPr>
          <w:rFonts w:eastAsia="仿宋_GB2312"/>
          <w:sz w:val="32"/>
          <w:szCs w:val="32"/>
        </w:rPr>
      </w:pPr>
      <w:r>
        <w:rPr>
          <w:rFonts w:hint="eastAsia" w:eastAsia="仿宋_GB2312"/>
          <w:b/>
          <w:bCs/>
          <w:sz w:val="32"/>
          <w:szCs w:val="32"/>
          <w:lang w:val="en-US" w:eastAsia="zh-CN"/>
        </w:rPr>
        <w:t>8</w:t>
      </w:r>
      <w:r>
        <w:rPr>
          <w:rFonts w:eastAsia="仿宋_GB2312"/>
          <w:b/>
          <w:bCs/>
          <w:sz w:val="32"/>
          <w:szCs w:val="32"/>
        </w:rPr>
        <w:t>.</w:t>
      </w:r>
      <w:r>
        <w:rPr>
          <w:rFonts w:hint="eastAsia" w:eastAsia="仿宋_GB2312"/>
          <w:b/>
          <w:bCs/>
          <w:sz w:val="32"/>
          <w:szCs w:val="32"/>
        </w:rPr>
        <w:t>依法治教得到新强化</w:t>
      </w:r>
      <w:r>
        <w:rPr>
          <w:rFonts w:eastAsia="仿宋_GB2312"/>
          <w:b/>
          <w:bCs/>
          <w:sz w:val="32"/>
          <w:szCs w:val="32"/>
        </w:rPr>
        <w:t>。</w:t>
      </w:r>
      <w:r>
        <w:rPr>
          <w:rFonts w:hint="eastAsia" w:eastAsia="仿宋_GB2312"/>
          <w:sz w:val="32"/>
          <w:szCs w:val="32"/>
        </w:rPr>
        <w:t>全面贯彻“依法治国”理念，努力推动教育领域法治治理。推进</w:t>
      </w:r>
      <w:r>
        <w:rPr>
          <w:rFonts w:eastAsia="仿宋_GB2312"/>
          <w:sz w:val="32"/>
          <w:szCs w:val="32"/>
        </w:rPr>
        <w:t>教育督导工作改革，加大对教育重点、热点、难点问题的督查力度，深入学校督查8次</w:t>
      </w:r>
      <w:r>
        <w:rPr>
          <w:rFonts w:hint="eastAsia" w:eastAsia="仿宋_GB2312"/>
          <w:sz w:val="32"/>
          <w:szCs w:val="32"/>
        </w:rPr>
        <w:t>，督促整改问题21个。强化对义务教育均衡发展县域内校际综合差异系数的监测，巩固提升创建成果。组织接受国家义务教育学生科学素养、德育状况测评，22所样本学校851名师生参测。</w:t>
      </w:r>
      <w:r>
        <w:rPr>
          <w:rFonts w:eastAsia="仿宋_GB2312"/>
          <w:sz w:val="32"/>
          <w:szCs w:val="32"/>
        </w:rPr>
        <w:t>局党组会、全体职工会会前学法12次，</w:t>
      </w:r>
      <w:r>
        <w:rPr>
          <w:rFonts w:hint="eastAsia" w:eastAsia="仿宋_GB2312"/>
          <w:sz w:val="32"/>
          <w:szCs w:val="32"/>
        </w:rPr>
        <w:t>所聘</w:t>
      </w:r>
      <w:r>
        <w:rPr>
          <w:rFonts w:eastAsia="仿宋_GB2312"/>
          <w:sz w:val="32"/>
          <w:szCs w:val="32"/>
        </w:rPr>
        <w:t>法律顾问参与</w:t>
      </w:r>
      <w:r>
        <w:rPr>
          <w:rFonts w:hint="eastAsia" w:eastAsia="仿宋_GB2312"/>
          <w:sz w:val="32"/>
          <w:szCs w:val="32"/>
        </w:rPr>
        <w:t>教育领域</w:t>
      </w:r>
      <w:r>
        <w:rPr>
          <w:rFonts w:eastAsia="仿宋_GB2312"/>
          <w:sz w:val="32"/>
          <w:szCs w:val="32"/>
        </w:rPr>
        <w:t>纠纷调解、合同审查、案件诉讼7次。利用“6.26”国际禁毒日、“12.4”国家宪法日、开学第一课等重要时间节点，开展“法治护航，守护明天”、学习《民法典》以及“学宪法讲宪法”演讲比赛、“宪法小卫士”知识竞赛等活动，上报作品200余件。学校法制副校长上法制课75堂，发放各类普法读物1000余册。</w:t>
      </w:r>
      <w:r>
        <w:rPr>
          <w:rFonts w:hint="eastAsia" w:eastAsia="仿宋_GB2312"/>
          <w:sz w:val="32"/>
          <w:szCs w:val="32"/>
        </w:rPr>
        <w:t>规范校外培训机构办学行为，审批7家校外培训机构，取缔4个校外临时培训机构，规范黑名单机构1个。依法实施各类国家教育考试，我区被评为市“平安考试县（区）”。</w:t>
      </w:r>
    </w:p>
    <w:p w14:paraId="405E343C">
      <w:pPr>
        <w:spacing w:line="576" w:lineRule="exact"/>
        <w:ind w:firstLine="643" w:firstLineChars="200"/>
        <w:rPr>
          <w:rFonts w:hint="eastAsia" w:ascii="仿宋_GB2312" w:hAnsi="仿宋_GB2312" w:eastAsia="仿宋_GB2312" w:cs="仿宋_GB2312"/>
          <w:b/>
          <w:bCs w:val="0"/>
          <w:color w:val="000000"/>
          <w:sz w:val="30"/>
          <w:szCs w:val="30"/>
        </w:rPr>
      </w:pPr>
      <w:r>
        <w:rPr>
          <w:rFonts w:hint="eastAsia" w:eastAsia="仿宋_GB2312"/>
          <w:b/>
          <w:bCs/>
          <w:sz w:val="32"/>
          <w:szCs w:val="32"/>
          <w:lang w:val="en-US" w:eastAsia="zh-CN"/>
        </w:rPr>
        <w:t>9</w:t>
      </w:r>
      <w:r>
        <w:rPr>
          <w:rFonts w:eastAsia="仿宋_GB2312"/>
          <w:b/>
          <w:bCs/>
          <w:sz w:val="32"/>
          <w:szCs w:val="32"/>
        </w:rPr>
        <w:t>.</w:t>
      </w:r>
      <w:r>
        <w:rPr>
          <w:rFonts w:hint="eastAsia" w:eastAsia="仿宋_GB2312"/>
          <w:b/>
          <w:bCs/>
          <w:sz w:val="32"/>
          <w:szCs w:val="32"/>
        </w:rPr>
        <w:t>发展环境实现新优化</w:t>
      </w:r>
      <w:r>
        <w:rPr>
          <w:rFonts w:eastAsia="仿宋_GB2312"/>
          <w:b/>
          <w:bCs/>
          <w:sz w:val="32"/>
          <w:szCs w:val="32"/>
        </w:rPr>
        <w:t>。</w:t>
      </w:r>
      <w:r>
        <w:rPr>
          <w:rFonts w:hint="eastAsia" w:eastAsia="仿宋_GB2312"/>
          <w:sz w:val="32"/>
          <w:szCs w:val="32"/>
        </w:rPr>
        <w:t>始终把发展环境优化作为教育改革发展的先决条件，主动营造平安和谐的发展生态。严格落实安全生产责任制，推行清单制管理，健全完善双重预警机制，整治隐患106起。常态化开展森林防火“五个一”、防溺水“六个一”以及防汛减灾、道路交通、消防安全等宣传教育，扎实推进扫黑除恶、防范打击侵害未成年人违法犯罪、安全生产专项整治三年行动等专项行动。全年接待办理来信来访81件次，接待上访5人次，信访办结率100%、满意率100%。一年来全系统平安稳定。</w:t>
      </w:r>
    </w:p>
    <w:p w14:paraId="2072053F">
      <w:pPr>
        <w:pStyle w:val="5"/>
        <w:wordWrap/>
        <w:snapToGrid/>
        <w:spacing w:before="0" w:after="0" w:line="240" w:lineRule="auto"/>
        <w:ind w:left="0" w:leftChars="0" w:right="0" w:firstLine="640" w:firstLineChars="200"/>
        <w:jc w:val="both"/>
        <w:rPr>
          <w:rStyle w:val="37"/>
          <w:rFonts w:hint="eastAsia" w:ascii="黑体" w:hAnsi="黑体" w:eastAsia="黑体" w:cs="黑体"/>
          <w:b w:val="0"/>
          <w:bCs w:val="0"/>
        </w:rPr>
      </w:pPr>
      <w:bookmarkStart w:id="25" w:name="_Toc25700"/>
      <w:bookmarkStart w:id="26" w:name="_Toc15396601"/>
      <w:bookmarkStart w:id="27" w:name="_Toc15377200"/>
      <w:r>
        <w:rPr>
          <w:rFonts w:hint="eastAsia" w:ascii="黑体" w:hAnsi="黑体" w:eastAsia="黑体" w:cs="黑体"/>
          <w:b w:val="0"/>
          <w:bCs w:val="0"/>
          <w:color w:val="000000"/>
        </w:rPr>
        <w:t>二、机</w:t>
      </w:r>
      <w:r>
        <w:rPr>
          <w:rStyle w:val="37"/>
          <w:rFonts w:hint="eastAsia" w:ascii="黑体" w:hAnsi="黑体" w:eastAsia="黑体" w:cs="黑体"/>
          <w:b w:val="0"/>
          <w:bCs w:val="0"/>
        </w:rPr>
        <w:t>构设置</w:t>
      </w:r>
      <w:bookmarkEnd w:id="25"/>
      <w:bookmarkEnd w:id="26"/>
      <w:bookmarkEnd w:id="27"/>
    </w:p>
    <w:p w14:paraId="19FCCB36">
      <w:pPr>
        <w:keepNext w:val="0"/>
        <w:keepLines w:val="0"/>
        <w:widowControl w:val="0"/>
        <w:suppressLineNumbers w:val="0"/>
        <w:spacing w:before="0" w:beforeAutospacing="0" w:after="0" w:afterAutospacing="0"/>
        <w:ind w:left="0" w:right="0" w:firstLine="800" w:firstLineChars="25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区教育局下属二级单位39个，其中行政单位1个，参照公务员法管理的事业单位</w:t>
      </w:r>
      <w:r>
        <w:rPr>
          <w:rFonts w:hint="eastAsia" w:ascii="仿宋" w:hAnsi="仿宋" w:eastAsia="仿宋" w:cs="仿宋"/>
          <w:bCs/>
          <w:kern w:val="2"/>
          <w:sz w:val="32"/>
          <w:szCs w:val="32"/>
          <w:lang w:val="en-US" w:eastAsia="zh-CN" w:bidi="ar"/>
        </w:rPr>
        <w:t>0</w:t>
      </w:r>
      <w:r>
        <w:rPr>
          <w:rFonts w:hint="eastAsia" w:ascii="仿宋" w:hAnsi="仿宋" w:eastAsia="仿宋" w:cs="仿宋"/>
          <w:kern w:val="2"/>
          <w:sz w:val="32"/>
          <w:szCs w:val="32"/>
          <w:lang w:val="en-US" w:eastAsia="zh-CN" w:bidi="ar"/>
        </w:rPr>
        <w:t>个，其他事业单位38个（初中学校6个、九年一贯制学校6个、幼儿园1个、小学25个）。</w:t>
      </w:r>
    </w:p>
    <w:p w14:paraId="53AB75EB">
      <w:pPr>
        <w:widowControl/>
        <w:wordWrap/>
        <w:adjustRightInd/>
        <w:snapToGrid/>
        <w:spacing w:line="240" w:lineRule="auto"/>
        <w:ind w:left="0" w:leftChars="0" w:right="0" w:firstLine="600" w:firstLineChars="200"/>
        <w:jc w:val="left"/>
        <w:textAlignment w:val="auto"/>
        <w:rPr>
          <w:rFonts w:hint="eastAsia" w:ascii="仿宋_GB2312" w:hAnsi="仿宋_GB2312" w:eastAsia="仿宋_GB2312" w:cs="仿宋_GB2312"/>
          <w:b w:val="0"/>
          <w:bCs/>
          <w:sz w:val="30"/>
          <w:szCs w:val="30"/>
        </w:rPr>
      </w:pPr>
    </w:p>
    <w:p w14:paraId="45377686">
      <w:pPr>
        <w:widowControl/>
        <w:wordWrap/>
        <w:snapToGrid/>
        <w:spacing w:line="240" w:lineRule="auto"/>
        <w:ind w:left="0" w:leftChars="0" w:right="0" w:firstLine="0" w:firstLineChars="0"/>
        <w:jc w:val="left"/>
        <w:rPr>
          <w:rFonts w:ascii="仿宋" w:hAnsi="仿宋" w:eastAsia="仿宋"/>
          <w:color w:val="000000"/>
          <w:kern w:val="0"/>
          <w:sz w:val="32"/>
          <w:szCs w:val="32"/>
        </w:rPr>
      </w:pPr>
      <w:r>
        <w:rPr>
          <w:rFonts w:ascii="仿宋" w:hAnsi="仿宋" w:eastAsia="仿宋"/>
          <w:color w:val="000000"/>
          <w:sz w:val="32"/>
          <w:szCs w:val="32"/>
        </w:rPr>
        <w:br w:type="page"/>
      </w:r>
    </w:p>
    <w:p w14:paraId="10F30F6A">
      <w:pPr>
        <w:pStyle w:val="4"/>
        <w:wordWrap/>
        <w:snapToGrid/>
        <w:spacing w:before="0" w:after="0" w:line="240" w:lineRule="auto"/>
        <w:ind w:left="0" w:leftChars="0" w:right="0" w:firstLine="0" w:firstLineChars="0"/>
        <w:jc w:val="center"/>
        <w:rPr>
          <w:rStyle w:val="36"/>
          <w:rFonts w:ascii="黑体" w:hAnsi="黑体" w:eastAsia="黑体"/>
          <w:b w:val="0"/>
          <w:bCs w:val="0"/>
        </w:rPr>
      </w:pPr>
      <w:bookmarkStart w:id="28" w:name="_Toc15396602"/>
      <w:bookmarkStart w:id="29" w:name="_Toc15377204"/>
      <w:bookmarkStart w:id="30" w:name="_Toc5345"/>
      <w:r>
        <w:rPr>
          <w:rFonts w:hint="eastAsia" w:ascii="黑体" w:hAnsi="黑体" w:eastAsia="黑体"/>
          <w:b w:val="0"/>
          <w:color w:val="000000"/>
        </w:rPr>
        <w:t>第二部分</w:t>
      </w:r>
      <w:r>
        <w:rPr>
          <w:rFonts w:hint="eastAsia" w:ascii="黑体" w:hAnsi="黑体" w:eastAsia="黑体"/>
          <w:color w:val="000000"/>
        </w:rPr>
        <w:t xml:space="preserve"> </w:t>
      </w:r>
      <w:r>
        <w:rPr>
          <w:rStyle w:val="36"/>
          <w:rFonts w:hint="eastAsia" w:ascii="黑体" w:hAnsi="黑体" w:eastAsia="黑体"/>
          <w:b w:val="0"/>
          <w:bCs w:val="0"/>
          <w:lang w:eastAsia="zh-CN"/>
        </w:rPr>
        <w:t>2020</w:t>
      </w:r>
      <w:r>
        <w:rPr>
          <w:rStyle w:val="36"/>
          <w:rFonts w:hint="eastAsia" w:ascii="黑体" w:hAnsi="黑体" w:eastAsia="黑体"/>
          <w:b w:val="0"/>
          <w:bCs w:val="0"/>
        </w:rPr>
        <w:t>年度部门决算情况说明</w:t>
      </w:r>
      <w:bookmarkEnd w:id="28"/>
      <w:bookmarkEnd w:id="29"/>
      <w:bookmarkEnd w:id="30"/>
    </w:p>
    <w:p w14:paraId="465EAEC8">
      <w:pPr>
        <w:wordWrap/>
        <w:snapToGrid/>
        <w:spacing w:line="240" w:lineRule="auto"/>
        <w:ind w:left="0" w:leftChars="0" w:right="0" w:firstLine="0" w:firstLineChars="0"/>
        <w:jc w:val="left"/>
      </w:pPr>
    </w:p>
    <w:p w14:paraId="6F86B805">
      <w:pPr>
        <w:pStyle w:val="24"/>
        <w:widowControl w:val="0"/>
        <w:numPr>
          <w:ilvl w:val="0"/>
          <w:numId w:val="1"/>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31" w:name="_Toc32302"/>
      <w:bookmarkStart w:id="32" w:name="_Toc15396603"/>
      <w:bookmarkStart w:id="33" w:name="_Toc15377205"/>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入支出决算总体情况说明</w:t>
      </w:r>
      <w:bookmarkEnd w:id="31"/>
      <w:bookmarkEnd w:id="32"/>
      <w:bookmarkEnd w:id="33"/>
    </w:p>
    <w:p w14:paraId="6D787FA1">
      <w:pPr>
        <w:widowControl w:val="0"/>
        <w:wordWrap/>
        <w:snapToGrid/>
        <w:spacing w:line="240" w:lineRule="auto"/>
        <w:ind w:left="0" w:leftChars="0" w:right="0" w:firstLine="600" w:firstLineChars="200"/>
        <w:jc w:val="left"/>
        <w:textAlignment w:val="auto"/>
        <w:rPr>
          <w:rFonts w:hint="eastAsia"/>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年度收、支总计</w:t>
      </w:r>
      <w:r>
        <w:rPr>
          <w:rFonts w:hint="eastAsia" w:ascii="仿宋_GB2312" w:hAnsi="仿宋_GB2312" w:eastAsia="仿宋_GB2312" w:cs="仿宋_GB2312"/>
          <w:color w:val="000000"/>
          <w:sz w:val="30"/>
          <w:szCs w:val="30"/>
          <w:lang w:val="en-US" w:eastAsia="zh-CN"/>
        </w:rPr>
        <w:t>3336.73</w:t>
      </w:r>
      <w:r>
        <w:rPr>
          <w:rFonts w:hint="eastAsia" w:ascii="仿宋_GB2312" w:hAnsi="仿宋_GB2312" w:eastAsia="仿宋_GB2312" w:cs="仿宋_GB2312"/>
          <w:color w:val="000000"/>
          <w:sz w:val="30"/>
          <w:szCs w:val="30"/>
        </w:rPr>
        <w:t>万元。与</w:t>
      </w:r>
      <w:r>
        <w:rPr>
          <w:rFonts w:hint="eastAsia" w:ascii="仿宋_GB2312" w:hAnsi="仿宋_GB2312" w:eastAsia="仿宋_GB2312" w:cs="仿宋_GB2312"/>
          <w:color w:val="000000"/>
          <w:sz w:val="30"/>
          <w:szCs w:val="30"/>
          <w:lang w:eastAsia="zh-CN"/>
        </w:rPr>
        <w:t>2019</w:t>
      </w:r>
      <w:r>
        <w:rPr>
          <w:rFonts w:hint="eastAsia" w:ascii="仿宋_GB2312" w:hAnsi="仿宋_GB2312" w:eastAsia="仿宋_GB2312" w:cs="仿宋_GB2312"/>
          <w:color w:val="000000"/>
          <w:sz w:val="30"/>
          <w:szCs w:val="30"/>
        </w:rPr>
        <w:t>年相比，收、支总计各</w:t>
      </w:r>
      <w:r>
        <w:rPr>
          <w:rFonts w:hint="eastAsia" w:ascii="仿宋_GB2312" w:hAnsi="仿宋_GB2312" w:eastAsia="仿宋_GB2312" w:cs="仿宋_GB2312"/>
          <w:color w:val="000000"/>
          <w:sz w:val="30"/>
          <w:szCs w:val="30"/>
          <w:lang w:val="en-US" w:eastAsia="zh-CN"/>
        </w:rPr>
        <w:t>增加593.27</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color w:val="000000"/>
          <w:sz w:val="30"/>
          <w:szCs w:val="30"/>
          <w:lang w:val="en-US" w:eastAsia="zh-CN"/>
        </w:rPr>
        <w:t>增加21.62</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变动的主要原因是</w:t>
      </w:r>
      <w:r>
        <w:rPr>
          <w:rFonts w:hint="eastAsia" w:ascii="仿宋_GB2312" w:hAnsi="仿宋_GB2312" w:eastAsia="仿宋_GB2312" w:cs="仿宋_GB2312"/>
          <w:color w:val="000000"/>
          <w:sz w:val="30"/>
          <w:szCs w:val="30"/>
          <w:lang w:val="en-US" w:eastAsia="zh-CN"/>
        </w:rPr>
        <w:t>项目支出增加</w:t>
      </w:r>
      <w:r>
        <w:rPr>
          <w:rFonts w:hint="eastAsia" w:ascii="仿宋_GB2312" w:hAnsi="仿宋_GB2312" w:eastAsia="仿宋_GB2312" w:cs="仿宋_GB2312"/>
          <w:color w:val="000000"/>
          <w:sz w:val="30"/>
          <w:szCs w:val="30"/>
          <w:lang w:eastAsia="zh-CN"/>
        </w:rPr>
        <w:t>。</w:t>
      </w:r>
    </w:p>
    <w:p w14:paraId="6DAEF455">
      <w:pPr>
        <w:pStyle w:val="24"/>
        <w:widowControl w:val="0"/>
        <w:numPr>
          <w:ilvl w:val="0"/>
          <w:numId w:val="1"/>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34" w:name="_Toc27754"/>
      <w:bookmarkStart w:id="35" w:name="_Toc15377206"/>
      <w:bookmarkStart w:id="36" w:name="_Toc15396604"/>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入决算情况说明</w:t>
      </w:r>
      <w:bookmarkEnd w:id="34"/>
      <w:bookmarkEnd w:id="35"/>
      <w:bookmarkEnd w:id="36"/>
    </w:p>
    <w:p w14:paraId="1D37ED4C">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年本年收入合计</w:t>
      </w:r>
      <w:r>
        <w:rPr>
          <w:rFonts w:hint="eastAsia" w:ascii="仿宋_GB2312" w:hAnsi="仿宋_GB2312" w:eastAsia="仿宋_GB2312" w:cs="仿宋_GB2312"/>
          <w:color w:val="000000"/>
          <w:sz w:val="30"/>
          <w:szCs w:val="30"/>
          <w:lang w:val="en-US" w:eastAsia="zh-CN"/>
        </w:rPr>
        <w:t>3336.73</w:t>
      </w:r>
      <w:r>
        <w:rPr>
          <w:rFonts w:hint="eastAsia" w:ascii="仿宋_GB2312" w:hAnsi="仿宋_GB2312" w:eastAsia="仿宋_GB2312" w:cs="仿宋_GB2312"/>
          <w:color w:val="000000"/>
          <w:sz w:val="30"/>
          <w:szCs w:val="30"/>
        </w:rPr>
        <w:t>万元，其中：一般公共预算财政拨款收入</w:t>
      </w:r>
      <w:r>
        <w:rPr>
          <w:rFonts w:hint="eastAsia" w:ascii="仿宋_GB2312" w:hAnsi="仿宋_GB2312" w:eastAsia="仿宋_GB2312" w:cs="仿宋_GB2312"/>
          <w:color w:val="000000"/>
          <w:sz w:val="30"/>
          <w:szCs w:val="30"/>
          <w:lang w:val="en-US" w:eastAsia="zh-CN"/>
        </w:rPr>
        <w:t>3336.73</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100</w:t>
      </w:r>
      <w:r>
        <w:rPr>
          <w:rFonts w:hint="eastAsia" w:ascii="仿宋_GB2312" w:hAnsi="仿宋_GB2312" w:eastAsia="仿宋_GB2312" w:cs="仿宋_GB2312"/>
          <w:color w:val="000000"/>
          <w:sz w:val="30"/>
          <w:szCs w:val="30"/>
        </w:rPr>
        <w:t>%；政府性基金预算财政拨款收入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w:t>
      </w:r>
    </w:p>
    <w:p w14:paraId="1E2A9AFE">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37" w:name="_Toc15377207"/>
      <w:bookmarkStart w:id="38" w:name="_Toc5113"/>
      <w:bookmarkStart w:id="39" w:name="_Toc15396605"/>
      <w:r>
        <w:rPr>
          <w:rFonts w:hint="eastAsia" w:ascii="黑体" w:hAnsi="黑体" w:eastAsia="黑体" w:cs="黑体"/>
          <w:b w:val="0"/>
          <w:bCs w:val="0"/>
          <w:color w:val="000000"/>
          <w:sz w:val="30"/>
          <w:szCs w:val="30"/>
        </w:rPr>
        <w:t>支出决算情况说明</w:t>
      </w:r>
      <w:bookmarkEnd w:id="37"/>
      <w:bookmarkEnd w:id="38"/>
      <w:bookmarkEnd w:id="39"/>
      <w:bookmarkStart w:id="40" w:name="_Toc15377208"/>
      <w:bookmarkStart w:id="41" w:name="_Toc15396606"/>
    </w:p>
    <w:p w14:paraId="79CC8AE0">
      <w:pPr>
        <w:widowControl w:val="0"/>
        <w:wordWrap/>
        <w:snapToGrid/>
        <w:spacing w:line="240" w:lineRule="auto"/>
        <w:ind w:left="0" w:leftChars="0" w:right="0" w:firstLine="600" w:firstLineChars="200"/>
        <w:jc w:val="left"/>
        <w:textAlignment w:val="auto"/>
        <w:outlineLvl w:val="9"/>
        <w:rPr>
          <w:rFonts w:hint="eastAsia"/>
        </w:rPr>
      </w:pPr>
      <w:r>
        <w:rPr>
          <w:rFonts w:hint="eastAsia" w:ascii="仿宋_GB2312" w:hAnsi="仿宋_GB2312" w:eastAsia="仿宋_GB2312" w:cs="仿宋_GB2312"/>
          <w:color w:val="auto"/>
          <w:sz w:val="30"/>
          <w:szCs w:val="30"/>
          <w:lang w:eastAsia="zh-CN"/>
        </w:rPr>
        <w:t>2020</w:t>
      </w:r>
      <w:r>
        <w:rPr>
          <w:rFonts w:hint="eastAsia" w:ascii="仿宋_GB2312" w:hAnsi="仿宋_GB2312" w:eastAsia="仿宋_GB2312" w:cs="仿宋_GB2312"/>
          <w:color w:val="auto"/>
          <w:sz w:val="30"/>
          <w:szCs w:val="30"/>
        </w:rPr>
        <w:t>年本年支出合计</w:t>
      </w:r>
      <w:r>
        <w:rPr>
          <w:rFonts w:hint="eastAsia" w:ascii="仿宋_GB2312" w:hAnsi="仿宋_GB2312" w:eastAsia="仿宋_GB2312" w:cs="仿宋_GB2312"/>
          <w:color w:val="auto"/>
          <w:sz w:val="30"/>
          <w:szCs w:val="30"/>
          <w:lang w:val="en-US" w:eastAsia="zh-CN"/>
        </w:rPr>
        <w:t>2136.73</w:t>
      </w:r>
      <w:r>
        <w:rPr>
          <w:rFonts w:hint="eastAsia" w:ascii="仿宋_GB2312" w:hAnsi="仿宋_GB2312" w:eastAsia="仿宋_GB2312" w:cs="仿宋_GB2312"/>
          <w:color w:val="auto"/>
          <w:sz w:val="30"/>
          <w:szCs w:val="30"/>
        </w:rPr>
        <w:t>万元，其中：基本支出</w:t>
      </w:r>
      <w:r>
        <w:rPr>
          <w:rFonts w:hint="eastAsia" w:ascii="仿宋_GB2312" w:hAnsi="仿宋_GB2312" w:eastAsia="仿宋_GB2312" w:cs="仿宋_GB2312"/>
          <w:color w:val="auto"/>
          <w:sz w:val="30"/>
          <w:szCs w:val="30"/>
          <w:lang w:val="en-US" w:eastAsia="zh-CN"/>
        </w:rPr>
        <w:t>825.2</w:t>
      </w:r>
      <w:r>
        <w:rPr>
          <w:rFonts w:hint="eastAsia" w:ascii="仿宋_GB2312" w:hAnsi="仿宋_GB2312" w:eastAsia="仿宋_GB2312" w:cs="仿宋_GB2312"/>
          <w:color w:val="auto"/>
          <w:sz w:val="30"/>
          <w:szCs w:val="30"/>
        </w:rPr>
        <w:t>万元，占</w:t>
      </w:r>
      <w:r>
        <w:rPr>
          <w:rFonts w:hint="eastAsia" w:ascii="仿宋_GB2312" w:hAnsi="仿宋_GB2312" w:eastAsia="仿宋_GB2312" w:cs="仿宋_GB2312"/>
          <w:color w:val="auto"/>
          <w:sz w:val="30"/>
          <w:szCs w:val="30"/>
          <w:lang w:val="en-US" w:eastAsia="zh-CN"/>
        </w:rPr>
        <w:t>38.62</w:t>
      </w:r>
      <w:r>
        <w:rPr>
          <w:rFonts w:hint="eastAsia" w:ascii="仿宋_GB2312" w:hAnsi="仿宋_GB2312" w:eastAsia="仿宋_GB2312" w:cs="仿宋_GB2312"/>
          <w:color w:val="auto"/>
          <w:sz w:val="30"/>
          <w:szCs w:val="30"/>
        </w:rPr>
        <w:t>%；项目支出</w:t>
      </w:r>
      <w:r>
        <w:rPr>
          <w:rFonts w:hint="eastAsia" w:ascii="仿宋_GB2312" w:hAnsi="仿宋_GB2312" w:eastAsia="仿宋_GB2312" w:cs="仿宋_GB2312"/>
          <w:color w:val="auto"/>
          <w:sz w:val="30"/>
          <w:szCs w:val="30"/>
          <w:lang w:val="en-US" w:eastAsia="zh-CN"/>
        </w:rPr>
        <w:t>1311.54</w:t>
      </w:r>
      <w:r>
        <w:rPr>
          <w:rFonts w:hint="eastAsia" w:ascii="仿宋_GB2312" w:hAnsi="仿宋_GB2312" w:eastAsia="仿宋_GB2312" w:cs="仿宋_GB2312"/>
          <w:color w:val="auto"/>
          <w:sz w:val="30"/>
          <w:szCs w:val="30"/>
        </w:rPr>
        <w:t>万元，占</w:t>
      </w:r>
      <w:r>
        <w:rPr>
          <w:rFonts w:hint="eastAsia" w:ascii="仿宋_GB2312" w:hAnsi="仿宋_GB2312" w:eastAsia="仿宋_GB2312" w:cs="仿宋_GB2312"/>
          <w:color w:val="auto"/>
          <w:sz w:val="30"/>
          <w:szCs w:val="30"/>
          <w:lang w:val="en-US" w:eastAsia="zh-CN"/>
        </w:rPr>
        <w:t>61.38</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b w:val="0"/>
          <w:bCs w:val="0"/>
          <w:color w:val="auto"/>
          <w:sz w:val="30"/>
          <w:szCs w:val="30"/>
        </w:rPr>
        <w:t>。</w:t>
      </w:r>
    </w:p>
    <w:p w14:paraId="7B3D7D6C">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42" w:name="_Toc13428"/>
      <w:r>
        <w:rPr>
          <w:rFonts w:hint="eastAsia" w:ascii="黑体" w:hAnsi="黑体" w:eastAsia="黑体" w:cs="黑体"/>
          <w:b w:val="0"/>
          <w:bCs w:val="0"/>
          <w:color w:val="000000"/>
          <w:sz w:val="30"/>
          <w:szCs w:val="30"/>
        </w:rPr>
        <w:t>财政拨款收入支出决算总体情况说明</w:t>
      </w:r>
      <w:bookmarkEnd w:id="40"/>
      <w:bookmarkEnd w:id="41"/>
      <w:bookmarkEnd w:id="42"/>
      <w:bookmarkStart w:id="43" w:name="_Toc15377209"/>
      <w:bookmarkStart w:id="44" w:name="_Toc15396607"/>
    </w:p>
    <w:p w14:paraId="29713F79">
      <w:pPr>
        <w:widowControl w:val="0"/>
        <w:wordWrap/>
        <w:snapToGrid/>
        <w:spacing w:line="240" w:lineRule="auto"/>
        <w:ind w:left="0" w:leftChars="0" w:right="0" w:firstLine="600" w:firstLineChars="200"/>
        <w:jc w:val="left"/>
        <w:textAlignment w:val="auto"/>
        <w:rPr>
          <w:rFonts w:hint="eastAsia"/>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年财政拨款收、支总计</w:t>
      </w:r>
      <w:r>
        <w:rPr>
          <w:rFonts w:hint="eastAsia" w:ascii="仿宋_GB2312" w:hAnsi="仿宋_GB2312" w:eastAsia="仿宋_GB2312" w:cs="仿宋_GB2312"/>
          <w:color w:val="000000"/>
          <w:sz w:val="30"/>
          <w:szCs w:val="30"/>
          <w:lang w:val="en-US" w:eastAsia="zh-CN"/>
        </w:rPr>
        <w:t>3336.73</w:t>
      </w:r>
      <w:r>
        <w:rPr>
          <w:rFonts w:hint="eastAsia" w:ascii="仿宋_GB2312" w:hAnsi="仿宋_GB2312" w:eastAsia="仿宋_GB2312" w:cs="仿宋_GB2312"/>
          <w:color w:val="000000"/>
          <w:sz w:val="30"/>
          <w:szCs w:val="30"/>
        </w:rPr>
        <w:t>万元。与</w:t>
      </w:r>
      <w:r>
        <w:rPr>
          <w:rFonts w:hint="eastAsia" w:ascii="仿宋_GB2312" w:hAnsi="仿宋_GB2312" w:eastAsia="仿宋_GB2312" w:cs="仿宋_GB2312"/>
          <w:color w:val="000000"/>
          <w:sz w:val="30"/>
          <w:szCs w:val="30"/>
          <w:lang w:eastAsia="zh-CN"/>
        </w:rPr>
        <w:t>2019</w:t>
      </w:r>
      <w:r>
        <w:rPr>
          <w:rFonts w:hint="eastAsia" w:ascii="仿宋_GB2312" w:hAnsi="仿宋_GB2312" w:eastAsia="仿宋_GB2312" w:cs="仿宋_GB2312"/>
          <w:color w:val="000000"/>
          <w:sz w:val="30"/>
          <w:szCs w:val="30"/>
        </w:rPr>
        <w:t>年相比，财政拨款收、支总计</w:t>
      </w:r>
      <w:r>
        <w:rPr>
          <w:rFonts w:hint="eastAsia" w:ascii="仿宋_GB2312" w:hAnsi="仿宋_GB2312" w:eastAsia="仿宋_GB2312" w:cs="仿宋_GB2312"/>
          <w:color w:val="000000"/>
          <w:sz w:val="30"/>
          <w:szCs w:val="30"/>
          <w:lang w:val="en-US" w:eastAsia="zh-CN"/>
        </w:rPr>
        <w:t>增加593.27</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增加17.78</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变动的主要原因是</w:t>
      </w:r>
      <w:r>
        <w:rPr>
          <w:rFonts w:hint="eastAsia" w:ascii="仿宋_GB2312" w:hAnsi="仿宋_GB2312" w:eastAsia="仿宋_GB2312" w:cs="仿宋_GB2312"/>
          <w:color w:val="000000"/>
          <w:sz w:val="30"/>
          <w:szCs w:val="30"/>
          <w:lang w:val="en-US" w:eastAsia="zh-CN"/>
        </w:rPr>
        <w:t>项目支出增加。</w:t>
      </w:r>
    </w:p>
    <w:p w14:paraId="074812E8">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45" w:name="_Toc957"/>
      <w:r>
        <w:rPr>
          <w:rFonts w:hint="eastAsia" w:ascii="黑体" w:hAnsi="黑体" w:eastAsia="黑体" w:cs="黑体"/>
          <w:b w:val="0"/>
          <w:bCs w:val="0"/>
          <w:color w:val="000000"/>
          <w:sz w:val="30"/>
          <w:szCs w:val="30"/>
        </w:rPr>
        <w:t>一般公共预算财政拨款支出决算情况说明</w:t>
      </w:r>
      <w:bookmarkEnd w:id="43"/>
      <w:bookmarkEnd w:id="44"/>
      <w:bookmarkEnd w:id="45"/>
      <w:bookmarkStart w:id="46" w:name="_Toc15377214"/>
      <w:bookmarkStart w:id="47" w:name="_Toc15396608"/>
    </w:p>
    <w:p w14:paraId="59D8EABD">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48" w:name="_Toc24870"/>
      <w:bookmarkStart w:id="49" w:name="_Toc15377210"/>
      <w:r>
        <w:rPr>
          <w:rFonts w:hint="eastAsia" w:ascii="仿宋_GB2312" w:hAnsi="仿宋_GB2312" w:eastAsia="仿宋_GB2312" w:cs="仿宋_GB2312"/>
          <w:b/>
          <w:color w:val="000000"/>
          <w:sz w:val="30"/>
          <w:szCs w:val="30"/>
        </w:rPr>
        <w:t>（一）一般公共预算财政拨款支出决算总体情况</w:t>
      </w:r>
      <w:bookmarkEnd w:id="48"/>
      <w:bookmarkEnd w:id="49"/>
    </w:p>
    <w:p w14:paraId="21566ADC">
      <w:pPr>
        <w:widowControl w:val="0"/>
        <w:wordWrap/>
        <w:snapToGrid/>
        <w:spacing w:line="240" w:lineRule="auto"/>
        <w:ind w:right="0" w:firstLine="600" w:firstLineChars="200"/>
        <w:jc w:val="left"/>
        <w:textAlignment w:val="auto"/>
        <w:rPr>
          <w:rFonts w:hint="eastAsia"/>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年一般公共预算财政拨款支出</w:t>
      </w:r>
      <w:r>
        <w:rPr>
          <w:rFonts w:hint="eastAsia" w:ascii="仿宋_GB2312" w:hAnsi="仿宋_GB2312" w:eastAsia="仿宋_GB2312" w:cs="仿宋_GB2312"/>
          <w:color w:val="000000"/>
          <w:sz w:val="30"/>
          <w:szCs w:val="30"/>
          <w:lang w:val="en-US" w:eastAsia="zh-CN"/>
        </w:rPr>
        <w:t>2136.73</w:t>
      </w:r>
      <w:r>
        <w:rPr>
          <w:rFonts w:hint="eastAsia" w:ascii="仿宋_GB2312" w:hAnsi="仿宋_GB2312" w:eastAsia="仿宋_GB2312" w:cs="仿宋_GB2312"/>
          <w:color w:val="000000"/>
          <w:sz w:val="30"/>
          <w:szCs w:val="30"/>
        </w:rPr>
        <w:t>万元，占本年支出合计的</w:t>
      </w:r>
      <w:r>
        <w:rPr>
          <w:rFonts w:hint="eastAsia" w:ascii="仿宋_GB2312" w:hAnsi="仿宋_GB2312" w:eastAsia="仿宋_GB2312" w:cs="仿宋_GB2312"/>
          <w:color w:val="000000"/>
          <w:sz w:val="30"/>
          <w:szCs w:val="30"/>
          <w:lang w:val="en-US" w:eastAsia="zh-CN"/>
        </w:rPr>
        <w:t>100</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auto"/>
          <w:sz w:val="30"/>
          <w:szCs w:val="30"/>
        </w:rPr>
        <w:t>。与</w:t>
      </w:r>
      <w:r>
        <w:rPr>
          <w:rFonts w:hint="eastAsia" w:ascii="仿宋_GB2312" w:hAnsi="仿宋_GB2312" w:eastAsia="仿宋_GB2312" w:cs="仿宋_GB2312"/>
          <w:color w:val="auto"/>
          <w:sz w:val="30"/>
          <w:szCs w:val="30"/>
          <w:lang w:eastAsia="zh-CN"/>
        </w:rPr>
        <w:t>2019</w:t>
      </w:r>
      <w:r>
        <w:rPr>
          <w:rFonts w:hint="eastAsia" w:ascii="仿宋_GB2312" w:hAnsi="仿宋_GB2312" w:eastAsia="仿宋_GB2312" w:cs="仿宋_GB2312"/>
          <w:color w:val="auto"/>
          <w:sz w:val="30"/>
          <w:szCs w:val="30"/>
        </w:rPr>
        <w:t>年相比，一般公共预算财政拨款</w:t>
      </w:r>
      <w:r>
        <w:rPr>
          <w:rFonts w:hint="eastAsia" w:ascii="仿宋_GB2312" w:hAnsi="仿宋_GB2312" w:eastAsia="仿宋_GB2312" w:cs="仿宋_GB2312"/>
          <w:color w:val="auto"/>
          <w:sz w:val="30"/>
          <w:szCs w:val="30"/>
          <w:lang w:val="en-US" w:eastAsia="zh-CN"/>
        </w:rPr>
        <w:t>减少606.73</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val="en-US" w:eastAsia="zh-CN"/>
        </w:rPr>
        <w:t>下降22.12</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变动</w:t>
      </w:r>
      <w:r>
        <w:rPr>
          <w:rFonts w:hint="eastAsia" w:ascii="仿宋_GB2312" w:hAnsi="仿宋_GB2312" w:eastAsia="仿宋_GB2312" w:cs="仿宋_GB2312"/>
          <w:color w:val="000000"/>
          <w:sz w:val="30"/>
          <w:szCs w:val="30"/>
          <w:lang w:eastAsia="zh-CN"/>
        </w:rPr>
        <w:t>主要原因是部分</w:t>
      </w:r>
      <w:r>
        <w:rPr>
          <w:rFonts w:hint="eastAsia" w:ascii="仿宋_GB2312" w:hAnsi="仿宋_GB2312" w:eastAsia="仿宋_GB2312" w:cs="仿宋_GB2312"/>
          <w:color w:val="000000"/>
          <w:sz w:val="30"/>
          <w:szCs w:val="30"/>
          <w:lang w:val="en-US" w:eastAsia="zh-CN"/>
        </w:rPr>
        <w:t>项目未完工支出减少。</w:t>
      </w:r>
    </w:p>
    <w:p w14:paraId="44F0A93E">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50" w:name="_Toc3786"/>
      <w:bookmarkStart w:id="51" w:name="_Toc15377211"/>
      <w:r>
        <w:rPr>
          <w:rFonts w:hint="eastAsia" w:ascii="仿宋_GB2312" w:hAnsi="仿宋_GB2312" w:eastAsia="仿宋_GB2312" w:cs="仿宋_GB2312"/>
          <w:b/>
          <w:color w:val="000000"/>
          <w:sz w:val="30"/>
          <w:szCs w:val="30"/>
        </w:rPr>
        <w:t>（二）一般公共预算财政拨款支出决算结构情况</w:t>
      </w:r>
      <w:bookmarkEnd w:id="50"/>
      <w:bookmarkEnd w:id="51"/>
    </w:p>
    <w:p w14:paraId="54B85EB7">
      <w:pPr>
        <w:widowControl w:val="0"/>
        <w:wordWrap/>
        <w:snapToGrid/>
        <w:spacing w:line="240" w:lineRule="auto"/>
        <w:ind w:left="0" w:leftChars="0" w:right="0" w:firstLine="600" w:firstLineChars="200"/>
        <w:jc w:val="left"/>
        <w:textAlignment w:val="auto"/>
        <w:rPr>
          <w:rFonts w:hint="eastAsia"/>
        </w:rPr>
      </w:pPr>
      <w:r>
        <w:rPr>
          <w:rFonts w:hint="eastAsia" w:ascii="仿宋_GB2312" w:hAnsi="仿宋_GB2312" w:eastAsia="仿宋_GB2312" w:cs="仿宋_GB2312"/>
          <w:b w:val="0"/>
          <w:bCs w:val="0"/>
          <w:color w:val="000000"/>
          <w:sz w:val="30"/>
          <w:szCs w:val="30"/>
          <w:lang w:eastAsia="zh-CN"/>
        </w:rPr>
        <w:t>2020</w:t>
      </w:r>
      <w:r>
        <w:rPr>
          <w:rFonts w:hint="eastAsia" w:ascii="仿宋_GB2312" w:hAnsi="仿宋_GB2312" w:eastAsia="仿宋_GB2312" w:cs="仿宋_GB2312"/>
          <w:b w:val="0"/>
          <w:bCs w:val="0"/>
          <w:color w:val="000000"/>
          <w:sz w:val="30"/>
          <w:szCs w:val="30"/>
        </w:rPr>
        <w:t>年一般公共预算财政拨款支出</w:t>
      </w:r>
      <w:r>
        <w:rPr>
          <w:rFonts w:hint="eastAsia" w:ascii="仿宋_GB2312" w:hAnsi="仿宋_GB2312" w:eastAsia="仿宋_GB2312" w:cs="仿宋_GB2312"/>
          <w:color w:val="000000"/>
          <w:sz w:val="30"/>
          <w:szCs w:val="30"/>
          <w:lang w:val="en-US" w:eastAsia="zh-CN"/>
        </w:rPr>
        <w:t>2136.73</w:t>
      </w:r>
      <w:r>
        <w:rPr>
          <w:rFonts w:hint="eastAsia" w:ascii="仿宋_GB2312" w:hAnsi="仿宋_GB2312" w:eastAsia="仿宋_GB2312" w:cs="仿宋_GB2312"/>
          <w:b w:val="0"/>
          <w:bCs w:val="0"/>
          <w:color w:val="000000"/>
          <w:sz w:val="30"/>
          <w:szCs w:val="30"/>
        </w:rPr>
        <w:t>万元，主要用于以下方面:</w:t>
      </w:r>
      <w:r>
        <w:rPr>
          <w:rFonts w:hint="eastAsia" w:ascii="仿宋" w:hAnsi="仿宋" w:eastAsia="仿宋"/>
          <w:b/>
          <w:color w:val="auto"/>
          <w:sz w:val="32"/>
          <w:szCs w:val="32"/>
          <w:highlight w:val="none"/>
        </w:rPr>
        <w:t>教育支出（类）</w:t>
      </w:r>
      <w:r>
        <w:rPr>
          <w:rFonts w:hint="eastAsia" w:ascii="仿宋_GB2312" w:hAnsi="仿宋_GB2312" w:eastAsia="仿宋_GB2312" w:cs="仿宋_GB2312"/>
          <w:color w:val="000000"/>
          <w:sz w:val="30"/>
          <w:szCs w:val="30"/>
          <w:lang w:val="en-US" w:eastAsia="zh-CN"/>
        </w:rPr>
        <w:t>2136.73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_GB2312" w:hAnsi="仿宋_GB2312" w:eastAsia="仿宋_GB2312" w:cs="仿宋_GB2312"/>
          <w:b w:val="0"/>
          <w:bCs w:val="0"/>
          <w:color w:val="000000"/>
          <w:sz w:val="30"/>
          <w:szCs w:val="30"/>
        </w:rPr>
        <w:t>。</w:t>
      </w:r>
    </w:p>
    <w:p w14:paraId="60A835C3">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auto"/>
          <w:sz w:val="30"/>
          <w:szCs w:val="30"/>
        </w:rPr>
      </w:pPr>
      <w:bookmarkStart w:id="52" w:name="_Toc32054"/>
      <w:bookmarkStart w:id="53" w:name="_Toc15377212"/>
      <w:r>
        <w:rPr>
          <w:rFonts w:hint="eastAsia" w:ascii="仿宋_GB2312" w:hAnsi="仿宋_GB2312" w:eastAsia="仿宋_GB2312" w:cs="仿宋_GB2312"/>
          <w:b/>
          <w:color w:val="auto"/>
          <w:sz w:val="30"/>
          <w:szCs w:val="30"/>
          <w:lang w:eastAsia="zh-CN"/>
        </w:rPr>
        <w:t>（</w:t>
      </w:r>
      <w:r>
        <w:rPr>
          <w:rFonts w:hint="eastAsia" w:ascii="仿宋_GB2312" w:hAnsi="仿宋_GB2312" w:eastAsia="仿宋_GB2312" w:cs="仿宋_GB2312"/>
          <w:b/>
          <w:color w:val="auto"/>
          <w:sz w:val="30"/>
          <w:szCs w:val="30"/>
          <w:lang w:val="en-US" w:eastAsia="zh-CN"/>
        </w:rPr>
        <w:t>三</w:t>
      </w:r>
      <w:r>
        <w:rPr>
          <w:rFonts w:hint="eastAsia" w:ascii="仿宋_GB2312" w:hAnsi="仿宋_GB2312" w:eastAsia="仿宋_GB2312" w:cs="仿宋_GB2312"/>
          <w:b/>
          <w:color w:val="auto"/>
          <w:sz w:val="30"/>
          <w:szCs w:val="30"/>
          <w:lang w:eastAsia="zh-CN"/>
        </w:rPr>
        <w:t>）</w:t>
      </w:r>
      <w:r>
        <w:rPr>
          <w:rFonts w:hint="eastAsia" w:ascii="仿宋_GB2312" w:hAnsi="仿宋_GB2312" w:eastAsia="仿宋_GB2312" w:cs="仿宋_GB2312"/>
          <w:b/>
          <w:color w:val="auto"/>
          <w:sz w:val="30"/>
          <w:szCs w:val="30"/>
        </w:rPr>
        <w:t>一般公共预算财政拨款支出决算具体情况</w:t>
      </w:r>
      <w:bookmarkEnd w:id="52"/>
      <w:bookmarkEnd w:id="53"/>
    </w:p>
    <w:p w14:paraId="5981FF79">
      <w:pPr>
        <w:widowControl w:val="0"/>
        <w:wordWrap/>
        <w:snapToGrid/>
        <w:spacing w:line="240" w:lineRule="auto"/>
        <w:ind w:left="0" w:leftChars="0" w:right="0" w:firstLine="600" w:firstLineChars="200"/>
        <w:jc w:val="left"/>
        <w:textAlignment w:val="auto"/>
        <w:outlineLvl w:val="9"/>
        <w:rPr>
          <w:rStyle w:val="20"/>
          <w:rFonts w:hint="eastAsia" w:ascii="仿宋_GB2312" w:hAnsi="仿宋_GB2312" w:eastAsia="仿宋_GB2312" w:cs="仿宋_GB2312"/>
          <w:b w:val="0"/>
          <w:bCs/>
          <w:color w:val="auto"/>
          <w:sz w:val="30"/>
          <w:szCs w:val="30"/>
        </w:rPr>
      </w:pPr>
      <w:bookmarkStart w:id="54" w:name="_Toc15377213"/>
      <w:bookmarkStart w:id="55" w:name="_Toc15377444"/>
      <w:bookmarkStart w:id="56" w:name="_Toc15378460"/>
      <w:r>
        <w:rPr>
          <w:rFonts w:hint="eastAsia" w:ascii="仿宋_GB2312" w:hAnsi="仿宋_GB2312" w:eastAsia="仿宋_GB2312" w:cs="仿宋_GB2312"/>
          <w:b w:val="0"/>
          <w:bCs/>
          <w:color w:val="auto"/>
          <w:sz w:val="30"/>
          <w:szCs w:val="30"/>
          <w:lang w:eastAsia="zh-CN"/>
        </w:rPr>
        <w:t>2020</w:t>
      </w:r>
      <w:r>
        <w:rPr>
          <w:rFonts w:hint="eastAsia" w:ascii="仿宋_GB2312" w:hAnsi="仿宋_GB2312" w:eastAsia="仿宋_GB2312" w:cs="仿宋_GB2312"/>
          <w:b w:val="0"/>
          <w:bCs/>
          <w:color w:val="auto"/>
          <w:sz w:val="30"/>
          <w:szCs w:val="30"/>
        </w:rPr>
        <w:t>年</w:t>
      </w:r>
      <w:r>
        <w:rPr>
          <w:rFonts w:hint="eastAsia" w:ascii="仿宋_GB2312" w:hAnsi="仿宋_GB2312" w:eastAsia="仿宋_GB2312" w:cs="仿宋_GB2312"/>
          <w:b w:val="0"/>
          <w:bCs/>
          <w:color w:val="auto"/>
          <w:sz w:val="30"/>
          <w:szCs w:val="30"/>
          <w:lang w:eastAsia="zh-CN"/>
        </w:rPr>
        <w:t>一</w:t>
      </w:r>
      <w:r>
        <w:rPr>
          <w:rFonts w:hint="eastAsia" w:ascii="仿宋_GB2312" w:hAnsi="仿宋_GB2312" w:eastAsia="仿宋_GB2312" w:cs="仿宋_GB2312"/>
          <w:b w:val="0"/>
          <w:bCs/>
          <w:color w:val="auto"/>
          <w:sz w:val="30"/>
          <w:szCs w:val="30"/>
        </w:rPr>
        <w:t>般公共预算支出决算数为</w:t>
      </w:r>
      <w:r>
        <w:rPr>
          <w:rFonts w:hint="eastAsia" w:ascii="仿宋_GB2312" w:hAnsi="仿宋_GB2312" w:eastAsia="仿宋_GB2312" w:cs="仿宋_GB2312"/>
          <w:color w:val="000000"/>
          <w:sz w:val="30"/>
          <w:szCs w:val="30"/>
          <w:lang w:val="en-US" w:eastAsia="zh-CN"/>
        </w:rPr>
        <w:t>2136.73</w:t>
      </w:r>
      <w:r>
        <w:rPr>
          <w:rFonts w:hint="eastAsia" w:ascii="仿宋_GB2312" w:hAnsi="仿宋_GB2312" w:eastAsia="仿宋_GB2312" w:cs="仿宋_GB2312"/>
          <w:b w:val="0"/>
          <w:bCs/>
          <w:color w:val="auto"/>
          <w:sz w:val="30"/>
          <w:szCs w:val="30"/>
          <w:lang w:val="en-US" w:eastAsia="zh-CN"/>
        </w:rPr>
        <w:t>元</w:t>
      </w:r>
      <w:r>
        <w:rPr>
          <w:rFonts w:hint="eastAsia" w:ascii="仿宋_GB2312" w:hAnsi="仿宋_GB2312" w:eastAsia="仿宋_GB2312" w:cs="仿宋_GB2312"/>
          <w:b w:val="0"/>
          <w:bCs/>
          <w:color w:val="auto"/>
          <w:sz w:val="30"/>
          <w:szCs w:val="30"/>
        </w:rPr>
        <w:t>，</w:t>
      </w:r>
      <w:r>
        <w:rPr>
          <w:rStyle w:val="20"/>
          <w:rFonts w:hint="eastAsia" w:ascii="仿宋_GB2312" w:hAnsi="仿宋_GB2312" w:eastAsia="仿宋_GB2312" w:cs="仿宋_GB2312"/>
          <w:b w:val="0"/>
          <w:bCs/>
          <w:color w:val="auto"/>
          <w:sz w:val="30"/>
          <w:szCs w:val="30"/>
        </w:rPr>
        <w:t>完成预算</w:t>
      </w:r>
      <w:r>
        <w:rPr>
          <w:rStyle w:val="20"/>
          <w:rFonts w:hint="eastAsia" w:ascii="仿宋_GB2312" w:hAnsi="仿宋_GB2312" w:eastAsia="仿宋_GB2312" w:cs="仿宋_GB2312"/>
          <w:b w:val="0"/>
          <w:bCs/>
          <w:color w:val="auto"/>
          <w:sz w:val="30"/>
          <w:szCs w:val="30"/>
          <w:lang w:val="en-US" w:eastAsia="zh-CN"/>
        </w:rPr>
        <w:t>64.04</w:t>
      </w:r>
      <w:r>
        <w:rPr>
          <w:rStyle w:val="20"/>
          <w:rFonts w:hint="eastAsia" w:ascii="仿宋_GB2312" w:hAnsi="仿宋_GB2312" w:eastAsia="仿宋_GB2312" w:cs="仿宋_GB2312"/>
          <w:b w:val="0"/>
          <w:bCs/>
          <w:color w:val="auto"/>
          <w:sz w:val="30"/>
          <w:szCs w:val="30"/>
        </w:rPr>
        <w:t>%。其中：</w:t>
      </w:r>
      <w:bookmarkEnd w:id="54"/>
      <w:bookmarkEnd w:id="55"/>
      <w:bookmarkEnd w:id="56"/>
    </w:p>
    <w:p w14:paraId="75C5D30A">
      <w:pPr>
        <w:spacing w:line="600" w:lineRule="exact"/>
        <w:ind w:firstLine="643" w:firstLineChars="200"/>
        <w:rPr>
          <w:rStyle w:val="20"/>
          <w:rFonts w:hint="eastAsia" w:ascii="仿宋" w:hAnsi="仿宋" w:eastAsia="仿宋"/>
          <w:bCs/>
          <w:color w:val="auto"/>
          <w:sz w:val="32"/>
          <w:szCs w:val="32"/>
          <w:highlight w:val="none"/>
          <w:lang w:val="en-US" w:eastAsia="zh-CN"/>
        </w:rPr>
      </w:pPr>
      <w:r>
        <w:rPr>
          <w:rStyle w:val="20"/>
          <w:rFonts w:hint="eastAsia" w:ascii="仿宋" w:hAnsi="仿宋" w:eastAsia="仿宋"/>
          <w:bCs/>
          <w:color w:val="auto"/>
          <w:sz w:val="32"/>
          <w:szCs w:val="32"/>
          <w:highlight w:val="none"/>
          <w:lang w:val="en-US" w:eastAsia="zh-CN"/>
        </w:rPr>
        <w:t>1.</w:t>
      </w:r>
      <w:r>
        <w:rPr>
          <w:rStyle w:val="20"/>
          <w:rFonts w:hint="eastAsia" w:ascii="仿宋" w:hAnsi="仿宋" w:eastAsia="仿宋"/>
          <w:bCs/>
          <w:color w:val="auto"/>
          <w:sz w:val="32"/>
          <w:szCs w:val="32"/>
          <w:highlight w:val="none"/>
        </w:rPr>
        <w:t>教育</w:t>
      </w:r>
      <w:r>
        <w:rPr>
          <w:rStyle w:val="20"/>
          <w:rFonts w:hint="eastAsia" w:ascii="仿宋" w:hAnsi="仿宋" w:eastAsia="仿宋"/>
          <w:bCs/>
          <w:color w:val="auto"/>
          <w:sz w:val="32"/>
          <w:szCs w:val="32"/>
          <w:highlight w:val="none"/>
          <w:lang w:val="en-US" w:eastAsia="zh-CN"/>
        </w:rPr>
        <w:t>205</w:t>
      </w:r>
      <w:r>
        <w:rPr>
          <w:rStyle w:val="20"/>
          <w:rFonts w:hint="eastAsia" w:ascii="仿宋" w:hAnsi="仿宋" w:eastAsia="仿宋"/>
          <w:bCs/>
          <w:color w:val="auto"/>
          <w:sz w:val="32"/>
          <w:szCs w:val="32"/>
          <w:highlight w:val="none"/>
        </w:rPr>
        <w:t>（类）</w:t>
      </w:r>
      <w:r>
        <w:rPr>
          <w:rStyle w:val="20"/>
          <w:rFonts w:hint="eastAsia" w:ascii="仿宋" w:hAnsi="仿宋" w:eastAsia="仿宋"/>
          <w:bCs/>
          <w:color w:val="auto"/>
          <w:sz w:val="32"/>
          <w:szCs w:val="32"/>
          <w:highlight w:val="none"/>
          <w:lang w:val="en-US" w:eastAsia="zh-CN"/>
        </w:rPr>
        <w:t>01</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val="en-US" w:eastAsia="zh-CN"/>
        </w:rPr>
        <w:t>01</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825.20</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p>
    <w:p w14:paraId="53F28F47">
      <w:pPr>
        <w:spacing w:line="600" w:lineRule="exact"/>
        <w:ind w:firstLine="643" w:firstLineChars="200"/>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2.</w:t>
      </w:r>
      <w:r>
        <w:rPr>
          <w:rStyle w:val="20"/>
          <w:rFonts w:hint="eastAsia" w:ascii="仿宋" w:hAnsi="仿宋" w:eastAsia="仿宋"/>
          <w:bCs/>
          <w:color w:val="auto"/>
          <w:sz w:val="32"/>
          <w:szCs w:val="32"/>
          <w:highlight w:val="none"/>
        </w:rPr>
        <w:t>教育</w:t>
      </w:r>
      <w:r>
        <w:rPr>
          <w:rStyle w:val="20"/>
          <w:rFonts w:hint="eastAsia" w:ascii="仿宋" w:hAnsi="仿宋" w:eastAsia="仿宋"/>
          <w:bCs/>
          <w:color w:val="auto"/>
          <w:sz w:val="32"/>
          <w:szCs w:val="32"/>
          <w:highlight w:val="none"/>
          <w:lang w:val="en-US" w:eastAsia="zh-CN"/>
        </w:rPr>
        <w:t>205</w:t>
      </w:r>
      <w:r>
        <w:rPr>
          <w:rStyle w:val="20"/>
          <w:rFonts w:hint="eastAsia" w:ascii="仿宋" w:hAnsi="仿宋" w:eastAsia="仿宋"/>
          <w:bCs/>
          <w:color w:val="auto"/>
          <w:sz w:val="32"/>
          <w:szCs w:val="32"/>
          <w:highlight w:val="none"/>
        </w:rPr>
        <w:t>（类）</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val="en-US" w:eastAsia="zh-CN"/>
        </w:rPr>
        <w:t>01</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1060</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46.90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p>
    <w:p w14:paraId="1404ACB1">
      <w:pPr>
        <w:pStyle w:val="5"/>
        <w:ind w:firstLine="643" w:firstLineChars="200"/>
      </w:pPr>
      <w:r>
        <w:rPr>
          <w:rStyle w:val="20"/>
          <w:rFonts w:hint="eastAsia" w:ascii="仿宋" w:hAnsi="仿宋" w:eastAsia="仿宋"/>
          <w:b/>
          <w:bCs/>
          <w:color w:val="auto"/>
          <w:sz w:val="32"/>
          <w:szCs w:val="32"/>
          <w:highlight w:val="none"/>
          <w:lang w:val="en-US" w:eastAsia="zh-CN"/>
        </w:rPr>
        <w:t>3.</w:t>
      </w:r>
      <w:r>
        <w:rPr>
          <w:rStyle w:val="20"/>
          <w:rFonts w:hint="eastAsia" w:ascii="仿宋" w:hAnsi="仿宋" w:eastAsia="仿宋"/>
          <w:b/>
          <w:bCs/>
          <w:color w:val="auto"/>
          <w:sz w:val="32"/>
          <w:szCs w:val="32"/>
          <w:highlight w:val="none"/>
        </w:rPr>
        <w:t>教育</w:t>
      </w:r>
      <w:r>
        <w:rPr>
          <w:rStyle w:val="20"/>
          <w:rFonts w:hint="eastAsia" w:ascii="仿宋" w:hAnsi="仿宋" w:eastAsia="仿宋"/>
          <w:b/>
          <w:bCs/>
          <w:color w:val="auto"/>
          <w:sz w:val="32"/>
          <w:szCs w:val="32"/>
          <w:highlight w:val="none"/>
          <w:lang w:val="en-US" w:eastAsia="zh-CN"/>
        </w:rPr>
        <w:t>205</w:t>
      </w:r>
      <w:r>
        <w:rPr>
          <w:rStyle w:val="20"/>
          <w:rFonts w:hint="eastAsia" w:ascii="仿宋" w:hAnsi="仿宋" w:eastAsia="仿宋"/>
          <w:b/>
          <w:bCs/>
          <w:color w:val="auto"/>
          <w:sz w:val="32"/>
          <w:szCs w:val="32"/>
          <w:highlight w:val="none"/>
        </w:rPr>
        <w:t>（类）</w:t>
      </w:r>
      <w:r>
        <w:rPr>
          <w:rStyle w:val="20"/>
          <w:rFonts w:hint="eastAsia" w:ascii="仿宋" w:hAnsi="仿宋" w:eastAsia="仿宋"/>
          <w:b/>
          <w:bCs/>
          <w:color w:val="auto"/>
          <w:sz w:val="32"/>
          <w:szCs w:val="32"/>
          <w:highlight w:val="none"/>
          <w:lang w:val="en-US" w:eastAsia="zh-CN"/>
        </w:rPr>
        <w:t>02</w:t>
      </w:r>
      <w:r>
        <w:rPr>
          <w:rStyle w:val="20"/>
          <w:rFonts w:hint="eastAsia" w:ascii="仿宋" w:hAnsi="仿宋" w:eastAsia="仿宋"/>
          <w:b/>
          <w:bCs/>
          <w:color w:val="auto"/>
          <w:sz w:val="32"/>
          <w:szCs w:val="32"/>
          <w:highlight w:val="none"/>
        </w:rPr>
        <w:t>（款）</w:t>
      </w:r>
      <w:r>
        <w:rPr>
          <w:rStyle w:val="20"/>
          <w:rFonts w:hint="eastAsia" w:ascii="仿宋" w:hAnsi="仿宋" w:eastAsia="仿宋"/>
          <w:b/>
          <w:bCs/>
          <w:color w:val="auto"/>
          <w:sz w:val="32"/>
          <w:szCs w:val="32"/>
          <w:highlight w:val="none"/>
          <w:lang w:val="en-US" w:eastAsia="zh-CN"/>
        </w:rPr>
        <w:t>05</w:t>
      </w:r>
      <w:r>
        <w:rPr>
          <w:rStyle w:val="20"/>
          <w:rFonts w:hint="eastAsia" w:ascii="仿宋" w:hAnsi="仿宋" w:eastAsia="仿宋"/>
          <w:b/>
          <w:bCs/>
          <w:color w:val="auto"/>
          <w:sz w:val="32"/>
          <w:szCs w:val="32"/>
          <w:highlight w:val="none"/>
        </w:rPr>
        <w:t>（项）</w:t>
      </w:r>
      <w:r>
        <w:rPr>
          <w:rStyle w:val="20"/>
          <w:rFonts w:ascii="仿宋" w:hAnsi="仿宋" w:eastAsia="仿宋"/>
          <w:b/>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206.54</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p>
    <w:p w14:paraId="2B72590C">
      <w:pPr>
        <w:pStyle w:val="5"/>
        <w:ind w:firstLine="643" w:firstLineChars="200"/>
        <w:rPr>
          <w:rStyle w:val="20"/>
          <w:rFonts w:hint="eastAsia" w:ascii="仿宋" w:hAnsi="仿宋" w:eastAsia="仿宋"/>
          <w:b w:val="0"/>
          <w:bCs/>
          <w:color w:val="auto"/>
          <w:sz w:val="32"/>
          <w:szCs w:val="32"/>
          <w:highlight w:val="none"/>
        </w:rPr>
      </w:pPr>
      <w:r>
        <w:rPr>
          <w:rStyle w:val="20"/>
          <w:rFonts w:hint="eastAsia" w:ascii="仿宋" w:hAnsi="仿宋" w:eastAsia="仿宋"/>
          <w:b/>
          <w:bCs/>
          <w:color w:val="auto"/>
          <w:sz w:val="32"/>
          <w:szCs w:val="32"/>
          <w:highlight w:val="none"/>
          <w:lang w:val="en-US" w:eastAsia="zh-CN"/>
        </w:rPr>
        <w:t>4</w:t>
      </w:r>
      <w:r>
        <w:rPr>
          <w:rStyle w:val="20"/>
          <w:rFonts w:ascii="仿宋" w:hAnsi="仿宋" w:eastAsia="仿宋"/>
          <w:b/>
          <w:bCs/>
          <w:color w:val="auto"/>
          <w:sz w:val="32"/>
          <w:szCs w:val="32"/>
          <w:highlight w:val="none"/>
        </w:rPr>
        <w:t>.</w:t>
      </w:r>
      <w:r>
        <w:rPr>
          <w:rStyle w:val="20"/>
          <w:rFonts w:hint="eastAsia" w:ascii="仿宋" w:hAnsi="仿宋" w:eastAsia="仿宋"/>
          <w:b/>
          <w:bCs/>
          <w:color w:val="auto"/>
          <w:sz w:val="32"/>
          <w:szCs w:val="32"/>
          <w:highlight w:val="none"/>
        </w:rPr>
        <w:t>教育</w:t>
      </w:r>
      <w:r>
        <w:rPr>
          <w:rStyle w:val="20"/>
          <w:rFonts w:hint="eastAsia" w:ascii="仿宋" w:hAnsi="仿宋" w:eastAsia="仿宋"/>
          <w:b/>
          <w:bCs/>
          <w:color w:val="auto"/>
          <w:sz w:val="32"/>
          <w:szCs w:val="32"/>
          <w:highlight w:val="none"/>
          <w:lang w:val="en-US" w:eastAsia="zh-CN"/>
        </w:rPr>
        <w:t>205</w:t>
      </w:r>
      <w:r>
        <w:rPr>
          <w:rStyle w:val="20"/>
          <w:rFonts w:hint="eastAsia" w:ascii="仿宋" w:hAnsi="仿宋" w:eastAsia="仿宋"/>
          <w:b/>
          <w:bCs/>
          <w:color w:val="auto"/>
          <w:sz w:val="32"/>
          <w:szCs w:val="32"/>
          <w:highlight w:val="none"/>
        </w:rPr>
        <w:t>（类）</w:t>
      </w:r>
      <w:r>
        <w:rPr>
          <w:rStyle w:val="20"/>
          <w:rFonts w:hint="eastAsia" w:ascii="仿宋" w:hAnsi="仿宋" w:eastAsia="仿宋"/>
          <w:b/>
          <w:bCs/>
          <w:color w:val="auto"/>
          <w:sz w:val="32"/>
          <w:szCs w:val="32"/>
          <w:highlight w:val="none"/>
          <w:lang w:val="en-US" w:eastAsia="zh-CN"/>
        </w:rPr>
        <w:t>99</w:t>
      </w:r>
      <w:r>
        <w:rPr>
          <w:rStyle w:val="20"/>
          <w:rFonts w:hint="eastAsia" w:ascii="仿宋" w:hAnsi="仿宋" w:eastAsia="仿宋"/>
          <w:b/>
          <w:bCs/>
          <w:color w:val="auto"/>
          <w:sz w:val="32"/>
          <w:szCs w:val="32"/>
          <w:highlight w:val="none"/>
        </w:rPr>
        <w:t>（款）</w:t>
      </w:r>
      <w:r>
        <w:rPr>
          <w:rStyle w:val="20"/>
          <w:rFonts w:hint="eastAsia" w:ascii="仿宋" w:hAnsi="仿宋" w:eastAsia="仿宋"/>
          <w:b/>
          <w:bCs/>
          <w:color w:val="auto"/>
          <w:sz w:val="32"/>
          <w:szCs w:val="32"/>
          <w:highlight w:val="none"/>
          <w:lang w:val="en-US" w:eastAsia="zh-CN"/>
        </w:rPr>
        <w:t>99</w:t>
      </w:r>
      <w:r>
        <w:rPr>
          <w:rStyle w:val="20"/>
          <w:rFonts w:hint="eastAsia" w:ascii="仿宋" w:hAnsi="仿宋" w:eastAsia="仿宋"/>
          <w:b/>
          <w:bCs/>
          <w:color w:val="auto"/>
          <w:sz w:val="32"/>
          <w:szCs w:val="32"/>
          <w:highlight w:val="none"/>
        </w:rPr>
        <w:t>（项）</w:t>
      </w:r>
      <w:r>
        <w:rPr>
          <w:rStyle w:val="20"/>
          <w:rFonts w:ascii="仿宋" w:hAnsi="仿宋" w:eastAsia="仿宋"/>
          <w:b/>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45</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bookmarkStart w:id="57" w:name="_Toc12572"/>
    </w:p>
    <w:p w14:paraId="40560452">
      <w:pPr>
        <w:pStyle w:val="5"/>
        <w:ind w:firstLine="602" w:firstLineChars="200"/>
        <w:rPr>
          <w:rFonts w:hint="eastAsia" w:ascii="黑体" w:hAnsi="黑体" w:eastAsia="黑体" w:cs="黑体"/>
          <w:b w:val="0"/>
          <w:bCs w:val="0"/>
          <w:color w:val="000000"/>
          <w:sz w:val="30"/>
          <w:szCs w:val="30"/>
        </w:rPr>
      </w:pPr>
      <w:r>
        <w:rPr>
          <w:rFonts w:hint="eastAsia" w:ascii="黑体" w:hAnsi="黑体" w:eastAsia="黑体" w:cs="黑体"/>
          <w:b/>
          <w:color w:val="000000"/>
          <w:sz w:val="30"/>
          <w:szCs w:val="30"/>
          <w:lang w:val="en-US" w:eastAsia="zh-CN"/>
        </w:rPr>
        <w:t>六</w:t>
      </w:r>
      <w:r>
        <w:rPr>
          <w:rFonts w:hint="eastAsia" w:ascii="黑体" w:hAnsi="黑体" w:eastAsia="黑体" w:cs="黑体"/>
          <w:b w:val="0"/>
          <w:bCs w:val="0"/>
          <w:color w:val="000000"/>
          <w:sz w:val="30"/>
          <w:szCs w:val="30"/>
          <w:lang w:val="en-US" w:eastAsia="zh-CN"/>
        </w:rPr>
        <w:t>、</w:t>
      </w:r>
      <w:r>
        <w:rPr>
          <w:rFonts w:hint="eastAsia" w:ascii="黑体" w:hAnsi="黑体" w:eastAsia="黑体" w:cs="黑体"/>
          <w:b w:val="0"/>
          <w:bCs w:val="0"/>
          <w:color w:val="000000"/>
          <w:sz w:val="30"/>
          <w:szCs w:val="30"/>
        </w:rPr>
        <w:t>一般公共预算财政拨款基本支出决算情况说明</w:t>
      </w:r>
      <w:bookmarkEnd w:id="46"/>
      <w:bookmarkEnd w:id="47"/>
      <w:bookmarkEnd w:id="57"/>
    </w:p>
    <w:p w14:paraId="1CC23985">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825.20</w:t>
      </w:r>
      <w:r>
        <w:rPr>
          <w:rFonts w:hint="eastAsia" w:ascii="仿宋" w:hAnsi="仿宋" w:eastAsia="仿宋"/>
          <w:color w:val="auto"/>
          <w:sz w:val="32"/>
          <w:szCs w:val="32"/>
          <w:highlight w:val="none"/>
        </w:rPr>
        <w:t>万元，其中：</w:t>
      </w:r>
    </w:p>
    <w:p w14:paraId="5EA03339">
      <w:pPr>
        <w:spacing w:line="600" w:lineRule="exact"/>
        <w:ind w:firstLine="645"/>
        <w:rPr>
          <w:rFonts w:hint="eastAsia" w:ascii="仿宋" w:hAnsi="仿宋" w:eastAsia="仿宋" w:cs="仿宋"/>
          <w:sz w:val="32"/>
          <w:szCs w:val="32"/>
          <w:lang w:eastAsia="zh-CN"/>
        </w:rPr>
      </w:pPr>
      <w:r>
        <w:rPr>
          <w:rFonts w:hint="eastAsia" w:ascii="仿宋" w:hAnsi="仿宋" w:eastAsia="仿宋" w:cs="仿宋"/>
          <w:sz w:val="32"/>
          <w:szCs w:val="32"/>
        </w:rPr>
        <w:t>人员经费</w:t>
      </w:r>
      <w:r>
        <w:rPr>
          <w:rFonts w:hint="eastAsia" w:ascii="仿宋" w:hAnsi="仿宋" w:eastAsia="仿宋" w:cs="仿宋"/>
          <w:sz w:val="32"/>
          <w:szCs w:val="32"/>
          <w:lang w:val="en-US" w:eastAsia="zh-CN"/>
        </w:rPr>
        <w:t>504</w:t>
      </w:r>
      <w:r>
        <w:rPr>
          <w:rFonts w:hint="eastAsia" w:ascii="仿宋" w:hAnsi="仿宋" w:eastAsia="仿宋" w:cs="仿宋"/>
          <w:sz w:val="32"/>
          <w:szCs w:val="32"/>
        </w:rPr>
        <w:t>.</w:t>
      </w:r>
      <w:r>
        <w:rPr>
          <w:rFonts w:hint="eastAsia" w:ascii="仿宋" w:hAnsi="仿宋" w:eastAsia="仿宋" w:cs="仿宋"/>
          <w:sz w:val="32"/>
          <w:szCs w:val="32"/>
          <w:lang w:val="en-US" w:eastAsia="zh-CN"/>
        </w:rPr>
        <w:t>33</w:t>
      </w:r>
      <w:r>
        <w:rPr>
          <w:rFonts w:hint="eastAsia" w:ascii="仿宋" w:hAnsi="仿宋" w:eastAsia="仿宋" w:cs="仿宋"/>
          <w:sz w:val="32"/>
          <w:szCs w:val="32"/>
        </w:rPr>
        <w:t>万元，主要包括：基本工资、津贴补贴、奖金、绩效工资、机关事业单位基本养老保险缴费、职业年金缴费、其他社会保障缴费、其他工资福利支出、退休费、抚恤金、生活补助、医疗费补助、奖励金、住房公积金、其他对个人和家庭的补助支出等。</w:t>
      </w:r>
    </w:p>
    <w:p w14:paraId="6320AEFD">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公用经费320.</w:t>
      </w:r>
      <w:r>
        <w:rPr>
          <w:rFonts w:hint="eastAsia" w:ascii="仿宋" w:hAnsi="仿宋" w:eastAsia="仿宋" w:cs="仿宋"/>
          <w:sz w:val="32"/>
          <w:szCs w:val="32"/>
          <w:lang w:val="en-US" w:eastAsia="zh-CN"/>
        </w:rPr>
        <w:t>87</w:t>
      </w:r>
      <w:r>
        <w:rPr>
          <w:rFonts w:hint="eastAsia" w:ascii="仿宋" w:hAnsi="仿宋" w:eastAsia="仿宋" w:cs="仿宋"/>
          <w:sz w:val="32"/>
          <w:szCs w:val="32"/>
        </w:rPr>
        <w:t>万元，主要包括：办公费、印刷费、咨询费、手续费、水费、电费、邮电费、物业管理费、差旅费、维修（护）费、租赁费、会议费、培训费、公务接待费、劳务费、委托业务费、工会经费、公务用车费、其他交通费、税金及附加费用、其他商品和服务支出、办公设备购置、专用设备购置、信息网络及软件购置更新、其他资本性支出等。</w:t>
      </w:r>
      <w:bookmarkStart w:id="58" w:name="_Toc15396609"/>
      <w:bookmarkStart w:id="59" w:name="_Toc15377215"/>
    </w:p>
    <w:p w14:paraId="1FF1BA65">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bookmarkStart w:id="60" w:name="_Toc10333"/>
    </w:p>
    <w:p w14:paraId="121F3FDE">
      <w:pPr>
        <w:pStyle w:val="24"/>
        <w:widowControl w:val="0"/>
        <w:numPr>
          <w:ilvl w:val="0"/>
          <w:numId w:val="0"/>
        </w:numPr>
        <w:wordWrap/>
        <w:snapToGrid/>
        <w:spacing w:line="240" w:lineRule="auto"/>
        <w:ind w:leftChars="200" w:right="0" w:rightChars="0" w:firstLine="300" w:firstLineChars="100"/>
        <w:jc w:val="left"/>
        <w:textAlignment w:val="auto"/>
        <w:outlineLvl w:val="1"/>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七、“三公”经费财政拨款支出决算情况说明</w:t>
      </w:r>
      <w:bookmarkEnd w:id="58"/>
      <w:bookmarkEnd w:id="59"/>
      <w:bookmarkEnd w:id="60"/>
      <w:bookmarkStart w:id="61" w:name="_Toc15396610"/>
      <w:bookmarkStart w:id="62" w:name="_Toc15377218"/>
    </w:p>
    <w:p w14:paraId="326AC684">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63" w:name="_Toc6255"/>
      <w:bookmarkStart w:id="64" w:name="_Toc15377216"/>
      <w:r>
        <w:rPr>
          <w:rFonts w:hint="eastAsia" w:ascii="仿宋_GB2312" w:hAnsi="仿宋_GB2312" w:eastAsia="仿宋_GB2312" w:cs="仿宋_GB2312"/>
          <w:b/>
          <w:color w:val="000000"/>
          <w:sz w:val="30"/>
          <w:szCs w:val="30"/>
        </w:rPr>
        <w:t>（一）“三公”经费财政拨款支出决算总体情况说明</w:t>
      </w:r>
      <w:bookmarkEnd w:id="63"/>
      <w:bookmarkEnd w:id="64"/>
    </w:p>
    <w:p w14:paraId="6C66860C">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年“三公”经费财政拨款支出决算为</w:t>
      </w:r>
      <w:r>
        <w:rPr>
          <w:rFonts w:hint="eastAsia" w:ascii="仿宋_GB2312" w:hAnsi="仿宋_GB2312" w:eastAsia="仿宋_GB2312" w:cs="仿宋_GB2312"/>
          <w:color w:val="000000"/>
          <w:sz w:val="30"/>
          <w:szCs w:val="30"/>
          <w:lang w:val="en-US" w:eastAsia="zh-CN"/>
        </w:rPr>
        <w:t>4</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03</w:t>
      </w:r>
      <w:r>
        <w:rPr>
          <w:rFonts w:hint="eastAsia" w:ascii="仿宋_GB2312" w:hAnsi="仿宋_GB2312" w:eastAsia="仿宋_GB2312" w:cs="仿宋_GB2312"/>
          <w:color w:val="000000"/>
          <w:sz w:val="30"/>
          <w:szCs w:val="30"/>
        </w:rPr>
        <w:t>万元，完成预算</w:t>
      </w:r>
      <w:r>
        <w:rPr>
          <w:rFonts w:hint="eastAsia" w:ascii="仿宋_GB2312" w:hAnsi="仿宋_GB2312" w:eastAsia="仿宋_GB2312" w:cs="仿宋_GB2312"/>
          <w:color w:val="000000"/>
          <w:sz w:val="30"/>
          <w:szCs w:val="30"/>
          <w:lang w:val="en-US" w:eastAsia="zh-CN"/>
        </w:rPr>
        <w:t>89.56</w:t>
      </w:r>
      <w:r>
        <w:rPr>
          <w:rFonts w:hint="eastAsia" w:ascii="仿宋_GB2312" w:hAnsi="仿宋_GB2312" w:eastAsia="仿宋_GB2312" w:cs="仿宋_GB2312"/>
          <w:color w:val="000000"/>
          <w:sz w:val="30"/>
          <w:szCs w:val="30"/>
        </w:rPr>
        <w:t>%。决算数小于预算数的主要原因是公务接待费严格控制标准、严把“三公”经费支出审批关，杜绝超预算支出现象。</w:t>
      </w:r>
    </w:p>
    <w:p w14:paraId="33AA9DED">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65" w:name="_Toc23211"/>
      <w:bookmarkStart w:id="66" w:name="_Toc15377217"/>
      <w:r>
        <w:rPr>
          <w:rFonts w:hint="eastAsia" w:ascii="仿宋_GB2312" w:hAnsi="仿宋_GB2312" w:eastAsia="仿宋_GB2312" w:cs="仿宋_GB2312"/>
          <w:b/>
          <w:color w:val="000000"/>
          <w:sz w:val="30"/>
          <w:szCs w:val="30"/>
        </w:rPr>
        <w:t>（二）“三公”经费财政拨款支出决算具体情况说明</w:t>
      </w:r>
      <w:bookmarkEnd w:id="65"/>
      <w:bookmarkEnd w:id="66"/>
    </w:p>
    <w:p w14:paraId="39D7C86F">
      <w:pPr>
        <w:keepNext w:val="0"/>
        <w:keepLines w:val="0"/>
        <w:pageBreakBefore w:val="0"/>
        <w:widowControl w:val="0"/>
        <w:kinsoku/>
        <w:wordWrap/>
        <w:overflowPunct/>
        <w:topLinePunct w:val="0"/>
        <w:bidi w:val="0"/>
        <w:snapToGrid/>
        <w:spacing w:line="360" w:lineRule="auto"/>
        <w:ind w:left="0" w:firstLine="640"/>
        <w:textAlignment w:val="auto"/>
        <w:rPr>
          <w:rFonts w:ascii="仿宋" w:hAnsi="仿宋" w:eastAsia="仿宋"/>
          <w:color w:val="auto"/>
          <w:sz w:val="32"/>
          <w:szCs w:val="32"/>
        </w:rPr>
      </w:pPr>
      <w:bookmarkStart w:id="67" w:name="_Toc24782"/>
      <w:r>
        <w:rPr>
          <w:rFonts w:ascii="仿宋" w:hAnsi="仿宋" w:eastAsia="仿宋"/>
          <w:color w:val="auto"/>
          <w:sz w:val="32"/>
          <w:szCs w:val="32"/>
        </w:rPr>
        <w:t>20</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年“三公”经费财政拨款支出决算中，</w:t>
      </w:r>
      <w:r>
        <w:rPr>
          <w:rFonts w:hint="eastAsia" w:ascii="仿宋" w:hAnsi="仿宋" w:eastAsia="仿宋"/>
          <w:color w:val="auto"/>
          <w:sz w:val="32"/>
          <w:szCs w:val="32"/>
          <w:lang w:eastAsia="zh-CN"/>
        </w:rPr>
        <w:t>本单位未发生</w:t>
      </w:r>
      <w:r>
        <w:rPr>
          <w:rFonts w:hint="eastAsia" w:ascii="仿宋" w:hAnsi="仿宋" w:eastAsia="仿宋"/>
          <w:color w:val="auto"/>
          <w:sz w:val="32"/>
          <w:szCs w:val="32"/>
        </w:rPr>
        <w:t>因公出国（境）费</w:t>
      </w:r>
      <w:r>
        <w:rPr>
          <w:rFonts w:hint="eastAsia" w:ascii="仿宋" w:hAnsi="仿宋" w:eastAsia="仿宋"/>
          <w:color w:val="auto"/>
          <w:sz w:val="32"/>
          <w:szCs w:val="32"/>
          <w:lang w:eastAsia="zh-CN"/>
        </w:rPr>
        <w:t>、</w:t>
      </w:r>
      <w:r>
        <w:rPr>
          <w:rFonts w:hint="eastAsia" w:ascii="仿宋" w:hAnsi="仿宋" w:eastAsia="仿宋"/>
          <w:color w:val="auto"/>
          <w:sz w:val="32"/>
          <w:szCs w:val="32"/>
        </w:rPr>
        <w:t>公务用车购置及运行维护费</w:t>
      </w:r>
      <w:r>
        <w:rPr>
          <w:rFonts w:hint="eastAsia" w:ascii="仿宋" w:hAnsi="仿宋" w:eastAsia="仿宋"/>
          <w:color w:val="auto"/>
          <w:sz w:val="32"/>
          <w:szCs w:val="32"/>
          <w:lang w:eastAsia="zh-CN"/>
        </w:rPr>
        <w:t>，当年未安排预算</w:t>
      </w:r>
      <w:r>
        <w:rPr>
          <w:rFonts w:hint="eastAsia" w:ascii="仿宋" w:hAnsi="仿宋" w:eastAsia="仿宋"/>
          <w:color w:val="auto"/>
          <w:sz w:val="32"/>
          <w:szCs w:val="32"/>
        </w:rPr>
        <w:t>；公务接待费支出决算</w:t>
      </w:r>
      <w:r>
        <w:rPr>
          <w:rFonts w:hint="eastAsia" w:ascii="仿宋_GB2312" w:hAnsi="仿宋_GB2312" w:eastAsia="仿宋_GB2312" w:cs="仿宋_GB2312"/>
          <w:color w:val="000000"/>
          <w:sz w:val="30"/>
          <w:szCs w:val="30"/>
          <w:lang w:val="en-US" w:eastAsia="zh-CN"/>
        </w:rPr>
        <w:t>4</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03</w:t>
      </w:r>
      <w:r>
        <w:rPr>
          <w:rFonts w:hint="eastAsia" w:ascii="仿宋" w:hAnsi="仿宋" w:eastAsia="仿宋"/>
          <w:color w:val="auto"/>
          <w:sz w:val="32"/>
          <w:szCs w:val="32"/>
        </w:rPr>
        <w:t>万元，</w:t>
      </w:r>
      <w:r>
        <w:rPr>
          <w:rStyle w:val="20"/>
          <w:rFonts w:hint="eastAsia" w:ascii="仿宋" w:hAnsi="仿宋" w:eastAsia="仿宋"/>
          <w:b w:val="0"/>
          <w:bCs/>
          <w:color w:val="auto"/>
          <w:sz w:val="32"/>
          <w:szCs w:val="32"/>
        </w:rPr>
        <w:t>完成预算</w:t>
      </w:r>
      <w:r>
        <w:rPr>
          <w:rStyle w:val="20"/>
          <w:rFonts w:hint="eastAsia" w:ascii="仿宋" w:hAnsi="仿宋" w:eastAsia="仿宋"/>
          <w:b w:val="0"/>
          <w:bCs/>
          <w:color w:val="auto"/>
          <w:sz w:val="32"/>
          <w:szCs w:val="32"/>
          <w:lang w:val="en-US" w:eastAsia="zh-CN"/>
        </w:rPr>
        <w:t>89.56</w:t>
      </w:r>
      <w:r>
        <w:rPr>
          <w:rStyle w:val="20"/>
          <w:rFonts w:ascii="仿宋" w:hAnsi="仿宋" w:eastAsia="仿宋"/>
          <w:b w:val="0"/>
          <w:bCs/>
          <w:color w:val="auto"/>
          <w:sz w:val="32"/>
          <w:szCs w:val="32"/>
        </w:rPr>
        <w:t>%</w:t>
      </w:r>
      <w:r>
        <w:rPr>
          <w:rFonts w:hint="eastAsia" w:ascii="仿宋" w:hAnsi="仿宋" w:eastAsia="仿宋"/>
          <w:color w:val="auto"/>
          <w:sz w:val="32"/>
          <w:szCs w:val="32"/>
        </w:rPr>
        <w:t>。具体情况如下：</w:t>
      </w:r>
    </w:p>
    <w:p w14:paraId="2A7F6D6E">
      <w:pPr>
        <w:keepNext w:val="0"/>
        <w:keepLines w:val="0"/>
        <w:pageBreakBefore w:val="0"/>
        <w:widowControl w:val="0"/>
        <w:kinsoku/>
        <w:wordWrap/>
        <w:overflowPunct/>
        <w:topLinePunct w:val="0"/>
        <w:bidi w:val="0"/>
        <w:snapToGrid/>
        <w:spacing w:line="360" w:lineRule="auto"/>
        <w:ind w:left="0" w:firstLine="640"/>
        <w:textAlignment w:val="auto"/>
        <w:rPr>
          <w:rFonts w:ascii="仿宋_GB2312" w:eastAsia="仿宋_GB2312"/>
          <w:color w:val="auto"/>
          <w:sz w:val="32"/>
          <w:szCs w:val="32"/>
        </w:rPr>
      </w:pPr>
      <w:r>
        <w:rPr>
          <w:rFonts w:ascii="仿宋_GB2312" w:eastAsia="仿宋_GB2312"/>
          <w:b/>
          <w:color w:val="auto"/>
          <w:sz w:val="32"/>
          <w:szCs w:val="32"/>
        </w:rPr>
        <w:t>1.</w:t>
      </w:r>
      <w:r>
        <w:rPr>
          <w:rFonts w:hint="eastAsia" w:ascii="仿宋_GB2312" w:eastAsia="仿宋_GB2312"/>
          <w:b/>
          <w:color w:val="auto"/>
          <w:sz w:val="32"/>
          <w:szCs w:val="32"/>
        </w:rPr>
        <w:t>因公出国（境）经费支出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年初未安排预算</w:t>
      </w:r>
      <w:r>
        <w:rPr>
          <w:rStyle w:val="20"/>
          <w:rFonts w:hint="eastAsia" w:ascii="仿宋" w:hAnsi="仿宋" w:eastAsia="仿宋"/>
          <w:b w:val="0"/>
          <w:bCs/>
          <w:color w:val="auto"/>
          <w:sz w:val="32"/>
          <w:szCs w:val="32"/>
        </w:rPr>
        <w:t>。</w:t>
      </w:r>
    </w:p>
    <w:p w14:paraId="56834803">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20"/>
          <w:rFonts w:hint="eastAsia" w:ascii="仿宋" w:hAnsi="仿宋" w:eastAsia="仿宋"/>
          <w:b w:val="0"/>
          <w:bCs/>
          <w:color w:val="000000"/>
          <w:sz w:val="32"/>
          <w:szCs w:val="32"/>
          <w:lang w:eastAsia="zh-CN"/>
        </w:rPr>
        <w:t>年初未安排预算</w:t>
      </w:r>
      <w:r>
        <w:rPr>
          <w:rStyle w:val="20"/>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14:paraId="3A1FC60B">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FD83B88">
      <w:pPr>
        <w:keepNext w:val="0"/>
        <w:keepLines w:val="0"/>
        <w:pageBreakBefore w:val="0"/>
        <w:widowControl w:val="0"/>
        <w:kinsoku/>
        <w:wordWrap/>
        <w:overflowPunct/>
        <w:topLinePunct w:val="0"/>
        <w:bidi w:val="0"/>
        <w:snapToGrid/>
        <w:spacing w:line="360" w:lineRule="auto"/>
        <w:ind w:left="0" w:firstLine="640"/>
        <w:textAlignment w:val="auto"/>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80F1880">
      <w:pPr>
        <w:keepNext w:val="0"/>
        <w:keepLines w:val="0"/>
        <w:pageBreakBefore w:val="0"/>
        <w:widowControl w:val="0"/>
        <w:kinsoku/>
        <w:wordWrap/>
        <w:overflowPunct/>
        <w:topLinePunct w:val="0"/>
        <w:bidi w:val="0"/>
        <w:snapToGrid/>
        <w:spacing w:line="360" w:lineRule="auto"/>
        <w:ind w:left="0" w:firstLine="640"/>
        <w:textAlignment w:val="auto"/>
        <w:rPr>
          <w:rFonts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color w:val="auto"/>
          <w:sz w:val="32"/>
          <w:szCs w:val="32"/>
          <w:lang w:val="en-US" w:eastAsia="zh-CN"/>
        </w:rPr>
        <w:t>4.03</w:t>
      </w:r>
      <w:r>
        <w:rPr>
          <w:rFonts w:hint="eastAsia" w:ascii="仿宋_GB2312" w:eastAsia="仿宋_GB2312"/>
          <w:color w:val="auto"/>
          <w:sz w:val="32"/>
          <w:szCs w:val="32"/>
        </w:rPr>
        <w:t>万元，</w:t>
      </w:r>
      <w:r>
        <w:rPr>
          <w:rStyle w:val="20"/>
          <w:rFonts w:hint="eastAsia" w:ascii="仿宋" w:hAnsi="仿宋" w:eastAsia="仿宋"/>
          <w:b w:val="0"/>
          <w:bCs/>
          <w:color w:val="auto"/>
          <w:sz w:val="32"/>
          <w:szCs w:val="32"/>
        </w:rPr>
        <w:t>完成预算</w:t>
      </w:r>
      <w:r>
        <w:rPr>
          <w:rStyle w:val="20"/>
          <w:rFonts w:hint="eastAsia" w:ascii="仿宋" w:hAnsi="仿宋" w:eastAsia="仿宋"/>
          <w:b w:val="0"/>
          <w:bCs/>
          <w:color w:val="auto"/>
          <w:sz w:val="32"/>
          <w:szCs w:val="32"/>
          <w:lang w:val="en-US" w:eastAsia="zh-CN"/>
        </w:rPr>
        <w:t>89.56</w:t>
      </w:r>
      <w:r>
        <w:rPr>
          <w:rStyle w:val="20"/>
          <w:rFonts w:ascii="仿宋" w:hAnsi="仿宋" w:eastAsia="仿宋"/>
          <w:b w:val="0"/>
          <w:bCs/>
          <w:color w:val="auto"/>
          <w:sz w:val="32"/>
          <w:szCs w:val="32"/>
        </w:rPr>
        <w:t>%</w:t>
      </w:r>
      <w:r>
        <w:rPr>
          <w:rStyle w:val="20"/>
          <w:rFonts w:hint="eastAsia" w:ascii="仿宋" w:hAnsi="仿宋" w:eastAsia="仿宋"/>
          <w:b w:val="0"/>
          <w:bCs/>
          <w:color w:val="auto"/>
          <w:sz w:val="32"/>
          <w:szCs w:val="32"/>
        </w:rPr>
        <w:t>。</w:t>
      </w:r>
      <w:r>
        <w:rPr>
          <w:rFonts w:hint="eastAsia" w:ascii="仿宋_GB2312" w:eastAsia="仿宋_GB2312"/>
          <w:color w:val="auto"/>
          <w:sz w:val="32"/>
          <w:szCs w:val="32"/>
        </w:rPr>
        <w:t>公务接待费支出决算比</w:t>
      </w:r>
      <w:r>
        <w:rPr>
          <w:rFonts w:ascii="仿宋_GB2312" w:eastAsia="仿宋_GB2312"/>
          <w:color w:val="auto"/>
          <w:sz w:val="32"/>
          <w:szCs w:val="32"/>
        </w:rPr>
        <w:t>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0.22</w:t>
      </w:r>
      <w:r>
        <w:rPr>
          <w:rFonts w:hint="eastAsia" w:ascii="仿宋_GB2312" w:eastAsia="仿宋_GB2312"/>
          <w:color w:val="auto"/>
          <w:sz w:val="32"/>
          <w:szCs w:val="32"/>
        </w:rPr>
        <w:t>万元，</w:t>
      </w:r>
      <w:r>
        <w:rPr>
          <w:rFonts w:hint="eastAsia" w:ascii="仿宋_GB2312" w:eastAsia="仿宋_GB2312"/>
          <w:color w:val="auto"/>
          <w:sz w:val="32"/>
          <w:szCs w:val="32"/>
          <w:lang w:eastAsia="zh-CN"/>
        </w:rPr>
        <w:t>下降</w:t>
      </w:r>
      <w:r>
        <w:rPr>
          <w:rFonts w:hint="eastAsia" w:ascii="仿宋_GB2312" w:eastAsia="仿宋_GB2312"/>
          <w:color w:val="auto"/>
          <w:sz w:val="32"/>
          <w:szCs w:val="32"/>
          <w:lang w:val="en-US" w:eastAsia="zh-CN"/>
        </w:rPr>
        <w:t>5.18</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val="en-US" w:eastAsia="zh-CN"/>
        </w:rPr>
        <w:t>节约开支，执行中央八项规定</w:t>
      </w:r>
      <w:r>
        <w:rPr>
          <w:rFonts w:hint="eastAsia" w:ascii="仿宋_GB2312" w:eastAsia="仿宋_GB2312"/>
          <w:color w:val="auto"/>
          <w:sz w:val="32"/>
          <w:szCs w:val="32"/>
        </w:rPr>
        <w:t>其中：</w:t>
      </w:r>
    </w:p>
    <w:p w14:paraId="76D2100D">
      <w:pPr>
        <w:keepNext w:val="0"/>
        <w:keepLines w:val="0"/>
        <w:pageBreakBefore w:val="0"/>
        <w:widowControl w:val="0"/>
        <w:kinsoku/>
        <w:wordWrap/>
        <w:overflowPunct/>
        <w:topLinePunct w:val="0"/>
        <w:bidi w:val="0"/>
        <w:snapToGrid/>
        <w:spacing w:line="360" w:lineRule="auto"/>
        <w:ind w:left="0" w:firstLine="640"/>
        <w:textAlignment w:val="auto"/>
        <w:rPr>
          <w:rFonts w:ascii="仿宋_GB2312" w:eastAsia="仿宋_GB2312"/>
          <w:color w:val="auto"/>
          <w:sz w:val="32"/>
          <w:szCs w:val="32"/>
        </w:rPr>
      </w:pPr>
      <w:r>
        <w:rPr>
          <w:rFonts w:hint="eastAsia" w:ascii="仿宋" w:hAnsi="仿宋" w:eastAsia="仿宋"/>
          <w:b/>
          <w:color w:val="auto"/>
          <w:sz w:val="32"/>
          <w:szCs w:val="32"/>
        </w:rPr>
        <w:t>国内公务接待支出</w:t>
      </w:r>
      <w:r>
        <w:rPr>
          <w:rFonts w:hint="eastAsia" w:ascii="仿宋_GB2312" w:eastAsia="仿宋_GB2312"/>
          <w:color w:val="auto"/>
          <w:sz w:val="32"/>
          <w:szCs w:val="32"/>
          <w:lang w:val="en-US" w:eastAsia="zh-CN"/>
        </w:rPr>
        <w:t>4.03</w:t>
      </w:r>
      <w:r>
        <w:rPr>
          <w:rFonts w:hint="eastAsia" w:ascii="仿宋_GB2312" w:eastAsia="仿宋_GB2312"/>
          <w:color w:val="auto"/>
          <w:sz w:val="32"/>
          <w:szCs w:val="32"/>
        </w:rPr>
        <w:t>万元，主要用于</w:t>
      </w:r>
      <w:r>
        <w:rPr>
          <w:rFonts w:hint="eastAsia" w:ascii="仿宋_GB2312" w:eastAsia="仿宋_GB2312"/>
          <w:color w:val="auto"/>
          <w:sz w:val="32"/>
          <w:szCs w:val="32"/>
          <w:lang w:val="en-US" w:eastAsia="zh-CN"/>
        </w:rPr>
        <w:t>教育教学和教学研究接待</w:t>
      </w:r>
      <w:r>
        <w:rPr>
          <w:rFonts w:hint="eastAsia" w:ascii="仿宋_GB2312" w:eastAsia="仿宋_GB2312"/>
          <w:color w:val="auto"/>
          <w:sz w:val="32"/>
          <w:szCs w:val="32"/>
        </w:rPr>
        <w:t>。国内公务接待</w:t>
      </w:r>
      <w:r>
        <w:rPr>
          <w:rFonts w:hint="eastAsia" w:ascii="仿宋_GB2312" w:eastAsia="仿宋_GB2312"/>
          <w:color w:val="auto"/>
          <w:sz w:val="32"/>
          <w:szCs w:val="32"/>
          <w:lang w:val="en-US" w:eastAsia="zh-CN"/>
        </w:rPr>
        <w:t>98</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680</w:t>
      </w:r>
      <w:r>
        <w:rPr>
          <w:rFonts w:hint="eastAsia" w:ascii="仿宋_GB2312" w:eastAsia="仿宋_GB2312"/>
          <w:color w:val="auto"/>
          <w:sz w:val="32"/>
          <w:szCs w:val="32"/>
        </w:rPr>
        <w:t>人次（不包括陪同人员），共计支出</w:t>
      </w:r>
      <w:r>
        <w:rPr>
          <w:rFonts w:hint="eastAsia" w:ascii="仿宋_GB2312" w:eastAsia="仿宋_GB2312"/>
          <w:color w:val="auto"/>
          <w:sz w:val="32"/>
          <w:szCs w:val="32"/>
          <w:lang w:val="en-US" w:eastAsia="zh-CN"/>
        </w:rPr>
        <w:t>4.03</w:t>
      </w:r>
      <w:r>
        <w:rPr>
          <w:rFonts w:hint="eastAsia" w:ascii="仿宋_GB2312" w:eastAsia="仿宋_GB2312"/>
          <w:color w:val="auto"/>
          <w:sz w:val="32"/>
          <w:szCs w:val="32"/>
        </w:rPr>
        <w:t>万元。</w:t>
      </w:r>
    </w:p>
    <w:p w14:paraId="5BFC85B6">
      <w:pPr>
        <w:pStyle w:val="24"/>
        <w:widowControl w:val="0"/>
        <w:numPr>
          <w:ilvl w:val="0"/>
          <w:numId w:val="0"/>
        </w:numPr>
        <w:wordWrap/>
        <w:snapToGrid/>
        <w:spacing w:line="240" w:lineRule="auto"/>
        <w:ind w:left="0" w:leftChars="0" w:right="0" w:rightChars="0" w:firstLine="643" w:firstLineChars="200"/>
        <w:jc w:val="left"/>
        <w:textAlignment w:val="auto"/>
        <w:outlineLvl w:val="1"/>
        <w:rPr>
          <w:rFonts w:hint="eastAsia" w:ascii="仿宋_GB2312" w:eastAsia="仿宋_GB2312"/>
          <w:color w:val="auto"/>
          <w:sz w:val="32"/>
          <w:szCs w:val="32"/>
          <w:lang w:eastAsia="zh-CN"/>
        </w:rPr>
      </w:pPr>
      <w:r>
        <w:rPr>
          <w:rFonts w:hint="eastAsia" w:ascii="仿宋" w:hAnsi="仿宋" w:eastAsia="仿宋"/>
          <w:b/>
          <w:color w:val="auto"/>
          <w:sz w:val="32"/>
          <w:szCs w:val="32"/>
        </w:rPr>
        <w:t>外事接待支出</w:t>
      </w:r>
      <w:r>
        <w:rPr>
          <w:rFonts w:hint="eastAsia" w:ascii="仿宋" w:hAnsi="仿宋" w:eastAsia="仿宋"/>
          <w:color w:val="auto"/>
          <w:sz w:val="32"/>
          <w:szCs w:val="32"/>
          <w:lang w:val="en-US" w:eastAsia="zh-CN"/>
        </w:rPr>
        <w:t>0</w:t>
      </w:r>
      <w:r>
        <w:rPr>
          <w:rFonts w:hint="eastAsia" w:ascii="仿宋_GB2312" w:eastAsia="仿宋_GB2312"/>
          <w:color w:val="auto"/>
          <w:sz w:val="32"/>
          <w:szCs w:val="32"/>
        </w:rPr>
        <w:t>万元，外事接待</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人，共计支出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67412817">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r>
        <w:rPr>
          <w:rFonts w:hint="eastAsia" w:ascii="黑体" w:hAnsi="黑体" w:eastAsia="黑体" w:cs="黑体"/>
          <w:b w:val="0"/>
          <w:bCs w:val="0"/>
          <w:color w:val="000000"/>
          <w:sz w:val="30"/>
          <w:szCs w:val="30"/>
          <w:lang w:val="en-US" w:eastAsia="zh-CN"/>
        </w:rPr>
        <w:t>八、政府性基金预算支出决算情况说明</w:t>
      </w:r>
      <w:bookmarkEnd w:id="61"/>
      <w:bookmarkEnd w:id="62"/>
      <w:bookmarkEnd w:id="67"/>
      <w:bookmarkStart w:id="68" w:name="_Toc15396611"/>
      <w:bookmarkStart w:id="69" w:name="_Toc15377219"/>
    </w:p>
    <w:p w14:paraId="26D93025">
      <w:pPr>
        <w:spacing w:line="600" w:lineRule="exact"/>
        <w:ind w:firstLine="640"/>
        <w:rPr>
          <w:rStyle w:val="37"/>
          <w:rFonts w:hint="eastAsia" w:ascii="黑体" w:hAnsi="黑体" w:eastAsia="黑体" w:cs="黑体"/>
          <w:b w:val="0"/>
          <w:bCs/>
          <w:sz w:val="30"/>
          <w:szCs w:val="30"/>
        </w:rPr>
      </w:pPr>
      <w:r>
        <w:rPr>
          <w:rFonts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年政府性基金预算拨款支出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000000"/>
          <w:sz w:val="32"/>
          <w:szCs w:val="32"/>
        </w:rPr>
        <w:t>2020年本单位未在政府性基金预算拨款安排</w:t>
      </w:r>
      <w:r>
        <w:rPr>
          <w:rFonts w:hint="eastAsia" w:ascii="仿宋_GB2312" w:eastAsia="仿宋_GB2312"/>
          <w:color w:val="000000"/>
          <w:sz w:val="32"/>
          <w:szCs w:val="32"/>
          <w:lang w:eastAsia="zh-CN"/>
        </w:rPr>
        <w:t>“三公”经费</w:t>
      </w:r>
      <w:r>
        <w:rPr>
          <w:rFonts w:hint="eastAsia" w:ascii="仿宋_GB2312" w:eastAsia="仿宋_GB2312"/>
          <w:color w:val="000000"/>
          <w:sz w:val="32"/>
          <w:szCs w:val="32"/>
        </w:rPr>
        <w:t>支出。</w:t>
      </w:r>
    </w:p>
    <w:p w14:paraId="7AEFB18B">
      <w:pPr>
        <w:pStyle w:val="24"/>
        <w:widowControl w:val="0"/>
        <w:numPr>
          <w:ilvl w:val="0"/>
          <w:numId w:val="0"/>
        </w:numPr>
        <w:wordWrap/>
        <w:snapToGrid/>
        <w:spacing w:line="240" w:lineRule="auto"/>
        <w:ind w:leftChars="200" w:right="0" w:rightChars="0"/>
        <w:jc w:val="left"/>
        <w:textAlignment w:val="auto"/>
        <w:outlineLvl w:val="1"/>
        <w:rPr>
          <w:rFonts w:hint="eastAsia" w:ascii="黑体" w:hAnsi="黑体" w:eastAsia="黑体" w:cs="黑体"/>
          <w:b w:val="0"/>
          <w:bCs w:val="0"/>
          <w:color w:val="000000"/>
          <w:sz w:val="30"/>
          <w:szCs w:val="30"/>
          <w:lang w:val="en-US" w:eastAsia="zh-CN"/>
        </w:rPr>
      </w:pPr>
      <w:bookmarkStart w:id="70" w:name="_Toc6994"/>
      <w:r>
        <w:rPr>
          <w:rFonts w:hint="eastAsia" w:ascii="黑体" w:hAnsi="黑体" w:eastAsia="黑体" w:cs="黑体"/>
          <w:b w:val="0"/>
          <w:bCs w:val="0"/>
          <w:color w:val="000000"/>
          <w:sz w:val="30"/>
          <w:szCs w:val="30"/>
          <w:lang w:val="en-US" w:eastAsia="zh-CN"/>
        </w:rPr>
        <w:t>九、国有资本经营预算支出决算情况说明</w:t>
      </w:r>
      <w:bookmarkEnd w:id="68"/>
      <w:bookmarkEnd w:id="69"/>
      <w:bookmarkEnd w:id="70"/>
      <w:bookmarkStart w:id="71" w:name="_Toc15396612"/>
      <w:bookmarkStart w:id="72" w:name="_Toc15377221"/>
    </w:p>
    <w:p w14:paraId="5673F1EB">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color w:val="000000"/>
          <w:sz w:val="30"/>
          <w:szCs w:val="30"/>
          <w:lang w:eastAsia="zh-CN"/>
        </w:rPr>
        <w:t>2020</w:t>
      </w:r>
      <w:r>
        <w:rPr>
          <w:rFonts w:hint="eastAsia" w:ascii="仿宋_GB2312" w:hAnsi="仿宋_GB2312" w:eastAsia="仿宋_GB2312" w:cs="仿宋_GB2312"/>
          <w:b w:val="0"/>
          <w:bCs/>
          <w:color w:val="000000"/>
          <w:sz w:val="30"/>
          <w:szCs w:val="30"/>
        </w:rPr>
        <w:t>年国有资本经营预算拨款支出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p>
    <w:p w14:paraId="4763D08B">
      <w:pPr>
        <w:pStyle w:val="24"/>
        <w:widowControl w:val="0"/>
        <w:numPr>
          <w:ilvl w:val="0"/>
          <w:numId w:val="0"/>
        </w:numPr>
        <w:wordWrap/>
        <w:snapToGrid/>
        <w:spacing w:line="240" w:lineRule="auto"/>
        <w:ind w:leftChars="200" w:right="0" w:rightChars="0"/>
        <w:jc w:val="left"/>
        <w:textAlignment w:val="auto"/>
        <w:outlineLvl w:val="1"/>
        <w:rPr>
          <w:rStyle w:val="37"/>
          <w:rFonts w:hint="eastAsia" w:ascii="黑体" w:hAnsi="黑体" w:eastAsia="黑体" w:cs="黑体"/>
          <w:sz w:val="30"/>
          <w:szCs w:val="30"/>
        </w:rPr>
      </w:pPr>
      <w:bookmarkStart w:id="73" w:name="_Toc10925"/>
      <w:r>
        <w:rPr>
          <w:rFonts w:hint="eastAsia" w:ascii="黑体" w:hAnsi="黑体" w:eastAsia="黑体" w:cs="黑体"/>
          <w:b w:val="0"/>
          <w:bCs w:val="0"/>
          <w:color w:val="000000"/>
          <w:sz w:val="30"/>
          <w:szCs w:val="30"/>
          <w:lang w:val="en-US" w:eastAsia="zh-CN"/>
        </w:rPr>
        <w:t>十、其他重要事项的情况说</w:t>
      </w:r>
      <w:r>
        <w:rPr>
          <w:rStyle w:val="37"/>
          <w:rFonts w:hint="eastAsia" w:ascii="黑体" w:hAnsi="黑体" w:eastAsia="黑体" w:cs="黑体"/>
          <w:b w:val="0"/>
          <w:sz w:val="30"/>
          <w:szCs w:val="30"/>
        </w:rPr>
        <w:t>明</w:t>
      </w:r>
      <w:bookmarkEnd w:id="71"/>
      <w:bookmarkEnd w:id="72"/>
      <w:bookmarkEnd w:id="73"/>
    </w:p>
    <w:p w14:paraId="22D229A0">
      <w:pPr>
        <w:widowControl w:val="0"/>
        <w:wordWrap/>
        <w:snapToGrid/>
        <w:spacing w:line="240" w:lineRule="auto"/>
        <w:ind w:left="0" w:leftChars="0" w:right="0" w:firstLine="602" w:firstLineChars="200"/>
        <w:jc w:val="left"/>
        <w:textAlignment w:val="auto"/>
        <w:outlineLvl w:val="2"/>
        <w:rPr>
          <w:rFonts w:hint="eastAsia" w:ascii="仿宋_GB2312" w:hAnsi="仿宋_GB2312" w:eastAsia="仿宋_GB2312" w:cs="仿宋_GB2312"/>
          <w:color w:val="000000"/>
          <w:sz w:val="30"/>
          <w:szCs w:val="30"/>
        </w:rPr>
      </w:pPr>
      <w:bookmarkStart w:id="74" w:name="_Toc3801"/>
      <w:bookmarkStart w:id="75" w:name="_Toc15377222"/>
      <w:r>
        <w:rPr>
          <w:rFonts w:hint="eastAsia" w:ascii="仿宋_GB2312" w:hAnsi="仿宋_GB2312" w:eastAsia="仿宋_GB2312" w:cs="仿宋_GB2312"/>
          <w:b/>
          <w:color w:val="000000"/>
          <w:sz w:val="30"/>
          <w:szCs w:val="30"/>
        </w:rPr>
        <w:t>（一）机关运行经费支出情况</w:t>
      </w:r>
      <w:bookmarkEnd w:id="74"/>
      <w:bookmarkEnd w:id="75"/>
    </w:p>
    <w:p w14:paraId="621ABA65">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auto"/>
          <w:sz w:val="30"/>
          <w:szCs w:val="30"/>
          <w:highlight w:val="none"/>
          <w:lang w:eastAsia="zh-CN"/>
        </w:rPr>
        <w:t>区</w:t>
      </w:r>
      <w:r>
        <w:rPr>
          <w:rFonts w:hint="eastAsia" w:ascii="仿宋_GB2312" w:hAnsi="仿宋_GB2312" w:eastAsia="仿宋_GB2312" w:cs="仿宋_GB2312"/>
          <w:color w:val="auto"/>
          <w:sz w:val="30"/>
          <w:szCs w:val="30"/>
          <w:highlight w:val="none"/>
          <w:lang w:val="en-US" w:eastAsia="zh-CN"/>
        </w:rPr>
        <w:t>教育局</w:t>
      </w:r>
      <w:r>
        <w:rPr>
          <w:rFonts w:hint="eastAsia" w:ascii="仿宋_GB2312" w:hAnsi="仿宋_GB2312" w:eastAsia="仿宋_GB2312" w:cs="仿宋_GB2312"/>
          <w:color w:val="auto"/>
          <w:sz w:val="30"/>
          <w:szCs w:val="30"/>
          <w:highlight w:val="none"/>
          <w:lang w:eastAsia="zh-CN"/>
        </w:rPr>
        <w:t>机关</w:t>
      </w:r>
      <w:r>
        <w:rPr>
          <w:rFonts w:hint="eastAsia" w:ascii="仿宋_GB2312" w:hAnsi="仿宋_GB2312" w:eastAsia="仿宋_GB2312" w:cs="仿宋_GB2312"/>
          <w:color w:val="000000"/>
          <w:sz w:val="30"/>
          <w:szCs w:val="30"/>
        </w:rPr>
        <w:t>运行经费支出</w:t>
      </w:r>
      <w:r>
        <w:rPr>
          <w:rFonts w:hint="eastAsia" w:ascii="仿宋_GB2312" w:hAnsi="仿宋_GB2312" w:eastAsia="仿宋_GB2312" w:cs="仿宋_GB2312"/>
          <w:color w:val="000000"/>
          <w:sz w:val="30"/>
          <w:szCs w:val="30"/>
          <w:lang w:val="en-US" w:eastAsia="zh-CN"/>
        </w:rPr>
        <w:t>825.1984</w:t>
      </w:r>
      <w:r>
        <w:rPr>
          <w:rFonts w:hint="eastAsia" w:ascii="仿宋_GB2312" w:hAnsi="仿宋_GB2312" w:eastAsia="仿宋_GB2312" w:cs="仿宋_GB2312"/>
          <w:color w:val="000000"/>
          <w:sz w:val="30"/>
          <w:szCs w:val="30"/>
        </w:rPr>
        <w:t>万元，比</w:t>
      </w:r>
      <w:r>
        <w:rPr>
          <w:rFonts w:hint="eastAsia" w:ascii="仿宋_GB2312" w:hAnsi="仿宋_GB2312" w:eastAsia="仿宋_GB2312" w:cs="仿宋_GB2312"/>
          <w:color w:val="000000"/>
          <w:sz w:val="30"/>
          <w:szCs w:val="30"/>
          <w:lang w:eastAsia="zh-CN"/>
        </w:rPr>
        <w:t>2019</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000000"/>
          <w:sz w:val="30"/>
          <w:szCs w:val="30"/>
          <w:lang w:val="en-US" w:eastAsia="zh-CN"/>
        </w:rPr>
        <w:t>减少45.3216</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color w:val="000000"/>
          <w:sz w:val="30"/>
          <w:szCs w:val="30"/>
          <w:lang w:val="en-US" w:eastAsia="zh-CN"/>
        </w:rPr>
        <w:t>下降52.06</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auto"/>
          <w:sz w:val="30"/>
          <w:szCs w:val="30"/>
          <w:highlight w:val="none"/>
        </w:rPr>
        <w:t>主要原因是</w:t>
      </w:r>
      <w:r>
        <w:rPr>
          <w:rFonts w:hint="eastAsia" w:ascii="仿宋_GB2312" w:hAnsi="仿宋_GB2312" w:eastAsia="仿宋_GB2312" w:cs="仿宋_GB2312"/>
          <w:color w:val="auto"/>
          <w:sz w:val="30"/>
          <w:szCs w:val="30"/>
          <w:highlight w:val="none"/>
          <w:lang w:val="en-US" w:eastAsia="zh-CN"/>
        </w:rPr>
        <w:t>项目支出减少</w:t>
      </w:r>
      <w:r>
        <w:rPr>
          <w:rFonts w:hint="eastAsia" w:ascii="仿宋_GB2312" w:hAnsi="仿宋_GB2312" w:eastAsia="仿宋_GB2312" w:cs="仿宋_GB2312"/>
          <w:color w:val="000000"/>
          <w:sz w:val="30"/>
          <w:szCs w:val="30"/>
          <w:lang w:eastAsia="zh-CN"/>
        </w:rPr>
        <w:t>。</w:t>
      </w:r>
    </w:p>
    <w:p w14:paraId="40A8C20C">
      <w:pPr>
        <w:widowControl w:val="0"/>
        <w:wordWrap/>
        <w:autoSpaceDE w:val="0"/>
        <w:autoSpaceDN w:val="0"/>
        <w:adjustRightInd w:val="0"/>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76" w:name="_Toc15377223"/>
      <w:bookmarkStart w:id="77" w:name="_Toc32467"/>
      <w:r>
        <w:rPr>
          <w:rFonts w:hint="eastAsia" w:ascii="仿宋_GB2312" w:hAnsi="仿宋_GB2312" w:eastAsia="仿宋_GB2312" w:cs="仿宋_GB2312"/>
          <w:b/>
          <w:color w:val="000000"/>
          <w:sz w:val="30"/>
          <w:szCs w:val="30"/>
        </w:rPr>
        <w:t>（二）政府采购支出情况</w:t>
      </w:r>
      <w:bookmarkEnd w:id="76"/>
      <w:bookmarkEnd w:id="77"/>
    </w:p>
    <w:p w14:paraId="2EB42476">
      <w:pPr>
        <w:widowControl w:val="0"/>
        <w:wordWrap/>
        <w:snapToGrid/>
        <w:spacing w:line="240" w:lineRule="auto"/>
        <w:ind w:left="0" w:leftChars="0" w:right="0" w:firstLine="600" w:firstLineChars="200"/>
        <w:jc w:val="left"/>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auto"/>
          <w:sz w:val="30"/>
          <w:szCs w:val="30"/>
          <w:highlight w:val="none"/>
          <w:lang w:eastAsia="zh-CN"/>
        </w:rPr>
        <w:t>区</w:t>
      </w:r>
      <w:r>
        <w:rPr>
          <w:rFonts w:hint="eastAsia" w:ascii="仿宋_GB2312" w:hAnsi="仿宋_GB2312" w:eastAsia="仿宋_GB2312" w:cs="仿宋_GB2312"/>
          <w:color w:val="auto"/>
          <w:sz w:val="30"/>
          <w:szCs w:val="30"/>
          <w:highlight w:val="none"/>
          <w:lang w:val="en-US" w:eastAsia="zh-CN"/>
        </w:rPr>
        <w:t>教育局</w:t>
      </w:r>
      <w:r>
        <w:rPr>
          <w:rFonts w:hint="eastAsia" w:ascii="仿宋_GB2312" w:hAnsi="仿宋_GB2312" w:eastAsia="仿宋_GB2312" w:cs="仿宋_GB2312"/>
          <w:color w:val="000000"/>
          <w:sz w:val="30"/>
          <w:szCs w:val="30"/>
        </w:rPr>
        <w:t>政府采购支出总额</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color w:val="000000"/>
          <w:sz w:val="30"/>
          <w:szCs w:val="30"/>
          <w:lang w:eastAsia="zh-CN"/>
        </w:rPr>
        <w:t>。</w:t>
      </w:r>
    </w:p>
    <w:p w14:paraId="507BF224">
      <w:pPr>
        <w:widowControl w:val="0"/>
        <w:wordWrap/>
        <w:autoSpaceDE w:val="0"/>
        <w:autoSpaceDN w:val="0"/>
        <w:adjustRightInd w:val="0"/>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bookmarkStart w:id="78" w:name="_Toc15377224"/>
      <w:bookmarkStart w:id="79" w:name="_Toc8150"/>
      <w:r>
        <w:rPr>
          <w:rFonts w:hint="eastAsia" w:ascii="仿宋_GB2312" w:hAnsi="仿宋_GB2312" w:eastAsia="仿宋_GB2312" w:cs="仿宋_GB2312"/>
          <w:b/>
          <w:color w:val="000000"/>
          <w:sz w:val="30"/>
          <w:szCs w:val="30"/>
        </w:rPr>
        <w:t>（三）国有资产占有使用情况</w:t>
      </w:r>
      <w:bookmarkEnd w:id="78"/>
      <w:bookmarkEnd w:id="79"/>
    </w:p>
    <w:p w14:paraId="2553F8D0">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bookmarkStart w:id="80" w:name="_Toc22180"/>
      <w:r>
        <w:rPr>
          <w:rFonts w:ascii="仿宋_GB2312" w:eastAsia="仿宋_GB2312"/>
          <w:color w:val="000000"/>
          <w:sz w:val="32"/>
          <w:szCs w:val="32"/>
        </w:rPr>
        <w:t>截至2020年12月31日，我单位共有车辆0辆，其中：主要领导干部用车0辆、机要通信用车0辆、应急保障用车0辆、其他用车0辆，其他用车主要是用于流动文化车及流动图书车单价50万元以上通用设备0台（套），单价100万元以上专用设备0台</w:t>
      </w:r>
      <w:r>
        <w:rPr>
          <w:rFonts w:hint="eastAsia" w:ascii="仿宋_GB2312" w:eastAsia="仿宋_GB2312"/>
          <w:color w:val="000000"/>
          <w:sz w:val="32"/>
          <w:szCs w:val="32"/>
          <w:lang w:eastAsia="zh-CN"/>
        </w:rPr>
        <w:t>。</w:t>
      </w:r>
    </w:p>
    <w:p w14:paraId="276284CA">
      <w:pPr>
        <w:widowControl w:val="0"/>
        <w:wordWrap/>
        <w:autoSpaceDE w:val="0"/>
        <w:autoSpaceDN w:val="0"/>
        <w:adjustRightInd w:val="0"/>
        <w:snapToGrid/>
        <w:spacing w:line="240" w:lineRule="auto"/>
        <w:ind w:left="0" w:leftChars="0" w:right="0" w:firstLine="602" w:firstLineChars="200"/>
        <w:jc w:val="left"/>
        <w:textAlignment w:val="auto"/>
        <w:outlineLvl w:val="2"/>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（四）预算绩效管理情况。</w:t>
      </w:r>
      <w:bookmarkEnd w:id="80"/>
    </w:p>
    <w:p w14:paraId="3611FEA2">
      <w:pPr>
        <w:widowControl w:val="0"/>
        <w:numPr>
          <w:ilvl w:val="0"/>
          <w:numId w:val="0"/>
        </w:numPr>
        <w:wordWrap/>
        <w:snapToGrid/>
        <w:spacing w:line="24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2020年度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en-US" w:eastAsia="zh-CN"/>
        </w:rPr>
        <w:t>招商引资工作经费和争取项目工作经费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2个项目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p>
    <w:p w14:paraId="5C19C211">
      <w:pPr>
        <w:numPr>
          <w:ilvl w:val="0"/>
          <w:numId w:val="2"/>
        </w:numPr>
        <w:spacing w:line="580" w:lineRule="exact"/>
        <w:ind w:firstLine="640" w:firstLineChars="200"/>
        <w:rPr>
          <w:rFonts w:hint="eastAsia"/>
          <w:lang w:val="en-US" w:eastAsia="zh-CN"/>
        </w:rPr>
      </w:pPr>
      <w:r>
        <w:rPr>
          <w:rFonts w:hint="eastAsia" w:ascii="楷体_GB2312" w:hAnsi="楷体_GB2312" w:eastAsia="楷体_GB2312" w:cs="楷体_GB2312"/>
          <w:color w:val="auto"/>
          <w:sz w:val="32"/>
          <w:szCs w:val="32"/>
          <w:highlight w:val="none"/>
        </w:rPr>
        <w:t>项目绩效目标完成情况。</w:t>
      </w:r>
    </w:p>
    <w:p w14:paraId="32DFEE66">
      <w:pPr>
        <w:pStyle w:val="5"/>
        <w:rPr>
          <w:rFonts w:hint="eastAsia" w:ascii="楷体_GB2312" w:hAnsi="楷体_GB2312" w:eastAsia="楷体_GB2312" w:cs="楷体_GB2312"/>
          <w:color w:val="auto"/>
          <w:sz w:val="32"/>
          <w:szCs w:val="32"/>
          <w:highlight w:val="none"/>
        </w:rPr>
      </w:pPr>
    </w:p>
    <w:p w14:paraId="40C2F519">
      <w:pPr>
        <w:rPr>
          <w:rFonts w:hint="eastAsia" w:ascii="楷体_GB2312" w:hAnsi="楷体_GB2312" w:eastAsia="楷体_GB2312" w:cs="楷体_GB2312"/>
          <w:color w:val="auto"/>
          <w:sz w:val="32"/>
          <w:szCs w:val="32"/>
          <w:highlight w:val="none"/>
        </w:rPr>
      </w:pPr>
    </w:p>
    <w:p w14:paraId="6DCC7AF0">
      <w:pPr>
        <w:pStyle w:val="5"/>
        <w:rPr>
          <w:rFonts w:hint="eastAsia" w:ascii="楷体_GB2312" w:hAnsi="楷体_GB2312" w:eastAsia="楷体_GB2312" w:cs="楷体_GB2312"/>
          <w:color w:val="auto"/>
          <w:sz w:val="32"/>
          <w:szCs w:val="32"/>
          <w:highlight w:val="none"/>
        </w:rPr>
      </w:pPr>
    </w:p>
    <w:p w14:paraId="0CE3C264">
      <w:pPr>
        <w:rPr>
          <w:rFonts w:hint="eastAsia" w:ascii="楷体_GB2312" w:hAnsi="楷体_GB2312" w:eastAsia="楷体_GB2312" w:cs="楷体_GB2312"/>
          <w:color w:val="auto"/>
          <w:sz w:val="32"/>
          <w:szCs w:val="32"/>
          <w:highlight w:val="none"/>
        </w:rPr>
      </w:pPr>
    </w:p>
    <w:p w14:paraId="2DE3391B">
      <w:pPr>
        <w:pStyle w:val="5"/>
        <w:rPr>
          <w:rFonts w:hint="eastAsia" w:ascii="楷体_GB2312" w:hAnsi="楷体_GB2312" w:eastAsia="楷体_GB2312" w:cs="楷体_GB2312"/>
          <w:color w:val="auto"/>
          <w:sz w:val="32"/>
          <w:szCs w:val="32"/>
          <w:highlight w:val="none"/>
        </w:rPr>
      </w:pPr>
    </w:p>
    <w:p w14:paraId="78DA4CCB">
      <w:pPr>
        <w:rPr>
          <w:rFonts w:hint="eastAsia" w:ascii="楷体_GB2312" w:hAnsi="楷体_GB2312" w:eastAsia="楷体_GB2312" w:cs="楷体_GB2312"/>
          <w:color w:val="auto"/>
          <w:sz w:val="32"/>
          <w:szCs w:val="32"/>
          <w:highlight w:val="none"/>
        </w:rPr>
      </w:pPr>
    </w:p>
    <w:p w14:paraId="208B96E4">
      <w:pPr>
        <w:pStyle w:val="5"/>
        <w:rPr>
          <w:rFonts w:hint="eastAsia" w:ascii="楷体_GB2312" w:hAnsi="楷体_GB2312" w:eastAsia="楷体_GB2312" w:cs="楷体_GB2312"/>
          <w:color w:val="auto"/>
          <w:sz w:val="32"/>
          <w:szCs w:val="32"/>
          <w:highlight w:val="none"/>
        </w:rPr>
      </w:pPr>
    </w:p>
    <w:p w14:paraId="07248FBA">
      <w:pPr>
        <w:rPr>
          <w:rFonts w:hint="eastAsia" w:ascii="楷体_GB2312" w:hAnsi="楷体_GB2312" w:eastAsia="楷体_GB2312" w:cs="楷体_GB2312"/>
          <w:color w:val="auto"/>
          <w:sz w:val="32"/>
          <w:szCs w:val="32"/>
          <w:highlight w:val="none"/>
        </w:rPr>
      </w:pPr>
    </w:p>
    <w:tbl>
      <w:tblPr>
        <w:tblStyle w:val="18"/>
        <w:tblpPr w:leftFromText="180" w:rightFromText="180" w:vertAnchor="text" w:horzAnchor="page" w:tblpX="1570" w:tblpY="212"/>
        <w:tblOverlap w:val="never"/>
        <w:tblW w:w="85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5"/>
        <w:gridCol w:w="1120"/>
        <w:gridCol w:w="1532"/>
        <w:gridCol w:w="1123"/>
        <w:gridCol w:w="1609"/>
        <w:gridCol w:w="1754"/>
        <w:gridCol w:w="236"/>
      </w:tblGrid>
      <w:tr w14:paraId="753E9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trPr>
        <w:tc>
          <w:tcPr>
            <w:tcW w:w="8343" w:type="dxa"/>
            <w:gridSpan w:val="6"/>
            <w:tcBorders>
              <w:top w:val="nil"/>
              <w:left w:val="nil"/>
              <w:bottom w:val="nil"/>
              <w:right w:val="nil"/>
            </w:tcBorders>
            <w:shd w:val="clear" w:color="auto" w:fill="auto"/>
            <w:vAlign w:val="center"/>
          </w:tcPr>
          <w:p w14:paraId="34742FB5">
            <w:pPr>
              <w:keepNext w:val="0"/>
              <w:keepLines w:val="0"/>
              <w:widowControl w:val="0"/>
              <w:numPr>
                <w:ilvl w:val="0"/>
                <w:numId w:val="0"/>
              </w:numPr>
              <w:suppressLineNumbers w:val="0"/>
              <w:wordWrap/>
              <w:snapToGrid/>
              <w:spacing w:before="0" w:beforeAutospacing="0" w:after="0" w:afterAutospacing="0" w:line="240" w:lineRule="auto"/>
              <w:ind w:left="0" w:right="0"/>
              <w:jc w:val="center"/>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2020年部门预算项目绩效目标自评</w:t>
            </w:r>
          </w:p>
          <w:p w14:paraId="01002B4A">
            <w:pPr>
              <w:keepNext w:val="0"/>
              <w:keepLines w:val="0"/>
              <w:widowControl w:val="0"/>
              <w:numPr>
                <w:ilvl w:val="0"/>
                <w:numId w:val="0"/>
              </w:numPr>
              <w:suppressLineNumbers w:val="0"/>
              <w:wordWrap/>
              <w:snapToGrid/>
              <w:spacing w:before="0" w:beforeAutospacing="0" w:after="0" w:afterAutospacing="0" w:line="240" w:lineRule="auto"/>
              <w:ind w:left="0" w:right="0"/>
              <w:jc w:val="center"/>
              <w:textAlignment w:val="auto"/>
              <w:outlineLvl w:val="9"/>
              <w:rPr>
                <w:rFonts w:hint="eastAsia"/>
              </w:rPr>
            </w:pPr>
            <w:r>
              <w:rPr>
                <w:rFonts w:hint="eastAsia" w:ascii="仿宋_GB2312" w:hAnsi="仿宋_GB2312" w:eastAsia="仿宋_GB2312" w:cs="仿宋_GB2312"/>
                <w:color w:val="auto"/>
                <w:sz w:val="28"/>
                <w:szCs w:val="28"/>
                <w:highlight w:val="none"/>
                <w:lang w:val="en-US" w:eastAsia="zh-CN"/>
              </w:rPr>
              <w:t>（2020年招商引资工作经费）</w:t>
            </w:r>
          </w:p>
        </w:tc>
        <w:tc>
          <w:tcPr>
            <w:tcW w:w="236" w:type="dxa"/>
            <w:tcBorders>
              <w:top w:val="nil"/>
              <w:left w:val="nil"/>
              <w:bottom w:val="nil"/>
              <w:right w:val="nil"/>
            </w:tcBorders>
            <w:shd w:val="clear" w:color="auto" w:fill="auto"/>
            <w:vAlign w:val="center"/>
          </w:tcPr>
          <w:p w14:paraId="5D178B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14:paraId="039D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72"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5FF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4E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360301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9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5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18"/>
                <w:szCs w:val="18"/>
                <w:highlight w:val="none"/>
                <w:u w:val="none"/>
                <w:lang w:val="en-US" w:eastAsia="zh-CN"/>
              </w:rPr>
              <w:t>广元市昭化区教育局</w:t>
            </w:r>
          </w:p>
        </w:tc>
      </w:tr>
      <w:tr w14:paraId="70C6D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07" w:hRule="atLeast"/>
        </w:trPr>
        <w:tc>
          <w:tcPr>
            <w:tcW w:w="23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09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14:paraId="3941D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14:paraId="7D9E3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5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5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2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执行数：</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53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2.5</w:t>
            </w:r>
          </w:p>
        </w:tc>
      </w:tr>
      <w:tr w14:paraId="36C6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72" w:hRule="atLeast"/>
        </w:trPr>
        <w:tc>
          <w:tcPr>
            <w:tcW w:w="23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F7B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E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其中：财政拨款</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0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D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其中：财政拨款</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8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2.5</w:t>
            </w:r>
          </w:p>
        </w:tc>
      </w:tr>
      <w:tr w14:paraId="53BF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07" w:hRule="atLeast"/>
        </w:trPr>
        <w:tc>
          <w:tcPr>
            <w:tcW w:w="23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31A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DC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D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F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E3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r>
      <w:tr w14:paraId="6131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07" w:hRule="atLeast"/>
        </w:trPr>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8F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14:paraId="759F3E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36A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425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14:paraId="0EE5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503"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CA1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3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F2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top"/>
              <w:rPr>
                <w:rFonts w:hint="eastAsia" w:ascii="仿宋" w:hAnsi="仿宋" w:eastAsia="仿宋" w:cs="仿宋"/>
                <w:i w:val="0"/>
                <w:color w:val="auto"/>
                <w:sz w:val="22"/>
                <w:szCs w:val="22"/>
                <w:highlight w:val="none"/>
                <w:u w:val="none"/>
              </w:rPr>
            </w:pPr>
            <w:r>
              <w:rPr>
                <w:rFonts w:hint="eastAsia" w:ascii="仿宋" w:hAnsi="仿宋" w:eastAsia="仿宋" w:cs="仿宋"/>
                <w:i w:val="0"/>
                <w:color w:val="auto"/>
                <w:sz w:val="22"/>
                <w:szCs w:val="22"/>
                <w:highlight w:val="none"/>
                <w:u w:val="none"/>
              </w:rPr>
              <w:t>提</w:t>
            </w:r>
            <w:r>
              <w:rPr>
                <w:rFonts w:hint="eastAsia" w:ascii="仿宋" w:hAnsi="仿宋" w:eastAsia="仿宋" w:cs="仿宋"/>
                <w:i w:val="0"/>
                <w:color w:val="auto"/>
                <w:sz w:val="20"/>
                <w:szCs w:val="20"/>
                <w:highlight w:val="none"/>
                <w:u w:val="none"/>
              </w:rPr>
              <w:t>升全区教育办学综合实力，减少对政府的依托</w:t>
            </w:r>
            <w:r>
              <w:rPr>
                <w:rFonts w:hint="eastAsia" w:ascii="仿宋" w:hAnsi="仿宋" w:eastAsia="仿宋" w:cs="仿宋"/>
                <w:i w:val="0"/>
                <w:color w:val="auto"/>
                <w:sz w:val="20"/>
                <w:szCs w:val="20"/>
                <w:highlight w:val="none"/>
                <w:u w:val="none"/>
                <w:lang w:eastAsia="zh-CN"/>
              </w:rPr>
              <w:t>，</w:t>
            </w:r>
            <w:r>
              <w:rPr>
                <w:rFonts w:hint="eastAsia" w:ascii="仿宋" w:hAnsi="仿宋" w:eastAsia="仿宋" w:cs="仿宋"/>
                <w:i w:val="0"/>
                <w:color w:val="auto"/>
                <w:sz w:val="20"/>
                <w:szCs w:val="20"/>
                <w:highlight w:val="none"/>
                <w:u w:val="none"/>
              </w:rPr>
              <w:t>完成2020年度招商引资</w:t>
            </w:r>
            <w:r>
              <w:rPr>
                <w:rFonts w:hint="eastAsia" w:ascii="仿宋" w:hAnsi="仿宋" w:eastAsia="仿宋" w:cs="仿宋"/>
                <w:i w:val="0"/>
                <w:color w:val="auto"/>
                <w:sz w:val="20"/>
                <w:szCs w:val="20"/>
                <w:highlight w:val="none"/>
                <w:u w:val="none"/>
                <w:lang w:val="en-US" w:eastAsia="zh-CN"/>
              </w:rPr>
              <w:t>1000万元</w:t>
            </w:r>
            <w:r>
              <w:rPr>
                <w:rFonts w:hint="eastAsia" w:ascii="仿宋" w:hAnsi="仿宋" w:eastAsia="仿宋" w:cs="仿宋"/>
                <w:i w:val="0"/>
                <w:color w:val="auto"/>
                <w:sz w:val="20"/>
                <w:szCs w:val="20"/>
                <w:highlight w:val="none"/>
                <w:u w:val="none"/>
              </w:rPr>
              <w:t>工作任务目标。</w:t>
            </w:r>
          </w:p>
        </w:tc>
        <w:tc>
          <w:tcPr>
            <w:tcW w:w="3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96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top"/>
              <w:rPr>
                <w:rFonts w:hint="eastAsia" w:ascii="仿宋" w:hAnsi="仿宋" w:eastAsia="仿宋" w:cs="仿宋"/>
                <w:i w:val="0"/>
                <w:color w:val="auto"/>
                <w:sz w:val="28"/>
                <w:szCs w:val="28"/>
                <w:highlight w:val="none"/>
                <w:u w:val="none"/>
              </w:rPr>
            </w:pPr>
            <w:r>
              <w:rPr>
                <w:rFonts w:hint="eastAsia" w:ascii="仿宋" w:hAnsi="仿宋" w:eastAsia="仿宋" w:cs="仿宋"/>
                <w:i w:val="0"/>
                <w:color w:val="auto"/>
                <w:sz w:val="20"/>
                <w:szCs w:val="20"/>
                <w:highlight w:val="none"/>
                <w:u w:val="none"/>
              </w:rPr>
              <w:t>1.完成中小学研学实践活动基地建设项目15</w:t>
            </w:r>
            <w:r>
              <w:rPr>
                <w:rFonts w:hint="eastAsia" w:ascii="仿宋" w:hAnsi="仿宋" w:eastAsia="仿宋" w:cs="仿宋"/>
                <w:i w:val="0"/>
                <w:color w:val="auto"/>
                <w:sz w:val="20"/>
                <w:szCs w:val="20"/>
                <w:highlight w:val="none"/>
                <w:u w:val="none"/>
                <w:lang w:val="en-US" w:eastAsia="zh-CN"/>
              </w:rPr>
              <w:t>0</w:t>
            </w:r>
            <w:r>
              <w:rPr>
                <w:rFonts w:hint="eastAsia" w:ascii="仿宋" w:hAnsi="仿宋" w:eastAsia="仿宋" w:cs="仿宋"/>
                <w:i w:val="0"/>
                <w:color w:val="auto"/>
                <w:sz w:val="20"/>
                <w:szCs w:val="20"/>
                <w:highlight w:val="none"/>
                <w:u w:val="none"/>
              </w:rPr>
              <w:t>0万元的招商引资工作；</w:t>
            </w:r>
          </w:p>
        </w:tc>
      </w:tr>
      <w:tr w14:paraId="60A2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72" w:hRule="atLeast"/>
        </w:trPr>
        <w:tc>
          <w:tcPr>
            <w:tcW w:w="1205" w:type="dxa"/>
            <w:vMerge w:val="restart"/>
            <w:tcBorders>
              <w:top w:val="single" w:color="000000" w:sz="4" w:space="0"/>
              <w:left w:val="single" w:color="000000" w:sz="4" w:space="0"/>
              <w:right w:val="single" w:color="000000" w:sz="4" w:space="0"/>
            </w:tcBorders>
            <w:shd w:val="clear" w:color="auto" w:fill="auto"/>
            <w:vAlign w:val="center"/>
          </w:tcPr>
          <w:p w14:paraId="000CD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年度绩效指标完成情况</w:t>
            </w:r>
          </w:p>
        </w:tc>
        <w:tc>
          <w:tcPr>
            <w:tcW w:w="1120" w:type="dxa"/>
            <w:tcBorders>
              <w:top w:val="single" w:color="000000" w:sz="4" w:space="0"/>
              <w:left w:val="nil"/>
              <w:bottom w:val="single" w:color="000000" w:sz="4" w:space="0"/>
              <w:right w:val="single" w:color="000000" w:sz="4" w:space="0"/>
            </w:tcBorders>
            <w:shd w:val="clear" w:color="auto" w:fill="auto"/>
            <w:vAlign w:val="center"/>
          </w:tcPr>
          <w:p w14:paraId="18633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一级</w:t>
            </w:r>
          </w:p>
          <w:p w14:paraId="105328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1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二级指标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D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三级指标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E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预期指标值</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9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实际完成指标值</w:t>
            </w:r>
          </w:p>
        </w:tc>
      </w:tr>
      <w:tr w14:paraId="1698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72" w:hRule="atLeast"/>
        </w:trPr>
        <w:tc>
          <w:tcPr>
            <w:tcW w:w="1205" w:type="dxa"/>
            <w:vMerge w:val="continue"/>
            <w:tcBorders>
              <w:left w:val="single" w:color="000000" w:sz="4" w:space="0"/>
              <w:right w:val="single" w:color="000000" w:sz="4" w:space="0"/>
            </w:tcBorders>
            <w:shd w:val="clear" w:color="auto" w:fill="auto"/>
            <w:vAlign w:val="center"/>
          </w:tcPr>
          <w:p w14:paraId="0FA53C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6D1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完成</w:t>
            </w:r>
          </w:p>
          <w:p w14:paraId="21B09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指标</w:t>
            </w:r>
          </w:p>
        </w:tc>
        <w:tc>
          <w:tcPr>
            <w:tcW w:w="1532" w:type="dxa"/>
            <w:vMerge w:val="restart"/>
            <w:tcBorders>
              <w:top w:val="single" w:color="000000" w:sz="4" w:space="0"/>
              <w:left w:val="single" w:color="000000" w:sz="4" w:space="0"/>
              <w:right w:val="single" w:color="000000" w:sz="4" w:space="0"/>
            </w:tcBorders>
            <w:shd w:val="clear" w:color="auto" w:fill="auto"/>
            <w:vAlign w:val="center"/>
          </w:tcPr>
          <w:p w14:paraId="58603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数量指标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7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招商引资任务</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8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lang w:val="en-US" w:eastAsia="zh-CN"/>
              </w:rPr>
              <w:t>1</w:t>
            </w:r>
            <w:r>
              <w:rPr>
                <w:rFonts w:hint="eastAsia" w:ascii="仿宋" w:hAnsi="仿宋" w:eastAsia="仿宋" w:cs="仿宋"/>
                <w:i w:val="0"/>
                <w:color w:val="auto"/>
                <w:sz w:val="21"/>
                <w:szCs w:val="21"/>
                <w:highlight w:val="none"/>
                <w:u w:val="none"/>
              </w:rPr>
              <w:t>个</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4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lang w:val="en-US" w:eastAsia="zh-CN"/>
              </w:rPr>
              <w:t>1</w:t>
            </w:r>
            <w:r>
              <w:rPr>
                <w:rFonts w:hint="eastAsia" w:ascii="仿宋" w:hAnsi="仿宋" w:eastAsia="仿宋" w:cs="仿宋"/>
                <w:i w:val="0"/>
                <w:color w:val="auto"/>
                <w:sz w:val="21"/>
                <w:szCs w:val="21"/>
                <w:highlight w:val="none"/>
                <w:u w:val="none"/>
              </w:rPr>
              <w:t>个</w:t>
            </w:r>
          </w:p>
        </w:tc>
      </w:tr>
      <w:tr w14:paraId="23E9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72" w:hRule="atLeast"/>
        </w:trPr>
        <w:tc>
          <w:tcPr>
            <w:tcW w:w="1205" w:type="dxa"/>
            <w:vMerge w:val="continue"/>
            <w:tcBorders>
              <w:left w:val="single" w:color="000000" w:sz="4" w:space="0"/>
              <w:right w:val="single" w:color="000000" w:sz="4" w:space="0"/>
            </w:tcBorders>
            <w:shd w:val="clear" w:color="auto" w:fill="auto"/>
            <w:vAlign w:val="center"/>
          </w:tcPr>
          <w:p w14:paraId="38FE1F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120" w:type="dxa"/>
            <w:vMerge w:val="continue"/>
            <w:tcBorders>
              <w:left w:val="single" w:color="000000" w:sz="4" w:space="0"/>
              <w:right w:val="single" w:color="000000" w:sz="4" w:space="0"/>
            </w:tcBorders>
            <w:shd w:val="clear" w:color="auto" w:fill="auto"/>
            <w:vAlign w:val="center"/>
          </w:tcPr>
          <w:p w14:paraId="68738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kern w:val="0"/>
                <w:sz w:val="21"/>
                <w:szCs w:val="21"/>
                <w:highlight w:val="none"/>
                <w:u w:val="none"/>
                <w:lang w:val="en-US" w:eastAsia="zh-CN" w:bidi="ar"/>
              </w:rPr>
            </w:pPr>
          </w:p>
        </w:tc>
        <w:tc>
          <w:tcPr>
            <w:tcW w:w="1532" w:type="dxa"/>
            <w:vMerge w:val="continue"/>
            <w:tcBorders>
              <w:left w:val="single" w:color="000000" w:sz="4" w:space="0"/>
              <w:bottom w:val="single" w:color="000000" w:sz="4" w:space="0"/>
              <w:right w:val="single" w:color="000000" w:sz="4" w:space="0"/>
            </w:tcBorders>
            <w:shd w:val="clear" w:color="auto" w:fill="auto"/>
            <w:vAlign w:val="center"/>
          </w:tcPr>
          <w:p w14:paraId="68D03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kern w:val="0"/>
                <w:sz w:val="21"/>
                <w:szCs w:val="21"/>
                <w:highlight w:val="none"/>
                <w:u w:val="none"/>
                <w:lang w:val="en-US" w:eastAsia="zh-CN" w:bidi="ar"/>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0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招商引资任务金额</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7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1000万元</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6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1</w:t>
            </w:r>
            <w:r>
              <w:rPr>
                <w:rFonts w:hint="eastAsia" w:ascii="仿宋" w:hAnsi="仿宋" w:eastAsia="仿宋" w:cs="仿宋"/>
                <w:i w:val="0"/>
                <w:color w:val="auto"/>
                <w:sz w:val="21"/>
                <w:szCs w:val="21"/>
                <w:highlight w:val="none"/>
                <w:u w:val="none"/>
                <w:lang w:val="en-US" w:eastAsia="zh-CN"/>
              </w:rPr>
              <w:t>50</w:t>
            </w:r>
            <w:r>
              <w:rPr>
                <w:rFonts w:hint="eastAsia" w:ascii="仿宋" w:hAnsi="仿宋" w:eastAsia="仿宋" w:cs="仿宋"/>
                <w:i w:val="0"/>
                <w:color w:val="auto"/>
                <w:sz w:val="21"/>
                <w:szCs w:val="21"/>
                <w:highlight w:val="none"/>
                <w:u w:val="none"/>
              </w:rPr>
              <w:t>0万元</w:t>
            </w:r>
          </w:p>
        </w:tc>
      </w:tr>
      <w:tr w14:paraId="0A06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72" w:hRule="atLeast"/>
        </w:trPr>
        <w:tc>
          <w:tcPr>
            <w:tcW w:w="1205" w:type="dxa"/>
            <w:vMerge w:val="continue"/>
            <w:tcBorders>
              <w:left w:val="single" w:color="000000" w:sz="4" w:space="0"/>
              <w:right w:val="single" w:color="000000" w:sz="4" w:space="0"/>
            </w:tcBorders>
            <w:shd w:val="clear" w:color="auto" w:fill="auto"/>
            <w:vAlign w:val="center"/>
          </w:tcPr>
          <w:p w14:paraId="3223BE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73E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7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质量指标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3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教育办学水平</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7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提升全区教育教学水平</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21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提升了全区教育教学水平</w:t>
            </w:r>
          </w:p>
        </w:tc>
      </w:tr>
      <w:tr w14:paraId="48E9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72" w:hRule="atLeast"/>
        </w:trPr>
        <w:tc>
          <w:tcPr>
            <w:tcW w:w="1205" w:type="dxa"/>
            <w:vMerge w:val="continue"/>
            <w:tcBorders>
              <w:left w:val="single" w:color="000000" w:sz="4" w:space="0"/>
              <w:right w:val="single" w:color="000000" w:sz="4" w:space="0"/>
            </w:tcBorders>
            <w:shd w:val="clear" w:color="auto" w:fill="auto"/>
            <w:vAlign w:val="center"/>
          </w:tcPr>
          <w:p w14:paraId="138B7D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A2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0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时效指标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26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开始结束时间</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6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rPr>
              <w:t>202</w:t>
            </w:r>
            <w:r>
              <w:rPr>
                <w:rFonts w:hint="eastAsia" w:ascii="仿宋" w:hAnsi="仿宋" w:eastAsia="仿宋" w:cs="仿宋"/>
                <w:i w:val="0"/>
                <w:color w:val="auto"/>
                <w:sz w:val="21"/>
                <w:szCs w:val="21"/>
                <w:highlight w:val="none"/>
                <w:u w:val="none"/>
                <w:lang w:val="en-US" w:eastAsia="zh-CN"/>
              </w:rPr>
              <w:t>0</w:t>
            </w:r>
            <w:r>
              <w:rPr>
                <w:rFonts w:hint="eastAsia" w:ascii="仿宋" w:hAnsi="仿宋" w:eastAsia="仿宋" w:cs="仿宋"/>
                <w:i w:val="0"/>
                <w:color w:val="auto"/>
                <w:sz w:val="21"/>
                <w:szCs w:val="21"/>
                <w:highlight w:val="none"/>
                <w:u w:val="none"/>
              </w:rPr>
              <w:t>/</w:t>
            </w:r>
            <w:r>
              <w:rPr>
                <w:rFonts w:hint="eastAsia" w:ascii="仿宋" w:hAnsi="仿宋" w:eastAsia="仿宋" w:cs="仿宋"/>
                <w:i w:val="0"/>
                <w:color w:val="auto"/>
                <w:sz w:val="21"/>
                <w:szCs w:val="21"/>
                <w:highlight w:val="none"/>
                <w:u w:val="none"/>
                <w:lang w:val="en-US" w:eastAsia="zh-CN"/>
              </w:rPr>
              <w:t>01</w:t>
            </w:r>
            <w:r>
              <w:rPr>
                <w:rFonts w:hint="eastAsia" w:ascii="仿宋" w:hAnsi="仿宋" w:eastAsia="仿宋" w:cs="仿宋"/>
                <w:i w:val="0"/>
                <w:color w:val="auto"/>
                <w:sz w:val="21"/>
                <w:szCs w:val="21"/>
                <w:highlight w:val="none"/>
                <w:u w:val="none"/>
              </w:rPr>
              <w:t>/</w:t>
            </w:r>
            <w:r>
              <w:rPr>
                <w:rFonts w:hint="eastAsia" w:ascii="仿宋" w:hAnsi="仿宋" w:eastAsia="仿宋" w:cs="仿宋"/>
                <w:i w:val="0"/>
                <w:color w:val="auto"/>
                <w:sz w:val="21"/>
                <w:szCs w:val="21"/>
                <w:highlight w:val="none"/>
                <w:u w:val="none"/>
                <w:lang w:val="en-US" w:eastAsia="zh-CN"/>
              </w:rPr>
              <w:t>01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B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202</w:t>
            </w:r>
            <w:r>
              <w:rPr>
                <w:rFonts w:hint="eastAsia" w:ascii="仿宋" w:hAnsi="仿宋" w:eastAsia="仿宋" w:cs="仿宋"/>
                <w:i w:val="0"/>
                <w:color w:val="auto"/>
                <w:sz w:val="21"/>
                <w:szCs w:val="21"/>
                <w:highlight w:val="none"/>
                <w:u w:val="none"/>
                <w:lang w:val="en-US" w:eastAsia="zh-CN"/>
              </w:rPr>
              <w:t>0</w:t>
            </w:r>
            <w:r>
              <w:rPr>
                <w:rFonts w:hint="eastAsia" w:ascii="仿宋" w:hAnsi="仿宋" w:eastAsia="仿宋" w:cs="仿宋"/>
                <w:i w:val="0"/>
                <w:color w:val="auto"/>
                <w:sz w:val="21"/>
                <w:szCs w:val="21"/>
                <w:highlight w:val="none"/>
                <w:u w:val="none"/>
              </w:rPr>
              <w:t>/12/30</w:t>
            </w:r>
          </w:p>
        </w:tc>
      </w:tr>
      <w:tr w14:paraId="0AB1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72" w:hRule="atLeast"/>
        </w:trPr>
        <w:tc>
          <w:tcPr>
            <w:tcW w:w="1205" w:type="dxa"/>
            <w:vMerge w:val="continue"/>
            <w:tcBorders>
              <w:left w:val="single" w:color="000000" w:sz="4" w:space="0"/>
              <w:right w:val="single" w:color="000000" w:sz="4" w:space="0"/>
            </w:tcBorders>
            <w:shd w:val="clear" w:color="auto" w:fill="auto"/>
            <w:vAlign w:val="center"/>
          </w:tcPr>
          <w:p w14:paraId="269E81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45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81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成本指标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93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办公</w:t>
            </w:r>
            <w:r>
              <w:rPr>
                <w:rFonts w:hint="eastAsia" w:ascii="仿宋" w:hAnsi="仿宋" w:eastAsia="仿宋" w:cs="仿宋"/>
                <w:i w:val="0"/>
                <w:color w:val="auto"/>
                <w:sz w:val="21"/>
                <w:szCs w:val="21"/>
                <w:highlight w:val="none"/>
                <w:u w:val="none"/>
                <w:lang w:val="en-US" w:eastAsia="zh-CN"/>
              </w:rPr>
              <w:t>差旅</w:t>
            </w:r>
            <w:r>
              <w:rPr>
                <w:rFonts w:hint="eastAsia" w:ascii="仿宋" w:hAnsi="仿宋" w:eastAsia="仿宋" w:cs="仿宋"/>
                <w:i w:val="0"/>
                <w:color w:val="auto"/>
                <w:sz w:val="21"/>
                <w:szCs w:val="21"/>
                <w:highlight w:val="none"/>
                <w:u w:val="none"/>
              </w:rPr>
              <w:t>费支出</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5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不超预算</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C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lang w:val="en-US" w:eastAsia="zh-CN"/>
              </w:rPr>
              <w:t>2</w:t>
            </w:r>
            <w:r>
              <w:rPr>
                <w:rFonts w:hint="eastAsia" w:ascii="仿宋" w:hAnsi="仿宋" w:eastAsia="仿宋" w:cs="仿宋"/>
                <w:i w:val="0"/>
                <w:color w:val="auto"/>
                <w:sz w:val="21"/>
                <w:szCs w:val="21"/>
                <w:highlight w:val="none"/>
                <w:u w:val="none"/>
              </w:rPr>
              <w:t>.</w:t>
            </w:r>
            <w:r>
              <w:rPr>
                <w:rFonts w:hint="eastAsia" w:ascii="仿宋" w:hAnsi="仿宋" w:eastAsia="仿宋" w:cs="仿宋"/>
                <w:i w:val="0"/>
                <w:color w:val="auto"/>
                <w:sz w:val="21"/>
                <w:szCs w:val="21"/>
                <w:highlight w:val="none"/>
                <w:u w:val="none"/>
                <w:lang w:val="en-US" w:eastAsia="zh-CN"/>
              </w:rPr>
              <w:t>5</w:t>
            </w:r>
            <w:r>
              <w:rPr>
                <w:rFonts w:hint="eastAsia" w:ascii="仿宋" w:hAnsi="仿宋" w:eastAsia="仿宋" w:cs="仿宋"/>
                <w:i w:val="0"/>
                <w:color w:val="auto"/>
                <w:sz w:val="21"/>
                <w:szCs w:val="21"/>
                <w:highlight w:val="none"/>
                <w:u w:val="none"/>
              </w:rPr>
              <w:t>万元</w:t>
            </w:r>
          </w:p>
        </w:tc>
      </w:tr>
      <w:tr w14:paraId="6F222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137" w:hRule="atLeast"/>
        </w:trPr>
        <w:tc>
          <w:tcPr>
            <w:tcW w:w="1205" w:type="dxa"/>
            <w:vMerge w:val="continue"/>
            <w:tcBorders>
              <w:left w:val="single" w:color="000000" w:sz="4" w:space="0"/>
              <w:right w:val="single" w:color="000000" w:sz="4" w:space="0"/>
            </w:tcBorders>
            <w:shd w:val="clear" w:color="auto" w:fill="auto"/>
            <w:vAlign w:val="center"/>
          </w:tcPr>
          <w:p w14:paraId="5AA0FB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EB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效益</w:t>
            </w:r>
          </w:p>
          <w:p w14:paraId="09A3B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3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经济效益指标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3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经济水平</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9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用优质教育资源带动我区经济发展</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D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利用用优质教育资源带动我区经济发展</w:t>
            </w:r>
          </w:p>
        </w:tc>
      </w:tr>
      <w:tr w14:paraId="7744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72" w:hRule="atLeast"/>
        </w:trPr>
        <w:tc>
          <w:tcPr>
            <w:tcW w:w="1205" w:type="dxa"/>
            <w:vMerge w:val="continue"/>
            <w:tcBorders>
              <w:left w:val="single" w:color="000000" w:sz="4" w:space="0"/>
              <w:right w:val="single" w:color="000000" w:sz="4" w:space="0"/>
            </w:tcBorders>
            <w:shd w:val="clear" w:color="auto" w:fill="auto"/>
            <w:vAlign w:val="center"/>
          </w:tcPr>
          <w:p w14:paraId="1460A0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F07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A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社会效益指标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D5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社会效益</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4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rPr>
              <w:t>引进优质教育资源</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C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lang w:val="en-US" w:eastAsia="zh-CN"/>
              </w:rPr>
              <w:t>为学生</w:t>
            </w:r>
            <w:r>
              <w:rPr>
                <w:rFonts w:hint="eastAsia" w:ascii="仿宋" w:hAnsi="仿宋" w:eastAsia="仿宋" w:cs="仿宋"/>
                <w:i w:val="0"/>
                <w:color w:val="auto"/>
                <w:sz w:val="21"/>
                <w:szCs w:val="21"/>
                <w:highlight w:val="none"/>
                <w:u w:val="none"/>
              </w:rPr>
              <w:t>提供优质教育</w:t>
            </w:r>
          </w:p>
        </w:tc>
      </w:tr>
      <w:tr w14:paraId="0A97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816" w:hRule="atLeast"/>
        </w:trPr>
        <w:tc>
          <w:tcPr>
            <w:tcW w:w="1205" w:type="dxa"/>
            <w:vMerge w:val="continue"/>
            <w:tcBorders>
              <w:left w:val="single" w:color="000000" w:sz="4" w:space="0"/>
              <w:bottom w:val="single" w:color="000000" w:sz="4" w:space="0"/>
              <w:right w:val="single" w:color="000000" w:sz="4" w:space="0"/>
            </w:tcBorders>
            <w:shd w:val="clear" w:color="auto" w:fill="auto"/>
            <w:vAlign w:val="center"/>
          </w:tcPr>
          <w:p w14:paraId="2C94E2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0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满意</w:t>
            </w:r>
          </w:p>
          <w:p w14:paraId="15647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满意度</w:t>
            </w:r>
          </w:p>
          <w:p w14:paraId="50528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E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社会满意度</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1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大于9</w:t>
            </w:r>
            <w:r>
              <w:rPr>
                <w:rFonts w:hint="eastAsia" w:ascii="仿宋" w:hAnsi="仿宋" w:eastAsia="仿宋" w:cs="仿宋"/>
                <w:i w:val="0"/>
                <w:color w:val="auto"/>
                <w:sz w:val="21"/>
                <w:szCs w:val="21"/>
                <w:highlight w:val="none"/>
                <w:u w:val="none"/>
                <w:lang w:val="en-US" w:eastAsia="zh-CN"/>
              </w:rPr>
              <w:t>5</w:t>
            </w:r>
            <w:r>
              <w:rPr>
                <w:rFonts w:hint="eastAsia" w:ascii="仿宋" w:hAnsi="仿宋" w:eastAsia="仿宋" w:cs="仿宋"/>
                <w:i w:val="0"/>
                <w:color w:val="auto"/>
                <w:sz w:val="21"/>
                <w:szCs w:val="21"/>
                <w:highlight w:val="none"/>
                <w:u w:val="none"/>
              </w:rPr>
              <w:t>%</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6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9</w:t>
            </w:r>
            <w:r>
              <w:rPr>
                <w:rFonts w:hint="eastAsia" w:ascii="仿宋" w:hAnsi="仿宋" w:eastAsia="仿宋" w:cs="仿宋"/>
                <w:i w:val="0"/>
                <w:color w:val="auto"/>
                <w:sz w:val="21"/>
                <w:szCs w:val="21"/>
                <w:highlight w:val="none"/>
                <w:u w:val="none"/>
                <w:lang w:val="en-US" w:eastAsia="zh-CN"/>
              </w:rPr>
              <w:t>6</w:t>
            </w:r>
            <w:r>
              <w:rPr>
                <w:rFonts w:hint="eastAsia" w:ascii="仿宋" w:hAnsi="仿宋" w:eastAsia="仿宋" w:cs="仿宋"/>
                <w:i w:val="0"/>
                <w:color w:val="auto"/>
                <w:sz w:val="21"/>
                <w:szCs w:val="21"/>
                <w:highlight w:val="none"/>
                <w:u w:val="none"/>
              </w:rPr>
              <w:t>%</w:t>
            </w:r>
          </w:p>
        </w:tc>
      </w:tr>
      <w:tr w14:paraId="0CC9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trPr>
        <w:tc>
          <w:tcPr>
            <w:tcW w:w="8343" w:type="dxa"/>
            <w:gridSpan w:val="6"/>
            <w:tcBorders>
              <w:top w:val="nil"/>
              <w:left w:val="nil"/>
              <w:bottom w:val="nil"/>
              <w:right w:val="nil"/>
            </w:tcBorders>
            <w:shd w:val="clear" w:color="auto" w:fill="auto"/>
            <w:vAlign w:val="center"/>
          </w:tcPr>
          <w:p w14:paraId="02248EE4">
            <w:pPr>
              <w:keepNext w:val="0"/>
              <w:keepLines w:val="0"/>
              <w:widowControl w:val="0"/>
              <w:numPr>
                <w:ilvl w:val="0"/>
                <w:numId w:val="0"/>
              </w:numPr>
              <w:suppressLineNumbers w:val="0"/>
              <w:wordWrap/>
              <w:snapToGrid/>
              <w:spacing w:before="0" w:beforeAutospacing="0" w:after="0" w:afterAutospacing="0" w:line="240" w:lineRule="auto"/>
              <w:ind w:left="0" w:right="0"/>
              <w:jc w:val="center"/>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2020年部门预算项目绩效目标自评</w:t>
            </w:r>
          </w:p>
          <w:p w14:paraId="7EE55CA8">
            <w:pPr>
              <w:keepNext w:val="0"/>
              <w:keepLines w:val="0"/>
              <w:widowControl w:val="0"/>
              <w:numPr>
                <w:ilvl w:val="0"/>
                <w:numId w:val="0"/>
              </w:numPr>
              <w:suppressLineNumbers w:val="0"/>
              <w:wordWrap/>
              <w:snapToGrid/>
              <w:spacing w:before="0" w:beforeAutospacing="0" w:after="0" w:afterAutospacing="0" w:line="240" w:lineRule="auto"/>
              <w:ind w:left="0" w:right="0"/>
              <w:jc w:val="center"/>
              <w:textAlignment w:val="auto"/>
              <w:outlineLvl w:val="9"/>
              <w:rPr>
                <w:rFonts w:hint="eastAsia"/>
              </w:rPr>
            </w:pPr>
            <w:r>
              <w:rPr>
                <w:rFonts w:hint="eastAsia" w:ascii="仿宋_GB2312" w:hAnsi="仿宋_GB2312" w:eastAsia="仿宋_GB2312" w:cs="仿宋_GB2312"/>
                <w:color w:val="auto"/>
                <w:sz w:val="28"/>
                <w:szCs w:val="28"/>
                <w:highlight w:val="none"/>
                <w:lang w:val="en-US" w:eastAsia="zh-CN"/>
              </w:rPr>
              <w:t>（2020年争取项目工作经费）</w:t>
            </w:r>
          </w:p>
        </w:tc>
        <w:tc>
          <w:tcPr>
            <w:tcW w:w="236" w:type="dxa"/>
            <w:tcBorders>
              <w:top w:val="nil"/>
              <w:left w:val="nil"/>
              <w:bottom w:val="nil"/>
              <w:right w:val="nil"/>
            </w:tcBorders>
            <w:shd w:val="clear" w:color="auto" w:fill="auto"/>
            <w:vAlign w:val="center"/>
          </w:tcPr>
          <w:p w14:paraId="408D6E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14:paraId="3DE90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72"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14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42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360301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46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4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18"/>
                <w:szCs w:val="18"/>
                <w:highlight w:val="none"/>
                <w:u w:val="none"/>
                <w:lang w:val="en-US" w:eastAsia="zh-CN"/>
              </w:rPr>
              <w:t>广元市昭化区教育局</w:t>
            </w:r>
          </w:p>
        </w:tc>
      </w:tr>
      <w:tr w14:paraId="2E5B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07" w:hRule="atLeast"/>
        </w:trPr>
        <w:tc>
          <w:tcPr>
            <w:tcW w:w="23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7A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14:paraId="0D7561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14:paraId="31A71E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E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48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3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执行数：</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7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25</w:t>
            </w:r>
          </w:p>
        </w:tc>
      </w:tr>
      <w:tr w14:paraId="019E8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72" w:hRule="atLeast"/>
        </w:trPr>
        <w:tc>
          <w:tcPr>
            <w:tcW w:w="23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C48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8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其中：财政拨款</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0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3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其中：财政拨款</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2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25</w:t>
            </w:r>
          </w:p>
        </w:tc>
      </w:tr>
      <w:tr w14:paraId="7028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07" w:hRule="atLeast"/>
        </w:trPr>
        <w:tc>
          <w:tcPr>
            <w:tcW w:w="23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F5A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5D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3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C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C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r>
      <w:tr w14:paraId="377E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07" w:hRule="atLeast"/>
        </w:trPr>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8B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14:paraId="4D29A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25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CB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14:paraId="123A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503"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83E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3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10E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top"/>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1.在政策范围内，向上级争取专项建设资金，推进全区教育健康快速发展；2.争取做到校企结合，寻找爱心企业捐建校舍、建立学生助学基金和教师奖励基金等；3.力争引进一所高质量的教育集团学校，提升昭化教育质量。</w:t>
            </w:r>
          </w:p>
        </w:tc>
        <w:tc>
          <w:tcPr>
            <w:tcW w:w="336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B9E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top"/>
              <w:rPr>
                <w:rFonts w:hint="default" w:eastAsia="宋体"/>
                <w:lang w:val="en-US" w:eastAsia="zh-CN"/>
              </w:rPr>
            </w:pPr>
            <w:r>
              <w:rPr>
                <w:rFonts w:hint="eastAsia" w:ascii="仿宋" w:hAnsi="仿宋" w:eastAsia="仿宋" w:cs="仿宋"/>
                <w:i w:val="0"/>
                <w:color w:val="auto"/>
                <w:sz w:val="21"/>
                <w:szCs w:val="21"/>
                <w:highlight w:val="none"/>
                <w:u w:val="none"/>
              </w:rPr>
              <w:t>1.2020年争取上级专项资金40</w:t>
            </w:r>
            <w:r>
              <w:rPr>
                <w:rFonts w:hint="eastAsia" w:ascii="仿宋" w:hAnsi="仿宋" w:eastAsia="仿宋" w:cs="仿宋"/>
                <w:i w:val="0"/>
                <w:color w:val="auto"/>
                <w:sz w:val="21"/>
                <w:szCs w:val="21"/>
                <w:highlight w:val="none"/>
                <w:u w:val="none"/>
                <w:lang w:val="en-US" w:eastAsia="zh-CN"/>
              </w:rPr>
              <w:t>5</w:t>
            </w:r>
            <w:r>
              <w:rPr>
                <w:rFonts w:hint="eastAsia" w:ascii="仿宋" w:hAnsi="仿宋" w:eastAsia="仿宋" w:cs="仿宋"/>
                <w:i w:val="0"/>
                <w:color w:val="auto"/>
                <w:sz w:val="21"/>
                <w:szCs w:val="21"/>
                <w:highlight w:val="none"/>
                <w:u w:val="none"/>
              </w:rPr>
              <w:t>0万元</w:t>
            </w:r>
            <w:r>
              <w:rPr>
                <w:rFonts w:hint="eastAsia" w:ascii="仿宋" w:hAnsi="仿宋" w:eastAsia="仿宋" w:cs="仿宋"/>
                <w:i w:val="0"/>
                <w:color w:val="auto"/>
                <w:sz w:val="21"/>
                <w:szCs w:val="21"/>
                <w:highlight w:val="none"/>
                <w:u w:val="none"/>
                <w:lang w:eastAsia="zh-CN"/>
              </w:rPr>
              <w:t>；</w:t>
            </w:r>
            <w:r>
              <w:rPr>
                <w:rFonts w:hint="eastAsia" w:ascii="仿宋" w:hAnsi="仿宋" w:eastAsia="仿宋" w:cs="仿宋"/>
                <w:i w:val="0"/>
                <w:color w:val="auto"/>
                <w:sz w:val="21"/>
                <w:szCs w:val="21"/>
                <w:highlight w:val="none"/>
                <w:u w:val="none"/>
                <w:lang w:val="en-US" w:eastAsia="zh-CN"/>
              </w:rPr>
              <w:t>2.</w:t>
            </w:r>
            <w:r>
              <w:rPr>
                <w:rFonts w:hint="eastAsia" w:ascii="仿宋" w:hAnsi="仿宋" w:eastAsia="仿宋" w:cs="仿宋"/>
                <w:i w:val="0"/>
                <w:color w:val="auto"/>
                <w:sz w:val="21"/>
                <w:szCs w:val="21"/>
                <w:highlight w:val="none"/>
                <w:u w:val="none"/>
              </w:rPr>
              <w:t>完成实验小学剑瓷楼投入资金500万元</w:t>
            </w:r>
            <w:r>
              <w:rPr>
                <w:rFonts w:hint="eastAsia" w:ascii="仿宋" w:hAnsi="仿宋" w:eastAsia="仿宋" w:cs="仿宋"/>
                <w:i w:val="0"/>
                <w:color w:val="auto"/>
                <w:sz w:val="21"/>
                <w:szCs w:val="21"/>
                <w:highlight w:val="none"/>
                <w:u w:val="none"/>
                <w:lang w:eastAsia="zh-CN"/>
              </w:rPr>
              <w:t>；</w:t>
            </w:r>
            <w:r>
              <w:rPr>
                <w:rFonts w:hint="eastAsia" w:ascii="仿宋" w:hAnsi="仿宋" w:eastAsia="仿宋" w:cs="仿宋"/>
                <w:i w:val="0"/>
                <w:color w:val="auto"/>
                <w:sz w:val="21"/>
                <w:szCs w:val="21"/>
                <w:highlight w:val="none"/>
                <w:u w:val="none"/>
                <w:lang w:val="en-US" w:eastAsia="zh-CN"/>
              </w:rPr>
              <w:t>3.引进绵阳东辰教育集团与元坝中学合作办学。</w:t>
            </w:r>
          </w:p>
        </w:tc>
      </w:tr>
      <w:tr w14:paraId="0918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72" w:hRule="atLeast"/>
        </w:trPr>
        <w:tc>
          <w:tcPr>
            <w:tcW w:w="1205" w:type="dxa"/>
            <w:vMerge w:val="restart"/>
            <w:tcBorders>
              <w:top w:val="single" w:color="000000" w:sz="4" w:space="0"/>
              <w:left w:val="single" w:color="000000" w:sz="4" w:space="0"/>
              <w:right w:val="single" w:color="000000" w:sz="4" w:space="0"/>
            </w:tcBorders>
            <w:shd w:val="clear" w:color="auto" w:fill="auto"/>
            <w:vAlign w:val="center"/>
          </w:tcPr>
          <w:p w14:paraId="2F177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年度绩效指标完成情况</w:t>
            </w:r>
          </w:p>
        </w:tc>
        <w:tc>
          <w:tcPr>
            <w:tcW w:w="1120" w:type="dxa"/>
            <w:tcBorders>
              <w:top w:val="single" w:color="000000" w:sz="4" w:space="0"/>
              <w:left w:val="nil"/>
              <w:bottom w:val="single" w:color="000000" w:sz="4" w:space="0"/>
              <w:right w:val="single" w:color="000000" w:sz="4" w:space="0"/>
            </w:tcBorders>
            <w:shd w:val="clear" w:color="auto" w:fill="auto"/>
            <w:vAlign w:val="center"/>
          </w:tcPr>
          <w:p w14:paraId="1AE00F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一级</w:t>
            </w:r>
          </w:p>
          <w:p w14:paraId="03D55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8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二级指标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41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三级指标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89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预期指标值</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2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实际完成指标值</w:t>
            </w:r>
          </w:p>
        </w:tc>
      </w:tr>
      <w:tr w14:paraId="43A1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72" w:hRule="atLeast"/>
        </w:trPr>
        <w:tc>
          <w:tcPr>
            <w:tcW w:w="1205" w:type="dxa"/>
            <w:vMerge w:val="continue"/>
            <w:tcBorders>
              <w:left w:val="single" w:color="000000" w:sz="4" w:space="0"/>
              <w:right w:val="single" w:color="000000" w:sz="4" w:space="0"/>
            </w:tcBorders>
            <w:shd w:val="clear" w:color="auto" w:fill="auto"/>
            <w:vAlign w:val="center"/>
          </w:tcPr>
          <w:p w14:paraId="1E0EAB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5D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完成</w:t>
            </w:r>
          </w:p>
          <w:p w14:paraId="679BA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指标</w:t>
            </w:r>
          </w:p>
        </w:tc>
        <w:tc>
          <w:tcPr>
            <w:tcW w:w="1532" w:type="dxa"/>
            <w:vMerge w:val="restart"/>
            <w:tcBorders>
              <w:top w:val="single" w:color="000000" w:sz="4" w:space="0"/>
              <w:left w:val="single" w:color="000000" w:sz="4" w:space="0"/>
              <w:right w:val="single" w:color="000000" w:sz="4" w:space="0"/>
            </w:tcBorders>
            <w:shd w:val="clear" w:color="auto" w:fill="auto"/>
            <w:vAlign w:val="center"/>
          </w:tcPr>
          <w:p w14:paraId="1B338D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数量指标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7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争取上级专项资金</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2B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4000万元</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A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default"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4050万元</w:t>
            </w:r>
          </w:p>
        </w:tc>
      </w:tr>
      <w:tr w14:paraId="5576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72" w:hRule="atLeast"/>
        </w:trPr>
        <w:tc>
          <w:tcPr>
            <w:tcW w:w="1205" w:type="dxa"/>
            <w:vMerge w:val="continue"/>
            <w:tcBorders>
              <w:left w:val="single" w:color="000000" w:sz="4" w:space="0"/>
              <w:right w:val="single" w:color="000000" w:sz="4" w:space="0"/>
            </w:tcBorders>
            <w:shd w:val="clear" w:color="auto" w:fill="auto"/>
            <w:vAlign w:val="center"/>
          </w:tcPr>
          <w:p w14:paraId="63D90C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120" w:type="dxa"/>
            <w:vMerge w:val="continue"/>
            <w:tcBorders>
              <w:left w:val="single" w:color="000000" w:sz="4" w:space="0"/>
              <w:right w:val="single" w:color="000000" w:sz="4" w:space="0"/>
            </w:tcBorders>
            <w:shd w:val="clear" w:color="auto" w:fill="auto"/>
            <w:vAlign w:val="center"/>
          </w:tcPr>
          <w:p w14:paraId="76965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kern w:val="0"/>
                <w:sz w:val="21"/>
                <w:szCs w:val="21"/>
                <w:highlight w:val="none"/>
                <w:u w:val="none"/>
                <w:lang w:val="en-US" w:eastAsia="zh-CN" w:bidi="ar"/>
              </w:rPr>
            </w:pPr>
          </w:p>
        </w:tc>
        <w:tc>
          <w:tcPr>
            <w:tcW w:w="1532" w:type="dxa"/>
            <w:vMerge w:val="continue"/>
            <w:tcBorders>
              <w:left w:val="single" w:color="000000" w:sz="4" w:space="0"/>
              <w:bottom w:val="single" w:color="000000" w:sz="4" w:space="0"/>
              <w:right w:val="single" w:color="000000" w:sz="4" w:space="0"/>
            </w:tcBorders>
            <w:shd w:val="clear" w:color="auto" w:fill="auto"/>
            <w:vAlign w:val="center"/>
          </w:tcPr>
          <w:p w14:paraId="2EFEF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kern w:val="0"/>
                <w:sz w:val="21"/>
                <w:szCs w:val="21"/>
                <w:highlight w:val="none"/>
                <w:u w:val="none"/>
                <w:lang w:val="en-US" w:eastAsia="zh-CN" w:bidi="ar"/>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2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爱心企业捐建校舍</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F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实验小学剑瓷楼投入资金500万元</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1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完成实验小学剑瓷楼投入资金500万元</w:t>
            </w:r>
          </w:p>
        </w:tc>
      </w:tr>
      <w:tr w14:paraId="6705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72" w:hRule="atLeast"/>
        </w:trPr>
        <w:tc>
          <w:tcPr>
            <w:tcW w:w="1205" w:type="dxa"/>
            <w:vMerge w:val="continue"/>
            <w:tcBorders>
              <w:left w:val="single" w:color="000000" w:sz="4" w:space="0"/>
              <w:right w:val="single" w:color="000000" w:sz="4" w:space="0"/>
            </w:tcBorders>
            <w:shd w:val="clear" w:color="auto" w:fill="auto"/>
            <w:vAlign w:val="center"/>
          </w:tcPr>
          <w:p w14:paraId="55B324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E19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7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质量指标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2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捐建校舍质量</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F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严格过程管理，建合格工程</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E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lang w:eastAsia="zh-CN"/>
              </w:rPr>
            </w:pPr>
            <w:r>
              <w:rPr>
                <w:rFonts w:hint="eastAsia" w:ascii="仿宋" w:hAnsi="仿宋" w:eastAsia="仿宋" w:cs="仿宋"/>
                <w:i w:val="0"/>
                <w:color w:val="auto"/>
                <w:sz w:val="21"/>
                <w:szCs w:val="21"/>
                <w:highlight w:val="none"/>
                <w:u w:val="none"/>
                <w:lang w:eastAsia="zh-CN"/>
              </w:rPr>
              <w:t>合格</w:t>
            </w:r>
          </w:p>
        </w:tc>
      </w:tr>
      <w:tr w14:paraId="1387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72" w:hRule="atLeast"/>
        </w:trPr>
        <w:tc>
          <w:tcPr>
            <w:tcW w:w="1205" w:type="dxa"/>
            <w:vMerge w:val="continue"/>
            <w:tcBorders>
              <w:left w:val="single" w:color="000000" w:sz="4" w:space="0"/>
              <w:right w:val="single" w:color="000000" w:sz="4" w:space="0"/>
            </w:tcBorders>
            <w:shd w:val="clear" w:color="auto" w:fill="auto"/>
            <w:vAlign w:val="center"/>
          </w:tcPr>
          <w:p w14:paraId="67F48D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0A5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D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时效指标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1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开始结束时间</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E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rPr>
              <w:t>202</w:t>
            </w:r>
            <w:r>
              <w:rPr>
                <w:rFonts w:hint="eastAsia" w:ascii="仿宋" w:hAnsi="仿宋" w:eastAsia="仿宋" w:cs="仿宋"/>
                <w:i w:val="0"/>
                <w:color w:val="auto"/>
                <w:sz w:val="21"/>
                <w:szCs w:val="21"/>
                <w:highlight w:val="none"/>
                <w:u w:val="none"/>
                <w:lang w:val="en-US" w:eastAsia="zh-CN"/>
              </w:rPr>
              <w:t>0</w:t>
            </w:r>
            <w:r>
              <w:rPr>
                <w:rFonts w:hint="eastAsia" w:ascii="仿宋" w:hAnsi="仿宋" w:eastAsia="仿宋" w:cs="仿宋"/>
                <w:i w:val="0"/>
                <w:color w:val="auto"/>
                <w:sz w:val="21"/>
                <w:szCs w:val="21"/>
                <w:highlight w:val="none"/>
                <w:u w:val="none"/>
              </w:rPr>
              <w:t>/</w:t>
            </w:r>
            <w:r>
              <w:rPr>
                <w:rFonts w:hint="eastAsia" w:ascii="仿宋" w:hAnsi="仿宋" w:eastAsia="仿宋" w:cs="仿宋"/>
                <w:i w:val="0"/>
                <w:color w:val="auto"/>
                <w:sz w:val="21"/>
                <w:szCs w:val="21"/>
                <w:highlight w:val="none"/>
                <w:u w:val="none"/>
                <w:lang w:val="en-US" w:eastAsia="zh-CN"/>
              </w:rPr>
              <w:t>01</w:t>
            </w:r>
            <w:r>
              <w:rPr>
                <w:rFonts w:hint="eastAsia" w:ascii="仿宋" w:hAnsi="仿宋" w:eastAsia="仿宋" w:cs="仿宋"/>
                <w:i w:val="0"/>
                <w:color w:val="auto"/>
                <w:sz w:val="21"/>
                <w:szCs w:val="21"/>
                <w:highlight w:val="none"/>
                <w:u w:val="none"/>
              </w:rPr>
              <w:t>/</w:t>
            </w:r>
            <w:r>
              <w:rPr>
                <w:rFonts w:hint="eastAsia" w:ascii="仿宋" w:hAnsi="仿宋" w:eastAsia="仿宋" w:cs="仿宋"/>
                <w:i w:val="0"/>
                <w:color w:val="auto"/>
                <w:sz w:val="21"/>
                <w:szCs w:val="21"/>
                <w:highlight w:val="none"/>
                <w:u w:val="none"/>
                <w:lang w:val="en-US" w:eastAsia="zh-CN"/>
              </w:rPr>
              <w:t>01</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1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202</w:t>
            </w:r>
            <w:r>
              <w:rPr>
                <w:rFonts w:hint="eastAsia" w:ascii="仿宋" w:hAnsi="仿宋" w:eastAsia="仿宋" w:cs="仿宋"/>
                <w:i w:val="0"/>
                <w:color w:val="auto"/>
                <w:sz w:val="21"/>
                <w:szCs w:val="21"/>
                <w:highlight w:val="none"/>
                <w:u w:val="none"/>
                <w:lang w:val="en-US" w:eastAsia="zh-CN"/>
              </w:rPr>
              <w:t>0</w:t>
            </w:r>
            <w:r>
              <w:rPr>
                <w:rFonts w:hint="eastAsia" w:ascii="仿宋" w:hAnsi="仿宋" w:eastAsia="仿宋" w:cs="仿宋"/>
                <w:i w:val="0"/>
                <w:color w:val="auto"/>
                <w:sz w:val="21"/>
                <w:szCs w:val="21"/>
                <w:highlight w:val="none"/>
                <w:u w:val="none"/>
              </w:rPr>
              <w:t>/12/30</w:t>
            </w:r>
          </w:p>
        </w:tc>
      </w:tr>
      <w:tr w14:paraId="208F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72" w:hRule="atLeast"/>
        </w:trPr>
        <w:tc>
          <w:tcPr>
            <w:tcW w:w="1205" w:type="dxa"/>
            <w:vMerge w:val="continue"/>
            <w:tcBorders>
              <w:left w:val="single" w:color="000000" w:sz="4" w:space="0"/>
              <w:right w:val="single" w:color="000000" w:sz="4" w:space="0"/>
            </w:tcBorders>
            <w:shd w:val="clear" w:color="auto" w:fill="auto"/>
            <w:vAlign w:val="center"/>
          </w:tcPr>
          <w:p w14:paraId="12BA3B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1A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9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成本指标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8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争取项目工作经费</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7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default"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lang w:val="en-US" w:eastAsia="zh-CN"/>
              </w:rPr>
              <w:t>25万元</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2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default" w:ascii="仿宋" w:hAnsi="仿宋" w:eastAsia="仿宋" w:cs="仿宋"/>
                <w:i w:val="0"/>
                <w:color w:val="auto"/>
                <w:sz w:val="21"/>
                <w:szCs w:val="21"/>
                <w:highlight w:val="none"/>
                <w:u w:val="none"/>
                <w:lang w:val="en-US"/>
              </w:rPr>
            </w:pPr>
            <w:r>
              <w:rPr>
                <w:rFonts w:hint="eastAsia" w:ascii="仿宋" w:hAnsi="仿宋" w:eastAsia="仿宋" w:cs="仿宋"/>
                <w:i w:val="0"/>
                <w:color w:val="auto"/>
                <w:sz w:val="21"/>
                <w:szCs w:val="21"/>
                <w:highlight w:val="none"/>
                <w:u w:val="none"/>
                <w:lang w:val="en-US" w:eastAsia="zh-CN"/>
              </w:rPr>
              <w:t>25万元</w:t>
            </w:r>
          </w:p>
        </w:tc>
      </w:tr>
      <w:tr w14:paraId="6454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137" w:hRule="atLeast"/>
        </w:trPr>
        <w:tc>
          <w:tcPr>
            <w:tcW w:w="1205" w:type="dxa"/>
            <w:vMerge w:val="continue"/>
            <w:tcBorders>
              <w:left w:val="single" w:color="000000" w:sz="4" w:space="0"/>
              <w:right w:val="single" w:color="000000" w:sz="4" w:space="0"/>
            </w:tcBorders>
            <w:shd w:val="clear" w:color="auto" w:fill="auto"/>
            <w:vAlign w:val="center"/>
          </w:tcPr>
          <w:p w14:paraId="694678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19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效益</w:t>
            </w:r>
          </w:p>
          <w:p w14:paraId="7BA37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D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经济效益指标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C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经济水平</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4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规范资金管理、学校扩建面积完成</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A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利用用优质教育资源带动我区经济发展</w:t>
            </w:r>
          </w:p>
        </w:tc>
      </w:tr>
      <w:tr w14:paraId="5601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72" w:hRule="atLeast"/>
        </w:trPr>
        <w:tc>
          <w:tcPr>
            <w:tcW w:w="1205" w:type="dxa"/>
            <w:vMerge w:val="continue"/>
            <w:tcBorders>
              <w:left w:val="single" w:color="000000" w:sz="4" w:space="0"/>
              <w:right w:val="single" w:color="000000" w:sz="4" w:space="0"/>
            </w:tcBorders>
            <w:shd w:val="clear" w:color="auto" w:fill="auto"/>
            <w:vAlign w:val="center"/>
          </w:tcPr>
          <w:p w14:paraId="5F4C6E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267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2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社会效益指标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7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社会效益</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9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lang w:val="en-US" w:eastAsia="zh-CN"/>
              </w:rPr>
            </w:pPr>
            <w:r>
              <w:rPr>
                <w:rFonts w:hint="eastAsia" w:ascii="仿宋" w:hAnsi="仿宋" w:eastAsia="仿宋" w:cs="仿宋"/>
                <w:i w:val="0"/>
                <w:color w:val="auto"/>
                <w:sz w:val="21"/>
                <w:szCs w:val="21"/>
                <w:highlight w:val="none"/>
                <w:u w:val="none"/>
              </w:rPr>
              <w:t>引进优质教育资源</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5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lang w:val="en-US" w:eastAsia="zh-CN"/>
              </w:rPr>
              <w:t>为学生</w:t>
            </w:r>
            <w:r>
              <w:rPr>
                <w:rFonts w:hint="eastAsia" w:ascii="仿宋" w:hAnsi="仿宋" w:eastAsia="仿宋" w:cs="仿宋"/>
                <w:i w:val="0"/>
                <w:color w:val="auto"/>
                <w:sz w:val="21"/>
                <w:szCs w:val="21"/>
                <w:highlight w:val="none"/>
                <w:u w:val="none"/>
              </w:rPr>
              <w:t>提供优质教育</w:t>
            </w:r>
          </w:p>
        </w:tc>
      </w:tr>
      <w:tr w14:paraId="732D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816" w:hRule="atLeast"/>
        </w:trPr>
        <w:tc>
          <w:tcPr>
            <w:tcW w:w="1205" w:type="dxa"/>
            <w:vMerge w:val="continue"/>
            <w:tcBorders>
              <w:left w:val="single" w:color="000000" w:sz="4" w:space="0"/>
              <w:bottom w:val="single" w:color="000000" w:sz="4" w:space="0"/>
              <w:right w:val="single" w:color="000000" w:sz="4" w:space="0"/>
            </w:tcBorders>
            <w:shd w:val="clear" w:color="auto" w:fill="auto"/>
            <w:vAlign w:val="center"/>
          </w:tcPr>
          <w:p w14:paraId="2FA7B1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 w:hAnsi="仿宋" w:eastAsia="仿宋" w:cs="仿宋"/>
                <w:i w:val="0"/>
                <w:color w:val="auto"/>
                <w:sz w:val="21"/>
                <w:szCs w:val="21"/>
                <w:highlight w:val="none"/>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3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满意</w:t>
            </w:r>
          </w:p>
          <w:p w14:paraId="4A01F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指标</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2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kern w:val="0"/>
                <w:sz w:val="21"/>
                <w:szCs w:val="21"/>
                <w:highlight w:val="none"/>
                <w:u w:val="none"/>
                <w:lang w:val="en-US" w:eastAsia="zh-CN" w:bidi="ar"/>
              </w:rPr>
            </w:pPr>
            <w:r>
              <w:rPr>
                <w:rFonts w:hint="eastAsia" w:ascii="仿宋" w:hAnsi="仿宋" w:eastAsia="仿宋" w:cs="仿宋"/>
                <w:i w:val="0"/>
                <w:color w:val="auto"/>
                <w:kern w:val="0"/>
                <w:sz w:val="21"/>
                <w:szCs w:val="21"/>
                <w:highlight w:val="none"/>
                <w:u w:val="none"/>
                <w:lang w:val="en-US" w:eastAsia="zh-CN" w:bidi="ar"/>
              </w:rPr>
              <w:t>满意度</w:t>
            </w:r>
          </w:p>
          <w:p w14:paraId="2E71E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kern w:val="0"/>
                <w:sz w:val="21"/>
                <w:szCs w:val="21"/>
                <w:highlight w:val="none"/>
                <w:u w:val="none"/>
                <w:lang w:val="en-US" w:eastAsia="zh-CN" w:bidi="ar"/>
              </w:rPr>
              <w:t>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9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社会满意度</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5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大于9</w:t>
            </w:r>
            <w:r>
              <w:rPr>
                <w:rFonts w:hint="eastAsia" w:ascii="仿宋" w:hAnsi="仿宋" w:eastAsia="仿宋" w:cs="仿宋"/>
                <w:i w:val="0"/>
                <w:color w:val="auto"/>
                <w:sz w:val="21"/>
                <w:szCs w:val="21"/>
                <w:highlight w:val="none"/>
                <w:u w:val="none"/>
                <w:lang w:val="en-US" w:eastAsia="zh-CN"/>
              </w:rPr>
              <w:t>5</w:t>
            </w:r>
            <w:r>
              <w:rPr>
                <w:rFonts w:hint="eastAsia" w:ascii="仿宋" w:hAnsi="仿宋" w:eastAsia="仿宋" w:cs="仿宋"/>
                <w:i w:val="0"/>
                <w:color w:val="auto"/>
                <w:sz w:val="21"/>
                <w:szCs w:val="21"/>
                <w:highlight w:val="none"/>
                <w:u w:val="none"/>
              </w:rPr>
              <w:t>%</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4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 w:hAnsi="仿宋" w:eastAsia="仿宋" w:cs="仿宋"/>
                <w:i w:val="0"/>
                <w:color w:val="auto"/>
                <w:sz w:val="21"/>
                <w:szCs w:val="21"/>
                <w:highlight w:val="none"/>
                <w:u w:val="none"/>
              </w:rPr>
            </w:pPr>
            <w:r>
              <w:rPr>
                <w:rFonts w:hint="eastAsia" w:ascii="仿宋" w:hAnsi="仿宋" w:eastAsia="仿宋" w:cs="仿宋"/>
                <w:i w:val="0"/>
                <w:color w:val="auto"/>
                <w:sz w:val="21"/>
                <w:szCs w:val="21"/>
                <w:highlight w:val="none"/>
                <w:u w:val="none"/>
              </w:rPr>
              <w:t>9</w:t>
            </w:r>
            <w:r>
              <w:rPr>
                <w:rFonts w:hint="eastAsia" w:ascii="仿宋" w:hAnsi="仿宋" w:eastAsia="仿宋" w:cs="仿宋"/>
                <w:i w:val="0"/>
                <w:color w:val="auto"/>
                <w:sz w:val="21"/>
                <w:szCs w:val="21"/>
                <w:highlight w:val="none"/>
                <w:u w:val="none"/>
                <w:lang w:val="en-US" w:eastAsia="zh-CN"/>
              </w:rPr>
              <w:t>6</w:t>
            </w:r>
            <w:r>
              <w:rPr>
                <w:rFonts w:hint="eastAsia" w:ascii="仿宋" w:hAnsi="仿宋" w:eastAsia="仿宋" w:cs="仿宋"/>
                <w:i w:val="0"/>
                <w:color w:val="auto"/>
                <w:sz w:val="21"/>
                <w:szCs w:val="21"/>
                <w:highlight w:val="none"/>
                <w:u w:val="none"/>
              </w:rPr>
              <w:t>%</w:t>
            </w:r>
          </w:p>
        </w:tc>
      </w:tr>
    </w:tbl>
    <w:p w14:paraId="4FE85FE3">
      <w:pPr>
        <w:spacing w:line="580" w:lineRule="exact"/>
        <w:ind w:firstLine="640" w:firstLineChars="200"/>
        <w:rPr>
          <w:rFonts w:ascii="仿宋_GB2312" w:hAnsi="仿宋_GB2312" w:eastAsia="仿宋_GB2312" w:cs="仿宋_GB2312"/>
          <w:color w:val="auto"/>
          <w:sz w:val="32"/>
          <w:szCs w:val="32"/>
          <w:highlight w:val="none"/>
        </w:rPr>
      </w:pPr>
      <w:r>
        <w:rPr>
          <w:rFonts w:ascii="楷体_GB2312" w:hAnsi="楷体_GB2312" w:eastAsia="楷体_GB2312" w:cs="楷体_GB2312"/>
          <w:color w:val="auto"/>
          <w:sz w:val="32"/>
          <w:szCs w:val="32"/>
          <w:highlight w:val="none"/>
        </w:rPr>
        <w:t>2.</w:t>
      </w:r>
      <w:r>
        <w:rPr>
          <w:rFonts w:hint="eastAsia" w:ascii="楷体_GB2312" w:hAnsi="楷体_GB2312" w:eastAsia="楷体_GB2312" w:cs="楷体_GB2312"/>
          <w:color w:val="auto"/>
          <w:sz w:val="32"/>
          <w:szCs w:val="32"/>
          <w:highlight w:val="none"/>
        </w:rPr>
        <w:t>部门绩效评价结果。</w:t>
      </w:r>
    </w:p>
    <w:p w14:paraId="47A08028">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年部门整体支出绩效评价情况开展自评，《</w:t>
      </w:r>
      <w:r>
        <w:rPr>
          <w:rFonts w:hint="eastAsia" w:ascii="仿宋_GB2312" w:hAnsi="仿宋_GB2312" w:eastAsia="仿宋_GB2312" w:cs="仿宋_GB2312"/>
          <w:color w:val="auto"/>
          <w:sz w:val="32"/>
          <w:szCs w:val="32"/>
          <w:highlight w:val="none"/>
          <w:lang w:val="en-US" w:eastAsia="zh-CN"/>
        </w:rPr>
        <w:t>广元市昭化区教育局机关</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年部门整体支出绩效评价报告》见附件（附件</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w:t>
      </w:r>
    </w:p>
    <w:p w14:paraId="17A32A7B">
      <w:pPr>
        <w:spacing w:line="580" w:lineRule="exact"/>
        <w:ind w:firstLine="640" w:firstLineChars="200"/>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开展项目绩效评价，</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lang w:val="en-US" w:eastAsia="zh-CN"/>
        </w:rPr>
        <w:t>2020</w:t>
      </w:r>
      <w:r>
        <w:rPr>
          <w:rFonts w:hint="eastAsia" w:ascii="Times New Roman" w:hAnsi="宋体" w:eastAsia="仿宋_GB2312" w:cs="Times New Roman"/>
          <w:kern w:val="2"/>
          <w:sz w:val="32"/>
          <w:szCs w:val="32"/>
          <w:lang w:val="en-US" w:eastAsia="zh-CN" w:bidi="ar"/>
        </w:rPr>
        <w:t>年义务教育薄弱环节改善与能力提升项目</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年绩效评价报告》见附件（附件</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w:t>
      </w:r>
    </w:p>
    <w:p w14:paraId="41AA6880">
      <w:pPr>
        <w:spacing w:line="600" w:lineRule="exact"/>
        <w:jc w:val="both"/>
        <w:outlineLvl w:val="0"/>
        <w:rPr>
          <w:rFonts w:hint="eastAsia" w:ascii="黑体" w:hAnsi="黑体" w:eastAsia="黑体"/>
          <w:color w:val="auto"/>
          <w:sz w:val="44"/>
          <w:szCs w:val="44"/>
          <w:highlight w:val="none"/>
        </w:rPr>
      </w:pPr>
    </w:p>
    <w:p w14:paraId="22C51F08">
      <w:pPr>
        <w:rPr>
          <w:rFonts w:hint="default"/>
          <w:lang w:val="en-US" w:eastAsia="zh-CN"/>
        </w:rPr>
      </w:pPr>
    </w:p>
    <w:p w14:paraId="450C11FD">
      <w:pPr>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rPr>
        <w:br w:type="page"/>
      </w:r>
    </w:p>
    <w:p w14:paraId="3A4CC1D6">
      <w:pPr>
        <w:numPr>
          <w:ilvl w:val="0"/>
          <w:numId w:val="0"/>
        </w:numPr>
        <w:wordWrap/>
        <w:snapToGrid/>
        <w:spacing w:line="240" w:lineRule="auto"/>
        <w:ind w:leftChars="0" w:right="0" w:rightChars="0" w:firstLine="1320" w:firstLineChars="300"/>
        <w:jc w:val="left"/>
        <w:outlineLvl w:val="0"/>
        <w:rPr>
          <w:rStyle w:val="36"/>
          <w:rFonts w:ascii="黑体" w:hAnsi="黑体" w:eastAsia="黑体"/>
          <w:b w:val="0"/>
        </w:rPr>
      </w:pPr>
      <w:bookmarkStart w:id="81" w:name="_Toc24233"/>
      <w:bookmarkStart w:id="82" w:name="_Toc15377225"/>
      <w:bookmarkStart w:id="83" w:name="_Toc15396613"/>
      <w:r>
        <w:rPr>
          <w:rFonts w:hint="eastAsia" w:ascii="黑体" w:hAnsi="黑体" w:eastAsia="黑体"/>
          <w:color w:val="000000"/>
          <w:sz w:val="44"/>
          <w:szCs w:val="44"/>
          <w:lang w:val="en-US" w:eastAsia="zh-CN"/>
        </w:rPr>
        <w:t xml:space="preserve">      第三部分</w:t>
      </w:r>
      <w:r>
        <w:rPr>
          <w:rFonts w:hint="eastAsia" w:ascii="黑体" w:hAnsi="黑体" w:eastAsia="黑体"/>
          <w:color w:val="000000"/>
          <w:sz w:val="44"/>
          <w:szCs w:val="44"/>
        </w:rPr>
        <w:t>名</w:t>
      </w:r>
      <w:r>
        <w:rPr>
          <w:rStyle w:val="36"/>
          <w:rFonts w:hint="eastAsia" w:ascii="黑体" w:hAnsi="黑体" w:eastAsia="黑体"/>
          <w:b w:val="0"/>
        </w:rPr>
        <w:t>词解释</w:t>
      </w:r>
      <w:bookmarkEnd w:id="81"/>
      <w:bookmarkEnd w:id="82"/>
      <w:bookmarkEnd w:id="83"/>
    </w:p>
    <w:p w14:paraId="1812311B">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6B31F397">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6AE3349A">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701F176B">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14B5ACE1">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14:paraId="2C049684">
      <w:pPr>
        <w:pStyle w:val="23"/>
        <w:spacing w:line="560" w:lineRule="exact"/>
        <w:ind w:firstLine="640" w:firstLineChars="200"/>
        <w:rPr>
          <w:rFonts w:hint="eastAsia" w:ascii="仿宋" w:hAnsi="仿宋" w:eastAsia="仿宋" w:cs="仿宋"/>
          <w:sz w:val="32"/>
          <w:szCs w:val="32"/>
          <w:lang w:eastAsia="zh-CN"/>
        </w:rPr>
      </w:pPr>
      <w:r>
        <w:rPr>
          <w:rFonts w:hint="eastAsia" w:hAnsi="仿宋" w:cs="仿宋"/>
          <w:sz w:val="32"/>
          <w:szCs w:val="32"/>
          <w:lang w:val="en-US" w:eastAsia="zh-CN"/>
        </w:rPr>
        <w:t>6</w:t>
      </w:r>
      <w:r>
        <w:rPr>
          <w:rFonts w:hint="eastAsia" w:ascii="仿宋" w:hAnsi="仿宋" w:eastAsia="仿宋" w:cs="仿宋"/>
          <w:sz w:val="32"/>
          <w:szCs w:val="32"/>
        </w:rPr>
        <w:t>.教育支出205（类）教育管理事务01（款）：反映各类教育管理事务支出。</w:t>
      </w:r>
    </w:p>
    <w:p w14:paraId="267D11FB">
      <w:pPr>
        <w:pStyle w:val="23"/>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行政运行01（项）：指用于行政部门基本运行支出。</w:t>
      </w:r>
    </w:p>
    <w:p w14:paraId="0149F600">
      <w:pPr>
        <w:pStyle w:val="23"/>
        <w:spacing w:line="560" w:lineRule="exact"/>
        <w:ind w:firstLine="640" w:firstLineChars="200"/>
        <w:rPr>
          <w:rFonts w:hint="eastAsia" w:ascii="仿宋" w:hAnsi="仿宋" w:eastAsia="仿宋" w:cs="仿宋"/>
          <w:sz w:val="32"/>
          <w:szCs w:val="32"/>
          <w:lang w:eastAsia="zh-CN"/>
        </w:rPr>
      </w:pPr>
      <w:r>
        <w:rPr>
          <w:rFonts w:hint="eastAsia" w:hAnsi="仿宋" w:cs="仿宋"/>
          <w:sz w:val="32"/>
          <w:szCs w:val="32"/>
          <w:lang w:val="en-US" w:eastAsia="zh-CN"/>
        </w:rPr>
        <w:t>7</w:t>
      </w:r>
      <w:r>
        <w:rPr>
          <w:rFonts w:hint="eastAsia" w:ascii="仿宋" w:hAnsi="仿宋" w:eastAsia="仿宋" w:cs="仿宋"/>
          <w:sz w:val="32"/>
          <w:szCs w:val="32"/>
        </w:rPr>
        <w:t>.教育支出205（类）普通教育02（款）：反映各类普通教育支出。政府各部门对社会中介组织等举办的各类教育的资助，如捐赠、补贴等。</w:t>
      </w:r>
    </w:p>
    <w:p w14:paraId="41CCC203">
      <w:pPr>
        <w:pStyle w:val="23"/>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学前教育01（项）：反映各部门举办的学前教育支出。</w:t>
      </w:r>
    </w:p>
    <w:p w14:paraId="1C276EF2">
      <w:pPr>
        <w:pStyle w:val="23"/>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小学教育02（项）：反映各部门举办的小学教育支出。</w:t>
      </w:r>
    </w:p>
    <w:p w14:paraId="76DEDBAA">
      <w:pPr>
        <w:pStyle w:val="23"/>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初中教育03（项）：反映各部门举办的初级中学教育支出。</w:t>
      </w:r>
    </w:p>
    <w:p w14:paraId="09D57B29">
      <w:pPr>
        <w:pStyle w:val="23"/>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高中教育04（项）：反映各部门举办的高级中学教育支出。</w:t>
      </w:r>
    </w:p>
    <w:p w14:paraId="3992331A">
      <w:pPr>
        <w:pStyle w:val="23"/>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其他普通教育支出99（项）：反映除上述项目以外其他用于普通教育方面的支出。</w:t>
      </w:r>
    </w:p>
    <w:p w14:paraId="17029AEB">
      <w:pPr>
        <w:pStyle w:val="23"/>
        <w:spacing w:line="560" w:lineRule="exact"/>
        <w:rPr>
          <w:rFonts w:hint="eastAsia" w:ascii="仿宋" w:hAnsi="仿宋" w:eastAsia="仿宋" w:cs="仿宋"/>
          <w:sz w:val="32"/>
          <w:szCs w:val="32"/>
          <w:lang w:eastAsia="zh-CN"/>
        </w:rPr>
      </w:pPr>
      <w:r>
        <w:rPr>
          <w:rFonts w:hint="eastAsia" w:hAnsi="仿宋" w:cs="仿宋"/>
          <w:sz w:val="32"/>
          <w:szCs w:val="32"/>
          <w:lang w:val="en-US" w:eastAsia="zh-CN"/>
        </w:rPr>
        <w:t xml:space="preserve">    </w:t>
      </w:r>
      <w:r>
        <w:rPr>
          <w:rFonts w:hint="eastAsia" w:ascii="仿宋" w:hAnsi="仿宋" w:eastAsia="仿宋" w:cs="仿宋"/>
          <w:sz w:val="32"/>
          <w:szCs w:val="32"/>
        </w:rPr>
        <w:t>教育支出205（类）教育费附加安排的支出09（款）</w:t>
      </w:r>
    </w:p>
    <w:p w14:paraId="1FB0BC57">
      <w:pPr>
        <w:pStyle w:val="23"/>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其他教育费附加安排的支出2050999（项）：指政府各类教育费附加用于安排的教育支出。</w:t>
      </w:r>
    </w:p>
    <w:p w14:paraId="4D86FA16">
      <w:pPr>
        <w:pStyle w:val="23"/>
        <w:spacing w:line="560" w:lineRule="exact"/>
        <w:ind w:firstLine="640" w:firstLineChars="200"/>
        <w:rPr>
          <w:rFonts w:hint="eastAsia" w:ascii="仿宋" w:hAnsi="仿宋" w:eastAsia="仿宋" w:cs="仿宋"/>
          <w:sz w:val="32"/>
          <w:szCs w:val="32"/>
          <w:lang w:eastAsia="zh-CN"/>
        </w:rPr>
      </w:pPr>
      <w:r>
        <w:rPr>
          <w:rFonts w:hint="eastAsia" w:hAnsi="仿宋" w:cs="仿宋"/>
          <w:sz w:val="32"/>
          <w:szCs w:val="32"/>
          <w:lang w:val="en-US" w:eastAsia="zh-CN"/>
        </w:rPr>
        <w:t>8</w:t>
      </w:r>
      <w:r>
        <w:rPr>
          <w:rFonts w:hint="eastAsia" w:ascii="仿宋" w:hAnsi="仿宋" w:eastAsia="仿宋" w:cs="仿宋"/>
          <w:sz w:val="32"/>
          <w:szCs w:val="32"/>
        </w:rPr>
        <w:t>.住房保障221（类）住房改革02（款）住房公积金01（项）:反映行政事业单位按人力资源和社会保障部、财政部规定的基本工资和津贴补贴以及规定比例为职工缴纳的住房公积金。</w:t>
      </w:r>
    </w:p>
    <w:p w14:paraId="60909BF2">
      <w:pPr>
        <w:pStyle w:val="23"/>
        <w:spacing w:line="560" w:lineRule="exact"/>
        <w:ind w:firstLine="640" w:firstLineChars="200"/>
        <w:rPr>
          <w:rFonts w:hint="eastAsia" w:ascii="仿宋" w:hAnsi="仿宋" w:eastAsia="仿宋" w:cs="仿宋"/>
          <w:sz w:val="32"/>
          <w:szCs w:val="32"/>
          <w:lang w:eastAsia="zh-CN"/>
        </w:rPr>
      </w:pPr>
      <w:r>
        <w:rPr>
          <w:rFonts w:hint="eastAsia" w:hAnsi="仿宋" w:cs="仿宋"/>
          <w:sz w:val="32"/>
          <w:szCs w:val="32"/>
          <w:lang w:val="en-US" w:eastAsia="zh-CN"/>
        </w:rPr>
        <w:t>9</w:t>
      </w:r>
      <w:r>
        <w:rPr>
          <w:rFonts w:hint="eastAsia" w:ascii="仿宋" w:hAnsi="仿宋" w:eastAsia="仿宋" w:cs="仿宋"/>
          <w:sz w:val="32"/>
          <w:szCs w:val="32"/>
        </w:rPr>
        <w:t>.基本支出：指为保障机构正常运转、完成日常工作任务而发生的人员支出和公用支出。</w:t>
      </w:r>
    </w:p>
    <w:p w14:paraId="6434B6BA">
      <w:pPr>
        <w:pStyle w:val="23"/>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hAnsi="仿宋" w:cs="仿宋"/>
          <w:sz w:val="32"/>
          <w:szCs w:val="32"/>
          <w:lang w:val="en-US" w:eastAsia="zh-CN"/>
        </w:rPr>
        <w:t>0</w:t>
      </w:r>
      <w:r>
        <w:rPr>
          <w:rFonts w:hint="eastAsia" w:ascii="仿宋" w:hAnsi="仿宋" w:eastAsia="仿宋" w:cs="仿宋"/>
          <w:sz w:val="32"/>
          <w:szCs w:val="32"/>
        </w:rPr>
        <w:t>.项目支出：指在基本支出之外为完成特定行政任务和事业发展目标所发生的支出。</w:t>
      </w:r>
    </w:p>
    <w:p w14:paraId="7D23A26D">
      <w:pPr>
        <w:pStyle w:val="23"/>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hAnsi="仿宋" w:cs="仿宋"/>
          <w:sz w:val="32"/>
          <w:szCs w:val="32"/>
          <w:lang w:val="en-US" w:eastAsia="zh-CN"/>
        </w:rPr>
        <w:t>1</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7D12CA">
      <w:pPr>
        <w:pStyle w:val="23"/>
        <w:spacing w:line="560" w:lineRule="exact"/>
        <w:ind w:firstLine="640" w:firstLineChars="200"/>
        <w:rPr>
          <w:rStyle w:val="36"/>
          <w:rFonts w:ascii="黑体" w:hAnsi="黑体" w:eastAsia="黑体"/>
          <w:b w:val="0"/>
        </w:rPr>
      </w:pPr>
      <w:r>
        <w:rPr>
          <w:rFonts w:hint="eastAsia" w:ascii="仿宋" w:hAnsi="仿宋" w:eastAsia="仿宋" w:cs="仿宋"/>
          <w:sz w:val="32"/>
          <w:szCs w:val="32"/>
        </w:rPr>
        <w:t>1</w:t>
      </w:r>
      <w:r>
        <w:rPr>
          <w:rFonts w:hint="eastAsia" w:hAnsi="仿宋" w:cs="仿宋"/>
          <w:sz w:val="32"/>
          <w:szCs w:val="32"/>
          <w:lang w:val="en-US" w:eastAsia="zh-CN"/>
        </w:rPr>
        <w:t>2</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费以及其他费用。</w:t>
      </w:r>
      <w:bookmarkStart w:id="84" w:name="_Toc15377226"/>
      <w:r>
        <w:rPr>
          <w:rFonts w:ascii="宋体"/>
          <w:b/>
          <w:color w:val="000000"/>
          <w:sz w:val="44"/>
          <w:szCs w:val="44"/>
        </w:rPr>
        <w:br w:type="page"/>
      </w:r>
    </w:p>
    <w:bookmarkEnd w:id="84"/>
    <w:p w14:paraId="1720D585">
      <w:pPr>
        <w:spacing w:line="600" w:lineRule="exact"/>
        <w:jc w:val="center"/>
        <w:outlineLvl w:val="0"/>
        <w:rPr>
          <w:rFonts w:hint="eastAsia" w:ascii="黑体" w:hAnsi="黑体" w:eastAsia="黑体"/>
          <w:color w:val="auto"/>
          <w:sz w:val="44"/>
          <w:szCs w:val="44"/>
          <w:highlight w:val="none"/>
          <w:lang w:val="en-US" w:eastAsia="zh-CN"/>
        </w:rPr>
      </w:pPr>
      <w:bookmarkStart w:id="85" w:name="_Toc15396619"/>
    </w:p>
    <w:p w14:paraId="7BB61A8D">
      <w:pPr>
        <w:keepNext w:val="0"/>
        <w:keepLines w:val="0"/>
        <w:widowControl w:val="0"/>
        <w:suppressLineNumbers w:val="0"/>
        <w:spacing w:before="0" w:beforeAutospacing="0" w:after="0" w:afterAutospacing="0" w:line="600" w:lineRule="exact"/>
        <w:ind w:left="0" w:right="0"/>
        <w:jc w:val="center"/>
        <w:outlineLvl w:val="0"/>
        <w:rPr>
          <w:rFonts w:hint="eastAsia" w:ascii="黑体" w:hAnsi="宋体" w:eastAsia="黑体" w:cs="黑体"/>
          <w:b w:val="0"/>
          <w:bCs/>
          <w:sz w:val="44"/>
          <w:szCs w:val="44"/>
          <w:lang w:val="en-US"/>
        </w:rPr>
      </w:pPr>
      <w:bookmarkStart w:id="86" w:name="_Toc15396614"/>
      <w:r>
        <w:rPr>
          <w:rFonts w:hint="eastAsia" w:ascii="黑体" w:hAnsi="宋体" w:eastAsia="黑体" w:cs="黑体"/>
          <w:color w:val="000000"/>
          <w:kern w:val="2"/>
          <w:sz w:val="44"/>
          <w:szCs w:val="44"/>
          <w:lang w:val="en-US" w:eastAsia="zh-CN" w:bidi="ar"/>
        </w:rPr>
        <w:t>第</w:t>
      </w:r>
      <w:r>
        <w:rPr>
          <w:rFonts w:hint="eastAsia" w:ascii="黑体" w:hAnsi="宋体" w:eastAsia="黑体" w:cs="黑体"/>
          <w:b w:val="0"/>
          <w:bCs/>
          <w:kern w:val="44"/>
          <w:sz w:val="44"/>
          <w:szCs w:val="44"/>
          <w:lang w:val="en-US" w:eastAsia="zh-CN" w:bidi="ar"/>
        </w:rPr>
        <w:t>四部分 附件</w:t>
      </w:r>
      <w:bookmarkEnd w:id="86"/>
    </w:p>
    <w:p w14:paraId="22A0179B">
      <w:pPr>
        <w:keepNext w:val="0"/>
        <w:keepLines w:val="0"/>
        <w:widowControl w:val="0"/>
        <w:suppressLineNumbers w:val="0"/>
        <w:spacing w:before="0" w:beforeAutospacing="0" w:after="0" w:afterAutospacing="0" w:line="600" w:lineRule="exact"/>
        <w:ind w:left="0" w:right="0"/>
        <w:jc w:val="left"/>
        <w:outlineLvl w:val="0"/>
        <w:rPr>
          <w:rFonts w:hint="eastAsia" w:ascii="方正小标宋简体" w:hAnsi="方正小标宋简体" w:eastAsia="方正小标宋简体" w:cs="方正小标宋简体"/>
          <w:sz w:val="32"/>
          <w:szCs w:val="32"/>
          <w:lang w:val="en-US"/>
        </w:rPr>
      </w:pPr>
      <w:r>
        <w:rPr>
          <w:rFonts w:hint="eastAsia" w:ascii="黑体" w:hAnsi="宋体" w:eastAsia="黑体" w:cs="黑体"/>
          <w:kern w:val="2"/>
          <w:sz w:val="32"/>
          <w:szCs w:val="32"/>
          <w:lang w:val="en-US" w:eastAsia="zh-CN" w:bidi="ar"/>
        </w:rPr>
        <w:t>附件1</w:t>
      </w:r>
    </w:p>
    <w:p w14:paraId="664BF6FA">
      <w:pPr>
        <w:keepNext w:val="0"/>
        <w:keepLines w:val="0"/>
        <w:widowControl w:val="0"/>
        <w:suppressLineNumbers w:val="0"/>
        <w:spacing w:before="0" w:beforeAutospacing="0" w:after="0" w:afterAutospacing="0" w:line="580" w:lineRule="exact"/>
        <w:ind w:left="0" w:right="0"/>
        <w:jc w:val="center"/>
        <w:rPr>
          <w:rFonts w:hint="eastAsia" w:ascii="仿宋" w:hAnsi="仿宋" w:eastAsia="仿宋" w:cs="仿宋"/>
          <w:sz w:val="44"/>
          <w:szCs w:val="44"/>
          <w:lang w:val="en-US"/>
        </w:rPr>
      </w:pPr>
    </w:p>
    <w:p w14:paraId="62DF9560">
      <w:pPr>
        <w:pStyle w:val="46"/>
        <w:keepNext w:val="0"/>
        <w:keepLines w:val="0"/>
        <w:widowControl/>
        <w:suppressLineNumbers w:val="0"/>
        <w:shd w:val="clear" w:fill="FFFFFF"/>
        <w:spacing w:line="480" w:lineRule="atLeast"/>
        <w:ind w:left="0" w:firstLine="480"/>
        <w:jc w:val="center"/>
        <w:rPr>
          <w:rFonts w:hint="eastAsia" w:ascii="仿宋" w:hAnsi="仿宋" w:eastAsia="仿宋" w:cs="仿宋"/>
          <w:color w:val="333333"/>
          <w:sz w:val="44"/>
          <w:szCs w:val="44"/>
          <w:shd w:val="clear" w:fill="FFFFFF"/>
          <w:lang w:val="en-US"/>
        </w:rPr>
      </w:pPr>
      <w:bookmarkStart w:id="87" w:name="_Toc15396617"/>
      <w:r>
        <w:rPr>
          <w:rFonts w:hint="eastAsia" w:ascii="仿宋" w:hAnsi="仿宋" w:eastAsia="仿宋" w:cs="仿宋"/>
          <w:color w:val="000000"/>
          <w:sz w:val="44"/>
          <w:szCs w:val="44"/>
          <w:shd w:val="clear" w:fill="FFFFFF"/>
          <w:lang w:eastAsia="zh-CN"/>
        </w:rPr>
        <w:t>广元市昭化区教育局</w:t>
      </w:r>
    </w:p>
    <w:p w14:paraId="01DEBE18">
      <w:pPr>
        <w:pStyle w:val="46"/>
        <w:keepNext w:val="0"/>
        <w:keepLines w:val="0"/>
        <w:widowControl/>
        <w:suppressLineNumbers w:val="0"/>
        <w:shd w:val="clear" w:fill="FFFFFF"/>
        <w:spacing w:line="480" w:lineRule="atLeast"/>
        <w:jc w:val="center"/>
        <w:rPr>
          <w:rFonts w:hint="eastAsia" w:ascii="仿宋" w:hAnsi="仿宋" w:eastAsia="仿宋" w:cs="仿宋"/>
          <w:color w:val="333333"/>
          <w:sz w:val="44"/>
          <w:szCs w:val="44"/>
          <w:shd w:val="clear" w:fill="FFFFFF"/>
          <w:lang w:val="en-US"/>
        </w:rPr>
      </w:pPr>
      <w:r>
        <w:rPr>
          <w:rFonts w:hint="eastAsia" w:ascii="仿宋" w:hAnsi="仿宋" w:eastAsia="仿宋" w:cs="仿宋"/>
          <w:color w:val="000000"/>
          <w:sz w:val="44"/>
          <w:szCs w:val="44"/>
          <w:shd w:val="clear" w:fill="FFFFFF"/>
          <w:lang w:val="en-US"/>
        </w:rPr>
        <w:t>2020</w:t>
      </w:r>
      <w:r>
        <w:rPr>
          <w:rFonts w:hint="eastAsia" w:ascii="仿宋" w:hAnsi="仿宋" w:eastAsia="仿宋" w:cs="仿宋"/>
          <w:color w:val="000000"/>
          <w:sz w:val="44"/>
          <w:szCs w:val="44"/>
          <w:shd w:val="clear" w:fill="FFFFFF"/>
          <w:lang w:eastAsia="zh-CN"/>
        </w:rPr>
        <w:t>年部门整体支出绩效评价报告</w:t>
      </w:r>
    </w:p>
    <w:p w14:paraId="201F9B66">
      <w:pPr>
        <w:pStyle w:val="46"/>
        <w:keepNext w:val="0"/>
        <w:keepLines w:val="0"/>
        <w:widowControl/>
        <w:suppressLineNumbers w:val="0"/>
        <w:shd w:val="clear" w:fill="FFFFFF"/>
        <w:spacing w:line="480" w:lineRule="atLeast"/>
        <w:jc w:val="left"/>
        <w:rPr>
          <w:rFonts w:hint="eastAsia" w:ascii="仿宋" w:hAnsi="仿宋" w:eastAsia="仿宋" w:cs="仿宋"/>
          <w:color w:val="333333"/>
          <w:sz w:val="30"/>
          <w:szCs w:val="30"/>
          <w:shd w:val="clear" w:fill="FFFFFF"/>
          <w:lang w:val="en-US"/>
        </w:rPr>
      </w:pPr>
      <w:r>
        <w:rPr>
          <w:rFonts w:hint="eastAsia" w:ascii="仿宋" w:hAnsi="仿宋" w:eastAsia="仿宋" w:cs="仿宋"/>
          <w:color w:val="000000"/>
          <w:sz w:val="30"/>
          <w:szCs w:val="30"/>
          <w:shd w:val="clear" w:fill="FFFFFF"/>
          <w:lang w:val="en-US"/>
        </w:rPr>
        <w:t> </w:t>
      </w:r>
    </w:p>
    <w:p w14:paraId="22AF3CBB">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一、部门（单位）概况</w:t>
      </w:r>
    </w:p>
    <w:p w14:paraId="7BC1106D">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（一）机构组成。</w:t>
      </w:r>
    </w:p>
    <w:p w14:paraId="171BF713">
      <w:pPr>
        <w:pStyle w:val="46"/>
        <w:keepNext w:val="0"/>
        <w:keepLines w:val="0"/>
        <w:widowControl/>
        <w:suppressLineNumbers w:val="0"/>
        <w:shd w:val="clear" w:fill="FFFFFF"/>
        <w:spacing w:line="480" w:lineRule="atLeast"/>
        <w:ind w:left="0" w:firstLine="480"/>
        <w:jc w:val="left"/>
        <w:rPr>
          <w:rFonts w:hint="eastAsia" w:ascii="仿宋" w:hAnsi="仿宋" w:eastAsia="仿宋" w:cs="仿宋"/>
          <w:color w:val="000000"/>
          <w:sz w:val="30"/>
          <w:szCs w:val="30"/>
          <w:shd w:val="clear" w:fill="FFFFFF"/>
          <w:lang w:eastAsia="zh-CN"/>
        </w:rPr>
      </w:pPr>
      <w:r>
        <w:rPr>
          <w:rFonts w:hint="eastAsia" w:ascii="仿宋" w:hAnsi="仿宋" w:eastAsia="仿宋" w:cs="仿宋"/>
          <w:color w:val="000000"/>
          <w:kern w:val="2"/>
          <w:sz w:val="30"/>
          <w:szCs w:val="30"/>
          <w:shd w:val="clear" w:fill="FFFFFF"/>
          <w:lang w:val="en-US" w:eastAsia="zh-CN" w:bidi="ar"/>
        </w:rPr>
        <w:t>昭化区教育局是</w:t>
      </w:r>
      <w:r>
        <w:rPr>
          <w:rFonts w:hint="eastAsia" w:ascii="仿宋" w:hAnsi="仿宋" w:eastAsia="仿宋" w:cs="仿宋"/>
          <w:kern w:val="2"/>
          <w:sz w:val="32"/>
          <w:szCs w:val="32"/>
          <w:lang w:val="en-US" w:eastAsia="zh-CN" w:bidi="ar"/>
        </w:rPr>
        <w:t>行政单位</w:t>
      </w:r>
      <w:r>
        <w:rPr>
          <w:rFonts w:hint="eastAsia" w:ascii="仿宋" w:hAnsi="仿宋" w:eastAsia="仿宋" w:cs="仿宋"/>
          <w:color w:val="000000"/>
          <w:kern w:val="2"/>
          <w:sz w:val="30"/>
          <w:szCs w:val="30"/>
          <w:shd w:val="clear" w:fill="FFFFFF"/>
          <w:lang w:val="en-US" w:eastAsia="zh-CN" w:bidi="ar"/>
        </w:rPr>
        <w:t>，内设办公室、教育股股、人事股、计财股、核算中心、党办、后产股、安办、资助中心办公室。</w:t>
      </w:r>
    </w:p>
    <w:p w14:paraId="15B6D4ED">
      <w:pPr>
        <w:keepNext w:val="0"/>
        <w:keepLines w:val="0"/>
        <w:widowControl w:val="0"/>
        <w:suppressLineNumbers w:val="0"/>
        <w:spacing w:before="0" w:beforeAutospacing="0" w:after="0" w:afterAutospacing="0"/>
        <w:ind w:left="0" w:right="0" w:firstLine="750" w:firstLineChars="250"/>
        <w:jc w:val="both"/>
        <w:rPr>
          <w:rFonts w:hint="eastAsia" w:ascii="仿宋" w:hAnsi="仿宋" w:eastAsia="仿宋" w:cs="仿宋"/>
          <w:color w:val="000000"/>
          <w:kern w:val="2"/>
          <w:sz w:val="30"/>
          <w:szCs w:val="30"/>
          <w:shd w:val="clear" w:fill="FFFFFF"/>
          <w:lang w:val="en-US" w:eastAsia="zh-CN" w:bidi="ar"/>
        </w:rPr>
      </w:pPr>
      <w:r>
        <w:rPr>
          <w:rFonts w:hint="eastAsia" w:ascii="仿宋" w:hAnsi="仿宋" w:eastAsia="仿宋" w:cs="仿宋"/>
          <w:color w:val="000000"/>
          <w:sz w:val="30"/>
          <w:szCs w:val="30"/>
          <w:shd w:val="clear" w:fill="FFFFFF"/>
          <w:lang w:eastAsia="zh-CN"/>
        </w:rPr>
        <w:t>截止</w:t>
      </w:r>
      <w:r>
        <w:rPr>
          <w:rFonts w:hint="eastAsia" w:ascii="仿宋" w:hAnsi="仿宋" w:eastAsia="仿宋" w:cs="仿宋"/>
          <w:color w:val="000000"/>
          <w:sz w:val="30"/>
          <w:szCs w:val="30"/>
          <w:shd w:val="clear" w:fill="FFFFFF"/>
          <w:lang w:val="en-US"/>
        </w:rPr>
        <w:t>2020</w:t>
      </w:r>
      <w:r>
        <w:rPr>
          <w:rFonts w:hint="eastAsia" w:ascii="仿宋" w:hAnsi="仿宋" w:eastAsia="仿宋" w:cs="仿宋"/>
          <w:color w:val="000000"/>
          <w:sz w:val="30"/>
          <w:szCs w:val="30"/>
          <w:shd w:val="clear" w:fill="FFFFFF"/>
          <w:lang w:eastAsia="zh-CN"/>
        </w:rPr>
        <w:t>年</w:t>
      </w:r>
      <w:r>
        <w:rPr>
          <w:rFonts w:hint="eastAsia" w:ascii="仿宋" w:hAnsi="仿宋" w:eastAsia="仿宋" w:cs="仿宋"/>
          <w:color w:val="000000"/>
          <w:sz w:val="30"/>
          <w:szCs w:val="30"/>
          <w:shd w:val="clear" w:fill="FFFFFF"/>
          <w:lang w:val="en-US"/>
        </w:rPr>
        <w:t>12</w:t>
      </w:r>
      <w:r>
        <w:rPr>
          <w:rFonts w:hint="eastAsia" w:ascii="仿宋" w:hAnsi="仿宋" w:eastAsia="仿宋" w:cs="仿宋"/>
          <w:color w:val="000000"/>
          <w:sz w:val="30"/>
          <w:szCs w:val="30"/>
          <w:shd w:val="clear" w:fill="FFFFFF"/>
          <w:lang w:eastAsia="zh-CN"/>
        </w:rPr>
        <w:t>月</w:t>
      </w:r>
      <w:r>
        <w:rPr>
          <w:rFonts w:hint="eastAsia" w:ascii="仿宋" w:hAnsi="仿宋" w:eastAsia="仿宋" w:cs="仿宋"/>
          <w:color w:val="000000"/>
          <w:sz w:val="30"/>
          <w:szCs w:val="30"/>
          <w:shd w:val="clear" w:fill="FFFFFF"/>
          <w:lang w:val="en-US"/>
        </w:rPr>
        <w:t>,</w:t>
      </w:r>
      <w:r>
        <w:rPr>
          <w:rFonts w:hint="eastAsia" w:ascii="仿宋" w:hAnsi="仿宋" w:eastAsia="仿宋" w:cs="仿宋"/>
          <w:color w:val="000000"/>
          <w:sz w:val="30"/>
          <w:szCs w:val="30"/>
          <w:shd w:val="clear" w:fill="FFFFFF"/>
          <w:lang w:eastAsia="zh-CN"/>
        </w:rPr>
        <w:t>全局实有人数</w:t>
      </w:r>
      <w:r>
        <w:rPr>
          <w:rFonts w:hint="eastAsia" w:ascii="仿宋" w:hAnsi="仿宋" w:eastAsia="仿宋" w:cs="仿宋"/>
          <w:color w:val="000000"/>
          <w:sz w:val="30"/>
          <w:szCs w:val="30"/>
          <w:shd w:val="clear" w:fill="FFFFFF"/>
          <w:lang w:val="en-US" w:eastAsia="zh-CN"/>
        </w:rPr>
        <w:t>34</w:t>
      </w:r>
      <w:r>
        <w:rPr>
          <w:rFonts w:hint="eastAsia" w:ascii="仿宋" w:hAnsi="仿宋" w:eastAsia="仿宋" w:cs="仿宋"/>
          <w:color w:val="000000"/>
          <w:sz w:val="30"/>
          <w:szCs w:val="30"/>
          <w:shd w:val="clear" w:fill="FFFFFF"/>
          <w:lang w:eastAsia="zh-CN"/>
        </w:rPr>
        <w:t>人。</w:t>
      </w:r>
      <w:r>
        <w:rPr>
          <w:rFonts w:hint="eastAsia" w:ascii="Times New Roman" w:hAnsi="Times New Roman" w:eastAsia="仿宋_GB2312" w:cs="Times New Roman"/>
          <w:kern w:val="2"/>
          <w:sz w:val="32"/>
          <w:szCs w:val="32"/>
          <w:lang w:val="en-US" w:eastAsia="zh-CN" w:bidi="ar"/>
        </w:rPr>
        <w:t>其中</w:t>
      </w:r>
      <w:r>
        <w:rPr>
          <w:rFonts w:hint="eastAsia" w:ascii="Times New Roman" w:hAnsi="Times New Roman" w:eastAsia="仿宋_GB2312" w:cs="仿宋_GB2312"/>
          <w:kern w:val="2"/>
          <w:sz w:val="32"/>
          <w:szCs w:val="32"/>
          <w:lang w:val="en-US" w:eastAsia="zh-CN" w:bidi="ar"/>
        </w:rPr>
        <w:t>公务员</w:t>
      </w:r>
      <w:r>
        <w:rPr>
          <w:rFonts w:hint="default" w:ascii="Times New Roman" w:hAnsi="Times New Roman" w:eastAsia="仿宋_GB2312" w:cs="Times New Roman"/>
          <w:kern w:val="2"/>
          <w:sz w:val="32"/>
          <w:szCs w:val="32"/>
          <w:lang w:val="en-US" w:eastAsia="zh-CN" w:bidi="ar"/>
        </w:rPr>
        <w:t>15</w:t>
      </w:r>
      <w:r>
        <w:rPr>
          <w:rFonts w:hint="eastAsia" w:ascii="Times New Roman" w:hAnsi="Times New Roman" w:eastAsia="仿宋_GB2312" w:cs="仿宋_GB2312"/>
          <w:kern w:val="2"/>
          <w:sz w:val="32"/>
          <w:szCs w:val="32"/>
          <w:lang w:val="en-US" w:eastAsia="zh-CN" w:bidi="ar"/>
        </w:rPr>
        <w:t>人；事业人员</w:t>
      </w:r>
      <w:r>
        <w:rPr>
          <w:rFonts w:hint="default" w:ascii="Times New Roman" w:hAnsi="Times New Roman" w:eastAsia="仿宋_GB2312" w:cs="Times New Roman"/>
          <w:kern w:val="2"/>
          <w:sz w:val="32"/>
          <w:szCs w:val="32"/>
          <w:lang w:val="en-US" w:eastAsia="zh-CN" w:bidi="ar"/>
        </w:rPr>
        <w:t>19</w:t>
      </w:r>
      <w:r>
        <w:rPr>
          <w:rFonts w:hint="eastAsia" w:ascii="Times New Roman" w:hAnsi="Times New Roman" w:eastAsia="仿宋_GB2312" w:cs="仿宋_GB2312"/>
          <w:kern w:val="2"/>
          <w:sz w:val="32"/>
          <w:szCs w:val="32"/>
          <w:lang w:val="en-US" w:eastAsia="zh-CN" w:bidi="ar"/>
        </w:rPr>
        <w:t>人，其中：事业管理人员</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人、工勤人员</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人、专业技术人员</w:t>
      </w:r>
      <w:r>
        <w:rPr>
          <w:rFonts w:hint="default" w:ascii="Times New Roman" w:hAnsi="Times New Roman" w:eastAsia="仿宋_GB2312" w:cs="Times New Roman"/>
          <w:kern w:val="2"/>
          <w:sz w:val="32"/>
          <w:szCs w:val="32"/>
          <w:lang w:val="en-US" w:eastAsia="zh-CN" w:bidi="ar"/>
        </w:rPr>
        <w:t>16</w:t>
      </w:r>
      <w:r>
        <w:rPr>
          <w:rFonts w:hint="eastAsia" w:ascii="Times New Roman" w:hAnsi="Times New Roman" w:eastAsia="仿宋_GB2312" w:cs="仿宋_GB2312"/>
          <w:kern w:val="2"/>
          <w:sz w:val="32"/>
          <w:szCs w:val="32"/>
          <w:lang w:val="en-US" w:eastAsia="zh-CN" w:bidi="ar"/>
        </w:rPr>
        <w:t>人。</w:t>
      </w:r>
    </w:p>
    <w:p w14:paraId="3DF78342">
      <w:pPr>
        <w:keepNext w:val="0"/>
        <w:keepLines w:val="0"/>
        <w:widowControl w:val="0"/>
        <w:suppressLineNumbers w:val="0"/>
        <w:spacing w:before="0" w:beforeAutospacing="0" w:after="0" w:afterAutospacing="0" w:line="580" w:lineRule="exact"/>
        <w:ind w:left="72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（二）机构职能。</w:t>
      </w:r>
    </w:p>
    <w:p w14:paraId="4B0114E7">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1.贯彻执行中央、省、市有关教育方针政策和法律法规，提出全区教育发展战略，制订教育政策性、规范性文件并监督执行。</w:t>
      </w:r>
    </w:p>
    <w:p w14:paraId="228E44E4">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2.编制全区教育事业的发展规划和年度计划并组织实施；确定教育事业发展重点、规模和速度。</w:t>
      </w:r>
    </w:p>
    <w:p w14:paraId="6C2C8DA1">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综合管理全区的教育事业，负责全区幼儿教育、基础教育、成人教育、职业教育和社会力量办学工作；指导各类学校的思想政治工作、教学工作、体育卫生工作、法制教育、国防教育和安全工作；管理教学质量、考试和学历教育工作；督导评估学校办学水平和教育质量；推动全区教育体制改革、办学体制改革和学校内部管理改革；调整学校布局结构；建立适应社会主义市场经济体制、政治体制需要的教育体制和运行机制。</w:t>
      </w:r>
    </w:p>
    <w:p w14:paraId="294CE043">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根据国务院关于基础教育改革与发展的决定，负责对完全中学、职业高级中学校长和副校长的推荐、考察或参与考察，按干部管理权限任用或聘用；根据《中华人民共和国义务教育法》，负责乡镇中心小学、初级中学校长的选拔、聘用、管理；推行中小学校长聘任制和负责制；实行校长任期制；负责全区中小学校长的培训、提高工作、加强学校干部队伍建设。</w:t>
      </w:r>
    </w:p>
    <w:p w14:paraId="44B7FC09">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5.统筹和指导全区教育督导工作，负责对中等及中等以下教育、扫除青壮年文盲工作的督导检查和评估验收工作，指导基础教育水平和质量的监测工作。</w:t>
      </w:r>
    </w:p>
    <w:p w14:paraId="59C9A560">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6.主管全区教师工作。会同有关部门规定教育系统人事管理工作的有关政策和规章制度；根据中央、省、市制定的各类学校编制标准管理学校的编制；根据国家、省、市教育发展规划纲要（2011-2020）和有关文件规定，组织实施，负责教师的招聘、调配交流、工资福利、考核奖惩工作，组织实施学校教师专业技术职务的评聘、技术工人的考核定级和教师资格考试、资格认定工作，负责教师的培养和教师的继续教育、职业教育训练工作，负责全区教育系统离退休人员管理工作；负责教育系统纪检监察的宣传教育工作，办理或会同有关部门办理全区教育系统干部职工违规违纪的查处工作。</w:t>
      </w:r>
    </w:p>
    <w:p w14:paraId="3D607825">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7.贯彻执行国家语言文字工作的方针政策，拟订语言文字工作中长期规划和工作计划，指导普通话推广和普通话师资培训工作。承担我区语言文字工作委员会的具体工作。</w:t>
      </w:r>
    </w:p>
    <w:p w14:paraId="746F26AD">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8.负责全区大中专学校招生考试和高等教育自学考试工作。</w:t>
      </w:r>
    </w:p>
    <w:p w14:paraId="045BF6E0">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9.统一管理本部门的经费。参与制定教育经费、拨款、基建投资的政策和措施；具体组织实施经区财政预算的教育经费计划；会同物价、财政等部门制订教育收费项目及标准；协助教育费附加的征收管理；管理国家、省、市对我区教育项目的拨款经费；管理国内外对我区教育的援助资金和贷款。负责教育后勤与产业工作。</w:t>
      </w:r>
    </w:p>
    <w:p w14:paraId="6201C21D">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10.负责全区教育管理资料统计、档案及信息系统的开发和建设工作；指导教育方针政策的宣传和舆论监督工作。</w:t>
      </w:r>
    </w:p>
    <w:p w14:paraId="64B20426">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11.管理区教育局直属事业单位；指导全区教育系统社团、群团组织的管理工作。</w:t>
      </w:r>
    </w:p>
    <w:p w14:paraId="1F37BCAB">
      <w:pPr>
        <w:rPr>
          <w:rFonts w:hint="eastAsia" w:ascii="仿宋" w:hAnsi="仿宋" w:eastAsia="仿宋" w:cs="仿宋"/>
          <w:color w:val="000000"/>
          <w:sz w:val="30"/>
          <w:szCs w:val="30"/>
          <w:shd w:val="clear" w:fill="FFFFFF"/>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12.承办区政府公布的有关行政审批事项和交办的其它事项。</w:t>
      </w:r>
    </w:p>
    <w:p w14:paraId="52DFD92F">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二、部门财政资金收支情况</w:t>
      </w:r>
    </w:p>
    <w:p w14:paraId="5A4E26DB">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（一）部门财政资金收入情况。</w:t>
      </w:r>
    </w:p>
    <w:p w14:paraId="0B4882D3">
      <w:pPr>
        <w:pStyle w:val="46"/>
        <w:keepNext w:val="0"/>
        <w:keepLines w:val="0"/>
        <w:widowControl/>
        <w:suppressLineNumbers w:val="0"/>
        <w:shd w:val="clear" w:fill="FFFFFF"/>
        <w:spacing w:line="480" w:lineRule="atLeast"/>
        <w:ind w:left="0" w:leftChars="0" w:firstLine="416" w:firstLineChars="139"/>
        <w:jc w:val="left"/>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2020年收入总计</w:t>
      </w:r>
      <w:r>
        <w:rPr>
          <w:rFonts w:hint="eastAsia" w:ascii="仿宋_GB2312" w:hAnsi="仿宋_GB2312" w:eastAsia="仿宋_GB2312" w:cs="仿宋_GB2312"/>
          <w:color w:val="000000"/>
          <w:sz w:val="30"/>
          <w:szCs w:val="30"/>
          <w:lang w:val="en-US" w:eastAsia="zh-CN"/>
        </w:rPr>
        <w:t>3336.73</w:t>
      </w:r>
      <w:r>
        <w:rPr>
          <w:rFonts w:hint="eastAsia" w:ascii="仿宋" w:hAnsi="仿宋" w:eastAsia="仿宋" w:cs="仿宋"/>
          <w:kern w:val="2"/>
          <w:sz w:val="30"/>
          <w:szCs w:val="30"/>
          <w:lang w:val="en-US" w:eastAsia="zh-CN" w:bidi="ar"/>
        </w:rPr>
        <w:t>万元，其中，一般公共预算财政收入预算收入</w:t>
      </w:r>
      <w:r>
        <w:rPr>
          <w:rFonts w:hint="eastAsia" w:ascii="仿宋_GB2312" w:hAnsi="仿宋_GB2312" w:eastAsia="仿宋_GB2312" w:cs="仿宋_GB2312"/>
          <w:color w:val="000000"/>
          <w:sz w:val="30"/>
          <w:szCs w:val="30"/>
          <w:lang w:val="en-US" w:eastAsia="zh-CN"/>
        </w:rPr>
        <w:t>3336.73</w:t>
      </w:r>
      <w:r>
        <w:rPr>
          <w:rFonts w:hint="eastAsia" w:ascii="仿宋" w:hAnsi="仿宋" w:eastAsia="仿宋" w:cs="仿宋"/>
          <w:kern w:val="2"/>
          <w:sz w:val="30"/>
          <w:szCs w:val="30"/>
          <w:lang w:val="en-US" w:eastAsia="zh-CN" w:bidi="ar"/>
        </w:rPr>
        <w:t>万元。</w:t>
      </w:r>
    </w:p>
    <w:p w14:paraId="661C8AEB">
      <w:pPr>
        <w:pStyle w:val="46"/>
        <w:keepNext w:val="0"/>
        <w:keepLines w:val="0"/>
        <w:widowControl/>
        <w:suppressLineNumbers w:val="0"/>
        <w:shd w:val="clear" w:fill="FFFFFF"/>
        <w:spacing w:line="480" w:lineRule="atLeast"/>
        <w:ind w:left="0" w:firstLine="600" w:firstLineChars="200"/>
        <w:jc w:val="left"/>
        <w:rPr>
          <w:rFonts w:hint="eastAsia" w:ascii="仿宋" w:hAnsi="仿宋" w:eastAsia="仿宋" w:cs="仿宋"/>
          <w:color w:val="000000"/>
          <w:sz w:val="30"/>
          <w:szCs w:val="30"/>
          <w:shd w:val="clear" w:fill="FFFFFF"/>
          <w:lang w:val="en-US"/>
        </w:rPr>
      </w:pPr>
      <w:r>
        <w:rPr>
          <w:rFonts w:hint="eastAsia" w:ascii="仿宋" w:hAnsi="仿宋" w:eastAsia="仿宋" w:cs="仿宋"/>
          <w:sz w:val="30"/>
          <w:szCs w:val="30"/>
          <w:shd w:val="clear" w:fill="FFFFFF"/>
          <w:lang w:eastAsia="zh-CN"/>
        </w:rPr>
        <w:t>（二）部门财政资金支出情况</w:t>
      </w:r>
    </w:p>
    <w:p w14:paraId="38C21F60">
      <w:pPr>
        <w:pStyle w:val="2"/>
        <w:ind w:left="0" w:leftChars="0" w:firstLine="600" w:firstLineChars="200"/>
        <w:rPr>
          <w:rFonts w:hint="eastAsia"/>
        </w:rPr>
      </w:pPr>
      <w:r>
        <w:rPr>
          <w:rFonts w:hint="eastAsia" w:ascii="仿宋_GB2312" w:hAnsi="仿宋_GB2312" w:eastAsia="仿宋_GB2312" w:cs="仿宋_GB2312"/>
          <w:color w:val="auto"/>
          <w:sz w:val="30"/>
          <w:szCs w:val="30"/>
          <w:lang w:eastAsia="zh-CN"/>
        </w:rPr>
        <w:t>2020</w:t>
      </w:r>
      <w:r>
        <w:rPr>
          <w:rFonts w:hint="eastAsia" w:ascii="仿宋_GB2312" w:hAnsi="仿宋_GB2312" w:eastAsia="仿宋_GB2312" w:cs="仿宋_GB2312"/>
          <w:color w:val="auto"/>
          <w:sz w:val="30"/>
          <w:szCs w:val="30"/>
        </w:rPr>
        <w:t>年本年支出合计</w:t>
      </w:r>
      <w:r>
        <w:rPr>
          <w:rFonts w:hint="eastAsia" w:ascii="仿宋_GB2312" w:hAnsi="仿宋_GB2312" w:eastAsia="仿宋_GB2312" w:cs="仿宋_GB2312"/>
          <w:color w:val="auto"/>
          <w:sz w:val="30"/>
          <w:szCs w:val="30"/>
          <w:lang w:val="en-US" w:eastAsia="zh-CN"/>
        </w:rPr>
        <w:t>2136.73</w:t>
      </w:r>
      <w:r>
        <w:rPr>
          <w:rFonts w:hint="eastAsia" w:ascii="仿宋_GB2312" w:hAnsi="仿宋_GB2312" w:eastAsia="仿宋_GB2312" w:cs="仿宋_GB2312"/>
          <w:color w:val="auto"/>
          <w:sz w:val="30"/>
          <w:szCs w:val="30"/>
        </w:rPr>
        <w:t>万元，其中：基本支出</w:t>
      </w:r>
      <w:r>
        <w:rPr>
          <w:rFonts w:hint="eastAsia" w:ascii="仿宋_GB2312" w:hAnsi="仿宋_GB2312" w:eastAsia="仿宋_GB2312" w:cs="仿宋_GB2312"/>
          <w:color w:val="auto"/>
          <w:sz w:val="30"/>
          <w:szCs w:val="30"/>
          <w:lang w:val="en-US" w:eastAsia="zh-CN"/>
        </w:rPr>
        <w:t>825.2</w:t>
      </w:r>
      <w:r>
        <w:rPr>
          <w:rFonts w:hint="eastAsia" w:ascii="仿宋_GB2312" w:hAnsi="仿宋_GB2312" w:eastAsia="仿宋_GB2312" w:cs="仿宋_GB2312"/>
          <w:color w:val="auto"/>
          <w:sz w:val="30"/>
          <w:szCs w:val="30"/>
        </w:rPr>
        <w:t>万元，占</w:t>
      </w:r>
      <w:r>
        <w:rPr>
          <w:rFonts w:hint="eastAsia" w:ascii="仿宋_GB2312" w:hAnsi="仿宋_GB2312" w:eastAsia="仿宋_GB2312" w:cs="仿宋_GB2312"/>
          <w:color w:val="auto"/>
          <w:sz w:val="30"/>
          <w:szCs w:val="30"/>
          <w:lang w:val="en-US" w:eastAsia="zh-CN"/>
        </w:rPr>
        <w:t>38.62</w:t>
      </w:r>
      <w:r>
        <w:rPr>
          <w:rFonts w:hint="eastAsia" w:ascii="仿宋_GB2312" w:hAnsi="仿宋_GB2312" w:eastAsia="仿宋_GB2312" w:cs="仿宋_GB2312"/>
          <w:color w:val="auto"/>
          <w:sz w:val="30"/>
          <w:szCs w:val="30"/>
        </w:rPr>
        <w:t>%；项目支出</w:t>
      </w:r>
      <w:r>
        <w:rPr>
          <w:rFonts w:hint="eastAsia" w:ascii="仿宋_GB2312" w:hAnsi="仿宋_GB2312" w:eastAsia="仿宋_GB2312" w:cs="仿宋_GB2312"/>
          <w:color w:val="auto"/>
          <w:sz w:val="30"/>
          <w:szCs w:val="30"/>
          <w:lang w:val="en-US" w:eastAsia="zh-CN"/>
        </w:rPr>
        <w:t>1311.54</w:t>
      </w:r>
      <w:r>
        <w:rPr>
          <w:rFonts w:hint="eastAsia" w:ascii="仿宋_GB2312" w:hAnsi="仿宋_GB2312" w:eastAsia="仿宋_GB2312" w:cs="仿宋_GB2312"/>
          <w:color w:val="auto"/>
          <w:sz w:val="30"/>
          <w:szCs w:val="30"/>
        </w:rPr>
        <w:t>万元，占</w:t>
      </w:r>
      <w:r>
        <w:rPr>
          <w:rFonts w:hint="eastAsia" w:ascii="仿宋_GB2312" w:hAnsi="仿宋_GB2312" w:eastAsia="仿宋_GB2312" w:cs="仿宋_GB2312"/>
          <w:color w:val="auto"/>
          <w:sz w:val="30"/>
          <w:szCs w:val="30"/>
          <w:lang w:val="en-US" w:eastAsia="zh-CN"/>
        </w:rPr>
        <w:t>61.38</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b w:val="0"/>
          <w:bCs w:val="0"/>
          <w:color w:val="auto"/>
          <w:sz w:val="30"/>
          <w:szCs w:val="30"/>
        </w:rPr>
        <w:t>。</w:t>
      </w:r>
    </w:p>
    <w:p w14:paraId="6B3256CF">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三、部门整体预算绩效管理情况</w:t>
      </w:r>
    </w:p>
    <w:p w14:paraId="7B009D6A">
      <w:pPr>
        <w:keepNext w:val="0"/>
        <w:keepLines w:val="0"/>
        <w:widowControl w:val="0"/>
        <w:suppressLineNumbers w:val="0"/>
        <w:spacing w:before="0" w:beforeAutospacing="0" w:after="0" w:afterAutospacing="0" w:line="580" w:lineRule="exact"/>
        <w:ind w:left="64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（一）部门预算管理</w:t>
      </w:r>
    </w:p>
    <w:p w14:paraId="48D7557D">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color w:val="000000"/>
          <w:sz w:val="30"/>
          <w:szCs w:val="30"/>
          <w:shd w:val="clear" w:fill="FFFFFF"/>
          <w:lang w:val="en-US"/>
        </w:rPr>
      </w:pPr>
      <w:r>
        <w:rPr>
          <w:rFonts w:hint="eastAsia" w:ascii="仿宋" w:hAnsi="仿宋" w:eastAsia="仿宋" w:cs="仿宋"/>
          <w:kern w:val="2"/>
          <w:sz w:val="30"/>
          <w:szCs w:val="30"/>
          <w:lang w:val="en-US" w:eastAsia="zh-CN" w:bidi="ar"/>
        </w:rPr>
        <w:t>按照省委、省政府关于全省经济社会发展的决策部署和公共财政管理的基本要求，严格按照政策标准，优化支出结构，提高预算编制的科学化精细化水平的原则，结合本部门实际编制了2020年基本支出和专项支出的预算，从</w:t>
      </w:r>
      <w:r>
        <w:rPr>
          <w:rFonts w:hint="eastAsia" w:ascii="仿宋" w:hAnsi="仿宋" w:eastAsia="仿宋" w:cs="仿宋"/>
          <w:color w:val="000000"/>
          <w:kern w:val="2"/>
          <w:sz w:val="30"/>
          <w:szCs w:val="30"/>
          <w:shd w:val="clear" w:fill="FFFFFF"/>
          <w:lang w:val="en-US" w:eastAsia="zh-CN" w:bidi="ar"/>
        </w:rPr>
        <w:t>整体情况来看，我局严格按照年初预算控制部门整体支出。在支出过程中，能严格遵守各项财务规章制度，严格控制“三公”经费支出。</w:t>
      </w:r>
    </w:p>
    <w:p w14:paraId="3619A923">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（二）专项预算管理</w:t>
      </w:r>
    </w:p>
    <w:p w14:paraId="02F7E524">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color w:val="000000"/>
          <w:sz w:val="30"/>
          <w:szCs w:val="30"/>
          <w:shd w:val="clear" w:fill="FFFFFF"/>
          <w:lang w:val="en-US"/>
        </w:rPr>
      </w:pPr>
      <w:r>
        <w:rPr>
          <w:rFonts w:hint="eastAsia" w:ascii="仿宋" w:hAnsi="仿宋" w:eastAsia="仿宋" w:cs="仿宋"/>
          <w:color w:val="000000"/>
          <w:kern w:val="2"/>
          <w:sz w:val="30"/>
          <w:szCs w:val="30"/>
          <w:shd w:val="clear" w:fill="FFFFFF"/>
          <w:lang w:val="en-US" w:eastAsia="zh-CN" w:bidi="ar"/>
        </w:rPr>
        <w:t>所有项目都详细制定了方案，严格按方案组织实施，并加强了监督。实行了先有预算、后有执行，尤其是在专项经费支出上，做到专款专用，按项目实施计划的进度情况拨付资金，无截留、无挪用等现象。</w:t>
      </w:r>
    </w:p>
    <w:p w14:paraId="5F907D08">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（三）结果应用情况。</w:t>
      </w:r>
    </w:p>
    <w:p w14:paraId="19F1282D">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通过绩效评价自评，进一步明确绩效管理的重要性，为细化预算费用测算，提高预算编制的准确度、设定年初的绩效目标提供支撑，严肃财经纪律，项目支出效益明显，促进了我区教育事业的发展，群众满意度高。</w:t>
      </w:r>
    </w:p>
    <w:p w14:paraId="3769C9EC">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四、评价结论及建议</w:t>
      </w:r>
    </w:p>
    <w:p w14:paraId="764E8328">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（一）评价结论</w:t>
      </w:r>
    </w:p>
    <w:p w14:paraId="27947996">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2020年通过各项经费的使用，保障了干部职工的基本利益，提高了干部职工的工作积极性和责任心；保障了部门各项业务工作的进行，为各单位的良好运转起到了积极的推动作用，实现了年初制定的目标。因此，从项目决策、项目管理、项目完成和项目效果来看，都较好地达到了预期的效果。</w:t>
      </w:r>
    </w:p>
    <w:p w14:paraId="140D8FA8">
      <w:pPr>
        <w:keepNext w:val="0"/>
        <w:keepLines w:val="0"/>
        <w:widowControl w:val="0"/>
        <w:suppressLineNumbers w:val="0"/>
        <w:spacing w:before="0" w:beforeAutospacing="0" w:after="0" w:afterAutospacing="0" w:line="580" w:lineRule="exact"/>
        <w:ind w:left="420" w:leftChars="200" w:right="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（二）存在问题</w:t>
      </w:r>
    </w:p>
    <w:p w14:paraId="348E2D17">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预算编制精准性还有待进一步提高。在预算编制过程中与业务股室沟通不够，造成预算与实际支出费用存在偏差，在支出时也还存在申报计划功能科目与实际支出不一致的情况，从而造成预算编制不够精确。</w:t>
      </w:r>
    </w:p>
    <w:p w14:paraId="2B755F1A">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（三）改进建议</w:t>
      </w:r>
    </w:p>
    <w:p w14:paraId="6DEB37ED">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sz w:val="30"/>
          <w:szCs w:val="30"/>
          <w:lang w:val="en-US"/>
        </w:rPr>
      </w:pPr>
      <w:r>
        <w:rPr>
          <w:rFonts w:hint="eastAsia" w:ascii="仿宋" w:hAnsi="仿宋" w:eastAsia="仿宋" w:cs="仿宋"/>
          <w:color w:val="000000"/>
          <w:kern w:val="2"/>
          <w:sz w:val="30"/>
          <w:szCs w:val="30"/>
          <w:lang w:val="en-US" w:eastAsia="zh-CN" w:bidi="ar"/>
        </w:rPr>
        <w:t>进一步做好预算安排基础工作，细</w:t>
      </w:r>
      <w:r>
        <w:rPr>
          <w:rFonts w:hint="eastAsia" w:ascii="仿宋" w:hAnsi="仿宋" w:eastAsia="仿宋" w:cs="仿宋"/>
          <w:kern w:val="2"/>
          <w:sz w:val="30"/>
          <w:szCs w:val="30"/>
          <w:lang w:val="en-US" w:eastAsia="zh-CN" w:bidi="ar"/>
        </w:rPr>
        <w:t>化费用测算，严格按照政策标准，优化支出结构，加快工作进度，提高预算编制的科学化精细化水平。</w:t>
      </w:r>
    </w:p>
    <w:p w14:paraId="019AE680">
      <w:pPr>
        <w:keepNext w:val="0"/>
        <w:keepLines w:val="0"/>
        <w:widowControl w:val="0"/>
        <w:suppressLineNumbers w:val="0"/>
        <w:spacing w:before="0" w:beforeAutospacing="0" w:after="0" w:afterAutospacing="0" w:line="580" w:lineRule="exact"/>
        <w:ind w:left="0" w:right="0" w:firstLine="600" w:firstLineChars="200"/>
        <w:jc w:val="both"/>
        <w:rPr>
          <w:rFonts w:hint="eastAsia" w:ascii="仿宋" w:hAnsi="仿宋" w:eastAsia="仿宋" w:cs="仿宋"/>
          <w:sz w:val="30"/>
          <w:szCs w:val="30"/>
          <w:lang w:val="en-US"/>
        </w:rPr>
      </w:pPr>
    </w:p>
    <w:bookmarkEnd w:id="87"/>
    <w:p w14:paraId="6ADF180B">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 w:hAnsi="仿宋" w:eastAsia="仿宋" w:cs="仿宋"/>
          <w:sz w:val="32"/>
          <w:szCs w:val="32"/>
          <w:lang w:val="en-US"/>
        </w:rPr>
      </w:pPr>
    </w:p>
    <w:p w14:paraId="4D512AC9">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 w:hAnsi="仿宋" w:eastAsia="仿宋" w:cs="仿宋"/>
          <w:sz w:val="32"/>
          <w:szCs w:val="32"/>
          <w:lang w:val="en-US"/>
        </w:rPr>
      </w:pPr>
    </w:p>
    <w:p w14:paraId="3BA0119F">
      <w:pPr>
        <w:pStyle w:val="2"/>
        <w:rPr>
          <w:rFonts w:hint="eastAsia"/>
          <w:lang w:val="en-US"/>
        </w:rPr>
      </w:pPr>
    </w:p>
    <w:p w14:paraId="0192FF5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_GB2312"/>
          <w:color w:val="auto"/>
          <w:sz w:val="32"/>
          <w:szCs w:val="32"/>
          <w:lang w:val="en-US" w:eastAsia="zh-CN"/>
        </w:rPr>
      </w:pPr>
    </w:p>
    <w:bookmarkEnd w:id="85"/>
    <w:p w14:paraId="06CB7C1C">
      <w:pPr>
        <w:spacing w:line="580" w:lineRule="exact"/>
        <w:rPr>
          <w:rFonts w:ascii="仿宋_GB2312" w:hAnsi="仿宋_GB2312" w:eastAsia="仿宋_GB2312" w:cs="仿宋_GB2312"/>
          <w:color w:val="auto"/>
          <w:sz w:val="32"/>
          <w:szCs w:val="32"/>
        </w:rPr>
      </w:pPr>
      <w:r>
        <w:rPr>
          <w:rFonts w:hint="eastAsia" w:ascii="黑体" w:hAnsi="黑体" w:eastAsia="黑体" w:cs="黑体"/>
          <w:color w:val="auto"/>
          <w:sz w:val="32"/>
          <w:szCs w:val="32"/>
        </w:rPr>
        <w:t>附件2</w:t>
      </w:r>
    </w:p>
    <w:p w14:paraId="056AB4E3">
      <w:pPr>
        <w:spacing w:line="580" w:lineRule="exact"/>
        <w:ind w:firstLine="640" w:firstLineChars="200"/>
        <w:rPr>
          <w:rFonts w:ascii="仿宋_GB2312" w:hAnsi="仿宋_GB2312" w:eastAsia="仿宋_GB2312" w:cs="仿宋_GB2312"/>
          <w:color w:val="auto"/>
          <w:sz w:val="32"/>
          <w:szCs w:val="32"/>
        </w:rPr>
      </w:pPr>
    </w:p>
    <w:p w14:paraId="22D258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广元市昭化区教育局</w:t>
      </w:r>
    </w:p>
    <w:p w14:paraId="7B226E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auto"/>
          <w:sz w:val="44"/>
          <w:szCs w:val="44"/>
          <w:highlight w:val="none"/>
        </w:rPr>
      </w:pPr>
      <w:r>
        <w:rPr>
          <w:rFonts w:hint="default" w:ascii="方正小标宋简体" w:hAnsi="方正小标宋简体" w:eastAsia="方正小标宋简体" w:cs="方正小标宋简体"/>
          <w:color w:val="auto"/>
          <w:sz w:val="44"/>
          <w:szCs w:val="44"/>
          <w:highlight w:val="none"/>
          <w:lang w:val="en-US" w:eastAsia="zh-CN"/>
        </w:rPr>
        <w:t>2020</w:t>
      </w:r>
      <w:r>
        <w:rPr>
          <w:rFonts w:hint="eastAsia" w:ascii="方正小标宋简体" w:hAnsi="方正小标宋简体" w:eastAsia="方正小标宋简体" w:cs="方正小标宋简体"/>
          <w:color w:val="auto"/>
          <w:sz w:val="44"/>
          <w:szCs w:val="44"/>
          <w:highlight w:val="none"/>
          <w:lang w:val="en-US" w:eastAsia="zh-CN"/>
        </w:rPr>
        <w:t>年义务教育薄弱环节改善与能力提升项目</w:t>
      </w:r>
      <w:r>
        <w:rPr>
          <w:rFonts w:hint="eastAsia" w:ascii="方正小标宋简体" w:hAnsi="方正小标宋简体" w:eastAsia="方正小标宋简体" w:cs="方正小标宋简体"/>
          <w:color w:val="auto"/>
          <w:sz w:val="44"/>
          <w:szCs w:val="44"/>
          <w:lang w:eastAsia="zh-CN"/>
        </w:rPr>
        <w:t>项</w:t>
      </w:r>
      <w:r>
        <w:rPr>
          <w:rFonts w:hint="eastAsia" w:ascii="方正小标宋简体" w:hAnsi="方正小标宋简体" w:eastAsia="方正小标宋简体" w:cs="方正小标宋简体"/>
          <w:color w:val="auto"/>
          <w:sz w:val="44"/>
          <w:szCs w:val="44"/>
          <w:highlight w:val="none"/>
          <w:lang w:eastAsia="zh-CN"/>
        </w:rPr>
        <w:t>目支出</w:t>
      </w:r>
      <w:r>
        <w:rPr>
          <w:rFonts w:hint="eastAsia" w:ascii="方正小标宋简体" w:hAnsi="方正小标宋简体" w:eastAsia="方正小标宋简体" w:cs="方正小标宋简体"/>
          <w:color w:val="auto"/>
          <w:sz w:val="44"/>
          <w:szCs w:val="44"/>
          <w:highlight w:val="none"/>
        </w:rPr>
        <w:t>绩效</w:t>
      </w:r>
      <w:r>
        <w:rPr>
          <w:rFonts w:hint="eastAsia" w:ascii="方正小标宋简体" w:hAnsi="方正小标宋简体" w:eastAsia="方正小标宋简体" w:cs="方正小标宋简体"/>
          <w:color w:val="auto"/>
          <w:sz w:val="44"/>
          <w:szCs w:val="44"/>
          <w:highlight w:val="none"/>
          <w:lang w:eastAsia="zh-CN"/>
        </w:rPr>
        <w:t>评价</w:t>
      </w:r>
      <w:r>
        <w:rPr>
          <w:rFonts w:hint="eastAsia" w:ascii="方正小标宋简体" w:hAnsi="方正小标宋简体" w:eastAsia="方正小标宋简体" w:cs="方正小标宋简体"/>
          <w:color w:val="auto"/>
          <w:sz w:val="44"/>
          <w:szCs w:val="44"/>
          <w:highlight w:val="none"/>
        </w:rPr>
        <w:t>报告</w:t>
      </w:r>
    </w:p>
    <w:p w14:paraId="57B72952">
      <w:pPr>
        <w:rPr>
          <w:rFonts w:hint="eastAsia"/>
          <w:color w:val="auto"/>
          <w:highlight w:val="none"/>
        </w:rPr>
      </w:pPr>
    </w:p>
    <w:p w14:paraId="41E76CDB">
      <w:pPr>
        <w:rPr>
          <w:rFonts w:hint="eastAsia" w:ascii="方正仿宋_GB2312" w:hAnsi="方正仿宋_GB2312" w:eastAsia="方正仿宋_GB2312" w:cs="方正仿宋_GB2312"/>
          <w:color w:val="auto"/>
          <w:sz w:val="32"/>
          <w:szCs w:val="32"/>
          <w:highlight w:val="none"/>
        </w:rPr>
      </w:pPr>
    </w:p>
    <w:p w14:paraId="598ED81A">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一、评价工作</w:t>
      </w:r>
      <w:r>
        <w:rPr>
          <w:rFonts w:hint="eastAsia" w:ascii="黑体" w:hAnsi="黑体" w:eastAsia="黑体" w:cs="黑体"/>
          <w:color w:val="auto"/>
          <w:sz w:val="32"/>
          <w:szCs w:val="32"/>
          <w:highlight w:val="none"/>
          <w:lang w:eastAsia="zh-CN"/>
        </w:rPr>
        <w:t>开展及</w:t>
      </w:r>
      <w:r>
        <w:rPr>
          <w:rFonts w:hint="eastAsia" w:ascii="黑体" w:hAnsi="黑体" w:eastAsia="黑体" w:cs="黑体"/>
          <w:color w:val="auto"/>
          <w:sz w:val="32"/>
          <w:szCs w:val="32"/>
          <w:highlight w:val="none"/>
        </w:rPr>
        <w:t>项目基本情况</w:t>
      </w:r>
    </w:p>
    <w:p w14:paraId="171CD6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接受市、区教育主管部门和区财政局监督科到现场了解、查阅相关资料，结合项目实施实际，按照评价指标对项目实施进行现场评价。对项目做出独立、客观、公正、实事求是的绩效评价，出具评价报告。</w:t>
      </w:r>
    </w:p>
    <w:p w14:paraId="10A51269">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Times New Roman"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zh-CN" w:eastAsia="zh-CN" w:bidi="ar"/>
        </w:rPr>
        <w:t>根据《广元市昭化区</w:t>
      </w:r>
      <w:bookmarkStart w:id="88" w:name="_Hlk22113227"/>
      <w:r>
        <w:rPr>
          <w:rFonts w:hint="eastAsia" w:ascii="仿宋_GB2312" w:hAnsi="宋体" w:eastAsia="仿宋_GB2312" w:cs="Times New Roman"/>
          <w:kern w:val="2"/>
          <w:sz w:val="32"/>
          <w:szCs w:val="32"/>
          <w:lang w:val="zh-CN" w:eastAsia="zh-CN" w:bidi="ar"/>
        </w:rPr>
        <w:t>农村义务教育薄弱学校改造</w:t>
      </w:r>
      <w:bookmarkEnd w:id="88"/>
      <w:r>
        <w:rPr>
          <w:rFonts w:hint="eastAsia" w:ascii="仿宋_GB2312" w:hAnsi="宋体" w:eastAsia="仿宋_GB2312" w:cs="Times New Roman"/>
          <w:kern w:val="2"/>
          <w:sz w:val="32"/>
          <w:szCs w:val="32"/>
          <w:lang w:val="zh-CN" w:eastAsia="zh-CN" w:bidi="ar"/>
        </w:rPr>
        <w:t>规划》精神，</w:t>
      </w:r>
      <w:bookmarkStart w:id="89" w:name="_Hlk22114157"/>
      <w:r>
        <w:rPr>
          <w:rFonts w:hint="eastAsia" w:ascii="仿宋_GB2312" w:hAnsi="宋体" w:eastAsia="仿宋_GB2312" w:cs="Times New Roman"/>
          <w:kern w:val="2"/>
          <w:sz w:val="32"/>
          <w:szCs w:val="32"/>
          <w:lang w:val="zh-CN" w:eastAsia="zh-CN" w:bidi="ar"/>
        </w:rPr>
        <w:t>七届区</w:t>
      </w:r>
      <w:r>
        <w:rPr>
          <w:rFonts w:hint="eastAsia" w:ascii="仿宋_GB2312" w:hAnsi="宋体" w:eastAsia="仿宋_GB2312" w:cs="Times New Roman"/>
          <w:kern w:val="2"/>
          <w:sz w:val="32"/>
          <w:szCs w:val="32"/>
          <w:lang w:val="en-US" w:eastAsia="zh-CN" w:bidi="ar"/>
        </w:rPr>
        <w:t>委</w:t>
      </w:r>
      <w:r>
        <w:rPr>
          <w:rFonts w:hint="eastAsia" w:ascii="仿宋_GB2312" w:hAnsi="宋体" w:eastAsia="仿宋_GB2312" w:cs="Times New Roman"/>
          <w:kern w:val="2"/>
          <w:sz w:val="32"/>
          <w:szCs w:val="32"/>
          <w:lang w:val="zh-CN" w:eastAsia="zh-CN" w:bidi="ar"/>
        </w:rPr>
        <w:t>第</w:t>
      </w:r>
      <w:r>
        <w:rPr>
          <w:rFonts w:hint="eastAsia" w:ascii="仿宋_GB2312" w:hAnsi="宋体" w:eastAsia="仿宋_GB2312" w:cs="Times New Roman"/>
          <w:kern w:val="2"/>
          <w:sz w:val="32"/>
          <w:szCs w:val="32"/>
          <w:lang w:val="en-US" w:eastAsia="zh-CN" w:bidi="ar"/>
        </w:rPr>
        <w:t>148</w:t>
      </w:r>
      <w:r>
        <w:rPr>
          <w:rFonts w:hint="eastAsia" w:ascii="仿宋_GB2312" w:hAnsi="宋体" w:eastAsia="仿宋_GB2312" w:cs="Times New Roman"/>
          <w:kern w:val="2"/>
          <w:sz w:val="32"/>
          <w:szCs w:val="32"/>
          <w:lang w:val="zh-CN" w:eastAsia="zh-CN" w:bidi="ar"/>
        </w:rPr>
        <w:t>次常务会议和</w:t>
      </w:r>
      <w:r>
        <w:rPr>
          <w:rFonts w:hint="eastAsia" w:ascii="仿宋_GB2312" w:hAnsi="宋体" w:eastAsia="仿宋_GB2312" w:cs="Times New Roman"/>
          <w:kern w:val="2"/>
          <w:sz w:val="32"/>
          <w:szCs w:val="32"/>
          <w:lang w:val="en-US" w:eastAsia="zh-CN" w:bidi="ar"/>
        </w:rPr>
        <w:t>七届区人民政府第104</w:t>
      </w:r>
      <w:r>
        <w:rPr>
          <w:rFonts w:hint="eastAsia" w:ascii="仿宋_GB2312" w:hAnsi="宋体" w:eastAsia="仿宋_GB2312" w:cs="Times New Roman"/>
          <w:kern w:val="2"/>
          <w:sz w:val="32"/>
          <w:szCs w:val="32"/>
          <w:lang w:val="zh-CN" w:eastAsia="zh-CN" w:bidi="ar"/>
        </w:rPr>
        <w:t>次常务会议</w:t>
      </w:r>
      <w:bookmarkEnd w:id="89"/>
      <w:r>
        <w:rPr>
          <w:rFonts w:hint="eastAsia" w:ascii="仿宋_GB2312" w:hAnsi="宋体" w:eastAsia="仿宋_GB2312" w:cs="Times New Roman"/>
          <w:kern w:val="2"/>
          <w:sz w:val="32"/>
          <w:szCs w:val="32"/>
          <w:lang w:val="zh-CN" w:eastAsia="zh-CN" w:bidi="ar"/>
        </w:rPr>
        <w:t>审议</w:t>
      </w:r>
      <w:bookmarkStart w:id="90" w:name="_Hlk22115105"/>
      <w:r>
        <w:rPr>
          <w:rFonts w:hint="eastAsia" w:ascii="仿宋_GB2312" w:hAnsi="宋体" w:eastAsia="仿宋_GB2312" w:cs="Times New Roman"/>
          <w:kern w:val="2"/>
          <w:sz w:val="32"/>
          <w:szCs w:val="32"/>
          <w:lang w:val="zh-CN" w:eastAsia="zh-CN" w:bidi="ar"/>
        </w:rPr>
        <w:t>20</w:t>
      </w:r>
      <w:r>
        <w:rPr>
          <w:rFonts w:hint="eastAsia" w:ascii="仿宋_GB2312" w:hAnsi="宋体" w:eastAsia="仿宋_GB2312" w:cs="Times New Roman"/>
          <w:kern w:val="2"/>
          <w:sz w:val="32"/>
          <w:szCs w:val="32"/>
          <w:lang w:val="en-US" w:eastAsia="zh-CN" w:bidi="ar"/>
        </w:rPr>
        <w:t>20</w:t>
      </w:r>
      <w:r>
        <w:rPr>
          <w:rFonts w:hint="eastAsia" w:ascii="仿宋_GB2312" w:hAnsi="宋体" w:eastAsia="仿宋_GB2312" w:cs="Times New Roman"/>
          <w:kern w:val="2"/>
          <w:sz w:val="32"/>
          <w:szCs w:val="32"/>
          <w:lang w:val="zh-CN" w:eastAsia="zh-CN" w:bidi="ar"/>
        </w:rPr>
        <w:t>年</w:t>
      </w:r>
      <w:bookmarkEnd w:id="90"/>
      <w:r>
        <w:rPr>
          <w:rFonts w:hint="eastAsia" w:ascii="Times New Roman" w:hAnsi="宋体" w:eastAsia="仿宋_GB2312" w:cs="Times New Roman"/>
          <w:kern w:val="2"/>
          <w:sz w:val="32"/>
          <w:szCs w:val="32"/>
          <w:lang w:val="en-US" w:eastAsia="zh-CN" w:bidi="ar"/>
        </w:rPr>
        <w:t>义务教育薄弱环节改善与能力提升项目</w:t>
      </w:r>
      <w:r>
        <w:rPr>
          <w:rFonts w:hint="eastAsia" w:ascii="仿宋_GB2312" w:hAnsi="宋体" w:eastAsia="仿宋_GB2312" w:cs="Times New Roman"/>
          <w:kern w:val="2"/>
          <w:sz w:val="32"/>
          <w:szCs w:val="32"/>
          <w:lang w:val="zh-CN" w:eastAsia="zh-CN" w:bidi="ar"/>
        </w:rPr>
        <w:t>实施方案，同意该项目实施建设，</w:t>
      </w:r>
      <w:r>
        <w:rPr>
          <w:rFonts w:hint="eastAsia" w:ascii="Times New Roman" w:hAnsi="宋体" w:eastAsia="仿宋_GB2312" w:cs="Times New Roman"/>
          <w:kern w:val="2"/>
          <w:sz w:val="32"/>
          <w:szCs w:val="32"/>
          <w:lang w:val="en-US" w:eastAsia="zh-CN" w:bidi="ar"/>
        </w:rPr>
        <w:t>总金额为</w:t>
      </w:r>
      <w:r>
        <w:rPr>
          <w:rFonts w:hint="default" w:ascii="Times New Roman" w:hAnsi="宋体" w:eastAsia="仿宋_GB2312" w:cs="Times New Roman"/>
          <w:kern w:val="2"/>
          <w:sz w:val="32"/>
          <w:szCs w:val="32"/>
          <w:lang w:val="en-US" w:eastAsia="zh-CN" w:bidi="ar"/>
        </w:rPr>
        <w:t>323</w:t>
      </w:r>
      <w:r>
        <w:rPr>
          <w:rFonts w:hint="eastAsia" w:ascii="Times New Roman" w:hAnsi="宋体" w:eastAsia="仿宋_GB2312" w:cs="Times New Roman"/>
          <w:kern w:val="2"/>
          <w:sz w:val="32"/>
          <w:szCs w:val="32"/>
          <w:lang w:val="en-US" w:eastAsia="zh-CN" w:bidi="ar"/>
        </w:rPr>
        <w:t>万元</w:t>
      </w:r>
    </w:p>
    <w:p w14:paraId="1045943D">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二、评价结论及</w:t>
      </w:r>
      <w:r>
        <w:rPr>
          <w:rFonts w:hint="eastAsia" w:ascii="黑体" w:hAnsi="黑体" w:eastAsia="黑体" w:cs="黑体"/>
          <w:color w:val="auto"/>
          <w:sz w:val="32"/>
          <w:szCs w:val="32"/>
          <w:highlight w:val="none"/>
        </w:rPr>
        <w:t>绩效分析</w:t>
      </w:r>
    </w:p>
    <w:p w14:paraId="6E1EB852">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w:t>
      </w:r>
      <w:r>
        <w:rPr>
          <w:rFonts w:hint="eastAsia" w:ascii="楷体" w:hAnsi="楷体" w:eastAsia="楷体" w:cs="楷体"/>
          <w:b/>
          <w:bCs/>
          <w:color w:val="auto"/>
          <w:sz w:val="32"/>
          <w:szCs w:val="32"/>
          <w:highlight w:val="none"/>
          <w:lang w:eastAsia="zh-CN"/>
        </w:rPr>
        <w:t>评价结论</w:t>
      </w:r>
    </w:p>
    <w:p w14:paraId="1BBCC5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default" w:ascii="Times New Roman" w:hAnsi="宋体" w:eastAsia="仿宋_GB2312" w:cs="Times New Roman"/>
          <w:kern w:val="2"/>
          <w:sz w:val="32"/>
          <w:szCs w:val="32"/>
          <w:lang w:val="en-US" w:eastAsia="zh-CN" w:bidi="ar"/>
        </w:rPr>
        <w:t>2020</w:t>
      </w:r>
      <w:r>
        <w:rPr>
          <w:rFonts w:hint="eastAsia" w:ascii="Times New Roman" w:hAnsi="宋体" w:eastAsia="仿宋_GB2312" w:cs="Times New Roman"/>
          <w:kern w:val="2"/>
          <w:sz w:val="32"/>
          <w:szCs w:val="32"/>
          <w:lang w:val="en-US" w:eastAsia="zh-CN" w:bidi="ar"/>
        </w:rPr>
        <w:t>年义务教育薄弱环节改善与能力提升项目</w:t>
      </w:r>
      <w:r>
        <w:rPr>
          <w:rFonts w:hint="eastAsia" w:ascii="仿宋" w:hAnsi="仿宋" w:eastAsia="仿宋" w:cs="仿宋_GB2312"/>
          <w:color w:val="auto"/>
          <w:sz w:val="32"/>
          <w:szCs w:val="32"/>
          <w:lang w:val="en-US" w:eastAsia="zh-CN"/>
        </w:rPr>
        <w:t>，建设目标明确，项目符合申报条件，程序到位，手续齐全，资金项目质量达到相关行业标准，达到预期绩效目标要求。</w:t>
      </w:r>
    </w:p>
    <w:p w14:paraId="63AFE4EB">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（二）绩效分析</w:t>
      </w:r>
    </w:p>
    <w:p w14:paraId="51401EF6">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rPr>
        <w:t>项目情况</w:t>
      </w:r>
    </w:p>
    <w:p w14:paraId="61D31A63">
      <w:pPr>
        <w:keepNext w:val="0"/>
        <w:keepLines w:val="0"/>
        <w:widowControl/>
        <w:suppressLineNumbers w:val="0"/>
        <w:spacing w:before="0" w:beforeAutospacing="0" w:after="0" w:afterAutospacing="0"/>
        <w:ind w:left="0" w:right="0" w:firstLine="640" w:firstLineChars="200"/>
        <w:jc w:val="left"/>
        <w:rPr>
          <w:rFonts w:hint="eastAsia" w:ascii="仿宋" w:hAnsi="仿宋" w:eastAsia="仿宋" w:cs="仿宋_GB2312"/>
          <w:color w:val="auto"/>
          <w:sz w:val="32"/>
          <w:szCs w:val="32"/>
          <w:lang w:val="en-US" w:eastAsia="zh-CN"/>
        </w:rPr>
      </w:pPr>
      <w:r>
        <w:rPr>
          <w:rFonts w:hint="eastAsia" w:ascii="Times New Roman" w:hAnsi="宋体" w:eastAsia="仿宋_GB2312" w:cs="仿宋_GB2312"/>
          <w:kern w:val="2"/>
          <w:sz w:val="32"/>
          <w:szCs w:val="32"/>
          <w:lang w:val="en-US" w:eastAsia="zh-CN" w:bidi="ar"/>
        </w:rPr>
        <w:t>第一批次</w:t>
      </w:r>
      <w:r>
        <w:rPr>
          <w:rFonts w:hint="default" w:ascii="Times New Roman" w:hAnsi="宋体" w:eastAsia="仿宋_GB2312" w:cs="Times New Roman"/>
          <w:kern w:val="2"/>
          <w:sz w:val="32"/>
          <w:szCs w:val="32"/>
          <w:lang w:val="en-US" w:eastAsia="zh-CN" w:bidi="ar"/>
        </w:rPr>
        <w:t>225</w:t>
      </w:r>
      <w:r>
        <w:rPr>
          <w:rFonts w:hint="eastAsia" w:ascii="Times New Roman" w:hAnsi="宋体" w:eastAsia="仿宋_GB2312" w:cs="仿宋_GB2312"/>
          <w:kern w:val="2"/>
          <w:sz w:val="32"/>
          <w:szCs w:val="32"/>
          <w:lang w:val="en-US" w:eastAsia="zh-CN" w:bidi="ar"/>
        </w:rPr>
        <w:t>万元，其中广元市昭化区实验小学综合楼新建、教学楼维修项目</w:t>
      </w:r>
      <w:r>
        <w:rPr>
          <w:rFonts w:hint="default" w:ascii="Times New Roman" w:hAnsi="宋体" w:eastAsia="仿宋_GB2312" w:cs="Times New Roman"/>
          <w:kern w:val="2"/>
          <w:sz w:val="32"/>
          <w:szCs w:val="32"/>
          <w:lang w:val="en-US" w:eastAsia="zh-CN" w:bidi="ar"/>
        </w:rPr>
        <w:t>73.02</w:t>
      </w:r>
      <w:r>
        <w:rPr>
          <w:rFonts w:hint="eastAsia" w:ascii="Times New Roman" w:hAnsi="宋体" w:eastAsia="仿宋_GB2312" w:cs="仿宋_GB2312"/>
          <w:kern w:val="2"/>
          <w:sz w:val="32"/>
          <w:szCs w:val="32"/>
          <w:lang w:val="en-US" w:eastAsia="zh-CN" w:bidi="ar"/>
        </w:rPr>
        <w:t>万元，广元市昭化区石井铺镇小学学生宿舍维修加固项目</w:t>
      </w:r>
      <w:r>
        <w:rPr>
          <w:rFonts w:hint="default" w:ascii="Times New Roman" w:hAnsi="宋体" w:eastAsia="仿宋_GB2312" w:cs="Times New Roman"/>
          <w:kern w:val="2"/>
          <w:sz w:val="32"/>
          <w:szCs w:val="32"/>
          <w:lang w:val="en-US" w:eastAsia="zh-CN" w:bidi="ar"/>
        </w:rPr>
        <w:t>19</w:t>
      </w:r>
      <w:r>
        <w:rPr>
          <w:rFonts w:hint="eastAsia" w:ascii="Times New Roman" w:hAnsi="宋体" w:eastAsia="仿宋_GB2312" w:cs="仿宋_GB2312"/>
          <w:kern w:val="2"/>
          <w:sz w:val="32"/>
          <w:szCs w:val="32"/>
          <w:lang w:val="en-US" w:eastAsia="zh-CN" w:bidi="ar"/>
        </w:rPr>
        <w:t>万元，广元市昭化区磨滩镇观音小学教学楼维修加固项目</w:t>
      </w:r>
      <w:r>
        <w:rPr>
          <w:rFonts w:hint="default" w:ascii="Times New Roman" w:hAnsi="宋体" w:eastAsia="仿宋_GB2312" w:cs="Times New Roman"/>
          <w:kern w:val="2"/>
          <w:sz w:val="32"/>
          <w:szCs w:val="32"/>
          <w:lang w:val="en-US" w:eastAsia="zh-CN" w:bidi="ar"/>
        </w:rPr>
        <w:t>44.06</w:t>
      </w:r>
      <w:r>
        <w:rPr>
          <w:rFonts w:hint="eastAsia" w:ascii="Times New Roman" w:hAnsi="宋体" w:eastAsia="仿宋_GB2312" w:cs="仿宋_GB2312"/>
          <w:kern w:val="2"/>
          <w:sz w:val="32"/>
          <w:szCs w:val="32"/>
          <w:lang w:val="en-US" w:eastAsia="zh-CN" w:bidi="ar"/>
        </w:rPr>
        <w:t>万元，广元市昭化区香溪乡小学教学楼维修加固项目</w:t>
      </w:r>
      <w:r>
        <w:rPr>
          <w:rFonts w:hint="default" w:ascii="Times New Roman" w:hAnsi="宋体" w:eastAsia="仿宋_GB2312" w:cs="Times New Roman"/>
          <w:kern w:val="2"/>
          <w:sz w:val="32"/>
          <w:szCs w:val="32"/>
          <w:lang w:val="en-US" w:eastAsia="zh-CN" w:bidi="ar"/>
        </w:rPr>
        <w:t>40</w:t>
      </w:r>
      <w:r>
        <w:rPr>
          <w:rFonts w:hint="eastAsia" w:ascii="Times New Roman" w:hAnsi="宋体" w:eastAsia="仿宋_GB2312" w:cs="仿宋_GB2312"/>
          <w:kern w:val="2"/>
          <w:sz w:val="32"/>
          <w:szCs w:val="32"/>
          <w:lang w:val="en-US" w:eastAsia="zh-CN" w:bidi="ar"/>
        </w:rPr>
        <w:t>万元，广元市昭化区昭化初级中学等学校设备购置项目</w:t>
      </w:r>
      <w:r>
        <w:rPr>
          <w:rFonts w:hint="default" w:ascii="Times New Roman" w:hAnsi="宋体" w:eastAsia="仿宋_GB2312" w:cs="Times New Roman"/>
          <w:kern w:val="2"/>
          <w:sz w:val="32"/>
          <w:szCs w:val="32"/>
          <w:lang w:val="en-US" w:eastAsia="zh-CN" w:bidi="ar"/>
        </w:rPr>
        <w:t>48.92</w:t>
      </w:r>
      <w:r>
        <w:rPr>
          <w:rFonts w:hint="eastAsia" w:ascii="Times New Roman" w:hAnsi="宋体" w:eastAsia="仿宋_GB2312" w:cs="仿宋_GB2312"/>
          <w:kern w:val="2"/>
          <w:sz w:val="32"/>
          <w:szCs w:val="32"/>
          <w:lang w:val="en-US" w:eastAsia="zh-CN" w:bidi="ar"/>
        </w:rPr>
        <w:t>万元。第二批次</w:t>
      </w:r>
      <w:r>
        <w:rPr>
          <w:rFonts w:hint="default" w:ascii="Times New Roman" w:hAnsi="宋体" w:eastAsia="仿宋_GB2312" w:cs="Times New Roman"/>
          <w:kern w:val="2"/>
          <w:sz w:val="32"/>
          <w:szCs w:val="32"/>
          <w:lang w:val="en-US" w:eastAsia="zh-CN" w:bidi="ar"/>
        </w:rPr>
        <w:t>98</w:t>
      </w:r>
      <w:r>
        <w:rPr>
          <w:rFonts w:hint="eastAsia" w:ascii="Times New Roman" w:hAnsi="宋体" w:eastAsia="仿宋_GB2312" w:cs="仿宋_GB2312"/>
          <w:kern w:val="2"/>
          <w:sz w:val="32"/>
          <w:szCs w:val="32"/>
          <w:lang w:val="en-US" w:eastAsia="zh-CN" w:bidi="ar"/>
        </w:rPr>
        <w:t>万元，其中广元市昭化区元坝镇第一小学教学楼维修项目</w:t>
      </w:r>
      <w:r>
        <w:rPr>
          <w:rFonts w:hint="default" w:ascii="Times New Roman" w:hAnsi="宋体" w:eastAsia="仿宋_GB2312" w:cs="Times New Roman"/>
          <w:kern w:val="2"/>
          <w:sz w:val="32"/>
          <w:szCs w:val="32"/>
          <w:lang w:val="en-US" w:eastAsia="zh-CN" w:bidi="ar"/>
        </w:rPr>
        <w:t>50</w:t>
      </w:r>
      <w:r>
        <w:rPr>
          <w:rFonts w:hint="eastAsia" w:ascii="Times New Roman" w:hAnsi="宋体" w:eastAsia="仿宋_GB2312" w:cs="仿宋_GB2312"/>
          <w:kern w:val="2"/>
          <w:sz w:val="32"/>
          <w:szCs w:val="32"/>
          <w:lang w:val="en-US" w:eastAsia="zh-CN" w:bidi="ar"/>
        </w:rPr>
        <w:t>万元，</w:t>
      </w:r>
      <w:r>
        <w:rPr>
          <w:rFonts w:hint="eastAsia" w:ascii="仿宋_GB2312" w:hAnsi="仿宋_GB2312" w:eastAsia="仿宋_GB2312" w:cs="仿宋_GB2312"/>
          <w:color w:val="000000"/>
          <w:kern w:val="0"/>
          <w:sz w:val="31"/>
          <w:szCs w:val="31"/>
          <w:lang w:val="en-US" w:eastAsia="zh-CN" w:bidi="ar"/>
        </w:rPr>
        <w:t>梅树小学学生宿舍维修</w:t>
      </w:r>
      <w:r>
        <w:rPr>
          <w:rFonts w:hint="eastAsia" w:ascii="Times New Roman" w:hAnsi="宋体" w:eastAsia="仿宋_GB2312" w:cs="仿宋_GB2312"/>
          <w:kern w:val="2"/>
          <w:sz w:val="32"/>
          <w:szCs w:val="32"/>
          <w:lang w:val="en-US" w:eastAsia="zh-CN" w:bidi="ar"/>
        </w:rPr>
        <w:t>项目</w:t>
      </w:r>
      <w:r>
        <w:rPr>
          <w:rFonts w:hint="default" w:ascii="Times New Roman" w:hAnsi="宋体" w:eastAsia="仿宋_GB2312" w:cs="Times New Roman"/>
          <w:kern w:val="2"/>
          <w:sz w:val="32"/>
          <w:szCs w:val="32"/>
          <w:lang w:val="en-US" w:eastAsia="zh-CN" w:bidi="ar"/>
        </w:rPr>
        <w:t>48</w:t>
      </w:r>
      <w:r>
        <w:rPr>
          <w:rFonts w:hint="eastAsia" w:ascii="Times New Roman" w:hAnsi="宋体" w:eastAsia="仿宋_GB2312" w:cs="仿宋_GB2312"/>
          <w:kern w:val="2"/>
          <w:sz w:val="32"/>
          <w:szCs w:val="32"/>
          <w:lang w:val="en-US" w:eastAsia="zh-CN" w:bidi="ar"/>
        </w:rPr>
        <w:t>万元。第一批次项目</w:t>
      </w:r>
      <w:r>
        <w:rPr>
          <w:rFonts w:hint="default" w:ascii="Times New Roman" w:hAnsi="宋体" w:eastAsia="仿宋_GB2312" w:cs="Times New Roman"/>
          <w:kern w:val="2"/>
          <w:sz w:val="32"/>
          <w:szCs w:val="32"/>
          <w:lang w:val="en-US" w:eastAsia="zh-CN" w:bidi="ar"/>
        </w:rPr>
        <w:t>2020</w:t>
      </w:r>
      <w:r>
        <w:rPr>
          <w:rFonts w:hint="eastAsia" w:ascii="Times New Roman" w:hAnsi="宋体" w:eastAsia="仿宋_GB2312" w:cs="仿宋_GB2312"/>
          <w:kern w:val="2"/>
          <w:sz w:val="32"/>
          <w:szCs w:val="32"/>
          <w:lang w:val="en-US" w:eastAsia="zh-CN" w:bidi="ar"/>
        </w:rPr>
        <w:t>年</w:t>
      </w:r>
      <w:r>
        <w:rPr>
          <w:rFonts w:hint="default" w:ascii="Times New Roman" w:hAnsi="宋体" w:eastAsia="仿宋_GB2312" w:cs="Times New Roman"/>
          <w:kern w:val="2"/>
          <w:sz w:val="32"/>
          <w:szCs w:val="32"/>
          <w:lang w:val="en-US" w:eastAsia="zh-CN" w:bidi="ar"/>
        </w:rPr>
        <w:t>6</w:t>
      </w:r>
      <w:r>
        <w:rPr>
          <w:rFonts w:hint="eastAsia" w:ascii="Times New Roman" w:hAnsi="宋体" w:eastAsia="仿宋_GB2312" w:cs="仿宋_GB2312"/>
          <w:kern w:val="2"/>
          <w:sz w:val="32"/>
          <w:szCs w:val="32"/>
          <w:lang w:val="en-US" w:eastAsia="zh-CN" w:bidi="ar"/>
        </w:rPr>
        <w:t>月开始建设，</w:t>
      </w:r>
      <w:r>
        <w:rPr>
          <w:rFonts w:hint="default" w:ascii="Times New Roman" w:hAnsi="宋体" w:eastAsia="仿宋_GB2312" w:cs="Times New Roman"/>
          <w:kern w:val="2"/>
          <w:sz w:val="32"/>
          <w:szCs w:val="32"/>
          <w:lang w:val="en-US" w:eastAsia="zh-CN" w:bidi="ar"/>
        </w:rPr>
        <w:t>2020</w:t>
      </w:r>
      <w:r>
        <w:rPr>
          <w:rFonts w:hint="eastAsia" w:ascii="Times New Roman" w:hAnsi="宋体" w:eastAsia="仿宋_GB2312" w:cs="仿宋_GB2312"/>
          <w:kern w:val="2"/>
          <w:sz w:val="32"/>
          <w:szCs w:val="32"/>
          <w:lang w:val="en-US" w:eastAsia="zh-CN" w:bidi="ar"/>
        </w:rPr>
        <w:t>年</w:t>
      </w:r>
      <w:r>
        <w:rPr>
          <w:rFonts w:hint="default" w:ascii="Times New Roman" w:hAnsi="宋体" w:eastAsia="仿宋_GB2312" w:cs="Times New Roman"/>
          <w:kern w:val="2"/>
          <w:sz w:val="32"/>
          <w:szCs w:val="32"/>
          <w:lang w:val="en-US" w:eastAsia="zh-CN" w:bidi="ar"/>
        </w:rPr>
        <w:t>12</w:t>
      </w:r>
      <w:r>
        <w:rPr>
          <w:rFonts w:hint="eastAsia" w:ascii="Times New Roman" w:hAnsi="宋体" w:eastAsia="仿宋_GB2312" w:cs="仿宋_GB2312"/>
          <w:kern w:val="2"/>
          <w:sz w:val="32"/>
          <w:szCs w:val="32"/>
          <w:lang w:val="en-US" w:eastAsia="zh-CN" w:bidi="ar"/>
        </w:rPr>
        <w:t>月建设完成。第二批次项目从</w:t>
      </w:r>
      <w:r>
        <w:rPr>
          <w:rFonts w:hint="default" w:ascii="Times New Roman" w:hAnsi="宋体" w:eastAsia="仿宋_GB2312" w:cs="Times New Roman"/>
          <w:kern w:val="2"/>
          <w:sz w:val="32"/>
          <w:szCs w:val="32"/>
          <w:lang w:val="en-US" w:eastAsia="zh-CN" w:bidi="ar"/>
        </w:rPr>
        <w:t>2021</w:t>
      </w:r>
      <w:r>
        <w:rPr>
          <w:rFonts w:hint="eastAsia" w:ascii="Times New Roman" w:hAnsi="宋体" w:eastAsia="仿宋_GB2312" w:cs="仿宋_GB2312"/>
          <w:kern w:val="2"/>
          <w:sz w:val="32"/>
          <w:szCs w:val="32"/>
          <w:lang w:val="en-US" w:eastAsia="zh-CN" w:bidi="ar"/>
        </w:rPr>
        <w:t>年</w:t>
      </w:r>
      <w:r>
        <w:rPr>
          <w:rFonts w:hint="default" w:ascii="Times New Roman" w:hAnsi="宋体" w:eastAsia="仿宋_GB2312" w:cs="Times New Roman"/>
          <w:kern w:val="2"/>
          <w:sz w:val="32"/>
          <w:szCs w:val="32"/>
          <w:lang w:val="en-US" w:eastAsia="zh-CN" w:bidi="ar"/>
        </w:rPr>
        <w:t>9</w:t>
      </w:r>
      <w:r>
        <w:rPr>
          <w:rFonts w:hint="eastAsia" w:ascii="Times New Roman" w:hAnsi="宋体" w:eastAsia="仿宋_GB2312" w:cs="仿宋_GB2312"/>
          <w:kern w:val="2"/>
          <w:sz w:val="32"/>
          <w:szCs w:val="32"/>
          <w:lang w:val="en-US" w:eastAsia="zh-CN" w:bidi="ar"/>
        </w:rPr>
        <w:t>月开始建设，目前该批次的两个项目正在实施中。</w:t>
      </w:r>
    </w:p>
    <w:p w14:paraId="4A8F11C7">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rPr>
        <w:t>项目资金</w:t>
      </w:r>
      <w:r>
        <w:rPr>
          <w:rFonts w:hint="eastAsia" w:ascii="仿宋" w:hAnsi="仿宋" w:eastAsia="仿宋" w:cs="仿宋"/>
          <w:b/>
          <w:bCs/>
          <w:color w:val="auto"/>
          <w:sz w:val="32"/>
          <w:szCs w:val="32"/>
          <w:highlight w:val="none"/>
          <w:lang w:eastAsia="zh-CN"/>
        </w:rPr>
        <w:t>管理、</w:t>
      </w:r>
      <w:r>
        <w:rPr>
          <w:rFonts w:hint="eastAsia" w:ascii="仿宋" w:hAnsi="仿宋" w:eastAsia="仿宋" w:cs="仿宋"/>
          <w:b/>
          <w:bCs/>
          <w:color w:val="auto"/>
          <w:sz w:val="32"/>
          <w:szCs w:val="32"/>
          <w:highlight w:val="none"/>
        </w:rPr>
        <w:t>使用情况</w:t>
      </w:r>
    </w:p>
    <w:p w14:paraId="39945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按照相关规定，实行专款专用，自觉接受上级主管部门、财政部门和审计部门的监督，杜绝挤占、截留、挪用现金的发生，提升资金使用效益。</w:t>
      </w:r>
    </w:p>
    <w:p w14:paraId="66EA89D1">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项目</w:t>
      </w:r>
      <w:r>
        <w:rPr>
          <w:rFonts w:hint="eastAsia" w:ascii="仿宋" w:hAnsi="仿宋" w:eastAsia="仿宋" w:cs="仿宋"/>
          <w:b/>
          <w:bCs/>
          <w:color w:val="auto"/>
          <w:sz w:val="32"/>
          <w:szCs w:val="32"/>
          <w:highlight w:val="none"/>
          <w:lang w:eastAsia="zh-CN"/>
        </w:rPr>
        <w:t>绩效</w:t>
      </w:r>
    </w:p>
    <w:p w14:paraId="1D1A8A43">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方正仿宋_GB2312" w:hAnsi="方正仿宋_GB2312" w:eastAsia="方正仿宋_GB2312" w:cs="方正仿宋_GB2312"/>
          <w:color w:val="auto"/>
          <w:sz w:val="32"/>
          <w:szCs w:val="32"/>
          <w:highlight w:val="none"/>
        </w:rPr>
        <w:t>（1）</w:t>
      </w:r>
      <w:r>
        <w:rPr>
          <w:rFonts w:hint="eastAsia" w:ascii="仿宋" w:hAnsi="仿宋" w:eastAsia="仿宋" w:cs="仿宋_GB2312"/>
          <w:color w:val="auto"/>
          <w:sz w:val="32"/>
          <w:szCs w:val="32"/>
          <w:lang w:val="en-US" w:eastAsia="zh-CN"/>
        </w:rPr>
        <w:t>项目的实施进度</w:t>
      </w:r>
    </w:p>
    <w:p w14:paraId="22F7B4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按规定时间完成工作量。</w:t>
      </w:r>
    </w:p>
    <w:p w14:paraId="43DFC7B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项目完成质量</w:t>
      </w:r>
    </w:p>
    <w:p w14:paraId="012AA8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_GB2312"/>
          <w:color w:val="auto"/>
          <w:sz w:val="32"/>
          <w:szCs w:val="32"/>
          <w:lang w:val="en-US" w:eastAsia="zh-CN"/>
        </w:rPr>
      </w:pPr>
      <w:r>
        <w:rPr>
          <w:rFonts w:hint="eastAsia" w:ascii="Times New Roman" w:hAnsi="宋体" w:eastAsia="仿宋_GB2312" w:cs="仿宋_GB2312"/>
          <w:kern w:val="2"/>
          <w:sz w:val="32"/>
          <w:szCs w:val="32"/>
          <w:lang w:val="en-US" w:eastAsia="zh-CN" w:bidi="ar"/>
        </w:rPr>
        <w:t>第一批次项目</w:t>
      </w:r>
      <w:r>
        <w:rPr>
          <w:rFonts w:hint="default" w:ascii="Times New Roman" w:hAnsi="宋体" w:eastAsia="仿宋_GB2312" w:cs="Times New Roman"/>
          <w:kern w:val="2"/>
          <w:sz w:val="32"/>
          <w:szCs w:val="32"/>
          <w:lang w:val="en-US" w:eastAsia="zh-CN" w:bidi="ar"/>
        </w:rPr>
        <w:t>2020</w:t>
      </w:r>
      <w:r>
        <w:rPr>
          <w:rFonts w:hint="eastAsia" w:ascii="Times New Roman" w:hAnsi="宋体" w:eastAsia="仿宋_GB2312" w:cs="仿宋_GB2312"/>
          <w:kern w:val="2"/>
          <w:sz w:val="32"/>
          <w:szCs w:val="32"/>
          <w:lang w:val="en-US" w:eastAsia="zh-CN" w:bidi="ar"/>
        </w:rPr>
        <w:t>年</w:t>
      </w:r>
      <w:r>
        <w:rPr>
          <w:rFonts w:hint="default" w:ascii="Times New Roman" w:hAnsi="宋体" w:eastAsia="仿宋_GB2312" w:cs="Times New Roman"/>
          <w:kern w:val="2"/>
          <w:sz w:val="32"/>
          <w:szCs w:val="32"/>
          <w:lang w:val="en-US" w:eastAsia="zh-CN" w:bidi="ar"/>
        </w:rPr>
        <w:t>6</w:t>
      </w:r>
      <w:r>
        <w:rPr>
          <w:rFonts w:hint="eastAsia" w:ascii="Times New Roman" w:hAnsi="宋体" w:eastAsia="仿宋_GB2312" w:cs="仿宋_GB2312"/>
          <w:kern w:val="2"/>
          <w:sz w:val="32"/>
          <w:szCs w:val="32"/>
          <w:lang w:val="en-US" w:eastAsia="zh-CN" w:bidi="ar"/>
        </w:rPr>
        <w:t>月开始建设，</w:t>
      </w:r>
      <w:r>
        <w:rPr>
          <w:rFonts w:hint="default" w:ascii="Times New Roman" w:hAnsi="宋体" w:eastAsia="仿宋_GB2312" w:cs="Times New Roman"/>
          <w:kern w:val="2"/>
          <w:sz w:val="32"/>
          <w:szCs w:val="32"/>
          <w:lang w:val="en-US" w:eastAsia="zh-CN" w:bidi="ar"/>
        </w:rPr>
        <w:t>2020</w:t>
      </w:r>
      <w:r>
        <w:rPr>
          <w:rFonts w:hint="eastAsia" w:ascii="Times New Roman" w:hAnsi="宋体" w:eastAsia="仿宋_GB2312" w:cs="仿宋_GB2312"/>
          <w:kern w:val="2"/>
          <w:sz w:val="32"/>
          <w:szCs w:val="32"/>
          <w:lang w:val="en-US" w:eastAsia="zh-CN" w:bidi="ar"/>
        </w:rPr>
        <w:t>年</w:t>
      </w:r>
      <w:r>
        <w:rPr>
          <w:rFonts w:hint="default" w:ascii="Times New Roman" w:hAnsi="宋体" w:eastAsia="仿宋_GB2312" w:cs="Times New Roman"/>
          <w:kern w:val="2"/>
          <w:sz w:val="32"/>
          <w:szCs w:val="32"/>
          <w:lang w:val="en-US" w:eastAsia="zh-CN" w:bidi="ar"/>
        </w:rPr>
        <w:t>12</w:t>
      </w:r>
      <w:r>
        <w:rPr>
          <w:rFonts w:hint="eastAsia" w:ascii="Times New Roman" w:hAnsi="宋体" w:eastAsia="仿宋_GB2312" w:cs="仿宋_GB2312"/>
          <w:kern w:val="2"/>
          <w:sz w:val="32"/>
          <w:szCs w:val="32"/>
          <w:lang w:val="en-US" w:eastAsia="zh-CN" w:bidi="ar"/>
        </w:rPr>
        <w:t>月建设完成。第二批次项目从</w:t>
      </w:r>
      <w:r>
        <w:rPr>
          <w:rFonts w:hint="default" w:ascii="Times New Roman" w:hAnsi="宋体" w:eastAsia="仿宋_GB2312" w:cs="Times New Roman"/>
          <w:kern w:val="2"/>
          <w:sz w:val="32"/>
          <w:szCs w:val="32"/>
          <w:lang w:val="en-US" w:eastAsia="zh-CN" w:bidi="ar"/>
        </w:rPr>
        <w:t>2021</w:t>
      </w:r>
      <w:r>
        <w:rPr>
          <w:rFonts w:hint="eastAsia" w:ascii="Times New Roman" w:hAnsi="宋体" w:eastAsia="仿宋_GB2312" w:cs="仿宋_GB2312"/>
          <w:kern w:val="2"/>
          <w:sz w:val="32"/>
          <w:szCs w:val="32"/>
          <w:lang w:val="en-US" w:eastAsia="zh-CN" w:bidi="ar"/>
        </w:rPr>
        <w:t>年</w:t>
      </w:r>
      <w:r>
        <w:rPr>
          <w:rFonts w:hint="default" w:ascii="Times New Roman" w:hAnsi="宋体" w:eastAsia="仿宋_GB2312" w:cs="Times New Roman"/>
          <w:kern w:val="2"/>
          <w:sz w:val="32"/>
          <w:szCs w:val="32"/>
          <w:lang w:val="en-US" w:eastAsia="zh-CN" w:bidi="ar"/>
        </w:rPr>
        <w:t>9</w:t>
      </w:r>
      <w:r>
        <w:rPr>
          <w:rFonts w:hint="eastAsia" w:ascii="Times New Roman" w:hAnsi="宋体" w:eastAsia="仿宋_GB2312" w:cs="仿宋_GB2312"/>
          <w:kern w:val="2"/>
          <w:sz w:val="32"/>
          <w:szCs w:val="32"/>
          <w:lang w:val="en-US" w:eastAsia="zh-CN" w:bidi="ar"/>
        </w:rPr>
        <w:t>月开始建设，目前该批次的两个项目正在实施中。</w:t>
      </w:r>
    </w:p>
    <w:p w14:paraId="69D67FE8">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3</w:t>
      </w:r>
      <w:r>
        <w:rPr>
          <w:rFonts w:hint="eastAsia" w:ascii="方正仿宋_GB2312" w:hAnsi="方正仿宋_GB2312" w:eastAsia="方正仿宋_GB2312" w:cs="方正仿宋_GB2312"/>
          <w:color w:val="auto"/>
          <w:sz w:val="32"/>
          <w:szCs w:val="32"/>
          <w:highlight w:val="none"/>
        </w:rPr>
        <w:t>）</w:t>
      </w:r>
      <w:r>
        <w:rPr>
          <w:rFonts w:hint="eastAsia" w:ascii="仿宋" w:hAnsi="仿宋" w:eastAsia="仿宋" w:cs="仿宋_GB2312"/>
          <w:color w:val="auto"/>
          <w:sz w:val="32"/>
          <w:szCs w:val="32"/>
          <w:lang w:val="en-US" w:eastAsia="zh-CN"/>
        </w:rPr>
        <w:t>项目预期目标完成程度</w:t>
      </w:r>
    </w:p>
    <w:p w14:paraId="25BD88F5">
      <w:pPr>
        <w:keepNext w:val="0"/>
        <w:keepLines w:val="0"/>
        <w:widowControl w:val="0"/>
        <w:suppressLineNumbers w:val="0"/>
        <w:snapToGrid w:val="0"/>
        <w:spacing w:before="0" w:beforeAutospacing="0" w:after="0" w:afterAutospacing="0" w:line="600" w:lineRule="atLeast"/>
        <w:ind w:left="0" w:right="0" w:firstLine="640" w:firstLineChars="200"/>
        <w:jc w:val="both"/>
        <w:rPr>
          <w:rFonts w:hint="eastAsia" w:ascii="Times New Roman" w:hAnsi="宋体" w:eastAsia="仿宋_GB2312" w:cs="Times New Roman"/>
          <w:color w:val="000000"/>
          <w:kern w:val="2"/>
          <w:sz w:val="32"/>
          <w:szCs w:val="32"/>
          <w:lang w:val="en-US" w:eastAsia="zh-CN" w:bidi="ar"/>
        </w:rPr>
      </w:pPr>
      <w:r>
        <w:rPr>
          <w:rFonts w:hint="eastAsia" w:ascii="Times New Roman" w:hAnsi="宋体" w:eastAsia="仿宋_GB2312" w:cs="Times New Roman"/>
          <w:color w:val="000000"/>
          <w:kern w:val="2"/>
          <w:sz w:val="32"/>
          <w:szCs w:val="32"/>
          <w:lang w:val="en-US" w:eastAsia="zh-CN" w:bidi="ar"/>
        </w:rPr>
        <w:t>2020年改扩建面积5200平方米，覆盖范围义务教育阶段学生8261人。</w:t>
      </w:r>
      <w:r>
        <w:rPr>
          <w:rFonts w:hint="eastAsia" w:ascii="Times New Roman" w:hAnsi="宋体" w:eastAsia="仿宋_GB2312" w:cs="仿宋_GB2312"/>
          <w:kern w:val="2"/>
          <w:sz w:val="32"/>
          <w:szCs w:val="32"/>
          <w:lang w:val="en-US" w:eastAsia="zh-CN" w:bidi="ar"/>
        </w:rPr>
        <w:t>广元市昭化区实验小学综合楼新建、教学楼维修项目，广元市昭化区石井铺镇小学学生宿舍维修加固项目，广元市昭化区磨滩镇观音小学教学楼维修加固项目，广元市昭化区香溪乡小学教学楼维修加固项目，广元市昭化区昭化初级中学等学校设备购置项目，均已完工。广元市昭化区元坝镇第一小学教学楼维修项目和</w:t>
      </w:r>
      <w:r>
        <w:rPr>
          <w:rFonts w:hint="eastAsia" w:ascii="仿宋_GB2312" w:hAnsi="仿宋_GB2312" w:eastAsia="仿宋_GB2312" w:cs="仿宋_GB2312"/>
          <w:color w:val="000000"/>
          <w:kern w:val="0"/>
          <w:sz w:val="31"/>
          <w:szCs w:val="31"/>
          <w:lang w:val="en-US" w:eastAsia="zh-CN" w:bidi="ar"/>
        </w:rPr>
        <w:t>梅树小学学生宿舍维修</w:t>
      </w:r>
      <w:r>
        <w:rPr>
          <w:rFonts w:hint="eastAsia" w:ascii="Times New Roman" w:hAnsi="宋体" w:eastAsia="仿宋_GB2312" w:cs="仿宋_GB2312"/>
          <w:kern w:val="2"/>
          <w:sz w:val="32"/>
          <w:szCs w:val="32"/>
          <w:lang w:val="en-US" w:eastAsia="zh-CN" w:bidi="ar"/>
        </w:rPr>
        <w:t>项目正在实施中。</w:t>
      </w:r>
    </w:p>
    <w:p w14:paraId="4F7DA2F7">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4</w:t>
      </w:r>
      <w:r>
        <w:rPr>
          <w:rFonts w:hint="eastAsia" w:ascii="方正仿宋_GB2312" w:hAnsi="方正仿宋_GB2312" w:eastAsia="方正仿宋_GB2312" w:cs="方正仿宋_GB2312"/>
          <w:color w:val="auto"/>
          <w:sz w:val="32"/>
          <w:szCs w:val="32"/>
          <w:highlight w:val="none"/>
        </w:rPr>
        <w:t>）</w:t>
      </w:r>
      <w:r>
        <w:rPr>
          <w:rFonts w:hint="eastAsia" w:ascii="仿宋" w:hAnsi="仿宋" w:eastAsia="仿宋" w:cs="仿宋_GB2312"/>
          <w:color w:val="auto"/>
          <w:sz w:val="32"/>
          <w:szCs w:val="32"/>
          <w:lang w:val="en-US" w:eastAsia="zh-CN"/>
        </w:rPr>
        <w:t>项目实施对经济和社会的影响</w:t>
      </w:r>
    </w:p>
    <w:p w14:paraId="2734A2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通过项目的实施，</w:t>
      </w:r>
      <w:r>
        <w:rPr>
          <w:rFonts w:hint="eastAsia" w:ascii="Times New Roman" w:hAnsi="宋体" w:eastAsia="仿宋_GB2312" w:cs="Times New Roman"/>
          <w:color w:val="000000"/>
          <w:kern w:val="2"/>
          <w:sz w:val="32"/>
          <w:szCs w:val="32"/>
          <w:lang w:val="en-US" w:eastAsia="zh-CN" w:bidi="ar"/>
        </w:rPr>
        <w:t>有效改善了学校办学条件和基础设施配套，提供高质量硬件设施设备，营造良好的学习氛围，进一步保证学生的身心健康，提高我区义务教育教学质量、教育水平，为培养高素质人才打下了坚实基础。</w:t>
      </w:r>
    </w:p>
    <w:p w14:paraId="1E2DFE1A">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方正仿宋_GB2312" w:hAnsi="方正仿宋_GB2312" w:eastAsia="方正仿宋_GB2312" w:cs="方正仿宋_GB2312"/>
          <w:color w:val="auto"/>
          <w:sz w:val="32"/>
          <w:szCs w:val="32"/>
          <w:highlight w:val="none"/>
          <w:lang w:eastAsia="zh-CN"/>
        </w:rPr>
      </w:pPr>
      <w:r>
        <w:rPr>
          <w:rFonts w:hint="eastAsia" w:ascii="黑体" w:hAnsi="黑体" w:eastAsia="黑体" w:cs="黑体"/>
          <w:color w:val="auto"/>
          <w:sz w:val="32"/>
          <w:szCs w:val="32"/>
          <w:highlight w:val="none"/>
          <w:lang w:eastAsia="zh-CN"/>
        </w:rPr>
        <w:t>三、存在的主要问题</w:t>
      </w:r>
    </w:p>
    <w:p w14:paraId="3BCAE240">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 w:hAnsi="仿宋" w:eastAsia="仿宋" w:cs="仿宋_GB2312"/>
          <w:color w:val="auto"/>
          <w:sz w:val="32"/>
          <w:szCs w:val="32"/>
          <w:lang w:val="en-US" w:eastAsia="zh-CN"/>
        </w:rPr>
      </w:pPr>
      <w:r>
        <w:rPr>
          <w:rFonts w:hint="eastAsia" w:ascii="Times New Roman" w:hAnsi="Times New Roman" w:eastAsia="仿宋_GB2312" w:cs="仿宋_GB2312"/>
          <w:kern w:val="2"/>
          <w:sz w:val="32"/>
          <w:szCs w:val="32"/>
          <w:lang w:val="en-US" w:eastAsia="zh-CN" w:bidi="ar"/>
        </w:rPr>
        <w:t>项目实施程序较多，前期手续办理时间较长。</w:t>
      </w:r>
    </w:p>
    <w:p w14:paraId="362E9420">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黑体" w:hAnsi="黑体" w:eastAsia="黑体" w:cs="黑体"/>
          <w:color w:val="auto"/>
          <w:sz w:val="32"/>
          <w:szCs w:val="32"/>
          <w:highlight w:val="none"/>
          <w:lang w:eastAsia="zh-CN"/>
        </w:rPr>
        <w:t>四、相关措施建议</w:t>
      </w:r>
    </w:p>
    <w:p w14:paraId="4CE9BA9A">
      <w:pPr>
        <w:pStyle w:val="2"/>
        <w:widowControl/>
        <w:spacing w:before="0" w:beforeAutospacing="0" w:after="120" w:afterAutospacing="0"/>
        <w:ind w:left="0" w:leftChars="0" w:right="0" w:firstLine="0" w:firstLineChars="0"/>
        <w:rPr>
          <w:lang w:val="en-US"/>
        </w:rPr>
      </w:pPr>
      <w:r>
        <w:rPr>
          <w:rFonts w:hint="eastAsia" w:ascii="Times New Roman" w:eastAsia="仿宋_GB2312" w:cs="仿宋_GB2312"/>
          <w:lang w:eastAsia="zh-CN"/>
        </w:rPr>
        <w:t>建议开辟绿色通道加快项目前期手续的办理程序。</w:t>
      </w:r>
    </w:p>
    <w:p w14:paraId="4B0FA78F">
      <w:pPr>
        <w:widowControl/>
        <w:jc w:val="left"/>
        <w:rPr>
          <w:rStyle w:val="43"/>
          <w:rFonts w:ascii="黑体" w:hAnsi="黑体" w:eastAsia="黑体"/>
          <w:b w:val="0"/>
          <w:color w:val="auto"/>
          <w:highlight w:val="none"/>
        </w:rPr>
      </w:pPr>
      <w:r>
        <w:rPr>
          <w:rStyle w:val="43"/>
          <w:rFonts w:ascii="黑体" w:hAnsi="黑体" w:eastAsia="黑体"/>
          <w:b w:val="0"/>
          <w:color w:val="auto"/>
          <w:highlight w:val="none"/>
        </w:rPr>
        <w:br w:type="page"/>
      </w:r>
    </w:p>
    <w:p w14:paraId="36AF3028">
      <w:pPr>
        <w:numPr>
          <w:ilvl w:val="0"/>
          <w:numId w:val="0"/>
        </w:numPr>
        <w:spacing w:line="600" w:lineRule="exact"/>
        <w:ind w:leftChars="150"/>
        <w:jc w:val="center"/>
        <w:outlineLvl w:val="0"/>
        <w:rPr>
          <w:rStyle w:val="43"/>
          <w:rFonts w:hint="eastAsia" w:ascii="黑体" w:hAnsi="黑体" w:eastAsia="黑体"/>
          <w:b w:val="0"/>
          <w:color w:val="auto"/>
          <w:highlight w:val="none"/>
        </w:rPr>
      </w:pPr>
      <w:bookmarkStart w:id="91" w:name="_Toc15396618"/>
      <w:r>
        <w:rPr>
          <w:rStyle w:val="43"/>
          <w:rFonts w:hint="eastAsia" w:ascii="黑体" w:hAnsi="黑体" w:eastAsia="黑体"/>
          <w:b w:val="0"/>
          <w:color w:val="auto"/>
          <w:highlight w:val="none"/>
          <w:lang w:val="en-US" w:eastAsia="zh-CN"/>
        </w:rPr>
        <w:t xml:space="preserve">第五部分 </w:t>
      </w:r>
      <w:r>
        <w:rPr>
          <w:rStyle w:val="43"/>
          <w:rFonts w:hint="eastAsia" w:ascii="黑体" w:hAnsi="黑体" w:eastAsia="黑体"/>
          <w:b w:val="0"/>
          <w:color w:val="auto"/>
          <w:highlight w:val="none"/>
        </w:rPr>
        <w:t>附表</w:t>
      </w:r>
      <w:bookmarkEnd w:id="91"/>
    </w:p>
    <w:p w14:paraId="7663B4C3">
      <w:pPr>
        <w:numPr>
          <w:ilvl w:val="0"/>
          <w:numId w:val="0"/>
        </w:numPr>
        <w:spacing w:line="600" w:lineRule="exact"/>
        <w:jc w:val="both"/>
        <w:outlineLvl w:val="0"/>
        <w:rPr>
          <w:rStyle w:val="42"/>
          <w:rFonts w:hint="eastAsia" w:ascii="仿宋" w:hAnsi="仿宋" w:eastAsia="仿宋" w:cs="Times New Roman"/>
          <w:b w:val="0"/>
          <w:bCs w:val="0"/>
          <w:color w:val="auto"/>
          <w:highlight w:val="none"/>
          <w:lang w:val="en-US" w:eastAsia="zh-CN" w:bidi="ar-SA"/>
        </w:rPr>
      </w:pPr>
      <w:r>
        <w:rPr>
          <w:rStyle w:val="42"/>
          <w:rFonts w:hint="eastAsia" w:ascii="仿宋" w:hAnsi="仿宋" w:eastAsia="仿宋" w:cs="Times New Roman"/>
          <w:b w:val="0"/>
          <w:bCs w:val="0"/>
          <w:color w:val="auto"/>
          <w:highlight w:val="none"/>
          <w:lang w:val="en-US" w:eastAsia="zh-CN" w:bidi="ar-SA"/>
        </w:rPr>
        <w:t>一、收入支出决算总表</w:t>
      </w:r>
    </w:p>
    <w:p w14:paraId="4F4EE8ED">
      <w:pPr>
        <w:pStyle w:val="5"/>
        <w:rPr>
          <w:rStyle w:val="42"/>
          <w:rFonts w:hint="eastAsia" w:ascii="仿宋" w:hAnsi="仿宋" w:eastAsia="仿宋" w:cs="Times New Roman"/>
          <w:b w:val="0"/>
          <w:bCs w:val="0"/>
          <w:color w:val="auto"/>
          <w:highlight w:val="none"/>
          <w:lang w:val="en-US" w:eastAsia="zh-CN" w:bidi="ar-SA"/>
        </w:rPr>
      </w:pPr>
      <w:bookmarkStart w:id="92" w:name="_Toc15396620"/>
      <w:r>
        <w:rPr>
          <w:rStyle w:val="42"/>
          <w:rFonts w:hint="eastAsia" w:ascii="仿宋" w:hAnsi="仿宋" w:eastAsia="仿宋" w:cs="Times New Roman"/>
          <w:b w:val="0"/>
          <w:bCs w:val="0"/>
          <w:color w:val="auto"/>
          <w:highlight w:val="none"/>
          <w:lang w:val="en-US" w:eastAsia="zh-CN" w:bidi="ar-SA"/>
        </w:rPr>
        <w:t>二、收入决算表</w:t>
      </w:r>
      <w:bookmarkEnd w:id="92"/>
    </w:p>
    <w:p w14:paraId="2680DDA5">
      <w:pPr>
        <w:pStyle w:val="5"/>
        <w:rPr>
          <w:rStyle w:val="42"/>
          <w:rFonts w:hint="eastAsia" w:ascii="仿宋" w:hAnsi="仿宋" w:eastAsia="仿宋" w:cs="Times New Roman"/>
          <w:b w:val="0"/>
          <w:bCs w:val="0"/>
          <w:color w:val="auto"/>
          <w:highlight w:val="none"/>
          <w:lang w:val="en-US" w:eastAsia="zh-CN" w:bidi="ar-SA"/>
        </w:rPr>
      </w:pPr>
      <w:bookmarkStart w:id="93" w:name="_Toc15396621"/>
      <w:r>
        <w:rPr>
          <w:rStyle w:val="42"/>
          <w:rFonts w:hint="eastAsia" w:ascii="仿宋" w:hAnsi="仿宋" w:eastAsia="仿宋" w:cs="Times New Roman"/>
          <w:b w:val="0"/>
          <w:bCs w:val="0"/>
          <w:color w:val="auto"/>
          <w:highlight w:val="none"/>
          <w:lang w:val="en-US" w:eastAsia="zh-CN" w:bidi="ar-SA"/>
        </w:rPr>
        <w:t>三、支出决算表</w:t>
      </w:r>
      <w:bookmarkEnd w:id="93"/>
    </w:p>
    <w:p w14:paraId="080BFAB0">
      <w:pPr>
        <w:pStyle w:val="5"/>
        <w:rPr>
          <w:rFonts w:ascii="仿宋" w:hAnsi="仿宋" w:eastAsia="仿宋"/>
          <w:b w:val="0"/>
          <w:color w:val="auto"/>
          <w:highlight w:val="none"/>
        </w:rPr>
      </w:pPr>
      <w:bookmarkStart w:id="94" w:name="_Toc15396622"/>
      <w:r>
        <w:rPr>
          <w:rStyle w:val="4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42"/>
          <w:rFonts w:hint="eastAsia" w:ascii="仿宋" w:hAnsi="仿宋" w:eastAsia="仿宋"/>
          <w:b w:val="0"/>
          <w:bCs w:val="0"/>
          <w:color w:val="auto"/>
          <w:highlight w:val="none"/>
        </w:rPr>
        <w:t>政拨款收入支出决算总表</w:t>
      </w:r>
      <w:bookmarkEnd w:id="94"/>
    </w:p>
    <w:p w14:paraId="37211A6E">
      <w:pPr>
        <w:pStyle w:val="5"/>
        <w:rPr>
          <w:rStyle w:val="42"/>
          <w:rFonts w:ascii="仿宋" w:hAnsi="仿宋" w:eastAsia="仿宋"/>
          <w:b w:val="0"/>
          <w:bCs w:val="0"/>
          <w:color w:val="auto"/>
          <w:highlight w:val="none"/>
        </w:rPr>
      </w:pPr>
      <w:bookmarkStart w:id="95" w:name="_Toc15396623"/>
      <w:r>
        <w:rPr>
          <w:rStyle w:val="4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42"/>
          <w:rFonts w:hint="eastAsia" w:ascii="仿宋" w:hAnsi="仿宋" w:eastAsia="仿宋"/>
          <w:b w:val="0"/>
          <w:bCs w:val="0"/>
          <w:color w:val="auto"/>
          <w:highlight w:val="none"/>
        </w:rPr>
        <w:t>政拨款支出决算明细表</w:t>
      </w:r>
      <w:bookmarkEnd w:id="95"/>
      <w:bookmarkStart w:id="96" w:name="_Toc15396624"/>
    </w:p>
    <w:p w14:paraId="1522E668">
      <w:pPr>
        <w:pStyle w:val="5"/>
        <w:rPr>
          <w:rFonts w:ascii="仿宋" w:hAnsi="仿宋" w:eastAsia="仿宋"/>
          <w:color w:val="auto"/>
          <w:highlight w:val="none"/>
        </w:rPr>
      </w:pPr>
      <w:r>
        <w:rPr>
          <w:rStyle w:val="4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般公共预算财政拨款支出决算表</w:t>
      </w:r>
      <w:bookmarkEnd w:id="96"/>
    </w:p>
    <w:p w14:paraId="057103CB">
      <w:pPr>
        <w:pStyle w:val="5"/>
        <w:rPr>
          <w:rFonts w:ascii="仿宋" w:hAnsi="仿宋" w:eastAsia="仿宋"/>
          <w:color w:val="auto"/>
          <w:highlight w:val="none"/>
        </w:rPr>
      </w:pPr>
      <w:bookmarkStart w:id="97" w:name="_Toc15396625"/>
      <w:r>
        <w:rPr>
          <w:rStyle w:val="4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般公共预算财政拨款支出决算明细表</w:t>
      </w:r>
      <w:bookmarkEnd w:id="97"/>
    </w:p>
    <w:p w14:paraId="48A4CD5D">
      <w:pPr>
        <w:pStyle w:val="5"/>
        <w:rPr>
          <w:rFonts w:ascii="仿宋" w:hAnsi="仿宋" w:eastAsia="仿宋"/>
          <w:color w:val="auto"/>
          <w:highlight w:val="none"/>
        </w:rPr>
      </w:pPr>
      <w:bookmarkStart w:id="98" w:name="_Toc15396626"/>
      <w:r>
        <w:rPr>
          <w:rStyle w:val="4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般公共预算财政拨款基本支出决算表</w:t>
      </w:r>
      <w:bookmarkEnd w:id="98"/>
    </w:p>
    <w:p w14:paraId="1BC9EFAE">
      <w:pPr>
        <w:pStyle w:val="5"/>
        <w:rPr>
          <w:rFonts w:ascii="仿宋" w:hAnsi="仿宋" w:eastAsia="仿宋"/>
          <w:color w:val="auto"/>
          <w:highlight w:val="none"/>
        </w:rPr>
      </w:pPr>
      <w:bookmarkStart w:id="99" w:name="_Toc15396627"/>
      <w:r>
        <w:rPr>
          <w:rStyle w:val="4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般公共预算财政拨款项目支出决算表</w:t>
      </w:r>
      <w:bookmarkEnd w:id="99"/>
    </w:p>
    <w:p w14:paraId="527A0911">
      <w:pPr>
        <w:pStyle w:val="5"/>
        <w:rPr>
          <w:rFonts w:ascii="仿宋" w:hAnsi="仿宋" w:eastAsia="仿宋"/>
          <w:color w:val="auto"/>
          <w:highlight w:val="none"/>
        </w:rPr>
      </w:pPr>
      <w:bookmarkStart w:id="100" w:name="_Toc15396628"/>
      <w:r>
        <w:rPr>
          <w:rStyle w:val="42"/>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42"/>
          <w:rFonts w:hint="eastAsia" w:ascii="仿宋" w:hAnsi="仿宋" w:eastAsia="仿宋"/>
          <w:b w:val="0"/>
          <w:bCs w:val="0"/>
          <w:color w:val="auto"/>
          <w:highlight w:val="none"/>
        </w:rPr>
        <w:t>般公共预算财政拨款“三公”经费支出决算表</w:t>
      </w:r>
      <w:bookmarkEnd w:id="100"/>
    </w:p>
    <w:p w14:paraId="35B7F609">
      <w:pPr>
        <w:pStyle w:val="5"/>
        <w:rPr>
          <w:rFonts w:ascii="仿宋" w:hAnsi="仿宋" w:eastAsia="仿宋"/>
          <w:color w:val="auto"/>
          <w:highlight w:val="none"/>
        </w:rPr>
      </w:pPr>
      <w:bookmarkStart w:id="101" w:name="_Toc15396629"/>
      <w:r>
        <w:rPr>
          <w:rStyle w:val="42"/>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42"/>
          <w:rFonts w:hint="eastAsia" w:ascii="仿宋" w:hAnsi="仿宋" w:eastAsia="仿宋"/>
          <w:b w:val="0"/>
          <w:bCs w:val="0"/>
          <w:color w:val="auto"/>
          <w:highlight w:val="none"/>
        </w:rPr>
        <w:t>府性基金预算财政拨款收入支出决算表</w:t>
      </w:r>
      <w:bookmarkEnd w:id="101"/>
    </w:p>
    <w:p w14:paraId="145C242B">
      <w:pPr>
        <w:pStyle w:val="5"/>
        <w:rPr>
          <w:rFonts w:ascii="仿宋" w:hAnsi="仿宋" w:eastAsia="仿宋"/>
          <w:color w:val="auto"/>
          <w:highlight w:val="none"/>
        </w:rPr>
      </w:pPr>
      <w:bookmarkStart w:id="102" w:name="_Toc15396630"/>
      <w:r>
        <w:rPr>
          <w:rStyle w:val="42"/>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42"/>
          <w:rFonts w:hint="eastAsia" w:ascii="仿宋" w:hAnsi="仿宋" w:eastAsia="仿宋"/>
          <w:b w:val="0"/>
          <w:bCs w:val="0"/>
          <w:color w:val="auto"/>
          <w:highlight w:val="none"/>
        </w:rPr>
        <w:t>府性基金预算财政拨款“三公”经费支出决算表</w:t>
      </w:r>
      <w:bookmarkEnd w:id="102"/>
    </w:p>
    <w:p w14:paraId="664E15BC">
      <w:pPr>
        <w:pStyle w:val="5"/>
        <w:rPr>
          <w:rStyle w:val="42"/>
          <w:rFonts w:hint="eastAsia" w:ascii="仿宋" w:hAnsi="仿宋" w:eastAsia="仿宋"/>
          <w:b w:val="0"/>
          <w:bCs w:val="0"/>
          <w:color w:val="auto"/>
          <w:highlight w:val="none"/>
        </w:rPr>
      </w:pPr>
      <w:bookmarkStart w:id="103" w:name="_Toc15396631"/>
      <w:r>
        <w:rPr>
          <w:rStyle w:val="42"/>
          <w:rFonts w:hint="eastAsia" w:ascii="仿宋" w:hAnsi="仿宋" w:eastAsia="仿宋"/>
          <w:b w:val="0"/>
          <w:bCs w:val="0"/>
          <w:color w:val="auto"/>
          <w:highlight w:val="none"/>
        </w:rPr>
        <w:t>十三、</w:t>
      </w:r>
      <w:bookmarkEnd w:id="103"/>
      <w:r>
        <w:rPr>
          <w:rFonts w:hint="eastAsia" w:ascii="仿宋" w:hAnsi="仿宋" w:eastAsia="仿宋"/>
          <w:b w:val="0"/>
          <w:color w:val="auto"/>
          <w:highlight w:val="none"/>
        </w:rPr>
        <w:t>国有资本经营预算财政拨款收入支出决算表</w:t>
      </w:r>
    </w:p>
    <w:p w14:paraId="1BB92BCF">
      <w:pPr>
        <w:pStyle w:val="5"/>
        <w:rPr>
          <w:rFonts w:hint="eastAsia"/>
          <w:lang w:val="en-US" w:eastAsia="zh-CN"/>
        </w:rPr>
      </w:pPr>
      <w:r>
        <w:rPr>
          <w:rStyle w:val="42"/>
          <w:rFonts w:hint="eastAsia" w:ascii="仿宋" w:hAnsi="仿宋" w:eastAsia="仿宋"/>
          <w:b w:val="0"/>
          <w:bCs w:val="0"/>
          <w:color w:val="auto"/>
          <w:highlight w:val="none"/>
        </w:rPr>
        <w:t>十</w:t>
      </w:r>
      <w:r>
        <w:rPr>
          <w:rStyle w:val="42"/>
          <w:rFonts w:hint="eastAsia" w:ascii="仿宋" w:hAnsi="仿宋" w:eastAsia="仿宋"/>
          <w:b w:val="0"/>
          <w:bCs w:val="0"/>
          <w:color w:val="auto"/>
          <w:highlight w:val="none"/>
          <w:lang w:val="en-US" w:eastAsia="zh-CN"/>
        </w:rPr>
        <w:t>四</w:t>
      </w:r>
      <w:r>
        <w:rPr>
          <w:rStyle w:val="42"/>
          <w:rFonts w:hint="eastAsia" w:ascii="仿宋" w:hAnsi="仿宋" w:eastAsia="仿宋"/>
          <w:b w:val="0"/>
          <w:bCs w:val="0"/>
          <w:color w:val="auto"/>
          <w:highlight w:val="none"/>
        </w:rPr>
        <w:t>、</w:t>
      </w:r>
      <w:r>
        <w:rPr>
          <w:rFonts w:hint="eastAsia" w:ascii="仿宋" w:hAnsi="仿宋" w:eastAsia="仿宋"/>
          <w:b w:val="0"/>
          <w:color w:val="auto"/>
          <w:highlight w:val="none"/>
        </w:rPr>
        <w:t>国有资本经营预算财政拨款支出决算表</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D1DF87-E8BB-4BB6-8809-E4AF14ECD5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7B5CDC47-721C-464D-BA25-B3159C14A3CF}"/>
  </w:font>
  <w:font w:name="仿宋">
    <w:panose1 w:val="02010609060101010101"/>
    <w:charset w:val="86"/>
    <w:family w:val="auto"/>
    <w:pitch w:val="default"/>
    <w:sig w:usb0="800002BF" w:usb1="38CF7CFA" w:usb2="00000016" w:usb3="00000000" w:csb0="00040001" w:csb1="00000000"/>
    <w:embedRegular r:id="rId3" w:fontKey="{9D460160-D313-4ABB-B46D-232EB9D9B88B}"/>
  </w:font>
  <w:font w:name="方正小标宋简体">
    <w:panose1 w:val="02000000000000000000"/>
    <w:charset w:val="86"/>
    <w:family w:val="auto"/>
    <w:pitch w:val="default"/>
    <w:sig w:usb0="00000001" w:usb1="08000000" w:usb2="00000000" w:usb3="00000000" w:csb0="00040000" w:csb1="00000000"/>
    <w:embedRegular r:id="rId4" w:fontKey="{D1C2B3A0-AE91-4CD0-8FED-15DC7A5E0BD4}"/>
  </w:font>
  <w:font w:name="方正仿宋_GB2312">
    <w:panose1 w:val="02000000000000000000"/>
    <w:charset w:val="86"/>
    <w:family w:val="auto"/>
    <w:pitch w:val="default"/>
    <w:sig w:usb0="A00002BF" w:usb1="184F6CFA" w:usb2="00000012" w:usb3="00000000" w:csb0="00040001" w:csb1="00000000"/>
    <w:embedRegular r:id="rId5" w:fontKey="{3B695246-6634-4119-8651-7523EC6AFA36}"/>
  </w:font>
  <w:font w:name="方正楷体_GB2312">
    <w:panose1 w:val="02000000000000000000"/>
    <w:charset w:val="86"/>
    <w:family w:val="auto"/>
    <w:pitch w:val="default"/>
    <w:sig w:usb0="A00002BF" w:usb1="184F6CFA" w:usb2="00000012" w:usb3="00000000" w:csb0="00040001" w:csb1="00000000"/>
    <w:embedRegular r:id="rId6" w:fontKey="{65386E5E-5EFF-4E3A-9070-EC804E8389AE}"/>
  </w:font>
  <w:font w:name="楷体_GB2312">
    <w:panose1 w:val="02010609030101010101"/>
    <w:charset w:val="86"/>
    <w:family w:val="modern"/>
    <w:pitch w:val="default"/>
    <w:sig w:usb0="00000001" w:usb1="080E0000" w:usb2="00000000" w:usb3="00000000" w:csb0="00040000" w:csb1="00000000"/>
    <w:embedRegular r:id="rId7" w:fontKey="{56A66DA6-2751-44B1-AD7B-7B1326E23B62}"/>
  </w:font>
  <w:font w:name="楷体">
    <w:panose1 w:val="02010609060101010101"/>
    <w:charset w:val="86"/>
    <w:family w:val="auto"/>
    <w:pitch w:val="default"/>
    <w:sig w:usb0="800002BF" w:usb1="38CF7CFA" w:usb2="00000016" w:usb3="00000000" w:csb0="00040001" w:csb1="00000000"/>
    <w:embedRegular r:id="rId8" w:fontKey="{A3010F6E-8E19-4FCB-8664-A2DD7A4CB5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ABA5E">
    <w:pPr>
      <w:pStyle w:val="12"/>
      <w:jc w:val="center"/>
    </w:pPr>
    <w:r>
      <w:fldChar w:fldCharType="begin"/>
    </w:r>
    <w:r>
      <w:instrText xml:space="preserve">PAGE   \* MERGEFORMAT</w:instrText>
    </w:r>
    <w:r>
      <w:fldChar w:fldCharType="separate"/>
    </w:r>
    <w:r>
      <w:rPr>
        <w:lang w:val="zh-CN"/>
      </w:rPr>
      <w:t>24</w:t>
    </w:r>
    <w:r>
      <w:fldChar w:fldCharType="end"/>
    </w:r>
  </w:p>
  <w:p w14:paraId="0571F3B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7C5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BE40A"/>
    <w:multiLevelType w:val="singleLevel"/>
    <w:tmpl w:val="0B2BE40A"/>
    <w:lvl w:ilvl="0" w:tentative="0">
      <w:start w:val="1"/>
      <w:numFmt w:val="decimal"/>
      <w:lvlText w:val="%1."/>
      <w:lvlJc w:val="left"/>
      <w:pPr>
        <w:tabs>
          <w:tab w:val="left" w:pos="312"/>
        </w:tabs>
      </w:p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235B964"/>
    <w:multiLevelType w:val="singleLevel"/>
    <w:tmpl w:val="4235B964"/>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2E7F"/>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02F1"/>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141B74"/>
    <w:rsid w:val="04180F6C"/>
    <w:rsid w:val="05C50C80"/>
    <w:rsid w:val="070C6F22"/>
    <w:rsid w:val="0F746B1B"/>
    <w:rsid w:val="10B93AD7"/>
    <w:rsid w:val="10C055FF"/>
    <w:rsid w:val="11BA3663"/>
    <w:rsid w:val="11E64458"/>
    <w:rsid w:val="135C4F22"/>
    <w:rsid w:val="16BB723D"/>
    <w:rsid w:val="172B41FD"/>
    <w:rsid w:val="1D5030CD"/>
    <w:rsid w:val="1E2B0D38"/>
    <w:rsid w:val="1EAE3606"/>
    <w:rsid w:val="23D36806"/>
    <w:rsid w:val="240371BF"/>
    <w:rsid w:val="25FC1B20"/>
    <w:rsid w:val="26DB434F"/>
    <w:rsid w:val="28A26E6A"/>
    <w:rsid w:val="29FD04D3"/>
    <w:rsid w:val="2B310EA0"/>
    <w:rsid w:val="2E3445EA"/>
    <w:rsid w:val="2E661A4A"/>
    <w:rsid w:val="2EDF473D"/>
    <w:rsid w:val="30AA6C39"/>
    <w:rsid w:val="319F7F4E"/>
    <w:rsid w:val="35340A5F"/>
    <w:rsid w:val="35604029"/>
    <w:rsid w:val="35765E7D"/>
    <w:rsid w:val="361E7DB5"/>
    <w:rsid w:val="36303BCE"/>
    <w:rsid w:val="36613954"/>
    <w:rsid w:val="38910D12"/>
    <w:rsid w:val="3A9E3272"/>
    <w:rsid w:val="3D2C7500"/>
    <w:rsid w:val="3FCD33B5"/>
    <w:rsid w:val="41B11F42"/>
    <w:rsid w:val="446A1670"/>
    <w:rsid w:val="45066217"/>
    <w:rsid w:val="45FE550D"/>
    <w:rsid w:val="4C6D3096"/>
    <w:rsid w:val="4E661EA1"/>
    <w:rsid w:val="4ECE2238"/>
    <w:rsid w:val="56C34335"/>
    <w:rsid w:val="56DB78D0"/>
    <w:rsid w:val="5AB6152D"/>
    <w:rsid w:val="5ABB5323"/>
    <w:rsid w:val="5C69772C"/>
    <w:rsid w:val="5CFD7E74"/>
    <w:rsid w:val="5D4B53F4"/>
    <w:rsid w:val="639C03E7"/>
    <w:rsid w:val="65BF796C"/>
    <w:rsid w:val="663E5786"/>
    <w:rsid w:val="666449C2"/>
    <w:rsid w:val="68557575"/>
    <w:rsid w:val="69671F94"/>
    <w:rsid w:val="72734D90"/>
    <w:rsid w:val="735212C4"/>
    <w:rsid w:val="73DE7475"/>
    <w:rsid w:val="77917E47"/>
    <w:rsid w:val="7C1F1332"/>
    <w:rsid w:val="7C9C466D"/>
    <w:rsid w:val="7E582D05"/>
    <w:rsid w:val="7E8E5455"/>
    <w:rsid w:val="7FE5681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2"/>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6">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First Indent 2"/>
    <w:basedOn w:val="3"/>
    <w:next w:val="1"/>
    <w:link w:val="45"/>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仿宋_GB2312" w:cs="Times New Roman"/>
      <w:kern w:val="2"/>
      <w:sz w:val="32"/>
      <w:szCs w:val="32"/>
      <w:lang w:val="en-US" w:eastAsia="zh-CN" w:bidi="ar"/>
    </w:rPr>
  </w:style>
  <w:style w:type="paragraph" w:styleId="3">
    <w:name w:val="Body Text Indent"/>
    <w:basedOn w:val="1"/>
    <w:next w:val="2"/>
    <w:link w:val="44"/>
    <w:qFormat/>
    <w:uiPriority w:val="99"/>
    <w:pPr>
      <w:ind w:left="420" w:leftChars="200"/>
    </w:pPr>
  </w:style>
  <w:style w:type="paragraph" w:styleId="7">
    <w:name w:val="annotation text"/>
    <w:basedOn w:val="1"/>
    <w:unhideWhenUsed/>
    <w:qFormat/>
    <w:uiPriority w:val="99"/>
    <w:pPr>
      <w:jc w:val="left"/>
    </w:pPr>
  </w:style>
  <w:style w:type="paragraph" w:styleId="8">
    <w:name w:val="Salutation"/>
    <w:basedOn w:val="1"/>
    <w:next w:val="1"/>
    <w:qFormat/>
    <w:uiPriority w:val="99"/>
  </w:style>
  <w:style w:type="paragraph" w:styleId="9">
    <w:name w:val="Body Text"/>
    <w:basedOn w:val="1"/>
    <w:link w:val="35"/>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8"/>
    <w:unhideWhenUsed/>
    <w:qFormat/>
    <w:uiPriority w:val="99"/>
    <w:rPr>
      <w:sz w:val="18"/>
      <w:szCs w:val="18"/>
    </w:rPr>
  </w:style>
  <w:style w:type="paragraph" w:styleId="12">
    <w:name w:val="footer"/>
    <w:basedOn w:val="1"/>
    <w:link w:val="33"/>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99"/>
    <w:pPr>
      <w:ind w:left="200"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character" w:styleId="20">
    <w:name w:val="Strong"/>
    <w:basedOn w:val="19"/>
    <w:qFormat/>
    <w:uiPriority w:val="99"/>
    <w:rPr>
      <w:b/>
    </w:rPr>
  </w:style>
  <w:style w:type="character" w:styleId="21">
    <w:name w:val="Emphasis"/>
    <w:basedOn w:val="19"/>
    <w:qFormat/>
    <w:uiPriority w:val="20"/>
    <w:rPr>
      <w:i/>
    </w:rPr>
  </w:style>
  <w:style w:type="character" w:styleId="22">
    <w:name w:val="Hyperlink"/>
    <w:basedOn w:val="19"/>
    <w:unhideWhenUsed/>
    <w:qFormat/>
    <w:uiPriority w:val="99"/>
    <w:rPr>
      <w:color w:val="0000FF"/>
      <w:u w:val="single"/>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paragraph" w:customStyle="1" w:styleId="25">
    <w:name w:val="TOC 标题1"/>
    <w:basedOn w:val="4"/>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6">
    <w:name w:val="TOC Heading"/>
    <w:basedOn w:val="4"/>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7">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8">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29">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30">
    <w:name w:val="Header Char"/>
    <w:basedOn w:val="19"/>
    <w:semiHidden/>
    <w:qFormat/>
    <w:uiPriority w:val="99"/>
    <w:rPr>
      <w:rFonts w:ascii="Times New Roman" w:hAnsi="Times New Roman"/>
      <w:sz w:val="18"/>
      <w:szCs w:val="18"/>
    </w:rPr>
  </w:style>
  <w:style w:type="character" w:customStyle="1" w:styleId="31">
    <w:name w:val="页眉 Char"/>
    <w:link w:val="13"/>
    <w:semiHidden/>
    <w:qFormat/>
    <w:locked/>
    <w:uiPriority w:val="99"/>
    <w:rPr>
      <w:sz w:val="18"/>
    </w:rPr>
  </w:style>
  <w:style w:type="character" w:customStyle="1" w:styleId="32">
    <w:name w:val="Footer Char"/>
    <w:basedOn w:val="19"/>
    <w:semiHidden/>
    <w:qFormat/>
    <w:uiPriority w:val="99"/>
    <w:rPr>
      <w:rFonts w:ascii="Times New Roman" w:hAnsi="Times New Roman"/>
      <w:sz w:val="18"/>
      <w:szCs w:val="18"/>
    </w:rPr>
  </w:style>
  <w:style w:type="character" w:customStyle="1" w:styleId="33">
    <w:name w:val="页脚 Char"/>
    <w:link w:val="12"/>
    <w:qFormat/>
    <w:locked/>
    <w:uiPriority w:val="99"/>
    <w:rPr>
      <w:sz w:val="18"/>
    </w:rPr>
  </w:style>
  <w:style w:type="character" w:customStyle="1" w:styleId="34">
    <w:name w:val="Body Text Char"/>
    <w:basedOn w:val="19"/>
    <w:semiHidden/>
    <w:qFormat/>
    <w:uiPriority w:val="99"/>
    <w:rPr>
      <w:rFonts w:ascii="Times New Roman" w:hAnsi="Times New Roman"/>
      <w:szCs w:val="24"/>
    </w:rPr>
  </w:style>
  <w:style w:type="character" w:customStyle="1" w:styleId="35">
    <w:name w:val="正文文本 Char"/>
    <w:link w:val="9"/>
    <w:qFormat/>
    <w:locked/>
    <w:uiPriority w:val="99"/>
    <w:rPr>
      <w:rFonts w:ascii="仿宋_GB2312" w:hAnsi="Times New Roman" w:eastAsia="仿宋_GB2312"/>
      <w:sz w:val="24"/>
    </w:rPr>
  </w:style>
  <w:style w:type="character" w:customStyle="1" w:styleId="36">
    <w:name w:val="标题 1 Char"/>
    <w:basedOn w:val="19"/>
    <w:link w:val="4"/>
    <w:qFormat/>
    <w:uiPriority w:val="9"/>
    <w:rPr>
      <w:rFonts w:ascii="Times New Roman" w:hAnsi="Times New Roman"/>
      <w:b/>
      <w:bCs/>
      <w:kern w:val="44"/>
      <w:sz w:val="44"/>
      <w:szCs w:val="44"/>
    </w:rPr>
  </w:style>
  <w:style w:type="character" w:customStyle="1" w:styleId="37">
    <w:name w:val="标题 2 Char"/>
    <w:basedOn w:val="19"/>
    <w:link w:val="5"/>
    <w:qFormat/>
    <w:uiPriority w:val="9"/>
    <w:rPr>
      <w:rFonts w:ascii="Cambria" w:hAnsi="Cambria" w:eastAsia="宋体" w:cs="黑体"/>
      <w:b/>
      <w:bCs/>
      <w:kern w:val="2"/>
      <w:sz w:val="32"/>
      <w:szCs w:val="32"/>
    </w:rPr>
  </w:style>
  <w:style w:type="character" w:customStyle="1" w:styleId="38">
    <w:name w:val="批注框文本 Char"/>
    <w:basedOn w:val="19"/>
    <w:link w:val="11"/>
    <w:semiHidden/>
    <w:qFormat/>
    <w:uiPriority w:val="99"/>
    <w:rPr>
      <w:rFonts w:ascii="Times New Roman" w:hAnsi="Times New Roman"/>
      <w:kern w:val="2"/>
      <w:sz w:val="18"/>
      <w:szCs w:val="18"/>
    </w:rPr>
  </w:style>
  <w:style w:type="character" w:customStyle="1" w:styleId="39">
    <w:name w:val="标题 3 Char"/>
    <w:basedOn w:val="19"/>
    <w:link w:val="6"/>
    <w:qFormat/>
    <w:uiPriority w:val="9"/>
    <w:rPr>
      <w:rFonts w:ascii="Times New Roman" w:hAnsi="Times New Roman"/>
      <w:b/>
      <w:bCs/>
      <w:kern w:val="2"/>
      <w:sz w:val="32"/>
      <w:szCs w:val="32"/>
    </w:rPr>
  </w:style>
  <w:style w:type="character" w:customStyle="1" w:styleId="40">
    <w:name w:val="font11"/>
    <w:basedOn w:val="19"/>
    <w:qFormat/>
    <w:uiPriority w:val="0"/>
    <w:rPr>
      <w:rFonts w:hint="eastAsia" w:ascii="宋体" w:hAnsi="宋体" w:eastAsia="宋体" w:cs="宋体"/>
      <w:color w:val="000000"/>
      <w:sz w:val="20"/>
      <w:szCs w:val="20"/>
      <w:u w:val="none"/>
    </w:rPr>
  </w:style>
  <w:style w:type="character" w:customStyle="1" w:styleId="41">
    <w:name w:val="font81"/>
    <w:basedOn w:val="19"/>
    <w:qFormat/>
    <w:uiPriority w:val="0"/>
    <w:rPr>
      <w:rFonts w:hint="eastAsia" w:ascii="宋体" w:hAnsi="宋体" w:eastAsia="宋体" w:cs="宋体"/>
      <w:color w:val="000000"/>
      <w:sz w:val="18"/>
      <w:szCs w:val="18"/>
      <w:u w:val="none"/>
    </w:rPr>
  </w:style>
  <w:style w:type="character" w:customStyle="1" w:styleId="42">
    <w:name w:val=" Char Char5"/>
    <w:basedOn w:val="19"/>
    <w:link w:val="5"/>
    <w:qFormat/>
    <w:locked/>
    <w:uiPriority w:val="9"/>
    <w:rPr>
      <w:rFonts w:ascii="Cambria" w:hAnsi="Cambria" w:eastAsia="宋体" w:cs="Times New Roman"/>
      <w:b/>
      <w:bCs/>
      <w:kern w:val="2"/>
      <w:sz w:val="32"/>
      <w:szCs w:val="32"/>
    </w:rPr>
  </w:style>
  <w:style w:type="character" w:customStyle="1" w:styleId="43">
    <w:name w:val=" Char Char6"/>
    <w:basedOn w:val="19"/>
    <w:link w:val="4"/>
    <w:qFormat/>
    <w:locked/>
    <w:uiPriority w:val="9"/>
    <w:rPr>
      <w:rFonts w:ascii="Times New Roman" w:hAnsi="Times New Roman" w:cs="Times New Roman"/>
      <w:b/>
      <w:bCs/>
      <w:kern w:val="44"/>
      <w:sz w:val="44"/>
      <w:szCs w:val="44"/>
    </w:rPr>
  </w:style>
  <w:style w:type="character" w:customStyle="1" w:styleId="44">
    <w:name w:val="正文文本缩进 字符"/>
    <w:basedOn w:val="19"/>
    <w:link w:val="3"/>
    <w:qFormat/>
    <w:uiPriority w:val="0"/>
    <w:rPr>
      <w:rFonts w:hint="default" w:ascii="Times New Roman" w:hAnsi="Times New Roman" w:cs="Times New Roman"/>
      <w:kern w:val="2"/>
      <w:sz w:val="21"/>
      <w:szCs w:val="24"/>
    </w:rPr>
  </w:style>
  <w:style w:type="character" w:customStyle="1" w:styleId="45">
    <w:name w:val="正文首行缩进 2 字符"/>
    <w:basedOn w:val="44"/>
    <w:link w:val="2"/>
    <w:qFormat/>
    <w:uiPriority w:val="0"/>
    <w:rPr>
      <w:rFonts w:hint="default" w:ascii="Times New Roman" w:hAnsi="Times New Roman" w:cs="Times New Roman"/>
      <w:kern w:val="2"/>
      <w:sz w:val="21"/>
      <w:szCs w:val="24"/>
    </w:rPr>
  </w:style>
  <w:style w:type="paragraph" w:customStyle="1" w:styleId="46">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4"/>
      <w:lang w:val="en-US" w:eastAsia="zh-CN" w:bidi="ar"/>
    </w:rPr>
  </w:style>
  <w:style w:type="character" w:customStyle="1" w:styleId="47">
    <w:name w:val="标题 1 字符"/>
    <w:basedOn w:val="19"/>
    <w:qFormat/>
    <w:uiPriority w:val="0"/>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31</Pages>
  <Words>12076</Words>
  <Characters>12958</Characters>
  <Lines>7</Lines>
  <Paragraphs>17</Paragraphs>
  <TotalTime>1</TotalTime>
  <ScaleCrop>false</ScaleCrop>
  <LinksUpToDate>false</LinksUpToDate>
  <CharactersWithSpaces>13128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2022-09-25T05:59:00Z</cp:lastPrinted>
  <dcterms:modified xsi:type="dcterms:W3CDTF">2024-12-19T07:35:24Z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E9553BE303A24DA2876C82E498F3BBDB</vt:lpwstr>
  </property>
  <property fmtid="{D5CDD505-2E9C-101B-9397-08002B2CF9AE}" pid="4" name="KSOTemplateDocerSaveRecord">
    <vt:lpwstr>eyJoZGlkIjoiMGVhYTg4NGNkZWJkODFjNzcyZDRjM2M4Y2UzNjI5ZmUiLCJ1c2VySWQiOiI2MTE2MzEwMDYifQ==</vt:lpwstr>
  </property>
</Properties>
</file>