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1B3ED">
      <w:pPr>
        <w:jc w:val="left"/>
        <w:rPr>
          <w:rFonts w:ascii="方正小标宋简体" w:hAnsi="宋体" w:eastAsia="方正小标宋简体"/>
          <w:color w:val="000000"/>
          <w:sz w:val="72"/>
          <w:szCs w:val="72"/>
        </w:rPr>
      </w:pPr>
      <w:bookmarkStart w:id="0" w:name="_Toc15306267"/>
    </w:p>
    <w:p w14:paraId="17329C62">
      <w:pPr>
        <w:jc w:val="left"/>
        <w:rPr>
          <w:rFonts w:ascii="方正小标宋简体" w:hAnsi="宋体" w:eastAsia="方正小标宋简体"/>
          <w:color w:val="000000"/>
          <w:sz w:val="72"/>
          <w:szCs w:val="72"/>
        </w:rPr>
      </w:pPr>
    </w:p>
    <w:p w14:paraId="1C204C8D">
      <w:pPr>
        <w:jc w:val="left"/>
        <w:rPr>
          <w:rFonts w:ascii="方正小标宋简体" w:hAnsi="宋体" w:eastAsia="方正小标宋简体"/>
          <w:color w:val="000000"/>
          <w:sz w:val="72"/>
          <w:szCs w:val="72"/>
        </w:rPr>
      </w:pPr>
    </w:p>
    <w:p w14:paraId="34ED948C">
      <w:pPr>
        <w:adjustRightInd w:val="0"/>
        <w:jc w:val="center"/>
        <w:rPr>
          <w:rFonts w:ascii="方正小标宋简体" w:hAnsi="方正小标宋简体" w:eastAsia="方正小标宋简体" w:cs="方正小标宋简体"/>
          <w:color w:val="000000"/>
          <w:sz w:val="56"/>
          <w:szCs w:val="56"/>
        </w:rPr>
      </w:pPr>
      <w:bookmarkStart w:id="1" w:name="_Toc15396475"/>
      <w:bookmarkStart w:id="2" w:name="_Toc15396597"/>
      <w:bookmarkStart w:id="3" w:name="_Toc15377193"/>
      <w:bookmarkStart w:id="4" w:name="_Toc15378441"/>
      <w:bookmarkStart w:id="5" w:name="_Toc15377425"/>
      <w:r>
        <w:rPr>
          <w:rFonts w:hint="eastAsia" w:ascii="方正小标宋简体" w:hAnsi="方正小标宋简体" w:eastAsia="方正小标宋简体" w:cs="方正小标宋简体"/>
          <w:color w:val="000000"/>
          <w:sz w:val="56"/>
          <w:szCs w:val="56"/>
        </w:rPr>
        <w:t>2020年度</w:t>
      </w:r>
      <w:bookmarkEnd w:id="1"/>
      <w:bookmarkEnd w:id="2"/>
      <w:bookmarkEnd w:id="3"/>
      <w:bookmarkEnd w:id="4"/>
      <w:bookmarkEnd w:id="5"/>
    </w:p>
    <w:bookmarkEnd w:id="0"/>
    <w:p w14:paraId="765712A4">
      <w:pPr>
        <w:adjustRightInd w:val="0"/>
        <w:snapToGrid w:val="0"/>
        <w:spacing w:line="360" w:lineRule="auto"/>
        <w:jc w:val="center"/>
        <w:outlineLvl w:val="0"/>
        <w:rPr>
          <w:rFonts w:hint="eastAsia" w:ascii="方正小标宋简体" w:hAnsi="方正小标宋简体" w:eastAsia="方正小标宋简体" w:cs="方正小标宋简体"/>
          <w:color w:val="000000"/>
          <w:sz w:val="56"/>
          <w:szCs w:val="56"/>
        </w:rPr>
      </w:pPr>
      <w:bookmarkStart w:id="6" w:name="_Toc15396598"/>
      <w:bookmarkStart w:id="7" w:name="_Toc15377194"/>
      <w:bookmarkStart w:id="8" w:name="_Toc15377426"/>
      <w:bookmarkStart w:id="9" w:name="_Toc15396476"/>
      <w:bookmarkStart w:id="10" w:name="_Toc15378442"/>
      <w:r>
        <w:rPr>
          <w:rFonts w:hint="eastAsia" w:ascii="方正小标宋简体" w:hAnsi="方正小标宋简体" w:eastAsia="方正小标宋简体" w:cs="方正小标宋简体"/>
          <w:color w:val="000000"/>
          <w:sz w:val="56"/>
          <w:szCs w:val="56"/>
        </w:rPr>
        <w:t>四川省</w:t>
      </w:r>
      <w:bookmarkStart w:id="11" w:name="_Toc15306268"/>
      <w:r>
        <w:rPr>
          <w:rFonts w:hint="eastAsia" w:ascii="方正小标宋简体" w:hAnsi="方正小标宋简体" w:eastAsia="方正小标宋简体" w:cs="方正小标宋简体"/>
          <w:color w:val="000000"/>
          <w:sz w:val="56"/>
          <w:szCs w:val="56"/>
        </w:rPr>
        <w:t>广元市昭化区柏林沟镇</w:t>
      </w:r>
    </w:p>
    <w:p w14:paraId="50783912">
      <w:pPr>
        <w:adjustRightInd w:val="0"/>
        <w:snapToGrid w:val="0"/>
        <w:spacing w:line="360" w:lineRule="auto"/>
        <w:jc w:val="center"/>
        <w:outlineLvl w:val="0"/>
        <w:rPr>
          <w:rFonts w:ascii="方正小标宋简体" w:hAnsi="方正小标宋简体" w:eastAsia="方正小标宋简体" w:cs="方正小标宋简体"/>
          <w:color w:val="000000"/>
          <w:sz w:val="56"/>
          <w:szCs w:val="56"/>
        </w:rPr>
      </w:pPr>
      <w:r>
        <w:rPr>
          <w:rFonts w:hint="eastAsia" w:ascii="方正小标宋简体" w:hAnsi="方正小标宋简体" w:eastAsia="方正小标宋简体" w:cs="方正小标宋简体"/>
          <w:color w:val="000000"/>
          <w:sz w:val="56"/>
          <w:szCs w:val="56"/>
          <w:lang w:val="en-US" w:eastAsia="zh-CN"/>
        </w:rPr>
        <w:t>文村</w:t>
      </w:r>
      <w:r>
        <w:rPr>
          <w:rFonts w:hint="eastAsia" w:ascii="方正小标宋简体" w:hAnsi="方正小标宋简体" w:eastAsia="方正小标宋简体" w:cs="方正小标宋简体"/>
          <w:color w:val="000000"/>
          <w:sz w:val="56"/>
          <w:szCs w:val="56"/>
        </w:rPr>
        <w:t>小学</w:t>
      </w:r>
      <w:r>
        <w:rPr>
          <w:rFonts w:ascii="方正小标宋简体" w:hAnsi="方正小标宋简体" w:eastAsia="方正小标宋简体" w:cs="方正小标宋简体"/>
          <w:color w:val="000000"/>
          <w:sz w:val="56"/>
          <w:szCs w:val="56"/>
        </w:rPr>
        <w:t>部门</w:t>
      </w:r>
      <w:r>
        <w:rPr>
          <w:rFonts w:hint="eastAsia" w:ascii="方正小标宋简体" w:hAnsi="方正小标宋简体" w:eastAsia="方正小标宋简体" w:cs="方正小标宋简体"/>
          <w:color w:val="000000"/>
          <w:sz w:val="56"/>
          <w:szCs w:val="56"/>
        </w:rPr>
        <w:t>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sz w:val="56"/>
          <w:szCs w:val="56"/>
        </w:rPr>
        <w:t>公开</w:t>
      </w:r>
    </w:p>
    <w:p w14:paraId="712EED60">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6BB9E0CE">
      <w:pPr>
        <w:pStyle w:val="13"/>
      </w:pPr>
      <w:bookmarkStart w:id="12" w:name="_Toc15377196"/>
      <w:bookmarkStart w:id="13" w:name="_Toc15396599"/>
      <w:r>
        <w:rPr>
          <w:rFonts w:hint="eastAsia"/>
        </w:rPr>
        <w:t>公开时间：</w:t>
      </w:r>
      <w:r>
        <w:t>2021</w:t>
      </w:r>
      <w:r>
        <w:rPr>
          <w:rFonts w:hint="eastAsia"/>
        </w:rPr>
        <w:t>年9月30日</w:t>
      </w:r>
    </w:p>
    <w:p w14:paraId="420BA67A">
      <w:pPr>
        <w:pStyle w:val="13"/>
        <w:adjustRightInd w:val="0"/>
        <w:snapToGrid w:val="0"/>
        <w:spacing w:before="0" w:line="440" w:lineRule="exact"/>
        <w:jc w:val="left"/>
        <w:rPr>
          <w:rFonts w:ascii="Times New Roman" w:hAnsi="Times New Roman" w:eastAsia="宋体"/>
          <w:sz w:val="24"/>
          <w:szCs w:val="24"/>
        </w:rPr>
      </w:pPr>
      <w:r>
        <w:fldChar w:fldCharType="begin"/>
      </w:r>
      <w:r>
        <w:instrText xml:space="preserve">TOC \o "1-3" \h \u </w:instrText>
      </w:r>
      <w:r>
        <w:fldChar w:fldCharType="separate"/>
      </w:r>
      <w:r>
        <w:rPr>
          <w:rFonts w:hint="eastAsia" w:ascii="Times New Roman" w:hAnsi="Times New Roman" w:eastAsia="宋体"/>
          <w:sz w:val="24"/>
          <w:szCs w:val="24"/>
        </w:rPr>
        <w:t>第一部分  部门概况</w:t>
      </w:r>
    </w:p>
    <w:p w14:paraId="2FC9AB38">
      <w:pPr>
        <w:pStyle w:val="15"/>
        <w:adjustRightInd w:val="0"/>
        <w:snapToGrid w:val="0"/>
        <w:spacing w:line="440" w:lineRule="exact"/>
        <w:jc w:val="left"/>
        <w:rPr>
          <w:sz w:val="24"/>
        </w:rPr>
      </w:pPr>
      <w:r>
        <w:rPr>
          <w:rFonts w:hint="eastAsia"/>
          <w:sz w:val="24"/>
        </w:rPr>
        <w:t>一、基本职能及主要工作</w:t>
      </w:r>
      <w:r>
        <w:rPr>
          <w:sz w:val="24"/>
        </w:rPr>
        <w:tab/>
      </w:r>
      <w:r>
        <w:rPr>
          <w:rFonts w:hint="eastAsia"/>
          <w:sz w:val="24"/>
        </w:rPr>
        <w:t>4</w:t>
      </w:r>
    </w:p>
    <w:p w14:paraId="0929C015">
      <w:pPr>
        <w:pStyle w:val="15"/>
        <w:adjustRightInd w:val="0"/>
        <w:snapToGrid w:val="0"/>
        <w:spacing w:line="440" w:lineRule="exact"/>
        <w:jc w:val="left"/>
        <w:rPr>
          <w:sz w:val="24"/>
        </w:rPr>
      </w:pPr>
      <w:r>
        <w:rPr>
          <w:rFonts w:hint="eastAsia"/>
          <w:sz w:val="24"/>
        </w:rPr>
        <w:t>二、机构设置</w:t>
      </w:r>
      <w:r>
        <w:rPr>
          <w:sz w:val="24"/>
        </w:rPr>
        <w:tab/>
      </w:r>
      <w:r>
        <w:rPr>
          <w:rFonts w:hint="eastAsia"/>
          <w:sz w:val="24"/>
        </w:rPr>
        <w:t>8</w:t>
      </w:r>
    </w:p>
    <w:p w14:paraId="0509C0DD">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年部门决算情况说明</w:t>
      </w:r>
      <w:r>
        <w:rPr>
          <w:rFonts w:ascii="Times New Roman" w:hAnsi="Times New Roman" w:eastAsia="宋体"/>
          <w:sz w:val="24"/>
          <w:szCs w:val="24"/>
        </w:rPr>
        <w:tab/>
      </w:r>
    </w:p>
    <w:p w14:paraId="214191FF">
      <w:pPr>
        <w:pStyle w:val="15"/>
        <w:adjustRightInd w:val="0"/>
        <w:snapToGrid w:val="0"/>
        <w:spacing w:line="440" w:lineRule="exact"/>
        <w:jc w:val="left"/>
        <w:rPr>
          <w:sz w:val="24"/>
        </w:rPr>
      </w:pPr>
      <w:r>
        <w:rPr>
          <w:rFonts w:hint="eastAsia"/>
          <w:sz w:val="24"/>
        </w:rPr>
        <w:t>一、收入支出决算总体情况说明</w:t>
      </w:r>
      <w:r>
        <w:rPr>
          <w:sz w:val="24"/>
        </w:rPr>
        <w:tab/>
      </w:r>
      <w:r>
        <w:rPr>
          <w:rFonts w:hint="eastAsia"/>
          <w:sz w:val="24"/>
        </w:rPr>
        <w:t>9</w:t>
      </w:r>
    </w:p>
    <w:p w14:paraId="2B1E05C8">
      <w:pPr>
        <w:pStyle w:val="15"/>
        <w:adjustRightInd w:val="0"/>
        <w:snapToGrid w:val="0"/>
        <w:spacing w:line="440" w:lineRule="exact"/>
        <w:jc w:val="left"/>
        <w:rPr>
          <w:sz w:val="24"/>
        </w:rPr>
      </w:pPr>
      <w:r>
        <w:rPr>
          <w:rFonts w:hint="eastAsia"/>
          <w:sz w:val="24"/>
        </w:rPr>
        <w:t>二、收入决算情况说明</w:t>
      </w:r>
      <w:r>
        <w:rPr>
          <w:sz w:val="24"/>
        </w:rPr>
        <w:tab/>
      </w:r>
      <w:r>
        <w:rPr>
          <w:rFonts w:hint="eastAsia"/>
          <w:sz w:val="24"/>
        </w:rPr>
        <w:t>9</w:t>
      </w:r>
    </w:p>
    <w:p w14:paraId="1A818269">
      <w:pPr>
        <w:pStyle w:val="15"/>
        <w:adjustRightInd w:val="0"/>
        <w:snapToGrid w:val="0"/>
        <w:spacing w:line="440" w:lineRule="exact"/>
        <w:jc w:val="left"/>
        <w:rPr>
          <w:sz w:val="24"/>
        </w:rPr>
      </w:pPr>
      <w:r>
        <w:rPr>
          <w:rFonts w:hint="eastAsia"/>
          <w:sz w:val="24"/>
        </w:rPr>
        <w:t>三、支出决算情况说明</w:t>
      </w:r>
      <w:r>
        <w:rPr>
          <w:sz w:val="24"/>
        </w:rPr>
        <w:tab/>
      </w:r>
      <w:r>
        <w:rPr>
          <w:rFonts w:hint="eastAsia"/>
          <w:sz w:val="24"/>
        </w:rPr>
        <w:t>9</w:t>
      </w:r>
    </w:p>
    <w:p w14:paraId="22F09678">
      <w:pPr>
        <w:pStyle w:val="15"/>
        <w:adjustRightInd w:val="0"/>
        <w:snapToGrid w:val="0"/>
        <w:spacing w:line="440" w:lineRule="exact"/>
        <w:jc w:val="left"/>
        <w:rPr>
          <w:sz w:val="24"/>
        </w:rPr>
      </w:pPr>
      <w:r>
        <w:rPr>
          <w:rFonts w:hint="eastAsia"/>
          <w:sz w:val="24"/>
        </w:rPr>
        <w:t>四、财政拨款收入支出决算总体情况说明</w:t>
      </w:r>
      <w:r>
        <w:rPr>
          <w:sz w:val="24"/>
        </w:rPr>
        <w:tab/>
      </w:r>
      <w:r>
        <w:rPr>
          <w:rFonts w:hint="eastAsia"/>
          <w:sz w:val="24"/>
        </w:rPr>
        <w:t>9</w:t>
      </w:r>
    </w:p>
    <w:p w14:paraId="0D3C88FF">
      <w:pPr>
        <w:pStyle w:val="15"/>
        <w:adjustRightInd w:val="0"/>
        <w:snapToGrid w:val="0"/>
        <w:spacing w:line="440" w:lineRule="exact"/>
        <w:jc w:val="left"/>
        <w:rPr>
          <w:sz w:val="24"/>
        </w:rPr>
      </w:pPr>
      <w:r>
        <w:rPr>
          <w:rFonts w:hint="eastAsia"/>
          <w:sz w:val="24"/>
        </w:rPr>
        <w:t>五、一般公共预算财政拨款支出决算情况说明</w:t>
      </w:r>
      <w:r>
        <w:rPr>
          <w:sz w:val="24"/>
        </w:rPr>
        <w:tab/>
      </w:r>
      <w:r>
        <w:rPr>
          <w:rFonts w:hint="eastAsia"/>
          <w:sz w:val="24"/>
        </w:rPr>
        <w:t>10</w:t>
      </w:r>
    </w:p>
    <w:p w14:paraId="25CE5B00">
      <w:pPr>
        <w:pStyle w:val="15"/>
        <w:adjustRightInd w:val="0"/>
        <w:snapToGrid w:val="0"/>
        <w:spacing w:line="440" w:lineRule="exact"/>
        <w:jc w:val="left"/>
        <w:rPr>
          <w:sz w:val="24"/>
        </w:rPr>
      </w:pPr>
      <w:r>
        <w:rPr>
          <w:rFonts w:hint="eastAsia"/>
          <w:sz w:val="24"/>
        </w:rPr>
        <w:t>六、一般公共预算财政拨款基本支出决算情况说明</w:t>
      </w:r>
      <w:r>
        <w:rPr>
          <w:sz w:val="24"/>
        </w:rPr>
        <w:tab/>
      </w:r>
      <w:r>
        <w:rPr>
          <w:rFonts w:hint="eastAsia"/>
          <w:sz w:val="24"/>
        </w:rPr>
        <w:t>10</w:t>
      </w:r>
    </w:p>
    <w:p w14:paraId="6127C3B7">
      <w:pPr>
        <w:pStyle w:val="15"/>
        <w:adjustRightInd w:val="0"/>
        <w:snapToGrid w:val="0"/>
        <w:spacing w:line="440" w:lineRule="exact"/>
        <w:jc w:val="left"/>
        <w:rPr>
          <w:sz w:val="24"/>
        </w:rPr>
      </w:pPr>
      <w:r>
        <w:rPr>
          <w:rFonts w:hint="eastAsia"/>
          <w:sz w:val="24"/>
        </w:rPr>
        <w:t>七、“三公”经费财政拨款支出决算情况说明</w:t>
      </w:r>
      <w:r>
        <w:rPr>
          <w:rFonts w:hint="eastAsia"/>
          <w:sz w:val="24"/>
        </w:rPr>
        <w:tab/>
      </w:r>
      <w:r>
        <w:rPr>
          <w:rFonts w:hint="eastAsia"/>
          <w:sz w:val="24"/>
        </w:rPr>
        <w:t>11</w:t>
      </w:r>
    </w:p>
    <w:p w14:paraId="149FDC7B">
      <w:pPr>
        <w:pStyle w:val="15"/>
        <w:adjustRightInd w:val="0"/>
        <w:snapToGrid w:val="0"/>
        <w:spacing w:line="440" w:lineRule="exact"/>
        <w:jc w:val="left"/>
        <w:rPr>
          <w:sz w:val="24"/>
        </w:rPr>
      </w:pPr>
      <w:r>
        <w:rPr>
          <w:rFonts w:hint="eastAsia"/>
          <w:sz w:val="24"/>
        </w:rPr>
        <w:t>八、政府性基金预算支出决算情况说明</w:t>
      </w:r>
      <w:r>
        <w:rPr>
          <w:rFonts w:hint="eastAsia"/>
          <w:sz w:val="24"/>
        </w:rPr>
        <w:tab/>
      </w:r>
      <w:r>
        <w:rPr>
          <w:sz w:val="24"/>
        </w:rPr>
        <w:t>1</w:t>
      </w:r>
      <w:r>
        <w:rPr>
          <w:rFonts w:hint="eastAsia"/>
          <w:sz w:val="24"/>
        </w:rPr>
        <w:t>2</w:t>
      </w:r>
    </w:p>
    <w:p w14:paraId="78E866D5">
      <w:pPr>
        <w:pStyle w:val="15"/>
        <w:adjustRightInd w:val="0"/>
        <w:snapToGrid w:val="0"/>
        <w:spacing w:line="440" w:lineRule="exact"/>
        <w:jc w:val="left"/>
        <w:rPr>
          <w:sz w:val="24"/>
        </w:rPr>
      </w:pPr>
      <w:r>
        <w:rPr>
          <w:rFonts w:hint="eastAsia"/>
          <w:sz w:val="24"/>
        </w:rPr>
        <w:t>九、国有资本经营预算支出决算情况说明</w:t>
      </w:r>
      <w:r>
        <w:rPr>
          <w:rFonts w:hint="eastAsia"/>
          <w:sz w:val="24"/>
        </w:rPr>
        <w:tab/>
      </w:r>
      <w:r>
        <w:rPr>
          <w:sz w:val="24"/>
        </w:rPr>
        <w:t>1</w:t>
      </w:r>
      <w:r>
        <w:rPr>
          <w:rFonts w:hint="eastAsia"/>
          <w:sz w:val="24"/>
        </w:rPr>
        <w:t>2</w:t>
      </w:r>
    </w:p>
    <w:p w14:paraId="5EA7EE3B">
      <w:pPr>
        <w:pStyle w:val="15"/>
        <w:adjustRightInd w:val="0"/>
        <w:snapToGrid w:val="0"/>
        <w:spacing w:line="440" w:lineRule="exact"/>
        <w:jc w:val="center"/>
        <w:rPr>
          <w:sz w:val="24"/>
        </w:rPr>
      </w:pPr>
      <w:r>
        <w:rPr>
          <w:rFonts w:hint="eastAsia"/>
          <w:sz w:val="24"/>
        </w:rPr>
        <w:t>十、其他重要事项的情况说明</w:t>
      </w:r>
      <w:r>
        <w:rPr>
          <w:rFonts w:hint="eastAsia"/>
          <w:sz w:val="24"/>
        </w:rPr>
        <w:tab/>
      </w:r>
      <w:r>
        <w:rPr>
          <w:sz w:val="24"/>
        </w:rPr>
        <w:t>1</w:t>
      </w:r>
      <w:r>
        <w:rPr>
          <w:rFonts w:hint="eastAsia"/>
          <w:sz w:val="24"/>
        </w:rPr>
        <w:t>3</w:t>
      </w:r>
    </w:p>
    <w:p w14:paraId="3C85BCF7">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rPr>
        <w:t>5</w:t>
      </w:r>
    </w:p>
    <w:p w14:paraId="75BB0DB4">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第四部分  附件</w:t>
      </w:r>
      <w:r>
        <w:rPr>
          <w:rFonts w:ascii="Times New Roman" w:hAnsi="Times New Roman" w:eastAsia="宋体"/>
          <w:sz w:val="24"/>
          <w:szCs w:val="24"/>
        </w:rPr>
        <w:tab/>
      </w:r>
      <w:r>
        <w:rPr>
          <w:rFonts w:hint="eastAsia" w:ascii="Times New Roman" w:hAnsi="Times New Roman" w:eastAsia="宋体"/>
          <w:sz w:val="24"/>
          <w:szCs w:val="24"/>
        </w:rPr>
        <w:t>18</w:t>
      </w:r>
    </w:p>
    <w:p w14:paraId="1504C502">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第五部分  附表</w:t>
      </w:r>
      <w:r>
        <w:rPr>
          <w:rFonts w:ascii="Times New Roman" w:hAnsi="Times New Roman" w:eastAsia="宋体"/>
          <w:sz w:val="24"/>
          <w:szCs w:val="24"/>
        </w:rPr>
        <w:tab/>
      </w:r>
    </w:p>
    <w:p w14:paraId="2D79BF9C">
      <w:pPr>
        <w:pStyle w:val="15"/>
        <w:adjustRightInd w:val="0"/>
        <w:snapToGrid w:val="0"/>
        <w:spacing w:line="440" w:lineRule="exact"/>
        <w:jc w:val="left"/>
        <w:rPr>
          <w:sz w:val="24"/>
        </w:rPr>
      </w:pPr>
      <w:r>
        <w:rPr>
          <w:rFonts w:hint="eastAsia"/>
          <w:sz w:val="24"/>
        </w:rPr>
        <w:t>一、收入支出决算总表</w:t>
      </w:r>
      <w:r>
        <w:rPr>
          <w:sz w:val="24"/>
        </w:rPr>
        <w:tab/>
      </w:r>
      <w:r>
        <w:rPr>
          <w:rFonts w:hint="eastAsia"/>
          <w:sz w:val="24"/>
        </w:rPr>
        <w:t>22</w:t>
      </w:r>
    </w:p>
    <w:p w14:paraId="6BF9705B">
      <w:pPr>
        <w:pStyle w:val="15"/>
        <w:adjustRightInd w:val="0"/>
        <w:snapToGrid w:val="0"/>
        <w:spacing w:line="440" w:lineRule="exact"/>
        <w:jc w:val="left"/>
        <w:rPr>
          <w:sz w:val="24"/>
        </w:rPr>
      </w:pPr>
      <w:r>
        <w:rPr>
          <w:rFonts w:hint="eastAsia"/>
          <w:sz w:val="24"/>
        </w:rPr>
        <w:t>二、收入决算表</w:t>
      </w:r>
      <w:r>
        <w:rPr>
          <w:sz w:val="24"/>
        </w:rPr>
        <w:tab/>
      </w:r>
      <w:r>
        <w:rPr>
          <w:rFonts w:hint="eastAsia"/>
          <w:sz w:val="24"/>
        </w:rPr>
        <w:t>22</w:t>
      </w:r>
    </w:p>
    <w:p w14:paraId="0D46FD65">
      <w:pPr>
        <w:pStyle w:val="15"/>
        <w:adjustRightInd w:val="0"/>
        <w:snapToGrid w:val="0"/>
        <w:spacing w:line="440" w:lineRule="exact"/>
        <w:jc w:val="left"/>
        <w:rPr>
          <w:sz w:val="24"/>
        </w:rPr>
      </w:pPr>
      <w:r>
        <w:rPr>
          <w:rFonts w:hint="eastAsia"/>
          <w:sz w:val="24"/>
        </w:rPr>
        <w:t>三、支出决算表</w:t>
      </w:r>
      <w:r>
        <w:rPr>
          <w:sz w:val="24"/>
        </w:rPr>
        <w:tab/>
      </w:r>
      <w:r>
        <w:rPr>
          <w:rFonts w:hint="eastAsia"/>
          <w:sz w:val="24"/>
        </w:rPr>
        <w:t>22</w:t>
      </w:r>
    </w:p>
    <w:p w14:paraId="44817668">
      <w:pPr>
        <w:pStyle w:val="15"/>
        <w:adjustRightInd w:val="0"/>
        <w:snapToGrid w:val="0"/>
        <w:spacing w:line="440" w:lineRule="exact"/>
        <w:jc w:val="left"/>
        <w:rPr>
          <w:sz w:val="24"/>
        </w:rPr>
      </w:pPr>
      <w:r>
        <w:rPr>
          <w:rFonts w:hint="eastAsia"/>
          <w:sz w:val="24"/>
        </w:rPr>
        <w:t>四、财政拨款收入支出决算总表</w:t>
      </w:r>
      <w:r>
        <w:rPr>
          <w:sz w:val="24"/>
        </w:rPr>
        <w:tab/>
      </w:r>
      <w:r>
        <w:rPr>
          <w:rFonts w:hint="eastAsia"/>
          <w:sz w:val="24"/>
        </w:rPr>
        <w:t>22</w:t>
      </w:r>
    </w:p>
    <w:p w14:paraId="22600844">
      <w:pPr>
        <w:pStyle w:val="15"/>
        <w:adjustRightInd w:val="0"/>
        <w:snapToGrid w:val="0"/>
        <w:spacing w:line="440" w:lineRule="exact"/>
        <w:jc w:val="left"/>
        <w:rPr>
          <w:sz w:val="24"/>
        </w:rPr>
      </w:pPr>
      <w:r>
        <w:rPr>
          <w:rFonts w:hint="eastAsia"/>
          <w:sz w:val="24"/>
        </w:rPr>
        <w:t>五、财政拨款支出决算明细表</w:t>
      </w:r>
      <w:r>
        <w:rPr>
          <w:sz w:val="24"/>
        </w:rPr>
        <w:tab/>
      </w:r>
      <w:r>
        <w:rPr>
          <w:rFonts w:hint="eastAsia"/>
          <w:sz w:val="24"/>
        </w:rPr>
        <w:t>22</w:t>
      </w:r>
    </w:p>
    <w:p w14:paraId="0A3FD350">
      <w:pPr>
        <w:pStyle w:val="15"/>
        <w:adjustRightInd w:val="0"/>
        <w:snapToGrid w:val="0"/>
        <w:spacing w:line="440" w:lineRule="exact"/>
        <w:jc w:val="left"/>
        <w:rPr>
          <w:sz w:val="24"/>
        </w:rPr>
      </w:pPr>
      <w:r>
        <w:rPr>
          <w:rFonts w:hint="eastAsia"/>
          <w:sz w:val="24"/>
        </w:rPr>
        <w:t>六、一般公共预算财政拨款支出决算表</w:t>
      </w:r>
      <w:r>
        <w:rPr>
          <w:sz w:val="24"/>
        </w:rPr>
        <w:tab/>
      </w:r>
      <w:r>
        <w:rPr>
          <w:rFonts w:hint="eastAsia"/>
          <w:sz w:val="24"/>
        </w:rPr>
        <w:t>22</w:t>
      </w:r>
    </w:p>
    <w:p w14:paraId="419591C8">
      <w:pPr>
        <w:pStyle w:val="15"/>
        <w:adjustRightInd w:val="0"/>
        <w:snapToGrid w:val="0"/>
        <w:spacing w:line="440" w:lineRule="exact"/>
        <w:jc w:val="left"/>
        <w:rPr>
          <w:sz w:val="24"/>
        </w:rPr>
      </w:pPr>
      <w:r>
        <w:rPr>
          <w:rFonts w:hint="eastAsia"/>
          <w:sz w:val="24"/>
        </w:rPr>
        <w:t>七、一般公共预算财政拨款支出决算明细表</w:t>
      </w:r>
      <w:r>
        <w:rPr>
          <w:sz w:val="24"/>
        </w:rPr>
        <w:tab/>
      </w:r>
      <w:r>
        <w:rPr>
          <w:rFonts w:hint="eastAsia"/>
          <w:sz w:val="24"/>
        </w:rPr>
        <w:t>22</w:t>
      </w:r>
    </w:p>
    <w:p w14:paraId="291FA509">
      <w:pPr>
        <w:pStyle w:val="15"/>
        <w:adjustRightInd w:val="0"/>
        <w:snapToGrid w:val="0"/>
        <w:spacing w:line="440" w:lineRule="exact"/>
        <w:jc w:val="left"/>
        <w:rPr>
          <w:sz w:val="24"/>
        </w:rPr>
      </w:pPr>
      <w:r>
        <w:rPr>
          <w:rFonts w:hint="eastAsia"/>
          <w:sz w:val="24"/>
        </w:rPr>
        <w:t>八、一般公共预算财政拨款基本支出决算表</w:t>
      </w:r>
      <w:r>
        <w:rPr>
          <w:sz w:val="24"/>
        </w:rPr>
        <w:tab/>
      </w:r>
      <w:r>
        <w:rPr>
          <w:rFonts w:hint="eastAsia"/>
          <w:sz w:val="24"/>
        </w:rPr>
        <w:t>22</w:t>
      </w:r>
    </w:p>
    <w:p w14:paraId="47C394A5">
      <w:pPr>
        <w:pStyle w:val="15"/>
        <w:adjustRightInd w:val="0"/>
        <w:snapToGrid w:val="0"/>
        <w:spacing w:line="440" w:lineRule="exact"/>
        <w:jc w:val="left"/>
        <w:rPr>
          <w:sz w:val="24"/>
        </w:rPr>
      </w:pPr>
      <w:r>
        <w:rPr>
          <w:rFonts w:hint="eastAsia"/>
          <w:sz w:val="24"/>
        </w:rPr>
        <w:t>九、一般公共预算财政拨款项目支出决算表</w:t>
      </w:r>
      <w:r>
        <w:rPr>
          <w:sz w:val="24"/>
        </w:rPr>
        <w:tab/>
      </w:r>
      <w:r>
        <w:rPr>
          <w:rFonts w:hint="eastAsia"/>
          <w:sz w:val="24"/>
        </w:rPr>
        <w:t>22</w:t>
      </w:r>
    </w:p>
    <w:p w14:paraId="54C8BE38">
      <w:pPr>
        <w:pStyle w:val="15"/>
        <w:adjustRightInd w:val="0"/>
        <w:snapToGrid w:val="0"/>
        <w:spacing w:line="440" w:lineRule="exact"/>
        <w:jc w:val="left"/>
        <w:rPr>
          <w:sz w:val="24"/>
        </w:rPr>
      </w:pPr>
      <w:r>
        <w:rPr>
          <w:rFonts w:hint="eastAsia"/>
          <w:sz w:val="24"/>
        </w:rPr>
        <w:t>十、一般公共预算财政拨款“三公”经费支出决算表</w:t>
      </w:r>
      <w:r>
        <w:rPr>
          <w:sz w:val="24"/>
        </w:rPr>
        <w:tab/>
      </w:r>
      <w:r>
        <w:rPr>
          <w:rFonts w:hint="eastAsia"/>
          <w:sz w:val="24"/>
        </w:rPr>
        <w:t>22</w:t>
      </w:r>
    </w:p>
    <w:p w14:paraId="2D779113">
      <w:pPr>
        <w:pStyle w:val="15"/>
        <w:adjustRightInd w:val="0"/>
        <w:snapToGrid w:val="0"/>
        <w:spacing w:line="440" w:lineRule="exact"/>
        <w:jc w:val="left"/>
        <w:rPr>
          <w:sz w:val="24"/>
        </w:rPr>
      </w:pPr>
      <w:r>
        <w:rPr>
          <w:rFonts w:hint="eastAsia"/>
          <w:sz w:val="24"/>
        </w:rPr>
        <w:t>十一、政府性基金预算财政拨款收入支出决算表</w:t>
      </w:r>
      <w:r>
        <w:rPr>
          <w:sz w:val="24"/>
        </w:rPr>
        <w:tab/>
      </w:r>
      <w:r>
        <w:rPr>
          <w:rFonts w:hint="eastAsia"/>
          <w:sz w:val="24"/>
        </w:rPr>
        <w:t>22</w:t>
      </w:r>
    </w:p>
    <w:p w14:paraId="461A1322">
      <w:pPr>
        <w:pStyle w:val="15"/>
        <w:adjustRightInd w:val="0"/>
        <w:snapToGrid w:val="0"/>
        <w:spacing w:line="440" w:lineRule="exact"/>
        <w:jc w:val="left"/>
        <w:rPr>
          <w:sz w:val="24"/>
        </w:rPr>
      </w:pPr>
      <w:r>
        <w:rPr>
          <w:rFonts w:hint="eastAsia"/>
          <w:sz w:val="24"/>
        </w:rPr>
        <w:t>十二、政府性基金预算财政拨款“三公”经费支出决算表</w:t>
      </w:r>
      <w:r>
        <w:rPr>
          <w:sz w:val="24"/>
        </w:rPr>
        <w:tab/>
      </w:r>
      <w:r>
        <w:rPr>
          <w:rFonts w:hint="eastAsia"/>
          <w:sz w:val="24"/>
        </w:rPr>
        <w:t>22</w:t>
      </w:r>
    </w:p>
    <w:p w14:paraId="0410E546">
      <w:pPr>
        <w:pStyle w:val="15"/>
        <w:adjustRightInd w:val="0"/>
        <w:snapToGrid w:val="0"/>
        <w:spacing w:line="440" w:lineRule="exact"/>
        <w:jc w:val="left"/>
        <w:rPr>
          <w:sz w:val="24"/>
        </w:rPr>
      </w:pPr>
      <w:r>
        <w:rPr>
          <w:rFonts w:hint="eastAsia"/>
          <w:sz w:val="24"/>
        </w:rPr>
        <w:t>十三、国有资本经营预算财政拨款收入支出决算表</w:t>
      </w:r>
      <w:r>
        <w:rPr>
          <w:sz w:val="24"/>
        </w:rPr>
        <w:tab/>
      </w:r>
      <w:r>
        <w:rPr>
          <w:rFonts w:hint="eastAsia"/>
          <w:sz w:val="24"/>
        </w:rPr>
        <w:t>22</w:t>
      </w:r>
    </w:p>
    <w:p w14:paraId="6816B610">
      <w:pPr>
        <w:pStyle w:val="15"/>
        <w:adjustRightInd w:val="0"/>
        <w:snapToGrid w:val="0"/>
        <w:spacing w:line="440" w:lineRule="exact"/>
        <w:jc w:val="left"/>
        <w:rPr>
          <w:sz w:val="24"/>
        </w:rPr>
      </w:pPr>
      <w:r>
        <w:rPr>
          <w:rFonts w:hint="eastAsia"/>
          <w:sz w:val="24"/>
        </w:rPr>
        <w:t>十四、国有资本经营预算财政拨款支出决算表</w:t>
      </w:r>
      <w:r>
        <w:rPr>
          <w:sz w:val="24"/>
        </w:rPr>
        <w:tab/>
      </w:r>
      <w:r>
        <w:rPr>
          <w:rFonts w:hint="eastAsia"/>
          <w:sz w:val="24"/>
        </w:rPr>
        <w:t>22</w:t>
      </w:r>
    </w:p>
    <w:p w14:paraId="3EBC4763">
      <w:pPr>
        <w:pStyle w:val="13"/>
        <w:spacing w:before="0" w:line="440" w:lineRule="exact"/>
      </w:pPr>
      <w:r>
        <w:fldChar w:fldCharType="end"/>
      </w:r>
    </w:p>
    <w:p w14:paraId="07CC7113">
      <w:pPr>
        <w:widowControl/>
        <w:jc w:val="left"/>
        <w:rPr>
          <w:rFonts w:ascii="仿宋" w:hAnsi="仿宋" w:eastAsia="仿宋"/>
          <w:bCs/>
          <w:kern w:val="44"/>
          <w:sz w:val="24"/>
        </w:rPr>
      </w:pPr>
      <w:r>
        <w:rPr>
          <w:rFonts w:ascii="仿宋" w:hAnsi="仿宋" w:eastAsia="仿宋"/>
          <w:b/>
          <w:sz w:val="24"/>
        </w:rPr>
        <w:br w:type="page"/>
      </w:r>
    </w:p>
    <w:p w14:paraId="7FAABBD4">
      <w:pPr>
        <w:pStyle w:val="3"/>
        <w:spacing w:before="0" w:after="0" w:line="240" w:lineRule="auto"/>
        <w:jc w:val="center"/>
        <w:rPr>
          <w:rStyle w:val="36"/>
          <w:rFonts w:ascii="黑体" w:hAnsi="黑体" w:eastAsia="黑体"/>
          <w:b/>
          <w:bCs w:val="0"/>
        </w:rPr>
      </w:pPr>
      <w:bookmarkStart w:id="14" w:name="_Toc23975"/>
      <w:r>
        <w:rPr>
          <w:rFonts w:hint="eastAsia" w:ascii="黑体" w:hAnsi="黑体" w:eastAsia="黑体"/>
          <w:b w:val="0"/>
        </w:rPr>
        <w:t xml:space="preserve">第一部分 </w:t>
      </w:r>
      <w:r>
        <w:rPr>
          <w:rStyle w:val="36"/>
          <w:rFonts w:hint="eastAsia" w:ascii="黑体" w:hAnsi="黑体" w:eastAsia="黑体"/>
          <w:b w:val="0"/>
          <w:bCs w:val="0"/>
        </w:rPr>
        <w:t>部门概况</w:t>
      </w:r>
      <w:bookmarkEnd w:id="12"/>
      <w:bookmarkEnd w:id="13"/>
      <w:bookmarkEnd w:id="14"/>
    </w:p>
    <w:p w14:paraId="116B725B">
      <w:pPr>
        <w:pStyle w:val="4"/>
        <w:spacing w:before="0" w:after="0" w:line="240" w:lineRule="auto"/>
        <w:ind w:firstLine="640" w:firstLineChars="200"/>
        <w:rPr>
          <w:rStyle w:val="37"/>
          <w:rFonts w:ascii="仿宋" w:hAnsi="仿宋" w:eastAsia="仿宋"/>
          <w:b w:val="0"/>
          <w:bCs w:val="0"/>
        </w:rPr>
      </w:pPr>
      <w:bookmarkStart w:id="15" w:name="_Toc15396600"/>
      <w:bookmarkStart w:id="16" w:name="_Toc30806"/>
      <w:bookmarkStart w:id="17" w:name="_Toc15377197"/>
      <w:r>
        <w:rPr>
          <w:rFonts w:hint="eastAsia" w:ascii="黑体" w:hAnsi="黑体" w:eastAsia="黑体"/>
          <w:b w:val="0"/>
          <w:color w:val="000000"/>
        </w:rPr>
        <w:t>一、基</w:t>
      </w:r>
      <w:r>
        <w:rPr>
          <w:rStyle w:val="37"/>
          <w:rFonts w:hint="eastAsia" w:ascii="黑体" w:hAnsi="黑体" w:eastAsia="黑体"/>
          <w:b w:val="0"/>
          <w:bCs w:val="0"/>
        </w:rPr>
        <w:t>本职能及主要工作</w:t>
      </w:r>
      <w:bookmarkEnd w:id="15"/>
      <w:bookmarkEnd w:id="16"/>
      <w:bookmarkEnd w:id="17"/>
    </w:p>
    <w:p w14:paraId="0B3806F8">
      <w:pPr>
        <w:pStyle w:val="2"/>
        <w:adjustRightInd w:val="0"/>
        <w:spacing w:beforeLines="0" w:line="500" w:lineRule="exact"/>
        <w:ind w:firstLine="643" w:firstLineChars="200"/>
        <w:outlineLvl w:val="2"/>
        <w:rPr>
          <w:rFonts w:ascii="仿宋" w:hAnsi="仿宋" w:eastAsia="仿宋"/>
          <w:b/>
          <w:kern w:val="2"/>
          <w:sz w:val="32"/>
          <w:szCs w:val="32"/>
        </w:rPr>
      </w:pPr>
      <w:bookmarkStart w:id="18" w:name="_Toc17196"/>
      <w:bookmarkStart w:id="19" w:name="_Toc15377199"/>
      <w:bookmarkStart w:id="20" w:name="_Toc15378446"/>
      <w:r>
        <w:rPr>
          <w:rFonts w:hint="eastAsia" w:ascii="仿宋" w:hAnsi="仿宋" w:eastAsia="仿宋"/>
          <w:b/>
          <w:kern w:val="2"/>
          <w:sz w:val="32"/>
          <w:szCs w:val="32"/>
        </w:rPr>
        <w:t>（一）基本</w:t>
      </w:r>
      <w:r>
        <w:rPr>
          <w:rFonts w:ascii="仿宋" w:hAnsi="仿宋" w:eastAsia="仿宋"/>
          <w:b/>
          <w:kern w:val="2"/>
          <w:sz w:val="32"/>
          <w:szCs w:val="32"/>
        </w:rPr>
        <w:t>职能</w:t>
      </w:r>
    </w:p>
    <w:p w14:paraId="39FB5BEB">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5BF2143B">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59FD325D">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3.负责配合政府依法动员、组织适龄儿童、少年入学，严格控制学生辍学，依法保证适龄儿童、少年接受九年义务教育。</w:t>
      </w:r>
    </w:p>
    <w:p w14:paraId="59998888">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7A993675">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62913A9D">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1EDD3B09">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7.负责创建绿色校园、文明校园和平安校园。</w:t>
      </w:r>
    </w:p>
    <w:p w14:paraId="637C5D15">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34615C0B">
      <w:pPr>
        <w:ind w:firstLine="640" w:firstLineChars="200"/>
        <w:rPr>
          <w:rFonts w:ascii="仿宋" w:hAnsi="仿宋" w:eastAsia="仿宋"/>
          <w:sz w:val="32"/>
          <w:szCs w:val="32"/>
        </w:rPr>
      </w:pPr>
      <w:r>
        <w:rPr>
          <w:rFonts w:hint="eastAsia" w:ascii="仿宋" w:hAnsi="仿宋" w:eastAsia="仿宋"/>
          <w:sz w:val="32"/>
          <w:szCs w:val="32"/>
        </w:rPr>
        <w:t>9.承办上级交办的其他事项。</w:t>
      </w:r>
    </w:p>
    <w:p w14:paraId="0A4CCA19">
      <w:pPr>
        <w:pStyle w:val="2"/>
        <w:adjustRightInd w:val="0"/>
        <w:spacing w:beforeLines="0"/>
        <w:ind w:firstLine="883" w:firstLineChars="200"/>
        <w:jc w:val="left"/>
        <w:outlineLvl w:val="2"/>
        <w:rPr>
          <w:rFonts w:hAnsi="仿宋_GB2312" w:cs="仿宋_GB2312"/>
          <w:b/>
          <w:color w:val="000000"/>
          <w:szCs w:val="30"/>
        </w:rPr>
      </w:pPr>
      <w:r>
        <w:rPr>
          <w:rFonts w:hint="eastAsia" w:ascii="黑体" w:hAnsi="黑体" w:eastAsia="黑体" w:cs="仿宋_GB2312"/>
          <w:b/>
          <w:color w:val="000000"/>
          <w:sz w:val="44"/>
          <w:szCs w:val="44"/>
        </w:rPr>
        <w:t>（二）</w:t>
      </w:r>
      <w:r>
        <w:rPr>
          <w:rFonts w:hint="eastAsia" w:hAnsi="仿宋_GB2312" w:cs="仿宋_GB2312"/>
          <w:b/>
          <w:color w:val="000000"/>
          <w:szCs w:val="30"/>
        </w:rPr>
        <w:t>、2020年重点工作完成情况。</w:t>
      </w:r>
      <w:bookmarkEnd w:id="18"/>
      <w:bookmarkEnd w:id="19"/>
      <w:bookmarkEnd w:id="20"/>
    </w:p>
    <w:p w14:paraId="73BFA672">
      <w:pPr>
        <w:spacing w:line="500" w:lineRule="exact"/>
        <w:ind w:left="283" w:leftChars="135" w:firstLine="161" w:firstLineChars="50"/>
        <w:rPr>
          <w:rFonts w:ascii="仿宋" w:hAnsi="仿宋" w:eastAsia="仿宋" w:cs="仿宋"/>
          <w:sz w:val="32"/>
          <w:szCs w:val="32"/>
        </w:rPr>
      </w:pPr>
      <w:bookmarkStart w:id="21" w:name="_Toc15377200"/>
      <w:bookmarkStart w:id="22" w:name="_Toc15396601"/>
      <w:bookmarkStart w:id="23" w:name="_Toc25700"/>
      <w:r>
        <w:rPr>
          <w:rFonts w:hint="eastAsia" w:ascii="黑体" w:hAnsi="黑体" w:eastAsia="黑体" w:cs="黑体"/>
          <w:b/>
          <w:sz w:val="32"/>
          <w:szCs w:val="32"/>
        </w:rPr>
        <w:t>1</w:t>
      </w:r>
      <w:r>
        <w:rPr>
          <w:rFonts w:hint="eastAsia" w:ascii="黑体" w:hAnsi="黑体" w:eastAsia="黑体" w:cs="黑体"/>
          <w:sz w:val="32"/>
          <w:szCs w:val="32"/>
        </w:rPr>
        <w:t>、抓党建，强化思想引领</w:t>
      </w:r>
    </w:p>
    <w:p w14:paraId="68A218C3">
      <w:pPr>
        <w:spacing w:line="500" w:lineRule="exact"/>
        <w:ind w:left="635"/>
        <w:rPr>
          <w:rFonts w:ascii="仿宋" w:hAnsi="仿宋" w:eastAsia="仿宋" w:cs="仿宋"/>
          <w:sz w:val="32"/>
          <w:szCs w:val="32"/>
        </w:rPr>
      </w:pPr>
      <w:r>
        <w:rPr>
          <w:rFonts w:hint="eastAsia" w:ascii="仿宋" w:hAnsi="仿宋" w:eastAsia="仿宋" w:cs="仿宋"/>
          <w:sz w:val="32"/>
          <w:szCs w:val="32"/>
        </w:rPr>
        <w:t>本年度，我校持续探索和实践党组织领导下的校长负责</w:t>
      </w:r>
    </w:p>
    <w:p w14:paraId="560A5B07">
      <w:pPr>
        <w:spacing w:line="500" w:lineRule="exact"/>
        <w:rPr>
          <w:rFonts w:ascii="仿宋" w:hAnsi="仿宋" w:eastAsia="仿宋" w:cs="仿宋"/>
          <w:sz w:val="32"/>
          <w:szCs w:val="32"/>
        </w:rPr>
      </w:pPr>
      <w:r>
        <w:rPr>
          <w:rFonts w:hint="eastAsia" w:ascii="仿宋" w:hAnsi="仿宋" w:eastAsia="仿宋" w:cs="仿宋"/>
          <w:sz w:val="32"/>
          <w:szCs w:val="32"/>
        </w:rPr>
        <w:t>制，充分发挥党组织在办学治校中的旗帜引领和重大决策中的主导作用，搞好教育教学，夯实基层组织建设。</w:t>
      </w:r>
    </w:p>
    <w:p w14:paraId="7D2A0507">
      <w:pPr>
        <w:numPr>
          <w:ilvl w:val="0"/>
          <w:numId w:val="1"/>
        </w:numPr>
        <w:spacing w:line="500" w:lineRule="exact"/>
        <w:rPr>
          <w:rFonts w:ascii="楷体" w:hAnsi="楷体" w:eastAsia="楷体" w:cs="楷体"/>
          <w:sz w:val="32"/>
          <w:szCs w:val="32"/>
        </w:rPr>
      </w:pPr>
      <w:r>
        <w:rPr>
          <w:rFonts w:hint="eastAsia" w:ascii="楷体" w:hAnsi="楷体" w:eastAsia="楷体" w:cs="楷体"/>
          <w:sz w:val="32"/>
          <w:szCs w:val="32"/>
        </w:rPr>
        <w:t>加强学习固阵地</w:t>
      </w:r>
    </w:p>
    <w:p w14:paraId="0ACC605C">
      <w:pPr>
        <w:spacing w:line="500" w:lineRule="exact"/>
        <w:ind w:left="640"/>
        <w:rPr>
          <w:rFonts w:ascii="仿宋" w:hAnsi="仿宋" w:eastAsia="仿宋" w:cs="仿宋"/>
          <w:sz w:val="32"/>
          <w:szCs w:val="32"/>
        </w:rPr>
      </w:pPr>
      <w:r>
        <w:rPr>
          <w:rFonts w:hint="eastAsia" w:ascii="仿宋" w:hAnsi="仿宋" w:eastAsia="仿宋" w:cs="仿宋"/>
          <w:sz w:val="32"/>
          <w:szCs w:val="32"/>
        </w:rPr>
        <w:t>学校支部把抓班子成员、全体师生的思想政治工作放在</w:t>
      </w:r>
    </w:p>
    <w:p w14:paraId="0E4BFEB4">
      <w:pPr>
        <w:spacing w:line="500" w:lineRule="exact"/>
        <w:rPr>
          <w:rFonts w:ascii="仿宋" w:hAnsi="仿宋" w:eastAsia="仿宋" w:cs="仿宋"/>
          <w:sz w:val="32"/>
          <w:szCs w:val="32"/>
        </w:rPr>
      </w:pPr>
      <w:r>
        <w:rPr>
          <w:rFonts w:hint="eastAsia" w:ascii="仿宋" w:hAnsi="仿宋" w:eastAsia="仿宋" w:cs="仿宋"/>
          <w:sz w:val="32"/>
          <w:szCs w:val="32"/>
        </w:rPr>
        <w:t>首位，把握航向、建好阵地。通过请领导讲思政课，老教师、老党员、党组织书记讲党课和每周例会等进行集中学、领学，学习习近平新时代中国特色社会主义</w:t>
      </w:r>
      <w:r>
        <w:rPr>
          <w:rFonts w:hint="eastAsia" w:ascii="仿宋" w:hAnsi="仿宋" w:eastAsia="仿宋" w:cs="仿宋"/>
          <w:sz w:val="32"/>
          <w:szCs w:val="32"/>
          <w:lang w:val="en-US" w:eastAsia="zh-CN"/>
        </w:rPr>
        <w:t>思想</w:t>
      </w:r>
      <w:r>
        <w:rPr>
          <w:rFonts w:hint="eastAsia" w:ascii="仿宋" w:hAnsi="仿宋" w:eastAsia="仿宋" w:cs="仿宋"/>
          <w:sz w:val="32"/>
          <w:szCs w:val="32"/>
        </w:rPr>
        <w:t>和有关教育的重要论述，学习党章、党的纪律处分条例，学习党史、国史、昭化党史故事，学习七一讲话和党的决议，并与个人自学相结合，有计划、有笔记、有心得，使全体教师坚定信念，守好初心，并用个人过硬的政治素质去教育影响学生。</w:t>
      </w:r>
    </w:p>
    <w:p w14:paraId="6E0723C3">
      <w:pPr>
        <w:spacing w:line="500" w:lineRule="exact"/>
        <w:ind w:firstLine="640"/>
        <w:rPr>
          <w:rFonts w:ascii="仿宋" w:hAnsi="仿宋" w:eastAsia="仿宋" w:cs="仿宋"/>
          <w:sz w:val="32"/>
          <w:szCs w:val="32"/>
        </w:rPr>
      </w:pPr>
      <w:r>
        <w:rPr>
          <w:rFonts w:hint="eastAsia" w:ascii="仿宋" w:hAnsi="仿宋" w:eastAsia="仿宋" w:cs="仿宋"/>
          <w:sz w:val="32"/>
          <w:szCs w:val="32"/>
        </w:rPr>
        <w:t>我们举行了“巾帼心向党，建功新时代”妇女节主题活动，“红心向党庆百年，快乐成长逐梦想”中国共产党成立一百周年庆祝系列活动，到太公红军山开展了“学党史、感党恩、跟党走”红色星期五主题党日活动，一二</w:t>
      </w:r>
      <w:r>
        <w:rPr>
          <w:rFonts w:hint="eastAsia" w:ascii="宋体" w:hAnsi="宋体" w:cs="宋体"/>
          <w:sz w:val="32"/>
          <w:szCs w:val="32"/>
        </w:rPr>
        <w:t>·</w:t>
      </w:r>
      <w:r>
        <w:rPr>
          <w:rFonts w:hint="eastAsia" w:ascii="仿宋" w:hAnsi="仿宋" w:eastAsia="仿宋" w:cs="仿宋"/>
          <w:sz w:val="32"/>
          <w:szCs w:val="32"/>
        </w:rPr>
        <w:t xml:space="preserve">九纪念活动。通过活动，教育师生爱党爱国、感恩奋进、传承红色基因，加强了党组织的凝聚力、战斗力，入党积极分子范仕芬如期成为预备党员。 </w:t>
      </w:r>
    </w:p>
    <w:p w14:paraId="47548004">
      <w:pPr>
        <w:numPr>
          <w:ilvl w:val="0"/>
          <w:numId w:val="1"/>
        </w:numPr>
        <w:spacing w:line="500" w:lineRule="exact"/>
        <w:rPr>
          <w:rFonts w:ascii="楷体" w:hAnsi="楷体" w:eastAsia="楷体" w:cs="楷体"/>
          <w:sz w:val="32"/>
          <w:szCs w:val="32"/>
        </w:rPr>
      </w:pPr>
      <w:r>
        <w:rPr>
          <w:rFonts w:hint="eastAsia" w:ascii="楷体" w:hAnsi="楷体" w:eastAsia="楷体" w:cs="楷体"/>
          <w:sz w:val="32"/>
          <w:szCs w:val="32"/>
        </w:rPr>
        <w:t>求实务本办实事</w:t>
      </w:r>
    </w:p>
    <w:p w14:paraId="7D56C945">
      <w:pPr>
        <w:spacing w:line="500" w:lineRule="exact"/>
        <w:ind w:left="640"/>
        <w:rPr>
          <w:rFonts w:ascii="仿宋" w:hAnsi="仿宋" w:eastAsia="仿宋" w:cs="仿宋"/>
          <w:sz w:val="32"/>
          <w:szCs w:val="32"/>
        </w:rPr>
      </w:pPr>
      <w:r>
        <w:rPr>
          <w:rFonts w:hint="eastAsia" w:ascii="仿宋" w:hAnsi="仿宋" w:eastAsia="仿宋" w:cs="仿宋"/>
          <w:sz w:val="32"/>
          <w:szCs w:val="32"/>
        </w:rPr>
        <w:t>我支部围绕教学抓党建，抓好党建促教学，把党史教育</w:t>
      </w:r>
    </w:p>
    <w:p w14:paraId="49498FD7">
      <w:pPr>
        <w:spacing w:line="500" w:lineRule="exact"/>
        <w:rPr>
          <w:rFonts w:ascii="仿宋" w:hAnsi="仿宋" w:eastAsia="仿宋" w:cs="仿宋"/>
          <w:sz w:val="32"/>
          <w:szCs w:val="32"/>
        </w:rPr>
      </w:pPr>
      <w:r>
        <w:rPr>
          <w:rFonts w:hint="eastAsia" w:ascii="仿宋" w:hAnsi="仿宋" w:eastAsia="仿宋" w:cs="仿宋"/>
          <w:sz w:val="32"/>
          <w:szCs w:val="32"/>
        </w:rPr>
        <w:t>与教育教学工作紧密结合。要求全体教师潜心育人，通过师生结对学业辅导、心理疏导、多渠道资助帮扶、千名教师访万家等各种途径关爱留守儿童、困境儿童，努力提升教学质量和育人成效，真正为民办实事。</w:t>
      </w:r>
    </w:p>
    <w:p w14:paraId="50961F65">
      <w:pPr>
        <w:numPr>
          <w:ilvl w:val="0"/>
          <w:numId w:val="1"/>
        </w:numPr>
        <w:spacing w:line="500" w:lineRule="exact"/>
        <w:rPr>
          <w:rFonts w:ascii="楷体" w:hAnsi="楷体" w:eastAsia="楷体" w:cs="楷体"/>
          <w:sz w:val="32"/>
          <w:szCs w:val="32"/>
        </w:rPr>
      </w:pPr>
      <w:r>
        <w:rPr>
          <w:rFonts w:hint="eastAsia" w:ascii="楷体" w:hAnsi="楷体" w:eastAsia="楷体" w:cs="楷体"/>
          <w:sz w:val="32"/>
          <w:szCs w:val="32"/>
        </w:rPr>
        <w:t>廉洁自律抓作风</w:t>
      </w:r>
    </w:p>
    <w:p w14:paraId="4A1220DC">
      <w:pPr>
        <w:ind w:firstLine="640"/>
        <w:rPr>
          <w:rFonts w:ascii="仿宋" w:hAnsi="仿宋" w:eastAsia="仿宋" w:cs="仿宋"/>
          <w:sz w:val="32"/>
          <w:szCs w:val="32"/>
        </w:rPr>
      </w:pPr>
      <w:r>
        <w:rPr>
          <w:rFonts w:hint="eastAsia" w:ascii="仿宋" w:hAnsi="仿宋" w:eastAsia="仿宋" w:cs="仿宋"/>
          <w:sz w:val="32"/>
          <w:szCs w:val="32"/>
        </w:rPr>
        <w:t>深入开展干部纪律作风整顿工作和“以案促改”工作，强化师德师风建设。一是加强学习和警示教育。组织全体教职工认真学习各级有关干部纪律作风整顿的文件和要求，以身边人、常见事加强警示教育。紧密结合教育教学工作，以问题为导向，以工作中的小问题为切入口，以自查和他人提、领导点等方式全面开展问题查摆，深入开展剖析，并在工作中立行立改、按期销号，并形成长效机制。</w:t>
      </w:r>
    </w:p>
    <w:p w14:paraId="43F92FC7">
      <w:pPr>
        <w:spacing w:line="500" w:lineRule="exact"/>
        <w:ind w:firstLine="640"/>
        <w:rPr>
          <w:rFonts w:ascii="仿宋" w:hAnsi="仿宋" w:eastAsia="仿宋" w:cs="仿宋"/>
          <w:sz w:val="32"/>
          <w:szCs w:val="32"/>
        </w:rPr>
      </w:pPr>
      <w:r>
        <w:rPr>
          <w:rFonts w:hint="eastAsia" w:ascii="仿宋" w:hAnsi="仿宋" w:eastAsia="仿宋" w:cs="仿宋"/>
          <w:sz w:val="32"/>
          <w:szCs w:val="32"/>
        </w:rPr>
        <w:t>个人以党组织书记的身份严格要求自己，遵规守纪，与师生同吃同作息，长期坚持以校为家，一心扑在工作上，率先垂范，充分发挥了模范带头作用。通过扎实开展干部纪律作风整顿和以案促改工作，明法纪、知敬畏，树起了严守底线、不越红线、远离法线的坚固屏障。</w:t>
      </w:r>
    </w:p>
    <w:p w14:paraId="4380878E">
      <w:pPr>
        <w:spacing w:line="500" w:lineRule="exact"/>
        <w:ind w:firstLine="640"/>
        <w:rPr>
          <w:rFonts w:ascii="黑体" w:hAnsi="黑体" w:eastAsia="黑体" w:cs="黑体"/>
          <w:sz w:val="32"/>
          <w:szCs w:val="32"/>
        </w:rPr>
      </w:pPr>
      <w:r>
        <w:rPr>
          <w:rFonts w:hint="eastAsia" w:ascii="仿宋" w:hAnsi="仿宋" w:eastAsia="仿宋" w:cs="仿宋"/>
          <w:b/>
          <w:sz w:val="32"/>
          <w:szCs w:val="32"/>
        </w:rPr>
        <w:t>2</w:t>
      </w:r>
      <w:r>
        <w:rPr>
          <w:rFonts w:ascii="仿宋" w:hAnsi="仿宋" w:eastAsia="仿宋" w:cs="仿宋"/>
          <w:sz w:val="32"/>
          <w:szCs w:val="32"/>
        </w:rPr>
        <w:t>、</w:t>
      </w:r>
      <w:r>
        <w:rPr>
          <w:rFonts w:hint="eastAsia" w:ascii="黑体" w:hAnsi="黑体" w:eastAsia="黑体" w:cs="黑体"/>
          <w:sz w:val="32"/>
          <w:szCs w:val="32"/>
        </w:rPr>
        <w:t>强内涵，坚持五育并举</w:t>
      </w:r>
    </w:p>
    <w:p w14:paraId="791C86AA">
      <w:pPr>
        <w:spacing w:line="500" w:lineRule="exact"/>
        <w:ind w:left="635"/>
        <w:rPr>
          <w:rFonts w:ascii="仿宋" w:hAnsi="仿宋" w:eastAsia="仿宋" w:cs="仿宋"/>
          <w:sz w:val="32"/>
          <w:szCs w:val="32"/>
        </w:rPr>
      </w:pPr>
      <w:r>
        <w:rPr>
          <w:rFonts w:hint="eastAsia" w:ascii="仿宋" w:hAnsi="仿宋" w:eastAsia="仿宋" w:cs="仿宋"/>
          <w:sz w:val="32"/>
          <w:szCs w:val="32"/>
        </w:rPr>
        <w:t>我校坚持内涵发展，全面加强德智体美劳等教育，努力</w:t>
      </w:r>
    </w:p>
    <w:p w14:paraId="445D8E4C">
      <w:pPr>
        <w:spacing w:line="500" w:lineRule="exact"/>
        <w:rPr>
          <w:rFonts w:ascii="仿宋" w:hAnsi="仿宋" w:eastAsia="仿宋" w:cs="仿宋"/>
          <w:sz w:val="32"/>
          <w:szCs w:val="32"/>
        </w:rPr>
      </w:pPr>
      <w:r>
        <w:rPr>
          <w:rFonts w:hint="eastAsia" w:ascii="仿宋" w:hAnsi="仿宋" w:eastAsia="仿宋" w:cs="仿宋"/>
          <w:sz w:val="32"/>
          <w:szCs w:val="32"/>
        </w:rPr>
        <w:t>促进学生全面发展，阳光成长。</w:t>
      </w:r>
    </w:p>
    <w:p w14:paraId="10225427">
      <w:pPr>
        <w:numPr>
          <w:ilvl w:val="0"/>
          <w:numId w:val="2"/>
        </w:numPr>
        <w:spacing w:line="500" w:lineRule="exact"/>
        <w:rPr>
          <w:rFonts w:ascii="楷体" w:hAnsi="楷体" w:eastAsia="楷体" w:cs="楷体"/>
          <w:sz w:val="32"/>
          <w:szCs w:val="32"/>
        </w:rPr>
      </w:pPr>
      <w:r>
        <w:rPr>
          <w:rFonts w:hint="eastAsia" w:ascii="楷体" w:hAnsi="楷体" w:eastAsia="楷体" w:cs="楷体"/>
          <w:sz w:val="32"/>
          <w:szCs w:val="32"/>
        </w:rPr>
        <w:t>努力提升课堂教学质量</w:t>
      </w:r>
    </w:p>
    <w:p w14:paraId="6EA613D8">
      <w:pPr>
        <w:spacing w:line="500" w:lineRule="exact"/>
        <w:ind w:left="640"/>
        <w:rPr>
          <w:rFonts w:ascii="仿宋" w:hAnsi="仿宋" w:eastAsia="仿宋" w:cs="仿宋"/>
          <w:sz w:val="32"/>
          <w:szCs w:val="32"/>
        </w:rPr>
      </w:pPr>
      <w:r>
        <w:rPr>
          <w:rFonts w:hint="eastAsia" w:ascii="仿宋" w:hAnsi="仿宋" w:eastAsia="仿宋" w:cs="仿宋"/>
          <w:sz w:val="32"/>
          <w:szCs w:val="32"/>
        </w:rPr>
        <w:t>我们始终以抓质量为主线，以教研教改促进教师专业成</w:t>
      </w:r>
    </w:p>
    <w:p w14:paraId="42F15544">
      <w:pPr>
        <w:spacing w:line="500" w:lineRule="exact"/>
        <w:rPr>
          <w:rFonts w:ascii="仿宋" w:hAnsi="仿宋" w:eastAsia="仿宋" w:cs="仿宋"/>
          <w:sz w:val="32"/>
          <w:szCs w:val="32"/>
        </w:rPr>
      </w:pPr>
      <w:r>
        <w:rPr>
          <w:rFonts w:hint="eastAsia" w:ascii="仿宋" w:hAnsi="仿宋" w:eastAsia="仿宋" w:cs="仿宋"/>
          <w:sz w:val="32"/>
          <w:szCs w:val="32"/>
        </w:rPr>
        <w:t>长，打造有效课堂教学模式，努力提升学业成绩。</w:t>
      </w:r>
    </w:p>
    <w:p w14:paraId="21144983">
      <w:pPr>
        <w:numPr>
          <w:ilvl w:val="0"/>
          <w:numId w:val="3"/>
        </w:numPr>
        <w:spacing w:line="500" w:lineRule="exact"/>
        <w:rPr>
          <w:rFonts w:ascii="仿宋" w:hAnsi="仿宋" w:eastAsia="仿宋" w:cs="仿宋"/>
          <w:sz w:val="32"/>
          <w:szCs w:val="32"/>
        </w:rPr>
      </w:pPr>
      <w:r>
        <w:rPr>
          <w:rFonts w:hint="eastAsia" w:ascii="仿宋" w:hAnsi="仿宋" w:eastAsia="仿宋" w:cs="仿宋"/>
          <w:sz w:val="32"/>
          <w:szCs w:val="32"/>
        </w:rPr>
        <w:t>整合资源，积极教研教改。</w:t>
      </w:r>
    </w:p>
    <w:p w14:paraId="6983E138">
      <w:pPr>
        <w:spacing w:line="500" w:lineRule="exact"/>
        <w:ind w:left="640"/>
        <w:rPr>
          <w:rFonts w:ascii="仿宋" w:hAnsi="仿宋" w:eastAsia="仿宋" w:cs="仿宋"/>
          <w:sz w:val="32"/>
          <w:szCs w:val="32"/>
        </w:rPr>
      </w:pPr>
      <w:r>
        <w:rPr>
          <w:rFonts w:hint="eastAsia" w:ascii="仿宋" w:hAnsi="仿宋" w:eastAsia="仿宋" w:cs="仿宋"/>
          <w:sz w:val="32"/>
          <w:szCs w:val="32"/>
        </w:rPr>
        <w:t>一是支持教师外派学习、培训，充实理论，积累经验；</w:t>
      </w:r>
    </w:p>
    <w:p w14:paraId="5EEE0C9D">
      <w:pPr>
        <w:spacing w:line="500" w:lineRule="exact"/>
        <w:rPr>
          <w:rFonts w:ascii="仿宋" w:hAnsi="仿宋" w:eastAsia="仿宋" w:cs="仿宋"/>
          <w:sz w:val="32"/>
          <w:szCs w:val="32"/>
        </w:rPr>
      </w:pPr>
      <w:r>
        <w:rPr>
          <w:rFonts w:hint="eastAsia" w:ascii="仿宋" w:hAnsi="仿宋" w:eastAsia="仿宋" w:cs="仿宋"/>
          <w:sz w:val="32"/>
          <w:szCs w:val="32"/>
        </w:rPr>
        <w:t>二是合理利用网络等资源，提升能力，辅助教学；三是联合研讨，共同成长：积极对接广元尚熙、康乐园送教到园，与柏林小学开展九年级复习研讨和六年级教学交流；四是以微课题为切入口进行农村小班化有效教学模式探索；五是通过实习生指导增强学校教研氛围。</w:t>
      </w:r>
    </w:p>
    <w:p w14:paraId="5C0AAF0C">
      <w:pPr>
        <w:numPr>
          <w:ilvl w:val="0"/>
          <w:numId w:val="3"/>
        </w:numPr>
        <w:spacing w:line="500" w:lineRule="exact"/>
        <w:rPr>
          <w:rFonts w:ascii="仿宋" w:hAnsi="仿宋" w:eastAsia="仿宋" w:cs="仿宋"/>
          <w:sz w:val="32"/>
          <w:szCs w:val="32"/>
        </w:rPr>
      </w:pPr>
      <w:r>
        <w:rPr>
          <w:rFonts w:hint="eastAsia" w:ascii="仿宋" w:hAnsi="仿宋" w:eastAsia="仿宋" w:cs="仿宋"/>
          <w:sz w:val="32"/>
          <w:szCs w:val="32"/>
        </w:rPr>
        <w:t>做实常规，扎实过程管理</w:t>
      </w:r>
    </w:p>
    <w:p w14:paraId="7E5557F8">
      <w:pPr>
        <w:spacing w:line="500" w:lineRule="exact"/>
        <w:ind w:left="640"/>
        <w:rPr>
          <w:rFonts w:ascii="仿宋" w:hAnsi="仿宋" w:eastAsia="仿宋" w:cs="仿宋"/>
          <w:sz w:val="32"/>
          <w:szCs w:val="32"/>
        </w:rPr>
      </w:pPr>
      <w:r>
        <w:rPr>
          <w:rFonts w:hint="eastAsia" w:ascii="仿宋" w:hAnsi="仿宋" w:eastAsia="仿宋" w:cs="仿宋"/>
          <w:sz w:val="32"/>
          <w:szCs w:val="32"/>
        </w:rPr>
        <w:t>加强教学常规管理，做实教学六认真，通计划、明要求、</w:t>
      </w:r>
    </w:p>
    <w:p w14:paraId="3BB4AAE5">
      <w:pPr>
        <w:spacing w:line="500" w:lineRule="exact"/>
        <w:rPr>
          <w:rFonts w:ascii="仿宋" w:hAnsi="仿宋" w:eastAsia="仿宋" w:cs="仿宋"/>
          <w:sz w:val="32"/>
          <w:szCs w:val="32"/>
        </w:rPr>
      </w:pPr>
      <w:r>
        <w:rPr>
          <w:rFonts w:hint="eastAsia" w:ascii="仿宋" w:hAnsi="仿宋" w:eastAsia="仿宋" w:cs="仿宋"/>
          <w:sz w:val="32"/>
          <w:szCs w:val="32"/>
        </w:rPr>
        <w:t>严过程，交叉检查，例会公布，逗硬奖惩。学校领导班子带头上主课，坚持推门听课，及时交流，当周整改。以幼儿园为源头，抓实常规，丰富活动，文明礼仪；以小学为主体，规范课堂，丰富课程，深抓习惯；以毕业班为突破口，夯实过程，改进教法，提升效率。</w:t>
      </w:r>
    </w:p>
    <w:p w14:paraId="626C964C">
      <w:pPr>
        <w:numPr>
          <w:ilvl w:val="0"/>
          <w:numId w:val="2"/>
        </w:numPr>
        <w:spacing w:line="500" w:lineRule="exact"/>
        <w:rPr>
          <w:rFonts w:ascii="楷体" w:hAnsi="楷体" w:eastAsia="楷体" w:cs="楷体"/>
          <w:sz w:val="32"/>
          <w:szCs w:val="32"/>
        </w:rPr>
      </w:pPr>
      <w:r>
        <w:rPr>
          <w:rFonts w:hint="eastAsia" w:ascii="楷体" w:hAnsi="楷体" w:eastAsia="楷体" w:cs="楷体"/>
          <w:sz w:val="32"/>
          <w:szCs w:val="32"/>
        </w:rPr>
        <w:t>五项管理和双减，全面落细落实</w:t>
      </w:r>
    </w:p>
    <w:p w14:paraId="36FAD745">
      <w:pPr>
        <w:spacing w:line="500" w:lineRule="exact"/>
        <w:ind w:left="640"/>
        <w:rPr>
          <w:rFonts w:ascii="仿宋" w:hAnsi="仿宋" w:eastAsia="仿宋" w:cs="仿宋"/>
          <w:sz w:val="32"/>
          <w:szCs w:val="32"/>
        </w:rPr>
      </w:pPr>
      <w:r>
        <w:rPr>
          <w:rFonts w:hint="eastAsia" w:ascii="仿宋" w:hAnsi="仿宋" w:eastAsia="仿宋" w:cs="仿宋"/>
          <w:sz w:val="32"/>
          <w:szCs w:val="32"/>
        </w:rPr>
        <w:t>学校严格落实教育部、省市区关于五项管理和双减工作</w:t>
      </w:r>
    </w:p>
    <w:p w14:paraId="7EDF8CC1">
      <w:pPr>
        <w:spacing w:line="500" w:lineRule="exact"/>
        <w:rPr>
          <w:rFonts w:ascii="仿宋" w:hAnsi="仿宋" w:eastAsia="仿宋" w:cs="仿宋"/>
          <w:sz w:val="32"/>
          <w:szCs w:val="32"/>
        </w:rPr>
      </w:pPr>
      <w:r>
        <w:rPr>
          <w:rFonts w:hint="eastAsia" w:ascii="仿宋" w:hAnsi="仿宋" w:eastAsia="仿宋" w:cs="仿宋"/>
          <w:sz w:val="32"/>
          <w:szCs w:val="32"/>
        </w:rPr>
        <w:t>要求，结合学校实际，规范教学行为，严守作息时间，严控手机管理，加强心理健康教育。本期，我校主动联系5名实习生，填补了无艺体专业教师的短板。精心组织设计课后延时服务，搞好社团建设，培养学生兴趣特长，。认真组织每天的体育锻炼，积极训练，参加了区运动会，11人次获奖，6人获优秀运动员，开展了秋季运动会。充分发挥农村独特的自然资源优势，利用课余时间研学，带领学生走出教室，走进田野，认识自然的美妙神奇，感受家乡的变化，展望美好未来。加强了音乐、美术等课程学习，并通过每周一花，美文朗诵等全面加强美育。每日扫除、保洁，责任到人，植树种花，清淤拔草，校园地开垦、种植等活动全面加强劳动教育。在今年六月校园艺术节，学生全员参与，个个能唱会跳，能写会画，才艺多样展示，受到家长和社会的高度评价。在“五美”等各类活动中12位教师获指导奖，46人次学生获等级奖。</w:t>
      </w:r>
    </w:p>
    <w:p w14:paraId="5ACA94BE">
      <w:pPr>
        <w:pStyle w:val="43"/>
        <w:numPr>
          <w:ilvl w:val="0"/>
          <w:numId w:val="3"/>
        </w:numPr>
        <w:spacing w:line="500" w:lineRule="exact"/>
        <w:ind w:firstLineChars="0"/>
        <w:rPr>
          <w:rFonts w:ascii="黑体" w:hAnsi="黑体" w:eastAsia="黑体" w:cs="黑体"/>
          <w:sz w:val="32"/>
          <w:szCs w:val="32"/>
        </w:rPr>
      </w:pPr>
      <w:r>
        <w:rPr>
          <w:rFonts w:hint="eastAsia" w:ascii="黑体" w:hAnsi="黑体" w:eastAsia="黑体" w:cs="黑体"/>
          <w:sz w:val="32"/>
          <w:szCs w:val="32"/>
        </w:rPr>
        <w:t>细谋划，努力干好各项工作</w:t>
      </w:r>
    </w:p>
    <w:p w14:paraId="077D9D76">
      <w:pPr>
        <w:numPr>
          <w:ilvl w:val="0"/>
          <w:numId w:val="4"/>
        </w:numPr>
        <w:spacing w:line="500" w:lineRule="exact"/>
        <w:ind w:left="635"/>
        <w:rPr>
          <w:rFonts w:ascii="仿宋" w:hAnsi="仿宋" w:eastAsia="仿宋" w:cs="仿宋"/>
          <w:sz w:val="32"/>
          <w:szCs w:val="32"/>
        </w:rPr>
      </w:pPr>
      <w:r>
        <w:rPr>
          <w:rFonts w:hint="eastAsia" w:ascii="楷体" w:hAnsi="楷体" w:eastAsia="楷体" w:cs="楷体"/>
          <w:sz w:val="32"/>
          <w:szCs w:val="32"/>
        </w:rPr>
        <w:t>搞好疫情常态化防控工作</w:t>
      </w:r>
    </w:p>
    <w:p w14:paraId="5DBC5456">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持续抓好师生疫情防控工作，抓环境卫生整治，消毒消杀，体温监测；坚持校园封闭式管理，严格信息查验；疫苗接种工作全面完成，固守一方净土。</w:t>
      </w:r>
    </w:p>
    <w:p w14:paraId="45D258E7">
      <w:pPr>
        <w:numPr>
          <w:ilvl w:val="0"/>
          <w:numId w:val="4"/>
        </w:numPr>
        <w:spacing w:line="500" w:lineRule="exact"/>
        <w:ind w:left="635"/>
        <w:rPr>
          <w:rFonts w:ascii="楷体" w:hAnsi="楷体" w:eastAsia="楷体" w:cs="楷体"/>
          <w:sz w:val="32"/>
          <w:szCs w:val="32"/>
        </w:rPr>
      </w:pPr>
      <w:r>
        <w:rPr>
          <w:rFonts w:hint="eastAsia" w:ascii="楷体" w:hAnsi="楷体" w:eastAsia="楷体" w:cs="楷体"/>
          <w:sz w:val="32"/>
          <w:szCs w:val="32"/>
        </w:rPr>
        <w:t>做实安全维稳工作</w:t>
      </w:r>
    </w:p>
    <w:p w14:paraId="71F402B7">
      <w:pPr>
        <w:spacing w:line="500" w:lineRule="exact"/>
        <w:ind w:firstLine="640"/>
        <w:rPr>
          <w:rFonts w:ascii="仿宋" w:hAnsi="仿宋" w:eastAsia="仿宋" w:cs="仿宋"/>
          <w:sz w:val="32"/>
          <w:szCs w:val="32"/>
        </w:rPr>
      </w:pPr>
      <w:r>
        <w:rPr>
          <w:rFonts w:hint="eastAsia" w:ascii="仿宋" w:hAnsi="仿宋" w:eastAsia="仿宋" w:cs="仿宋"/>
          <w:sz w:val="32"/>
          <w:szCs w:val="32"/>
        </w:rPr>
        <w:t>坚守安全第一，全面落实岗位职责，无死角排查整治安全隐患，全方位守护监管，多层面多形式加强安全教育，重要安全处处讲，反复讲，印发告知书，签订责任书，添置硬件，归齐软件。与家长加强政策宣讲，畅通联系网络，广开反馈渠道，主动做好矛盾化解和疑误解答。一年来，无安全责任事故和上访事件。</w:t>
      </w:r>
    </w:p>
    <w:p w14:paraId="645B561D">
      <w:pPr>
        <w:pStyle w:val="4"/>
        <w:spacing w:before="0" w:after="0" w:line="240" w:lineRule="auto"/>
        <w:ind w:firstLine="640" w:firstLineChars="200"/>
        <w:rPr>
          <w:rStyle w:val="37"/>
          <w:rFonts w:ascii="黑体" w:hAnsi="黑体" w:eastAsia="黑体"/>
          <w:b w:val="0"/>
          <w:bCs w:val="0"/>
        </w:rPr>
      </w:pPr>
      <w:r>
        <w:rPr>
          <w:rFonts w:hint="eastAsia" w:ascii="黑体" w:hAnsi="黑体" w:eastAsia="黑体"/>
          <w:b w:val="0"/>
          <w:bCs w:val="0"/>
          <w:color w:val="000000"/>
        </w:rPr>
        <w:t>二、机</w:t>
      </w:r>
      <w:r>
        <w:rPr>
          <w:rStyle w:val="37"/>
          <w:rFonts w:hint="eastAsia" w:ascii="黑体" w:hAnsi="黑体" w:eastAsia="黑体"/>
          <w:b w:val="0"/>
          <w:bCs w:val="0"/>
        </w:rPr>
        <w:t>构设置</w:t>
      </w:r>
      <w:bookmarkEnd w:id="21"/>
      <w:bookmarkEnd w:id="22"/>
      <w:bookmarkEnd w:id="23"/>
    </w:p>
    <w:p w14:paraId="2FDED93C">
      <w:pPr>
        <w:snapToGrid w:val="0"/>
        <w:spacing w:line="520" w:lineRule="exact"/>
        <w:ind w:firstLine="640" w:firstLineChars="200"/>
        <w:rPr>
          <w:rFonts w:ascii="仿宋" w:hAnsi="仿宋" w:eastAsia="仿宋"/>
          <w:sz w:val="32"/>
          <w:szCs w:val="32"/>
        </w:rPr>
      </w:pPr>
      <w:r>
        <w:rPr>
          <w:rFonts w:hint="eastAsia" w:ascii="仿宋" w:hAnsi="仿宋" w:eastAsia="仿宋"/>
          <w:color w:val="000000"/>
          <w:sz w:val="32"/>
          <w:szCs w:val="32"/>
        </w:rPr>
        <w:t>本部门为广元市昭化区教育局所属的二级预算部门，部门性质为财政补助事业部门。2020年末共有学生83人，在职教职工27人</w:t>
      </w:r>
      <w:r>
        <w:rPr>
          <w:rFonts w:hint="eastAsia" w:ascii="仿宋" w:hAnsi="仿宋" w:eastAsia="仿宋"/>
          <w:sz w:val="32"/>
          <w:szCs w:val="32"/>
        </w:rPr>
        <w:t>。</w:t>
      </w:r>
    </w:p>
    <w:p w14:paraId="4B00D430">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EF89C79">
      <w:pPr>
        <w:pStyle w:val="3"/>
        <w:spacing w:before="0" w:after="0" w:line="240" w:lineRule="auto"/>
        <w:jc w:val="center"/>
        <w:rPr>
          <w:rStyle w:val="36"/>
          <w:rFonts w:ascii="黑体" w:hAnsi="黑体" w:eastAsia="黑体"/>
          <w:b w:val="0"/>
          <w:bCs w:val="0"/>
        </w:rPr>
      </w:pPr>
      <w:bookmarkStart w:id="24" w:name="_Toc15377204"/>
      <w:bookmarkStart w:id="25" w:name="_Toc15396602"/>
      <w:bookmarkStart w:id="26" w:name="_Toc5345"/>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rPr>
        <w:t>2020年度部门决算情况说明</w:t>
      </w:r>
      <w:bookmarkEnd w:id="24"/>
      <w:bookmarkEnd w:id="25"/>
      <w:bookmarkEnd w:id="26"/>
    </w:p>
    <w:p w14:paraId="2C766B94">
      <w:pPr>
        <w:jc w:val="left"/>
      </w:pPr>
    </w:p>
    <w:p w14:paraId="59C66A2E">
      <w:pPr>
        <w:spacing w:line="600" w:lineRule="exact"/>
        <w:ind w:firstLine="600" w:firstLineChars="200"/>
        <w:rPr>
          <w:rStyle w:val="37"/>
          <w:rFonts w:ascii="黑体" w:hAnsi="黑体" w:eastAsia="黑体"/>
          <w:b w:val="0"/>
          <w:bCs w:val="0"/>
          <w:sz w:val="30"/>
          <w:szCs w:val="30"/>
        </w:rPr>
      </w:pPr>
      <w:bookmarkStart w:id="27" w:name="_Toc32302"/>
      <w:bookmarkStart w:id="28" w:name="_Toc15396603"/>
      <w:bookmarkStart w:id="29" w:name="_Toc15377205"/>
      <w:r>
        <w:rPr>
          <w:rFonts w:hint="eastAsia" w:ascii="黑体" w:hAnsi="黑体" w:eastAsia="黑体" w:cs="黑体"/>
          <w:color w:val="000000"/>
          <w:sz w:val="30"/>
          <w:szCs w:val="30"/>
        </w:rPr>
        <w:t>一、收</w:t>
      </w:r>
      <w:r>
        <w:rPr>
          <w:rStyle w:val="37"/>
          <w:rFonts w:hint="eastAsia" w:ascii="黑体" w:hAnsi="黑体" w:eastAsia="黑体"/>
          <w:b w:val="0"/>
          <w:bCs w:val="0"/>
          <w:sz w:val="30"/>
          <w:szCs w:val="30"/>
        </w:rPr>
        <w:t>入支出决算总体情况说明</w:t>
      </w:r>
      <w:bookmarkEnd w:id="27"/>
      <w:bookmarkEnd w:id="28"/>
      <w:bookmarkEnd w:id="29"/>
    </w:p>
    <w:p w14:paraId="76359F0A">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年度文村乡小学</w:t>
      </w:r>
      <w:r>
        <w:rPr>
          <w:rFonts w:hint="eastAsia" w:ascii="仿宋" w:hAnsi="仿宋" w:eastAsia="仿宋"/>
          <w:sz w:val="32"/>
          <w:szCs w:val="32"/>
        </w:rPr>
        <w:t>收、支总计715.27万元。与</w:t>
      </w:r>
      <w:r>
        <w:rPr>
          <w:rFonts w:ascii="仿宋" w:hAnsi="仿宋" w:eastAsia="仿宋"/>
          <w:sz w:val="32"/>
          <w:szCs w:val="32"/>
        </w:rPr>
        <w:t>2019</w:t>
      </w:r>
      <w:r>
        <w:rPr>
          <w:rFonts w:hint="eastAsia" w:ascii="仿宋" w:hAnsi="仿宋" w:eastAsia="仿宋"/>
          <w:sz w:val="32"/>
          <w:szCs w:val="32"/>
        </w:rPr>
        <w:t>年相比收、支总计各减少49.78万元，减少6.51</w:t>
      </w:r>
      <w:r>
        <w:rPr>
          <w:rFonts w:ascii="仿宋" w:hAnsi="仿宋" w:eastAsia="仿宋"/>
          <w:sz w:val="32"/>
          <w:szCs w:val="32"/>
        </w:rPr>
        <w:t>%</w:t>
      </w:r>
      <w:r>
        <w:rPr>
          <w:rFonts w:hint="eastAsia" w:ascii="仿宋" w:hAnsi="仿宋" w:eastAsia="仿宋"/>
          <w:sz w:val="32"/>
          <w:szCs w:val="32"/>
        </w:rPr>
        <w:t>。主要变动原因是教职工减少。</w:t>
      </w:r>
    </w:p>
    <w:p w14:paraId="6D70391E">
      <w:pPr>
        <w:spacing w:line="600" w:lineRule="exact"/>
        <w:ind w:firstLine="600" w:firstLineChars="200"/>
        <w:outlineLvl w:val="1"/>
        <w:rPr>
          <w:rFonts w:ascii="仿宋" w:hAnsi="仿宋" w:eastAsia="仿宋"/>
          <w:color w:val="000000"/>
          <w:sz w:val="32"/>
          <w:szCs w:val="32"/>
        </w:rPr>
      </w:pPr>
      <w:bookmarkStart w:id="30" w:name="_Toc15396604"/>
      <w:bookmarkStart w:id="31" w:name="_Toc15377206"/>
      <w:bookmarkStart w:id="32" w:name="_Toc27754"/>
      <w:r>
        <w:rPr>
          <w:rFonts w:hint="eastAsia" w:ascii="黑体" w:hAnsi="黑体" w:eastAsia="黑体" w:cs="黑体"/>
          <w:color w:val="000000"/>
          <w:sz w:val="30"/>
          <w:szCs w:val="30"/>
        </w:rPr>
        <w:t>二、收</w:t>
      </w:r>
      <w:r>
        <w:rPr>
          <w:rStyle w:val="37"/>
          <w:rFonts w:hint="eastAsia" w:ascii="黑体" w:hAnsi="黑体" w:eastAsia="黑体"/>
          <w:b w:val="0"/>
          <w:bCs w:val="0"/>
          <w:sz w:val="30"/>
          <w:szCs w:val="30"/>
        </w:rPr>
        <w:t>入决算情况说明</w:t>
      </w:r>
      <w:bookmarkEnd w:id="30"/>
      <w:bookmarkEnd w:id="31"/>
      <w:bookmarkEnd w:id="32"/>
      <w:r>
        <w:rPr>
          <w:rFonts w:ascii="仿宋" w:hAnsi="仿宋" w:eastAsia="仿宋"/>
          <w:color w:val="000000"/>
          <w:sz w:val="32"/>
          <w:szCs w:val="32"/>
        </w:rPr>
        <w:t>2020</w:t>
      </w:r>
      <w:r>
        <w:rPr>
          <w:rFonts w:hint="eastAsia" w:ascii="仿宋" w:hAnsi="仿宋" w:eastAsia="仿宋"/>
          <w:color w:val="000000"/>
          <w:sz w:val="32"/>
          <w:szCs w:val="32"/>
        </w:rPr>
        <w:t>年本年收入合计715.27万元，其中：一般公共预算财政拨款收入715.27万元，占100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；附属部门上缴收入0万元，占0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61FDF7FB">
      <w:pPr>
        <w:spacing w:line="600" w:lineRule="exact"/>
        <w:ind w:firstLine="600" w:firstLineChars="200"/>
        <w:outlineLvl w:val="1"/>
        <w:rPr>
          <w:rFonts w:ascii="黑体" w:hAnsi="黑体" w:eastAsia="黑体" w:cs="黑体"/>
          <w:color w:val="000000"/>
          <w:sz w:val="30"/>
          <w:szCs w:val="30"/>
        </w:rPr>
      </w:pPr>
      <w:bookmarkStart w:id="33" w:name="_Toc15396605"/>
      <w:bookmarkStart w:id="34" w:name="_Toc5113"/>
      <w:bookmarkStart w:id="35" w:name="_Toc15377207"/>
      <w:r>
        <w:rPr>
          <w:rFonts w:hint="eastAsia" w:ascii="黑体" w:hAnsi="黑体" w:eastAsia="黑体" w:cs="黑体"/>
          <w:color w:val="000000"/>
          <w:sz w:val="30"/>
          <w:szCs w:val="30"/>
        </w:rPr>
        <w:t>三、支出决算情况说明</w:t>
      </w:r>
      <w:bookmarkEnd w:id="33"/>
      <w:bookmarkEnd w:id="34"/>
      <w:bookmarkEnd w:id="35"/>
      <w:bookmarkStart w:id="36" w:name="_Toc15377208"/>
      <w:bookmarkStart w:id="37" w:name="_Toc15396606"/>
    </w:p>
    <w:p w14:paraId="7DE1294E">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年本年支出合计715.27万元，其中：基本支出485.27万元，占67.84</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2</w:t>
      </w:r>
      <w:r>
        <w:rPr>
          <w:rFonts w:hint="eastAsia" w:ascii="仿宋" w:hAnsi="仿宋" w:eastAsia="仿宋"/>
          <w:color w:val="000000"/>
          <w:sz w:val="32"/>
          <w:szCs w:val="32"/>
        </w:rPr>
        <w:t>30万元，占32.16</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；对附属部门补助支出0万元，占0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597FD408">
      <w:pPr>
        <w:spacing w:line="600" w:lineRule="exact"/>
        <w:ind w:firstLine="600" w:firstLineChars="200"/>
        <w:rPr>
          <w:rFonts w:ascii="黑体" w:hAnsi="黑体" w:eastAsia="黑体" w:cs="黑体"/>
          <w:color w:val="000000"/>
          <w:sz w:val="30"/>
          <w:szCs w:val="30"/>
        </w:rPr>
      </w:pPr>
      <w:bookmarkStart w:id="38" w:name="_Toc13428"/>
      <w:r>
        <w:rPr>
          <w:rFonts w:hint="eastAsia" w:ascii="黑体" w:hAnsi="黑体" w:eastAsia="黑体" w:cs="黑体"/>
          <w:color w:val="000000"/>
          <w:sz w:val="30"/>
          <w:szCs w:val="30"/>
        </w:rPr>
        <w:t>四、财政拨款收入支出决算总体情况说明</w:t>
      </w:r>
      <w:bookmarkEnd w:id="36"/>
      <w:bookmarkEnd w:id="37"/>
      <w:bookmarkEnd w:id="38"/>
      <w:bookmarkStart w:id="39" w:name="_Toc15396607"/>
      <w:bookmarkStart w:id="40" w:name="_Toc15377209"/>
    </w:p>
    <w:p w14:paraId="7C83057F">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年财政拨款收、支总计715.27万元。与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各增加49.78万元，减少6.51</w:t>
      </w:r>
      <w:r>
        <w:rPr>
          <w:rFonts w:ascii="仿宋" w:hAnsi="仿宋" w:eastAsia="仿宋"/>
          <w:sz w:val="32"/>
          <w:szCs w:val="32"/>
        </w:rPr>
        <w:t>%</w:t>
      </w:r>
      <w:r>
        <w:rPr>
          <w:rFonts w:hint="eastAsia" w:ascii="仿宋" w:hAnsi="仿宋" w:eastAsia="仿宋"/>
          <w:sz w:val="32"/>
          <w:szCs w:val="32"/>
        </w:rPr>
        <w:t>。主要变动原因是教职工减少。</w:t>
      </w:r>
    </w:p>
    <w:p w14:paraId="52F2DAFD">
      <w:pPr>
        <w:spacing w:line="600" w:lineRule="exact"/>
        <w:ind w:firstLine="600" w:firstLineChars="200"/>
        <w:outlineLvl w:val="2"/>
        <w:rPr>
          <w:rFonts w:ascii="黑体" w:hAnsi="黑体" w:eastAsia="黑体" w:cs="黑体"/>
          <w:color w:val="000000"/>
          <w:sz w:val="30"/>
          <w:szCs w:val="30"/>
        </w:rPr>
      </w:pPr>
      <w:bookmarkStart w:id="41" w:name="_Toc957"/>
      <w:r>
        <w:rPr>
          <w:rFonts w:hint="eastAsia" w:ascii="黑体" w:hAnsi="黑体" w:eastAsia="黑体" w:cs="黑体"/>
          <w:color w:val="000000"/>
          <w:sz w:val="30"/>
          <w:szCs w:val="30"/>
        </w:rPr>
        <w:t>五、一般公共预算财政拨款支出决算情况说明</w:t>
      </w:r>
      <w:bookmarkEnd w:id="39"/>
      <w:bookmarkEnd w:id="40"/>
      <w:bookmarkEnd w:id="41"/>
      <w:bookmarkStart w:id="42" w:name="_Toc15377210"/>
      <w:bookmarkStart w:id="43" w:name="_Toc15377214"/>
      <w:bookmarkStart w:id="44" w:name="_Toc15396608"/>
    </w:p>
    <w:p w14:paraId="660FD5F3">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42"/>
    </w:p>
    <w:p w14:paraId="298F6B55">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年一般公共预算财政拨款支出715.27万元，占本年支出合计</w:t>
      </w:r>
      <w:r>
        <w:rPr>
          <w:rFonts w:hint="eastAsia" w:ascii="仿宋" w:hAnsi="仿宋" w:eastAsia="仿宋"/>
          <w:sz w:val="32"/>
          <w:szCs w:val="32"/>
        </w:rPr>
        <w:t>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2019</w:t>
      </w:r>
      <w:r>
        <w:rPr>
          <w:rFonts w:hint="eastAsia" w:ascii="仿宋" w:hAnsi="仿宋" w:eastAsia="仿宋"/>
          <w:sz w:val="32"/>
          <w:szCs w:val="32"/>
        </w:rPr>
        <w:t>年相比，一般公共预算财政拨款减少49.78万元，减少6.51</w:t>
      </w:r>
      <w:r>
        <w:rPr>
          <w:rFonts w:ascii="仿宋" w:hAnsi="仿宋" w:eastAsia="仿宋"/>
          <w:sz w:val="32"/>
          <w:szCs w:val="32"/>
        </w:rPr>
        <w:t>%</w:t>
      </w:r>
      <w:r>
        <w:rPr>
          <w:rFonts w:hint="eastAsia" w:ascii="仿宋" w:hAnsi="仿宋" w:eastAsia="仿宋"/>
          <w:color w:val="000000"/>
          <w:sz w:val="32"/>
          <w:szCs w:val="32"/>
        </w:rPr>
        <w:t>。</w:t>
      </w:r>
      <w:bookmarkStart w:id="45" w:name="_Toc15377211"/>
      <w:r>
        <w:rPr>
          <w:rFonts w:hint="eastAsia" w:ascii="仿宋" w:hAnsi="仿宋" w:eastAsia="仿宋"/>
          <w:sz w:val="32"/>
          <w:szCs w:val="32"/>
        </w:rPr>
        <w:t>主要变动原因是教职工减少</w:t>
      </w:r>
    </w:p>
    <w:p w14:paraId="165BE6A2">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5"/>
    </w:p>
    <w:p w14:paraId="64496DF1">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年一般公共预算财政拨款支出715.27万元，主要用于以下方面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715.27万元，占</w:t>
      </w:r>
      <w:r>
        <w:rPr>
          <w:rFonts w:ascii="仿宋" w:hAnsi="仿宋" w:eastAsia="仿宋"/>
          <w:color w:val="000000"/>
          <w:sz w:val="32"/>
          <w:szCs w:val="32"/>
        </w:rPr>
        <w:t>100%</w:t>
      </w:r>
      <w:r>
        <w:rPr>
          <w:rFonts w:hint="eastAsia" w:ascii="仿宋" w:hAnsi="仿宋" w:eastAsia="仿宋"/>
          <w:color w:val="000000"/>
          <w:sz w:val="32"/>
          <w:szCs w:val="32"/>
        </w:rPr>
        <w:t>。</w:t>
      </w:r>
    </w:p>
    <w:p w14:paraId="1670C087">
      <w:pPr>
        <w:spacing w:line="600" w:lineRule="exact"/>
        <w:ind w:firstLine="602" w:firstLineChars="200"/>
        <w:outlineLvl w:val="2"/>
        <w:rPr>
          <w:rFonts w:ascii="仿宋_GB2312" w:hAnsi="仿宋_GB2312" w:eastAsia="仿宋_GB2312" w:cs="仿宋_GB2312"/>
          <w:b/>
          <w:sz w:val="30"/>
          <w:szCs w:val="30"/>
        </w:rPr>
      </w:pPr>
      <w:bookmarkStart w:id="46" w:name="_Toc32054"/>
      <w:bookmarkStart w:id="47" w:name="_Toc15377212"/>
      <w:r>
        <w:rPr>
          <w:rFonts w:hint="eastAsia" w:ascii="仿宋_GB2312" w:hAnsi="仿宋_GB2312" w:eastAsia="仿宋_GB2312" w:cs="仿宋_GB2312"/>
          <w:b/>
          <w:sz w:val="30"/>
          <w:szCs w:val="30"/>
        </w:rPr>
        <w:t>（三）一般公共预算财政拨款支出决算具体情况</w:t>
      </w:r>
      <w:bookmarkEnd w:id="46"/>
      <w:bookmarkEnd w:id="47"/>
    </w:p>
    <w:p w14:paraId="64CE79B0">
      <w:pPr>
        <w:spacing w:line="600" w:lineRule="exact"/>
        <w:ind w:firstLine="643" w:firstLineChars="200"/>
        <w:outlineLvl w:val="2"/>
        <w:rPr>
          <w:rFonts w:ascii="仿宋" w:hAnsi="仿宋" w:eastAsia="仿宋"/>
          <w:color w:val="FF0000"/>
          <w:sz w:val="32"/>
          <w:szCs w:val="32"/>
        </w:rPr>
      </w:pPr>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年一般公共预算支出决算数为715.27万元，</w:t>
      </w:r>
      <w:r>
        <w:rPr>
          <w:rStyle w:val="20"/>
          <w:rFonts w:hint="eastAsia" w:ascii="仿宋" w:hAnsi="仿宋" w:eastAsia="仿宋"/>
          <w:bCs/>
          <w:color w:val="000000"/>
          <w:sz w:val="32"/>
          <w:szCs w:val="32"/>
        </w:rPr>
        <w:t>完成预算100</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。其中：</w:t>
      </w:r>
    </w:p>
    <w:p w14:paraId="6841973E">
      <w:pPr>
        <w:spacing w:line="600" w:lineRule="exact"/>
        <w:ind w:firstLine="643" w:firstLineChars="200"/>
        <w:rPr>
          <w:rStyle w:val="20"/>
          <w:rFonts w:ascii="仿宋" w:hAnsi="仿宋" w:eastAsia="仿宋"/>
          <w:b w:val="0"/>
          <w:bCs/>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.教育（205）普通教育（20502）小学教育（2050202）</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支出决算为479.14万元，完成预算100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FCAD365">
      <w:pPr>
        <w:spacing w:line="600" w:lineRule="exact"/>
        <w:ind w:firstLine="643" w:firstLineChars="200"/>
        <w:rPr>
          <w:rStyle w:val="20"/>
          <w:rFonts w:ascii="仿宋" w:hAnsi="仿宋" w:eastAsia="仿宋"/>
          <w:b w:val="0"/>
          <w:bCs/>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.教育（205）普通教育（20502）其他普通教育支出（2050299）</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2</w:t>
      </w:r>
      <w:r>
        <w:rPr>
          <w:rStyle w:val="20"/>
          <w:rFonts w:hint="eastAsia" w:ascii="仿宋" w:hAnsi="仿宋" w:eastAsia="仿宋"/>
          <w:b w:val="0"/>
          <w:bCs/>
          <w:color w:val="000000"/>
          <w:sz w:val="32"/>
          <w:szCs w:val="32"/>
        </w:rPr>
        <w:t>3</w:t>
      </w:r>
      <w:r>
        <w:rPr>
          <w:rStyle w:val="20"/>
          <w:rFonts w:ascii="仿宋" w:hAnsi="仿宋" w:eastAsia="仿宋"/>
          <w:b w:val="0"/>
          <w:bCs/>
          <w:color w:val="000000"/>
          <w:sz w:val="32"/>
          <w:szCs w:val="32"/>
        </w:rPr>
        <w:t>0</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142DDE10">
      <w:pPr>
        <w:spacing w:line="600" w:lineRule="exact"/>
        <w:ind w:firstLine="643" w:firstLineChars="200"/>
        <w:rPr>
          <w:rFonts w:ascii="仿宋" w:hAnsi="仿宋" w:eastAsia="仿宋"/>
          <w:bCs/>
          <w:color w:val="000000"/>
          <w:sz w:val="32"/>
          <w:szCs w:val="32"/>
        </w:rPr>
      </w:pPr>
      <w:r>
        <w:rPr>
          <w:rStyle w:val="20"/>
          <w:rFonts w:hint="eastAsia" w:ascii="仿宋" w:hAnsi="仿宋" w:eastAsia="仿宋"/>
          <w:bCs/>
          <w:color w:val="000000"/>
          <w:sz w:val="32"/>
          <w:szCs w:val="32"/>
        </w:rPr>
        <w:t>3.社会保障和就业支出（208）抚恤（20808）死亡抚恤（2080801）:</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6.1</w:t>
      </w:r>
      <w:r>
        <w:rPr>
          <w:rStyle w:val="20"/>
          <w:rFonts w:hint="eastAsia" w:ascii="仿宋" w:hAnsi="仿宋" w:eastAsia="仿宋"/>
          <w:b w:val="0"/>
          <w:bCs/>
          <w:color w:val="000000"/>
          <w:sz w:val="32"/>
          <w:szCs w:val="32"/>
        </w:rPr>
        <w:t>3万元，完成预算100%。</w:t>
      </w:r>
    </w:p>
    <w:p w14:paraId="5B3EC3B7">
      <w:pPr>
        <w:ind w:firstLine="602" w:firstLineChars="200"/>
        <w:jc w:val="left"/>
        <w:outlineLvl w:val="2"/>
        <w:rPr>
          <w:rFonts w:ascii="仿宋_GB2312" w:hAnsi="仿宋_GB2312" w:eastAsia="仿宋_GB2312" w:cs="仿宋_GB2312"/>
          <w:b/>
          <w:sz w:val="30"/>
          <w:szCs w:val="30"/>
        </w:rPr>
      </w:pPr>
    </w:p>
    <w:p w14:paraId="635CB8B1">
      <w:pPr>
        <w:widowControl/>
        <w:ind w:firstLine="602" w:firstLineChars="200"/>
        <w:rPr>
          <w:rFonts w:ascii="黑体" w:hAnsi="黑体" w:eastAsia="黑体" w:cs="黑体"/>
          <w:color w:val="000000"/>
          <w:sz w:val="30"/>
          <w:szCs w:val="30"/>
        </w:rPr>
      </w:pPr>
      <w:bookmarkStart w:id="48" w:name="_Toc12572"/>
      <w:r>
        <w:rPr>
          <w:rFonts w:hint="eastAsia" w:ascii="黑体" w:hAnsi="黑体" w:eastAsia="黑体" w:cs="黑体"/>
          <w:b/>
          <w:color w:val="000000"/>
          <w:sz w:val="30"/>
          <w:szCs w:val="30"/>
        </w:rPr>
        <w:t>六</w:t>
      </w:r>
      <w:r>
        <w:rPr>
          <w:rFonts w:hint="eastAsia" w:ascii="黑体" w:hAnsi="黑体" w:eastAsia="黑体" w:cs="黑体"/>
          <w:color w:val="000000"/>
          <w:sz w:val="30"/>
          <w:szCs w:val="30"/>
        </w:rPr>
        <w:t>、一般公共预算财政拨款基本支出决算情况说明</w:t>
      </w:r>
      <w:bookmarkEnd w:id="43"/>
      <w:bookmarkEnd w:id="44"/>
      <w:bookmarkEnd w:id="48"/>
      <w:bookmarkStart w:id="49" w:name="_Toc15377444"/>
      <w:bookmarkStart w:id="50" w:name="_Toc15377213"/>
      <w:bookmarkStart w:id="51" w:name="_Toc15378460"/>
    </w:p>
    <w:p w14:paraId="619C3E74">
      <w:pPr>
        <w:widowControl/>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年一般公共预算财政拨款基本支出485.2678万元，其中：</w:t>
      </w:r>
    </w:p>
    <w:p w14:paraId="2A73060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人员经费451.</w:t>
      </w:r>
      <w:r>
        <w:rPr>
          <w:rFonts w:ascii="仿宋" w:hAnsi="仿宋" w:eastAsia="仿宋"/>
          <w:color w:val="000000"/>
          <w:sz w:val="32"/>
          <w:szCs w:val="32"/>
        </w:rPr>
        <w:t>4</w:t>
      </w:r>
      <w:r>
        <w:rPr>
          <w:rFonts w:hint="eastAsia" w:ascii="仿宋" w:hAnsi="仿宋" w:eastAsia="仿宋"/>
          <w:color w:val="000000"/>
          <w:sz w:val="32"/>
          <w:szCs w:val="32"/>
        </w:rPr>
        <w:t>687万元，主要包括：基本工资、津贴补贴、奖金、伙食补助费、绩效工资、机关事业部门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33.7991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49"/>
    <w:bookmarkEnd w:id="50"/>
    <w:bookmarkEnd w:id="51"/>
    <w:p w14:paraId="58FBF18E">
      <w:pPr>
        <w:spacing w:line="600" w:lineRule="exact"/>
        <w:ind w:firstLine="640"/>
        <w:outlineLvl w:val="2"/>
        <w:rPr>
          <w:rFonts w:ascii="黑体" w:hAnsi="黑体" w:eastAsia="黑体" w:cs="黑体"/>
          <w:color w:val="000000"/>
          <w:sz w:val="30"/>
          <w:szCs w:val="30"/>
        </w:rPr>
      </w:pPr>
      <w:bookmarkStart w:id="52" w:name="_Toc10333"/>
      <w:bookmarkStart w:id="53" w:name="_Toc15377215"/>
      <w:bookmarkStart w:id="54" w:name="_Toc15396609"/>
      <w:r>
        <w:rPr>
          <w:rFonts w:hint="eastAsia" w:ascii="黑体" w:hAnsi="黑体" w:eastAsia="黑体" w:cs="黑体"/>
          <w:color w:val="000000"/>
          <w:sz w:val="30"/>
          <w:szCs w:val="30"/>
        </w:rPr>
        <w:t>七、“三公”经费财政拨款支出决算情况说明</w:t>
      </w:r>
      <w:bookmarkEnd w:id="52"/>
      <w:bookmarkEnd w:id="53"/>
      <w:bookmarkEnd w:id="54"/>
      <w:bookmarkStart w:id="55" w:name="_Toc15396610"/>
      <w:bookmarkStart w:id="56" w:name="_Toc15377218"/>
    </w:p>
    <w:p w14:paraId="59F7A13B">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p>
    <w:p w14:paraId="4653940F">
      <w:pPr>
        <w:rPr>
          <w:rFonts w:ascii="宋体" w:hAnsi="宋体" w:cs="Arial"/>
          <w:color w:val="000000"/>
          <w:sz w:val="22"/>
          <w:szCs w:val="2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年“三公”经费财政拨款支出决算为1.10万元，完成预算99.09</w:t>
      </w:r>
      <w:r>
        <w:rPr>
          <w:rFonts w:ascii="仿宋" w:hAnsi="仿宋" w:eastAsia="仿宋"/>
          <w:color w:val="000000"/>
          <w:sz w:val="32"/>
          <w:szCs w:val="32"/>
        </w:rPr>
        <w:t>%</w:t>
      </w:r>
      <w:r>
        <w:rPr>
          <w:rFonts w:hint="eastAsia" w:ascii="仿宋" w:hAnsi="仿宋" w:eastAsia="仿宋"/>
          <w:color w:val="000000"/>
          <w:sz w:val="32"/>
          <w:szCs w:val="32"/>
        </w:rPr>
        <w:t>。</w:t>
      </w:r>
      <w:bookmarkStart w:id="98" w:name="_GoBack"/>
      <w:bookmarkEnd w:id="98"/>
    </w:p>
    <w:p w14:paraId="72FDD6AB">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p>
    <w:p w14:paraId="7A82D03F">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；公务接待费支出决算1.10万元，占</w:t>
      </w:r>
      <w:r>
        <w:rPr>
          <w:rFonts w:ascii="仿宋" w:hAnsi="仿宋" w:eastAsia="仿宋"/>
          <w:color w:val="000000"/>
          <w:sz w:val="32"/>
          <w:szCs w:val="32"/>
        </w:rPr>
        <w:t>100%</w:t>
      </w:r>
      <w:r>
        <w:rPr>
          <w:rFonts w:hint="eastAsia" w:ascii="仿宋" w:hAnsi="仿宋" w:eastAsia="仿宋"/>
          <w:color w:val="000000"/>
          <w:sz w:val="32"/>
          <w:szCs w:val="32"/>
        </w:rPr>
        <w:t>。具体情况如下：</w:t>
      </w:r>
    </w:p>
    <w:p w14:paraId="73F2D4F7">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582CB187">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74D4D23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1.10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完成预算99.09</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w:t>
      </w:r>
      <w:r>
        <w:rPr>
          <w:rFonts w:hint="eastAsia" w:ascii="仿宋_GB2312" w:eastAsia="仿宋_GB2312"/>
          <w:sz w:val="32"/>
          <w:szCs w:val="32"/>
        </w:rPr>
        <w:t>出决算比</w:t>
      </w:r>
      <w:r>
        <w:rPr>
          <w:rFonts w:ascii="仿宋_GB2312" w:eastAsia="仿宋_GB2312"/>
          <w:sz w:val="32"/>
          <w:szCs w:val="32"/>
        </w:rPr>
        <w:t>2019</w:t>
      </w:r>
      <w:r>
        <w:rPr>
          <w:rFonts w:hint="eastAsia" w:ascii="仿宋_GB2312" w:eastAsia="仿宋_GB2312"/>
          <w:sz w:val="32"/>
          <w:szCs w:val="32"/>
        </w:rPr>
        <w:t>年减少0.05万元，下降4.31</w:t>
      </w:r>
      <w:r>
        <w:rPr>
          <w:rFonts w:ascii="仿宋_GB2312" w:eastAsia="仿宋_GB2312"/>
          <w:sz w:val="32"/>
          <w:szCs w:val="32"/>
        </w:rPr>
        <w:t>%</w:t>
      </w:r>
      <w:r>
        <w:rPr>
          <w:rFonts w:hint="eastAsia" w:ascii="仿宋_GB2312" w:eastAsia="仿宋_GB2312"/>
          <w:sz w:val="32"/>
          <w:szCs w:val="32"/>
        </w:rPr>
        <w:t>。主要原因是严格执行</w:t>
      </w:r>
      <w:r>
        <w:rPr>
          <w:rFonts w:hint="eastAsia" w:ascii="仿宋_GB2312" w:eastAsia="仿宋_GB2312"/>
          <w:sz w:val="32"/>
          <w:szCs w:val="32"/>
          <w:lang w:eastAsia="zh-CN"/>
        </w:rPr>
        <w:t>中央八项规定</w:t>
      </w:r>
      <w:r>
        <w:rPr>
          <w:rFonts w:hint="eastAsia" w:ascii="仿宋_GB2312" w:eastAsia="仿宋_GB2312"/>
          <w:sz w:val="32"/>
          <w:szCs w:val="32"/>
        </w:rPr>
        <w:t>，加强</w:t>
      </w:r>
      <w:r>
        <w:rPr>
          <w:rFonts w:hint="eastAsia" w:ascii="仿宋_GB2312" w:eastAsia="仿宋_GB2312"/>
          <w:color w:val="000000"/>
          <w:sz w:val="32"/>
          <w:szCs w:val="32"/>
        </w:rPr>
        <w:t>公务接待管理。其中：</w:t>
      </w:r>
    </w:p>
    <w:p w14:paraId="65CB4E08">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1.10</w:t>
      </w:r>
      <w:r>
        <w:rPr>
          <w:rFonts w:hint="eastAsia" w:ascii="仿宋_GB2312" w:eastAsia="仿宋_GB2312"/>
          <w:color w:val="000000"/>
          <w:sz w:val="32"/>
          <w:szCs w:val="32"/>
        </w:rPr>
        <w:t>万元，主要用于执行公务、开展业务活动开支的交通费、住宿费、用餐费等。国内公务接待56批次，196人次（不包括陪同人员），共计支出</w:t>
      </w:r>
      <w:r>
        <w:rPr>
          <w:rFonts w:hint="eastAsia" w:ascii="仿宋" w:hAnsi="仿宋" w:eastAsia="仿宋"/>
          <w:color w:val="000000"/>
          <w:sz w:val="32"/>
          <w:szCs w:val="32"/>
        </w:rPr>
        <w:t>1.10</w:t>
      </w:r>
      <w:r>
        <w:rPr>
          <w:rFonts w:hint="eastAsia" w:ascii="仿宋_GB2312" w:eastAsia="仿宋_GB2312"/>
          <w:color w:val="000000"/>
          <w:sz w:val="32"/>
          <w:szCs w:val="32"/>
        </w:rPr>
        <w:t>万元，具体内容包括：东西部扶贫对口帮扶接待、专家讲座团队接待、邻县区部门考察、教育教学业务活动等。</w:t>
      </w:r>
    </w:p>
    <w:p w14:paraId="520C79D6">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3D557341">
      <w:pPr>
        <w:pStyle w:val="24"/>
        <w:ind w:left="420" w:leftChars="200" w:firstLine="0" w:firstLineChars="0"/>
        <w:jc w:val="left"/>
        <w:outlineLvl w:val="1"/>
        <w:rPr>
          <w:rFonts w:ascii="仿宋_GB2312" w:hAnsi="仿宋_GB2312" w:eastAsia="仿宋_GB2312" w:cs="仿宋_GB2312"/>
          <w:b/>
          <w:color w:val="000000"/>
          <w:sz w:val="30"/>
          <w:szCs w:val="30"/>
        </w:rPr>
      </w:pPr>
      <w:bookmarkStart w:id="57" w:name="_Toc24782"/>
    </w:p>
    <w:p w14:paraId="549BC71C">
      <w:pPr>
        <w:spacing w:line="600" w:lineRule="exact"/>
        <w:ind w:firstLine="640"/>
        <w:rPr>
          <w:rFonts w:ascii="黑体" w:hAnsi="黑体" w:eastAsia="黑体" w:cs="黑体"/>
          <w:color w:val="000000"/>
          <w:sz w:val="30"/>
          <w:szCs w:val="30"/>
        </w:rPr>
      </w:pPr>
      <w:r>
        <w:rPr>
          <w:rFonts w:hint="eastAsia" w:ascii="黑体" w:hAnsi="黑体" w:eastAsia="黑体" w:cs="黑体"/>
          <w:color w:val="000000"/>
          <w:sz w:val="30"/>
          <w:szCs w:val="30"/>
        </w:rPr>
        <w:t>八、政府性基金预算支出决算情况说明</w:t>
      </w:r>
      <w:bookmarkEnd w:id="55"/>
      <w:bookmarkEnd w:id="56"/>
      <w:bookmarkEnd w:id="57"/>
      <w:bookmarkStart w:id="58" w:name="_Toc15377219"/>
      <w:bookmarkStart w:id="59" w:name="_Toc15396611"/>
    </w:p>
    <w:p w14:paraId="7F948FA5">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年政府性基金预算拨款支出0万元。2020年本部门未在政府性基金预算拨款安排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4C6D87D5">
      <w:pPr>
        <w:pStyle w:val="24"/>
        <w:ind w:left="420" w:leftChars="200" w:firstLine="0" w:firstLineChars="0"/>
        <w:jc w:val="left"/>
        <w:outlineLvl w:val="1"/>
        <w:rPr>
          <w:rFonts w:ascii="黑体" w:hAnsi="黑体" w:eastAsia="黑体" w:cs="黑体"/>
          <w:color w:val="000000"/>
          <w:sz w:val="30"/>
          <w:szCs w:val="30"/>
        </w:rPr>
      </w:pPr>
    </w:p>
    <w:p w14:paraId="5BAEB94E">
      <w:pPr>
        <w:pStyle w:val="24"/>
        <w:ind w:left="420" w:leftChars="200" w:firstLine="0" w:firstLineChars="0"/>
        <w:jc w:val="left"/>
        <w:outlineLvl w:val="1"/>
        <w:rPr>
          <w:rFonts w:ascii="黑体" w:hAnsi="黑体" w:eastAsia="黑体" w:cs="黑体"/>
          <w:color w:val="000000"/>
          <w:sz w:val="30"/>
          <w:szCs w:val="30"/>
        </w:rPr>
      </w:pPr>
      <w:bookmarkStart w:id="60" w:name="_Toc6994"/>
      <w:r>
        <w:rPr>
          <w:rFonts w:hint="eastAsia" w:ascii="黑体" w:hAnsi="黑体" w:eastAsia="黑体" w:cs="黑体"/>
          <w:color w:val="000000"/>
          <w:sz w:val="30"/>
          <w:szCs w:val="30"/>
        </w:rPr>
        <w:t>九、国有资本经营预算支出决算情况说明</w:t>
      </w:r>
      <w:bookmarkEnd w:id="58"/>
      <w:bookmarkEnd w:id="59"/>
      <w:bookmarkEnd w:id="60"/>
      <w:bookmarkStart w:id="61" w:name="_Toc15396612"/>
      <w:bookmarkStart w:id="62" w:name="_Toc15377221"/>
    </w:p>
    <w:p w14:paraId="4A3A125D">
      <w:pPr>
        <w:ind w:firstLine="600" w:firstLineChars="200"/>
        <w:jc w:val="left"/>
        <w:rPr>
          <w:rFonts w:ascii="仿宋_GB2312" w:hAnsi="仿宋_GB2312" w:eastAsia="仿宋_GB2312" w:cs="仿宋_GB2312"/>
          <w:bCs/>
          <w:sz w:val="30"/>
          <w:szCs w:val="30"/>
        </w:rPr>
      </w:pPr>
      <w:r>
        <w:rPr>
          <w:rFonts w:hint="eastAsia" w:ascii="仿宋_GB2312" w:hAnsi="仿宋_GB2312" w:eastAsia="仿宋_GB2312" w:cs="仿宋_GB2312"/>
          <w:bCs/>
          <w:color w:val="000000"/>
          <w:sz w:val="30"/>
          <w:szCs w:val="30"/>
        </w:rPr>
        <w:t>2020年国有资本经营预算拨款支出0万元。</w:t>
      </w:r>
    </w:p>
    <w:p w14:paraId="0CA69609">
      <w:pPr>
        <w:spacing w:line="600" w:lineRule="exact"/>
        <w:ind w:firstLine="600" w:firstLineChars="200"/>
        <w:outlineLvl w:val="2"/>
        <w:rPr>
          <w:rStyle w:val="37"/>
          <w:rFonts w:ascii="黑体" w:hAnsi="黑体" w:eastAsia="黑体"/>
          <w:b w:val="0"/>
          <w:sz w:val="30"/>
          <w:szCs w:val="30"/>
        </w:rPr>
      </w:pPr>
      <w:bookmarkStart w:id="63" w:name="_Toc10925"/>
      <w:r>
        <w:rPr>
          <w:rFonts w:hint="eastAsia" w:ascii="黑体" w:hAnsi="黑体" w:eastAsia="黑体" w:cs="黑体"/>
          <w:color w:val="000000"/>
          <w:sz w:val="30"/>
          <w:szCs w:val="30"/>
        </w:rPr>
        <w:t>十、其他重要事项的情况说</w:t>
      </w:r>
      <w:r>
        <w:rPr>
          <w:rStyle w:val="37"/>
          <w:rFonts w:hint="eastAsia" w:ascii="黑体" w:hAnsi="黑体" w:eastAsia="黑体"/>
          <w:b w:val="0"/>
          <w:sz w:val="30"/>
          <w:szCs w:val="30"/>
        </w:rPr>
        <w:t>明</w:t>
      </w:r>
      <w:bookmarkEnd w:id="61"/>
      <w:bookmarkEnd w:id="62"/>
      <w:bookmarkEnd w:id="63"/>
    </w:p>
    <w:p w14:paraId="5105E296">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14:paraId="637327BE">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0DDAE0F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14:paraId="6D2981AD">
      <w:pPr>
        <w:autoSpaceDE w:val="0"/>
        <w:autoSpaceDN w:val="0"/>
        <w:adjustRightInd w:val="0"/>
        <w:spacing w:line="600" w:lineRule="exact"/>
        <w:ind w:left="638" w:leftChars="304" w:firstLine="0" w:firstLineChars="0"/>
        <w:jc w:val="left"/>
        <w:outlineLvl w:val="2"/>
        <w:rPr>
          <w:rFonts w:ascii="仿宋" w:hAnsi="仿宋" w:eastAsia="仿宋"/>
          <w:b/>
          <w:color w:val="000000"/>
          <w:sz w:val="32"/>
          <w:szCs w:val="32"/>
        </w:rPr>
      </w:pPr>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r>
        <w:rPr>
          <w:rFonts w:hint="eastAsia" w:ascii="仿宋" w:hAnsi="仿宋" w:eastAsia="仿宋"/>
          <w:b/>
          <w:color w:val="000000"/>
          <w:sz w:val="32"/>
          <w:szCs w:val="32"/>
        </w:rPr>
        <w:t>（三）国有资产占有使用情况</w:t>
      </w:r>
    </w:p>
    <w:p w14:paraId="442AB29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w:t>
      </w:r>
      <w:r>
        <w:rPr>
          <w:rFonts w:ascii="仿宋_GB2312" w:eastAsia="仿宋_GB2312"/>
          <w:color w:val="000000"/>
          <w:sz w:val="32"/>
          <w:szCs w:val="32"/>
        </w:rPr>
        <w:t>部门</w:t>
      </w:r>
      <w:r>
        <w:rPr>
          <w:rFonts w:hint="eastAsia" w:ascii="仿宋_GB2312" w:eastAsia="仿宋_GB2312"/>
          <w:color w:val="000000"/>
          <w:sz w:val="32"/>
          <w:szCs w:val="32"/>
        </w:rPr>
        <w:t>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4F92BA4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AC4DDA6">
      <w:pPr>
        <w:snapToGrid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按要求对2020年整体支出开展绩效自评，从评价情况来看学校整体支出绩效评价自评结果良好，全年基本支出保障了学校的正常运行和日常工作的正常开展，项目支出保障了重点工作的开展，各项支出均达到了预期的绩效管理目标。</w:t>
      </w:r>
    </w:p>
    <w:p w14:paraId="4F8EC596">
      <w:pPr>
        <w:snapToGrid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存在的问题：一是绩效评价管理工作制度建设有待进一步加强，绩效管理缺乏系统性；</w:t>
      </w:r>
    </w:p>
    <w:p w14:paraId="16467E5B">
      <w:pPr>
        <w:snapToGrid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二是缺乏绩效评价专业人才，现有评价工作人员的知识体系和业务技能还需进一步提高，以适应绩效评价工作相关要求。</w:t>
      </w:r>
    </w:p>
    <w:p w14:paraId="13A2E5C7">
      <w:pPr>
        <w:snapToGrid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下一步改进措施：</w:t>
      </w:r>
    </w:p>
    <w:p w14:paraId="4E42412B">
      <w:pPr>
        <w:snapToGrid w:val="0"/>
        <w:spacing w:line="480" w:lineRule="exact"/>
        <w:ind w:firstLine="640" w:firstLineChars="200"/>
        <w:rPr>
          <w:rFonts w:ascii="仿宋_GB2312" w:eastAsia="仿宋_GB2312"/>
          <w:color w:val="000000"/>
          <w:sz w:val="32"/>
          <w:szCs w:val="32"/>
        </w:rPr>
      </w:pPr>
      <w:r>
        <w:rPr>
          <w:rFonts w:hint="eastAsia"/>
          <w:color w:val="000000"/>
          <w:sz w:val="32"/>
          <w:szCs w:val="32"/>
        </w:rPr>
        <w:t>一是</w:t>
      </w:r>
      <w:r>
        <w:rPr>
          <w:rFonts w:hint="eastAsia" w:ascii="仿宋_GB2312" w:eastAsia="仿宋_GB2312"/>
          <w:color w:val="000000"/>
          <w:sz w:val="32"/>
          <w:szCs w:val="32"/>
        </w:rPr>
        <w:t>进一步加强绩效评价管理制度建设；</w:t>
      </w:r>
    </w:p>
    <w:p w14:paraId="43D1BE5D">
      <w:pPr>
        <w:snapToGrid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二是建立有效的绩效管理体系；</w:t>
      </w:r>
    </w:p>
    <w:p w14:paraId="39A65118">
      <w:pPr>
        <w:snapToGrid w:val="0"/>
        <w:spacing w:line="480" w:lineRule="exact"/>
        <w:ind w:left="638" w:leftChars="304"/>
        <w:rPr>
          <w:rFonts w:ascii="仿宋_GB2312" w:eastAsia="仿宋_GB2312"/>
          <w:color w:val="000000"/>
          <w:sz w:val="32"/>
          <w:szCs w:val="32"/>
        </w:rPr>
      </w:pPr>
      <w:r>
        <w:rPr>
          <w:rFonts w:hint="eastAsia"/>
          <w:color w:val="000000"/>
          <w:sz w:val="32"/>
          <w:szCs w:val="32"/>
        </w:rPr>
        <w:t>三是</w:t>
      </w:r>
      <w:r>
        <w:rPr>
          <w:rFonts w:hint="eastAsia" w:ascii="仿宋_GB2312" w:eastAsia="仿宋_GB2312"/>
          <w:color w:val="000000"/>
          <w:sz w:val="32"/>
          <w:szCs w:val="32"/>
        </w:rPr>
        <w:t>强化绩效管理数据分析，强化绩效管理数据运用；四是强化绩效评价专业技能的培训；</w:t>
      </w:r>
    </w:p>
    <w:p w14:paraId="3E3EA9F4">
      <w:pPr>
        <w:snapToGrid w:val="0"/>
        <w:spacing w:line="480" w:lineRule="exact"/>
        <w:ind w:left="638" w:leftChars="304"/>
        <w:jc w:val="left"/>
        <w:rPr>
          <w:rFonts w:ascii="仿宋_GB2312" w:eastAsia="仿宋_GB2312"/>
          <w:color w:val="000000"/>
          <w:sz w:val="32"/>
          <w:szCs w:val="32"/>
        </w:rPr>
      </w:pPr>
      <w:r>
        <w:rPr>
          <w:rFonts w:hint="eastAsia" w:ascii="仿宋_GB2312" w:eastAsia="仿宋_GB2312"/>
          <w:color w:val="000000"/>
          <w:sz w:val="32"/>
          <w:szCs w:val="32"/>
        </w:rPr>
        <w:t>五是探索与预算编制相结合的财政绩效管理，将绩效评</w:t>
      </w:r>
    </w:p>
    <w:p w14:paraId="68443D1B">
      <w:pPr>
        <w:snapToGrid w:val="0"/>
        <w:spacing w:line="480" w:lineRule="exact"/>
        <w:jc w:val="left"/>
        <w:rPr>
          <w:rFonts w:ascii="仿宋_GB2312" w:eastAsia="仿宋_GB2312"/>
          <w:color w:val="000000"/>
          <w:sz w:val="32"/>
          <w:szCs w:val="32"/>
        </w:rPr>
      </w:pPr>
      <w:r>
        <w:rPr>
          <w:rFonts w:hint="eastAsia" w:ascii="仿宋_GB2312" w:eastAsia="仿宋_GB2312"/>
          <w:color w:val="000000"/>
          <w:sz w:val="32"/>
          <w:szCs w:val="32"/>
        </w:rPr>
        <w:t>价逐步从事后评价延伸至事前、事中评价。</w:t>
      </w:r>
      <w:r>
        <w:rPr>
          <w:rFonts w:hint="eastAsia" w:ascii="仿宋_GB2312" w:hAnsi="仿宋_GB2312" w:eastAsia="仿宋_GB2312" w:cs="仿宋_GB2312"/>
          <w:bCs/>
          <w:sz w:val="30"/>
          <w:szCs w:val="30"/>
        </w:rPr>
        <w:br w:type="page"/>
      </w:r>
    </w:p>
    <w:p w14:paraId="28731D0B">
      <w:pPr>
        <w:pStyle w:val="23"/>
        <w:spacing w:line="560" w:lineRule="exact"/>
        <w:ind w:firstLine="1320" w:firstLineChars="300"/>
        <w:rPr>
          <w:rStyle w:val="36"/>
          <w:rFonts w:ascii="黑体" w:hAnsi="黑体" w:eastAsia="黑体"/>
          <w:b w:val="0"/>
        </w:rPr>
      </w:pPr>
      <w:bookmarkStart w:id="64" w:name="_Toc15377225"/>
      <w:bookmarkStart w:id="65" w:name="_Toc24233"/>
      <w:bookmarkStart w:id="66" w:name="_Toc15396613"/>
      <w:r>
        <w:rPr>
          <w:rFonts w:hint="eastAsia" w:ascii="黑体" w:hAnsi="黑体" w:eastAsia="黑体"/>
          <w:sz w:val="44"/>
          <w:szCs w:val="44"/>
        </w:rPr>
        <w:t>第三部分  名</w:t>
      </w:r>
      <w:r>
        <w:rPr>
          <w:rStyle w:val="36"/>
          <w:rFonts w:hint="eastAsia" w:ascii="黑体" w:hAnsi="黑体" w:eastAsia="黑体"/>
          <w:b w:val="0"/>
        </w:rPr>
        <w:t>词解释</w:t>
      </w:r>
      <w:bookmarkEnd w:id="64"/>
      <w:bookmarkEnd w:id="65"/>
      <w:bookmarkEnd w:id="66"/>
    </w:p>
    <w:p w14:paraId="071AAD92">
      <w:pPr>
        <w:pStyle w:val="23"/>
        <w:spacing w:line="560" w:lineRule="exact"/>
        <w:ind w:firstLine="640" w:firstLineChars="200"/>
        <w:rPr>
          <w:rFonts w:ascii="仿宋_GB2312" w:eastAsia="仿宋_GB2312"/>
          <w:sz w:val="32"/>
          <w:szCs w:val="32"/>
        </w:rPr>
      </w:pPr>
    </w:p>
    <w:p w14:paraId="73672E93">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财政拨款收入：指部门从同级财政部门取得的财政预算资金。</w:t>
      </w:r>
    </w:p>
    <w:p w14:paraId="7B53339E">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事业收入：指事业部门开展专业业务活动及辅助活动取得的收入。</w:t>
      </w:r>
    </w:p>
    <w:p w14:paraId="528B714F">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经营收入：指事业部门在专业业务活动及其辅助活动之外开展非独立核算经营活动取得的收入。</w:t>
      </w:r>
    </w:p>
    <w:p w14:paraId="6C0108F4">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其他收入：指部门取得的除上述收入以外的各项收入。</w:t>
      </w:r>
    </w:p>
    <w:p w14:paraId="249B9B61">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年初结转和结余：指以前年度尚未完成、结转到本年按有关规定继续使用的资金。</w:t>
      </w:r>
    </w:p>
    <w:p w14:paraId="1CBA1009">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6.年末结转和结余：指部门按有关规定结转到下年或以后年度继续使用的资金。</w:t>
      </w:r>
    </w:p>
    <w:p w14:paraId="15A73FAF">
      <w:pPr>
        <w:widowControl/>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教育支出（类）教育管理事务（款）：</w:t>
      </w:r>
      <w:r>
        <w:rPr>
          <w:rFonts w:ascii="仿宋_GB2312" w:hAnsi="宋体" w:eastAsia="仿宋_GB2312" w:cs="仿宋_GB2312"/>
          <w:color w:val="000000"/>
          <w:kern w:val="0"/>
          <w:sz w:val="30"/>
          <w:szCs w:val="30"/>
        </w:rPr>
        <w:t>反映各类教育</w:t>
      </w:r>
      <w:r>
        <w:rPr>
          <w:rFonts w:hint="eastAsia" w:ascii="仿宋_GB2312" w:hAnsi="宋体" w:eastAsia="仿宋_GB2312" w:cs="仿宋_GB2312"/>
          <w:color w:val="000000"/>
          <w:kern w:val="0"/>
          <w:sz w:val="30"/>
          <w:szCs w:val="30"/>
        </w:rPr>
        <w:t>管理事务</w:t>
      </w:r>
      <w:r>
        <w:rPr>
          <w:rFonts w:ascii="仿宋_GB2312" w:hAnsi="宋体" w:eastAsia="仿宋_GB2312" w:cs="仿宋_GB2312"/>
          <w:color w:val="000000"/>
          <w:kern w:val="0"/>
          <w:sz w:val="30"/>
          <w:szCs w:val="30"/>
        </w:rPr>
        <w:t>支出。</w:t>
      </w:r>
    </w:p>
    <w:p w14:paraId="6285234F">
      <w:pPr>
        <w:ind w:firstLine="640" w:firstLineChars="200"/>
        <w:rPr>
          <w:rFonts w:ascii="仿宋_GB2312" w:eastAsia="仿宋_GB2312"/>
          <w:color w:val="000000"/>
          <w:sz w:val="32"/>
          <w:szCs w:val="32"/>
        </w:rPr>
      </w:pPr>
      <w:r>
        <w:rPr>
          <w:rFonts w:hint="eastAsia" w:ascii="仿宋_GB2312" w:eastAsia="仿宋_GB2312"/>
          <w:color w:val="000000"/>
          <w:sz w:val="32"/>
          <w:szCs w:val="32"/>
        </w:rPr>
        <w:t>行政运行（项）：指用于行政部门基本运行支出。</w:t>
      </w:r>
    </w:p>
    <w:p w14:paraId="0EC47B91">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其他教育管理事务支出（项）：指用于行政部门其他管理事务的支出。</w:t>
      </w:r>
    </w:p>
    <w:p w14:paraId="40AD227D">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.教育支出（类）普通教育（款）：反映各类普通教育支出。政府各部门对社会中介组织等举办的各类教育的资助，如捐赠、补贴等。</w:t>
      </w:r>
    </w:p>
    <w:p w14:paraId="248D70F9">
      <w:pPr>
        <w:ind w:firstLine="640" w:firstLineChars="200"/>
        <w:rPr>
          <w:rFonts w:ascii="仿宋_GB2312" w:eastAsia="仿宋_GB2312"/>
          <w:color w:val="000000"/>
          <w:sz w:val="32"/>
          <w:szCs w:val="32"/>
        </w:rPr>
      </w:pPr>
      <w:r>
        <w:rPr>
          <w:rFonts w:hint="eastAsia" w:ascii="仿宋_GB2312" w:eastAsia="仿宋_GB2312"/>
          <w:color w:val="000000"/>
          <w:sz w:val="32"/>
          <w:szCs w:val="32"/>
        </w:rPr>
        <w:t>学前教育（项）：反映各部门举办的学前教育支出。</w:t>
      </w:r>
    </w:p>
    <w:p w14:paraId="115ECFD3">
      <w:pPr>
        <w:ind w:firstLine="640" w:firstLineChars="200"/>
        <w:rPr>
          <w:rFonts w:ascii="仿宋_GB2312" w:eastAsia="仿宋_GB2312"/>
          <w:color w:val="000000"/>
          <w:sz w:val="32"/>
          <w:szCs w:val="32"/>
        </w:rPr>
      </w:pPr>
      <w:r>
        <w:rPr>
          <w:rFonts w:hint="eastAsia" w:ascii="仿宋_GB2312" w:eastAsia="仿宋_GB2312"/>
          <w:color w:val="000000"/>
          <w:sz w:val="32"/>
          <w:szCs w:val="32"/>
        </w:rPr>
        <w:t>小学教育（项）：反映各部门举办的小学教育支出。</w:t>
      </w:r>
    </w:p>
    <w:p w14:paraId="2271BA39">
      <w:pPr>
        <w:ind w:firstLine="640" w:firstLineChars="200"/>
        <w:rPr>
          <w:rFonts w:ascii="仿宋_GB2312" w:eastAsia="仿宋_GB2312"/>
          <w:color w:val="000000"/>
          <w:sz w:val="32"/>
          <w:szCs w:val="32"/>
        </w:rPr>
      </w:pPr>
      <w:r>
        <w:rPr>
          <w:rFonts w:hint="eastAsia" w:ascii="仿宋_GB2312" w:eastAsia="仿宋_GB2312"/>
          <w:color w:val="000000"/>
          <w:sz w:val="32"/>
          <w:szCs w:val="32"/>
        </w:rPr>
        <w:t>初中教育（项）：反映各部门举办的初级中学教育支出。</w:t>
      </w:r>
    </w:p>
    <w:p w14:paraId="577DB55E">
      <w:pPr>
        <w:ind w:firstLine="640" w:firstLineChars="200"/>
        <w:rPr>
          <w:rFonts w:ascii="仿宋_GB2312" w:eastAsia="仿宋_GB2312"/>
          <w:color w:val="000000"/>
          <w:sz w:val="32"/>
          <w:szCs w:val="32"/>
        </w:rPr>
      </w:pPr>
      <w:r>
        <w:rPr>
          <w:rFonts w:hint="eastAsia" w:ascii="仿宋_GB2312" w:eastAsia="仿宋_GB2312"/>
          <w:color w:val="000000"/>
          <w:sz w:val="32"/>
          <w:szCs w:val="32"/>
        </w:rPr>
        <w:t>高中教育（项）：反映各部门举办的高级中学教育支出。</w:t>
      </w:r>
    </w:p>
    <w:p w14:paraId="34A6DE87">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其他普通教育支出（项）：反映除上述项目以外其他用于普通教育方面的支出。</w:t>
      </w:r>
    </w:p>
    <w:p w14:paraId="6EADA0E8">
      <w:pPr>
        <w:ind w:left="420" w:leftChars="200" w:firstLine="320" w:firstLineChars="1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.教育支出（类）教育费附加安排的支出（款）</w:t>
      </w:r>
    </w:p>
    <w:p w14:paraId="32C97242">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其他教育费附加安排的支出（项）：指政府各类教育费附加用于安排的教育支出。</w:t>
      </w:r>
    </w:p>
    <w:p w14:paraId="3B3C8919">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社会保障和就业支出（类）抚恤（款）死亡抚恤（项）：指用于人员死亡发放的抚恤金支出。</w:t>
      </w:r>
    </w:p>
    <w:p w14:paraId="021EE96C">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1</w:t>
      </w:r>
      <w:r>
        <w:rPr>
          <w:rFonts w:hint="eastAsia" w:ascii="仿宋_GB2312" w:eastAsia="仿宋_GB2312"/>
          <w:color w:val="000000"/>
          <w:sz w:val="32"/>
          <w:szCs w:val="32"/>
        </w:rPr>
        <w:t>.医疗卫生与计划生育支出（类）行政事业部门医疗（款）行政部门医疗（项）是指财政部门集中安排的行政部门基本养老保险缴费经费，未参加养老保险的行政部门的公费医疗经费，按国家规定享受离休人员待遇人员的医疗经费。</w:t>
      </w:r>
    </w:p>
    <w:p w14:paraId="0F187BEA">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.住房保障（类）住房改革（款）住房公积金（项）:反映行政事业部门按人力资源和社会保障部、财政部规定的基本工资和津贴补贴以及规定比例为职工缴纳的住房公积金。</w:t>
      </w:r>
    </w:p>
    <w:p w14:paraId="15FF89A1">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3.</w:t>
      </w:r>
      <w:r>
        <w:rPr>
          <w:rFonts w:hint="eastAsia" w:ascii="仿宋_GB2312" w:eastAsia="仿宋_GB2312"/>
          <w:color w:val="000000"/>
          <w:sz w:val="32"/>
          <w:szCs w:val="32"/>
        </w:rPr>
        <w:t>基本支出：指为保障机构正常运转、完成日常工作任务而发生的人员支出和公用支出。</w:t>
      </w:r>
    </w:p>
    <w:p w14:paraId="66280F2B">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4.</w:t>
      </w:r>
      <w:r>
        <w:rPr>
          <w:rFonts w:hint="eastAsia" w:ascii="仿宋_GB2312" w:eastAsia="仿宋_GB2312"/>
          <w:color w:val="000000"/>
          <w:sz w:val="32"/>
          <w:szCs w:val="32"/>
        </w:rPr>
        <w:t>项目支出：指在基本支出之外为完成特定行政任务和事业发展目标所发生的支出。</w:t>
      </w:r>
    </w:p>
    <w:p w14:paraId="5DE802FD">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503D6D40">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500DAC">
      <w:pPr>
        <w:ind w:firstLine="1320" w:firstLineChars="300"/>
        <w:jc w:val="left"/>
        <w:outlineLvl w:val="0"/>
        <w:rPr>
          <w:rStyle w:val="36"/>
          <w:rFonts w:ascii="黑体" w:hAnsi="黑体" w:eastAsia="黑体"/>
          <w:b w:val="0"/>
        </w:rPr>
      </w:pPr>
    </w:p>
    <w:p w14:paraId="35DAE608">
      <w:pPr>
        <w:jc w:val="left"/>
        <w:rPr>
          <w:rFonts w:ascii="宋体"/>
          <w:b/>
          <w:color w:val="000000"/>
          <w:sz w:val="44"/>
          <w:szCs w:val="44"/>
        </w:rPr>
      </w:pPr>
    </w:p>
    <w:p w14:paraId="3A85C998">
      <w:pPr>
        <w:spacing w:line="600" w:lineRule="exact"/>
        <w:jc w:val="center"/>
        <w:rPr>
          <w:rStyle w:val="36"/>
          <w:rFonts w:ascii="黑体" w:hAnsi="黑体" w:eastAsia="黑体"/>
          <w:b w:val="0"/>
        </w:rPr>
      </w:pPr>
      <w:bookmarkStart w:id="67" w:name="_Toc15377226"/>
      <w:r>
        <w:rPr>
          <w:rFonts w:ascii="宋体"/>
          <w:b/>
          <w:color w:val="000000"/>
          <w:sz w:val="44"/>
          <w:szCs w:val="44"/>
        </w:rPr>
        <w:br w:type="page"/>
      </w:r>
      <w:bookmarkStart w:id="68" w:name="_Toc4989"/>
      <w:bookmarkStart w:id="69" w:name="_Toc15396614"/>
      <w:r>
        <w:rPr>
          <w:rFonts w:hint="eastAsia" w:ascii="黑体" w:hAnsi="黑体" w:eastAsia="黑体"/>
          <w:color w:val="000000"/>
          <w:sz w:val="44"/>
          <w:szCs w:val="44"/>
        </w:rPr>
        <w:t>第</w:t>
      </w:r>
      <w:r>
        <w:rPr>
          <w:rStyle w:val="36"/>
          <w:rFonts w:hint="eastAsia" w:ascii="黑体" w:hAnsi="黑体" w:eastAsia="黑体"/>
          <w:b w:val="0"/>
        </w:rPr>
        <w:t>四部分 附件</w:t>
      </w:r>
      <w:bookmarkEnd w:id="68"/>
      <w:bookmarkEnd w:id="69"/>
    </w:p>
    <w:p w14:paraId="61F28607">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广元市昭化区文村乡小学</w:t>
      </w:r>
    </w:p>
    <w:p w14:paraId="55EC2EFE">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07558DEA">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1FEFEA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部门概况</w:t>
      </w:r>
    </w:p>
    <w:p w14:paraId="17EDE66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39EE66A9">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本部门为广元市昭化区教育局所属的二级预算部门，部门性质为财政补助事业部门。</w:t>
      </w:r>
    </w:p>
    <w:p w14:paraId="17725BB8">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5DC3C60C">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36B4ABC0">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62459D7A">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3.负责配合各级人民政府依法动员、组织适龄儿童、少年入学，严格控制学生辍学，依法保证适龄儿童、少年接受九年义务教育。</w:t>
      </w:r>
    </w:p>
    <w:p w14:paraId="1C622802">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2C21B1FD">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57F92ECB">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22454EBC">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7.负责创建绿色校园、文明校园和平安校园。</w:t>
      </w:r>
    </w:p>
    <w:p w14:paraId="5596889D">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144C6488">
      <w:pPr>
        <w:adjustRightInd w:val="0"/>
        <w:snapToGrid w:val="0"/>
        <w:spacing w:beforeLines="30" w:line="560" w:lineRule="exact"/>
        <w:ind w:firstLine="672" w:firstLineChars="210"/>
        <w:rPr>
          <w:rFonts w:ascii="仿宋_GB2312" w:eastAsia="仿宋_GB2312"/>
          <w:bCs/>
          <w:color w:val="000000"/>
          <w:kern w:val="0"/>
          <w:sz w:val="32"/>
          <w:szCs w:val="32"/>
        </w:rPr>
      </w:pPr>
      <w:r>
        <w:rPr>
          <w:rFonts w:hint="eastAsia" w:ascii="仿宋" w:hAnsi="仿宋" w:eastAsia="仿宋"/>
          <w:sz w:val="32"/>
          <w:szCs w:val="32"/>
        </w:rPr>
        <w:t>9.承办上级交办的其他事项。</w:t>
      </w:r>
    </w:p>
    <w:p w14:paraId="7E4A5A2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203B1A91">
      <w:pPr>
        <w:adjustRightInd w:val="0"/>
        <w:snapToGrid w:val="0"/>
        <w:spacing w:beforeLines="30" w:line="560" w:lineRule="exact"/>
        <w:ind w:firstLine="672" w:firstLineChars="210"/>
        <w:rPr>
          <w:rFonts w:ascii="仿宋_GB2312" w:eastAsia="仿宋_GB2312"/>
          <w:bCs/>
          <w:color w:val="000000"/>
          <w:kern w:val="0"/>
          <w:sz w:val="32"/>
          <w:szCs w:val="32"/>
          <w:lang w:val="zh-CN"/>
        </w:rPr>
      </w:pPr>
      <w:r>
        <w:rPr>
          <w:rFonts w:hint="eastAsia" w:ascii="仿宋_GB2312" w:eastAsia="仿宋_GB2312"/>
          <w:bCs/>
          <w:color w:val="000000"/>
          <w:kern w:val="0"/>
          <w:sz w:val="32"/>
          <w:szCs w:val="32"/>
        </w:rPr>
        <w:t>2020年事业人员27人，其中：专业技术人员27人。</w:t>
      </w:r>
    </w:p>
    <w:p w14:paraId="2BCB1D0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494A0D3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0856990E">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2020年收入715.27万元，其中：一般公共预算财政拨款收入715.27万元，政府性基金预算财政拨款0万元。</w:t>
      </w:r>
    </w:p>
    <w:p w14:paraId="61A07071">
      <w:pPr>
        <w:pStyle w:val="43"/>
        <w:widowControl/>
        <w:numPr>
          <w:ilvl w:val="1"/>
          <w:numId w:val="3"/>
        </w:numPr>
        <w:adjustRightInd w:val="0"/>
        <w:snapToGrid w:val="0"/>
        <w:spacing w:line="580" w:lineRule="exact"/>
        <w:ind w:firstLineChars="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28F6A2E4">
      <w:pPr>
        <w:spacing w:line="560" w:lineRule="exact"/>
        <w:ind w:firstLine="640" w:firstLineChars="200"/>
        <w:rPr>
          <w:lang w:val="zh-CN"/>
        </w:rPr>
      </w:pPr>
      <w:r>
        <w:rPr>
          <w:rFonts w:hint="eastAsia" w:ascii="仿宋" w:hAnsi="仿宋" w:eastAsia="仿宋"/>
          <w:color w:val="000000"/>
          <w:sz w:val="32"/>
          <w:szCs w:val="32"/>
        </w:rPr>
        <w:t>2020年支出715.2678万元，其中：基本支出485.27万元，项目支出230万元。</w:t>
      </w:r>
    </w:p>
    <w:p w14:paraId="473F9D3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22039A1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4B43F160">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预算管理情况较好。部门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部门内控制度完整包含了预算资金管理、内部财务管理、会计核算等方面。部门已按照规定时限和内容公开2020年度预算信息；部门财务核算信息及预、决算编制所依据的会计基础信息准确、完善。</w:t>
      </w:r>
    </w:p>
    <w:p w14:paraId="37066E1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5DE1591F">
      <w:pPr>
        <w:spacing w:line="580" w:lineRule="exact"/>
        <w:ind w:firstLine="640" w:firstLineChars="200"/>
        <w:rPr>
          <w:rFonts w:ascii="仿宋_GB2312" w:hAnsi="宋体" w:eastAsia="仿宋_GB2312" w:cs="仿宋_GB2312"/>
          <w:color w:val="000000"/>
          <w:sz w:val="32"/>
          <w:szCs w:val="32"/>
          <w:shd w:val="clear" w:color="080000" w:fill="FFFFFF"/>
        </w:rPr>
      </w:pPr>
      <w:r>
        <w:rPr>
          <w:rFonts w:hint="eastAsia" w:ascii="仿宋_GB2312" w:hAnsi="宋体" w:eastAsia="仿宋_GB2312" w:cs="仿宋_GB2312"/>
          <w:color w:val="000000"/>
          <w:sz w:val="32"/>
          <w:szCs w:val="32"/>
          <w:shd w:val="clear" w:color="080000" w:fill="FFFFFF"/>
        </w:rPr>
        <w:t>评价结果作为改进预算管理和安排以后年度预算的重要依据。同时根据绩效自评情况，不断补充完善绩效评价指标。      </w:t>
      </w:r>
    </w:p>
    <w:p w14:paraId="53C6F38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115403D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0637974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2FF59C03">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226CFB59">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业务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对项目预算编制、执行、绩效评价工作还未摆脱财务考评影响。</w:t>
      </w:r>
    </w:p>
    <w:p w14:paraId="0CAF1AF4">
      <w:pPr>
        <w:spacing w:line="560" w:lineRule="exact"/>
        <w:ind w:firstLine="640" w:firstLineChars="200"/>
        <w:rPr>
          <w:lang w:val="zh-CN"/>
        </w:rPr>
      </w:pPr>
      <w:r>
        <w:rPr>
          <w:rFonts w:hint="eastAsia" w:ascii="仿宋" w:hAnsi="仿宋" w:eastAsia="仿宋"/>
          <w:color w:val="000000"/>
          <w:sz w:val="32"/>
          <w:szCs w:val="32"/>
        </w:rPr>
        <w:t>2.预算绩效管理工作相对滞后。近年来实施财务精细化管理后，预算编制由财务工作者统筹，学校财务工作者除应对部门日常财务管理等外，无更多精力承担预算项目绩效管理培训、预算编制审核和预算管理绩效跟踪管理。</w:t>
      </w:r>
    </w:p>
    <w:p w14:paraId="1B5694A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2B2C4EEB">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1.加强培训，扩大培训范围。由局计财股负责对预算编审人员进行再培训，进一步统一认识，充实业务知识，精准编制预算。</w:t>
      </w:r>
    </w:p>
    <w:p w14:paraId="3E656246">
      <w:pPr>
        <w:spacing w:line="560" w:lineRule="exact"/>
        <w:ind w:firstLine="640" w:firstLineChars="200"/>
        <w:rPr>
          <w:rStyle w:val="36"/>
          <w:rFonts w:ascii="仿宋_GB2312" w:hAnsi="仿宋_GB2312" w:eastAsia="仿宋_GB2312" w:cs="仿宋_GB2312"/>
          <w:b w:val="0"/>
          <w:bCs w:val="0"/>
          <w:kern w:val="2"/>
          <w:sz w:val="32"/>
          <w:szCs w:val="32"/>
        </w:rPr>
      </w:pPr>
      <w:r>
        <w:rPr>
          <w:rFonts w:hint="eastAsia" w:ascii="仿宋" w:hAnsi="仿宋" w:eastAsia="仿宋"/>
          <w:color w:val="000000"/>
          <w:sz w:val="32"/>
          <w:szCs w:val="32"/>
        </w:rPr>
        <w:t>2.督促预算项目负责人加强项目管理。在布置预算绩效管理工作时，相关负责人已督促各项目负责人从预算编制开始，收集、汇总项目各个阶段的痕迹资料，做好项目档案管理，提醒和督促加快资金拨付和使用。</w:t>
      </w:r>
    </w:p>
    <w:p w14:paraId="2198DC38">
      <w:pPr>
        <w:rPr>
          <w:rFonts w:ascii="黑体" w:hAnsi="宋体" w:eastAsia="黑体" w:cs="宋体"/>
          <w:color w:val="000000"/>
          <w:kern w:val="0"/>
          <w:sz w:val="24"/>
          <w:szCs w:val="32"/>
          <w:shd w:val="clear" w:color="auto" w:fill="FFFFFF"/>
        </w:rPr>
      </w:pPr>
      <w:r>
        <w:rPr>
          <w:rFonts w:hint="eastAsia" w:ascii="黑体" w:hAnsi="黑体" w:eastAsia="黑体" w:cs="黑体"/>
          <w:sz w:val="30"/>
          <w:szCs w:val="30"/>
        </w:rPr>
        <w:t>五、其他需要说明的问题</w:t>
      </w:r>
    </w:p>
    <w:p w14:paraId="3CDAD12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无其他说明的问题。</w:t>
      </w:r>
    </w:p>
    <w:p w14:paraId="7D405FB4">
      <w:pPr>
        <w:jc w:val="left"/>
      </w:pPr>
    </w:p>
    <w:p w14:paraId="382B256B">
      <w:r>
        <w:br w:type="page"/>
      </w:r>
    </w:p>
    <w:p w14:paraId="50289B32">
      <w:pPr>
        <w:jc w:val="left"/>
      </w:pPr>
    </w:p>
    <w:p w14:paraId="11436136">
      <w:pPr>
        <w:jc w:val="center"/>
        <w:outlineLvl w:val="0"/>
        <w:rPr>
          <w:rStyle w:val="36"/>
          <w:rFonts w:ascii="黑体" w:hAnsi="黑体" w:eastAsia="黑体"/>
          <w:b w:val="0"/>
        </w:rPr>
      </w:pPr>
      <w:bookmarkStart w:id="70" w:name="_Toc23953"/>
      <w:bookmarkStart w:id="71" w:name="_Toc15396618"/>
      <w:r>
        <w:rPr>
          <w:rStyle w:val="36"/>
          <w:rFonts w:hint="eastAsia" w:ascii="黑体" w:hAnsi="黑体" w:eastAsia="黑体"/>
          <w:b w:val="0"/>
        </w:rPr>
        <w:t>第五部分附表</w:t>
      </w:r>
      <w:bookmarkEnd w:id="67"/>
      <w:bookmarkEnd w:id="70"/>
      <w:bookmarkEnd w:id="71"/>
    </w:p>
    <w:p w14:paraId="4FAC9A4B">
      <w:pPr>
        <w:pStyle w:val="17"/>
        <w:ind w:left="0" w:leftChars="0" w:firstLine="0" w:firstLineChars="0"/>
      </w:pPr>
    </w:p>
    <w:p w14:paraId="1852F535">
      <w:pPr>
        <w:pStyle w:val="4"/>
        <w:spacing w:before="0" w:after="0" w:line="240" w:lineRule="auto"/>
        <w:jc w:val="left"/>
        <w:rPr>
          <w:rFonts w:ascii="仿宋" w:hAnsi="仿宋" w:eastAsia="仿宋"/>
          <w:color w:val="000000"/>
        </w:rPr>
      </w:pPr>
      <w:bookmarkStart w:id="72" w:name="_Toc28799"/>
      <w:bookmarkStart w:id="73" w:name="_Toc15396619"/>
      <w:r>
        <w:rPr>
          <w:rFonts w:hint="eastAsia" w:ascii="仿宋" w:hAnsi="仿宋" w:eastAsia="仿宋"/>
          <w:b w:val="0"/>
          <w:color w:val="000000"/>
        </w:rPr>
        <w:t>一、收</w:t>
      </w:r>
      <w:r>
        <w:rPr>
          <w:rStyle w:val="37"/>
          <w:rFonts w:hint="eastAsia" w:ascii="仿宋" w:hAnsi="仿宋" w:eastAsia="仿宋"/>
          <w:b w:val="0"/>
          <w:bCs w:val="0"/>
        </w:rPr>
        <w:t>入支出决算总表</w:t>
      </w:r>
      <w:bookmarkEnd w:id="72"/>
      <w:bookmarkEnd w:id="73"/>
    </w:p>
    <w:p w14:paraId="1C60D35B">
      <w:pPr>
        <w:pStyle w:val="4"/>
        <w:spacing w:before="0" w:after="0" w:line="240" w:lineRule="auto"/>
        <w:jc w:val="left"/>
        <w:rPr>
          <w:rFonts w:ascii="仿宋" w:hAnsi="仿宋" w:eastAsia="仿宋"/>
          <w:color w:val="000000"/>
        </w:rPr>
      </w:pPr>
      <w:bookmarkStart w:id="74" w:name="_Toc15396620"/>
      <w:bookmarkStart w:id="75" w:name="_Toc27095"/>
      <w:r>
        <w:rPr>
          <w:rFonts w:hint="eastAsia" w:ascii="仿宋" w:hAnsi="仿宋" w:eastAsia="仿宋"/>
          <w:b w:val="0"/>
          <w:color w:val="000000"/>
        </w:rPr>
        <w:t>二、收</w:t>
      </w:r>
      <w:r>
        <w:rPr>
          <w:rStyle w:val="37"/>
          <w:rFonts w:hint="eastAsia" w:ascii="仿宋" w:hAnsi="仿宋" w:eastAsia="仿宋"/>
          <w:b w:val="0"/>
          <w:bCs w:val="0"/>
        </w:rPr>
        <w:t>入决算表</w:t>
      </w:r>
      <w:bookmarkEnd w:id="74"/>
      <w:bookmarkEnd w:id="75"/>
    </w:p>
    <w:p w14:paraId="4B1C8539">
      <w:pPr>
        <w:pStyle w:val="4"/>
        <w:spacing w:before="0" w:after="0" w:line="240" w:lineRule="auto"/>
        <w:jc w:val="left"/>
        <w:rPr>
          <w:rFonts w:ascii="仿宋" w:hAnsi="仿宋" w:eastAsia="仿宋"/>
          <w:color w:val="000000"/>
        </w:rPr>
      </w:pPr>
      <w:bookmarkStart w:id="76" w:name="_Toc15396621"/>
      <w:bookmarkStart w:id="77" w:name="_Toc29207"/>
      <w:r>
        <w:rPr>
          <w:rStyle w:val="37"/>
          <w:rFonts w:hint="eastAsia" w:ascii="仿宋" w:hAnsi="仿宋" w:eastAsia="仿宋"/>
          <w:b w:val="0"/>
          <w:bCs w:val="0"/>
        </w:rPr>
        <w:t>三、</w:t>
      </w:r>
      <w:r>
        <w:rPr>
          <w:rFonts w:hint="eastAsia" w:ascii="仿宋" w:hAnsi="仿宋" w:eastAsia="仿宋"/>
          <w:b w:val="0"/>
          <w:color w:val="000000"/>
        </w:rPr>
        <w:t>支</w:t>
      </w:r>
      <w:r>
        <w:rPr>
          <w:rStyle w:val="37"/>
          <w:rFonts w:hint="eastAsia" w:ascii="仿宋" w:hAnsi="仿宋" w:eastAsia="仿宋"/>
          <w:b w:val="0"/>
          <w:bCs w:val="0"/>
        </w:rPr>
        <w:t>出决算表</w:t>
      </w:r>
      <w:bookmarkEnd w:id="76"/>
      <w:bookmarkEnd w:id="77"/>
    </w:p>
    <w:p w14:paraId="74C1085E">
      <w:pPr>
        <w:pStyle w:val="4"/>
        <w:spacing w:before="0" w:after="0" w:line="240" w:lineRule="auto"/>
        <w:jc w:val="left"/>
        <w:rPr>
          <w:rFonts w:ascii="仿宋" w:hAnsi="仿宋" w:eastAsia="仿宋"/>
          <w:b w:val="0"/>
          <w:color w:val="000000"/>
        </w:rPr>
      </w:pPr>
      <w:bookmarkStart w:id="78" w:name="_Toc7280"/>
      <w:bookmarkStart w:id="79" w:name="_Toc15396622"/>
      <w:r>
        <w:rPr>
          <w:rStyle w:val="37"/>
          <w:rFonts w:hint="eastAsia" w:ascii="仿宋" w:hAnsi="仿宋" w:eastAsia="仿宋"/>
          <w:b w:val="0"/>
          <w:bCs w:val="0"/>
        </w:rPr>
        <w:t>四、</w:t>
      </w:r>
      <w:r>
        <w:rPr>
          <w:rFonts w:hint="eastAsia" w:ascii="仿宋" w:hAnsi="仿宋" w:eastAsia="仿宋"/>
          <w:b w:val="0"/>
          <w:color w:val="000000"/>
        </w:rPr>
        <w:t>财</w:t>
      </w:r>
      <w:r>
        <w:rPr>
          <w:rStyle w:val="37"/>
          <w:rFonts w:hint="eastAsia" w:ascii="仿宋" w:hAnsi="仿宋" w:eastAsia="仿宋"/>
          <w:b w:val="0"/>
          <w:bCs w:val="0"/>
        </w:rPr>
        <w:t>政拨款收入支出决算总表</w:t>
      </w:r>
      <w:bookmarkEnd w:id="78"/>
      <w:bookmarkEnd w:id="79"/>
    </w:p>
    <w:p w14:paraId="103EB5AC">
      <w:pPr>
        <w:pStyle w:val="4"/>
        <w:spacing w:before="0" w:after="0" w:line="240" w:lineRule="auto"/>
        <w:jc w:val="left"/>
        <w:rPr>
          <w:rStyle w:val="37"/>
          <w:rFonts w:ascii="仿宋" w:hAnsi="仿宋" w:eastAsia="仿宋"/>
          <w:b w:val="0"/>
          <w:bCs w:val="0"/>
        </w:rPr>
      </w:pPr>
      <w:bookmarkStart w:id="80" w:name="_Toc13383"/>
      <w:bookmarkStart w:id="81" w:name="_Toc15396623"/>
      <w:r>
        <w:rPr>
          <w:rStyle w:val="37"/>
          <w:rFonts w:hint="eastAsia" w:ascii="仿宋" w:hAnsi="仿宋" w:eastAsia="仿宋"/>
          <w:b w:val="0"/>
          <w:bCs w:val="0"/>
        </w:rPr>
        <w:t>五、</w:t>
      </w:r>
      <w:r>
        <w:rPr>
          <w:rFonts w:hint="eastAsia" w:ascii="仿宋" w:hAnsi="仿宋" w:eastAsia="仿宋"/>
          <w:b w:val="0"/>
          <w:color w:val="000000"/>
        </w:rPr>
        <w:t>财</w:t>
      </w:r>
      <w:r>
        <w:rPr>
          <w:rStyle w:val="37"/>
          <w:rFonts w:hint="eastAsia" w:ascii="仿宋" w:hAnsi="仿宋" w:eastAsia="仿宋"/>
          <w:b w:val="0"/>
          <w:bCs w:val="0"/>
        </w:rPr>
        <w:t>政拨款支出决算明细表</w:t>
      </w:r>
      <w:bookmarkEnd w:id="80"/>
      <w:bookmarkEnd w:id="81"/>
      <w:bookmarkStart w:id="82" w:name="_Toc15396624"/>
    </w:p>
    <w:p w14:paraId="2FF5C350">
      <w:pPr>
        <w:pStyle w:val="4"/>
        <w:spacing w:before="0" w:after="0" w:line="240" w:lineRule="auto"/>
        <w:jc w:val="left"/>
        <w:rPr>
          <w:rFonts w:ascii="仿宋" w:hAnsi="仿宋" w:eastAsia="仿宋"/>
          <w:color w:val="000000"/>
        </w:rPr>
      </w:pPr>
      <w:bookmarkStart w:id="83" w:name="_Toc18318"/>
      <w:r>
        <w:rPr>
          <w:rStyle w:val="37"/>
          <w:rFonts w:hint="eastAsia" w:ascii="仿宋" w:hAnsi="仿宋" w:eastAsia="仿宋"/>
          <w:b w:val="0"/>
          <w:bCs w:val="0"/>
        </w:rPr>
        <w:t>六、</w:t>
      </w:r>
      <w:r>
        <w:rPr>
          <w:rFonts w:hint="eastAsia" w:ascii="仿宋" w:hAnsi="仿宋" w:eastAsia="仿宋"/>
          <w:b w:val="0"/>
          <w:color w:val="000000"/>
        </w:rPr>
        <w:t>一</w:t>
      </w:r>
      <w:r>
        <w:rPr>
          <w:rStyle w:val="37"/>
          <w:rFonts w:hint="eastAsia" w:ascii="仿宋" w:hAnsi="仿宋" w:eastAsia="仿宋"/>
          <w:b w:val="0"/>
          <w:bCs w:val="0"/>
        </w:rPr>
        <w:t>般公共预算财政拨款支出决算表</w:t>
      </w:r>
      <w:bookmarkEnd w:id="82"/>
      <w:bookmarkEnd w:id="83"/>
    </w:p>
    <w:p w14:paraId="2C7DAC98">
      <w:pPr>
        <w:pStyle w:val="4"/>
        <w:spacing w:before="0" w:after="0" w:line="240" w:lineRule="auto"/>
        <w:jc w:val="left"/>
        <w:rPr>
          <w:rFonts w:ascii="仿宋" w:hAnsi="仿宋" w:eastAsia="仿宋"/>
          <w:color w:val="000000"/>
        </w:rPr>
      </w:pPr>
      <w:bookmarkStart w:id="84" w:name="_Toc24322"/>
      <w:bookmarkStart w:id="85" w:name="_Toc15396625"/>
      <w:r>
        <w:rPr>
          <w:rStyle w:val="37"/>
          <w:rFonts w:hint="eastAsia" w:ascii="仿宋" w:hAnsi="仿宋" w:eastAsia="仿宋"/>
          <w:b w:val="0"/>
          <w:bCs w:val="0"/>
        </w:rPr>
        <w:t>七、</w:t>
      </w:r>
      <w:r>
        <w:rPr>
          <w:rFonts w:hint="eastAsia" w:ascii="仿宋" w:hAnsi="仿宋" w:eastAsia="仿宋"/>
          <w:b w:val="0"/>
          <w:color w:val="000000"/>
        </w:rPr>
        <w:t>一</w:t>
      </w:r>
      <w:r>
        <w:rPr>
          <w:rStyle w:val="37"/>
          <w:rFonts w:hint="eastAsia" w:ascii="仿宋" w:hAnsi="仿宋" w:eastAsia="仿宋"/>
          <w:b w:val="0"/>
          <w:bCs w:val="0"/>
        </w:rPr>
        <w:t>般公共预算财政拨款支出决算明细表</w:t>
      </w:r>
      <w:bookmarkEnd w:id="84"/>
      <w:bookmarkEnd w:id="85"/>
    </w:p>
    <w:p w14:paraId="5318B9EE">
      <w:pPr>
        <w:pStyle w:val="4"/>
        <w:spacing w:before="0" w:after="0" w:line="240" w:lineRule="auto"/>
        <w:jc w:val="left"/>
        <w:rPr>
          <w:rFonts w:ascii="仿宋" w:hAnsi="仿宋" w:eastAsia="仿宋"/>
          <w:color w:val="000000"/>
        </w:rPr>
      </w:pPr>
      <w:bookmarkStart w:id="86" w:name="_Toc15396626"/>
      <w:bookmarkStart w:id="87" w:name="_Toc16313"/>
      <w:r>
        <w:rPr>
          <w:rStyle w:val="37"/>
          <w:rFonts w:hint="eastAsia" w:ascii="仿宋" w:hAnsi="仿宋" w:eastAsia="仿宋"/>
          <w:b w:val="0"/>
          <w:bCs w:val="0"/>
        </w:rPr>
        <w:t>八、</w:t>
      </w:r>
      <w:r>
        <w:rPr>
          <w:rFonts w:hint="eastAsia" w:ascii="仿宋" w:hAnsi="仿宋" w:eastAsia="仿宋"/>
          <w:b w:val="0"/>
          <w:color w:val="000000"/>
        </w:rPr>
        <w:t>一</w:t>
      </w:r>
      <w:r>
        <w:rPr>
          <w:rStyle w:val="37"/>
          <w:rFonts w:hint="eastAsia" w:ascii="仿宋" w:hAnsi="仿宋" w:eastAsia="仿宋"/>
          <w:b w:val="0"/>
          <w:bCs w:val="0"/>
        </w:rPr>
        <w:t>般公共预算财政拨款基本支出决算表</w:t>
      </w:r>
      <w:bookmarkEnd w:id="86"/>
      <w:bookmarkEnd w:id="87"/>
    </w:p>
    <w:p w14:paraId="77AE9704">
      <w:pPr>
        <w:pStyle w:val="4"/>
        <w:spacing w:before="0" w:after="0" w:line="240" w:lineRule="auto"/>
        <w:jc w:val="left"/>
        <w:rPr>
          <w:rFonts w:ascii="仿宋" w:hAnsi="仿宋" w:eastAsia="仿宋"/>
          <w:color w:val="000000"/>
        </w:rPr>
      </w:pPr>
      <w:bookmarkStart w:id="88" w:name="_Toc15396627"/>
      <w:bookmarkStart w:id="89" w:name="_Toc6030"/>
      <w:r>
        <w:rPr>
          <w:rStyle w:val="37"/>
          <w:rFonts w:hint="eastAsia" w:ascii="仿宋" w:hAnsi="仿宋" w:eastAsia="仿宋"/>
          <w:b w:val="0"/>
          <w:bCs w:val="0"/>
        </w:rPr>
        <w:t>九、</w:t>
      </w:r>
      <w:r>
        <w:rPr>
          <w:rFonts w:hint="eastAsia" w:ascii="仿宋" w:hAnsi="仿宋" w:eastAsia="仿宋"/>
          <w:b w:val="0"/>
          <w:color w:val="000000"/>
        </w:rPr>
        <w:t>一</w:t>
      </w:r>
      <w:r>
        <w:rPr>
          <w:rStyle w:val="37"/>
          <w:rFonts w:hint="eastAsia" w:ascii="仿宋" w:hAnsi="仿宋" w:eastAsia="仿宋"/>
          <w:b w:val="0"/>
          <w:bCs w:val="0"/>
        </w:rPr>
        <w:t>般公共预算财政拨款项目支出决算表</w:t>
      </w:r>
      <w:bookmarkEnd w:id="88"/>
      <w:bookmarkEnd w:id="89"/>
    </w:p>
    <w:p w14:paraId="1233B2A8">
      <w:pPr>
        <w:pStyle w:val="4"/>
        <w:spacing w:before="0" w:after="0" w:line="240" w:lineRule="auto"/>
        <w:jc w:val="left"/>
        <w:rPr>
          <w:rFonts w:ascii="仿宋" w:hAnsi="仿宋" w:eastAsia="仿宋"/>
          <w:color w:val="000000"/>
        </w:rPr>
      </w:pPr>
      <w:bookmarkStart w:id="90" w:name="_Toc5267"/>
      <w:bookmarkStart w:id="91" w:name="_Toc15396628"/>
      <w:r>
        <w:rPr>
          <w:rStyle w:val="37"/>
          <w:rFonts w:hint="eastAsia" w:ascii="仿宋" w:hAnsi="仿宋" w:eastAsia="仿宋"/>
          <w:b w:val="0"/>
          <w:bCs w:val="0"/>
        </w:rPr>
        <w:t>十、</w:t>
      </w:r>
      <w:r>
        <w:rPr>
          <w:rFonts w:hint="eastAsia" w:ascii="仿宋" w:hAnsi="仿宋" w:eastAsia="仿宋"/>
          <w:b w:val="0"/>
          <w:color w:val="000000"/>
        </w:rPr>
        <w:t>一</w:t>
      </w:r>
      <w:r>
        <w:rPr>
          <w:rStyle w:val="37"/>
          <w:rFonts w:hint="eastAsia" w:ascii="仿宋" w:hAnsi="仿宋" w:eastAsia="仿宋"/>
          <w:b w:val="0"/>
          <w:bCs w:val="0"/>
        </w:rPr>
        <w:t>般公共预算财政拨款“三公”经费支出决算表</w:t>
      </w:r>
      <w:bookmarkEnd w:id="90"/>
      <w:bookmarkEnd w:id="91"/>
    </w:p>
    <w:p w14:paraId="0E836E46">
      <w:pPr>
        <w:pStyle w:val="4"/>
        <w:spacing w:before="0" w:after="0" w:line="240" w:lineRule="auto"/>
        <w:jc w:val="left"/>
        <w:rPr>
          <w:rFonts w:ascii="仿宋" w:hAnsi="仿宋" w:eastAsia="仿宋"/>
          <w:color w:val="000000"/>
        </w:rPr>
      </w:pPr>
      <w:bookmarkStart w:id="92" w:name="_Toc30893"/>
      <w:bookmarkStart w:id="93" w:name="_Toc15396629"/>
      <w:r>
        <w:rPr>
          <w:rStyle w:val="37"/>
          <w:rFonts w:hint="eastAsia" w:ascii="仿宋" w:hAnsi="仿宋" w:eastAsia="仿宋"/>
          <w:b w:val="0"/>
          <w:bCs w:val="0"/>
        </w:rPr>
        <w:t>十一、</w:t>
      </w:r>
      <w:r>
        <w:rPr>
          <w:rFonts w:hint="eastAsia" w:ascii="仿宋" w:hAnsi="仿宋" w:eastAsia="仿宋"/>
          <w:b w:val="0"/>
          <w:color w:val="000000"/>
        </w:rPr>
        <w:t>政</w:t>
      </w:r>
      <w:r>
        <w:rPr>
          <w:rStyle w:val="37"/>
          <w:rFonts w:hint="eastAsia" w:ascii="仿宋" w:hAnsi="仿宋" w:eastAsia="仿宋"/>
          <w:b w:val="0"/>
          <w:bCs w:val="0"/>
        </w:rPr>
        <w:t>府性基金预算财政拨款收入支出决算表</w:t>
      </w:r>
      <w:bookmarkEnd w:id="92"/>
      <w:bookmarkEnd w:id="93"/>
    </w:p>
    <w:p w14:paraId="3BA16500">
      <w:pPr>
        <w:pStyle w:val="4"/>
        <w:spacing w:before="0" w:after="0" w:line="240" w:lineRule="auto"/>
        <w:jc w:val="left"/>
        <w:rPr>
          <w:rStyle w:val="37"/>
          <w:rFonts w:ascii="仿宋" w:hAnsi="仿宋" w:eastAsia="仿宋"/>
          <w:b w:val="0"/>
          <w:bCs w:val="0"/>
        </w:rPr>
      </w:pPr>
      <w:bookmarkStart w:id="94" w:name="_Toc15396630"/>
      <w:bookmarkStart w:id="95" w:name="_Toc16596"/>
      <w:r>
        <w:rPr>
          <w:rStyle w:val="37"/>
          <w:rFonts w:hint="eastAsia" w:ascii="仿宋" w:hAnsi="仿宋" w:eastAsia="仿宋"/>
          <w:b w:val="0"/>
          <w:bCs w:val="0"/>
        </w:rPr>
        <w:t>十二、</w:t>
      </w:r>
      <w:r>
        <w:rPr>
          <w:rFonts w:hint="eastAsia" w:ascii="仿宋" w:hAnsi="仿宋" w:eastAsia="仿宋"/>
          <w:b w:val="0"/>
          <w:color w:val="000000"/>
        </w:rPr>
        <w:t>政</w:t>
      </w:r>
      <w:r>
        <w:rPr>
          <w:rStyle w:val="37"/>
          <w:rFonts w:hint="eastAsia" w:ascii="仿宋" w:hAnsi="仿宋" w:eastAsia="仿宋"/>
          <w:b w:val="0"/>
          <w:bCs w:val="0"/>
        </w:rPr>
        <w:t>府性基金预算财政拨款“三公”经费支出决算表</w:t>
      </w:r>
      <w:bookmarkEnd w:id="94"/>
      <w:bookmarkEnd w:id="95"/>
    </w:p>
    <w:p w14:paraId="4395EDF4">
      <w:pPr>
        <w:pStyle w:val="4"/>
      </w:pPr>
      <w:r>
        <w:rPr>
          <w:rStyle w:val="37"/>
          <w:rFonts w:hint="eastAsia" w:ascii="仿宋" w:hAnsi="仿宋" w:eastAsia="仿宋"/>
          <w:b w:val="0"/>
          <w:bCs w:val="0"/>
        </w:rPr>
        <w:t>十三、</w:t>
      </w:r>
      <w:r>
        <w:rPr>
          <w:rFonts w:hint="eastAsia" w:ascii="仿宋" w:hAnsi="仿宋" w:eastAsia="仿宋"/>
          <w:b w:val="0"/>
          <w:color w:val="000000"/>
        </w:rPr>
        <w:t>国</w:t>
      </w:r>
      <w:r>
        <w:rPr>
          <w:rStyle w:val="42"/>
          <w:rFonts w:hint="eastAsia" w:ascii="仿宋" w:hAnsi="仿宋" w:eastAsia="仿宋"/>
          <w:b w:val="0"/>
          <w:bCs w:val="0"/>
        </w:rPr>
        <w:t>有资本经营预算财政拨款收入支出决算表</w:t>
      </w:r>
    </w:p>
    <w:p w14:paraId="28118258">
      <w:pPr>
        <w:pStyle w:val="4"/>
        <w:spacing w:before="0" w:after="0" w:line="240" w:lineRule="auto"/>
        <w:jc w:val="left"/>
        <w:rPr>
          <w:rFonts w:ascii="仿宋" w:hAnsi="仿宋" w:eastAsia="仿宋"/>
          <w:color w:val="000000"/>
        </w:rPr>
      </w:pPr>
      <w:bookmarkStart w:id="96" w:name="_Toc15396631"/>
      <w:bookmarkStart w:id="97" w:name="_Toc14637"/>
      <w:r>
        <w:rPr>
          <w:rStyle w:val="37"/>
          <w:rFonts w:hint="eastAsia" w:ascii="仿宋" w:hAnsi="仿宋" w:eastAsia="仿宋"/>
          <w:b w:val="0"/>
          <w:bCs w:val="0"/>
        </w:rPr>
        <w:t>十四、</w:t>
      </w:r>
      <w:r>
        <w:rPr>
          <w:rFonts w:hint="eastAsia" w:ascii="仿宋" w:hAnsi="仿宋" w:eastAsia="仿宋"/>
          <w:b w:val="0"/>
          <w:color w:val="000000"/>
        </w:rPr>
        <w:t>国</w:t>
      </w:r>
      <w:r>
        <w:rPr>
          <w:rStyle w:val="37"/>
          <w:rFonts w:hint="eastAsia" w:ascii="仿宋" w:hAnsi="仿宋" w:eastAsia="仿宋"/>
          <w:b w:val="0"/>
          <w:bCs w:val="0"/>
        </w:rPr>
        <w:t>有资本经营预算支出决算表</w:t>
      </w:r>
      <w:bookmarkEnd w:id="96"/>
      <w:bookmarkEnd w:id="97"/>
    </w:p>
    <w:sectPr>
      <w:headerReference r:id="rId3" w:type="default"/>
      <w:footerReference r:id="rId4" w:type="default"/>
      <w:pgSz w:w="11906" w:h="16838"/>
      <w:pgMar w:top="2694"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BB1B4F-3900-49FB-8C3B-05614B3B04D1}"/>
  </w:font>
  <w:font w:name="黑体">
    <w:panose1 w:val="02010609060101010101"/>
    <w:charset w:val="86"/>
    <w:family w:val="auto"/>
    <w:pitch w:val="default"/>
    <w:sig w:usb0="800002BF" w:usb1="38CF7CFA" w:usb2="00000016" w:usb3="00000000" w:csb0="00040001" w:csb1="00000000"/>
    <w:embedRegular r:id="rId2" w:fontKey="{9F7EE0A1-EAE8-4CC3-925F-C8C7AD6730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5EE96C0B-FF19-4B74-92DE-110FFFA00201}"/>
  </w:font>
  <w:font w:name="仿宋">
    <w:panose1 w:val="02010609060101010101"/>
    <w:charset w:val="86"/>
    <w:family w:val="auto"/>
    <w:pitch w:val="default"/>
    <w:sig w:usb0="800002BF" w:usb1="38CF7CFA" w:usb2="00000016" w:usb3="00000000" w:csb0="00040001" w:csb1="00000000"/>
    <w:embedRegular r:id="rId4" w:fontKey="{9BF673AA-A280-4FE7-A696-DBB481435BAB}"/>
  </w:font>
  <w:font w:name="方正小标宋简体">
    <w:panose1 w:val="02000000000000000000"/>
    <w:charset w:val="86"/>
    <w:family w:val="auto"/>
    <w:pitch w:val="default"/>
    <w:sig w:usb0="00000001" w:usb1="08000000" w:usb2="00000000" w:usb3="00000000" w:csb0="00040000" w:csb1="00000000"/>
    <w:embedRegular r:id="rId5" w:fontKey="{B1C08250-FC7C-48E7-B9D7-EC8FA0B4EF15}"/>
  </w:font>
  <w:font w:name="楷体">
    <w:panose1 w:val="02010609060101010101"/>
    <w:charset w:val="86"/>
    <w:family w:val="modern"/>
    <w:pitch w:val="default"/>
    <w:sig w:usb0="800002BF" w:usb1="38CF7CFA" w:usb2="00000016" w:usb3="00000000" w:csb0="00040001" w:csb1="00000000"/>
    <w:embedRegular r:id="rId6" w:fontKey="{1CB3F2C3-4E62-4869-A470-2B0D335CCD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CE54">
    <w:pPr>
      <w:pStyle w:val="11"/>
      <w:jc w:val="center"/>
    </w:pPr>
    <w:r>
      <w:fldChar w:fldCharType="begin"/>
    </w:r>
    <w:r>
      <w:instrText xml:space="preserve">PAGE   \* MERGEFORMAT</w:instrText>
    </w:r>
    <w:r>
      <w:fldChar w:fldCharType="separate"/>
    </w:r>
    <w:r>
      <w:rPr>
        <w:lang w:val="zh-CN"/>
      </w:rPr>
      <w:t>7</w:t>
    </w:r>
    <w:r>
      <w:fldChar w:fldCharType="end"/>
    </w:r>
  </w:p>
  <w:p w14:paraId="41EB5B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D20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0C5E0"/>
    <w:multiLevelType w:val="singleLevel"/>
    <w:tmpl w:val="A5A0C5E0"/>
    <w:lvl w:ilvl="0" w:tentative="0">
      <w:start w:val="1"/>
      <w:numFmt w:val="chineseCounting"/>
      <w:suff w:val="nothing"/>
      <w:lvlText w:val="（%1）"/>
      <w:lvlJc w:val="left"/>
      <w:rPr>
        <w:rFonts w:hint="eastAsia"/>
      </w:rPr>
    </w:lvl>
  </w:abstractNum>
  <w:abstractNum w:abstractNumId="1">
    <w:nsid w:val="CFB32AB4"/>
    <w:multiLevelType w:val="singleLevel"/>
    <w:tmpl w:val="CFB32AB4"/>
    <w:lvl w:ilvl="0" w:tentative="0">
      <w:start w:val="1"/>
      <w:numFmt w:val="chineseCounting"/>
      <w:suff w:val="nothing"/>
      <w:lvlText w:val="（%1）"/>
      <w:lvlJc w:val="left"/>
      <w:pPr>
        <w:ind w:left="640" w:firstLine="0"/>
      </w:pPr>
      <w:rPr>
        <w:rFonts w:hint="eastAsia"/>
      </w:rPr>
    </w:lvl>
  </w:abstractNum>
  <w:abstractNum w:abstractNumId="2">
    <w:nsid w:val="D99A952A"/>
    <w:multiLevelType w:val="singleLevel"/>
    <w:tmpl w:val="D99A952A"/>
    <w:lvl w:ilvl="0" w:tentative="0">
      <w:start w:val="1"/>
      <w:numFmt w:val="chineseCounting"/>
      <w:suff w:val="nothing"/>
      <w:lvlText w:val="（%1）"/>
      <w:lvlJc w:val="left"/>
      <w:pPr>
        <w:ind w:left="630" w:firstLine="0"/>
      </w:pPr>
      <w:rPr>
        <w:rFonts w:hint="eastAsia"/>
      </w:rPr>
    </w:lvl>
  </w:abstractNum>
  <w:abstractNum w:abstractNumId="3">
    <w:nsid w:val="54479F72"/>
    <w:multiLevelType w:val="multilevel"/>
    <w:tmpl w:val="54479F72"/>
    <w:lvl w:ilvl="0" w:tentative="0">
      <w:start w:val="1"/>
      <w:numFmt w:val="decimal"/>
      <w:suff w:val="nothing"/>
      <w:lvlText w:val="%1、"/>
      <w:lvlJc w:val="left"/>
      <w:pPr>
        <w:ind w:left="630" w:firstLine="0"/>
      </w:pPr>
    </w:lvl>
    <w:lvl w:ilvl="1" w:tentative="0">
      <w:start w:val="2"/>
      <w:numFmt w:val="japaneseCounting"/>
      <w:lvlText w:val="（%2）"/>
      <w:lvlJc w:val="left"/>
      <w:pPr>
        <w:ind w:left="2135" w:hanging="1080"/>
      </w:pPr>
      <w:rPr>
        <w:rFonts w:hint="default"/>
      </w:rPr>
    </w:lvl>
    <w:lvl w:ilvl="2" w:tentative="0">
      <w:start w:val="1"/>
      <w:numFmt w:val="lowerRoman"/>
      <w:lvlText w:val="%3."/>
      <w:lvlJc w:val="right"/>
      <w:pPr>
        <w:ind w:left="1895" w:hanging="420"/>
      </w:pPr>
    </w:lvl>
    <w:lvl w:ilvl="3" w:tentative="0">
      <w:start w:val="1"/>
      <w:numFmt w:val="decimal"/>
      <w:lvlText w:val="%4."/>
      <w:lvlJc w:val="left"/>
      <w:pPr>
        <w:ind w:left="2315" w:hanging="420"/>
      </w:pPr>
    </w:lvl>
    <w:lvl w:ilvl="4" w:tentative="0">
      <w:start w:val="1"/>
      <w:numFmt w:val="lowerLetter"/>
      <w:lvlText w:val="%5)"/>
      <w:lvlJc w:val="left"/>
      <w:pPr>
        <w:ind w:left="2735" w:hanging="420"/>
      </w:pPr>
    </w:lvl>
    <w:lvl w:ilvl="5" w:tentative="0">
      <w:start w:val="1"/>
      <w:numFmt w:val="lowerRoman"/>
      <w:lvlText w:val="%6."/>
      <w:lvlJc w:val="right"/>
      <w:pPr>
        <w:ind w:left="3155" w:hanging="420"/>
      </w:pPr>
    </w:lvl>
    <w:lvl w:ilvl="6" w:tentative="0">
      <w:start w:val="1"/>
      <w:numFmt w:val="decimal"/>
      <w:lvlText w:val="%7."/>
      <w:lvlJc w:val="left"/>
      <w:pPr>
        <w:ind w:left="3575" w:hanging="420"/>
      </w:pPr>
    </w:lvl>
    <w:lvl w:ilvl="7" w:tentative="0">
      <w:start w:val="1"/>
      <w:numFmt w:val="lowerLetter"/>
      <w:lvlText w:val="%8)"/>
      <w:lvlJc w:val="left"/>
      <w:pPr>
        <w:ind w:left="3995" w:hanging="420"/>
      </w:pPr>
    </w:lvl>
    <w:lvl w:ilvl="8" w:tentative="0">
      <w:start w:val="1"/>
      <w:numFmt w:val="lowerRoman"/>
      <w:lvlText w:val="%9."/>
      <w:lvlJc w:val="right"/>
      <w:pPr>
        <w:ind w:left="4415" w:hanging="420"/>
      </w:pPr>
    </w:lvl>
  </w:abstractNum>
  <w:abstractNum w:abstractNumId="4">
    <w:nsid w:val="55D099EF"/>
    <w:multiLevelType w:val="singleLevel"/>
    <w:tmpl w:val="55D099EF"/>
    <w:lvl w:ilvl="0" w:tentative="0">
      <w:start w:val="2"/>
      <w:numFmt w:val="chineseCounting"/>
      <w:suff w:val="nothing"/>
      <w:lvlText w:val="（%1）"/>
      <w:lvlJc w:val="left"/>
      <w:rPr>
        <w:rFonts w:hint="eastAsia"/>
      </w:rPr>
    </w:lvl>
  </w:abstractNum>
  <w:abstractNum w:abstractNumId="5">
    <w:nsid w:val="638D2CE9"/>
    <w:multiLevelType w:val="singleLevel"/>
    <w:tmpl w:val="638D2CE9"/>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F1361C"/>
    <w:rsid w:val="000222C6"/>
    <w:rsid w:val="0002549F"/>
    <w:rsid w:val="000364AF"/>
    <w:rsid w:val="000468DB"/>
    <w:rsid w:val="0006487A"/>
    <w:rsid w:val="00065F8F"/>
    <w:rsid w:val="00070A43"/>
    <w:rsid w:val="000768F2"/>
    <w:rsid w:val="0009184B"/>
    <w:rsid w:val="00094236"/>
    <w:rsid w:val="0009593C"/>
    <w:rsid w:val="00097322"/>
    <w:rsid w:val="000A6A92"/>
    <w:rsid w:val="000B047F"/>
    <w:rsid w:val="000B272A"/>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1FE6"/>
    <w:rsid w:val="001D26AB"/>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4740"/>
    <w:rsid w:val="002D6D05"/>
    <w:rsid w:val="002E759F"/>
    <w:rsid w:val="002F1818"/>
    <w:rsid w:val="002F567B"/>
    <w:rsid w:val="0030514C"/>
    <w:rsid w:val="003216A9"/>
    <w:rsid w:val="00332E7F"/>
    <w:rsid w:val="00335A74"/>
    <w:rsid w:val="0036561B"/>
    <w:rsid w:val="0037013F"/>
    <w:rsid w:val="00374440"/>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09D"/>
    <w:rsid w:val="004013CB"/>
    <w:rsid w:val="00406254"/>
    <w:rsid w:val="00416CD4"/>
    <w:rsid w:val="004223DE"/>
    <w:rsid w:val="00434489"/>
    <w:rsid w:val="00437085"/>
    <w:rsid w:val="00443880"/>
    <w:rsid w:val="004464F4"/>
    <w:rsid w:val="0045202B"/>
    <w:rsid w:val="00467E47"/>
    <w:rsid w:val="00471401"/>
    <w:rsid w:val="00473F31"/>
    <w:rsid w:val="00474554"/>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1379"/>
    <w:rsid w:val="005B5A19"/>
    <w:rsid w:val="005B5C64"/>
    <w:rsid w:val="005C6BD0"/>
    <w:rsid w:val="005C6C4C"/>
    <w:rsid w:val="005D1C8B"/>
    <w:rsid w:val="005D468D"/>
    <w:rsid w:val="005D5CED"/>
    <w:rsid w:val="005E46A7"/>
    <w:rsid w:val="005F1A4C"/>
    <w:rsid w:val="00605688"/>
    <w:rsid w:val="006070AF"/>
    <w:rsid w:val="00607E6C"/>
    <w:rsid w:val="006101B1"/>
    <w:rsid w:val="00614E44"/>
    <w:rsid w:val="0062270A"/>
    <w:rsid w:val="00622830"/>
    <w:rsid w:val="00623DA0"/>
    <w:rsid w:val="00630AEF"/>
    <w:rsid w:val="006325F8"/>
    <w:rsid w:val="00632650"/>
    <w:rsid w:val="00633463"/>
    <w:rsid w:val="00634C9A"/>
    <w:rsid w:val="006440E4"/>
    <w:rsid w:val="0066343B"/>
    <w:rsid w:val="00664777"/>
    <w:rsid w:val="00670E13"/>
    <w:rsid w:val="006748A4"/>
    <w:rsid w:val="00681A31"/>
    <w:rsid w:val="00683E73"/>
    <w:rsid w:val="006A3141"/>
    <w:rsid w:val="006A4048"/>
    <w:rsid w:val="006A5E34"/>
    <w:rsid w:val="006B2422"/>
    <w:rsid w:val="006B2B9A"/>
    <w:rsid w:val="006C1937"/>
    <w:rsid w:val="006E28A4"/>
    <w:rsid w:val="006E45C4"/>
    <w:rsid w:val="006F020C"/>
    <w:rsid w:val="0071162D"/>
    <w:rsid w:val="007127B7"/>
    <w:rsid w:val="00713B9B"/>
    <w:rsid w:val="0071798E"/>
    <w:rsid w:val="00727533"/>
    <w:rsid w:val="00730C0A"/>
    <w:rsid w:val="007416B6"/>
    <w:rsid w:val="00746F48"/>
    <w:rsid w:val="0075404D"/>
    <w:rsid w:val="0076182A"/>
    <w:rsid w:val="00767B7E"/>
    <w:rsid w:val="007770C3"/>
    <w:rsid w:val="00784D24"/>
    <w:rsid w:val="00785FBA"/>
    <w:rsid w:val="00786E4A"/>
    <w:rsid w:val="007875EB"/>
    <w:rsid w:val="0079426B"/>
    <w:rsid w:val="00796E46"/>
    <w:rsid w:val="007D1682"/>
    <w:rsid w:val="007D312A"/>
    <w:rsid w:val="007D3F19"/>
    <w:rsid w:val="007E23B0"/>
    <w:rsid w:val="007F1991"/>
    <w:rsid w:val="007F2C2F"/>
    <w:rsid w:val="007F55FC"/>
    <w:rsid w:val="007F5665"/>
    <w:rsid w:val="00800112"/>
    <w:rsid w:val="00813348"/>
    <w:rsid w:val="008253BB"/>
    <w:rsid w:val="00833962"/>
    <w:rsid w:val="00835107"/>
    <w:rsid w:val="0083706E"/>
    <w:rsid w:val="008408F6"/>
    <w:rsid w:val="008423A5"/>
    <w:rsid w:val="00850625"/>
    <w:rsid w:val="008520C8"/>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56AE"/>
    <w:rsid w:val="0097099F"/>
    <w:rsid w:val="00971997"/>
    <w:rsid w:val="00971FFC"/>
    <w:rsid w:val="0098660A"/>
    <w:rsid w:val="009931C3"/>
    <w:rsid w:val="009B04A6"/>
    <w:rsid w:val="009B2C43"/>
    <w:rsid w:val="009B4EAE"/>
    <w:rsid w:val="009B7573"/>
    <w:rsid w:val="009C22F4"/>
    <w:rsid w:val="009C2E98"/>
    <w:rsid w:val="009C37FB"/>
    <w:rsid w:val="009D3447"/>
    <w:rsid w:val="009D4711"/>
    <w:rsid w:val="009F1185"/>
    <w:rsid w:val="009F18CD"/>
    <w:rsid w:val="009F2A13"/>
    <w:rsid w:val="009F7527"/>
    <w:rsid w:val="00A00F2C"/>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0623"/>
    <w:rsid w:val="00A91760"/>
    <w:rsid w:val="00A93B00"/>
    <w:rsid w:val="00A93C21"/>
    <w:rsid w:val="00A9773F"/>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150C"/>
    <w:rsid w:val="00BC289F"/>
    <w:rsid w:val="00BC2D50"/>
    <w:rsid w:val="00BC5361"/>
    <w:rsid w:val="00BC5460"/>
    <w:rsid w:val="00BC6B50"/>
    <w:rsid w:val="00BD0E25"/>
    <w:rsid w:val="00BE3A5F"/>
    <w:rsid w:val="00BF4B73"/>
    <w:rsid w:val="00BF5BD6"/>
    <w:rsid w:val="00C03E31"/>
    <w:rsid w:val="00C12B95"/>
    <w:rsid w:val="00C30E69"/>
    <w:rsid w:val="00C33E72"/>
    <w:rsid w:val="00C354B2"/>
    <w:rsid w:val="00C35554"/>
    <w:rsid w:val="00C37B9A"/>
    <w:rsid w:val="00C42709"/>
    <w:rsid w:val="00C533CC"/>
    <w:rsid w:val="00C5751C"/>
    <w:rsid w:val="00C60EFA"/>
    <w:rsid w:val="00C61BFC"/>
    <w:rsid w:val="00C62B85"/>
    <w:rsid w:val="00C635A7"/>
    <w:rsid w:val="00C65438"/>
    <w:rsid w:val="00C86183"/>
    <w:rsid w:val="00C91CBB"/>
    <w:rsid w:val="00CB13DD"/>
    <w:rsid w:val="00CB4E70"/>
    <w:rsid w:val="00CC09B6"/>
    <w:rsid w:val="00CC666F"/>
    <w:rsid w:val="00CD1E3F"/>
    <w:rsid w:val="00CE44F6"/>
    <w:rsid w:val="00CE49DA"/>
    <w:rsid w:val="00CE7B61"/>
    <w:rsid w:val="00D00095"/>
    <w:rsid w:val="00D114F0"/>
    <w:rsid w:val="00D14B94"/>
    <w:rsid w:val="00D201C8"/>
    <w:rsid w:val="00D20620"/>
    <w:rsid w:val="00D254F7"/>
    <w:rsid w:val="00D26091"/>
    <w:rsid w:val="00D2685C"/>
    <w:rsid w:val="00D34E7C"/>
    <w:rsid w:val="00D35489"/>
    <w:rsid w:val="00D36AFE"/>
    <w:rsid w:val="00D51276"/>
    <w:rsid w:val="00D7035F"/>
    <w:rsid w:val="00D860A5"/>
    <w:rsid w:val="00DA634F"/>
    <w:rsid w:val="00DA65AC"/>
    <w:rsid w:val="00DB1913"/>
    <w:rsid w:val="00DC0097"/>
    <w:rsid w:val="00DC410D"/>
    <w:rsid w:val="00DC5A81"/>
    <w:rsid w:val="00DC68CA"/>
    <w:rsid w:val="00DC7CBA"/>
    <w:rsid w:val="00DD73B7"/>
    <w:rsid w:val="00DE3E81"/>
    <w:rsid w:val="00DF28BC"/>
    <w:rsid w:val="00DF34B9"/>
    <w:rsid w:val="00E01053"/>
    <w:rsid w:val="00E07ACF"/>
    <w:rsid w:val="00E331A1"/>
    <w:rsid w:val="00E33202"/>
    <w:rsid w:val="00E336A9"/>
    <w:rsid w:val="00E42924"/>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4DC3"/>
    <w:rsid w:val="00F602DF"/>
    <w:rsid w:val="00F754A1"/>
    <w:rsid w:val="00F81FD9"/>
    <w:rsid w:val="00F841AA"/>
    <w:rsid w:val="00F84A94"/>
    <w:rsid w:val="00F87E96"/>
    <w:rsid w:val="00FA23E8"/>
    <w:rsid w:val="00FA4846"/>
    <w:rsid w:val="00FD3CC1"/>
    <w:rsid w:val="00FF1E02"/>
    <w:rsid w:val="00FF30B4"/>
    <w:rsid w:val="045F7587"/>
    <w:rsid w:val="0F746B1B"/>
    <w:rsid w:val="10C055FF"/>
    <w:rsid w:val="12160620"/>
    <w:rsid w:val="135C4F22"/>
    <w:rsid w:val="16BB723D"/>
    <w:rsid w:val="172B41FD"/>
    <w:rsid w:val="1E2B0D38"/>
    <w:rsid w:val="1EA607A2"/>
    <w:rsid w:val="1EAE3606"/>
    <w:rsid w:val="240371BF"/>
    <w:rsid w:val="29FD04D3"/>
    <w:rsid w:val="2DF22905"/>
    <w:rsid w:val="2E3445EA"/>
    <w:rsid w:val="319F7F4E"/>
    <w:rsid w:val="35340A5F"/>
    <w:rsid w:val="35604029"/>
    <w:rsid w:val="35765E7D"/>
    <w:rsid w:val="36303BCE"/>
    <w:rsid w:val="3FCD33B5"/>
    <w:rsid w:val="41B11F42"/>
    <w:rsid w:val="446A1670"/>
    <w:rsid w:val="4C6D3096"/>
    <w:rsid w:val="4ECE2238"/>
    <w:rsid w:val="5740167C"/>
    <w:rsid w:val="5D4B53F4"/>
    <w:rsid w:val="60AB24CC"/>
    <w:rsid w:val="69671F94"/>
    <w:rsid w:val="72734D90"/>
    <w:rsid w:val="735212C4"/>
    <w:rsid w:val="73DE7475"/>
    <w:rsid w:val="77917E47"/>
    <w:rsid w:val="7C1F1332"/>
    <w:rsid w:val="7C9C466D"/>
    <w:rsid w:val="7E8E545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unhideWhenUsed/>
    <w:qFormat/>
    <w:uiPriority w:val="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qFormat/>
    <w:uiPriority w:val="99"/>
    <w:pPr>
      <w:spacing w:beforeLines="30"/>
    </w:pPr>
    <w:rPr>
      <w:rFonts w:ascii="仿宋_GB2312" w:eastAsia="仿宋_GB2312"/>
      <w:kern w:val="0"/>
      <w:sz w:val="30"/>
    </w:rPr>
  </w:style>
  <w:style w:type="paragraph" w:styleId="6">
    <w:name w:val="annotation text"/>
    <w:basedOn w:val="1"/>
    <w:unhideWhenUsed/>
    <w:qFormat/>
    <w:uiPriority w:val="99"/>
    <w:pPr>
      <w:jc w:val="left"/>
    </w:pPr>
  </w:style>
  <w:style w:type="paragraph" w:styleId="7">
    <w:name w:val="Salutation"/>
    <w:basedOn w:val="1"/>
    <w:next w:val="1"/>
    <w:qFormat/>
    <w:uiPriority w:val="99"/>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6">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2"/>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4"/>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5"/>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标题 2 Char1"/>
    <w:basedOn w:val="19"/>
    <w:link w:val="4"/>
    <w:qFormat/>
    <w:locked/>
    <w:uiPriority w:val="9"/>
    <w:rPr>
      <w:rFonts w:ascii="Cambria" w:hAnsi="Cambria" w:eastAsia="宋体" w:cs="Times New Roman"/>
      <w:b/>
      <w:bCs/>
      <w:kern w:val="2"/>
      <w:sz w:val="32"/>
      <w:szCs w:val="32"/>
    </w:rPr>
  </w:style>
  <w:style w:type="paragraph" w:styleId="4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7825</Words>
  <Characters>8262</Characters>
  <Lines>5</Lines>
  <Paragraphs>17</Paragraphs>
  <TotalTime>1</TotalTime>
  <ScaleCrop>false</ScaleCrop>
  <LinksUpToDate>false</LinksUpToDate>
  <CharactersWithSpaces>8317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2022-09-24T03:26:00Z</dcterms:created>
  <dc:creator>曹颖</dc:creator>
  <cp:lastModifiedBy>昭化融媒体</cp:lastModifiedBy>
  <cp:lastPrinted>2020-11-13T01:42:00Z</cp:lastPrinted>
  <dcterms:modified xsi:type="dcterms:W3CDTF">2024-12-19T07:42:37Z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E9553BE303A24DA2876C82E498F3BBDB</vt:lpwstr>
  </property>
  <property fmtid="{D5CDD505-2E9C-101B-9397-08002B2CF9AE}" pid="4" name="KSOTemplateDocerSaveRecord">
    <vt:lpwstr>eyJoZGlkIjoiMGVhYTg4NGNkZWJkODFjNzcyZDRjM2M4Y2UzNjI5ZmUiLCJ1c2VySWQiOiI2MTE2MzEwMDYifQ==</vt:lpwstr>
  </property>
</Properties>
</file>