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6E719">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bookmarkStart w:id="0" w:name="_Toc15306267"/>
    </w:p>
    <w:p w14:paraId="41519E18">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p w14:paraId="0ACAF943">
      <w:pPr>
        <w:wordWrap/>
        <w:snapToGrid/>
        <w:spacing w:line="240" w:lineRule="auto"/>
        <w:ind w:left="0" w:leftChars="0" w:right="0" w:firstLine="0" w:firstLineChars="0"/>
        <w:jc w:val="left"/>
        <w:outlineLvl w:val="9"/>
        <w:rPr>
          <w:rFonts w:ascii="方正小标宋简体" w:hAnsi="宋体" w:eastAsia="方正小标宋简体"/>
          <w:color w:val="000000"/>
          <w:sz w:val="144"/>
          <w:szCs w:val="144"/>
        </w:rPr>
      </w:pPr>
    </w:p>
    <w:bookmarkEnd w:id="0"/>
    <w:p w14:paraId="13D916D7">
      <w:pPr>
        <w:adjustRightInd w:val="0"/>
        <w:snapToGrid w:val="0"/>
        <w:spacing w:line="360" w:lineRule="auto"/>
        <w:jc w:val="center"/>
        <w:outlineLvl w:val="0"/>
        <w:rPr>
          <w:rFonts w:ascii="方正小标宋简体" w:hAnsi="宋体" w:eastAsia="方正小标宋简体" w:cs="Times New Roman"/>
          <w:sz w:val="72"/>
          <w:szCs w:val="72"/>
        </w:rPr>
      </w:pPr>
      <w:bookmarkStart w:id="1" w:name="_Toc15396475"/>
      <w:bookmarkStart w:id="2" w:name="_Toc15396597"/>
      <w:bookmarkStart w:id="3" w:name="_Toc15377425"/>
      <w:bookmarkStart w:id="4" w:name="_Toc15377193"/>
      <w:bookmarkStart w:id="5" w:name="_Toc15378441"/>
      <w:r>
        <w:rPr>
          <w:rFonts w:ascii="黑体" w:hAnsi="黑体" w:eastAsia="黑体" w:cs="Times New Roman"/>
          <w:sz w:val="72"/>
          <w:szCs w:val="72"/>
        </w:rPr>
        <w:t>2020</w:t>
      </w:r>
      <w:r>
        <w:rPr>
          <w:rFonts w:hint="eastAsia" w:ascii="方正小标宋简体" w:hAnsi="宋体" w:eastAsia="方正小标宋简体" w:cs="Times New Roman"/>
          <w:sz w:val="72"/>
          <w:szCs w:val="72"/>
        </w:rPr>
        <w:t>年度</w:t>
      </w:r>
      <w:bookmarkEnd w:id="1"/>
      <w:bookmarkEnd w:id="2"/>
      <w:bookmarkEnd w:id="3"/>
      <w:bookmarkEnd w:id="4"/>
      <w:bookmarkEnd w:id="5"/>
    </w:p>
    <w:p w14:paraId="3F3DE153">
      <w:pPr>
        <w:adjustRightInd w:val="0"/>
        <w:snapToGrid w:val="0"/>
        <w:spacing w:line="360" w:lineRule="auto"/>
        <w:jc w:val="center"/>
        <w:outlineLvl w:val="0"/>
        <w:rPr>
          <w:rFonts w:hint="eastAsia" w:ascii="方正小标宋简体" w:hAnsi="宋体" w:eastAsia="方正小标宋简体" w:cs="Times New Roman"/>
          <w:sz w:val="72"/>
          <w:szCs w:val="72"/>
        </w:rPr>
      </w:pPr>
      <w:bookmarkStart w:id="6" w:name="_Toc15396598"/>
      <w:bookmarkStart w:id="7" w:name="_Toc15377194"/>
      <w:bookmarkStart w:id="8" w:name="_Toc15378442"/>
      <w:bookmarkStart w:id="9" w:name="_Toc15396476"/>
      <w:bookmarkStart w:id="10" w:name="_Toc15377426"/>
      <w:r>
        <w:rPr>
          <w:rFonts w:hint="eastAsia" w:ascii="方正小标宋简体" w:hAnsi="宋体" w:eastAsia="方正小标宋简体" w:cs="Times New Roman"/>
          <w:sz w:val="72"/>
          <w:szCs w:val="72"/>
        </w:rPr>
        <w:t>四川省</w:t>
      </w:r>
      <w:bookmarkStart w:id="11" w:name="_Toc15306268"/>
      <w:r>
        <w:rPr>
          <w:rFonts w:hint="eastAsia" w:ascii="方正小标宋简体" w:hAnsi="宋体" w:eastAsia="方正小标宋简体" w:cs="Times New Roman"/>
          <w:sz w:val="72"/>
          <w:szCs w:val="72"/>
        </w:rPr>
        <w:t>广元市昭化区</w:t>
      </w:r>
    </w:p>
    <w:p w14:paraId="1E596F58">
      <w:pPr>
        <w:widowControl/>
        <w:jc w:val="center"/>
        <w:rPr>
          <w:rFonts w:ascii="黑体" w:hAnsi="黑体" w:eastAsia="黑体" w:cs="Times New Roman"/>
          <w:sz w:val="48"/>
          <w:szCs w:val="48"/>
        </w:rPr>
      </w:pPr>
      <w:r>
        <w:rPr>
          <w:rFonts w:hint="eastAsia" w:ascii="方正小标宋简体" w:hAnsi="宋体" w:eastAsia="方正小标宋简体" w:cs="Times New Roman"/>
          <w:sz w:val="72"/>
          <w:szCs w:val="72"/>
        </w:rPr>
        <w:t>柏林沟镇</w:t>
      </w:r>
      <w:r>
        <w:rPr>
          <w:rFonts w:ascii="方正小标宋简体" w:hAnsi="宋体" w:eastAsia="方正小标宋简体" w:cs="Times New Roman"/>
          <w:sz w:val="72"/>
          <w:szCs w:val="72"/>
        </w:rPr>
        <w:t>小学单位</w:t>
      </w:r>
      <w:r>
        <w:rPr>
          <w:rFonts w:hint="eastAsia" w:ascii="方正小标宋简体" w:hAnsi="宋体" w:eastAsia="方正小标宋简体" w:cs="Times New Roman"/>
          <w:sz w:val="72"/>
          <w:szCs w:val="72"/>
        </w:rPr>
        <w:t>决算</w:t>
      </w:r>
      <w:bookmarkEnd w:id="6"/>
      <w:bookmarkEnd w:id="7"/>
      <w:bookmarkEnd w:id="8"/>
      <w:bookmarkEnd w:id="9"/>
      <w:bookmarkEnd w:id="10"/>
      <w:bookmarkEnd w:id="11"/>
      <w:r>
        <w:rPr>
          <w:rFonts w:ascii="方正小标宋简体" w:hAnsi="宋体" w:eastAsia="方正小标宋简体"/>
          <w:color w:val="000000"/>
          <w:sz w:val="36"/>
          <w:szCs w:val="36"/>
        </w:rPr>
        <w:br w:type="page"/>
      </w:r>
      <w:bookmarkStart w:id="12" w:name="_Toc15377196"/>
      <w:bookmarkStart w:id="13" w:name="_Toc15396599"/>
      <w:r>
        <w:rPr>
          <w:rFonts w:hint="eastAsia" w:ascii="黑体" w:hAnsi="黑体" w:eastAsia="黑体" w:cs="Times New Roman"/>
          <w:sz w:val="48"/>
          <w:szCs w:val="48"/>
        </w:rPr>
        <w:t>目录</w:t>
      </w:r>
    </w:p>
    <w:p w14:paraId="7A55594F">
      <w:pPr>
        <w:widowControl/>
        <w:jc w:val="center"/>
        <w:rPr>
          <w:rFonts w:ascii="黑体" w:hAnsi="黑体" w:eastAsia="黑体" w:cs="Times New Roman"/>
          <w:sz w:val="28"/>
          <w:szCs w:val="28"/>
        </w:rPr>
      </w:pPr>
    </w:p>
    <w:p w14:paraId="49F978E8">
      <w:pPr>
        <w:pStyle w:val="13"/>
        <w:rPr>
          <w:rFonts w:cs="Times New Roman"/>
        </w:rPr>
      </w:pPr>
      <w:r>
        <w:rPr>
          <w:rFonts w:hint="eastAsia" w:cs="Times New Roman"/>
        </w:rPr>
        <w:t>公开时间：</w:t>
      </w:r>
      <w:r>
        <w:rPr>
          <w:rFonts w:cs="Times New Roman"/>
        </w:rPr>
        <w:t>2021</w:t>
      </w:r>
      <w:r>
        <w:rPr>
          <w:rFonts w:hint="eastAsia" w:cs="Times New Roman"/>
        </w:rPr>
        <w:t>年9月</w:t>
      </w:r>
      <w:r>
        <w:rPr>
          <w:rFonts w:hint="eastAsia" w:cs="Times New Roman"/>
          <w:lang w:val="en-US" w:eastAsia="zh-CN"/>
        </w:rPr>
        <w:t>30</w:t>
      </w:r>
      <w:r>
        <w:rPr>
          <w:rFonts w:hint="eastAsia" w:cs="Times New Roman"/>
        </w:rPr>
        <w:t>日</w:t>
      </w:r>
    </w:p>
    <w:p w14:paraId="1A4DF81B">
      <w:pPr>
        <w:rPr>
          <w:rFonts w:ascii="Times New Roman" w:hAnsi="Times New Roman" w:eastAsia="宋体" w:cs="Times New Roman"/>
        </w:rPr>
      </w:pPr>
    </w:p>
    <w:p w14:paraId="3B55A31E">
      <w:pPr>
        <w:pStyle w:val="13"/>
        <w:adjustRightInd w:val="0"/>
        <w:snapToGrid w:val="0"/>
        <w:spacing w:before="0" w:line="4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第一部分  单位概况</w:t>
      </w:r>
    </w:p>
    <w:p w14:paraId="6CFA7B94">
      <w:pPr>
        <w:pStyle w:val="15"/>
        <w:adjustRightInd w:val="0"/>
        <w:snapToGrid w:val="0"/>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一、基本职能及主要工作</w:t>
      </w:r>
      <w:r>
        <w:rPr>
          <w:rFonts w:ascii="Times New Roman" w:hAnsi="Times New Roman" w:eastAsia="宋体" w:cs="Times New Roman"/>
          <w:sz w:val="24"/>
        </w:rPr>
        <w:tab/>
      </w:r>
      <w:r>
        <w:rPr>
          <w:rFonts w:hint="eastAsia" w:ascii="Times New Roman" w:hAnsi="Times New Roman" w:eastAsia="宋体" w:cs="Times New Roman"/>
          <w:sz w:val="24"/>
        </w:rPr>
        <w:t>4</w:t>
      </w:r>
    </w:p>
    <w:p w14:paraId="2BFDA736">
      <w:pPr>
        <w:pStyle w:val="15"/>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二、机构设置</w:t>
      </w:r>
      <w:r>
        <w:rPr>
          <w:rFonts w:ascii="Times New Roman" w:hAnsi="Times New Roman" w:eastAsia="宋体" w:cs="Times New Roman"/>
          <w:sz w:val="24"/>
        </w:rPr>
        <w:tab/>
      </w:r>
      <w:r>
        <w:rPr>
          <w:rFonts w:hint="eastAsia" w:ascii="Times New Roman" w:hAnsi="Times New Roman" w:eastAsia="宋体" w:cs="Times New Roman"/>
          <w:sz w:val="24"/>
        </w:rPr>
        <w:t>6</w:t>
      </w:r>
    </w:p>
    <w:p w14:paraId="5AD97DB4">
      <w:pPr>
        <w:pStyle w:val="13"/>
        <w:adjustRightInd w:val="0"/>
        <w:snapToGrid w:val="0"/>
        <w:spacing w:before="0" w:line="4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第二部分  </w:t>
      </w:r>
      <w:r>
        <w:rPr>
          <w:rFonts w:ascii="Times New Roman" w:hAnsi="Times New Roman" w:eastAsia="宋体" w:cs="Times New Roman"/>
          <w:sz w:val="24"/>
          <w:szCs w:val="24"/>
        </w:rPr>
        <w:t>2020</w:t>
      </w:r>
      <w:r>
        <w:rPr>
          <w:rFonts w:hint="eastAsia" w:ascii="Times New Roman" w:hAnsi="Times New Roman" w:eastAsia="宋体" w:cs="Times New Roman"/>
          <w:sz w:val="24"/>
          <w:szCs w:val="24"/>
        </w:rPr>
        <w:t>年单位决算情况说明</w:t>
      </w:r>
    </w:p>
    <w:p w14:paraId="6C813C78">
      <w:pPr>
        <w:pStyle w:val="15"/>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一、收入支出决算总体情况说明</w:t>
      </w:r>
      <w:r>
        <w:rPr>
          <w:rFonts w:ascii="Times New Roman" w:hAnsi="Times New Roman" w:eastAsia="宋体" w:cs="Times New Roman"/>
          <w:sz w:val="24"/>
        </w:rPr>
        <w:tab/>
      </w:r>
      <w:r>
        <w:rPr>
          <w:rFonts w:hint="eastAsia" w:ascii="Times New Roman" w:hAnsi="Times New Roman" w:eastAsia="宋体" w:cs="Times New Roman"/>
          <w:sz w:val="24"/>
        </w:rPr>
        <w:t>7</w:t>
      </w:r>
    </w:p>
    <w:p w14:paraId="7EC12988">
      <w:pPr>
        <w:pStyle w:val="15"/>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二、收入决算情况说明</w:t>
      </w:r>
      <w:r>
        <w:rPr>
          <w:rFonts w:ascii="Times New Roman" w:hAnsi="Times New Roman" w:eastAsia="宋体" w:cs="Times New Roman"/>
          <w:sz w:val="24"/>
        </w:rPr>
        <w:tab/>
      </w:r>
      <w:r>
        <w:rPr>
          <w:rFonts w:hint="eastAsia" w:ascii="Times New Roman" w:hAnsi="Times New Roman" w:eastAsia="宋体" w:cs="Times New Roman"/>
          <w:sz w:val="24"/>
        </w:rPr>
        <w:t>7</w:t>
      </w:r>
    </w:p>
    <w:p w14:paraId="7FCE9B29">
      <w:pPr>
        <w:pStyle w:val="15"/>
        <w:adjustRightInd w:val="0"/>
        <w:snapToGrid w:val="0"/>
        <w:spacing w:line="440" w:lineRule="exact"/>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三、支出决算情况说明</w:t>
      </w:r>
      <w:r>
        <w:rPr>
          <w:rFonts w:ascii="Times New Roman" w:hAnsi="Times New Roman" w:eastAsia="宋体" w:cs="Times New Roman"/>
          <w:sz w:val="24"/>
        </w:rPr>
        <w:tab/>
      </w:r>
      <w:r>
        <w:rPr>
          <w:rFonts w:hint="eastAsia" w:cs="Times New Roman"/>
          <w:sz w:val="24"/>
          <w:lang w:val="en-US" w:eastAsia="zh-CN"/>
        </w:rPr>
        <w:t>7</w:t>
      </w:r>
    </w:p>
    <w:p w14:paraId="4D48B0AE">
      <w:pPr>
        <w:pStyle w:val="15"/>
        <w:adjustRightInd w:val="0"/>
        <w:snapToGrid w:val="0"/>
        <w:spacing w:line="440" w:lineRule="exact"/>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四、财政拨款收入支出决算总体情况说明</w:t>
      </w:r>
      <w:r>
        <w:rPr>
          <w:rFonts w:ascii="Times New Roman" w:hAnsi="Times New Roman" w:eastAsia="宋体" w:cs="Times New Roman"/>
          <w:sz w:val="24"/>
        </w:rPr>
        <w:tab/>
      </w:r>
      <w:r>
        <w:rPr>
          <w:rFonts w:hint="eastAsia" w:cs="Times New Roman"/>
          <w:sz w:val="24"/>
          <w:lang w:val="en-US" w:eastAsia="zh-CN"/>
        </w:rPr>
        <w:t>7</w:t>
      </w:r>
    </w:p>
    <w:p w14:paraId="6332A286">
      <w:pPr>
        <w:pStyle w:val="15"/>
        <w:adjustRightInd w:val="0"/>
        <w:snapToGrid w:val="0"/>
        <w:spacing w:line="440" w:lineRule="exact"/>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五、一般公共预算财政拨款支出决算情况说明</w:t>
      </w:r>
      <w:r>
        <w:rPr>
          <w:rFonts w:ascii="Times New Roman" w:hAnsi="Times New Roman" w:eastAsia="宋体" w:cs="Times New Roman"/>
          <w:sz w:val="24"/>
        </w:rPr>
        <w:tab/>
      </w:r>
      <w:r>
        <w:rPr>
          <w:rFonts w:hint="eastAsia" w:cs="Times New Roman"/>
          <w:sz w:val="24"/>
          <w:lang w:val="en-US" w:eastAsia="zh-CN"/>
        </w:rPr>
        <w:t>8</w:t>
      </w:r>
    </w:p>
    <w:p w14:paraId="6EEC36E5">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六、一般公共预算财政拨款基本支出决算情况说明</w:t>
      </w:r>
      <w:r>
        <w:rPr>
          <w:rFonts w:ascii="Times New Roman" w:hAnsi="Times New Roman" w:eastAsia="宋体" w:cs="Times New Roman"/>
          <w:sz w:val="24"/>
        </w:rPr>
        <w:tab/>
      </w:r>
      <w:r>
        <w:rPr>
          <w:rFonts w:hint="eastAsia" w:cs="Times New Roman"/>
          <w:sz w:val="24"/>
          <w:lang w:val="en-US" w:eastAsia="zh-CN"/>
        </w:rPr>
        <w:t>8</w:t>
      </w:r>
    </w:p>
    <w:p w14:paraId="7A17BE6D">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七、“三公”经费财政拨款支出决算情况说明</w:t>
      </w:r>
      <w:r>
        <w:rPr>
          <w:rFonts w:hint="eastAsia" w:ascii="Times New Roman" w:hAnsi="Times New Roman" w:eastAsia="宋体" w:cs="Times New Roman"/>
          <w:sz w:val="24"/>
        </w:rPr>
        <w:tab/>
      </w:r>
      <w:r>
        <w:rPr>
          <w:rFonts w:hint="eastAsia" w:cs="Times New Roman"/>
          <w:sz w:val="24"/>
          <w:lang w:val="en-US" w:eastAsia="zh-CN"/>
        </w:rPr>
        <w:t>9</w:t>
      </w:r>
    </w:p>
    <w:p w14:paraId="0FF78D2A">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八、政府性基金预算支出决算情况说明</w:t>
      </w:r>
      <w:r>
        <w:rPr>
          <w:rFonts w:hint="eastAsia" w:ascii="Times New Roman" w:hAnsi="Times New Roman" w:eastAsia="宋体" w:cs="Times New Roman"/>
          <w:sz w:val="24"/>
        </w:rPr>
        <w:tab/>
      </w:r>
      <w:r>
        <w:rPr>
          <w:rFonts w:hint="eastAsia" w:cs="Times New Roman"/>
          <w:sz w:val="24"/>
          <w:lang w:val="en-US" w:eastAsia="zh-CN"/>
        </w:rPr>
        <w:t>10</w:t>
      </w:r>
    </w:p>
    <w:p w14:paraId="24812BC5">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九、国有资本经营预算支出决算情况说明</w:t>
      </w:r>
      <w:r>
        <w:rPr>
          <w:rFonts w:hint="eastAsia" w:ascii="Times New Roman" w:hAnsi="Times New Roman" w:eastAsia="宋体" w:cs="Times New Roman"/>
          <w:sz w:val="24"/>
        </w:rPr>
        <w:tab/>
      </w:r>
      <w:r>
        <w:rPr>
          <w:rFonts w:hint="eastAsia" w:ascii="Times New Roman" w:hAnsi="Times New Roman" w:eastAsia="宋体" w:cs="Times New Roman"/>
          <w:sz w:val="24"/>
          <w:lang w:val="en-US" w:eastAsia="zh-CN"/>
        </w:rPr>
        <w:t>1</w:t>
      </w:r>
      <w:r>
        <w:rPr>
          <w:rFonts w:hint="eastAsia" w:cs="Times New Roman"/>
          <w:sz w:val="24"/>
          <w:lang w:val="en-US" w:eastAsia="zh-CN"/>
        </w:rPr>
        <w:t>0</w:t>
      </w:r>
    </w:p>
    <w:p w14:paraId="46ED5C56">
      <w:pPr>
        <w:pStyle w:val="15"/>
        <w:adjustRightInd w:val="0"/>
        <w:snapToGrid w:val="0"/>
        <w:spacing w:line="440" w:lineRule="exact"/>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rPr>
        <w:t>十、其他重要事项的情况说明</w:t>
      </w:r>
      <w:r>
        <w:rPr>
          <w:rFonts w:hint="eastAsia" w:ascii="Times New Roman" w:hAnsi="Times New Roman" w:eastAsia="宋体" w:cs="Times New Roman"/>
          <w:sz w:val="24"/>
        </w:rPr>
        <w:tab/>
      </w:r>
      <w:r>
        <w:rPr>
          <w:rFonts w:ascii="Times New Roman" w:hAnsi="Times New Roman" w:eastAsia="宋体" w:cs="Times New Roman"/>
          <w:sz w:val="24"/>
        </w:rPr>
        <w:t>1</w:t>
      </w:r>
      <w:r>
        <w:rPr>
          <w:rFonts w:hint="eastAsia" w:cs="Times New Roman"/>
          <w:sz w:val="24"/>
          <w:lang w:val="en-US" w:eastAsia="zh-CN"/>
        </w:rPr>
        <w:t>0</w:t>
      </w:r>
    </w:p>
    <w:p w14:paraId="2ACD89E2">
      <w:pPr>
        <w:pStyle w:val="13"/>
        <w:adjustRightInd w:val="0"/>
        <w:snapToGrid w:val="0"/>
        <w:spacing w:before="0" w:line="440" w:lineRule="exact"/>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第三部分  名词解释</w:t>
      </w:r>
      <w:r>
        <w:rPr>
          <w:rFonts w:ascii="Times New Roman" w:hAnsi="Times New Roman" w:eastAsia="宋体" w:cs="Times New Roman"/>
          <w:sz w:val="24"/>
          <w:szCs w:val="24"/>
        </w:rPr>
        <w:tab/>
      </w:r>
      <w:r>
        <w:rPr>
          <w:rFonts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4</w:t>
      </w:r>
    </w:p>
    <w:p w14:paraId="43C42E48">
      <w:pPr>
        <w:pStyle w:val="13"/>
        <w:adjustRightInd w:val="0"/>
        <w:snapToGrid w:val="0"/>
        <w:spacing w:before="0" w:line="440" w:lineRule="exact"/>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第四部分  附件</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5</w:t>
      </w:r>
    </w:p>
    <w:p w14:paraId="1088C217">
      <w:pPr>
        <w:pStyle w:val="13"/>
        <w:adjustRightInd w:val="0"/>
        <w:snapToGrid w:val="0"/>
        <w:spacing w:before="0" w:line="440" w:lineRule="exact"/>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附件1</w:t>
      </w:r>
      <w:r>
        <w:rPr>
          <w:rFonts w:hint="eastAsia"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15</w:t>
      </w:r>
    </w:p>
    <w:p w14:paraId="035DEB29">
      <w:pPr>
        <w:pStyle w:val="13"/>
        <w:adjustRightInd w:val="0"/>
        <w:snapToGrid w:val="0"/>
        <w:spacing w:before="0" w:line="440" w:lineRule="exact"/>
        <w:ind w:firstLine="480" w:firstLineChars="20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附件2</w:t>
      </w:r>
      <w:r>
        <w:rPr>
          <w:rFonts w:hint="eastAsia" w:ascii="Times New Roman" w:hAnsi="Times New Roman" w:eastAsia="宋体" w:cs="Times New Roman"/>
          <w:sz w:val="24"/>
          <w:szCs w:val="24"/>
          <w:lang w:val="en-US" w:eastAsia="zh-CN"/>
        </w:rPr>
        <w:tab/>
      </w:r>
      <w:r>
        <w:rPr>
          <w:rFonts w:hint="eastAsia" w:ascii="Times New Roman" w:hAnsi="Times New Roman" w:eastAsia="宋体" w:cs="Times New Roman"/>
          <w:sz w:val="24"/>
          <w:szCs w:val="24"/>
          <w:lang w:val="en-US" w:eastAsia="zh-CN"/>
        </w:rPr>
        <w:t>19</w:t>
      </w:r>
    </w:p>
    <w:p w14:paraId="39296625">
      <w:pPr>
        <w:pStyle w:val="13"/>
        <w:adjustRightInd w:val="0"/>
        <w:snapToGrid w:val="0"/>
        <w:spacing w:before="0" w:line="440" w:lineRule="exact"/>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第五部分  附表</w:t>
      </w:r>
      <w:r>
        <w:rPr>
          <w:rFonts w:ascii="Times New Roman" w:hAnsi="Times New Roman" w:eastAsia="宋体" w:cs="Times New Roman"/>
          <w:sz w:val="24"/>
          <w:szCs w:val="24"/>
        </w:rPr>
        <w:tab/>
      </w:r>
      <w:r>
        <w:rPr>
          <w:rFonts w:hint="eastAsia" w:ascii="Times New Roman" w:hAnsi="Times New Roman" w:eastAsia="宋体" w:cs="Times New Roman"/>
          <w:sz w:val="24"/>
          <w:szCs w:val="24"/>
          <w:lang w:val="en-US" w:eastAsia="zh-CN"/>
        </w:rPr>
        <w:t>22</w:t>
      </w:r>
    </w:p>
    <w:p w14:paraId="28BC6A0C">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一、收入支出决算总表</w:t>
      </w:r>
      <w:r>
        <w:rPr>
          <w:rFonts w:ascii="Times New Roman" w:hAnsi="Times New Roman" w:eastAsia="宋体" w:cs="Times New Roman"/>
          <w:sz w:val="24"/>
        </w:rPr>
        <w:tab/>
      </w:r>
      <w:r>
        <w:rPr>
          <w:rFonts w:hint="eastAsia" w:ascii="Times New Roman" w:hAnsi="Times New Roman" w:eastAsia="宋体" w:cs="Times New Roman"/>
          <w:sz w:val="24"/>
          <w:lang w:val="en-US" w:eastAsia="zh-CN"/>
        </w:rPr>
        <w:t>2</w:t>
      </w:r>
      <w:r>
        <w:rPr>
          <w:rFonts w:hint="eastAsia" w:cs="Times New Roman"/>
          <w:sz w:val="24"/>
          <w:lang w:val="en-US" w:eastAsia="zh-CN"/>
        </w:rPr>
        <w:t>2</w:t>
      </w:r>
    </w:p>
    <w:p w14:paraId="167BF45D">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二、收入决算表</w:t>
      </w:r>
      <w:r>
        <w:rPr>
          <w:rFonts w:ascii="Times New Roman" w:hAnsi="Times New Roman" w:eastAsia="宋体" w:cs="Times New Roman"/>
          <w:sz w:val="24"/>
        </w:rPr>
        <w:tab/>
      </w:r>
      <w:r>
        <w:rPr>
          <w:rFonts w:hint="eastAsia" w:ascii="Times New Roman" w:hAnsi="Times New Roman" w:eastAsia="宋体" w:cs="Times New Roman"/>
          <w:sz w:val="24"/>
          <w:lang w:val="en-US" w:eastAsia="zh-CN"/>
        </w:rPr>
        <w:t>2</w:t>
      </w:r>
      <w:r>
        <w:rPr>
          <w:rFonts w:hint="eastAsia" w:cs="Times New Roman"/>
          <w:sz w:val="24"/>
          <w:lang w:val="en-US" w:eastAsia="zh-CN"/>
        </w:rPr>
        <w:t>2</w:t>
      </w:r>
    </w:p>
    <w:p w14:paraId="1B5FA5DC">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三、支出决算表</w:t>
      </w:r>
      <w:r>
        <w:rPr>
          <w:rFonts w:ascii="Times New Roman" w:hAnsi="Times New Roman" w:eastAsia="宋体" w:cs="Times New Roman"/>
          <w:sz w:val="24"/>
        </w:rPr>
        <w:tab/>
      </w:r>
      <w:r>
        <w:rPr>
          <w:rFonts w:hint="eastAsia" w:ascii="Times New Roman" w:hAnsi="Times New Roman" w:eastAsia="宋体" w:cs="Times New Roman"/>
          <w:sz w:val="24"/>
          <w:lang w:val="en-US" w:eastAsia="zh-CN"/>
        </w:rPr>
        <w:t>2</w:t>
      </w:r>
      <w:r>
        <w:rPr>
          <w:rFonts w:hint="eastAsia" w:cs="Times New Roman"/>
          <w:sz w:val="24"/>
          <w:lang w:val="en-US" w:eastAsia="zh-CN"/>
        </w:rPr>
        <w:t>2</w:t>
      </w:r>
    </w:p>
    <w:p w14:paraId="2CF61789">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四、财政拨款收入支出决算总表</w:t>
      </w:r>
      <w:r>
        <w:rPr>
          <w:rFonts w:ascii="Times New Roman" w:hAnsi="Times New Roman" w:eastAsia="宋体" w:cs="Times New Roman"/>
          <w:sz w:val="24"/>
        </w:rPr>
        <w:tab/>
      </w:r>
      <w:r>
        <w:rPr>
          <w:rFonts w:hint="eastAsia" w:ascii="Times New Roman" w:hAnsi="Times New Roman" w:eastAsia="宋体" w:cs="Times New Roman"/>
          <w:sz w:val="24"/>
          <w:lang w:val="en-US" w:eastAsia="zh-CN"/>
        </w:rPr>
        <w:t>2</w:t>
      </w:r>
      <w:r>
        <w:rPr>
          <w:rFonts w:hint="eastAsia" w:cs="Times New Roman"/>
          <w:sz w:val="24"/>
          <w:lang w:val="en-US" w:eastAsia="zh-CN"/>
        </w:rPr>
        <w:t>2</w:t>
      </w:r>
    </w:p>
    <w:p w14:paraId="36928B24">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五、财政拨款支出决算明细表</w:t>
      </w:r>
      <w:r>
        <w:rPr>
          <w:rFonts w:ascii="Times New Roman" w:hAnsi="Times New Roman" w:eastAsia="宋体" w:cs="Times New Roman"/>
          <w:sz w:val="24"/>
        </w:rPr>
        <w:tab/>
      </w:r>
      <w:r>
        <w:rPr>
          <w:rFonts w:hint="eastAsia" w:ascii="Times New Roman" w:hAnsi="Times New Roman" w:eastAsia="宋体" w:cs="Times New Roman"/>
          <w:sz w:val="24"/>
          <w:lang w:val="en-US" w:eastAsia="zh-CN"/>
        </w:rPr>
        <w:t>2</w:t>
      </w:r>
      <w:r>
        <w:rPr>
          <w:rFonts w:hint="eastAsia" w:cs="Times New Roman"/>
          <w:sz w:val="24"/>
          <w:lang w:val="en-US" w:eastAsia="zh-CN"/>
        </w:rPr>
        <w:t>2</w:t>
      </w:r>
    </w:p>
    <w:p w14:paraId="2E9C4E64">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六、一般公共预算财政拨款支出决算表</w:t>
      </w:r>
      <w:r>
        <w:rPr>
          <w:rFonts w:ascii="Times New Roman" w:hAnsi="Times New Roman" w:eastAsia="宋体" w:cs="Times New Roman"/>
          <w:sz w:val="24"/>
        </w:rPr>
        <w:tab/>
      </w:r>
      <w:r>
        <w:rPr>
          <w:rFonts w:hint="eastAsia" w:ascii="Times New Roman" w:hAnsi="Times New Roman" w:eastAsia="宋体" w:cs="Times New Roman"/>
          <w:sz w:val="24"/>
          <w:lang w:val="en-US" w:eastAsia="zh-CN"/>
        </w:rPr>
        <w:t>2</w:t>
      </w:r>
      <w:r>
        <w:rPr>
          <w:rFonts w:hint="eastAsia" w:cs="Times New Roman"/>
          <w:sz w:val="24"/>
          <w:lang w:val="en-US" w:eastAsia="zh-CN"/>
        </w:rPr>
        <w:t>2</w:t>
      </w:r>
    </w:p>
    <w:p w14:paraId="10219610">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七、一般公共预算财政拨款支出决算明细表</w:t>
      </w:r>
      <w:r>
        <w:rPr>
          <w:rFonts w:ascii="Times New Roman" w:hAnsi="Times New Roman" w:eastAsia="宋体" w:cs="Times New Roman"/>
          <w:sz w:val="24"/>
        </w:rPr>
        <w:tab/>
      </w:r>
      <w:r>
        <w:rPr>
          <w:rFonts w:hint="eastAsia" w:ascii="Times New Roman" w:hAnsi="Times New Roman" w:eastAsia="宋体" w:cs="Times New Roman"/>
          <w:sz w:val="24"/>
          <w:lang w:val="en-US" w:eastAsia="zh-CN"/>
        </w:rPr>
        <w:t>2</w:t>
      </w:r>
      <w:r>
        <w:rPr>
          <w:rFonts w:hint="eastAsia" w:cs="Times New Roman"/>
          <w:sz w:val="24"/>
          <w:lang w:val="en-US" w:eastAsia="zh-CN"/>
        </w:rPr>
        <w:t>2</w:t>
      </w:r>
    </w:p>
    <w:p w14:paraId="0FF12A29">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八、一般公共预算财政拨款基本支出决算表</w:t>
      </w:r>
      <w:r>
        <w:rPr>
          <w:rFonts w:ascii="Times New Roman" w:hAnsi="Times New Roman" w:eastAsia="宋体" w:cs="Times New Roman"/>
          <w:sz w:val="24"/>
        </w:rPr>
        <w:tab/>
      </w:r>
      <w:r>
        <w:rPr>
          <w:rFonts w:hint="eastAsia" w:ascii="Times New Roman" w:hAnsi="Times New Roman" w:eastAsia="宋体" w:cs="Times New Roman"/>
          <w:sz w:val="24"/>
          <w:lang w:val="en-US" w:eastAsia="zh-CN"/>
        </w:rPr>
        <w:t>2</w:t>
      </w:r>
      <w:r>
        <w:rPr>
          <w:rFonts w:hint="eastAsia" w:cs="Times New Roman"/>
          <w:sz w:val="24"/>
          <w:lang w:val="en-US" w:eastAsia="zh-CN"/>
        </w:rPr>
        <w:t>2</w:t>
      </w:r>
    </w:p>
    <w:p w14:paraId="285D7E60">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九、一般公共预算财政拨款项目支出决算表</w:t>
      </w:r>
      <w:r>
        <w:rPr>
          <w:rFonts w:ascii="Times New Roman" w:hAnsi="Times New Roman" w:eastAsia="宋体" w:cs="Times New Roman"/>
          <w:sz w:val="24"/>
        </w:rPr>
        <w:tab/>
      </w:r>
      <w:r>
        <w:rPr>
          <w:rFonts w:hint="eastAsia" w:ascii="Times New Roman" w:hAnsi="Times New Roman" w:eastAsia="宋体" w:cs="Times New Roman"/>
          <w:sz w:val="24"/>
          <w:lang w:val="en-US" w:eastAsia="zh-CN"/>
        </w:rPr>
        <w:t>2</w:t>
      </w:r>
      <w:r>
        <w:rPr>
          <w:rFonts w:hint="eastAsia" w:cs="Times New Roman"/>
          <w:sz w:val="24"/>
          <w:lang w:val="en-US" w:eastAsia="zh-CN"/>
        </w:rPr>
        <w:t>2</w:t>
      </w:r>
    </w:p>
    <w:p w14:paraId="6BF03C39">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十、一般公共预算财政拨款“三公”经费支出决算表</w:t>
      </w:r>
      <w:r>
        <w:rPr>
          <w:rFonts w:ascii="Times New Roman" w:hAnsi="Times New Roman" w:eastAsia="宋体" w:cs="Times New Roman"/>
          <w:sz w:val="24"/>
        </w:rPr>
        <w:tab/>
      </w:r>
      <w:r>
        <w:rPr>
          <w:rFonts w:hint="eastAsia" w:ascii="Times New Roman" w:hAnsi="Times New Roman" w:eastAsia="宋体" w:cs="Times New Roman"/>
          <w:sz w:val="24"/>
          <w:lang w:val="en-US" w:eastAsia="zh-CN"/>
        </w:rPr>
        <w:t>2</w:t>
      </w:r>
      <w:r>
        <w:rPr>
          <w:rFonts w:hint="eastAsia" w:cs="Times New Roman"/>
          <w:sz w:val="24"/>
          <w:lang w:val="en-US" w:eastAsia="zh-CN"/>
        </w:rPr>
        <w:t>2</w:t>
      </w:r>
    </w:p>
    <w:p w14:paraId="7363E1A4">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十一、政府性基金预算财政拨款收入支出决算表</w:t>
      </w:r>
      <w:r>
        <w:rPr>
          <w:rFonts w:ascii="Times New Roman" w:hAnsi="Times New Roman" w:eastAsia="宋体" w:cs="Times New Roman"/>
          <w:sz w:val="24"/>
        </w:rPr>
        <w:tab/>
      </w:r>
      <w:r>
        <w:rPr>
          <w:rFonts w:hint="eastAsia" w:ascii="Times New Roman" w:hAnsi="Times New Roman" w:eastAsia="宋体" w:cs="Times New Roman"/>
          <w:sz w:val="24"/>
          <w:lang w:val="en-US" w:eastAsia="zh-CN"/>
        </w:rPr>
        <w:t>2</w:t>
      </w:r>
      <w:r>
        <w:rPr>
          <w:rFonts w:hint="eastAsia" w:cs="Times New Roman"/>
          <w:sz w:val="24"/>
          <w:lang w:val="en-US" w:eastAsia="zh-CN"/>
        </w:rPr>
        <w:t>2</w:t>
      </w:r>
    </w:p>
    <w:p w14:paraId="79B8458A">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十二、政府性基金预算财政拨款“三公”经费支出决算表</w:t>
      </w:r>
      <w:r>
        <w:rPr>
          <w:rFonts w:ascii="Times New Roman" w:hAnsi="Times New Roman" w:eastAsia="宋体" w:cs="Times New Roman"/>
          <w:sz w:val="24"/>
        </w:rPr>
        <w:tab/>
      </w:r>
      <w:r>
        <w:rPr>
          <w:rFonts w:hint="eastAsia" w:ascii="Times New Roman" w:hAnsi="Times New Roman" w:eastAsia="宋体" w:cs="Times New Roman"/>
          <w:sz w:val="24"/>
          <w:lang w:val="en-US" w:eastAsia="zh-CN"/>
        </w:rPr>
        <w:t>2</w:t>
      </w:r>
      <w:r>
        <w:rPr>
          <w:rFonts w:hint="eastAsia" w:cs="Times New Roman"/>
          <w:sz w:val="24"/>
          <w:lang w:val="en-US" w:eastAsia="zh-CN"/>
        </w:rPr>
        <w:t>2</w:t>
      </w:r>
    </w:p>
    <w:p w14:paraId="1BC6F68C">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十三、国有资本经营预算财政拨款收入支出决算表</w:t>
      </w:r>
      <w:r>
        <w:rPr>
          <w:rFonts w:ascii="Times New Roman" w:hAnsi="Times New Roman" w:eastAsia="宋体" w:cs="Times New Roman"/>
          <w:sz w:val="24"/>
        </w:rPr>
        <w:tab/>
      </w:r>
      <w:r>
        <w:rPr>
          <w:rFonts w:hint="eastAsia" w:ascii="Times New Roman" w:hAnsi="Times New Roman" w:eastAsia="宋体" w:cs="Times New Roman"/>
          <w:sz w:val="24"/>
          <w:lang w:val="en-US" w:eastAsia="zh-CN"/>
        </w:rPr>
        <w:t>2</w:t>
      </w:r>
      <w:r>
        <w:rPr>
          <w:rFonts w:hint="eastAsia" w:cs="Times New Roman"/>
          <w:sz w:val="24"/>
          <w:lang w:val="en-US" w:eastAsia="zh-CN"/>
        </w:rPr>
        <w:t>2</w:t>
      </w:r>
    </w:p>
    <w:p w14:paraId="1BF55E64">
      <w:pPr>
        <w:pStyle w:val="15"/>
        <w:adjustRightInd w:val="0"/>
        <w:snapToGrid w:val="0"/>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十四、国有资本经营预算财政拨款支出决算表</w:t>
      </w:r>
      <w:r>
        <w:rPr>
          <w:rFonts w:ascii="Times New Roman" w:hAnsi="Times New Roman" w:eastAsia="宋体" w:cs="Times New Roman"/>
          <w:sz w:val="24"/>
        </w:rPr>
        <w:tab/>
      </w:r>
      <w:r>
        <w:rPr>
          <w:rFonts w:hint="eastAsia" w:ascii="Times New Roman" w:hAnsi="Times New Roman" w:eastAsia="宋体" w:cs="Times New Roman"/>
          <w:sz w:val="24"/>
          <w:lang w:val="en-US" w:eastAsia="zh-CN"/>
        </w:rPr>
        <w:t>2</w:t>
      </w:r>
      <w:r>
        <w:rPr>
          <w:rFonts w:hint="eastAsia" w:cs="Times New Roman"/>
          <w:sz w:val="24"/>
          <w:lang w:val="en-US" w:eastAsia="zh-CN"/>
        </w:rPr>
        <w:t>2</w:t>
      </w:r>
    </w:p>
    <w:p w14:paraId="67FC54CD">
      <w:pPr>
        <w:wordWrap/>
        <w:snapToGrid/>
        <w:spacing w:before="0" w:beforeLines="0" w:after="0" w:afterLines="0" w:line="240" w:lineRule="auto"/>
        <w:ind w:left="0" w:leftChars="0" w:right="0" w:firstLine="0" w:firstLineChars="0"/>
        <w:jc w:val="left"/>
      </w:pPr>
    </w:p>
    <w:p w14:paraId="722EE039">
      <w:pPr>
        <w:widowControl/>
        <w:wordWrap/>
        <w:snapToGrid/>
        <w:spacing w:line="240" w:lineRule="auto"/>
        <w:ind w:left="0" w:leftChars="0" w:right="0" w:firstLine="0" w:firstLineChars="0"/>
        <w:jc w:val="left"/>
        <w:rPr>
          <w:rFonts w:ascii="仿宋" w:hAnsi="仿宋" w:eastAsia="仿宋"/>
          <w:bCs/>
          <w:kern w:val="44"/>
          <w:sz w:val="24"/>
        </w:rPr>
      </w:pPr>
      <w:r>
        <w:rPr>
          <w:rFonts w:ascii="仿宋" w:hAnsi="仿宋" w:eastAsia="仿宋"/>
          <w:b/>
          <w:sz w:val="24"/>
        </w:rPr>
        <w:br w:type="page"/>
      </w:r>
    </w:p>
    <w:p w14:paraId="7C27E861">
      <w:pPr>
        <w:pStyle w:val="3"/>
        <w:wordWrap/>
        <w:snapToGrid/>
        <w:spacing w:before="0" w:after="0" w:line="240" w:lineRule="auto"/>
        <w:ind w:left="0" w:leftChars="0" w:right="0" w:firstLine="0" w:firstLineChars="0"/>
        <w:jc w:val="center"/>
        <w:outlineLvl w:val="0"/>
        <w:rPr>
          <w:rStyle w:val="36"/>
          <w:rFonts w:ascii="黑体" w:hAnsi="黑体" w:eastAsia="黑体"/>
          <w:b/>
          <w:bCs w:val="0"/>
        </w:rPr>
      </w:pPr>
      <w:bookmarkStart w:id="14" w:name="_Toc23975"/>
      <w:r>
        <w:rPr>
          <w:rFonts w:hint="eastAsia" w:ascii="黑体" w:hAnsi="黑体" w:eastAsia="黑体"/>
          <w:b w:val="0"/>
        </w:rPr>
        <w:t xml:space="preserve">第一部分 </w:t>
      </w:r>
      <w:r>
        <w:rPr>
          <w:rStyle w:val="36"/>
          <w:rFonts w:hint="eastAsia" w:ascii="黑体" w:hAnsi="黑体" w:eastAsia="黑体"/>
          <w:b w:val="0"/>
          <w:bCs w:val="0"/>
        </w:rPr>
        <w:t>部门概况</w:t>
      </w:r>
      <w:bookmarkEnd w:id="12"/>
      <w:bookmarkEnd w:id="13"/>
      <w:bookmarkEnd w:id="14"/>
    </w:p>
    <w:p w14:paraId="20FD0498">
      <w:pPr>
        <w:pStyle w:val="2"/>
        <w:rPr>
          <w:rStyle w:val="43"/>
          <w:rFonts w:ascii="仿宋" w:hAnsi="仿宋" w:eastAsia="仿宋" w:cs="Times New Roman"/>
          <w:b w:val="0"/>
          <w:bCs w:val="0"/>
        </w:rPr>
      </w:pPr>
      <w:bookmarkStart w:id="15" w:name="_Toc15377197"/>
      <w:bookmarkStart w:id="16" w:name="_Toc15396600"/>
      <w:r>
        <w:rPr>
          <w:rFonts w:hint="eastAsia" w:ascii="黑体" w:hAnsi="黑体" w:eastAsia="黑体" w:cs="Times New Roman"/>
          <w:b w:val="0"/>
        </w:rPr>
        <w:t>一、基</w:t>
      </w:r>
      <w:r>
        <w:rPr>
          <w:rStyle w:val="43"/>
          <w:rFonts w:hint="eastAsia" w:ascii="黑体" w:hAnsi="黑体" w:eastAsia="黑体" w:cs="Times New Roman"/>
          <w:b w:val="0"/>
          <w:bCs w:val="0"/>
        </w:rPr>
        <w:t>本职能及主要工作</w:t>
      </w:r>
      <w:bookmarkEnd w:id="15"/>
      <w:bookmarkEnd w:id="16"/>
    </w:p>
    <w:p w14:paraId="5848B113">
      <w:pPr>
        <w:pStyle w:val="7"/>
        <w:adjustRightInd w:val="0"/>
        <w:spacing w:beforeLines="0" w:line="500" w:lineRule="exact"/>
        <w:ind w:firstLine="640" w:firstLineChars="200"/>
        <w:outlineLvl w:val="2"/>
        <w:rPr>
          <w:rFonts w:ascii="仿宋" w:hAnsi="仿宋" w:eastAsia="仿宋" w:cs="Times New Roman"/>
          <w:b/>
          <w:kern w:val="2"/>
          <w:sz w:val="32"/>
          <w:szCs w:val="32"/>
        </w:rPr>
      </w:pPr>
      <w:bookmarkStart w:id="17" w:name="_Toc15377198"/>
      <w:bookmarkStart w:id="18" w:name="_Toc15378445"/>
      <w:bookmarkStart w:id="19" w:name="_Toc15377200"/>
      <w:bookmarkStart w:id="20" w:name="_Toc15396601"/>
      <w:r>
        <w:rPr>
          <w:rFonts w:hint="eastAsia" w:ascii="仿宋" w:hAnsi="仿宋" w:eastAsia="仿宋"/>
          <w:bCs/>
          <w:color w:val="auto"/>
          <w:sz w:val="32"/>
          <w:szCs w:val="32"/>
          <w:highlight w:val="none"/>
        </w:rPr>
        <w:t>（一）主要职能。</w:t>
      </w:r>
      <w:bookmarkEnd w:id="17"/>
      <w:bookmarkEnd w:id="18"/>
    </w:p>
    <w:p w14:paraId="3A87472C">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1.贯彻党的教育方针，坚持社会主义办学方向，实行教育与生产劳动相结合，对学生进行德育、智育、体育、美育和劳动等方面的教育。</w:t>
      </w:r>
    </w:p>
    <w:p w14:paraId="21219D76">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2.负责配合政府依法动员、组织适龄儿童、少年入学，严格控制学生辍学，依法保证适龄儿童、少年接受九年义务教育。</w:t>
      </w:r>
    </w:p>
    <w:p w14:paraId="0C87BF53">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3.负责依法制定学校章程，并按照章程自主管理。</w:t>
      </w:r>
    </w:p>
    <w:p w14:paraId="46A6DDB4">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4.负责制定学校教育发展规划， 并抓好组织实施和落实工作。</w:t>
      </w:r>
    </w:p>
    <w:p w14:paraId="75D5DD45">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5.负责按照教育主管部门发布的指导性教学计划、 教学大纲， 组织实施教育教学活动。</w:t>
      </w:r>
    </w:p>
    <w:p w14:paraId="142CE92E">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6.</w:t>
      </w:r>
      <w:r>
        <w:rPr>
          <w:rFonts w:hint="eastAsia" w:ascii="仿宋_GB2312" w:hAnsi="Times New Roman" w:eastAsia="仿宋_GB2312" w:cs="Times New Roman"/>
          <w:color w:val="auto"/>
          <w:kern w:val="0"/>
          <w:sz w:val="24"/>
          <w:szCs w:val="20"/>
          <w:lang w:val="en-US" w:eastAsia="zh-CN" w:bidi="ar"/>
        </w:rPr>
        <w:t xml:space="preserve"> </w:t>
      </w:r>
      <w:r>
        <w:rPr>
          <w:rFonts w:hint="eastAsia" w:ascii="仿宋" w:hAnsi="仿宋" w:eastAsia="仿宋" w:cs="仿宋"/>
          <w:color w:val="auto"/>
          <w:kern w:val="2"/>
          <w:sz w:val="32"/>
          <w:szCs w:val="32"/>
          <w:lang w:val="en-US" w:eastAsia="zh-CN" w:bidi="ar"/>
        </w:rPr>
        <w:t>负责学籍管理并对学生实施奖励或处分。</w:t>
      </w:r>
    </w:p>
    <w:p w14:paraId="5E26471E">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7.</w:t>
      </w:r>
      <w:r>
        <w:rPr>
          <w:rFonts w:hint="eastAsia" w:ascii="仿宋_GB2312" w:hAnsi="Times New Roman" w:eastAsia="仿宋_GB2312" w:cs="Times New Roman"/>
          <w:color w:val="auto"/>
          <w:kern w:val="0"/>
          <w:sz w:val="24"/>
          <w:szCs w:val="20"/>
          <w:lang w:val="en-US" w:eastAsia="zh-CN" w:bidi="ar"/>
        </w:rPr>
        <w:t xml:space="preserve"> </w:t>
      </w:r>
      <w:r>
        <w:rPr>
          <w:rFonts w:hint="eastAsia" w:ascii="仿宋" w:hAnsi="仿宋" w:eastAsia="仿宋" w:cs="仿宋"/>
          <w:color w:val="auto"/>
          <w:kern w:val="2"/>
          <w:sz w:val="32"/>
          <w:szCs w:val="32"/>
          <w:lang w:val="en-US" w:eastAsia="zh-CN" w:bidi="ar"/>
        </w:rPr>
        <w:t>负责依法制定本校教师及其他职工聘任办法并对教师及其他员工实施包括奖励、处分在内的</w:t>
      </w:r>
    </w:p>
    <w:p w14:paraId="5BF2F6B4">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8.负责科学管理、合理使用学校的设施和经费，并积极筹措资金，改善办学条件。</w:t>
      </w:r>
    </w:p>
    <w:p w14:paraId="6AFC8AA8">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9.负责维护学校、师生的合法权益，有权拒绝任何组织和个人对教育教学活动进行非法干扰。</w:t>
      </w:r>
    </w:p>
    <w:p w14:paraId="569C1EA3">
      <w:pPr>
        <w:pStyle w:val="16"/>
        <w:keepNext w:val="0"/>
        <w:keepLines w:val="0"/>
        <w:widowControl w:val="0"/>
        <w:suppressLineNumbers w:val="0"/>
        <w:adjustRightInd w:val="0"/>
        <w:spacing w:before="0" w:beforeLines="30" w:beforeAutospacing="0" w:after="0" w:afterAutospacing="0" w:line="500" w:lineRule="exact"/>
        <w:ind w:left="0" w:right="0" w:firstLine="640" w:firstLineChars="200"/>
        <w:jc w:val="both"/>
        <w:outlineLvl w:val="2"/>
        <w:rPr>
          <w:rFonts w:hint="eastAsia"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bidi="ar"/>
        </w:rPr>
        <w:t>10.</w:t>
      </w:r>
      <w:r>
        <w:rPr>
          <w:rFonts w:hint="eastAsia" w:ascii="仿宋_GB2312" w:hAnsi="Times New Roman" w:eastAsia="仿宋_GB2312" w:cs="Times New Roman"/>
          <w:color w:val="auto"/>
          <w:kern w:val="0"/>
          <w:sz w:val="24"/>
          <w:szCs w:val="20"/>
          <w:lang w:val="en-US" w:eastAsia="zh-CN" w:bidi="ar"/>
        </w:rPr>
        <w:t xml:space="preserve"> </w:t>
      </w:r>
      <w:r>
        <w:rPr>
          <w:rFonts w:hint="eastAsia" w:ascii="仿宋" w:hAnsi="仿宋" w:eastAsia="仿宋" w:cs="仿宋"/>
          <w:color w:val="auto"/>
          <w:kern w:val="2"/>
          <w:sz w:val="32"/>
          <w:szCs w:val="32"/>
          <w:lang w:val="en-US" w:eastAsia="zh-CN" w:bidi="ar"/>
        </w:rPr>
        <w:t>依法接受各级教育行政部门的检查指导和人民群众的监督。</w:t>
      </w:r>
    </w:p>
    <w:p w14:paraId="4F533ADD">
      <w:pPr>
        <w:pStyle w:val="7"/>
        <w:adjustRightInd w:val="0"/>
        <w:spacing w:beforeLines="0" w:line="500" w:lineRule="exact"/>
        <w:ind w:firstLine="640" w:firstLineChars="200"/>
        <w:outlineLvl w:val="2"/>
        <w:rPr>
          <w:rFonts w:ascii="仿宋" w:hAnsi="仿宋" w:eastAsia="仿宋" w:cs="Times New Roman"/>
          <w:sz w:val="32"/>
          <w:szCs w:val="32"/>
        </w:rPr>
      </w:pPr>
      <w:r>
        <w:rPr>
          <w:rFonts w:hint="eastAsia" w:ascii="仿宋" w:hAnsi="仿宋" w:eastAsia="仿宋" w:cs="仿宋"/>
          <w:color w:val="auto"/>
          <w:kern w:val="2"/>
          <w:sz w:val="32"/>
          <w:szCs w:val="32"/>
          <w:lang w:val="en-US" w:eastAsia="zh-CN" w:bidi="ar"/>
        </w:rPr>
        <w:t>11.承办上级交办的其他事项。</w:t>
      </w:r>
    </w:p>
    <w:p w14:paraId="646CA68F">
      <w:pPr>
        <w:pStyle w:val="7"/>
        <w:adjustRightInd w:val="0"/>
        <w:spacing w:beforeLines="0" w:line="500" w:lineRule="exact"/>
        <w:ind w:firstLine="643" w:firstLineChars="200"/>
        <w:outlineLvl w:val="2"/>
        <w:rPr>
          <w:rFonts w:ascii="仿宋" w:hAnsi="仿宋" w:eastAsia="仿宋" w:cs="Times New Roman"/>
          <w:b/>
          <w:kern w:val="2"/>
          <w:sz w:val="32"/>
          <w:szCs w:val="32"/>
        </w:rPr>
      </w:pPr>
      <w:r>
        <w:rPr>
          <w:rFonts w:hint="eastAsia" w:ascii="仿宋" w:hAnsi="仿宋" w:eastAsia="仿宋" w:cs="Times New Roman"/>
          <w:b/>
          <w:kern w:val="2"/>
          <w:sz w:val="32"/>
          <w:szCs w:val="32"/>
        </w:rPr>
        <w:t>（二）</w:t>
      </w:r>
      <w:r>
        <w:rPr>
          <w:rFonts w:ascii="仿宋" w:hAnsi="仿宋" w:eastAsia="仿宋" w:cs="Times New Roman"/>
          <w:b/>
          <w:kern w:val="2"/>
          <w:sz w:val="32"/>
          <w:szCs w:val="32"/>
        </w:rPr>
        <w:t>2020 年重点工作完成情况</w:t>
      </w:r>
    </w:p>
    <w:p w14:paraId="04FE5F02">
      <w:pPr>
        <w:pStyle w:val="7"/>
        <w:adjustRightInd w:val="0"/>
        <w:spacing w:beforeLines="0" w:line="500" w:lineRule="exact"/>
        <w:ind w:firstLine="640" w:firstLineChars="200"/>
        <w:outlineLvl w:val="2"/>
        <w:rPr>
          <w:rFonts w:hint="eastAsia" w:ascii="仿宋" w:hAnsi="仿宋" w:eastAsia="仿宋" w:cs="Times New Roman"/>
          <w:bCs/>
          <w:kern w:val="2"/>
          <w:sz w:val="32"/>
          <w:szCs w:val="32"/>
        </w:rPr>
      </w:pPr>
      <w:r>
        <w:rPr>
          <w:rFonts w:hint="eastAsia" w:ascii="仿宋" w:hAnsi="仿宋" w:eastAsia="仿宋" w:cs="Times New Roman"/>
          <w:bCs/>
          <w:kern w:val="2"/>
          <w:sz w:val="32"/>
          <w:szCs w:val="32"/>
        </w:rPr>
        <w:t>本年度，学校各项工作得到了学校全体教职工的大力支持。在全体老师的共同参与、努力和团结协作下，较好地完成了本年度工作。现从以下几个方面作简单总结：　　</w:t>
      </w:r>
    </w:p>
    <w:p w14:paraId="1720C8FA">
      <w:pPr>
        <w:pStyle w:val="7"/>
        <w:numPr>
          <w:ilvl w:val="0"/>
          <w:numId w:val="1"/>
        </w:numPr>
        <w:adjustRightInd w:val="0"/>
        <w:spacing w:beforeLines="0" w:line="500" w:lineRule="exact"/>
        <w:ind w:firstLine="640" w:firstLineChars="200"/>
        <w:outlineLvl w:val="2"/>
        <w:rPr>
          <w:rFonts w:hint="eastAsia" w:ascii="仿宋" w:hAnsi="仿宋" w:eastAsia="仿宋" w:cs="Times New Roman"/>
          <w:bCs/>
          <w:kern w:val="2"/>
          <w:sz w:val="32"/>
          <w:szCs w:val="32"/>
        </w:rPr>
      </w:pPr>
      <w:r>
        <w:rPr>
          <w:rFonts w:hint="eastAsia" w:ascii="仿宋" w:hAnsi="仿宋" w:eastAsia="仿宋" w:cs="Times New Roman"/>
          <w:bCs/>
          <w:kern w:val="2"/>
          <w:sz w:val="32"/>
          <w:szCs w:val="32"/>
        </w:rPr>
        <w:t>重常态、抓实效。　　</w:t>
      </w:r>
    </w:p>
    <w:p w14:paraId="12B910F2">
      <w:pPr>
        <w:pStyle w:val="7"/>
        <w:adjustRightInd w:val="0"/>
        <w:spacing w:beforeLines="0" w:line="500" w:lineRule="exact"/>
        <w:ind w:firstLine="640" w:firstLineChars="200"/>
        <w:outlineLvl w:val="2"/>
        <w:rPr>
          <w:rFonts w:hint="eastAsia" w:ascii="仿宋" w:hAnsi="仿宋" w:eastAsia="仿宋" w:cs="Times New Roman"/>
          <w:bCs/>
          <w:kern w:val="2"/>
          <w:sz w:val="32"/>
          <w:szCs w:val="32"/>
        </w:rPr>
      </w:pPr>
      <w:r>
        <w:rPr>
          <w:rFonts w:hint="eastAsia" w:ascii="仿宋" w:hAnsi="仿宋" w:eastAsia="仿宋" w:cs="Times New Roman"/>
          <w:bCs/>
          <w:kern w:val="2"/>
          <w:sz w:val="32"/>
          <w:szCs w:val="32"/>
        </w:rPr>
        <w:t>在教学当中，我们认真学习新课标准,认真备课，努力上好每一节课。加强课堂教学，努力提高学生参与课堂的意识和积极性，以学生的兴趣点出发，了解学生，开发思维，使学生在课堂上学到更多的知识和方法，提高学生素质，明确本堂课的意义和目的。学理论、讲方法、抓实效、促发展，在和谐的氛围中青年教师的课堂教学水平正逐步提高。在本年度的测试中，有了较大突破。　　</w:t>
      </w:r>
    </w:p>
    <w:p w14:paraId="3D051944">
      <w:pPr>
        <w:pStyle w:val="7"/>
        <w:numPr>
          <w:ilvl w:val="0"/>
          <w:numId w:val="1"/>
        </w:numPr>
        <w:adjustRightInd w:val="0"/>
        <w:spacing w:beforeLines="0" w:line="500" w:lineRule="exact"/>
        <w:ind w:firstLine="640" w:firstLineChars="200"/>
        <w:outlineLvl w:val="2"/>
        <w:rPr>
          <w:rFonts w:hint="eastAsia" w:ascii="仿宋" w:hAnsi="仿宋" w:eastAsia="仿宋" w:cs="Times New Roman"/>
          <w:bCs/>
          <w:kern w:val="2"/>
          <w:sz w:val="32"/>
          <w:szCs w:val="32"/>
        </w:rPr>
      </w:pPr>
      <w:r>
        <w:rPr>
          <w:rFonts w:hint="eastAsia" w:ascii="仿宋" w:hAnsi="仿宋" w:eastAsia="仿宋" w:cs="Times New Roman"/>
          <w:bCs/>
          <w:kern w:val="2"/>
          <w:sz w:val="32"/>
          <w:szCs w:val="32"/>
        </w:rPr>
        <w:t>学理论、促发展。　　</w:t>
      </w:r>
    </w:p>
    <w:p w14:paraId="5D2DE1F0">
      <w:pPr>
        <w:pStyle w:val="7"/>
        <w:adjustRightInd w:val="0"/>
        <w:spacing w:beforeLines="0" w:line="500" w:lineRule="exact"/>
        <w:ind w:firstLine="640" w:firstLineChars="200"/>
        <w:outlineLvl w:val="2"/>
        <w:rPr>
          <w:rFonts w:hint="eastAsia" w:ascii="仿宋" w:hAnsi="仿宋" w:eastAsia="仿宋" w:cs="Times New Roman"/>
          <w:bCs/>
          <w:kern w:val="2"/>
          <w:sz w:val="32"/>
          <w:szCs w:val="32"/>
        </w:rPr>
      </w:pPr>
      <w:r>
        <w:rPr>
          <w:rFonts w:hint="eastAsia" w:ascii="仿宋" w:hAnsi="仿宋" w:eastAsia="仿宋" w:cs="Times New Roman"/>
          <w:bCs/>
          <w:kern w:val="2"/>
          <w:sz w:val="32"/>
          <w:szCs w:val="32"/>
        </w:rPr>
        <w:t>本年度我校每周进行一次教研活动，活动主题与教师业务紧密相连，内容含盖了教学、训练、教师职业发展。　　</w:t>
      </w:r>
    </w:p>
    <w:p w14:paraId="545FAF87">
      <w:pPr>
        <w:pStyle w:val="7"/>
        <w:numPr>
          <w:ilvl w:val="0"/>
          <w:numId w:val="1"/>
        </w:numPr>
        <w:adjustRightInd w:val="0"/>
        <w:spacing w:beforeLines="0" w:line="500" w:lineRule="exact"/>
        <w:ind w:firstLine="640" w:firstLineChars="200"/>
        <w:outlineLvl w:val="2"/>
        <w:rPr>
          <w:rFonts w:ascii="仿宋" w:hAnsi="仿宋" w:eastAsia="仿宋" w:cs="Times New Roman"/>
          <w:bCs/>
          <w:kern w:val="2"/>
          <w:sz w:val="32"/>
          <w:szCs w:val="32"/>
        </w:rPr>
      </w:pPr>
      <w:r>
        <w:rPr>
          <w:rFonts w:hint="eastAsia" w:ascii="仿宋" w:hAnsi="仿宋" w:eastAsia="仿宋" w:cs="Times New Roman"/>
          <w:bCs/>
          <w:kern w:val="2"/>
          <w:sz w:val="32"/>
          <w:szCs w:val="32"/>
        </w:rPr>
        <w:t>学校开展丰富的少年宫教学。　</w:t>
      </w:r>
    </w:p>
    <w:p w14:paraId="2E70620C">
      <w:pPr>
        <w:pStyle w:val="7"/>
        <w:adjustRightInd w:val="0"/>
        <w:spacing w:beforeLines="0" w:line="500" w:lineRule="exact"/>
        <w:ind w:firstLine="640" w:firstLineChars="200"/>
        <w:outlineLvl w:val="2"/>
        <w:rPr>
          <w:rFonts w:ascii="仿宋" w:hAnsi="仿宋" w:eastAsia="仿宋" w:cs="Times New Roman"/>
          <w:bCs/>
          <w:kern w:val="2"/>
          <w:sz w:val="32"/>
          <w:szCs w:val="32"/>
        </w:rPr>
      </w:pPr>
      <w:r>
        <w:rPr>
          <w:rFonts w:hint="eastAsia" w:ascii="仿宋" w:hAnsi="仿宋" w:eastAsia="仿宋" w:cs="Times New Roman"/>
          <w:bCs/>
          <w:kern w:val="2"/>
          <w:sz w:val="32"/>
          <w:szCs w:val="32"/>
        </w:rPr>
        <w:t>我校于每周三下午第三节课外活动组织学生参加乡村少年宫活动。并开设有泥塑、声乐、美术、跆拳道、书法、棋艺等十余个由专业教师任课的兴趣小组，学生根据自己的喜好选择不同的小组参与活动。</w:t>
      </w:r>
    </w:p>
    <w:p w14:paraId="78C50344">
      <w:pPr>
        <w:pStyle w:val="7"/>
        <w:adjustRightInd w:val="0"/>
        <w:spacing w:beforeLines="0" w:line="500" w:lineRule="exact"/>
        <w:ind w:firstLine="640" w:firstLineChars="200"/>
        <w:outlineLvl w:val="2"/>
        <w:rPr>
          <w:rFonts w:hint="eastAsia" w:ascii="仿宋" w:hAnsi="仿宋" w:eastAsia="仿宋" w:cs="Times New Roman"/>
          <w:bCs/>
          <w:kern w:val="2"/>
          <w:sz w:val="32"/>
          <w:szCs w:val="32"/>
        </w:rPr>
      </w:pPr>
      <w:r>
        <w:rPr>
          <w:rFonts w:hint="eastAsia" w:ascii="仿宋" w:hAnsi="仿宋" w:eastAsia="仿宋" w:cs="Times New Roman"/>
          <w:bCs/>
          <w:kern w:val="2"/>
          <w:sz w:val="32"/>
          <w:szCs w:val="32"/>
        </w:rPr>
        <w:t>本年度我校乡村少年宫取得了较为突出的成绩，不仅在庆“六一”活动展演中广受家长好评，且泥塑、美术、声乐等小组均在市、区举办的各项活动中频传捷报。为我校本年度工作添上了浓墨重彩的一笔。　</w:t>
      </w:r>
    </w:p>
    <w:p w14:paraId="3A0BEE5F">
      <w:pPr>
        <w:pStyle w:val="7"/>
        <w:numPr>
          <w:ilvl w:val="0"/>
          <w:numId w:val="1"/>
        </w:numPr>
        <w:adjustRightInd w:val="0"/>
        <w:spacing w:beforeLines="0" w:line="500" w:lineRule="exact"/>
        <w:ind w:firstLine="640" w:firstLineChars="200"/>
        <w:outlineLvl w:val="2"/>
        <w:rPr>
          <w:rFonts w:ascii="仿宋" w:hAnsi="仿宋" w:eastAsia="仿宋" w:cs="Times New Roman"/>
          <w:bCs/>
          <w:kern w:val="2"/>
          <w:sz w:val="32"/>
          <w:szCs w:val="32"/>
        </w:rPr>
      </w:pPr>
      <w:r>
        <w:rPr>
          <w:rFonts w:hint="eastAsia" w:ascii="仿宋" w:hAnsi="仿宋" w:eastAsia="仿宋" w:cs="Times New Roman"/>
          <w:bCs/>
          <w:kern w:val="2"/>
          <w:sz w:val="32"/>
          <w:szCs w:val="32"/>
        </w:rPr>
        <w:t>重视体育工作，确保学生茁壮成长。</w:t>
      </w:r>
    </w:p>
    <w:p w14:paraId="32BC2259">
      <w:pPr>
        <w:pStyle w:val="7"/>
        <w:numPr>
          <w:ilvl w:val="0"/>
          <w:numId w:val="2"/>
        </w:numPr>
        <w:adjustRightInd w:val="0"/>
        <w:spacing w:beforeLines="0" w:line="500" w:lineRule="exact"/>
        <w:ind w:firstLine="640" w:firstLineChars="200"/>
        <w:outlineLvl w:val="2"/>
        <w:rPr>
          <w:rFonts w:hint="eastAsia" w:ascii="仿宋" w:hAnsi="仿宋" w:eastAsia="仿宋" w:cs="Times New Roman"/>
          <w:bCs/>
          <w:kern w:val="2"/>
          <w:sz w:val="32"/>
          <w:szCs w:val="32"/>
        </w:rPr>
      </w:pPr>
      <w:r>
        <w:rPr>
          <w:rFonts w:hint="eastAsia" w:ascii="仿宋" w:hAnsi="仿宋" w:eastAsia="仿宋" w:cs="Times New Roman"/>
          <w:bCs/>
          <w:kern w:val="2"/>
          <w:sz w:val="32"/>
          <w:szCs w:val="32"/>
        </w:rPr>
        <w:t>按时、保质保量地组织学生上好了三操、三课，确保了学生在校每天一小时的体育时间。　　　</w:t>
      </w:r>
    </w:p>
    <w:p w14:paraId="321B7E0D">
      <w:pPr>
        <w:pStyle w:val="7"/>
        <w:numPr>
          <w:ilvl w:val="0"/>
          <w:numId w:val="2"/>
        </w:numPr>
        <w:adjustRightInd w:val="0"/>
        <w:spacing w:beforeLines="0" w:line="500" w:lineRule="exact"/>
        <w:ind w:firstLine="640" w:firstLineChars="200"/>
        <w:outlineLvl w:val="2"/>
        <w:rPr>
          <w:rFonts w:ascii="仿宋" w:hAnsi="仿宋" w:eastAsia="仿宋" w:cs="Times New Roman"/>
          <w:bCs/>
          <w:kern w:val="2"/>
          <w:sz w:val="32"/>
          <w:szCs w:val="32"/>
        </w:rPr>
      </w:pPr>
      <w:r>
        <w:rPr>
          <w:rFonts w:hint="eastAsia" w:ascii="仿宋" w:hAnsi="仿宋" w:eastAsia="仿宋" w:cs="Times New Roman"/>
          <w:bCs/>
          <w:kern w:val="2"/>
          <w:sz w:val="32"/>
          <w:szCs w:val="32"/>
        </w:rPr>
        <w:t>班主任协同体育教师对学生进行了体育活动安全知识的宣传和教育工作，在本年度内的体育活动中无任何不安全事故发生，确保了广大师生的人身安全。　</w:t>
      </w:r>
    </w:p>
    <w:p w14:paraId="310D7300">
      <w:pPr>
        <w:pStyle w:val="7"/>
        <w:numPr>
          <w:ilvl w:val="0"/>
          <w:numId w:val="2"/>
        </w:numPr>
        <w:adjustRightInd w:val="0"/>
        <w:spacing w:beforeLines="0" w:line="500" w:lineRule="exact"/>
        <w:ind w:firstLine="640"/>
        <w:outlineLvl w:val="2"/>
        <w:rPr>
          <w:rFonts w:hint="eastAsia" w:ascii="仿宋" w:hAnsi="仿宋" w:eastAsia="仿宋" w:cs="Times New Roman"/>
          <w:bCs/>
          <w:kern w:val="2"/>
          <w:sz w:val="32"/>
          <w:szCs w:val="32"/>
        </w:rPr>
      </w:pPr>
      <w:r>
        <w:rPr>
          <w:rFonts w:hint="eastAsia" w:ascii="仿宋" w:hAnsi="仿宋" w:eastAsia="仿宋" w:cs="Times New Roman"/>
          <w:bCs/>
          <w:kern w:val="2"/>
          <w:sz w:val="32"/>
          <w:szCs w:val="32"/>
        </w:rPr>
        <w:t>根据学校的实际情况，制定我校的体育教育教学工作常规管理制度，和体育与健康课考核制度以及学校课外体育活动考核制度。并根据上述制度扎实地开展了体育教育教学工作。　</w:t>
      </w:r>
    </w:p>
    <w:p w14:paraId="6C5C074A">
      <w:pPr>
        <w:pStyle w:val="7"/>
        <w:numPr>
          <w:ilvl w:val="0"/>
          <w:numId w:val="2"/>
        </w:numPr>
        <w:adjustRightInd w:val="0"/>
        <w:spacing w:beforeLines="0" w:line="500" w:lineRule="exact"/>
        <w:ind w:firstLine="640"/>
        <w:outlineLvl w:val="2"/>
        <w:rPr>
          <w:rFonts w:hint="eastAsia" w:ascii="仿宋" w:hAnsi="仿宋" w:eastAsia="仿宋" w:cs="Times New Roman"/>
          <w:bCs/>
          <w:kern w:val="2"/>
          <w:sz w:val="32"/>
          <w:szCs w:val="32"/>
        </w:rPr>
      </w:pPr>
      <w:r>
        <w:rPr>
          <w:rFonts w:hint="eastAsia" w:ascii="仿宋" w:hAnsi="仿宋" w:eastAsia="仿宋" w:cs="Times New Roman"/>
          <w:bCs/>
          <w:kern w:val="2"/>
          <w:sz w:val="32"/>
          <w:szCs w:val="32"/>
        </w:rPr>
        <w:t>对学生进行了体育成绩测试，所测成绩做到了真实可靠有据可查。同时在期末期间还督促体育教师建立健全了各类体育档案。</w:t>
      </w:r>
    </w:p>
    <w:p w14:paraId="2AF5B186">
      <w:pPr>
        <w:pStyle w:val="7"/>
        <w:adjustRightInd w:val="0"/>
        <w:spacing w:beforeLines="0" w:line="500" w:lineRule="exact"/>
        <w:ind w:firstLine="640" w:firstLineChars="200"/>
        <w:outlineLvl w:val="2"/>
        <w:rPr>
          <w:rFonts w:ascii="仿宋" w:hAnsi="仿宋" w:eastAsia="仿宋" w:cs="Times New Roman"/>
          <w:kern w:val="2"/>
          <w:sz w:val="32"/>
          <w:szCs w:val="32"/>
        </w:rPr>
      </w:pPr>
      <w:r>
        <w:rPr>
          <w:rFonts w:hint="eastAsia" w:ascii="仿宋" w:hAnsi="仿宋" w:eastAsia="仿宋" w:cs="Times New Roman"/>
          <w:bCs/>
          <w:kern w:val="2"/>
          <w:sz w:val="32"/>
          <w:szCs w:val="32"/>
        </w:rPr>
        <w:t>回头看看走过的路，有辛勤的汗水，也有丰收的喜悦。成绩属于过去，未来在于不断地进取，我校在今后的工作中，将进一步提高思辨能力，激发工作热情，外树形象，内修涵养，脚踏实地地完成教育教学任务。</w:t>
      </w:r>
    </w:p>
    <w:p w14:paraId="418142DE">
      <w:pPr>
        <w:pStyle w:val="2"/>
        <w:rPr>
          <w:rStyle w:val="43"/>
          <w:rFonts w:eastAsia="宋体" w:cs="Times New Roman"/>
          <w:b w:val="0"/>
          <w:bCs w:val="0"/>
        </w:rPr>
      </w:pPr>
      <w:r>
        <w:rPr>
          <w:rFonts w:hint="eastAsia" w:ascii="黑体" w:eastAsia="黑体" w:cs="Times New Roman"/>
          <w:b w:val="0"/>
        </w:rPr>
        <w:t>二、</w:t>
      </w:r>
      <w:r>
        <w:rPr>
          <w:rFonts w:hint="eastAsia" w:ascii="黑体" w:hAnsi="黑体" w:eastAsia="黑体" w:cs="Times New Roman"/>
          <w:b w:val="0"/>
        </w:rPr>
        <w:t>机</w:t>
      </w:r>
      <w:r>
        <w:rPr>
          <w:rStyle w:val="43"/>
          <w:rFonts w:hint="eastAsia" w:ascii="黑体" w:hAnsi="黑体" w:eastAsia="黑体" w:cs="Times New Roman"/>
          <w:b w:val="0"/>
          <w:bCs w:val="0"/>
        </w:rPr>
        <w:t>构设置</w:t>
      </w:r>
      <w:bookmarkEnd w:id="19"/>
      <w:bookmarkEnd w:id="20"/>
    </w:p>
    <w:p w14:paraId="62C17FF4">
      <w:pPr>
        <w:snapToGrid w:val="0"/>
        <w:spacing w:line="520" w:lineRule="exact"/>
        <w:ind w:firstLine="640" w:firstLineChars="200"/>
        <w:rPr>
          <w:rFonts w:hint="eastAsia" w:ascii="Times New Roman" w:hAnsi="Times New Roman" w:eastAsia="宋体" w:cs="Times New Roman"/>
        </w:rPr>
      </w:pPr>
      <w:bookmarkStart w:id="21" w:name="_Toc15378450"/>
      <w:bookmarkStart w:id="22" w:name="_Toc15378448"/>
      <w:bookmarkStart w:id="23" w:name="_Toc15377203"/>
      <w:bookmarkStart w:id="24" w:name="_Toc15306277"/>
      <w:bookmarkStart w:id="25" w:name="_Toc15377434"/>
      <w:bookmarkStart w:id="26" w:name="_Toc15377201"/>
      <w:bookmarkStart w:id="27" w:name="_Toc15306275"/>
      <w:bookmarkStart w:id="28" w:name="_Toc15377432"/>
      <w:r>
        <w:rPr>
          <w:rFonts w:hint="eastAsia" w:ascii="仿宋" w:hAnsi="仿宋" w:eastAsia="仿宋" w:cs="Times New Roman"/>
          <w:sz w:val="32"/>
          <w:szCs w:val="32"/>
        </w:rPr>
        <w:t>本单位为广元市昭化区教育局所属的二级预算单位，单位性质为财政补助事业单位。2020年末共有学生140人，在职教职工28人。</w:t>
      </w:r>
    </w:p>
    <w:bookmarkEnd w:id="21"/>
    <w:bookmarkEnd w:id="22"/>
    <w:bookmarkEnd w:id="23"/>
    <w:bookmarkEnd w:id="24"/>
    <w:bookmarkEnd w:id="25"/>
    <w:bookmarkEnd w:id="26"/>
    <w:bookmarkEnd w:id="27"/>
    <w:bookmarkEnd w:id="28"/>
    <w:p w14:paraId="43203E7F">
      <w:pPr>
        <w:widowControl/>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b w:val="0"/>
          <w:bCs/>
          <w:sz w:val="30"/>
          <w:szCs w:val="30"/>
        </w:rPr>
      </w:pPr>
    </w:p>
    <w:p w14:paraId="2A5C2A52">
      <w:pPr>
        <w:widowControl/>
        <w:wordWrap/>
        <w:snapToGrid/>
        <w:spacing w:line="240" w:lineRule="auto"/>
        <w:ind w:left="0" w:leftChars="0" w:right="0" w:firstLine="0" w:firstLineChars="0"/>
        <w:jc w:val="left"/>
        <w:rPr>
          <w:rFonts w:ascii="仿宋" w:hAnsi="仿宋" w:eastAsia="仿宋"/>
          <w:color w:val="000000"/>
          <w:kern w:val="0"/>
          <w:sz w:val="32"/>
          <w:szCs w:val="32"/>
        </w:rPr>
      </w:pPr>
      <w:r>
        <w:rPr>
          <w:rFonts w:ascii="仿宋" w:hAnsi="仿宋" w:eastAsia="仿宋"/>
          <w:color w:val="000000"/>
          <w:sz w:val="32"/>
          <w:szCs w:val="32"/>
        </w:rPr>
        <w:br w:type="page"/>
      </w:r>
    </w:p>
    <w:p w14:paraId="4EEB8558">
      <w:pPr>
        <w:pStyle w:val="3"/>
        <w:numPr>
          <w:ilvl w:val="0"/>
          <w:numId w:val="3"/>
        </w:numPr>
        <w:wordWrap/>
        <w:snapToGrid/>
        <w:spacing w:before="0" w:after="0" w:line="240" w:lineRule="auto"/>
        <w:ind w:left="0" w:leftChars="0" w:right="0" w:firstLine="0" w:firstLineChars="0"/>
        <w:jc w:val="center"/>
        <w:rPr>
          <w:rStyle w:val="36"/>
          <w:rFonts w:hint="eastAsia" w:ascii="黑体" w:hAnsi="黑体" w:eastAsia="黑体"/>
          <w:b w:val="0"/>
          <w:bCs w:val="0"/>
        </w:rPr>
      </w:pPr>
      <w:bookmarkStart w:id="29" w:name="_Toc15377204"/>
      <w:bookmarkStart w:id="30" w:name="_Toc5345"/>
      <w:bookmarkStart w:id="31" w:name="_Toc15396602"/>
      <w:r>
        <w:rPr>
          <w:rStyle w:val="36"/>
          <w:rFonts w:hint="eastAsia" w:ascii="黑体" w:hAnsi="黑体" w:eastAsia="黑体"/>
          <w:b w:val="0"/>
          <w:bCs w:val="0"/>
          <w:lang w:eastAsia="zh-CN"/>
        </w:rPr>
        <w:t>2020</w:t>
      </w:r>
      <w:r>
        <w:rPr>
          <w:rStyle w:val="36"/>
          <w:rFonts w:hint="eastAsia" w:ascii="黑体" w:hAnsi="黑体" w:eastAsia="黑体"/>
          <w:b w:val="0"/>
          <w:bCs w:val="0"/>
        </w:rPr>
        <w:t>年度部门决算情况说明</w:t>
      </w:r>
      <w:bookmarkEnd w:id="29"/>
      <w:bookmarkEnd w:id="30"/>
      <w:bookmarkEnd w:id="31"/>
    </w:p>
    <w:p w14:paraId="65C208A8">
      <w:pPr>
        <w:widowControl w:val="0"/>
        <w:numPr>
          <w:ilvl w:val="0"/>
          <w:numId w:val="0"/>
        </w:numPr>
        <w:jc w:val="both"/>
      </w:pPr>
    </w:p>
    <w:p w14:paraId="5FCF6332">
      <w:pPr>
        <w:wordWrap/>
        <w:snapToGrid/>
        <w:spacing w:line="240" w:lineRule="auto"/>
        <w:ind w:left="0" w:leftChars="0" w:right="0" w:firstLine="0" w:firstLineChars="0"/>
        <w:jc w:val="left"/>
      </w:pPr>
    </w:p>
    <w:p w14:paraId="16D63511">
      <w:pPr>
        <w:pStyle w:val="24"/>
        <w:widowControl w:val="0"/>
        <w:numPr>
          <w:ilvl w:val="0"/>
          <w:numId w:val="4"/>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32" w:name="_Toc15396603"/>
      <w:bookmarkStart w:id="33" w:name="_Toc15377205"/>
      <w:bookmarkStart w:id="34" w:name="_Toc32302"/>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入支出决算总体情况说明</w:t>
      </w:r>
      <w:bookmarkEnd w:id="32"/>
      <w:bookmarkEnd w:id="33"/>
      <w:bookmarkEnd w:id="34"/>
    </w:p>
    <w:p w14:paraId="74AA94FB">
      <w:pPr>
        <w:spacing w:line="600" w:lineRule="exact"/>
        <w:ind w:firstLine="640" w:firstLineChars="200"/>
        <w:rPr>
          <w:rFonts w:hint="eastAsia" w:ascii="仿宋" w:hAnsi="仿宋" w:eastAsia="仿宋" w:cs="Times New Roman"/>
          <w:sz w:val="32"/>
          <w:szCs w:val="32"/>
        </w:rPr>
      </w:pPr>
      <w:r>
        <w:rPr>
          <w:rFonts w:ascii="仿宋" w:hAnsi="仿宋" w:eastAsia="仿宋" w:cs="Times New Roman"/>
          <w:sz w:val="32"/>
          <w:szCs w:val="32"/>
        </w:rPr>
        <w:t>2020</w:t>
      </w:r>
      <w:r>
        <w:rPr>
          <w:rFonts w:hint="eastAsia" w:ascii="仿宋" w:hAnsi="仿宋" w:eastAsia="仿宋" w:cs="Times New Roman"/>
          <w:sz w:val="32"/>
          <w:szCs w:val="32"/>
        </w:rPr>
        <w:t>年度我校收、支总计744.0162万元。与</w:t>
      </w:r>
      <w:r>
        <w:rPr>
          <w:rFonts w:ascii="仿宋" w:hAnsi="仿宋" w:eastAsia="仿宋" w:cs="Times New Roman"/>
          <w:sz w:val="32"/>
          <w:szCs w:val="32"/>
        </w:rPr>
        <w:t>2019</w:t>
      </w:r>
      <w:r>
        <w:rPr>
          <w:rFonts w:hint="eastAsia" w:ascii="仿宋" w:hAnsi="仿宋" w:eastAsia="仿宋" w:cs="Times New Roman"/>
          <w:sz w:val="32"/>
          <w:szCs w:val="32"/>
        </w:rPr>
        <w:t>年相比收、支总计各减少37.2002万元，减少4.76</w:t>
      </w:r>
      <w:r>
        <w:rPr>
          <w:rFonts w:ascii="仿宋" w:hAnsi="仿宋" w:eastAsia="仿宋" w:cs="Times New Roman"/>
          <w:sz w:val="32"/>
          <w:szCs w:val="32"/>
        </w:rPr>
        <w:t>%</w:t>
      </w:r>
      <w:r>
        <w:rPr>
          <w:rFonts w:hint="eastAsia" w:ascii="仿宋" w:hAnsi="仿宋" w:eastAsia="仿宋" w:cs="Times New Roman"/>
          <w:sz w:val="32"/>
          <w:szCs w:val="32"/>
        </w:rPr>
        <w:t>。主要变动原因是人员经费和基本建设类项目减少。</w:t>
      </w:r>
    </w:p>
    <w:p w14:paraId="5DC4B594">
      <w:pPr>
        <w:pStyle w:val="7"/>
        <w:rPr>
          <w:rFonts w:hint="eastAsia"/>
        </w:rPr>
      </w:pPr>
    </w:p>
    <w:p w14:paraId="3C4AD2A3">
      <w:pPr>
        <w:pStyle w:val="24"/>
        <w:widowControl w:val="0"/>
        <w:numPr>
          <w:ilvl w:val="0"/>
          <w:numId w:val="4"/>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35" w:name="_Toc27754"/>
      <w:bookmarkStart w:id="36" w:name="_Toc15396604"/>
      <w:bookmarkStart w:id="37" w:name="_Toc15377206"/>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入决算情况说明</w:t>
      </w:r>
      <w:bookmarkEnd w:id="35"/>
      <w:bookmarkEnd w:id="36"/>
      <w:bookmarkEnd w:id="37"/>
    </w:p>
    <w:p w14:paraId="39D6E8C4">
      <w:pPr>
        <w:spacing w:line="600" w:lineRule="exact"/>
        <w:ind w:firstLine="640" w:firstLineChars="200"/>
        <w:outlineLvl w:val="1"/>
        <w:rPr>
          <w:rFonts w:hint="eastAsia" w:ascii="仿宋" w:hAnsi="仿宋" w:eastAsia="仿宋" w:cs="Times New Roman"/>
          <w:sz w:val="32"/>
          <w:szCs w:val="32"/>
          <w:lang w:eastAsia="zh-CN"/>
        </w:rPr>
      </w:pPr>
      <w:r>
        <w:rPr>
          <w:rFonts w:ascii="仿宋" w:hAnsi="仿宋" w:eastAsia="仿宋" w:cs="Times New Roman"/>
          <w:sz w:val="32"/>
          <w:szCs w:val="32"/>
        </w:rPr>
        <w:t>2020</w:t>
      </w:r>
      <w:r>
        <w:rPr>
          <w:rFonts w:hint="eastAsia" w:ascii="仿宋" w:hAnsi="仿宋" w:eastAsia="仿宋" w:cs="Times New Roman"/>
          <w:sz w:val="32"/>
          <w:szCs w:val="32"/>
        </w:rPr>
        <w:t>年本年收入合计744.0162万元，其中：一般公共预算财政拨款收入7,41.0162万元，占99.59</w:t>
      </w:r>
      <w:r>
        <w:rPr>
          <w:rFonts w:ascii="仿宋" w:hAnsi="仿宋" w:eastAsia="仿宋" w:cs="Times New Roman"/>
          <w:sz w:val="32"/>
          <w:szCs w:val="32"/>
        </w:rPr>
        <w:t>%</w:t>
      </w:r>
      <w:r>
        <w:rPr>
          <w:rFonts w:hint="eastAsia" w:ascii="仿宋" w:hAnsi="仿宋" w:eastAsia="仿宋" w:cs="Times New Roman"/>
          <w:sz w:val="32"/>
          <w:szCs w:val="32"/>
        </w:rPr>
        <w:t>；政府性基金预算财政拨款收入3万元，占0.4</w:t>
      </w:r>
      <w:r>
        <w:rPr>
          <w:rFonts w:ascii="仿宋" w:hAnsi="仿宋" w:eastAsia="仿宋" w:cs="Times New Roman"/>
          <w:sz w:val="32"/>
          <w:szCs w:val="32"/>
        </w:rPr>
        <w:t>%</w:t>
      </w:r>
      <w:r>
        <w:rPr>
          <w:rFonts w:hint="eastAsia" w:ascii="仿宋" w:hAnsi="仿宋" w:eastAsia="仿宋" w:cs="Times New Roman"/>
          <w:sz w:val="32"/>
          <w:szCs w:val="32"/>
          <w:lang w:eastAsia="zh-CN"/>
        </w:rPr>
        <w:t>。</w:t>
      </w:r>
    </w:p>
    <w:p w14:paraId="5577F24E">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color w:val="000000"/>
          <w:sz w:val="30"/>
          <w:szCs w:val="30"/>
          <w:lang w:eastAsia="zh-CN"/>
        </w:rPr>
      </w:pPr>
    </w:p>
    <w:p w14:paraId="3734809E">
      <w:pPr>
        <w:pStyle w:val="24"/>
        <w:widowControl w:val="0"/>
        <w:numPr>
          <w:ilvl w:val="0"/>
          <w:numId w:val="4"/>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38" w:name="_Toc15396605"/>
      <w:bookmarkStart w:id="39" w:name="_Toc15377207"/>
      <w:bookmarkStart w:id="40" w:name="_Toc5113"/>
      <w:r>
        <w:rPr>
          <w:rFonts w:hint="eastAsia" w:ascii="黑体" w:hAnsi="黑体" w:eastAsia="黑体" w:cs="黑体"/>
          <w:b w:val="0"/>
          <w:bCs w:val="0"/>
          <w:color w:val="000000"/>
          <w:sz w:val="30"/>
          <w:szCs w:val="30"/>
        </w:rPr>
        <w:t>支出决算情况说明</w:t>
      </w:r>
      <w:bookmarkEnd w:id="38"/>
      <w:bookmarkEnd w:id="39"/>
      <w:bookmarkEnd w:id="40"/>
      <w:bookmarkStart w:id="41" w:name="_Toc15377208"/>
      <w:bookmarkStart w:id="42" w:name="_Toc15396606"/>
    </w:p>
    <w:p w14:paraId="3D99C156">
      <w:pPr>
        <w:spacing w:line="600" w:lineRule="exact"/>
        <w:ind w:firstLine="640" w:firstLineChars="200"/>
        <w:outlineLvl w:val="1"/>
        <w:rPr>
          <w:rFonts w:ascii="仿宋" w:hAnsi="仿宋" w:eastAsia="仿宋" w:cs="Times New Roman"/>
          <w:sz w:val="32"/>
          <w:szCs w:val="32"/>
        </w:rPr>
      </w:pPr>
      <w:r>
        <w:rPr>
          <w:rFonts w:ascii="仿宋" w:hAnsi="仿宋" w:eastAsia="仿宋" w:cs="Times New Roman"/>
          <w:sz w:val="32"/>
          <w:szCs w:val="32"/>
        </w:rPr>
        <w:t>2020</w:t>
      </w:r>
      <w:r>
        <w:rPr>
          <w:rFonts w:hint="eastAsia" w:ascii="仿宋" w:hAnsi="仿宋" w:eastAsia="仿宋" w:cs="Times New Roman"/>
          <w:sz w:val="32"/>
          <w:szCs w:val="32"/>
        </w:rPr>
        <w:t>年本年支出合计744.0</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万元，其中：基本支出531.</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万元，占</w:t>
      </w:r>
      <w:r>
        <w:rPr>
          <w:rFonts w:ascii="仿宋" w:hAnsi="仿宋" w:eastAsia="仿宋" w:cs="Times New Roman"/>
          <w:sz w:val="32"/>
          <w:szCs w:val="32"/>
        </w:rPr>
        <w:t>7</w:t>
      </w:r>
      <w:r>
        <w:rPr>
          <w:rFonts w:hint="eastAsia" w:ascii="仿宋" w:hAnsi="仿宋" w:eastAsia="仿宋" w:cs="Times New Roman"/>
          <w:sz w:val="32"/>
          <w:szCs w:val="32"/>
        </w:rPr>
        <w:t>1</w:t>
      </w:r>
      <w:r>
        <w:rPr>
          <w:rFonts w:ascii="仿宋" w:hAnsi="仿宋" w:eastAsia="仿宋" w:cs="Times New Roman"/>
          <w:sz w:val="32"/>
          <w:szCs w:val="32"/>
        </w:rPr>
        <w:t>.</w:t>
      </w:r>
      <w:r>
        <w:rPr>
          <w:rFonts w:hint="eastAsia" w:ascii="仿宋" w:hAnsi="仿宋" w:eastAsia="仿宋" w:cs="Times New Roman"/>
          <w:sz w:val="32"/>
          <w:szCs w:val="32"/>
        </w:rPr>
        <w:t>37</w:t>
      </w:r>
      <w:r>
        <w:rPr>
          <w:rFonts w:ascii="仿宋" w:hAnsi="仿宋" w:eastAsia="仿宋" w:cs="Times New Roman"/>
          <w:sz w:val="32"/>
          <w:szCs w:val="32"/>
        </w:rPr>
        <w:t>%</w:t>
      </w:r>
      <w:r>
        <w:rPr>
          <w:rFonts w:hint="eastAsia" w:ascii="仿宋" w:hAnsi="仿宋" w:eastAsia="仿宋" w:cs="Times New Roman"/>
          <w:sz w:val="32"/>
          <w:szCs w:val="32"/>
        </w:rPr>
        <w:t>；项目支出213.0000万元，占28</w:t>
      </w:r>
      <w:r>
        <w:rPr>
          <w:rFonts w:ascii="仿宋" w:hAnsi="仿宋" w:eastAsia="仿宋" w:cs="Times New Roman"/>
          <w:sz w:val="32"/>
          <w:szCs w:val="32"/>
        </w:rPr>
        <w:t>.</w:t>
      </w:r>
      <w:r>
        <w:rPr>
          <w:rFonts w:hint="eastAsia" w:ascii="仿宋" w:hAnsi="仿宋" w:eastAsia="仿宋" w:cs="Times New Roman"/>
          <w:sz w:val="32"/>
          <w:szCs w:val="32"/>
        </w:rPr>
        <w:t>62</w:t>
      </w:r>
      <w:r>
        <w:rPr>
          <w:rFonts w:ascii="仿宋" w:hAnsi="仿宋" w:eastAsia="仿宋" w:cs="Times New Roman"/>
          <w:sz w:val="32"/>
          <w:szCs w:val="32"/>
        </w:rPr>
        <w:t>%</w:t>
      </w:r>
      <w:r>
        <w:rPr>
          <w:rFonts w:hint="eastAsia" w:ascii="仿宋" w:hAnsi="仿宋" w:eastAsia="仿宋" w:cs="Times New Roman"/>
          <w:sz w:val="32"/>
          <w:szCs w:val="32"/>
        </w:rPr>
        <w:t>。</w:t>
      </w:r>
    </w:p>
    <w:p w14:paraId="62D4868F">
      <w:pPr>
        <w:pStyle w:val="7"/>
        <w:rPr>
          <w:rFonts w:hint="eastAsia"/>
        </w:rPr>
      </w:pPr>
    </w:p>
    <w:p w14:paraId="4284B1D4">
      <w:pPr>
        <w:pStyle w:val="24"/>
        <w:widowControl w:val="0"/>
        <w:numPr>
          <w:ilvl w:val="0"/>
          <w:numId w:val="4"/>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43" w:name="_Toc13428"/>
      <w:r>
        <w:rPr>
          <w:rFonts w:hint="eastAsia" w:ascii="黑体" w:hAnsi="黑体" w:eastAsia="黑体" w:cs="黑体"/>
          <w:b w:val="0"/>
          <w:bCs w:val="0"/>
          <w:color w:val="000000"/>
          <w:sz w:val="30"/>
          <w:szCs w:val="30"/>
        </w:rPr>
        <w:t>财政拨款收入支出决算总体情况说明</w:t>
      </w:r>
      <w:bookmarkEnd w:id="41"/>
      <w:bookmarkEnd w:id="42"/>
      <w:bookmarkEnd w:id="43"/>
      <w:bookmarkStart w:id="44" w:name="_Toc15377209"/>
      <w:bookmarkStart w:id="45" w:name="_Toc15396607"/>
    </w:p>
    <w:p w14:paraId="3B4ADBD2">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2020</w:t>
      </w:r>
      <w:r>
        <w:rPr>
          <w:rFonts w:hint="eastAsia" w:ascii="仿宋" w:hAnsi="仿宋" w:eastAsia="仿宋" w:cs="Times New Roman"/>
          <w:sz w:val="32"/>
          <w:szCs w:val="32"/>
        </w:rPr>
        <w:t>年财政拨款收、支总计744.0162万元。与</w:t>
      </w:r>
      <w:r>
        <w:rPr>
          <w:rFonts w:ascii="仿宋" w:hAnsi="仿宋" w:eastAsia="仿宋" w:cs="Times New Roman"/>
          <w:sz w:val="32"/>
          <w:szCs w:val="32"/>
        </w:rPr>
        <w:t>2019</w:t>
      </w:r>
      <w:r>
        <w:rPr>
          <w:rFonts w:hint="eastAsia" w:ascii="仿宋" w:hAnsi="仿宋" w:eastAsia="仿宋" w:cs="Times New Roman"/>
          <w:sz w:val="32"/>
          <w:szCs w:val="32"/>
        </w:rPr>
        <w:t>年相比，财政拨款收、支总计各增加37.2002万元，减少4.76</w:t>
      </w:r>
      <w:r>
        <w:rPr>
          <w:rFonts w:ascii="仿宋" w:hAnsi="仿宋" w:eastAsia="仿宋" w:cs="Times New Roman"/>
          <w:sz w:val="32"/>
          <w:szCs w:val="32"/>
        </w:rPr>
        <w:t>%</w:t>
      </w:r>
      <w:r>
        <w:rPr>
          <w:rFonts w:hint="eastAsia" w:ascii="仿宋" w:hAnsi="仿宋" w:eastAsia="仿宋" w:cs="Times New Roman"/>
          <w:sz w:val="32"/>
          <w:szCs w:val="32"/>
        </w:rPr>
        <w:t>。主要变动原因是人员经费和基本建设类项目减少。</w:t>
      </w:r>
    </w:p>
    <w:p w14:paraId="18AAD72C">
      <w:pPr>
        <w:pStyle w:val="7"/>
        <w:rPr>
          <w:rFonts w:hint="eastAsia"/>
        </w:rPr>
      </w:pPr>
    </w:p>
    <w:p w14:paraId="04942071">
      <w:pPr>
        <w:pStyle w:val="7"/>
        <w:rPr>
          <w:rFonts w:hint="eastAsia"/>
        </w:rPr>
      </w:pPr>
    </w:p>
    <w:p w14:paraId="1FA59516">
      <w:pPr>
        <w:pStyle w:val="24"/>
        <w:widowControl w:val="0"/>
        <w:numPr>
          <w:ilvl w:val="0"/>
          <w:numId w:val="4"/>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46" w:name="_Toc957"/>
      <w:r>
        <w:rPr>
          <w:rFonts w:hint="eastAsia" w:ascii="黑体" w:hAnsi="黑体" w:eastAsia="黑体" w:cs="黑体"/>
          <w:b w:val="0"/>
          <w:bCs w:val="0"/>
          <w:color w:val="000000"/>
          <w:sz w:val="30"/>
          <w:szCs w:val="30"/>
        </w:rPr>
        <w:t>一般公共预算财政拨款支出决算情况说明</w:t>
      </w:r>
      <w:bookmarkEnd w:id="44"/>
      <w:bookmarkEnd w:id="45"/>
      <w:bookmarkEnd w:id="46"/>
      <w:bookmarkStart w:id="47" w:name="_Toc15396608"/>
      <w:bookmarkStart w:id="48" w:name="_Toc15377214"/>
    </w:p>
    <w:p w14:paraId="74D2747C">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49" w:name="_Toc24870"/>
      <w:bookmarkStart w:id="50" w:name="_Toc15377210"/>
      <w:r>
        <w:rPr>
          <w:rFonts w:hint="eastAsia" w:ascii="仿宋_GB2312" w:hAnsi="仿宋_GB2312" w:eastAsia="仿宋_GB2312" w:cs="仿宋_GB2312"/>
          <w:b/>
          <w:color w:val="000000"/>
          <w:sz w:val="30"/>
          <w:szCs w:val="30"/>
        </w:rPr>
        <w:t>（一）一般公共预算财政拨款支出决算总体情况</w:t>
      </w:r>
      <w:bookmarkEnd w:id="49"/>
      <w:bookmarkEnd w:id="50"/>
    </w:p>
    <w:p w14:paraId="443BD3AC">
      <w:pPr>
        <w:spacing w:line="600" w:lineRule="exact"/>
        <w:ind w:firstLine="640" w:firstLineChars="200"/>
        <w:rPr>
          <w:rFonts w:hint="eastAsia" w:ascii="仿宋_GB2312" w:hAnsi="仿宋_GB2312" w:eastAsia="仿宋_GB2312" w:cs="仿宋_GB2312"/>
          <w:color w:val="0000FF"/>
          <w:sz w:val="30"/>
          <w:szCs w:val="30"/>
        </w:rPr>
      </w:pPr>
      <w:r>
        <w:rPr>
          <w:rFonts w:ascii="仿宋" w:hAnsi="仿宋" w:eastAsia="仿宋" w:cs="Times New Roman"/>
          <w:sz w:val="32"/>
          <w:szCs w:val="32"/>
        </w:rPr>
        <w:t>2020</w:t>
      </w:r>
      <w:r>
        <w:rPr>
          <w:rFonts w:hint="eastAsia" w:ascii="仿宋" w:hAnsi="仿宋" w:eastAsia="仿宋" w:cs="Times New Roman"/>
          <w:sz w:val="32"/>
          <w:szCs w:val="32"/>
        </w:rPr>
        <w:t>年一般公共预算财政拨款支出741.0</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万元，占本年支出合计的</w:t>
      </w:r>
      <w:r>
        <w:rPr>
          <w:rFonts w:ascii="仿宋" w:hAnsi="仿宋" w:eastAsia="仿宋" w:cs="Times New Roman"/>
          <w:sz w:val="32"/>
          <w:szCs w:val="32"/>
        </w:rPr>
        <w:t>99.</w:t>
      </w:r>
      <w:r>
        <w:rPr>
          <w:rFonts w:hint="eastAsia" w:ascii="仿宋" w:hAnsi="仿宋" w:eastAsia="仿宋" w:cs="Times New Roman"/>
          <w:sz w:val="32"/>
          <w:szCs w:val="32"/>
        </w:rPr>
        <w:t>59</w:t>
      </w:r>
      <w:r>
        <w:rPr>
          <w:rFonts w:ascii="仿宋" w:hAnsi="仿宋" w:eastAsia="仿宋" w:cs="Times New Roman"/>
          <w:sz w:val="32"/>
          <w:szCs w:val="32"/>
        </w:rPr>
        <w:t>%</w:t>
      </w:r>
      <w:r>
        <w:rPr>
          <w:rFonts w:hint="eastAsia" w:ascii="仿宋" w:hAnsi="仿宋" w:eastAsia="仿宋" w:cs="Times New Roman"/>
          <w:sz w:val="32"/>
          <w:szCs w:val="32"/>
        </w:rPr>
        <w:t>。与</w:t>
      </w:r>
      <w:r>
        <w:rPr>
          <w:rFonts w:ascii="仿宋" w:hAnsi="仿宋" w:eastAsia="仿宋" w:cs="Times New Roman"/>
          <w:sz w:val="32"/>
          <w:szCs w:val="32"/>
        </w:rPr>
        <w:t>2019</w:t>
      </w:r>
      <w:r>
        <w:rPr>
          <w:rFonts w:hint="eastAsia" w:ascii="仿宋" w:hAnsi="仿宋" w:eastAsia="仿宋" w:cs="Times New Roman"/>
          <w:sz w:val="32"/>
          <w:szCs w:val="32"/>
        </w:rPr>
        <w:t>年相比，一般公共预算财政拨款减少37.20元，减少4.78</w:t>
      </w:r>
      <w:r>
        <w:rPr>
          <w:rFonts w:ascii="仿宋" w:hAnsi="仿宋" w:eastAsia="仿宋" w:cs="Times New Roman"/>
          <w:sz w:val="32"/>
          <w:szCs w:val="32"/>
        </w:rPr>
        <w:t>%</w:t>
      </w:r>
      <w:r>
        <w:rPr>
          <w:rFonts w:hint="eastAsia" w:ascii="仿宋" w:hAnsi="仿宋" w:eastAsia="仿宋" w:cs="Times New Roman"/>
          <w:sz w:val="32"/>
          <w:szCs w:val="32"/>
        </w:rPr>
        <w:t>。主要变动原因是人员经费和基本建设类项目减少。</w:t>
      </w:r>
    </w:p>
    <w:p w14:paraId="0881BA6A">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51" w:name="_Toc15377211"/>
      <w:bookmarkStart w:id="52" w:name="_Toc3786"/>
      <w:r>
        <w:rPr>
          <w:rFonts w:hint="eastAsia" w:ascii="仿宋_GB2312" w:hAnsi="仿宋_GB2312" w:eastAsia="仿宋_GB2312" w:cs="仿宋_GB2312"/>
          <w:b/>
          <w:color w:val="000000"/>
          <w:sz w:val="30"/>
          <w:szCs w:val="30"/>
        </w:rPr>
        <w:t>（二）一般公共预算财政拨款支出决算结构情况</w:t>
      </w:r>
      <w:bookmarkEnd w:id="51"/>
      <w:bookmarkEnd w:id="52"/>
    </w:p>
    <w:p w14:paraId="43D7BF6D">
      <w:pPr>
        <w:spacing w:line="600" w:lineRule="exact"/>
        <w:ind w:firstLine="640"/>
        <w:rPr>
          <w:rFonts w:hint="eastAsia"/>
        </w:rPr>
      </w:pPr>
      <w:r>
        <w:rPr>
          <w:rFonts w:ascii="仿宋" w:hAnsi="仿宋" w:eastAsia="仿宋" w:cs="Times New Roman"/>
          <w:sz w:val="32"/>
          <w:szCs w:val="32"/>
        </w:rPr>
        <w:t>2020</w:t>
      </w:r>
      <w:r>
        <w:rPr>
          <w:rFonts w:hint="eastAsia" w:ascii="仿宋" w:hAnsi="仿宋" w:eastAsia="仿宋" w:cs="Times New Roman"/>
          <w:sz w:val="32"/>
          <w:szCs w:val="32"/>
        </w:rPr>
        <w:t>年一般公共预算财政拨款支出741.0</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万元，主要用于以下方面</w:t>
      </w:r>
      <w:r>
        <w:rPr>
          <w:rFonts w:ascii="仿宋" w:hAnsi="仿宋" w:eastAsia="仿宋" w:cs="Times New Roman"/>
          <w:sz w:val="32"/>
          <w:szCs w:val="32"/>
        </w:rPr>
        <w:t>:</w:t>
      </w:r>
      <w:r>
        <w:rPr>
          <w:rFonts w:hint="eastAsia" w:ascii="仿宋" w:hAnsi="仿宋" w:eastAsia="仿宋" w:cs="Times New Roman"/>
          <w:b/>
          <w:sz w:val="32"/>
          <w:szCs w:val="32"/>
        </w:rPr>
        <w:t>教育支出（类）</w:t>
      </w:r>
      <w:r>
        <w:rPr>
          <w:rFonts w:hint="eastAsia" w:ascii="仿宋" w:hAnsi="仿宋" w:eastAsia="仿宋" w:cs="Times New Roman"/>
          <w:sz w:val="32"/>
          <w:szCs w:val="32"/>
        </w:rPr>
        <w:t>741.0</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万元，占</w:t>
      </w:r>
      <w:r>
        <w:rPr>
          <w:rFonts w:ascii="仿宋" w:hAnsi="仿宋" w:eastAsia="仿宋" w:cs="Times New Roman"/>
          <w:sz w:val="32"/>
          <w:szCs w:val="32"/>
        </w:rPr>
        <w:t>100%</w:t>
      </w:r>
      <w:r>
        <w:rPr>
          <w:rFonts w:hint="eastAsia" w:ascii="仿宋" w:hAnsi="仿宋" w:eastAsia="仿宋" w:cs="Times New Roman"/>
          <w:sz w:val="32"/>
          <w:szCs w:val="32"/>
        </w:rPr>
        <w:t>。</w:t>
      </w:r>
    </w:p>
    <w:p w14:paraId="7EC60706">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auto"/>
          <w:sz w:val="30"/>
          <w:szCs w:val="30"/>
        </w:rPr>
      </w:pPr>
      <w:bookmarkStart w:id="53" w:name="_Toc15377212"/>
      <w:bookmarkStart w:id="54" w:name="_Toc32054"/>
      <w:r>
        <w:rPr>
          <w:rFonts w:hint="eastAsia" w:ascii="仿宋_GB2312" w:hAnsi="仿宋_GB2312" w:eastAsia="仿宋_GB2312" w:cs="仿宋_GB2312"/>
          <w:b/>
          <w:color w:val="auto"/>
          <w:sz w:val="30"/>
          <w:szCs w:val="30"/>
          <w:lang w:eastAsia="zh-CN"/>
        </w:rPr>
        <w:t>（</w:t>
      </w:r>
      <w:r>
        <w:rPr>
          <w:rFonts w:hint="eastAsia" w:ascii="仿宋_GB2312" w:hAnsi="仿宋_GB2312" w:eastAsia="仿宋_GB2312" w:cs="仿宋_GB2312"/>
          <w:b/>
          <w:color w:val="auto"/>
          <w:sz w:val="30"/>
          <w:szCs w:val="30"/>
          <w:lang w:val="en-US" w:eastAsia="zh-CN"/>
        </w:rPr>
        <w:t>三</w:t>
      </w:r>
      <w:r>
        <w:rPr>
          <w:rFonts w:hint="eastAsia" w:ascii="仿宋_GB2312" w:hAnsi="仿宋_GB2312" w:eastAsia="仿宋_GB2312" w:cs="仿宋_GB2312"/>
          <w:b/>
          <w:color w:val="auto"/>
          <w:sz w:val="30"/>
          <w:szCs w:val="30"/>
          <w:lang w:eastAsia="zh-CN"/>
        </w:rPr>
        <w:t>）</w:t>
      </w:r>
      <w:r>
        <w:rPr>
          <w:rFonts w:hint="eastAsia" w:ascii="仿宋_GB2312" w:hAnsi="仿宋_GB2312" w:eastAsia="仿宋_GB2312" w:cs="仿宋_GB2312"/>
          <w:b/>
          <w:color w:val="auto"/>
          <w:sz w:val="30"/>
          <w:szCs w:val="30"/>
        </w:rPr>
        <w:t>一般公共预算财政拨款支出决算具体情况</w:t>
      </w:r>
      <w:bookmarkEnd w:id="53"/>
      <w:bookmarkEnd w:id="54"/>
    </w:p>
    <w:p w14:paraId="4DA7878A">
      <w:pPr>
        <w:spacing w:line="600" w:lineRule="exact"/>
        <w:ind w:firstLine="643" w:firstLineChars="200"/>
        <w:outlineLvl w:val="2"/>
        <w:rPr>
          <w:rFonts w:ascii="仿宋" w:hAnsi="仿宋" w:eastAsia="仿宋" w:cs="Times New Roman"/>
          <w:sz w:val="32"/>
          <w:szCs w:val="32"/>
        </w:rPr>
      </w:pPr>
      <w:bookmarkStart w:id="55" w:name="_Toc15377444"/>
      <w:bookmarkStart w:id="56" w:name="_Toc15378460"/>
      <w:bookmarkStart w:id="57" w:name="_Toc15377213"/>
      <w:bookmarkStart w:id="58" w:name="_Toc12572"/>
      <w:r>
        <w:rPr>
          <w:rFonts w:ascii="仿宋" w:hAnsi="仿宋" w:eastAsia="仿宋" w:cs="Times New Roman"/>
          <w:b/>
          <w:sz w:val="32"/>
          <w:szCs w:val="32"/>
        </w:rPr>
        <w:t>2020</w:t>
      </w:r>
      <w:r>
        <w:rPr>
          <w:rFonts w:hint="eastAsia" w:ascii="仿宋" w:hAnsi="仿宋" w:eastAsia="仿宋" w:cs="Times New Roman"/>
          <w:b/>
          <w:sz w:val="32"/>
          <w:szCs w:val="32"/>
        </w:rPr>
        <w:t>年一般公共预算支出决算数为</w:t>
      </w:r>
      <w:r>
        <w:rPr>
          <w:rFonts w:hint="eastAsia" w:ascii="仿宋" w:hAnsi="仿宋" w:eastAsia="仿宋" w:cs="Times New Roman"/>
          <w:sz w:val="32"/>
          <w:szCs w:val="32"/>
        </w:rPr>
        <w:t>741.0162</w:t>
      </w:r>
      <w:r>
        <w:rPr>
          <w:rFonts w:hint="eastAsia" w:ascii="仿宋" w:hAnsi="仿宋" w:eastAsia="仿宋" w:cs="Times New Roman"/>
          <w:b/>
          <w:sz w:val="32"/>
          <w:szCs w:val="32"/>
        </w:rPr>
        <w:t>万元，</w:t>
      </w:r>
      <w:r>
        <w:rPr>
          <w:rStyle w:val="20"/>
          <w:rFonts w:hint="eastAsia" w:ascii="仿宋" w:hAnsi="仿宋" w:eastAsia="仿宋"/>
          <w:bCs/>
          <w:sz w:val="32"/>
          <w:szCs w:val="32"/>
        </w:rPr>
        <w:t>完成预算100</w:t>
      </w:r>
      <w:r>
        <w:rPr>
          <w:rStyle w:val="20"/>
          <w:rFonts w:ascii="仿宋" w:hAnsi="仿宋" w:eastAsia="仿宋"/>
          <w:bCs/>
          <w:sz w:val="32"/>
          <w:szCs w:val="32"/>
        </w:rPr>
        <w:t>%</w:t>
      </w:r>
      <w:r>
        <w:rPr>
          <w:rStyle w:val="20"/>
          <w:rFonts w:hint="eastAsia" w:ascii="仿宋" w:hAnsi="仿宋" w:eastAsia="仿宋"/>
          <w:bCs/>
          <w:sz w:val="32"/>
          <w:szCs w:val="32"/>
        </w:rPr>
        <w:t>。其中：</w:t>
      </w:r>
      <w:bookmarkEnd w:id="55"/>
      <w:bookmarkEnd w:id="56"/>
      <w:bookmarkEnd w:id="57"/>
    </w:p>
    <w:p w14:paraId="7FADCD70">
      <w:pPr>
        <w:spacing w:line="600" w:lineRule="exact"/>
        <w:ind w:firstLine="643" w:firstLineChars="200"/>
        <w:rPr>
          <w:rStyle w:val="20"/>
          <w:rFonts w:hint="eastAsia" w:ascii="仿宋" w:hAnsi="仿宋" w:eastAsia="仿宋" w:cs="Times New Roman"/>
          <w:b w:val="0"/>
          <w:bCs/>
          <w:sz w:val="32"/>
          <w:szCs w:val="32"/>
        </w:rPr>
      </w:pPr>
      <w:r>
        <w:rPr>
          <w:rStyle w:val="20"/>
          <w:rFonts w:ascii="仿宋" w:hAnsi="仿宋" w:eastAsia="仿宋"/>
          <w:bCs/>
          <w:sz w:val="32"/>
          <w:szCs w:val="32"/>
        </w:rPr>
        <w:t>1</w:t>
      </w:r>
      <w:r>
        <w:rPr>
          <w:rStyle w:val="20"/>
          <w:rFonts w:hint="eastAsia" w:ascii="仿宋" w:hAnsi="仿宋" w:eastAsia="仿宋"/>
          <w:bCs/>
          <w:sz w:val="32"/>
          <w:szCs w:val="32"/>
        </w:rPr>
        <w:t>.教育（205）普通教育（20502）小学教育（2050202）</w:t>
      </w:r>
      <w:r>
        <w:rPr>
          <w:rStyle w:val="20"/>
          <w:rFonts w:ascii="仿宋" w:hAnsi="仿宋" w:eastAsia="仿宋"/>
          <w:bCs/>
          <w:sz w:val="32"/>
          <w:szCs w:val="32"/>
        </w:rPr>
        <w:t>:</w:t>
      </w:r>
      <w:r>
        <w:rPr>
          <w:rStyle w:val="20"/>
          <w:rFonts w:hint="eastAsia" w:ascii="仿宋" w:hAnsi="仿宋" w:eastAsia="仿宋"/>
          <w:b w:val="0"/>
          <w:bCs/>
          <w:sz w:val="32"/>
          <w:szCs w:val="32"/>
        </w:rPr>
        <w:t>支出决算为519.3072万元，完成预算100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14:paraId="0481AEDF">
      <w:pPr>
        <w:spacing w:line="600" w:lineRule="exact"/>
        <w:ind w:firstLine="643" w:firstLineChars="200"/>
        <w:rPr>
          <w:rStyle w:val="20"/>
          <w:rFonts w:hint="eastAsia" w:ascii="仿宋" w:hAnsi="仿宋" w:eastAsia="仿宋" w:cs="Times New Roman"/>
          <w:b w:val="0"/>
          <w:bCs/>
          <w:sz w:val="32"/>
          <w:szCs w:val="32"/>
        </w:rPr>
      </w:pPr>
      <w:r>
        <w:rPr>
          <w:rStyle w:val="20"/>
          <w:rFonts w:ascii="仿宋" w:hAnsi="仿宋" w:eastAsia="仿宋"/>
          <w:bCs/>
          <w:sz w:val="32"/>
          <w:szCs w:val="32"/>
        </w:rPr>
        <w:t>2</w:t>
      </w:r>
      <w:r>
        <w:rPr>
          <w:rStyle w:val="20"/>
          <w:rFonts w:hint="eastAsia" w:ascii="仿宋" w:hAnsi="仿宋" w:eastAsia="仿宋"/>
          <w:bCs/>
          <w:sz w:val="32"/>
          <w:szCs w:val="32"/>
        </w:rPr>
        <w:t>.教育（205）普通教育（20502）其他普通教育支出（2050299）</w:t>
      </w:r>
      <w:r>
        <w:rPr>
          <w:rStyle w:val="20"/>
          <w:rFonts w:ascii="仿宋" w:hAnsi="仿宋" w:eastAsia="仿宋"/>
          <w:bCs/>
          <w:sz w:val="32"/>
          <w:szCs w:val="32"/>
        </w:rPr>
        <w:t>:</w:t>
      </w:r>
      <w:r>
        <w:rPr>
          <w:rStyle w:val="20"/>
          <w:rFonts w:hint="eastAsia" w:ascii="仿宋" w:hAnsi="仿宋" w:eastAsia="仿宋"/>
          <w:b w:val="0"/>
          <w:bCs/>
          <w:sz w:val="32"/>
          <w:szCs w:val="32"/>
        </w:rPr>
        <w:t>支出决算为210.0000万元，完成预算100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p>
    <w:p w14:paraId="7361733B">
      <w:pPr>
        <w:pStyle w:val="2"/>
        <w:ind w:firstLine="643" w:firstLineChars="200"/>
        <w:rPr>
          <w:rFonts w:hint="eastAsia" w:ascii="仿宋" w:hAnsi="仿宋" w:eastAsia="仿宋" w:cs="仿宋"/>
          <w:b w:val="0"/>
          <w:bCs w:val="0"/>
        </w:rPr>
      </w:pPr>
      <w:r>
        <w:rPr>
          <w:rFonts w:hint="eastAsia" w:ascii="仿宋" w:hAnsi="仿宋" w:eastAsia="仿宋" w:cs="仿宋"/>
        </w:rPr>
        <w:t>3.社会保障和就业支出（208）抚恤（20808）死亡抚恤（2080801）</w:t>
      </w:r>
      <w:r>
        <w:rPr>
          <w:rFonts w:hint="eastAsia" w:ascii="仿宋" w:hAnsi="仿宋" w:eastAsia="仿宋" w:cs="仿宋"/>
          <w:b w:val="0"/>
          <w:bCs w:val="0"/>
        </w:rPr>
        <w:t>：支出决算为：11.7090万元，完成预算100%。</w:t>
      </w:r>
    </w:p>
    <w:p w14:paraId="3D2B5947">
      <w:pPr>
        <w:pStyle w:val="24"/>
        <w:widowControl w:val="0"/>
        <w:numPr>
          <w:ilvl w:val="0"/>
          <w:numId w:val="0"/>
        </w:numPr>
        <w:wordWrap/>
        <w:snapToGrid/>
        <w:spacing w:line="240" w:lineRule="auto"/>
        <w:ind w:leftChars="200" w:right="0" w:rightChars="0"/>
        <w:jc w:val="left"/>
        <w:textAlignment w:val="auto"/>
        <w:outlineLvl w:val="1"/>
        <w:rPr>
          <w:rStyle w:val="37"/>
          <w:rFonts w:hint="eastAsia" w:ascii="黑体" w:hAnsi="黑体" w:eastAsia="黑体" w:cs="黑体"/>
          <w:b w:val="0"/>
          <w:sz w:val="30"/>
          <w:szCs w:val="30"/>
        </w:rPr>
      </w:pPr>
      <w:r>
        <w:rPr>
          <w:rFonts w:hint="eastAsia" w:ascii="黑体" w:hAnsi="黑体" w:eastAsia="黑体" w:cs="黑体"/>
          <w:b/>
          <w:color w:val="000000"/>
          <w:sz w:val="30"/>
          <w:szCs w:val="30"/>
          <w:lang w:val="en-US" w:eastAsia="zh-CN"/>
        </w:rPr>
        <w:t>六</w:t>
      </w:r>
      <w:r>
        <w:rPr>
          <w:rFonts w:hint="eastAsia" w:ascii="黑体" w:hAnsi="黑体" w:eastAsia="黑体" w:cs="黑体"/>
          <w:b w:val="0"/>
          <w:bCs w:val="0"/>
          <w:color w:val="000000"/>
          <w:sz w:val="30"/>
          <w:szCs w:val="30"/>
          <w:lang w:val="en-US" w:eastAsia="zh-CN"/>
        </w:rPr>
        <w:t>、</w:t>
      </w:r>
      <w:r>
        <w:rPr>
          <w:rFonts w:hint="eastAsia" w:ascii="黑体" w:hAnsi="黑体" w:eastAsia="黑体" w:cs="黑体"/>
          <w:b w:val="0"/>
          <w:bCs w:val="0"/>
          <w:color w:val="000000"/>
          <w:sz w:val="30"/>
          <w:szCs w:val="30"/>
        </w:rPr>
        <w:t>一般公共预算财政拨款基本支出决算情况说明</w:t>
      </w:r>
      <w:bookmarkEnd w:id="47"/>
      <w:bookmarkEnd w:id="48"/>
      <w:bookmarkEnd w:id="58"/>
      <w:r>
        <w:rPr>
          <w:rFonts w:hint="eastAsia" w:ascii="黑体" w:hAnsi="黑体" w:eastAsia="黑体" w:cs="黑体"/>
          <w:b w:val="0"/>
          <w:bCs w:val="0"/>
          <w:color w:val="000000"/>
          <w:sz w:val="30"/>
          <w:szCs w:val="30"/>
        </w:rPr>
        <w:tab/>
      </w:r>
      <w:bookmarkStart w:id="59" w:name="_Toc15396609"/>
      <w:bookmarkStart w:id="60" w:name="_Toc15377215"/>
    </w:p>
    <w:p w14:paraId="418726CA">
      <w:pPr>
        <w:widowControl/>
        <w:ind w:firstLine="640" w:firstLineChars="200"/>
        <w:rPr>
          <w:rFonts w:ascii="仿宋" w:hAnsi="仿宋" w:eastAsia="仿宋" w:cs="Times New Roman"/>
          <w:sz w:val="32"/>
          <w:szCs w:val="32"/>
        </w:rPr>
      </w:pPr>
      <w:bookmarkStart w:id="61" w:name="_Toc10333"/>
      <w:r>
        <w:rPr>
          <w:rFonts w:ascii="仿宋" w:hAnsi="仿宋" w:eastAsia="仿宋" w:cs="Times New Roman"/>
          <w:sz w:val="32"/>
          <w:szCs w:val="32"/>
        </w:rPr>
        <w:t>2020</w:t>
      </w:r>
      <w:r>
        <w:rPr>
          <w:rFonts w:hint="eastAsia" w:ascii="仿宋" w:hAnsi="仿宋" w:eastAsia="仿宋" w:cs="Times New Roman"/>
          <w:sz w:val="32"/>
          <w:szCs w:val="32"/>
        </w:rPr>
        <w:t>年一般公共预算财政拨款基本支出531.0162万元，其中：</w:t>
      </w:r>
    </w:p>
    <w:p w14:paraId="732CB5AC">
      <w:pPr>
        <w:pStyle w:val="24"/>
        <w:widowControl w:val="0"/>
        <w:numPr>
          <w:ilvl w:val="0"/>
          <w:numId w:val="0"/>
        </w:numPr>
        <w:wordWrap/>
        <w:snapToGrid/>
        <w:spacing w:line="240" w:lineRule="auto"/>
        <w:ind w:leftChars="200" w:right="0" w:rightChars="0"/>
        <w:jc w:val="left"/>
        <w:textAlignment w:val="auto"/>
        <w:outlineLvl w:val="1"/>
        <w:rPr>
          <w:rFonts w:hint="eastAsia" w:ascii="仿宋" w:hAnsi="仿宋" w:eastAsia="仿宋" w:cs="Times New Roman"/>
          <w:sz w:val="32"/>
          <w:szCs w:val="32"/>
        </w:rPr>
      </w:pPr>
      <w:r>
        <w:rPr>
          <w:rFonts w:hint="eastAsia" w:ascii="仿宋" w:hAnsi="仿宋" w:eastAsia="仿宋" w:cs="Times New Roman"/>
          <w:sz w:val="32"/>
          <w:szCs w:val="32"/>
        </w:rPr>
        <w:t>人员经费477.2453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s="Times New Roman"/>
          <w:sz w:val="32"/>
          <w:szCs w:val="32"/>
        </w:rPr>
        <w:br w:type="textWrapping"/>
      </w:r>
      <w:r>
        <w:rPr>
          <w:rFonts w:hint="eastAsia" w:ascii="仿宋" w:hAnsi="仿宋" w:eastAsia="仿宋" w:cs="Times New Roman"/>
          <w:sz w:val="32"/>
          <w:szCs w:val="32"/>
        </w:rPr>
        <w:t>　　日常公用经费53.7709万元，主要包括：办公费、印刷费、咨询费、手续费、水费、电费、邮电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79EB62F">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七、“三公”经费财政拨款支出决算情况说明</w:t>
      </w:r>
      <w:bookmarkEnd w:id="59"/>
      <w:bookmarkEnd w:id="60"/>
      <w:bookmarkEnd w:id="61"/>
      <w:bookmarkStart w:id="62" w:name="_Toc15377218"/>
      <w:bookmarkStart w:id="63" w:name="_Toc15396610"/>
    </w:p>
    <w:p w14:paraId="7A9F0AAE">
      <w:pPr>
        <w:spacing w:line="600" w:lineRule="exact"/>
        <w:ind w:firstLine="640"/>
        <w:outlineLvl w:val="2"/>
        <w:rPr>
          <w:rFonts w:ascii="仿宋" w:hAnsi="仿宋" w:eastAsia="仿宋" w:cs="Times New Roman"/>
          <w:b/>
          <w:sz w:val="32"/>
          <w:szCs w:val="32"/>
        </w:rPr>
      </w:pPr>
      <w:bookmarkStart w:id="64" w:name="_Toc15377216"/>
      <w:bookmarkStart w:id="65" w:name="_Toc24782"/>
      <w:r>
        <w:rPr>
          <w:rFonts w:hint="eastAsia" w:ascii="仿宋" w:hAnsi="仿宋" w:eastAsia="仿宋" w:cs="Times New Roman"/>
          <w:b/>
          <w:sz w:val="32"/>
          <w:szCs w:val="32"/>
        </w:rPr>
        <w:t>（一）“三公”经费财政拨款支出决算总体情况说明</w:t>
      </w:r>
      <w:bookmarkEnd w:id="64"/>
    </w:p>
    <w:p w14:paraId="3C2C5276">
      <w:pPr>
        <w:spacing w:line="600" w:lineRule="exact"/>
        <w:ind w:firstLine="640"/>
        <w:rPr>
          <w:rFonts w:ascii="仿宋" w:hAnsi="仿宋" w:eastAsia="仿宋" w:cs="Times New Roman"/>
          <w:sz w:val="32"/>
          <w:szCs w:val="32"/>
        </w:rPr>
      </w:pPr>
      <w:r>
        <w:rPr>
          <w:rFonts w:ascii="仿宋" w:hAnsi="仿宋" w:eastAsia="仿宋" w:cs="Times New Roman"/>
          <w:sz w:val="32"/>
          <w:szCs w:val="32"/>
        </w:rPr>
        <w:t>2020</w:t>
      </w:r>
      <w:r>
        <w:rPr>
          <w:rFonts w:hint="eastAsia" w:ascii="仿宋" w:hAnsi="仿宋" w:eastAsia="仿宋" w:cs="Times New Roman"/>
          <w:sz w:val="32"/>
          <w:szCs w:val="32"/>
        </w:rPr>
        <w:t>年“三公”经费财政拨款支出决算为0.9243万元，完成预算99</w:t>
      </w:r>
      <w:r>
        <w:rPr>
          <w:rFonts w:ascii="仿宋" w:hAnsi="仿宋" w:eastAsia="仿宋" w:cs="Times New Roman"/>
          <w:sz w:val="32"/>
          <w:szCs w:val="32"/>
        </w:rPr>
        <w:t>.</w:t>
      </w:r>
      <w:r>
        <w:rPr>
          <w:rFonts w:hint="eastAsia" w:ascii="仿宋" w:hAnsi="仿宋" w:eastAsia="仿宋" w:cs="Times New Roman"/>
          <w:sz w:val="32"/>
          <w:szCs w:val="32"/>
        </w:rPr>
        <w:t>92</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_GB2312" w:hAnsi="Times New Roman" w:eastAsia="仿宋_GB2312" w:cs="Times New Roman"/>
          <w:sz w:val="32"/>
          <w:szCs w:val="32"/>
        </w:rPr>
        <w:t>主要原因是严格执行</w:t>
      </w:r>
      <w:r>
        <w:rPr>
          <w:rFonts w:hint="eastAsia" w:ascii="仿宋_GB2312" w:eastAsia="仿宋_GB2312" w:cs="Times New Roman"/>
          <w:sz w:val="32"/>
          <w:szCs w:val="32"/>
          <w:lang w:eastAsia="zh-CN"/>
        </w:rPr>
        <w:t>中央八项规定</w:t>
      </w:r>
      <w:r>
        <w:rPr>
          <w:rFonts w:hint="eastAsia" w:ascii="仿宋_GB2312" w:hAnsi="Times New Roman" w:eastAsia="仿宋_GB2312" w:cs="Times New Roman"/>
          <w:sz w:val="32"/>
          <w:szCs w:val="32"/>
        </w:rPr>
        <w:t>，加强公务接待管理。</w:t>
      </w:r>
    </w:p>
    <w:p w14:paraId="5E5E46F9">
      <w:pPr>
        <w:spacing w:line="600" w:lineRule="exact"/>
        <w:ind w:firstLine="640"/>
        <w:outlineLvl w:val="2"/>
        <w:rPr>
          <w:rFonts w:ascii="仿宋" w:hAnsi="仿宋" w:eastAsia="仿宋" w:cs="Times New Roman"/>
          <w:b/>
          <w:sz w:val="32"/>
          <w:szCs w:val="32"/>
        </w:rPr>
      </w:pPr>
      <w:bookmarkStart w:id="66" w:name="_Toc15377217"/>
      <w:r>
        <w:rPr>
          <w:rFonts w:hint="eastAsia" w:ascii="仿宋" w:hAnsi="仿宋" w:eastAsia="仿宋" w:cs="Times New Roman"/>
          <w:b/>
          <w:sz w:val="32"/>
          <w:szCs w:val="32"/>
        </w:rPr>
        <w:t>（二）“三公”经费财政拨款支出决算具体情况说明</w:t>
      </w:r>
      <w:bookmarkEnd w:id="66"/>
    </w:p>
    <w:p w14:paraId="04B112B3">
      <w:pPr>
        <w:pStyle w:val="5"/>
        <w:rPr>
          <w:color w:val="auto"/>
          <w:highlight w:val="none"/>
        </w:rPr>
      </w:pPr>
      <w:r>
        <w:rPr>
          <w:rFonts w:ascii="仿宋" w:hAnsi="仿宋" w:eastAsia="仿宋"/>
          <w:color w:val="auto"/>
          <w:sz w:val="32"/>
          <w:szCs w:val="32"/>
          <w:highlight w:val="none"/>
        </w:rPr>
        <w:t>2020</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年初未安排</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年初未安排，与上年</w:t>
      </w:r>
      <w:bookmarkStart w:id="91" w:name="_GoBack"/>
      <w:bookmarkEnd w:id="91"/>
      <w:r>
        <w:rPr>
          <w:rFonts w:hint="eastAsia" w:ascii="仿宋" w:hAnsi="仿宋" w:eastAsia="仿宋"/>
          <w:color w:val="auto"/>
          <w:sz w:val="32"/>
          <w:szCs w:val="32"/>
          <w:highlight w:val="none"/>
          <w:lang w:val="en-US" w:eastAsia="zh-CN"/>
        </w:rPr>
        <w:t>持平</w:t>
      </w:r>
      <w:r>
        <w:rPr>
          <w:rFonts w:hint="eastAsia" w:ascii="仿宋" w:hAnsi="仿宋" w:eastAsia="仿宋"/>
          <w:color w:val="auto"/>
          <w:sz w:val="32"/>
          <w:szCs w:val="32"/>
          <w:highlight w:val="none"/>
        </w:rPr>
        <w:t>；</w:t>
      </w:r>
    </w:p>
    <w:p w14:paraId="42866965">
      <w:pPr>
        <w:spacing w:line="600" w:lineRule="exact"/>
        <w:ind w:firstLine="640"/>
        <w:rPr>
          <w:rFonts w:ascii="仿宋" w:hAnsi="仿宋" w:eastAsia="仿宋" w:cs="Times New Roman"/>
          <w:sz w:val="32"/>
          <w:szCs w:val="32"/>
        </w:rPr>
      </w:pPr>
      <w:r>
        <w:rPr>
          <w:rFonts w:hint="eastAsia" w:ascii="仿宋" w:hAnsi="仿宋" w:eastAsia="仿宋" w:cs="Times New Roman"/>
          <w:sz w:val="32"/>
          <w:szCs w:val="32"/>
        </w:rPr>
        <w:t>公务接待费支出决算0.9243万元，占100</w:t>
      </w:r>
      <w:r>
        <w:rPr>
          <w:rFonts w:ascii="仿宋" w:hAnsi="仿宋" w:eastAsia="仿宋" w:cs="Times New Roman"/>
          <w:sz w:val="32"/>
          <w:szCs w:val="32"/>
        </w:rPr>
        <w:t>%</w:t>
      </w:r>
      <w:r>
        <w:rPr>
          <w:rFonts w:hint="eastAsia" w:ascii="仿宋" w:hAnsi="仿宋" w:eastAsia="仿宋" w:cs="Times New Roman"/>
          <w:sz w:val="32"/>
          <w:szCs w:val="32"/>
        </w:rPr>
        <w:t>。具体情况如下：</w:t>
      </w:r>
    </w:p>
    <w:p w14:paraId="63ADAABF">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lang w:val="en-US" w:eastAsia="zh-CN"/>
        </w:rPr>
        <w:t xml:space="preserve"> </w:t>
      </w:r>
    </w:p>
    <w:p w14:paraId="1BF76A90">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14:paraId="034BB0A7">
      <w:pPr>
        <w:spacing w:line="600" w:lineRule="exact"/>
        <w:ind w:firstLine="640"/>
        <w:rPr>
          <w:rFonts w:ascii="仿宋_GB2312" w:hAnsi="Times New Roman" w:eastAsia="仿宋_GB2312" w:cs="Times New Roman"/>
          <w:sz w:val="32"/>
          <w:szCs w:val="32"/>
        </w:rPr>
      </w:pPr>
      <w:r>
        <w:rPr>
          <w:rFonts w:ascii="仿宋_GB2312" w:hAnsi="Times New Roman" w:eastAsia="仿宋_GB2312" w:cs="Times New Roman"/>
          <w:b/>
          <w:sz w:val="32"/>
          <w:szCs w:val="32"/>
        </w:rPr>
        <w:t>3.</w:t>
      </w:r>
      <w:r>
        <w:rPr>
          <w:rFonts w:hint="eastAsia" w:ascii="仿宋_GB2312" w:hAnsi="Times New Roman" w:eastAsia="仿宋_GB2312" w:cs="Times New Roman"/>
          <w:b/>
          <w:sz w:val="32"/>
          <w:szCs w:val="32"/>
        </w:rPr>
        <w:t>公务接待费支出</w:t>
      </w:r>
      <w:r>
        <w:rPr>
          <w:rFonts w:hint="eastAsia" w:ascii="仿宋" w:hAnsi="仿宋" w:eastAsia="仿宋" w:cs="Times New Roman"/>
          <w:sz w:val="32"/>
          <w:szCs w:val="32"/>
        </w:rPr>
        <w:t>0.9243</w:t>
      </w:r>
      <w:r>
        <w:rPr>
          <w:rFonts w:hint="eastAsia" w:ascii="仿宋_GB2312" w:hAnsi="Times New Roman" w:eastAsia="仿宋_GB2312" w:cs="Times New Roman"/>
          <w:sz w:val="32"/>
          <w:szCs w:val="32"/>
        </w:rPr>
        <w:t>万元，</w:t>
      </w:r>
      <w:r>
        <w:rPr>
          <w:rStyle w:val="20"/>
          <w:rFonts w:hint="eastAsia" w:ascii="仿宋" w:hAnsi="仿宋" w:eastAsia="仿宋"/>
          <w:b w:val="0"/>
          <w:bCs/>
          <w:sz w:val="32"/>
          <w:szCs w:val="32"/>
        </w:rPr>
        <w:t>完成预算</w:t>
      </w:r>
      <w:r>
        <w:rPr>
          <w:rFonts w:hint="eastAsia" w:ascii="仿宋" w:hAnsi="仿宋" w:eastAsia="仿宋" w:cs="Times New Roman"/>
          <w:sz w:val="32"/>
          <w:szCs w:val="32"/>
        </w:rPr>
        <w:t>99</w:t>
      </w:r>
      <w:r>
        <w:rPr>
          <w:rFonts w:ascii="仿宋" w:hAnsi="仿宋" w:eastAsia="仿宋" w:cs="Times New Roman"/>
          <w:sz w:val="32"/>
          <w:szCs w:val="32"/>
        </w:rPr>
        <w:t>.</w:t>
      </w:r>
      <w:r>
        <w:rPr>
          <w:rFonts w:hint="eastAsia" w:ascii="仿宋" w:hAnsi="仿宋" w:eastAsia="仿宋" w:cs="Times New Roman"/>
          <w:sz w:val="32"/>
          <w:szCs w:val="32"/>
        </w:rPr>
        <w:t>92</w:t>
      </w:r>
      <w:r>
        <w:rPr>
          <w:rFonts w:ascii="仿宋" w:hAnsi="仿宋" w:eastAsia="仿宋" w:cs="Times New Roman"/>
          <w:sz w:val="32"/>
          <w:szCs w:val="32"/>
        </w:rPr>
        <w:t>%</w:t>
      </w:r>
      <w:r>
        <w:rPr>
          <w:rStyle w:val="20"/>
          <w:rFonts w:hint="eastAsia" w:ascii="仿宋" w:hAnsi="仿宋" w:eastAsia="仿宋"/>
          <w:b w:val="0"/>
          <w:bCs/>
          <w:sz w:val="32"/>
          <w:szCs w:val="32"/>
        </w:rPr>
        <w:t>。</w:t>
      </w:r>
      <w:r>
        <w:rPr>
          <w:rFonts w:hint="eastAsia" w:ascii="仿宋_GB2312" w:hAnsi="Times New Roman" w:eastAsia="仿宋_GB2312" w:cs="Times New Roman"/>
          <w:sz w:val="32"/>
          <w:szCs w:val="32"/>
        </w:rPr>
        <w:t>公务接待费支出决算比</w:t>
      </w:r>
      <w:r>
        <w:rPr>
          <w:rFonts w:ascii="仿宋_GB2312" w:hAnsi="Times New Roman" w:eastAsia="仿宋_GB2312" w:cs="Times New Roman"/>
          <w:sz w:val="32"/>
          <w:szCs w:val="32"/>
        </w:rPr>
        <w:t>2019</w:t>
      </w:r>
      <w:r>
        <w:rPr>
          <w:rFonts w:hint="eastAsia" w:ascii="仿宋_GB2312" w:hAnsi="Times New Roman" w:eastAsia="仿宋_GB2312" w:cs="Times New Roman"/>
          <w:sz w:val="32"/>
          <w:szCs w:val="32"/>
        </w:rPr>
        <w:t>年减少0.0486万元，下降5</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。主要原因是严格执行</w:t>
      </w:r>
      <w:r>
        <w:rPr>
          <w:rFonts w:hint="eastAsia" w:ascii="仿宋_GB2312" w:eastAsia="仿宋_GB2312" w:cs="Times New Roman"/>
          <w:sz w:val="32"/>
          <w:szCs w:val="32"/>
          <w:lang w:eastAsia="zh-CN"/>
        </w:rPr>
        <w:t>中央八项规定</w:t>
      </w:r>
      <w:r>
        <w:rPr>
          <w:rFonts w:hint="eastAsia" w:ascii="仿宋_GB2312" w:hAnsi="Times New Roman" w:eastAsia="仿宋_GB2312" w:cs="Times New Roman"/>
          <w:sz w:val="32"/>
          <w:szCs w:val="32"/>
        </w:rPr>
        <w:t>，加强公务接待管理。其中：</w:t>
      </w:r>
    </w:p>
    <w:p w14:paraId="3710C3D9">
      <w:pPr>
        <w:spacing w:line="600" w:lineRule="exact"/>
        <w:ind w:firstLine="640"/>
        <w:rPr>
          <w:rFonts w:hint="eastAsia" w:ascii="仿宋_GB2312" w:hAnsi="Times New Roman" w:eastAsia="仿宋_GB2312" w:cs="Times New Roman"/>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国内公务接待支出</w:t>
      </w:r>
      <w:r>
        <w:rPr>
          <w:rFonts w:hint="eastAsia" w:ascii="仿宋" w:hAnsi="仿宋" w:eastAsia="仿宋" w:cs="Times New Roman"/>
          <w:sz w:val="32"/>
          <w:szCs w:val="32"/>
        </w:rPr>
        <w:t>0.9243</w:t>
      </w:r>
      <w:r>
        <w:rPr>
          <w:rFonts w:hint="eastAsia" w:ascii="仿宋_GB2312" w:hAnsi="Times New Roman" w:eastAsia="仿宋_GB2312" w:cs="Times New Roman"/>
          <w:sz w:val="32"/>
          <w:szCs w:val="32"/>
        </w:rPr>
        <w:t>万元，主要用于执行公务、开展业务活动开支的交通费、住宿费、用餐费等。国内公务接待50批次，190人次（不包括陪同人员），共计支出</w:t>
      </w:r>
      <w:r>
        <w:rPr>
          <w:rFonts w:hint="eastAsia" w:ascii="仿宋" w:hAnsi="仿宋" w:eastAsia="仿宋" w:cs="Times New Roman"/>
          <w:sz w:val="32"/>
          <w:szCs w:val="32"/>
        </w:rPr>
        <w:t>0.9243</w:t>
      </w:r>
      <w:r>
        <w:rPr>
          <w:rFonts w:hint="eastAsia" w:ascii="仿宋_GB2312" w:hAnsi="Times New Roman" w:eastAsia="仿宋_GB2312" w:cs="Times New Roman"/>
          <w:sz w:val="32"/>
          <w:szCs w:val="32"/>
        </w:rPr>
        <w:t>万元，具体内容包括：邻片区学校考察学习、教育教学业务活动开支等。</w:t>
      </w:r>
    </w:p>
    <w:p w14:paraId="5264659A">
      <w:pPr>
        <w:spacing w:line="600" w:lineRule="exact"/>
        <w:ind w:firstLine="640" w:firstLineChars="200"/>
        <w:rPr>
          <w:rFonts w:ascii="仿宋_GB2312" w:hAnsi="Times New Roman" w:eastAsia="仿宋_GB2312" w:cs="Times New Roman"/>
          <w:sz w:val="32"/>
          <w:szCs w:val="32"/>
        </w:rPr>
      </w:pPr>
    </w:p>
    <w:p w14:paraId="499A620E">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八、政府性基金预算支出决算情况说明</w:t>
      </w:r>
      <w:bookmarkEnd w:id="62"/>
      <w:bookmarkEnd w:id="63"/>
      <w:bookmarkEnd w:id="65"/>
      <w:bookmarkStart w:id="67" w:name="_Toc15396611"/>
      <w:bookmarkStart w:id="68" w:name="_Toc15377219"/>
    </w:p>
    <w:p w14:paraId="1D97E962">
      <w:pPr>
        <w:spacing w:line="600" w:lineRule="exact"/>
        <w:ind w:firstLine="640"/>
        <w:rPr>
          <w:rFonts w:ascii="仿宋_GB2312" w:hAnsi="Times New Roman" w:eastAsia="仿宋_GB2312" w:cs="Times New Roman"/>
          <w:sz w:val="32"/>
          <w:szCs w:val="32"/>
        </w:rPr>
      </w:pPr>
      <w:bookmarkStart w:id="69" w:name="_Toc6994"/>
      <w:r>
        <w:rPr>
          <w:rFonts w:ascii="仿宋_GB2312" w:hAnsi="Times New Roman" w:eastAsia="仿宋_GB2312" w:cs="Times New Roman"/>
          <w:sz w:val="32"/>
          <w:szCs w:val="32"/>
        </w:rPr>
        <w:t>2020</w:t>
      </w:r>
      <w:r>
        <w:rPr>
          <w:rFonts w:hint="eastAsia" w:ascii="仿宋_GB2312" w:hAnsi="Times New Roman" w:eastAsia="仿宋_GB2312" w:cs="Times New Roman"/>
          <w:sz w:val="32"/>
          <w:szCs w:val="32"/>
        </w:rPr>
        <w:t>年政府性基金预算拨款支出</w:t>
      </w: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万元。</w:t>
      </w:r>
      <w:r>
        <w:rPr>
          <w:rFonts w:hint="eastAsia" w:ascii="仿宋_GB2312" w:hAnsi="仿宋_GB2312" w:eastAsia="仿宋_GB2312" w:cs="仿宋_GB2312"/>
          <w:b w:val="0"/>
          <w:bCs/>
          <w:color w:val="auto"/>
          <w:sz w:val="30"/>
          <w:szCs w:val="30"/>
          <w:highlight w:val="none"/>
          <w:lang w:val="en-US" w:eastAsia="zh-CN"/>
        </w:rPr>
        <w:t>主要用于教育事业的彩票公益金（乡村少年宫运行经费）支出</w:t>
      </w:r>
      <w:r>
        <w:rPr>
          <w:rFonts w:hint="eastAsia" w:ascii="仿宋_GB2312" w:hAnsi="Times New Roman" w:eastAsia="仿宋_GB2312" w:cs="Times New Roman"/>
          <w:sz w:val="32"/>
          <w:szCs w:val="32"/>
        </w:rPr>
        <w:t>。</w:t>
      </w:r>
    </w:p>
    <w:p w14:paraId="0282DD13">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九、国有资本经营预算支出决算情况说明</w:t>
      </w:r>
      <w:bookmarkEnd w:id="67"/>
      <w:bookmarkEnd w:id="68"/>
      <w:bookmarkEnd w:id="69"/>
      <w:bookmarkStart w:id="70" w:name="_Toc15377221"/>
      <w:bookmarkStart w:id="71" w:name="_Toc15396612"/>
    </w:p>
    <w:p w14:paraId="7C76247D">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color w:val="000000"/>
          <w:sz w:val="30"/>
          <w:szCs w:val="30"/>
          <w:lang w:eastAsia="zh-CN"/>
        </w:rPr>
        <w:t>2020</w:t>
      </w:r>
      <w:r>
        <w:rPr>
          <w:rFonts w:hint="eastAsia" w:ascii="仿宋_GB2312" w:hAnsi="仿宋_GB2312" w:eastAsia="仿宋_GB2312" w:cs="仿宋_GB2312"/>
          <w:b w:val="0"/>
          <w:bCs/>
          <w:color w:val="000000"/>
          <w:sz w:val="30"/>
          <w:szCs w:val="30"/>
        </w:rPr>
        <w:t>年国有资本经营预算拨款支出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p>
    <w:p w14:paraId="7B7FA296">
      <w:pPr>
        <w:pStyle w:val="24"/>
        <w:widowControl w:val="0"/>
        <w:numPr>
          <w:ilvl w:val="0"/>
          <w:numId w:val="0"/>
        </w:numPr>
        <w:wordWrap/>
        <w:snapToGrid/>
        <w:spacing w:line="240" w:lineRule="auto"/>
        <w:ind w:leftChars="200" w:right="0" w:rightChars="0"/>
        <w:jc w:val="left"/>
        <w:textAlignment w:val="auto"/>
        <w:outlineLvl w:val="1"/>
        <w:rPr>
          <w:rStyle w:val="37"/>
          <w:rFonts w:hint="eastAsia" w:ascii="黑体" w:hAnsi="黑体" w:eastAsia="黑体" w:cs="黑体"/>
          <w:sz w:val="30"/>
          <w:szCs w:val="30"/>
        </w:rPr>
      </w:pPr>
      <w:bookmarkStart w:id="72" w:name="_Toc10925"/>
      <w:r>
        <w:rPr>
          <w:rFonts w:hint="eastAsia" w:ascii="黑体" w:hAnsi="黑体" w:eastAsia="黑体" w:cs="黑体"/>
          <w:b w:val="0"/>
          <w:bCs w:val="0"/>
          <w:color w:val="000000"/>
          <w:sz w:val="30"/>
          <w:szCs w:val="30"/>
          <w:lang w:val="en-US" w:eastAsia="zh-CN"/>
        </w:rPr>
        <w:t>十、其他重要事项的情况说</w:t>
      </w:r>
      <w:r>
        <w:rPr>
          <w:rStyle w:val="37"/>
          <w:rFonts w:hint="eastAsia" w:ascii="黑体" w:hAnsi="黑体" w:eastAsia="黑体" w:cs="黑体"/>
          <w:b w:val="0"/>
          <w:sz w:val="30"/>
          <w:szCs w:val="30"/>
        </w:rPr>
        <w:t>明</w:t>
      </w:r>
      <w:bookmarkEnd w:id="70"/>
      <w:bookmarkEnd w:id="71"/>
      <w:bookmarkEnd w:id="72"/>
    </w:p>
    <w:p w14:paraId="28B4E99F">
      <w:pPr>
        <w:spacing w:line="600" w:lineRule="exact"/>
        <w:ind w:firstLine="643" w:firstLineChars="200"/>
        <w:outlineLvl w:val="2"/>
        <w:rPr>
          <w:rFonts w:ascii="仿宋" w:hAnsi="仿宋" w:eastAsia="仿宋" w:cs="Times New Roman"/>
          <w:sz w:val="32"/>
          <w:szCs w:val="32"/>
        </w:rPr>
      </w:pPr>
      <w:bookmarkStart w:id="73" w:name="_Toc15377222"/>
      <w:r>
        <w:rPr>
          <w:rFonts w:hint="eastAsia" w:ascii="仿宋" w:hAnsi="仿宋" w:eastAsia="仿宋" w:cs="Times New Roman"/>
          <w:b/>
          <w:sz w:val="32"/>
          <w:szCs w:val="32"/>
        </w:rPr>
        <w:t>（一）机关运行经费支出情况</w:t>
      </w:r>
      <w:bookmarkEnd w:id="73"/>
    </w:p>
    <w:p w14:paraId="105D3B9C">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我单位</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ascii="仿宋_GB2312" w:eastAsia="仿宋_GB2312"/>
          <w:color w:val="auto"/>
          <w:sz w:val="32"/>
          <w:szCs w:val="32"/>
          <w:highlight w:val="none"/>
        </w:rPr>
        <w:t>2019</w:t>
      </w:r>
      <w:r>
        <w:rPr>
          <w:rFonts w:hint="eastAsia" w:ascii="仿宋_GB2312" w:eastAsia="仿宋_GB2312"/>
          <w:color w:val="auto"/>
          <w:sz w:val="32"/>
          <w:szCs w:val="32"/>
          <w:highlight w:val="none"/>
        </w:rPr>
        <w:t>年决算数持平</w:t>
      </w:r>
      <w:r>
        <w:rPr>
          <w:rFonts w:hint="eastAsia" w:ascii="仿宋_GB2312" w:eastAsia="仿宋_GB2312"/>
          <w:color w:val="auto"/>
          <w:sz w:val="32"/>
          <w:szCs w:val="32"/>
          <w:highlight w:val="none"/>
          <w:lang w:eastAsia="zh-CN"/>
        </w:rPr>
        <w:t>。</w:t>
      </w:r>
      <w:r>
        <w:rPr>
          <w:rFonts w:hint="eastAsia" w:ascii="仿宋_GB2312" w:hAnsi="Times New Roman" w:eastAsia="仿宋_GB2312" w:cs="Times New Roman"/>
          <w:color w:val="auto"/>
          <w:sz w:val="32"/>
          <w:szCs w:val="32"/>
          <w:highlight w:val="none"/>
        </w:rPr>
        <w:t>本单位为事业单位，无机关运行经费支出</w:t>
      </w:r>
      <w:r>
        <w:rPr>
          <w:rFonts w:hint="eastAsia" w:ascii="仿宋_GB2312" w:eastAsia="仿宋_GB2312"/>
          <w:color w:val="auto"/>
          <w:sz w:val="32"/>
          <w:szCs w:val="32"/>
          <w:highlight w:val="none"/>
          <w:lang w:eastAsia="zh-CN"/>
        </w:rPr>
        <w:t>。</w:t>
      </w:r>
    </w:p>
    <w:p w14:paraId="720E69EA">
      <w:pPr>
        <w:spacing w:line="600" w:lineRule="exact"/>
        <w:ind w:firstLine="640"/>
        <w:rPr>
          <w:rFonts w:hint="eastAsia" w:ascii="仿宋_GB2312" w:hAnsi="Times New Roman" w:eastAsia="仿宋_GB2312" w:cs="Times New Roman"/>
          <w:sz w:val="32"/>
          <w:szCs w:val="32"/>
        </w:rPr>
      </w:pPr>
    </w:p>
    <w:p w14:paraId="2C4DE991">
      <w:pPr>
        <w:autoSpaceDE w:val="0"/>
        <w:autoSpaceDN w:val="0"/>
        <w:adjustRightInd w:val="0"/>
        <w:spacing w:line="600" w:lineRule="exact"/>
        <w:ind w:firstLine="643" w:firstLineChars="200"/>
        <w:jc w:val="left"/>
        <w:outlineLvl w:val="2"/>
        <w:rPr>
          <w:rFonts w:ascii="仿宋" w:hAnsi="仿宋" w:eastAsia="仿宋" w:cs="Times New Roman"/>
          <w:b/>
          <w:sz w:val="32"/>
          <w:szCs w:val="32"/>
        </w:rPr>
      </w:pPr>
      <w:bookmarkStart w:id="74" w:name="_Toc15377223"/>
      <w:r>
        <w:rPr>
          <w:rFonts w:hint="eastAsia" w:ascii="仿宋" w:hAnsi="仿宋" w:eastAsia="仿宋" w:cs="Times New Roman"/>
          <w:b/>
          <w:sz w:val="32"/>
          <w:szCs w:val="32"/>
        </w:rPr>
        <w:t>（二）政府采购支出情况</w:t>
      </w:r>
      <w:bookmarkEnd w:id="74"/>
    </w:p>
    <w:p w14:paraId="37315088">
      <w:pPr>
        <w:spacing w:line="60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2020</w:t>
      </w:r>
      <w:r>
        <w:rPr>
          <w:rFonts w:hint="eastAsia" w:ascii="仿宋_GB2312" w:hAnsi="Times New Roman" w:eastAsia="仿宋_GB2312" w:cs="Times New Roman"/>
          <w:sz w:val="32"/>
          <w:szCs w:val="32"/>
        </w:rPr>
        <w:t>年，政府采购支出总额0万元</w:t>
      </w:r>
      <w:r>
        <w:rPr>
          <w:rFonts w:hint="eastAsia" w:ascii="仿宋_GB2312" w:eastAsia="仿宋_GB2312" w:cs="Times New Roman"/>
          <w:sz w:val="32"/>
          <w:szCs w:val="32"/>
          <w:lang w:eastAsia="zh-CN"/>
        </w:rPr>
        <w:t>，</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w:t>
      </w:r>
    </w:p>
    <w:p w14:paraId="1D874C82">
      <w:pPr>
        <w:autoSpaceDE w:val="0"/>
        <w:autoSpaceDN w:val="0"/>
        <w:adjustRightInd w:val="0"/>
        <w:spacing w:line="600" w:lineRule="exact"/>
        <w:ind w:firstLine="643" w:firstLineChars="200"/>
        <w:jc w:val="left"/>
        <w:outlineLvl w:val="2"/>
        <w:rPr>
          <w:rFonts w:ascii="仿宋" w:hAnsi="仿宋" w:eastAsia="仿宋" w:cs="Times New Roman"/>
          <w:b/>
          <w:sz w:val="32"/>
          <w:szCs w:val="32"/>
        </w:rPr>
      </w:pPr>
      <w:bookmarkStart w:id="75" w:name="_Toc15377224"/>
      <w:r>
        <w:rPr>
          <w:rFonts w:hint="eastAsia" w:ascii="仿宋" w:hAnsi="仿宋" w:eastAsia="仿宋" w:cs="Times New Roman"/>
          <w:b/>
          <w:sz w:val="32"/>
          <w:szCs w:val="32"/>
        </w:rPr>
        <w:t>（三）国有资产占有使用情况</w:t>
      </w:r>
      <w:bookmarkEnd w:id="75"/>
    </w:p>
    <w:p w14:paraId="11E62346">
      <w:pPr>
        <w:autoSpaceDE w:val="0"/>
        <w:autoSpaceDN w:val="0"/>
        <w:adjustRightInd w:val="0"/>
        <w:spacing w:line="600" w:lineRule="exact"/>
        <w:ind w:firstLine="640" w:firstLineChars="200"/>
        <w:jc w:val="left"/>
        <w:rPr>
          <w:rFonts w:hint="eastAsia" w:ascii="仿宋" w:hAnsi="仿宋" w:eastAsia="仿宋_GB2312" w:cs="Times New Roman"/>
          <w:b/>
          <w:sz w:val="32"/>
          <w:szCs w:val="32"/>
          <w:lang w:eastAsia="zh-CN"/>
        </w:rPr>
      </w:pPr>
      <w:r>
        <w:rPr>
          <w:rFonts w:hint="eastAsia" w:ascii="仿宋_GB2312" w:hAnsi="Times New Roman" w:eastAsia="仿宋_GB2312" w:cs="Times New Roman"/>
          <w:sz w:val="32"/>
          <w:szCs w:val="32"/>
        </w:rPr>
        <w:t>截至</w:t>
      </w:r>
      <w:r>
        <w:rPr>
          <w:rFonts w:ascii="仿宋_GB2312" w:hAnsi="Times New Roman" w:eastAsia="仿宋_GB2312" w:cs="Times New Roman"/>
          <w:sz w:val="32"/>
          <w:szCs w:val="32"/>
        </w:rPr>
        <w:t>2020</w:t>
      </w:r>
      <w:r>
        <w:rPr>
          <w:rFonts w:hint="eastAsia" w:ascii="仿宋_GB2312" w:hAnsi="Times New Roman" w:eastAsia="仿宋_GB2312" w:cs="Times New Roman"/>
          <w:sz w:val="32"/>
          <w:szCs w:val="32"/>
        </w:rPr>
        <w:t>年</w:t>
      </w:r>
      <w:r>
        <w:rPr>
          <w:rFonts w:ascii="仿宋_GB2312" w:hAnsi="Times New Roman" w:eastAsia="仿宋_GB2312" w:cs="Times New Roman"/>
          <w:sz w:val="32"/>
          <w:szCs w:val="32"/>
        </w:rPr>
        <w:t>12</w:t>
      </w:r>
      <w:r>
        <w:rPr>
          <w:rFonts w:hint="eastAsia" w:ascii="仿宋_GB2312" w:hAnsi="Times New Roman" w:eastAsia="仿宋_GB2312" w:cs="Times New Roman"/>
          <w:sz w:val="32"/>
          <w:szCs w:val="32"/>
        </w:rPr>
        <w:t>月</w:t>
      </w:r>
      <w:r>
        <w:rPr>
          <w:rFonts w:ascii="仿宋_GB2312" w:hAnsi="Times New Roman" w:eastAsia="仿宋_GB2312" w:cs="Times New Roman"/>
          <w:sz w:val="32"/>
          <w:szCs w:val="32"/>
        </w:rPr>
        <w:t>31</w:t>
      </w:r>
      <w:r>
        <w:rPr>
          <w:rFonts w:hint="eastAsia" w:ascii="仿宋_GB2312" w:hAnsi="Times New Roman" w:eastAsia="仿宋_GB2312" w:cs="Times New Roman"/>
          <w:sz w:val="32"/>
          <w:szCs w:val="32"/>
        </w:rPr>
        <w:t>日，我校共有车辆0辆</w:t>
      </w:r>
      <w:r>
        <w:rPr>
          <w:rFonts w:hint="eastAsia" w:ascii="仿宋_GB2312" w:eastAsia="仿宋_GB2312" w:cs="Times New Roman"/>
          <w:sz w:val="32"/>
          <w:szCs w:val="32"/>
          <w:lang w:eastAsia="zh-CN"/>
        </w:rPr>
        <w:t>。</w:t>
      </w:r>
    </w:p>
    <w:p w14:paraId="769606B6">
      <w:pPr>
        <w:autoSpaceDE w:val="0"/>
        <w:autoSpaceDN w:val="0"/>
        <w:adjustRightInd w:val="0"/>
        <w:spacing w:line="600" w:lineRule="exact"/>
        <w:ind w:firstLine="643" w:firstLineChars="200"/>
        <w:jc w:val="left"/>
        <w:outlineLvl w:val="2"/>
        <w:rPr>
          <w:rFonts w:ascii="仿宋" w:hAnsi="仿宋" w:eastAsia="仿宋" w:cs="Times New Roman"/>
          <w:b/>
          <w:sz w:val="32"/>
          <w:szCs w:val="32"/>
        </w:rPr>
      </w:pPr>
      <w:r>
        <w:rPr>
          <w:rFonts w:hint="eastAsia" w:ascii="仿宋" w:hAnsi="仿宋" w:eastAsia="仿宋" w:cs="Times New Roman"/>
          <w:b/>
          <w:sz w:val="32"/>
          <w:szCs w:val="32"/>
        </w:rPr>
        <w:t>（四）预算绩效管理情况。</w:t>
      </w:r>
    </w:p>
    <w:p w14:paraId="73E2A6C9">
      <w:pPr>
        <w:snapToGrid w:val="0"/>
        <w:spacing w:line="4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单位按要求对2020年部门整体支出开展绩效自评，从评价情况来看学校整体支出绩效评价自评结果良好，全年基本支出保障了学校的正常运行和日常工作的正常开展，项目支出保障了重点工作的开展，各项支出均达到了预期的绩效管理目标。</w:t>
      </w:r>
    </w:p>
    <w:p w14:paraId="2F570E2B">
      <w:pPr>
        <w:snapToGrid w:val="0"/>
        <w:spacing w:line="4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存在的问题：一是绩效评价管理工作制度建设有待进一步加强，绩效管理缺乏系统性；二是缺乏绩效评价专业人才，现有评价工作人员的知识体系和业务技能还需进一步提高，以适应绩效评价工作相关要求。</w:t>
      </w:r>
    </w:p>
    <w:p w14:paraId="19D406A2">
      <w:pPr>
        <w:snapToGrid w:val="0"/>
        <w:spacing w:line="4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下一步改进措施：一是进一步加强绩效评价管理制度建设；二是建立有效的绩效管理体系；三是强化绩效管理数据分析，强化绩效管理数据运用；四是强化绩效评价专业技能的培训；五是探索与预算编制相结合的财政绩效管理，奖绩效评价逐步从事后评价延伸至事前、事中评价。</w:t>
      </w:r>
    </w:p>
    <w:p w14:paraId="590B5B7F">
      <w:pPr>
        <w:numPr>
          <w:ilvl w:val="0"/>
          <w:numId w:val="5"/>
        </w:numPr>
        <w:spacing w:line="580" w:lineRule="exact"/>
        <w:ind w:firstLine="420" w:firstLineChars="200"/>
        <w:rPr>
          <w:rFonts w:hint="eastAsia" w:ascii="楷体_GB2312" w:hAnsi="楷体_GB2312" w:eastAsia="楷体_GB2312" w:cs="楷体_GB2312"/>
          <w:color w:val="auto"/>
          <w:sz w:val="32"/>
          <w:szCs w:val="32"/>
          <w:highlight w:val="none"/>
        </w:rPr>
      </w:pPr>
      <w:r>
        <w:rPr>
          <w:rFonts w:hint="eastAsia"/>
          <w:lang w:val="en-US" w:eastAsia="zh-CN"/>
        </w:rPr>
        <w:t xml:space="preserve">  </w:t>
      </w:r>
      <w:r>
        <w:rPr>
          <w:rFonts w:hint="eastAsia" w:ascii="楷体_GB2312" w:hAnsi="楷体_GB2312" w:eastAsia="楷体_GB2312" w:cs="楷体_GB2312"/>
          <w:color w:val="auto"/>
          <w:sz w:val="32"/>
          <w:szCs w:val="32"/>
          <w:highlight w:val="none"/>
        </w:rPr>
        <w:t>项目绩效目标完成情况。</w:t>
      </w:r>
    </w:p>
    <w:p w14:paraId="18815F99">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项目绩效目标</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实际完成情况。</w:t>
      </w:r>
    </w:p>
    <w:p w14:paraId="47DD0C24">
      <w:pPr>
        <w:pStyle w:val="6"/>
        <w:rPr>
          <w:rFonts w:hint="default"/>
          <w:lang w:val="en-US" w:eastAsia="zh-CN"/>
        </w:rPr>
      </w:pPr>
    </w:p>
    <w:p w14:paraId="7EC5DF60">
      <w:pPr>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br w:type="page"/>
      </w:r>
    </w:p>
    <w:tbl>
      <w:tblPr>
        <w:tblStyle w:val="18"/>
        <w:tblW w:w="7820" w:type="dxa"/>
        <w:jc w:val="center"/>
        <w:tblLayout w:type="fixed"/>
        <w:tblCellMar>
          <w:top w:w="0" w:type="dxa"/>
          <w:left w:w="0" w:type="dxa"/>
          <w:bottom w:w="0" w:type="dxa"/>
          <w:right w:w="0" w:type="dxa"/>
        </w:tblCellMar>
      </w:tblPr>
      <w:tblGrid>
        <w:gridCol w:w="577"/>
        <w:gridCol w:w="1199"/>
        <w:gridCol w:w="934"/>
        <w:gridCol w:w="1501"/>
        <w:gridCol w:w="1719"/>
        <w:gridCol w:w="1890"/>
      </w:tblGrid>
      <w:tr w14:paraId="0405202C">
        <w:tblPrEx>
          <w:tblCellMar>
            <w:top w:w="0" w:type="dxa"/>
            <w:left w:w="0" w:type="dxa"/>
            <w:bottom w:w="0" w:type="dxa"/>
            <w:right w:w="0" w:type="dxa"/>
          </w:tblCellMar>
        </w:tblPrEx>
        <w:trPr>
          <w:trHeight w:val="1294" w:hRule="atLeast"/>
          <w:jc w:val="center"/>
        </w:trPr>
        <w:tc>
          <w:tcPr>
            <w:tcW w:w="7820" w:type="dxa"/>
            <w:gridSpan w:val="6"/>
            <w:tcBorders>
              <w:top w:val="nil"/>
              <w:left w:val="nil"/>
              <w:bottom w:val="nil"/>
              <w:right w:val="nil"/>
            </w:tcBorders>
            <w:noWrap w:val="0"/>
            <w:tcMar>
              <w:top w:w="15" w:type="dxa"/>
              <w:left w:w="15" w:type="dxa"/>
              <w:right w:w="15" w:type="dxa"/>
            </w:tcMar>
            <w:vAlign w:val="center"/>
          </w:tcPr>
          <w:p w14:paraId="69B57358">
            <w:pPr>
              <w:widowControl/>
              <w:jc w:val="center"/>
              <w:textAlignment w:val="center"/>
              <w:rPr>
                <w:rFonts w:hint="eastAsia" w:ascii="宋体" w:hAnsi="宋体" w:eastAsia="宋体" w:cs="宋体"/>
                <w:b/>
                <w:bCs/>
                <w:color w:val="auto"/>
                <w:kern w:val="0"/>
                <w:sz w:val="36"/>
                <w:szCs w:val="36"/>
                <w:highlight w:val="none"/>
                <w:lang w:eastAsia="zh-CN" w:bidi="ar"/>
              </w:rPr>
            </w:pPr>
            <w:r>
              <w:rPr>
                <w:rFonts w:hint="eastAsia" w:ascii="宋体" w:hAnsi="宋体" w:cs="宋体"/>
                <w:b/>
                <w:bCs/>
                <w:color w:val="auto"/>
                <w:kern w:val="0"/>
                <w:sz w:val="36"/>
                <w:szCs w:val="36"/>
                <w:highlight w:val="none"/>
                <w:lang w:bidi="ar"/>
              </w:rPr>
              <w:t>项目绩效目标完成情况表</w:t>
            </w:r>
          </w:p>
          <w:p w14:paraId="3DCC615A">
            <w:pPr>
              <w:widowControl/>
              <w:jc w:val="center"/>
              <w:textAlignment w:val="center"/>
              <w:rPr>
                <w:rFonts w:ascii="宋体" w:hAnsi="Times New Roman" w:cs="宋体"/>
                <w:color w:val="auto"/>
                <w:sz w:val="36"/>
                <w:szCs w:val="36"/>
                <w:highlight w:val="none"/>
              </w:rPr>
            </w:pPr>
            <w:r>
              <w:rPr>
                <w:rFonts w:ascii="宋体" w:hAnsi="宋体" w:cs="宋体"/>
                <w:color w:val="auto"/>
                <w:kern w:val="0"/>
                <w:sz w:val="36"/>
                <w:szCs w:val="36"/>
                <w:highlight w:val="none"/>
                <w:lang w:bidi="ar"/>
              </w:rPr>
              <w:t>(2020</w:t>
            </w:r>
            <w:r>
              <w:rPr>
                <w:rFonts w:hint="eastAsia" w:ascii="宋体" w:hAnsi="宋体" w:cs="宋体"/>
                <w:color w:val="auto"/>
                <w:kern w:val="0"/>
                <w:sz w:val="36"/>
                <w:szCs w:val="36"/>
                <w:highlight w:val="none"/>
                <w:lang w:bidi="ar"/>
              </w:rPr>
              <w:t>年度</w:t>
            </w:r>
            <w:r>
              <w:rPr>
                <w:rFonts w:ascii="宋体" w:hAnsi="宋体" w:cs="宋体"/>
                <w:color w:val="auto"/>
                <w:kern w:val="0"/>
                <w:sz w:val="36"/>
                <w:szCs w:val="36"/>
                <w:highlight w:val="none"/>
                <w:lang w:bidi="ar"/>
              </w:rPr>
              <w:t>)</w:t>
            </w:r>
          </w:p>
        </w:tc>
      </w:tr>
      <w:tr w14:paraId="7ACE3B80">
        <w:tblPrEx>
          <w:tblCellMar>
            <w:top w:w="0" w:type="dxa"/>
            <w:left w:w="0" w:type="dxa"/>
            <w:bottom w:w="0" w:type="dxa"/>
            <w:right w:w="0" w:type="dxa"/>
          </w:tblCellMar>
        </w:tblPrEx>
        <w:trPr>
          <w:trHeight w:val="476"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E0F53">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项目名称</w:t>
            </w:r>
          </w:p>
        </w:tc>
        <w:tc>
          <w:tcPr>
            <w:tcW w:w="5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74D44">
            <w:pPr>
              <w:widowControl/>
              <w:jc w:val="center"/>
              <w:textAlignment w:val="center"/>
              <w:rPr>
                <w:rFonts w:ascii="宋体" w:hAnsi="Times New Roman" w:cs="宋体"/>
                <w:color w:val="auto"/>
                <w:sz w:val="24"/>
                <w:highlight w:val="none"/>
              </w:rPr>
            </w:pPr>
          </w:p>
        </w:tc>
      </w:tr>
      <w:tr w14:paraId="3D06AFC9">
        <w:tblPrEx>
          <w:tblCellMar>
            <w:top w:w="0" w:type="dxa"/>
            <w:left w:w="0" w:type="dxa"/>
            <w:bottom w:w="0" w:type="dxa"/>
            <w:right w:w="0" w:type="dxa"/>
          </w:tblCellMar>
        </w:tblPrEx>
        <w:trPr>
          <w:trHeight w:val="476"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9AA04">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预算单位</w:t>
            </w:r>
          </w:p>
        </w:tc>
        <w:tc>
          <w:tcPr>
            <w:tcW w:w="5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EEBC4">
            <w:pPr>
              <w:widowControl/>
              <w:jc w:val="center"/>
              <w:textAlignment w:val="center"/>
              <w:rPr>
                <w:rFonts w:ascii="宋体" w:hAnsi="Times New Roman" w:cs="宋体"/>
                <w:color w:val="auto"/>
                <w:sz w:val="24"/>
                <w:highlight w:val="none"/>
              </w:rPr>
            </w:pPr>
          </w:p>
        </w:tc>
      </w:tr>
      <w:tr w14:paraId="3292F720">
        <w:tblPrEx>
          <w:tblCellMar>
            <w:top w:w="0" w:type="dxa"/>
            <w:left w:w="0" w:type="dxa"/>
            <w:bottom w:w="0" w:type="dxa"/>
            <w:right w:w="0" w:type="dxa"/>
          </w:tblCellMar>
        </w:tblPrEx>
        <w:trPr>
          <w:trHeight w:val="476"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CF6EC">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预算执行情况</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万元</w:t>
            </w:r>
            <w:r>
              <w:rPr>
                <w:rFonts w:ascii="宋体" w:hAnsi="宋体" w:cs="宋体"/>
                <w:color w:val="auto"/>
                <w:kern w:val="0"/>
                <w:sz w:val="24"/>
                <w:highlight w:val="none"/>
                <w:lang w:bidi="ar"/>
              </w:rPr>
              <w:t>)</w:t>
            </w: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C9A58">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预算数</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EDCA2">
            <w:pPr>
              <w:widowControl/>
              <w:jc w:val="center"/>
              <w:textAlignment w:val="center"/>
              <w:rPr>
                <w:rFonts w:ascii="宋体" w:hAnsi="Times New Roman"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75853">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执行数</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1F0A9">
            <w:pPr>
              <w:widowControl/>
              <w:jc w:val="center"/>
              <w:textAlignment w:val="center"/>
              <w:rPr>
                <w:rFonts w:ascii="宋体" w:hAnsi="Times New Roman" w:cs="宋体"/>
                <w:color w:val="auto"/>
                <w:sz w:val="24"/>
                <w:highlight w:val="none"/>
              </w:rPr>
            </w:pPr>
          </w:p>
        </w:tc>
      </w:tr>
      <w:tr w14:paraId="68A78124">
        <w:tblPrEx>
          <w:tblCellMar>
            <w:top w:w="0" w:type="dxa"/>
            <w:left w:w="0" w:type="dxa"/>
            <w:bottom w:w="0" w:type="dxa"/>
            <w:right w:w="0" w:type="dxa"/>
          </w:tblCellMar>
        </w:tblPrEx>
        <w:trPr>
          <w:trHeight w:val="476"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B73AA">
            <w:pPr>
              <w:jc w:val="center"/>
              <w:rPr>
                <w:rFonts w:ascii="宋体" w:hAnsi="Times New Roman" w:cs="宋体"/>
                <w:color w:val="auto"/>
                <w:sz w:val="24"/>
                <w:highlight w:val="none"/>
              </w:rPr>
            </w:pP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7854B">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其中</w:t>
            </w:r>
            <w:r>
              <w:rPr>
                <w:rFonts w:ascii="宋体" w:hAnsi="Times New Roman"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AD837">
            <w:pPr>
              <w:widowControl/>
              <w:jc w:val="center"/>
              <w:textAlignment w:val="center"/>
              <w:rPr>
                <w:rFonts w:ascii="宋体" w:hAnsi="Times New Roman"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07EFC">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其中</w:t>
            </w:r>
            <w:r>
              <w:rPr>
                <w:rFonts w:ascii="宋体" w:hAnsi="Times New Roman"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ADA7C">
            <w:pPr>
              <w:widowControl/>
              <w:jc w:val="center"/>
              <w:textAlignment w:val="center"/>
              <w:rPr>
                <w:rFonts w:ascii="宋体" w:hAnsi="Times New Roman" w:cs="宋体"/>
                <w:color w:val="auto"/>
                <w:sz w:val="24"/>
                <w:highlight w:val="none"/>
              </w:rPr>
            </w:pPr>
          </w:p>
        </w:tc>
      </w:tr>
      <w:tr w14:paraId="4D7CD9C4">
        <w:tblPrEx>
          <w:tblCellMar>
            <w:top w:w="0" w:type="dxa"/>
            <w:left w:w="0" w:type="dxa"/>
            <w:bottom w:w="0" w:type="dxa"/>
            <w:right w:w="0" w:type="dxa"/>
          </w:tblCellMar>
        </w:tblPrEx>
        <w:trPr>
          <w:trHeight w:val="1155"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973BB">
            <w:pPr>
              <w:jc w:val="center"/>
              <w:rPr>
                <w:rFonts w:ascii="宋体" w:hAnsi="Times New Roman" w:cs="宋体"/>
                <w:color w:val="auto"/>
                <w:sz w:val="24"/>
                <w:highlight w:val="none"/>
              </w:rPr>
            </w:pP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A73F0">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309D4">
            <w:pPr>
              <w:widowControl/>
              <w:jc w:val="center"/>
              <w:textAlignment w:val="center"/>
              <w:rPr>
                <w:rFonts w:ascii="宋体" w:hAnsi="Times New Roman"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018CD">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2E422">
            <w:pPr>
              <w:jc w:val="center"/>
              <w:rPr>
                <w:rFonts w:ascii="宋体" w:hAnsi="Times New Roman" w:cs="宋体"/>
                <w:color w:val="auto"/>
                <w:sz w:val="24"/>
                <w:highlight w:val="none"/>
              </w:rPr>
            </w:pPr>
          </w:p>
        </w:tc>
      </w:tr>
      <w:tr w14:paraId="34B107B8">
        <w:tblPrEx>
          <w:tblCellMar>
            <w:top w:w="0" w:type="dxa"/>
            <w:left w:w="0" w:type="dxa"/>
            <w:bottom w:w="0" w:type="dxa"/>
            <w:right w:w="0" w:type="dxa"/>
          </w:tblCellMar>
        </w:tblPrEx>
        <w:trPr>
          <w:trHeight w:val="476"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3A0F5">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年度目标完成情况</w:t>
            </w:r>
          </w:p>
        </w:tc>
        <w:tc>
          <w:tcPr>
            <w:tcW w:w="36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89E9A">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预期目标</w:t>
            </w:r>
          </w:p>
        </w:tc>
        <w:tc>
          <w:tcPr>
            <w:tcW w:w="36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EA63B">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实际完成目标</w:t>
            </w:r>
          </w:p>
        </w:tc>
      </w:tr>
      <w:tr w14:paraId="609368C6">
        <w:tblPrEx>
          <w:tblCellMar>
            <w:top w:w="0" w:type="dxa"/>
            <w:left w:w="0" w:type="dxa"/>
            <w:bottom w:w="0" w:type="dxa"/>
            <w:right w:w="0" w:type="dxa"/>
          </w:tblCellMar>
        </w:tblPrEx>
        <w:trPr>
          <w:trHeight w:val="1185"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B11CA">
            <w:pPr>
              <w:jc w:val="center"/>
              <w:rPr>
                <w:rFonts w:ascii="宋体" w:hAnsi="Times New Roman" w:cs="宋体"/>
                <w:color w:val="auto"/>
                <w:sz w:val="24"/>
                <w:highlight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6D33C">
            <w:pPr>
              <w:widowControl/>
              <w:jc w:val="center"/>
              <w:textAlignment w:val="center"/>
              <w:rPr>
                <w:rFonts w:ascii="宋体" w:hAnsi="Times New Roman" w:cs="宋体"/>
                <w:color w:val="auto"/>
                <w:sz w:val="24"/>
                <w:highlight w:val="none"/>
              </w:rPr>
            </w:pPr>
          </w:p>
        </w:tc>
        <w:tc>
          <w:tcPr>
            <w:tcW w:w="36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7E4FA">
            <w:pPr>
              <w:widowControl/>
              <w:jc w:val="center"/>
              <w:textAlignment w:val="center"/>
              <w:rPr>
                <w:rFonts w:ascii="宋体" w:hAnsi="Times New Roman" w:cs="宋体"/>
                <w:color w:val="auto"/>
                <w:sz w:val="24"/>
                <w:highlight w:val="none"/>
              </w:rPr>
            </w:pPr>
          </w:p>
        </w:tc>
      </w:tr>
      <w:tr w14:paraId="128EDD3C">
        <w:tblPrEx>
          <w:tblCellMar>
            <w:top w:w="0" w:type="dxa"/>
            <w:left w:w="0" w:type="dxa"/>
            <w:bottom w:w="0" w:type="dxa"/>
            <w:right w:w="0" w:type="dxa"/>
          </w:tblCellMar>
        </w:tblPrEx>
        <w:trPr>
          <w:trHeight w:val="1214" w:hRule="atLeast"/>
          <w:jc w:val="center"/>
        </w:trPr>
        <w:tc>
          <w:tcPr>
            <w:tcW w:w="57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DE44421">
            <w:pPr>
              <w:widowControl/>
              <w:jc w:val="center"/>
              <w:textAlignment w:val="center"/>
              <w:rPr>
                <w:rFonts w:ascii="宋体" w:hAnsi="Times New Roman" w:cs="宋体"/>
                <w:color w:val="auto"/>
                <w:sz w:val="24"/>
                <w:highlight w:val="none"/>
              </w:rPr>
            </w:pPr>
            <w:r>
              <w:rPr>
                <w:rFonts w:hint="eastAsia" w:ascii="宋体" w:hAnsi="宋体" w:cs="宋体"/>
                <w:color w:val="auto"/>
                <w:sz w:val="24"/>
                <w:highlight w:val="none"/>
              </w:rPr>
              <w:t>绩效指标完成情况</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2074E">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一级指标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316CA">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二级指标</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C584D">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三级指标</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CD558">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预期指标值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594D1">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实际完成指标值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r>
      <w:tr w14:paraId="2420C383">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2533EACB">
            <w:pPr>
              <w:widowControl/>
              <w:jc w:val="center"/>
              <w:textAlignment w:val="center"/>
              <w:rPr>
                <w:rFonts w:ascii="宋体" w:hAnsi="Times New Roman"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B5E87">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C2058">
            <w:pPr>
              <w:widowControl/>
              <w:jc w:val="center"/>
              <w:textAlignment w:val="center"/>
              <w:rPr>
                <w:rFonts w:ascii="宋体" w:hAnsi="Times New Roman"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A5859">
            <w:pPr>
              <w:widowControl/>
              <w:jc w:val="center"/>
              <w:textAlignment w:val="center"/>
              <w:rPr>
                <w:rFonts w:ascii="宋体" w:hAnsi="Times New Roman"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E4029">
            <w:pPr>
              <w:widowControl/>
              <w:jc w:val="center"/>
              <w:textAlignment w:val="center"/>
              <w:rPr>
                <w:rFonts w:ascii="宋体" w:hAnsi="Times New Roman"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80720">
            <w:pPr>
              <w:widowControl/>
              <w:jc w:val="center"/>
              <w:textAlignment w:val="center"/>
              <w:rPr>
                <w:rFonts w:ascii="宋体" w:hAnsi="Times New Roman" w:cs="宋体"/>
                <w:color w:val="auto"/>
                <w:sz w:val="24"/>
                <w:highlight w:val="none"/>
              </w:rPr>
            </w:pPr>
          </w:p>
        </w:tc>
      </w:tr>
      <w:tr w14:paraId="5275B62E">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0C12CE29">
            <w:pPr>
              <w:widowControl/>
              <w:jc w:val="center"/>
              <w:textAlignment w:val="center"/>
              <w:rPr>
                <w:rFonts w:ascii="宋体" w:hAnsi="Times New Roman"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AC8BA">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741D7">
            <w:pPr>
              <w:widowControl/>
              <w:jc w:val="center"/>
              <w:textAlignment w:val="center"/>
              <w:rPr>
                <w:rFonts w:ascii="宋体" w:hAnsi="Times New Roman"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FB2D6">
            <w:pPr>
              <w:widowControl/>
              <w:jc w:val="center"/>
              <w:textAlignment w:val="center"/>
              <w:rPr>
                <w:rFonts w:ascii="宋体" w:hAnsi="Times New Roman"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E1E6A">
            <w:pPr>
              <w:widowControl/>
              <w:jc w:val="center"/>
              <w:textAlignment w:val="center"/>
              <w:rPr>
                <w:rFonts w:ascii="宋体" w:hAnsi="Times New Roman"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A4CEC">
            <w:pPr>
              <w:widowControl/>
              <w:jc w:val="center"/>
              <w:textAlignment w:val="center"/>
              <w:rPr>
                <w:rFonts w:ascii="宋体" w:hAnsi="Times New Roman" w:cs="宋体"/>
                <w:color w:val="auto"/>
                <w:sz w:val="24"/>
                <w:highlight w:val="none"/>
              </w:rPr>
            </w:pPr>
          </w:p>
        </w:tc>
      </w:tr>
      <w:tr w14:paraId="4941A925">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176C6519">
            <w:pPr>
              <w:widowControl/>
              <w:jc w:val="center"/>
              <w:textAlignment w:val="center"/>
              <w:rPr>
                <w:rFonts w:ascii="宋体" w:hAnsi="Times New Roman"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D4F2B">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4B8F7">
            <w:pPr>
              <w:widowControl/>
              <w:jc w:val="center"/>
              <w:textAlignment w:val="center"/>
              <w:rPr>
                <w:rFonts w:ascii="宋体" w:hAnsi="Times New Roman"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2CBA9">
            <w:pPr>
              <w:widowControl/>
              <w:jc w:val="center"/>
              <w:textAlignment w:val="center"/>
              <w:rPr>
                <w:rFonts w:ascii="宋体" w:hAnsi="Times New Roman"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48900">
            <w:pPr>
              <w:widowControl/>
              <w:jc w:val="center"/>
              <w:textAlignment w:val="center"/>
              <w:rPr>
                <w:rFonts w:ascii="宋体" w:hAnsi="Times New Roman"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A95DC">
            <w:pPr>
              <w:widowControl/>
              <w:jc w:val="center"/>
              <w:textAlignment w:val="center"/>
              <w:rPr>
                <w:rFonts w:ascii="宋体" w:hAnsi="Times New Roman" w:cs="宋体"/>
                <w:color w:val="auto"/>
                <w:sz w:val="24"/>
                <w:highlight w:val="none"/>
              </w:rPr>
            </w:pPr>
          </w:p>
        </w:tc>
      </w:tr>
      <w:tr w14:paraId="047A5344">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7FEAA2F2">
            <w:pPr>
              <w:widowControl/>
              <w:jc w:val="center"/>
              <w:textAlignment w:val="center"/>
              <w:rPr>
                <w:rFonts w:ascii="宋体" w:hAnsi="Times New Roman"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02712">
            <w:pPr>
              <w:widowControl/>
              <w:jc w:val="center"/>
              <w:textAlignment w:val="center"/>
              <w:rPr>
                <w:rFonts w:ascii="宋体" w:hAnsi="Times New Roman"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A3DCA">
            <w:pPr>
              <w:widowControl/>
              <w:jc w:val="center"/>
              <w:textAlignment w:val="center"/>
              <w:rPr>
                <w:rFonts w:ascii="宋体" w:hAnsi="Times New Roman"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34BB4">
            <w:pPr>
              <w:widowControl/>
              <w:jc w:val="center"/>
              <w:textAlignment w:val="center"/>
              <w:rPr>
                <w:rFonts w:ascii="宋体" w:hAnsi="Times New Roman"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81A59">
            <w:pPr>
              <w:widowControl/>
              <w:jc w:val="center"/>
              <w:textAlignment w:val="center"/>
              <w:rPr>
                <w:rFonts w:ascii="宋体" w:hAnsi="Times New Roman"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24490">
            <w:pPr>
              <w:widowControl/>
              <w:jc w:val="center"/>
              <w:textAlignment w:val="center"/>
              <w:rPr>
                <w:rFonts w:ascii="宋体" w:hAnsi="Times New Roman" w:cs="宋体"/>
                <w:color w:val="auto"/>
                <w:sz w:val="24"/>
                <w:highlight w:val="none"/>
              </w:rPr>
            </w:pPr>
          </w:p>
        </w:tc>
      </w:tr>
      <w:tr w14:paraId="32E32672">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2DAA14F2">
            <w:pPr>
              <w:widowControl/>
              <w:jc w:val="center"/>
              <w:textAlignment w:val="center"/>
              <w:rPr>
                <w:rFonts w:ascii="宋体" w:hAnsi="Times New Roman"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0F7F2">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B40FF">
            <w:pPr>
              <w:widowControl/>
              <w:jc w:val="center"/>
              <w:textAlignment w:val="center"/>
              <w:rPr>
                <w:rFonts w:ascii="宋体" w:hAnsi="Times New Roman"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E9091">
            <w:pPr>
              <w:widowControl/>
              <w:jc w:val="center"/>
              <w:textAlignment w:val="center"/>
              <w:rPr>
                <w:rFonts w:ascii="宋体" w:hAnsi="Times New Roman"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6AB4D">
            <w:pPr>
              <w:widowControl/>
              <w:jc w:val="center"/>
              <w:textAlignment w:val="center"/>
              <w:rPr>
                <w:rFonts w:ascii="宋体" w:hAnsi="Times New Roman"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DB804">
            <w:pPr>
              <w:widowControl/>
              <w:jc w:val="center"/>
              <w:textAlignment w:val="center"/>
              <w:rPr>
                <w:rFonts w:ascii="宋体" w:hAnsi="Times New Roman" w:cs="宋体"/>
                <w:color w:val="auto"/>
                <w:sz w:val="24"/>
                <w:highlight w:val="none"/>
              </w:rPr>
            </w:pPr>
          </w:p>
        </w:tc>
      </w:tr>
      <w:tr w14:paraId="42AF0BCA">
        <w:tblPrEx>
          <w:tblCellMar>
            <w:top w:w="0" w:type="dxa"/>
            <w:left w:w="0" w:type="dxa"/>
            <w:bottom w:w="0" w:type="dxa"/>
            <w:right w:w="0" w:type="dxa"/>
          </w:tblCellMar>
        </w:tblPrEx>
        <w:trPr>
          <w:trHeight w:val="476"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524BEE9C">
            <w:pPr>
              <w:widowControl/>
              <w:jc w:val="center"/>
              <w:textAlignment w:val="center"/>
              <w:rPr>
                <w:rFonts w:ascii="宋体" w:hAnsi="Times New Roman"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9DCCB">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效益指标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FF792">
            <w:pPr>
              <w:widowControl/>
              <w:jc w:val="center"/>
              <w:textAlignment w:val="center"/>
              <w:rPr>
                <w:rFonts w:ascii="宋体" w:hAnsi="Times New Roman"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9C76E">
            <w:pPr>
              <w:widowControl/>
              <w:jc w:val="center"/>
              <w:textAlignment w:val="center"/>
              <w:rPr>
                <w:rFonts w:ascii="宋体" w:hAnsi="Times New Roman"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82B96">
            <w:pPr>
              <w:widowControl/>
              <w:jc w:val="center"/>
              <w:textAlignment w:val="center"/>
              <w:rPr>
                <w:rFonts w:ascii="宋体" w:hAnsi="Times New Roman"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94149">
            <w:pPr>
              <w:widowControl/>
              <w:jc w:val="center"/>
              <w:textAlignment w:val="center"/>
              <w:rPr>
                <w:rFonts w:ascii="宋体" w:hAnsi="Times New Roman" w:cs="宋体"/>
                <w:color w:val="auto"/>
                <w:sz w:val="24"/>
                <w:highlight w:val="none"/>
              </w:rPr>
            </w:pPr>
          </w:p>
        </w:tc>
      </w:tr>
      <w:tr w14:paraId="61A7D425">
        <w:tblPrEx>
          <w:tblCellMar>
            <w:top w:w="0" w:type="dxa"/>
            <w:left w:w="0" w:type="dxa"/>
            <w:bottom w:w="0" w:type="dxa"/>
            <w:right w:w="0" w:type="dxa"/>
          </w:tblCellMar>
        </w:tblPrEx>
        <w:trPr>
          <w:trHeight w:val="476"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7680D0E1">
            <w:pPr>
              <w:widowControl/>
              <w:jc w:val="center"/>
              <w:textAlignment w:val="center"/>
              <w:rPr>
                <w:rFonts w:ascii="宋体" w:hAnsi="Times New Roman"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3E49F">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效益指标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0110C">
            <w:pPr>
              <w:widowControl/>
              <w:jc w:val="center"/>
              <w:textAlignment w:val="center"/>
              <w:rPr>
                <w:rFonts w:ascii="宋体" w:hAnsi="Times New Roman"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F643E">
            <w:pPr>
              <w:widowControl/>
              <w:jc w:val="center"/>
              <w:textAlignment w:val="center"/>
              <w:rPr>
                <w:rFonts w:ascii="宋体" w:hAnsi="Times New Roman"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3A605">
            <w:pPr>
              <w:widowControl/>
              <w:jc w:val="center"/>
              <w:textAlignment w:val="center"/>
              <w:rPr>
                <w:rFonts w:ascii="宋体" w:hAnsi="Times New Roman"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5CCD3">
            <w:pPr>
              <w:widowControl/>
              <w:jc w:val="center"/>
              <w:textAlignment w:val="center"/>
              <w:rPr>
                <w:rFonts w:ascii="宋体" w:hAnsi="Times New Roman" w:cs="宋体"/>
                <w:color w:val="auto"/>
                <w:sz w:val="24"/>
                <w:highlight w:val="none"/>
              </w:rPr>
            </w:pPr>
          </w:p>
        </w:tc>
      </w:tr>
      <w:tr w14:paraId="64564E5E">
        <w:tblPrEx>
          <w:tblCellMar>
            <w:top w:w="0" w:type="dxa"/>
            <w:left w:w="0" w:type="dxa"/>
            <w:bottom w:w="0" w:type="dxa"/>
            <w:right w:w="0" w:type="dxa"/>
          </w:tblCellMar>
        </w:tblPrEx>
        <w:trPr>
          <w:trHeight w:val="804" w:hRule="atLeast"/>
          <w:jc w:val="center"/>
        </w:trPr>
        <w:tc>
          <w:tcPr>
            <w:tcW w:w="57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47938EB">
            <w:pPr>
              <w:widowControl/>
              <w:jc w:val="center"/>
              <w:textAlignment w:val="center"/>
              <w:rPr>
                <w:rFonts w:ascii="宋体" w:hAnsi="Times New Roman"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DBD89">
            <w:pPr>
              <w:widowControl/>
              <w:jc w:val="center"/>
              <w:textAlignment w:val="center"/>
              <w:rPr>
                <w:rFonts w:ascii="宋体" w:hAnsi="Times New Roman" w:cs="宋体"/>
                <w:color w:val="auto"/>
                <w:sz w:val="24"/>
                <w:highlight w:val="none"/>
              </w:rPr>
            </w:pPr>
            <w:r>
              <w:rPr>
                <w:rFonts w:hint="eastAsia" w:ascii="宋体" w:hAnsi="宋体" w:cs="宋体"/>
                <w:color w:val="auto"/>
                <w:kern w:val="0"/>
                <w:sz w:val="24"/>
                <w:highlight w:val="none"/>
                <w:lang w:bidi="ar"/>
              </w:rPr>
              <w:t>满意度指标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8C90B">
            <w:pPr>
              <w:widowControl/>
              <w:jc w:val="center"/>
              <w:textAlignment w:val="center"/>
              <w:rPr>
                <w:rFonts w:ascii="宋体" w:hAnsi="Times New Roman"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98A66">
            <w:pPr>
              <w:widowControl/>
              <w:jc w:val="center"/>
              <w:textAlignment w:val="center"/>
              <w:rPr>
                <w:rFonts w:ascii="宋体" w:hAnsi="Times New Roman"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FF2CC">
            <w:pPr>
              <w:widowControl/>
              <w:jc w:val="center"/>
              <w:textAlignment w:val="center"/>
              <w:rPr>
                <w:rFonts w:ascii="宋体" w:hAnsi="Times New Roman"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5CA67">
            <w:pPr>
              <w:widowControl/>
              <w:jc w:val="center"/>
              <w:textAlignment w:val="center"/>
              <w:rPr>
                <w:rFonts w:hint="eastAsia" w:ascii="宋体" w:hAnsi="Times New Roman" w:eastAsia="宋体" w:cs="宋体"/>
                <w:color w:val="auto"/>
                <w:sz w:val="24"/>
                <w:highlight w:val="none"/>
                <w:lang w:eastAsia="zh-CN"/>
              </w:rPr>
            </w:pPr>
            <w:r>
              <w:rPr>
                <w:rFonts w:hint="eastAsia" w:ascii="宋体" w:hAnsi="Times New Roman" w:cs="宋体"/>
                <w:color w:val="auto"/>
                <w:sz w:val="24"/>
                <w:highlight w:val="none"/>
                <w:lang w:eastAsia="zh-CN"/>
              </w:rPr>
              <w:t>此表无数据</w:t>
            </w:r>
          </w:p>
        </w:tc>
      </w:tr>
    </w:tbl>
    <w:p w14:paraId="4390611C">
      <w:pPr>
        <w:spacing w:line="580" w:lineRule="exact"/>
        <w:ind w:firstLine="640" w:firstLineChars="200"/>
        <w:rPr>
          <w:rFonts w:ascii="仿宋_GB2312" w:hAnsi="仿宋_GB2312" w:eastAsia="仿宋_GB2312" w:cs="仿宋_GB2312"/>
          <w:color w:val="auto"/>
          <w:sz w:val="32"/>
          <w:szCs w:val="32"/>
          <w:highlight w:val="none"/>
        </w:rPr>
      </w:pPr>
      <w:r>
        <w:rPr>
          <w:rFonts w:ascii="楷体_GB2312" w:hAnsi="楷体_GB2312" w:eastAsia="楷体_GB2312" w:cs="楷体_GB2312"/>
          <w:color w:val="auto"/>
          <w:sz w:val="32"/>
          <w:szCs w:val="32"/>
          <w:highlight w:val="none"/>
        </w:rPr>
        <w:t>2.</w:t>
      </w:r>
      <w:r>
        <w:rPr>
          <w:rFonts w:hint="eastAsia" w:ascii="楷体_GB2312" w:hAnsi="楷体_GB2312" w:eastAsia="楷体_GB2312" w:cs="楷体_GB2312"/>
          <w:color w:val="auto"/>
          <w:sz w:val="32"/>
          <w:szCs w:val="32"/>
          <w:highlight w:val="none"/>
        </w:rPr>
        <w:t>部门绩效评价结果。</w:t>
      </w:r>
    </w:p>
    <w:p w14:paraId="4AE6C387">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年部门整体支出绩效评价情况开展自评，《</w:t>
      </w:r>
      <w:r>
        <w:rPr>
          <w:rFonts w:hint="eastAsia" w:ascii="仿宋_GB2312" w:hAnsi="仿宋_GB2312" w:eastAsia="仿宋_GB2312" w:cs="仿宋_GB2312"/>
          <w:color w:val="auto"/>
          <w:sz w:val="32"/>
          <w:szCs w:val="32"/>
          <w:highlight w:val="none"/>
          <w:lang w:val="en-US" w:eastAsia="zh-CN"/>
        </w:rPr>
        <w:t>广元市昭化区虎跳镇小学</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年部门整体支出绩效评价报告》见附件（附件</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w:t>
      </w:r>
    </w:p>
    <w:p w14:paraId="0F0D7330">
      <w:pPr>
        <w:spacing w:line="58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r>
        <w:rPr>
          <w:rFonts w:hint="eastAsia" w:ascii="仿宋_GB2312" w:hAnsi="仿宋_GB2312" w:eastAsia="仿宋_GB2312" w:cs="仿宋_GB2312"/>
          <w:color w:val="auto"/>
          <w:sz w:val="32"/>
          <w:szCs w:val="32"/>
          <w:highlight w:val="none"/>
        </w:rPr>
        <w:t>《项目</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年绩效评价报告》见附件（附件</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w:t>
      </w:r>
    </w:p>
    <w:p w14:paraId="5F2BD921">
      <w:pPr>
        <w:pStyle w:val="2"/>
        <w:rPr>
          <w:rFonts w:hint="eastAsia"/>
        </w:rPr>
      </w:pPr>
    </w:p>
    <w:p w14:paraId="27C14294">
      <w:pPr>
        <w:rPr>
          <w:rFonts w:hint="eastAsia"/>
        </w:rPr>
      </w:pPr>
    </w:p>
    <w:p w14:paraId="0246A3D0">
      <w:pPr>
        <w:pStyle w:val="2"/>
        <w:rPr>
          <w:rFonts w:hint="eastAsia"/>
        </w:rPr>
      </w:pPr>
    </w:p>
    <w:p w14:paraId="128FB617">
      <w:pPr>
        <w:rPr>
          <w:rFonts w:hint="eastAsia"/>
        </w:rPr>
      </w:pPr>
    </w:p>
    <w:p w14:paraId="442F65C8">
      <w:pPr>
        <w:pStyle w:val="2"/>
        <w:rPr>
          <w:rFonts w:hint="eastAsia"/>
        </w:rPr>
      </w:pPr>
    </w:p>
    <w:p w14:paraId="13E65F0A">
      <w:pPr>
        <w:rPr>
          <w:rFonts w:hint="eastAsia"/>
        </w:rPr>
      </w:pPr>
    </w:p>
    <w:p w14:paraId="2054D08B">
      <w:pPr>
        <w:pStyle w:val="2"/>
        <w:rPr>
          <w:rFonts w:hint="eastAsia"/>
        </w:rPr>
      </w:pPr>
    </w:p>
    <w:p w14:paraId="13C61DD6">
      <w:pPr>
        <w:rPr>
          <w:rFonts w:hint="eastAsia"/>
        </w:rPr>
      </w:pPr>
    </w:p>
    <w:p w14:paraId="0EE98698">
      <w:pPr>
        <w:pStyle w:val="2"/>
        <w:rPr>
          <w:rFonts w:hint="eastAsia"/>
        </w:rPr>
      </w:pPr>
    </w:p>
    <w:p w14:paraId="7EB003B0">
      <w:pPr>
        <w:rPr>
          <w:rFonts w:hint="eastAsia"/>
        </w:rPr>
      </w:pPr>
    </w:p>
    <w:p w14:paraId="2364437E">
      <w:pPr>
        <w:pStyle w:val="2"/>
        <w:rPr>
          <w:rFonts w:hint="eastAsia"/>
        </w:rPr>
      </w:pPr>
    </w:p>
    <w:p w14:paraId="0B3DFDA2">
      <w:pPr>
        <w:rPr>
          <w:rFonts w:hint="eastAsia"/>
        </w:rPr>
      </w:pPr>
    </w:p>
    <w:p w14:paraId="4E711EDF">
      <w:pPr>
        <w:pStyle w:val="2"/>
        <w:rPr>
          <w:rFonts w:hint="eastAsia"/>
        </w:rPr>
      </w:pPr>
    </w:p>
    <w:p w14:paraId="1CA0B55D">
      <w:pPr>
        <w:rPr>
          <w:rFonts w:hint="eastAsia"/>
        </w:rPr>
      </w:pPr>
    </w:p>
    <w:p w14:paraId="29E3B207">
      <w:pPr>
        <w:numPr>
          <w:ilvl w:val="0"/>
          <w:numId w:val="6"/>
        </w:numPr>
        <w:wordWrap/>
        <w:snapToGrid/>
        <w:spacing w:line="240" w:lineRule="auto"/>
        <w:ind w:left="0" w:leftChars="0" w:right="0" w:firstLine="0" w:firstLineChars="0"/>
        <w:jc w:val="center"/>
        <w:outlineLvl w:val="0"/>
        <w:rPr>
          <w:rStyle w:val="36"/>
          <w:rFonts w:ascii="黑体" w:hAnsi="黑体" w:eastAsia="黑体"/>
          <w:b w:val="0"/>
        </w:rPr>
      </w:pPr>
      <w:bookmarkStart w:id="76" w:name="_Toc15396613"/>
      <w:bookmarkStart w:id="77" w:name="_Toc24233"/>
      <w:bookmarkStart w:id="78" w:name="_Toc15377225"/>
      <w:r>
        <w:rPr>
          <w:rFonts w:hint="eastAsia" w:ascii="黑体" w:hAnsi="黑体" w:eastAsia="黑体"/>
          <w:color w:val="000000"/>
          <w:sz w:val="44"/>
          <w:szCs w:val="44"/>
        </w:rPr>
        <w:t>名</w:t>
      </w:r>
      <w:r>
        <w:rPr>
          <w:rStyle w:val="36"/>
          <w:rFonts w:hint="eastAsia" w:ascii="黑体" w:hAnsi="黑体" w:eastAsia="黑体"/>
          <w:b w:val="0"/>
        </w:rPr>
        <w:t>词解释</w:t>
      </w:r>
      <w:bookmarkEnd w:id="76"/>
      <w:bookmarkEnd w:id="77"/>
      <w:bookmarkEnd w:id="78"/>
    </w:p>
    <w:p w14:paraId="05722189"/>
    <w:p w14:paraId="4750087F">
      <w:pPr>
        <w:wordWrap/>
        <w:snapToGrid/>
        <w:spacing w:line="240" w:lineRule="auto"/>
        <w:ind w:left="0" w:leftChars="0" w:right="0" w:firstLine="0" w:firstLineChars="0"/>
        <w:jc w:val="left"/>
        <w:rPr>
          <w:rFonts w:ascii="宋体"/>
          <w:b/>
          <w:color w:val="000000"/>
          <w:sz w:val="44"/>
          <w:szCs w:val="44"/>
        </w:rPr>
      </w:pPr>
    </w:p>
    <w:p w14:paraId="02AD4240">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2290B6A1">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58ADDBAF">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7453A5A7">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8A3798D">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14:paraId="7D88F14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val="en-US" w:eastAsia="zh-CN"/>
        </w:rPr>
        <w:t>205</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小学教育</w:t>
      </w:r>
      <w:r>
        <w:rPr>
          <w:rFonts w:hint="eastAsia" w:ascii="仿宋_GB2312" w:eastAsia="仿宋_GB2312"/>
          <w:color w:val="auto"/>
          <w:sz w:val="32"/>
          <w:szCs w:val="32"/>
          <w:highlight w:val="none"/>
        </w:rPr>
        <w:t>。</w:t>
      </w:r>
    </w:p>
    <w:p w14:paraId="5EA992CD">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7.其他支出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229</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60</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04：指用于教育事业的彩票公益金支出。</w:t>
      </w:r>
    </w:p>
    <w:p w14:paraId="0C8B64E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5C8D341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6BEE7397">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640" w:firstLineChars="200"/>
        <w:jc w:val="left"/>
        <w:textAlignment w:val="auto"/>
        <w:rPr>
          <w:rFonts w:hint="eastAsia" w:ascii="仿宋_GB2312" w:hAnsi="仿宋_GB2312" w:eastAsia="仿宋_GB2312" w:cs="仿宋_GB2312"/>
          <w:sz w:val="30"/>
          <w:szCs w:val="30"/>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“三公”经费：公务接待费反映单位按规定开支的各类公务接待（含外宾接待）支出。</w:t>
      </w:r>
    </w:p>
    <w:p w14:paraId="45F4FADF">
      <w:pPr>
        <w:wordWrap/>
        <w:snapToGrid/>
        <w:spacing w:line="240" w:lineRule="auto"/>
        <w:ind w:left="0" w:leftChars="0" w:right="0" w:firstLine="0" w:firstLineChars="0"/>
        <w:jc w:val="center"/>
        <w:outlineLvl w:val="0"/>
        <w:rPr>
          <w:rStyle w:val="36"/>
          <w:rFonts w:ascii="黑体" w:hAnsi="黑体" w:eastAsia="黑体"/>
          <w:b w:val="0"/>
        </w:rPr>
      </w:pPr>
      <w:bookmarkStart w:id="79" w:name="_Toc15377226"/>
      <w:r>
        <w:rPr>
          <w:rFonts w:ascii="宋体"/>
          <w:b/>
          <w:color w:val="000000"/>
          <w:sz w:val="44"/>
          <w:szCs w:val="44"/>
        </w:rPr>
        <w:br w:type="page"/>
      </w:r>
      <w:bookmarkStart w:id="80" w:name="_Toc4989"/>
      <w:bookmarkStart w:id="81" w:name="_Toc15396614"/>
      <w:r>
        <w:rPr>
          <w:rFonts w:hint="eastAsia" w:ascii="黑体" w:hAnsi="黑体" w:eastAsia="黑体"/>
          <w:color w:val="000000"/>
          <w:sz w:val="44"/>
          <w:szCs w:val="44"/>
        </w:rPr>
        <w:t>第</w:t>
      </w:r>
      <w:r>
        <w:rPr>
          <w:rStyle w:val="36"/>
          <w:rFonts w:hint="eastAsia" w:ascii="黑体" w:hAnsi="黑体" w:eastAsia="黑体"/>
          <w:b w:val="0"/>
        </w:rPr>
        <w:t>四部分 附件</w:t>
      </w:r>
      <w:bookmarkEnd w:id="80"/>
      <w:bookmarkEnd w:id="81"/>
    </w:p>
    <w:p w14:paraId="1B2EBE5C">
      <w:pPr>
        <w:wordWrap/>
        <w:snapToGrid/>
        <w:spacing w:line="240" w:lineRule="auto"/>
        <w:ind w:left="0" w:leftChars="0" w:right="0" w:firstLine="0" w:firstLineChars="0"/>
        <w:jc w:val="both"/>
        <w:outlineLvl w:val="9"/>
        <w:rPr>
          <w:rFonts w:hint="default" w:ascii="方正小标宋简体" w:hAnsi="宋体" w:eastAsia="方正小标宋简体"/>
          <w:color w:val="000000"/>
          <w:kern w:val="0"/>
          <w:sz w:val="32"/>
          <w:szCs w:val="36"/>
          <w:lang w:val="en-US" w:eastAsia="zh-CN"/>
        </w:rPr>
      </w:pPr>
      <w:r>
        <w:rPr>
          <w:rFonts w:hint="eastAsia" w:ascii="方正小标宋简体" w:hAnsi="宋体" w:eastAsia="方正小标宋简体"/>
          <w:color w:val="000000"/>
          <w:kern w:val="0"/>
          <w:sz w:val="32"/>
          <w:szCs w:val="36"/>
          <w:lang w:val="en-US" w:eastAsia="zh-CN"/>
        </w:rPr>
        <w:t>附件1</w:t>
      </w:r>
    </w:p>
    <w:p w14:paraId="48DC3D18">
      <w:pPr>
        <w:spacing w:line="600" w:lineRule="exact"/>
        <w:jc w:val="center"/>
        <w:rPr>
          <w:rFonts w:hint="eastAsia" w:ascii="方正小标宋简体" w:hAnsi="宋体" w:eastAsia="方正小标宋简体" w:cs="Times New Roman"/>
          <w:kern w:val="0"/>
          <w:sz w:val="40"/>
          <w:szCs w:val="44"/>
        </w:rPr>
      </w:pPr>
      <w:r>
        <w:rPr>
          <w:rFonts w:hint="eastAsia" w:ascii="方正小标宋简体" w:hAnsi="宋体" w:eastAsia="方正小标宋简体" w:cs="Times New Roman"/>
          <w:kern w:val="0"/>
          <w:sz w:val="40"/>
          <w:szCs w:val="44"/>
        </w:rPr>
        <w:t>广元市昭化区柏林沟镇小学</w:t>
      </w:r>
    </w:p>
    <w:p w14:paraId="0F049EC5">
      <w:pPr>
        <w:spacing w:line="600" w:lineRule="exact"/>
        <w:jc w:val="center"/>
        <w:rPr>
          <w:rFonts w:ascii="方正小标宋简体" w:hAnsi="宋体" w:eastAsia="方正小标宋简体" w:cs="Times New Roman"/>
          <w:kern w:val="0"/>
          <w:sz w:val="40"/>
          <w:szCs w:val="44"/>
          <w:lang w:val="zh-CN"/>
        </w:rPr>
      </w:pPr>
      <w:r>
        <w:rPr>
          <w:rFonts w:ascii="方正小标宋简体" w:hAnsi="宋体" w:eastAsia="方正小标宋简体" w:cs="Times New Roman"/>
          <w:kern w:val="0"/>
          <w:sz w:val="40"/>
          <w:szCs w:val="44"/>
        </w:rPr>
        <w:t>2020</w:t>
      </w:r>
      <w:r>
        <w:rPr>
          <w:rFonts w:hint="eastAsia" w:ascii="方正小标宋简体" w:hAnsi="宋体" w:eastAsia="方正小标宋简体" w:cs="Times New Roman"/>
          <w:kern w:val="0"/>
          <w:sz w:val="40"/>
          <w:szCs w:val="44"/>
        </w:rPr>
        <w:t>年单位</w:t>
      </w:r>
      <w:r>
        <w:rPr>
          <w:rFonts w:hint="eastAsia" w:ascii="方正小标宋简体" w:hAnsi="宋体" w:eastAsia="方正小标宋简体" w:cs="Times New Roman"/>
          <w:kern w:val="0"/>
          <w:sz w:val="40"/>
          <w:szCs w:val="44"/>
          <w:lang w:val="zh-CN"/>
        </w:rPr>
        <w:t>整体支出绩效评价报告</w:t>
      </w:r>
    </w:p>
    <w:p w14:paraId="75A4FF83">
      <w:pPr>
        <w:widowControl/>
        <w:adjustRightInd w:val="0"/>
        <w:snapToGrid w:val="0"/>
        <w:spacing w:line="580" w:lineRule="exact"/>
        <w:ind w:firstLine="480" w:firstLineChars="200"/>
        <w:contextualSpacing/>
        <w:jc w:val="left"/>
        <w:rPr>
          <w:rFonts w:ascii="黑体" w:hAnsi="宋体" w:eastAsia="黑体" w:cs="宋体"/>
          <w:kern w:val="0"/>
          <w:sz w:val="24"/>
          <w:szCs w:val="32"/>
          <w:shd w:val="clear" w:color="auto" w:fill="FFFFFF"/>
        </w:rPr>
      </w:pPr>
    </w:p>
    <w:p w14:paraId="054D759C">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单位（单位）概况</w:t>
      </w:r>
    </w:p>
    <w:p w14:paraId="25C368F3">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14:paraId="701F1B03">
      <w:pPr>
        <w:spacing w:line="560" w:lineRule="exact"/>
        <w:ind w:firstLine="800" w:firstLineChars="250"/>
        <w:rPr>
          <w:rFonts w:ascii="仿宋" w:hAnsi="仿宋" w:eastAsia="仿宋" w:cs="Times New Roman"/>
          <w:sz w:val="32"/>
          <w:szCs w:val="32"/>
        </w:rPr>
      </w:pPr>
      <w:r>
        <w:rPr>
          <w:rFonts w:hint="eastAsia" w:ascii="仿宋" w:hAnsi="仿宋" w:eastAsia="仿宋" w:cs="Times New Roman"/>
          <w:sz w:val="32"/>
          <w:szCs w:val="32"/>
        </w:rPr>
        <w:t>本单位为广元市昭化区教育局所属的二级预算单位，单位性质为财政补助事业单位。</w:t>
      </w:r>
    </w:p>
    <w:p w14:paraId="1E130A43">
      <w:pPr>
        <w:widowControl/>
        <w:numPr>
          <w:ilvl w:val="0"/>
          <w:numId w:val="7"/>
        </w:numPr>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机构职能。</w:t>
      </w:r>
    </w:p>
    <w:p w14:paraId="0B4B04AE">
      <w:pPr>
        <w:pStyle w:val="7"/>
        <w:adjustRightInd w:val="0"/>
        <w:spacing w:beforeLines="0" w:line="500" w:lineRule="exact"/>
        <w:ind w:firstLine="640" w:firstLineChars="200"/>
        <w:outlineLvl w:val="2"/>
        <w:rPr>
          <w:rFonts w:ascii="Times New Roman" w:hAnsi="Times New Roman" w:cs="Times New Roman"/>
          <w:kern w:val="2"/>
          <w:sz w:val="32"/>
          <w:szCs w:val="32"/>
        </w:rPr>
      </w:pPr>
      <w:r>
        <w:rPr>
          <w:rFonts w:hint="eastAsia" w:ascii="Times New Roman" w:hAnsi="Times New Roman" w:cs="Times New Roman"/>
          <w:kern w:val="2"/>
          <w:sz w:val="32"/>
          <w:szCs w:val="32"/>
        </w:rPr>
        <w:t>1.贯彻党的教育方针，坚持社会主义办学方向，实行教育与生产劳动相结合，对学生进行德育、智育、体育、美育和劳动等方面的教育。</w:t>
      </w:r>
    </w:p>
    <w:p w14:paraId="6E9B75E4">
      <w:pPr>
        <w:pStyle w:val="7"/>
        <w:adjustRightInd w:val="0"/>
        <w:spacing w:beforeLines="0" w:line="500" w:lineRule="exact"/>
        <w:ind w:firstLine="640" w:firstLineChars="200"/>
        <w:outlineLvl w:val="2"/>
        <w:rPr>
          <w:rFonts w:hint="eastAsia" w:ascii="Times New Roman" w:hAnsi="Times New Roman" w:cs="Times New Roman"/>
          <w:kern w:val="2"/>
          <w:sz w:val="32"/>
          <w:szCs w:val="32"/>
        </w:rPr>
      </w:pPr>
      <w:r>
        <w:rPr>
          <w:rFonts w:hint="eastAsia" w:ascii="Times New Roman" w:hAnsi="Times New Roman" w:cs="Times New Roman"/>
          <w:kern w:val="2"/>
          <w:sz w:val="32"/>
          <w:szCs w:val="32"/>
        </w:rPr>
        <w:t>2.用科学的发展观指导教育教学工作。加强教育科研工作，推动校本教育的健康发展。加强教学管理，不断推进新课程改革，全面提高教学质量。</w:t>
      </w:r>
    </w:p>
    <w:p w14:paraId="2E3548D6">
      <w:pPr>
        <w:pStyle w:val="7"/>
        <w:adjustRightInd w:val="0"/>
        <w:spacing w:beforeLines="0" w:line="500" w:lineRule="exact"/>
        <w:ind w:firstLine="640" w:firstLineChars="200"/>
        <w:outlineLvl w:val="2"/>
        <w:rPr>
          <w:rFonts w:hint="eastAsia" w:ascii="Times New Roman" w:hAnsi="Times New Roman" w:cs="Times New Roman"/>
          <w:kern w:val="2"/>
          <w:sz w:val="32"/>
          <w:szCs w:val="32"/>
        </w:rPr>
      </w:pPr>
      <w:r>
        <w:rPr>
          <w:rFonts w:hint="eastAsia" w:ascii="Times New Roman" w:hAnsi="Times New Roman" w:cs="Times New Roman"/>
          <w:kern w:val="2"/>
          <w:sz w:val="32"/>
          <w:szCs w:val="32"/>
        </w:rPr>
        <w:t>3.依法动员、组织适龄儿童、少年入学，严格控制学生辍学，依法保证适龄儿童、少年接受九年义务教育。</w:t>
      </w:r>
    </w:p>
    <w:p w14:paraId="5544990D">
      <w:pPr>
        <w:pStyle w:val="7"/>
        <w:adjustRightInd w:val="0"/>
        <w:spacing w:beforeLines="0" w:line="500" w:lineRule="exact"/>
        <w:ind w:firstLine="640" w:firstLineChars="200"/>
        <w:outlineLvl w:val="2"/>
        <w:rPr>
          <w:rFonts w:hint="eastAsia" w:ascii="Times New Roman" w:hAnsi="Times New Roman" w:cs="Times New Roman"/>
          <w:kern w:val="2"/>
          <w:sz w:val="32"/>
          <w:szCs w:val="32"/>
        </w:rPr>
      </w:pPr>
      <w:r>
        <w:rPr>
          <w:rFonts w:hint="eastAsia" w:ascii="Times New Roman" w:hAnsi="Times New Roman" w:cs="Times New Roman"/>
          <w:kern w:val="2"/>
          <w:sz w:val="32"/>
          <w:szCs w:val="32"/>
        </w:rPr>
        <w:t>4.继续深化人事制度改革，完善学校内部管理，做好后勤保障工作。</w:t>
      </w:r>
    </w:p>
    <w:p w14:paraId="4C666FC8">
      <w:pPr>
        <w:pStyle w:val="7"/>
        <w:adjustRightInd w:val="0"/>
        <w:spacing w:beforeLines="0" w:line="500" w:lineRule="exact"/>
        <w:ind w:firstLine="640" w:firstLineChars="200"/>
        <w:outlineLvl w:val="2"/>
        <w:rPr>
          <w:rFonts w:hint="eastAsia" w:ascii="Times New Roman" w:hAnsi="Times New Roman" w:cs="Times New Roman"/>
          <w:kern w:val="2"/>
          <w:sz w:val="32"/>
          <w:szCs w:val="32"/>
        </w:rPr>
      </w:pPr>
      <w:r>
        <w:rPr>
          <w:rFonts w:hint="eastAsia" w:ascii="Times New Roman" w:hAnsi="Times New Roman" w:cs="Times New Roman"/>
          <w:kern w:val="2"/>
          <w:sz w:val="32"/>
          <w:szCs w:val="32"/>
        </w:rPr>
        <w:t>5.负责科学管理、合理使用学校的设施和经费，并积极筹措资金，改善办学条件。</w:t>
      </w:r>
    </w:p>
    <w:p w14:paraId="6F1938D6">
      <w:pPr>
        <w:pStyle w:val="7"/>
        <w:adjustRightInd w:val="0"/>
        <w:spacing w:beforeLines="0" w:line="500" w:lineRule="exact"/>
        <w:ind w:firstLine="640" w:firstLineChars="200"/>
        <w:outlineLvl w:val="2"/>
        <w:rPr>
          <w:rFonts w:hint="eastAsia" w:ascii="Times New Roman" w:hAnsi="Times New Roman" w:cs="Times New Roman"/>
          <w:kern w:val="2"/>
          <w:sz w:val="32"/>
          <w:szCs w:val="32"/>
        </w:rPr>
      </w:pPr>
      <w:r>
        <w:rPr>
          <w:rFonts w:hint="eastAsia" w:ascii="Times New Roman" w:hAnsi="Times New Roman" w:cs="Times New Roman"/>
          <w:kern w:val="2"/>
          <w:sz w:val="32"/>
          <w:szCs w:val="32"/>
        </w:rPr>
        <w:t>6.负责维护学校、师生的合法权益，有权拒绝任何组织和个人对教育教学活动进行非法干扰。</w:t>
      </w:r>
    </w:p>
    <w:p w14:paraId="20ECB3DB">
      <w:pPr>
        <w:pStyle w:val="7"/>
        <w:adjustRightInd w:val="0"/>
        <w:spacing w:beforeLines="0" w:line="500" w:lineRule="exact"/>
        <w:ind w:firstLine="640" w:firstLineChars="200"/>
        <w:outlineLvl w:val="2"/>
        <w:rPr>
          <w:rFonts w:hint="eastAsia" w:ascii="Times New Roman" w:hAnsi="Times New Roman" w:cs="Times New Roman"/>
          <w:kern w:val="2"/>
          <w:sz w:val="32"/>
          <w:szCs w:val="32"/>
        </w:rPr>
      </w:pPr>
      <w:r>
        <w:rPr>
          <w:rFonts w:hint="eastAsia" w:ascii="Times New Roman" w:hAnsi="Times New Roman" w:cs="Times New Roman"/>
          <w:kern w:val="2"/>
          <w:sz w:val="32"/>
          <w:szCs w:val="32"/>
        </w:rPr>
        <w:t>7.负责创建绿色校园、文明校园和平安校园。</w:t>
      </w:r>
    </w:p>
    <w:p w14:paraId="08D71582">
      <w:pPr>
        <w:pStyle w:val="7"/>
        <w:adjustRightInd w:val="0"/>
        <w:spacing w:beforeLines="0" w:line="500" w:lineRule="exact"/>
        <w:ind w:firstLine="640" w:firstLineChars="200"/>
        <w:outlineLvl w:val="2"/>
        <w:rPr>
          <w:rFonts w:ascii="Times New Roman" w:hAnsi="Times New Roman" w:cs="Times New Roman"/>
          <w:kern w:val="2"/>
          <w:sz w:val="32"/>
          <w:szCs w:val="32"/>
        </w:rPr>
      </w:pPr>
      <w:r>
        <w:rPr>
          <w:rFonts w:hint="eastAsia" w:ascii="Times New Roman" w:hAnsi="Times New Roman" w:cs="Times New Roman"/>
          <w:kern w:val="2"/>
          <w:sz w:val="32"/>
          <w:szCs w:val="32"/>
        </w:rPr>
        <w:t>8.负责关心教职工生活，发挥教代会职能作用。</w:t>
      </w:r>
    </w:p>
    <w:p w14:paraId="31ACE4F0">
      <w:pPr>
        <w:pStyle w:val="7"/>
        <w:adjustRightInd w:val="0"/>
        <w:spacing w:beforeLines="0" w:line="500" w:lineRule="exact"/>
        <w:ind w:firstLine="640" w:firstLineChars="200"/>
        <w:outlineLvl w:val="2"/>
        <w:rPr>
          <w:rFonts w:ascii="仿宋" w:hAnsi="仿宋" w:eastAsia="仿宋" w:cs="Times New Roman"/>
          <w:sz w:val="32"/>
          <w:szCs w:val="32"/>
        </w:rPr>
      </w:pPr>
      <w:r>
        <w:rPr>
          <w:rFonts w:hint="eastAsia" w:ascii="Times New Roman" w:hAnsi="Times New Roman" w:cs="Times New Roman"/>
          <w:kern w:val="2"/>
          <w:sz w:val="32"/>
          <w:szCs w:val="32"/>
        </w:rPr>
        <w:t>9.承办上级交办的其他事项</w:t>
      </w:r>
      <w:r>
        <w:rPr>
          <w:rFonts w:hint="eastAsia" w:ascii="仿宋" w:hAnsi="仿宋" w:eastAsia="仿宋" w:cs="Times New Roman"/>
          <w:sz w:val="32"/>
          <w:szCs w:val="32"/>
        </w:rPr>
        <w:t>。</w:t>
      </w:r>
    </w:p>
    <w:p w14:paraId="20263FF0">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（三）人员概况。</w:t>
      </w:r>
    </w:p>
    <w:p w14:paraId="269241D0">
      <w:pPr>
        <w:adjustRightInd w:val="0"/>
        <w:snapToGrid w:val="0"/>
        <w:spacing w:before="93" w:beforeLines="30" w:line="560" w:lineRule="exact"/>
        <w:ind w:firstLine="672" w:firstLineChars="210"/>
        <w:rPr>
          <w:rFonts w:hint="eastAsia" w:ascii="仿宋_GB2312" w:hAnsi="Times New Roman" w:eastAsia="仿宋_GB2312" w:cs="Times New Roman"/>
          <w:bCs/>
          <w:kern w:val="0"/>
          <w:sz w:val="32"/>
          <w:szCs w:val="32"/>
          <w:lang w:val="zh-CN"/>
        </w:rPr>
      </w:pPr>
      <w:r>
        <w:rPr>
          <w:rFonts w:hint="eastAsia" w:ascii="仿宋_GB2312" w:hAnsi="Times New Roman" w:eastAsia="仿宋_GB2312" w:cs="Times New Roman"/>
          <w:bCs/>
          <w:kern w:val="0"/>
          <w:sz w:val="32"/>
          <w:szCs w:val="32"/>
        </w:rPr>
        <w:t>2020年事业人员28人，其中：专业技术人员28人。</w:t>
      </w:r>
    </w:p>
    <w:p w14:paraId="41A87A08">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二、单位财政资金收支情况</w:t>
      </w:r>
    </w:p>
    <w:p w14:paraId="4DAF7485">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（一）单位财政资金收入情况。</w:t>
      </w:r>
    </w:p>
    <w:p w14:paraId="0E5FC0BF">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2020年收入729.3072万元，其中：一般公共预算财政拨款收入7,41.0162万元，政府性基金预算财政拨款</w:t>
      </w:r>
      <w:r>
        <w:rPr>
          <w:rFonts w:ascii="仿宋" w:hAnsi="仿宋" w:eastAsia="仿宋" w:cs="Times New Roman"/>
          <w:sz w:val="32"/>
          <w:szCs w:val="32"/>
        </w:rPr>
        <w:t>3</w:t>
      </w:r>
      <w:r>
        <w:rPr>
          <w:rFonts w:hint="eastAsia" w:ascii="仿宋" w:hAnsi="仿宋" w:eastAsia="仿宋" w:cs="Times New Roman"/>
          <w:sz w:val="32"/>
          <w:szCs w:val="32"/>
        </w:rPr>
        <w:t>万元。</w:t>
      </w:r>
    </w:p>
    <w:p w14:paraId="471A5C0E">
      <w:pPr>
        <w:widowControl/>
        <w:numPr>
          <w:ilvl w:val="0"/>
          <w:numId w:val="7"/>
        </w:numPr>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单位财政资金支出情况。</w:t>
      </w:r>
    </w:p>
    <w:p w14:paraId="1CADB5B5">
      <w:pPr>
        <w:spacing w:line="560" w:lineRule="exact"/>
        <w:ind w:firstLine="640" w:firstLineChars="200"/>
        <w:rPr>
          <w:rFonts w:ascii="Times New Roman" w:hAnsi="Times New Roman" w:eastAsia="宋体" w:cs="Times New Roman"/>
          <w:lang w:val="zh-CN"/>
        </w:rPr>
      </w:pPr>
      <w:r>
        <w:rPr>
          <w:rFonts w:hint="eastAsia" w:ascii="仿宋" w:hAnsi="仿宋" w:eastAsia="仿宋" w:cs="Times New Roman"/>
          <w:sz w:val="32"/>
          <w:szCs w:val="32"/>
        </w:rPr>
        <w:t>2020年支出744.0162万元，其中：基本支出531.0162万元，项目支出213万元。</w:t>
      </w:r>
    </w:p>
    <w:p w14:paraId="62481388">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三、单位整体预算绩效管理情况</w:t>
      </w:r>
    </w:p>
    <w:p w14:paraId="0A9CFD6C">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（一）单位预算管理。</w:t>
      </w:r>
    </w:p>
    <w:p w14:paraId="332D1FB3">
      <w:pPr>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本年度我校预算管理情况整体向好。首先，单位预算管理制度能得到有效执行，项目支出与基本支出符合国家财经法规、财务管理制度规定，符合预算批复的用途；其次，重大项目支出按规定流程评估论证；再者，各项支出和资金拨付有完整的审批程序和手续；最后，我校本年度资金使用过程中无截留、挤占、挪用、虚列支出等情况。单位内控制度完整包含了预算资金管理、内部财务管理、会计核算等方面。单位已按照规定时限和内容公开当年度预算信息；单位财务核算信息及预、决算编制所依据的会计基础信息准确、完善。</w:t>
      </w:r>
    </w:p>
    <w:p w14:paraId="1E11397F">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14:paraId="546A9C80">
      <w:pPr>
        <w:spacing w:line="580" w:lineRule="exact"/>
        <w:ind w:firstLine="640" w:firstLineChars="200"/>
        <w:rPr>
          <w:rFonts w:hint="eastAsia" w:ascii="仿宋_GB2312" w:hAnsi="宋体" w:eastAsia="仿宋_GB2312" w:cs="仿宋_GB2312"/>
          <w:sz w:val="32"/>
          <w:szCs w:val="32"/>
          <w:shd w:val="clear" w:color="080000" w:fill="FFFFFF"/>
        </w:rPr>
      </w:pPr>
      <w:r>
        <w:rPr>
          <w:rFonts w:hint="eastAsia" w:ascii="仿宋_GB2312" w:hAnsi="宋体" w:eastAsia="仿宋_GB2312" w:cs="仿宋_GB2312"/>
          <w:sz w:val="32"/>
          <w:szCs w:val="32"/>
          <w:shd w:val="clear" w:color="080000" w:fill="FFFFFF"/>
        </w:rPr>
        <w:t>评价结果作为改进预算管理和安排以后年度预算的重要依据。同时根据绩效自评情况，不断补充完善绩效评价指标。</w:t>
      </w:r>
    </w:p>
    <w:p w14:paraId="02F41897">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1BA4DCCD">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14:paraId="4C1A2597">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通过自评，我校大部分项目实际完成绩效值均已达到预期绩效指标，项目实施效果较为明显，不仅能达到预期要求，且提高了资金使用效益，但个别项目绩效指标仍有改善的空间。</w:t>
      </w:r>
    </w:p>
    <w:p w14:paraId="226D16DD">
      <w:pPr>
        <w:widowControl/>
        <w:numPr>
          <w:ilvl w:val="0"/>
          <w:numId w:val="8"/>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存</w:t>
      </w:r>
      <w:r>
        <w:rPr>
          <w:rFonts w:hint="eastAsia" w:ascii="仿宋_GB2312" w:hAnsi="宋体" w:eastAsia="仿宋_GB2312" w:cs="宋体"/>
          <w:color w:val="000000"/>
          <w:kern w:val="0"/>
          <w:sz w:val="32"/>
          <w:szCs w:val="32"/>
          <w:shd w:val="clear" w:color="auto" w:fill="FFFFFF"/>
          <w:lang w:val="zh-CN"/>
        </w:rPr>
        <w:t>在问题。</w:t>
      </w:r>
    </w:p>
    <w:p w14:paraId="3BDD5513">
      <w:pPr>
        <w:spacing w:line="56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从业人员业务素质有待进一步提高。由于预算绩效管理工作培训以往仅限于财务管理人员，且开展时间较短。具体项目预算编制人员多数为非财务人员，对预算绩效管理认识不到位、理解不充分，对预算绩效管理业务不了解、不熟悉，对工作重点把握不到位，对项目预算编制、执行、绩效评价工作还未摆脱财务考评影响。</w:t>
      </w:r>
    </w:p>
    <w:p w14:paraId="346AFFFA">
      <w:pPr>
        <w:spacing w:line="560" w:lineRule="exact"/>
        <w:ind w:firstLine="640" w:firstLineChars="200"/>
        <w:rPr>
          <w:rFonts w:ascii="Times New Roman" w:hAnsi="Times New Roman" w:eastAsia="宋体" w:cs="Times New Roman"/>
          <w:lang w:val="zh-CN"/>
        </w:rPr>
      </w:pPr>
      <w:r>
        <w:rPr>
          <w:rFonts w:hint="eastAsia" w:ascii="仿宋" w:hAnsi="仿宋" w:eastAsia="仿宋" w:cs="Times New Roman"/>
          <w:color w:val="000000"/>
          <w:sz w:val="32"/>
          <w:szCs w:val="32"/>
        </w:rPr>
        <w:t>2.预算绩效管理工作相对滞后。近年来实施财务精细化管理后，预算编制由财务工作者统筹，学校财务工作者除应对单位日常财务管理等工作外，无更多精力承担预算项目绩效管理培训、预算编制审核和预算管理绩效跟踪管理。</w:t>
      </w:r>
    </w:p>
    <w:p w14:paraId="79724D7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643F6A0E">
      <w:pPr>
        <w:spacing w:line="56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1.加强培训，扩大培训范围。由局计财股负责对学校预算编审人员进行再培训，进一步统一认识，充实业务知识，精准编制预算。</w:t>
      </w:r>
    </w:p>
    <w:p w14:paraId="73FA31C0">
      <w:pPr>
        <w:spacing w:line="560" w:lineRule="exact"/>
        <w:ind w:firstLine="640" w:firstLineChars="200"/>
        <w:rPr>
          <w:rFonts w:ascii="仿宋_GB2312" w:hAnsi="仿宋_GB2312" w:eastAsia="仿宋_GB2312" w:cs="仿宋_GB2312"/>
          <w:sz w:val="32"/>
          <w:szCs w:val="32"/>
        </w:rPr>
      </w:pPr>
      <w:r>
        <w:rPr>
          <w:rFonts w:hint="eastAsia" w:ascii="仿宋" w:hAnsi="仿宋" w:eastAsia="仿宋" w:cs="Times New Roman"/>
          <w:color w:val="000000"/>
          <w:sz w:val="32"/>
          <w:szCs w:val="32"/>
        </w:rPr>
        <w:t>2.督促预算项目负责人加强项目管理。在布置预算绩效管理工作时，相关负责人督促各项目负责人从预算编制开始，收集、汇总项目各个阶段的痕迹资料，做好项目档案管理，提醒和督促加快资金拨付和使用。</w:t>
      </w:r>
    </w:p>
    <w:p w14:paraId="0B0F45DB">
      <w:pPr>
        <w:pStyle w:val="23"/>
        <w:wordWrap/>
        <w:snapToGrid/>
        <w:spacing w:line="240" w:lineRule="auto"/>
        <w:ind w:left="0" w:leftChars="0" w:right="0" w:firstLine="0" w:firstLineChars="0"/>
        <w:jc w:val="left"/>
        <w:rPr>
          <w:sz w:val="30"/>
          <w:szCs w:val="30"/>
        </w:rPr>
      </w:pPr>
    </w:p>
    <w:p w14:paraId="446C879A">
      <w:pPr>
        <w:pStyle w:val="23"/>
        <w:wordWrap/>
        <w:snapToGrid/>
        <w:spacing w:line="240" w:lineRule="auto"/>
        <w:ind w:left="0" w:leftChars="0" w:right="0" w:firstLine="0" w:firstLineChars="0"/>
        <w:jc w:val="left"/>
        <w:rPr>
          <w:sz w:val="30"/>
          <w:szCs w:val="30"/>
        </w:rPr>
      </w:pPr>
    </w:p>
    <w:p w14:paraId="60AD1C1C">
      <w:pPr>
        <w:pStyle w:val="23"/>
        <w:wordWrap/>
        <w:snapToGrid/>
        <w:spacing w:line="240" w:lineRule="auto"/>
        <w:ind w:left="0" w:leftChars="0" w:right="0" w:firstLine="0" w:firstLineChars="0"/>
        <w:jc w:val="left"/>
        <w:rPr>
          <w:sz w:val="30"/>
          <w:szCs w:val="30"/>
        </w:rPr>
      </w:pPr>
    </w:p>
    <w:p w14:paraId="426E1DBD">
      <w:pPr>
        <w:pStyle w:val="23"/>
        <w:wordWrap/>
        <w:snapToGrid/>
        <w:spacing w:line="240" w:lineRule="auto"/>
        <w:ind w:left="0" w:leftChars="0" w:right="0" w:firstLine="0" w:firstLineChars="0"/>
        <w:jc w:val="left"/>
        <w:rPr>
          <w:sz w:val="30"/>
          <w:szCs w:val="30"/>
        </w:rPr>
      </w:pPr>
    </w:p>
    <w:p w14:paraId="3912CF06">
      <w:pPr>
        <w:pStyle w:val="23"/>
        <w:wordWrap/>
        <w:snapToGrid/>
        <w:spacing w:line="240" w:lineRule="auto"/>
        <w:ind w:left="0" w:leftChars="0" w:right="0" w:firstLine="0" w:firstLineChars="0"/>
        <w:jc w:val="left"/>
        <w:rPr>
          <w:sz w:val="30"/>
          <w:szCs w:val="30"/>
        </w:rPr>
      </w:pPr>
    </w:p>
    <w:p w14:paraId="3CDF523C">
      <w:pPr>
        <w:pStyle w:val="23"/>
        <w:wordWrap/>
        <w:snapToGrid/>
        <w:spacing w:line="240" w:lineRule="auto"/>
        <w:ind w:left="0" w:leftChars="0" w:right="0" w:firstLine="0" w:firstLineChars="0"/>
        <w:jc w:val="left"/>
        <w:rPr>
          <w:sz w:val="30"/>
          <w:szCs w:val="30"/>
        </w:rPr>
      </w:pPr>
    </w:p>
    <w:p w14:paraId="17D6671F">
      <w:pPr>
        <w:pStyle w:val="23"/>
        <w:wordWrap/>
        <w:snapToGrid/>
        <w:spacing w:line="240" w:lineRule="auto"/>
        <w:ind w:left="0" w:leftChars="0" w:right="0" w:firstLine="0" w:firstLineChars="0"/>
        <w:jc w:val="left"/>
        <w:rPr>
          <w:sz w:val="30"/>
          <w:szCs w:val="30"/>
        </w:rPr>
      </w:pPr>
    </w:p>
    <w:p w14:paraId="5DE161BD">
      <w:pPr>
        <w:pStyle w:val="23"/>
        <w:wordWrap/>
        <w:snapToGrid/>
        <w:spacing w:line="240" w:lineRule="auto"/>
        <w:ind w:left="0" w:leftChars="0" w:right="0" w:firstLine="0" w:firstLineChars="0"/>
        <w:jc w:val="left"/>
        <w:rPr>
          <w:sz w:val="30"/>
          <w:szCs w:val="30"/>
        </w:rPr>
      </w:pPr>
    </w:p>
    <w:p w14:paraId="18787DF5">
      <w:pPr>
        <w:pStyle w:val="23"/>
        <w:wordWrap/>
        <w:snapToGrid/>
        <w:spacing w:line="240" w:lineRule="auto"/>
        <w:ind w:left="0" w:leftChars="0" w:right="0" w:firstLine="0" w:firstLineChars="0"/>
        <w:jc w:val="left"/>
        <w:rPr>
          <w:sz w:val="30"/>
          <w:szCs w:val="30"/>
        </w:rPr>
      </w:pPr>
    </w:p>
    <w:p w14:paraId="7C69DBD8">
      <w:pPr>
        <w:pStyle w:val="23"/>
        <w:wordWrap/>
        <w:snapToGrid/>
        <w:spacing w:line="240" w:lineRule="auto"/>
        <w:ind w:left="0" w:leftChars="0" w:right="0" w:firstLine="0" w:firstLineChars="0"/>
        <w:jc w:val="left"/>
        <w:rPr>
          <w:sz w:val="30"/>
          <w:szCs w:val="30"/>
        </w:rPr>
      </w:pPr>
    </w:p>
    <w:p w14:paraId="2FDB5020">
      <w:pPr>
        <w:pStyle w:val="23"/>
        <w:wordWrap/>
        <w:snapToGrid/>
        <w:spacing w:line="240" w:lineRule="auto"/>
        <w:ind w:left="0" w:leftChars="0" w:right="0" w:firstLine="0" w:firstLineChars="0"/>
        <w:jc w:val="left"/>
        <w:rPr>
          <w:sz w:val="30"/>
          <w:szCs w:val="30"/>
        </w:rPr>
      </w:pPr>
    </w:p>
    <w:p w14:paraId="24580743">
      <w:pPr>
        <w:pStyle w:val="23"/>
        <w:wordWrap/>
        <w:snapToGrid/>
        <w:spacing w:line="240" w:lineRule="auto"/>
        <w:ind w:left="0" w:leftChars="0" w:right="0" w:firstLine="0" w:firstLineChars="0"/>
        <w:jc w:val="left"/>
        <w:rPr>
          <w:sz w:val="30"/>
          <w:szCs w:val="30"/>
        </w:rPr>
      </w:pPr>
    </w:p>
    <w:p w14:paraId="23E4FFB3">
      <w:pPr>
        <w:pStyle w:val="23"/>
        <w:wordWrap/>
        <w:snapToGrid/>
        <w:spacing w:line="240" w:lineRule="auto"/>
        <w:ind w:left="0" w:leftChars="0" w:right="0" w:firstLine="0" w:firstLineChars="0"/>
        <w:jc w:val="left"/>
        <w:rPr>
          <w:sz w:val="30"/>
          <w:szCs w:val="30"/>
        </w:rPr>
      </w:pPr>
    </w:p>
    <w:p w14:paraId="24686836">
      <w:pPr>
        <w:pStyle w:val="23"/>
        <w:wordWrap/>
        <w:snapToGrid/>
        <w:spacing w:line="240" w:lineRule="auto"/>
        <w:ind w:left="0" w:leftChars="0" w:right="0" w:firstLine="0" w:firstLineChars="0"/>
        <w:jc w:val="left"/>
        <w:rPr>
          <w:sz w:val="30"/>
          <w:szCs w:val="30"/>
        </w:rPr>
      </w:pPr>
    </w:p>
    <w:p w14:paraId="7CE42FA2">
      <w:pPr>
        <w:pStyle w:val="23"/>
        <w:wordWrap/>
        <w:snapToGrid/>
        <w:spacing w:line="240" w:lineRule="auto"/>
        <w:ind w:left="0" w:leftChars="0" w:right="0" w:firstLine="0" w:firstLineChars="0"/>
        <w:jc w:val="left"/>
        <w:rPr>
          <w:sz w:val="30"/>
          <w:szCs w:val="30"/>
        </w:rPr>
      </w:pPr>
    </w:p>
    <w:p w14:paraId="11EA7B01">
      <w:pPr>
        <w:pStyle w:val="23"/>
        <w:wordWrap/>
        <w:snapToGrid/>
        <w:spacing w:line="240" w:lineRule="auto"/>
        <w:ind w:left="0" w:leftChars="0" w:right="0" w:firstLine="0" w:firstLineChars="0"/>
        <w:jc w:val="left"/>
        <w:rPr>
          <w:sz w:val="30"/>
          <w:szCs w:val="30"/>
        </w:rPr>
      </w:pPr>
    </w:p>
    <w:p w14:paraId="70931FF7">
      <w:pPr>
        <w:pStyle w:val="23"/>
        <w:wordWrap/>
        <w:snapToGrid/>
        <w:spacing w:line="240" w:lineRule="auto"/>
        <w:ind w:left="0" w:leftChars="0" w:right="0" w:firstLine="0" w:firstLineChars="0"/>
        <w:jc w:val="left"/>
        <w:rPr>
          <w:sz w:val="30"/>
          <w:szCs w:val="30"/>
        </w:rPr>
      </w:pPr>
    </w:p>
    <w:p w14:paraId="5DEE66AA">
      <w:pPr>
        <w:pStyle w:val="23"/>
        <w:wordWrap/>
        <w:snapToGrid/>
        <w:spacing w:line="240" w:lineRule="auto"/>
        <w:ind w:left="0" w:leftChars="0" w:right="0" w:firstLine="0" w:firstLineChars="0"/>
        <w:jc w:val="left"/>
        <w:rPr>
          <w:sz w:val="30"/>
          <w:szCs w:val="30"/>
        </w:rPr>
      </w:pPr>
    </w:p>
    <w:p w14:paraId="3A7BE065">
      <w:pPr>
        <w:pStyle w:val="23"/>
        <w:wordWrap/>
        <w:snapToGrid/>
        <w:spacing w:line="240" w:lineRule="auto"/>
        <w:ind w:left="0" w:leftChars="0" w:right="0" w:firstLine="0" w:firstLineChars="0"/>
        <w:jc w:val="left"/>
        <w:rPr>
          <w:sz w:val="30"/>
          <w:szCs w:val="30"/>
        </w:rPr>
      </w:pPr>
    </w:p>
    <w:p w14:paraId="07CBA1D3">
      <w:pPr>
        <w:spacing w:line="580" w:lineRule="exact"/>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2</w:t>
      </w:r>
    </w:p>
    <w:p w14:paraId="688EFEC5">
      <w:pPr>
        <w:spacing w:line="580" w:lineRule="exact"/>
        <w:ind w:firstLine="640" w:firstLineChars="200"/>
        <w:rPr>
          <w:rFonts w:ascii="仿宋_GB2312" w:hAnsi="仿宋_GB2312" w:eastAsia="仿宋_GB2312" w:cs="仿宋_GB2312"/>
          <w:color w:val="auto"/>
          <w:sz w:val="32"/>
          <w:szCs w:val="32"/>
          <w:highlight w:val="none"/>
        </w:rPr>
      </w:pPr>
    </w:p>
    <w:p w14:paraId="7A7A8B34">
      <w:pPr>
        <w:spacing w:line="600" w:lineRule="exact"/>
        <w:jc w:val="center"/>
        <w:rPr>
          <w:rFonts w:hint="eastAsia" w:ascii="黑体" w:hAnsi="黑体" w:eastAsia="黑体" w:cs="黑体"/>
          <w:color w:val="auto"/>
          <w:kern w:val="0"/>
          <w:sz w:val="44"/>
          <w:szCs w:val="44"/>
          <w:highlight w:val="none"/>
          <w:lang w:val="zh-CN"/>
        </w:rPr>
      </w:pPr>
      <w:r>
        <w:rPr>
          <w:rFonts w:hint="eastAsia" w:ascii="黑体" w:hAnsi="黑体" w:eastAsia="黑体" w:cs="黑体"/>
          <w:color w:val="auto"/>
          <w:kern w:val="0"/>
          <w:sz w:val="44"/>
          <w:szCs w:val="44"/>
          <w:highlight w:val="none"/>
          <w:lang w:eastAsia="zh-CN"/>
        </w:rPr>
        <w:t>项目</w:t>
      </w:r>
      <w:r>
        <w:rPr>
          <w:rFonts w:hint="eastAsia" w:ascii="黑体" w:hAnsi="黑体" w:eastAsia="黑体" w:cs="黑体"/>
          <w:color w:val="auto"/>
          <w:kern w:val="0"/>
          <w:sz w:val="44"/>
          <w:szCs w:val="44"/>
          <w:highlight w:val="none"/>
        </w:rPr>
        <w:t>2020年</w:t>
      </w:r>
      <w:r>
        <w:rPr>
          <w:rFonts w:hint="eastAsia" w:ascii="黑体" w:hAnsi="黑体" w:eastAsia="黑体" w:cs="黑体"/>
          <w:color w:val="auto"/>
          <w:kern w:val="0"/>
          <w:sz w:val="44"/>
          <w:szCs w:val="44"/>
          <w:highlight w:val="none"/>
          <w:lang w:val="zh-CN"/>
        </w:rPr>
        <w:t>绩效评价报告</w:t>
      </w:r>
    </w:p>
    <w:p w14:paraId="598F4B4B">
      <w:pPr>
        <w:keepNext/>
        <w:keepLines/>
        <w:widowControl w:val="0"/>
        <w:spacing w:before="260" w:after="260" w:line="416" w:lineRule="auto"/>
        <w:jc w:val="both"/>
        <w:outlineLvl w:val="1"/>
        <w:rPr>
          <w:rFonts w:ascii="Cambria" w:hAnsi="Cambria" w:eastAsia="宋体" w:cs="Times New Roman"/>
          <w:b/>
          <w:bCs/>
          <w:color w:val="auto"/>
          <w:kern w:val="2"/>
          <w:sz w:val="32"/>
          <w:szCs w:val="32"/>
          <w:highlight w:val="none"/>
          <w:lang w:val="zh-CN" w:eastAsia="zh-CN" w:bidi="ar-SA"/>
        </w:rPr>
      </w:pPr>
    </w:p>
    <w:p w14:paraId="183CD5EE">
      <w:pPr>
        <w:adjustRightInd w:val="0"/>
        <w:snapToGrid w:val="0"/>
        <w:spacing w:line="600" w:lineRule="exact"/>
        <w:ind w:firstLine="720"/>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14:paraId="3EECEAD4">
      <w:pPr>
        <w:adjustRightInd w:val="0"/>
        <w:snapToGrid w:val="0"/>
        <w:spacing w:line="600" w:lineRule="exact"/>
        <w:ind w:firstLine="720"/>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14:paraId="25C4090A">
      <w:pPr>
        <w:adjustRightInd w:val="0"/>
        <w:snapToGrid w:val="0"/>
        <w:spacing w:line="600" w:lineRule="exact"/>
        <w:ind w:firstLine="720"/>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42E87453">
      <w:pPr>
        <w:adjustRightInd w:val="0"/>
        <w:snapToGrid w:val="0"/>
        <w:spacing w:line="600" w:lineRule="exact"/>
        <w:ind w:firstLine="720"/>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14:paraId="786E7C86">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00498864">
      <w:pPr>
        <w:adjustRightInd w:val="0"/>
        <w:snapToGrid w:val="0"/>
        <w:spacing w:line="600" w:lineRule="exact"/>
        <w:ind w:firstLine="720"/>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14:paraId="2DAAFC77">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295571AE">
      <w:pPr>
        <w:adjustRightInd w:val="0"/>
        <w:snapToGrid w:val="0"/>
        <w:spacing w:line="600" w:lineRule="exact"/>
        <w:ind w:firstLine="720"/>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14:paraId="6652FA5B">
      <w:pPr>
        <w:adjustRightInd w:val="0"/>
        <w:snapToGrid w:val="0"/>
        <w:spacing w:line="600" w:lineRule="exact"/>
        <w:ind w:firstLine="720"/>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14:paraId="4B03842B">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BE1B7C5">
      <w:pPr>
        <w:adjustRightInd w:val="0"/>
        <w:snapToGrid w:val="0"/>
        <w:spacing w:line="600" w:lineRule="exact"/>
        <w:ind w:firstLine="720"/>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14:paraId="1C03AC75">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B51DF4B">
      <w:pPr>
        <w:adjustRightInd w:val="0"/>
        <w:snapToGrid w:val="0"/>
        <w:spacing w:line="600" w:lineRule="exact"/>
        <w:ind w:firstLine="720"/>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14:paraId="73976ABF">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6D957009">
      <w:pPr>
        <w:adjustRightInd w:val="0"/>
        <w:snapToGrid w:val="0"/>
        <w:spacing w:line="600" w:lineRule="exact"/>
        <w:ind w:firstLine="720"/>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14:paraId="0677BCF7">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65E24147">
      <w:pPr>
        <w:adjustRightInd w:val="0"/>
        <w:snapToGrid w:val="0"/>
        <w:spacing w:line="600" w:lineRule="exact"/>
        <w:ind w:firstLine="720"/>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p>
    <w:p w14:paraId="0384BE17">
      <w:pPr>
        <w:adjustRightInd w:val="0"/>
        <w:snapToGrid w:val="0"/>
        <w:spacing w:line="600" w:lineRule="exact"/>
        <w:ind w:firstLine="720"/>
        <w:rPr>
          <w:rFonts w:hint="eastAsia" w:ascii="楷体_GB2312" w:hAnsi="宋体" w:eastAsia="楷体_GB2312" w:cs="Times New Roman"/>
          <w:b/>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2681B8AA">
      <w:pPr>
        <w:numPr>
          <w:ilvl w:val="0"/>
          <w:numId w:val="9"/>
        </w:numPr>
        <w:adjustRightInd w:val="0"/>
        <w:snapToGrid w:val="0"/>
        <w:spacing w:line="600" w:lineRule="exact"/>
        <w:ind w:firstLine="720"/>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项目管理情况。</w:t>
      </w:r>
    </w:p>
    <w:p w14:paraId="3684B471">
      <w:pPr>
        <w:numPr>
          <w:ilvl w:val="0"/>
          <w:numId w:val="9"/>
        </w:numPr>
        <w:adjustRightInd w:val="0"/>
        <w:snapToGrid w:val="0"/>
        <w:spacing w:line="600" w:lineRule="exact"/>
        <w:ind w:firstLine="720"/>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398E1A63">
      <w:pPr>
        <w:numPr>
          <w:ilvl w:val="0"/>
          <w:numId w:val="9"/>
        </w:numPr>
        <w:adjustRightInd w:val="0"/>
        <w:snapToGrid w:val="0"/>
        <w:spacing w:line="600" w:lineRule="exact"/>
        <w:ind w:left="0" w:leftChars="0" w:firstLine="720" w:firstLineChars="0"/>
        <w:rPr>
          <w:rFonts w:hint="eastAsia" w:ascii="仿宋_GB2312" w:hAnsi="仿宋_GB2312" w:eastAsia="仿宋_GB2312" w:cs="仿宋_GB2312"/>
          <w:color w:val="auto"/>
          <w:sz w:val="32"/>
          <w:szCs w:val="32"/>
          <w:highlight w:val="none"/>
          <w:lang w:eastAsia="zh-CN"/>
        </w:rPr>
      </w:pPr>
      <w:r>
        <w:rPr>
          <w:rFonts w:hint="eastAsia" w:ascii="楷体_GB2312" w:hAnsi="宋体" w:eastAsia="楷体_GB2312" w:cs="Times New Roman"/>
          <w:b/>
          <w:color w:val="auto"/>
          <w:sz w:val="32"/>
          <w:szCs w:val="32"/>
          <w:highlight w:val="none"/>
          <w:lang w:val="zh-CN"/>
        </w:rPr>
        <w:t>项目监管情况。</w:t>
      </w:r>
    </w:p>
    <w:p w14:paraId="7FB5BBC8">
      <w:pPr>
        <w:numPr>
          <w:ilvl w:val="0"/>
          <w:numId w:val="0"/>
        </w:numPr>
        <w:adjustRightInd w:val="0"/>
        <w:snapToGrid w:val="0"/>
        <w:spacing w:line="600" w:lineRule="exact"/>
        <w:ind w:left="720" w:left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4644E88">
      <w:pPr>
        <w:numPr>
          <w:ilvl w:val="0"/>
          <w:numId w:val="0"/>
        </w:numPr>
        <w:adjustRightInd w:val="0"/>
        <w:snapToGrid w:val="0"/>
        <w:spacing w:line="600" w:lineRule="exact"/>
        <w:ind w:left="720" w:leftChars="0"/>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ascii="仿宋_GB2312" w:hAnsi="宋体" w:eastAsia="仿宋_GB2312" w:cs="Times New Roman"/>
          <w:color w:val="auto"/>
          <w:sz w:val="32"/>
          <w:szCs w:val="32"/>
          <w:highlight w:val="none"/>
          <w:lang w:val="zh-CN"/>
        </w:rPr>
        <w:tab/>
      </w:r>
    </w:p>
    <w:p w14:paraId="6F4692A8">
      <w:pPr>
        <w:adjustRightInd w:val="0"/>
        <w:snapToGrid w:val="0"/>
        <w:spacing w:line="600" w:lineRule="exact"/>
        <w:ind w:firstLine="720"/>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14:paraId="2360E483">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33600951">
      <w:pPr>
        <w:adjustRightInd w:val="0"/>
        <w:snapToGrid w:val="0"/>
        <w:spacing w:line="600" w:lineRule="exact"/>
        <w:ind w:firstLine="720"/>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14:paraId="10D2CC16">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E1E3AAC">
      <w:pPr>
        <w:adjustRightInd w:val="0"/>
        <w:snapToGrid w:val="0"/>
        <w:spacing w:line="600" w:lineRule="exact"/>
        <w:ind w:firstLine="720"/>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14:paraId="79DA2F03">
      <w:pPr>
        <w:adjustRightInd w:val="0"/>
        <w:snapToGrid w:val="0"/>
        <w:spacing w:line="600" w:lineRule="exact"/>
        <w:ind w:firstLine="720"/>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14:paraId="6DB9F0E7">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3E1C7F99">
      <w:pPr>
        <w:adjustRightInd w:val="0"/>
        <w:snapToGrid w:val="0"/>
        <w:spacing w:line="600" w:lineRule="exact"/>
        <w:ind w:firstLine="720"/>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14:paraId="6907333B">
      <w:pPr>
        <w:adjustRightInd w:val="0"/>
        <w:snapToGrid w:val="0"/>
        <w:spacing w:line="600" w:lineRule="exact"/>
        <w:ind w:firstLine="640" w:firstLineChars="200"/>
        <w:rPr>
          <w:rFonts w:ascii="仿宋_GB2312" w:hAnsi="宋体" w:eastAsia="仿宋_GB2312" w:cs="Times New Roman"/>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r>
        <w:rPr>
          <w:rFonts w:hint="eastAsia" w:ascii="仿宋_GB2312" w:hAnsi="宋体" w:eastAsia="仿宋_GB2312" w:cs="Times New Roman"/>
          <w:color w:val="auto"/>
          <w:sz w:val="32"/>
          <w:szCs w:val="32"/>
          <w:highlight w:val="none"/>
          <w:lang w:val="zh-CN"/>
        </w:rPr>
        <w:t>。</w:t>
      </w:r>
      <w:r>
        <w:rPr>
          <w:rFonts w:ascii="仿宋_GB2312" w:hAnsi="宋体" w:eastAsia="仿宋_GB2312" w:cs="Times New Roman"/>
          <w:color w:val="auto"/>
          <w:sz w:val="32"/>
          <w:szCs w:val="32"/>
          <w:highlight w:val="none"/>
          <w:lang w:val="zh-CN"/>
        </w:rPr>
        <w:tab/>
      </w:r>
    </w:p>
    <w:p w14:paraId="21AE745B">
      <w:pPr>
        <w:adjustRightInd w:val="0"/>
        <w:snapToGrid w:val="0"/>
        <w:spacing w:line="600" w:lineRule="exact"/>
        <w:ind w:firstLine="720"/>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14:paraId="61CF6691">
      <w:pPr>
        <w:widowControl/>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D3D0EAC">
      <w:pPr>
        <w:widowControl/>
        <w:jc w:val="left"/>
        <w:rPr>
          <w:rStyle w:val="44"/>
          <w:rFonts w:ascii="黑体" w:hAnsi="黑体" w:eastAsia="黑体" w:cs="Times New Roman"/>
          <w:b w:val="0"/>
          <w:color w:val="auto"/>
          <w:highlight w:val="none"/>
        </w:rPr>
      </w:pPr>
    </w:p>
    <w:p w14:paraId="50F4AB2E">
      <w:pPr>
        <w:widowControl/>
        <w:jc w:val="left"/>
        <w:rPr>
          <w:rStyle w:val="44"/>
          <w:rFonts w:ascii="黑体" w:hAnsi="黑体" w:eastAsia="黑体" w:cs="Times New Roman"/>
          <w:b w:val="0"/>
          <w:color w:val="auto"/>
          <w:highlight w:val="none"/>
        </w:rPr>
      </w:pPr>
      <w:r>
        <w:rPr>
          <w:rStyle w:val="44"/>
          <w:rFonts w:ascii="黑体" w:hAnsi="黑体" w:eastAsia="黑体"/>
          <w:b w:val="0"/>
          <w:color w:val="auto"/>
          <w:highlight w:val="none"/>
        </w:rPr>
        <w:br w:type="page"/>
      </w:r>
    </w:p>
    <w:p w14:paraId="0EA63222">
      <w:pPr>
        <w:numPr>
          <w:ilvl w:val="0"/>
          <w:numId w:val="0"/>
        </w:numPr>
        <w:spacing w:line="600" w:lineRule="exact"/>
        <w:ind w:leftChars="150"/>
        <w:jc w:val="center"/>
        <w:outlineLvl w:val="0"/>
        <w:rPr>
          <w:rStyle w:val="44"/>
          <w:rFonts w:hint="eastAsia" w:ascii="黑体" w:hAnsi="黑体" w:eastAsia="黑体" w:cs="Times New Roman"/>
          <w:b w:val="0"/>
          <w:color w:val="auto"/>
          <w:highlight w:val="none"/>
        </w:rPr>
      </w:pPr>
      <w:r>
        <w:rPr>
          <w:rStyle w:val="44"/>
          <w:rFonts w:hint="eastAsia" w:ascii="黑体" w:hAnsi="黑体" w:eastAsia="黑体"/>
          <w:b w:val="0"/>
          <w:color w:val="auto"/>
          <w:highlight w:val="none"/>
          <w:lang w:val="en-US" w:eastAsia="zh-CN"/>
        </w:rPr>
        <w:t xml:space="preserve">第五部分 </w:t>
      </w:r>
      <w:r>
        <w:rPr>
          <w:rStyle w:val="44"/>
          <w:rFonts w:hint="eastAsia" w:ascii="黑体" w:hAnsi="黑体" w:eastAsia="黑体"/>
          <w:b w:val="0"/>
          <w:color w:val="auto"/>
          <w:highlight w:val="none"/>
        </w:rPr>
        <w:t>附表</w:t>
      </w:r>
    </w:p>
    <w:p w14:paraId="5DB7190D">
      <w:pPr>
        <w:numPr>
          <w:ilvl w:val="0"/>
          <w:numId w:val="0"/>
        </w:numPr>
        <w:spacing w:line="600" w:lineRule="exact"/>
        <w:jc w:val="both"/>
        <w:outlineLvl w:val="0"/>
        <w:rPr>
          <w:rFonts w:hint="eastAsia" w:ascii="仿宋" w:hAnsi="仿宋" w:eastAsia="仿宋" w:cs="Times New Roman"/>
          <w:b w:val="0"/>
          <w:bCs w:val="0"/>
          <w:color w:val="auto"/>
          <w:highlight w:val="none"/>
          <w:lang w:val="en-US" w:eastAsia="zh-CN" w:bidi="ar-SA"/>
        </w:rPr>
      </w:pPr>
      <w:r>
        <w:rPr>
          <w:rFonts w:hint="eastAsia" w:ascii="仿宋" w:hAnsi="仿宋" w:eastAsia="仿宋" w:cs="Times New Roman"/>
          <w:b w:val="0"/>
          <w:bCs w:val="0"/>
          <w:color w:val="auto"/>
          <w:sz w:val="32"/>
          <w:szCs w:val="32"/>
          <w:highlight w:val="none"/>
          <w:lang w:val="en-US" w:eastAsia="zh-CN" w:bidi="ar-SA"/>
        </w:rPr>
        <w:t>一、收入支出决算总表</w:t>
      </w:r>
    </w:p>
    <w:p w14:paraId="622189BC">
      <w:pPr>
        <w:keepNext/>
        <w:keepLines/>
        <w:widowControl w:val="0"/>
        <w:spacing w:before="260" w:after="260" w:line="416" w:lineRule="auto"/>
        <w:jc w:val="both"/>
        <w:outlineLvl w:val="1"/>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二、收入决算表</w:t>
      </w:r>
    </w:p>
    <w:p w14:paraId="4B68CF0C">
      <w:pPr>
        <w:keepNext/>
        <w:keepLines/>
        <w:widowControl w:val="0"/>
        <w:spacing w:before="260" w:after="260" w:line="416" w:lineRule="auto"/>
        <w:jc w:val="both"/>
        <w:outlineLvl w:val="1"/>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三、支出决算表</w:t>
      </w:r>
    </w:p>
    <w:p w14:paraId="0A2877EF">
      <w:pPr>
        <w:keepNext/>
        <w:keepLines/>
        <w:widowControl w:val="0"/>
        <w:spacing w:before="260" w:after="260" w:line="416" w:lineRule="auto"/>
        <w:jc w:val="both"/>
        <w:outlineLvl w:val="1"/>
        <w:rPr>
          <w:rFonts w:ascii="仿宋" w:hAnsi="仿宋" w:eastAsia="仿宋" w:cs="Times New Roman"/>
          <w:b w:val="0"/>
          <w:bCs w:val="0"/>
          <w:color w:val="auto"/>
          <w:kern w:val="2"/>
          <w:sz w:val="32"/>
          <w:szCs w:val="32"/>
          <w:highlight w:val="none"/>
          <w:lang w:val="en-US" w:eastAsia="zh-CN" w:bidi="ar-SA"/>
        </w:rPr>
      </w:pPr>
      <w:bookmarkStart w:id="82" w:name="_Toc15396622"/>
      <w:r>
        <w:rPr>
          <w:rFonts w:hint="eastAsia" w:ascii="仿宋" w:hAnsi="仿宋" w:eastAsia="仿宋" w:cs="Times New Roman"/>
          <w:b w:val="0"/>
          <w:bCs w:val="0"/>
          <w:color w:val="auto"/>
          <w:kern w:val="2"/>
          <w:sz w:val="32"/>
          <w:szCs w:val="32"/>
          <w:highlight w:val="none"/>
          <w:lang w:val="en-US" w:eastAsia="zh-CN" w:bidi="ar-SA"/>
        </w:rPr>
        <w:t>四、财政拨款收入支出决算总表</w:t>
      </w:r>
      <w:bookmarkEnd w:id="82"/>
    </w:p>
    <w:p w14:paraId="70C1E0F0">
      <w:pPr>
        <w:keepNext/>
        <w:keepLines/>
        <w:widowControl w:val="0"/>
        <w:spacing w:before="260" w:after="260" w:line="416" w:lineRule="auto"/>
        <w:jc w:val="both"/>
        <w:outlineLvl w:val="1"/>
        <w:rPr>
          <w:rFonts w:ascii="仿宋" w:hAnsi="仿宋" w:eastAsia="仿宋" w:cs="Times New Roman"/>
          <w:b w:val="0"/>
          <w:bCs w:val="0"/>
          <w:color w:val="auto"/>
          <w:kern w:val="2"/>
          <w:sz w:val="32"/>
          <w:szCs w:val="32"/>
          <w:highlight w:val="none"/>
          <w:lang w:val="en-US" w:eastAsia="zh-CN" w:bidi="ar-SA"/>
        </w:rPr>
      </w:pPr>
      <w:bookmarkStart w:id="83" w:name="_Toc15396623"/>
      <w:r>
        <w:rPr>
          <w:rFonts w:hint="eastAsia" w:ascii="仿宋" w:hAnsi="仿宋" w:eastAsia="仿宋" w:cs="Times New Roman"/>
          <w:b w:val="0"/>
          <w:bCs w:val="0"/>
          <w:color w:val="auto"/>
          <w:kern w:val="2"/>
          <w:sz w:val="32"/>
          <w:szCs w:val="32"/>
          <w:highlight w:val="none"/>
          <w:lang w:val="en-US" w:eastAsia="zh-CN" w:bidi="ar-SA"/>
        </w:rPr>
        <w:t>五、财政拨款支出决算明细表</w:t>
      </w:r>
      <w:bookmarkEnd w:id="83"/>
      <w:bookmarkStart w:id="84" w:name="_Toc15396624"/>
    </w:p>
    <w:p w14:paraId="7BFC9255">
      <w:pPr>
        <w:keepNext/>
        <w:keepLines/>
        <w:widowControl w:val="0"/>
        <w:spacing w:before="260" w:after="260" w:line="416" w:lineRule="auto"/>
        <w:jc w:val="both"/>
        <w:outlineLvl w:val="1"/>
        <w:rPr>
          <w:rFonts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六、一般公共预算财政拨款支出决算表</w:t>
      </w:r>
      <w:bookmarkEnd w:id="84"/>
    </w:p>
    <w:p w14:paraId="36CE12AC">
      <w:pPr>
        <w:keepNext/>
        <w:keepLines/>
        <w:widowControl w:val="0"/>
        <w:spacing w:before="260" w:after="260" w:line="416" w:lineRule="auto"/>
        <w:jc w:val="both"/>
        <w:outlineLvl w:val="1"/>
        <w:rPr>
          <w:rFonts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七、一般公共预算财政拨款支出决算明细表</w:t>
      </w:r>
    </w:p>
    <w:p w14:paraId="284B4C16">
      <w:pPr>
        <w:keepNext/>
        <w:keepLines/>
        <w:widowControl w:val="0"/>
        <w:spacing w:before="260" w:after="260" w:line="416" w:lineRule="auto"/>
        <w:jc w:val="both"/>
        <w:outlineLvl w:val="1"/>
        <w:rPr>
          <w:rFonts w:ascii="仿宋" w:hAnsi="仿宋" w:eastAsia="仿宋" w:cs="Times New Roman"/>
          <w:b w:val="0"/>
          <w:bCs w:val="0"/>
          <w:color w:val="auto"/>
          <w:kern w:val="2"/>
          <w:sz w:val="32"/>
          <w:szCs w:val="32"/>
          <w:highlight w:val="none"/>
          <w:lang w:val="en-US" w:eastAsia="zh-CN" w:bidi="ar-SA"/>
        </w:rPr>
      </w:pPr>
      <w:bookmarkStart w:id="85" w:name="_Toc15396626"/>
      <w:r>
        <w:rPr>
          <w:rFonts w:hint="eastAsia" w:ascii="仿宋" w:hAnsi="仿宋" w:eastAsia="仿宋" w:cs="Times New Roman"/>
          <w:b w:val="0"/>
          <w:bCs w:val="0"/>
          <w:color w:val="auto"/>
          <w:kern w:val="2"/>
          <w:sz w:val="32"/>
          <w:szCs w:val="32"/>
          <w:highlight w:val="none"/>
          <w:lang w:val="en-US" w:eastAsia="zh-CN" w:bidi="ar-SA"/>
        </w:rPr>
        <w:t>八、一般公共预算财政拨款基本支出决算表</w:t>
      </w:r>
      <w:bookmarkEnd w:id="85"/>
    </w:p>
    <w:p w14:paraId="1641A6CE">
      <w:pPr>
        <w:keepNext/>
        <w:keepLines/>
        <w:widowControl w:val="0"/>
        <w:spacing w:before="260" w:after="260" w:line="416" w:lineRule="auto"/>
        <w:jc w:val="both"/>
        <w:outlineLvl w:val="1"/>
        <w:rPr>
          <w:rFonts w:ascii="仿宋" w:hAnsi="仿宋" w:eastAsia="仿宋" w:cs="Times New Roman"/>
          <w:b w:val="0"/>
          <w:bCs w:val="0"/>
          <w:color w:val="auto"/>
          <w:kern w:val="2"/>
          <w:sz w:val="32"/>
          <w:szCs w:val="32"/>
          <w:highlight w:val="none"/>
          <w:lang w:val="en-US" w:eastAsia="zh-CN" w:bidi="ar-SA"/>
        </w:rPr>
      </w:pPr>
      <w:bookmarkStart w:id="86" w:name="_Toc15396627"/>
      <w:r>
        <w:rPr>
          <w:rFonts w:hint="eastAsia" w:ascii="仿宋" w:hAnsi="仿宋" w:eastAsia="仿宋" w:cs="Times New Roman"/>
          <w:b w:val="0"/>
          <w:bCs w:val="0"/>
          <w:color w:val="auto"/>
          <w:kern w:val="2"/>
          <w:sz w:val="32"/>
          <w:szCs w:val="32"/>
          <w:highlight w:val="none"/>
          <w:lang w:val="en-US" w:eastAsia="zh-CN" w:bidi="ar-SA"/>
        </w:rPr>
        <w:t>九、一般公共预算财政拨款项目支出决算表</w:t>
      </w:r>
      <w:bookmarkEnd w:id="86"/>
    </w:p>
    <w:p w14:paraId="48CE244D">
      <w:pPr>
        <w:keepNext/>
        <w:keepLines/>
        <w:widowControl w:val="0"/>
        <w:spacing w:before="260" w:after="260" w:line="416" w:lineRule="auto"/>
        <w:jc w:val="both"/>
        <w:outlineLvl w:val="1"/>
        <w:rPr>
          <w:rFonts w:ascii="仿宋" w:hAnsi="仿宋" w:eastAsia="仿宋" w:cs="Times New Roman"/>
          <w:b w:val="0"/>
          <w:bCs w:val="0"/>
          <w:color w:val="auto"/>
          <w:kern w:val="2"/>
          <w:sz w:val="32"/>
          <w:szCs w:val="32"/>
          <w:highlight w:val="none"/>
          <w:lang w:val="en-US" w:eastAsia="zh-CN" w:bidi="ar-SA"/>
        </w:rPr>
      </w:pPr>
      <w:bookmarkStart w:id="87" w:name="_Toc15396628"/>
      <w:r>
        <w:rPr>
          <w:rFonts w:hint="eastAsia" w:ascii="仿宋" w:hAnsi="仿宋" w:eastAsia="仿宋" w:cs="Times New Roman"/>
          <w:b w:val="0"/>
          <w:bCs w:val="0"/>
          <w:color w:val="auto"/>
          <w:kern w:val="2"/>
          <w:sz w:val="32"/>
          <w:szCs w:val="32"/>
          <w:highlight w:val="none"/>
          <w:lang w:val="en-US" w:eastAsia="zh-CN" w:bidi="ar-SA"/>
        </w:rPr>
        <w:t>十、一般公共预算财政拨款“三公”经费支出决算表</w:t>
      </w:r>
      <w:bookmarkEnd w:id="87"/>
    </w:p>
    <w:p w14:paraId="12F7A1AB">
      <w:pPr>
        <w:keepNext/>
        <w:keepLines/>
        <w:widowControl w:val="0"/>
        <w:spacing w:before="260" w:after="260" w:line="416" w:lineRule="auto"/>
        <w:jc w:val="both"/>
        <w:outlineLvl w:val="1"/>
        <w:rPr>
          <w:rFonts w:ascii="仿宋" w:hAnsi="仿宋" w:eastAsia="仿宋" w:cs="Times New Roman"/>
          <w:b w:val="0"/>
          <w:bCs w:val="0"/>
          <w:color w:val="auto"/>
          <w:kern w:val="2"/>
          <w:sz w:val="32"/>
          <w:szCs w:val="32"/>
          <w:highlight w:val="none"/>
          <w:lang w:val="en-US" w:eastAsia="zh-CN" w:bidi="ar-SA"/>
        </w:rPr>
      </w:pPr>
      <w:bookmarkStart w:id="88" w:name="_Toc15396629"/>
      <w:r>
        <w:rPr>
          <w:rFonts w:hint="eastAsia" w:ascii="仿宋" w:hAnsi="仿宋" w:eastAsia="仿宋" w:cs="Times New Roman"/>
          <w:b w:val="0"/>
          <w:bCs w:val="0"/>
          <w:color w:val="auto"/>
          <w:kern w:val="2"/>
          <w:sz w:val="32"/>
          <w:szCs w:val="32"/>
          <w:highlight w:val="none"/>
          <w:lang w:val="en-US" w:eastAsia="zh-CN" w:bidi="ar-SA"/>
        </w:rPr>
        <w:t>十一、政府性基金预算财政拨款收入支出决算表</w:t>
      </w:r>
      <w:bookmarkEnd w:id="88"/>
    </w:p>
    <w:p w14:paraId="6C3D291D">
      <w:pPr>
        <w:keepNext/>
        <w:keepLines/>
        <w:widowControl w:val="0"/>
        <w:spacing w:before="260" w:after="260" w:line="416" w:lineRule="auto"/>
        <w:jc w:val="both"/>
        <w:outlineLvl w:val="1"/>
        <w:rPr>
          <w:rFonts w:ascii="仿宋" w:hAnsi="仿宋" w:eastAsia="仿宋" w:cs="Times New Roman"/>
          <w:b w:val="0"/>
          <w:bCs w:val="0"/>
          <w:color w:val="auto"/>
          <w:kern w:val="2"/>
          <w:sz w:val="32"/>
          <w:szCs w:val="32"/>
          <w:highlight w:val="none"/>
          <w:lang w:val="en-US" w:eastAsia="zh-CN" w:bidi="ar-SA"/>
        </w:rPr>
      </w:pPr>
      <w:bookmarkStart w:id="89" w:name="_Toc15396630"/>
      <w:r>
        <w:rPr>
          <w:rFonts w:hint="eastAsia" w:ascii="仿宋" w:hAnsi="仿宋" w:eastAsia="仿宋" w:cs="Times New Roman"/>
          <w:b w:val="0"/>
          <w:bCs w:val="0"/>
          <w:color w:val="auto"/>
          <w:kern w:val="2"/>
          <w:sz w:val="32"/>
          <w:szCs w:val="32"/>
          <w:highlight w:val="none"/>
          <w:lang w:val="en-US" w:eastAsia="zh-CN" w:bidi="ar-SA"/>
        </w:rPr>
        <w:t>十二、政府性基金预算财政拨款“三公”经费支出决算表</w:t>
      </w:r>
      <w:bookmarkEnd w:id="89"/>
    </w:p>
    <w:p w14:paraId="3782FF36">
      <w:pPr>
        <w:keepNext/>
        <w:keepLines/>
        <w:widowControl w:val="0"/>
        <w:spacing w:before="260" w:after="260" w:line="416" w:lineRule="auto"/>
        <w:jc w:val="both"/>
        <w:outlineLvl w:val="1"/>
        <w:rPr>
          <w:rFonts w:hint="eastAsia" w:ascii="仿宋" w:hAnsi="仿宋" w:eastAsia="仿宋" w:cs="Times New Roman"/>
          <w:b w:val="0"/>
          <w:bCs w:val="0"/>
          <w:color w:val="auto"/>
          <w:kern w:val="2"/>
          <w:sz w:val="32"/>
          <w:szCs w:val="32"/>
          <w:highlight w:val="none"/>
          <w:lang w:val="en-US" w:eastAsia="zh-CN" w:bidi="ar-SA"/>
        </w:rPr>
      </w:pPr>
      <w:bookmarkStart w:id="90" w:name="_Toc15396631"/>
      <w:r>
        <w:rPr>
          <w:rFonts w:hint="eastAsia" w:ascii="仿宋" w:hAnsi="仿宋" w:eastAsia="仿宋" w:cs="Times New Roman"/>
          <w:b w:val="0"/>
          <w:bCs w:val="0"/>
          <w:color w:val="auto"/>
          <w:kern w:val="2"/>
          <w:sz w:val="32"/>
          <w:szCs w:val="32"/>
          <w:highlight w:val="none"/>
          <w:lang w:val="en-US" w:eastAsia="zh-CN" w:bidi="ar-SA"/>
        </w:rPr>
        <w:t>十三、</w:t>
      </w:r>
      <w:bookmarkEnd w:id="90"/>
      <w:r>
        <w:rPr>
          <w:rFonts w:hint="eastAsia" w:ascii="仿宋" w:hAnsi="仿宋" w:eastAsia="仿宋" w:cs="Times New Roman"/>
          <w:b w:val="0"/>
          <w:bCs w:val="0"/>
          <w:color w:val="auto"/>
          <w:kern w:val="2"/>
          <w:sz w:val="32"/>
          <w:szCs w:val="32"/>
          <w:highlight w:val="none"/>
          <w:lang w:val="en-US" w:eastAsia="zh-CN" w:bidi="ar-SA"/>
        </w:rPr>
        <w:t>国有资本经营预算财政拨款收入支出决算表</w:t>
      </w:r>
    </w:p>
    <w:p w14:paraId="3BD248A9">
      <w:pPr>
        <w:keepNext/>
        <w:keepLines/>
        <w:widowControl w:val="0"/>
        <w:spacing w:before="260" w:after="260" w:line="416" w:lineRule="auto"/>
        <w:jc w:val="both"/>
        <w:outlineLvl w:val="1"/>
        <w:rPr>
          <w:rFonts w:hint="eastAsia" w:ascii="仿宋" w:hAnsi="仿宋" w:eastAsia="仿宋" w:cs="Times New Roman"/>
          <w:b w:val="0"/>
          <w:bCs w:val="0"/>
          <w:color w:val="auto"/>
          <w:kern w:val="2"/>
          <w:sz w:val="32"/>
          <w:szCs w:val="32"/>
          <w:highlight w:val="none"/>
          <w:lang w:val="en-US" w:eastAsia="zh-CN" w:bidi="ar-SA"/>
        </w:rPr>
      </w:pPr>
      <w:r>
        <w:rPr>
          <w:rFonts w:hint="eastAsia" w:ascii="仿宋" w:hAnsi="仿宋" w:eastAsia="仿宋" w:cs="Times New Roman"/>
          <w:b w:val="0"/>
          <w:bCs w:val="0"/>
          <w:color w:val="auto"/>
          <w:kern w:val="2"/>
          <w:sz w:val="32"/>
          <w:szCs w:val="32"/>
          <w:highlight w:val="none"/>
          <w:lang w:val="en-US" w:eastAsia="zh-CN" w:bidi="ar-SA"/>
        </w:rPr>
        <w:t>十四、国有资本经营预算财政拨款支出决算表</w:t>
      </w:r>
    </w:p>
    <w:p w14:paraId="6865D31E">
      <w:pPr>
        <w:rPr>
          <w:rFonts w:ascii="Times New Roman" w:hAnsi="Times New Roman" w:cs="Times New Roman"/>
          <w:color w:val="auto"/>
          <w:highlight w:val="none"/>
        </w:rPr>
      </w:pPr>
    </w:p>
    <w:bookmarkEnd w:id="79"/>
    <w:p w14:paraId="2CA4A779">
      <w:pPr>
        <w:rPr>
          <w:rFonts w:ascii="仿宋" w:hAnsi="仿宋" w:eastAsia="仿宋"/>
          <w:color w:val="000000"/>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A55D9E-BC9F-4159-A6A6-BEFD712A24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2" w:fontKey="{FCC56730-4A19-4321-B643-A3E7B7C57D0D}"/>
  </w:font>
  <w:font w:name="仿宋_GB2312">
    <w:altName w:val="仿宋"/>
    <w:panose1 w:val="02010609030101010101"/>
    <w:charset w:val="86"/>
    <w:family w:val="auto"/>
    <w:pitch w:val="default"/>
    <w:sig w:usb0="00000000" w:usb1="00000000" w:usb2="00000000" w:usb3="00000000" w:csb0="00040000" w:csb1="00000000"/>
    <w:embedRegular r:id="rId3" w:fontKey="{684733C5-931A-487F-BA46-88FE00593F05}"/>
  </w:font>
  <w:font w:name="仿宋">
    <w:panose1 w:val="02010609060101010101"/>
    <w:charset w:val="86"/>
    <w:family w:val="auto"/>
    <w:pitch w:val="default"/>
    <w:sig w:usb0="800002BF" w:usb1="38CF7CFA" w:usb2="00000016" w:usb3="00000000" w:csb0="00040001" w:csb1="00000000"/>
    <w:embedRegular r:id="rId4" w:fontKey="{4EEA0EAE-59DE-463E-8E94-9C435171C18E}"/>
  </w:font>
  <w:font w:name="方正小标宋简体">
    <w:panose1 w:val="02000000000000000000"/>
    <w:charset w:val="86"/>
    <w:family w:val="auto"/>
    <w:pitch w:val="default"/>
    <w:sig w:usb0="00000001" w:usb1="08000000" w:usb2="00000000" w:usb3="00000000" w:csb0="00040000" w:csb1="00000000"/>
    <w:embedRegular r:id="rId5" w:fontKey="{2FB70BEE-B5CA-466E-B036-8BC63C5DC3A3}"/>
  </w:font>
  <w:font w:name="楷体_GB2312">
    <w:panose1 w:val="02010609030101010101"/>
    <w:charset w:val="86"/>
    <w:family w:val="modern"/>
    <w:pitch w:val="default"/>
    <w:sig w:usb0="00000001" w:usb1="080E0000" w:usb2="00000000" w:usb3="00000000" w:csb0="00040000" w:csb1="00000000"/>
    <w:embedRegular r:id="rId6" w:fontKey="{AA5AD9F6-91D2-4D32-BAC7-C9BBD085DE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DA32E">
    <w:pPr>
      <w:pStyle w:val="11"/>
      <w:jc w:val="center"/>
    </w:pPr>
    <w:r>
      <w:fldChar w:fldCharType="begin"/>
    </w:r>
    <w:r>
      <w:instrText xml:space="preserve">PAGE   \* MERGEFORMAT</w:instrText>
    </w:r>
    <w:r>
      <w:fldChar w:fldCharType="separate"/>
    </w:r>
    <w:r>
      <w:rPr>
        <w:lang w:val="zh-CN"/>
      </w:rPr>
      <w:t>24</w:t>
    </w:r>
    <w:r>
      <w:fldChar w:fldCharType="end"/>
    </w:r>
  </w:p>
  <w:p w14:paraId="6DD5E3A8">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5F73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ACF9B"/>
    <w:multiLevelType w:val="singleLevel"/>
    <w:tmpl w:val="943ACF9B"/>
    <w:lvl w:ilvl="0" w:tentative="0">
      <w:start w:val="2"/>
      <w:numFmt w:val="chineseCounting"/>
      <w:suff w:val="space"/>
      <w:lvlText w:val="第%1部分"/>
      <w:lvlJc w:val="left"/>
      <w:rPr>
        <w:rFonts w:hint="eastAsia"/>
      </w:rPr>
    </w:lvl>
  </w:abstractNum>
  <w:abstractNum w:abstractNumId="1">
    <w:nsid w:val="9E4C73F9"/>
    <w:multiLevelType w:val="singleLevel"/>
    <w:tmpl w:val="9E4C73F9"/>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75A039C"/>
    <w:multiLevelType w:val="singleLevel"/>
    <w:tmpl w:val="E75A039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31D0D21"/>
    <w:multiLevelType w:val="singleLevel"/>
    <w:tmpl w:val="231D0D21"/>
    <w:lvl w:ilvl="0" w:tentative="0">
      <w:start w:val="1"/>
      <w:numFmt w:val="decimal"/>
      <w:suff w:val="nothing"/>
      <w:lvlText w:val="%1、"/>
      <w:lvlJc w:val="left"/>
    </w:lvl>
  </w:abstractNum>
  <w:abstractNum w:abstractNumId="6">
    <w:nsid w:val="55D099EF"/>
    <w:multiLevelType w:val="singleLevel"/>
    <w:tmpl w:val="55D099EF"/>
    <w:lvl w:ilvl="0" w:tentative="0">
      <w:start w:val="2"/>
      <w:numFmt w:val="chineseCounting"/>
      <w:suff w:val="nothing"/>
      <w:lvlText w:val="（%1）"/>
      <w:lvlJc w:val="left"/>
      <w:rPr>
        <w:rFonts w:hint="eastAsia"/>
      </w:rPr>
    </w:lvl>
  </w:abstractNum>
  <w:abstractNum w:abstractNumId="7">
    <w:nsid w:val="638D2CE9"/>
    <w:multiLevelType w:val="singleLevel"/>
    <w:tmpl w:val="638D2CE9"/>
    <w:lvl w:ilvl="0" w:tentative="0">
      <w:start w:val="2"/>
      <w:numFmt w:val="chineseCounting"/>
      <w:suff w:val="nothing"/>
      <w:lvlText w:val="（%1）"/>
      <w:lvlJc w:val="left"/>
      <w:rPr>
        <w:rFonts w:hint="eastAsia"/>
      </w:rPr>
    </w:lvl>
  </w:abstractNum>
  <w:abstractNum w:abstractNumId="8">
    <w:nsid w:val="6C435863"/>
    <w:multiLevelType w:val="singleLevel"/>
    <w:tmpl w:val="6C435863"/>
    <w:lvl w:ilvl="0" w:tentative="0">
      <w:start w:val="2"/>
      <w:numFmt w:val="chineseCounting"/>
      <w:suff w:val="nothing"/>
      <w:lvlText w:val="（%1）"/>
      <w:lvlJc w:val="left"/>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NTlmMWMwY2NkZGNhOTM0ZTIzOTMwM2UwMjVl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2E7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D653C1"/>
    <w:rsid w:val="0F746B1B"/>
    <w:rsid w:val="10C055FF"/>
    <w:rsid w:val="11073BA7"/>
    <w:rsid w:val="129231C5"/>
    <w:rsid w:val="135C4F22"/>
    <w:rsid w:val="15477722"/>
    <w:rsid w:val="16BB723D"/>
    <w:rsid w:val="172B41FD"/>
    <w:rsid w:val="1E2B0D38"/>
    <w:rsid w:val="1EAE3606"/>
    <w:rsid w:val="240371BF"/>
    <w:rsid w:val="29FD04D3"/>
    <w:rsid w:val="2AB66D06"/>
    <w:rsid w:val="2E3445EA"/>
    <w:rsid w:val="319F7F4E"/>
    <w:rsid w:val="35340A5F"/>
    <w:rsid w:val="35604029"/>
    <w:rsid w:val="35765E7D"/>
    <w:rsid w:val="36303BCE"/>
    <w:rsid w:val="3FCD33B5"/>
    <w:rsid w:val="41B11F42"/>
    <w:rsid w:val="446A1670"/>
    <w:rsid w:val="4AD06942"/>
    <w:rsid w:val="4C6D3096"/>
    <w:rsid w:val="4D322BBC"/>
    <w:rsid w:val="4ECE2238"/>
    <w:rsid w:val="5D4B53F4"/>
    <w:rsid w:val="69671F94"/>
    <w:rsid w:val="72734D90"/>
    <w:rsid w:val="735212C4"/>
    <w:rsid w:val="73DE7475"/>
    <w:rsid w:val="77917E47"/>
    <w:rsid w:val="7C1F1332"/>
    <w:rsid w:val="7C9C466D"/>
    <w:rsid w:val="7E8E545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3"/>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Salutation"/>
    <w:basedOn w:val="1"/>
    <w:next w:val="1"/>
    <w:qFormat/>
    <w:uiPriority w:val="99"/>
  </w:style>
  <w:style w:type="paragraph" w:styleId="7">
    <w:name w:val="Body Text"/>
    <w:basedOn w:val="1"/>
    <w:link w:val="35"/>
    <w:qFormat/>
    <w:uiPriority w:val="99"/>
    <w:pPr>
      <w:spacing w:beforeLines="30"/>
    </w:pPr>
    <w:rPr>
      <w:rFonts w:ascii="仿宋_GB2312" w:eastAsia="仿宋_GB2312"/>
      <w:kern w:val="0"/>
      <w:sz w:val="30"/>
    </w:rPr>
  </w:style>
  <w:style w:type="paragraph" w:styleId="8">
    <w:name w:val="Body Text Indent"/>
    <w:basedOn w:val="1"/>
    <w:qFormat/>
    <w:uiPriority w:val="99"/>
    <w:pPr>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8"/>
    <w:unhideWhenUsed/>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7">
    <w:name w:val="Body Text First Indent 2"/>
    <w:basedOn w:val="8"/>
    <w:next w:val="1"/>
    <w:qFormat/>
    <w:uiPriority w:val="99"/>
    <w:pPr>
      <w:ind w:firstLine="420" w:firstLineChars="200"/>
    </w:pPr>
  </w:style>
  <w:style w:type="character" w:styleId="20">
    <w:name w:val="Strong"/>
    <w:basedOn w:val="19"/>
    <w:qFormat/>
    <w:uiPriority w:val="99"/>
    <w:rPr>
      <w:b/>
    </w:rPr>
  </w:style>
  <w:style w:type="character" w:styleId="21">
    <w:name w:val="Emphasis"/>
    <w:basedOn w:val="19"/>
    <w:qFormat/>
    <w:uiPriority w:val="20"/>
    <w:rPr>
      <w:i/>
    </w:rPr>
  </w:style>
  <w:style w:type="character" w:styleId="22">
    <w:name w:val="Hyperlink"/>
    <w:basedOn w:val="19"/>
    <w:unhideWhenUsed/>
    <w:qFormat/>
    <w:uiPriority w:val="99"/>
    <w:rPr>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paragraph" w:customStyle="1" w:styleId="25">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6">
    <w:name w:val="TOC Heading"/>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29">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0">
    <w:name w:val="Header Char"/>
    <w:basedOn w:val="19"/>
    <w:semiHidden/>
    <w:qFormat/>
    <w:uiPriority w:val="99"/>
    <w:rPr>
      <w:rFonts w:ascii="Times New Roman" w:hAnsi="Times New Roman"/>
      <w:sz w:val="18"/>
      <w:szCs w:val="18"/>
    </w:rPr>
  </w:style>
  <w:style w:type="character" w:customStyle="1" w:styleId="31">
    <w:name w:val="页眉 Char"/>
    <w:link w:val="12"/>
    <w:semiHidden/>
    <w:qFormat/>
    <w:locked/>
    <w:uiPriority w:val="99"/>
    <w:rPr>
      <w:sz w:val="18"/>
    </w:rPr>
  </w:style>
  <w:style w:type="character" w:customStyle="1" w:styleId="32">
    <w:name w:val="Footer Char"/>
    <w:basedOn w:val="19"/>
    <w:semiHidden/>
    <w:qFormat/>
    <w:uiPriority w:val="99"/>
    <w:rPr>
      <w:rFonts w:ascii="Times New Roman" w:hAnsi="Times New Roman"/>
      <w:sz w:val="18"/>
      <w:szCs w:val="18"/>
    </w:rPr>
  </w:style>
  <w:style w:type="character" w:customStyle="1" w:styleId="33">
    <w:name w:val="页脚 Char"/>
    <w:link w:val="11"/>
    <w:qFormat/>
    <w:locked/>
    <w:uiPriority w:val="99"/>
    <w:rPr>
      <w:sz w:val="18"/>
    </w:rPr>
  </w:style>
  <w:style w:type="character" w:customStyle="1" w:styleId="34">
    <w:name w:val="Body Text Char"/>
    <w:basedOn w:val="19"/>
    <w:semiHidden/>
    <w:qFormat/>
    <w:uiPriority w:val="99"/>
    <w:rPr>
      <w:rFonts w:ascii="Times New Roman" w:hAnsi="Times New Roman"/>
      <w:szCs w:val="24"/>
    </w:rPr>
  </w:style>
  <w:style w:type="character" w:customStyle="1" w:styleId="35">
    <w:name w:val="正文文本 Char"/>
    <w:link w:val="7"/>
    <w:qFormat/>
    <w:locked/>
    <w:uiPriority w:val="99"/>
    <w:rPr>
      <w:rFonts w:ascii="仿宋_GB2312" w:hAnsi="Times New Roman" w:eastAsia="仿宋_GB2312"/>
      <w:sz w:val="24"/>
    </w:rPr>
  </w:style>
  <w:style w:type="character" w:customStyle="1" w:styleId="36">
    <w:name w:val="标题 1 Char"/>
    <w:basedOn w:val="19"/>
    <w:link w:val="3"/>
    <w:qFormat/>
    <w:uiPriority w:val="9"/>
    <w:rPr>
      <w:rFonts w:ascii="Times New Roman" w:hAnsi="Times New Roman"/>
      <w:b/>
      <w:bCs/>
      <w:kern w:val="44"/>
      <w:sz w:val="44"/>
      <w:szCs w:val="44"/>
    </w:rPr>
  </w:style>
  <w:style w:type="character" w:customStyle="1" w:styleId="37">
    <w:name w:val="标题 2 Char"/>
    <w:basedOn w:val="19"/>
    <w:link w:val="2"/>
    <w:qFormat/>
    <w:uiPriority w:val="9"/>
    <w:rPr>
      <w:rFonts w:ascii="Cambria" w:hAnsi="Cambria" w:eastAsia="宋体" w:cs="黑体"/>
      <w:b/>
      <w:bCs/>
      <w:kern w:val="2"/>
      <w:sz w:val="32"/>
      <w:szCs w:val="32"/>
    </w:rPr>
  </w:style>
  <w:style w:type="character" w:customStyle="1" w:styleId="38">
    <w:name w:val="批注框文本 Char"/>
    <w:basedOn w:val="19"/>
    <w:link w:val="10"/>
    <w:semiHidden/>
    <w:qFormat/>
    <w:uiPriority w:val="99"/>
    <w:rPr>
      <w:rFonts w:ascii="Times New Roman" w:hAnsi="Times New Roman"/>
      <w:kern w:val="2"/>
      <w:sz w:val="18"/>
      <w:szCs w:val="18"/>
    </w:rPr>
  </w:style>
  <w:style w:type="character" w:customStyle="1" w:styleId="39">
    <w:name w:val="标题 3 Char"/>
    <w:basedOn w:val="19"/>
    <w:link w:val="4"/>
    <w:qFormat/>
    <w:uiPriority w:val="9"/>
    <w:rPr>
      <w:rFonts w:ascii="Times New Roman" w:hAnsi="Times New Roman"/>
      <w:b/>
      <w:bCs/>
      <w:kern w:val="2"/>
      <w:sz w:val="32"/>
      <w:szCs w:val="32"/>
    </w:rPr>
  </w:style>
  <w:style w:type="character" w:customStyle="1" w:styleId="40">
    <w:name w:val="font1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eastAsia" w:ascii="宋体" w:hAnsi="宋体" w:eastAsia="宋体" w:cs="宋体"/>
      <w:color w:val="000000"/>
      <w:sz w:val="18"/>
      <w:szCs w:val="18"/>
      <w:u w:val="none"/>
    </w:rPr>
  </w:style>
  <w:style w:type="character" w:customStyle="1" w:styleId="42">
    <w:name w:val=" Char Char5"/>
    <w:basedOn w:val="19"/>
    <w:link w:val="2"/>
    <w:qFormat/>
    <w:locked/>
    <w:uiPriority w:val="9"/>
    <w:rPr>
      <w:rFonts w:ascii="Cambria" w:hAnsi="Cambria" w:eastAsia="宋体" w:cs="Times New Roman"/>
      <w:b/>
      <w:bCs/>
      <w:kern w:val="2"/>
      <w:sz w:val="32"/>
      <w:szCs w:val="32"/>
    </w:rPr>
  </w:style>
  <w:style w:type="character" w:customStyle="1" w:styleId="43">
    <w:name w:val="标题 2 字符"/>
    <w:link w:val="2"/>
    <w:qFormat/>
    <w:locked/>
    <w:uiPriority w:val="9"/>
    <w:rPr>
      <w:rFonts w:ascii="Cambria" w:hAnsi="Cambria"/>
      <w:b/>
      <w:bCs/>
      <w:kern w:val="2"/>
      <w:sz w:val="32"/>
      <w:szCs w:val="32"/>
      <w:lang w:val="en-US" w:eastAsia="zh-CN" w:bidi="ar-SA"/>
    </w:rPr>
  </w:style>
  <w:style w:type="character" w:customStyle="1" w:styleId="44">
    <w:name w:val=" Char Char6"/>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6790</Words>
  <Characters>7325</Characters>
  <Lines>7</Lines>
  <Paragraphs>17</Paragraphs>
  <TotalTime>1</TotalTime>
  <ScaleCrop>false</ScaleCrop>
  <LinksUpToDate>false</LinksUpToDate>
  <CharactersWithSpaces>7408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2020-11-13T01:42:00Z</cp:lastPrinted>
  <dcterms:modified xsi:type="dcterms:W3CDTF">2024-12-19T07:46:04Z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E9553BE303A24DA2876C82E498F3BBDB</vt:lpwstr>
  </property>
  <property fmtid="{D5CDD505-2E9C-101B-9397-08002B2CF9AE}" pid="4" name="KSOTemplateDocerSaveRecord">
    <vt:lpwstr>eyJoZGlkIjoiMGVhYTg4NGNkZWJkODFjNzcyZDRjM2M4Y2UzNjI5ZmUiLCJ1c2VySWQiOiI2MTE2MzEwMDYifQ==</vt:lpwstr>
  </property>
</Properties>
</file>