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76" w:rsidRDefault="00920B76">
      <w:pPr>
        <w:spacing w:line="600" w:lineRule="exact"/>
        <w:jc w:val="center"/>
        <w:rPr>
          <w:rFonts w:ascii="方正小标宋简体" w:eastAsia="方正小标宋简体" w:hAnsi="宋体"/>
          <w:sz w:val="72"/>
          <w:szCs w:val="72"/>
        </w:rPr>
      </w:pPr>
      <w:bookmarkStart w:id="0" w:name="_Toc15306267"/>
    </w:p>
    <w:p w:rsidR="00920B76" w:rsidRDefault="00920B76">
      <w:pPr>
        <w:spacing w:line="600" w:lineRule="exact"/>
        <w:jc w:val="center"/>
        <w:rPr>
          <w:rFonts w:ascii="方正小标宋简体" w:eastAsia="方正小标宋简体" w:hAnsi="宋体"/>
          <w:sz w:val="72"/>
          <w:szCs w:val="72"/>
        </w:rPr>
      </w:pPr>
    </w:p>
    <w:p w:rsidR="00920B76" w:rsidRDefault="00920B76">
      <w:pPr>
        <w:spacing w:line="600" w:lineRule="exact"/>
        <w:jc w:val="center"/>
        <w:rPr>
          <w:rFonts w:ascii="方正小标宋简体" w:eastAsia="方正小标宋简体" w:hAnsi="宋体"/>
          <w:sz w:val="72"/>
          <w:szCs w:val="72"/>
        </w:rPr>
      </w:pPr>
    </w:p>
    <w:p w:rsidR="00920B76" w:rsidRDefault="00920B76">
      <w:pPr>
        <w:spacing w:line="600" w:lineRule="exact"/>
        <w:jc w:val="center"/>
        <w:rPr>
          <w:rFonts w:ascii="方正小标宋简体" w:eastAsia="方正小标宋简体" w:hAnsi="宋体"/>
          <w:sz w:val="72"/>
          <w:szCs w:val="72"/>
        </w:rPr>
      </w:pPr>
    </w:p>
    <w:p w:rsidR="00920B76" w:rsidRDefault="00D21666">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96597"/>
      <w:bookmarkStart w:id="2" w:name="_Toc15378441"/>
      <w:bookmarkStart w:id="3" w:name="_Toc15377425"/>
      <w:bookmarkStart w:id="4" w:name="_Toc15396475"/>
      <w:bookmarkStart w:id="5" w:name="_Toc30226"/>
      <w:bookmarkStart w:id="6" w:name="_Toc15377193"/>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bookmarkEnd w:id="6"/>
    </w:p>
    <w:p w:rsidR="00920B76" w:rsidRDefault="00D21666">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5396476"/>
      <w:bookmarkStart w:id="8" w:name="_Toc30459"/>
      <w:bookmarkStart w:id="9" w:name="_Toc15378442"/>
      <w:bookmarkStart w:id="10" w:name="_Toc15396598"/>
      <w:bookmarkStart w:id="11" w:name="_Toc15377426"/>
      <w:bookmarkStart w:id="12" w:name="_Toc15377194"/>
      <w:r>
        <w:rPr>
          <w:rFonts w:ascii="方正小标宋简体" w:eastAsia="方正小标宋简体" w:hAnsi="方正小标宋简体" w:cs="方正小标宋简体" w:hint="eastAsia"/>
          <w:sz w:val="72"/>
          <w:szCs w:val="72"/>
        </w:rPr>
        <w:t>四川省</w:t>
      </w:r>
      <w:bookmarkStart w:id="13" w:name="_Toc15306268"/>
      <w:bookmarkEnd w:id="0"/>
      <w:r>
        <w:rPr>
          <w:rFonts w:ascii="方正小标宋简体" w:eastAsia="方正小标宋简体" w:hAnsi="方正小标宋简体" w:cs="方正小标宋简体" w:hint="eastAsia"/>
          <w:sz w:val="72"/>
          <w:szCs w:val="72"/>
        </w:rPr>
        <w:t>广元市昭化区疾病预防控制中心单位决算</w:t>
      </w:r>
      <w:bookmarkEnd w:id="7"/>
      <w:bookmarkEnd w:id="8"/>
      <w:bookmarkEnd w:id="9"/>
      <w:bookmarkEnd w:id="10"/>
      <w:bookmarkEnd w:id="11"/>
      <w:bookmarkEnd w:id="12"/>
      <w:bookmarkEnd w:id="13"/>
    </w:p>
    <w:p w:rsidR="00920B76" w:rsidRDefault="00D21666">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920B76" w:rsidRDefault="00920B76">
      <w:pPr>
        <w:pStyle w:val="a0"/>
      </w:pPr>
      <w:bookmarkStart w:id="14" w:name="_GoBack"/>
      <w:bookmarkEnd w:id="14"/>
    </w:p>
    <w:p w:rsidR="00920B76" w:rsidRDefault="00D21666">
      <w:pPr>
        <w:jc w:val="center"/>
      </w:pPr>
      <w:r>
        <w:rPr>
          <w:rFonts w:hint="eastAsia"/>
        </w:rPr>
        <w:t>公开时间：</w:t>
      </w:r>
      <w:r>
        <w:t>202</w:t>
      </w:r>
      <w:r>
        <w:rPr>
          <w:rFonts w:hint="eastAsia"/>
        </w:rPr>
        <w:t>2</w:t>
      </w:r>
      <w:r>
        <w:rPr>
          <w:rFonts w:hint="eastAsia"/>
        </w:rPr>
        <w:t>年</w:t>
      </w:r>
      <w:r>
        <w:rPr>
          <w:rFonts w:hint="eastAsia"/>
        </w:rPr>
        <w:t xml:space="preserve"> 9</w:t>
      </w:r>
      <w:r>
        <w:rPr>
          <w:rFonts w:hint="eastAsia"/>
        </w:rPr>
        <w:t>月</w:t>
      </w:r>
      <w:r>
        <w:rPr>
          <w:rFonts w:hint="eastAsia"/>
        </w:rPr>
        <w:t>30</w:t>
      </w:r>
      <w:r>
        <w:rPr>
          <w:rFonts w:hint="eastAsia"/>
        </w:rPr>
        <w:t>日</w:t>
      </w:r>
    </w:p>
    <w:sdt>
      <w:sdtPr>
        <w:rPr>
          <w:rFonts w:ascii="宋体" w:hAnsi="宋体"/>
        </w:rPr>
        <w:id w:val="147462843"/>
        <w:docPartObj>
          <w:docPartGallery w:val="Table of Contents"/>
          <w:docPartUnique/>
        </w:docPartObj>
      </w:sdtPr>
      <w:sdtEndPr>
        <w:rPr>
          <w:rFonts w:ascii="仿宋" w:eastAsia="仿宋" w:hAnsi="仿宋"/>
          <w:b/>
          <w:sz w:val="28"/>
          <w:szCs w:val="28"/>
        </w:rPr>
      </w:sdtEndPr>
      <w:sdtContent>
        <w:p w:rsidR="00920B76" w:rsidRDefault="00920B76">
          <w:pPr>
            <w:jc w:val="center"/>
          </w:pPr>
        </w:p>
        <w:p w:rsidR="00920B76" w:rsidRDefault="00920B76" w:rsidP="00D21666">
          <w:pPr>
            <w:pStyle w:val="WPSOffice2"/>
            <w:tabs>
              <w:tab w:val="right" w:leader="dot" w:pos="8306"/>
            </w:tabs>
            <w:ind w:left="420"/>
          </w:pPr>
          <w:r w:rsidRPr="00920B76">
            <w:fldChar w:fldCharType="begin"/>
          </w:r>
          <w:r w:rsidR="00D21666">
            <w:instrText xml:space="preserve">TOC \o "1-2" \h \u </w:instrText>
          </w:r>
          <w:r w:rsidRPr="00920B76">
            <w:fldChar w:fldCharType="separate"/>
          </w:r>
        </w:p>
        <w:p w:rsidR="00920B76" w:rsidRDefault="00920B76">
          <w:pPr>
            <w:pStyle w:val="WPSOffice1"/>
            <w:tabs>
              <w:tab w:val="right" w:leader="dot" w:pos="8306"/>
            </w:tabs>
            <w:spacing w:line="440" w:lineRule="exact"/>
            <w:rPr>
              <w:rFonts w:asciiTheme="minorEastAsia" w:eastAsiaTheme="minorEastAsia" w:hAnsiTheme="minorEastAsia" w:cstheme="minorEastAsia"/>
              <w:b/>
              <w:sz w:val="24"/>
              <w:szCs w:val="24"/>
            </w:rPr>
          </w:pPr>
          <w:hyperlink w:anchor="_Toc9141" w:history="1">
            <w:r w:rsidR="00D21666">
              <w:rPr>
                <w:rFonts w:asciiTheme="minorEastAsia" w:eastAsiaTheme="minorEastAsia" w:hAnsiTheme="minorEastAsia" w:cstheme="minorEastAsia" w:hint="eastAsia"/>
                <w:b/>
                <w:sz w:val="24"/>
                <w:szCs w:val="24"/>
              </w:rPr>
              <w:t>第一部分 单位概况</w:t>
            </w:r>
            <w:r w:rsidR="00D21666">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sidR="00D21666">
              <w:rPr>
                <w:rFonts w:asciiTheme="minorEastAsia" w:eastAsiaTheme="minorEastAsia" w:hAnsiTheme="minorEastAsia" w:cstheme="minorEastAsia" w:hint="eastAsia"/>
                <w:b/>
                <w:sz w:val="24"/>
                <w:szCs w:val="24"/>
              </w:rPr>
              <w:instrText xml:space="preserve"> PAGEREF _Toc9141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sidR="00D21666">
              <w:rPr>
                <w:rFonts w:asciiTheme="minorEastAsia" w:eastAsiaTheme="minorEastAsia" w:hAnsiTheme="minorEastAsia" w:cstheme="minorEastAsia" w:hint="eastAsia"/>
                <w:b/>
                <w:sz w:val="24"/>
                <w:szCs w:val="24"/>
              </w:rPr>
              <w:t>1</w:t>
            </w:r>
            <w:r>
              <w:rPr>
                <w:rFonts w:asciiTheme="minorEastAsia" w:eastAsiaTheme="minorEastAsia" w:hAnsiTheme="minorEastAsia" w:cstheme="minorEastAsia" w:hint="eastAsia"/>
                <w:b/>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4514" w:history="1">
            <w:r w:rsidR="00D21666">
              <w:rPr>
                <w:rFonts w:asciiTheme="minorEastAsia" w:eastAsiaTheme="minorEastAsia" w:hAnsiTheme="minorEastAsia" w:cstheme="minorEastAsia" w:hint="eastAsia"/>
                <w:sz w:val="24"/>
                <w:szCs w:val="24"/>
              </w:rPr>
              <w:t>一、 职能简介</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_Toc4514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5536" w:history="1">
            <w:r w:rsidR="00D21666">
              <w:rPr>
                <w:rFonts w:asciiTheme="minorEastAsia" w:eastAsiaTheme="minorEastAsia" w:hAnsiTheme="minorEastAsia" w:cstheme="minorEastAsia" w:hint="eastAsia"/>
                <w:sz w:val="24"/>
                <w:szCs w:val="24"/>
              </w:rPr>
              <w:t>二、2021年重点工作完成情况</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_Toc15536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fldChar w:fldCharType="end"/>
            </w:r>
          </w:hyperlink>
        </w:p>
        <w:p w:rsidR="00920B76" w:rsidRDefault="00920B76">
          <w:pPr>
            <w:pStyle w:val="WPSOffice1"/>
            <w:tabs>
              <w:tab w:val="right" w:leader="dot" w:pos="8306"/>
            </w:tabs>
            <w:spacing w:line="440" w:lineRule="exact"/>
            <w:rPr>
              <w:rFonts w:asciiTheme="minorEastAsia" w:eastAsiaTheme="minorEastAsia" w:hAnsiTheme="minorEastAsia" w:cstheme="minorEastAsia"/>
              <w:b/>
              <w:sz w:val="24"/>
              <w:szCs w:val="24"/>
            </w:rPr>
          </w:pPr>
          <w:hyperlink w:anchor="_Toc25590" w:history="1">
            <w:r w:rsidR="00D21666">
              <w:rPr>
                <w:rFonts w:asciiTheme="minorEastAsia" w:eastAsiaTheme="minorEastAsia" w:hAnsiTheme="minorEastAsia" w:cstheme="minorEastAsia" w:hint="eastAsia"/>
                <w:b/>
                <w:bCs/>
                <w:sz w:val="24"/>
                <w:szCs w:val="24"/>
              </w:rPr>
              <w:t>第二部分 2021年度单位决算情况说明</w:t>
            </w:r>
            <w:r w:rsidR="00D21666">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sidR="00D21666">
              <w:rPr>
                <w:rFonts w:asciiTheme="minorEastAsia" w:eastAsiaTheme="minorEastAsia" w:hAnsiTheme="minorEastAsia" w:cstheme="minorEastAsia" w:hint="eastAsia"/>
                <w:b/>
                <w:sz w:val="24"/>
                <w:szCs w:val="24"/>
              </w:rPr>
              <w:instrText xml:space="preserve"> PAGEREF _Toc25590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sidR="00D21666">
              <w:rPr>
                <w:rFonts w:asciiTheme="minorEastAsia" w:eastAsiaTheme="minorEastAsia" w:hAnsiTheme="minorEastAsia" w:cstheme="minorEastAsia" w:hint="eastAsia"/>
                <w:b/>
                <w:sz w:val="24"/>
                <w:szCs w:val="24"/>
              </w:rPr>
              <w:t>6</w:t>
            </w:r>
            <w:r>
              <w:rPr>
                <w:rFonts w:asciiTheme="minorEastAsia" w:eastAsiaTheme="minorEastAsia" w:hAnsiTheme="minorEastAsia" w:cstheme="minorEastAsia" w:hint="eastAsia"/>
                <w:b/>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8194" w:history="1">
            <w:r w:rsidR="00D21666">
              <w:rPr>
                <w:rFonts w:asciiTheme="minorEastAsia" w:eastAsiaTheme="minorEastAsia" w:hAnsiTheme="minorEastAsia" w:cstheme="minorEastAsia" w:hint="eastAsia"/>
                <w:sz w:val="24"/>
                <w:szCs w:val="24"/>
              </w:rPr>
              <w:t>一、 收入支出决算总体情况说明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_Toc8194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5304" w:history="1">
            <w:r w:rsidR="00D21666">
              <w:rPr>
                <w:rFonts w:asciiTheme="minorEastAsia" w:eastAsiaTheme="minorEastAsia" w:hAnsiTheme="minorEastAsia" w:cstheme="minorEastAsia" w:hint="eastAsia"/>
                <w:sz w:val="24"/>
                <w:szCs w:val="24"/>
              </w:rPr>
              <w:t>二、 收入决算情况说明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_Toc5304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0540" w:history="1">
            <w:r w:rsidR="00D21666">
              <w:rPr>
                <w:rFonts w:asciiTheme="minorEastAsia" w:eastAsiaTheme="minorEastAsia" w:hAnsiTheme="minorEastAsia" w:cstheme="minorEastAsia" w:hint="eastAsia"/>
                <w:sz w:val="24"/>
                <w:szCs w:val="24"/>
              </w:rPr>
              <w:t>三、 支出决算情况说明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_Toc20540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6533" w:history="1">
            <w:r w:rsidR="00D21666">
              <w:rPr>
                <w:rFonts w:asciiTheme="minorEastAsia" w:eastAsiaTheme="minorEastAsia" w:hAnsiTheme="minorEastAsia" w:cstheme="minorEastAsia" w:hint="eastAsia"/>
                <w:sz w:val="24"/>
                <w:szCs w:val="24"/>
              </w:rPr>
              <w:t>四、财政拨款收入支出决算总体情况说明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_Toc16533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2242" w:history="1">
            <w:r w:rsidR="00D21666">
              <w:rPr>
                <w:rFonts w:asciiTheme="minorEastAsia" w:eastAsiaTheme="minorEastAsia" w:hAnsiTheme="minorEastAsia" w:cstheme="minorEastAsia" w:hint="eastAsia"/>
                <w:sz w:val="24"/>
                <w:szCs w:val="24"/>
              </w:rPr>
              <w:t>五、一般公共预算财政拨款支出决算情况说明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_Toc22242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1004" w:history="1">
            <w:r w:rsidR="00D21666">
              <w:rPr>
                <w:rFonts w:asciiTheme="minorEastAsia" w:eastAsiaTheme="minorEastAsia" w:hAnsiTheme="minorEastAsia" w:cstheme="minorEastAsia" w:hint="eastAsia"/>
                <w:sz w:val="24"/>
                <w:szCs w:val="24"/>
              </w:rPr>
              <w:t>六、一般公共预算财政拨款基本支出决算情况说明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_Toc21004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8924" w:history="1">
            <w:r w:rsidR="00D21666">
              <w:rPr>
                <w:rFonts w:asciiTheme="minorEastAsia" w:eastAsiaTheme="minorEastAsia" w:hAnsiTheme="minorEastAsia" w:cstheme="minorEastAsia" w:hint="eastAsia"/>
                <w:sz w:val="24"/>
                <w:szCs w:val="24"/>
              </w:rPr>
              <w:t>七、“三公”经费财政拨款支出决算情况说明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_Toc18924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1921" w:history="1">
            <w:r w:rsidR="00D21666">
              <w:rPr>
                <w:rFonts w:asciiTheme="minorEastAsia" w:eastAsiaTheme="minorEastAsia" w:hAnsiTheme="minorEastAsia" w:cstheme="minorEastAsia" w:hint="eastAsia"/>
                <w:sz w:val="24"/>
                <w:szCs w:val="24"/>
              </w:rPr>
              <w:t>八、政府性基金预算支出决算情况说明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_Toc21921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2402" w:history="1">
            <w:r w:rsidR="00D21666">
              <w:rPr>
                <w:rFonts w:asciiTheme="minorEastAsia" w:eastAsiaTheme="minorEastAsia" w:hAnsiTheme="minorEastAsia" w:cstheme="minorEastAsia" w:hint="eastAsia"/>
                <w:sz w:val="24"/>
                <w:szCs w:val="24"/>
              </w:rPr>
              <w:t>九、 国有资本经营预算支出决算情况说明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_Toc12402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4160" w:history="1">
            <w:r w:rsidR="00D21666">
              <w:rPr>
                <w:rFonts w:asciiTheme="minorEastAsia" w:eastAsiaTheme="minorEastAsia" w:hAnsiTheme="minorEastAsia" w:cstheme="minorEastAsia" w:hint="eastAsia"/>
                <w:sz w:val="24"/>
                <w:szCs w:val="24"/>
              </w:rPr>
              <w:t>十、 预算绩效管理情况</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_Toc24160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2521" w:history="1">
            <w:r w:rsidR="00D21666">
              <w:rPr>
                <w:rFonts w:asciiTheme="minorEastAsia" w:eastAsiaTheme="minorEastAsia" w:hAnsiTheme="minorEastAsia" w:cstheme="minorEastAsia" w:hint="eastAsia"/>
                <w:sz w:val="24"/>
                <w:szCs w:val="24"/>
              </w:rPr>
              <w:t>十一、 其他重要事项的情况说明</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_Toc12521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fldChar w:fldCharType="end"/>
            </w:r>
          </w:hyperlink>
        </w:p>
        <w:p w:rsidR="00920B76" w:rsidRDefault="00920B76">
          <w:pPr>
            <w:pStyle w:val="WPSOffice1"/>
            <w:tabs>
              <w:tab w:val="right" w:leader="dot" w:pos="8306"/>
            </w:tabs>
            <w:spacing w:line="440" w:lineRule="exact"/>
            <w:rPr>
              <w:rFonts w:asciiTheme="minorEastAsia" w:eastAsiaTheme="minorEastAsia" w:hAnsiTheme="minorEastAsia" w:cstheme="minorEastAsia"/>
              <w:b/>
              <w:sz w:val="24"/>
              <w:szCs w:val="24"/>
            </w:rPr>
          </w:pPr>
          <w:hyperlink w:anchor="_Toc7685" w:history="1">
            <w:r w:rsidR="00D21666">
              <w:rPr>
                <w:rFonts w:asciiTheme="minorEastAsia" w:eastAsiaTheme="minorEastAsia" w:hAnsiTheme="minorEastAsia" w:cstheme="minorEastAsia" w:hint="eastAsia"/>
                <w:b/>
                <w:sz w:val="24"/>
                <w:szCs w:val="24"/>
              </w:rPr>
              <w:t>第三部分 名词解释</w:t>
            </w:r>
            <w:r w:rsidR="00D21666">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sidR="00D21666">
              <w:rPr>
                <w:rFonts w:asciiTheme="minorEastAsia" w:eastAsiaTheme="minorEastAsia" w:hAnsiTheme="minorEastAsia" w:cstheme="minorEastAsia" w:hint="eastAsia"/>
                <w:b/>
                <w:sz w:val="24"/>
                <w:szCs w:val="24"/>
              </w:rPr>
              <w:instrText xml:space="preserve"> PAGEREF _Toc7685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sidR="00D21666">
              <w:rPr>
                <w:rFonts w:asciiTheme="minorEastAsia" w:eastAsiaTheme="minorEastAsia" w:hAnsiTheme="minorEastAsia" w:cstheme="minorEastAsia" w:hint="eastAsia"/>
                <w:b/>
                <w:sz w:val="24"/>
                <w:szCs w:val="24"/>
              </w:rPr>
              <w:t>13</w:t>
            </w:r>
            <w:r>
              <w:rPr>
                <w:rFonts w:asciiTheme="minorEastAsia" w:eastAsiaTheme="minorEastAsia" w:hAnsiTheme="minorEastAsia" w:cstheme="minorEastAsia" w:hint="eastAsia"/>
                <w:b/>
                <w:sz w:val="24"/>
                <w:szCs w:val="24"/>
              </w:rPr>
              <w:fldChar w:fldCharType="end"/>
            </w:r>
          </w:hyperlink>
        </w:p>
        <w:p w:rsidR="00920B76" w:rsidRDefault="00920B76">
          <w:pPr>
            <w:pStyle w:val="WPSOffice1"/>
            <w:tabs>
              <w:tab w:val="right" w:leader="dot" w:pos="8306"/>
            </w:tabs>
            <w:spacing w:line="440" w:lineRule="exact"/>
            <w:rPr>
              <w:rFonts w:asciiTheme="minorEastAsia" w:eastAsiaTheme="minorEastAsia" w:hAnsiTheme="minorEastAsia" w:cstheme="minorEastAsia"/>
              <w:sz w:val="24"/>
              <w:szCs w:val="24"/>
            </w:rPr>
          </w:pPr>
          <w:hyperlink w:anchor="_Toc31610" w:history="1">
            <w:r w:rsidR="00D21666">
              <w:rPr>
                <w:rFonts w:asciiTheme="minorEastAsia" w:eastAsiaTheme="minorEastAsia" w:hAnsiTheme="minorEastAsia" w:cstheme="minorEastAsia" w:hint="eastAsia"/>
                <w:b/>
                <w:sz w:val="24"/>
                <w:szCs w:val="24"/>
              </w:rPr>
              <w:t>第四部分 附件</w:t>
            </w:r>
            <w:r w:rsidR="00D21666">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sidR="00D21666">
              <w:rPr>
                <w:rFonts w:asciiTheme="minorEastAsia" w:eastAsiaTheme="minorEastAsia" w:hAnsiTheme="minorEastAsia" w:cstheme="minorEastAsia" w:hint="eastAsia"/>
                <w:b/>
                <w:sz w:val="24"/>
                <w:szCs w:val="24"/>
              </w:rPr>
              <w:instrText xml:space="preserve"> PAGEREF _Toc31610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sidR="00D21666">
              <w:rPr>
                <w:rFonts w:asciiTheme="minorEastAsia" w:eastAsiaTheme="minorEastAsia" w:hAnsiTheme="minorEastAsia" w:cstheme="minorEastAsia" w:hint="eastAsia"/>
                <w:b/>
                <w:sz w:val="24"/>
                <w:szCs w:val="24"/>
              </w:rPr>
              <w:t>15</w:t>
            </w:r>
            <w:r>
              <w:rPr>
                <w:rFonts w:asciiTheme="minorEastAsia" w:eastAsiaTheme="minorEastAsia" w:hAnsiTheme="minorEastAsia" w:cstheme="minorEastAsia" w:hint="eastAsia"/>
                <w:b/>
                <w:sz w:val="24"/>
                <w:szCs w:val="24"/>
              </w:rPr>
              <w:fldChar w:fldCharType="end"/>
            </w:r>
          </w:hyperlink>
        </w:p>
        <w:p w:rsidR="00920B76" w:rsidRDefault="00920B76">
          <w:pPr>
            <w:pStyle w:val="WPSOffice1"/>
            <w:tabs>
              <w:tab w:val="right" w:leader="dot" w:pos="8306"/>
            </w:tabs>
            <w:spacing w:line="440" w:lineRule="exact"/>
            <w:rPr>
              <w:rFonts w:asciiTheme="minorEastAsia" w:eastAsiaTheme="minorEastAsia" w:hAnsiTheme="minorEastAsia" w:cstheme="minorEastAsia"/>
              <w:b/>
              <w:sz w:val="24"/>
              <w:szCs w:val="24"/>
            </w:rPr>
          </w:pPr>
          <w:hyperlink w:anchor="_Toc23154" w:history="1">
            <w:r w:rsidR="00D21666">
              <w:rPr>
                <w:rFonts w:asciiTheme="minorEastAsia" w:eastAsiaTheme="minorEastAsia" w:hAnsiTheme="minorEastAsia" w:cstheme="minorEastAsia" w:hint="eastAsia"/>
                <w:b/>
                <w:sz w:val="24"/>
                <w:szCs w:val="24"/>
              </w:rPr>
              <w:t>第五部分 附表</w:t>
            </w:r>
            <w:r w:rsidR="00D21666">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sidR="00D21666">
              <w:rPr>
                <w:rFonts w:asciiTheme="minorEastAsia" w:eastAsiaTheme="minorEastAsia" w:hAnsiTheme="minorEastAsia" w:cstheme="minorEastAsia" w:hint="eastAsia"/>
                <w:b/>
                <w:sz w:val="24"/>
                <w:szCs w:val="24"/>
              </w:rPr>
              <w:instrText xml:space="preserve"> PAGEREF _Toc23154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sidR="00D21666">
              <w:rPr>
                <w:rFonts w:asciiTheme="minorEastAsia" w:eastAsiaTheme="minorEastAsia" w:hAnsiTheme="minorEastAsia" w:cstheme="minorEastAsia" w:hint="eastAsia"/>
                <w:b/>
                <w:sz w:val="24"/>
                <w:szCs w:val="24"/>
              </w:rPr>
              <w:t>18</w:t>
            </w:r>
            <w:r>
              <w:rPr>
                <w:rFonts w:asciiTheme="minorEastAsia" w:eastAsiaTheme="minorEastAsia" w:hAnsiTheme="minorEastAsia" w:cstheme="minorEastAsia" w:hint="eastAsia"/>
                <w:b/>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4553" w:history="1">
            <w:r w:rsidR="00D21666">
              <w:rPr>
                <w:rFonts w:asciiTheme="minorEastAsia" w:eastAsiaTheme="minorEastAsia" w:hAnsiTheme="minorEastAsia" w:cstheme="minorEastAsia" w:hint="eastAsia"/>
                <w:sz w:val="24"/>
                <w:szCs w:val="24"/>
              </w:rPr>
              <w:t>一、收入支出决算总表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_Toc24553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7280" w:history="1">
            <w:r w:rsidR="00D21666">
              <w:rPr>
                <w:rFonts w:asciiTheme="minorEastAsia" w:eastAsiaTheme="minorEastAsia" w:hAnsiTheme="minorEastAsia" w:cstheme="minorEastAsia" w:hint="eastAsia"/>
                <w:sz w:val="24"/>
                <w:szCs w:val="24"/>
              </w:rPr>
              <w:t>二、收入决算表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_Toc27280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32679" w:history="1">
            <w:r w:rsidR="00D21666">
              <w:rPr>
                <w:rFonts w:asciiTheme="minorEastAsia" w:eastAsiaTheme="minorEastAsia" w:hAnsiTheme="minorEastAsia" w:cstheme="minorEastAsia" w:hint="eastAsia"/>
                <w:sz w:val="24"/>
                <w:szCs w:val="24"/>
              </w:rPr>
              <w:t>三、支出决算表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_Toc32679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0141" w:history="1">
            <w:r w:rsidR="00D21666">
              <w:rPr>
                <w:rFonts w:asciiTheme="minorEastAsia" w:eastAsiaTheme="minorEastAsia" w:hAnsiTheme="minorEastAsia" w:cstheme="minorEastAsia" w:hint="eastAsia"/>
                <w:sz w:val="24"/>
                <w:szCs w:val="24"/>
              </w:rPr>
              <w:t>四、财政拨款收入支出决算总表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_Toc20141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8269" w:history="1">
            <w:r w:rsidR="00D21666">
              <w:rPr>
                <w:rFonts w:asciiTheme="minorEastAsia" w:eastAsiaTheme="minorEastAsia" w:hAnsiTheme="minorEastAsia" w:cstheme="minorEastAsia" w:hint="eastAsia"/>
                <w:sz w:val="24"/>
                <w:szCs w:val="24"/>
              </w:rPr>
              <w:t>五、财政拨款支出决算明细表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_Toc28269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423" w:history="1">
            <w:r w:rsidR="00D21666">
              <w:rPr>
                <w:rFonts w:asciiTheme="minorEastAsia" w:eastAsiaTheme="minorEastAsia" w:hAnsiTheme="minorEastAsia" w:cstheme="minorEastAsia" w:hint="eastAsia"/>
                <w:sz w:val="24"/>
                <w:szCs w:val="24"/>
              </w:rPr>
              <w:t>六、一般公共预算财政拨款支出决算表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_Toc423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26038" w:history="1">
            <w:r w:rsidR="00D21666">
              <w:rPr>
                <w:rFonts w:asciiTheme="minorEastAsia" w:eastAsiaTheme="minorEastAsia" w:hAnsiTheme="minorEastAsia" w:cstheme="minorEastAsia" w:hint="eastAsia"/>
                <w:sz w:val="24"/>
                <w:szCs w:val="24"/>
              </w:rPr>
              <w:t>七、一般公共预算财政拨款支出决算明细表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_Toc26038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6578" w:history="1">
            <w:r w:rsidR="00D21666">
              <w:rPr>
                <w:rFonts w:asciiTheme="minorEastAsia" w:eastAsiaTheme="minorEastAsia" w:hAnsiTheme="minorEastAsia" w:cstheme="minorEastAsia" w:hint="eastAsia"/>
                <w:sz w:val="24"/>
                <w:szCs w:val="24"/>
              </w:rPr>
              <w:t>八、一般公共预算财政拨款基本支出决算表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_Toc16578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4503" w:history="1">
            <w:r w:rsidR="00D21666">
              <w:rPr>
                <w:rFonts w:asciiTheme="minorEastAsia" w:eastAsiaTheme="minorEastAsia" w:hAnsiTheme="minorEastAsia" w:cstheme="minorEastAsia" w:hint="eastAsia"/>
                <w:sz w:val="24"/>
                <w:szCs w:val="24"/>
              </w:rPr>
              <w:t>九、一般公共预算财政拨款项目支出决算表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_Toc14503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6607" w:history="1">
            <w:r w:rsidR="00D21666">
              <w:rPr>
                <w:rFonts w:asciiTheme="minorEastAsia" w:eastAsiaTheme="minorEastAsia" w:hAnsiTheme="minorEastAsia" w:cstheme="minorEastAsia" w:hint="eastAsia"/>
                <w:sz w:val="24"/>
                <w:szCs w:val="24"/>
              </w:rPr>
              <w:t>十、一般公共预算财政拨款“三公”经费支出决算表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_Toc6607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2287" w:history="1">
            <w:r w:rsidR="00D21666">
              <w:rPr>
                <w:rFonts w:asciiTheme="minorEastAsia" w:eastAsiaTheme="minorEastAsia" w:hAnsiTheme="minorEastAsia" w:cstheme="minorEastAsia" w:hint="eastAsia"/>
                <w:sz w:val="24"/>
                <w:szCs w:val="24"/>
              </w:rPr>
              <w:t>十一、政府性基金预算财政拨款收入支出决算表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_Toc12287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7378" w:history="1">
            <w:r w:rsidR="00D21666">
              <w:rPr>
                <w:rFonts w:asciiTheme="minorEastAsia" w:eastAsiaTheme="minorEastAsia" w:hAnsiTheme="minorEastAsia" w:cstheme="minorEastAsia" w:hint="eastAsia"/>
                <w:sz w:val="24"/>
                <w:szCs w:val="24"/>
              </w:rPr>
              <w:t>十二、政府性基金预算财政拨款“三公”经费支出决算表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_Toc17378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rPr>
              <w:rFonts w:asciiTheme="minorEastAsia" w:eastAsiaTheme="minorEastAsia" w:hAnsiTheme="minorEastAsia" w:cstheme="minorEastAsia"/>
              <w:sz w:val="24"/>
              <w:szCs w:val="24"/>
            </w:rPr>
          </w:pPr>
          <w:hyperlink w:anchor="_Toc14997" w:history="1">
            <w:r w:rsidR="00D21666">
              <w:rPr>
                <w:rFonts w:asciiTheme="minorEastAsia" w:eastAsiaTheme="minorEastAsia" w:hAnsiTheme="minorEastAsia" w:cstheme="minorEastAsia" w:hint="eastAsia"/>
                <w:sz w:val="24"/>
                <w:szCs w:val="24"/>
              </w:rPr>
              <w:t>十三、国有资本经营预算财政拨款收入支出决算表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_Toc14997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rsidP="00D21666">
          <w:pPr>
            <w:pStyle w:val="WPSOffice2"/>
            <w:tabs>
              <w:tab w:val="right" w:leader="dot" w:pos="8306"/>
            </w:tabs>
            <w:spacing w:line="440" w:lineRule="exact"/>
            <w:ind w:left="420"/>
          </w:pPr>
          <w:hyperlink w:anchor="_Toc24154" w:history="1">
            <w:r w:rsidR="00D21666">
              <w:rPr>
                <w:rFonts w:asciiTheme="minorEastAsia" w:eastAsiaTheme="minorEastAsia" w:hAnsiTheme="minorEastAsia" w:cstheme="minorEastAsia" w:hint="eastAsia"/>
                <w:sz w:val="24"/>
                <w:szCs w:val="24"/>
              </w:rPr>
              <w:t>十四、国有资本经营预算财政拨款支出决算表</w:t>
            </w:r>
            <w:r w:rsidR="00D21666">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sidR="00D21666">
              <w:rPr>
                <w:rFonts w:asciiTheme="minorEastAsia" w:eastAsiaTheme="minorEastAsia" w:hAnsiTheme="minorEastAsia" w:cstheme="minorEastAsia" w:hint="eastAsia"/>
                <w:sz w:val="24"/>
                <w:szCs w:val="24"/>
              </w:rPr>
              <w:instrText xml:space="preserve"> PAGEREF _Toc24154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sidR="00D21666">
              <w:rPr>
                <w:rFonts w:asciiTheme="minorEastAsia" w:eastAsiaTheme="minorEastAsia" w:hAnsiTheme="minorEastAsia" w:cstheme="minorEastAsia" w:hint="eastAsia"/>
                <w:sz w:val="24"/>
                <w:szCs w:val="24"/>
              </w:rPr>
              <w:t>18</w:t>
            </w:r>
            <w:r>
              <w:rPr>
                <w:rFonts w:asciiTheme="minorEastAsia" w:eastAsiaTheme="minorEastAsia" w:hAnsiTheme="minorEastAsia" w:cstheme="minorEastAsia" w:hint="eastAsia"/>
                <w:sz w:val="24"/>
                <w:szCs w:val="24"/>
              </w:rPr>
              <w:fldChar w:fldCharType="end"/>
            </w:r>
          </w:hyperlink>
        </w:p>
        <w:p w:rsidR="00920B76" w:rsidRDefault="00920B76">
          <w:pPr>
            <w:pStyle w:val="10"/>
            <w:jc w:val="both"/>
          </w:pPr>
          <w:r>
            <w:rPr>
              <w:b/>
            </w:rPr>
            <w:fldChar w:fldCharType="end"/>
          </w:r>
        </w:p>
      </w:sdtContent>
    </w:sdt>
    <w:p w:rsidR="00920B76" w:rsidRDefault="00920B76"/>
    <w:p w:rsidR="00920B76" w:rsidRDefault="00D21666">
      <w:pPr>
        <w:widowControl/>
        <w:spacing w:line="440" w:lineRule="exact"/>
        <w:jc w:val="left"/>
        <w:rPr>
          <w:rFonts w:ascii="仿宋" w:eastAsia="仿宋" w:hAnsi="仿宋"/>
          <w:bCs/>
          <w:kern w:val="44"/>
          <w:sz w:val="24"/>
        </w:rPr>
      </w:pPr>
      <w:bookmarkStart w:id="15" w:name="_Toc15396599"/>
      <w:bookmarkStart w:id="16" w:name="_Toc15377196"/>
      <w:r>
        <w:rPr>
          <w:rFonts w:ascii="仿宋" w:eastAsia="仿宋" w:hAnsi="仿宋"/>
          <w:b/>
          <w:sz w:val="24"/>
        </w:rPr>
        <w:br w:type="page"/>
      </w:r>
    </w:p>
    <w:p w:rsidR="00920B76" w:rsidRDefault="00920B76">
      <w:pPr>
        <w:pStyle w:val="1"/>
        <w:jc w:val="center"/>
        <w:rPr>
          <w:rFonts w:ascii="黑体" w:eastAsia="黑体" w:hAnsi="黑体"/>
          <w:b w:val="0"/>
        </w:rPr>
        <w:sectPr w:rsidR="00920B76">
          <w:headerReference w:type="default" r:id="rId8"/>
          <w:pgSz w:w="11906" w:h="16838"/>
          <w:pgMar w:top="1440" w:right="1800" w:bottom="1440" w:left="1800" w:header="851" w:footer="992" w:gutter="0"/>
          <w:pgNumType w:start="1"/>
          <w:cols w:space="425"/>
          <w:titlePg/>
          <w:docGrid w:type="lines" w:linePitch="312"/>
        </w:sectPr>
      </w:pPr>
    </w:p>
    <w:p w:rsidR="00920B76" w:rsidRDefault="00D21666">
      <w:pPr>
        <w:pStyle w:val="1"/>
        <w:jc w:val="center"/>
        <w:rPr>
          <w:rStyle w:val="1Char"/>
          <w:rFonts w:ascii="黑体" w:eastAsia="黑体" w:hAnsi="黑体"/>
          <w:b/>
        </w:rPr>
      </w:pPr>
      <w:bookmarkStart w:id="17" w:name="_Toc9141"/>
      <w:r>
        <w:rPr>
          <w:rFonts w:ascii="黑体" w:eastAsia="黑体" w:hAnsi="黑体" w:hint="eastAsia"/>
          <w:b w:val="0"/>
        </w:rPr>
        <w:lastRenderedPageBreak/>
        <w:t>第一部分 单位</w:t>
      </w:r>
      <w:r>
        <w:rPr>
          <w:rStyle w:val="1Char"/>
          <w:rFonts w:ascii="黑体" w:eastAsia="黑体" w:hAnsi="黑体" w:hint="eastAsia"/>
        </w:rPr>
        <w:t>概况</w:t>
      </w:r>
      <w:bookmarkEnd w:id="15"/>
      <w:bookmarkEnd w:id="16"/>
      <w:bookmarkEnd w:id="17"/>
    </w:p>
    <w:p w:rsidR="00920B76" w:rsidRDefault="00920B76">
      <w:pPr>
        <w:widowControl/>
        <w:jc w:val="left"/>
        <w:rPr>
          <w:rFonts w:ascii="黑体" w:eastAsia="黑体"/>
          <w:sz w:val="32"/>
          <w:szCs w:val="32"/>
        </w:rPr>
      </w:pPr>
    </w:p>
    <w:p w:rsidR="00920B76" w:rsidRDefault="00D21666">
      <w:pPr>
        <w:pStyle w:val="2"/>
        <w:numPr>
          <w:ilvl w:val="0"/>
          <w:numId w:val="1"/>
        </w:numPr>
        <w:rPr>
          <w:rStyle w:val="2Char"/>
          <w:rFonts w:ascii="黑体" w:eastAsia="黑体" w:hAnsi="黑体"/>
        </w:rPr>
      </w:pPr>
      <w:bookmarkStart w:id="18" w:name="_Toc4514"/>
      <w:bookmarkStart w:id="19" w:name="_Toc15377197"/>
      <w:bookmarkStart w:id="20" w:name="_Toc15396600"/>
      <w:r>
        <w:rPr>
          <w:rStyle w:val="2Char"/>
          <w:rFonts w:ascii="黑体" w:eastAsia="黑体" w:hAnsi="黑体" w:hint="eastAsia"/>
        </w:rPr>
        <w:t>职能简介</w:t>
      </w:r>
      <w:bookmarkEnd w:id="18"/>
    </w:p>
    <w:p w:rsidR="00920B76" w:rsidRDefault="00D21666" w:rsidP="00D21666">
      <w:pPr>
        <w:pStyle w:val="a4"/>
        <w:spacing w:before="93" w:line="600" w:lineRule="exact"/>
        <w:ind w:firstLineChars="200" w:firstLine="640"/>
        <w:rPr>
          <w:rFonts w:ascii="仿宋" w:eastAsia="仿宋" w:hAnsi="仿宋" w:cs="仿宋"/>
          <w:sz w:val="32"/>
          <w:szCs w:val="32"/>
        </w:rPr>
      </w:pPr>
      <w:bookmarkStart w:id="21" w:name="_Toc26141"/>
      <w:r>
        <w:rPr>
          <w:rFonts w:ascii="仿宋" w:eastAsia="仿宋" w:hAnsi="仿宋" w:cs="仿宋" w:hint="eastAsia"/>
          <w:sz w:val="32"/>
          <w:szCs w:val="32"/>
        </w:rPr>
        <w:t>1、疾病预防与控制;</w:t>
      </w:r>
      <w:bookmarkEnd w:id="21"/>
    </w:p>
    <w:p w:rsidR="00920B76" w:rsidRDefault="00D21666" w:rsidP="00D21666">
      <w:pPr>
        <w:pStyle w:val="a4"/>
        <w:spacing w:before="93" w:line="600" w:lineRule="exact"/>
        <w:ind w:firstLineChars="200" w:firstLine="640"/>
        <w:rPr>
          <w:rFonts w:ascii="仿宋" w:eastAsia="仿宋" w:hAnsi="仿宋" w:cs="仿宋"/>
          <w:sz w:val="32"/>
          <w:szCs w:val="32"/>
        </w:rPr>
      </w:pPr>
      <w:bookmarkStart w:id="22" w:name="_Toc20050"/>
      <w:r>
        <w:rPr>
          <w:rFonts w:ascii="仿宋" w:eastAsia="仿宋" w:hAnsi="仿宋" w:cs="仿宋" w:hint="eastAsia"/>
          <w:sz w:val="32"/>
          <w:szCs w:val="32"/>
        </w:rPr>
        <w:t>2、突发公共卫生事件应急处置;</w:t>
      </w:r>
      <w:bookmarkEnd w:id="22"/>
    </w:p>
    <w:p w:rsidR="00920B76" w:rsidRDefault="00D21666" w:rsidP="00D21666">
      <w:pPr>
        <w:pStyle w:val="a4"/>
        <w:spacing w:before="93" w:line="600" w:lineRule="exact"/>
        <w:ind w:firstLineChars="200" w:firstLine="640"/>
        <w:rPr>
          <w:rFonts w:ascii="仿宋" w:eastAsia="仿宋" w:hAnsi="仿宋" w:cs="仿宋"/>
          <w:sz w:val="32"/>
          <w:szCs w:val="32"/>
        </w:rPr>
      </w:pPr>
      <w:bookmarkStart w:id="23" w:name="_Toc13562"/>
      <w:r>
        <w:rPr>
          <w:rFonts w:ascii="仿宋" w:eastAsia="仿宋" w:hAnsi="仿宋" w:cs="仿宋" w:hint="eastAsia"/>
          <w:sz w:val="32"/>
          <w:szCs w:val="32"/>
        </w:rPr>
        <w:t>3、疫情及健康相关因素信息管理;</w:t>
      </w:r>
      <w:bookmarkEnd w:id="23"/>
    </w:p>
    <w:p w:rsidR="00920B76" w:rsidRDefault="00D21666" w:rsidP="00D21666">
      <w:pPr>
        <w:pStyle w:val="a4"/>
        <w:spacing w:before="93" w:line="600" w:lineRule="exact"/>
        <w:ind w:firstLineChars="200" w:firstLine="640"/>
        <w:rPr>
          <w:rFonts w:ascii="仿宋" w:eastAsia="仿宋" w:hAnsi="仿宋" w:cs="仿宋"/>
          <w:sz w:val="32"/>
          <w:szCs w:val="32"/>
        </w:rPr>
      </w:pPr>
      <w:bookmarkStart w:id="24" w:name="_Toc475"/>
      <w:r>
        <w:rPr>
          <w:rFonts w:ascii="仿宋" w:eastAsia="仿宋" w:hAnsi="仿宋" w:cs="仿宋" w:hint="eastAsia"/>
          <w:sz w:val="32"/>
          <w:szCs w:val="32"/>
        </w:rPr>
        <w:t>4、健康危害因素监测与干预;</w:t>
      </w:r>
      <w:bookmarkEnd w:id="24"/>
    </w:p>
    <w:p w:rsidR="00920B76" w:rsidRDefault="00D21666" w:rsidP="00D21666">
      <w:pPr>
        <w:pStyle w:val="a4"/>
        <w:spacing w:before="93" w:line="600" w:lineRule="exact"/>
        <w:ind w:firstLineChars="200" w:firstLine="640"/>
        <w:rPr>
          <w:rFonts w:ascii="仿宋" w:eastAsia="仿宋" w:hAnsi="仿宋" w:cs="仿宋"/>
          <w:sz w:val="32"/>
          <w:szCs w:val="32"/>
        </w:rPr>
      </w:pPr>
      <w:bookmarkStart w:id="25" w:name="_Toc15517"/>
      <w:r>
        <w:rPr>
          <w:rFonts w:ascii="仿宋" w:eastAsia="仿宋" w:hAnsi="仿宋" w:cs="仿宋" w:hint="eastAsia"/>
          <w:sz w:val="32"/>
          <w:szCs w:val="32"/>
        </w:rPr>
        <w:t>5、实验室检测检验与评价;</w:t>
      </w:r>
      <w:bookmarkEnd w:id="25"/>
    </w:p>
    <w:p w:rsidR="00920B76" w:rsidRDefault="00D21666">
      <w:pPr>
        <w:spacing w:line="600" w:lineRule="exact"/>
        <w:ind w:firstLineChars="200" w:firstLine="640"/>
        <w:rPr>
          <w:rFonts w:ascii="仿宋" w:eastAsia="仿宋" w:hAnsi="仿宋" w:cs="仿宋"/>
          <w:sz w:val="32"/>
          <w:szCs w:val="32"/>
        </w:rPr>
      </w:pPr>
      <w:bookmarkStart w:id="26" w:name="_Toc31825"/>
      <w:r>
        <w:rPr>
          <w:rFonts w:ascii="仿宋" w:eastAsia="仿宋" w:hAnsi="仿宋" w:cs="仿宋" w:hint="eastAsia"/>
          <w:sz w:val="32"/>
          <w:szCs w:val="32"/>
        </w:rPr>
        <w:t>6、健康教育与健康促进等。</w:t>
      </w:r>
      <w:bookmarkEnd w:id="26"/>
    </w:p>
    <w:p w:rsidR="00920B76" w:rsidRDefault="00D21666">
      <w:pPr>
        <w:pStyle w:val="2"/>
        <w:rPr>
          <w:rFonts w:ascii="黑体" w:eastAsia="黑体" w:hAnsi="黑体"/>
          <w:b w:val="0"/>
        </w:rPr>
      </w:pPr>
      <w:bookmarkStart w:id="27" w:name="_Toc15536"/>
      <w:r>
        <w:rPr>
          <w:rFonts w:ascii="黑体" w:eastAsia="黑体" w:hAnsi="黑体" w:hint="eastAsia"/>
          <w:b w:val="0"/>
        </w:rPr>
        <w:t>二、2021年重点工作</w:t>
      </w:r>
      <w:bookmarkEnd w:id="19"/>
      <w:bookmarkEnd w:id="20"/>
      <w:r>
        <w:rPr>
          <w:rFonts w:ascii="黑体" w:eastAsia="黑体" w:hAnsi="黑体" w:hint="eastAsia"/>
          <w:b w:val="0"/>
        </w:rPr>
        <w:t>完成情况</w:t>
      </w:r>
      <w:bookmarkEnd w:id="27"/>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ascii="黑体" w:eastAsia="黑体" w:hAnsi="黑体" w:cs="黑体"/>
          <w:sz w:val="32"/>
          <w:szCs w:val="32"/>
        </w:rPr>
      </w:pPr>
      <w:r>
        <w:rPr>
          <w:rFonts w:ascii="楷体" w:eastAsia="楷体" w:hAnsi="楷体" w:cs="楷体" w:hint="eastAsia"/>
          <w:sz w:val="32"/>
          <w:szCs w:val="32"/>
        </w:rPr>
        <w:t>（一）</w:t>
      </w:r>
      <w:r>
        <w:rPr>
          <w:rFonts w:ascii="黑体" w:eastAsia="黑体" w:hAnsi="黑体" w:cs="黑体" w:hint="eastAsia"/>
          <w:sz w:val="32"/>
          <w:szCs w:val="32"/>
        </w:rPr>
        <w:t>管理工作</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建立健全管理制度及工作机制。坚持“疾病预防控制、健康和谐昭化”的工作目标和“团结、务实、敬业、奉献”的管理服务理念，坚定三个“两手抓、两手硬”的工作方针，即党建+业务、基本工作+核心工作、内务+外务，确保各项工作有序推进。</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坚持民主集中制，完善议事决策机制。及时召开支委会议、主任会、主任办公会、科主任会、职工会及周例会，学习传达贯彻上级文件精神，特别是疫情防控各项政策、公告、讲话精神，通报单位工作进展情况和疫情处置情况，解</w:t>
      </w:r>
      <w:r>
        <w:rPr>
          <w:rFonts w:ascii="仿宋" w:eastAsia="仿宋" w:hAnsi="仿宋" w:cs="仿宋" w:hint="eastAsia"/>
          <w:sz w:val="32"/>
          <w:szCs w:val="32"/>
        </w:rPr>
        <w:lastRenderedPageBreak/>
        <w:t>决重点难点问题，推动各项工作顺利实施。</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3.落实好人才待遇保障，努力为发挥人才作用创造条件。大胆重用年轻人担任科室负责人；组织干部参加上级各种业务培训，配合省、市疾控中心专家对本单位的对口帮扶工作。</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leftChars="304" w:left="638"/>
        <w:rPr>
          <w:rFonts w:ascii="仿宋" w:eastAsia="仿宋" w:hAnsi="仿宋" w:cs="仿宋"/>
          <w:sz w:val="32"/>
          <w:szCs w:val="32"/>
        </w:rPr>
      </w:pPr>
      <w:r>
        <w:rPr>
          <w:rFonts w:ascii="仿宋" w:eastAsia="仿宋" w:hAnsi="仿宋" w:cs="仿宋" w:hint="eastAsia"/>
          <w:sz w:val="32"/>
          <w:szCs w:val="32"/>
        </w:rPr>
        <w:t>4.加大安全隐患排查和整改，全年无安全责任事故。</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Fonts w:ascii="仿宋" w:eastAsia="仿宋" w:hAnsi="仿宋" w:cs="仿宋" w:hint="eastAsia"/>
          <w:sz w:val="32"/>
          <w:szCs w:val="32"/>
        </w:rPr>
        <w:t>5.规范财务管理。</w:t>
      </w:r>
      <w:r>
        <w:rPr>
          <w:rFonts w:eastAsia="仿宋_GB2312" w:hint="eastAsia"/>
          <w:sz w:val="32"/>
          <w:szCs w:val="32"/>
        </w:rPr>
        <w:t>实施好中财、省财项目，执行好财经纪律，无乱收乱支行为。</w:t>
      </w:r>
      <w:r>
        <w:rPr>
          <w:rFonts w:ascii="仿宋_GB2312" w:eastAsia="仿宋_GB2312" w:hAnsi="仿宋_GB2312" w:cs="仿宋_GB2312" w:hint="eastAsia"/>
          <w:color w:val="000000" w:themeColor="text1"/>
          <w:sz w:val="32"/>
          <w:szCs w:val="32"/>
        </w:rPr>
        <w:t>针对</w:t>
      </w:r>
      <w:r>
        <w:rPr>
          <w:rFonts w:eastAsia="仿宋_GB2312" w:hint="eastAsia"/>
          <w:sz w:val="32"/>
          <w:szCs w:val="32"/>
        </w:rPr>
        <w:t>区人民医院原财务科长</w:t>
      </w:r>
      <w:r>
        <w:rPr>
          <w:rFonts w:ascii="仿宋_GB2312" w:eastAsia="仿宋_GB2312" w:hAnsi="仿宋_GB2312" w:cs="仿宋_GB2312" w:hint="eastAsia"/>
          <w:color w:val="000000" w:themeColor="text1"/>
          <w:sz w:val="32"/>
          <w:szCs w:val="32"/>
        </w:rPr>
        <w:t>付泉山违纪违法典型案，组织分管科室党员干部进行廉政谈话，</w:t>
      </w:r>
      <w:r>
        <w:rPr>
          <w:rStyle w:val="200"/>
          <w:rFonts w:ascii="仿宋" w:eastAsia="仿宋" w:hAnsi="仿宋" w:cs="仿宋" w:hint="eastAsia"/>
        </w:rPr>
        <w:t>组织对中心财务管理情况进行了排查和内审，再次重申和规范了7项财务管理制度，筑牢了管理防线。</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黑体" w:eastAsia="黑体" w:hAnsi="黑体" w:cs="黑体" w:hint="eastAsia"/>
        </w:rPr>
        <w:t>（二）“新冠”肺炎疫情防控工作</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eastAsia="仿宋_GB2312"/>
          <w:sz w:val="32"/>
          <w:szCs w:val="32"/>
        </w:rPr>
      </w:pPr>
      <w:r>
        <w:rPr>
          <w:rStyle w:val="200"/>
          <w:rFonts w:ascii="仿宋" w:eastAsia="仿宋" w:hAnsi="仿宋" w:cs="仿宋" w:hint="eastAsia"/>
        </w:rPr>
        <w:t>继续按照省、市、区应对新冠肺炎应急指挥部疫情防控工作部署，积极开展新冠肺炎疫情防控各项工作，成功处置两起境外输入我区新冠肺炎病例疫情，无二代病例发生。</w:t>
      </w:r>
      <w:r>
        <w:rPr>
          <w:rFonts w:eastAsia="仿宋_GB2312" w:hint="eastAsia"/>
          <w:sz w:val="32"/>
          <w:szCs w:val="32"/>
        </w:rPr>
        <w:t>严格落实昼夜</w:t>
      </w:r>
      <w:r>
        <w:rPr>
          <w:rFonts w:eastAsia="仿宋_GB2312" w:hint="eastAsia"/>
          <w:sz w:val="32"/>
          <w:szCs w:val="32"/>
        </w:rPr>
        <w:t>24</w:t>
      </w:r>
      <w:r>
        <w:rPr>
          <w:rFonts w:eastAsia="仿宋_GB2312" w:hint="eastAsia"/>
          <w:sz w:val="32"/>
          <w:szCs w:val="32"/>
        </w:rPr>
        <w:t>小时值班制度，积极融入区疫情防控和医疗救治组，</w:t>
      </w:r>
      <w:r>
        <w:rPr>
          <w:rStyle w:val="200"/>
          <w:rFonts w:ascii="仿宋" w:eastAsia="仿宋" w:hAnsi="仿宋" w:cs="仿宋" w:hint="eastAsia"/>
        </w:rPr>
        <w:t>及时</w:t>
      </w:r>
      <w:r>
        <w:rPr>
          <w:rFonts w:eastAsia="仿宋_GB2312" w:hint="eastAsia"/>
          <w:sz w:val="32"/>
          <w:szCs w:val="32"/>
        </w:rPr>
        <w:t>开展</w:t>
      </w:r>
      <w:r>
        <w:rPr>
          <w:rStyle w:val="200"/>
          <w:rFonts w:ascii="仿宋" w:eastAsia="仿宋" w:hAnsi="仿宋" w:cs="仿宋" w:hint="eastAsia"/>
        </w:rPr>
        <w:t>调查处置红黄码、密接和次密人员并报区疫情防控组进行管控。同时开通24小时咨询电话，接受群众防疫知识咨询，发挥好专业人才技术优势，确保防控工作科学有序。</w:t>
      </w:r>
      <w:r>
        <w:rPr>
          <w:rFonts w:eastAsia="仿宋_GB2312" w:hint="eastAsia"/>
          <w:sz w:val="32"/>
          <w:szCs w:val="32"/>
        </w:rPr>
        <w:t>配合区后勤保障组，组织采购疫情防控防护物资并规范供应；配合区宣传和舆情组，开展疫情防控和新冠病毒疫苗接种宣传引导工作；强化核酸检测实验室，开展重点人群</w:t>
      </w:r>
      <w:r>
        <w:rPr>
          <w:rFonts w:eastAsia="仿宋_GB2312" w:hint="eastAsia"/>
          <w:sz w:val="32"/>
          <w:szCs w:val="32"/>
        </w:rPr>
        <w:lastRenderedPageBreak/>
        <w:t>核酸检测和抗体检测。并</w:t>
      </w:r>
      <w:r>
        <w:rPr>
          <w:rFonts w:ascii="仿宋_GB2312" w:eastAsia="仿宋_GB2312" w:hAnsi="仿宋" w:hint="eastAsia"/>
          <w:sz w:val="32"/>
          <w:szCs w:val="32"/>
        </w:rPr>
        <w:t>多次参加全区“</w:t>
      </w:r>
      <w:r>
        <w:rPr>
          <w:rFonts w:ascii="仿宋_GB2312" w:eastAsia="仿宋_GB2312" w:hAnsi="仿宋_GB2312" w:cs="仿宋_GB2312" w:hint="eastAsia"/>
          <w:bCs/>
          <w:sz w:val="32"/>
          <w:szCs w:val="32"/>
        </w:rPr>
        <w:t>新冠”肺炎疫情应急处置演练</w:t>
      </w:r>
      <w:r>
        <w:rPr>
          <w:rFonts w:eastAsia="仿宋_GB2312" w:hint="eastAsia"/>
          <w:sz w:val="32"/>
          <w:szCs w:val="32"/>
        </w:rPr>
        <w:t>。</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（三）日常传染病防控工作</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仿宋" w:eastAsia="仿宋" w:hAnsi="仿宋" w:cs="仿宋" w:hint="eastAsia"/>
        </w:rPr>
        <w:t xml:space="preserve">区内无重大传染病疫情和突发公共卫生事件，传染病发病率在可控范围内并持续下降。强化艾滋病、肺结核、麻风病等防治工作，实施好中财、省财项目。同时严格按照《传染病防治法》和《突发公共卫生事件应急条例》做好法定传染病报告管理工作。 </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仿宋" w:eastAsia="仿宋" w:hAnsi="仿宋" w:cs="仿宋" w:hint="eastAsia"/>
        </w:rPr>
        <w:t>1.卫生应急工作：进一步健全和完善了卫生应急的组织机构和应急预案，严格落实24小时值班制度，强化应急值班和网络监测工作，认真做好新冠肺炎、流感、禽流感、霍乱、手足口病、群体性不明原因疾病和群体性聚集性发热等重大传染病的防范和疫情趋势研判。储备了一定数量的应急物资，确保有备无患。</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仿宋" w:eastAsia="仿宋" w:hAnsi="仿宋" w:cs="仿宋" w:hint="eastAsia"/>
        </w:rPr>
        <w:t xml:space="preserve">2.免疫规划工作：开展了3岁及以上人群新冠肺炎疫苗接种工作和常规疫苗接种，继续开展麻疹、风疹、AFP和AEFI监测，强化了疫苗针对传染病监测工作。 </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仿宋" w:eastAsia="仿宋" w:hAnsi="仿宋" w:cs="仿宋" w:hint="eastAsia"/>
        </w:rPr>
        <w:t xml:space="preserve">3.严重精神障碍患者管理：建立健全了精神卫生防治体系，对精神疾病患者进行了排查和规范管理。 </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仿宋" w:eastAsia="仿宋" w:hAnsi="仿宋" w:cs="仿宋" w:hint="eastAsia"/>
        </w:rPr>
        <w:t>4.病媒生物防制：开展病媒生物监测，“四害”密度均达到了国家卫生城市标准，继续巩固创国卫成果。</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仿宋" w:eastAsia="仿宋" w:hAnsi="仿宋" w:cs="仿宋" w:hint="eastAsia"/>
        </w:rPr>
        <w:t xml:space="preserve">5.地方病、慢病防治：完成碘盐和尿碘监测工作，完成两病监测和健康管理员培训，三大监测持续推进。 </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Style w:val="200"/>
          <w:rFonts w:ascii="仿宋" w:eastAsia="仿宋" w:hAnsi="仿宋" w:cs="仿宋" w:hint="eastAsia"/>
        </w:rPr>
        <w:t>6.卫生监测和检验工作：完成了全区农村饮用水水质监</w:t>
      </w:r>
      <w:r>
        <w:rPr>
          <w:rStyle w:val="200"/>
          <w:rFonts w:ascii="仿宋" w:eastAsia="仿宋" w:hAnsi="仿宋" w:cs="仿宋" w:hint="eastAsia"/>
        </w:rPr>
        <w:lastRenderedPageBreak/>
        <w:t>测项目和贫困村集中供水的监测检测工作，开展公共场所消毒效果监测和学校卫生及学生营养餐监测工作。开展重点行业职业危害监测。</w:t>
      </w:r>
      <w:r>
        <w:rPr>
          <w:rFonts w:ascii="仿宋_GB2312" w:eastAsia="仿宋_GB2312" w:hAnsi="宋体" w:hint="eastAsia"/>
          <w:spacing w:val="-10"/>
          <w:kern w:val="0"/>
          <w:sz w:val="32"/>
          <w:szCs w:val="32"/>
        </w:rPr>
        <w:t>完成了区“两会”及中、高考期间全区食源性疾病风险监测和疫情防控保障工作。</w:t>
      </w:r>
      <w:r>
        <w:rPr>
          <w:rStyle w:val="200"/>
          <w:rFonts w:ascii="仿宋" w:eastAsia="仿宋" w:hAnsi="仿宋" w:cs="仿宋" w:hint="eastAsia"/>
        </w:rPr>
        <w:t xml:space="preserve"> </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ascii="仿宋_GB2312" w:eastAsia="仿宋_GB2312"/>
          <w:sz w:val="32"/>
          <w:szCs w:val="32"/>
        </w:rPr>
      </w:pPr>
      <w:r>
        <w:rPr>
          <w:rStyle w:val="200"/>
          <w:rFonts w:ascii="仿宋" w:eastAsia="仿宋" w:hAnsi="仿宋" w:cs="仿宋" w:hint="eastAsia"/>
        </w:rPr>
        <w:t>7.重大疾病防治项目：按照中财、省财麻风病项目工作要求，强化工作职能，切实将艾滋病、结核病、麻风病防治工作落到实处。一是</w:t>
      </w:r>
      <w:r>
        <w:rPr>
          <w:rFonts w:ascii="楷体" w:eastAsia="楷体" w:hAnsi="楷体" w:cs="楷体" w:hint="eastAsia"/>
          <w:sz w:val="32"/>
          <w:szCs w:val="32"/>
        </w:rPr>
        <w:t>加强性病艾滋病防治。</w:t>
      </w:r>
      <w:r>
        <w:rPr>
          <w:rFonts w:ascii="仿宋_GB2312" w:eastAsia="仿宋_GB2312" w:hAnsi="仿宋_GB2312" w:cs="仿宋_GB2312" w:hint="eastAsia"/>
          <w:snapToGrid w:val="0"/>
          <w:sz w:val="32"/>
          <w:szCs w:val="32"/>
        </w:rPr>
        <w:t>开展</w:t>
      </w:r>
      <w:r>
        <w:rPr>
          <w:rFonts w:ascii="仿宋_GB2312" w:eastAsia="仿宋_GB2312" w:hAnsi="仿宋_GB2312" w:cs="仿宋_GB2312" w:hint="eastAsia"/>
          <w:sz w:val="32"/>
          <w:szCs w:val="32"/>
        </w:rPr>
        <w:t>对重点人群及</w:t>
      </w:r>
      <w:r>
        <w:rPr>
          <w:rFonts w:ascii="仿宋_GB2312" w:eastAsia="仿宋_GB2312" w:hAnsi="仿宋_GB2312" w:cs="仿宋_GB2312" w:hint="eastAsia"/>
          <w:snapToGrid w:val="0"/>
          <w:sz w:val="32"/>
          <w:szCs w:val="32"/>
        </w:rPr>
        <w:t>公共场所高危人群的宣传教育和行为干预服务</w:t>
      </w:r>
      <w:r>
        <w:rPr>
          <w:rFonts w:ascii="仿宋_GB2312" w:eastAsia="仿宋_GB2312" w:hint="eastAsia"/>
          <w:snapToGrid w:val="0"/>
          <w:sz w:val="32"/>
          <w:szCs w:val="32"/>
        </w:rPr>
        <w:t>活动</w:t>
      </w:r>
      <w:r>
        <w:rPr>
          <w:rFonts w:ascii="仿宋_GB2312" w:eastAsia="仿宋_GB2312" w:hAnsi="仿宋_GB2312" w:hint="eastAsia"/>
          <w:sz w:val="32"/>
          <w:szCs w:val="32"/>
        </w:rPr>
        <w:t>。</w:t>
      </w:r>
      <w:r>
        <w:rPr>
          <w:rFonts w:ascii="仿宋_GB2312" w:eastAsia="仿宋_GB2312" w:hint="eastAsia"/>
          <w:sz w:val="32"/>
          <w:szCs w:val="32"/>
        </w:rPr>
        <w:t>截止2021</w:t>
      </w:r>
      <w:r>
        <w:rPr>
          <w:rFonts w:ascii="仿宋_GB2312" w:eastAsia="仿宋_GB2312" w:hAnsi="仿宋_GB2312" w:hint="eastAsia"/>
          <w:sz w:val="32"/>
          <w:szCs w:val="32"/>
        </w:rPr>
        <w:t>年12月31日全区HIV/AIDS累计报告86例，死亡14例。现存活72例（</w:t>
      </w:r>
      <w:r>
        <w:rPr>
          <w:rFonts w:ascii="仿宋_GB2312" w:eastAsia="仿宋_GB2312" w:hAnsi="仿宋_GB2312" w:hint="eastAsia"/>
          <w:color w:val="000000"/>
          <w:sz w:val="32"/>
          <w:szCs w:val="32"/>
        </w:rPr>
        <w:t>失访2例</w:t>
      </w:r>
      <w:r>
        <w:rPr>
          <w:rFonts w:ascii="仿宋_GB2312" w:eastAsia="仿宋_GB2312" w:hAnsi="仿宋_GB2312" w:hint="eastAsia"/>
          <w:sz w:val="32"/>
          <w:szCs w:val="32"/>
        </w:rPr>
        <w:t>），其中HIV40例（儿童1例），AIDS 32例。二是</w:t>
      </w:r>
      <w:r>
        <w:rPr>
          <w:rFonts w:ascii="楷体" w:eastAsia="楷体" w:hAnsi="楷体" w:cs="楷体" w:hint="eastAsia"/>
          <w:color w:val="000000"/>
          <w:sz w:val="32"/>
          <w:szCs w:val="32"/>
        </w:rPr>
        <w:t>加强肺结核防治。</w:t>
      </w:r>
      <w:r>
        <w:rPr>
          <w:rFonts w:ascii="仿宋_GB2312" w:eastAsia="仿宋_GB2312" w:hAnsi="宋体" w:hint="eastAsia"/>
          <w:sz w:val="32"/>
          <w:szCs w:val="32"/>
        </w:rPr>
        <w:t>肺结核报告发病数居全区法定报告传染病第一位，2021年共</w:t>
      </w:r>
      <w:r>
        <w:rPr>
          <w:rFonts w:ascii="仿宋_GB2312" w:eastAsia="仿宋_GB2312" w:hAnsi="仿宋" w:hint="eastAsia"/>
          <w:sz w:val="32"/>
          <w:szCs w:val="32"/>
        </w:rPr>
        <w:t>报告疑似肺结核</w:t>
      </w:r>
      <w:r>
        <w:rPr>
          <w:rFonts w:ascii="仿宋_GB2312" w:eastAsia="仿宋_GB2312" w:hAnsi="仿宋_GB2312" w:cs="仿宋_GB2312" w:hint="eastAsia"/>
          <w:sz w:val="32"/>
          <w:szCs w:val="32"/>
        </w:rPr>
        <w:t>269例，确诊151例，纳入定点医院归口管理139例，努力</w:t>
      </w:r>
      <w:r>
        <w:rPr>
          <w:rFonts w:ascii="仿宋_GB2312" w:eastAsia="仿宋_GB2312" w:hAnsi="宋体" w:hint="eastAsia"/>
          <w:bCs/>
          <w:sz w:val="32"/>
          <w:szCs w:val="32"/>
        </w:rPr>
        <w:t>提高耐多药结核病防治工作质量，</w:t>
      </w:r>
      <w:r>
        <w:rPr>
          <w:rFonts w:ascii="仿宋_GB2312" w:eastAsia="仿宋_GB2312" w:hAnsi="宋体" w:hint="eastAsia"/>
          <w:sz w:val="32"/>
          <w:szCs w:val="32"/>
        </w:rPr>
        <w:t>保持了全区以镇为单位DOTS策略覆盖率达100%</w:t>
      </w:r>
      <w:r>
        <w:rPr>
          <w:rFonts w:ascii="仿宋_GB2312" w:eastAsia="仿宋_GB2312" w:hAnsi="宋体" w:hint="eastAsia"/>
          <w:bCs/>
          <w:sz w:val="32"/>
          <w:szCs w:val="32"/>
        </w:rPr>
        <w:t>。三是</w:t>
      </w:r>
      <w:r>
        <w:rPr>
          <w:rFonts w:ascii="楷体" w:eastAsia="楷体" w:hAnsi="楷体" w:cs="楷体" w:hint="eastAsia"/>
          <w:bCs/>
          <w:sz w:val="32"/>
          <w:szCs w:val="32"/>
        </w:rPr>
        <w:t>加强麻风病防制工作。</w:t>
      </w:r>
      <w:r>
        <w:rPr>
          <w:rFonts w:ascii="仿宋_GB2312" w:eastAsia="仿宋_GB2312" w:hint="eastAsia"/>
          <w:sz w:val="32"/>
          <w:szCs w:val="32"/>
        </w:rPr>
        <w:t>2021年末有现症患者1例，患病率为0.43/10万。按时完成患者的监测、随访工作。开展麻风节宣传慰问活动，截至2021年底，享受生活救助61人。</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eastAsia="仿宋_GB2312"/>
          <w:sz w:val="32"/>
          <w:szCs w:val="32"/>
        </w:rPr>
      </w:pPr>
      <w:r>
        <w:rPr>
          <w:rFonts w:ascii="楷体" w:eastAsia="楷体" w:hAnsi="楷体" w:cs="楷体" w:hint="eastAsia"/>
          <w:sz w:val="32"/>
          <w:szCs w:val="32"/>
        </w:rPr>
        <w:t>8.强化业务培训。</w:t>
      </w:r>
      <w:r>
        <w:rPr>
          <w:rFonts w:ascii="仿宋_GB2312" w:eastAsia="仿宋_GB2312" w:hAnsi="仿宋_GB2312" w:cs="仿宋_GB2312" w:hint="eastAsia"/>
          <w:sz w:val="32"/>
          <w:szCs w:val="32"/>
        </w:rPr>
        <w:t>通过线上线下相结合的方式，</w:t>
      </w:r>
      <w:r>
        <w:rPr>
          <w:rFonts w:eastAsia="仿宋_GB2312" w:hint="eastAsia"/>
          <w:sz w:val="32"/>
          <w:szCs w:val="32"/>
        </w:rPr>
        <w:t>加强对区直医疗单位和各镇卫生院业务人员开展疫情防控、“新冠”病毒疫苗接种、传染病防控等业务知识培训，并开展督导和指导。按照防控方案和治疗方案，结合实际开展好辖区内各行业、各部门疫情防控卫生员的业务培训，提升防控能力和水平。</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仿宋" w:eastAsia="仿宋" w:hAnsi="仿宋" w:cs="仿宋"/>
        </w:rPr>
      </w:pPr>
      <w:r>
        <w:rPr>
          <w:rFonts w:ascii="楷体" w:eastAsia="楷体" w:hAnsi="楷体" w:cs="楷体" w:hint="eastAsia"/>
          <w:sz w:val="32"/>
          <w:szCs w:val="32"/>
        </w:rPr>
        <w:t>9.强化健康促进。</w:t>
      </w:r>
      <w:r>
        <w:rPr>
          <w:rFonts w:eastAsia="仿宋_GB2312" w:hint="eastAsia"/>
          <w:sz w:val="32"/>
          <w:szCs w:val="32"/>
        </w:rPr>
        <w:t>在</w:t>
      </w:r>
      <w:r>
        <w:rPr>
          <w:rFonts w:eastAsia="仿宋_GB2312" w:hint="eastAsia"/>
          <w:sz w:val="32"/>
          <w:szCs w:val="32"/>
        </w:rPr>
        <w:t>3.24</w:t>
      </w:r>
      <w:r>
        <w:rPr>
          <w:rFonts w:eastAsia="仿宋_GB2312" w:hint="eastAsia"/>
          <w:sz w:val="32"/>
          <w:szCs w:val="32"/>
        </w:rPr>
        <w:t>全国结核病防治日、</w:t>
      </w:r>
      <w:r>
        <w:rPr>
          <w:rFonts w:eastAsia="仿宋_GB2312" w:hint="eastAsia"/>
          <w:sz w:val="32"/>
          <w:szCs w:val="32"/>
        </w:rPr>
        <w:t>4.25</w:t>
      </w:r>
      <w:r>
        <w:rPr>
          <w:rFonts w:eastAsia="仿宋_GB2312" w:hint="eastAsia"/>
          <w:sz w:val="32"/>
          <w:szCs w:val="32"/>
        </w:rPr>
        <w:t>全国</w:t>
      </w:r>
      <w:r>
        <w:rPr>
          <w:rFonts w:eastAsia="仿宋_GB2312" w:hint="eastAsia"/>
          <w:sz w:val="32"/>
          <w:szCs w:val="32"/>
        </w:rPr>
        <w:lastRenderedPageBreak/>
        <w:t>预防接种日、</w:t>
      </w:r>
      <w:r>
        <w:rPr>
          <w:rFonts w:eastAsia="仿宋_GB2312" w:hint="eastAsia"/>
          <w:sz w:val="32"/>
          <w:szCs w:val="32"/>
        </w:rPr>
        <w:t>4.26</w:t>
      </w:r>
      <w:r>
        <w:rPr>
          <w:rFonts w:eastAsia="仿宋_GB2312" w:hint="eastAsia"/>
          <w:sz w:val="32"/>
          <w:szCs w:val="32"/>
        </w:rPr>
        <w:t>疟疾宣传日、</w:t>
      </w:r>
      <w:r>
        <w:rPr>
          <w:rFonts w:eastAsia="仿宋_GB2312" w:hint="eastAsia"/>
          <w:sz w:val="32"/>
          <w:szCs w:val="32"/>
        </w:rPr>
        <w:t>7.28</w:t>
      </w:r>
      <w:r>
        <w:rPr>
          <w:rFonts w:eastAsia="仿宋_GB2312" w:hint="eastAsia"/>
          <w:sz w:val="32"/>
          <w:szCs w:val="32"/>
        </w:rPr>
        <w:t>乙肝防治日、</w:t>
      </w:r>
      <w:r>
        <w:rPr>
          <w:rFonts w:eastAsia="仿宋_GB2312" w:hint="eastAsia"/>
          <w:sz w:val="32"/>
          <w:szCs w:val="32"/>
        </w:rPr>
        <w:t>10.10</w:t>
      </w:r>
      <w:r>
        <w:rPr>
          <w:rFonts w:eastAsia="仿宋_GB2312" w:hint="eastAsia"/>
          <w:sz w:val="32"/>
          <w:szCs w:val="32"/>
        </w:rPr>
        <w:t>精神卫生日、</w:t>
      </w:r>
      <w:r>
        <w:rPr>
          <w:rFonts w:eastAsia="仿宋_GB2312" w:hint="eastAsia"/>
          <w:sz w:val="32"/>
          <w:szCs w:val="32"/>
        </w:rPr>
        <w:t>12.1</w:t>
      </w:r>
      <w:r>
        <w:rPr>
          <w:rFonts w:eastAsia="仿宋_GB2312" w:hint="eastAsia"/>
          <w:sz w:val="32"/>
          <w:szCs w:val="32"/>
        </w:rPr>
        <w:t>世界艾滋病日等时间节点，利用区电视台《健康昭化》栏目、微昭化、蜀道昭化（抖音）等平台开展健康教育宣传。同时，积极到街道、机关、企业、学校、村组等开展健康宣教活动，发放各种宣传资料及物品。</w:t>
      </w:r>
      <w:r>
        <w:rPr>
          <w:rFonts w:ascii="仿宋_GB2312" w:eastAsia="仿宋_GB2312" w:hint="eastAsia"/>
          <w:sz w:val="32"/>
          <w:szCs w:val="32"/>
        </w:rPr>
        <w:t xml:space="preserve"> </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Style w:val="200"/>
          <w:rFonts w:ascii="黑体" w:eastAsia="黑体" w:hAnsi="黑体" w:cs="黑体"/>
        </w:rPr>
      </w:pPr>
      <w:r>
        <w:rPr>
          <w:rStyle w:val="200"/>
          <w:rFonts w:ascii="黑体" w:eastAsia="黑体" w:hAnsi="黑体" w:cs="黑体" w:hint="eastAsia"/>
        </w:rPr>
        <w:t>（四）抓好党建与乡村振兴帮村工作</w:t>
      </w:r>
    </w:p>
    <w:p w:rsidR="00920B76" w:rsidRDefault="00D21666">
      <w:pPr>
        <w:pBdr>
          <w:top w:val="none" w:sz="0" w:space="0" w:color="000000"/>
          <w:left w:val="none" w:sz="0" w:space="0" w:color="000000"/>
          <w:bottom w:val="none" w:sz="0" w:space="20" w:color="000000"/>
          <w:right w:val="none" w:sz="0" w:space="0" w:color="000000"/>
        </w:pBdr>
        <w:autoSpaceDN w:val="0"/>
        <w:spacing w:line="576" w:lineRule="exact"/>
        <w:ind w:firstLineChars="200" w:firstLine="640"/>
        <w:rPr>
          <w:rFonts w:ascii="仿宋" w:eastAsia="仿宋" w:hAnsi="仿宋"/>
          <w:kern w:val="0"/>
          <w:sz w:val="32"/>
          <w:szCs w:val="32"/>
        </w:rPr>
      </w:pPr>
      <w:r>
        <w:rPr>
          <w:rStyle w:val="200"/>
          <w:rFonts w:ascii="仿宋" w:eastAsia="仿宋" w:hAnsi="仿宋" w:cs="仿宋" w:hint="eastAsia"/>
        </w:rPr>
        <w:t>做好“党建+业务”工作的有机结合，以习近平新时代中国特色社会主义思想为指导，筑牢“四个意识”，坚定“两个维护”，持续推进“两学一做”常态化、制度化，强化党员职工教育引导，开展谈心谈话，召开民主生活会，强化作风建设和执纪监督问责，发挥好支部战斗堡垒和党员干部先锋模范作用，弘扬正能量，营造“风清气正”的工作局面。深入开展乡村振兴结对帮扶工作，积极组织党员干部参与乡村振兴工作，开展帮扶和产业发展规划，开展政策宣讲及解决脱贫户实际困难、开展健康宣传义诊义治、开展节日慰问等活动，激发脱贫户内生动力，巩固清水镇文华村脱贫攻坚成果，提高脱贫户和非贫困户满意度。</w:t>
      </w:r>
      <w:r>
        <w:rPr>
          <w:rFonts w:ascii="仿宋" w:eastAsia="仿宋" w:hAnsi="仿宋"/>
          <w:sz w:val="32"/>
          <w:szCs w:val="32"/>
        </w:rPr>
        <w:br w:type="page"/>
      </w:r>
    </w:p>
    <w:p w:rsidR="00920B76" w:rsidRDefault="00D21666">
      <w:pPr>
        <w:pStyle w:val="1"/>
        <w:ind w:right="440"/>
        <w:jc w:val="center"/>
        <w:rPr>
          <w:rStyle w:val="1Char"/>
          <w:rFonts w:ascii="黑体" w:eastAsia="黑体" w:hAnsi="黑体"/>
          <w:bCs/>
        </w:rPr>
      </w:pPr>
      <w:bookmarkStart w:id="28" w:name="_Toc15377204"/>
      <w:bookmarkStart w:id="29" w:name="_Toc15396602"/>
      <w:bookmarkStart w:id="30" w:name="_Toc25590"/>
      <w:r>
        <w:rPr>
          <w:rFonts w:ascii="黑体" w:eastAsia="黑体" w:hAnsi="黑体" w:hint="eastAsia"/>
          <w:b w:val="0"/>
        </w:rPr>
        <w:lastRenderedPageBreak/>
        <w:t>第二部分 2021年度</w:t>
      </w:r>
      <w:r>
        <w:rPr>
          <w:rStyle w:val="1Char"/>
          <w:rFonts w:ascii="黑体" w:eastAsia="黑体" w:hAnsi="黑体" w:hint="eastAsia"/>
          <w:bCs/>
        </w:rPr>
        <w:t>单位决算情况说明</w:t>
      </w:r>
      <w:bookmarkEnd w:id="28"/>
      <w:bookmarkEnd w:id="29"/>
      <w:bookmarkEnd w:id="30"/>
    </w:p>
    <w:p w:rsidR="00920B76" w:rsidRDefault="00920B76"/>
    <w:p w:rsidR="00920B76" w:rsidRDefault="00D21666">
      <w:pPr>
        <w:pStyle w:val="ab"/>
        <w:numPr>
          <w:ilvl w:val="0"/>
          <w:numId w:val="2"/>
        </w:numPr>
        <w:spacing w:line="600" w:lineRule="exact"/>
        <w:ind w:firstLineChars="0"/>
        <w:outlineLvl w:val="1"/>
        <w:rPr>
          <w:rStyle w:val="2Char"/>
          <w:rFonts w:ascii="黑体" w:eastAsia="黑体" w:hAnsi="黑体"/>
          <w:b w:val="0"/>
        </w:rPr>
      </w:pPr>
      <w:bookmarkStart w:id="31" w:name="_Toc15377205"/>
      <w:bookmarkStart w:id="32" w:name="_Toc15396603"/>
      <w:bookmarkStart w:id="33" w:name="_Toc8194"/>
      <w:r>
        <w:rPr>
          <w:rFonts w:ascii="黑体" w:eastAsia="黑体" w:hAnsi="黑体" w:hint="eastAsia"/>
          <w:sz w:val="32"/>
          <w:szCs w:val="32"/>
        </w:rPr>
        <w:t>收</w:t>
      </w:r>
      <w:r>
        <w:rPr>
          <w:rStyle w:val="2Char"/>
          <w:rFonts w:ascii="黑体" w:eastAsia="黑体" w:hAnsi="黑体" w:hint="eastAsia"/>
          <w:b w:val="0"/>
        </w:rPr>
        <w:t>入支出决算总体情况说明</w:t>
      </w:r>
      <w:bookmarkEnd w:id="31"/>
      <w:bookmarkEnd w:id="32"/>
      <w:bookmarkEnd w:id="33"/>
    </w:p>
    <w:p w:rsidR="00920B76" w:rsidRDefault="00D21666">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2021年度收、支总计918.62万元。与2020年相比，</w:t>
      </w:r>
      <w:r>
        <w:rPr>
          <w:rFonts w:ascii="仿宋" w:eastAsia="仿宋" w:hAnsi="仿宋" w:cs="仿宋" w:hint="eastAsia"/>
          <w:color w:val="000000"/>
          <w:sz w:val="32"/>
          <w:szCs w:val="32"/>
        </w:rPr>
        <w:t>收、支</w:t>
      </w:r>
      <w:r>
        <w:rPr>
          <w:rFonts w:ascii="仿宋" w:eastAsia="仿宋" w:hAnsi="仿宋" w:hint="eastAsia"/>
          <w:sz w:val="32"/>
          <w:szCs w:val="32"/>
        </w:rPr>
        <w:t>总计减少503.54万元，下降35.41</w:t>
      </w:r>
      <w:r>
        <w:rPr>
          <w:rFonts w:ascii="仿宋" w:eastAsia="仿宋" w:hAnsi="仿宋"/>
          <w:sz w:val="32"/>
          <w:szCs w:val="32"/>
        </w:rPr>
        <w:t>%</w:t>
      </w:r>
      <w:r>
        <w:rPr>
          <w:rFonts w:ascii="仿宋" w:eastAsia="仿宋" w:hAnsi="仿宋" w:hint="eastAsia"/>
          <w:sz w:val="32"/>
          <w:szCs w:val="32"/>
        </w:rPr>
        <w:t>。主要变动原因是人员减少，项目减少，今年没有特别国债项目。</w:t>
      </w:r>
    </w:p>
    <w:p w:rsidR="00920B76" w:rsidRDefault="00920B76">
      <w:pPr>
        <w:pStyle w:val="a0"/>
      </w:pPr>
    </w:p>
    <w:p w:rsidR="00920B76" w:rsidRDefault="00D21666">
      <w:pPr>
        <w:pStyle w:val="a0"/>
      </w:pPr>
      <w:r>
        <w:rPr>
          <w:noProof/>
        </w:rPr>
        <w:drawing>
          <wp:inline distT="0" distB="0" distL="114300" distR="114300">
            <wp:extent cx="4419600" cy="2533650"/>
            <wp:effectExtent l="4445" t="4445" r="14605" b="1460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0B76" w:rsidRDefault="00920B76"/>
    <w:p w:rsidR="00920B76" w:rsidRDefault="00D21666">
      <w:pPr>
        <w:pStyle w:val="ab"/>
        <w:numPr>
          <w:ilvl w:val="0"/>
          <w:numId w:val="2"/>
        </w:numPr>
        <w:spacing w:line="600" w:lineRule="exact"/>
        <w:ind w:firstLineChars="0"/>
        <w:outlineLvl w:val="1"/>
        <w:rPr>
          <w:rStyle w:val="2Char"/>
          <w:rFonts w:ascii="黑体" w:eastAsia="黑体" w:hAnsi="黑体"/>
          <w:b w:val="0"/>
        </w:rPr>
      </w:pPr>
      <w:bookmarkStart w:id="34" w:name="_Toc15377206"/>
      <w:bookmarkStart w:id="35" w:name="_Toc15396604"/>
      <w:bookmarkStart w:id="36" w:name="_Toc5304"/>
      <w:r>
        <w:rPr>
          <w:rFonts w:ascii="黑体" w:eastAsia="黑体" w:hAnsi="黑体" w:hint="eastAsia"/>
          <w:sz w:val="32"/>
          <w:szCs w:val="32"/>
        </w:rPr>
        <w:t>收</w:t>
      </w:r>
      <w:r>
        <w:rPr>
          <w:rStyle w:val="2Char"/>
          <w:rFonts w:ascii="黑体" w:eastAsia="黑体" w:hAnsi="黑体" w:hint="eastAsia"/>
          <w:b w:val="0"/>
        </w:rPr>
        <w:t>入决算情况说明</w:t>
      </w:r>
      <w:bookmarkEnd w:id="34"/>
      <w:bookmarkEnd w:id="35"/>
      <w:bookmarkEnd w:id="36"/>
    </w:p>
    <w:p w:rsidR="00920B76" w:rsidRDefault="00D21666">
      <w:pPr>
        <w:spacing w:line="600" w:lineRule="exact"/>
        <w:ind w:firstLineChars="200" w:firstLine="640"/>
        <w:outlineLvl w:val="1"/>
        <w:rPr>
          <w:rFonts w:ascii="仿宋" w:eastAsia="仿宋" w:hAnsi="仿宋"/>
          <w:sz w:val="32"/>
          <w:szCs w:val="32"/>
        </w:rPr>
      </w:pPr>
      <w:bookmarkStart w:id="37" w:name="_Toc16569"/>
      <w:r>
        <w:rPr>
          <w:rFonts w:ascii="仿宋" w:eastAsia="仿宋" w:hAnsi="仿宋"/>
          <w:sz w:val="32"/>
          <w:szCs w:val="32"/>
        </w:rPr>
        <w:t>20</w:t>
      </w:r>
      <w:r>
        <w:rPr>
          <w:rFonts w:ascii="仿宋" w:eastAsia="仿宋" w:hAnsi="仿宋" w:hint="eastAsia"/>
          <w:sz w:val="32"/>
          <w:szCs w:val="32"/>
        </w:rPr>
        <w:t>21年本年收入合计574.67万元，其中：一般公共预算财政拨款收入574.67万元，占100</w:t>
      </w:r>
      <w:r>
        <w:rPr>
          <w:rFonts w:ascii="仿宋" w:eastAsia="仿宋" w:hAnsi="仿宋"/>
          <w:sz w:val="32"/>
          <w:szCs w:val="32"/>
        </w:rPr>
        <w:t>%</w:t>
      </w:r>
      <w:r>
        <w:rPr>
          <w:rFonts w:ascii="仿宋" w:eastAsia="仿宋" w:hAnsi="仿宋" w:hint="eastAsia"/>
          <w:sz w:val="32"/>
          <w:szCs w:val="32"/>
        </w:rPr>
        <w:t>。</w:t>
      </w:r>
      <w:bookmarkEnd w:id="37"/>
    </w:p>
    <w:p w:rsidR="00920B76" w:rsidRDefault="00920B76">
      <w:pPr>
        <w:pStyle w:val="a0"/>
      </w:pPr>
    </w:p>
    <w:p w:rsidR="00920B76" w:rsidRDefault="00D21666">
      <w:r>
        <w:rPr>
          <w:noProof/>
        </w:rPr>
        <w:drawing>
          <wp:inline distT="0" distB="0" distL="114300" distR="114300">
            <wp:extent cx="3404870" cy="1798320"/>
            <wp:effectExtent l="4445" t="4445" r="19685" b="698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0B76" w:rsidRDefault="00920B76">
      <w:pPr>
        <w:pStyle w:val="a0"/>
      </w:pPr>
    </w:p>
    <w:p w:rsidR="00920B76" w:rsidRDefault="00D21666">
      <w:pPr>
        <w:pStyle w:val="ab"/>
        <w:numPr>
          <w:ilvl w:val="0"/>
          <w:numId w:val="2"/>
        </w:numPr>
        <w:spacing w:line="600" w:lineRule="exact"/>
        <w:ind w:firstLineChars="0"/>
        <w:outlineLvl w:val="1"/>
        <w:rPr>
          <w:rStyle w:val="2Char"/>
          <w:rFonts w:ascii="黑体" w:eastAsia="黑体" w:hAnsi="黑体"/>
          <w:b w:val="0"/>
        </w:rPr>
      </w:pPr>
      <w:bookmarkStart w:id="38" w:name="_Toc15377207"/>
      <w:bookmarkStart w:id="39" w:name="_Toc15396605"/>
      <w:bookmarkStart w:id="40" w:name="_Toc20540"/>
      <w:r>
        <w:rPr>
          <w:rFonts w:ascii="黑体" w:eastAsia="黑体" w:hAnsi="黑体" w:hint="eastAsia"/>
          <w:sz w:val="32"/>
          <w:szCs w:val="32"/>
        </w:rPr>
        <w:t>支</w:t>
      </w:r>
      <w:r>
        <w:rPr>
          <w:rStyle w:val="2Char"/>
          <w:rFonts w:ascii="黑体" w:eastAsia="黑体" w:hAnsi="黑体" w:hint="eastAsia"/>
          <w:b w:val="0"/>
        </w:rPr>
        <w:t>出决算情况说明</w:t>
      </w:r>
      <w:bookmarkEnd w:id="38"/>
      <w:bookmarkEnd w:id="39"/>
      <w:bookmarkEnd w:id="40"/>
    </w:p>
    <w:p w:rsidR="00920B76" w:rsidRDefault="00D21666">
      <w:pPr>
        <w:spacing w:line="600" w:lineRule="exact"/>
        <w:ind w:firstLineChars="200" w:firstLine="640"/>
        <w:outlineLvl w:val="1"/>
        <w:rPr>
          <w:rFonts w:ascii="仿宋" w:eastAsia="仿宋" w:hAnsi="仿宋"/>
          <w:sz w:val="32"/>
          <w:szCs w:val="32"/>
        </w:rPr>
      </w:pPr>
      <w:bookmarkStart w:id="41" w:name="_Toc4436"/>
      <w:r>
        <w:rPr>
          <w:rFonts w:ascii="仿宋" w:eastAsia="仿宋" w:hAnsi="仿宋"/>
          <w:sz w:val="32"/>
          <w:szCs w:val="32"/>
        </w:rPr>
        <w:t>20</w:t>
      </w:r>
      <w:r>
        <w:rPr>
          <w:rFonts w:ascii="仿宋" w:eastAsia="仿宋" w:hAnsi="仿宋" w:hint="eastAsia"/>
          <w:sz w:val="32"/>
          <w:szCs w:val="32"/>
        </w:rPr>
        <w:t>21年本年支出合计759.03万元，其中：基本支出382.60万元，占50.41</w:t>
      </w:r>
      <w:r>
        <w:rPr>
          <w:rFonts w:ascii="仿宋" w:eastAsia="仿宋" w:hAnsi="仿宋"/>
          <w:sz w:val="32"/>
          <w:szCs w:val="32"/>
        </w:rPr>
        <w:t>%</w:t>
      </w:r>
      <w:r>
        <w:rPr>
          <w:rFonts w:ascii="仿宋" w:eastAsia="仿宋" w:hAnsi="仿宋" w:hint="eastAsia"/>
          <w:sz w:val="32"/>
          <w:szCs w:val="32"/>
        </w:rPr>
        <w:t>；项目支出376.43万元，占49.59</w:t>
      </w:r>
      <w:r>
        <w:rPr>
          <w:rFonts w:ascii="仿宋" w:eastAsia="仿宋" w:hAnsi="仿宋"/>
          <w:sz w:val="32"/>
          <w:szCs w:val="32"/>
        </w:rPr>
        <w:t>%</w:t>
      </w:r>
      <w:r>
        <w:rPr>
          <w:rFonts w:ascii="仿宋" w:eastAsia="仿宋" w:hAnsi="仿宋" w:hint="eastAsia"/>
          <w:sz w:val="32"/>
          <w:szCs w:val="32"/>
        </w:rPr>
        <w:t>。</w:t>
      </w:r>
      <w:bookmarkEnd w:id="41"/>
    </w:p>
    <w:p w:rsidR="00920B76" w:rsidRDefault="00920B76"/>
    <w:p w:rsidR="00920B76" w:rsidRDefault="00D21666">
      <w:pPr>
        <w:pStyle w:val="a0"/>
      </w:pPr>
      <w:r>
        <w:rPr>
          <w:noProof/>
        </w:rPr>
        <w:drawing>
          <wp:inline distT="0" distB="0" distL="114300" distR="114300">
            <wp:extent cx="4572000" cy="2743200"/>
            <wp:effectExtent l="4445" t="4445" r="14605" b="14605"/>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0B76" w:rsidRDefault="00920B76"/>
    <w:p w:rsidR="00920B76" w:rsidRDefault="00D21666">
      <w:pPr>
        <w:spacing w:line="600" w:lineRule="exact"/>
        <w:ind w:firstLineChars="200" w:firstLine="640"/>
        <w:outlineLvl w:val="1"/>
        <w:rPr>
          <w:rStyle w:val="2Char"/>
          <w:rFonts w:ascii="黑体" w:eastAsia="黑体" w:hAnsi="黑体"/>
          <w:b w:val="0"/>
        </w:rPr>
      </w:pPr>
      <w:bookmarkStart w:id="42" w:name="_Toc15396606"/>
      <w:bookmarkStart w:id="43" w:name="_Toc15377208"/>
      <w:bookmarkStart w:id="44" w:name="_Toc16533"/>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42"/>
      <w:bookmarkEnd w:id="43"/>
      <w:bookmarkEnd w:id="44"/>
    </w:p>
    <w:p w:rsidR="00920B76" w:rsidRDefault="00D21666">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21年财政拨款收、支总计918.62万元。与</w:t>
      </w:r>
      <w:r>
        <w:rPr>
          <w:rFonts w:ascii="仿宋" w:eastAsia="仿宋" w:hAnsi="仿宋"/>
          <w:sz w:val="32"/>
          <w:szCs w:val="32"/>
        </w:rPr>
        <w:t>20</w:t>
      </w:r>
      <w:r>
        <w:rPr>
          <w:rFonts w:ascii="仿宋" w:eastAsia="仿宋" w:hAnsi="仿宋" w:hint="eastAsia"/>
          <w:sz w:val="32"/>
          <w:szCs w:val="32"/>
        </w:rPr>
        <w:t>20年相比，财政拨款收支总计减少503.54万元，下降35.41</w:t>
      </w:r>
      <w:r>
        <w:rPr>
          <w:rFonts w:ascii="仿宋" w:eastAsia="仿宋" w:hAnsi="仿宋"/>
          <w:sz w:val="32"/>
          <w:szCs w:val="32"/>
        </w:rPr>
        <w:t>%</w:t>
      </w:r>
      <w:r>
        <w:rPr>
          <w:rFonts w:ascii="仿宋" w:eastAsia="仿宋" w:hAnsi="仿宋" w:hint="eastAsia"/>
          <w:sz w:val="32"/>
          <w:szCs w:val="32"/>
        </w:rPr>
        <w:t>。主要变动原因是项目减少。</w:t>
      </w:r>
    </w:p>
    <w:p w:rsidR="00920B76" w:rsidRDefault="00D21666">
      <w:r>
        <w:rPr>
          <w:noProof/>
        </w:rPr>
        <w:drawing>
          <wp:inline distT="0" distB="0" distL="114300" distR="114300">
            <wp:extent cx="3960495" cy="2312670"/>
            <wp:effectExtent l="4445" t="5080" r="16510" b="635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0B76" w:rsidRDefault="00920B76">
      <w:pPr>
        <w:pStyle w:val="a0"/>
      </w:pPr>
    </w:p>
    <w:p w:rsidR="00920B76" w:rsidRDefault="00D21666">
      <w:pPr>
        <w:spacing w:line="600" w:lineRule="exact"/>
        <w:ind w:firstLineChars="200" w:firstLine="640"/>
        <w:outlineLvl w:val="1"/>
        <w:rPr>
          <w:rStyle w:val="2Char"/>
          <w:rFonts w:ascii="黑体" w:eastAsia="黑体" w:hAnsi="黑体"/>
          <w:b w:val="0"/>
        </w:rPr>
      </w:pPr>
      <w:bookmarkStart w:id="45" w:name="_Toc15396607"/>
      <w:bookmarkStart w:id="46" w:name="_Toc22242"/>
      <w:bookmarkStart w:id="47" w:name="_Toc15377209"/>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5"/>
      <w:bookmarkEnd w:id="46"/>
      <w:bookmarkEnd w:id="47"/>
    </w:p>
    <w:p w:rsidR="00920B76" w:rsidRDefault="00D21666">
      <w:pPr>
        <w:spacing w:line="600" w:lineRule="exact"/>
        <w:ind w:firstLineChars="200" w:firstLine="643"/>
        <w:outlineLvl w:val="2"/>
        <w:rPr>
          <w:rFonts w:ascii="仿宋" w:eastAsia="仿宋" w:hAnsi="仿宋"/>
          <w:b/>
          <w:sz w:val="32"/>
          <w:szCs w:val="32"/>
        </w:rPr>
      </w:pPr>
      <w:bookmarkStart w:id="48" w:name="_Toc15377210"/>
      <w:r>
        <w:rPr>
          <w:rFonts w:ascii="仿宋" w:eastAsia="仿宋" w:hAnsi="仿宋" w:hint="eastAsia"/>
          <w:b/>
          <w:sz w:val="32"/>
          <w:szCs w:val="32"/>
        </w:rPr>
        <w:t>（一）一般公共预算财政拨款支出决算总体情况</w:t>
      </w:r>
      <w:bookmarkEnd w:id="48"/>
    </w:p>
    <w:p w:rsidR="00920B76" w:rsidRDefault="00D21666">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21年一般公共预算财政拨款支出759.03万元，占本年支出合计的100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20年相比，一般公共预算财政拨款支出减少49.18万元，减少6.09</w:t>
      </w:r>
      <w:r>
        <w:rPr>
          <w:rFonts w:ascii="仿宋" w:eastAsia="仿宋" w:hAnsi="仿宋"/>
          <w:sz w:val="32"/>
          <w:szCs w:val="32"/>
        </w:rPr>
        <w:t>%</w:t>
      </w:r>
      <w:r>
        <w:rPr>
          <w:rFonts w:ascii="仿宋" w:eastAsia="仿宋" w:hAnsi="仿宋" w:hint="eastAsia"/>
          <w:sz w:val="32"/>
          <w:szCs w:val="32"/>
        </w:rPr>
        <w:t>。主要变动原因是项目减少。</w:t>
      </w:r>
    </w:p>
    <w:p w:rsidR="00920B76" w:rsidRDefault="00920B76"/>
    <w:p w:rsidR="00920B76" w:rsidRDefault="00D21666">
      <w:pPr>
        <w:pStyle w:val="a0"/>
      </w:pPr>
      <w:r>
        <w:rPr>
          <w:noProof/>
        </w:rPr>
        <w:drawing>
          <wp:inline distT="0" distB="0" distL="114300" distR="114300">
            <wp:extent cx="3936365" cy="1797050"/>
            <wp:effectExtent l="5080" t="5080" r="20955" b="7620"/>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0B76" w:rsidRDefault="00920B76">
      <w:pPr>
        <w:pStyle w:val="a0"/>
      </w:pPr>
    </w:p>
    <w:p w:rsidR="00920B76" w:rsidRDefault="00D21666">
      <w:pPr>
        <w:spacing w:line="600" w:lineRule="exact"/>
        <w:ind w:firstLineChars="200" w:firstLine="643"/>
        <w:outlineLvl w:val="2"/>
        <w:rPr>
          <w:rFonts w:ascii="仿宋" w:eastAsia="仿宋" w:hAnsi="仿宋"/>
          <w:b/>
          <w:sz w:val="32"/>
          <w:szCs w:val="32"/>
        </w:rPr>
      </w:pPr>
      <w:bookmarkStart w:id="49" w:name="_Toc15377211"/>
      <w:r>
        <w:rPr>
          <w:rFonts w:ascii="仿宋" w:eastAsia="仿宋" w:hAnsi="仿宋" w:hint="eastAsia"/>
          <w:b/>
          <w:sz w:val="32"/>
          <w:szCs w:val="32"/>
        </w:rPr>
        <w:t>（二）一般公共预算财政拨款支出决算结构情况</w:t>
      </w:r>
      <w:bookmarkEnd w:id="49"/>
    </w:p>
    <w:p w:rsidR="00920B76" w:rsidRDefault="00D21666">
      <w:pPr>
        <w:spacing w:line="600" w:lineRule="exact"/>
        <w:ind w:firstLineChars="200" w:firstLine="640"/>
        <w:outlineLvl w:val="2"/>
        <w:rPr>
          <w:rFonts w:ascii="仿宋" w:eastAsia="仿宋" w:hAnsi="仿宋"/>
          <w:bCs/>
          <w:color w:val="000000"/>
          <w:sz w:val="32"/>
          <w:szCs w:val="32"/>
        </w:rPr>
      </w:pPr>
      <w:r>
        <w:rPr>
          <w:rFonts w:ascii="仿宋" w:eastAsia="仿宋" w:hAnsi="仿宋"/>
          <w:sz w:val="32"/>
          <w:szCs w:val="32"/>
        </w:rPr>
        <w:t>20</w:t>
      </w:r>
      <w:r>
        <w:rPr>
          <w:rFonts w:ascii="仿宋" w:eastAsia="仿宋" w:hAnsi="仿宋" w:hint="eastAsia"/>
          <w:sz w:val="32"/>
          <w:szCs w:val="32"/>
        </w:rPr>
        <w:t>21年一般公共预算财政拨款支出759.03万元，主要用于以下方面</w:t>
      </w:r>
      <w:r>
        <w:rPr>
          <w:rFonts w:ascii="仿宋" w:eastAsia="仿宋" w:hAnsi="仿宋"/>
          <w:sz w:val="32"/>
          <w:szCs w:val="32"/>
        </w:rPr>
        <w:t>:</w:t>
      </w:r>
      <w:r>
        <w:rPr>
          <w:rFonts w:ascii="仿宋" w:eastAsia="仿宋" w:hAnsi="仿宋" w:hint="eastAsia"/>
          <w:bCs/>
          <w:color w:val="000000"/>
          <w:sz w:val="32"/>
          <w:szCs w:val="32"/>
        </w:rPr>
        <w:t>社会保障和就业（类）支出29.57万元，占3.90</w:t>
      </w:r>
      <w:r>
        <w:rPr>
          <w:rFonts w:ascii="仿宋" w:eastAsia="仿宋" w:hAnsi="仿宋"/>
          <w:bCs/>
          <w:color w:val="000000"/>
          <w:sz w:val="32"/>
          <w:szCs w:val="32"/>
        </w:rPr>
        <w:t>%</w:t>
      </w:r>
      <w:r>
        <w:rPr>
          <w:rFonts w:ascii="仿宋" w:eastAsia="仿宋" w:hAnsi="仿宋" w:hint="eastAsia"/>
          <w:bCs/>
          <w:color w:val="000000"/>
          <w:sz w:val="32"/>
          <w:szCs w:val="32"/>
        </w:rPr>
        <w:t>；卫生健康支出698.48万元，占92.02</w:t>
      </w:r>
      <w:r>
        <w:rPr>
          <w:rFonts w:ascii="仿宋" w:eastAsia="仿宋" w:hAnsi="仿宋"/>
          <w:bCs/>
          <w:color w:val="000000"/>
          <w:sz w:val="32"/>
          <w:szCs w:val="32"/>
        </w:rPr>
        <w:t>%</w:t>
      </w:r>
      <w:r>
        <w:rPr>
          <w:rFonts w:ascii="仿宋" w:eastAsia="仿宋" w:hAnsi="仿宋" w:hint="eastAsia"/>
          <w:bCs/>
          <w:color w:val="000000"/>
          <w:sz w:val="32"/>
          <w:szCs w:val="32"/>
        </w:rPr>
        <w:t>；住房保障支出30.98万元，占4.08</w:t>
      </w:r>
      <w:r>
        <w:rPr>
          <w:rFonts w:ascii="仿宋" w:eastAsia="仿宋" w:hAnsi="仿宋"/>
          <w:bCs/>
          <w:color w:val="000000"/>
          <w:sz w:val="32"/>
          <w:szCs w:val="32"/>
        </w:rPr>
        <w:t>%</w:t>
      </w:r>
      <w:r>
        <w:rPr>
          <w:rFonts w:ascii="仿宋" w:eastAsia="仿宋" w:hAnsi="仿宋" w:hint="eastAsia"/>
          <w:bCs/>
          <w:color w:val="000000"/>
          <w:sz w:val="32"/>
          <w:szCs w:val="32"/>
        </w:rPr>
        <w:t>。</w:t>
      </w:r>
      <w:bookmarkStart w:id="50" w:name="_Toc15377212"/>
    </w:p>
    <w:p w:rsidR="00920B76" w:rsidRDefault="00920B76">
      <w:pPr>
        <w:pStyle w:val="a0"/>
      </w:pPr>
    </w:p>
    <w:p w:rsidR="00920B76" w:rsidRDefault="00D21666">
      <w:pPr>
        <w:pStyle w:val="a0"/>
        <w:rPr>
          <w:rFonts w:ascii="仿宋" w:eastAsia="仿宋" w:hAnsi="仿宋"/>
          <w:b/>
          <w:sz w:val="32"/>
          <w:szCs w:val="32"/>
        </w:rPr>
      </w:pPr>
      <w:r>
        <w:rPr>
          <w:noProof/>
        </w:rPr>
        <w:drawing>
          <wp:inline distT="0" distB="0" distL="114300" distR="114300">
            <wp:extent cx="3731260" cy="1958340"/>
            <wp:effectExtent l="4445" t="5080" r="17145" b="17780"/>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0B76" w:rsidRDefault="00D21666">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lastRenderedPageBreak/>
        <w:t>（三）一般公共预算财政拨款支出决算具体情况</w:t>
      </w:r>
      <w:bookmarkEnd w:id="50"/>
    </w:p>
    <w:p w:rsidR="00920B76" w:rsidRDefault="00D21666">
      <w:pPr>
        <w:spacing w:line="600" w:lineRule="exact"/>
        <w:ind w:firstLineChars="200" w:firstLine="643"/>
        <w:outlineLvl w:val="1"/>
        <w:rPr>
          <w:rFonts w:ascii="仿宋" w:eastAsia="仿宋" w:hAnsi="仿宋"/>
          <w:sz w:val="32"/>
          <w:szCs w:val="32"/>
        </w:rPr>
      </w:pPr>
      <w:bookmarkStart w:id="51" w:name="_Toc29886"/>
      <w:bookmarkStart w:id="52" w:name="_Toc15378460"/>
      <w:bookmarkStart w:id="53" w:name="_Toc15377444"/>
      <w:bookmarkStart w:id="54" w:name="_Toc15377213"/>
      <w:r>
        <w:rPr>
          <w:rFonts w:ascii="仿宋" w:eastAsia="仿宋" w:hAnsi="仿宋" w:hint="eastAsia"/>
          <w:b/>
          <w:sz w:val="32"/>
          <w:szCs w:val="32"/>
        </w:rPr>
        <w:t>2021年一般公共预算支出决算数为</w:t>
      </w:r>
      <w:r>
        <w:rPr>
          <w:rFonts w:ascii="仿宋" w:eastAsia="仿宋" w:hAnsi="仿宋" w:hint="eastAsia"/>
          <w:b/>
          <w:bCs/>
          <w:sz w:val="32"/>
          <w:szCs w:val="32"/>
        </w:rPr>
        <w:t>759.03万元</w:t>
      </w:r>
      <w:r>
        <w:rPr>
          <w:rFonts w:ascii="仿宋" w:eastAsia="仿宋" w:hAnsi="仿宋" w:hint="eastAsia"/>
          <w:sz w:val="32"/>
          <w:szCs w:val="32"/>
        </w:rPr>
        <w:t>，</w:t>
      </w:r>
      <w:r>
        <w:rPr>
          <w:rStyle w:val="a9"/>
          <w:rFonts w:ascii="仿宋" w:eastAsia="仿宋" w:hAnsi="仿宋" w:hint="eastAsia"/>
          <w:bCs/>
          <w:sz w:val="32"/>
          <w:szCs w:val="32"/>
        </w:rPr>
        <w:t>完成预算82.63</w:t>
      </w:r>
      <w:r>
        <w:rPr>
          <w:rStyle w:val="a9"/>
          <w:rFonts w:ascii="仿宋" w:eastAsia="仿宋" w:hAnsi="仿宋"/>
          <w:bCs/>
          <w:sz w:val="32"/>
          <w:szCs w:val="32"/>
        </w:rPr>
        <w:t>%</w:t>
      </w:r>
      <w:r>
        <w:rPr>
          <w:rStyle w:val="a9"/>
          <w:rFonts w:ascii="仿宋" w:eastAsia="仿宋" w:hAnsi="仿宋" w:hint="eastAsia"/>
          <w:bCs/>
          <w:sz w:val="32"/>
          <w:szCs w:val="32"/>
        </w:rPr>
        <w:t>。其中：</w:t>
      </w:r>
      <w:bookmarkEnd w:id="51"/>
      <w:bookmarkEnd w:id="52"/>
      <w:bookmarkEnd w:id="53"/>
      <w:bookmarkEnd w:id="54"/>
    </w:p>
    <w:p w:rsidR="00920B76" w:rsidRPr="00D21666" w:rsidRDefault="00D21666">
      <w:pPr>
        <w:spacing w:line="600" w:lineRule="exact"/>
        <w:ind w:firstLineChars="200" w:firstLine="643"/>
        <w:rPr>
          <w:rStyle w:val="a9"/>
          <w:b w:val="0"/>
        </w:rPr>
      </w:pPr>
      <w:r>
        <w:rPr>
          <w:rStyle w:val="a9"/>
          <w:rFonts w:ascii="仿宋" w:eastAsia="仿宋" w:hAnsi="仿宋"/>
          <w:color w:val="000000"/>
          <w:sz w:val="32"/>
          <w:szCs w:val="32"/>
        </w:rPr>
        <w:t>1.</w:t>
      </w:r>
      <w:r>
        <w:rPr>
          <w:rStyle w:val="a9"/>
          <w:rFonts w:ascii="仿宋" w:eastAsia="仿宋" w:hAnsi="仿宋" w:hint="eastAsia"/>
          <w:color w:val="000000"/>
          <w:sz w:val="32"/>
          <w:szCs w:val="32"/>
        </w:rPr>
        <w:t>社会保障和就业（类）行政事业单位养老支出（款）机关事业单位基本养老保险缴费支出（项）</w:t>
      </w:r>
      <w:r>
        <w:rPr>
          <w:rStyle w:val="a9"/>
          <w:rFonts w:ascii="仿宋" w:eastAsia="仿宋" w:hAnsi="仿宋"/>
          <w:b w:val="0"/>
          <w:bCs/>
          <w:color w:val="000000"/>
          <w:sz w:val="32"/>
          <w:szCs w:val="32"/>
        </w:rPr>
        <w:t xml:space="preserve">: </w:t>
      </w:r>
      <w:r>
        <w:rPr>
          <w:rStyle w:val="a9"/>
          <w:rFonts w:ascii="仿宋" w:eastAsia="仿宋" w:hAnsi="仿宋" w:hint="eastAsia"/>
          <w:b w:val="0"/>
          <w:bCs/>
          <w:color w:val="000000"/>
          <w:sz w:val="32"/>
          <w:szCs w:val="32"/>
        </w:rPr>
        <w:t>支出决算为</w:t>
      </w:r>
      <w:r>
        <w:rPr>
          <w:rFonts w:ascii="仿宋" w:eastAsia="仿宋" w:hAnsi="仿宋" w:hint="eastAsia"/>
          <w:bCs/>
          <w:color w:val="000000"/>
          <w:sz w:val="32"/>
          <w:szCs w:val="32"/>
        </w:rPr>
        <w:t>29.57</w:t>
      </w:r>
      <w:r>
        <w:rPr>
          <w:rStyle w:val="a9"/>
          <w:rFonts w:ascii="仿宋" w:eastAsia="仿宋" w:hAnsi="仿宋" w:hint="eastAsia"/>
          <w:b w:val="0"/>
          <w:bCs/>
          <w:color w:val="000000"/>
          <w:sz w:val="32"/>
          <w:szCs w:val="32"/>
        </w:rPr>
        <w:t>万元，完成预算100</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w:t>
      </w:r>
      <w:r w:rsidRPr="00D21666">
        <w:rPr>
          <w:rStyle w:val="a9"/>
          <w:rFonts w:ascii="仿宋" w:eastAsia="仿宋" w:hAnsi="仿宋"/>
          <w:b w:val="0"/>
          <w:bCs/>
          <w:color w:val="000000"/>
          <w:sz w:val="32"/>
          <w:szCs w:val="32"/>
        </w:rPr>
        <w:t>决算数等于预算数的主要原因是收支持平</w:t>
      </w:r>
      <w:r>
        <w:rPr>
          <w:rStyle w:val="a9"/>
          <w:rFonts w:ascii="仿宋" w:eastAsia="仿宋" w:hAnsi="仿宋" w:hint="eastAsia"/>
          <w:b w:val="0"/>
          <w:bCs/>
          <w:color w:val="000000"/>
          <w:sz w:val="32"/>
          <w:szCs w:val="32"/>
        </w:rPr>
        <w:t>。</w:t>
      </w:r>
    </w:p>
    <w:p w:rsidR="00920B76" w:rsidRPr="00D21666" w:rsidRDefault="00D21666" w:rsidP="00D21666">
      <w:pPr>
        <w:spacing w:line="600" w:lineRule="exact"/>
        <w:ind w:firstLineChars="200" w:firstLine="643"/>
      </w:pPr>
      <w:r>
        <w:rPr>
          <w:rStyle w:val="a9"/>
          <w:rFonts w:ascii="仿宋" w:eastAsia="仿宋" w:hAnsi="仿宋" w:hint="eastAsia"/>
          <w:color w:val="000000"/>
          <w:sz w:val="32"/>
          <w:szCs w:val="32"/>
        </w:rPr>
        <w:t>2</w:t>
      </w:r>
      <w:r>
        <w:rPr>
          <w:rStyle w:val="a9"/>
          <w:rFonts w:ascii="仿宋" w:eastAsia="仿宋" w:hAnsi="仿宋"/>
          <w:color w:val="000000"/>
          <w:sz w:val="32"/>
          <w:szCs w:val="32"/>
        </w:rPr>
        <w:t>.</w:t>
      </w:r>
      <w:r>
        <w:rPr>
          <w:rFonts w:ascii="仿宋" w:eastAsia="仿宋" w:hAnsi="仿宋" w:hint="eastAsia"/>
          <w:b/>
          <w:color w:val="000000"/>
          <w:sz w:val="32"/>
          <w:szCs w:val="32"/>
        </w:rPr>
        <w:t>卫生健康</w:t>
      </w:r>
      <w:r>
        <w:rPr>
          <w:rStyle w:val="a9"/>
          <w:rFonts w:ascii="仿宋" w:eastAsia="仿宋" w:hAnsi="仿宋" w:hint="eastAsia"/>
          <w:color w:val="000000"/>
          <w:sz w:val="32"/>
          <w:szCs w:val="32"/>
        </w:rPr>
        <w:t>（类）公共卫生（款）疾病预防控制机构（项）</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支出决算为306.26万元，完成预算100</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w:t>
      </w:r>
      <w:r w:rsidRPr="00D21666">
        <w:rPr>
          <w:rStyle w:val="a9"/>
          <w:rFonts w:ascii="仿宋" w:eastAsia="仿宋" w:hAnsi="仿宋"/>
          <w:b w:val="0"/>
          <w:bCs/>
          <w:color w:val="000000"/>
          <w:sz w:val="32"/>
          <w:szCs w:val="32"/>
        </w:rPr>
        <w:t>决算数等于预算数的主要原因是收支持平</w:t>
      </w:r>
      <w:r>
        <w:rPr>
          <w:rStyle w:val="a9"/>
          <w:rFonts w:ascii="仿宋" w:eastAsia="仿宋" w:hAnsi="仿宋" w:hint="eastAsia"/>
          <w:b w:val="0"/>
          <w:bCs/>
          <w:color w:val="000000"/>
          <w:sz w:val="32"/>
          <w:szCs w:val="32"/>
        </w:rPr>
        <w:t>。</w:t>
      </w:r>
    </w:p>
    <w:p w:rsidR="00920B76" w:rsidRPr="00D21666" w:rsidRDefault="00D21666" w:rsidP="00D21666">
      <w:pPr>
        <w:spacing w:line="600" w:lineRule="exact"/>
        <w:ind w:firstLineChars="200" w:firstLine="643"/>
      </w:pPr>
      <w:r>
        <w:rPr>
          <w:rFonts w:ascii="仿宋" w:eastAsia="仿宋" w:hAnsi="仿宋" w:hint="eastAsia"/>
          <w:b/>
          <w:color w:val="000000"/>
          <w:sz w:val="32"/>
          <w:szCs w:val="32"/>
        </w:rPr>
        <w:t>3.卫生健康</w:t>
      </w:r>
      <w:r>
        <w:rPr>
          <w:rStyle w:val="a9"/>
          <w:rFonts w:ascii="仿宋" w:eastAsia="仿宋" w:hAnsi="仿宋" w:hint="eastAsia"/>
          <w:color w:val="000000"/>
          <w:sz w:val="32"/>
          <w:szCs w:val="32"/>
        </w:rPr>
        <w:t>（类）公共卫生（款）基本公共卫生服务（项）</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支出决算为98.94万元，完成预算100</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w:t>
      </w:r>
      <w:r w:rsidRPr="00D21666">
        <w:rPr>
          <w:rStyle w:val="a9"/>
          <w:rFonts w:ascii="仿宋" w:eastAsia="仿宋" w:hAnsi="仿宋"/>
          <w:b w:val="0"/>
          <w:bCs/>
          <w:color w:val="000000"/>
          <w:sz w:val="32"/>
          <w:szCs w:val="32"/>
        </w:rPr>
        <w:t>决算数等于预算数的主要原因是收支持平</w:t>
      </w:r>
      <w:r>
        <w:rPr>
          <w:rStyle w:val="a9"/>
          <w:rFonts w:ascii="仿宋" w:eastAsia="仿宋" w:hAnsi="仿宋" w:hint="eastAsia"/>
          <w:b w:val="0"/>
          <w:bCs/>
          <w:color w:val="000000"/>
          <w:sz w:val="32"/>
          <w:szCs w:val="32"/>
        </w:rPr>
        <w:t>。</w:t>
      </w:r>
    </w:p>
    <w:p w:rsidR="00920B76" w:rsidRDefault="00D21666">
      <w:pPr>
        <w:spacing w:line="600" w:lineRule="exact"/>
        <w:ind w:firstLineChars="200" w:firstLine="643"/>
        <w:rPr>
          <w:rStyle w:val="a9"/>
          <w:rFonts w:ascii="仿宋" w:eastAsia="仿宋" w:hAnsi="仿宋"/>
          <w:b w:val="0"/>
          <w:bCs/>
          <w:color w:val="000000"/>
          <w:sz w:val="32"/>
          <w:szCs w:val="32"/>
        </w:rPr>
      </w:pPr>
      <w:r>
        <w:rPr>
          <w:rFonts w:ascii="仿宋" w:eastAsia="仿宋" w:hAnsi="仿宋" w:hint="eastAsia"/>
          <w:b/>
          <w:color w:val="000000"/>
          <w:sz w:val="32"/>
          <w:szCs w:val="32"/>
        </w:rPr>
        <w:t>4.卫生健康</w:t>
      </w:r>
      <w:r>
        <w:rPr>
          <w:rStyle w:val="a9"/>
          <w:rFonts w:ascii="仿宋" w:eastAsia="仿宋" w:hAnsi="仿宋" w:hint="eastAsia"/>
          <w:color w:val="000000"/>
          <w:sz w:val="32"/>
          <w:szCs w:val="32"/>
        </w:rPr>
        <w:t>（类）公共卫生（款）重大公共卫生服务（项）</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支出决算为271.05万元，完成预算77.04</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w:t>
      </w:r>
      <w:r>
        <w:rPr>
          <w:rStyle w:val="a9"/>
          <w:rFonts w:ascii="仿宋" w:eastAsia="仿宋" w:hAnsi="仿宋" w:hint="eastAsia"/>
          <w:b w:val="0"/>
          <w:bCs/>
          <w:sz w:val="32"/>
          <w:szCs w:val="32"/>
        </w:rPr>
        <w:t>决算数小于预算数的主要原因是年末才追加当年项目资金</w:t>
      </w:r>
      <w:r>
        <w:rPr>
          <w:rStyle w:val="a9"/>
          <w:rFonts w:ascii="仿宋" w:eastAsia="仿宋" w:hAnsi="仿宋" w:hint="eastAsia"/>
          <w:b w:val="0"/>
          <w:bCs/>
          <w:color w:val="000000"/>
          <w:sz w:val="32"/>
          <w:szCs w:val="32"/>
        </w:rPr>
        <w:t>。</w:t>
      </w:r>
    </w:p>
    <w:p w:rsidR="00920B76" w:rsidRPr="00D21666" w:rsidRDefault="00D21666" w:rsidP="00D21666">
      <w:pPr>
        <w:spacing w:line="600" w:lineRule="exact"/>
        <w:ind w:firstLineChars="200" w:firstLine="643"/>
        <w:rPr>
          <w:rStyle w:val="a9"/>
          <w:b w:val="0"/>
        </w:rPr>
      </w:pPr>
      <w:r>
        <w:rPr>
          <w:rFonts w:ascii="仿宋" w:eastAsia="仿宋" w:hAnsi="仿宋" w:hint="eastAsia"/>
          <w:b/>
          <w:color w:val="000000"/>
          <w:sz w:val="32"/>
          <w:szCs w:val="32"/>
        </w:rPr>
        <w:t>5.卫生健康</w:t>
      </w:r>
      <w:r>
        <w:rPr>
          <w:rStyle w:val="a9"/>
          <w:rFonts w:ascii="仿宋" w:eastAsia="仿宋" w:hAnsi="仿宋" w:hint="eastAsia"/>
          <w:color w:val="000000"/>
          <w:sz w:val="32"/>
          <w:szCs w:val="32"/>
        </w:rPr>
        <w:t>（类）行政事业单位医疗（款）事业单位医疗（项）</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支出决算为15.79万元，完成预算100</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w:t>
      </w:r>
      <w:r w:rsidRPr="00D21666">
        <w:rPr>
          <w:rStyle w:val="a9"/>
          <w:rFonts w:ascii="仿宋" w:eastAsia="仿宋" w:hAnsi="仿宋"/>
          <w:b w:val="0"/>
          <w:bCs/>
          <w:color w:val="000000"/>
          <w:sz w:val="32"/>
          <w:szCs w:val="32"/>
        </w:rPr>
        <w:t>决算数等于预算数的主要原因是收支持平</w:t>
      </w:r>
      <w:r>
        <w:rPr>
          <w:rStyle w:val="a9"/>
          <w:rFonts w:ascii="仿宋" w:eastAsia="仿宋" w:hAnsi="仿宋" w:hint="eastAsia"/>
          <w:b w:val="0"/>
          <w:bCs/>
          <w:color w:val="000000"/>
          <w:sz w:val="32"/>
          <w:szCs w:val="32"/>
        </w:rPr>
        <w:t>。</w:t>
      </w:r>
    </w:p>
    <w:p w:rsidR="00920B76" w:rsidRDefault="00D21666">
      <w:pPr>
        <w:pStyle w:val="a0"/>
        <w:ind w:firstLineChars="200" w:firstLine="643"/>
        <w:rPr>
          <w:bCs/>
        </w:rPr>
      </w:pPr>
      <w:r>
        <w:rPr>
          <w:rFonts w:ascii="仿宋" w:eastAsia="仿宋" w:hAnsi="仿宋" w:hint="eastAsia"/>
          <w:b/>
          <w:color w:val="000000"/>
          <w:sz w:val="32"/>
          <w:szCs w:val="32"/>
        </w:rPr>
        <w:t>6.卫生健康</w:t>
      </w:r>
      <w:r>
        <w:rPr>
          <w:rStyle w:val="a9"/>
          <w:rFonts w:ascii="仿宋" w:eastAsia="仿宋" w:hAnsi="仿宋" w:hint="eastAsia"/>
          <w:color w:val="000000"/>
          <w:sz w:val="32"/>
          <w:szCs w:val="32"/>
        </w:rPr>
        <w:t>（类）其他卫生健康支出（款）其他卫生健康支出（项）</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支出决算为6.44万元，完成预算7.56</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w:t>
      </w:r>
      <w:r>
        <w:rPr>
          <w:rStyle w:val="a9"/>
          <w:rFonts w:ascii="仿宋" w:eastAsia="仿宋" w:hAnsi="仿宋" w:hint="eastAsia"/>
          <w:b w:val="0"/>
          <w:bCs/>
          <w:sz w:val="32"/>
          <w:szCs w:val="32"/>
        </w:rPr>
        <w:t>决算数小于预算数的主要原因是年末才追加当年项目资金</w:t>
      </w:r>
      <w:r>
        <w:rPr>
          <w:rStyle w:val="a9"/>
          <w:rFonts w:ascii="仿宋" w:eastAsia="仿宋" w:hAnsi="仿宋" w:hint="eastAsia"/>
          <w:b w:val="0"/>
          <w:bCs/>
          <w:color w:val="000000"/>
          <w:sz w:val="32"/>
          <w:szCs w:val="32"/>
        </w:rPr>
        <w:t>。</w:t>
      </w:r>
    </w:p>
    <w:p w:rsidR="00920B76" w:rsidRPr="00D21666" w:rsidRDefault="00D21666" w:rsidP="00D21666">
      <w:pPr>
        <w:spacing w:line="600" w:lineRule="exact"/>
        <w:ind w:firstLineChars="200" w:firstLine="643"/>
        <w:rPr>
          <w:rStyle w:val="a9"/>
          <w:b w:val="0"/>
        </w:rPr>
      </w:pPr>
      <w:r>
        <w:rPr>
          <w:rFonts w:ascii="仿宋" w:eastAsia="仿宋" w:hAnsi="仿宋" w:hint="eastAsia"/>
          <w:b/>
          <w:color w:val="000000"/>
          <w:sz w:val="32"/>
          <w:szCs w:val="32"/>
        </w:rPr>
        <w:t>7.住房保障支出</w:t>
      </w:r>
      <w:r>
        <w:rPr>
          <w:rStyle w:val="a9"/>
          <w:rFonts w:ascii="仿宋" w:eastAsia="仿宋" w:hAnsi="仿宋" w:hint="eastAsia"/>
          <w:color w:val="000000"/>
          <w:sz w:val="32"/>
          <w:szCs w:val="32"/>
        </w:rPr>
        <w:t>（类）住房改革支出（款）住房公积金</w:t>
      </w:r>
      <w:r>
        <w:rPr>
          <w:rStyle w:val="a9"/>
          <w:rFonts w:ascii="仿宋" w:eastAsia="仿宋" w:hAnsi="仿宋" w:hint="eastAsia"/>
          <w:color w:val="000000"/>
          <w:sz w:val="32"/>
          <w:szCs w:val="32"/>
        </w:rPr>
        <w:lastRenderedPageBreak/>
        <w:t>（项）</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支出决算为</w:t>
      </w:r>
      <w:r>
        <w:rPr>
          <w:rFonts w:ascii="仿宋" w:eastAsia="仿宋" w:hAnsi="仿宋" w:hint="eastAsia"/>
          <w:bCs/>
          <w:color w:val="000000"/>
          <w:sz w:val="32"/>
          <w:szCs w:val="32"/>
        </w:rPr>
        <w:t>30.98</w:t>
      </w:r>
      <w:r>
        <w:rPr>
          <w:rStyle w:val="a9"/>
          <w:rFonts w:ascii="仿宋" w:eastAsia="仿宋" w:hAnsi="仿宋" w:hint="eastAsia"/>
          <w:b w:val="0"/>
          <w:bCs/>
          <w:color w:val="000000"/>
          <w:sz w:val="32"/>
          <w:szCs w:val="32"/>
        </w:rPr>
        <w:t>万元，完成预算100</w:t>
      </w:r>
      <w:r>
        <w:rPr>
          <w:rStyle w:val="a9"/>
          <w:rFonts w:ascii="仿宋" w:eastAsia="仿宋" w:hAnsi="仿宋"/>
          <w:b w:val="0"/>
          <w:bCs/>
          <w:color w:val="000000"/>
          <w:sz w:val="32"/>
          <w:szCs w:val="32"/>
        </w:rPr>
        <w:t>%</w:t>
      </w:r>
      <w:r>
        <w:rPr>
          <w:rStyle w:val="a9"/>
          <w:rFonts w:ascii="仿宋" w:eastAsia="仿宋" w:hAnsi="仿宋" w:hint="eastAsia"/>
          <w:b w:val="0"/>
          <w:bCs/>
          <w:color w:val="000000"/>
          <w:sz w:val="32"/>
          <w:szCs w:val="32"/>
        </w:rPr>
        <w:t>。</w:t>
      </w:r>
      <w:r w:rsidRPr="00D21666">
        <w:rPr>
          <w:rStyle w:val="a9"/>
          <w:rFonts w:ascii="仿宋" w:eastAsia="仿宋" w:hAnsi="仿宋"/>
          <w:b w:val="0"/>
          <w:bCs/>
          <w:color w:val="000000"/>
          <w:sz w:val="32"/>
          <w:szCs w:val="32"/>
        </w:rPr>
        <w:t>决算数等于预算数的主要原因是收支持平</w:t>
      </w:r>
      <w:r>
        <w:rPr>
          <w:rStyle w:val="a9"/>
          <w:rFonts w:ascii="仿宋" w:eastAsia="仿宋" w:hAnsi="仿宋" w:hint="eastAsia"/>
          <w:b w:val="0"/>
          <w:bCs/>
          <w:color w:val="000000"/>
          <w:sz w:val="32"/>
          <w:szCs w:val="32"/>
        </w:rPr>
        <w:t>。</w:t>
      </w:r>
    </w:p>
    <w:p w:rsidR="00920B76" w:rsidRDefault="00920B76"/>
    <w:p w:rsidR="00920B76" w:rsidRDefault="00D21666">
      <w:pPr>
        <w:tabs>
          <w:tab w:val="right" w:pos="8306"/>
        </w:tabs>
        <w:spacing w:line="600" w:lineRule="exact"/>
        <w:ind w:firstLine="640"/>
        <w:outlineLvl w:val="1"/>
        <w:rPr>
          <w:rStyle w:val="2Char"/>
        </w:rPr>
      </w:pPr>
      <w:bookmarkStart w:id="55" w:name="_Toc15396608"/>
      <w:bookmarkStart w:id="56" w:name="_Toc15377214"/>
      <w:bookmarkStart w:id="57" w:name="_Toc2100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5"/>
      <w:bookmarkEnd w:id="56"/>
      <w:bookmarkEnd w:id="57"/>
      <w:r>
        <w:rPr>
          <w:rStyle w:val="2Char"/>
          <w:rFonts w:ascii="黑体" w:eastAsia="黑体" w:hAnsi="黑体"/>
          <w:b w:val="0"/>
        </w:rPr>
        <w:tab/>
      </w:r>
    </w:p>
    <w:p w:rsidR="00920B76" w:rsidRDefault="00D21666">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21年一般公共预算财政拨款基本支出382.60万元，其中：</w:t>
      </w:r>
    </w:p>
    <w:p w:rsidR="00920B76" w:rsidRDefault="00D21666">
      <w:pPr>
        <w:spacing w:line="600" w:lineRule="exact"/>
        <w:ind w:firstLine="645"/>
        <w:rPr>
          <w:rFonts w:ascii="仿宋" w:eastAsia="仿宋" w:hAnsi="仿宋"/>
          <w:sz w:val="32"/>
          <w:szCs w:val="32"/>
        </w:rPr>
      </w:pPr>
      <w:r>
        <w:rPr>
          <w:rFonts w:ascii="仿宋" w:eastAsia="仿宋" w:hAnsi="仿宋" w:hint="eastAsia"/>
          <w:sz w:val="32"/>
          <w:szCs w:val="32"/>
        </w:rPr>
        <w:t>人员经费309.15万元，主要包括：基本工资、津贴补贴、绩效工资、机关事业单位基本养老保险缴费、职工基本医疗保险缴费、住房公积金、其他工资福利支出。</w:t>
      </w:r>
    </w:p>
    <w:p w:rsidR="00920B76" w:rsidRDefault="00D21666">
      <w:pPr>
        <w:spacing w:line="600" w:lineRule="exact"/>
        <w:ind w:firstLine="645"/>
        <w:rPr>
          <w:rFonts w:ascii="仿宋" w:eastAsia="仿宋" w:hAnsi="仿宋"/>
          <w:sz w:val="32"/>
          <w:szCs w:val="32"/>
        </w:rPr>
      </w:pPr>
      <w:r>
        <w:rPr>
          <w:rFonts w:ascii="仿宋" w:eastAsia="仿宋" w:hAnsi="仿宋" w:hint="eastAsia"/>
          <w:sz w:val="32"/>
          <w:szCs w:val="32"/>
        </w:rPr>
        <w:t>公用经费73.45万元，主要包括：办公费、印刷费、咨询费、手续费、水费、电费、邮电费、物业管理费、差旅费、维修（护）费、租赁费、会议费、培训费、公务接待费、专用材料费、劳务费、工会经费、其他交通费。</w:t>
      </w:r>
    </w:p>
    <w:p w:rsidR="00920B76" w:rsidRDefault="00920B76">
      <w:pPr>
        <w:pStyle w:val="a0"/>
      </w:pPr>
    </w:p>
    <w:p w:rsidR="00920B76" w:rsidRDefault="00D21666">
      <w:pPr>
        <w:spacing w:line="600" w:lineRule="exact"/>
        <w:ind w:firstLine="640"/>
        <w:outlineLvl w:val="1"/>
        <w:rPr>
          <w:rStyle w:val="2Char"/>
          <w:rFonts w:ascii="黑体" w:eastAsia="黑体" w:hAnsi="黑体"/>
          <w:b w:val="0"/>
        </w:rPr>
      </w:pPr>
      <w:bookmarkStart w:id="58" w:name="_Toc18924"/>
      <w:bookmarkStart w:id="59" w:name="_Toc15396609"/>
      <w:bookmarkStart w:id="60"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8"/>
      <w:bookmarkEnd w:id="59"/>
      <w:bookmarkEnd w:id="60"/>
    </w:p>
    <w:p w:rsidR="00920B76" w:rsidRDefault="00D21666">
      <w:pPr>
        <w:spacing w:line="600" w:lineRule="exact"/>
        <w:ind w:firstLine="640"/>
        <w:outlineLvl w:val="2"/>
        <w:rPr>
          <w:rFonts w:ascii="仿宋" w:eastAsia="仿宋" w:hAnsi="仿宋"/>
          <w:b/>
          <w:sz w:val="32"/>
          <w:szCs w:val="32"/>
        </w:rPr>
      </w:pPr>
      <w:bookmarkStart w:id="61" w:name="_Toc15377216"/>
      <w:r>
        <w:rPr>
          <w:rFonts w:ascii="仿宋" w:eastAsia="仿宋" w:hAnsi="仿宋" w:hint="eastAsia"/>
          <w:b/>
          <w:sz w:val="32"/>
          <w:szCs w:val="32"/>
        </w:rPr>
        <w:t>（一）“三公”经费财政拨款支出决算总体情况说明</w:t>
      </w:r>
      <w:bookmarkEnd w:id="61"/>
    </w:p>
    <w:p w:rsidR="00920B76" w:rsidRDefault="00D21666">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21年“三公”经费财政拨款支出决算为1.5万元，完成预算100</w:t>
      </w:r>
      <w:r>
        <w:rPr>
          <w:rFonts w:ascii="仿宋" w:eastAsia="仿宋" w:hAnsi="仿宋"/>
          <w:sz w:val="32"/>
          <w:szCs w:val="32"/>
        </w:rPr>
        <w:t>%</w:t>
      </w:r>
      <w:r>
        <w:rPr>
          <w:rFonts w:ascii="仿宋" w:eastAsia="仿宋" w:hAnsi="仿宋" w:hint="eastAsia"/>
          <w:sz w:val="32"/>
          <w:szCs w:val="32"/>
        </w:rPr>
        <w:t>。决算数与预算数持平的主要原因是严控三公经费支出，确保不超支。</w:t>
      </w:r>
    </w:p>
    <w:p w:rsidR="00920B76" w:rsidRDefault="00920B76">
      <w:pPr>
        <w:pStyle w:val="a0"/>
      </w:pPr>
    </w:p>
    <w:p w:rsidR="00920B76" w:rsidRDefault="00D21666">
      <w:pPr>
        <w:spacing w:line="600" w:lineRule="exact"/>
        <w:ind w:firstLine="640"/>
        <w:outlineLvl w:val="2"/>
        <w:rPr>
          <w:rFonts w:ascii="仿宋" w:eastAsia="仿宋" w:hAnsi="仿宋"/>
          <w:b/>
          <w:sz w:val="32"/>
          <w:szCs w:val="32"/>
        </w:rPr>
      </w:pPr>
      <w:bookmarkStart w:id="62" w:name="_Toc15377217"/>
      <w:r>
        <w:rPr>
          <w:rFonts w:ascii="仿宋" w:eastAsia="仿宋" w:hAnsi="仿宋" w:hint="eastAsia"/>
          <w:b/>
          <w:sz w:val="32"/>
          <w:szCs w:val="32"/>
        </w:rPr>
        <w:t>（二）“三公”经费财政拨款支出决算具体情况说明</w:t>
      </w:r>
      <w:bookmarkEnd w:id="62"/>
    </w:p>
    <w:p w:rsidR="00920B76" w:rsidRDefault="00D21666">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w:t>
      </w:r>
      <w:r>
        <w:rPr>
          <w:rFonts w:ascii="仿宋" w:eastAsia="仿宋" w:hAnsi="仿宋" w:hint="eastAsia"/>
          <w:color w:val="000000"/>
          <w:sz w:val="32"/>
          <w:szCs w:val="32"/>
        </w:rPr>
        <w:t>0万元，年初未安排预算</w:t>
      </w:r>
      <w:r>
        <w:rPr>
          <w:rFonts w:ascii="仿宋" w:eastAsia="仿宋" w:hAnsi="仿宋" w:hint="eastAsia"/>
          <w:sz w:val="32"/>
          <w:szCs w:val="32"/>
        </w:rPr>
        <w:t>；公务用车购置及运行维护费支出</w:t>
      </w:r>
      <w:r>
        <w:rPr>
          <w:rFonts w:ascii="仿宋" w:eastAsia="仿宋" w:hAnsi="仿宋" w:hint="eastAsia"/>
          <w:color w:val="000000"/>
          <w:sz w:val="32"/>
          <w:szCs w:val="32"/>
        </w:rPr>
        <w:t>0万元，年初未安排预算</w:t>
      </w:r>
      <w:r>
        <w:rPr>
          <w:rFonts w:ascii="仿宋" w:eastAsia="仿宋" w:hAnsi="仿宋" w:hint="eastAsia"/>
          <w:sz w:val="32"/>
          <w:szCs w:val="32"/>
        </w:rPr>
        <w:t>；</w:t>
      </w:r>
      <w:bookmarkStart w:id="63" w:name="OLE_LINK1"/>
      <w:r>
        <w:rPr>
          <w:rFonts w:ascii="仿宋" w:eastAsia="仿宋" w:hAnsi="仿宋" w:hint="eastAsia"/>
          <w:sz w:val="32"/>
          <w:szCs w:val="32"/>
        </w:rPr>
        <w:t>公务接待费支出</w:t>
      </w:r>
      <w:bookmarkEnd w:id="63"/>
      <w:r>
        <w:rPr>
          <w:rFonts w:ascii="仿宋" w:eastAsia="仿宋" w:hAnsi="仿宋" w:hint="eastAsia"/>
          <w:sz w:val="32"/>
          <w:szCs w:val="32"/>
        </w:rPr>
        <w:t>决算1.5</w:t>
      </w:r>
      <w:r>
        <w:rPr>
          <w:rFonts w:ascii="仿宋" w:eastAsia="仿宋" w:hAnsi="仿宋" w:hint="eastAsia"/>
          <w:sz w:val="32"/>
          <w:szCs w:val="32"/>
        </w:rPr>
        <w:lastRenderedPageBreak/>
        <w:t>万元，占100</w:t>
      </w:r>
      <w:r>
        <w:rPr>
          <w:rFonts w:ascii="仿宋" w:eastAsia="仿宋" w:hAnsi="仿宋"/>
          <w:sz w:val="32"/>
          <w:szCs w:val="32"/>
        </w:rPr>
        <w:t>%</w:t>
      </w:r>
      <w:r>
        <w:rPr>
          <w:rFonts w:ascii="仿宋" w:eastAsia="仿宋" w:hAnsi="仿宋" w:hint="eastAsia"/>
          <w:sz w:val="32"/>
          <w:szCs w:val="32"/>
        </w:rPr>
        <w:t>。具体情况如下：</w:t>
      </w:r>
    </w:p>
    <w:p w:rsidR="00920B76" w:rsidRDefault="00D21666">
      <w:pPr>
        <w:pStyle w:val="a0"/>
      </w:pPr>
      <w:r>
        <w:rPr>
          <w:noProof/>
        </w:rPr>
        <w:drawing>
          <wp:inline distT="0" distB="0" distL="114300" distR="114300">
            <wp:extent cx="3897630" cy="1750060"/>
            <wp:effectExtent l="4445" t="4445" r="22225" b="1714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0B76" w:rsidRDefault="00D21666">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0万元，年初未安排预算。因公出国（境）支出决算较2020年无变化。</w:t>
      </w:r>
    </w:p>
    <w:p w:rsidR="00920B76" w:rsidRDefault="00D21666">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0万元,年初未安排预算</w:t>
      </w:r>
      <w:r>
        <w:rPr>
          <w:rStyle w:val="a9"/>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20年减少5万元，下降100</w:t>
      </w:r>
      <w:r>
        <w:rPr>
          <w:rFonts w:ascii="仿宋_GB2312" w:eastAsia="仿宋_GB2312"/>
          <w:sz w:val="32"/>
          <w:szCs w:val="32"/>
        </w:rPr>
        <w:t>%</w:t>
      </w:r>
      <w:r>
        <w:rPr>
          <w:rFonts w:ascii="仿宋_GB2312" w:eastAsia="仿宋_GB2312" w:hint="eastAsia"/>
          <w:sz w:val="32"/>
          <w:szCs w:val="32"/>
        </w:rPr>
        <w:t>。主要原因是冷链运输车，不是公务用车。</w:t>
      </w:r>
    </w:p>
    <w:p w:rsidR="00920B76" w:rsidRDefault="00D21666">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w:t>
      </w:r>
    </w:p>
    <w:p w:rsidR="00920B76" w:rsidRDefault="00D21666">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0万元。</w:t>
      </w:r>
    </w:p>
    <w:p w:rsidR="00920B76" w:rsidRDefault="00D21666">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1.5万元，</w:t>
      </w:r>
      <w:r>
        <w:rPr>
          <w:rStyle w:val="a9"/>
          <w:rFonts w:ascii="仿宋" w:eastAsia="仿宋" w:hAnsi="仿宋" w:hint="eastAsia"/>
          <w:b w:val="0"/>
          <w:bCs/>
          <w:sz w:val="32"/>
          <w:szCs w:val="32"/>
        </w:rPr>
        <w:t>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公务接待费支出决算较2020年无变化。其中：</w:t>
      </w:r>
    </w:p>
    <w:p w:rsidR="00920B76" w:rsidRDefault="00D21666">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1.5</w:t>
      </w:r>
      <w:r>
        <w:rPr>
          <w:rFonts w:ascii="仿宋_GB2312" w:eastAsia="仿宋_GB2312" w:hint="eastAsia"/>
          <w:sz w:val="32"/>
          <w:szCs w:val="32"/>
        </w:rPr>
        <w:t>万元，主要用于</w:t>
      </w:r>
      <w:r>
        <w:rPr>
          <w:rFonts w:ascii="仿宋_GB2312" w:eastAsia="仿宋_GB2312" w:hint="eastAsia"/>
          <w:bCs/>
          <w:color w:val="000000"/>
          <w:sz w:val="32"/>
          <w:szCs w:val="32"/>
        </w:rPr>
        <w:t>各项病种的督导、检查等用餐费</w:t>
      </w:r>
      <w:r>
        <w:rPr>
          <w:rFonts w:ascii="仿宋_GB2312" w:eastAsia="仿宋_GB2312" w:hint="eastAsia"/>
          <w:sz w:val="32"/>
          <w:szCs w:val="32"/>
        </w:rPr>
        <w:t>。国内公务接待55批次，305人次（不包括陪同人员），共计支出1.5万元（</w:t>
      </w:r>
      <w:r>
        <w:rPr>
          <w:rFonts w:ascii="仿宋_GB2312" w:eastAsia="仿宋_GB2312" w:hint="eastAsia"/>
          <w:color w:val="000000"/>
          <w:sz w:val="32"/>
          <w:szCs w:val="32"/>
        </w:rPr>
        <w:t>用于省、市、各县区疫情期间检查及艾滋病、结核病、慢病、学校卫生监测等重大传染病督导）。</w:t>
      </w:r>
    </w:p>
    <w:p w:rsidR="00920B76" w:rsidRDefault="00D21666">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p>
    <w:p w:rsidR="00920B76" w:rsidRDefault="00920B76">
      <w:pPr>
        <w:spacing w:line="600" w:lineRule="exact"/>
        <w:ind w:firstLine="640"/>
        <w:rPr>
          <w:rFonts w:ascii="黑体" w:eastAsia="黑体"/>
          <w:sz w:val="32"/>
          <w:szCs w:val="32"/>
        </w:rPr>
      </w:pPr>
      <w:bookmarkStart w:id="64" w:name="_Toc15396610"/>
      <w:bookmarkStart w:id="65" w:name="_Toc15377218"/>
    </w:p>
    <w:p w:rsidR="00920B76" w:rsidRDefault="00D21666">
      <w:pPr>
        <w:spacing w:line="600" w:lineRule="exact"/>
        <w:ind w:firstLine="640"/>
        <w:outlineLvl w:val="1"/>
        <w:rPr>
          <w:rStyle w:val="2Char"/>
          <w:rFonts w:ascii="黑体" w:eastAsia="黑体" w:hAnsi="黑体"/>
        </w:rPr>
      </w:pPr>
      <w:bookmarkStart w:id="66" w:name="_Toc21921"/>
      <w:r>
        <w:rPr>
          <w:rFonts w:ascii="黑体" w:eastAsia="黑体" w:hint="eastAsia"/>
          <w:sz w:val="32"/>
          <w:szCs w:val="32"/>
        </w:rPr>
        <w:t>八、</w:t>
      </w:r>
      <w:r>
        <w:rPr>
          <w:rStyle w:val="2Char"/>
          <w:rFonts w:ascii="黑体" w:eastAsia="黑体" w:hAnsi="黑体" w:hint="eastAsia"/>
          <w:b w:val="0"/>
        </w:rPr>
        <w:t>政府性基金预算支出决算情况说明</w:t>
      </w:r>
      <w:bookmarkEnd w:id="64"/>
      <w:bookmarkEnd w:id="65"/>
      <w:bookmarkEnd w:id="66"/>
    </w:p>
    <w:p w:rsidR="00920B76" w:rsidRDefault="00D21666">
      <w:pPr>
        <w:spacing w:line="600" w:lineRule="exact"/>
        <w:ind w:firstLine="640"/>
        <w:rPr>
          <w:rFonts w:ascii="仿宋_GB2312" w:eastAsia="仿宋_GB2312"/>
          <w:sz w:val="32"/>
          <w:szCs w:val="32"/>
        </w:rPr>
      </w:pPr>
      <w:r>
        <w:rPr>
          <w:rFonts w:ascii="仿宋_GB2312" w:eastAsia="仿宋_GB2312"/>
          <w:sz w:val="32"/>
          <w:szCs w:val="32"/>
        </w:rPr>
        <w:lastRenderedPageBreak/>
        <w:t>20</w:t>
      </w:r>
      <w:r>
        <w:rPr>
          <w:rFonts w:ascii="仿宋_GB2312" w:eastAsia="仿宋_GB2312" w:hint="eastAsia"/>
          <w:sz w:val="32"/>
          <w:szCs w:val="32"/>
        </w:rPr>
        <w:t>21年政府性基金预算财政拨款支出0万元。</w:t>
      </w:r>
    </w:p>
    <w:p w:rsidR="00920B76" w:rsidRDefault="00920B76">
      <w:pPr>
        <w:spacing w:line="600" w:lineRule="exact"/>
        <w:ind w:firstLine="640"/>
        <w:rPr>
          <w:rFonts w:ascii="仿宋_GB2312" w:eastAsia="仿宋_GB2312"/>
          <w:sz w:val="32"/>
          <w:szCs w:val="32"/>
        </w:rPr>
      </w:pPr>
    </w:p>
    <w:p w:rsidR="00920B76" w:rsidRDefault="00D21666">
      <w:pPr>
        <w:numPr>
          <w:ilvl w:val="0"/>
          <w:numId w:val="3"/>
        </w:numPr>
        <w:spacing w:line="600" w:lineRule="exact"/>
        <w:ind w:firstLine="640"/>
        <w:outlineLvl w:val="1"/>
        <w:rPr>
          <w:rStyle w:val="2Char"/>
          <w:rFonts w:ascii="黑体" w:eastAsia="黑体" w:hAnsi="黑体"/>
          <w:b w:val="0"/>
        </w:rPr>
      </w:pPr>
      <w:bookmarkStart w:id="67" w:name="_Toc15396611"/>
      <w:bookmarkStart w:id="68" w:name="_Toc15377219"/>
      <w:bookmarkStart w:id="69" w:name="_Toc12402"/>
      <w:r>
        <w:rPr>
          <w:rStyle w:val="2Char"/>
          <w:rFonts w:ascii="黑体" w:eastAsia="黑体" w:hAnsi="黑体" w:hint="eastAsia"/>
          <w:b w:val="0"/>
        </w:rPr>
        <w:t>国有资本经营预算支出决算情况说明</w:t>
      </w:r>
      <w:bookmarkEnd w:id="67"/>
      <w:bookmarkEnd w:id="68"/>
      <w:bookmarkEnd w:id="69"/>
    </w:p>
    <w:p w:rsidR="00920B76" w:rsidRDefault="00D21666">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rsidR="00920B76" w:rsidRDefault="00920B76">
      <w:pPr>
        <w:spacing w:line="580" w:lineRule="exact"/>
        <w:jc w:val="center"/>
        <w:rPr>
          <w:rFonts w:ascii="方正小标宋简体" w:eastAsia="方正小标宋简体" w:hAnsi="方正小标宋简体" w:cs="方正小标宋简体"/>
          <w:sz w:val="44"/>
          <w:szCs w:val="44"/>
        </w:rPr>
      </w:pPr>
    </w:p>
    <w:p w:rsidR="00920B76" w:rsidRDefault="00D21666">
      <w:pPr>
        <w:numPr>
          <w:ilvl w:val="0"/>
          <w:numId w:val="3"/>
        </w:numPr>
        <w:spacing w:line="600" w:lineRule="exact"/>
        <w:ind w:firstLine="640"/>
        <w:outlineLvl w:val="1"/>
        <w:rPr>
          <w:rStyle w:val="2Char"/>
          <w:rFonts w:ascii="黑体" w:eastAsia="黑体" w:hAnsi="黑体"/>
          <w:b w:val="0"/>
        </w:rPr>
      </w:pPr>
      <w:bookmarkStart w:id="70" w:name="_Toc24160"/>
      <w:bookmarkStart w:id="71" w:name="_Toc15377221"/>
      <w:bookmarkStart w:id="72" w:name="_Toc15396612"/>
      <w:r>
        <w:rPr>
          <w:rStyle w:val="2Char"/>
          <w:rFonts w:ascii="黑体" w:eastAsia="黑体" w:hAnsi="黑体" w:hint="eastAsia"/>
          <w:b w:val="0"/>
        </w:rPr>
        <w:t>预算绩效管理情况</w:t>
      </w:r>
      <w:bookmarkEnd w:id="70"/>
    </w:p>
    <w:p w:rsidR="00920B76" w:rsidRDefault="00D21666">
      <w:pPr>
        <w:spacing w:line="580" w:lineRule="exact"/>
        <w:ind w:firstLineChars="200" w:firstLine="640"/>
        <w:rPr>
          <w:rFonts w:ascii="仿宋" w:eastAsia="仿宋" w:hAnsi="仿宋"/>
          <w:b/>
          <w:sz w:val="32"/>
          <w:szCs w:val="32"/>
          <w:highlight w:val="yellow"/>
        </w:rPr>
      </w:pPr>
      <w:r>
        <w:rPr>
          <w:rFonts w:ascii="仿宋_GB2312" w:eastAsia="仿宋_GB2312" w:hAnsi="仿宋_GB2312" w:cs="仿宋_GB2312" w:hint="eastAsia"/>
          <w:sz w:val="32"/>
          <w:szCs w:val="32"/>
        </w:rPr>
        <w:t>根据预算绩效管理要求，本单位在2021年度预算编制阶段，组织对艾滋病防治、结核病防治、卫生监测这三个项目开展了预算事前绩效评估，对3个项目编制了绩效目标，预算执行过程中，选取3个项目开展绩效监控，年终执行完毕后，对3个项目开展了绩效自评，2021年部门预算项目绩效目标自评表见附件（第四部分）。</w:t>
      </w:r>
    </w:p>
    <w:p w:rsidR="00920B76" w:rsidRDefault="00920B76" w:rsidP="00D21666">
      <w:pPr>
        <w:pStyle w:val="a4"/>
        <w:spacing w:before="93"/>
      </w:pPr>
    </w:p>
    <w:p w:rsidR="00920B76" w:rsidRDefault="00D21666">
      <w:pPr>
        <w:numPr>
          <w:ilvl w:val="0"/>
          <w:numId w:val="3"/>
        </w:numPr>
        <w:spacing w:line="600" w:lineRule="exact"/>
        <w:ind w:firstLine="640"/>
        <w:outlineLvl w:val="1"/>
        <w:rPr>
          <w:rStyle w:val="2Char"/>
          <w:rFonts w:ascii="黑体" w:eastAsia="黑体" w:hAnsi="黑体"/>
          <w:b w:val="0"/>
        </w:rPr>
      </w:pPr>
      <w:bookmarkStart w:id="73" w:name="_Toc12521"/>
      <w:r>
        <w:rPr>
          <w:rStyle w:val="2Char"/>
          <w:rFonts w:ascii="黑体" w:eastAsia="黑体" w:hAnsi="黑体" w:hint="eastAsia"/>
          <w:b w:val="0"/>
        </w:rPr>
        <w:t>其他重要事项的情况说明</w:t>
      </w:r>
      <w:bookmarkEnd w:id="71"/>
      <w:bookmarkEnd w:id="72"/>
      <w:bookmarkEnd w:id="73"/>
    </w:p>
    <w:p w:rsidR="00920B76" w:rsidRDefault="00D21666">
      <w:pPr>
        <w:spacing w:line="600" w:lineRule="exact"/>
        <w:ind w:firstLineChars="200" w:firstLine="643"/>
        <w:outlineLvl w:val="2"/>
        <w:rPr>
          <w:rFonts w:ascii="仿宋" w:eastAsia="仿宋" w:hAnsi="仿宋"/>
          <w:sz w:val="32"/>
          <w:szCs w:val="32"/>
        </w:rPr>
      </w:pPr>
      <w:bookmarkStart w:id="74" w:name="_Toc15377222"/>
      <w:r>
        <w:rPr>
          <w:rFonts w:ascii="仿宋" w:eastAsia="仿宋" w:hAnsi="仿宋" w:hint="eastAsia"/>
          <w:b/>
          <w:sz w:val="32"/>
          <w:szCs w:val="32"/>
        </w:rPr>
        <w:t>（一）机关运行经费支出情况</w:t>
      </w:r>
      <w:bookmarkEnd w:id="74"/>
    </w:p>
    <w:p w:rsidR="00920B76" w:rsidRDefault="00D21666">
      <w:pPr>
        <w:spacing w:line="600" w:lineRule="exact"/>
        <w:ind w:firstLineChars="200" w:firstLine="640"/>
        <w:rPr>
          <w:rFonts w:ascii="仿宋" w:eastAsia="仿宋_GB2312" w:hAnsi="仿宋" w:cs="仿宋"/>
          <w:b/>
          <w:color w:val="000000"/>
          <w:sz w:val="32"/>
          <w:szCs w:val="32"/>
          <w:highlight w:val="yellow"/>
        </w:rPr>
      </w:pPr>
      <w:r>
        <w:rPr>
          <w:rFonts w:ascii="仿宋_GB2312" w:eastAsia="仿宋_GB2312"/>
          <w:sz w:val="32"/>
          <w:szCs w:val="32"/>
        </w:rPr>
        <w:t>20</w:t>
      </w:r>
      <w:r>
        <w:rPr>
          <w:rFonts w:ascii="仿宋_GB2312" w:eastAsia="仿宋_GB2312" w:hint="eastAsia"/>
          <w:sz w:val="32"/>
          <w:szCs w:val="32"/>
        </w:rPr>
        <w:t>21年未发生机关运行经费支出，与2020年决算数持平。</w:t>
      </w:r>
    </w:p>
    <w:p w:rsidR="00920B76" w:rsidRDefault="00D21666" w:rsidP="00FA14F1">
      <w:pPr>
        <w:autoSpaceDE w:val="0"/>
        <w:autoSpaceDN w:val="0"/>
        <w:adjustRightInd w:val="0"/>
        <w:spacing w:line="600" w:lineRule="exact"/>
        <w:ind w:firstLineChars="200" w:firstLine="643"/>
        <w:jc w:val="left"/>
        <w:outlineLvl w:val="2"/>
        <w:rPr>
          <w:rFonts w:ascii="仿宋" w:eastAsia="仿宋" w:hAnsi="仿宋"/>
          <w:b/>
          <w:sz w:val="32"/>
          <w:szCs w:val="32"/>
        </w:rPr>
      </w:pPr>
      <w:bookmarkStart w:id="75" w:name="_Toc15377223"/>
      <w:r>
        <w:rPr>
          <w:rFonts w:ascii="仿宋" w:eastAsia="仿宋" w:hAnsi="仿宋" w:hint="eastAsia"/>
          <w:b/>
          <w:sz w:val="32"/>
          <w:szCs w:val="32"/>
        </w:rPr>
        <w:t>（二）政府采购支出情况</w:t>
      </w:r>
      <w:bookmarkEnd w:id="75"/>
    </w:p>
    <w:p w:rsidR="00920B76" w:rsidRDefault="00D21666">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21年未发生政府采购支出。</w:t>
      </w:r>
    </w:p>
    <w:p w:rsidR="00920B76" w:rsidRDefault="00D21666">
      <w:pPr>
        <w:autoSpaceDE w:val="0"/>
        <w:autoSpaceDN w:val="0"/>
        <w:adjustRightInd w:val="0"/>
        <w:spacing w:line="600" w:lineRule="exact"/>
        <w:ind w:firstLineChars="200" w:firstLine="643"/>
        <w:jc w:val="left"/>
        <w:outlineLvl w:val="2"/>
        <w:rPr>
          <w:rFonts w:ascii="仿宋" w:eastAsia="仿宋" w:hAnsi="仿宋"/>
          <w:b/>
          <w:sz w:val="32"/>
          <w:szCs w:val="32"/>
        </w:rPr>
      </w:pPr>
      <w:bookmarkStart w:id="76" w:name="_Toc15377224"/>
      <w:r>
        <w:rPr>
          <w:rFonts w:ascii="仿宋" w:eastAsia="仿宋" w:hAnsi="仿宋" w:hint="eastAsia"/>
          <w:b/>
          <w:sz w:val="32"/>
          <w:szCs w:val="32"/>
        </w:rPr>
        <w:t>（三）国有资产占有使用情况</w:t>
      </w:r>
      <w:bookmarkEnd w:id="76"/>
    </w:p>
    <w:p w:rsidR="00920B76" w:rsidRDefault="00D21666">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日，共有车辆5辆，其中：特种专业技术用车5辆，主要是用于疫苗配送转运。单价</w:t>
      </w:r>
      <w:r>
        <w:rPr>
          <w:rFonts w:ascii="仿宋_GB2312" w:eastAsia="仿宋_GB2312"/>
          <w:sz w:val="32"/>
          <w:szCs w:val="32"/>
        </w:rPr>
        <w:t>50</w:t>
      </w:r>
      <w:r>
        <w:rPr>
          <w:rFonts w:ascii="仿宋_GB2312" w:eastAsia="仿宋_GB2312" w:hint="eastAsia"/>
          <w:sz w:val="32"/>
          <w:szCs w:val="32"/>
        </w:rPr>
        <w:t>万元以上通用设备12台（套）。</w:t>
      </w:r>
    </w:p>
    <w:p w:rsidR="00920B76" w:rsidRDefault="00920B76" w:rsidP="00D21666">
      <w:pPr>
        <w:pStyle w:val="a4"/>
        <w:spacing w:before="93"/>
        <w:rPr>
          <w:highlight w:val="yellow"/>
        </w:rPr>
      </w:pPr>
    </w:p>
    <w:p w:rsidR="00920B76" w:rsidRDefault="00D21666">
      <w:pPr>
        <w:widowControl/>
        <w:jc w:val="left"/>
        <w:rPr>
          <w:rFonts w:ascii="仿宋_GB2312" w:eastAsia="仿宋_GB2312"/>
          <w:b/>
          <w:sz w:val="32"/>
          <w:szCs w:val="32"/>
        </w:rPr>
      </w:pPr>
      <w:r>
        <w:rPr>
          <w:rFonts w:ascii="仿宋_GB2312" w:eastAsia="仿宋_GB2312"/>
          <w:b/>
          <w:sz w:val="32"/>
          <w:szCs w:val="32"/>
        </w:rPr>
        <w:br w:type="page"/>
      </w:r>
    </w:p>
    <w:p w:rsidR="00920B76" w:rsidRDefault="00D21666">
      <w:pPr>
        <w:numPr>
          <w:ilvl w:val="0"/>
          <w:numId w:val="4"/>
        </w:numPr>
        <w:spacing w:line="600" w:lineRule="exact"/>
        <w:ind w:firstLineChars="150" w:firstLine="660"/>
        <w:jc w:val="center"/>
        <w:outlineLvl w:val="0"/>
        <w:rPr>
          <w:rStyle w:val="1Char"/>
          <w:rFonts w:ascii="黑体" w:eastAsia="黑体" w:hAnsi="黑体"/>
          <w:b w:val="0"/>
        </w:rPr>
      </w:pPr>
      <w:bookmarkStart w:id="77" w:name="_Toc15377225"/>
      <w:bookmarkStart w:id="78" w:name="_Toc15396613"/>
      <w:bookmarkStart w:id="79" w:name="_Toc7685"/>
      <w:r>
        <w:rPr>
          <w:rFonts w:ascii="黑体" w:eastAsia="黑体" w:hAnsi="黑体" w:hint="eastAsia"/>
          <w:sz w:val="44"/>
          <w:szCs w:val="44"/>
        </w:rPr>
        <w:lastRenderedPageBreak/>
        <w:t>名</w:t>
      </w:r>
      <w:r>
        <w:rPr>
          <w:rStyle w:val="1Char"/>
          <w:rFonts w:ascii="黑体" w:eastAsia="黑体" w:hAnsi="黑体" w:hint="eastAsia"/>
          <w:b w:val="0"/>
        </w:rPr>
        <w:t>词解释</w:t>
      </w:r>
      <w:bookmarkEnd w:id="77"/>
      <w:bookmarkEnd w:id="78"/>
      <w:bookmarkEnd w:id="79"/>
    </w:p>
    <w:p w:rsidR="00920B76" w:rsidRDefault="00920B76">
      <w:pPr>
        <w:spacing w:line="600" w:lineRule="exact"/>
        <w:jc w:val="left"/>
        <w:rPr>
          <w:rFonts w:ascii="宋体"/>
          <w:b/>
          <w:sz w:val="44"/>
          <w:szCs w:val="44"/>
        </w:rPr>
      </w:pPr>
    </w:p>
    <w:p w:rsidR="00920B76" w:rsidRDefault="00D21666">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920B76" w:rsidRDefault="00D2166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3.社会保障和就业（类）行政事业单位养老支出（款）机关事业单位基本养老保险缴费支出（项）: 指机关事业单位实施养老保险制度由单位缴纳的基本养老保险支出。</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4.卫生健康支出（类）公共卫生（款）疾病预防控制机构（项）：反映卫生健康部门所属的疾病预防控制机构的支出；</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5.卫生健康支出（类）公共卫生（款）基本公共卫生专项（项）：反映重大疾病预防控制等重大公共卫生服务项目支出；</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6.卫生健康支出（类）公共卫生（款）重大公共卫生专项（项）：反映重大疾病预防控制等重大公共卫生服务项目支出；</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7.卫生健康支出（类）行政事业单位医疗（款）事业单位医疗（项）:反映卫生健康支出中的在职人员医疗保险；</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8.卫生健康支出（类）其他卫生健康支出（款）其他卫生健康支出（项）:指反映其他用于卫生健康方面的支出。</w:t>
      </w:r>
    </w:p>
    <w:p w:rsidR="00920B76" w:rsidRDefault="00D21666">
      <w:pPr>
        <w:ind w:firstLineChars="200" w:firstLine="640"/>
        <w:rPr>
          <w:rFonts w:ascii="仿宋" w:eastAsia="仿宋" w:hAnsi="仿宋"/>
          <w:b/>
          <w:sz w:val="32"/>
          <w:szCs w:val="32"/>
        </w:rPr>
      </w:pPr>
      <w:r>
        <w:rPr>
          <w:rFonts w:ascii="仿宋_GB2312" w:eastAsia="仿宋_GB2312" w:hint="eastAsia"/>
          <w:sz w:val="32"/>
          <w:szCs w:val="32"/>
        </w:rPr>
        <w:t>9.住房保障支出（类）住房改革支出（款）住房公积金</w:t>
      </w:r>
      <w:r>
        <w:rPr>
          <w:rFonts w:ascii="仿宋_GB2312" w:eastAsia="仿宋_GB2312" w:hint="eastAsia"/>
          <w:sz w:val="32"/>
          <w:szCs w:val="32"/>
        </w:rPr>
        <w:lastRenderedPageBreak/>
        <w:t>（项）:指行政事业单位按人力资源和社会保障部、财政部规定的基本工资和津贴补贴以及规定比例为职工缴纳的住房公积金。</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920B76" w:rsidRDefault="00D21666">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920B76" w:rsidRDefault="00D21666">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12</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20B76" w:rsidRDefault="00D21666">
      <w:pPr>
        <w:spacing w:line="600" w:lineRule="exact"/>
        <w:jc w:val="center"/>
        <w:outlineLvl w:val="0"/>
        <w:rPr>
          <w:rStyle w:val="1Char"/>
          <w:rFonts w:ascii="黑体" w:eastAsia="黑体" w:hAnsi="黑体"/>
          <w:b w:val="0"/>
        </w:rPr>
      </w:pPr>
      <w:bookmarkStart w:id="80" w:name="_Toc15377226"/>
      <w:r>
        <w:rPr>
          <w:rFonts w:ascii="宋体"/>
          <w:b/>
          <w:sz w:val="44"/>
          <w:szCs w:val="44"/>
        </w:rPr>
        <w:br w:type="page"/>
      </w:r>
      <w:bookmarkStart w:id="81" w:name="_Toc15396614"/>
      <w:bookmarkStart w:id="82" w:name="_Toc31610"/>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81"/>
      <w:bookmarkEnd w:id="82"/>
    </w:p>
    <w:p w:rsidR="00920B76" w:rsidRDefault="00D21666">
      <w:pPr>
        <w:spacing w:line="572" w:lineRule="exact"/>
        <w:jc w:val="left"/>
        <w:outlineLvl w:val="1"/>
        <w:rPr>
          <w:rFonts w:ascii="仿宋_GB2312" w:eastAsia="仿宋_GB2312" w:hAnsi="仿宋_GB2312" w:cs="仿宋_GB2312"/>
          <w:sz w:val="32"/>
          <w:szCs w:val="32"/>
        </w:rPr>
      </w:pPr>
      <w:bookmarkStart w:id="83" w:name="_Toc15346"/>
      <w:r>
        <w:rPr>
          <w:rFonts w:ascii="黑体" w:eastAsia="黑体" w:hAnsi="黑体" w:cs="黑体" w:hint="eastAsia"/>
          <w:sz w:val="32"/>
          <w:szCs w:val="32"/>
        </w:rPr>
        <w:t>附件</w:t>
      </w:r>
      <w:bookmarkEnd w:id="83"/>
    </w:p>
    <w:tbl>
      <w:tblPr>
        <w:tblpPr w:leftFromText="180" w:rightFromText="180" w:vertAnchor="text" w:horzAnchor="page" w:tblpX="1281" w:tblpY="660"/>
        <w:tblOverlap w:val="never"/>
        <w:tblW w:w="9811" w:type="dxa"/>
        <w:tblLayout w:type="fixed"/>
        <w:tblLook w:val="04A0"/>
      </w:tblPr>
      <w:tblGrid>
        <w:gridCol w:w="1976"/>
        <w:gridCol w:w="848"/>
        <w:gridCol w:w="1400"/>
        <w:gridCol w:w="1718"/>
        <w:gridCol w:w="1224"/>
        <w:gridCol w:w="2409"/>
        <w:gridCol w:w="236"/>
      </w:tblGrid>
      <w:tr w:rsidR="00920B76">
        <w:trPr>
          <w:trHeight w:val="675"/>
        </w:trPr>
        <w:tc>
          <w:tcPr>
            <w:tcW w:w="9577" w:type="dxa"/>
            <w:gridSpan w:val="6"/>
            <w:tcBorders>
              <w:top w:val="nil"/>
              <w:left w:val="nil"/>
              <w:bottom w:val="nil"/>
              <w:right w:val="nil"/>
            </w:tcBorders>
            <w:shd w:val="clear" w:color="auto" w:fill="auto"/>
            <w:vAlign w:val="center"/>
          </w:tcPr>
          <w:p w:rsidR="00920B76" w:rsidRDefault="00D21666">
            <w:pPr>
              <w:widowControl/>
              <w:jc w:val="center"/>
              <w:textAlignment w:val="center"/>
              <w:rPr>
                <w:rFonts w:ascii="宋体" w:hAnsi="宋体" w:cs="宋体"/>
                <w:b/>
                <w:sz w:val="32"/>
                <w:szCs w:val="32"/>
              </w:rPr>
            </w:pPr>
            <w:bookmarkStart w:id="84" w:name="_Toc15396618"/>
            <w:r>
              <w:rPr>
                <w:rFonts w:ascii="宋体" w:hAnsi="宋体" w:cs="宋体" w:hint="eastAsia"/>
                <w:b/>
                <w:sz w:val="32"/>
                <w:szCs w:val="32"/>
              </w:rPr>
              <w:t>2021年部门预算项目绩效目标自评</w:t>
            </w:r>
          </w:p>
        </w:tc>
        <w:tc>
          <w:tcPr>
            <w:tcW w:w="234" w:type="dxa"/>
            <w:tcBorders>
              <w:top w:val="nil"/>
              <w:left w:val="nil"/>
              <w:bottom w:val="nil"/>
              <w:right w:val="nil"/>
            </w:tcBorders>
            <w:shd w:val="clear" w:color="auto" w:fill="auto"/>
            <w:vAlign w:val="center"/>
          </w:tcPr>
          <w:p w:rsidR="00920B76" w:rsidRDefault="00920B76">
            <w:pPr>
              <w:widowControl/>
              <w:jc w:val="center"/>
              <w:textAlignment w:val="center"/>
              <w:rPr>
                <w:rFonts w:ascii="宋体" w:hAnsi="宋体" w:cs="宋体"/>
                <w:b/>
                <w:kern w:val="0"/>
                <w:sz w:val="32"/>
                <w:szCs w:val="32"/>
                <w:lang/>
              </w:rPr>
            </w:pPr>
          </w:p>
        </w:tc>
      </w:tr>
      <w:tr w:rsidR="00920B76">
        <w:trPr>
          <w:gridAfter w:val="1"/>
          <w:wAfter w:w="234" w:type="dxa"/>
          <w:trHeight w:val="254"/>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主管部门及代码</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sz w:val="24"/>
              </w:rPr>
              <w:t>昭化区卫生健康局</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sz w:val="24"/>
              </w:rPr>
              <w:t>区疾病预防控制中心</w:t>
            </w:r>
          </w:p>
        </w:tc>
      </w:tr>
      <w:tr w:rsidR="00920B76">
        <w:trPr>
          <w:gridAfter w:val="1"/>
          <w:wAfter w:w="234" w:type="dxa"/>
          <w:trHeight w:val="341"/>
        </w:trPr>
        <w:tc>
          <w:tcPr>
            <w:tcW w:w="28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kern w:val="0"/>
                <w:sz w:val="24"/>
                <w:lang/>
              </w:rPr>
            </w:pPr>
            <w:r>
              <w:rPr>
                <w:rFonts w:ascii="宋体" w:hAnsi="宋体" w:cs="宋体" w:hint="eastAsia"/>
                <w:kern w:val="0"/>
                <w:sz w:val="24"/>
                <w:lang/>
              </w:rPr>
              <w:t>项目预算</w:t>
            </w:r>
          </w:p>
          <w:p w:rsidR="00920B76" w:rsidRDefault="00D21666">
            <w:pPr>
              <w:widowControl/>
              <w:spacing w:line="320" w:lineRule="exact"/>
              <w:jc w:val="center"/>
              <w:textAlignment w:val="center"/>
              <w:rPr>
                <w:rFonts w:ascii="宋体" w:hAnsi="宋体" w:cs="宋体"/>
                <w:kern w:val="0"/>
                <w:sz w:val="24"/>
                <w:lang/>
              </w:rPr>
            </w:pPr>
            <w:r>
              <w:rPr>
                <w:rFonts w:ascii="宋体" w:hAnsi="宋体" w:cs="宋体" w:hint="eastAsia"/>
                <w:kern w:val="0"/>
                <w:sz w:val="24"/>
                <w:lang/>
              </w:rPr>
              <w:t>执行情况</w:t>
            </w:r>
          </w:p>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（万元）</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预算数：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sz w:val="24"/>
              </w:rPr>
              <w:t>77.72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sz w:val="24"/>
              </w:rPr>
              <w:t>77.72</w:t>
            </w:r>
          </w:p>
        </w:tc>
      </w:tr>
      <w:tr w:rsidR="00920B76">
        <w:trPr>
          <w:gridAfter w:val="1"/>
          <w:wAfter w:w="234" w:type="dxa"/>
          <w:trHeight w:val="555"/>
        </w:trPr>
        <w:tc>
          <w:tcPr>
            <w:tcW w:w="28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宋体" w:hAnsi="宋体" w:cs="宋体"/>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kern w:val="0"/>
                <w:sz w:val="24"/>
                <w:lang/>
              </w:rPr>
            </w:pPr>
            <w:r>
              <w:rPr>
                <w:rFonts w:ascii="宋体" w:hAnsi="宋体" w:cs="宋体" w:hint="eastAsia"/>
                <w:kern w:val="0"/>
                <w:sz w:val="24"/>
                <w:lang/>
              </w:rPr>
              <w:t>其中：</w:t>
            </w:r>
          </w:p>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财政拨款</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sz w:val="24"/>
              </w:rPr>
              <w:t>77.72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kern w:val="0"/>
                <w:sz w:val="24"/>
                <w:lang/>
              </w:rPr>
            </w:pPr>
            <w:r>
              <w:rPr>
                <w:rFonts w:ascii="宋体" w:hAnsi="宋体" w:cs="宋体" w:hint="eastAsia"/>
                <w:kern w:val="0"/>
                <w:sz w:val="24"/>
                <w:lang/>
              </w:rPr>
              <w:t>其中：</w:t>
            </w:r>
          </w:p>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sz w:val="24"/>
              </w:rPr>
              <w:t>77.72</w:t>
            </w:r>
          </w:p>
        </w:tc>
      </w:tr>
      <w:tr w:rsidR="00920B76">
        <w:trPr>
          <w:gridAfter w:val="1"/>
          <w:wAfter w:w="234" w:type="dxa"/>
          <w:trHeight w:val="341"/>
        </w:trPr>
        <w:tc>
          <w:tcPr>
            <w:tcW w:w="28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宋体" w:hAnsi="宋体" w:cs="宋体"/>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其他资金</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widowControl/>
              <w:spacing w:line="320" w:lineRule="exact"/>
              <w:jc w:val="center"/>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widowControl/>
              <w:spacing w:line="320" w:lineRule="exact"/>
              <w:jc w:val="center"/>
              <w:textAlignment w:val="center"/>
              <w:rPr>
                <w:rFonts w:ascii="宋体" w:hAnsi="宋体" w:cs="宋体"/>
                <w:sz w:val="24"/>
              </w:rPr>
            </w:pPr>
          </w:p>
        </w:tc>
      </w:tr>
      <w:tr w:rsidR="00920B76">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kern w:val="0"/>
                <w:sz w:val="24"/>
                <w:lang/>
              </w:rPr>
            </w:pPr>
            <w:r>
              <w:rPr>
                <w:rFonts w:ascii="宋体" w:hAnsi="宋体" w:cs="宋体" w:hint="eastAsia"/>
                <w:kern w:val="0"/>
                <w:sz w:val="24"/>
                <w:lang/>
              </w:rPr>
              <w:t>年度总体目标</w:t>
            </w:r>
          </w:p>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宋体" w:hAnsi="宋体" w:cs="宋体"/>
                <w:sz w:val="24"/>
              </w:rPr>
            </w:pPr>
            <w:r>
              <w:rPr>
                <w:rFonts w:ascii="宋体" w:hAnsi="宋体" w:cs="宋体" w:hint="eastAsia"/>
                <w:kern w:val="0"/>
                <w:sz w:val="24"/>
                <w:lang/>
              </w:rPr>
              <w:t>目标实际完成情况</w:t>
            </w:r>
          </w:p>
        </w:tc>
      </w:tr>
      <w:tr w:rsidR="00920B76">
        <w:trPr>
          <w:gridAfter w:val="1"/>
          <w:wAfter w:w="234" w:type="dxa"/>
          <w:trHeight w:val="2489"/>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top"/>
              <w:rPr>
                <w:rFonts w:ascii="宋体" w:hAnsi="宋体" w:cs="宋体"/>
                <w:sz w:val="24"/>
              </w:rPr>
            </w:pPr>
            <w:r>
              <w:rPr>
                <w:rFonts w:ascii="宋体" w:hAnsi="宋体" w:cs="宋体" w:hint="eastAsia"/>
                <w:sz w:val="24"/>
              </w:rPr>
              <w:t>进一步完善“政府组织领导、部门各负其责、全社会共同参与”的防治机制,全面落实各项预防控制措施，提高发现率，扩大治疗覆盖面，提升治疗成功率，降低死亡率，降低新发感染，提高感染者和病人的生活质量。强化重点人群心理行为问题干预力度，遏制精神疾病负担上升趋势。继续为0-6岁适龄儿童常规接种。保持高水平国家免疫规划疫苗接种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top"/>
              <w:rPr>
                <w:rFonts w:ascii="宋体" w:hAnsi="宋体" w:cs="宋体"/>
                <w:sz w:val="24"/>
              </w:rPr>
            </w:pPr>
            <w:r>
              <w:rPr>
                <w:rFonts w:ascii="宋体" w:hAnsi="宋体" w:cs="宋体" w:hint="eastAsia"/>
                <w:sz w:val="24"/>
              </w:rPr>
              <w:t>1、2021年艾滋病防治各项指标均达到上级要求；2、2021年全区在册严重精神障碍患者管理率为98.79%，达到绩效目标要求；3、落实了结核病早发现、早诊断、早治疗、早管理。报告发病率67.06/10万，与2020年同期下降21.12%，未完成项目要求的55/10万。治疗管理肺结核患者任务数未完成指标人数，其它各项指标均达到项目要求完成；4、开展了慢病监测与综合防治工作和全人群死因监测工作；5、续为0-6岁适龄儿童常规接种。保持高水平国家免疫规划疫苗接种率，接种率达到90%以上:开展麻疹、AP等疫苗可预防疾病监测、开展乙肝哨点监测、加强AEFI监测，所有指标均达到方案要求；6、全面开展包虫病综合防治，提升包虫病防治成效；7、现症患者规范化疗、管理率&gt;95%，新发病人Ⅱ级畸残者控制在16%以内；</w:t>
            </w:r>
          </w:p>
        </w:tc>
      </w:tr>
      <w:tr w:rsidR="00920B76">
        <w:trPr>
          <w:gridAfter w:val="1"/>
          <w:wAfter w:w="234" w:type="dxa"/>
          <w:trHeight w:val="90"/>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年度绩效指标完成情况</w:t>
            </w:r>
          </w:p>
        </w:tc>
        <w:tc>
          <w:tcPr>
            <w:tcW w:w="848" w:type="dxa"/>
            <w:tcBorders>
              <w:top w:val="single" w:sz="4" w:space="0" w:color="000000"/>
              <w:left w:val="nil"/>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一级</w:t>
            </w:r>
          </w:p>
          <w:p w:rsidR="00920B76" w:rsidRDefault="00D2166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二级</w:t>
            </w:r>
          </w:p>
          <w:p w:rsidR="00920B76" w:rsidRDefault="00D2166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三级</w:t>
            </w:r>
          </w:p>
          <w:p w:rsidR="00920B76" w:rsidRDefault="00D2166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实际完成指标值</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完成</w:t>
            </w:r>
          </w:p>
          <w:p w:rsidR="00920B76" w:rsidRDefault="00D2166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扩大筛查</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37401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39259</w:t>
            </w:r>
          </w:p>
        </w:tc>
      </w:tr>
      <w:tr w:rsidR="00920B76">
        <w:trPr>
          <w:gridAfter w:val="1"/>
          <w:wAfter w:w="234" w:type="dxa"/>
          <w:trHeight w:val="646"/>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感染者/病人随访检测61例</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67</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配偶检测14例</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13</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抗病毒治疗72例</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60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病毒载量检64例</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51</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治疗成功率60例</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59</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暗娼干预检查181人次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181</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开展重点人群艾滋病防治健康教育宣传4次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4</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开展医疗机构业务培训2次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2</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开展医疗机构艾滋病防治工作督导2次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2</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VCT完成408人</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408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408</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病原学阳性肺结核患者的密切接触者筛查率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2021年治疗管理肺结核患者人数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154例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94例</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数量指标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18"/>
                <w:szCs w:val="18"/>
                <w:lang/>
              </w:rPr>
              <w:t>新冠肺炎网络实验室建设任务完成率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color w:val="000000"/>
                <w:kern w:val="0"/>
                <w:sz w:val="18"/>
                <w:szCs w:val="18"/>
                <w:lang/>
              </w:rPr>
              <w:t>≥85%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筛查检查覆盖率≥20%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24.10%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感染者/病人随访检测率≥90%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93.06%</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配偶检测≥90%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92.86%</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抗病毒治疗比例完成率≥90%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98.61%</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病毒载量检测率≥90%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93.76%</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治疗成功率≥90%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98.33%</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VCT完成率100%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暗娼干预覆盖100%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艾滋病病毒感染者的结核病检查率≥90%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艾滋病补助发放100%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肺结核患者成功治疗率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97.84%</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病原学阳性率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64.52%</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报告肺结核病患者和疑似肺结核患者的总体到位率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95.38%</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以乡镇（街道）为单位适龄儿童国家免疫规划疫苗接种率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均达到99%以上</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死因监测规范报告率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&gt;80%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在册严重精神障碍患者管理率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color w:val="000000"/>
                <w:kern w:val="0"/>
                <w:sz w:val="20"/>
                <w:szCs w:val="20"/>
                <w:lang/>
              </w:rPr>
              <w:t>≧</w:t>
            </w:r>
            <w:r>
              <w:rPr>
                <w:rStyle w:val="font11"/>
                <w:rFonts w:hint="default"/>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98.79%</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18"/>
                <w:szCs w:val="18"/>
                <w:lang/>
              </w:rPr>
              <w:t>病媒生物监测结果分析报告率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18"/>
                <w:szCs w:val="18"/>
                <w:lang/>
              </w:rPr>
              <w:t>≧80%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质量指标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麻风现症患者规范化疗、管理率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color w:val="000000"/>
                <w:kern w:val="0"/>
                <w:sz w:val="20"/>
                <w:szCs w:val="20"/>
                <w:lang/>
              </w:rPr>
              <w:t>&gt;95%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100%</w:t>
            </w:r>
          </w:p>
        </w:tc>
      </w:tr>
      <w:tr w:rsidR="00920B76">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时效指标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12月底前完成医疗机构培训，12月中旬前完成医疗机构督导。</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完成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完成</w:t>
            </w:r>
          </w:p>
        </w:tc>
      </w:tr>
      <w:tr w:rsidR="00920B76">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社会效益  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居民健康水平提高</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中长期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widowControl/>
              <w:spacing w:line="320" w:lineRule="exact"/>
              <w:jc w:val="center"/>
              <w:textAlignment w:val="bottom"/>
              <w:rPr>
                <w:rFonts w:ascii="仿宋_GB2312" w:eastAsia="仿宋_GB2312" w:hAnsi="仿宋_GB2312" w:cs="仿宋_GB2312"/>
                <w:sz w:val="28"/>
                <w:szCs w:val="28"/>
              </w:rPr>
            </w:pPr>
          </w:p>
        </w:tc>
      </w:tr>
      <w:tr w:rsidR="00920B76">
        <w:trPr>
          <w:gridAfter w:val="1"/>
          <w:wAfter w:w="234" w:type="dxa"/>
          <w:trHeight w:val="577"/>
        </w:trPr>
        <w:tc>
          <w:tcPr>
            <w:tcW w:w="1977" w:type="dxa"/>
            <w:vMerge/>
            <w:tcBorders>
              <w:left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社会效益  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公共卫生均等化水平提高</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中长期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920B76">
            <w:pPr>
              <w:widowControl/>
              <w:spacing w:line="320" w:lineRule="exact"/>
              <w:jc w:val="center"/>
              <w:textAlignment w:val="bottom"/>
              <w:rPr>
                <w:rFonts w:ascii="仿宋_GB2312" w:eastAsia="仿宋_GB2312" w:hAnsi="仿宋_GB2312" w:cs="仿宋_GB2312"/>
                <w:sz w:val="28"/>
                <w:szCs w:val="28"/>
              </w:rPr>
            </w:pPr>
          </w:p>
        </w:tc>
      </w:tr>
      <w:tr w:rsidR="00920B76">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920B76" w:rsidRDefault="00920B76">
            <w:pPr>
              <w:spacing w:line="320" w:lineRule="exact"/>
              <w:jc w:val="center"/>
              <w:rPr>
                <w:rFonts w:ascii="仿宋_GB2312" w:eastAsia="仿宋_GB2312" w:hAnsi="仿宋_GB2312" w:cs="仿宋_GB2312"/>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满意</w:t>
            </w:r>
          </w:p>
          <w:p w:rsidR="00920B76" w:rsidRDefault="00D2166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度指标</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满意度</w:t>
            </w:r>
          </w:p>
          <w:p w:rsidR="00920B76" w:rsidRDefault="00D2166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患者满意度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76" w:rsidRDefault="00D21666">
            <w:pPr>
              <w:widowControl/>
              <w:jc w:val="center"/>
              <w:textAlignment w:val="center"/>
              <w:rPr>
                <w:rFonts w:ascii="仿宋_GB2312" w:eastAsia="仿宋_GB2312" w:hAnsi="仿宋_GB2312" w:cs="仿宋_GB2312"/>
                <w:sz w:val="28"/>
                <w:szCs w:val="28"/>
              </w:rPr>
            </w:pPr>
            <w:r>
              <w:rPr>
                <w:rFonts w:ascii="宋体" w:hAnsi="宋体" w:cs="宋体" w:hint="eastAsia"/>
                <w:color w:val="000000"/>
                <w:kern w:val="0"/>
                <w:sz w:val="20"/>
                <w:szCs w:val="20"/>
                <w:lang/>
              </w:rPr>
              <w:t>90%</w:t>
            </w:r>
          </w:p>
        </w:tc>
      </w:tr>
    </w:tbl>
    <w:p w:rsidR="00920B76" w:rsidRDefault="00920B76">
      <w:pPr>
        <w:spacing w:line="600" w:lineRule="exact"/>
        <w:jc w:val="center"/>
        <w:rPr>
          <w:rFonts w:ascii="黑体" w:eastAsia="黑体" w:hAnsi="黑体"/>
          <w:sz w:val="44"/>
          <w:szCs w:val="44"/>
        </w:rPr>
      </w:pPr>
    </w:p>
    <w:p w:rsidR="00920B76" w:rsidRDefault="00920B76">
      <w:pPr>
        <w:pStyle w:val="a0"/>
        <w:rPr>
          <w:rFonts w:ascii="黑体" w:eastAsia="黑体" w:hAnsi="黑体"/>
          <w:sz w:val="44"/>
          <w:szCs w:val="44"/>
        </w:rPr>
      </w:pPr>
    </w:p>
    <w:p w:rsidR="00920B76" w:rsidRDefault="00920B76">
      <w:pPr>
        <w:rPr>
          <w:rFonts w:ascii="黑体" w:eastAsia="黑体" w:hAnsi="黑体"/>
          <w:sz w:val="44"/>
          <w:szCs w:val="44"/>
        </w:rPr>
      </w:pPr>
    </w:p>
    <w:p w:rsidR="00920B76" w:rsidRDefault="00920B76">
      <w:pPr>
        <w:pStyle w:val="a0"/>
        <w:rPr>
          <w:rFonts w:ascii="黑体" w:eastAsia="黑体" w:hAnsi="黑体"/>
          <w:sz w:val="44"/>
          <w:szCs w:val="44"/>
        </w:rPr>
      </w:pPr>
    </w:p>
    <w:p w:rsidR="00920B76" w:rsidRDefault="00920B76">
      <w:pPr>
        <w:rPr>
          <w:rFonts w:ascii="黑体" w:eastAsia="黑体" w:hAnsi="黑体"/>
          <w:sz w:val="44"/>
          <w:szCs w:val="44"/>
        </w:rPr>
      </w:pPr>
    </w:p>
    <w:p w:rsidR="00920B76" w:rsidRDefault="00920B76">
      <w:pPr>
        <w:pStyle w:val="a0"/>
      </w:pPr>
    </w:p>
    <w:p w:rsidR="00920B76" w:rsidRDefault="00920B76">
      <w:pPr>
        <w:spacing w:line="600" w:lineRule="exact"/>
        <w:jc w:val="center"/>
        <w:rPr>
          <w:rFonts w:ascii="黑体" w:eastAsia="黑体" w:hAnsi="黑体"/>
          <w:sz w:val="44"/>
          <w:szCs w:val="44"/>
        </w:rPr>
      </w:pPr>
    </w:p>
    <w:p w:rsidR="00920B76" w:rsidRDefault="00D21666">
      <w:pPr>
        <w:spacing w:line="600" w:lineRule="exact"/>
        <w:jc w:val="center"/>
        <w:outlineLvl w:val="0"/>
        <w:rPr>
          <w:rFonts w:ascii="仿宋" w:eastAsia="仿宋" w:hAnsi="仿宋"/>
        </w:rPr>
      </w:pPr>
      <w:bookmarkStart w:id="85" w:name="_Toc23154"/>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86" w:name="_Toc15396619"/>
      <w:bookmarkEnd w:id="80"/>
      <w:bookmarkEnd w:id="84"/>
      <w:bookmarkEnd w:id="85"/>
    </w:p>
    <w:p w:rsidR="00920B76" w:rsidRDefault="00D21666">
      <w:pPr>
        <w:pStyle w:val="2"/>
        <w:rPr>
          <w:rFonts w:ascii="仿宋" w:eastAsia="仿宋" w:hAnsi="仿宋"/>
        </w:rPr>
      </w:pPr>
      <w:bookmarkStart w:id="87" w:name="_Toc24553"/>
      <w:r>
        <w:rPr>
          <w:rFonts w:ascii="仿宋" w:eastAsia="仿宋" w:hAnsi="仿宋" w:hint="eastAsia"/>
          <w:b w:val="0"/>
        </w:rPr>
        <w:t>一、收</w:t>
      </w:r>
      <w:r>
        <w:rPr>
          <w:rStyle w:val="2Char"/>
          <w:rFonts w:ascii="仿宋" w:eastAsia="仿宋" w:hAnsi="仿宋" w:hint="eastAsia"/>
        </w:rPr>
        <w:t>入支出决算总表</w:t>
      </w:r>
      <w:bookmarkEnd w:id="86"/>
      <w:bookmarkEnd w:id="87"/>
    </w:p>
    <w:p w:rsidR="00920B76" w:rsidRDefault="00D21666">
      <w:pPr>
        <w:pStyle w:val="2"/>
        <w:rPr>
          <w:rFonts w:ascii="仿宋" w:eastAsia="仿宋" w:hAnsi="仿宋"/>
        </w:rPr>
      </w:pPr>
      <w:bookmarkStart w:id="88" w:name="_Toc15396620"/>
      <w:bookmarkStart w:id="89" w:name="_Toc27280"/>
      <w:r>
        <w:rPr>
          <w:rFonts w:ascii="仿宋" w:eastAsia="仿宋" w:hAnsi="仿宋" w:hint="eastAsia"/>
          <w:b w:val="0"/>
        </w:rPr>
        <w:t>二、收</w:t>
      </w:r>
      <w:r>
        <w:rPr>
          <w:rStyle w:val="2Char"/>
          <w:rFonts w:ascii="仿宋" w:eastAsia="仿宋" w:hAnsi="仿宋" w:hint="eastAsia"/>
        </w:rPr>
        <w:t>入决算表</w:t>
      </w:r>
      <w:bookmarkEnd w:id="88"/>
      <w:bookmarkEnd w:id="89"/>
    </w:p>
    <w:p w:rsidR="00920B76" w:rsidRDefault="00D21666">
      <w:pPr>
        <w:pStyle w:val="2"/>
        <w:rPr>
          <w:rFonts w:ascii="仿宋" w:eastAsia="仿宋" w:hAnsi="仿宋"/>
        </w:rPr>
      </w:pPr>
      <w:bookmarkStart w:id="90" w:name="_Toc15396621"/>
      <w:bookmarkStart w:id="91" w:name="_Toc32679"/>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90"/>
      <w:bookmarkEnd w:id="91"/>
    </w:p>
    <w:p w:rsidR="00920B76" w:rsidRDefault="00D21666">
      <w:pPr>
        <w:pStyle w:val="2"/>
        <w:rPr>
          <w:rFonts w:ascii="仿宋" w:eastAsia="仿宋" w:hAnsi="仿宋"/>
          <w:b w:val="0"/>
        </w:rPr>
      </w:pPr>
      <w:bookmarkStart w:id="92" w:name="_Toc15396622"/>
      <w:bookmarkStart w:id="93" w:name="_Toc20141"/>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92"/>
      <w:bookmarkEnd w:id="93"/>
    </w:p>
    <w:p w:rsidR="00920B76" w:rsidRDefault="00D21666">
      <w:pPr>
        <w:pStyle w:val="2"/>
        <w:rPr>
          <w:rStyle w:val="2Char"/>
          <w:rFonts w:ascii="仿宋" w:eastAsia="仿宋" w:hAnsi="仿宋"/>
        </w:rPr>
      </w:pPr>
      <w:bookmarkStart w:id="94" w:name="_Toc28269"/>
      <w:bookmarkStart w:id="95"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96" w:name="_Toc15396624"/>
      <w:bookmarkEnd w:id="94"/>
      <w:bookmarkEnd w:id="95"/>
    </w:p>
    <w:p w:rsidR="00920B76" w:rsidRDefault="00D21666">
      <w:pPr>
        <w:pStyle w:val="2"/>
        <w:rPr>
          <w:rFonts w:ascii="仿宋" w:eastAsia="仿宋" w:hAnsi="仿宋"/>
        </w:rPr>
      </w:pPr>
      <w:bookmarkStart w:id="97" w:name="_Toc423"/>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96"/>
      <w:bookmarkEnd w:id="97"/>
    </w:p>
    <w:p w:rsidR="00920B76" w:rsidRDefault="00D21666">
      <w:pPr>
        <w:pStyle w:val="2"/>
        <w:rPr>
          <w:rFonts w:ascii="仿宋" w:eastAsia="仿宋" w:hAnsi="仿宋"/>
        </w:rPr>
      </w:pPr>
      <w:bookmarkStart w:id="98" w:name="_Toc26038"/>
      <w:bookmarkStart w:id="99"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98"/>
      <w:bookmarkEnd w:id="99"/>
    </w:p>
    <w:p w:rsidR="00920B76" w:rsidRDefault="00D21666">
      <w:pPr>
        <w:pStyle w:val="2"/>
        <w:rPr>
          <w:rFonts w:ascii="仿宋" w:eastAsia="仿宋" w:hAnsi="仿宋"/>
        </w:rPr>
      </w:pPr>
      <w:bookmarkStart w:id="100" w:name="_Toc16578"/>
      <w:bookmarkStart w:id="101"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00"/>
      <w:bookmarkEnd w:id="101"/>
    </w:p>
    <w:p w:rsidR="00920B76" w:rsidRDefault="00D21666">
      <w:pPr>
        <w:pStyle w:val="2"/>
        <w:rPr>
          <w:rFonts w:ascii="仿宋" w:eastAsia="仿宋" w:hAnsi="仿宋"/>
        </w:rPr>
      </w:pPr>
      <w:bookmarkStart w:id="102" w:name="_Toc14503"/>
      <w:bookmarkStart w:id="103"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02"/>
      <w:bookmarkEnd w:id="103"/>
    </w:p>
    <w:p w:rsidR="00920B76" w:rsidRDefault="00D21666">
      <w:pPr>
        <w:pStyle w:val="2"/>
        <w:rPr>
          <w:rFonts w:ascii="仿宋" w:eastAsia="仿宋" w:hAnsi="仿宋"/>
        </w:rPr>
      </w:pPr>
      <w:bookmarkStart w:id="104" w:name="_Toc6607"/>
      <w:bookmarkStart w:id="105"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104"/>
      <w:bookmarkEnd w:id="105"/>
    </w:p>
    <w:p w:rsidR="00920B76" w:rsidRDefault="00D21666">
      <w:pPr>
        <w:pStyle w:val="2"/>
        <w:rPr>
          <w:rFonts w:ascii="仿宋" w:eastAsia="仿宋" w:hAnsi="仿宋"/>
        </w:rPr>
      </w:pPr>
      <w:bookmarkStart w:id="106" w:name="_Toc12287"/>
      <w:bookmarkStart w:id="107"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106"/>
      <w:bookmarkEnd w:id="107"/>
    </w:p>
    <w:p w:rsidR="00920B76" w:rsidRDefault="00D21666">
      <w:pPr>
        <w:pStyle w:val="2"/>
        <w:rPr>
          <w:rFonts w:ascii="仿宋" w:eastAsia="仿宋" w:hAnsi="仿宋"/>
        </w:rPr>
      </w:pPr>
      <w:bookmarkStart w:id="108" w:name="_Toc17378"/>
      <w:bookmarkStart w:id="109"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108"/>
      <w:bookmarkEnd w:id="109"/>
    </w:p>
    <w:p w:rsidR="00920B76" w:rsidRDefault="00D21666">
      <w:pPr>
        <w:pStyle w:val="2"/>
        <w:rPr>
          <w:rStyle w:val="2Char"/>
          <w:rFonts w:ascii="仿宋" w:eastAsia="仿宋" w:hAnsi="仿宋"/>
        </w:rPr>
      </w:pPr>
      <w:bookmarkStart w:id="110" w:name="_Toc14997"/>
      <w:bookmarkStart w:id="111"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110"/>
      <w:bookmarkEnd w:id="111"/>
    </w:p>
    <w:p w:rsidR="00920B76" w:rsidRDefault="00D21666">
      <w:pPr>
        <w:rPr>
          <w:rFonts w:eastAsia="仿宋"/>
        </w:rPr>
      </w:pPr>
      <w:bookmarkStart w:id="112" w:name="_Toc24154"/>
      <w:r>
        <w:rPr>
          <w:rStyle w:val="2Char"/>
          <w:rFonts w:ascii="仿宋" w:eastAsia="仿宋" w:hAnsi="仿宋" w:hint="eastAsia"/>
          <w:b w:val="0"/>
          <w:bCs w:val="0"/>
        </w:rPr>
        <w:t>十四、国有资本经营预算财政拨款支出决算表</w:t>
      </w:r>
      <w:bookmarkEnd w:id="112"/>
    </w:p>
    <w:sectPr w:rsidR="00920B76" w:rsidSect="00920B76">
      <w:footerReference w:type="default" r:id="rId16"/>
      <w:footerReference w:type="firs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33E" w:rsidRDefault="00AE633E" w:rsidP="00920B76">
      <w:r>
        <w:separator/>
      </w:r>
    </w:p>
  </w:endnote>
  <w:endnote w:type="continuationSeparator" w:id="0">
    <w:p w:rsidR="00AE633E" w:rsidRDefault="00AE633E" w:rsidP="00920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方正小标宋简体">
    <w:altName w:val="黑体"/>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66" w:rsidRDefault="00D21666">
    <w:pPr>
      <w:pStyle w:val="a7"/>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D21666" w:rsidRDefault="00D21666">
                <w:pPr>
                  <w:pStyle w:val="a7"/>
                </w:pPr>
                <w:fldSimple w:instr=" PAGE  \* MERGEFORMAT ">
                  <w:r w:rsidR="00FA14F1">
                    <w:rPr>
                      <w:noProof/>
                    </w:rPr>
                    <w:t>17</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66" w:rsidRDefault="00D21666">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D21666" w:rsidRDefault="00D21666">
                <w:pPr>
                  <w:pStyle w:val="a7"/>
                </w:pPr>
                <w:fldSimple w:instr=" PAGE  \* MERGEFORMAT ">
                  <w:r w:rsidR="002D424B">
                    <w:rPr>
                      <w:noProof/>
                    </w:rPr>
                    <w:t>12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33E" w:rsidRDefault="00AE633E" w:rsidP="00920B76">
      <w:r>
        <w:separator/>
      </w:r>
    </w:p>
  </w:footnote>
  <w:footnote w:type="continuationSeparator" w:id="0">
    <w:p w:rsidR="00AE633E" w:rsidRDefault="00AE633E" w:rsidP="00920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66" w:rsidRDefault="00D2166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FA3572B2"/>
    <w:multiLevelType w:val="singleLevel"/>
    <w:tmpl w:val="FA3572B2"/>
    <w:lvl w:ilvl="0">
      <w:start w:val="1"/>
      <w:numFmt w:val="chineseCounting"/>
      <w:suff w:val="nothing"/>
      <w:lvlText w:val="%1、"/>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AzYTQzOGRjYzVjOGZiYTk4YTIyZDYxOTk3YTcxMjk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424B"/>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0B76"/>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633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666"/>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14F1"/>
    <w:rsid w:val="00FA23E8"/>
    <w:rsid w:val="00FD3CC1"/>
    <w:rsid w:val="00FF1E02"/>
    <w:rsid w:val="00FF30B4"/>
    <w:rsid w:val="03D03C72"/>
    <w:rsid w:val="03F51DDD"/>
    <w:rsid w:val="055977C5"/>
    <w:rsid w:val="0A2032A3"/>
    <w:rsid w:val="0AF56E0B"/>
    <w:rsid w:val="0B8A37D8"/>
    <w:rsid w:val="0C7C44D2"/>
    <w:rsid w:val="0CF019DF"/>
    <w:rsid w:val="0D9827AB"/>
    <w:rsid w:val="10C055FF"/>
    <w:rsid w:val="114E4E24"/>
    <w:rsid w:val="118107EC"/>
    <w:rsid w:val="11DD6519"/>
    <w:rsid w:val="1524655E"/>
    <w:rsid w:val="16BB723D"/>
    <w:rsid w:val="18015F3F"/>
    <w:rsid w:val="1BE8440E"/>
    <w:rsid w:val="1D155CEE"/>
    <w:rsid w:val="20B6094F"/>
    <w:rsid w:val="20C0120F"/>
    <w:rsid w:val="20F57F95"/>
    <w:rsid w:val="21AC665F"/>
    <w:rsid w:val="2212061B"/>
    <w:rsid w:val="240371BF"/>
    <w:rsid w:val="25037C09"/>
    <w:rsid w:val="25C741E6"/>
    <w:rsid w:val="27842671"/>
    <w:rsid w:val="292F3B58"/>
    <w:rsid w:val="29517926"/>
    <w:rsid w:val="29FD04D3"/>
    <w:rsid w:val="2ABE7A3E"/>
    <w:rsid w:val="2AF92CE3"/>
    <w:rsid w:val="2D564332"/>
    <w:rsid w:val="2EFA178C"/>
    <w:rsid w:val="30B46D73"/>
    <w:rsid w:val="319F7F4E"/>
    <w:rsid w:val="333332A5"/>
    <w:rsid w:val="33C5431E"/>
    <w:rsid w:val="353251AA"/>
    <w:rsid w:val="362B6367"/>
    <w:rsid w:val="39AE70AB"/>
    <w:rsid w:val="3AC27831"/>
    <w:rsid w:val="3B120BA1"/>
    <w:rsid w:val="3BD55E9F"/>
    <w:rsid w:val="3C0C0783"/>
    <w:rsid w:val="3F795B0E"/>
    <w:rsid w:val="3F9E1855"/>
    <w:rsid w:val="3F9F3A96"/>
    <w:rsid w:val="4290203A"/>
    <w:rsid w:val="455235D7"/>
    <w:rsid w:val="45962735"/>
    <w:rsid w:val="46577392"/>
    <w:rsid w:val="47425032"/>
    <w:rsid w:val="48756A18"/>
    <w:rsid w:val="48FC341A"/>
    <w:rsid w:val="493C27E9"/>
    <w:rsid w:val="496F39ED"/>
    <w:rsid w:val="49E14A66"/>
    <w:rsid w:val="49FF41D3"/>
    <w:rsid w:val="4A185DC8"/>
    <w:rsid w:val="4BE068DB"/>
    <w:rsid w:val="4BF6002B"/>
    <w:rsid w:val="4C4E2B0E"/>
    <w:rsid w:val="4CEE076D"/>
    <w:rsid w:val="4D43247E"/>
    <w:rsid w:val="4D4700BE"/>
    <w:rsid w:val="4E5D4004"/>
    <w:rsid w:val="4ECE2238"/>
    <w:rsid w:val="4ED20D23"/>
    <w:rsid w:val="512E0428"/>
    <w:rsid w:val="51DB4B86"/>
    <w:rsid w:val="528350D9"/>
    <w:rsid w:val="55333C3E"/>
    <w:rsid w:val="571921A6"/>
    <w:rsid w:val="581947A9"/>
    <w:rsid w:val="59835FFD"/>
    <w:rsid w:val="5AE37350"/>
    <w:rsid w:val="5AF36F67"/>
    <w:rsid w:val="5F865E90"/>
    <w:rsid w:val="600C33DE"/>
    <w:rsid w:val="61782A75"/>
    <w:rsid w:val="631F2AE8"/>
    <w:rsid w:val="64CA39A1"/>
    <w:rsid w:val="6A7011D3"/>
    <w:rsid w:val="6A826419"/>
    <w:rsid w:val="6AD645A0"/>
    <w:rsid w:val="6C4A05C8"/>
    <w:rsid w:val="6F062D8F"/>
    <w:rsid w:val="6F3F4C3C"/>
    <w:rsid w:val="72734D90"/>
    <w:rsid w:val="744A1385"/>
    <w:rsid w:val="7452064E"/>
    <w:rsid w:val="74E366CA"/>
    <w:rsid w:val="76CB7891"/>
    <w:rsid w:val="78F3566C"/>
    <w:rsid w:val="79E7B28D"/>
    <w:rsid w:val="7C011BB2"/>
    <w:rsid w:val="7C06244A"/>
    <w:rsid w:val="7C2C0185"/>
    <w:rsid w:val="7F4A625C"/>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Salutation" w:semiHidden="0" w:uiPriority="0"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20B76"/>
    <w:pPr>
      <w:widowControl w:val="0"/>
      <w:jc w:val="both"/>
    </w:pPr>
    <w:rPr>
      <w:kern w:val="2"/>
      <w:sz w:val="21"/>
      <w:szCs w:val="24"/>
    </w:rPr>
  </w:style>
  <w:style w:type="paragraph" w:styleId="1">
    <w:name w:val="heading 1"/>
    <w:basedOn w:val="a"/>
    <w:next w:val="a"/>
    <w:link w:val="1Char"/>
    <w:uiPriority w:val="9"/>
    <w:qFormat/>
    <w:rsid w:val="00920B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20B7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20B7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qFormat/>
    <w:rsid w:val="00920B76"/>
  </w:style>
  <w:style w:type="paragraph" w:styleId="a4">
    <w:name w:val="Body Text"/>
    <w:basedOn w:val="a"/>
    <w:link w:val="Char"/>
    <w:uiPriority w:val="99"/>
    <w:qFormat/>
    <w:rsid w:val="00920B76"/>
    <w:pPr>
      <w:spacing w:beforeLines="30"/>
    </w:pPr>
    <w:rPr>
      <w:rFonts w:ascii="仿宋_GB2312" w:eastAsia="仿宋_GB2312"/>
      <w:kern w:val="0"/>
      <w:sz w:val="30"/>
    </w:rPr>
  </w:style>
  <w:style w:type="paragraph" w:styleId="a5">
    <w:name w:val="Body Text Indent"/>
    <w:basedOn w:val="a"/>
    <w:qFormat/>
    <w:rsid w:val="00920B76"/>
    <w:pPr>
      <w:ind w:firstLine="643"/>
    </w:pPr>
    <w:rPr>
      <w:rFonts w:eastAsia="仿宋_GB2312" w:cs="宋体"/>
      <w:b/>
      <w:color w:val="000000"/>
      <w:sz w:val="32"/>
    </w:rPr>
  </w:style>
  <w:style w:type="paragraph" w:styleId="30">
    <w:name w:val="toc 3"/>
    <w:basedOn w:val="a"/>
    <w:next w:val="a"/>
    <w:uiPriority w:val="39"/>
    <w:unhideWhenUsed/>
    <w:qFormat/>
    <w:rsid w:val="00920B76"/>
    <w:pPr>
      <w:tabs>
        <w:tab w:val="right" w:leader="dot" w:pos="8296"/>
      </w:tabs>
      <w:ind w:leftChars="400" w:left="840"/>
    </w:pPr>
  </w:style>
  <w:style w:type="paragraph" w:styleId="a6">
    <w:name w:val="Balloon Text"/>
    <w:basedOn w:val="a"/>
    <w:link w:val="Char0"/>
    <w:uiPriority w:val="99"/>
    <w:semiHidden/>
    <w:unhideWhenUsed/>
    <w:qFormat/>
    <w:rsid w:val="00920B76"/>
    <w:rPr>
      <w:sz w:val="18"/>
      <w:szCs w:val="18"/>
    </w:rPr>
  </w:style>
  <w:style w:type="paragraph" w:styleId="a7">
    <w:name w:val="footer"/>
    <w:basedOn w:val="a"/>
    <w:link w:val="Char1"/>
    <w:uiPriority w:val="99"/>
    <w:qFormat/>
    <w:rsid w:val="00920B76"/>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920B76"/>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20B76"/>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20B76"/>
    <w:pPr>
      <w:tabs>
        <w:tab w:val="right" w:leader="dot" w:pos="8296"/>
      </w:tabs>
      <w:ind w:leftChars="200" w:left="420"/>
    </w:pPr>
  </w:style>
  <w:style w:type="paragraph" w:styleId="21">
    <w:name w:val="Body Text First Indent 2"/>
    <w:basedOn w:val="a5"/>
    <w:qFormat/>
    <w:rsid w:val="00920B76"/>
    <w:pPr>
      <w:ind w:firstLineChars="200" w:firstLine="420"/>
    </w:pPr>
  </w:style>
  <w:style w:type="character" w:styleId="a9">
    <w:name w:val="Strong"/>
    <w:basedOn w:val="a1"/>
    <w:uiPriority w:val="99"/>
    <w:qFormat/>
    <w:rsid w:val="00920B76"/>
    <w:rPr>
      <w:b/>
    </w:rPr>
  </w:style>
  <w:style w:type="character" w:styleId="aa">
    <w:name w:val="Hyperlink"/>
    <w:basedOn w:val="a1"/>
    <w:uiPriority w:val="99"/>
    <w:unhideWhenUsed/>
    <w:qFormat/>
    <w:rsid w:val="00920B76"/>
    <w:rPr>
      <w:color w:val="0000FF" w:themeColor="hyperlink"/>
      <w:u w:val="single"/>
    </w:rPr>
  </w:style>
  <w:style w:type="character" w:customStyle="1" w:styleId="HeaderChar">
    <w:name w:val="Header Char"/>
    <w:basedOn w:val="a1"/>
    <w:uiPriority w:val="99"/>
    <w:semiHidden/>
    <w:qFormat/>
    <w:rsid w:val="00920B76"/>
    <w:rPr>
      <w:rFonts w:ascii="Times New Roman" w:hAnsi="Times New Roman"/>
      <w:sz w:val="18"/>
      <w:szCs w:val="18"/>
    </w:rPr>
  </w:style>
  <w:style w:type="character" w:customStyle="1" w:styleId="Char2">
    <w:name w:val="页眉 Char"/>
    <w:link w:val="a8"/>
    <w:uiPriority w:val="99"/>
    <w:semiHidden/>
    <w:qFormat/>
    <w:locked/>
    <w:rsid w:val="00920B76"/>
    <w:rPr>
      <w:sz w:val="18"/>
    </w:rPr>
  </w:style>
  <w:style w:type="character" w:customStyle="1" w:styleId="FooterChar">
    <w:name w:val="Footer Char"/>
    <w:basedOn w:val="a1"/>
    <w:uiPriority w:val="99"/>
    <w:semiHidden/>
    <w:qFormat/>
    <w:rsid w:val="00920B76"/>
    <w:rPr>
      <w:rFonts w:ascii="Times New Roman" w:hAnsi="Times New Roman"/>
      <w:sz w:val="18"/>
      <w:szCs w:val="18"/>
    </w:rPr>
  </w:style>
  <w:style w:type="character" w:customStyle="1" w:styleId="Char1">
    <w:name w:val="页脚 Char"/>
    <w:link w:val="a7"/>
    <w:uiPriority w:val="99"/>
    <w:qFormat/>
    <w:locked/>
    <w:rsid w:val="00920B76"/>
    <w:rPr>
      <w:sz w:val="18"/>
    </w:rPr>
  </w:style>
  <w:style w:type="character" w:customStyle="1" w:styleId="BodyTextChar">
    <w:name w:val="Body Text Char"/>
    <w:basedOn w:val="a1"/>
    <w:uiPriority w:val="99"/>
    <w:semiHidden/>
    <w:qFormat/>
    <w:rsid w:val="00920B76"/>
    <w:rPr>
      <w:rFonts w:ascii="Times New Roman" w:hAnsi="Times New Roman"/>
      <w:szCs w:val="24"/>
    </w:rPr>
  </w:style>
  <w:style w:type="character" w:customStyle="1" w:styleId="Char">
    <w:name w:val="正文文本 Char"/>
    <w:link w:val="a4"/>
    <w:uiPriority w:val="99"/>
    <w:qFormat/>
    <w:locked/>
    <w:rsid w:val="00920B76"/>
    <w:rPr>
      <w:rFonts w:ascii="仿宋_GB2312" w:eastAsia="仿宋_GB2312" w:hAnsi="Times New Roman"/>
      <w:sz w:val="24"/>
    </w:rPr>
  </w:style>
  <w:style w:type="paragraph" w:customStyle="1" w:styleId="Default">
    <w:name w:val="Default"/>
    <w:uiPriority w:val="99"/>
    <w:qFormat/>
    <w:rsid w:val="00920B76"/>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920B76"/>
    <w:pPr>
      <w:ind w:firstLineChars="200" w:firstLine="420"/>
    </w:pPr>
  </w:style>
  <w:style w:type="character" w:customStyle="1" w:styleId="1Char">
    <w:name w:val="标题 1 Char"/>
    <w:basedOn w:val="a1"/>
    <w:link w:val="1"/>
    <w:uiPriority w:val="9"/>
    <w:qFormat/>
    <w:rsid w:val="00920B76"/>
    <w:rPr>
      <w:rFonts w:ascii="Times New Roman" w:hAnsi="Times New Roman"/>
      <w:b/>
      <w:bCs/>
      <w:kern w:val="44"/>
      <w:sz w:val="44"/>
      <w:szCs w:val="44"/>
    </w:rPr>
  </w:style>
  <w:style w:type="character" w:customStyle="1" w:styleId="2Char">
    <w:name w:val="标题 2 Char"/>
    <w:basedOn w:val="a1"/>
    <w:link w:val="2"/>
    <w:uiPriority w:val="9"/>
    <w:qFormat/>
    <w:rsid w:val="00920B76"/>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20B7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920B76"/>
    <w:rPr>
      <w:rFonts w:ascii="Times New Roman" w:hAnsi="Times New Roman"/>
      <w:kern w:val="2"/>
      <w:sz w:val="18"/>
      <w:szCs w:val="18"/>
    </w:rPr>
  </w:style>
  <w:style w:type="character" w:customStyle="1" w:styleId="3Char">
    <w:name w:val="标题 3 Char"/>
    <w:basedOn w:val="a1"/>
    <w:link w:val="3"/>
    <w:uiPriority w:val="9"/>
    <w:qFormat/>
    <w:rsid w:val="00920B76"/>
    <w:rPr>
      <w:rFonts w:ascii="Times New Roman" w:hAnsi="Times New Roman"/>
      <w:b/>
      <w:bCs/>
      <w:kern w:val="2"/>
      <w:sz w:val="32"/>
      <w:szCs w:val="32"/>
    </w:rPr>
  </w:style>
  <w:style w:type="paragraph" w:customStyle="1" w:styleId="TOC2">
    <w:name w:val="TOC 标题2"/>
    <w:basedOn w:val="1"/>
    <w:next w:val="a"/>
    <w:uiPriority w:val="39"/>
    <w:unhideWhenUsed/>
    <w:qFormat/>
    <w:rsid w:val="00920B7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1">
    <w:name w:val="font11"/>
    <w:basedOn w:val="a1"/>
    <w:qFormat/>
    <w:rsid w:val="00920B76"/>
    <w:rPr>
      <w:rFonts w:ascii="宋体" w:eastAsia="宋体" w:hAnsi="宋体" w:cs="宋体" w:hint="eastAsia"/>
      <w:color w:val="000000"/>
      <w:sz w:val="20"/>
      <w:szCs w:val="20"/>
      <w:u w:val="none"/>
    </w:rPr>
  </w:style>
  <w:style w:type="character" w:customStyle="1" w:styleId="200">
    <w:name w:val="20"/>
    <w:basedOn w:val="a1"/>
    <w:qFormat/>
    <w:rsid w:val="00920B76"/>
    <w:rPr>
      <w:rFonts w:ascii="Times New Roman" w:eastAsia="楷体_GB2312" w:hAnsi="Times New Roman" w:cs="楷体_GB2312" w:hint="default"/>
      <w:sz w:val="32"/>
      <w:szCs w:val="32"/>
    </w:rPr>
  </w:style>
  <w:style w:type="paragraph" w:customStyle="1" w:styleId="WPSOffice1">
    <w:name w:val="WPSOffice手动目录 1"/>
    <w:qFormat/>
    <w:rsid w:val="00920B76"/>
  </w:style>
  <w:style w:type="paragraph" w:customStyle="1" w:styleId="WPSOffice2">
    <w:name w:val="WPSOffice手动目录 2"/>
    <w:qFormat/>
    <w:rsid w:val="00920B76"/>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istrator\Desktop\&#24037;&#20316;&#31807;1.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8735632183908064E-2"/>
          <c:y val="5.5137844611528812E-2"/>
          <c:w val="0.87793103448275922"/>
          <c:h val="0.8236591478696742"/>
        </c:manualLayout>
      </c:layout>
      <c:barChart>
        <c:barDir val="col"/>
        <c:grouping val="clustered"/>
        <c:ser>
          <c:idx val="0"/>
          <c:order val="0"/>
          <c:tx>
            <c:strRef>
              <c:f>[工作簿1]Sheet1!$B$1</c:f>
              <c:strCache>
                <c:ptCount val="1"/>
                <c:pt idx="0">
                  <c:v>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endParaRPr lang="zh-CN"/>
              </a:p>
            </c:txPr>
            <c:dLblPos val="inEnd"/>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[工作簿1]Sheet1!$A$2:$A$3</c:f>
              <c:numCache>
                <c:formatCode>General</c:formatCode>
                <c:ptCount val="2"/>
                <c:pt idx="0">
                  <c:v>2020</c:v>
                </c:pt>
                <c:pt idx="1">
                  <c:v>2021</c:v>
                </c:pt>
              </c:numCache>
            </c:numRef>
          </c:cat>
          <c:val>
            <c:numRef>
              <c:f>[工作簿1]Sheet1!$B$2:$B$3</c:f>
              <c:numCache>
                <c:formatCode>General</c:formatCode>
                <c:ptCount val="2"/>
                <c:pt idx="0">
                  <c:v>1422.1599999999999</c:v>
                </c:pt>
                <c:pt idx="1">
                  <c:v>918.62</c:v>
                </c:pt>
              </c:numCache>
            </c:numRef>
          </c:val>
        </c:ser>
        <c:dLbls>
          <c:showVal val="1"/>
        </c:dLbls>
        <c:gapWidth val="100"/>
        <c:overlap val="-24"/>
        <c:axId val="129628800"/>
        <c:axId val="110363008"/>
      </c:barChart>
      <c:catAx>
        <c:axId val="129628800"/>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10363008"/>
        <c:crosses val="autoZero"/>
        <c:auto val="1"/>
        <c:lblAlgn val="ctr"/>
        <c:lblOffset val="100"/>
      </c:catAx>
      <c:valAx>
        <c:axId val="110363008"/>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29628800"/>
        <c:crosses val="autoZero"/>
        <c:crossBetween val="between"/>
      </c:valAx>
      <c:spPr>
        <a:noFill/>
        <a:ln>
          <a:noFill/>
        </a:ln>
        <a:effectLst/>
      </c:spPr>
    </c:plotArea>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lrMapOvr bg1="lt1" tx1="dk1" bg2="lt2" tx2="dk2" accent1="accent1" accent2="accent2" accent3="accent3" accent4="accent4" accent5="accent5" accent6="accent6" hlink="hlink" folHlink="folHlink"/>
  <c:chart>
    <c:autoTitleDeleted val="1"/>
    <c:view3D>
      <c:rotX val="30"/>
      <c:depthPercent val="100"/>
      <c:perspective val="30"/>
    </c:view3D>
    <c:floor>
      <c:spPr>
        <a:noFill/>
        <a:effectLst/>
      </c:spPr>
    </c:floor>
    <c:sideWall>
      <c:spPr>
        <a:noFill/>
        <a:effectLst/>
      </c:spPr>
    </c:sideWall>
    <c:backWall>
      <c:spPr>
        <a:noFill/>
        <a:effectLst/>
      </c:spPr>
    </c:backWall>
    <c:plotArea>
      <c:layout/>
      <c:pie3DChart>
        <c:varyColors val="1"/>
        <c:ser>
          <c:idx val="0"/>
          <c:order val="0"/>
          <c:spPr>
            <a:scene3d>
              <a:camera prst="orthographicFront"/>
              <a:lightRig rig="threePt" dir="t"/>
            </a:scene3d>
            <a:sp3d contourW="9525"/>
          </c:spPr>
          <c:dPt>
            <c:idx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[工作簿1.xlsx]Sheet1!$D$2</c:f>
              <c:strCache>
                <c:ptCount val="1"/>
                <c:pt idx="0">
                  <c:v>一般公共预算财政拨款收入</c:v>
                </c:pt>
              </c:strCache>
            </c:strRef>
          </c:cat>
          <c:val>
            <c:numRef>
              <c:f>{1}</c:f>
              <c:numCache>
                <c:formatCode>General</c:formatCode>
                <c:ptCount val="1"/>
                <c:pt idx="0">
                  <c:v>1</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depthPercent val="100"/>
      <c:perspective val="30"/>
    </c:view3D>
    <c:floor>
      <c:spPr>
        <a:noFill/>
        <a:effectLst/>
      </c:spPr>
    </c:floor>
    <c:sideWall>
      <c:spPr>
        <a:noFill/>
        <a:effectLst/>
      </c:spPr>
    </c:sideWall>
    <c:backWall>
      <c:spPr>
        <a:noFill/>
        <a:effectLst/>
      </c:spPr>
    </c:backWall>
    <c:plotArea>
      <c:layout>
        <c:manualLayout>
          <c:layoutTarget val="inner"/>
          <c:xMode val="edge"/>
          <c:yMode val="edge"/>
          <c:x val="3.9166666666666711E-2"/>
          <c:y val="9.4907407407407413E-2"/>
          <c:w val="0.78138888888888902"/>
          <c:h val="0.89814814814814803"/>
        </c:manualLayout>
      </c:layout>
      <c:pie3DChart>
        <c:varyColors val="1"/>
        <c:ser>
          <c:idx val="0"/>
          <c:order val="0"/>
          <c:spPr>
            <a:scene3d>
              <a:camera prst="orthographicFront"/>
              <a:lightRig rig="threePt" dir="t"/>
            </a:scene3d>
            <a:sp3d contourW="9525"/>
          </c:spPr>
          <c:dPt>
            <c:idx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1"/>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[工作簿1]Sheet1!$D$2:$D$3</c:f>
              <c:strCache>
                <c:ptCount val="2"/>
                <c:pt idx="0">
                  <c:v>基本支出</c:v>
                </c:pt>
                <c:pt idx="1">
                  <c:v>项目支出</c:v>
                </c:pt>
              </c:strCache>
            </c:strRef>
          </c:cat>
          <c:val>
            <c:numRef>
              <c:f>[工作簿1]Sheet1!$E$2:$E$3</c:f>
              <c:numCache>
                <c:formatCode>General</c:formatCode>
                <c:ptCount val="2"/>
                <c:pt idx="0">
                  <c:v>382.6</c:v>
                </c:pt>
                <c:pt idx="1">
                  <c:v>376.42999999999989</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manualLayout>
          <c:layoutTarget val="inner"/>
          <c:xMode val="edge"/>
          <c:yMode val="edge"/>
          <c:x val="8.8735632183908064E-2"/>
          <c:y val="5.5137844611528812E-2"/>
          <c:w val="0.87793103448275922"/>
          <c:h val="0.8236591478696742"/>
        </c:manualLayout>
      </c:layout>
      <c:barChart>
        <c:barDir val="col"/>
        <c:grouping val="clustered"/>
        <c:ser>
          <c:idx val="0"/>
          <c:order val="0"/>
          <c:tx>
            <c:strRef>
              <c:f>[工作簿1]Sheet1!$B$1</c:f>
              <c:strCache>
                <c:ptCount val="1"/>
                <c:pt idx="0">
                  <c:v>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endParaRPr lang="zh-CN"/>
              </a:p>
            </c:txPr>
            <c:dLblPos val="inEnd"/>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[工作簿1]Sheet1!$A$2:$A$3</c:f>
              <c:numCache>
                <c:formatCode>General</c:formatCode>
                <c:ptCount val="2"/>
                <c:pt idx="0">
                  <c:v>2020</c:v>
                </c:pt>
                <c:pt idx="1">
                  <c:v>2021</c:v>
                </c:pt>
              </c:numCache>
            </c:numRef>
          </c:cat>
          <c:val>
            <c:numRef>
              <c:f>[工作簿1]Sheet1!$B$2:$B$3</c:f>
              <c:numCache>
                <c:formatCode>General</c:formatCode>
                <c:ptCount val="2"/>
                <c:pt idx="0">
                  <c:v>1422.1599999999999</c:v>
                </c:pt>
                <c:pt idx="1">
                  <c:v>918.62</c:v>
                </c:pt>
              </c:numCache>
            </c:numRef>
          </c:val>
        </c:ser>
        <c:dLbls>
          <c:showVal val="1"/>
        </c:dLbls>
        <c:gapWidth val="100"/>
        <c:overlap val="-24"/>
        <c:axId val="110400256"/>
        <c:axId val="110401792"/>
      </c:barChart>
      <c:catAx>
        <c:axId val="11040025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10401792"/>
        <c:crosses val="autoZero"/>
        <c:auto val="1"/>
        <c:lblAlgn val="ctr"/>
        <c:lblOffset val="100"/>
      </c:catAx>
      <c:valAx>
        <c:axId val="110401792"/>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10400256"/>
        <c:crosses val="autoZero"/>
        <c:crossBetween val="between"/>
      </c:valAx>
      <c:spPr>
        <a:noFill/>
        <a:ln>
          <a:noFill/>
        </a:ln>
        <a:effectLst/>
      </c:spPr>
    </c:plotArea>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[工作簿1]Sheet1!$H$1</c:f>
              <c:strCache>
                <c:ptCount val="1"/>
                <c:pt idx="0">
                  <c:v>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[工作簿1]Sheet1!$G$2:$G$3</c:f>
              <c:numCache>
                <c:formatCode>General</c:formatCode>
                <c:ptCount val="2"/>
                <c:pt idx="0">
                  <c:v>2020</c:v>
                </c:pt>
                <c:pt idx="1">
                  <c:v>2021</c:v>
                </c:pt>
              </c:numCache>
            </c:numRef>
          </c:cat>
          <c:val>
            <c:numRef>
              <c:f>[工作簿1]Sheet1!$H$2:$H$3</c:f>
              <c:numCache>
                <c:formatCode>General</c:formatCode>
                <c:ptCount val="2"/>
                <c:pt idx="0">
                  <c:v>808.21</c:v>
                </c:pt>
                <c:pt idx="1">
                  <c:v>759.03</c:v>
                </c:pt>
              </c:numCache>
            </c:numRef>
          </c:val>
        </c:ser>
        <c:dLbls>
          <c:showVal val="1"/>
        </c:dLbls>
        <c:gapWidth val="100"/>
        <c:overlap val="-24"/>
        <c:axId val="110421504"/>
        <c:axId val="110423040"/>
      </c:barChart>
      <c:catAx>
        <c:axId val="110421504"/>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10423040"/>
        <c:crosses val="autoZero"/>
        <c:auto val="1"/>
        <c:lblAlgn val="ctr"/>
        <c:lblOffset val="100"/>
      </c:catAx>
      <c:valAx>
        <c:axId val="1104230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104215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view3D>
      <c:rotX val="30"/>
      <c:depthPercent val="100"/>
      <c:perspective val="30"/>
    </c:view3D>
    <c:floor>
      <c:spPr>
        <a:noFill/>
        <a:effectLst/>
      </c:spPr>
    </c:floor>
    <c:sideWall>
      <c:spPr>
        <a:noFill/>
        <a:effectLst/>
      </c:spPr>
    </c:sideWall>
    <c:backWall>
      <c:spPr>
        <a:noFill/>
        <a:effectLst/>
      </c:spPr>
    </c:backWall>
    <c:plotArea>
      <c:layout/>
      <c:pie3DChart>
        <c:varyColors val="1"/>
        <c:ser>
          <c:idx val="0"/>
          <c:order val="0"/>
          <c:spPr>
            <a:scene3d>
              <a:camera prst="orthographicFront"/>
              <a:lightRig rig="threePt" dir="t"/>
            </a:scene3d>
            <a:sp3d contourW="9525"/>
          </c:spPr>
          <c:dPt>
            <c:idx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1"/>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2"/>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dLbl>
              <c:idx val="0"/>
              <c:layout>
                <c:manualLayout>
                  <c:x val="5.8333333333333327E-2"/>
                  <c:y val="-1.3888888888888907E-2"/>
                </c:manualLayout>
              </c:layout>
              <c:dLblPos val="bestFit"/>
              <c:showPercent val="1"/>
              <c:extLst>
                <c:ext xmlns:c15="http://schemas.microsoft.com/office/drawing/2012/chart" uri="{CE6537A1-D6FC-4f65-9D91-7224C49458BB}">
                  <c15:layout/>
                </c:ext>
              </c:extLst>
            </c:dLbl>
            <c:dLbl>
              <c:idx val="2"/>
              <c:layout>
                <c:manualLayout>
                  <c:x val="-3.9583333333333311E-2"/>
                  <c:y val="-1.3888888888888907E-2"/>
                </c:manualLayout>
              </c:layout>
              <c:dLblPos val="bestFit"/>
              <c:showPercent val="1"/>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outEnd"/>
            <c:showPercent val="1"/>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[工作簿1]Sheet1!$J$2:$J$4</c:f>
              <c:strCache>
                <c:ptCount val="3"/>
                <c:pt idx="0">
                  <c:v>社会保障和就业（类）支出</c:v>
                </c:pt>
                <c:pt idx="1">
                  <c:v>卫生健康支出</c:v>
                </c:pt>
                <c:pt idx="2">
                  <c:v>住房保障支出</c:v>
                </c:pt>
              </c:strCache>
            </c:strRef>
          </c:cat>
          <c:val>
            <c:numRef>
              <c:f>[工作簿1]Sheet1!$K$2:$K$4</c:f>
              <c:numCache>
                <c:formatCode>General</c:formatCode>
                <c:ptCount val="3"/>
                <c:pt idx="0">
                  <c:v>29.57</c:v>
                </c:pt>
                <c:pt idx="1">
                  <c:v>698.48</c:v>
                </c:pt>
                <c:pt idx="2">
                  <c:v>30.979999999999993</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autoTitleDeleted val="1"/>
    <c:view3D>
      <c:rotX val="30"/>
      <c:depthPercent val="100"/>
      <c:perspective val="30"/>
    </c:view3D>
    <c:floor>
      <c:spPr>
        <a:noFill/>
        <a:effectLst/>
      </c:spPr>
    </c:floor>
    <c:sideWall>
      <c:spPr>
        <a:noFill/>
        <a:effectLst/>
      </c:spPr>
    </c:sideWall>
    <c:backWall>
      <c:spPr>
        <a:noFill/>
        <a:effectLst/>
      </c:spPr>
    </c:backWall>
    <c:plotArea>
      <c:layout/>
      <c:pie3DChart>
        <c:varyColors val="1"/>
        <c:ser>
          <c:idx val="0"/>
          <c:order val="0"/>
          <c:spPr>
            <a:scene3d>
              <a:camera prst="orthographicFront"/>
              <a:lightRig rig="threePt" dir="t"/>
            </a:scene3d>
            <a:sp3d contourW="9525"/>
          </c:spPr>
          <c:dPt>
            <c:idx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[工作簿1.xlsx]Sheet1!$D$6</c:f>
              <c:strCache>
                <c:ptCount val="1"/>
                <c:pt idx="0">
                  <c:v>公务接待费支出</c:v>
                </c:pt>
              </c:strCache>
            </c:strRef>
          </c:cat>
          <c:val>
            <c:numRef>
              <c:f>[工作簿1.xlsx]Sheet1!$E$6</c:f>
              <c:numCache>
                <c:formatCode>General</c:formatCode>
                <c:ptCount val="1"/>
                <c:pt idx="0">
                  <c:v>1.5</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1518</Words>
  <Characters>8658</Characters>
  <Application>Microsoft Office Word</Application>
  <DocSecurity>0</DocSecurity>
  <Lines>72</Lines>
  <Paragraphs>20</Paragraphs>
  <ScaleCrop>false</ScaleCrop>
  <Company>四川省财政厅</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34</cp:revision>
  <cp:lastPrinted>2022-08-06T02:23:00Z</cp:lastPrinted>
  <dcterms:created xsi:type="dcterms:W3CDTF">2020-08-05T01:49:00Z</dcterms:created>
  <dcterms:modified xsi:type="dcterms:W3CDTF">2022-10-08T11:58:00Z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14C1AFA6CA054EBBB687CE7E513F7EEC</vt:lpwstr>
  </property>
</Properties>
</file>