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2493C3">
      <w:pPr>
        <w:spacing w:line="600" w:lineRule="exact"/>
        <w:jc w:val="center"/>
        <w:rPr>
          <w:rFonts w:ascii="方正小标宋简体" w:hAnsi="宋体" w:eastAsia="方正小标宋简体"/>
          <w:sz w:val="72"/>
          <w:szCs w:val="72"/>
        </w:rPr>
      </w:pPr>
      <w:bookmarkStart w:id="0" w:name="_Toc15396597"/>
      <w:bookmarkStart w:id="1" w:name="_Toc15396475"/>
      <w:bookmarkStart w:id="2" w:name="_Toc15377425"/>
      <w:bookmarkStart w:id="3" w:name="_Toc15378441"/>
      <w:bookmarkStart w:id="4" w:name="_Toc15377193"/>
      <w:bookmarkStart w:id="5" w:name="_Toc15306267"/>
      <w:bookmarkStart w:id="111" w:name="_GoBack"/>
      <w:bookmarkEnd w:id="111"/>
    </w:p>
    <w:p w14:paraId="0FE1C5EA">
      <w:pPr>
        <w:spacing w:line="600" w:lineRule="exact"/>
        <w:jc w:val="center"/>
        <w:rPr>
          <w:rFonts w:ascii="方正小标宋简体" w:hAnsi="宋体" w:eastAsia="方正小标宋简体"/>
          <w:sz w:val="72"/>
          <w:szCs w:val="72"/>
        </w:rPr>
      </w:pPr>
    </w:p>
    <w:p w14:paraId="77118556">
      <w:pPr>
        <w:spacing w:line="600" w:lineRule="exact"/>
        <w:jc w:val="center"/>
        <w:rPr>
          <w:rFonts w:ascii="方正小标宋简体" w:hAnsi="宋体" w:eastAsia="方正小标宋简体"/>
          <w:sz w:val="72"/>
          <w:szCs w:val="72"/>
        </w:rPr>
      </w:pPr>
    </w:p>
    <w:p w14:paraId="1697D32F">
      <w:pPr>
        <w:spacing w:line="600" w:lineRule="exact"/>
        <w:jc w:val="center"/>
        <w:rPr>
          <w:rFonts w:ascii="方正小标宋简体" w:hAnsi="宋体" w:eastAsia="方正小标宋简体"/>
          <w:sz w:val="72"/>
          <w:szCs w:val="72"/>
        </w:rPr>
      </w:pPr>
    </w:p>
    <w:p w14:paraId="0D7492DB">
      <w:pPr>
        <w:adjustRightInd w:val="0"/>
        <w:snapToGrid w:val="0"/>
        <w:spacing w:line="360" w:lineRule="auto"/>
        <w:jc w:val="center"/>
        <w:outlineLvl w:val="0"/>
        <w:rPr>
          <w:rFonts w:ascii="黑体" w:hAnsi="黑体" w:eastAsia="黑体" w:cs="黑体"/>
          <w:sz w:val="72"/>
          <w:szCs w:val="72"/>
        </w:rPr>
      </w:pPr>
      <w:bookmarkStart w:id="6" w:name="_Toc13160"/>
      <w:r>
        <w:rPr>
          <w:rFonts w:hint="eastAsia" w:ascii="黑体" w:hAnsi="黑体" w:eastAsia="黑体" w:cs="黑体"/>
          <w:sz w:val="72"/>
          <w:szCs w:val="72"/>
        </w:rPr>
        <w:t>2021年度</w:t>
      </w:r>
      <w:bookmarkEnd w:id="0"/>
      <w:bookmarkEnd w:id="1"/>
      <w:bookmarkEnd w:id="2"/>
      <w:bookmarkEnd w:id="3"/>
      <w:bookmarkEnd w:id="4"/>
      <w:bookmarkEnd w:id="6"/>
    </w:p>
    <w:p w14:paraId="3CEF9A04">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7" w:name="_Toc15396476"/>
      <w:bookmarkStart w:id="8" w:name="_Toc15377426"/>
      <w:bookmarkStart w:id="9" w:name="_Toc13953"/>
      <w:bookmarkStart w:id="10" w:name="_Toc15378442"/>
      <w:bookmarkStart w:id="11" w:name="_Toc15396598"/>
      <w:bookmarkStart w:id="12" w:name="_Toc15377194"/>
      <w:r>
        <w:rPr>
          <w:rFonts w:hint="eastAsia" w:ascii="黑体" w:hAnsi="黑体" w:eastAsia="黑体" w:cs="黑体"/>
          <w:sz w:val="72"/>
          <w:szCs w:val="72"/>
        </w:rPr>
        <w:t>四川省</w:t>
      </w:r>
      <w:bookmarkEnd w:id="5"/>
      <w:bookmarkStart w:id="13" w:name="_Toc15306268"/>
      <w:r>
        <w:rPr>
          <w:rFonts w:hint="eastAsia" w:ascii="黑体" w:hAnsi="黑体" w:eastAsia="黑体" w:cs="黑体"/>
          <w:sz w:val="72"/>
          <w:szCs w:val="72"/>
        </w:rPr>
        <w:t>广元市昭化区卫生健康局部门决算</w:t>
      </w:r>
      <w:bookmarkEnd w:id="7"/>
      <w:bookmarkEnd w:id="8"/>
      <w:bookmarkEnd w:id="9"/>
      <w:bookmarkEnd w:id="10"/>
      <w:bookmarkEnd w:id="11"/>
      <w:bookmarkEnd w:id="12"/>
      <w:bookmarkEnd w:id="13"/>
    </w:p>
    <w:p w14:paraId="197224FC">
      <w:pPr>
        <w:widowControl/>
        <w:spacing w:line="440" w:lineRule="exact"/>
        <w:jc w:val="left"/>
        <w:rPr>
          <w:rFonts w:ascii="仿宋" w:hAnsi="仿宋" w:eastAsia="仿宋"/>
          <w:b/>
          <w:sz w:val="24"/>
        </w:rPr>
      </w:pPr>
      <w:r>
        <w:rPr>
          <w:rFonts w:ascii="方正小标宋简体" w:hAnsi="宋体" w:eastAsia="方正小标宋简体"/>
          <w:sz w:val="36"/>
          <w:szCs w:val="36"/>
        </w:rPr>
        <w:br w:type="page"/>
      </w:r>
      <w:bookmarkStart w:id="14" w:name="_Toc15396599"/>
      <w:bookmarkStart w:id="15" w:name="_Toc15377196"/>
    </w:p>
    <w:p w14:paraId="322A2E32">
      <w:pPr>
        <w:widowControl/>
        <w:jc w:val="center"/>
        <w:rPr>
          <w:rFonts w:ascii="黑体" w:hAnsi="黑体" w:eastAsia="黑体"/>
          <w:sz w:val="48"/>
          <w:szCs w:val="48"/>
        </w:rPr>
      </w:pPr>
      <w:r>
        <w:rPr>
          <w:rFonts w:hint="eastAsia" w:ascii="黑体" w:hAnsi="黑体" w:eastAsia="黑体"/>
          <w:sz w:val="48"/>
          <w:szCs w:val="48"/>
        </w:rPr>
        <w:t>目录</w:t>
      </w:r>
    </w:p>
    <w:p w14:paraId="1E104AB2">
      <w:pPr>
        <w:widowControl/>
        <w:jc w:val="center"/>
        <w:rPr>
          <w:rFonts w:ascii="黑体" w:hAnsi="黑体" w:eastAsia="黑体" w:cstheme="minorBidi"/>
          <w:sz w:val="28"/>
          <w:szCs w:val="28"/>
        </w:rPr>
      </w:pPr>
    </w:p>
    <w:p w14:paraId="5FB1A37A">
      <w:pPr>
        <w:pStyle w:val="12"/>
      </w:pPr>
      <w:r>
        <w:rPr>
          <w:rFonts w:hint="eastAsia"/>
        </w:rPr>
        <w:t>公开时间：2022年9月30日</w:t>
      </w:r>
    </w:p>
    <w:sdt>
      <w:sdtPr>
        <w:rPr>
          <w:rFonts w:ascii="宋体" w:hAnsi="宋体" w:eastAsia="宋体" w:cs="宋体"/>
          <w:b/>
          <w:color w:val="000000"/>
          <w:sz w:val="21"/>
          <w:szCs w:val="24"/>
        </w:rPr>
        <w:id w:val="147475167"/>
        <w:docPartObj>
          <w:docPartGallery w:val="Table of Contents"/>
          <w:docPartUnique/>
        </w:docPartObj>
      </w:sdtPr>
      <w:sdtEndPr>
        <w:rPr>
          <w:rFonts w:ascii="仿宋_GB2312" w:hAnsi="MingLiU" w:eastAsia="仿宋_GB2312" w:cs="宋体"/>
          <w:b/>
          <w:color w:val="000000"/>
          <w:sz w:val="30"/>
          <w:szCs w:val="30"/>
        </w:rPr>
      </w:sdtEndPr>
      <w:sdtContent>
        <w:p w14:paraId="4FD1B180">
          <w:pPr>
            <w:pStyle w:val="12"/>
            <w:adjustRightInd w:val="0"/>
            <w:snapToGrid w:val="0"/>
            <w:spacing w:before="0" w:line="440" w:lineRule="exact"/>
            <w:jc w:val="left"/>
            <w:rPr>
              <w:rFonts w:ascii="仿宋_GB2312" w:hAnsi="MingLiU" w:eastAsia="仿宋_GB2312"/>
              <w:sz w:val="30"/>
              <w:szCs w:val="30"/>
            </w:rPr>
          </w:pPr>
          <w:r>
            <w:rPr>
              <w:rFonts w:ascii="仿宋_GB2312" w:hAnsi="MingLiU" w:eastAsia="仿宋_GB2312"/>
              <w:sz w:val="30"/>
              <w:szCs w:val="30"/>
            </w:rPr>
            <w:fldChar w:fldCharType="begin"/>
          </w:r>
          <w:r>
            <w:rPr>
              <w:rFonts w:ascii="仿宋_GB2312" w:hAnsi="MingLiU" w:eastAsia="仿宋_GB2312"/>
              <w:sz w:val="30"/>
              <w:szCs w:val="30"/>
            </w:rPr>
            <w:instrText xml:space="preserve">TOC \o "1-2" \h \u </w:instrText>
          </w:r>
          <w:r>
            <w:rPr>
              <w:rFonts w:ascii="仿宋_GB2312" w:hAnsi="MingLiU" w:eastAsia="仿宋_GB2312"/>
              <w:sz w:val="30"/>
              <w:szCs w:val="30"/>
            </w:rPr>
            <w:fldChar w:fldCharType="separate"/>
          </w:r>
        </w:p>
        <w:p w14:paraId="699DA358">
          <w:pPr>
            <w:pStyle w:val="12"/>
            <w:adjustRightInd w:val="0"/>
            <w:snapToGrid w:val="0"/>
            <w:spacing w:before="0" w:line="440" w:lineRule="exact"/>
            <w:jc w:val="left"/>
            <w:rPr>
              <w:rFonts w:ascii="仿宋_GB2312" w:hAnsi="MingLiU" w:eastAsia="仿宋_GB2312"/>
              <w:b/>
              <w:bCs/>
              <w:sz w:val="30"/>
              <w:szCs w:val="30"/>
            </w:rPr>
          </w:pPr>
          <w:r>
            <w:fldChar w:fldCharType="begin"/>
          </w:r>
          <w:r>
            <w:instrText xml:space="preserve"> HYPERLINK \l "_Toc22216" </w:instrText>
          </w:r>
          <w:r>
            <w:fldChar w:fldCharType="separate"/>
          </w:r>
          <w:r>
            <w:rPr>
              <w:rFonts w:hint="eastAsia" w:ascii="仿宋_GB2312" w:hAnsi="MingLiU" w:eastAsia="仿宋_GB2312"/>
              <w:b/>
              <w:bCs/>
              <w:sz w:val="30"/>
              <w:szCs w:val="30"/>
            </w:rPr>
            <w:t>第一部分 部门概况</w:t>
          </w:r>
          <w:r>
            <w:rPr>
              <w:rFonts w:hint="eastAsia" w:ascii="仿宋_GB2312" w:hAnsi="MingLiU" w:eastAsia="仿宋_GB2312"/>
              <w:b/>
              <w:bCs/>
              <w:sz w:val="30"/>
              <w:szCs w:val="30"/>
            </w:rPr>
            <w:tab/>
          </w:r>
          <w:r>
            <w:rPr>
              <w:rFonts w:hint="eastAsia" w:ascii="仿宋_GB2312" w:hAnsi="MingLiU" w:eastAsia="仿宋_GB2312"/>
              <w:b/>
              <w:bCs/>
              <w:sz w:val="30"/>
              <w:szCs w:val="30"/>
            </w:rPr>
            <w:fldChar w:fldCharType="begin"/>
          </w:r>
          <w:r>
            <w:rPr>
              <w:rFonts w:hint="eastAsia" w:ascii="仿宋_GB2312" w:hAnsi="MingLiU" w:eastAsia="仿宋_GB2312"/>
              <w:b/>
              <w:bCs/>
              <w:sz w:val="30"/>
              <w:szCs w:val="30"/>
            </w:rPr>
            <w:instrText xml:space="preserve"> PAGEREF _Toc22216 </w:instrText>
          </w:r>
          <w:r>
            <w:rPr>
              <w:rFonts w:hint="eastAsia" w:ascii="仿宋_GB2312" w:hAnsi="MingLiU" w:eastAsia="仿宋_GB2312"/>
              <w:b/>
              <w:bCs/>
              <w:sz w:val="30"/>
              <w:szCs w:val="30"/>
            </w:rPr>
            <w:fldChar w:fldCharType="separate"/>
          </w:r>
          <w:r>
            <w:rPr>
              <w:rFonts w:hint="eastAsia" w:ascii="仿宋_GB2312" w:hAnsi="MingLiU" w:eastAsia="仿宋_GB2312"/>
              <w:b/>
              <w:bCs/>
              <w:sz w:val="30"/>
              <w:szCs w:val="30"/>
            </w:rPr>
            <w:t>4</w:t>
          </w:r>
          <w:r>
            <w:rPr>
              <w:rFonts w:hint="eastAsia" w:ascii="仿宋_GB2312" w:hAnsi="MingLiU" w:eastAsia="仿宋_GB2312"/>
              <w:b/>
              <w:bCs/>
              <w:sz w:val="30"/>
              <w:szCs w:val="30"/>
            </w:rPr>
            <w:fldChar w:fldCharType="end"/>
          </w:r>
          <w:r>
            <w:rPr>
              <w:rFonts w:hint="eastAsia" w:ascii="仿宋_GB2312" w:hAnsi="MingLiU" w:eastAsia="仿宋_GB2312"/>
              <w:b/>
              <w:bCs/>
              <w:sz w:val="30"/>
              <w:szCs w:val="30"/>
            </w:rPr>
            <w:fldChar w:fldCharType="end"/>
          </w:r>
        </w:p>
        <w:p w14:paraId="618F9579">
          <w:pPr>
            <w:pStyle w:val="13"/>
            <w:adjustRightInd w:val="0"/>
            <w:snapToGrid w:val="0"/>
            <w:spacing w:line="440" w:lineRule="exact"/>
            <w:jc w:val="left"/>
            <w:rPr>
              <w:rFonts w:ascii="仿宋_GB2312" w:hAnsi="MingLiU" w:eastAsia="仿宋_GB2312"/>
              <w:sz w:val="30"/>
              <w:szCs w:val="30"/>
            </w:rPr>
          </w:pPr>
          <w:r>
            <w:fldChar w:fldCharType="begin"/>
          </w:r>
          <w:r>
            <w:instrText xml:space="preserve"> HYPERLINK \l "_Toc28076" </w:instrText>
          </w:r>
          <w:r>
            <w:fldChar w:fldCharType="separate"/>
          </w:r>
          <w:r>
            <w:rPr>
              <w:rFonts w:hint="eastAsia" w:ascii="仿宋_GB2312" w:hAnsi="MingLiU" w:eastAsia="仿宋_GB2312"/>
              <w:sz w:val="30"/>
              <w:szCs w:val="30"/>
            </w:rPr>
            <w:t>一、 基本职能及主要工作</w:t>
          </w:r>
          <w:r>
            <w:rPr>
              <w:rFonts w:hint="eastAsia" w:ascii="仿宋_GB2312" w:hAnsi="MingLiU" w:eastAsia="仿宋_GB2312"/>
              <w:sz w:val="30"/>
              <w:szCs w:val="30"/>
            </w:rPr>
            <w:tab/>
          </w:r>
          <w:r>
            <w:rPr>
              <w:rFonts w:hint="eastAsia" w:ascii="仿宋_GB2312" w:hAnsi="MingLiU" w:eastAsia="仿宋_GB2312"/>
              <w:sz w:val="30"/>
              <w:szCs w:val="30"/>
            </w:rPr>
            <w:fldChar w:fldCharType="begin"/>
          </w:r>
          <w:r>
            <w:rPr>
              <w:rFonts w:hint="eastAsia" w:ascii="仿宋_GB2312" w:hAnsi="MingLiU" w:eastAsia="仿宋_GB2312"/>
              <w:sz w:val="30"/>
              <w:szCs w:val="30"/>
            </w:rPr>
            <w:instrText xml:space="preserve"> PAGEREF _Toc28076 </w:instrText>
          </w:r>
          <w:r>
            <w:rPr>
              <w:rFonts w:hint="eastAsia" w:ascii="仿宋_GB2312" w:hAnsi="MingLiU" w:eastAsia="仿宋_GB2312"/>
              <w:sz w:val="30"/>
              <w:szCs w:val="30"/>
            </w:rPr>
            <w:fldChar w:fldCharType="separate"/>
          </w:r>
          <w:r>
            <w:rPr>
              <w:rFonts w:hint="eastAsia" w:ascii="仿宋_GB2312" w:hAnsi="MingLiU" w:eastAsia="仿宋_GB2312"/>
              <w:sz w:val="30"/>
              <w:szCs w:val="30"/>
            </w:rPr>
            <w:t>4</w:t>
          </w:r>
          <w:r>
            <w:rPr>
              <w:rFonts w:hint="eastAsia" w:ascii="仿宋_GB2312" w:hAnsi="MingLiU" w:eastAsia="仿宋_GB2312"/>
              <w:sz w:val="30"/>
              <w:szCs w:val="30"/>
            </w:rPr>
            <w:fldChar w:fldCharType="end"/>
          </w:r>
          <w:r>
            <w:rPr>
              <w:rFonts w:hint="eastAsia" w:ascii="仿宋_GB2312" w:hAnsi="MingLiU" w:eastAsia="仿宋_GB2312"/>
              <w:sz w:val="30"/>
              <w:szCs w:val="30"/>
            </w:rPr>
            <w:fldChar w:fldCharType="end"/>
          </w:r>
        </w:p>
        <w:p w14:paraId="0E534DFB">
          <w:pPr>
            <w:pStyle w:val="13"/>
            <w:adjustRightInd w:val="0"/>
            <w:snapToGrid w:val="0"/>
            <w:spacing w:line="440" w:lineRule="exact"/>
            <w:jc w:val="left"/>
            <w:rPr>
              <w:rFonts w:ascii="仿宋_GB2312" w:hAnsi="MingLiU" w:eastAsia="仿宋_GB2312"/>
              <w:sz w:val="30"/>
              <w:szCs w:val="30"/>
            </w:rPr>
          </w:pPr>
          <w:r>
            <w:fldChar w:fldCharType="begin"/>
          </w:r>
          <w:r>
            <w:instrText xml:space="preserve"> HYPERLINK \l "_Toc9349" </w:instrText>
          </w:r>
          <w:r>
            <w:fldChar w:fldCharType="separate"/>
          </w:r>
          <w:r>
            <w:rPr>
              <w:rFonts w:hint="eastAsia" w:ascii="仿宋_GB2312" w:hAnsi="MingLiU" w:eastAsia="仿宋_GB2312"/>
              <w:sz w:val="30"/>
              <w:szCs w:val="30"/>
            </w:rPr>
            <w:t>二、机构设置</w:t>
          </w:r>
          <w:r>
            <w:rPr>
              <w:rFonts w:hint="eastAsia" w:ascii="仿宋_GB2312" w:hAnsi="MingLiU" w:eastAsia="仿宋_GB2312"/>
              <w:sz w:val="30"/>
              <w:szCs w:val="30"/>
            </w:rPr>
            <w:tab/>
          </w:r>
          <w:r>
            <w:rPr>
              <w:rFonts w:hint="eastAsia" w:ascii="仿宋_GB2312" w:hAnsi="MingLiU" w:eastAsia="仿宋_GB2312"/>
              <w:sz w:val="30"/>
              <w:szCs w:val="30"/>
            </w:rPr>
            <w:fldChar w:fldCharType="begin"/>
          </w:r>
          <w:r>
            <w:rPr>
              <w:rFonts w:hint="eastAsia" w:ascii="仿宋_GB2312" w:hAnsi="MingLiU" w:eastAsia="仿宋_GB2312"/>
              <w:sz w:val="30"/>
              <w:szCs w:val="30"/>
            </w:rPr>
            <w:instrText xml:space="preserve"> PAGEREF _Toc9349 </w:instrText>
          </w:r>
          <w:r>
            <w:rPr>
              <w:rFonts w:hint="eastAsia" w:ascii="仿宋_GB2312" w:hAnsi="MingLiU" w:eastAsia="仿宋_GB2312"/>
              <w:sz w:val="30"/>
              <w:szCs w:val="30"/>
            </w:rPr>
            <w:fldChar w:fldCharType="separate"/>
          </w:r>
          <w:r>
            <w:rPr>
              <w:rFonts w:hint="eastAsia" w:ascii="仿宋_GB2312" w:hAnsi="MingLiU" w:eastAsia="仿宋_GB2312"/>
              <w:sz w:val="30"/>
              <w:szCs w:val="30"/>
            </w:rPr>
            <w:t>9</w:t>
          </w:r>
          <w:r>
            <w:rPr>
              <w:rFonts w:hint="eastAsia" w:ascii="仿宋_GB2312" w:hAnsi="MingLiU" w:eastAsia="仿宋_GB2312"/>
              <w:sz w:val="30"/>
              <w:szCs w:val="30"/>
            </w:rPr>
            <w:fldChar w:fldCharType="end"/>
          </w:r>
          <w:r>
            <w:rPr>
              <w:rFonts w:hint="eastAsia" w:ascii="仿宋_GB2312" w:hAnsi="MingLiU" w:eastAsia="仿宋_GB2312"/>
              <w:sz w:val="30"/>
              <w:szCs w:val="30"/>
            </w:rPr>
            <w:fldChar w:fldCharType="end"/>
          </w:r>
        </w:p>
        <w:p w14:paraId="5C76622E">
          <w:pPr>
            <w:pStyle w:val="12"/>
            <w:adjustRightInd w:val="0"/>
            <w:snapToGrid w:val="0"/>
            <w:spacing w:before="0" w:line="440" w:lineRule="exact"/>
            <w:jc w:val="left"/>
            <w:rPr>
              <w:rFonts w:ascii="仿宋_GB2312" w:hAnsi="MingLiU" w:eastAsia="仿宋_GB2312"/>
              <w:b/>
              <w:bCs/>
              <w:sz w:val="30"/>
              <w:szCs w:val="30"/>
            </w:rPr>
          </w:pPr>
          <w:r>
            <w:fldChar w:fldCharType="begin"/>
          </w:r>
          <w:r>
            <w:instrText xml:space="preserve"> HYPERLINK \l "_Toc9564" </w:instrText>
          </w:r>
          <w:r>
            <w:fldChar w:fldCharType="separate"/>
          </w:r>
          <w:r>
            <w:rPr>
              <w:rFonts w:hint="eastAsia" w:ascii="仿宋_GB2312" w:hAnsi="MingLiU" w:eastAsia="仿宋_GB2312"/>
              <w:b/>
              <w:bCs/>
              <w:sz w:val="30"/>
              <w:szCs w:val="30"/>
            </w:rPr>
            <w:t>第二部分 2021年度部门决算情况说明</w:t>
          </w:r>
          <w:r>
            <w:rPr>
              <w:rFonts w:hint="eastAsia" w:ascii="仿宋_GB2312" w:hAnsi="MingLiU" w:eastAsia="仿宋_GB2312"/>
              <w:b/>
              <w:bCs/>
              <w:sz w:val="30"/>
              <w:szCs w:val="30"/>
            </w:rPr>
            <w:tab/>
          </w:r>
          <w:r>
            <w:rPr>
              <w:rFonts w:hint="eastAsia" w:ascii="仿宋_GB2312" w:hAnsi="MingLiU" w:eastAsia="仿宋_GB2312"/>
              <w:b/>
              <w:bCs/>
              <w:sz w:val="30"/>
              <w:szCs w:val="30"/>
            </w:rPr>
            <w:fldChar w:fldCharType="begin"/>
          </w:r>
          <w:r>
            <w:rPr>
              <w:rFonts w:hint="eastAsia" w:ascii="仿宋_GB2312" w:hAnsi="MingLiU" w:eastAsia="仿宋_GB2312"/>
              <w:b/>
              <w:bCs/>
              <w:sz w:val="30"/>
              <w:szCs w:val="30"/>
            </w:rPr>
            <w:instrText xml:space="preserve"> PAGEREF _Toc9564 </w:instrText>
          </w:r>
          <w:r>
            <w:rPr>
              <w:rFonts w:hint="eastAsia" w:ascii="仿宋_GB2312" w:hAnsi="MingLiU" w:eastAsia="仿宋_GB2312"/>
              <w:b/>
              <w:bCs/>
              <w:sz w:val="30"/>
              <w:szCs w:val="30"/>
            </w:rPr>
            <w:fldChar w:fldCharType="separate"/>
          </w:r>
          <w:r>
            <w:rPr>
              <w:rFonts w:hint="eastAsia" w:ascii="仿宋_GB2312" w:hAnsi="MingLiU" w:eastAsia="仿宋_GB2312"/>
              <w:b/>
              <w:bCs/>
              <w:sz w:val="30"/>
              <w:szCs w:val="30"/>
            </w:rPr>
            <w:t>11</w:t>
          </w:r>
          <w:r>
            <w:rPr>
              <w:rFonts w:hint="eastAsia" w:ascii="仿宋_GB2312" w:hAnsi="MingLiU" w:eastAsia="仿宋_GB2312"/>
              <w:b/>
              <w:bCs/>
              <w:sz w:val="30"/>
              <w:szCs w:val="30"/>
            </w:rPr>
            <w:fldChar w:fldCharType="end"/>
          </w:r>
          <w:r>
            <w:rPr>
              <w:rFonts w:hint="eastAsia" w:ascii="仿宋_GB2312" w:hAnsi="MingLiU" w:eastAsia="仿宋_GB2312"/>
              <w:b/>
              <w:bCs/>
              <w:sz w:val="30"/>
              <w:szCs w:val="30"/>
            </w:rPr>
            <w:fldChar w:fldCharType="end"/>
          </w:r>
        </w:p>
        <w:p w14:paraId="16761BA4">
          <w:pPr>
            <w:pStyle w:val="13"/>
            <w:adjustRightInd w:val="0"/>
            <w:snapToGrid w:val="0"/>
            <w:spacing w:line="440" w:lineRule="exact"/>
            <w:jc w:val="left"/>
            <w:rPr>
              <w:rFonts w:ascii="仿宋_GB2312" w:hAnsi="MingLiU" w:eastAsia="仿宋_GB2312"/>
              <w:sz w:val="30"/>
              <w:szCs w:val="30"/>
            </w:rPr>
          </w:pPr>
          <w:r>
            <w:fldChar w:fldCharType="begin"/>
          </w:r>
          <w:r>
            <w:instrText xml:space="preserve"> HYPERLINK \l "_Toc10982" </w:instrText>
          </w:r>
          <w:r>
            <w:fldChar w:fldCharType="separate"/>
          </w:r>
          <w:r>
            <w:rPr>
              <w:rFonts w:ascii="仿宋_GB2312" w:hAnsi="MingLiU" w:eastAsia="仿宋_GB2312"/>
              <w:sz w:val="30"/>
              <w:szCs w:val="30"/>
            </w:rPr>
            <w:t xml:space="preserve">一、 </w:t>
          </w:r>
          <w:r>
            <w:rPr>
              <w:rFonts w:hint="eastAsia" w:ascii="仿宋_GB2312" w:hAnsi="MingLiU" w:eastAsia="仿宋_GB2312"/>
              <w:sz w:val="30"/>
              <w:szCs w:val="30"/>
            </w:rPr>
            <w:t>收入支出决算总体情况说明</w:t>
          </w:r>
          <w:r>
            <w:rPr>
              <w:rFonts w:hint="eastAsia" w:ascii="仿宋_GB2312" w:hAnsi="MingLiU" w:eastAsia="仿宋_GB2312"/>
              <w:sz w:val="30"/>
              <w:szCs w:val="30"/>
            </w:rPr>
            <w:tab/>
          </w:r>
          <w:r>
            <w:rPr>
              <w:rFonts w:hint="eastAsia" w:ascii="仿宋_GB2312" w:hAnsi="MingLiU" w:eastAsia="仿宋_GB2312"/>
              <w:sz w:val="30"/>
              <w:szCs w:val="30"/>
            </w:rPr>
            <w:fldChar w:fldCharType="begin"/>
          </w:r>
          <w:r>
            <w:rPr>
              <w:rFonts w:hint="eastAsia" w:ascii="仿宋_GB2312" w:hAnsi="MingLiU" w:eastAsia="仿宋_GB2312"/>
              <w:sz w:val="30"/>
              <w:szCs w:val="30"/>
            </w:rPr>
            <w:instrText xml:space="preserve"> PAGEREF _Toc10982 </w:instrText>
          </w:r>
          <w:r>
            <w:rPr>
              <w:rFonts w:hint="eastAsia" w:ascii="仿宋_GB2312" w:hAnsi="MingLiU" w:eastAsia="仿宋_GB2312"/>
              <w:sz w:val="30"/>
              <w:szCs w:val="30"/>
            </w:rPr>
            <w:fldChar w:fldCharType="separate"/>
          </w:r>
          <w:r>
            <w:rPr>
              <w:rFonts w:hint="eastAsia" w:ascii="仿宋_GB2312" w:hAnsi="MingLiU" w:eastAsia="仿宋_GB2312"/>
              <w:sz w:val="30"/>
              <w:szCs w:val="30"/>
            </w:rPr>
            <w:t>11</w:t>
          </w:r>
          <w:r>
            <w:rPr>
              <w:rFonts w:hint="eastAsia" w:ascii="仿宋_GB2312" w:hAnsi="MingLiU" w:eastAsia="仿宋_GB2312"/>
              <w:sz w:val="30"/>
              <w:szCs w:val="30"/>
            </w:rPr>
            <w:fldChar w:fldCharType="end"/>
          </w:r>
          <w:r>
            <w:rPr>
              <w:rFonts w:hint="eastAsia" w:ascii="仿宋_GB2312" w:hAnsi="MingLiU" w:eastAsia="仿宋_GB2312"/>
              <w:sz w:val="30"/>
              <w:szCs w:val="30"/>
            </w:rPr>
            <w:fldChar w:fldCharType="end"/>
          </w:r>
        </w:p>
        <w:p w14:paraId="1D025739">
          <w:pPr>
            <w:pStyle w:val="13"/>
            <w:adjustRightInd w:val="0"/>
            <w:snapToGrid w:val="0"/>
            <w:spacing w:line="440" w:lineRule="exact"/>
            <w:jc w:val="left"/>
            <w:rPr>
              <w:rFonts w:ascii="仿宋_GB2312" w:hAnsi="MingLiU" w:eastAsia="仿宋_GB2312"/>
              <w:sz w:val="30"/>
              <w:szCs w:val="30"/>
            </w:rPr>
          </w:pPr>
          <w:r>
            <w:fldChar w:fldCharType="begin"/>
          </w:r>
          <w:r>
            <w:instrText xml:space="preserve"> HYPERLINK \l "_Toc22923" </w:instrText>
          </w:r>
          <w:r>
            <w:fldChar w:fldCharType="separate"/>
          </w:r>
          <w:r>
            <w:rPr>
              <w:rFonts w:ascii="仿宋_GB2312" w:hAnsi="MingLiU" w:eastAsia="仿宋_GB2312"/>
              <w:sz w:val="30"/>
              <w:szCs w:val="30"/>
            </w:rPr>
            <w:t xml:space="preserve">二、 </w:t>
          </w:r>
          <w:r>
            <w:rPr>
              <w:rFonts w:hint="eastAsia" w:ascii="仿宋_GB2312" w:hAnsi="MingLiU" w:eastAsia="仿宋_GB2312"/>
              <w:sz w:val="30"/>
              <w:szCs w:val="30"/>
            </w:rPr>
            <w:t>收入决算情况说明</w:t>
          </w:r>
          <w:r>
            <w:rPr>
              <w:rFonts w:hint="eastAsia" w:ascii="仿宋_GB2312" w:hAnsi="MingLiU" w:eastAsia="仿宋_GB2312"/>
              <w:sz w:val="30"/>
              <w:szCs w:val="30"/>
            </w:rPr>
            <w:tab/>
          </w:r>
          <w:r>
            <w:rPr>
              <w:rFonts w:hint="eastAsia" w:ascii="仿宋_GB2312" w:hAnsi="MingLiU" w:eastAsia="仿宋_GB2312"/>
              <w:sz w:val="30"/>
              <w:szCs w:val="30"/>
            </w:rPr>
            <w:fldChar w:fldCharType="begin"/>
          </w:r>
          <w:r>
            <w:rPr>
              <w:rFonts w:hint="eastAsia" w:ascii="仿宋_GB2312" w:hAnsi="MingLiU" w:eastAsia="仿宋_GB2312"/>
              <w:sz w:val="30"/>
              <w:szCs w:val="30"/>
            </w:rPr>
            <w:instrText xml:space="preserve"> PAGEREF _Toc22923 </w:instrText>
          </w:r>
          <w:r>
            <w:rPr>
              <w:rFonts w:hint="eastAsia" w:ascii="仿宋_GB2312" w:hAnsi="MingLiU" w:eastAsia="仿宋_GB2312"/>
              <w:sz w:val="30"/>
              <w:szCs w:val="30"/>
            </w:rPr>
            <w:fldChar w:fldCharType="separate"/>
          </w:r>
          <w:r>
            <w:rPr>
              <w:rFonts w:hint="eastAsia" w:ascii="仿宋_GB2312" w:hAnsi="MingLiU" w:eastAsia="仿宋_GB2312"/>
              <w:sz w:val="30"/>
              <w:szCs w:val="30"/>
            </w:rPr>
            <w:t>12</w:t>
          </w:r>
          <w:r>
            <w:rPr>
              <w:rFonts w:hint="eastAsia" w:ascii="仿宋_GB2312" w:hAnsi="MingLiU" w:eastAsia="仿宋_GB2312"/>
              <w:sz w:val="30"/>
              <w:szCs w:val="30"/>
            </w:rPr>
            <w:fldChar w:fldCharType="end"/>
          </w:r>
          <w:r>
            <w:rPr>
              <w:rFonts w:hint="eastAsia" w:ascii="仿宋_GB2312" w:hAnsi="MingLiU" w:eastAsia="仿宋_GB2312"/>
              <w:sz w:val="30"/>
              <w:szCs w:val="30"/>
            </w:rPr>
            <w:fldChar w:fldCharType="end"/>
          </w:r>
        </w:p>
        <w:p w14:paraId="311BD815">
          <w:pPr>
            <w:pStyle w:val="13"/>
            <w:adjustRightInd w:val="0"/>
            <w:snapToGrid w:val="0"/>
            <w:spacing w:line="440" w:lineRule="exact"/>
            <w:jc w:val="left"/>
            <w:rPr>
              <w:rFonts w:ascii="仿宋_GB2312" w:hAnsi="MingLiU" w:eastAsia="仿宋_GB2312"/>
              <w:sz w:val="30"/>
              <w:szCs w:val="30"/>
            </w:rPr>
          </w:pPr>
          <w:r>
            <w:fldChar w:fldCharType="begin"/>
          </w:r>
          <w:r>
            <w:instrText xml:space="preserve"> HYPERLINK \l "_Toc6356" </w:instrText>
          </w:r>
          <w:r>
            <w:fldChar w:fldCharType="separate"/>
          </w:r>
          <w:r>
            <w:rPr>
              <w:rFonts w:hint="eastAsia" w:ascii="仿宋_GB2312" w:hAnsi="MingLiU" w:eastAsia="仿宋_GB2312"/>
              <w:sz w:val="30"/>
              <w:szCs w:val="30"/>
            </w:rPr>
            <w:t>三、支出决算情况说明</w:t>
          </w:r>
          <w:r>
            <w:rPr>
              <w:rFonts w:hint="eastAsia" w:ascii="仿宋_GB2312" w:hAnsi="MingLiU" w:eastAsia="仿宋_GB2312"/>
              <w:sz w:val="30"/>
              <w:szCs w:val="30"/>
            </w:rPr>
            <w:tab/>
          </w:r>
          <w:r>
            <w:rPr>
              <w:rFonts w:hint="eastAsia" w:ascii="仿宋_GB2312" w:hAnsi="MingLiU" w:eastAsia="仿宋_GB2312"/>
              <w:sz w:val="30"/>
              <w:szCs w:val="30"/>
            </w:rPr>
            <w:fldChar w:fldCharType="begin"/>
          </w:r>
          <w:r>
            <w:rPr>
              <w:rFonts w:hint="eastAsia" w:ascii="仿宋_GB2312" w:hAnsi="MingLiU" w:eastAsia="仿宋_GB2312"/>
              <w:sz w:val="30"/>
              <w:szCs w:val="30"/>
            </w:rPr>
            <w:instrText xml:space="preserve"> PAGEREF _Toc6356 </w:instrText>
          </w:r>
          <w:r>
            <w:rPr>
              <w:rFonts w:hint="eastAsia" w:ascii="仿宋_GB2312" w:hAnsi="MingLiU" w:eastAsia="仿宋_GB2312"/>
              <w:sz w:val="30"/>
              <w:szCs w:val="30"/>
            </w:rPr>
            <w:fldChar w:fldCharType="separate"/>
          </w:r>
          <w:r>
            <w:rPr>
              <w:rFonts w:hint="eastAsia" w:ascii="仿宋_GB2312" w:hAnsi="MingLiU" w:eastAsia="仿宋_GB2312"/>
              <w:sz w:val="30"/>
              <w:szCs w:val="30"/>
            </w:rPr>
            <w:t>12</w:t>
          </w:r>
          <w:r>
            <w:rPr>
              <w:rFonts w:hint="eastAsia" w:ascii="仿宋_GB2312" w:hAnsi="MingLiU" w:eastAsia="仿宋_GB2312"/>
              <w:sz w:val="30"/>
              <w:szCs w:val="30"/>
            </w:rPr>
            <w:fldChar w:fldCharType="end"/>
          </w:r>
          <w:r>
            <w:rPr>
              <w:rFonts w:hint="eastAsia" w:ascii="仿宋_GB2312" w:hAnsi="MingLiU" w:eastAsia="仿宋_GB2312"/>
              <w:sz w:val="30"/>
              <w:szCs w:val="30"/>
            </w:rPr>
            <w:fldChar w:fldCharType="end"/>
          </w:r>
        </w:p>
        <w:p w14:paraId="106A5692">
          <w:pPr>
            <w:pStyle w:val="13"/>
            <w:adjustRightInd w:val="0"/>
            <w:snapToGrid w:val="0"/>
            <w:spacing w:line="440" w:lineRule="exact"/>
            <w:jc w:val="left"/>
            <w:rPr>
              <w:rFonts w:ascii="仿宋_GB2312" w:hAnsi="MingLiU" w:eastAsia="仿宋_GB2312"/>
              <w:sz w:val="30"/>
              <w:szCs w:val="30"/>
            </w:rPr>
          </w:pPr>
          <w:r>
            <w:fldChar w:fldCharType="begin"/>
          </w:r>
          <w:r>
            <w:instrText xml:space="preserve"> HYPERLINK \l "_Toc20359" </w:instrText>
          </w:r>
          <w:r>
            <w:fldChar w:fldCharType="separate"/>
          </w:r>
          <w:r>
            <w:rPr>
              <w:rFonts w:hint="eastAsia" w:ascii="仿宋_GB2312" w:hAnsi="MingLiU" w:eastAsia="仿宋_GB2312"/>
              <w:sz w:val="30"/>
              <w:szCs w:val="30"/>
            </w:rPr>
            <w:t>四、财政拨款收入支出决算总体情况说明</w:t>
          </w:r>
          <w:r>
            <w:rPr>
              <w:rFonts w:hint="eastAsia" w:ascii="仿宋_GB2312" w:hAnsi="MingLiU" w:eastAsia="仿宋_GB2312"/>
              <w:sz w:val="30"/>
              <w:szCs w:val="30"/>
            </w:rPr>
            <w:tab/>
          </w:r>
          <w:r>
            <w:rPr>
              <w:rFonts w:hint="eastAsia" w:ascii="仿宋_GB2312" w:hAnsi="MingLiU" w:eastAsia="仿宋_GB2312"/>
              <w:sz w:val="30"/>
              <w:szCs w:val="30"/>
            </w:rPr>
            <w:fldChar w:fldCharType="begin"/>
          </w:r>
          <w:r>
            <w:rPr>
              <w:rFonts w:hint="eastAsia" w:ascii="仿宋_GB2312" w:hAnsi="MingLiU" w:eastAsia="仿宋_GB2312"/>
              <w:sz w:val="30"/>
              <w:szCs w:val="30"/>
            </w:rPr>
            <w:instrText xml:space="preserve"> PAGEREF _Toc20359 </w:instrText>
          </w:r>
          <w:r>
            <w:rPr>
              <w:rFonts w:hint="eastAsia" w:ascii="仿宋_GB2312" w:hAnsi="MingLiU" w:eastAsia="仿宋_GB2312"/>
              <w:sz w:val="30"/>
              <w:szCs w:val="30"/>
            </w:rPr>
            <w:fldChar w:fldCharType="separate"/>
          </w:r>
          <w:r>
            <w:rPr>
              <w:rFonts w:hint="eastAsia" w:ascii="仿宋_GB2312" w:hAnsi="MingLiU" w:eastAsia="仿宋_GB2312"/>
              <w:sz w:val="30"/>
              <w:szCs w:val="30"/>
            </w:rPr>
            <w:t>13</w:t>
          </w:r>
          <w:r>
            <w:rPr>
              <w:rFonts w:hint="eastAsia" w:ascii="仿宋_GB2312" w:hAnsi="MingLiU" w:eastAsia="仿宋_GB2312"/>
              <w:sz w:val="30"/>
              <w:szCs w:val="30"/>
            </w:rPr>
            <w:fldChar w:fldCharType="end"/>
          </w:r>
          <w:r>
            <w:rPr>
              <w:rFonts w:hint="eastAsia" w:ascii="仿宋_GB2312" w:hAnsi="MingLiU" w:eastAsia="仿宋_GB2312"/>
              <w:sz w:val="30"/>
              <w:szCs w:val="30"/>
            </w:rPr>
            <w:fldChar w:fldCharType="end"/>
          </w:r>
        </w:p>
        <w:p w14:paraId="2290A3DD">
          <w:pPr>
            <w:pStyle w:val="13"/>
            <w:adjustRightInd w:val="0"/>
            <w:snapToGrid w:val="0"/>
            <w:spacing w:line="440" w:lineRule="exact"/>
            <w:jc w:val="left"/>
            <w:rPr>
              <w:rFonts w:ascii="仿宋_GB2312" w:hAnsi="MingLiU" w:eastAsia="仿宋_GB2312"/>
              <w:sz w:val="30"/>
              <w:szCs w:val="30"/>
            </w:rPr>
          </w:pPr>
          <w:r>
            <w:fldChar w:fldCharType="begin"/>
          </w:r>
          <w:r>
            <w:instrText xml:space="preserve"> HYPERLINK \l "_Toc5454" </w:instrText>
          </w:r>
          <w:r>
            <w:fldChar w:fldCharType="separate"/>
          </w:r>
          <w:r>
            <w:rPr>
              <w:rFonts w:hint="eastAsia" w:ascii="仿宋_GB2312" w:hAnsi="MingLiU" w:eastAsia="仿宋_GB2312"/>
              <w:sz w:val="30"/>
              <w:szCs w:val="30"/>
            </w:rPr>
            <w:t>五、一般公共预算财政拨款支出决算情况说明</w:t>
          </w:r>
          <w:r>
            <w:rPr>
              <w:rFonts w:hint="eastAsia" w:ascii="仿宋_GB2312" w:hAnsi="MingLiU" w:eastAsia="仿宋_GB2312"/>
              <w:sz w:val="30"/>
              <w:szCs w:val="30"/>
            </w:rPr>
            <w:tab/>
          </w:r>
          <w:r>
            <w:rPr>
              <w:rFonts w:hint="eastAsia" w:ascii="仿宋_GB2312" w:hAnsi="MingLiU" w:eastAsia="仿宋_GB2312"/>
              <w:sz w:val="30"/>
              <w:szCs w:val="30"/>
            </w:rPr>
            <w:fldChar w:fldCharType="begin"/>
          </w:r>
          <w:r>
            <w:rPr>
              <w:rFonts w:hint="eastAsia" w:ascii="仿宋_GB2312" w:hAnsi="MingLiU" w:eastAsia="仿宋_GB2312"/>
              <w:sz w:val="30"/>
              <w:szCs w:val="30"/>
            </w:rPr>
            <w:instrText xml:space="preserve"> PAGEREF _Toc5454 </w:instrText>
          </w:r>
          <w:r>
            <w:rPr>
              <w:rFonts w:hint="eastAsia" w:ascii="仿宋_GB2312" w:hAnsi="MingLiU" w:eastAsia="仿宋_GB2312"/>
              <w:sz w:val="30"/>
              <w:szCs w:val="30"/>
            </w:rPr>
            <w:fldChar w:fldCharType="separate"/>
          </w:r>
          <w:r>
            <w:rPr>
              <w:rFonts w:hint="eastAsia" w:ascii="仿宋_GB2312" w:hAnsi="MingLiU" w:eastAsia="仿宋_GB2312"/>
              <w:sz w:val="30"/>
              <w:szCs w:val="30"/>
            </w:rPr>
            <w:t>13</w:t>
          </w:r>
          <w:r>
            <w:rPr>
              <w:rFonts w:hint="eastAsia" w:ascii="仿宋_GB2312" w:hAnsi="MingLiU" w:eastAsia="仿宋_GB2312"/>
              <w:sz w:val="30"/>
              <w:szCs w:val="30"/>
            </w:rPr>
            <w:fldChar w:fldCharType="end"/>
          </w:r>
          <w:r>
            <w:rPr>
              <w:rFonts w:hint="eastAsia" w:ascii="仿宋_GB2312" w:hAnsi="MingLiU" w:eastAsia="仿宋_GB2312"/>
              <w:sz w:val="30"/>
              <w:szCs w:val="30"/>
            </w:rPr>
            <w:fldChar w:fldCharType="end"/>
          </w:r>
        </w:p>
        <w:p w14:paraId="52287990">
          <w:pPr>
            <w:pStyle w:val="13"/>
            <w:adjustRightInd w:val="0"/>
            <w:snapToGrid w:val="0"/>
            <w:spacing w:line="440" w:lineRule="exact"/>
            <w:jc w:val="left"/>
            <w:rPr>
              <w:rFonts w:ascii="仿宋_GB2312" w:hAnsi="MingLiU" w:eastAsia="仿宋_GB2312"/>
              <w:sz w:val="30"/>
              <w:szCs w:val="30"/>
            </w:rPr>
          </w:pPr>
          <w:r>
            <w:fldChar w:fldCharType="begin"/>
          </w:r>
          <w:r>
            <w:instrText xml:space="preserve"> HYPERLINK \l "_Toc7284" </w:instrText>
          </w:r>
          <w:r>
            <w:fldChar w:fldCharType="separate"/>
          </w:r>
          <w:r>
            <w:rPr>
              <w:rFonts w:hint="eastAsia" w:ascii="仿宋_GB2312" w:hAnsi="MingLiU" w:eastAsia="仿宋_GB2312"/>
              <w:sz w:val="30"/>
              <w:szCs w:val="30"/>
            </w:rPr>
            <w:t>六、一般公共预算财政拨款基本支出决算情况说明</w:t>
          </w:r>
          <w:r>
            <w:rPr>
              <w:rFonts w:hint="eastAsia" w:ascii="仿宋_GB2312" w:hAnsi="MingLiU" w:eastAsia="仿宋_GB2312"/>
              <w:sz w:val="30"/>
              <w:szCs w:val="30"/>
            </w:rPr>
            <w:tab/>
          </w:r>
          <w:r>
            <w:rPr>
              <w:rFonts w:hint="eastAsia" w:ascii="仿宋_GB2312" w:hAnsi="MingLiU" w:eastAsia="仿宋_GB2312"/>
              <w:sz w:val="30"/>
              <w:szCs w:val="30"/>
            </w:rPr>
            <w:fldChar w:fldCharType="begin"/>
          </w:r>
          <w:r>
            <w:rPr>
              <w:rFonts w:hint="eastAsia" w:ascii="仿宋_GB2312" w:hAnsi="MingLiU" w:eastAsia="仿宋_GB2312"/>
              <w:sz w:val="30"/>
              <w:szCs w:val="30"/>
            </w:rPr>
            <w:instrText xml:space="preserve"> PAGEREF _Toc7284 </w:instrText>
          </w:r>
          <w:r>
            <w:rPr>
              <w:rFonts w:hint="eastAsia" w:ascii="仿宋_GB2312" w:hAnsi="MingLiU" w:eastAsia="仿宋_GB2312"/>
              <w:sz w:val="30"/>
              <w:szCs w:val="30"/>
            </w:rPr>
            <w:fldChar w:fldCharType="separate"/>
          </w:r>
          <w:r>
            <w:rPr>
              <w:rFonts w:hint="eastAsia" w:ascii="仿宋_GB2312" w:hAnsi="MingLiU" w:eastAsia="仿宋_GB2312"/>
              <w:sz w:val="30"/>
              <w:szCs w:val="30"/>
            </w:rPr>
            <w:t>19</w:t>
          </w:r>
          <w:r>
            <w:rPr>
              <w:rFonts w:hint="eastAsia" w:ascii="仿宋_GB2312" w:hAnsi="MingLiU" w:eastAsia="仿宋_GB2312"/>
              <w:sz w:val="30"/>
              <w:szCs w:val="30"/>
            </w:rPr>
            <w:fldChar w:fldCharType="end"/>
          </w:r>
          <w:r>
            <w:rPr>
              <w:rFonts w:hint="eastAsia" w:ascii="仿宋_GB2312" w:hAnsi="MingLiU" w:eastAsia="仿宋_GB2312"/>
              <w:sz w:val="30"/>
              <w:szCs w:val="30"/>
            </w:rPr>
            <w:fldChar w:fldCharType="end"/>
          </w:r>
        </w:p>
        <w:p w14:paraId="6D1A215E">
          <w:pPr>
            <w:pStyle w:val="13"/>
            <w:adjustRightInd w:val="0"/>
            <w:snapToGrid w:val="0"/>
            <w:spacing w:line="440" w:lineRule="exact"/>
            <w:jc w:val="left"/>
            <w:rPr>
              <w:rFonts w:ascii="仿宋_GB2312" w:hAnsi="MingLiU" w:eastAsia="仿宋_GB2312"/>
              <w:sz w:val="30"/>
              <w:szCs w:val="30"/>
            </w:rPr>
          </w:pPr>
          <w:r>
            <w:fldChar w:fldCharType="begin"/>
          </w:r>
          <w:r>
            <w:instrText xml:space="preserve"> HYPERLINK \l "_Toc17344" </w:instrText>
          </w:r>
          <w:r>
            <w:fldChar w:fldCharType="separate"/>
          </w:r>
          <w:r>
            <w:rPr>
              <w:rFonts w:hint="eastAsia" w:ascii="仿宋_GB2312" w:hAnsi="MingLiU" w:eastAsia="仿宋_GB2312"/>
              <w:sz w:val="30"/>
              <w:szCs w:val="30"/>
            </w:rPr>
            <w:t>七、“三公”经费财政拨款支出决算情况说明</w:t>
          </w:r>
          <w:r>
            <w:rPr>
              <w:rFonts w:hint="eastAsia" w:ascii="仿宋_GB2312" w:hAnsi="MingLiU" w:eastAsia="仿宋_GB2312"/>
              <w:sz w:val="30"/>
              <w:szCs w:val="30"/>
            </w:rPr>
            <w:tab/>
          </w:r>
          <w:r>
            <w:rPr>
              <w:rFonts w:hint="eastAsia" w:ascii="仿宋_GB2312" w:hAnsi="MingLiU" w:eastAsia="仿宋_GB2312"/>
              <w:sz w:val="30"/>
              <w:szCs w:val="30"/>
            </w:rPr>
            <w:fldChar w:fldCharType="begin"/>
          </w:r>
          <w:r>
            <w:rPr>
              <w:rFonts w:hint="eastAsia" w:ascii="仿宋_GB2312" w:hAnsi="MingLiU" w:eastAsia="仿宋_GB2312"/>
              <w:sz w:val="30"/>
              <w:szCs w:val="30"/>
            </w:rPr>
            <w:instrText xml:space="preserve"> PAGEREF _Toc17344 </w:instrText>
          </w:r>
          <w:r>
            <w:rPr>
              <w:rFonts w:hint="eastAsia" w:ascii="仿宋_GB2312" w:hAnsi="MingLiU" w:eastAsia="仿宋_GB2312"/>
              <w:sz w:val="30"/>
              <w:szCs w:val="30"/>
            </w:rPr>
            <w:fldChar w:fldCharType="separate"/>
          </w:r>
          <w:r>
            <w:rPr>
              <w:rFonts w:hint="eastAsia" w:ascii="仿宋_GB2312" w:hAnsi="MingLiU" w:eastAsia="仿宋_GB2312"/>
              <w:sz w:val="30"/>
              <w:szCs w:val="30"/>
            </w:rPr>
            <w:t>20</w:t>
          </w:r>
          <w:r>
            <w:rPr>
              <w:rFonts w:hint="eastAsia" w:ascii="仿宋_GB2312" w:hAnsi="MingLiU" w:eastAsia="仿宋_GB2312"/>
              <w:sz w:val="30"/>
              <w:szCs w:val="30"/>
            </w:rPr>
            <w:fldChar w:fldCharType="end"/>
          </w:r>
          <w:r>
            <w:rPr>
              <w:rFonts w:hint="eastAsia" w:ascii="仿宋_GB2312" w:hAnsi="MingLiU" w:eastAsia="仿宋_GB2312"/>
              <w:sz w:val="30"/>
              <w:szCs w:val="30"/>
            </w:rPr>
            <w:fldChar w:fldCharType="end"/>
          </w:r>
        </w:p>
        <w:p w14:paraId="4AB75C20">
          <w:pPr>
            <w:pStyle w:val="13"/>
            <w:adjustRightInd w:val="0"/>
            <w:snapToGrid w:val="0"/>
            <w:spacing w:line="440" w:lineRule="exact"/>
            <w:jc w:val="left"/>
            <w:rPr>
              <w:rFonts w:ascii="仿宋_GB2312" w:hAnsi="MingLiU" w:eastAsia="仿宋_GB2312"/>
              <w:sz w:val="30"/>
              <w:szCs w:val="30"/>
            </w:rPr>
          </w:pPr>
          <w:r>
            <w:fldChar w:fldCharType="begin"/>
          </w:r>
          <w:r>
            <w:instrText xml:space="preserve"> HYPERLINK \l "_Toc4887" </w:instrText>
          </w:r>
          <w:r>
            <w:fldChar w:fldCharType="separate"/>
          </w:r>
          <w:r>
            <w:rPr>
              <w:rFonts w:hint="eastAsia" w:ascii="仿宋_GB2312" w:hAnsi="MingLiU" w:eastAsia="仿宋_GB2312"/>
              <w:sz w:val="30"/>
              <w:szCs w:val="30"/>
            </w:rPr>
            <w:t>八、政府性基金预算支出决算情况说明</w:t>
          </w:r>
          <w:r>
            <w:rPr>
              <w:rFonts w:hint="eastAsia" w:ascii="仿宋_GB2312" w:hAnsi="MingLiU" w:eastAsia="仿宋_GB2312"/>
              <w:sz w:val="30"/>
              <w:szCs w:val="30"/>
            </w:rPr>
            <w:tab/>
          </w:r>
          <w:r>
            <w:rPr>
              <w:rFonts w:hint="eastAsia" w:ascii="仿宋_GB2312" w:hAnsi="MingLiU" w:eastAsia="仿宋_GB2312"/>
              <w:sz w:val="30"/>
              <w:szCs w:val="30"/>
            </w:rPr>
            <w:fldChar w:fldCharType="begin"/>
          </w:r>
          <w:r>
            <w:rPr>
              <w:rFonts w:hint="eastAsia" w:ascii="仿宋_GB2312" w:hAnsi="MingLiU" w:eastAsia="仿宋_GB2312"/>
              <w:sz w:val="30"/>
              <w:szCs w:val="30"/>
            </w:rPr>
            <w:instrText xml:space="preserve"> PAGEREF _Toc4887 </w:instrText>
          </w:r>
          <w:r>
            <w:rPr>
              <w:rFonts w:hint="eastAsia" w:ascii="仿宋_GB2312" w:hAnsi="MingLiU" w:eastAsia="仿宋_GB2312"/>
              <w:sz w:val="30"/>
              <w:szCs w:val="30"/>
            </w:rPr>
            <w:fldChar w:fldCharType="separate"/>
          </w:r>
          <w:r>
            <w:rPr>
              <w:rFonts w:hint="eastAsia" w:ascii="仿宋_GB2312" w:hAnsi="MingLiU" w:eastAsia="仿宋_GB2312"/>
              <w:sz w:val="30"/>
              <w:szCs w:val="30"/>
            </w:rPr>
            <w:t>22</w:t>
          </w:r>
          <w:r>
            <w:rPr>
              <w:rFonts w:hint="eastAsia" w:ascii="仿宋_GB2312" w:hAnsi="MingLiU" w:eastAsia="仿宋_GB2312"/>
              <w:sz w:val="30"/>
              <w:szCs w:val="30"/>
            </w:rPr>
            <w:fldChar w:fldCharType="end"/>
          </w:r>
          <w:r>
            <w:rPr>
              <w:rFonts w:hint="eastAsia" w:ascii="仿宋_GB2312" w:hAnsi="MingLiU" w:eastAsia="仿宋_GB2312"/>
              <w:sz w:val="30"/>
              <w:szCs w:val="30"/>
            </w:rPr>
            <w:fldChar w:fldCharType="end"/>
          </w:r>
        </w:p>
        <w:p w14:paraId="2A265A64">
          <w:pPr>
            <w:pStyle w:val="13"/>
            <w:adjustRightInd w:val="0"/>
            <w:snapToGrid w:val="0"/>
            <w:spacing w:line="440" w:lineRule="exact"/>
            <w:jc w:val="left"/>
            <w:rPr>
              <w:rFonts w:ascii="仿宋_GB2312" w:hAnsi="MingLiU" w:eastAsia="仿宋_GB2312"/>
              <w:sz w:val="30"/>
              <w:szCs w:val="30"/>
            </w:rPr>
          </w:pPr>
          <w:r>
            <w:fldChar w:fldCharType="begin"/>
          </w:r>
          <w:r>
            <w:instrText xml:space="preserve"> HYPERLINK \l "_Toc19453" </w:instrText>
          </w:r>
          <w:r>
            <w:fldChar w:fldCharType="separate"/>
          </w:r>
          <w:r>
            <w:rPr>
              <w:rFonts w:hint="eastAsia" w:ascii="仿宋_GB2312" w:hAnsi="MingLiU" w:eastAsia="仿宋_GB2312"/>
              <w:sz w:val="30"/>
              <w:szCs w:val="30"/>
            </w:rPr>
            <w:t>九、 国有资本经营预算支出决算情况说明</w:t>
          </w:r>
          <w:r>
            <w:rPr>
              <w:rFonts w:hint="eastAsia" w:ascii="仿宋_GB2312" w:hAnsi="MingLiU" w:eastAsia="仿宋_GB2312"/>
              <w:sz w:val="30"/>
              <w:szCs w:val="30"/>
            </w:rPr>
            <w:tab/>
          </w:r>
          <w:r>
            <w:rPr>
              <w:rFonts w:hint="eastAsia" w:ascii="仿宋_GB2312" w:hAnsi="MingLiU" w:eastAsia="仿宋_GB2312"/>
              <w:sz w:val="30"/>
              <w:szCs w:val="30"/>
            </w:rPr>
            <w:fldChar w:fldCharType="begin"/>
          </w:r>
          <w:r>
            <w:rPr>
              <w:rFonts w:hint="eastAsia" w:ascii="仿宋_GB2312" w:hAnsi="MingLiU" w:eastAsia="仿宋_GB2312"/>
              <w:sz w:val="30"/>
              <w:szCs w:val="30"/>
            </w:rPr>
            <w:instrText xml:space="preserve"> PAGEREF _Toc19453 </w:instrText>
          </w:r>
          <w:r>
            <w:rPr>
              <w:rFonts w:hint="eastAsia" w:ascii="仿宋_GB2312" w:hAnsi="MingLiU" w:eastAsia="仿宋_GB2312"/>
              <w:sz w:val="30"/>
              <w:szCs w:val="30"/>
            </w:rPr>
            <w:fldChar w:fldCharType="separate"/>
          </w:r>
          <w:r>
            <w:rPr>
              <w:rFonts w:hint="eastAsia" w:ascii="仿宋_GB2312" w:hAnsi="MingLiU" w:eastAsia="仿宋_GB2312"/>
              <w:sz w:val="30"/>
              <w:szCs w:val="30"/>
            </w:rPr>
            <w:t>22</w:t>
          </w:r>
          <w:r>
            <w:rPr>
              <w:rFonts w:hint="eastAsia" w:ascii="仿宋_GB2312" w:hAnsi="MingLiU" w:eastAsia="仿宋_GB2312"/>
              <w:sz w:val="30"/>
              <w:szCs w:val="30"/>
            </w:rPr>
            <w:fldChar w:fldCharType="end"/>
          </w:r>
          <w:r>
            <w:rPr>
              <w:rFonts w:hint="eastAsia" w:ascii="仿宋_GB2312" w:hAnsi="MingLiU" w:eastAsia="仿宋_GB2312"/>
              <w:sz w:val="30"/>
              <w:szCs w:val="30"/>
            </w:rPr>
            <w:fldChar w:fldCharType="end"/>
          </w:r>
        </w:p>
        <w:p w14:paraId="0ED6D05C">
          <w:pPr>
            <w:pStyle w:val="13"/>
            <w:adjustRightInd w:val="0"/>
            <w:snapToGrid w:val="0"/>
            <w:spacing w:line="440" w:lineRule="exact"/>
            <w:jc w:val="left"/>
            <w:rPr>
              <w:rFonts w:ascii="仿宋_GB2312" w:hAnsi="MingLiU" w:eastAsia="仿宋_GB2312"/>
              <w:sz w:val="30"/>
              <w:szCs w:val="30"/>
            </w:rPr>
          </w:pPr>
          <w:r>
            <w:fldChar w:fldCharType="begin"/>
          </w:r>
          <w:r>
            <w:instrText xml:space="preserve"> HYPERLINK \l "_Toc11704" </w:instrText>
          </w:r>
          <w:r>
            <w:fldChar w:fldCharType="separate"/>
          </w:r>
          <w:r>
            <w:rPr>
              <w:rFonts w:hint="eastAsia" w:ascii="仿宋_GB2312" w:hAnsi="MingLiU" w:eastAsia="仿宋_GB2312"/>
              <w:sz w:val="30"/>
              <w:szCs w:val="30"/>
            </w:rPr>
            <w:t>十、 预算绩效管理情况</w:t>
          </w:r>
          <w:r>
            <w:rPr>
              <w:rFonts w:hint="eastAsia" w:ascii="仿宋_GB2312" w:hAnsi="MingLiU" w:eastAsia="仿宋_GB2312"/>
              <w:sz w:val="30"/>
              <w:szCs w:val="30"/>
            </w:rPr>
            <w:tab/>
          </w:r>
          <w:r>
            <w:rPr>
              <w:rFonts w:hint="eastAsia" w:ascii="仿宋_GB2312" w:hAnsi="MingLiU" w:eastAsia="仿宋_GB2312"/>
              <w:sz w:val="30"/>
              <w:szCs w:val="30"/>
            </w:rPr>
            <w:fldChar w:fldCharType="begin"/>
          </w:r>
          <w:r>
            <w:rPr>
              <w:rFonts w:hint="eastAsia" w:ascii="仿宋_GB2312" w:hAnsi="MingLiU" w:eastAsia="仿宋_GB2312"/>
              <w:sz w:val="30"/>
              <w:szCs w:val="30"/>
            </w:rPr>
            <w:instrText xml:space="preserve"> PAGEREF _Toc11704 </w:instrText>
          </w:r>
          <w:r>
            <w:rPr>
              <w:rFonts w:hint="eastAsia" w:ascii="仿宋_GB2312" w:hAnsi="MingLiU" w:eastAsia="仿宋_GB2312"/>
              <w:sz w:val="30"/>
              <w:szCs w:val="30"/>
            </w:rPr>
            <w:fldChar w:fldCharType="separate"/>
          </w:r>
          <w:r>
            <w:rPr>
              <w:rFonts w:hint="eastAsia" w:ascii="仿宋_GB2312" w:hAnsi="MingLiU" w:eastAsia="仿宋_GB2312"/>
              <w:sz w:val="30"/>
              <w:szCs w:val="30"/>
            </w:rPr>
            <w:t>22</w:t>
          </w:r>
          <w:r>
            <w:rPr>
              <w:rFonts w:hint="eastAsia" w:ascii="仿宋_GB2312" w:hAnsi="MingLiU" w:eastAsia="仿宋_GB2312"/>
              <w:sz w:val="30"/>
              <w:szCs w:val="30"/>
            </w:rPr>
            <w:fldChar w:fldCharType="end"/>
          </w:r>
          <w:r>
            <w:rPr>
              <w:rFonts w:hint="eastAsia" w:ascii="仿宋_GB2312" w:hAnsi="MingLiU" w:eastAsia="仿宋_GB2312"/>
              <w:sz w:val="30"/>
              <w:szCs w:val="30"/>
            </w:rPr>
            <w:fldChar w:fldCharType="end"/>
          </w:r>
        </w:p>
        <w:p w14:paraId="1E28824C">
          <w:pPr>
            <w:pStyle w:val="13"/>
            <w:adjustRightInd w:val="0"/>
            <w:snapToGrid w:val="0"/>
            <w:spacing w:line="440" w:lineRule="exact"/>
            <w:jc w:val="left"/>
            <w:rPr>
              <w:rFonts w:ascii="仿宋_GB2312" w:hAnsi="MingLiU" w:eastAsia="仿宋_GB2312"/>
              <w:sz w:val="30"/>
              <w:szCs w:val="30"/>
            </w:rPr>
          </w:pPr>
          <w:r>
            <w:fldChar w:fldCharType="begin"/>
          </w:r>
          <w:r>
            <w:instrText xml:space="preserve"> HYPERLINK \l "_Toc943" </w:instrText>
          </w:r>
          <w:r>
            <w:fldChar w:fldCharType="separate"/>
          </w:r>
          <w:r>
            <w:rPr>
              <w:rFonts w:hint="eastAsia" w:ascii="仿宋_GB2312" w:hAnsi="MingLiU" w:eastAsia="仿宋_GB2312"/>
              <w:sz w:val="30"/>
              <w:szCs w:val="30"/>
            </w:rPr>
            <w:t>十一、其他重要事项的情况说明</w:t>
          </w:r>
          <w:r>
            <w:rPr>
              <w:rFonts w:hint="eastAsia" w:ascii="仿宋_GB2312" w:hAnsi="MingLiU" w:eastAsia="仿宋_GB2312"/>
              <w:sz w:val="30"/>
              <w:szCs w:val="30"/>
            </w:rPr>
            <w:tab/>
          </w:r>
          <w:r>
            <w:rPr>
              <w:rFonts w:hint="eastAsia" w:ascii="仿宋_GB2312" w:hAnsi="MingLiU" w:eastAsia="仿宋_GB2312"/>
              <w:sz w:val="30"/>
              <w:szCs w:val="30"/>
            </w:rPr>
            <w:fldChar w:fldCharType="begin"/>
          </w:r>
          <w:r>
            <w:rPr>
              <w:rFonts w:hint="eastAsia" w:ascii="仿宋_GB2312" w:hAnsi="MingLiU" w:eastAsia="仿宋_GB2312"/>
              <w:sz w:val="30"/>
              <w:szCs w:val="30"/>
            </w:rPr>
            <w:instrText xml:space="preserve"> PAGEREF _Toc943 </w:instrText>
          </w:r>
          <w:r>
            <w:rPr>
              <w:rFonts w:hint="eastAsia" w:ascii="仿宋_GB2312" w:hAnsi="MingLiU" w:eastAsia="仿宋_GB2312"/>
              <w:sz w:val="30"/>
              <w:szCs w:val="30"/>
            </w:rPr>
            <w:fldChar w:fldCharType="separate"/>
          </w:r>
          <w:r>
            <w:rPr>
              <w:rFonts w:hint="eastAsia" w:ascii="仿宋_GB2312" w:hAnsi="MingLiU" w:eastAsia="仿宋_GB2312"/>
              <w:sz w:val="30"/>
              <w:szCs w:val="30"/>
            </w:rPr>
            <w:t>23</w:t>
          </w:r>
          <w:r>
            <w:rPr>
              <w:rFonts w:hint="eastAsia" w:ascii="仿宋_GB2312" w:hAnsi="MingLiU" w:eastAsia="仿宋_GB2312"/>
              <w:sz w:val="30"/>
              <w:szCs w:val="30"/>
            </w:rPr>
            <w:fldChar w:fldCharType="end"/>
          </w:r>
          <w:r>
            <w:rPr>
              <w:rFonts w:hint="eastAsia" w:ascii="仿宋_GB2312" w:hAnsi="MingLiU" w:eastAsia="仿宋_GB2312"/>
              <w:sz w:val="30"/>
              <w:szCs w:val="30"/>
            </w:rPr>
            <w:fldChar w:fldCharType="end"/>
          </w:r>
        </w:p>
        <w:p w14:paraId="0A10FC9C">
          <w:pPr>
            <w:pStyle w:val="12"/>
            <w:adjustRightInd w:val="0"/>
            <w:snapToGrid w:val="0"/>
            <w:spacing w:before="0" w:line="440" w:lineRule="exact"/>
            <w:jc w:val="left"/>
            <w:rPr>
              <w:rFonts w:ascii="仿宋_GB2312" w:hAnsi="MingLiU" w:eastAsia="仿宋_GB2312"/>
              <w:b/>
              <w:bCs/>
              <w:sz w:val="30"/>
              <w:szCs w:val="30"/>
            </w:rPr>
          </w:pPr>
          <w:r>
            <w:fldChar w:fldCharType="begin"/>
          </w:r>
          <w:r>
            <w:instrText xml:space="preserve"> HYPERLINK \l "_Toc28418" </w:instrText>
          </w:r>
          <w:r>
            <w:fldChar w:fldCharType="separate"/>
          </w:r>
          <w:r>
            <w:rPr>
              <w:rFonts w:hint="eastAsia" w:ascii="仿宋_GB2312" w:hAnsi="MingLiU" w:eastAsia="仿宋_GB2312"/>
              <w:b/>
              <w:bCs/>
              <w:sz w:val="30"/>
              <w:szCs w:val="30"/>
            </w:rPr>
            <w:t>第三部分 名词解释</w:t>
          </w:r>
          <w:r>
            <w:rPr>
              <w:rFonts w:hint="eastAsia" w:ascii="仿宋_GB2312" w:hAnsi="MingLiU" w:eastAsia="仿宋_GB2312"/>
              <w:b/>
              <w:bCs/>
              <w:sz w:val="30"/>
              <w:szCs w:val="30"/>
            </w:rPr>
            <w:tab/>
          </w:r>
          <w:r>
            <w:rPr>
              <w:rFonts w:hint="eastAsia" w:ascii="仿宋_GB2312" w:hAnsi="MingLiU" w:eastAsia="仿宋_GB2312"/>
              <w:b/>
              <w:bCs/>
              <w:sz w:val="30"/>
              <w:szCs w:val="30"/>
            </w:rPr>
            <w:fldChar w:fldCharType="begin"/>
          </w:r>
          <w:r>
            <w:rPr>
              <w:rFonts w:hint="eastAsia" w:ascii="仿宋_GB2312" w:hAnsi="MingLiU" w:eastAsia="仿宋_GB2312"/>
              <w:b/>
              <w:bCs/>
              <w:sz w:val="30"/>
              <w:szCs w:val="30"/>
            </w:rPr>
            <w:instrText xml:space="preserve"> PAGEREF _Toc28418 </w:instrText>
          </w:r>
          <w:r>
            <w:rPr>
              <w:rFonts w:hint="eastAsia" w:ascii="仿宋_GB2312" w:hAnsi="MingLiU" w:eastAsia="仿宋_GB2312"/>
              <w:b/>
              <w:bCs/>
              <w:sz w:val="30"/>
              <w:szCs w:val="30"/>
            </w:rPr>
            <w:fldChar w:fldCharType="separate"/>
          </w:r>
          <w:r>
            <w:rPr>
              <w:rFonts w:hint="eastAsia" w:ascii="仿宋_GB2312" w:hAnsi="MingLiU" w:eastAsia="仿宋_GB2312"/>
              <w:b/>
              <w:bCs/>
              <w:sz w:val="30"/>
              <w:szCs w:val="30"/>
            </w:rPr>
            <w:t>25</w:t>
          </w:r>
          <w:r>
            <w:rPr>
              <w:rFonts w:hint="eastAsia" w:ascii="仿宋_GB2312" w:hAnsi="MingLiU" w:eastAsia="仿宋_GB2312"/>
              <w:b/>
              <w:bCs/>
              <w:sz w:val="30"/>
              <w:szCs w:val="30"/>
            </w:rPr>
            <w:fldChar w:fldCharType="end"/>
          </w:r>
          <w:r>
            <w:rPr>
              <w:rFonts w:hint="eastAsia" w:ascii="仿宋_GB2312" w:hAnsi="MingLiU" w:eastAsia="仿宋_GB2312"/>
              <w:b/>
              <w:bCs/>
              <w:sz w:val="30"/>
              <w:szCs w:val="30"/>
            </w:rPr>
            <w:fldChar w:fldCharType="end"/>
          </w:r>
        </w:p>
        <w:p w14:paraId="211C38C4">
          <w:pPr>
            <w:pStyle w:val="12"/>
            <w:adjustRightInd w:val="0"/>
            <w:snapToGrid w:val="0"/>
            <w:spacing w:before="0" w:line="440" w:lineRule="exact"/>
            <w:jc w:val="left"/>
            <w:rPr>
              <w:rFonts w:ascii="仿宋_GB2312" w:hAnsi="MingLiU" w:eastAsia="仿宋_GB2312"/>
              <w:b/>
              <w:bCs/>
              <w:sz w:val="30"/>
              <w:szCs w:val="30"/>
            </w:rPr>
          </w:pPr>
          <w:r>
            <w:fldChar w:fldCharType="begin"/>
          </w:r>
          <w:r>
            <w:instrText xml:space="preserve"> HYPERLINK \l "_Toc2385" </w:instrText>
          </w:r>
          <w:r>
            <w:fldChar w:fldCharType="separate"/>
          </w:r>
          <w:r>
            <w:rPr>
              <w:rFonts w:hint="eastAsia" w:ascii="仿宋_GB2312" w:hAnsi="MingLiU" w:eastAsia="仿宋_GB2312"/>
              <w:b/>
              <w:bCs/>
              <w:sz w:val="30"/>
              <w:szCs w:val="30"/>
            </w:rPr>
            <w:t>第四部分 附件</w:t>
          </w:r>
          <w:r>
            <w:rPr>
              <w:rFonts w:hint="eastAsia" w:ascii="仿宋_GB2312" w:hAnsi="MingLiU" w:eastAsia="仿宋_GB2312"/>
              <w:b/>
              <w:bCs/>
              <w:sz w:val="30"/>
              <w:szCs w:val="30"/>
            </w:rPr>
            <w:tab/>
          </w:r>
          <w:r>
            <w:rPr>
              <w:rFonts w:hint="eastAsia" w:ascii="仿宋_GB2312" w:hAnsi="MingLiU" w:eastAsia="仿宋_GB2312"/>
              <w:b/>
              <w:bCs/>
              <w:sz w:val="30"/>
              <w:szCs w:val="30"/>
            </w:rPr>
            <w:fldChar w:fldCharType="begin"/>
          </w:r>
          <w:r>
            <w:rPr>
              <w:rFonts w:hint="eastAsia" w:ascii="仿宋_GB2312" w:hAnsi="MingLiU" w:eastAsia="仿宋_GB2312"/>
              <w:b/>
              <w:bCs/>
              <w:sz w:val="30"/>
              <w:szCs w:val="30"/>
            </w:rPr>
            <w:instrText xml:space="preserve"> PAGEREF _Toc2385 </w:instrText>
          </w:r>
          <w:r>
            <w:rPr>
              <w:rFonts w:hint="eastAsia" w:ascii="仿宋_GB2312" w:hAnsi="MingLiU" w:eastAsia="仿宋_GB2312"/>
              <w:b/>
              <w:bCs/>
              <w:sz w:val="30"/>
              <w:szCs w:val="30"/>
            </w:rPr>
            <w:fldChar w:fldCharType="separate"/>
          </w:r>
          <w:r>
            <w:rPr>
              <w:rFonts w:hint="eastAsia" w:ascii="仿宋_GB2312" w:hAnsi="MingLiU" w:eastAsia="仿宋_GB2312"/>
              <w:b/>
              <w:bCs/>
              <w:sz w:val="30"/>
              <w:szCs w:val="30"/>
            </w:rPr>
            <w:t>28</w:t>
          </w:r>
          <w:r>
            <w:rPr>
              <w:rFonts w:hint="eastAsia" w:ascii="仿宋_GB2312" w:hAnsi="MingLiU" w:eastAsia="仿宋_GB2312"/>
              <w:b/>
              <w:bCs/>
              <w:sz w:val="30"/>
              <w:szCs w:val="30"/>
            </w:rPr>
            <w:fldChar w:fldCharType="end"/>
          </w:r>
          <w:r>
            <w:rPr>
              <w:rFonts w:hint="eastAsia" w:ascii="仿宋_GB2312" w:hAnsi="MingLiU" w:eastAsia="仿宋_GB2312"/>
              <w:b/>
              <w:bCs/>
              <w:sz w:val="30"/>
              <w:szCs w:val="30"/>
            </w:rPr>
            <w:fldChar w:fldCharType="end"/>
          </w:r>
        </w:p>
        <w:p w14:paraId="24A2E8E8">
          <w:pPr>
            <w:pStyle w:val="12"/>
            <w:adjustRightInd w:val="0"/>
            <w:snapToGrid w:val="0"/>
            <w:spacing w:before="0" w:line="440" w:lineRule="exact"/>
            <w:jc w:val="left"/>
            <w:rPr>
              <w:rFonts w:ascii="仿宋_GB2312" w:hAnsi="MingLiU" w:eastAsia="仿宋_GB2312"/>
              <w:b/>
              <w:bCs/>
              <w:sz w:val="30"/>
              <w:szCs w:val="30"/>
            </w:rPr>
          </w:pPr>
          <w:r>
            <w:fldChar w:fldCharType="begin"/>
          </w:r>
          <w:r>
            <w:instrText xml:space="preserve"> HYPERLINK \l "_Toc11733" </w:instrText>
          </w:r>
          <w:r>
            <w:fldChar w:fldCharType="separate"/>
          </w:r>
          <w:r>
            <w:rPr>
              <w:rFonts w:hint="eastAsia" w:ascii="仿宋_GB2312" w:hAnsi="MingLiU" w:eastAsia="仿宋_GB2312"/>
              <w:b/>
              <w:bCs/>
              <w:sz w:val="30"/>
              <w:szCs w:val="30"/>
            </w:rPr>
            <w:t>第五部分 附表</w:t>
          </w:r>
          <w:r>
            <w:rPr>
              <w:rFonts w:hint="eastAsia" w:ascii="仿宋_GB2312" w:hAnsi="MingLiU" w:eastAsia="仿宋_GB2312"/>
              <w:b/>
              <w:bCs/>
              <w:sz w:val="30"/>
              <w:szCs w:val="30"/>
            </w:rPr>
            <w:tab/>
          </w:r>
          <w:r>
            <w:rPr>
              <w:rFonts w:hint="eastAsia" w:ascii="仿宋_GB2312" w:hAnsi="MingLiU" w:eastAsia="仿宋_GB2312"/>
              <w:b/>
              <w:bCs/>
              <w:sz w:val="30"/>
              <w:szCs w:val="30"/>
            </w:rPr>
            <w:fldChar w:fldCharType="begin"/>
          </w:r>
          <w:r>
            <w:rPr>
              <w:rFonts w:hint="eastAsia" w:ascii="仿宋_GB2312" w:hAnsi="MingLiU" w:eastAsia="仿宋_GB2312"/>
              <w:b/>
              <w:bCs/>
              <w:sz w:val="30"/>
              <w:szCs w:val="30"/>
            </w:rPr>
            <w:instrText xml:space="preserve"> PAGEREF _Toc11733 </w:instrText>
          </w:r>
          <w:r>
            <w:rPr>
              <w:rFonts w:hint="eastAsia" w:ascii="仿宋_GB2312" w:hAnsi="MingLiU" w:eastAsia="仿宋_GB2312"/>
              <w:b/>
              <w:bCs/>
              <w:sz w:val="30"/>
              <w:szCs w:val="30"/>
            </w:rPr>
            <w:fldChar w:fldCharType="separate"/>
          </w:r>
          <w:r>
            <w:rPr>
              <w:rFonts w:hint="eastAsia" w:ascii="仿宋_GB2312" w:hAnsi="MingLiU" w:eastAsia="仿宋_GB2312"/>
              <w:b/>
              <w:bCs/>
              <w:sz w:val="30"/>
              <w:szCs w:val="30"/>
            </w:rPr>
            <w:t>49</w:t>
          </w:r>
          <w:r>
            <w:rPr>
              <w:rFonts w:hint="eastAsia" w:ascii="仿宋_GB2312" w:hAnsi="MingLiU" w:eastAsia="仿宋_GB2312"/>
              <w:b/>
              <w:bCs/>
              <w:sz w:val="30"/>
              <w:szCs w:val="30"/>
            </w:rPr>
            <w:fldChar w:fldCharType="end"/>
          </w:r>
          <w:r>
            <w:rPr>
              <w:rFonts w:hint="eastAsia" w:ascii="仿宋_GB2312" w:hAnsi="MingLiU" w:eastAsia="仿宋_GB2312"/>
              <w:b/>
              <w:bCs/>
              <w:sz w:val="30"/>
              <w:szCs w:val="30"/>
            </w:rPr>
            <w:fldChar w:fldCharType="end"/>
          </w:r>
        </w:p>
        <w:p w14:paraId="11C77082">
          <w:pPr>
            <w:pStyle w:val="13"/>
            <w:adjustRightInd w:val="0"/>
            <w:snapToGrid w:val="0"/>
            <w:spacing w:line="440" w:lineRule="exact"/>
            <w:jc w:val="left"/>
            <w:rPr>
              <w:rFonts w:ascii="仿宋_GB2312" w:hAnsi="MingLiU" w:eastAsia="仿宋_GB2312"/>
              <w:sz w:val="30"/>
              <w:szCs w:val="30"/>
            </w:rPr>
          </w:pPr>
          <w:r>
            <w:fldChar w:fldCharType="begin"/>
          </w:r>
          <w:r>
            <w:instrText xml:space="preserve"> HYPERLINK \l "_Toc30495" </w:instrText>
          </w:r>
          <w:r>
            <w:fldChar w:fldCharType="separate"/>
          </w:r>
          <w:r>
            <w:rPr>
              <w:rFonts w:hint="eastAsia" w:ascii="仿宋_GB2312" w:hAnsi="MingLiU" w:eastAsia="仿宋_GB2312"/>
              <w:sz w:val="30"/>
              <w:szCs w:val="30"/>
            </w:rPr>
            <w:t>一、收入支出决算总表</w:t>
          </w:r>
          <w:r>
            <w:rPr>
              <w:rFonts w:hint="eastAsia" w:ascii="仿宋_GB2312" w:hAnsi="MingLiU" w:eastAsia="仿宋_GB2312"/>
              <w:sz w:val="30"/>
              <w:szCs w:val="30"/>
            </w:rPr>
            <w:tab/>
          </w:r>
          <w:r>
            <w:rPr>
              <w:rFonts w:hint="eastAsia" w:ascii="仿宋_GB2312" w:hAnsi="MingLiU" w:eastAsia="仿宋_GB2312"/>
              <w:sz w:val="30"/>
              <w:szCs w:val="30"/>
            </w:rPr>
            <w:fldChar w:fldCharType="begin"/>
          </w:r>
          <w:r>
            <w:rPr>
              <w:rFonts w:hint="eastAsia" w:ascii="仿宋_GB2312" w:hAnsi="MingLiU" w:eastAsia="仿宋_GB2312"/>
              <w:sz w:val="30"/>
              <w:szCs w:val="30"/>
            </w:rPr>
            <w:instrText xml:space="preserve"> PAGEREF _Toc30495 </w:instrText>
          </w:r>
          <w:r>
            <w:rPr>
              <w:rFonts w:hint="eastAsia" w:ascii="仿宋_GB2312" w:hAnsi="MingLiU" w:eastAsia="仿宋_GB2312"/>
              <w:sz w:val="30"/>
              <w:szCs w:val="30"/>
            </w:rPr>
            <w:fldChar w:fldCharType="separate"/>
          </w:r>
          <w:r>
            <w:rPr>
              <w:rFonts w:hint="eastAsia" w:ascii="仿宋_GB2312" w:hAnsi="MingLiU" w:eastAsia="仿宋_GB2312"/>
              <w:sz w:val="30"/>
              <w:szCs w:val="30"/>
            </w:rPr>
            <w:t>50</w:t>
          </w:r>
          <w:r>
            <w:rPr>
              <w:rFonts w:hint="eastAsia" w:ascii="仿宋_GB2312" w:hAnsi="MingLiU" w:eastAsia="仿宋_GB2312"/>
              <w:sz w:val="30"/>
              <w:szCs w:val="30"/>
            </w:rPr>
            <w:fldChar w:fldCharType="end"/>
          </w:r>
          <w:r>
            <w:rPr>
              <w:rFonts w:hint="eastAsia" w:ascii="仿宋_GB2312" w:hAnsi="MingLiU" w:eastAsia="仿宋_GB2312"/>
              <w:sz w:val="30"/>
              <w:szCs w:val="30"/>
            </w:rPr>
            <w:fldChar w:fldCharType="end"/>
          </w:r>
        </w:p>
        <w:p w14:paraId="43D91D02">
          <w:pPr>
            <w:pStyle w:val="13"/>
            <w:adjustRightInd w:val="0"/>
            <w:snapToGrid w:val="0"/>
            <w:spacing w:line="440" w:lineRule="exact"/>
            <w:jc w:val="left"/>
            <w:rPr>
              <w:rFonts w:ascii="仿宋_GB2312" w:hAnsi="MingLiU" w:eastAsia="仿宋_GB2312"/>
              <w:sz w:val="30"/>
              <w:szCs w:val="30"/>
            </w:rPr>
          </w:pPr>
          <w:r>
            <w:fldChar w:fldCharType="begin"/>
          </w:r>
          <w:r>
            <w:instrText xml:space="preserve"> HYPERLINK \l "_Toc18831" </w:instrText>
          </w:r>
          <w:r>
            <w:fldChar w:fldCharType="separate"/>
          </w:r>
          <w:r>
            <w:rPr>
              <w:rFonts w:hint="eastAsia" w:ascii="仿宋_GB2312" w:hAnsi="MingLiU" w:eastAsia="仿宋_GB2312"/>
              <w:sz w:val="30"/>
              <w:szCs w:val="30"/>
            </w:rPr>
            <w:t>二、收入决算表</w:t>
          </w:r>
          <w:r>
            <w:rPr>
              <w:rFonts w:hint="eastAsia" w:ascii="仿宋_GB2312" w:hAnsi="MingLiU" w:eastAsia="仿宋_GB2312"/>
              <w:sz w:val="30"/>
              <w:szCs w:val="30"/>
            </w:rPr>
            <w:tab/>
          </w:r>
          <w:r>
            <w:rPr>
              <w:rFonts w:hint="eastAsia" w:ascii="仿宋_GB2312" w:hAnsi="MingLiU" w:eastAsia="仿宋_GB2312"/>
              <w:sz w:val="30"/>
              <w:szCs w:val="30"/>
            </w:rPr>
            <w:fldChar w:fldCharType="begin"/>
          </w:r>
          <w:r>
            <w:rPr>
              <w:rFonts w:hint="eastAsia" w:ascii="仿宋_GB2312" w:hAnsi="MingLiU" w:eastAsia="仿宋_GB2312"/>
              <w:sz w:val="30"/>
              <w:szCs w:val="30"/>
            </w:rPr>
            <w:instrText xml:space="preserve"> PAGEREF _Toc18831 </w:instrText>
          </w:r>
          <w:r>
            <w:rPr>
              <w:rFonts w:hint="eastAsia" w:ascii="仿宋_GB2312" w:hAnsi="MingLiU" w:eastAsia="仿宋_GB2312"/>
              <w:sz w:val="30"/>
              <w:szCs w:val="30"/>
            </w:rPr>
            <w:fldChar w:fldCharType="separate"/>
          </w:r>
          <w:r>
            <w:rPr>
              <w:rFonts w:hint="eastAsia" w:ascii="仿宋_GB2312" w:hAnsi="MingLiU" w:eastAsia="仿宋_GB2312"/>
              <w:sz w:val="30"/>
              <w:szCs w:val="30"/>
            </w:rPr>
            <w:t>50</w:t>
          </w:r>
          <w:r>
            <w:rPr>
              <w:rFonts w:hint="eastAsia" w:ascii="仿宋_GB2312" w:hAnsi="MingLiU" w:eastAsia="仿宋_GB2312"/>
              <w:sz w:val="30"/>
              <w:szCs w:val="30"/>
            </w:rPr>
            <w:fldChar w:fldCharType="end"/>
          </w:r>
          <w:r>
            <w:rPr>
              <w:rFonts w:hint="eastAsia" w:ascii="仿宋_GB2312" w:hAnsi="MingLiU" w:eastAsia="仿宋_GB2312"/>
              <w:sz w:val="30"/>
              <w:szCs w:val="30"/>
            </w:rPr>
            <w:fldChar w:fldCharType="end"/>
          </w:r>
        </w:p>
        <w:p w14:paraId="56170B09">
          <w:pPr>
            <w:pStyle w:val="13"/>
            <w:adjustRightInd w:val="0"/>
            <w:snapToGrid w:val="0"/>
            <w:spacing w:line="440" w:lineRule="exact"/>
            <w:jc w:val="left"/>
            <w:rPr>
              <w:rFonts w:ascii="仿宋_GB2312" w:hAnsi="MingLiU" w:eastAsia="仿宋_GB2312"/>
              <w:sz w:val="30"/>
              <w:szCs w:val="30"/>
            </w:rPr>
          </w:pPr>
          <w:r>
            <w:fldChar w:fldCharType="begin"/>
          </w:r>
          <w:r>
            <w:instrText xml:space="preserve"> HYPERLINK \l "_Toc27266" </w:instrText>
          </w:r>
          <w:r>
            <w:fldChar w:fldCharType="separate"/>
          </w:r>
          <w:r>
            <w:rPr>
              <w:rFonts w:hint="eastAsia" w:ascii="仿宋_GB2312" w:hAnsi="MingLiU" w:eastAsia="仿宋_GB2312"/>
              <w:sz w:val="30"/>
              <w:szCs w:val="30"/>
            </w:rPr>
            <w:t>三、支出决算表</w:t>
          </w:r>
          <w:r>
            <w:rPr>
              <w:rFonts w:hint="eastAsia" w:ascii="仿宋_GB2312" w:hAnsi="MingLiU" w:eastAsia="仿宋_GB2312"/>
              <w:sz w:val="30"/>
              <w:szCs w:val="30"/>
            </w:rPr>
            <w:tab/>
          </w:r>
          <w:r>
            <w:rPr>
              <w:rFonts w:hint="eastAsia" w:ascii="仿宋_GB2312" w:hAnsi="MingLiU" w:eastAsia="仿宋_GB2312"/>
              <w:sz w:val="30"/>
              <w:szCs w:val="30"/>
            </w:rPr>
            <w:fldChar w:fldCharType="begin"/>
          </w:r>
          <w:r>
            <w:rPr>
              <w:rFonts w:hint="eastAsia" w:ascii="仿宋_GB2312" w:hAnsi="MingLiU" w:eastAsia="仿宋_GB2312"/>
              <w:sz w:val="30"/>
              <w:szCs w:val="30"/>
            </w:rPr>
            <w:instrText xml:space="preserve"> PAGEREF _Toc27266 </w:instrText>
          </w:r>
          <w:r>
            <w:rPr>
              <w:rFonts w:hint="eastAsia" w:ascii="仿宋_GB2312" w:hAnsi="MingLiU" w:eastAsia="仿宋_GB2312"/>
              <w:sz w:val="30"/>
              <w:szCs w:val="30"/>
            </w:rPr>
            <w:fldChar w:fldCharType="separate"/>
          </w:r>
          <w:r>
            <w:rPr>
              <w:rFonts w:hint="eastAsia" w:ascii="仿宋_GB2312" w:hAnsi="MingLiU" w:eastAsia="仿宋_GB2312"/>
              <w:sz w:val="30"/>
              <w:szCs w:val="30"/>
            </w:rPr>
            <w:t>50</w:t>
          </w:r>
          <w:r>
            <w:rPr>
              <w:rFonts w:hint="eastAsia" w:ascii="仿宋_GB2312" w:hAnsi="MingLiU" w:eastAsia="仿宋_GB2312"/>
              <w:sz w:val="30"/>
              <w:szCs w:val="30"/>
            </w:rPr>
            <w:fldChar w:fldCharType="end"/>
          </w:r>
          <w:r>
            <w:rPr>
              <w:rFonts w:hint="eastAsia" w:ascii="仿宋_GB2312" w:hAnsi="MingLiU" w:eastAsia="仿宋_GB2312"/>
              <w:sz w:val="30"/>
              <w:szCs w:val="30"/>
            </w:rPr>
            <w:fldChar w:fldCharType="end"/>
          </w:r>
        </w:p>
        <w:p w14:paraId="347B67B8">
          <w:pPr>
            <w:pStyle w:val="13"/>
            <w:adjustRightInd w:val="0"/>
            <w:snapToGrid w:val="0"/>
            <w:spacing w:line="440" w:lineRule="exact"/>
            <w:jc w:val="left"/>
            <w:rPr>
              <w:rFonts w:ascii="仿宋_GB2312" w:hAnsi="MingLiU" w:eastAsia="仿宋_GB2312"/>
              <w:sz w:val="30"/>
              <w:szCs w:val="30"/>
            </w:rPr>
          </w:pPr>
          <w:r>
            <w:fldChar w:fldCharType="begin"/>
          </w:r>
          <w:r>
            <w:instrText xml:space="preserve"> HYPERLINK \l "_Toc5458" </w:instrText>
          </w:r>
          <w:r>
            <w:fldChar w:fldCharType="separate"/>
          </w:r>
          <w:r>
            <w:rPr>
              <w:rFonts w:hint="eastAsia" w:ascii="仿宋_GB2312" w:hAnsi="MingLiU" w:eastAsia="仿宋_GB2312"/>
              <w:sz w:val="30"/>
              <w:szCs w:val="30"/>
            </w:rPr>
            <w:t>四、财政拨款收入支出决算总表</w:t>
          </w:r>
          <w:r>
            <w:rPr>
              <w:rFonts w:hint="eastAsia" w:ascii="仿宋_GB2312" w:hAnsi="MingLiU" w:eastAsia="仿宋_GB2312"/>
              <w:sz w:val="30"/>
              <w:szCs w:val="30"/>
            </w:rPr>
            <w:tab/>
          </w:r>
          <w:r>
            <w:rPr>
              <w:rFonts w:hint="eastAsia" w:ascii="仿宋_GB2312" w:hAnsi="MingLiU" w:eastAsia="仿宋_GB2312"/>
              <w:sz w:val="30"/>
              <w:szCs w:val="30"/>
            </w:rPr>
            <w:fldChar w:fldCharType="begin"/>
          </w:r>
          <w:r>
            <w:rPr>
              <w:rFonts w:hint="eastAsia" w:ascii="仿宋_GB2312" w:hAnsi="MingLiU" w:eastAsia="仿宋_GB2312"/>
              <w:sz w:val="30"/>
              <w:szCs w:val="30"/>
            </w:rPr>
            <w:instrText xml:space="preserve"> PAGEREF _Toc5458 </w:instrText>
          </w:r>
          <w:r>
            <w:rPr>
              <w:rFonts w:hint="eastAsia" w:ascii="仿宋_GB2312" w:hAnsi="MingLiU" w:eastAsia="仿宋_GB2312"/>
              <w:sz w:val="30"/>
              <w:szCs w:val="30"/>
            </w:rPr>
            <w:fldChar w:fldCharType="separate"/>
          </w:r>
          <w:r>
            <w:rPr>
              <w:rFonts w:hint="eastAsia" w:ascii="仿宋_GB2312" w:hAnsi="MingLiU" w:eastAsia="仿宋_GB2312"/>
              <w:sz w:val="30"/>
              <w:szCs w:val="30"/>
            </w:rPr>
            <w:t>50</w:t>
          </w:r>
          <w:r>
            <w:rPr>
              <w:rFonts w:hint="eastAsia" w:ascii="仿宋_GB2312" w:hAnsi="MingLiU" w:eastAsia="仿宋_GB2312"/>
              <w:sz w:val="30"/>
              <w:szCs w:val="30"/>
            </w:rPr>
            <w:fldChar w:fldCharType="end"/>
          </w:r>
          <w:r>
            <w:rPr>
              <w:rFonts w:hint="eastAsia" w:ascii="仿宋_GB2312" w:hAnsi="MingLiU" w:eastAsia="仿宋_GB2312"/>
              <w:sz w:val="30"/>
              <w:szCs w:val="30"/>
            </w:rPr>
            <w:fldChar w:fldCharType="end"/>
          </w:r>
        </w:p>
        <w:p w14:paraId="5E98B3A8">
          <w:pPr>
            <w:pStyle w:val="13"/>
            <w:adjustRightInd w:val="0"/>
            <w:snapToGrid w:val="0"/>
            <w:spacing w:line="440" w:lineRule="exact"/>
            <w:jc w:val="left"/>
            <w:rPr>
              <w:rFonts w:ascii="仿宋_GB2312" w:hAnsi="MingLiU" w:eastAsia="仿宋_GB2312"/>
              <w:sz w:val="30"/>
              <w:szCs w:val="30"/>
            </w:rPr>
          </w:pPr>
          <w:r>
            <w:fldChar w:fldCharType="begin"/>
          </w:r>
          <w:r>
            <w:instrText xml:space="preserve"> HYPERLINK \l "_Toc10396" </w:instrText>
          </w:r>
          <w:r>
            <w:fldChar w:fldCharType="separate"/>
          </w:r>
          <w:r>
            <w:rPr>
              <w:rFonts w:hint="eastAsia" w:ascii="仿宋_GB2312" w:hAnsi="MingLiU" w:eastAsia="仿宋_GB2312"/>
              <w:sz w:val="30"/>
              <w:szCs w:val="30"/>
            </w:rPr>
            <w:t>五、财政拨款支出决算明细表</w:t>
          </w:r>
          <w:r>
            <w:rPr>
              <w:rFonts w:hint="eastAsia" w:ascii="仿宋_GB2312" w:hAnsi="MingLiU" w:eastAsia="仿宋_GB2312"/>
              <w:sz w:val="30"/>
              <w:szCs w:val="30"/>
            </w:rPr>
            <w:tab/>
          </w:r>
          <w:r>
            <w:rPr>
              <w:rFonts w:hint="eastAsia" w:ascii="仿宋_GB2312" w:hAnsi="MingLiU" w:eastAsia="仿宋_GB2312"/>
              <w:sz w:val="30"/>
              <w:szCs w:val="30"/>
            </w:rPr>
            <w:fldChar w:fldCharType="begin"/>
          </w:r>
          <w:r>
            <w:rPr>
              <w:rFonts w:hint="eastAsia" w:ascii="仿宋_GB2312" w:hAnsi="MingLiU" w:eastAsia="仿宋_GB2312"/>
              <w:sz w:val="30"/>
              <w:szCs w:val="30"/>
            </w:rPr>
            <w:instrText xml:space="preserve"> PAGEREF _Toc10396 </w:instrText>
          </w:r>
          <w:r>
            <w:rPr>
              <w:rFonts w:hint="eastAsia" w:ascii="仿宋_GB2312" w:hAnsi="MingLiU" w:eastAsia="仿宋_GB2312"/>
              <w:sz w:val="30"/>
              <w:szCs w:val="30"/>
            </w:rPr>
            <w:fldChar w:fldCharType="separate"/>
          </w:r>
          <w:r>
            <w:rPr>
              <w:rFonts w:hint="eastAsia" w:ascii="仿宋_GB2312" w:hAnsi="MingLiU" w:eastAsia="仿宋_GB2312"/>
              <w:sz w:val="30"/>
              <w:szCs w:val="30"/>
            </w:rPr>
            <w:t>50</w:t>
          </w:r>
          <w:r>
            <w:rPr>
              <w:rFonts w:hint="eastAsia" w:ascii="仿宋_GB2312" w:hAnsi="MingLiU" w:eastAsia="仿宋_GB2312"/>
              <w:sz w:val="30"/>
              <w:szCs w:val="30"/>
            </w:rPr>
            <w:fldChar w:fldCharType="end"/>
          </w:r>
          <w:r>
            <w:rPr>
              <w:rFonts w:hint="eastAsia" w:ascii="仿宋_GB2312" w:hAnsi="MingLiU" w:eastAsia="仿宋_GB2312"/>
              <w:sz w:val="30"/>
              <w:szCs w:val="30"/>
            </w:rPr>
            <w:fldChar w:fldCharType="end"/>
          </w:r>
        </w:p>
        <w:p w14:paraId="21AF9AB2">
          <w:pPr>
            <w:pStyle w:val="13"/>
            <w:adjustRightInd w:val="0"/>
            <w:snapToGrid w:val="0"/>
            <w:spacing w:line="440" w:lineRule="exact"/>
            <w:jc w:val="left"/>
            <w:rPr>
              <w:rFonts w:ascii="仿宋_GB2312" w:hAnsi="MingLiU" w:eastAsia="仿宋_GB2312"/>
              <w:sz w:val="30"/>
              <w:szCs w:val="30"/>
            </w:rPr>
          </w:pPr>
          <w:r>
            <w:fldChar w:fldCharType="begin"/>
          </w:r>
          <w:r>
            <w:instrText xml:space="preserve"> HYPERLINK \l "_Toc15744" </w:instrText>
          </w:r>
          <w:r>
            <w:fldChar w:fldCharType="separate"/>
          </w:r>
          <w:r>
            <w:rPr>
              <w:rFonts w:hint="eastAsia" w:ascii="仿宋_GB2312" w:hAnsi="MingLiU" w:eastAsia="仿宋_GB2312"/>
              <w:sz w:val="30"/>
              <w:szCs w:val="30"/>
            </w:rPr>
            <w:t>六、一般公共预算财政拨款支出决算表</w:t>
          </w:r>
          <w:r>
            <w:rPr>
              <w:rFonts w:hint="eastAsia" w:ascii="仿宋_GB2312" w:hAnsi="MingLiU" w:eastAsia="仿宋_GB2312"/>
              <w:sz w:val="30"/>
              <w:szCs w:val="30"/>
            </w:rPr>
            <w:tab/>
          </w:r>
          <w:r>
            <w:rPr>
              <w:rFonts w:hint="eastAsia" w:ascii="仿宋_GB2312" w:hAnsi="MingLiU" w:eastAsia="仿宋_GB2312"/>
              <w:sz w:val="30"/>
              <w:szCs w:val="30"/>
            </w:rPr>
            <w:fldChar w:fldCharType="begin"/>
          </w:r>
          <w:r>
            <w:rPr>
              <w:rFonts w:hint="eastAsia" w:ascii="仿宋_GB2312" w:hAnsi="MingLiU" w:eastAsia="仿宋_GB2312"/>
              <w:sz w:val="30"/>
              <w:szCs w:val="30"/>
            </w:rPr>
            <w:instrText xml:space="preserve"> PAGEREF _Toc15744 </w:instrText>
          </w:r>
          <w:r>
            <w:rPr>
              <w:rFonts w:hint="eastAsia" w:ascii="仿宋_GB2312" w:hAnsi="MingLiU" w:eastAsia="仿宋_GB2312"/>
              <w:sz w:val="30"/>
              <w:szCs w:val="30"/>
            </w:rPr>
            <w:fldChar w:fldCharType="separate"/>
          </w:r>
          <w:r>
            <w:rPr>
              <w:rFonts w:hint="eastAsia" w:ascii="仿宋_GB2312" w:hAnsi="MingLiU" w:eastAsia="仿宋_GB2312"/>
              <w:sz w:val="30"/>
              <w:szCs w:val="30"/>
            </w:rPr>
            <w:t>50</w:t>
          </w:r>
          <w:r>
            <w:rPr>
              <w:rFonts w:hint="eastAsia" w:ascii="仿宋_GB2312" w:hAnsi="MingLiU" w:eastAsia="仿宋_GB2312"/>
              <w:sz w:val="30"/>
              <w:szCs w:val="30"/>
            </w:rPr>
            <w:fldChar w:fldCharType="end"/>
          </w:r>
          <w:r>
            <w:rPr>
              <w:rFonts w:hint="eastAsia" w:ascii="仿宋_GB2312" w:hAnsi="MingLiU" w:eastAsia="仿宋_GB2312"/>
              <w:sz w:val="30"/>
              <w:szCs w:val="30"/>
            </w:rPr>
            <w:fldChar w:fldCharType="end"/>
          </w:r>
        </w:p>
        <w:p w14:paraId="571BFBD8">
          <w:pPr>
            <w:pStyle w:val="13"/>
            <w:adjustRightInd w:val="0"/>
            <w:snapToGrid w:val="0"/>
            <w:spacing w:line="440" w:lineRule="exact"/>
            <w:jc w:val="left"/>
            <w:rPr>
              <w:rFonts w:ascii="仿宋_GB2312" w:hAnsi="MingLiU" w:eastAsia="仿宋_GB2312"/>
              <w:sz w:val="30"/>
              <w:szCs w:val="30"/>
            </w:rPr>
          </w:pPr>
          <w:r>
            <w:fldChar w:fldCharType="begin"/>
          </w:r>
          <w:r>
            <w:instrText xml:space="preserve"> HYPERLINK \l "_Toc13500" </w:instrText>
          </w:r>
          <w:r>
            <w:fldChar w:fldCharType="separate"/>
          </w:r>
          <w:r>
            <w:rPr>
              <w:rFonts w:hint="eastAsia" w:ascii="仿宋_GB2312" w:hAnsi="MingLiU" w:eastAsia="仿宋_GB2312"/>
              <w:sz w:val="30"/>
              <w:szCs w:val="30"/>
            </w:rPr>
            <w:t>七、一般公共预算财政拨款支出决算明细表</w:t>
          </w:r>
          <w:r>
            <w:rPr>
              <w:rFonts w:hint="eastAsia" w:ascii="仿宋_GB2312" w:hAnsi="MingLiU" w:eastAsia="仿宋_GB2312"/>
              <w:sz w:val="30"/>
              <w:szCs w:val="30"/>
            </w:rPr>
            <w:tab/>
          </w:r>
          <w:r>
            <w:rPr>
              <w:rFonts w:hint="eastAsia" w:ascii="仿宋_GB2312" w:hAnsi="MingLiU" w:eastAsia="仿宋_GB2312"/>
              <w:sz w:val="30"/>
              <w:szCs w:val="30"/>
            </w:rPr>
            <w:fldChar w:fldCharType="begin"/>
          </w:r>
          <w:r>
            <w:rPr>
              <w:rFonts w:hint="eastAsia" w:ascii="仿宋_GB2312" w:hAnsi="MingLiU" w:eastAsia="仿宋_GB2312"/>
              <w:sz w:val="30"/>
              <w:szCs w:val="30"/>
            </w:rPr>
            <w:instrText xml:space="preserve"> PAGEREF _Toc13500 </w:instrText>
          </w:r>
          <w:r>
            <w:rPr>
              <w:rFonts w:hint="eastAsia" w:ascii="仿宋_GB2312" w:hAnsi="MingLiU" w:eastAsia="仿宋_GB2312"/>
              <w:sz w:val="30"/>
              <w:szCs w:val="30"/>
            </w:rPr>
            <w:fldChar w:fldCharType="separate"/>
          </w:r>
          <w:r>
            <w:rPr>
              <w:rFonts w:hint="eastAsia" w:ascii="仿宋_GB2312" w:hAnsi="MingLiU" w:eastAsia="仿宋_GB2312"/>
              <w:sz w:val="30"/>
              <w:szCs w:val="30"/>
            </w:rPr>
            <w:t>50</w:t>
          </w:r>
          <w:r>
            <w:rPr>
              <w:rFonts w:hint="eastAsia" w:ascii="仿宋_GB2312" w:hAnsi="MingLiU" w:eastAsia="仿宋_GB2312"/>
              <w:sz w:val="30"/>
              <w:szCs w:val="30"/>
            </w:rPr>
            <w:fldChar w:fldCharType="end"/>
          </w:r>
          <w:r>
            <w:rPr>
              <w:rFonts w:hint="eastAsia" w:ascii="仿宋_GB2312" w:hAnsi="MingLiU" w:eastAsia="仿宋_GB2312"/>
              <w:sz w:val="30"/>
              <w:szCs w:val="30"/>
            </w:rPr>
            <w:fldChar w:fldCharType="end"/>
          </w:r>
        </w:p>
        <w:p w14:paraId="145FAA8E">
          <w:pPr>
            <w:pStyle w:val="13"/>
            <w:adjustRightInd w:val="0"/>
            <w:snapToGrid w:val="0"/>
            <w:spacing w:line="440" w:lineRule="exact"/>
            <w:jc w:val="left"/>
            <w:rPr>
              <w:rFonts w:ascii="仿宋_GB2312" w:hAnsi="MingLiU" w:eastAsia="仿宋_GB2312"/>
              <w:sz w:val="30"/>
              <w:szCs w:val="30"/>
            </w:rPr>
          </w:pPr>
          <w:r>
            <w:fldChar w:fldCharType="begin"/>
          </w:r>
          <w:r>
            <w:instrText xml:space="preserve"> HYPERLINK \l "_Toc1728" </w:instrText>
          </w:r>
          <w:r>
            <w:fldChar w:fldCharType="separate"/>
          </w:r>
          <w:r>
            <w:rPr>
              <w:rFonts w:hint="eastAsia" w:ascii="仿宋_GB2312" w:hAnsi="MingLiU" w:eastAsia="仿宋_GB2312"/>
              <w:sz w:val="30"/>
              <w:szCs w:val="30"/>
            </w:rPr>
            <w:t>八、一般公共预算财政拨款基本支出决算表</w:t>
          </w:r>
          <w:r>
            <w:rPr>
              <w:rFonts w:hint="eastAsia" w:ascii="仿宋_GB2312" w:hAnsi="MingLiU" w:eastAsia="仿宋_GB2312"/>
              <w:sz w:val="30"/>
              <w:szCs w:val="30"/>
            </w:rPr>
            <w:tab/>
          </w:r>
          <w:r>
            <w:rPr>
              <w:rFonts w:hint="eastAsia" w:ascii="仿宋_GB2312" w:hAnsi="MingLiU" w:eastAsia="仿宋_GB2312"/>
              <w:sz w:val="30"/>
              <w:szCs w:val="30"/>
            </w:rPr>
            <w:fldChar w:fldCharType="begin"/>
          </w:r>
          <w:r>
            <w:rPr>
              <w:rFonts w:hint="eastAsia" w:ascii="仿宋_GB2312" w:hAnsi="MingLiU" w:eastAsia="仿宋_GB2312"/>
              <w:sz w:val="30"/>
              <w:szCs w:val="30"/>
            </w:rPr>
            <w:instrText xml:space="preserve"> PAGEREF _Toc1728 </w:instrText>
          </w:r>
          <w:r>
            <w:rPr>
              <w:rFonts w:hint="eastAsia" w:ascii="仿宋_GB2312" w:hAnsi="MingLiU" w:eastAsia="仿宋_GB2312"/>
              <w:sz w:val="30"/>
              <w:szCs w:val="30"/>
            </w:rPr>
            <w:fldChar w:fldCharType="separate"/>
          </w:r>
          <w:r>
            <w:rPr>
              <w:rFonts w:hint="eastAsia" w:ascii="仿宋_GB2312" w:hAnsi="MingLiU" w:eastAsia="仿宋_GB2312"/>
              <w:sz w:val="30"/>
              <w:szCs w:val="30"/>
            </w:rPr>
            <w:t>50</w:t>
          </w:r>
          <w:r>
            <w:rPr>
              <w:rFonts w:hint="eastAsia" w:ascii="仿宋_GB2312" w:hAnsi="MingLiU" w:eastAsia="仿宋_GB2312"/>
              <w:sz w:val="30"/>
              <w:szCs w:val="30"/>
            </w:rPr>
            <w:fldChar w:fldCharType="end"/>
          </w:r>
          <w:r>
            <w:rPr>
              <w:rFonts w:hint="eastAsia" w:ascii="仿宋_GB2312" w:hAnsi="MingLiU" w:eastAsia="仿宋_GB2312"/>
              <w:sz w:val="30"/>
              <w:szCs w:val="30"/>
            </w:rPr>
            <w:fldChar w:fldCharType="end"/>
          </w:r>
        </w:p>
        <w:p w14:paraId="308F59C5">
          <w:pPr>
            <w:pStyle w:val="13"/>
            <w:adjustRightInd w:val="0"/>
            <w:snapToGrid w:val="0"/>
            <w:spacing w:line="440" w:lineRule="exact"/>
            <w:jc w:val="left"/>
            <w:rPr>
              <w:rFonts w:ascii="仿宋_GB2312" w:hAnsi="MingLiU" w:eastAsia="仿宋_GB2312"/>
              <w:sz w:val="30"/>
              <w:szCs w:val="30"/>
            </w:rPr>
          </w:pPr>
          <w:r>
            <w:fldChar w:fldCharType="begin"/>
          </w:r>
          <w:r>
            <w:instrText xml:space="preserve"> HYPERLINK \l "_Toc7481" </w:instrText>
          </w:r>
          <w:r>
            <w:fldChar w:fldCharType="separate"/>
          </w:r>
          <w:r>
            <w:rPr>
              <w:rFonts w:hint="eastAsia" w:ascii="仿宋_GB2312" w:hAnsi="MingLiU" w:eastAsia="仿宋_GB2312"/>
              <w:sz w:val="30"/>
              <w:szCs w:val="30"/>
            </w:rPr>
            <w:t>九、一般公共预算财政拨款项目支出决算表</w:t>
          </w:r>
          <w:r>
            <w:rPr>
              <w:rFonts w:hint="eastAsia" w:ascii="仿宋_GB2312" w:hAnsi="MingLiU" w:eastAsia="仿宋_GB2312"/>
              <w:sz w:val="30"/>
              <w:szCs w:val="30"/>
            </w:rPr>
            <w:tab/>
          </w:r>
          <w:r>
            <w:rPr>
              <w:rFonts w:hint="eastAsia" w:ascii="仿宋_GB2312" w:hAnsi="MingLiU" w:eastAsia="仿宋_GB2312"/>
              <w:sz w:val="30"/>
              <w:szCs w:val="30"/>
            </w:rPr>
            <w:fldChar w:fldCharType="begin"/>
          </w:r>
          <w:r>
            <w:rPr>
              <w:rFonts w:hint="eastAsia" w:ascii="仿宋_GB2312" w:hAnsi="MingLiU" w:eastAsia="仿宋_GB2312"/>
              <w:sz w:val="30"/>
              <w:szCs w:val="30"/>
            </w:rPr>
            <w:instrText xml:space="preserve"> PAGEREF _Toc7481 </w:instrText>
          </w:r>
          <w:r>
            <w:rPr>
              <w:rFonts w:hint="eastAsia" w:ascii="仿宋_GB2312" w:hAnsi="MingLiU" w:eastAsia="仿宋_GB2312"/>
              <w:sz w:val="30"/>
              <w:szCs w:val="30"/>
            </w:rPr>
            <w:fldChar w:fldCharType="separate"/>
          </w:r>
          <w:r>
            <w:rPr>
              <w:rFonts w:hint="eastAsia" w:ascii="仿宋_GB2312" w:hAnsi="MingLiU" w:eastAsia="仿宋_GB2312"/>
              <w:sz w:val="30"/>
              <w:szCs w:val="30"/>
            </w:rPr>
            <w:t>50</w:t>
          </w:r>
          <w:r>
            <w:rPr>
              <w:rFonts w:hint="eastAsia" w:ascii="仿宋_GB2312" w:hAnsi="MingLiU" w:eastAsia="仿宋_GB2312"/>
              <w:sz w:val="30"/>
              <w:szCs w:val="30"/>
            </w:rPr>
            <w:fldChar w:fldCharType="end"/>
          </w:r>
          <w:r>
            <w:rPr>
              <w:rFonts w:hint="eastAsia" w:ascii="仿宋_GB2312" w:hAnsi="MingLiU" w:eastAsia="仿宋_GB2312"/>
              <w:sz w:val="30"/>
              <w:szCs w:val="30"/>
            </w:rPr>
            <w:fldChar w:fldCharType="end"/>
          </w:r>
        </w:p>
        <w:p w14:paraId="3D3E60AF">
          <w:pPr>
            <w:pStyle w:val="13"/>
            <w:adjustRightInd w:val="0"/>
            <w:snapToGrid w:val="0"/>
            <w:spacing w:line="440" w:lineRule="exact"/>
            <w:jc w:val="left"/>
            <w:rPr>
              <w:rFonts w:ascii="仿宋_GB2312" w:hAnsi="MingLiU" w:eastAsia="仿宋_GB2312"/>
              <w:sz w:val="30"/>
              <w:szCs w:val="30"/>
            </w:rPr>
          </w:pPr>
          <w:r>
            <w:fldChar w:fldCharType="begin"/>
          </w:r>
          <w:r>
            <w:instrText xml:space="preserve"> HYPERLINK \l "_Toc22834" </w:instrText>
          </w:r>
          <w:r>
            <w:fldChar w:fldCharType="separate"/>
          </w:r>
          <w:r>
            <w:rPr>
              <w:rFonts w:hint="eastAsia" w:ascii="仿宋_GB2312" w:hAnsi="MingLiU" w:eastAsia="仿宋_GB2312"/>
              <w:sz w:val="30"/>
              <w:szCs w:val="30"/>
            </w:rPr>
            <w:t>十、一般公共预算财政拨款“三公”经费支出决算表</w:t>
          </w:r>
          <w:r>
            <w:rPr>
              <w:rFonts w:hint="eastAsia" w:ascii="仿宋_GB2312" w:hAnsi="MingLiU" w:eastAsia="仿宋_GB2312"/>
              <w:sz w:val="30"/>
              <w:szCs w:val="30"/>
            </w:rPr>
            <w:tab/>
          </w:r>
          <w:r>
            <w:rPr>
              <w:rFonts w:hint="eastAsia" w:ascii="仿宋_GB2312" w:hAnsi="MingLiU" w:eastAsia="仿宋_GB2312"/>
              <w:sz w:val="30"/>
              <w:szCs w:val="30"/>
            </w:rPr>
            <w:fldChar w:fldCharType="begin"/>
          </w:r>
          <w:r>
            <w:rPr>
              <w:rFonts w:hint="eastAsia" w:ascii="仿宋_GB2312" w:hAnsi="MingLiU" w:eastAsia="仿宋_GB2312"/>
              <w:sz w:val="30"/>
              <w:szCs w:val="30"/>
            </w:rPr>
            <w:instrText xml:space="preserve"> PAGEREF _Toc22834 </w:instrText>
          </w:r>
          <w:r>
            <w:rPr>
              <w:rFonts w:hint="eastAsia" w:ascii="仿宋_GB2312" w:hAnsi="MingLiU" w:eastAsia="仿宋_GB2312"/>
              <w:sz w:val="30"/>
              <w:szCs w:val="30"/>
            </w:rPr>
            <w:fldChar w:fldCharType="separate"/>
          </w:r>
          <w:r>
            <w:rPr>
              <w:rFonts w:hint="eastAsia" w:ascii="仿宋_GB2312" w:hAnsi="MingLiU" w:eastAsia="仿宋_GB2312"/>
              <w:sz w:val="30"/>
              <w:szCs w:val="30"/>
            </w:rPr>
            <w:t>50</w:t>
          </w:r>
          <w:r>
            <w:rPr>
              <w:rFonts w:hint="eastAsia" w:ascii="仿宋_GB2312" w:hAnsi="MingLiU" w:eastAsia="仿宋_GB2312"/>
              <w:sz w:val="30"/>
              <w:szCs w:val="30"/>
            </w:rPr>
            <w:fldChar w:fldCharType="end"/>
          </w:r>
          <w:r>
            <w:rPr>
              <w:rFonts w:hint="eastAsia" w:ascii="仿宋_GB2312" w:hAnsi="MingLiU" w:eastAsia="仿宋_GB2312"/>
              <w:sz w:val="30"/>
              <w:szCs w:val="30"/>
            </w:rPr>
            <w:fldChar w:fldCharType="end"/>
          </w:r>
        </w:p>
        <w:p w14:paraId="32BD13FC">
          <w:pPr>
            <w:pStyle w:val="13"/>
            <w:adjustRightInd w:val="0"/>
            <w:snapToGrid w:val="0"/>
            <w:spacing w:line="440" w:lineRule="exact"/>
            <w:jc w:val="left"/>
            <w:rPr>
              <w:rFonts w:ascii="仿宋_GB2312" w:hAnsi="MingLiU" w:eastAsia="仿宋_GB2312"/>
              <w:sz w:val="30"/>
              <w:szCs w:val="30"/>
            </w:rPr>
          </w:pPr>
          <w:r>
            <w:fldChar w:fldCharType="begin"/>
          </w:r>
          <w:r>
            <w:instrText xml:space="preserve"> HYPERLINK \l "_Toc30799" </w:instrText>
          </w:r>
          <w:r>
            <w:fldChar w:fldCharType="separate"/>
          </w:r>
          <w:r>
            <w:rPr>
              <w:rFonts w:hint="eastAsia" w:ascii="仿宋_GB2312" w:hAnsi="MingLiU" w:eastAsia="仿宋_GB2312"/>
              <w:sz w:val="30"/>
              <w:szCs w:val="30"/>
            </w:rPr>
            <w:t>十一、政府性基金预算财政拨款收入支出决算表</w:t>
          </w:r>
          <w:r>
            <w:rPr>
              <w:rFonts w:hint="eastAsia" w:ascii="仿宋_GB2312" w:hAnsi="MingLiU" w:eastAsia="仿宋_GB2312"/>
              <w:sz w:val="30"/>
              <w:szCs w:val="30"/>
            </w:rPr>
            <w:tab/>
          </w:r>
          <w:r>
            <w:rPr>
              <w:rFonts w:hint="eastAsia" w:ascii="仿宋_GB2312" w:hAnsi="MingLiU" w:eastAsia="仿宋_GB2312"/>
              <w:sz w:val="30"/>
              <w:szCs w:val="30"/>
            </w:rPr>
            <w:fldChar w:fldCharType="begin"/>
          </w:r>
          <w:r>
            <w:rPr>
              <w:rFonts w:hint="eastAsia" w:ascii="仿宋_GB2312" w:hAnsi="MingLiU" w:eastAsia="仿宋_GB2312"/>
              <w:sz w:val="30"/>
              <w:szCs w:val="30"/>
            </w:rPr>
            <w:instrText xml:space="preserve"> PAGEREF _Toc30799 </w:instrText>
          </w:r>
          <w:r>
            <w:rPr>
              <w:rFonts w:hint="eastAsia" w:ascii="仿宋_GB2312" w:hAnsi="MingLiU" w:eastAsia="仿宋_GB2312"/>
              <w:sz w:val="30"/>
              <w:szCs w:val="30"/>
            </w:rPr>
            <w:fldChar w:fldCharType="separate"/>
          </w:r>
          <w:r>
            <w:rPr>
              <w:rFonts w:hint="eastAsia" w:ascii="仿宋_GB2312" w:hAnsi="MingLiU" w:eastAsia="仿宋_GB2312"/>
              <w:sz w:val="30"/>
              <w:szCs w:val="30"/>
            </w:rPr>
            <w:t>50</w:t>
          </w:r>
          <w:r>
            <w:rPr>
              <w:rFonts w:hint="eastAsia" w:ascii="仿宋_GB2312" w:hAnsi="MingLiU" w:eastAsia="仿宋_GB2312"/>
              <w:sz w:val="30"/>
              <w:szCs w:val="30"/>
            </w:rPr>
            <w:fldChar w:fldCharType="end"/>
          </w:r>
          <w:r>
            <w:rPr>
              <w:rFonts w:hint="eastAsia" w:ascii="仿宋_GB2312" w:hAnsi="MingLiU" w:eastAsia="仿宋_GB2312"/>
              <w:sz w:val="30"/>
              <w:szCs w:val="30"/>
            </w:rPr>
            <w:fldChar w:fldCharType="end"/>
          </w:r>
        </w:p>
        <w:p w14:paraId="54E4CA65">
          <w:pPr>
            <w:pStyle w:val="13"/>
            <w:adjustRightInd w:val="0"/>
            <w:snapToGrid w:val="0"/>
            <w:spacing w:line="440" w:lineRule="exact"/>
            <w:jc w:val="left"/>
            <w:rPr>
              <w:rFonts w:ascii="仿宋_GB2312" w:hAnsi="MingLiU" w:eastAsia="仿宋_GB2312"/>
              <w:sz w:val="30"/>
              <w:szCs w:val="30"/>
            </w:rPr>
          </w:pPr>
          <w:r>
            <w:fldChar w:fldCharType="begin"/>
          </w:r>
          <w:r>
            <w:instrText xml:space="preserve"> HYPERLINK \l "_Toc28238" </w:instrText>
          </w:r>
          <w:r>
            <w:fldChar w:fldCharType="separate"/>
          </w:r>
          <w:r>
            <w:rPr>
              <w:rFonts w:hint="eastAsia" w:ascii="仿宋_GB2312" w:hAnsi="MingLiU" w:eastAsia="仿宋_GB2312"/>
              <w:sz w:val="30"/>
              <w:szCs w:val="30"/>
            </w:rPr>
            <w:t>十二、政府性基金预算财政拨款“三公”经费支出决算表</w:t>
          </w:r>
          <w:r>
            <w:rPr>
              <w:rFonts w:hint="eastAsia" w:ascii="仿宋_GB2312" w:hAnsi="MingLiU" w:eastAsia="仿宋_GB2312"/>
              <w:sz w:val="30"/>
              <w:szCs w:val="30"/>
            </w:rPr>
            <w:tab/>
          </w:r>
          <w:r>
            <w:rPr>
              <w:rFonts w:hint="eastAsia" w:ascii="仿宋_GB2312" w:hAnsi="MingLiU" w:eastAsia="仿宋_GB2312"/>
              <w:sz w:val="30"/>
              <w:szCs w:val="30"/>
            </w:rPr>
            <w:fldChar w:fldCharType="begin"/>
          </w:r>
          <w:r>
            <w:rPr>
              <w:rFonts w:hint="eastAsia" w:ascii="仿宋_GB2312" w:hAnsi="MingLiU" w:eastAsia="仿宋_GB2312"/>
              <w:sz w:val="30"/>
              <w:szCs w:val="30"/>
            </w:rPr>
            <w:instrText xml:space="preserve"> PAGEREF _Toc28238 </w:instrText>
          </w:r>
          <w:r>
            <w:rPr>
              <w:rFonts w:hint="eastAsia" w:ascii="仿宋_GB2312" w:hAnsi="MingLiU" w:eastAsia="仿宋_GB2312"/>
              <w:sz w:val="30"/>
              <w:szCs w:val="30"/>
            </w:rPr>
            <w:fldChar w:fldCharType="separate"/>
          </w:r>
          <w:r>
            <w:rPr>
              <w:rFonts w:hint="eastAsia" w:ascii="仿宋_GB2312" w:hAnsi="MingLiU" w:eastAsia="仿宋_GB2312"/>
              <w:sz w:val="30"/>
              <w:szCs w:val="30"/>
            </w:rPr>
            <w:t>50</w:t>
          </w:r>
          <w:r>
            <w:rPr>
              <w:rFonts w:hint="eastAsia" w:ascii="仿宋_GB2312" w:hAnsi="MingLiU" w:eastAsia="仿宋_GB2312"/>
              <w:sz w:val="30"/>
              <w:szCs w:val="30"/>
            </w:rPr>
            <w:fldChar w:fldCharType="end"/>
          </w:r>
          <w:r>
            <w:rPr>
              <w:rFonts w:hint="eastAsia" w:ascii="仿宋_GB2312" w:hAnsi="MingLiU" w:eastAsia="仿宋_GB2312"/>
              <w:sz w:val="30"/>
              <w:szCs w:val="30"/>
            </w:rPr>
            <w:fldChar w:fldCharType="end"/>
          </w:r>
        </w:p>
        <w:p w14:paraId="3E876A53">
          <w:pPr>
            <w:pStyle w:val="13"/>
            <w:adjustRightInd w:val="0"/>
            <w:snapToGrid w:val="0"/>
            <w:spacing w:line="440" w:lineRule="exact"/>
            <w:jc w:val="left"/>
            <w:rPr>
              <w:rFonts w:ascii="仿宋_GB2312" w:hAnsi="MingLiU" w:eastAsia="仿宋_GB2312"/>
              <w:sz w:val="30"/>
              <w:szCs w:val="30"/>
            </w:rPr>
          </w:pPr>
          <w:r>
            <w:fldChar w:fldCharType="begin"/>
          </w:r>
          <w:r>
            <w:instrText xml:space="preserve"> HYPERLINK \l "_Toc27899" </w:instrText>
          </w:r>
          <w:r>
            <w:fldChar w:fldCharType="separate"/>
          </w:r>
          <w:r>
            <w:rPr>
              <w:rFonts w:hint="eastAsia" w:ascii="仿宋_GB2312" w:hAnsi="MingLiU" w:eastAsia="仿宋_GB2312"/>
              <w:sz w:val="30"/>
              <w:szCs w:val="30"/>
            </w:rPr>
            <w:t>十三、国有资本经营预算财政拨款收入支出决算表</w:t>
          </w:r>
          <w:r>
            <w:rPr>
              <w:rFonts w:hint="eastAsia" w:ascii="仿宋_GB2312" w:hAnsi="MingLiU" w:eastAsia="仿宋_GB2312"/>
              <w:sz w:val="30"/>
              <w:szCs w:val="30"/>
            </w:rPr>
            <w:tab/>
          </w:r>
          <w:r>
            <w:rPr>
              <w:rFonts w:hint="eastAsia" w:ascii="仿宋_GB2312" w:hAnsi="MingLiU" w:eastAsia="仿宋_GB2312"/>
              <w:sz w:val="30"/>
              <w:szCs w:val="30"/>
            </w:rPr>
            <w:fldChar w:fldCharType="begin"/>
          </w:r>
          <w:r>
            <w:rPr>
              <w:rFonts w:hint="eastAsia" w:ascii="仿宋_GB2312" w:hAnsi="MingLiU" w:eastAsia="仿宋_GB2312"/>
              <w:sz w:val="30"/>
              <w:szCs w:val="30"/>
            </w:rPr>
            <w:instrText xml:space="preserve"> PAGEREF _Toc27899 </w:instrText>
          </w:r>
          <w:r>
            <w:rPr>
              <w:rFonts w:hint="eastAsia" w:ascii="仿宋_GB2312" w:hAnsi="MingLiU" w:eastAsia="仿宋_GB2312"/>
              <w:sz w:val="30"/>
              <w:szCs w:val="30"/>
            </w:rPr>
            <w:fldChar w:fldCharType="separate"/>
          </w:r>
          <w:r>
            <w:rPr>
              <w:rFonts w:hint="eastAsia" w:ascii="仿宋_GB2312" w:hAnsi="MingLiU" w:eastAsia="仿宋_GB2312"/>
              <w:sz w:val="30"/>
              <w:szCs w:val="30"/>
            </w:rPr>
            <w:t>50</w:t>
          </w:r>
          <w:r>
            <w:rPr>
              <w:rFonts w:hint="eastAsia" w:ascii="仿宋_GB2312" w:hAnsi="MingLiU" w:eastAsia="仿宋_GB2312"/>
              <w:sz w:val="30"/>
              <w:szCs w:val="30"/>
            </w:rPr>
            <w:fldChar w:fldCharType="end"/>
          </w:r>
          <w:r>
            <w:rPr>
              <w:rFonts w:hint="eastAsia" w:ascii="仿宋_GB2312" w:hAnsi="MingLiU" w:eastAsia="仿宋_GB2312"/>
              <w:sz w:val="30"/>
              <w:szCs w:val="30"/>
            </w:rPr>
            <w:fldChar w:fldCharType="end"/>
          </w:r>
        </w:p>
        <w:p w14:paraId="5CCADFBA">
          <w:pPr>
            <w:pStyle w:val="13"/>
            <w:adjustRightInd w:val="0"/>
            <w:snapToGrid w:val="0"/>
            <w:spacing w:line="440" w:lineRule="exact"/>
            <w:jc w:val="left"/>
            <w:rPr>
              <w:rFonts w:ascii="仿宋_GB2312" w:hAnsi="MingLiU" w:eastAsia="仿宋_GB2312"/>
              <w:sz w:val="30"/>
              <w:szCs w:val="30"/>
            </w:rPr>
          </w:pPr>
          <w:r>
            <w:fldChar w:fldCharType="begin"/>
          </w:r>
          <w:r>
            <w:instrText xml:space="preserve"> HYPERLINK \l "_Toc32482" </w:instrText>
          </w:r>
          <w:r>
            <w:fldChar w:fldCharType="separate"/>
          </w:r>
          <w:r>
            <w:rPr>
              <w:rFonts w:hint="eastAsia" w:ascii="仿宋_GB2312" w:hAnsi="MingLiU" w:eastAsia="仿宋_GB2312"/>
              <w:sz w:val="30"/>
              <w:szCs w:val="30"/>
            </w:rPr>
            <w:t>十四、国有资本经营预算财政拨款支出决算表</w:t>
          </w:r>
          <w:r>
            <w:rPr>
              <w:rFonts w:hint="eastAsia" w:ascii="仿宋_GB2312" w:hAnsi="MingLiU" w:eastAsia="仿宋_GB2312"/>
              <w:sz w:val="30"/>
              <w:szCs w:val="30"/>
            </w:rPr>
            <w:tab/>
          </w:r>
          <w:r>
            <w:rPr>
              <w:rFonts w:hint="eastAsia" w:ascii="仿宋_GB2312" w:hAnsi="MingLiU" w:eastAsia="仿宋_GB2312"/>
              <w:sz w:val="30"/>
              <w:szCs w:val="30"/>
            </w:rPr>
            <w:fldChar w:fldCharType="begin"/>
          </w:r>
          <w:r>
            <w:rPr>
              <w:rFonts w:hint="eastAsia" w:ascii="仿宋_GB2312" w:hAnsi="MingLiU" w:eastAsia="仿宋_GB2312"/>
              <w:sz w:val="30"/>
              <w:szCs w:val="30"/>
            </w:rPr>
            <w:instrText xml:space="preserve"> PAGEREF _Toc32482 </w:instrText>
          </w:r>
          <w:r>
            <w:rPr>
              <w:rFonts w:hint="eastAsia" w:ascii="仿宋_GB2312" w:hAnsi="MingLiU" w:eastAsia="仿宋_GB2312"/>
              <w:sz w:val="30"/>
              <w:szCs w:val="30"/>
            </w:rPr>
            <w:fldChar w:fldCharType="separate"/>
          </w:r>
          <w:r>
            <w:rPr>
              <w:rFonts w:hint="eastAsia" w:ascii="仿宋_GB2312" w:hAnsi="MingLiU" w:eastAsia="仿宋_GB2312"/>
              <w:sz w:val="30"/>
              <w:szCs w:val="30"/>
            </w:rPr>
            <w:t>50</w:t>
          </w:r>
          <w:r>
            <w:rPr>
              <w:rFonts w:hint="eastAsia" w:ascii="仿宋_GB2312" w:hAnsi="MingLiU" w:eastAsia="仿宋_GB2312"/>
              <w:sz w:val="30"/>
              <w:szCs w:val="30"/>
            </w:rPr>
            <w:fldChar w:fldCharType="end"/>
          </w:r>
          <w:r>
            <w:rPr>
              <w:rFonts w:hint="eastAsia" w:ascii="仿宋_GB2312" w:hAnsi="MingLiU" w:eastAsia="仿宋_GB2312"/>
              <w:sz w:val="30"/>
              <w:szCs w:val="30"/>
            </w:rPr>
            <w:fldChar w:fldCharType="end"/>
          </w:r>
        </w:p>
        <w:p w14:paraId="7EF97C0B">
          <w:pPr>
            <w:pStyle w:val="2"/>
            <w:ind w:firstLine="602"/>
            <w:rPr>
              <w:rFonts w:ascii="仿宋_GB2312" w:hAnsi="MingLiU" w:cs="Times New Roman"/>
              <w:sz w:val="30"/>
              <w:szCs w:val="30"/>
            </w:rPr>
          </w:pPr>
          <w:r>
            <w:rPr>
              <w:rFonts w:ascii="仿宋_GB2312" w:hAnsi="MingLiU" w:cs="Times New Roman"/>
              <w:sz w:val="30"/>
              <w:szCs w:val="30"/>
            </w:rPr>
            <w:fldChar w:fldCharType="end"/>
          </w:r>
        </w:p>
      </w:sdtContent>
    </w:sdt>
    <w:p w14:paraId="5B7FFBEA">
      <w:pPr>
        <w:pStyle w:val="4"/>
        <w:jc w:val="center"/>
        <w:rPr>
          <w:rFonts w:ascii="仿宋_GB2312" w:hAnsi="MingLiU" w:eastAsia="仿宋_GB2312"/>
          <w:kern w:val="2"/>
          <w:sz w:val="30"/>
          <w:szCs w:val="30"/>
        </w:rPr>
      </w:pPr>
      <w:bookmarkStart w:id="16" w:name="_Toc22216"/>
    </w:p>
    <w:p w14:paraId="226AA7E6">
      <w:pPr>
        <w:pStyle w:val="4"/>
        <w:jc w:val="center"/>
        <w:rPr>
          <w:rFonts w:ascii="黑体" w:hAnsi="黑体" w:eastAsia="黑体"/>
          <w:b w:val="0"/>
          <w:sz w:val="30"/>
          <w:szCs w:val="30"/>
        </w:rPr>
      </w:pPr>
    </w:p>
    <w:p w14:paraId="122E1BF0">
      <w:pPr>
        <w:pStyle w:val="4"/>
        <w:jc w:val="center"/>
        <w:rPr>
          <w:rFonts w:ascii="黑体" w:hAnsi="黑体" w:eastAsia="黑体"/>
          <w:b w:val="0"/>
        </w:rPr>
      </w:pPr>
    </w:p>
    <w:p w14:paraId="4260980F">
      <w:pPr>
        <w:pStyle w:val="4"/>
        <w:jc w:val="center"/>
        <w:rPr>
          <w:rFonts w:ascii="黑体" w:hAnsi="黑体" w:eastAsia="黑体"/>
          <w:b w:val="0"/>
        </w:rPr>
      </w:pPr>
    </w:p>
    <w:p w14:paraId="7CFA6C02">
      <w:pPr>
        <w:pStyle w:val="4"/>
        <w:jc w:val="center"/>
        <w:rPr>
          <w:rFonts w:ascii="黑体" w:hAnsi="黑体" w:eastAsia="黑体"/>
          <w:b w:val="0"/>
        </w:rPr>
      </w:pPr>
    </w:p>
    <w:p w14:paraId="7FF62905">
      <w:pPr>
        <w:pStyle w:val="4"/>
        <w:jc w:val="center"/>
        <w:rPr>
          <w:rFonts w:ascii="黑体" w:hAnsi="黑体" w:eastAsia="黑体"/>
          <w:b w:val="0"/>
        </w:rPr>
      </w:pPr>
    </w:p>
    <w:p w14:paraId="44DBEBEC">
      <w:pPr>
        <w:pStyle w:val="4"/>
        <w:rPr>
          <w:rFonts w:ascii="黑体" w:hAnsi="黑体" w:eastAsia="黑体"/>
          <w:b w:val="0"/>
        </w:rPr>
      </w:pPr>
    </w:p>
    <w:p w14:paraId="167FCFD7"/>
    <w:p w14:paraId="45A48F81">
      <w:pPr>
        <w:pStyle w:val="4"/>
        <w:rPr>
          <w:rFonts w:ascii="黑体" w:hAnsi="黑体" w:eastAsia="黑体"/>
          <w:b w:val="0"/>
        </w:rPr>
      </w:pPr>
    </w:p>
    <w:p w14:paraId="19CB55BA">
      <w:pPr>
        <w:pStyle w:val="4"/>
        <w:jc w:val="center"/>
        <w:rPr>
          <w:rStyle w:val="26"/>
          <w:rFonts w:ascii="黑体" w:hAnsi="黑体" w:eastAsia="黑体"/>
          <w:b/>
          <w:bCs w:val="0"/>
        </w:rPr>
      </w:pPr>
      <w:r>
        <w:rPr>
          <w:rFonts w:hint="eastAsia" w:ascii="黑体" w:hAnsi="黑体" w:eastAsia="黑体"/>
          <w:b w:val="0"/>
        </w:rPr>
        <w:t xml:space="preserve">第一部分 </w:t>
      </w:r>
      <w:r>
        <w:rPr>
          <w:rStyle w:val="26"/>
          <w:rFonts w:hint="eastAsia" w:ascii="黑体" w:hAnsi="黑体" w:eastAsia="黑体"/>
          <w:b w:val="0"/>
          <w:bCs w:val="0"/>
        </w:rPr>
        <w:t>部门概况</w:t>
      </w:r>
      <w:bookmarkEnd w:id="14"/>
      <w:bookmarkEnd w:id="15"/>
      <w:bookmarkEnd w:id="16"/>
    </w:p>
    <w:p w14:paraId="1D9ECA2C">
      <w:pPr>
        <w:widowControl/>
        <w:jc w:val="left"/>
        <w:rPr>
          <w:rFonts w:ascii="黑体" w:eastAsia="黑体"/>
          <w:sz w:val="32"/>
          <w:szCs w:val="32"/>
        </w:rPr>
      </w:pPr>
    </w:p>
    <w:p w14:paraId="61D686AC">
      <w:pPr>
        <w:pStyle w:val="5"/>
        <w:numPr>
          <w:ilvl w:val="0"/>
          <w:numId w:val="1"/>
        </w:numPr>
        <w:rPr>
          <w:rStyle w:val="27"/>
          <w:rFonts w:ascii="黑体" w:hAnsi="黑体" w:eastAsia="黑体"/>
          <w:b w:val="0"/>
          <w:bCs w:val="0"/>
        </w:rPr>
      </w:pPr>
      <w:bookmarkStart w:id="17" w:name="_Toc28076"/>
      <w:bookmarkStart w:id="18" w:name="_Toc15377197"/>
      <w:bookmarkStart w:id="19" w:name="_Toc15396600"/>
      <w:r>
        <w:rPr>
          <w:rFonts w:hint="eastAsia" w:ascii="黑体" w:hAnsi="黑体" w:eastAsia="黑体"/>
          <w:b w:val="0"/>
        </w:rPr>
        <w:t>基</w:t>
      </w:r>
      <w:r>
        <w:rPr>
          <w:rStyle w:val="27"/>
          <w:rFonts w:hint="eastAsia" w:ascii="黑体" w:hAnsi="黑体" w:eastAsia="黑体"/>
          <w:b w:val="0"/>
          <w:bCs w:val="0"/>
        </w:rPr>
        <w:t>本职能及主要工作</w:t>
      </w:r>
      <w:bookmarkEnd w:id="17"/>
      <w:bookmarkEnd w:id="18"/>
      <w:bookmarkEnd w:id="19"/>
      <w:bookmarkStart w:id="20" w:name="_Toc15378445"/>
      <w:bookmarkStart w:id="21" w:name="_Toc15377198"/>
    </w:p>
    <w:bookmarkEnd w:id="20"/>
    <w:bookmarkEnd w:id="21"/>
    <w:p w14:paraId="173AFAB8">
      <w:pPr>
        <w:pStyle w:val="7"/>
        <w:adjustRightInd w:val="0"/>
        <w:snapToGrid w:val="0"/>
        <w:spacing w:before="93" w:line="600" w:lineRule="exact"/>
        <w:outlineLvl w:val="2"/>
        <w:rPr>
          <w:rFonts w:ascii="仿宋" w:hAnsi="仿宋" w:eastAsia="仿宋"/>
          <w:bCs/>
          <w:color w:val="000000"/>
          <w:sz w:val="32"/>
          <w:szCs w:val="32"/>
        </w:rPr>
      </w:pPr>
      <w:bookmarkStart w:id="22" w:name="_Toc15377199"/>
      <w:bookmarkStart w:id="23" w:name="_Toc15378446"/>
      <w:r>
        <w:rPr>
          <w:rFonts w:hint="eastAsia" w:ascii="仿宋" w:hAnsi="仿宋" w:eastAsia="仿宋"/>
          <w:bCs/>
          <w:color w:val="000000"/>
          <w:sz w:val="32"/>
          <w:szCs w:val="32"/>
        </w:rPr>
        <w:t>（一）主要职能。</w:t>
      </w:r>
    </w:p>
    <w:p w14:paraId="662F9B40">
      <w:pPr>
        <w:shd w:val="clear" w:color="000000" w:fill="auto"/>
        <w:snapToGrid w:val="0"/>
        <w:spacing w:line="576" w:lineRule="exact"/>
        <w:ind w:firstLine="640" w:firstLineChars="200"/>
        <w:rPr>
          <w:rFonts w:ascii="仿宋_GB2312" w:hAnsi="MingLiU" w:eastAsia="仿宋_GB2312"/>
          <w:color w:val="000000"/>
          <w:sz w:val="32"/>
        </w:rPr>
      </w:pPr>
      <w:r>
        <w:rPr>
          <w:rFonts w:ascii="仿宋_GB2312" w:hAnsi="MingLiU" w:eastAsia="仿宋_GB2312"/>
          <w:sz w:val="32"/>
        </w:rPr>
        <w:t>区卫生健康局贯彻落实党中央关于卫生健康工作的方针政策和省委、市委、区委的决策部署，在履行职责过程中坚持和加强党对卫生健康工作的集中统一领导。主要职责是：</w:t>
      </w:r>
      <w:r>
        <w:rPr>
          <w:rFonts w:hint="eastAsia" w:ascii="仿宋_GB2312" w:hAnsi="MingLiU" w:eastAsia="仿宋_GB2312"/>
          <w:sz w:val="32"/>
        </w:rPr>
        <w:t>(1)</w:t>
      </w:r>
      <w:r>
        <w:rPr>
          <w:rFonts w:ascii="仿宋_GB2312" w:hAnsi="MingLiU" w:eastAsia="仿宋_GB2312"/>
          <w:sz w:val="32"/>
        </w:rPr>
        <w:t>组织拟订全区卫生健康政策</w:t>
      </w:r>
      <w:r>
        <w:rPr>
          <w:rFonts w:hint="eastAsia" w:ascii="仿宋_GB2312" w:hAnsi="MingLiU" w:eastAsia="仿宋_GB2312"/>
          <w:sz w:val="32"/>
        </w:rPr>
        <w:t>。(2)</w:t>
      </w:r>
      <w:r>
        <w:rPr>
          <w:rFonts w:ascii="仿宋_GB2312" w:hAnsi="MingLiU" w:eastAsia="仿宋_GB2312"/>
          <w:sz w:val="32"/>
        </w:rPr>
        <w:t>牵头推进全区深化医药卫生体制改革</w:t>
      </w:r>
      <w:r>
        <w:rPr>
          <w:rFonts w:hint="eastAsia" w:ascii="仿宋_GB2312" w:hAnsi="MingLiU" w:eastAsia="仿宋_GB2312"/>
          <w:sz w:val="32"/>
        </w:rPr>
        <w:t>。(3)</w:t>
      </w:r>
      <w:r>
        <w:rPr>
          <w:rFonts w:ascii="仿宋_GB2312" w:hAnsi="MingLiU" w:eastAsia="仿宋_GB2312"/>
          <w:sz w:val="32"/>
        </w:rPr>
        <w:t>制定并组织落实全区疾病预防控制规划、免疫规划以及严重危害人民健康的艾滋病等重大传染病、寄生虫病、地方病等公共卫生问题的干预措施</w:t>
      </w:r>
      <w:r>
        <w:rPr>
          <w:rFonts w:hint="eastAsia" w:ascii="仿宋_GB2312" w:hAnsi="MingLiU" w:eastAsia="仿宋_GB2312"/>
          <w:sz w:val="32"/>
        </w:rPr>
        <w:t>。（4）</w:t>
      </w:r>
      <w:r>
        <w:rPr>
          <w:rFonts w:ascii="仿宋_GB2312" w:hAnsi="MingLiU" w:eastAsia="仿宋_GB2312"/>
          <w:sz w:val="32"/>
        </w:rPr>
        <w:t>贯彻落实国家应对人口老龄化政策措施。</w:t>
      </w:r>
      <w:r>
        <w:rPr>
          <w:rFonts w:hint="eastAsia" w:ascii="仿宋_GB2312" w:hAnsi="MingLiU" w:eastAsia="仿宋_GB2312"/>
          <w:sz w:val="32"/>
        </w:rPr>
        <w:t>（5）</w:t>
      </w:r>
      <w:r>
        <w:rPr>
          <w:rFonts w:ascii="仿宋_GB2312" w:hAnsi="MingLiU" w:eastAsia="仿宋_GB2312"/>
          <w:sz w:val="32"/>
        </w:rPr>
        <w:t>贯彻落实国家药物政策和国家基本药物制度。</w:t>
      </w:r>
      <w:r>
        <w:rPr>
          <w:rFonts w:hint="eastAsia" w:ascii="仿宋_GB2312" w:hAnsi="MingLiU" w:eastAsia="仿宋_GB2312"/>
          <w:sz w:val="32"/>
        </w:rPr>
        <w:t>（6）</w:t>
      </w:r>
      <w:r>
        <w:rPr>
          <w:rFonts w:ascii="仿宋_GB2312" w:hAnsi="MingLiU" w:eastAsia="仿宋_GB2312"/>
          <w:sz w:val="32"/>
        </w:rPr>
        <w:t>负责职责范围内的职业卫生、放射卫生、环境卫生、学校卫生、公共场所卫生、饮用水卫生等公共卫生的监督管理</w:t>
      </w:r>
      <w:r>
        <w:rPr>
          <w:rFonts w:hint="eastAsia" w:ascii="仿宋_GB2312" w:hAnsi="MingLiU" w:eastAsia="仿宋_GB2312"/>
          <w:sz w:val="32"/>
        </w:rPr>
        <w:t>。（7）</w:t>
      </w:r>
      <w:r>
        <w:rPr>
          <w:rFonts w:ascii="仿宋_GB2312" w:hAnsi="MingLiU" w:eastAsia="仿宋_GB2312"/>
          <w:sz w:val="32"/>
        </w:rPr>
        <w:t>制定全区医疗机构、医疗服务行业管理办法并监督实施，建立医疗服</w:t>
      </w:r>
      <w:r>
        <w:rPr>
          <w:rFonts w:ascii="仿宋_GB2312" w:hAnsi="MingLiU" w:eastAsia="仿宋_GB2312"/>
          <w:color w:val="000000"/>
          <w:sz w:val="32"/>
        </w:rPr>
        <w:t>务评价和监督管理体系。</w:t>
      </w:r>
      <w:r>
        <w:rPr>
          <w:rFonts w:hint="eastAsia" w:ascii="仿宋_GB2312" w:hAnsi="MingLiU" w:eastAsia="仿宋_GB2312"/>
          <w:color w:val="000000"/>
          <w:sz w:val="32"/>
        </w:rPr>
        <w:t>（8）</w:t>
      </w:r>
      <w:r>
        <w:rPr>
          <w:rFonts w:ascii="仿宋_GB2312" w:hAnsi="MingLiU" w:eastAsia="仿宋_GB2312"/>
          <w:color w:val="000000"/>
          <w:sz w:val="32"/>
        </w:rPr>
        <w:t>负责全区计划生育管理和服务工作。</w:t>
      </w:r>
      <w:r>
        <w:rPr>
          <w:rFonts w:hint="eastAsia" w:ascii="仿宋_GB2312" w:hAnsi="MingLiU" w:eastAsia="仿宋_GB2312"/>
          <w:color w:val="000000"/>
          <w:sz w:val="32"/>
        </w:rPr>
        <w:t>(9)</w:t>
      </w:r>
      <w:r>
        <w:rPr>
          <w:rFonts w:ascii="仿宋_GB2312" w:hAnsi="MingLiU" w:eastAsia="仿宋_GB2312"/>
          <w:color w:val="000000"/>
          <w:sz w:val="32"/>
        </w:rPr>
        <w:t>负责全区卫生健康工作。</w:t>
      </w:r>
      <w:r>
        <w:rPr>
          <w:rFonts w:hint="eastAsia" w:ascii="仿宋_GB2312" w:hAnsi="MingLiU" w:eastAsia="仿宋_GB2312"/>
          <w:color w:val="000000"/>
          <w:sz w:val="32"/>
        </w:rPr>
        <w:t>(10)</w:t>
      </w:r>
      <w:r>
        <w:rPr>
          <w:rFonts w:ascii="仿宋_GB2312" w:hAnsi="MingLiU" w:eastAsia="仿宋_GB2312"/>
          <w:color w:val="000000"/>
          <w:sz w:val="32"/>
        </w:rPr>
        <w:t>贯彻执行国家、省促进中医药事业发展的法律法规，拟订全区中医药中长期发展规划并组织实施，促进中药资源的保护、开发和合理利用，拟订全区中药产业发展规划、产业政策和中药的扶持政策并组织实施。</w:t>
      </w:r>
      <w:r>
        <w:rPr>
          <w:rFonts w:hint="eastAsia" w:ascii="仿宋_GB2312" w:hAnsi="MingLiU" w:eastAsia="仿宋_GB2312"/>
          <w:color w:val="000000"/>
          <w:sz w:val="32"/>
        </w:rPr>
        <w:t>(11)</w:t>
      </w:r>
      <w:r>
        <w:rPr>
          <w:rFonts w:ascii="仿宋_GB2312" w:hAnsi="MingLiU" w:eastAsia="仿宋_GB2312"/>
          <w:color w:val="000000"/>
          <w:sz w:val="32"/>
        </w:rPr>
        <w:t>负责区确定的保健对象的医疗保健工作。负责区直有关部门（单位）离休干部医疗管理工作。负责重要会议与重大活动的医疗卫生保障工作</w:t>
      </w:r>
      <w:r>
        <w:rPr>
          <w:rFonts w:hint="eastAsia" w:ascii="仿宋_GB2312" w:hAnsi="MingLiU" w:eastAsia="仿宋_GB2312"/>
          <w:color w:val="000000"/>
          <w:sz w:val="32"/>
        </w:rPr>
        <w:t>。（12）</w:t>
      </w:r>
      <w:r>
        <w:rPr>
          <w:rFonts w:ascii="仿宋_GB2312" w:hAnsi="MingLiU" w:eastAsia="仿宋_GB2312"/>
          <w:color w:val="000000"/>
          <w:sz w:val="32"/>
        </w:rPr>
        <w:t>指导区计划生育协会的业务工作。</w:t>
      </w:r>
      <w:r>
        <w:rPr>
          <w:rFonts w:hint="eastAsia" w:ascii="仿宋_GB2312" w:hAnsi="MingLiU" w:eastAsia="仿宋_GB2312"/>
          <w:color w:val="000000"/>
          <w:sz w:val="32"/>
        </w:rPr>
        <w:t>（13）</w:t>
      </w:r>
      <w:r>
        <w:rPr>
          <w:rFonts w:ascii="仿宋_GB2312" w:hAnsi="MingLiU" w:eastAsia="仿宋_GB2312"/>
          <w:color w:val="000000"/>
          <w:sz w:val="32"/>
        </w:rPr>
        <w:t>依法依规履行卫生健康行业安全生产监督管理职责。负责职责范围内的生态环境保护、审批服务便民化等工作。</w:t>
      </w:r>
      <w:r>
        <w:rPr>
          <w:rFonts w:hint="eastAsia" w:ascii="仿宋_GB2312" w:hAnsi="MingLiU" w:eastAsia="仿宋_GB2312"/>
          <w:color w:val="000000"/>
          <w:sz w:val="32"/>
        </w:rPr>
        <w:t>（14）</w:t>
      </w:r>
      <w:r>
        <w:rPr>
          <w:rFonts w:ascii="仿宋_GB2312" w:hAnsi="MingLiU" w:eastAsia="仿宋_GB2312"/>
          <w:color w:val="000000"/>
          <w:sz w:val="32"/>
        </w:rPr>
        <w:t>完成区委、区政府交办的其他任务。</w:t>
      </w:r>
    </w:p>
    <w:p w14:paraId="4ED86A31">
      <w:pPr>
        <w:pStyle w:val="7"/>
        <w:adjustRightInd w:val="0"/>
        <w:snapToGrid w:val="0"/>
        <w:spacing w:before="93" w:line="600" w:lineRule="exact"/>
        <w:outlineLvl w:val="2"/>
        <w:rPr>
          <w:rFonts w:ascii="仿宋" w:hAnsi="仿宋" w:eastAsia="仿宋"/>
          <w:bCs/>
          <w:sz w:val="32"/>
          <w:szCs w:val="32"/>
        </w:rPr>
      </w:pPr>
      <w:r>
        <w:rPr>
          <w:rFonts w:hint="eastAsia" w:ascii="仿宋" w:hAnsi="仿宋" w:eastAsia="仿宋"/>
          <w:bCs/>
          <w:sz w:val="32"/>
          <w:szCs w:val="32"/>
        </w:rPr>
        <w:t>（二）</w:t>
      </w:r>
      <w:r>
        <w:rPr>
          <w:rFonts w:ascii="仿宋" w:hAnsi="仿宋" w:eastAsia="仿宋"/>
          <w:bCs/>
          <w:sz w:val="32"/>
          <w:szCs w:val="32"/>
        </w:rPr>
        <w:t>20</w:t>
      </w:r>
      <w:r>
        <w:rPr>
          <w:rFonts w:hint="eastAsia" w:ascii="仿宋" w:hAnsi="仿宋" w:eastAsia="仿宋"/>
          <w:bCs/>
          <w:sz w:val="32"/>
          <w:szCs w:val="32"/>
        </w:rPr>
        <w:t>21年重点工作完成情况。</w:t>
      </w:r>
      <w:bookmarkEnd w:id="22"/>
      <w:bookmarkEnd w:id="23"/>
    </w:p>
    <w:p w14:paraId="3E0D5C0D">
      <w:pPr>
        <w:spacing w:line="576" w:lineRule="exact"/>
        <w:ind w:firstLine="640" w:firstLineChars="200"/>
        <w:rPr>
          <w:rFonts w:ascii="仿宋_GB2312" w:hAnsi="Calibri" w:eastAsia="仿宋_GB2312" w:cs="仿宋_GB2312"/>
          <w:sz w:val="32"/>
          <w:szCs w:val="32"/>
        </w:rPr>
      </w:pPr>
      <w:r>
        <w:rPr>
          <w:rFonts w:hint="eastAsia" w:ascii="楷体_GB2312" w:hAnsi="楷体_GB2312" w:eastAsia="楷体_GB2312" w:cs="楷体_GB2312"/>
          <w:sz w:val="32"/>
          <w:szCs w:val="32"/>
        </w:rPr>
        <w:t>1、疫情防控工作精准有效。</w:t>
      </w:r>
      <w:r>
        <w:rPr>
          <w:rFonts w:hint="eastAsia" w:ascii="仿宋_GB2312" w:hAnsi="Calibri" w:eastAsia="仿宋_GB2312" w:cs="仿宋_GB2312"/>
          <w:sz w:val="32"/>
          <w:szCs w:val="32"/>
        </w:rPr>
        <w:t>一是严格落实“外防输入”总体防控策略，持续做好境外和国内中高风险地区来（返）昭人员排查管控，形成覆盖区、镇、村三级疫情防控网络，累计排查国内中高风险地区返昭42人，中高风险地区及病例所在市区返乡3523人，境外返昭103人，均按规定管控到位。二是严格执行24小时值班和每日调度制度，调整充实核酸采样、流调、接种等应急队伍，常态开展疫情防控应急演练。果断有效处置2例境外输入无症状感染者或确诊病例，未造成疫情外溢。三是完善《广元市昭化区新冠病毒全员核酸检测实施方案》，全区2家核酸检测实验室累计检测170792份，做到“应检尽检”。四是创新配备疫苗流动接种车，进村入户为群众提供接种服务。截至12月28日，全区29个接种点及流动疫苗接种车共接种疫苗242490剂次，其中第一剂接种105739剂次，第二剂接种102125剂次，第三剂接种1251剂次，加强针接种33375剂次。</w:t>
      </w:r>
    </w:p>
    <w:p w14:paraId="2E719347">
      <w:pPr>
        <w:pStyle w:val="24"/>
        <w:spacing w:line="576"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2、重点项目建设扎实推进。一是</w:t>
      </w:r>
      <w:r>
        <w:rPr>
          <w:rFonts w:hint="eastAsia" w:ascii="仿宋_GB2312" w:eastAsia="仿宋_GB2312" w:cs="仿宋_GB2312"/>
          <w:color w:val="auto"/>
          <w:kern w:val="2"/>
          <w:sz w:val="32"/>
          <w:szCs w:val="32"/>
        </w:rPr>
        <w:t>科学谋划编制卫生健康系列发展“十四五”规划，</w:t>
      </w:r>
      <w:r>
        <w:rPr>
          <w:rFonts w:hint="eastAsia" w:ascii="仿宋_GB2312" w:hAnsi="仿宋_GB2312" w:eastAsia="仿宋_GB2312" w:cs="仿宋_GB2312"/>
          <w:sz w:val="32"/>
          <w:szCs w:val="32"/>
        </w:rPr>
        <w:t>修改编制项目36个，总投资达216亿元。</w:t>
      </w:r>
      <w:r>
        <w:rPr>
          <w:rFonts w:hint="eastAsia" w:ascii="楷体_GB2312" w:hAnsi="楷体_GB2312" w:eastAsia="楷体_GB2312" w:cs="楷体_GB2312"/>
          <w:sz w:val="32"/>
          <w:szCs w:val="32"/>
        </w:rPr>
        <w:t>二是</w:t>
      </w:r>
      <w:r>
        <w:rPr>
          <w:rFonts w:hint="eastAsia" w:ascii="仿宋_GB2312" w:hAnsi="仿宋_GB2312" w:eastAsia="仿宋_GB2312" w:cs="仿宋_GB2312"/>
          <w:sz w:val="32"/>
          <w:szCs w:val="32"/>
        </w:rPr>
        <w:t>争取债券资金2000万元，加快建设广元市昭化区人民医院传染病区及危急重症能力提升项目，目前主体已竣工。</w:t>
      </w:r>
      <w:r>
        <w:rPr>
          <w:rFonts w:hint="eastAsia" w:ascii="楷体_GB2312" w:hAnsi="楷体_GB2312" w:eastAsia="楷体_GB2312" w:cs="楷体_GB2312"/>
          <w:sz w:val="32"/>
          <w:szCs w:val="32"/>
        </w:rPr>
        <w:t>三是</w:t>
      </w:r>
      <w:r>
        <w:rPr>
          <w:rFonts w:hint="eastAsia" w:ascii="仿宋_GB2312" w:hAnsi="仿宋_GB2312" w:eastAsia="仿宋_GB2312" w:cs="仿宋_GB2312"/>
          <w:sz w:val="32"/>
          <w:szCs w:val="32"/>
        </w:rPr>
        <w:t>积极向上争取</w:t>
      </w:r>
      <w:r>
        <w:rPr>
          <w:rFonts w:hint="eastAsia" w:ascii="仿宋_GB2312" w:hAnsi="宋体" w:eastAsia="仿宋_GB2312" w:cs="宋体"/>
          <w:sz w:val="32"/>
          <w:szCs w:val="32"/>
        </w:rPr>
        <w:t>区人民医院传染病区及危急重症能力提升建设、区疾病预防控制中心能力提升等5个</w:t>
      </w:r>
      <w:r>
        <w:rPr>
          <w:rFonts w:hint="eastAsia" w:ascii="仿宋_GB2312" w:hAnsi="仿宋_GB2312" w:eastAsia="仿宋_GB2312" w:cs="仿宋_GB2312"/>
          <w:sz w:val="32"/>
          <w:szCs w:val="32"/>
        </w:rPr>
        <w:t>项目，目前正开展前期工作，预计明年开工。</w:t>
      </w:r>
    </w:p>
    <w:p w14:paraId="18D96523">
      <w:pPr>
        <w:spacing w:line="576" w:lineRule="exact"/>
        <w:ind w:firstLine="640" w:firstLineChars="200"/>
        <w:jc w:val="left"/>
        <w:rPr>
          <w:rFonts w:ascii="仿宋_GB2312" w:hAnsi="仿宋_GB2312" w:eastAsia="仿宋_GB2312" w:cs="仿宋_GB2312"/>
          <w:sz w:val="32"/>
          <w:szCs w:val="32"/>
        </w:rPr>
      </w:pPr>
      <w:r>
        <w:rPr>
          <w:rFonts w:hint="eastAsia" w:ascii="楷体_GB2312" w:hAnsi="楷体_GB2312" w:eastAsia="楷体_GB2312" w:cs="楷体_GB2312"/>
          <w:sz w:val="32"/>
          <w:szCs w:val="32"/>
        </w:rPr>
        <w:t>3、乡村振兴战略有效接续。一是</w:t>
      </w:r>
      <w:r>
        <w:rPr>
          <w:rFonts w:hint="eastAsia" w:ascii="仿宋_GB2312" w:hAnsi="宋体" w:eastAsia="仿宋_GB2312" w:cs="宋体"/>
          <w:kern w:val="0"/>
          <w:sz w:val="32"/>
          <w:szCs w:val="32"/>
        </w:rPr>
        <w:t>两项改革后</w:t>
      </w:r>
      <w:r>
        <w:rPr>
          <w:rFonts w:hint="eastAsia" w:ascii="仿宋_GB2312" w:hAnsi="仿宋_GB2312" w:eastAsia="仿宋_GB2312" w:cs="仿宋_GB2312"/>
          <w:sz w:val="32"/>
          <w:szCs w:val="32"/>
          <w:lang w:bidi="zh-TW"/>
        </w:rPr>
        <w:t>全区</w:t>
      </w:r>
      <w:r>
        <w:rPr>
          <w:rFonts w:ascii="仿宋_GB2312" w:hAnsi="仿宋_GB2312" w:eastAsia="仿宋_GB2312" w:cs="仿宋_GB2312"/>
          <w:sz w:val="32"/>
          <w:szCs w:val="32"/>
          <w:lang w:bidi="zh-TW"/>
        </w:rPr>
        <w:t>保留11个建制卫生院、1个社区卫生服务中心和1个地名卫生院，独立卫生院减幅54%；保留村卫生室126个，拆并60个，减幅32%</w:t>
      </w:r>
      <w:r>
        <w:rPr>
          <w:rFonts w:hint="eastAsia" w:ascii="仿宋_GB2312" w:hAnsi="宋体" w:eastAsia="仿宋_GB2312" w:cs="宋体"/>
          <w:kern w:val="0"/>
          <w:sz w:val="32"/>
          <w:szCs w:val="32"/>
        </w:rPr>
        <w:t>；全科医生数达到每万人3.2个，超过国家标准；</w:t>
      </w:r>
      <w:r>
        <w:rPr>
          <w:rFonts w:hint="eastAsia" w:ascii="仿宋_GB2312" w:eastAsia="仿宋_GB2312"/>
          <w:sz w:val="32"/>
          <w:szCs w:val="32"/>
        </w:rPr>
        <w:t>完成</w:t>
      </w:r>
      <w:r>
        <w:rPr>
          <w:rFonts w:hint="eastAsia" w:ascii="仿宋_GB2312" w:hAnsi="Calibri" w:eastAsia="仿宋_GB2312"/>
          <w:sz w:val="32"/>
          <w:szCs w:val="32"/>
        </w:rPr>
        <w:t>博士工作站、葭萌医疗服务团队，城乡医疗对口支援等专项工作，引导人才技术力量下沉</w:t>
      </w:r>
      <w:r>
        <w:rPr>
          <w:rFonts w:hint="eastAsia" w:ascii="仿宋_GB2312" w:eastAsia="仿宋_GB2312"/>
          <w:sz w:val="32"/>
          <w:szCs w:val="32"/>
        </w:rPr>
        <w:t>。</w:t>
      </w:r>
      <w:r>
        <w:rPr>
          <w:rFonts w:hint="eastAsia" w:ascii="楷体_GB2312" w:hAnsi="楷体_GB2312" w:eastAsia="楷体_GB2312" w:cs="楷体_GB2312"/>
          <w:sz w:val="32"/>
          <w:szCs w:val="32"/>
        </w:rPr>
        <w:t>二是</w:t>
      </w:r>
      <w:r>
        <w:rPr>
          <w:rFonts w:hint="eastAsia" w:ascii="仿宋_GB2312" w:hAnsi="仿宋_GB2312" w:eastAsia="仿宋_GB2312" w:cs="仿宋_GB2312"/>
          <w:sz w:val="32"/>
          <w:szCs w:val="32"/>
          <w:lang w:bidi="zh-TW"/>
        </w:rPr>
        <w:t>落实“因病致贫返贫”长效机制，保持现有健康扶贫政策稳定，</w:t>
      </w:r>
      <w:r>
        <w:rPr>
          <w:rFonts w:hint="eastAsia" w:ascii="仿宋_GB2312" w:hAnsi="仿宋_GB2312" w:eastAsia="仿宋_GB2312" w:cs="仿宋_GB2312"/>
          <w:sz w:val="32"/>
          <w:szCs w:val="32"/>
        </w:rPr>
        <w:t>全年发放卫生扶贫基金救助691人次，金额达350.98万元；</w:t>
      </w:r>
      <w:r>
        <w:rPr>
          <w:rFonts w:hint="eastAsia" w:ascii="仿宋_GB2312" w:hAnsi="仿宋_GB2312" w:eastAsia="仿宋_GB2312" w:cs="仿宋_GB2312"/>
          <w:sz w:val="32"/>
          <w:szCs w:val="32"/>
          <w:lang w:bidi="zh-TW"/>
        </w:rPr>
        <w:t>继续落实家庭医生签约机制，脱贫人口签约率达100%</w:t>
      </w:r>
      <w:r>
        <w:rPr>
          <w:rFonts w:hint="eastAsia" w:ascii="仿宋_GB2312" w:hAnsi="仿宋_GB2312" w:eastAsia="仿宋_GB2312" w:cs="仿宋_GB2312"/>
          <w:sz w:val="32"/>
          <w:szCs w:val="32"/>
        </w:rPr>
        <w:t>。</w:t>
      </w:r>
      <w:r>
        <w:rPr>
          <w:rFonts w:hint="eastAsia" w:ascii="楷体_GB2312" w:hAnsi="楷体_GB2312" w:eastAsia="楷体_GB2312" w:cs="楷体_GB2312"/>
          <w:sz w:val="32"/>
          <w:szCs w:val="32"/>
        </w:rPr>
        <w:t>三是</w:t>
      </w:r>
      <w:r>
        <w:rPr>
          <w:rFonts w:hint="eastAsia" w:ascii="仿宋_GB2312" w:hAnsi="仿宋_GB2312" w:eastAsia="仿宋_GB2312" w:cs="仿宋_GB2312"/>
          <w:sz w:val="32"/>
          <w:szCs w:val="32"/>
        </w:rPr>
        <w:t>争取浙江拱墅区120万项目资金为区人民医院、区妇幼保健院采购3辆监护型救护车，现已投入使用。</w:t>
      </w:r>
    </w:p>
    <w:p w14:paraId="720E6508">
      <w:pPr>
        <w:spacing w:line="576" w:lineRule="exact"/>
        <w:ind w:firstLine="640" w:firstLineChars="200"/>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4、疾病预防控制体系不断完善。一是</w:t>
      </w:r>
      <w:r>
        <w:rPr>
          <w:rFonts w:hint="eastAsia" w:ascii="仿宋_GB2312" w:hAnsi="仿宋_GB2312" w:eastAsia="仿宋_GB2312" w:cs="仿宋_GB2312"/>
          <w:kern w:val="0"/>
          <w:sz w:val="32"/>
          <w:szCs w:val="32"/>
        </w:rPr>
        <w:t>修订完善《昭化区突发公共卫生事件应急预案》，建成区疾控中心、区人民医院2家核酸检测实验室，完成隔离场所规范化改造，提升了疾病预防控制能力。</w:t>
      </w:r>
      <w:r>
        <w:rPr>
          <w:rFonts w:hint="eastAsia" w:ascii="楷体_GB2312" w:hAnsi="楷体_GB2312" w:eastAsia="楷体_GB2312" w:cs="楷体_GB2312"/>
          <w:sz w:val="32"/>
          <w:szCs w:val="32"/>
        </w:rPr>
        <w:t>二是</w:t>
      </w:r>
      <w:r>
        <w:rPr>
          <w:rFonts w:hint="eastAsia" w:ascii="仿宋_GB2312" w:hAnsi="仿宋_GB2312" w:eastAsia="仿宋_GB2312" w:cs="仿宋_GB2312"/>
          <w:kern w:val="0"/>
          <w:sz w:val="32"/>
          <w:szCs w:val="32"/>
        </w:rPr>
        <w:t>健全医疗机构远程诊疗运行机制，做到区、镇、村三级联动，依托区人民医院建设传染病预约咨询平台，实现更加精准预检分诊。</w:t>
      </w:r>
      <w:r>
        <w:rPr>
          <w:rFonts w:hint="eastAsia" w:ascii="楷体_GB2312" w:hAnsi="楷体_GB2312" w:eastAsia="楷体_GB2312" w:cs="楷体_GB2312"/>
          <w:sz w:val="32"/>
          <w:szCs w:val="32"/>
        </w:rPr>
        <w:t>三是</w:t>
      </w:r>
      <w:r>
        <w:rPr>
          <w:rFonts w:hint="eastAsia" w:ascii="仿宋_GB2312" w:hAnsi="仿宋_GB2312" w:eastAsia="仿宋_GB2312" w:cs="仿宋_GB2312"/>
          <w:color w:val="000000"/>
          <w:sz w:val="32"/>
          <w:szCs w:val="32"/>
        </w:rPr>
        <w:t>落实艾滋病防控措施，强化源头管控，做到“三个必检”，切断传播途径；持续开展农村饮用水、青少年近视调查及学生重点常见病和教学环境监测，以及公共场所、职业健康、食品安全风险等监测，全面完成监测任务。</w:t>
      </w:r>
    </w:p>
    <w:p w14:paraId="63384812">
      <w:pPr>
        <w:spacing w:line="576" w:lineRule="exact"/>
        <w:ind w:firstLine="640" w:firstLineChars="200"/>
        <w:rPr>
          <w:rFonts w:ascii="仿宋_GB2312" w:hAnsi="Calibri" w:eastAsia="仿宋_GB2312"/>
          <w:sz w:val="32"/>
          <w:szCs w:val="32"/>
        </w:rPr>
      </w:pPr>
      <w:r>
        <w:rPr>
          <w:rFonts w:hint="eastAsia" w:ascii="楷体_GB2312" w:hAnsi="楷体_GB2312" w:eastAsia="楷体_GB2312" w:cs="楷体_GB2312"/>
          <w:sz w:val="32"/>
          <w:szCs w:val="32"/>
        </w:rPr>
        <w:t>5、医疗体制改革持续深化。一是</w:t>
      </w:r>
      <w:r>
        <w:rPr>
          <w:rFonts w:hint="eastAsia" w:ascii="仿宋_GB2312" w:hAnsi="Calibri" w:eastAsia="仿宋_GB2312"/>
          <w:sz w:val="32"/>
          <w:szCs w:val="32"/>
        </w:rPr>
        <w:t>出台《昭化区乡村医疗机构服务能力提升工作方案》</w:t>
      </w:r>
      <w:r>
        <w:rPr>
          <w:rFonts w:hint="eastAsia" w:ascii="仿宋_GB2312" w:eastAsia="仿宋_GB2312"/>
          <w:sz w:val="32"/>
          <w:szCs w:val="32"/>
        </w:rPr>
        <w:t>，完成</w:t>
      </w:r>
      <w:r>
        <w:rPr>
          <w:rFonts w:hint="eastAsia" w:ascii="仿宋_GB2312" w:hAnsi="Calibri" w:eastAsia="仿宋_GB2312"/>
          <w:sz w:val="32"/>
          <w:szCs w:val="32"/>
        </w:rPr>
        <w:t>撤并乡镇卫生院资产清理、财务核实等内审工作；建制镇卫生院与分院人员编制方案已经区委编办审核批复</w:t>
      </w:r>
      <w:r>
        <w:rPr>
          <w:rFonts w:hint="eastAsia" w:ascii="仿宋_GB2312" w:eastAsia="仿宋_GB2312"/>
          <w:sz w:val="32"/>
          <w:szCs w:val="32"/>
        </w:rPr>
        <w:t>。</w:t>
      </w:r>
      <w:r>
        <w:rPr>
          <w:rFonts w:hint="eastAsia" w:ascii="楷体_GB2312" w:hAnsi="楷体_GB2312" w:eastAsia="楷体_GB2312" w:cs="楷体_GB2312"/>
          <w:sz w:val="32"/>
          <w:szCs w:val="32"/>
        </w:rPr>
        <w:t>二是</w:t>
      </w:r>
      <w:r>
        <w:rPr>
          <w:rFonts w:hint="eastAsia" w:ascii="仿宋_GB2312" w:hAnsi="Calibri" w:eastAsia="仿宋_GB2312"/>
          <w:sz w:val="32"/>
          <w:szCs w:val="32"/>
        </w:rPr>
        <w:t>编制《昭化区县域医疗卫生次中心规划方案（2021-2025年）》，启动卫子镇中心卫生院县域医疗卫生次中心建设</w:t>
      </w:r>
      <w:r>
        <w:rPr>
          <w:rFonts w:hint="eastAsia" w:ascii="仿宋_GB2312" w:eastAsia="仿宋_GB2312"/>
          <w:sz w:val="32"/>
          <w:szCs w:val="32"/>
        </w:rPr>
        <w:t>前期工作</w:t>
      </w:r>
      <w:r>
        <w:rPr>
          <w:rFonts w:hint="eastAsia" w:ascii="仿宋_GB2312" w:hAnsi="Calibri" w:eastAsia="仿宋_GB2312"/>
          <w:sz w:val="32"/>
          <w:szCs w:val="32"/>
        </w:rPr>
        <w:t>。</w:t>
      </w:r>
      <w:r>
        <w:rPr>
          <w:rFonts w:hint="eastAsia" w:ascii="楷体_GB2312" w:hAnsi="楷体_GB2312" w:eastAsia="楷体_GB2312" w:cs="楷体_GB2312"/>
          <w:sz w:val="32"/>
          <w:szCs w:val="32"/>
        </w:rPr>
        <w:t>三是</w:t>
      </w:r>
      <w:r>
        <w:rPr>
          <w:rFonts w:hint="eastAsia" w:ascii="仿宋_GB2312" w:hAnsi="Calibri" w:eastAsia="仿宋_GB2312"/>
          <w:sz w:val="32"/>
          <w:szCs w:val="32"/>
        </w:rPr>
        <w:t>规范落实区域内医疗机构分级诊疗</w:t>
      </w:r>
      <w:r>
        <w:rPr>
          <w:rFonts w:hint="eastAsia" w:ascii="仿宋_GB2312" w:eastAsia="仿宋_GB2312"/>
          <w:sz w:val="32"/>
          <w:szCs w:val="32"/>
        </w:rPr>
        <w:t>和</w:t>
      </w:r>
      <w:r>
        <w:rPr>
          <w:rFonts w:hint="eastAsia" w:ascii="仿宋_GB2312" w:hAnsi="Calibri" w:eastAsia="仿宋_GB2312"/>
          <w:sz w:val="32"/>
          <w:szCs w:val="32"/>
        </w:rPr>
        <w:t>双向转诊制度，</w:t>
      </w:r>
      <w:r>
        <w:rPr>
          <w:rFonts w:hint="eastAsia" w:ascii="仿宋_GB2312" w:eastAsia="仿宋_GB2312"/>
          <w:sz w:val="32"/>
          <w:szCs w:val="32"/>
        </w:rPr>
        <w:t>强化</w:t>
      </w:r>
      <w:r>
        <w:rPr>
          <w:rFonts w:hint="eastAsia" w:ascii="仿宋_GB2312" w:hAnsi="Calibri" w:eastAsia="仿宋_GB2312"/>
          <w:sz w:val="32"/>
          <w:szCs w:val="32"/>
        </w:rPr>
        <w:t>区</w:t>
      </w:r>
      <w:r>
        <w:rPr>
          <w:rFonts w:hint="eastAsia" w:ascii="仿宋_GB2312" w:eastAsia="仿宋_GB2312"/>
          <w:sz w:val="32"/>
          <w:szCs w:val="32"/>
        </w:rPr>
        <w:t>镇</w:t>
      </w:r>
      <w:r>
        <w:rPr>
          <w:rFonts w:hint="eastAsia" w:ascii="仿宋_GB2312" w:hAnsi="Calibri" w:eastAsia="仿宋_GB2312"/>
          <w:sz w:val="32"/>
          <w:szCs w:val="32"/>
        </w:rPr>
        <w:t>级医疗机构辐射能力建设，</w:t>
      </w:r>
      <w:r>
        <w:rPr>
          <w:rFonts w:hint="eastAsia" w:ascii="仿宋_GB2312" w:eastAsia="仿宋_GB2312"/>
          <w:sz w:val="32"/>
          <w:szCs w:val="32"/>
        </w:rPr>
        <w:t>有效</w:t>
      </w:r>
      <w:r>
        <w:rPr>
          <w:rFonts w:hint="eastAsia" w:ascii="仿宋_GB2312" w:hAnsi="Calibri" w:eastAsia="仿宋_GB2312"/>
          <w:sz w:val="32"/>
          <w:szCs w:val="32"/>
        </w:rPr>
        <w:t>降低患者转诊率，区内就诊率年均上升3.5%</w:t>
      </w:r>
      <w:r>
        <w:rPr>
          <w:rFonts w:hint="eastAsia" w:ascii="仿宋_GB2312" w:eastAsia="仿宋_GB2312"/>
          <w:sz w:val="32"/>
          <w:szCs w:val="32"/>
        </w:rPr>
        <w:t>左右</w:t>
      </w:r>
      <w:r>
        <w:rPr>
          <w:rFonts w:hint="eastAsia" w:ascii="仿宋_GB2312" w:hAnsi="Calibri" w:eastAsia="仿宋_GB2312"/>
          <w:sz w:val="32"/>
          <w:szCs w:val="32"/>
        </w:rPr>
        <w:t>。</w:t>
      </w:r>
      <w:r>
        <w:rPr>
          <w:rFonts w:hint="eastAsia" w:ascii="楷体_GB2312" w:hAnsi="楷体_GB2312" w:eastAsia="楷体_GB2312" w:cs="楷体_GB2312"/>
          <w:sz w:val="32"/>
          <w:szCs w:val="32"/>
        </w:rPr>
        <w:t>四是</w:t>
      </w:r>
      <w:r>
        <w:rPr>
          <w:rFonts w:hint="eastAsia" w:ascii="仿宋_GB2312" w:hAnsi="仿宋_GB2312" w:eastAsia="仿宋_GB2312" w:cs="仿宋_GB2312"/>
          <w:color w:val="000000"/>
          <w:kern w:val="36"/>
          <w:sz w:val="32"/>
          <w:szCs w:val="32"/>
        </w:rPr>
        <w:t>围绕“大处方、泛</w:t>
      </w:r>
      <w:r>
        <w:rPr>
          <w:rFonts w:hint="eastAsia" w:ascii="仿宋_GB2312" w:hAnsi="Calibri" w:eastAsia="仿宋_GB2312"/>
          <w:sz w:val="32"/>
          <w:szCs w:val="32"/>
        </w:rPr>
        <w:t>耗材”</w:t>
      </w:r>
      <w:r>
        <w:rPr>
          <w:rFonts w:hint="eastAsia" w:ascii="仿宋_GB2312" w:eastAsia="仿宋_GB2312"/>
          <w:sz w:val="32"/>
          <w:szCs w:val="32"/>
        </w:rPr>
        <w:t>等不合理检查</w:t>
      </w:r>
      <w:r>
        <w:rPr>
          <w:rFonts w:hint="eastAsia" w:ascii="仿宋_GB2312" w:hAnsi="Calibri" w:eastAsia="仿宋_GB2312"/>
          <w:sz w:val="32"/>
          <w:szCs w:val="32"/>
        </w:rPr>
        <w:t>开展行业专项治理，全区34家医疗机构自查问题105条，涉及违规金额2.14万元，已</w:t>
      </w:r>
      <w:r>
        <w:rPr>
          <w:rFonts w:hint="eastAsia" w:ascii="仿宋_GB2312" w:eastAsia="仿宋_GB2312"/>
          <w:sz w:val="32"/>
          <w:szCs w:val="32"/>
        </w:rPr>
        <w:t>全部</w:t>
      </w:r>
      <w:r>
        <w:rPr>
          <w:rFonts w:hint="eastAsia" w:ascii="仿宋_GB2312" w:hAnsi="Calibri" w:eastAsia="仿宋_GB2312"/>
          <w:sz w:val="32"/>
          <w:szCs w:val="32"/>
        </w:rPr>
        <w:t>完成整改，约谈问题单位院长5人，医务人员43人，扣罚绩效0.91万元。</w:t>
      </w:r>
    </w:p>
    <w:p w14:paraId="4DC30C74">
      <w:pPr>
        <w:overflowPunct w:val="0"/>
        <w:snapToGrid w:val="0"/>
        <w:spacing w:line="576"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6、医疗服务能力稳步提升。一是</w:t>
      </w:r>
      <w:r>
        <w:rPr>
          <w:rFonts w:hint="eastAsia" w:ascii="仿宋_GB2312" w:eastAsia="仿宋_GB2312" w:cs="仿宋_GB2312"/>
          <w:sz w:val="32"/>
          <w:szCs w:val="32"/>
        </w:rPr>
        <w:t>组织各医疗机构业务院长、骨干医生、院感、护理等专业人才开展业务培训25批次,提升医护人员业务能力。</w:t>
      </w:r>
      <w:r>
        <w:rPr>
          <w:rFonts w:hint="eastAsia" w:ascii="楷体_GB2312" w:hAnsi="楷体_GB2312" w:eastAsia="楷体_GB2312" w:cs="楷体_GB2312"/>
          <w:sz w:val="32"/>
          <w:szCs w:val="32"/>
        </w:rPr>
        <w:t>二是</w:t>
      </w:r>
      <w:r>
        <w:rPr>
          <w:rFonts w:hint="eastAsia" w:ascii="仿宋_GB2312" w:eastAsia="仿宋_GB2312" w:cs="仿宋_GB2312"/>
          <w:sz w:val="32"/>
          <w:szCs w:val="32"/>
        </w:rPr>
        <w:t>通过东西部协作进行人才交流15人，培训医院管理及影像、中医等医学专业人员200余人次，招聘急需紧缺专业人才7名；利用杭州市医疗资源优势，邀请5名专家来昭授课，为乡村培养中医适宜技术人员80人。</w:t>
      </w:r>
      <w:r>
        <w:rPr>
          <w:rFonts w:hint="eastAsia" w:ascii="楷体_GB2312" w:hAnsi="楷体_GB2312" w:eastAsia="楷体_GB2312" w:cs="楷体_GB2312"/>
          <w:sz w:val="32"/>
          <w:szCs w:val="32"/>
        </w:rPr>
        <w:t>三是</w:t>
      </w:r>
      <w:r>
        <w:rPr>
          <w:rFonts w:hint="eastAsia" w:ascii="仿宋_GB2312" w:hAnsi="仿宋_GB2312" w:eastAsia="仿宋_GB2312" w:cs="仿宋_GB2312"/>
          <w:sz w:val="32"/>
          <w:szCs w:val="32"/>
        </w:rPr>
        <w:t>健全区内医疗质量控制体系建设，完善15个医疗质量控制小组技术力量，实现全区医疗质量控制管理全覆盖。</w:t>
      </w:r>
      <w:r>
        <w:rPr>
          <w:rFonts w:hint="eastAsia" w:ascii="楷体_GB2312" w:hAnsi="楷体_GB2312" w:eastAsia="楷体_GB2312" w:cs="楷体_GB2312"/>
          <w:sz w:val="32"/>
          <w:szCs w:val="32"/>
        </w:rPr>
        <w:t>四是</w:t>
      </w:r>
      <w:r>
        <w:rPr>
          <w:rFonts w:hint="eastAsia" w:ascii="仿宋_GB2312" w:hAnsi="仿宋_GB2312" w:eastAsia="仿宋_GB2312" w:cs="仿宋_GB2312"/>
          <w:sz w:val="32"/>
          <w:szCs w:val="32"/>
        </w:rPr>
        <w:t>用好区人民医院巡回体检“家门口”诊疗模式，有效减轻患者就诊负担，慢病管理、儿童孕产妇管理、老年人管理、健康教育全面加强。</w:t>
      </w:r>
      <w:r>
        <w:rPr>
          <w:rFonts w:hint="eastAsia" w:ascii="楷体_GB2312" w:hAnsi="楷体_GB2312" w:eastAsia="楷体_GB2312" w:cs="楷体_GB2312"/>
          <w:sz w:val="32"/>
          <w:szCs w:val="32"/>
        </w:rPr>
        <w:t>五是</w:t>
      </w:r>
      <w:r>
        <w:rPr>
          <w:rFonts w:hint="eastAsia" w:ascii="仿宋_GB2312" w:hAnsi="仿宋_GB2312" w:eastAsia="仿宋_GB2312" w:cs="仿宋_GB2312"/>
          <w:sz w:val="32"/>
          <w:szCs w:val="32"/>
        </w:rPr>
        <w:t>为12个建制镇卫生院购置了救护车，提升基层医疗救护能力；虎跳、卫子等六个卫生院中医馆“填平补齐”项目已全面完工。</w:t>
      </w:r>
    </w:p>
    <w:p w14:paraId="2CF6C751">
      <w:pPr>
        <w:pStyle w:val="7"/>
        <w:spacing w:before="93" w:line="576" w:lineRule="exact"/>
        <w:ind w:firstLine="640" w:firstLineChars="200"/>
        <w:rPr>
          <w:rFonts w:hAnsi="仿宋_GB2312" w:cs="仿宋_GB2312"/>
          <w:sz w:val="32"/>
          <w:szCs w:val="32"/>
        </w:rPr>
      </w:pPr>
      <w:r>
        <w:rPr>
          <w:rFonts w:hint="eastAsia" w:ascii="楷体_GB2312" w:hAnsi="楷体_GB2312" w:eastAsia="楷体_GB2312" w:cs="楷体_GB2312"/>
          <w:sz w:val="32"/>
          <w:szCs w:val="32"/>
        </w:rPr>
        <w:t>7、各项民生保障严格落实。</w:t>
      </w:r>
      <w:r>
        <w:rPr>
          <w:rFonts w:hint="eastAsia" w:hAnsi="仿宋_GB2312" w:cs="仿宋_GB2312"/>
          <w:kern w:val="2"/>
          <w:sz w:val="32"/>
          <w:szCs w:val="32"/>
          <w:shd w:val="clear" w:color="auto" w:fill="FFFFFF"/>
        </w:rPr>
        <w:t>一是对出生瞒漏报、错报、虚报及奖特扶漏报情况及时进行补报、修改。截至12月28日，全区出生人口1497人，出生率6.11‰，出生人口性别比为102.6。免费孕前优生健康检查1053人,住院分娩率达99.92%。二是投资100万元建设心宝托育机构示范园，现已投入使用。现有3岁以下婴幼儿托位45位，开设托小托大3个班。三是全年奖励扶助7723人、特扶378人，特困215人，独子父母奖励金2847户，累计发放奖励、扶助资金1100.224万元。四是为全区247个特殊家庭制定“四岗”联挂制度，发放当年死亡家庭一次性慰问补助2.5万，发放特别死亡标准家庭再扶助8.3万元，为困难的特殊家庭政府代缴养保125人次，为计划生育特殊家庭提供保障性住房15户，安排入住公立养老机构5人，为生病住院的特殊家庭提供护理保险6.4万元。全年未发生到京到省到市上访事件。</w:t>
      </w:r>
    </w:p>
    <w:p w14:paraId="5D2CF61E">
      <w:pPr>
        <w:spacing w:line="576" w:lineRule="exact"/>
        <w:ind w:firstLine="640" w:firstLineChars="200"/>
        <w:rPr>
          <w:rFonts w:ascii="仿宋_GB2312" w:hAnsi="仿宋_GB2312" w:eastAsia="仿宋_GB2312" w:cs="仿宋_GB2312"/>
          <w:sz w:val="32"/>
          <w:szCs w:val="32"/>
          <w:shd w:val="clear" w:color="auto" w:fill="FFFFFF"/>
        </w:rPr>
      </w:pPr>
      <w:r>
        <w:rPr>
          <w:rFonts w:hint="eastAsia" w:ascii="楷体_GB2312" w:hAnsi="楷体_GB2312" w:eastAsia="楷体_GB2312" w:cs="楷体_GB2312"/>
          <w:sz w:val="32"/>
          <w:szCs w:val="32"/>
        </w:rPr>
        <w:t>8、党的建设工作纵深推进。一是</w:t>
      </w:r>
      <w:r>
        <w:rPr>
          <w:rFonts w:hint="eastAsia" w:ascii="仿宋_GB2312" w:hAnsi="仿宋_GB2312" w:eastAsia="仿宋_GB2312" w:cs="仿宋_GB2312"/>
          <w:sz w:val="32"/>
          <w:szCs w:val="32"/>
          <w:shd w:val="clear" w:color="auto" w:fill="FFFFFF"/>
        </w:rPr>
        <w:t>制定《关于开展党史学习教育的实施方案》，各党组织开展集中学习320余次，专题党课30余次，开展党组中心组理论学习8次，举行专题讲座3次，党史知识竞赛1次。系统各单位确定办实事76项，已全面完成，完成率100%。</w:t>
      </w:r>
      <w:r>
        <w:rPr>
          <w:rFonts w:hint="eastAsia" w:ascii="楷体_GB2312" w:hAnsi="楷体_GB2312" w:eastAsia="楷体_GB2312" w:cs="楷体_GB2312"/>
          <w:sz w:val="32"/>
          <w:szCs w:val="32"/>
        </w:rPr>
        <w:t>二是</w:t>
      </w:r>
      <w:r>
        <w:rPr>
          <w:rFonts w:hint="eastAsia" w:ascii="仿宋_GB2312" w:hAnsi="仿宋_GB2312" w:eastAsia="仿宋_GB2312" w:cs="仿宋_GB2312"/>
          <w:sz w:val="32"/>
          <w:szCs w:val="32"/>
          <w:shd w:val="clear" w:color="auto" w:fill="FFFFFF"/>
        </w:rPr>
        <w:t>按照“三分类三升级”要求扎实开展后进支部整顿升级，</w:t>
      </w:r>
      <w:r>
        <w:rPr>
          <w:rFonts w:hint="eastAsia" w:ascii="仿宋_GB2312" w:hAnsi="仿宋_GB2312" w:eastAsia="仿宋_GB2312" w:cs="仿宋_GB2312"/>
          <w:sz w:val="32"/>
          <w:szCs w:val="32"/>
        </w:rPr>
        <w:t>新发展党员12人，开展党务干部培训2次</w:t>
      </w:r>
      <w:r>
        <w:rPr>
          <w:rFonts w:hint="eastAsia" w:ascii="仿宋_GB2312" w:hAnsi="仿宋_GB2312" w:eastAsia="仿宋_GB2312" w:cs="仿宋_GB2312"/>
          <w:sz w:val="32"/>
          <w:szCs w:val="32"/>
          <w:shd w:val="clear" w:color="auto" w:fill="FFFFFF"/>
        </w:rPr>
        <w:t>。</w:t>
      </w:r>
      <w:r>
        <w:rPr>
          <w:rFonts w:hint="eastAsia" w:ascii="楷体_GB2312" w:hAnsi="楷体_GB2312" w:eastAsia="楷体_GB2312" w:cs="楷体_GB2312"/>
          <w:sz w:val="32"/>
          <w:szCs w:val="32"/>
        </w:rPr>
        <w:t>三是</w:t>
      </w:r>
      <w:r>
        <w:rPr>
          <w:rFonts w:hint="eastAsia" w:ascii="仿宋_GB2312" w:hAnsi="仿宋_GB2312" w:eastAsia="仿宋_GB2312" w:cs="仿宋_GB2312"/>
          <w:sz w:val="32"/>
          <w:szCs w:val="32"/>
        </w:rPr>
        <w:t>研究意识形态工作4次,形成书面提示清单4份，开展系统廉政谈心谈话4次，强化岗位职责，</w:t>
      </w:r>
      <w:r>
        <w:rPr>
          <w:rFonts w:hint="eastAsia" w:ascii="仿宋_GB2312" w:hAnsi="仿宋_GB2312" w:eastAsia="仿宋_GB2312" w:cs="仿宋_GB2312"/>
          <w:sz w:val="30"/>
          <w:szCs w:val="30"/>
        </w:rPr>
        <w:t>从严从重处理疫情防控工作中履职不力行为，纪律处分4人，约谈13人。</w:t>
      </w:r>
      <w:r>
        <w:rPr>
          <w:rFonts w:hint="eastAsia" w:ascii="楷体_GB2312" w:hAnsi="楷体_GB2312" w:eastAsia="楷体_GB2312" w:cs="楷体_GB2312"/>
          <w:sz w:val="32"/>
          <w:szCs w:val="32"/>
        </w:rPr>
        <w:t>四是</w:t>
      </w:r>
      <w:r>
        <w:rPr>
          <w:rFonts w:hint="eastAsia" w:ascii="仿宋_GB2312" w:hAnsi="仿宋_GB2312" w:eastAsia="仿宋_GB2312" w:cs="仿宋_GB2312"/>
          <w:sz w:val="32"/>
          <w:szCs w:val="32"/>
        </w:rPr>
        <w:t>组建卫健系统宣传干部队伍50余人，引导干部群众不信谣、不传谣。注重网络安全，严禁内外网混用。刊登各类新闻信息100余条，无负面舆情及宣传责任事故发生。</w:t>
      </w:r>
    </w:p>
    <w:p w14:paraId="25F1C8EE">
      <w:pPr>
        <w:pStyle w:val="5"/>
        <w:rPr>
          <w:rStyle w:val="27"/>
          <w:b w:val="0"/>
          <w:bCs w:val="0"/>
        </w:rPr>
      </w:pPr>
      <w:bookmarkStart w:id="24" w:name="_Toc15377200"/>
      <w:bookmarkStart w:id="25" w:name="_Toc15396601"/>
      <w:bookmarkStart w:id="26" w:name="_Toc9349"/>
      <w:r>
        <w:rPr>
          <w:rFonts w:hint="eastAsia" w:ascii="黑体" w:eastAsia="黑体"/>
          <w:b w:val="0"/>
        </w:rPr>
        <w:t>二、</w:t>
      </w:r>
      <w:r>
        <w:rPr>
          <w:rFonts w:hint="eastAsia" w:ascii="黑体" w:hAnsi="黑体" w:eastAsia="黑体"/>
          <w:b w:val="0"/>
        </w:rPr>
        <w:t>机</w:t>
      </w:r>
      <w:r>
        <w:rPr>
          <w:rStyle w:val="27"/>
          <w:rFonts w:hint="eastAsia" w:ascii="黑体" w:hAnsi="黑体" w:eastAsia="黑体"/>
          <w:b w:val="0"/>
          <w:bCs w:val="0"/>
        </w:rPr>
        <w:t>构设置</w:t>
      </w:r>
      <w:bookmarkEnd w:id="24"/>
      <w:bookmarkEnd w:id="25"/>
      <w:bookmarkEnd w:id="26"/>
    </w:p>
    <w:p w14:paraId="7F2A217F">
      <w:pPr>
        <w:pStyle w:val="7"/>
        <w:adjustRightInd w:val="0"/>
        <w:snapToGrid w:val="0"/>
        <w:spacing w:before="93" w:line="600" w:lineRule="exact"/>
        <w:ind w:firstLine="640" w:firstLineChars="200"/>
        <w:rPr>
          <w:color w:val="000000"/>
          <w:sz w:val="32"/>
          <w:szCs w:val="32"/>
        </w:rPr>
      </w:pPr>
      <w:bookmarkStart w:id="27" w:name="_Toc15377204"/>
      <w:bookmarkStart w:id="28" w:name="_Toc15396602"/>
      <w:r>
        <w:rPr>
          <w:rFonts w:hint="eastAsia"/>
          <w:color w:val="000000"/>
          <w:sz w:val="32"/>
          <w:szCs w:val="32"/>
        </w:rPr>
        <w:t>昭化区卫生健康局下属二级单位33个(区人民医院经费独立核算、区社区卫生服务中心纳入局机关核算），其中参照公务员法管理的事业单位</w:t>
      </w:r>
      <w:r>
        <w:rPr>
          <w:rFonts w:hint="eastAsia"/>
          <w:bCs/>
          <w:color w:val="000000"/>
          <w:sz w:val="32"/>
          <w:szCs w:val="32"/>
        </w:rPr>
        <w:t>1</w:t>
      </w:r>
      <w:r>
        <w:rPr>
          <w:rFonts w:hint="eastAsia"/>
          <w:color w:val="000000"/>
          <w:sz w:val="32"/>
          <w:szCs w:val="32"/>
        </w:rPr>
        <w:t>个，其他事业单位32个。</w:t>
      </w:r>
    </w:p>
    <w:p w14:paraId="303CB11A">
      <w:pPr>
        <w:pStyle w:val="7"/>
        <w:adjustRightInd w:val="0"/>
        <w:snapToGrid w:val="0"/>
        <w:spacing w:before="93" w:line="600" w:lineRule="exact"/>
        <w:ind w:firstLine="672" w:firstLineChars="210"/>
        <w:rPr>
          <w:rFonts w:ascii="仿宋" w:hAnsi="仿宋" w:eastAsia="仿宋"/>
          <w:color w:val="000000"/>
          <w:sz w:val="32"/>
          <w:szCs w:val="32"/>
        </w:rPr>
      </w:pPr>
      <w:r>
        <w:rPr>
          <w:rFonts w:hint="eastAsia" w:ascii="仿宋" w:hAnsi="仿宋" w:eastAsia="仿宋"/>
          <w:color w:val="000000"/>
          <w:sz w:val="32"/>
          <w:szCs w:val="32"/>
        </w:rPr>
        <w:t>纳入卫健系统2020年度部门决算编制范围的二级预算单位包括：</w:t>
      </w:r>
    </w:p>
    <w:p w14:paraId="2E917A02">
      <w:pPr>
        <w:pStyle w:val="7"/>
        <w:numPr>
          <w:ilvl w:val="0"/>
          <w:numId w:val="2"/>
        </w:numPr>
        <w:adjustRightInd w:val="0"/>
        <w:snapToGrid w:val="0"/>
        <w:spacing w:before="93" w:line="600" w:lineRule="exact"/>
        <w:ind w:firstLine="672" w:firstLineChars="210"/>
        <w:rPr>
          <w:rFonts w:ascii="仿宋" w:hAnsi="仿宋" w:eastAsia="仿宋"/>
          <w:color w:val="000000"/>
          <w:sz w:val="32"/>
          <w:szCs w:val="32"/>
        </w:rPr>
      </w:pPr>
      <w:r>
        <w:rPr>
          <w:rFonts w:hint="eastAsia" w:ascii="仿宋" w:hAnsi="仿宋" w:eastAsia="仿宋"/>
          <w:color w:val="000000"/>
          <w:sz w:val="32"/>
          <w:szCs w:val="32"/>
        </w:rPr>
        <w:t>广元市昭化区卫生和计划生育监督执法大队</w:t>
      </w:r>
    </w:p>
    <w:p w14:paraId="5A42921C">
      <w:pPr>
        <w:pStyle w:val="7"/>
        <w:numPr>
          <w:ilvl w:val="0"/>
          <w:numId w:val="2"/>
        </w:numPr>
        <w:adjustRightInd w:val="0"/>
        <w:snapToGrid w:val="0"/>
        <w:spacing w:before="93" w:line="600" w:lineRule="exact"/>
        <w:ind w:firstLine="672" w:firstLineChars="210"/>
        <w:rPr>
          <w:rFonts w:ascii="仿宋" w:hAnsi="仿宋" w:eastAsia="仿宋"/>
          <w:color w:val="000000"/>
          <w:sz w:val="32"/>
          <w:szCs w:val="32"/>
        </w:rPr>
      </w:pPr>
      <w:r>
        <w:rPr>
          <w:rFonts w:hint="eastAsia" w:ascii="仿宋" w:hAnsi="仿宋" w:eastAsia="仿宋"/>
          <w:color w:val="000000"/>
          <w:sz w:val="32"/>
          <w:szCs w:val="32"/>
        </w:rPr>
        <w:t>广元市昭化区妇幼保健院</w:t>
      </w:r>
    </w:p>
    <w:p w14:paraId="18EEAF75">
      <w:pPr>
        <w:pStyle w:val="7"/>
        <w:numPr>
          <w:ilvl w:val="0"/>
          <w:numId w:val="2"/>
        </w:numPr>
        <w:adjustRightInd w:val="0"/>
        <w:snapToGrid w:val="0"/>
        <w:spacing w:before="93" w:line="600" w:lineRule="exact"/>
        <w:ind w:firstLine="672" w:firstLineChars="210"/>
        <w:rPr>
          <w:rFonts w:ascii="仿宋" w:hAnsi="仿宋" w:eastAsia="仿宋"/>
          <w:color w:val="000000"/>
          <w:sz w:val="32"/>
          <w:szCs w:val="32"/>
        </w:rPr>
      </w:pPr>
      <w:r>
        <w:rPr>
          <w:rFonts w:hint="eastAsia" w:ascii="仿宋" w:hAnsi="仿宋" w:eastAsia="仿宋"/>
          <w:color w:val="000000"/>
          <w:sz w:val="32"/>
          <w:szCs w:val="32"/>
        </w:rPr>
        <w:t>广元市昭化区疾病预防控制中心</w:t>
      </w:r>
    </w:p>
    <w:p w14:paraId="4116ECEA">
      <w:pPr>
        <w:pStyle w:val="7"/>
        <w:numPr>
          <w:ilvl w:val="0"/>
          <w:numId w:val="2"/>
        </w:numPr>
        <w:adjustRightInd w:val="0"/>
        <w:snapToGrid w:val="0"/>
        <w:spacing w:before="93" w:line="600" w:lineRule="exact"/>
        <w:ind w:firstLine="672" w:firstLineChars="210"/>
        <w:rPr>
          <w:rFonts w:ascii="仿宋" w:hAnsi="仿宋" w:eastAsia="仿宋"/>
          <w:color w:val="000000"/>
          <w:sz w:val="32"/>
          <w:szCs w:val="32"/>
        </w:rPr>
      </w:pPr>
      <w:r>
        <w:rPr>
          <w:rFonts w:hint="eastAsia" w:ascii="仿宋" w:hAnsi="仿宋" w:eastAsia="仿宋"/>
          <w:color w:val="000000"/>
          <w:sz w:val="32"/>
          <w:szCs w:val="32"/>
        </w:rPr>
        <w:t>广元市昭化区中医医院</w:t>
      </w:r>
    </w:p>
    <w:p w14:paraId="1C91BC23">
      <w:pPr>
        <w:pStyle w:val="7"/>
        <w:adjustRightInd w:val="0"/>
        <w:snapToGrid w:val="0"/>
        <w:spacing w:before="93" w:line="600" w:lineRule="exact"/>
        <w:ind w:left="672"/>
        <w:outlineLvl w:val="2"/>
        <w:rPr>
          <w:rFonts w:ascii="仿宋" w:hAnsi="仿宋" w:eastAsia="仿宋"/>
          <w:color w:val="000000"/>
          <w:sz w:val="32"/>
          <w:szCs w:val="32"/>
        </w:rPr>
      </w:pPr>
      <w:r>
        <w:rPr>
          <w:rFonts w:hint="eastAsia" w:ascii="仿宋" w:hAnsi="仿宋" w:eastAsia="仿宋"/>
          <w:color w:val="000000"/>
          <w:sz w:val="32"/>
          <w:szCs w:val="32"/>
        </w:rPr>
        <w:t>5.广元市昭化区昭化镇中心卫生院</w:t>
      </w:r>
    </w:p>
    <w:p w14:paraId="05930F48">
      <w:pPr>
        <w:pStyle w:val="7"/>
        <w:adjustRightInd w:val="0"/>
        <w:snapToGrid w:val="0"/>
        <w:spacing w:before="93" w:line="600" w:lineRule="exact"/>
        <w:ind w:left="672"/>
        <w:outlineLvl w:val="2"/>
        <w:rPr>
          <w:rFonts w:ascii="仿宋" w:hAnsi="仿宋" w:eastAsia="仿宋"/>
          <w:color w:val="000000"/>
          <w:sz w:val="32"/>
          <w:szCs w:val="32"/>
        </w:rPr>
      </w:pPr>
      <w:r>
        <w:rPr>
          <w:rFonts w:hint="eastAsia" w:ascii="仿宋" w:hAnsi="仿宋" w:eastAsia="仿宋"/>
          <w:color w:val="000000"/>
          <w:sz w:val="32"/>
          <w:szCs w:val="32"/>
        </w:rPr>
        <w:t>6.广元市昭化区王家镇中心卫生院</w:t>
      </w:r>
    </w:p>
    <w:p w14:paraId="3E9CA015">
      <w:pPr>
        <w:pStyle w:val="7"/>
        <w:adjustRightInd w:val="0"/>
        <w:snapToGrid w:val="0"/>
        <w:spacing w:before="93" w:line="600" w:lineRule="exact"/>
        <w:ind w:left="672"/>
        <w:outlineLvl w:val="2"/>
        <w:rPr>
          <w:rFonts w:ascii="仿宋" w:hAnsi="仿宋" w:eastAsia="仿宋"/>
          <w:color w:val="000000"/>
          <w:sz w:val="32"/>
          <w:szCs w:val="32"/>
        </w:rPr>
      </w:pPr>
      <w:r>
        <w:rPr>
          <w:rFonts w:hint="eastAsia" w:ascii="仿宋" w:hAnsi="仿宋" w:eastAsia="仿宋"/>
          <w:color w:val="000000"/>
          <w:sz w:val="32"/>
          <w:szCs w:val="32"/>
        </w:rPr>
        <w:t>7.广元市昭化区虎跳镇中心卫生院</w:t>
      </w:r>
    </w:p>
    <w:p w14:paraId="53CE157C">
      <w:pPr>
        <w:pStyle w:val="7"/>
        <w:adjustRightInd w:val="0"/>
        <w:snapToGrid w:val="0"/>
        <w:spacing w:before="93" w:line="600" w:lineRule="exact"/>
        <w:ind w:left="672"/>
        <w:outlineLvl w:val="2"/>
        <w:rPr>
          <w:rFonts w:ascii="仿宋" w:hAnsi="仿宋" w:eastAsia="仿宋"/>
          <w:color w:val="000000"/>
          <w:sz w:val="32"/>
          <w:szCs w:val="32"/>
        </w:rPr>
      </w:pPr>
      <w:r>
        <w:rPr>
          <w:rFonts w:hint="eastAsia" w:ascii="仿宋" w:hAnsi="仿宋" w:eastAsia="仿宋"/>
          <w:color w:val="000000"/>
          <w:sz w:val="32"/>
          <w:szCs w:val="32"/>
        </w:rPr>
        <w:t>8.广元市昭化区太公镇中心卫生院</w:t>
      </w:r>
    </w:p>
    <w:p w14:paraId="295BDCB8">
      <w:pPr>
        <w:pStyle w:val="7"/>
        <w:adjustRightInd w:val="0"/>
        <w:snapToGrid w:val="0"/>
        <w:spacing w:before="93" w:line="600" w:lineRule="exact"/>
        <w:ind w:left="672"/>
        <w:outlineLvl w:val="2"/>
        <w:rPr>
          <w:rFonts w:ascii="仿宋" w:hAnsi="仿宋" w:eastAsia="仿宋"/>
          <w:color w:val="000000"/>
          <w:sz w:val="32"/>
          <w:szCs w:val="32"/>
        </w:rPr>
      </w:pPr>
      <w:r>
        <w:rPr>
          <w:rFonts w:hint="eastAsia" w:ascii="仿宋" w:hAnsi="仿宋" w:eastAsia="仿宋"/>
          <w:color w:val="000000"/>
          <w:sz w:val="32"/>
          <w:szCs w:val="32"/>
        </w:rPr>
        <w:t>9.广元市昭化区卫子镇中心卫生院</w:t>
      </w:r>
    </w:p>
    <w:p w14:paraId="4183709A">
      <w:pPr>
        <w:pStyle w:val="7"/>
        <w:adjustRightInd w:val="0"/>
        <w:snapToGrid w:val="0"/>
        <w:spacing w:before="93" w:line="600" w:lineRule="exact"/>
        <w:ind w:left="672"/>
        <w:outlineLvl w:val="2"/>
        <w:rPr>
          <w:rFonts w:ascii="仿宋" w:hAnsi="仿宋" w:eastAsia="仿宋"/>
          <w:color w:val="000000"/>
          <w:sz w:val="32"/>
          <w:szCs w:val="32"/>
        </w:rPr>
      </w:pPr>
      <w:r>
        <w:rPr>
          <w:rFonts w:hint="eastAsia" w:ascii="仿宋" w:hAnsi="仿宋" w:eastAsia="仿宋"/>
          <w:color w:val="000000"/>
          <w:sz w:val="32"/>
          <w:szCs w:val="32"/>
        </w:rPr>
        <w:t>10.广元市昭化区明觉镇中心卫生院</w:t>
      </w:r>
    </w:p>
    <w:p w14:paraId="7DD2B163">
      <w:pPr>
        <w:pStyle w:val="7"/>
        <w:adjustRightInd w:val="0"/>
        <w:snapToGrid w:val="0"/>
        <w:spacing w:before="93" w:line="600" w:lineRule="exact"/>
        <w:ind w:left="672"/>
        <w:outlineLvl w:val="2"/>
        <w:rPr>
          <w:rFonts w:ascii="仿宋" w:hAnsi="仿宋" w:eastAsia="仿宋"/>
          <w:color w:val="000000"/>
          <w:sz w:val="32"/>
          <w:szCs w:val="32"/>
        </w:rPr>
      </w:pPr>
      <w:r>
        <w:rPr>
          <w:rFonts w:hint="eastAsia" w:ascii="仿宋" w:hAnsi="仿宋" w:eastAsia="仿宋"/>
          <w:color w:val="000000"/>
          <w:sz w:val="32"/>
          <w:szCs w:val="32"/>
        </w:rPr>
        <w:t>11.广元市昭化区磨滩镇卫生院</w:t>
      </w:r>
    </w:p>
    <w:p w14:paraId="3E68B325">
      <w:pPr>
        <w:pStyle w:val="7"/>
        <w:adjustRightInd w:val="0"/>
        <w:snapToGrid w:val="0"/>
        <w:spacing w:before="93" w:line="600" w:lineRule="exact"/>
        <w:ind w:left="672"/>
        <w:outlineLvl w:val="2"/>
        <w:rPr>
          <w:rFonts w:ascii="仿宋" w:hAnsi="仿宋" w:eastAsia="仿宋"/>
          <w:color w:val="000000"/>
          <w:sz w:val="32"/>
          <w:szCs w:val="32"/>
        </w:rPr>
      </w:pPr>
      <w:r>
        <w:rPr>
          <w:rFonts w:hint="eastAsia" w:ascii="仿宋" w:hAnsi="仿宋" w:eastAsia="仿宋"/>
          <w:color w:val="000000"/>
          <w:sz w:val="32"/>
          <w:szCs w:val="32"/>
        </w:rPr>
        <w:t>12.广元市昭化区清水乡卫生院</w:t>
      </w:r>
    </w:p>
    <w:p w14:paraId="2A60FF73">
      <w:pPr>
        <w:pStyle w:val="7"/>
        <w:adjustRightInd w:val="0"/>
        <w:snapToGrid w:val="0"/>
        <w:spacing w:before="93" w:line="600" w:lineRule="exact"/>
        <w:ind w:left="672"/>
        <w:outlineLvl w:val="2"/>
        <w:rPr>
          <w:rFonts w:ascii="仿宋" w:hAnsi="仿宋" w:eastAsia="仿宋"/>
          <w:color w:val="000000"/>
          <w:sz w:val="32"/>
          <w:szCs w:val="32"/>
        </w:rPr>
      </w:pPr>
      <w:r>
        <w:rPr>
          <w:rFonts w:hint="eastAsia" w:ascii="仿宋" w:hAnsi="仿宋" w:eastAsia="仿宋"/>
          <w:color w:val="000000"/>
          <w:sz w:val="32"/>
          <w:szCs w:val="32"/>
        </w:rPr>
        <w:t>13.广元市昭化区石井铺镇卫生院</w:t>
      </w:r>
    </w:p>
    <w:p w14:paraId="058C4AFD">
      <w:pPr>
        <w:pStyle w:val="7"/>
        <w:adjustRightInd w:val="0"/>
        <w:snapToGrid w:val="0"/>
        <w:spacing w:before="93" w:line="600" w:lineRule="exact"/>
        <w:ind w:left="672"/>
        <w:outlineLvl w:val="2"/>
        <w:rPr>
          <w:rFonts w:ascii="仿宋" w:hAnsi="仿宋" w:eastAsia="仿宋"/>
          <w:color w:val="000000"/>
          <w:sz w:val="32"/>
          <w:szCs w:val="32"/>
        </w:rPr>
      </w:pPr>
      <w:r>
        <w:rPr>
          <w:rFonts w:hint="eastAsia" w:ascii="仿宋" w:hAnsi="仿宋" w:eastAsia="仿宋"/>
          <w:color w:val="000000"/>
          <w:sz w:val="32"/>
          <w:szCs w:val="32"/>
        </w:rPr>
        <w:t>14.广元市昭化区张家乡卫生院</w:t>
      </w:r>
    </w:p>
    <w:p w14:paraId="27CD03ED">
      <w:pPr>
        <w:pStyle w:val="7"/>
        <w:adjustRightInd w:val="0"/>
        <w:snapToGrid w:val="0"/>
        <w:spacing w:before="93" w:line="600" w:lineRule="exact"/>
        <w:ind w:left="672"/>
        <w:outlineLvl w:val="2"/>
        <w:rPr>
          <w:rFonts w:ascii="仿宋" w:hAnsi="仿宋" w:eastAsia="仿宋"/>
          <w:color w:val="000000"/>
          <w:sz w:val="32"/>
          <w:szCs w:val="32"/>
        </w:rPr>
      </w:pPr>
      <w:r>
        <w:rPr>
          <w:rFonts w:hint="eastAsia" w:ascii="仿宋" w:hAnsi="仿宋" w:eastAsia="仿宋"/>
          <w:color w:val="000000"/>
          <w:sz w:val="32"/>
          <w:szCs w:val="32"/>
        </w:rPr>
        <w:t>15.广元市昭化区晋贤乡卫生院</w:t>
      </w:r>
    </w:p>
    <w:p w14:paraId="3FDD86CC">
      <w:pPr>
        <w:pStyle w:val="7"/>
        <w:adjustRightInd w:val="0"/>
        <w:snapToGrid w:val="0"/>
        <w:spacing w:before="93" w:line="600" w:lineRule="exact"/>
        <w:ind w:left="672"/>
        <w:outlineLvl w:val="2"/>
        <w:rPr>
          <w:rFonts w:ascii="仿宋" w:hAnsi="仿宋" w:eastAsia="仿宋"/>
          <w:color w:val="000000"/>
          <w:sz w:val="32"/>
          <w:szCs w:val="32"/>
        </w:rPr>
      </w:pPr>
      <w:r>
        <w:rPr>
          <w:rFonts w:hint="eastAsia" w:ascii="仿宋" w:hAnsi="仿宋" w:eastAsia="仿宋"/>
          <w:color w:val="000000"/>
          <w:sz w:val="32"/>
          <w:szCs w:val="32"/>
        </w:rPr>
        <w:t>16.广元市昭化区柏林沟镇卫生院</w:t>
      </w:r>
    </w:p>
    <w:p w14:paraId="3452CF46">
      <w:pPr>
        <w:pStyle w:val="7"/>
        <w:adjustRightInd w:val="0"/>
        <w:snapToGrid w:val="0"/>
        <w:spacing w:before="93" w:line="600" w:lineRule="exact"/>
        <w:ind w:left="672"/>
        <w:outlineLvl w:val="2"/>
        <w:rPr>
          <w:rFonts w:ascii="仿宋" w:hAnsi="仿宋" w:eastAsia="仿宋"/>
          <w:color w:val="000000"/>
          <w:sz w:val="32"/>
          <w:szCs w:val="32"/>
        </w:rPr>
      </w:pPr>
      <w:r>
        <w:rPr>
          <w:rFonts w:hint="eastAsia" w:ascii="仿宋" w:hAnsi="仿宋" w:eastAsia="仿宋"/>
          <w:color w:val="000000"/>
          <w:sz w:val="32"/>
          <w:szCs w:val="32"/>
        </w:rPr>
        <w:t>17.广元市昭化区白果乡卫生院</w:t>
      </w:r>
    </w:p>
    <w:p w14:paraId="114B004F">
      <w:pPr>
        <w:pStyle w:val="7"/>
        <w:adjustRightInd w:val="0"/>
        <w:snapToGrid w:val="0"/>
        <w:spacing w:before="93" w:line="600" w:lineRule="exact"/>
        <w:ind w:left="672"/>
        <w:outlineLvl w:val="2"/>
        <w:rPr>
          <w:rFonts w:ascii="仿宋" w:hAnsi="仿宋" w:eastAsia="仿宋"/>
          <w:color w:val="000000"/>
          <w:sz w:val="32"/>
          <w:szCs w:val="32"/>
        </w:rPr>
      </w:pPr>
      <w:r>
        <w:rPr>
          <w:rFonts w:hint="eastAsia" w:ascii="仿宋" w:hAnsi="仿宋" w:eastAsia="仿宋"/>
          <w:color w:val="000000"/>
          <w:sz w:val="32"/>
          <w:szCs w:val="32"/>
        </w:rPr>
        <w:t>18.广元市昭化区文村乡卫生院</w:t>
      </w:r>
    </w:p>
    <w:p w14:paraId="5527911E">
      <w:pPr>
        <w:pStyle w:val="7"/>
        <w:adjustRightInd w:val="0"/>
        <w:snapToGrid w:val="0"/>
        <w:spacing w:before="93" w:line="600" w:lineRule="exact"/>
        <w:ind w:left="672"/>
        <w:outlineLvl w:val="2"/>
        <w:rPr>
          <w:rFonts w:ascii="仿宋" w:hAnsi="仿宋" w:eastAsia="仿宋"/>
          <w:color w:val="000000"/>
          <w:sz w:val="32"/>
          <w:szCs w:val="32"/>
        </w:rPr>
      </w:pPr>
      <w:r>
        <w:rPr>
          <w:rFonts w:hint="eastAsia" w:ascii="仿宋" w:hAnsi="仿宋" w:eastAsia="仿宋"/>
          <w:color w:val="000000"/>
          <w:sz w:val="32"/>
          <w:szCs w:val="32"/>
        </w:rPr>
        <w:t>19.广元市昭化区青牛乡卫生院</w:t>
      </w:r>
    </w:p>
    <w:p w14:paraId="180209A0">
      <w:pPr>
        <w:pStyle w:val="7"/>
        <w:adjustRightInd w:val="0"/>
        <w:snapToGrid w:val="0"/>
        <w:spacing w:before="93" w:line="600" w:lineRule="exact"/>
        <w:ind w:left="672"/>
        <w:outlineLvl w:val="2"/>
        <w:rPr>
          <w:rFonts w:ascii="仿宋" w:hAnsi="仿宋" w:eastAsia="仿宋"/>
          <w:color w:val="000000"/>
          <w:sz w:val="32"/>
          <w:szCs w:val="32"/>
        </w:rPr>
      </w:pPr>
      <w:r>
        <w:rPr>
          <w:rFonts w:hint="eastAsia" w:ascii="仿宋" w:hAnsi="仿宋" w:eastAsia="仿宋"/>
          <w:color w:val="000000"/>
          <w:sz w:val="32"/>
          <w:szCs w:val="32"/>
        </w:rPr>
        <w:t>20.广元市昭化区射箭乡卫生院</w:t>
      </w:r>
    </w:p>
    <w:p w14:paraId="1B605509">
      <w:pPr>
        <w:pStyle w:val="7"/>
        <w:adjustRightInd w:val="0"/>
        <w:snapToGrid w:val="0"/>
        <w:spacing w:before="93" w:line="600" w:lineRule="exact"/>
        <w:ind w:left="672"/>
        <w:outlineLvl w:val="2"/>
        <w:rPr>
          <w:rFonts w:ascii="仿宋" w:hAnsi="仿宋" w:eastAsia="仿宋"/>
          <w:color w:val="000000"/>
          <w:sz w:val="32"/>
          <w:szCs w:val="32"/>
        </w:rPr>
      </w:pPr>
      <w:r>
        <w:rPr>
          <w:rFonts w:hint="eastAsia" w:ascii="仿宋" w:hAnsi="仿宋" w:eastAsia="仿宋"/>
          <w:color w:val="000000"/>
          <w:sz w:val="32"/>
          <w:szCs w:val="32"/>
        </w:rPr>
        <w:t>21.广元市昭化区梅树乡卫生院</w:t>
      </w:r>
    </w:p>
    <w:p w14:paraId="569D86C7">
      <w:pPr>
        <w:pStyle w:val="7"/>
        <w:adjustRightInd w:val="0"/>
        <w:snapToGrid w:val="0"/>
        <w:spacing w:before="93" w:line="600" w:lineRule="exact"/>
        <w:ind w:left="672"/>
        <w:outlineLvl w:val="2"/>
        <w:rPr>
          <w:rFonts w:ascii="仿宋" w:hAnsi="仿宋" w:eastAsia="仿宋"/>
          <w:color w:val="000000"/>
          <w:sz w:val="32"/>
          <w:szCs w:val="32"/>
        </w:rPr>
      </w:pPr>
      <w:r>
        <w:rPr>
          <w:rFonts w:hint="eastAsia" w:ascii="仿宋" w:hAnsi="仿宋" w:eastAsia="仿宋"/>
          <w:color w:val="000000"/>
          <w:sz w:val="32"/>
          <w:szCs w:val="32"/>
        </w:rPr>
        <w:t>22.广元市昭化区黄龙乡卫生院</w:t>
      </w:r>
    </w:p>
    <w:p w14:paraId="1E64F7FD">
      <w:pPr>
        <w:pStyle w:val="7"/>
        <w:adjustRightInd w:val="0"/>
        <w:snapToGrid w:val="0"/>
        <w:spacing w:before="93" w:line="600" w:lineRule="exact"/>
        <w:ind w:left="672"/>
        <w:outlineLvl w:val="2"/>
        <w:rPr>
          <w:rFonts w:ascii="仿宋" w:hAnsi="仿宋" w:eastAsia="仿宋"/>
          <w:color w:val="000000"/>
          <w:sz w:val="32"/>
          <w:szCs w:val="32"/>
        </w:rPr>
      </w:pPr>
      <w:r>
        <w:rPr>
          <w:rFonts w:hint="eastAsia" w:ascii="仿宋" w:hAnsi="仿宋" w:eastAsia="仿宋"/>
          <w:color w:val="000000"/>
          <w:sz w:val="32"/>
          <w:szCs w:val="32"/>
        </w:rPr>
        <w:t>23.广元市昭化区红岩镇卫生院</w:t>
      </w:r>
    </w:p>
    <w:p w14:paraId="736ADBD2">
      <w:pPr>
        <w:pStyle w:val="7"/>
        <w:adjustRightInd w:val="0"/>
        <w:snapToGrid w:val="0"/>
        <w:spacing w:before="93" w:line="600" w:lineRule="exact"/>
        <w:ind w:left="672"/>
        <w:outlineLvl w:val="2"/>
        <w:rPr>
          <w:rFonts w:ascii="仿宋" w:hAnsi="仿宋" w:eastAsia="仿宋"/>
          <w:color w:val="000000"/>
          <w:sz w:val="32"/>
          <w:szCs w:val="32"/>
        </w:rPr>
      </w:pPr>
      <w:r>
        <w:rPr>
          <w:rFonts w:hint="eastAsia" w:ascii="仿宋" w:hAnsi="仿宋" w:eastAsia="仿宋"/>
          <w:color w:val="000000"/>
          <w:sz w:val="32"/>
          <w:szCs w:val="32"/>
        </w:rPr>
        <w:t>24.广元市昭化区朝阳乡卫生院</w:t>
      </w:r>
    </w:p>
    <w:p w14:paraId="300C7AA5">
      <w:pPr>
        <w:pStyle w:val="7"/>
        <w:adjustRightInd w:val="0"/>
        <w:snapToGrid w:val="0"/>
        <w:spacing w:before="93" w:line="600" w:lineRule="exact"/>
        <w:ind w:left="672"/>
        <w:outlineLvl w:val="2"/>
        <w:rPr>
          <w:rFonts w:ascii="仿宋" w:hAnsi="仿宋" w:eastAsia="仿宋"/>
          <w:color w:val="000000"/>
          <w:sz w:val="32"/>
          <w:szCs w:val="32"/>
        </w:rPr>
      </w:pPr>
      <w:r>
        <w:rPr>
          <w:rFonts w:hint="eastAsia" w:ascii="仿宋" w:hAnsi="仿宋" w:eastAsia="仿宋"/>
          <w:color w:val="000000"/>
          <w:sz w:val="32"/>
          <w:szCs w:val="32"/>
        </w:rPr>
        <w:t>25.广元市昭化区柳桥乡卫生院</w:t>
      </w:r>
    </w:p>
    <w:p w14:paraId="21ECF765">
      <w:pPr>
        <w:pStyle w:val="7"/>
        <w:adjustRightInd w:val="0"/>
        <w:snapToGrid w:val="0"/>
        <w:spacing w:before="93" w:line="600" w:lineRule="exact"/>
        <w:ind w:left="672"/>
        <w:outlineLvl w:val="2"/>
        <w:rPr>
          <w:rFonts w:ascii="仿宋" w:hAnsi="仿宋" w:eastAsia="仿宋"/>
          <w:color w:val="000000"/>
          <w:sz w:val="32"/>
          <w:szCs w:val="32"/>
        </w:rPr>
      </w:pPr>
      <w:r>
        <w:rPr>
          <w:rFonts w:hint="eastAsia" w:ascii="仿宋" w:hAnsi="仿宋" w:eastAsia="仿宋"/>
          <w:color w:val="000000"/>
          <w:sz w:val="32"/>
          <w:szCs w:val="32"/>
        </w:rPr>
        <w:t>26.广元市昭化区陈江乡卫生院</w:t>
      </w:r>
    </w:p>
    <w:p w14:paraId="511D4EB9">
      <w:pPr>
        <w:pStyle w:val="7"/>
        <w:adjustRightInd w:val="0"/>
        <w:snapToGrid w:val="0"/>
        <w:spacing w:before="93" w:line="600" w:lineRule="exact"/>
        <w:ind w:left="672"/>
        <w:outlineLvl w:val="2"/>
        <w:rPr>
          <w:rFonts w:ascii="仿宋" w:hAnsi="仿宋" w:eastAsia="仿宋"/>
          <w:color w:val="000000"/>
          <w:sz w:val="32"/>
          <w:szCs w:val="32"/>
        </w:rPr>
      </w:pPr>
      <w:r>
        <w:rPr>
          <w:rFonts w:hint="eastAsia" w:ascii="仿宋" w:hAnsi="仿宋" w:eastAsia="仿宋"/>
          <w:color w:val="000000"/>
          <w:sz w:val="32"/>
          <w:szCs w:val="32"/>
        </w:rPr>
        <w:t>27.广元市昭化区丁家乡卫生院</w:t>
      </w:r>
    </w:p>
    <w:p w14:paraId="71F69A63">
      <w:pPr>
        <w:pStyle w:val="7"/>
        <w:adjustRightInd w:val="0"/>
        <w:snapToGrid w:val="0"/>
        <w:spacing w:before="93" w:line="600" w:lineRule="exact"/>
        <w:ind w:left="672"/>
        <w:outlineLvl w:val="2"/>
        <w:rPr>
          <w:rFonts w:ascii="仿宋" w:hAnsi="仿宋" w:eastAsia="仿宋"/>
          <w:color w:val="000000"/>
          <w:sz w:val="32"/>
          <w:szCs w:val="32"/>
        </w:rPr>
      </w:pPr>
      <w:r>
        <w:rPr>
          <w:rFonts w:hint="eastAsia" w:ascii="仿宋" w:hAnsi="仿宋" w:eastAsia="仿宋"/>
          <w:color w:val="000000"/>
          <w:sz w:val="32"/>
          <w:szCs w:val="32"/>
        </w:rPr>
        <w:t>28.广元市昭化区紫云乡卫生院</w:t>
      </w:r>
    </w:p>
    <w:p w14:paraId="1480E6F5">
      <w:pPr>
        <w:pStyle w:val="7"/>
        <w:adjustRightInd w:val="0"/>
        <w:snapToGrid w:val="0"/>
        <w:spacing w:before="93" w:line="600" w:lineRule="exact"/>
        <w:ind w:left="672"/>
        <w:outlineLvl w:val="2"/>
        <w:rPr>
          <w:rFonts w:ascii="仿宋" w:hAnsi="仿宋" w:eastAsia="仿宋"/>
          <w:color w:val="000000"/>
          <w:sz w:val="32"/>
          <w:szCs w:val="32"/>
        </w:rPr>
      </w:pPr>
      <w:r>
        <w:rPr>
          <w:rFonts w:hint="eastAsia" w:ascii="仿宋" w:hAnsi="仿宋" w:eastAsia="仿宋"/>
          <w:color w:val="000000"/>
          <w:sz w:val="32"/>
          <w:szCs w:val="32"/>
        </w:rPr>
        <w:t>29.广元市昭化区沙坝乡卫生院</w:t>
      </w:r>
    </w:p>
    <w:p w14:paraId="5532263E">
      <w:pPr>
        <w:pStyle w:val="7"/>
        <w:adjustRightInd w:val="0"/>
        <w:snapToGrid w:val="0"/>
        <w:spacing w:before="93" w:line="600" w:lineRule="exact"/>
        <w:ind w:left="672"/>
        <w:outlineLvl w:val="2"/>
        <w:rPr>
          <w:rFonts w:ascii="仿宋" w:hAnsi="仿宋" w:eastAsia="仿宋"/>
          <w:color w:val="000000"/>
          <w:sz w:val="32"/>
          <w:szCs w:val="32"/>
        </w:rPr>
      </w:pPr>
      <w:r>
        <w:rPr>
          <w:rFonts w:hint="eastAsia" w:ascii="仿宋" w:hAnsi="仿宋" w:eastAsia="仿宋"/>
          <w:color w:val="000000"/>
          <w:sz w:val="32"/>
          <w:szCs w:val="32"/>
        </w:rPr>
        <w:t>30.广元市昭化区香溪乡卫生院</w:t>
      </w:r>
    </w:p>
    <w:p w14:paraId="1D3C560F">
      <w:pPr>
        <w:pStyle w:val="7"/>
        <w:adjustRightInd w:val="0"/>
        <w:snapToGrid w:val="0"/>
        <w:spacing w:before="93" w:line="600" w:lineRule="exact"/>
        <w:ind w:left="672"/>
        <w:outlineLvl w:val="2"/>
        <w:rPr>
          <w:rFonts w:ascii="仿宋" w:hAnsi="仿宋" w:eastAsia="仿宋"/>
          <w:color w:val="000000"/>
          <w:sz w:val="32"/>
          <w:szCs w:val="32"/>
        </w:rPr>
      </w:pPr>
      <w:r>
        <w:rPr>
          <w:rFonts w:hint="eastAsia" w:ascii="仿宋" w:hAnsi="仿宋" w:eastAsia="仿宋"/>
          <w:color w:val="000000"/>
          <w:sz w:val="32"/>
          <w:szCs w:val="32"/>
        </w:rPr>
        <w:t>31.广元市昭化区大朝乡卫生院</w:t>
      </w:r>
    </w:p>
    <w:p w14:paraId="7869CF54">
      <w:pPr>
        <w:ind w:left="420" w:leftChars="200"/>
      </w:pPr>
    </w:p>
    <w:p w14:paraId="25349653">
      <w:pPr>
        <w:pStyle w:val="4"/>
        <w:ind w:right="440"/>
        <w:jc w:val="center"/>
        <w:rPr>
          <w:rStyle w:val="26"/>
          <w:rFonts w:ascii="黑体" w:hAnsi="黑体" w:eastAsia="黑体"/>
          <w:b w:val="0"/>
          <w:bCs/>
        </w:rPr>
      </w:pPr>
      <w:bookmarkStart w:id="29" w:name="_Toc9564"/>
      <w:r>
        <w:rPr>
          <w:rFonts w:hint="eastAsia" w:ascii="黑体" w:hAnsi="黑体" w:eastAsia="黑体"/>
          <w:b w:val="0"/>
        </w:rPr>
        <w:t>第二部分 2021年度</w:t>
      </w:r>
      <w:r>
        <w:rPr>
          <w:rStyle w:val="26"/>
          <w:rFonts w:hint="eastAsia" w:ascii="黑体" w:hAnsi="黑体" w:eastAsia="黑体"/>
          <w:b w:val="0"/>
          <w:bCs/>
        </w:rPr>
        <w:t>部门决算情况说明</w:t>
      </w:r>
      <w:bookmarkEnd w:id="27"/>
      <w:bookmarkEnd w:id="28"/>
      <w:bookmarkEnd w:id="29"/>
    </w:p>
    <w:p w14:paraId="08E2CCE5"/>
    <w:p w14:paraId="509EC0C9">
      <w:pPr>
        <w:pStyle w:val="25"/>
        <w:numPr>
          <w:ilvl w:val="0"/>
          <w:numId w:val="3"/>
        </w:numPr>
        <w:spacing w:line="600" w:lineRule="exact"/>
        <w:ind w:firstLineChars="0"/>
        <w:outlineLvl w:val="1"/>
        <w:rPr>
          <w:rStyle w:val="27"/>
          <w:rFonts w:ascii="黑体" w:hAnsi="黑体" w:eastAsia="黑体"/>
          <w:b w:val="0"/>
        </w:rPr>
      </w:pPr>
      <w:bookmarkStart w:id="30" w:name="_Toc15377205"/>
      <w:bookmarkStart w:id="31" w:name="_Toc10982"/>
      <w:bookmarkStart w:id="32" w:name="_Toc15396603"/>
      <w:r>
        <w:rPr>
          <w:rFonts w:hint="eastAsia" w:ascii="黑体" w:hAnsi="黑体" w:eastAsia="黑体"/>
          <w:sz w:val="32"/>
          <w:szCs w:val="32"/>
        </w:rPr>
        <w:t>收</w:t>
      </w:r>
      <w:r>
        <w:rPr>
          <w:rStyle w:val="27"/>
          <w:rFonts w:hint="eastAsia" w:ascii="黑体" w:hAnsi="黑体" w:eastAsia="黑体"/>
          <w:b w:val="0"/>
        </w:rPr>
        <w:t>入支出决算总体情况说明</w:t>
      </w:r>
      <w:bookmarkEnd w:id="30"/>
      <w:bookmarkEnd w:id="31"/>
      <w:bookmarkEnd w:id="32"/>
    </w:p>
    <w:p w14:paraId="46D3D16A">
      <w:pPr>
        <w:spacing w:line="600" w:lineRule="exact"/>
        <w:ind w:firstLine="640" w:firstLineChars="200"/>
        <w:rPr>
          <w:rFonts w:ascii="仿宋" w:hAnsi="仿宋" w:eastAsia="仿宋"/>
          <w:sz w:val="32"/>
          <w:szCs w:val="32"/>
        </w:rPr>
      </w:pPr>
      <w:r>
        <w:rPr>
          <w:rFonts w:hint="eastAsia" w:ascii="仿宋" w:hAnsi="仿宋" w:eastAsia="仿宋"/>
          <w:sz w:val="32"/>
          <w:szCs w:val="32"/>
        </w:rPr>
        <w:t>2021年度收入总计17140.59万元，支出总计16686.29万元，与2020年相比，收入总计减少3041.41万元，下降15.07</w:t>
      </w:r>
      <w:r>
        <w:rPr>
          <w:rFonts w:ascii="仿宋" w:hAnsi="仿宋" w:eastAsia="仿宋"/>
          <w:sz w:val="32"/>
          <w:szCs w:val="32"/>
        </w:rPr>
        <w:t>%</w:t>
      </w:r>
      <w:r>
        <w:rPr>
          <w:rFonts w:hint="eastAsia" w:ascii="仿宋" w:hAnsi="仿宋" w:eastAsia="仿宋"/>
          <w:sz w:val="32"/>
          <w:szCs w:val="32"/>
        </w:rPr>
        <w:t>。主要变动原因是一般公共预算拨款收入减少了728.14万元，政府性基金减少了1757.75万元，事业收入减少了25.71万元，年初结转结余减少了566.82万元，但其他收入增加了37.03万元。2021年支出总计减少了3495.71，减少的原因主要是卫生健康支出减少了210.7万元，</w:t>
      </w:r>
      <w:r>
        <w:rPr>
          <w:rFonts w:hint="eastAsia" w:ascii="仿宋" w:hAnsi="仿宋" w:eastAsia="仿宋"/>
          <w:sz w:val="32"/>
          <w:szCs w:val="32"/>
          <w:lang w:eastAsia="zh-CN"/>
        </w:rPr>
        <w:t>抗疫特别国债</w:t>
      </w:r>
      <w:r>
        <w:rPr>
          <w:rFonts w:hint="eastAsia" w:ascii="仿宋" w:hAnsi="仿宋" w:eastAsia="仿宋"/>
          <w:sz w:val="32"/>
          <w:szCs w:val="32"/>
        </w:rPr>
        <w:t>减少了1757.75万元，年初结转结余支出减少了1817.94万元，但增加了托育教育支出45万元，社会保障和就业支出增加了47.18万元，住房保障支出增加了198.48万元</w:t>
      </w:r>
    </w:p>
    <w:p w14:paraId="1FA816D9">
      <w:pPr>
        <w:pStyle w:val="2"/>
        <w:ind w:firstLine="643"/>
      </w:pPr>
      <w:r>
        <w:drawing>
          <wp:inline distT="0" distB="0" distL="114300" distR="114300">
            <wp:extent cx="3121025" cy="19932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121025" cy="1993265"/>
                    </a:xfrm>
                    <a:prstGeom prst="rect">
                      <a:avLst/>
                    </a:prstGeom>
                    <a:noFill/>
                    <a:ln>
                      <a:noFill/>
                    </a:ln>
                  </pic:spPr>
                </pic:pic>
              </a:graphicData>
            </a:graphic>
          </wp:inline>
        </w:drawing>
      </w:r>
    </w:p>
    <w:p w14:paraId="3DA7837C">
      <w:pPr>
        <w:spacing w:line="600" w:lineRule="exact"/>
        <w:ind w:firstLine="640" w:firstLineChars="200"/>
        <w:jc w:val="left"/>
        <w:rPr>
          <w:rFonts w:ascii="仿宋_GB2312" w:eastAsia="仿宋_GB2312"/>
          <w:sz w:val="32"/>
          <w:szCs w:val="32"/>
        </w:rPr>
      </w:pPr>
    </w:p>
    <w:p w14:paraId="5E407567">
      <w:pPr>
        <w:pStyle w:val="25"/>
        <w:numPr>
          <w:ilvl w:val="0"/>
          <w:numId w:val="3"/>
        </w:numPr>
        <w:spacing w:line="600" w:lineRule="exact"/>
        <w:ind w:firstLineChars="0"/>
        <w:outlineLvl w:val="1"/>
        <w:rPr>
          <w:rStyle w:val="27"/>
          <w:rFonts w:ascii="黑体" w:hAnsi="黑体" w:eastAsia="黑体"/>
          <w:b w:val="0"/>
        </w:rPr>
      </w:pPr>
      <w:bookmarkStart w:id="33" w:name="_Toc22923"/>
      <w:bookmarkStart w:id="34" w:name="_Toc15396604"/>
      <w:bookmarkStart w:id="35" w:name="_Toc15377206"/>
      <w:r>
        <w:rPr>
          <w:rFonts w:hint="eastAsia" w:ascii="黑体" w:hAnsi="黑体" w:eastAsia="黑体"/>
          <w:sz w:val="32"/>
          <w:szCs w:val="32"/>
        </w:rPr>
        <w:t>收</w:t>
      </w:r>
      <w:r>
        <w:rPr>
          <w:rStyle w:val="27"/>
          <w:rFonts w:hint="eastAsia" w:ascii="黑体" w:hAnsi="黑体" w:eastAsia="黑体"/>
          <w:b w:val="0"/>
        </w:rPr>
        <w:t>入决算情况说明</w:t>
      </w:r>
      <w:bookmarkEnd w:id="33"/>
      <w:bookmarkEnd w:id="34"/>
      <w:bookmarkEnd w:id="35"/>
    </w:p>
    <w:p w14:paraId="7A61FE0E">
      <w:pPr>
        <w:spacing w:line="600" w:lineRule="exact"/>
        <w:ind w:firstLine="640" w:firstLineChars="200"/>
        <w:outlineLvl w:val="1"/>
        <w:rPr>
          <w:rFonts w:ascii="仿宋" w:hAnsi="仿宋" w:eastAsia="仿宋"/>
          <w:sz w:val="32"/>
          <w:szCs w:val="32"/>
        </w:rPr>
      </w:pPr>
      <w:bookmarkStart w:id="36" w:name="_Toc18819"/>
      <w:r>
        <w:rPr>
          <w:rFonts w:hint="eastAsia" w:ascii="仿宋" w:hAnsi="仿宋" w:eastAsia="仿宋"/>
          <w:sz w:val="32"/>
          <w:szCs w:val="32"/>
        </w:rPr>
        <w:t>2021年本年收入合计14939.13万元，其中：一般公共预算财政拨款收入9754.97万元，占65.3%；事业收入5142.39万元，占 34.42%，其他收入41.77万元，占0.28%。</w:t>
      </w:r>
      <w:bookmarkEnd w:id="36"/>
    </w:p>
    <w:p w14:paraId="75097EC6">
      <w:pPr>
        <w:pStyle w:val="2"/>
        <w:ind w:firstLine="643"/>
        <w:rPr>
          <w:rFonts w:ascii="仿宋" w:hAnsi="仿宋" w:eastAsia="仿宋"/>
          <w:color w:val="auto"/>
          <w:szCs w:val="32"/>
        </w:rPr>
      </w:pPr>
    </w:p>
    <w:p w14:paraId="28A9143C">
      <w:r>
        <w:drawing>
          <wp:inline distT="0" distB="0" distL="114300" distR="114300">
            <wp:extent cx="3959860" cy="20878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3959860" cy="2087880"/>
                    </a:xfrm>
                    <a:prstGeom prst="rect">
                      <a:avLst/>
                    </a:prstGeom>
                    <a:noFill/>
                    <a:ln>
                      <a:noFill/>
                    </a:ln>
                  </pic:spPr>
                </pic:pic>
              </a:graphicData>
            </a:graphic>
          </wp:inline>
        </w:drawing>
      </w:r>
    </w:p>
    <w:p w14:paraId="27CDB380">
      <w:pPr>
        <w:pStyle w:val="25"/>
        <w:spacing w:line="600" w:lineRule="exact"/>
        <w:ind w:firstLine="640"/>
        <w:outlineLvl w:val="1"/>
        <w:rPr>
          <w:rStyle w:val="27"/>
          <w:rFonts w:ascii="黑体" w:hAnsi="黑体" w:eastAsia="黑体"/>
          <w:b w:val="0"/>
        </w:rPr>
      </w:pPr>
      <w:bookmarkStart w:id="37" w:name="_Toc15377207"/>
      <w:bookmarkStart w:id="38" w:name="_Toc15396605"/>
      <w:bookmarkStart w:id="39" w:name="_Toc6356"/>
      <w:r>
        <w:rPr>
          <w:rFonts w:hint="eastAsia" w:ascii="黑体" w:hAnsi="黑体" w:eastAsia="黑体"/>
          <w:sz w:val="32"/>
          <w:szCs w:val="32"/>
        </w:rPr>
        <w:t>三、支</w:t>
      </w:r>
      <w:r>
        <w:rPr>
          <w:rStyle w:val="27"/>
          <w:rFonts w:hint="eastAsia" w:ascii="黑体" w:hAnsi="黑体" w:eastAsia="黑体"/>
          <w:b w:val="0"/>
        </w:rPr>
        <w:t>出决算情况说明</w:t>
      </w:r>
      <w:bookmarkEnd w:id="37"/>
      <w:bookmarkEnd w:id="38"/>
      <w:bookmarkEnd w:id="39"/>
    </w:p>
    <w:p w14:paraId="3A22FDA8">
      <w:pPr>
        <w:spacing w:line="600" w:lineRule="exact"/>
        <w:ind w:firstLine="640" w:firstLineChars="200"/>
        <w:outlineLvl w:val="1"/>
        <w:rPr>
          <w:rFonts w:ascii="仿宋" w:hAnsi="仿宋" w:eastAsia="仿宋"/>
          <w:sz w:val="32"/>
          <w:szCs w:val="32"/>
        </w:rPr>
      </w:pPr>
      <w:bookmarkStart w:id="40" w:name="_Toc21607"/>
      <w:r>
        <w:rPr>
          <w:rFonts w:ascii="仿宋" w:hAnsi="仿宋" w:eastAsia="仿宋"/>
          <w:sz w:val="32"/>
          <w:szCs w:val="32"/>
        </w:rPr>
        <w:t>20</w:t>
      </w:r>
      <w:r>
        <w:rPr>
          <w:rFonts w:hint="eastAsia" w:ascii="仿宋" w:hAnsi="仿宋" w:eastAsia="仿宋"/>
          <w:sz w:val="32"/>
          <w:szCs w:val="32"/>
        </w:rPr>
        <w:t>21年本年支出合计16058.49万元，其中：基本支出10989.73万元，占68.44</w:t>
      </w:r>
      <w:r>
        <w:rPr>
          <w:rFonts w:ascii="仿宋" w:hAnsi="仿宋" w:eastAsia="仿宋"/>
          <w:sz w:val="32"/>
          <w:szCs w:val="32"/>
        </w:rPr>
        <w:t>%</w:t>
      </w:r>
      <w:r>
        <w:rPr>
          <w:rFonts w:hint="eastAsia" w:ascii="仿宋" w:hAnsi="仿宋" w:eastAsia="仿宋"/>
          <w:sz w:val="32"/>
          <w:szCs w:val="32"/>
        </w:rPr>
        <w:t>；项目支出5068.76万元，占31.56</w:t>
      </w:r>
      <w:r>
        <w:rPr>
          <w:rFonts w:ascii="仿宋" w:hAnsi="仿宋" w:eastAsia="仿宋"/>
          <w:sz w:val="32"/>
          <w:szCs w:val="32"/>
        </w:rPr>
        <w:t>%</w:t>
      </w:r>
      <w:r>
        <w:rPr>
          <w:rFonts w:hint="eastAsia" w:ascii="仿宋" w:hAnsi="仿宋" w:eastAsia="仿宋"/>
          <w:sz w:val="32"/>
          <w:szCs w:val="32"/>
        </w:rPr>
        <w:t>；</w:t>
      </w:r>
      <w:bookmarkEnd w:id="40"/>
    </w:p>
    <w:p w14:paraId="3C0D8937">
      <w:pPr>
        <w:pStyle w:val="2"/>
        <w:ind w:firstLine="643"/>
        <w:rPr>
          <w:rFonts w:ascii="仿宋_GB2312"/>
          <w:color w:val="auto"/>
          <w:szCs w:val="32"/>
        </w:rPr>
      </w:pPr>
      <w:r>
        <w:drawing>
          <wp:inline distT="0" distB="0" distL="114300" distR="114300">
            <wp:extent cx="3828415" cy="26466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3828415" cy="2646680"/>
                    </a:xfrm>
                    <a:prstGeom prst="rect">
                      <a:avLst/>
                    </a:prstGeom>
                    <a:noFill/>
                    <a:ln>
                      <a:noFill/>
                    </a:ln>
                  </pic:spPr>
                </pic:pic>
              </a:graphicData>
            </a:graphic>
          </wp:inline>
        </w:drawing>
      </w:r>
    </w:p>
    <w:p w14:paraId="13A9AC3C">
      <w:pPr>
        <w:spacing w:line="600" w:lineRule="exact"/>
        <w:ind w:firstLine="640" w:firstLineChars="200"/>
        <w:outlineLvl w:val="1"/>
        <w:rPr>
          <w:rStyle w:val="27"/>
          <w:rFonts w:ascii="黑体" w:hAnsi="黑体" w:eastAsia="黑体"/>
          <w:b w:val="0"/>
        </w:rPr>
      </w:pPr>
      <w:bookmarkStart w:id="41" w:name="_Toc20359"/>
      <w:bookmarkStart w:id="42" w:name="_Toc15396606"/>
      <w:bookmarkStart w:id="43" w:name="_Toc15377208"/>
      <w:r>
        <w:rPr>
          <w:rFonts w:hint="eastAsia" w:ascii="黑体" w:hAnsi="黑体" w:eastAsia="黑体"/>
          <w:sz w:val="32"/>
          <w:szCs w:val="32"/>
        </w:rPr>
        <w:t>四、财</w:t>
      </w:r>
      <w:r>
        <w:rPr>
          <w:rStyle w:val="27"/>
          <w:rFonts w:hint="eastAsia" w:ascii="黑体" w:hAnsi="黑体" w:eastAsia="黑体"/>
          <w:b w:val="0"/>
        </w:rPr>
        <w:t>政拨款收入支出决算总体情况说明</w:t>
      </w:r>
      <w:bookmarkEnd w:id="41"/>
      <w:bookmarkEnd w:id="42"/>
      <w:bookmarkEnd w:id="43"/>
    </w:p>
    <w:p w14:paraId="18D2A22D">
      <w:pPr>
        <w:spacing w:line="600" w:lineRule="exact"/>
        <w:ind w:firstLine="640"/>
        <w:rPr>
          <w:rFonts w:ascii="仿宋" w:hAnsi="仿宋" w:eastAsia="仿宋"/>
          <w:b/>
          <w:sz w:val="32"/>
          <w:szCs w:val="32"/>
        </w:rPr>
      </w:pPr>
      <w:r>
        <w:rPr>
          <w:rFonts w:ascii="仿宋" w:hAnsi="仿宋" w:eastAsia="仿宋"/>
          <w:sz w:val="32"/>
          <w:szCs w:val="32"/>
        </w:rPr>
        <w:t>20</w:t>
      </w:r>
      <w:r>
        <w:rPr>
          <w:rFonts w:hint="eastAsia" w:ascii="仿宋" w:hAnsi="仿宋" w:eastAsia="仿宋"/>
          <w:sz w:val="32"/>
          <w:szCs w:val="32"/>
        </w:rPr>
        <w:t>21年财政拨款收入总计11956.44万元。与</w:t>
      </w:r>
      <w:r>
        <w:rPr>
          <w:rFonts w:ascii="仿宋" w:hAnsi="仿宋" w:eastAsia="仿宋"/>
          <w:sz w:val="32"/>
          <w:szCs w:val="32"/>
        </w:rPr>
        <w:t>20</w:t>
      </w:r>
      <w:r>
        <w:rPr>
          <w:rFonts w:hint="eastAsia" w:ascii="仿宋" w:hAnsi="仿宋" w:eastAsia="仿宋"/>
          <w:sz w:val="32"/>
          <w:szCs w:val="32"/>
        </w:rPr>
        <w:t>20年相比，财政拨款收入减少了3052.71万元，下降20.34</w:t>
      </w:r>
      <w:r>
        <w:rPr>
          <w:rFonts w:ascii="仿宋" w:hAnsi="仿宋" w:eastAsia="仿宋"/>
          <w:sz w:val="32"/>
          <w:szCs w:val="32"/>
        </w:rPr>
        <w:t>%</w:t>
      </w:r>
      <w:r>
        <w:rPr>
          <w:rFonts w:hint="eastAsia" w:ascii="仿宋" w:hAnsi="仿宋" w:eastAsia="仿宋"/>
          <w:sz w:val="32"/>
          <w:szCs w:val="32"/>
        </w:rPr>
        <w:t>。主要变动原因是一般公共预算拨款减少了728.14万元，政府性基金减少了1757.75万元，年初结转结余减少了566.82万元，</w:t>
      </w:r>
      <w:r>
        <w:rPr>
          <w:rFonts w:ascii="仿宋" w:hAnsi="仿宋" w:eastAsia="仿宋"/>
          <w:sz w:val="32"/>
          <w:szCs w:val="32"/>
        </w:rPr>
        <w:t>20</w:t>
      </w:r>
      <w:r>
        <w:rPr>
          <w:rFonts w:hint="eastAsia" w:ascii="仿宋" w:hAnsi="仿宋" w:eastAsia="仿宋"/>
          <w:sz w:val="32"/>
          <w:szCs w:val="32"/>
        </w:rPr>
        <w:t>21年财政拨款支出总计11599.97万元，与2020年相比，财政拨款支出减少了3409.18万元，减少的主要原因是：卫生健康支出减少了222.01万元，抗疫特别国债减少了1757.75万元，年末财政拨款结转和结余减少了1720.09万元，但教育支出增加了45万元，社会保障和就业支出增加了47.18万元，住房保障支出增加了198.49万元。</w:t>
      </w:r>
    </w:p>
    <w:p w14:paraId="38C84C5F">
      <w:pPr>
        <w:spacing w:line="600" w:lineRule="exact"/>
        <w:ind w:firstLine="640"/>
        <w:rPr>
          <w:rFonts w:ascii="仿宋" w:hAnsi="仿宋" w:eastAsia="仿宋"/>
          <w:b/>
          <w:sz w:val="32"/>
          <w:szCs w:val="32"/>
        </w:rPr>
      </w:pPr>
      <w:r>
        <w:drawing>
          <wp:anchor distT="0" distB="0" distL="114300" distR="114300" simplePos="0" relativeHeight="251659264" behindDoc="0" locked="0" layoutInCell="1" allowOverlap="1">
            <wp:simplePos x="0" y="0"/>
            <wp:positionH relativeFrom="column">
              <wp:posOffset>406400</wp:posOffset>
            </wp:positionH>
            <wp:positionV relativeFrom="paragraph">
              <wp:posOffset>76835</wp:posOffset>
            </wp:positionV>
            <wp:extent cx="3941445" cy="2592070"/>
            <wp:effectExtent l="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3941445" cy="2592070"/>
                    </a:xfrm>
                    <a:prstGeom prst="rect">
                      <a:avLst/>
                    </a:prstGeom>
                    <a:noFill/>
                    <a:ln>
                      <a:noFill/>
                    </a:ln>
                  </pic:spPr>
                </pic:pic>
              </a:graphicData>
            </a:graphic>
          </wp:anchor>
        </w:drawing>
      </w:r>
    </w:p>
    <w:p w14:paraId="4F442E9B">
      <w:pPr>
        <w:spacing w:line="600" w:lineRule="exact"/>
        <w:ind w:firstLine="640"/>
        <w:rPr>
          <w:rFonts w:ascii="仿宋" w:hAnsi="仿宋" w:eastAsia="仿宋"/>
          <w:b/>
          <w:sz w:val="32"/>
          <w:szCs w:val="32"/>
        </w:rPr>
      </w:pPr>
    </w:p>
    <w:p w14:paraId="72821518">
      <w:pPr>
        <w:spacing w:line="600" w:lineRule="exact"/>
        <w:ind w:firstLine="640"/>
        <w:rPr>
          <w:rFonts w:ascii="仿宋" w:hAnsi="仿宋" w:eastAsia="仿宋"/>
          <w:b/>
          <w:sz w:val="32"/>
          <w:szCs w:val="32"/>
        </w:rPr>
      </w:pPr>
    </w:p>
    <w:p w14:paraId="44A4ED78">
      <w:pPr>
        <w:spacing w:line="600" w:lineRule="exact"/>
        <w:ind w:firstLine="640"/>
        <w:rPr>
          <w:rFonts w:ascii="仿宋" w:hAnsi="仿宋" w:eastAsia="仿宋"/>
          <w:b/>
          <w:sz w:val="32"/>
          <w:szCs w:val="32"/>
        </w:rPr>
      </w:pPr>
    </w:p>
    <w:p w14:paraId="14E1DD82">
      <w:pPr>
        <w:spacing w:line="600" w:lineRule="exact"/>
        <w:ind w:firstLine="640"/>
        <w:rPr>
          <w:rFonts w:ascii="仿宋" w:hAnsi="仿宋" w:eastAsia="仿宋"/>
          <w:b/>
          <w:sz w:val="32"/>
          <w:szCs w:val="32"/>
        </w:rPr>
      </w:pPr>
    </w:p>
    <w:p w14:paraId="7BFC87ED">
      <w:pPr>
        <w:pStyle w:val="2"/>
        <w:ind w:firstLine="643"/>
      </w:pPr>
    </w:p>
    <w:p w14:paraId="2B56BC65"/>
    <w:p w14:paraId="72B69C32">
      <w:pPr>
        <w:spacing w:line="600" w:lineRule="exact"/>
        <w:ind w:firstLine="640" w:firstLineChars="200"/>
        <w:outlineLvl w:val="1"/>
        <w:rPr>
          <w:rFonts w:ascii="黑体" w:hAnsi="黑体" w:eastAsia="黑体"/>
          <w:sz w:val="32"/>
          <w:szCs w:val="32"/>
        </w:rPr>
      </w:pPr>
      <w:bookmarkStart w:id="44" w:name="_Toc15396607"/>
      <w:bookmarkStart w:id="45" w:name="_Toc15377209"/>
      <w:bookmarkStart w:id="46" w:name="_Toc5454"/>
    </w:p>
    <w:p w14:paraId="1924198D">
      <w:pPr>
        <w:spacing w:line="600" w:lineRule="exact"/>
        <w:ind w:firstLine="640" w:firstLineChars="200"/>
        <w:outlineLvl w:val="1"/>
        <w:rPr>
          <w:rStyle w:val="27"/>
          <w:rFonts w:ascii="黑体" w:hAnsi="黑体" w:eastAsia="黑体"/>
          <w:b w:val="0"/>
        </w:rPr>
      </w:pPr>
      <w:r>
        <w:rPr>
          <w:rFonts w:hint="eastAsia" w:ascii="黑体" w:hAnsi="黑体" w:eastAsia="黑体"/>
          <w:sz w:val="32"/>
          <w:szCs w:val="32"/>
        </w:rPr>
        <w:t>五、</w:t>
      </w:r>
      <w:r>
        <w:rPr>
          <w:rFonts w:hint="eastAsia" w:ascii="黑体" w:hAnsi="黑体" w:eastAsia="黑体"/>
          <w:b/>
          <w:sz w:val="32"/>
          <w:szCs w:val="32"/>
        </w:rPr>
        <w:t>一</w:t>
      </w:r>
      <w:r>
        <w:rPr>
          <w:rStyle w:val="27"/>
          <w:rFonts w:hint="eastAsia" w:ascii="黑体" w:hAnsi="黑体" w:eastAsia="黑体"/>
          <w:b w:val="0"/>
        </w:rPr>
        <w:t>般公共预算财政拨款支出决算情况说明</w:t>
      </w:r>
      <w:bookmarkEnd w:id="44"/>
      <w:bookmarkEnd w:id="45"/>
      <w:bookmarkEnd w:id="46"/>
    </w:p>
    <w:p w14:paraId="773FB12E">
      <w:pPr>
        <w:spacing w:line="600" w:lineRule="exact"/>
        <w:ind w:firstLine="643" w:firstLineChars="200"/>
        <w:outlineLvl w:val="2"/>
        <w:rPr>
          <w:rFonts w:ascii="仿宋" w:hAnsi="仿宋" w:eastAsia="仿宋"/>
          <w:b/>
          <w:sz w:val="32"/>
          <w:szCs w:val="32"/>
        </w:rPr>
      </w:pPr>
      <w:bookmarkStart w:id="47" w:name="_Toc15377210"/>
      <w:r>
        <w:rPr>
          <w:rFonts w:hint="eastAsia" w:ascii="仿宋" w:hAnsi="仿宋" w:eastAsia="仿宋"/>
          <w:b/>
          <w:sz w:val="32"/>
          <w:szCs w:val="32"/>
        </w:rPr>
        <w:t>（一）一般公共预算财政拨款支出决算总体情况</w:t>
      </w:r>
      <w:bookmarkEnd w:id="47"/>
    </w:p>
    <w:p w14:paraId="020B6CDF">
      <w:pPr>
        <w:spacing w:line="600" w:lineRule="exact"/>
        <w:ind w:firstLine="640" w:firstLineChars="20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21年一般公共预算财政拨款支出10874.33万元，占本年支出合计的67.72</w:t>
      </w:r>
      <w:r>
        <w:rPr>
          <w:rFonts w:ascii="仿宋" w:hAnsi="仿宋" w:eastAsia="仿宋"/>
          <w:sz w:val="32"/>
          <w:szCs w:val="32"/>
        </w:rPr>
        <w:t>%</w:t>
      </w:r>
      <w:r>
        <w:rPr>
          <w:rFonts w:hint="eastAsia" w:ascii="仿宋" w:hAnsi="仿宋" w:eastAsia="仿宋"/>
          <w:sz w:val="32"/>
          <w:szCs w:val="32"/>
        </w:rPr>
        <w:t>。与</w:t>
      </w:r>
      <w:r>
        <w:rPr>
          <w:rFonts w:ascii="仿宋" w:hAnsi="仿宋" w:eastAsia="仿宋"/>
          <w:sz w:val="32"/>
          <w:szCs w:val="32"/>
        </w:rPr>
        <w:t>20</w:t>
      </w:r>
      <w:r>
        <w:rPr>
          <w:rFonts w:hint="eastAsia" w:ascii="仿宋" w:hAnsi="仿宋" w:eastAsia="仿宋"/>
          <w:sz w:val="32"/>
          <w:szCs w:val="32"/>
        </w:rPr>
        <w:t>20年相比，一般公共预算财政拨款支出增加了68.67万元，增长了0.64</w:t>
      </w:r>
      <w:r>
        <w:rPr>
          <w:rFonts w:ascii="仿宋" w:hAnsi="仿宋" w:eastAsia="仿宋"/>
          <w:sz w:val="32"/>
          <w:szCs w:val="32"/>
        </w:rPr>
        <w:t>%</w:t>
      </w:r>
      <w:r>
        <w:rPr>
          <w:rFonts w:hint="eastAsia" w:ascii="仿宋" w:hAnsi="仿宋" w:eastAsia="仿宋"/>
          <w:sz w:val="32"/>
          <w:szCs w:val="32"/>
        </w:rPr>
        <w:t>。主要变动原因是其中项目支出增加了11.31万元，基本支出增加了57.36万元。</w:t>
      </w:r>
    </w:p>
    <w:p w14:paraId="4CC93407">
      <w:pPr>
        <w:rPr>
          <w:rFonts w:ascii="仿宋" w:hAnsi="仿宋" w:eastAsia="仿宋"/>
          <w:sz w:val="32"/>
          <w:szCs w:val="32"/>
        </w:rPr>
      </w:pPr>
    </w:p>
    <w:p w14:paraId="27DEF5D2">
      <w:pPr>
        <w:pStyle w:val="2"/>
        <w:ind w:firstLine="643"/>
      </w:pPr>
      <w:r>
        <w:drawing>
          <wp:inline distT="0" distB="0" distL="114300" distR="114300">
            <wp:extent cx="4401820" cy="3046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0"/>
                    <a:stretch>
                      <a:fillRect/>
                    </a:stretch>
                  </pic:blipFill>
                  <pic:spPr>
                    <a:xfrm>
                      <a:off x="0" y="0"/>
                      <a:ext cx="4401820" cy="3046095"/>
                    </a:xfrm>
                    <a:prstGeom prst="rect">
                      <a:avLst/>
                    </a:prstGeom>
                    <a:noFill/>
                    <a:ln>
                      <a:noFill/>
                    </a:ln>
                  </pic:spPr>
                </pic:pic>
              </a:graphicData>
            </a:graphic>
          </wp:inline>
        </w:drawing>
      </w:r>
    </w:p>
    <w:p w14:paraId="6E96DA57">
      <w:pPr>
        <w:spacing w:line="600" w:lineRule="exact"/>
        <w:ind w:firstLine="643" w:firstLineChars="200"/>
        <w:outlineLvl w:val="2"/>
        <w:rPr>
          <w:rFonts w:ascii="仿宋" w:hAnsi="仿宋" w:eastAsia="仿宋"/>
          <w:b/>
          <w:sz w:val="32"/>
          <w:szCs w:val="32"/>
        </w:rPr>
      </w:pPr>
      <w:bookmarkStart w:id="48" w:name="_Toc15377211"/>
      <w:r>
        <w:rPr>
          <w:rFonts w:hint="eastAsia" w:ascii="仿宋" w:hAnsi="仿宋" w:eastAsia="仿宋"/>
          <w:b/>
          <w:sz w:val="32"/>
          <w:szCs w:val="32"/>
        </w:rPr>
        <w:t>（二）一般公共预算财政拨款支出决算结构情况</w:t>
      </w:r>
      <w:bookmarkEnd w:id="48"/>
    </w:p>
    <w:p w14:paraId="3B95750C">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21年一般公共预算财政拨款支出10874.33万元，主要用于以下方面</w:t>
      </w:r>
      <w:r>
        <w:rPr>
          <w:rFonts w:ascii="仿宋" w:hAnsi="仿宋" w:eastAsia="仿宋"/>
          <w:sz w:val="32"/>
          <w:szCs w:val="32"/>
        </w:rPr>
        <w:t>:</w:t>
      </w:r>
      <w:r>
        <w:rPr>
          <w:rFonts w:hint="eastAsia" w:ascii="仿宋" w:hAnsi="仿宋" w:eastAsia="仿宋"/>
          <w:b/>
          <w:sz w:val="32"/>
          <w:szCs w:val="32"/>
        </w:rPr>
        <w:t>教育支出（类）</w:t>
      </w:r>
      <w:r>
        <w:rPr>
          <w:rFonts w:hint="eastAsia" w:ascii="仿宋" w:hAnsi="仿宋" w:eastAsia="仿宋"/>
          <w:sz w:val="32"/>
          <w:szCs w:val="32"/>
        </w:rPr>
        <w:t>45万元，占0.4</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社会保障和就业（类）</w:t>
      </w:r>
      <w:r>
        <w:rPr>
          <w:rFonts w:hint="eastAsia" w:ascii="仿宋" w:hAnsi="仿宋" w:eastAsia="仿宋"/>
          <w:sz w:val="32"/>
          <w:szCs w:val="32"/>
        </w:rPr>
        <w:t>支出879.83万元，占8.1</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卫生健康支出</w:t>
      </w:r>
      <w:r>
        <w:rPr>
          <w:rFonts w:hint="eastAsia" w:ascii="仿宋" w:hAnsi="仿宋" w:eastAsia="仿宋"/>
          <w:sz w:val="32"/>
          <w:szCs w:val="32"/>
        </w:rPr>
        <w:t>9310.5万元，占85.62</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住房保障支出</w:t>
      </w:r>
      <w:r>
        <w:rPr>
          <w:rFonts w:hint="eastAsia" w:ascii="仿宋" w:hAnsi="仿宋" w:eastAsia="仿宋"/>
          <w:sz w:val="32"/>
          <w:szCs w:val="32"/>
        </w:rPr>
        <w:t>639万元，占5.88</w:t>
      </w:r>
      <w:r>
        <w:rPr>
          <w:rFonts w:ascii="仿宋" w:hAnsi="仿宋" w:eastAsia="仿宋"/>
          <w:sz w:val="32"/>
          <w:szCs w:val="32"/>
        </w:rPr>
        <w:t>%</w:t>
      </w:r>
      <w:r>
        <w:rPr>
          <w:rFonts w:hint="eastAsia" w:ascii="仿宋" w:hAnsi="仿宋" w:eastAsia="仿宋"/>
          <w:sz w:val="32"/>
          <w:szCs w:val="32"/>
        </w:rPr>
        <w:t>。</w:t>
      </w:r>
    </w:p>
    <w:p w14:paraId="1E82C8E9">
      <w:pPr>
        <w:spacing w:line="600" w:lineRule="exact"/>
        <w:ind w:firstLine="640" w:firstLineChars="200"/>
        <w:rPr>
          <w:rFonts w:ascii="仿宋" w:hAnsi="仿宋" w:eastAsia="仿宋"/>
          <w:sz w:val="32"/>
          <w:szCs w:val="32"/>
        </w:rPr>
      </w:pPr>
    </w:p>
    <w:p w14:paraId="5BCDB260">
      <w:pPr>
        <w:pStyle w:val="2"/>
        <w:ind w:firstLine="643"/>
        <w:rPr>
          <w:rFonts w:ascii="仿宋" w:hAnsi="仿宋" w:eastAsia="仿宋"/>
          <w:color w:val="auto"/>
          <w:szCs w:val="32"/>
        </w:rPr>
      </w:pPr>
      <w:r>
        <w:drawing>
          <wp:inline distT="0" distB="0" distL="114300" distR="114300">
            <wp:extent cx="4761865" cy="282765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1"/>
                    <a:stretch>
                      <a:fillRect/>
                    </a:stretch>
                  </pic:blipFill>
                  <pic:spPr>
                    <a:xfrm>
                      <a:off x="0" y="0"/>
                      <a:ext cx="4761865" cy="2827655"/>
                    </a:xfrm>
                    <a:prstGeom prst="rect">
                      <a:avLst/>
                    </a:prstGeom>
                    <a:noFill/>
                    <a:ln>
                      <a:noFill/>
                    </a:ln>
                  </pic:spPr>
                </pic:pic>
              </a:graphicData>
            </a:graphic>
          </wp:inline>
        </w:drawing>
      </w:r>
    </w:p>
    <w:p w14:paraId="073E3FAD">
      <w:pPr>
        <w:rPr>
          <w:rFonts w:ascii="仿宋" w:hAnsi="仿宋" w:eastAsia="仿宋"/>
          <w:sz w:val="32"/>
          <w:szCs w:val="32"/>
        </w:rPr>
      </w:pPr>
    </w:p>
    <w:p w14:paraId="06AA2126">
      <w:pPr>
        <w:pStyle w:val="2"/>
        <w:ind w:firstLine="643"/>
      </w:pPr>
    </w:p>
    <w:p w14:paraId="6E14B693">
      <w:pPr>
        <w:spacing w:line="600" w:lineRule="exact"/>
        <w:ind w:firstLine="643" w:firstLineChars="200"/>
        <w:outlineLvl w:val="2"/>
        <w:rPr>
          <w:rFonts w:ascii="仿宋" w:hAnsi="仿宋" w:eastAsia="仿宋"/>
          <w:b/>
          <w:sz w:val="32"/>
          <w:szCs w:val="32"/>
        </w:rPr>
      </w:pPr>
      <w:bookmarkStart w:id="49" w:name="_Toc15377212"/>
      <w:r>
        <w:rPr>
          <w:rFonts w:hint="eastAsia" w:ascii="仿宋" w:hAnsi="仿宋" w:eastAsia="仿宋"/>
          <w:b/>
          <w:sz w:val="32"/>
          <w:szCs w:val="32"/>
        </w:rPr>
        <w:t>（三）一般公共预算财政拨款支出决算具体情况</w:t>
      </w:r>
      <w:bookmarkEnd w:id="49"/>
    </w:p>
    <w:p w14:paraId="04A18BA8">
      <w:pPr>
        <w:spacing w:line="600" w:lineRule="exact"/>
        <w:ind w:firstLine="643" w:firstLineChars="200"/>
        <w:outlineLvl w:val="2"/>
        <w:rPr>
          <w:rFonts w:ascii="仿宋" w:hAnsi="仿宋" w:eastAsia="仿宋"/>
          <w:sz w:val="32"/>
          <w:szCs w:val="32"/>
        </w:rPr>
      </w:pPr>
      <w:bookmarkStart w:id="50" w:name="_Toc15377444"/>
      <w:bookmarkStart w:id="51" w:name="_Toc15377213"/>
      <w:bookmarkStart w:id="52" w:name="_Toc15378460"/>
      <w:r>
        <w:rPr>
          <w:rFonts w:hint="eastAsia" w:ascii="仿宋" w:hAnsi="仿宋" w:eastAsia="仿宋"/>
          <w:b/>
          <w:sz w:val="32"/>
          <w:szCs w:val="32"/>
        </w:rPr>
        <w:t>2021年一般公共预算支出决算数为</w:t>
      </w:r>
      <w:r>
        <w:rPr>
          <w:rFonts w:hint="eastAsia" w:ascii="仿宋" w:hAnsi="仿宋" w:eastAsia="仿宋"/>
          <w:sz w:val="32"/>
          <w:szCs w:val="32"/>
        </w:rPr>
        <w:t>10874.33万元，</w:t>
      </w:r>
      <w:r>
        <w:rPr>
          <w:rStyle w:val="16"/>
          <w:rFonts w:hint="eastAsia" w:ascii="仿宋" w:hAnsi="仿宋" w:eastAsia="仿宋"/>
          <w:bCs/>
          <w:sz w:val="32"/>
          <w:szCs w:val="32"/>
        </w:rPr>
        <w:t>完成预算92.2</w:t>
      </w:r>
      <w:r>
        <w:rPr>
          <w:rStyle w:val="16"/>
          <w:rFonts w:ascii="仿宋" w:hAnsi="仿宋" w:eastAsia="仿宋"/>
          <w:bCs/>
          <w:sz w:val="32"/>
          <w:szCs w:val="32"/>
        </w:rPr>
        <w:t>%</w:t>
      </w:r>
      <w:r>
        <w:rPr>
          <w:rStyle w:val="16"/>
          <w:rFonts w:hint="eastAsia" w:ascii="仿宋" w:hAnsi="仿宋" w:eastAsia="仿宋"/>
          <w:bCs/>
          <w:sz w:val="32"/>
          <w:szCs w:val="32"/>
        </w:rPr>
        <w:t>。其中：</w:t>
      </w:r>
      <w:bookmarkEnd w:id="50"/>
      <w:bookmarkEnd w:id="51"/>
      <w:bookmarkEnd w:id="52"/>
    </w:p>
    <w:p w14:paraId="2724F878">
      <w:pPr>
        <w:spacing w:line="600" w:lineRule="exact"/>
        <w:ind w:firstLine="643" w:firstLineChars="200"/>
        <w:rPr>
          <w:rFonts w:ascii="仿宋_GB2312" w:eastAsia="仿宋_GB2312"/>
          <w:color w:val="000000"/>
          <w:sz w:val="32"/>
          <w:szCs w:val="32"/>
        </w:rPr>
      </w:pPr>
      <w:r>
        <w:rPr>
          <w:rStyle w:val="16"/>
          <w:rFonts w:hint="eastAsia" w:ascii="仿宋" w:hAnsi="仿宋" w:eastAsia="仿宋"/>
          <w:bCs/>
          <w:sz w:val="32"/>
          <w:szCs w:val="32"/>
        </w:rPr>
        <w:t>教育支出（类）其他教育支出（款）其他教育支出（项）</w:t>
      </w:r>
      <w:r>
        <w:rPr>
          <w:rStyle w:val="16"/>
          <w:rFonts w:ascii="仿宋" w:hAnsi="仿宋" w:eastAsia="仿宋"/>
          <w:bCs/>
          <w:sz w:val="32"/>
          <w:szCs w:val="32"/>
        </w:rPr>
        <w:t>:</w:t>
      </w:r>
      <w:r>
        <w:rPr>
          <w:rStyle w:val="16"/>
          <w:rFonts w:hint="eastAsia" w:ascii="仿宋" w:hAnsi="仿宋" w:eastAsia="仿宋"/>
          <w:b w:val="0"/>
          <w:sz w:val="32"/>
          <w:szCs w:val="32"/>
        </w:rPr>
        <w:t>主要用于普惠托育服务专项行动</w:t>
      </w:r>
      <w:r>
        <w:rPr>
          <w:rStyle w:val="16"/>
          <w:rFonts w:hint="eastAsia" w:ascii="仿宋" w:hAnsi="仿宋" w:eastAsia="仿宋"/>
          <w:bCs/>
          <w:sz w:val="32"/>
          <w:szCs w:val="32"/>
        </w:rPr>
        <w:t>，</w:t>
      </w:r>
      <w:r>
        <w:rPr>
          <w:rStyle w:val="16"/>
          <w:rFonts w:ascii="仿宋" w:hAnsi="仿宋" w:eastAsia="仿宋"/>
          <w:b w:val="0"/>
          <w:bCs/>
          <w:sz w:val="32"/>
          <w:szCs w:val="32"/>
        </w:rPr>
        <w:t xml:space="preserve"> </w:t>
      </w:r>
      <w:r>
        <w:rPr>
          <w:rStyle w:val="16"/>
          <w:rFonts w:hint="eastAsia" w:ascii="仿宋" w:hAnsi="仿宋" w:eastAsia="仿宋"/>
          <w:b w:val="0"/>
          <w:bCs/>
          <w:sz w:val="32"/>
          <w:szCs w:val="32"/>
        </w:rPr>
        <w:t>支出决算为45万元，完成预算100</w:t>
      </w:r>
      <w:r>
        <w:rPr>
          <w:rStyle w:val="16"/>
          <w:rFonts w:ascii="仿宋" w:hAnsi="仿宋" w:eastAsia="仿宋"/>
          <w:b w:val="0"/>
          <w:bCs/>
          <w:sz w:val="32"/>
          <w:szCs w:val="32"/>
        </w:rPr>
        <w:t>%</w:t>
      </w:r>
      <w:r>
        <w:rPr>
          <w:rStyle w:val="16"/>
          <w:rFonts w:hint="eastAsia" w:ascii="仿宋" w:hAnsi="仿宋" w:eastAsia="仿宋"/>
          <w:b w:val="0"/>
          <w:bCs/>
          <w:sz w:val="32"/>
          <w:szCs w:val="32"/>
        </w:rPr>
        <w:t>。</w:t>
      </w:r>
      <w:r>
        <w:rPr>
          <w:rStyle w:val="16"/>
          <w:rFonts w:hint="eastAsia" w:ascii="仿宋" w:hAnsi="仿宋" w:eastAsia="仿宋"/>
          <w:b w:val="0"/>
          <w:bCs/>
          <w:color w:val="000000"/>
          <w:sz w:val="32"/>
          <w:szCs w:val="32"/>
        </w:rPr>
        <w:t>决算数等于预算数的主要原因是收支持平。</w:t>
      </w:r>
    </w:p>
    <w:p w14:paraId="2727A265">
      <w:pPr>
        <w:spacing w:line="600" w:lineRule="exact"/>
        <w:ind w:firstLine="643" w:firstLineChars="200"/>
        <w:rPr>
          <w:rStyle w:val="16"/>
          <w:rFonts w:ascii="仿宋_GB2312" w:eastAsia="仿宋_GB2312"/>
          <w:b w:val="0"/>
          <w:color w:val="000000"/>
          <w:sz w:val="32"/>
          <w:szCs w:val="32"/>
        </w:rPr>
      </w:pPr>
      <w:r>
        <w:rPr>
          <w:rFonts w:hint="eastAsia" w:ascii="仿宋" w:hAnsi="仿宋" w:eastAsia="仿宋"/>
          <w:b/>
          <w:bCs/>
          <w:color w:val="000000"/>
          <w:sz w:val="32"/>
          <w:szCs w:val="32"/>
        </w:rPr>
        <w:t>卫生健康支出</w:t>
      </w:r>
      <w:r>
        <w:rPr>
          <w:rStyle w:val="16"/>
          <w:rFonts w:hint="eastAsia" w:ascii="仿宋" w:hAnsi="仿宋" w:eastAsia="仿宋"/>
          <w:bCs/>
          <w:color w:val="000000"/>
          <w:sz w:val="32"/>
          <w:szCs w:val="32"/>
        </w:rPr>
        <w:t>（类）卫生健康管理事务（款）行政运行（项）</w:t>
      </w:r>
      <w:r>
        <w:rPr>
          <w:rStyle w:val="16"/>
          <w:rFonts w:ascii="仿宋" w:hAnsi="仿宋" w:eastAsia="仿宋"/>
          <w:bCs/>
          <w:color w:val="000000"/>
          <w:sz w:val="32"/>
          <w:szCs w:val="32"/>
        </w:rPr>
        <w:t>:</w:t>
      </w:r>
      <w:r>
        <w:rPr>
          <w:rStyle w:val="16"/>
          <w:rFonts w:hint="eastAsia" w:ascii="仿宋_GB2312" w:eastAsia="仿宋_GB2312"/>
          <w:b w:val="0"/>
          <w:color w:val="000000"/>
          <w:sz w:val="32"/>
          <w:szCs w:val="32"/>
        </w:rPr>
        <w:t>主要用于局机关、乡镇内退人员、遗嘱人员、三支一扶、社区服务中心人员经费、局机关运行经费，支出</w:t>
      </w:r>
      <w:r>
        <w:rPr>
          <w:rStyle w:val="16"/>
          <w:rFonts w:hint="eastAsia" w:ascii="仿宋" w:hAnsi="仿宋" w:eastAsia="仿宋"/>
          <w:b w:val="0"/>
          <w:color w:val="000000"/>
          <w:sz w:val="32"/>
          <w:szCs w:val="32"/>
        </w:rPr>
        <w:t>2021年</w:t>
      </w:r>
      <w:r>
        <w:rPr>
          <w:rStyle w:val="16"/>
          <w:rFonts w:hint="eastAsia" w:ascii="仿宋" w:hAnsi="仿宋" w:eastAsia="仿宋"/>
          <w:b w:val="0"/>
          <w:bCs/>
          <w:color w:val="000000"/>
          <w:sz w:val="32"/>
          <w:szCs w:val="32"/>
        </w:rPr>
        <w:t>支出决算为987.66万元，完成预算100</w:t>
      </w:r>
      <w:r>
        <w:rPr>
          <w:rStyle w:val="16"/>
          <w:rFonts w:ascii="仿宋" w:hAnsi="仿宋" w:eastAsia="仿宋"/>
          <w:b w:val="0"/>
          <w:bCs/>
          <w:color w:val="000000"/>
          <w:sz w:val="32"/>
          <w:szCs w:val="32"/>
        </w:rPr>
        <w:t>%</w:t>
      </w:r>
      <w:r>
        <w:rPr>
          <w:rStyle w:val="16"/>
          <w:rFonts w:hint="eastAsia" w:ascii="仿宋" w:hAnsi="仿宋" w:eastAsia="仿宋"/>
          <w:b w:val="0"/>
          <w:bCs/>
          <w:color w:val="000000"/>
          <w:sz w:val="32"/>
          <w:szCs w:val="32"/>
        </w:rPr>
        <w:t>。决算数等于预算数的主要原因是收支持平。</w:t>
      </w:r>
    </w:p>
    <w:p w14:paraId="2D01F930">
      <w:pPr>
        <w:spacing w:line="600" w:lineRule="exact"/>
        <w:ind w:firstLine="643" w:firstLineChars="200"/>
        <w:rPr>
          <w:rStyle w:val="16"/>
          <w:rFonts w:ascii="仿宋_GB2312" w:eastAsia="仿宋_GB2312"/>
          <w:b w:val="0"/>
          <w:color w:val="000000"/>
          <w:sz w:val="32"/>
          <w:szCs w:val="32"/>
        </w:rPr>
      </w:pPr>
      <w:r>
        <w:rPr>
          <w:rFonts w:hint="eastAsia" w:ascii="仿宋" w:hAnsi="仿宋" w:eastAsia="仿宋"/>
          <w:b/>
          <w:bCs/>
          <w:color w:val="000000"/>
          <w:sz w:val="32"/>
          <w:szCs w:val="32"/>
        </w:rPr>
        <w:t>卫生健康支出</w:t>
      </w:r>
      <w:r>
        <w:rPr>
          <w:rStyle w:val="16"/>
          <w:rFonts w:hint="eastAsia" w:ascii="仿宋" w:hAnsi="仿宋" w:eastAsia="仿宋"/>
          <w:bCs/>
          <w:color w:val="000000"/>
          <w:sz w:val="32"/>
          <w:szCs w:val="32"/>
        </w:rPr>
        <w:t>（类）卫生健康管理事务（款）其他卫生健康管理事务支出（项）</w:t>
      </w:r>
      <w:r>
        <w:rPr>
          <w:rStyle w:val="16"/>
          <w:rFonts w:ascii="仿宋" w:hAnsi="仿宋" w:eastAsia="仿宋"/>
          <w:bCs/>
          <w:color w:val="000000"/>
          <w:sz w:val="32"/>
          <w:szCs w:val="32"/>
        </w:rPr>
        <w:t>:</w:t>
      </w:r>
      <w:r>
        <w:rPr>
          <w:rStyle w:val="16"/>
          <w:rFonts w:hint="eastAsia" w:ascii="仿宋" w:hAnsi="仿宋" w:eastAsia="仿宋"/>
          <w:b w:val="0"/>
          <w:color w:val="000000"/>
          <w:sz w:val="32"/>
          <w:szCs w:val="32"/>
        </w:rPr>
        <w:t>主要用于乡镇卫生院中医专项建设，2021年支出决算为60万元，完成预算100</w:t>
      </w:r>
      <w:r>
        <w:rPr>
          <w:rStyle w:val="16"/>
          <w:rFonts w:ascii="仿宋" w:hAnsi="仿宋" w:eastAsia="仿宋"/>
          <w:b w:val="0"/>
          <w:color w:val="000000"/>
          <w:sz w:val="32"/>
          <w:szCs w:val="32"/>
        </w:rPr>
        <w:t>%</w:t>
      </w:r>
      <w:r>
        <w:rPr>
          <w:rStyle w:val="16"/>
          <w:rFonts w:hint="eastAsia" w:ascii="仿宋" w:hAnsi="仿宋" w:eastAsia="仿宋"/>
          <w:b w:val="0"/>
          <w:color w:val="000000"/>
          <w:sz w:val="32"/>
          <w:szCs w:val="32"/>
        </w:rPr>
        <w:t>。</w:t>
      </w:r>
      <w:r>
        <w:rPr>
          <w:rStyle w:val="16"/>
          <w:rFonts w:hint="eastAsia" w:ascii="仿宋" w:hAnsi="仿宋" w:eastAsia="仿宋"/>
          <w:b w:val="0"/>
          <w:bCs/>
          <w:color w:val="000000"/>
          <w:sz w:val="32"/>
          <w:szCs w:val="32"/>
        </w:rPr>
        <w:t>决算数等于预算数的主要原因是收支持平。</w:t>
      </w:r>
    </w:p>
    <w:p w14:paraId="1283CF5F">
      <w:pPr>
        <w:spacing w:line="600" w:lineRule="exact"/>
        <w:ind w:firstLine="643" w:firstLineChars="200"/>
        <w:rPr>
          <w:rFonts w:ascii="仿宋_GB2312" w:eastAsia="仿宋_GB2312"/>
          <w:color w:val="000000"/>
          <w:sz w:val="32"/>
          <w:szCs w:val="32"/>
        </w:rPr>
      </w:pPr>
      <w:r>
        <w:rPr>
          <w:rFonts w:hint="eastAsia" w:ascii="仿宋" w:hAnsi="仿宋" w:eastAsia="仿宋"/>
          <w:b/>
          <w:bCs/>
          <w:color w:val="000000"/>
          <w:sz w:val="32"/>
          <w:szCs w:val="32"/>
        </w:rPr>
        <w:t>卫生健康支出</w:t>
      </w:r>
      <w:r>
        <w:rPr>
          <w:rStyle w:val="16"/>
          <w:rFonts w:hint="eastAsia" w:ascii="仿宋" w:hAnsi="仿宋" w:eastAsia="仿宋"/>
          <w:bCs/>
          <w:color w:val="000000"/>
          <w:sz w:val="32"/>
          <w:szCs w:val="32"/>
        </w:rPr>
        <w:t>（类）公立医院（款）中医（民族）医院（项）：</w:t>
      </w:r>
      <w:r>
        <w:rPr>
          <w:rStyle w:val="16"/>
          <w:rFonts w:hint="eastAsia" w:ascii="仿宋" w:hAnsi="仿宋" w:eastAsia="仿宋"/>
          <w:b w:val="0"/>
          <w:color w:val="000000"/>
          <w:sz w:val="32"/>
          <w:szCs w:val="32"/>
        </w:rPr>
        <w:t>主要用于中医医院人员经费</w:t>
      </w:r>
      <w:r>
        <w:rPr>
          <w:rStyle w:val="16"/>
          <w:rFonts w:hint="eastAsia" w:ascii="仿宋" w:hAnsi="仿宋" w:eastAsia="仿宋"/>
          <w:bCs/>
          <w:color w:val="000000"/>
          <w:sz w:val="32"/>
          <w:szCs w:val="32"/>
        </w:rPr>
        <w:t>，</w:t>
      </w:r>
      <w:r>
        <w:rPr>
          <w:rStyle w:val="16"/>
          <w:rFonts w:hint="eastAsia" w:ascii="仿宋" w:hAnsi="仿宋" w:eastAsia="仿宋"/>
          <w:b w:val="0"/>
          <w:color w:val="000000"/>
          <w:sz w:val="32"/>
          <w:szCs w:val="32"/>
        </w:rPr>
        <w:t>支出</w:t>
      </w:r>
      <w:r>
        <w:rPr>
          <w:rFonts w:hint="eastAsia" w:ascii="仿宋_GB2312" w:eastAsia="仿宋_GB2312"/>
          <w:color w:val="000000"/>
          <w:sz w:val="32"/>
          <w:szCs w:val="32"/>
        </w:rPr>
        <w:t>决算数为167.14万元，完成预算100%。</w:t>
      </w:r>
      <w:r>
        <w:rPr>
          <w:rStyle w:val="16"/>
          <w:rFonts w:hint="eastAsia" w:ascii="仿宋" w:hAnsi="仿宋" w:eastAsia="仿宋"/>
          <w:b w:val="0"/>
          <w:bCs/>
          <w:color w:val="000000"/>
          <w:sz w:val="32"/>
          <w:szCs w:val="32"/>
        </w:rPr>
        <w:t>决算数等于预算数的主要原因是收支持平。</w:t>
      </w:r>
    </w:p>
    <w:p w14:paraId="3DF04FC9">
      <w:pPr>
        <w:spacing w:line="600" w:lineRule="exact"/>
        <w:ind w:firstLine="643" w:firstLineChars="200"/>
        <w:rPr>
          <w:rStyle w:val="16"/>
          <w:rFonts w:ascii="仿宋_GB2312" w:eastAsia="仿宋_GB2312"/>
          <w:b w:val="0"/>
          <w:color w:val="000000"/>
          <w:sz w:val="32"/>
          <w:szCs w:val="32"/>
        </w:rPr>
      </w:pPr>
      <w:r>
        <w:rPr>
          <w:rFonts w:hint="eastAsia" w:ascii="仿宋" w:hAnsi="仿宋" w:eastAsia="仿宋"/>
          <w:b/>
          <w:bCs/>
          <w:color w:val="000000"/>
          <w:sz w:val="32"/>
          <w:szCs w:val="32"/>
        </w:rPr>
        <w:t>卫生健康支出</w:t>
      </w:r>
      <w:r>
        <w:rPr>
          <w:rFonts w:hint="eastAsia" w:ascii="仿宋_GB2312" w:eastAsia="仿宋_GB2312"/>
          <w:b/>
          <w:color w:val="000000"/>
          <w:sz w:val="32"/>
          <w:szCs w:val="32"/>
        </w:rPr>
        <w:t>(类)公立医院（款）</w:t>
      </w:r>
      <w:r>
        <w:rPr>
          <w:rStyle w:val="16"/>
          <w:rFonts w:hint="eastAsia" w:ascii="仿宋_GB2312" w:eastAsia="仿宋_GB2312"/>
          <w:color w:val="000000"/>
          <w:sz w:val="32"/>
          <w:szCs w:val="32"/>
        </w:rPr>
        <w:t>其他公立医院支出（项）：</w:t>
      </w:r>
      <w:r>
        <w:rPr>
          <w:rStyle w:val="16"/>
          <w:rFonts w:hint="eastAsia" w:ascii="仿宋_GB2312" w:eastAsia="仿宋_GB2312"/>
          <w:b w:val="0"/>
          <w:bCs/>
          <w:color w:val="000000"/>
          <w:sz w:val="32"/>
          <w:szCs w:val="32"/>
        </w:rPr>
        <w:t>主要用于公立医院综合改革支出，决算数387.89万元，完成预算100%。</w:t>
      </w:r>
      <w:r>
        <w:rPr>
          <w:rStyle w:val="16"/>
          <w:rFonts w:hint="eastAsia" w:ascii="仿宋" w:hAnsi="仿宋" w:eastAsia="仿宋"/>
          <w:b w:val="0"/>
          <w:bCs/>
          <w:color w:val="000000"/>
          <w:sz w:val="32"/>
          <w:szCs w:val="32"/>
        </w:rPr>
        <w:t>决算数等于预算数的主要原因是收支持平。</w:t>
      </w:r>
    </w:p>
    <w:p w14:paraId="47CEE73A">
      <w:pPr>
        <w:spacing w:line="600" w:lineRule="exact"/>
        <w:ind w:firstLine="643" w:firstLineChars="200"/>
        <w:rPr>
          <w:rFonts w:ascii="仿宋_GB2312" w:eastAsia="仿宋_GB2312"/>
          <w:color w:val="000000"/>
          <w:sz w:val="32"/>
          <w:szCs w:val="32"/>
        </w:rPr>
      </w:pPr>
      <w:r>
        <w:rPr>
          <w:rFonts w:hint="eastAsia" w:ascii="仿宋" w:hAnsi="仿宋" w:eastAsia="仿宋"/>
          <w:b/>
          <w:bCs/>
          <w:color w:val="000000"/>
          <w:sz w:val="32"/>
          <w:szCs w:val="32"/>
        </w:rPr>
        <w:t>卫生健康支出</w:t>
      </w:r>
      <w:r>
        <w:rPr>
          <w:rFonts w:hint="eastAsia" w:ascii="仿宋_GB2312" w:eastAsia="仿宋_GB2312"/>
          <w:b/>
          <w:color w:val="000000"/>
          <w:sz w:val="32"/>
          <w:szCs w:val="32"/>
        </w:rPr>
        <w:t>（类）基层医疗卫生机构（款）</w:t>
      </w:r>
      <w:r>
        <w:rPr>
          <w:rStyle w:val="16"/>
          <w:rFonts w:hint="eastAsia" w:ascii="仿宋_GB2312" w:eastAsia="仿宋_GB2312"/>
          <w:color w:val="000000"/>
          <w:sz w:val="32"/>
          <w:szCs w:val="32"/>
        </w:rPr>
        <w:t>乡镇卫生院（项）：</w:t>
      </w:r>
      <w:r>
        <w:rPr>
          <w:rStyle w:val="16"/>
          <w:rFonts w:hint="eastAsia" w:ascii="仿宋_GB2312" w:eastAsia="仿宋_GB2312"/>
          <w:b w:val="0"/>
          <w:color w:val="000000"/>
          <w:sz w:val="32"/>
          <w:szCs w:val="32"/>
        </w:rPr>
        <w:t>主要用于乡镇卫生院人员经费、能力建设支出，</w:t>
      </w:r>
      <w:r>
        <w:rPr>
          <w:rStyle w:val="16"/>
          <w:rFonts w:hint="eastAsia" w:ascii="仿宋_GB2312" w:eastAsia="仿宋_GB2312"/>
          <w:b w:val="0"/>
          <w:bCs/>
          <w:color w:val="000000"/>
          <w:sz w:val="32"/>
          <w:szCs w:val="32"/>
        </w:rPr>
        <w:t>决算数2358.47万元</w:t>
      </w:r>
      <w:r>
        <w:rPr>
          <w:rStyle w:val="16"/>
          <w:rFonts w:hint="eastAsia" w:ascii="仿宋_GB2312" w:eastAsia="仿宋_GB2312"/>
          <w:color w:val="000000"/>
          <w:sz w:val="32"/>
          <w:szCs w:val="32"/>
        </w:rPr>
        <w:t>，</w:t>
      </w:r>
      <w:r>
        <w:rPr>
          <w:rFonts w:hint="eastAsia" w:ascii="仿宋_GB2312" w:eastAsia="仿宋_GB2312"/>
          <w:color w:val="000000"/>
          <w:sz w:val="32"/>
          <w:szCs w:val="32"/>
        </w:rPr>
        <w:t>完成预算100%。</w:t>
      </w:r>
      <w:r>
        <w:rPr>
          <w:rStyle w:val="16"/>
          <w:rFonts w:hint="eastAsia" w:ascii="仿宋" w:hAnsi="仿宋" w:eastAsia="仿宋"/>
          <w:b w:val="0"/>
          <w:bCs/>
          <w:color w:val="000000"/>
          <w:sz w:val="32"/>
          <w:szCs w:val="32"/>
        </w:rPr>
        <w:t>决算数等于预算数的主要原因是收支持平。</w:t>
      </w:r>
    </w:p>
    <w:p w14:paraId="4A52BE33">
      <w:pPr>
        <w:spacing w:line="600" w:lineRule="exact"/>
        <w:ind w:firstLine="643" w:firstLineChars="200"/>
        <w:rPr>
          <w:rStyle w:val="16"/>
          <w:rFonts w:ascii="仿宋_GB2312" w:eastAsia="仿宋_GB2312"/>
          <w:b w:val="0"/>
          <w:color w:val="000000"/>
          <w:sz w:val="32"/>
          <w:szCs w:val="32"/>
        </w:rPr>
      </w:pPr>
      <w:r>
        <w:rPr>
          <w:rStyle w:val="16"/>
          <w:rFonts w:hint="eastAsia" w:ascii="仿宋_GB2312" w:eastAsia="仿宋_GB2312"/>
          <w:color w:val="000000"/>
          <w:sz w:val="32"/>
          <w:szCs w:val="32"/>
        </w:rPr>
        <w:t>卫生健康支出</w:t>
      </w:r>
      <w:r>
        <w:rPr>
          <w:rFonts w:hint="eastAsia" w:ascii="仿宋_GB2312" w:eastAsia="仿宋_GB2312"/>
          <w:b/>
          <w:color w:val="000000"/>
          <w:sz w:val="32"/>
          <w:szCs w:val="32"/>
        </w:rPr>
        <w:t>（类）基层医疗卫生机构（款）其他基层医疗卫生机构支出（项）：</w:t>
      </w:r>
      <w:r>
        <w:rPr>
          <w:rStyle w:val="16"/>
          <w:rFonts w:hint="eastAsia" w:ascii="仿宋_GB2312" w:eastAsia="仿宋_GB2312"/>
          <w:b w:val="0"/>
          <w:color w:val="000000"/>
          <w:sz w:val="32"/>
          <w:szCs w:val="32"/>
        </w:rPr>
        <w:t>主要用于村卫生站实行基本药物制度后弥补人员经费、运转经费、村站维修维护等经费差口。</w:t>
      </w:r>
      <w:r>
        <w:rPr>
          <w:rFonts w:hint="eastAsia" w:ascii="仿宋_GB2312" w:eastAsia="仿宋_GB2312"/>
          <w:color w:val="000000"/>
          <w:sz w:val="32"/>
          <w:szCs w:val="32"/>
        </w:rPr>
        <w:t>2021年决算数为553.56</w:t>
      </w:r>
      <w:r>
        <w:rPr>
          <w:rFonts w:hint="eastAsia" w:ascii="仿宋_GB2312" w:eastAsia="仿宋_GB2312"/>
          <w:sz w:val="32"/>
          <w:szCs w:val="32"/>
        </w:rPr>
        <w:t>万元，完成预算90.98%。</w:t>
      </w:r>
      <w:r>
        <w:rPr>
          <w:rStyle w:val="16"/>
          <w:rFonts w:hint="eastAsia" w:ascii="仿宋_GB2312" w:eastAsia="仿宋_GB2312"/>
          <w:b w:val="0"/>
          <w:color w:val="000000"/>
          <w:sz w:val="32"/>
          <w:szCs w:val="32"/>
        </w:rPr>
        <w:t>决算数小于预算数的主要原因2021年乡镇卫生院、村卫生站基药补助经费于下一年度完成拨付。</w:t>
      </w:r>
    </w:p>
    <w:p w14:paraId="7E294E8F">
      <w:pPr>
        <w:spacing w:line="600" w:lineRule="exact"/>
        <w:ind w:firstLine="643" w:firstLineChars="200"/>
        <w:rPr>
          <w:rFonts w:ascii="仿宋_GB2312" w:eastAsia="仿宋_GB2312"/>
          <w:color w:val="000000"/>
          <w:sz w:val="32"/>
          <w:szCs w:val="32"/>
        </w:rPr>
      </w:pPr>
      <w:r>
        <w:rPr>
          <w:rStyle w:val="16"/>
          <w:rFonts w:hint="eastAsia" w:ascii="仿宋_GB2312" w:eastAsia="仿宋_GB2312"/>
          <w:bCs/>
          <w:color w:val="000000"/>
          <w:sz w:val="32"/>
          <w:szCs w:val="32"/>
        </w:rPr>
        <w:t>卫生健康支出（类）公共卫生（款）疾病预</w:t>
      </w:r>
      <w:r>
        <w:rPr>
          <w:rStyle w:val="16"/>
          <w:rFonts w:hint="eastAsia" w:ascii="仿宋_GB2312" w:eastAsia="仿宋_GB2312"/>
          <w:color w:val="000000"/>
          <w:sz w:val="32"/>
          <w:szCs w:val="32"/>
        </w:rPr>
        <w:t>防控制机构（项）:</w:t>
      </w:r>
      <w:r>
        <w:rPr>
          <w:rStyle w:val="16"/>
          <w:rFonts w:hint="eastAsia" w:ascii="仿宋_GB2312" w:eastAsia="仿宋_GB2312"/>
          <w:b w:val="0"/>
          <w:color w:val="000000"/>
          <w:sz w:val="32"/>
          <w:szCs w:val="32"/>
        </w:rPr>
        <w:t>主要用于区疾控中心人员经费、公业务费支出。</w:t>
      </w:r>
      <w:r>
        <w:rPr>
          <w:rFonts w:hint="eastAsia" w:ascii="仿宋_GB2312" w:eastAsia="仿宋_GB2312"/>
          <w:color w:val="000000"/>
          <w:sz w:val="32"/>
          <w:szCs w:val="32"/>
        </w:rPr>
        <w:t>2021年决算数为303.3万元，完成预算100%。</w:t>
      </w:r>
      <w:r>
        <w:rPr>
          <w:rStyle w:val="16"/>
          <w:rFonts w:hint="eastAsia" w:ascii="仿宋" w:hAnsi="仿宋" w:eastAsia="仿宋"/>
          <w:b w:val="0"/>
          <w:bCs/>
          <w:color w:val="000000"/>
          <w:sz w:val="32"/>
          <w:szCs w:val="32"/>
        </w:rPr>
        <w:t>决算数等于预算数的主要原因是收支持平。</w:t>
      </w:r>
    </w:p>
    <w:p w14:paraId="29F3FED2">
      <w:pPr>
        <w:spacing w:line="600" w:lineRule="exact"/>
        <w:ind w:firstLine="643" w:firstLineChars="200"/>
        <w:rPr>
          <w:rFonts w:ascii="仿宋_GB2312" w:eastAsia="仿宋_GB2312"/>
          <w:color w:val="000000"/>
          <w:sz w:val="32"/>
          <w:szCs w:val="32"/>
        </w:rPr>
      </w:pPr>
      <w:r>
        <w:rPr>
          <w:rStyle w:val="16"/>
          <w:rFonts w:hint="eastAsia" w:ascii="仿宋_GB2312" w:eastAsia="仿宋_GB2312"/>
          <w:bCs/>
          <w:color w:val="000000"/>
          <w:sz w:val="32"/>
          <w:szCs w:val="32"/>
        </w:rPr>
        <w:t>卫生健康支出（类）公共卫生（款）</w:t>
      </w:r>
      <w:r>
        <w:rPr>
          <w:rStyle w:val="16"/>
          <w:rFonts w:hint="eastAsia" w:ascii="仿宋_GB2312" w:eastAsia="仿宋_GB2312"/>
          <w:color w:val="000000"/>
          <w:sz w:val="32"/>
          <w:szCs w:val="32"/>
        </w:rPr>
        <w:t>卫生监督机构（项）:</w:t>
      </w:r>
      <w:r>
        <w:rPr>
          <w:rStyle w:val="16"/>
          <w:rFonts w:hint="eastAsia" w:ascii="仿宋_GB2312" w:eastAsia="仿宋_GB2312"/>
          <w:b w:val="0"/>
          <w:color w:val="000000"/>
          <w:sz w:val="32"/>
          <w:szCs w:val="32"/>
        </w:rPr>
        <w:t>主要用于区卫生监督大队人员经费、公业务费支出。</w:t>
      </w:r>
      <w:r>
        <w:rPr>
          <w:rFonts w:hint="eastAsia" w:ascii="仿宋_GB2312" w:eastAsia="仿宋_GB2312"/>
          <w:color w:val="000000"/>
          <w:sz w:val="32"/>
          <w:szCs w:val="32"/>
        </w:rPr>
        <w:t>2021年决算数为86.27万元，完成预算100%。</w:t>
      </w:r>
      <w:r>
        <w:rPr>
          <w:rStyle w:val="16"/>
          <w:rFonts w:hint="eastAsia" w:ascii="仿宋" w:hAnsi="仿宋" w:eastAsia="仿宋"/>
          <w:b w:val="0"/>
          <w:bCs/>
          <w:color w:val="000000"/>
          <w:sz w:val="32"/>
          <w:szCs w:val="32"/>
        </w:rPr>
        <w:t>决算数等于预算数的主要原因是收支持平。</w:t>
      </w:r>
    </w:p>
    <w:p w14:paraId="5EFC50A7">
      <w:pPr>
        <w:spacing w:line="600" w:lineRule="exact"/>
        <w:ind w:firstLine="643" w:firstLineChars="200"/>
        <w:rPr>
          <w:rFonts w:ascii="仿宋_GB2312" w:eastAsia="仿宋_GB2312"/>
          <w:color w:val="000000"/>
          <w:sz w:val="32"/>
          <w:szCs w:val="32"/>
        </w:rPr>
      </w:pPr>
      <w:r>
        <w:rPr>
          <w:rStyle w:val="16"/>
          <w:rFonts w:hint="eastAsia" w:ascii="仿宋_GB2312" w:eastAsia="仿宋_GB2312"/>
          <w:bCs/>
          <w:color w:val="000000"/>
          <w:sz w:val="32"/>
          <w:szCs w:val="32"/>
        </w:rPr>
        <w:t>卫生健康支出（类）公共卫生（款）</w:t>
      </w:r>
      <w:r>
        <w:rPr>
          <w:rStyle w:val="16"/>
          <w:rFonts w:hint="eastAsia" w:ascii="仿宋_GB2312" w:eastAsia="仿宋_GB2312"/>
          <w:color w:val="000000"/>
          <w:sz w:val="32"/>
          <w:szCs w:val="32"/>
        </w:rPr>
        <w:t>妇幼保健机构（项）:</w:t>
      </w:r>
      <w:r>
        <w:rPr>
          <w:rStyle w:val="16"/>
          <w:rFonts w:hint="eastAsia" w:ascii="仿宋_GB2312" w:eastAsia="仿宋_GB2312"/>
          <w:b w:val="0"/>
          <w:color w:val="000000"/>
          <w:sz w:val="32"/>
          <w:szCs w:val="32"/>
        </w:rPr>
        <w:t>主要用于区妇幼保健院人员经费支出。</w:t>
      </w:r>
      <w:r>
        <w:rPr>
          <w:rFonts w:hint="eastAsia" w:ascii="仿宋_GB2312" w:eastAsia="仿宋_GB2312"/>
          <w:color w:val="000000"/>
          <w:sz w:val="32"/>
          <w:szCs w:val="32"/>
        </w:rPr>
        <w:t>2021年决算数为315.33万元，完成预算100%。</w:t>
      </w:r>
      <w:r>
        <w:rPr>
          <w:rStyle w:val="16"/>
          <w:rFonts w:hint="eastAsia" w:ascii="仿宋" w:hAnsi="仿宋" w:eastAsia="仿宋"/>
          <w:b w:val="0"/>
          <w:bCs/>
          <w:color w:val="000000"/>
          <w:sz w:val="32"/>
          <w:szCs w:val="32"/>
        </w:rPr>
        <w:t>决算数等于预算数的主要原因是收支持平。</w:t>
      </w:r>
    </w:p>
    <w:p w14:paraId="0E1F13D8">
      <w:pPr>
        <w:spacing w:line="600" w:lineRule="exact"/>
        <w:ind w:firstLine="643" w:firstLineChars="200"/>
        <w:rPr>
          <w:color w:val="000000"/>
          <w:sz w:val="32"/>
          <w:szCs w:val="32"/>
        </w:rPr>
      </w:pPr>
      <w:r>
        <w:rPr>
          <w:rStyle w:val="16"/>
          <w:rFonts w:hint="eastAsia" w:ascii="仿宋_GB2312" w:eastAsia="仿宋_GB2312"/>
          <w:bCs/>
          <w:color w:val="000000"/>
          <w:sz w:val="32"/>
          <w:szCs w:val="32"/>
        </w:rPr>
        <w:t>卫生健康支出（类）公共卫生（款）</w:t>
      </w:r>
      <w:r>
        <w:rPr>
          <w:rStyle w:val="16"/>
          <w:rFonts w:hint="eastAsia" w:ascii="仿宋_GB2312" w:eastAsia="仿宋_GB2312"/>
          <w:color w:val="000000"/>
          <w:sz w:val="32"/>
          <w:szCs w:val="32"/>
        </w:rPr>
        <w:t>基本公共卫生服务（项）:</w:t>
      </w:r>
      <w:r>
        <w:rPr>
          <w:rStyle w:val="16"/>
          <w:rFonts w:hint="eastAsia" w:ascii="仿宋_GB2312" w:eastAsia="仿宋_GB2312"/>
          <w:b w:val="0"/>
          <w:color w:val="000000"/>
          <w:sz w:val="32"/>
          <w:szCs w:val="32"/>
        </w:rPr>
        <w:t>主要用于区社区卫生服务中心、区中医院、乡镇卫生院、村卫生站开展基本公共卫生服务活动支出。</w:t>
      </w:r>
      <w:r>
        <w:rPr>
          <w:rFonts w:hint="eastAsia" w:ascii="仿宋_GB2312" w:eastAsia="仿宋_GB2312"/>
          <w:color w:val="000000"/>
          <w:sz w:val="32"/>
          <w:szCs w:val="32"/>
        </w:rPr>
        <w:t>2021年决算数为1434.92万元，完成预算94.68%。决算数小于预算数的主要原因是2021年公共卫生尾款</w:t>
      </w:r>
      <w:r>
        <w:rPr>
          <w:rFonts w:hint="eastAsia" w:ascii="仿宋" w:hAnsi="仿宋" w:eastAsia="仿宋" w:cs="仿宋"/>
          <w:color w:val="000000"/>
          <w:sz w:val="32"/>
          <w:szCs w:val="32"/>
        </w:rPr>
        <w:t>于2021年末考核后下一年度支付</w:t>
      </w:r>
      <w:r>
        <w:rPr>
          <w:rFonts w:hint="eastAsia"/>
          <w:color w:val="000000"/>
          <w:sz w:val="32"/>
          <w:szCs w:val="32"/>
        </w:rPr>
        <w:t>。</w:t>
      </w:r>
    </w:p>
    <w:p w14:paraId="4EF5E4CB">
      <w:pPr>
        <w:spacing w:line="600" w:lineRule="exact"/>
        <w:ind w:firstLine="643" w:firstLineChars="200"/>
        <w:rPr>
          <w:color w:val="000000"/>
          <w:sz w:val="32"/>
          <w:szCs w:val="32"/>
        </w:rPr>
      </w:pPr>
      <w:r>
        <w:rPr>
          <w:rStyle w:val="16"/>
          <w:rFonts w:hint="eastAsia" w:ascii="仿宋_GB2312" w:eastAsia="仿宋_GB2312"/>
          <w:bCs/>
          <w:color w:val="000000"/>
          <w:sz w:val="32"/>
          <w:szCs w:val="32"/>
        </w:rPr>
        <w:t>卫生健康支出（类）公共卫生（款）</w:t>
      </w:r>
      <w:r>
        <w:rPr>
          <w:rFonts w:hint="eastAsia" w:ascii="仿宋_GB2312" w:eastAsia="仿宋_GB2312"/>
          <w:b/>
          <w:bCs/>
          <w:color w:val="000000"/>
          <w:sz w:val="32"/>
          <w:szCs w:val="32"/>
        </w:rPr>
        <w:t>重大公共卫生专项（项）</w:t>
      </w:r>
      <w:r>
        <w:rPr>
          <w:rFonts w:hint="eastAsia" w:ascii="仿宋_GB2312" w:eastAsia="仿宋_GB2312"/>
          <w:color w:val="000000"/>
          <w:sz w:val="32"/>
          <w:szCs w:val="32"/>
        </w:rPr>
        <w:t>:主要用于区疾控中心、区妇幼保健计划生育服务中心院完成上级下达的各类疾病控制任务、免费开展疾控、妇幼项目，如结核病防治、艾滋病筛查、免费婚检、免费孕检等项目支出。2021年决算数为454.38万元，完成预算75.99%，</w:t>
      </w:r>
      <w:r>
        <w:rPr>
          <w:rFonts w:hint="eastAsia" w:ascii="仿宋_GB2312" w:eastAsia="仿宋_GB2312"/>
          <w:sz w:val="32"/>
          <w:szCs w:val="32"/>
        </w:rPr>
        <w:t>决算数小于预算数的主要原因是区疾病预防控制中心、区妇幼保健计划服务中心的项目经费2021年末实施完成，于下一年度继续实施项目及经费列支。</w:t>
      </w:r>
    </w:p>
    <w:p w14:paraId="56183EAA">
      <w:pPr>
        <w:spacing w:line="600" w:lineRule="exact"/>
        <w:ind w:firstLine="643" w:firstLineChars="200"/>
        <w:rPr>
          <w:rFonts w:ascii="仿宋_GB2312" w:eastAsia="仿宋_GB2312"/>
          <w:color w:val="000000"/>
          <w:sz w:val="32"/>
          <w:szCs w:val="32"/>
        </w:rPr>
      </w:pPr>
      <w:r>
        <w:rPr>
          <w:rFonts w:hint="eastAsia" w:ascii="仿宋_GB2312" w:eastAsia="仿宋_GB2312"/>
          <w:b/>
          <w:color w:val="000000"/>
          <w:sz w:val="32"/>
          <w:szCs w:val="32"/>
        </w:rPr>
        <w:t>卫生健康支出（类）中医药（款）中医药专项（项）</w:t>
      </w:r>
      <w:r>
        <w:rPr>
          <w:rFonts w:hint="eastAsia" w:ascii="仿宋_GB2312" w:eastAsia="仿宋_GB2312"/>
          <w:color w:val="000000"/>
          <w:sz w:val="32"/>
          <w:szCs w:val="32"/>
        </w:rPr>
        <w:t>:主要用于中医医院能力提升建设，2021年决算数为50万元，完成预算100%。</w:t>
      </w:r>
      <w:r>
        <w:rPr>
          <w:rStyle w:val="16"/>
          <w:rFonts w:hint="eastAsia" w:ascii="仿宋" w:hAnsi="仿宋" w:eastAsia="仿宋"/>
          <w:b w:val="0"/>
          <w:bCs/>
          <w:color w:val="000000"/>
          <w:sz w:val="32"/>
          <w:szCs w:val="32"/>
        </w:rPr>
        <w:t>决算数等于预算数的主要原因是收支持平。</w:t>
      </w:r>
    </w:p>
    <w:p w14:paraId="607D3D74">
      <w:pPr>
        <w:spacing w:line="600" w:lineRule="exact"/>
        <w:ind w:firstLine="643" w:firstLineChars="200"/>
        <w:rPr>
          <w:rFonts w:ascii="仿宋_GB2312" w:eastAsia="仿宋_GB2312"/>
          <w:color w:val="000000"/>
          <w:sz w:val="32"/>
          <w:szCs w:val="32"/>
        </w:rPr>
      </w:pPr>
      <w:r>
        <w:rPr>
          <w:rStyle w:val="16"/>
          <w:rFonts w:hint="eastAsia" w:ascii="仿宋_GB2312" w:eastAsia="仿宋_GB2312"/>
          <w:color w:val="000000"/>
          <w:sz w:val="32"/>
          <w:szCs w:val="32"/>
        </w:rPr>
        <w:t>卫生健康支出（类）计划生育事务</w:t>
      </w:r>
      <w:r>
        <w:rPr>
          <w:rFonts w:hint="eastAsia" w:ascii="仿宋_GB2312" w:eastAsia="仿宋_GB2312"/>
          <w:b/>
          <w:bCs/>
          <w:color w:val="000000"/>
          <w:sz w:val="32"/>
          <w:szCs w:val="32"/>
        </w:rPr>
        <w:t>（款）其他计划生育事务支出（项）</w:t>
      </w:r>
      <w:r>
        <w:rPr>
          <w:rFonts w:hint="eastAsia" w:ascii="仿宋_GB2312" w:eastAsia="仿宋_GB2312"/>
          <w:color w:val="000000"/>
          <w:sz w:val="32"/>
          <w:szCs w:val="32"/>
        </w:rPr>
        <w:t>:主要用于实行计划生育奖励扶助、对个人和家庭的补助、计划生育免费手术等支出。2021决算数为1109.2万元，完成预算94.44%。决算数小于预算数的主要原因是计划生育免费手术经费结转到下一年度支付。</w:t>
      </w:r>
    </w:p>
    <w:p w14:paraId="14D996B4">
      <w:pPr>
        <w:spacing w:line="600" w:lineRule="exact"/>
        <w:ind w:firstLine="643" w:firstLineChars="200"/>
        <w:rPr>
          <w:rFonts w:ascii="仿宋_GB2312" w:eastAsia="仿宋_GB2312"/>
          <w:color w:val="000000"/>
          <w:sz w:val="32"/>
          <w:szCs w:val="32"/>
        </w:rPr>
      </w:pPr>
      <w:r>
        <w:rPr>
          <w:rStyle w:val="16"/>
          <w:rFonts w:hint="eastAsia" w:ascii="仿宋_GB2312" w:eastAsia="仿宋_GB2312"/>
          <w:bCs/>
          <w:color w:val="000000"/>
          <w:sz w:val="32"/>
          <w:szCs w:val="32"/>
        </w:rPr>
        <w:t>卫生健康支出（类）行政事业单位（款）事业单位医疗（项）</w:t>
      </w:r>
      <w:r>
        <w:rPr>
          <w:rStyle w:val="16"/>
          <w:rFonts w:hint="eastAsia" w:ascii="仿宋_GB2312" w:eastAsia="仿宋_GB2312"/>
          <w:b w:val="0"/>
          <w:color w:val="000000"/>
          <w:sz w:val="32"/>
          <w:szCs w:val="32"/>
        </w:rPr>
        <w:t>：用于在职在编人员医疗保险支出，2021年决算数271.13万元，</w:t>
      </w:r>
      <w:r>
        <w:rPr>
          <w:rFonts w:hint="eastAsia" w:ascii="仿宋_GB2312" w:eastAsia="仿宋_GB2312"/>
          <w:color w:val="000000"/>
          <w:sz w:val="32"/>
          <w:szCs w:val="32"/>
        </w:rPr>
        <w:t>完成预算100%。</w:t>
      </w:r>
      <w:r>
        <w:rPr>
          <w:rStyle w:val="16"/>
          <w:rFonts w:hint="eastAsia" w:ascii="仿宋" w:hAnsi="仿宋" w:eastAsia="仿宋"/>
          <w:b w:val="0"/>
          <w:bCs/>
          <w:color w:val="000000"/>
          <w:sz w:val="32"/>
          <w:szCs w:val="32"/>
        </w:rPr>
        <w:t>决算数等于预算数的主要原因是收支持平。</w:t>
      </w:r>
    </w:p>
    <w:p w14:paraId="2F9C319C">
      <w:pPr>
        <w:spacing w:line="600" w:lineRule="exact"/>
        <w:ind w:firstLine="643" w:firstLineChars="200"/>
        <w:rPr>
          <w:rFonts w:ascii="仿宋_GB2312" w:eastAsia="仿宋_GB2312"/>
          <w:color w:val="000000"/>
          <w:sz w:val="32"/>
          <w:szCs w:val="32"/>
        </w:rPr>
      </w:pPr>
      <w:r>
        <w:rPr>
          <w:rStyle w:val="16"/>
          <w:rFonts w:hint="eastAsia" w:ascii="仿宋_GB2312" w:eastAsia="仿宋_GB2312"/>
          <w:color w:val="000000"/>
          <w:sz w:val="32"/>
          <w:szCs w:val="32"/>
        </w:rPr>
        <w:t>卫生健康支出（类）其他卫生健康支出（款）</w:t>
      </w:r>
      <w:r>
        <w:rPr>
          <w:rFonts w:hint="eastAsia" w:ascii="仿宋_GB2312" w:eastAsia="仿宋_GB2312"/>
          <w:b/>
          <w:bCs/>
          <w:color w:val="000000"/>
          <w:sz w:val="32"/>
          <w:szCs w:val="32"/>
        </w:rPr>
        <w:t>其他卫生健康支出(项)</w:t>
      </w:r>
      <w:r>
        <w:rPr>
          <w:rFonts w:hint="eastAsia" w:ascii="仿宋_GB2312" w:eastAsia="仿宋_GB2312"/>
          <w:color w:val="000000"/>
          <w:sz w:val="32"/>
          <w:szCs w:val="32"/>
        </w:rPr>
        <w:t>:主要用于疫情防控公共卫生体系建设、基层医疗服务提升、疾控中心基本建设、妇幼保健机构基本建设、全科医师转岗、特岗培训、人才队伍建设、二类疫苗接种服务费等支出。2021年决算数为771.24万元，完成预算72.93%，决算数小于预算数的主要原因是：2021年疾病预防控制中心、妇幼保健院基本建设款结转到下一年度支付。</w:t>
      </w:r>
    </w:p>
    <w:p w14:paraId="24BB7592">
      <w:pPr>
        <w:spacing w:line="600" w:lineRule="exact"/>
        <w:ind w:firstLine="643" w:firstLineChars="200"/>
        <w:rPr>
          <w:rStyle w:val="16"/>
          <w:rFonts w:ascii="仿宋_GB2312" w:eastAsia="仿宋_GB2312"/>
          <w:b w:val="0"/>
          <w:color w:val="000000"/>
          <w:sz w:val="32"/>
          <w:szCs w:val="32"/>
        </w:rPr>
      </w:pPr>
      <w:r>
        <w:rPr>
          <w:rStyle w:val="16"/>
          <w:rFonts w:hint="eastAsia" w:ascii="仿宋_GB2312" w:eastAsia="仿宋_GB2312"/>
          <w:color w:val="000000"/>
          <w:sz w:val="32"/>
          <w:szCs w:val="32"/>
        </w:rPr>
        <w:t>住房保障支出（类）住房改革支出（款）</w:t>
      </w:r>
      <w:r>
        <w:rPr>
          <w:rStyle w:val="16"/>
          <w:rFonts w:hint="eastAsia" w:ascii="仿宋_GB2312" w:eastAsia="仿宋_GB2312"/>
          <w:bCs/>
          <w:color w:val="000000"/>
          <w:sz w:val="32"/>
          <w:szCs w:val="32"/>
        </w:rPr>
        <w:t>住房公积金支出（项）</w:t>
      </w:r>
      <w:r>
        <w:rPr>
          <w:rStyle w:val="16"/>
          <w:rFonts w:hint="eastAsia" w:ascii="仿宋_GB2312" w:eastAsia="仿宋_GB2312"/>
          <w:b w:val="0"/>
          <w:color w:val="000000"/>
          <w:sz w:val="32"/>
          <w:szCs w:val="32"/>
        </w:rPr>
        <w:t>:主要用于在职在编人员缴纳住房公积金支出。2021年决算数为639万元，完成预算100%。</w:t>
      </w:r>
      <w:r>
        <w:rPr>
          <w:rStyle w:val="16"/>
          <w:rFonts w:hint="eastAsia" w:ascii="仿宋" w:hAnsi="仿宋" w:eastAsia="仿宋"/>
          <w:b w:val="0"/>
          <w:bCs/>
          <w:color w:val="000000"/>
          <w:sz w:val="32"/>
          <w:szCs w:val="32"/>
        </w:rPr>
        <w:t>决算数等于预算数的主要原因是收支持平。</w:t>
      </w:r>
    </w:p>
    <w:p w14:paraId="649B83C3">
      <w:pPr>
        <w:spacing w:line="600" w:lineRule="exact"/>
        <w:ind w:firstLine="643" w:firstLineChars="200"/>
        <w:rPr>
          <w:rFonts w:ascii="仿宋_GB2312" w:eastAsia="仿宋_GB2312"/>
          <w:color w:val="000000"/>
          <w:sz w:val="32"/>
          <w:szCs w:val="32"/>
        </w:rPr>
      </w:pPr>
      <w:r>
        <w:rPr>
          <w:rStyle w:val="16"/>
          <w:rFonts w:hint="eastAsia" w:ascii="仿宋_GB2312" w:eastAsia="仿宋_GB2312"/>
          <w:color w:val="000000"/>
          <w:sz w:val="32"/>
          <w:szCs w:val="32"/>
        </w:rPr>
        <w:t>社会保障和就业支出(类)行政事业单位养老支出（款）</w:t>
      </w:r>
      <w:r>
        <w:rPr>
          <w:rFonts w:hint="eastAsia" w:ascii="仿宋_GB2312" w:eastAsia="仿宋_GB2312"/>
          <w:b/>
          <w:color w:val="000000"/>
          <w:sz w:val="32"/>
          <w:szCs w:val="32"/>
        </w:rPr>
        <w:t xml:space="preserve"> 机关事业单位基本养老保险缴费支出（项）：</w:t>
      </w:r>
      <w:r>
        <w:rPr>
          <w:rFonts w:hint="eastAsia" w:ascii="仿宋_GB2312" w:eastAsia="仿宋_GB2312"/>
          <w:bCs/>
          <w:color w:val="000000"/>
          <w:sz w:val="32"/>
          <w:szCs w:val="32"/>
        </w:rPr>
        <w:t>主要用于在职在编人员基本养老保险支出，</w:t>
      </w:r>
      <w:r>
        <w:rPr>
          <w:rFonts w:hint="eastAsia" w:ascii="仿宋_GB2312" w:eastAsia="仿宋_GB2312"/>
          <w:sz w:val="32"/>
          <w:szCs w:val="32"/>
        </w:rPr>
        <w:t>2021年决算数为447.01万元，完成预算100 %。</w:t>
      </w:r>
      <w:r>
        <w:rPr>
          <w:rStyle w:val="16"/>
          <w:rFonts w:hint="eastAsia" w:ascii="仿宋" w:hAnsi="仿宋" w:eastAsia="仿宋"/>
          <w:b w:val="0"/>
          <w:bCs/>
          <w:color w:val="000000"/>
          <w:sz w:val="32"/>
          <w:szCs w:val="32"/>
        </w:rPr>
        <w:t>决算数等于预算数的主要原因是收支持平。</w:t>
      </w:r>
    </w:p>
    <w:p w14:paraId="11837743">
      <w:pPr>
        <w:spacing w:line="600" w:lineRule="exact"/>
        <w:ind w:firstLine="643" w:firstLineChars="200"/>
        <w:rPr>
          <w:rFonts w:ascii="仿宋_GB2312" w:eastAsia="仿宋_GB2312"/>
          <w:color w:val="000000"/>
          <w:sz w:val="32"/>
          <w:szCs w:val="32"/>
        </w:rPr>
      </w:pPr>
      <w:r>
        <w:rPr>
          <w:rStyle w:val="16"/>
          <w:rFonts w:hint="eastAsia" w:ascii="仿宋_GB2312" w:eastAsia="仿宋_GB2312"/>
          <w:color w:val="000000"/>
          <w:sz w:val="32"/>
          <w:szCs w:val="32"/>
        </w:rPr>
        <w:t>社会保障和就业支出(类)行政事业单位养老支出（款）</w:t>
      </w:r>
      <w:r>
        <w:rPr>
          <w:rFonts w:hint="eastAsia" w:ascii="仿宋_GB2312" w:eastAsia="仿宋_GB2312"/>
          <w:b/>
          <w:sz w:val="32"/>
          <w:szCs w:val="32"/>
        </w:rPr>
        <w:t>机关事业单位职业年金缴费支出（项）：</w:t>
      </w:r>
      <w:r>
        <w:rPr>
          <w:rFonts w:hint="eastAsia" w:ascii="仿宋_GB2312" w:eastAsia="仿宋_GB2312"/>
          <w:bCs/>
          <w:color w:val="000000"/>
          <w:sz w:val="32"/>
          <w:szCs w:val="32"/>
        </w:rPr>
        <w:t>主要用于在职在编人员职业年金支出，</w:t>
      </w:r>
      <w:r>
        <w:rPr>
          <w:rFonts w:hint="eastAsia" w:ascii="仿宋_GB2312" w:eastAsia="仿宋_GB2312"/>
          <w:sz w:val="32"/>
          <w:szCs w:val="32"/>
        </w:rPr>
        <w:t>2021年决算数为223.32万元，完成预算100%。</w:t>
      </w:r>
      <w:r>
        <w:rPr>
          <w:rStyle w:val="16"/>
          <w:rFonts w:hint="eastAsia" w:ascii="仿宋" w:hAnsi="仿宋" w:eastAsia="仿宋"/>
          <w:b w:val="0"/>
          <w:bCs/>
          <w:color w:val="000000"/>
          <w:sz w:val="32"/>
          <w:szCs w:val="32"/>
        </w:rPr>
        <w:t>决算数等于预算数的主要原因是收支持平。</w:t>
      </w:r>
    </w:p>
    <w:p w14:paraId="32B500FD">
      <w:pPr>
        <w:pStyle w:val="2"/>
        <w:ind w:left="638" w:leftChars="304" w:firstLine="0" w:firstLineChars="0"/>
        <w:rPr>
          <w:rFonts w:ascii="仿宋_GB2312"/>
          <w:szCs w:val="32"/>
        </w:rPr>
      </w:pPr>
      <w:r>
        <w:rPr>
          <w:rStyle w:val="16"/>
          <w:rFonts w:hint="eastAsia" w:ascii="仿宋_GB2312"/>
          <w:b/>
          <w:szCs w:val="32"/>
        </w:rPr>
        <w:t>社会保障和就业支出(类)抚恤（款）</w:t>
      </w:r>
      <w:r>
        <w:rPr>
          <w:rFonts w:hint="eastAsia" w:ascii="仿宋_GB2312"/>
          <w:szCs w:val="32"/>
        </w:rPr>
        <w:t xml:space="preserve"> 死亡抚恤（项）</w:t>
      </w:r>
    </w:p>
    <w:p w14:paraId="7E36145A">
      <w:pPr>
        <w:spacing w:line="600" w:lineRule="exact"/>
        <w:ind w:firstLine="640" w:firstLineChars="200"/>
        <w:rPr>
          <w:rFonts w:ascii="仿宋_GB2312" w:eastAsia="仿宋_GB2312"/>
          <w:color w:val="000000"/>
          <w:sz w:val="32"/>
          <w:szCs w:val="32"/>
        </w:rPr>
      </w:pPr>
      <w:r>
        <w:rPr>
          <w:rStyle w:val="16"/>
          <w:rFonts w:hint="eastAsia" w:ascii="仿宋" w:hAnsi="仿宋" w:eastAsia="仿宋"/>
          <w:b w:val="0"/>
          <w:color w:val="000000"/>
          <w:sz w:val="32"/>
          <w:szCs w:val="32"/>
        </w:rPr>
        <w:t>主要用于在职人员死亡补偿，2021年决算数2.49万元，完成预算100%</w:t>
      </w:r>
      <w:r>
        <w:rPr>
          <w:rFonts w:hint="eastAsia" w:ascii="仿宋_GB2312"/>
          <w:b/>
          <w:bCs/>
          <w:sz w:val="32"/>
          <w:szCs w:val="32"/>
        </w:rPr>
        <w:t>。</w:t>
      </w:r>
      <w:r>
        <w:rPr>
          <w:rStyle w:val="16"/>
          <w:rFonts w:hint="eastAsia" w:ascii="仿宋" w:hAnsi="仿宋" w:eastAsia="仿宋"/>
          <w:b w:val="0"/>
          <w:bCs/>
          <w:color w:val="000000"/>
          <w:sz w:val="32"/>
          <w:szCs w:val="32"/>
        </w:rPr>
        <w:t>决算数等于预算数的主要原因是收支持平。</w:t>
      </w:r>
    </w:p>
    <w:p w14:paraId="295E29E1">
      <w:pPr>
        <w:rPr>
          <w:rFonts w:ascii="仿宋_GB2312" w:cs="宋体"/>
          <w:sz w:val="32"/>
          <w:szCs w:val="32"/>
        </w:rPr>
      </w:pPr>
      <w:r>
        <w:rPr>
          <w:rFonts w:hint="eastAsia" w:ascii="仿宋_GB2312" w:cs="宋体"/>
          <w:sz w:val="32"/>
          <w:szCs w:val="32"/>
        </w:rPr>
        <w:t xml:space="preserve">  </w:t>
      </w:r>
      <w:r>
        <w:rPr>
          <w:rStyle w:val="16"/>
          <w:rFonts w:hint="eastAsia" w:ascii="仿宋_GB2312" w:eastAsia="仿宋_GB2312"/>
          <w:color w:val="000000"/>
          <w:sz w:val="32"/>
          <w:szCs w:val="32"/>
        </w:rPr>
        <w:t>社会保障和就业支出(类)社会福利（款）</w:t>
      </w:r>
      <w:r>
        <w:rPr>
          <w:rFonts w:hint="eastAsia" w:ascii="仿宋_GB2312" w:eastAsia="仿宋_GB2312"/>
          <w:b/>
          <w:sz w:val="32"/>
          <w:szCs w:val="32"/>
        </w:rPr>
        <w:t>老年福利（项）</w:t>
      </w:r>
    </w:p>
    <w:p w14:paraId="2195671B">
      <w:pPr>
        <w:spacing w:line="600" w:lineRule="exact"/>
        <w:ind w:firstLine="640" w:firstLineChars="200"/>
        <w:rPr>
          <w:rFonts w:ascii="仿宋_GB2312" w:eastAsia="仿宋_GB2312"/>
          <w:color w:val="000000"/>
          <w:sz w:val="32"/>
          <w:szCs w:val="32"/>
        </w:rPr>
      </w:pPr>
      <w:r>
        <w:rPr>
          <w:rStyle w:val="16"/>
          <w:rFonts w:hint="eastAsia" w:ascii="仿宋" w:hAnsi="仿宋" w:eastAsia="仿宋"/>
          <w:b w:val="0"/>
          <w:bCs/>
          <w:color w:val="000000"/>
          <w:sz w:val="32"/>
        </w:rPr>
        <w:t>主要用于80岁以上老人高龄补贴，2021年决算数202.57万元，完成预算100%。</w:t>
      </w:r>
      <w:r>
        <w:rPr>
          <w:rStyle w:val="16"/>
          <w:rFonts w:hint="eastAsia" w:ascii="仿宋" w:hAnsi="仿宋" w:eastAsia="仿宋"/>
          <w:b w:val="0"/>
          <w:bCs/>
          <w:color w:val="000000"/>
          <w:sz w:val="32"/>
          <w:szCs w:val="32"/>
        </w:rPr>
        <w:t>决算数等于预算数的主要原因是收支持平。</w:t>
      </w:r>
    </w:p>
    <w:p w14:paraId="5625308D">
      <w:pPr>
        <w:spacing w:line="600" w:lineRule="exact"/>
        <w:ind w:firstLine="643" w:firstLineChars="200"/>
        <w:rPr>
          <w:rFonts w:ascii="仿宋_GB2312" w:eastAsia="仿宋_GB2312"/>
          <w:color w:val="000000"/>
          <w:sz w:val="32"/>
          <w:szCs w:val="32"/>
        </w:rPr>
      </w:pPr>
      <w:r>
        <w:rPr>
          <w:rStyle w:val="16"/>
          <w:rFonts w:hint="eastAsia" w:ascii="仿宋_GB2312"/>
          <w:bCs/>
          <w:sz w:val="32"/>
          <w:szCs w:val="32"/>
        </w:rPr>
        <w:t>社会保障和就业支出(类)其他社会保障和就业支出（款）</w:t>
      </w:r>
      <w:r>
        <w:rPr>
          <w:rFonts w:hint="eastAsia" w:ascii="仿宋" w:hAnsi="仿宋" w:eastAsia="仿宋"/>
          <w:bCs/>
          <w:sz w:val="32"/>
          <w:szCs w:val="32"/>
        </w:rPr>
        <w:t>其他社会保障和就业支出（项）：</w:t>
      </w:r>
      <w:r>
        <w:rPr>
          <w:rFonts w:hint="eastAsia" w:ascii="仿宋" w:hAnsi="仿宋" w:eastAsia="仿宋"/>
          <w:sz w:val="32"/>
          <w:szCs w:val="32"/>
        </w:rPr>
        <w:t>主要用于在编人员工伤、失业保险，2021年决算数4.45万元</w:t>
      </w:r>
      <w:r>
        <w:rPr>
          <w:rFonts w:hint="eastAsia" w:ascii="仿宋_GB2312"/>
          <w:sz w:val="32"/>
          <w:szCs w:val="32"/>
        </w:rPr>
        <w:t>，完成预算100%</w:t>
      </w:r>
      <w:r>
        <w:rPr>
          <w:rFonts w:hint="eastAsia" w:ascii="仿宋_GB2312"/>
          <w:szCs w:val="32"/>
        </w:rPr>
        <w:t>。</w:t>
      </w:r>
      <w:r>
        <w:rPr>
          <w:rStyle w:val="16"/>
          <w:rFonts w:hint="eastAsia" w:ascii="仿宋" w:hAnsi="仿宋" w:eastAsia="仿宋"/>
          <w:b w:val="0"/>
          <w:bCs/>
          <w:color w:val="000000"/>
          <w:sz w:val="32"/>
          <w:szCs w:val="32"/>
        </w:rPr>
        <w:t>决算数等于预算数的主要原因是收支持平。</w:t>
      </w:r>
    </w:p>
    <w:p w14:paraId="03E4087D">
      <w:pPr>
        <w:tabs>
          <w:tab w:val="right" w:pos="8306"/>
        </w:tabs>
        <w:spacing w:line="600" w:lineRule="exact"/>
        <w:ind w:firstLine="320" w:firstLineChars="100"/>
        <w:outlineLvl w:val="1"/>
        <w:rPr>
          <w:rStyle w:val="27"/>
        </w:rPr>
      </w:pPr>
      <w:bookmarkStart w:id="53" w:name="_Toc7284"/>
      <w:bookmarkStart w:id="54" w:name="_Toc15396608"/>
      <w:bookmarkStart w:id="55" w:name="_Toc15377214"/>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27"/>
          <w:rFonts w:hint="eastAsia" w:ascii="黑体" w:hAnsi="黑体" w:eastAsia="黑体"/>
          <w:b w:val="0"/>
        </w:rPr>
        <w:t>般公共预算财政拨款基本支出决算情况说明</w:t>
      </w:r>
      <w:bookmarkEnd w:id="53"/>
      <w:bookmarkEnd w:id="54"/>
      <w:bookmarkEnd w:id="55"/>
      <w:r>
        <w:rPr>
          <w:rStyle w:val="27"/>
          <w:rFonts w:ascii="黑体" w:hAnsi="黑体" w:eastAsia="黑体"/>
          <w:b w:val="0"/>
        </w:rPr>
        <w:tab/>
      </w:r>
    </w:p>
    <w:p w14:paraId="5EB633F7">
      <w:pPr>
        <w:spacing w:line="600" w:lineRule="exact"/>
        <w:ind w:firstLine="645"/>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21年一般公共预算财政拨款基本支出5805.58万元，其中：</w:t>
      </w:r>
    </w:p>
    <w:p w14:paraId="676AB2EB">
      <w:pPr>
        <w:spacing w:line="600" w:lineRule="exact"/>
        <w:ind w:firstLine="645"/>
        <w:rPr>
          <w:rFonts w:ascii="仿宋" w:hAnsi="仿宋" w:eastAsia="仿宋"/>
          <w:b/>
          <w:sz w:val="32"/>
          <w:szCs w:val="32"/>
        </w:rPr>
      </w:pPr>
      <w:r>
        <w:rPr>
          <w:rFonts w:hint="eastAsia" w:ascii="仿宋" w:hAnsi="仿宋" w:eastAsia="仿宋"/>
          <w:sz w:val="32"/>
          <w:szCs w:val="32"/>
        </w:rPr>
        <w:t>人员经费5187.62万元，主要包括：基本工资1446.29万元、津贴补贴254.82万元、绩效工资1399.62万元、机关事业单位基本养老保险缴费447.01万元、职业年金缴费223.32万元、其他社会保障缴费5.85万元、职工基本医疗保险缴费284.73万元，其他工资福利支出312.67万元、离休费11.8万元、抚恤金11.51万元、生活补助151万元、住房公积金639万元。</w:t>
      </w:r>
      <w:r>
        <w:rPr>
          <w:rFonts w:ascii="仿宋" w:hAnsi="仿宋" w:eastAsia="仿宋"/>
          <w:sz w:val="32"/>
          <w:szCs w:val="32"/>
        </w:rPr>
        <w:br w:type="textWrapping"/>
      </w:r>
      <w:r>
        <w:rPr>
          <w:rFonts w:hint="eastAsia" w:ascii="仿宋" w:hAnsi="仿宋" w:eastAsia="仿宋"/>
          <w:sz w:val="32"/>
          <w:szCs w:val="32"/>
        </w:rPr>
        <w:t>　　公用经费617.96万元，主要包括：办公费25.64万元、印刷费14.05万元、咨询费0.24万元、手续费0.23万元、水费2.75万元、电费11.26万元、邮电费40.48万元、物业管理费2.8万元、差旅费117.17万元、维修（护）费23.84万元、租赁费0.77万元、会议费13.18万元、培训费5.18万元、公务接待费9.26万元、专用材料费143.25万元，劳务费27.73万元、委托业务费50万元、工会经费42.9万元、其他交通费41.3万元、其他商品和服务支出45.93万元。</w:t>
      </w:r>
    </w:p>
    <w:p w14:paraId="142470B6">
      <w:pPr>
        <w:spacing w:line="600" w:lineRule="exact"/>
        <w:ind w:firstLine="320" w:firstLineChars="100"/>
        <w:outlineLvl w:val="1"/>
        <w:rPr>
          <w:rStyle w:val="27"/>
          <w:rFonts w:ascii="黑体" w:hAnsi="黑体" w:eastAsia="黑体"/>
          <w:b w:val="0"/>
        </w:rPr>
      </w:pPr>
      <w:bookmarkStart w:id="56" w:name="_Toc15396609"/>
      <w:bookmarkStart w:id="57" w:name="_Toc17344"/>
      <w:bookmarkStart w:id="58" w:name="_Toc15377215"/>
      <w:r>
        <w:rPr>
          <w:rFonts w:hint="eastAsia" w:ascii="黑体" w:eastAsia="黑体"/>
          <w:sz w:val="32"/>
          <w:szCs w:val="32"/>
        </w:rPr>
        <w:t>七、</w:t>
      </w:r>
      <w:r>
        <w:rPr>
          <w:rStyle w:val="27"/>
          <w:rFonts w:hint="eastAsia" w:ascii="黑体" w:hAnsi="黑体" w:eastAsia="黑体"/>
        </w:rPr>
        <w:t>“</w:t>
      </w:r>
      <w:r>
        <w:rPr>
          <w:rStyle w:val="27"/>
          <w:rFonts w:hint="eastAsia" w:ascii="黑体" w:hAnsi="黑体" w:eastAsia="黑体"/>
          <w:b w:val="0"/>
        </w:rPr>
        <w:t>三公”经费财政拨款支出决算情况说明</w:t>
      </w:r>
      <w:bookmarkEnd w:id="56"/>
      <w:bookmarkEnd w:id="57"/>
      <w:bookmarkEnd w:id="58"/>
    </w:p>
    <w:p w14:paraId="1BCBA004">
      <w:pPr>
        <w:spacing w:line="600" w:lineRule="exact"/>
        <w:ind w:firstLine="640"/>
        <w:outlineLvl w:val="2"/>
        <w:rPr>
          <w:rFonts w:ascii="仿宋" w:hAnsi="仿宋" w:eastAsia="仿宋"/>
          <w:b/>
          <w:sz w:val="32"/>
          <w:szCs w:val="32"/>
        </w:rPr>
      </w:pPr>
      <w:bookmarkStart w:id="59" w:name="_Toc15377216"/>
      <w:r>
        <w:rPr>
          <w:rFonts w:hint="eastAsia" w:ascii="仿宋" w:hAnsi="仿宋" w:eastAsia="仿宋"/>
          <w:b/>
          <w:sz w:val="32"/>
          <w:szCs w:val="32"/>
        </w:rPr>
        <w:t>（一）“三公”经费财政拨款支出决算总体情况说明</w:t>
      </w:r>
      <w:bookmarkEnd w:id="59"/>
    </w:p>
    <w:p w14:paraId="2C712DC7">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21年“三公”经费财政拨款支出决算为9.26万元，完成预算88.19</w:t>
      </w:r>
      <w:r>
        <w:rPr>
          <w:rFonts w:ascii="仿宋" w:hAnsi="仿宋" w:eastAsia="仿宋"/>
          <w:sz w:val="32"/>
          <w:szCs w:val="32"/>
        </w:rPr>
        <w:t>%</w:t>
      </w:r>
      <w:r>
        <w:rPr>
          <w:rFonts w:hint="eastAsia" w:ascii="仿宋" w:hAnsi="仿宋" w:eastAsia="仿宋"/>
          <w:sz w:val="32"/>
          <w:szCs w:val="32"/>
        </w:rPr>
        <w:t>，决算数小于预算数的主要原因是局领导从思想上高度重视，严格执行中央八项规定，进一步健全了各项管理制度，用餐事前审批，严格控制用餐标准、用餐人数、杜绝公款吃喝和铺张浪费行为。</w:t>
      </w:r>
    </w:p>
    <w:p w14:paraId="164AB09D">
      <w:pPr>
        <w:spacing w:line="600" w:lineRule="exact"/>
        <w:ind w:firstLine="640"/>
        <w:outlineLvl w:val="2"/>
        <w:rPr>
          <w:rFonts w:ascii="仿宋" w:hAnsi="仿宋" w:eastAsia="仿宋"/>
          <w:b/>
          <w:sz w:val="32"/>
          <w:szCs w:val="32"/>
        </w:rPr>
      </w:pPr>
      <w:bookmarkStart w:id="60" w:name="_Toc15377217"/>
      <w:r>
        <w:rPr>
          <w:rFonts w:hint="eastAsia" w:ascii="仿宋" w:hAnsi="仿宋" w:eastAsia="仿宋"/>
          <w:b/>
          <w:sz w:val="32"/>
          <w:szCs w:val="32"/>
        </w:rPr>
        <w:t>（二）“三公”经费财政拨款支出决算具体情况说明</w:t>
      </w:r>
      <w:bookmarkEnd w:id="60"/>
    </w:p>
    <w:p w14:paraId="1AF5341B">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三公”经费财政拨款支出决算中，因公出国（境）费支出决算0万元，年初未安排预算，与上年持平；公务用车购置及运行维护费支出决算0万元，年初未安排预算，与上年持平；公务接待费支出决算9.26万元，其中卫生健康局本级7.76万元，疾病预防控制中心1.5万元，占100</w:t>
      </w:r>
      <w:r>
        <w:rPr>
          <w:rFonts w:ascii="仿宋" w:hAnsi="仿宋" w:eastAsia="仿宋"/>
          <w:sz w:val="32"/>
          <w:szCs w:val="32"/>
        </w:rPr>
        <w:t>%</w:t>
      </w:r>
      <w:r>
        <w:rPr>
          <w:rFonts w:hint="eastAsia" w:ascii="仿宋" w:hAnsi="仿宋" w:eastAsia="仿宋"/>
          <w:sz w:val="32"/>
          <w:szCs w:val="32"/>
        </w:rPr>
        <w:t>。</w:t>
      </w:r>
    </w:p>
    <w:p w14:paraId="4C689126">
      <w:pPr>
        <w:rPr>
          <w:rFonts w:ascii="仿宋" w:hAnsi="仿宋" w:eastAsia="仿宋"/>
          <w:sz w:val="32"/>
          <w:szCs w:val="32"/>
        </w:rPr>
      </w:pPr>
      <w:r>
        <w:drawing>
          <wp:inline distT="0" distB="0" distL="114300" distR="114300">
            <wp:extent cx="3529330" cy="2304415"/>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3529330" cy="2304415"/>
                    </a:xfrm>
                    <a:prstGeom prst="rect">
                      <a:avLst/>
                    </a:prstGeom>
                    <a:noFill/>
                    <a:ln>
                      <a:noFill/>
                    </a:ln>
                  </pic:spPr>
                </pic:pic>
              </a:graphicData>
            </a:graphic>
          </wp:inline>
        </w:drawing>
      </w:r>
    </w:p>
    <w:p w14:paraId="200E3B76"/>
    <w:p w14:paraId="0F89723E">
      <w:pPr>
        <w:numPr>
          <w:ilvl w:val="0"/>
          <w:numId w:val="4"/>
        </w:numPr>
        <w:spacing w:line="600" w:lineRule="exact"/>
        <w:ind w:firstLine="640"/>
        <w:rPr>
          <w:rFonts w:ascii="仿宋_GB2312" w:eastAsia="仿宋_GB2312"/>
          <w:sz w:val="32"/>
          <w:szCs w:val="32"/>
        </w:rPr>
      </w:pPr>
      <w:r>
        <w:rPr>
          <w:rFonts w:hint="eastAsia" w:ascii="仿宋_GB2312" w:eastAsia="仿宋_GB2312"/>
          <w:b/>
          <w:sz w:val="32"/>
          <w:szCs w:val="32"/>
        </w:rPr>
        <w:t>因公出国（境）经费支出</w:t>
      </w:r>
      <w:r>
        <w:rPr>
          <w:rFonts w:hint="eastAsia" w:ascii="仿宋_GB2312" w:eastAsia="仿宋_GB2312"/>
          <w:sz w:val="32"/>
          <w:szCs w:val="32"/>
        </w:rPr>
        <w:t>0万元，</w:t>
      </w:r>
      <w:r>
        <w:rPr>
          <w:rFonts w:hint="eastAsia" w:ascii="仿宋" w:hAnsi="仿宋" w:eastAsia="仿宋"/>
          <w:sz w:val="32"/>
          <w:szCs w:val="32"/>
        </w:rPr>
        <w:t>年初未安排预算，与上年持平。</w:t>
      </w:r>
    </w:p>
    <w:p w14:paraId="52BC6AC8">
      <w:pPr>
        <w:spacing w:line="600" w:lineRule="exact"/>
        <w:ind w:firstLine="640"/>
      </w:pPr>
      <w:r>
        <w:rPr>
          <w:rFonts w:ascii="仿宋_GB2312" w:eastAsia="仿宋_GB2312"/>
          <w:b/>
          <w:sz w:val="32"/>
          <w:szCs w:val="32"/>
        </w:rPr>
        <w:t>2.</w:t>
      </w:r>
      <w:r>
        <w:rPr>
          <w:rFonts w:hint="eastAsia" w:ascii="仿宋_GB2312" w:eastAsia="仿宋_GB2312"/>
          <w:b/>
          <w:sz w:val="32"/>
          <w:szCs w:val="32"/>
        </w:rPr>
        <w:t>公务用车购置及运行维护费支出</w:t>
      </w:r>
      <w:r>
        <w:rPr>
          <w:rFonts w:hint="eastAsia" w:ascii="仿宋_GB2312" w:eastAsia="仿宋_GB2312"/>
          <w:sz w:val="32"/>
          <w:szCs w:val="32"/>
        </w:rPr>
        <w:t>0万元,</w:t>
      </w:r>
      <w:r>
        <w:rPr>
          <w:rFonts w:hint="eastAsia" w:ascii="仿宋" w:hAnsi="仿宋" w:eastAsia="仿宋"/>
          <w:sz w:val="32"/>
          <w:szCs w:val="32"/>
        </w:rPr>
        <w:t>年初未安排预算，与上年持平</w:t>
      </w:r>
      <w:r>
        <w:rPr>
          <w:rStyle w:val="16"/>
          <w:rFonts w:hint="eastAsia" w:ascii="仿宋" w:hAnsi="仿宋" w:eastAsia="仿宋"/>
          <w:b w:val="0"/>
          <w:bCs/>
          <w:sz w:val="32"/>
          <w:szCs w:val="32"/>
        </w:rPr>
        <w:t>。</w:t>
      </w:r>
    </w:p>
    <w:p w14:paraId="7FA9233A">
      <w:pPr>
        <w:spacing w:line="600" w:lineRule="exact"/>
        <w:ind w:firstLine="640"/>
        <w:rPr>
          <w:rFonts w:ascii="仿宋" w:hAnsi="仿宋" w:eastAsia="仿宋"/>
          <w:sz w:val="32"/>
          <w:szCs w:val="32"/>
        </w:rPr>
      </w:pPr>
      <w:r>
        <w:rPr>
          <w:rFonts w:ascii="仿宋_GB2312" w:eastAsia="仿宋_GB2312"/>
          <w:b/>
          <w:sz w:val="32"/>
          <w:szCs w:val="32"/>
        </w:rPr>
        <w:t>3.</w:t>
      </w:r>
      <w:r>
        <w:rPr>
          <w:rFonts w:hint="eastAsia" w:ascii="仿宋_GB2312" w:eastAsia="仿宋_GB2312"/>
          <w:b/>
          <w:sz w:val="32"/>
          <w:szCs w:val="32"/>
        </w:rPr>
        <w:t>公务接待费支出</w:t>
      </w:r>
      <w:r>
        <w:rPr>
          <w:rFonts w:hint="eastAsia" w:ascii="仿宋_GB2312" w:eastAsia="仿宋_GB2312"/>
          <w:sz w:val="32"/>
          <w:szCs w:val="32"/>
        </w:rPr>
        <w:t>9.26万元，</w:t>
      </w:r>
      <w:r>
        <w:rPr>
          <w:rStyle w:val="16"/>
          <w:rFonts w:hint="eastAsia" w:ascii="仿宋" w:hAnsi="仿宋" w:eastAsia="仿宋"/>
          <w:b w:val="0"/>
          <w:bCs/>
          <w:sz w:val="32"/>
          <w:szCs w:val="32"/>
        </w:rPr>
        <w:t>完成预算88.19</w:t>
      </w:r>
      <w:r>
        <w:rPr>
          <w:rStyle w:val="16"/>
          <w:rFonts w:ascii="仿宋" w:hAnsi="仿宋" w:eastAsia="仿宋"/>
          <w:b w:val="0"/>
          <w:bCs/>
          <w:sz w:val="32"/>
          <w:szCs w:val="32"/>
        </w:rPr>
        <w:t>%</w:t>
      </w:r>
      <w:r>
        <w:rPr>
          <w:rStyle w:val="16"/>
          <w:rFonts w:hint="eastAsia" w:ascii="仿宋" w:hAnsi="仿宋" w:eastAsia="仿宋"/>
          <w:b w:val="0"/>
          <w:bCs/>
          <w:sz w:val="32"/>
          <w:szCs w:val="32"/>
        </w:rPr>
        <w:t>。</w:t>
      </w:r>
      <w:r>
        <w:rPr>
          <w:rFonts w:hint="eastAsia" w:ascii="仿宋_GB2312" w:eastAsia="仿宋_GB2312"/>
          <w:sz w:val="32"/>
          <w:szCs w:val="32"/>
        </w:rPr>
        <w:t>公务接待费支出决算比</w:t>
      </w:r>
      <w:r>
        <w:rPr>
          <w:rFonts w:ascii="仿宋_GB2312" w:eastAsia="仿宋_GB2312"/>
          <w:sz w:val="32"/>
          <w:szCs w:val="32"/>
        </w:rPr>
        <w:t>20</w:t>
      </w:r>
      <w:r>
        <w:rPr>
          <w:rFonts w:hint="eastAsia" w:ascii="仿宋_GB2312" w:eastAsia="仿宋_GB2312"/>
          <w:sz w:val="32"/>
          <w:szCs w:val="32"/>
        </w:rPr>
        <w:t>20年减少1.53万元，下降14.18</w:t>
      </w:r>
      <w:r>
        <w:rPr>
          <w:rFonts w:ascii="仿宋_GB2312" w:eastAsia="仿宋_GB2312"/>
          <w:sz w:val="32"/>
          <w:szCs w:val="32"/>
        </w:rPr>
        <w:t>%</w:t>
      </w:r>
      <w:r>
        <w:rPr>
          <w:rFonts w:hint="eastAsia" w:ascii="仿宋_GB2312" w:eastAsia="仿宋_GB2312"/>
          <w:sz w:val="32"/>
          <w:szCs w:val="32"/>
        </w:rPr>
        <w:t>。主要原因是</w:t>
      </w:r>
      <w:r>
        <w:rPr>
          <w:rFonts w:hint="eastAsia" w:ascii="仿宋" w:hAnsi="仿宋" w:eastAsia="仿宋"/>
          <w:sz w:val="32"/>
          <w:szCs w:val="32"/>
        </w:rPr>
        <w:t>局领导从思想上高度重视，严格执行中央八项规定，进一步健全了各项管理制度，用餐事前审批，严格控制用餐标准、用餐人数、杜绝公款吃喝和铺张浪费行为。</w:t>
      </w:r>
    </w:p>
    <w:p w14:paraId="55E8EB1C">
      <w:pPr>
        <w:spacing w:line="600" w:lineRule="exact"/>
        <w:ind w:firstLine="640"/>
        <w:rPr>
          <w:rFonts w:ascii="仿宋_GB2312" w:eastAsia="仿宋_GB2312"/>
          <w:sz w:val="32"/>
          <w:szCs w:val="32"/>
        </w:rPr>
      </w:pPr>
      <w:r>
        <w:rPr>
          <w:rFonts w:hint="eastAsia" w:ascii="仿宋_GB2312" w:eastAsia="仿宋_GB2312"/>
          <w:sz w:val="32"/>
          <w:szCs w:val="32"/>
        </w:rPr>
        <w:t>其中：</w:t>
      </w:r>
    </w:p>
    <w:p w14:paraId="786530F2">
      <w:pPr>
        <w:spacing w:line="600" w:lineRule="exact"/>
        <w:ind w:firstLine="640"/>
        <w:rPr>
          <w:rFonts w:ascii="仿宋_GB2312" w:eastAsia="仿宋_GB2312"/>
          <w:sz w:val="32"/>
          <w:szCs w:val="32"/>
        </w:rPr>
      </w:pPr>
      <w:r>
        <w:rPr>
          <w:rFonts w:hint="eastAsia" w:ascii="仿宋" w:hAnsi="仿宋" w:eastAsia="仿宋"/>
          <w:b/>
          <w:sz w:val="32"/>
          <w:szCs w:val="32"/>
        </w:rPr>
        <w:t>国内公务接待支出</w:t>
      </w:r>
      <w:r>
        <w:rPr>
          <w:rFonts w:hint="eastAsia" w:ascii="仿宋" w:hAnsi="仿宋" w:eastAsia="仿宋"/>
          <w:sz w:val="32"/>
          <w:szCs w:val="32"/>
        </w:rPr>
        <w:t>9.26</w:t>
      </w:r>
      <w:r>
        <w:rPr>
          <w:rFonts w:hint="eastAsia" w:ascii="仿宋_GB2312" w:eastAsia="仿宋_GB2312"/>
          <w:sz w:val="32"/>
          <w:szCs w:val="32"/>
        </w:rPr>
        <w:t>万元,</w:t>
      </w:r>
      <w:r>
        <w:rPr>
          <w:rFonts w:hint="eastAsia" w:ascii="仿宋_GB2312" w:eastAsia="仿宋_GB2312"/>
          <w:color w:val="000000"/>
          <w:sz w:val="32"/>
          <w:szCs w:val="32"/>
        </w:rPr>
        <w:t>主要用于各级部门到我系统各项检查、</w:t>
      </w:r>
      <w:r>
        <w:rPr>
          <w:rFonts w:hint="eastAsia" w:ascii="仿宋_GB2312" w:eastAsia="仿宋_GB2312"/>
          <w:sz w:val="32"/>
          <w:szCs w:val="32"/>
        </w:rPr>
        <w:t>指导医疗服务质量、疫情防控、院感工作，疾病预防控制、妇幼及执法工作，公共卫生、医疗质量、人事、信息、财务、乡村医生等业务培训期间的交通费、住宿费、用餐费等。国内公务接待176批次，583人次（不包括陪同人员），共计支出9.26万元，具体内容包括卫生健康局本级的省、市相关部门疫情防控督导检查1.35万元、接待批次28批次，接待人次80人次，医疗质量、院感省市相关部门的督导检查培训等1.86万元，接待批次32批次，接待人次112人次，省市相关部门公共卫生督导检查1.41万元，接待25批次，接待90人次，省市相关部门人事检查督导1.2万元，接待批次23批次，70人次，信息统计、安全生产、卫生执法相关督导检查1.94万元，接待21批次、接人96人次。疾病预防控制中心省市疫情防控督导检查1.1万元，接待25批次，接待82人次，省市基本公共卫生督导检查0.4万元，接待13批次，接待53人次。</w:t>
      </w:r>
    </w:p>
    <w:p w14:paraId="110BB74C">
      <w:pPr>
        <w:spacing w:line="600" w:lineRule="exact"/>
        <w:ind w:firstLine="640"/>
        <w:outlineLvl w:val="1"/>
        <w:rPr>
          <w:rFonts w:ascii="黑体" w:eastAsia="仿宋_GB2312"/>
          <w:sz w:val="32"/>
          <w:szCs w:val="32"/>
        </w:rPr>
      </w:pPr>
      <w:bookmarkStart w:id="61" w:name="_Toc1301"/>
      <w:r>
        <w:rPr>
          <w:rFonts w:hint="eastAsia" w:ascii="仿宋" w:hAnsi="仿宋" w:eastAsia="仿宋"/>
          <w:b/>
          <w:sz w:val="32"/>
          <w:szCs w:val="32"/>
        </w:rPr>
        <w:t>外事接待支出</w:t>
      </w:r>
      <w:r>
        <w:rPr>
          <w:rFonts w:hint="eastAsia" w:ascii="仿宋" w:hAnsi="仿宋" w:eastAsia="仿宋"/>
          <w:sz w:val="32"/>
          <w:szCs w:val="32"/>
        </w:rPr>
        <w:t>0</w:t>
      </w:r>
      <w:r>
        <w:rPr>
          <w:rFonts w:hint="eastAsia" w:ascii="仿宋_GB2312" w:eastAsia="仿宋_GB2312"/>
          <w:sz w:val="32"/>
          <w:szCs w:val="32"/>
        </w:rPr>
        <w:t>万元，外事接待0批次，0人，共计支出0万元</w:t>
      </w:r>
      <w:bookmarkStart w:id="62" w:name="_Toc15377218"/>
      <w:bookmarkStart w:id="63" w:name="_Toc15396610"/>
      <w:r>
        <w:rPr>
          <w:rFonts w:hint="eastAsia" w:ascii="仿宋_GB2312" w:eastAsia="仿宋_GB2312"/>
          <w:sz w:val="32"/>
          <w:szCs w:val="32"/>
        </w:rPr>
        <w:t>。</w:t>
      </w:r>
      <w:bookmarkEnd w:id="61"/>
    </w:p>
    <w:p w14:paraId="34A7DFE0">
      <w:pPr>
        <w:spacing w:line="600" w:lineRule="exact"/>
        <w:ind w:firstLine="640"/>
        <w:outlineLvl w:val="1"/>
        <w:rPr>
          <w:rStyle w:val="27"/>
          <w:rFonts w:ascii="黑体" w:hAnsi="黑体" w:eastAsia="黑体"/>
        </w:rPr>
      </w:pPr>
      <w:bookmarkStart w:id="64" w:name="_Toc4887"/>
      <w:r>
        <w:rPr>
          <w:rFonts w:hint="eastAsia" w:ascii="黑体" w:eastAsia="黑体"/>
          <w:sz w:val="32"/>
          <w:szCs w:val="32"/>
        </w:rPr>
        <w:t>八、</w:t>
      </w:r>
      <w:r>
        <w:rPr>
          <w:rStyle w:val="27"/>
          <w:rFonts w:hint="eastAsia" w:ascii="黑体" w:hAnsi="黑体" w:eastAsia="黑体"/>
          <w:b w:val="0"/>
        </w:rPr>
        <w:t>政府性基金预算支出决算情况说明</w:t>
      </w:r>
      <w:bookmarkEnd w:id="62"/>
      <w:bookmarkEnd w:id="63"/>
      <w:bookmarkEnd w:id="64"/>
    </w:p>
    <w:p w14:paraId="2495D9FE">
      <w:pPr>
        <w:spacing w:line="600" w:lineRule="exact"/>
        <w:ind w:firstLine="640"/>
      </w:pPr>
      <w:r>
        <w:rPr>
          <w:rFonts w:ascii="仿宋_GB2312" w:eastAsia="仿宋_GB2312"/>
          <w:sz w:val="32"/>
          <w:szCs w:val="32"/>
        </w:rPr>
        <w:t>20</w:t>
      </w:r>
      <w:r>
        <w:rPr>
          <w:rFonts w:hint="eastAsia" w:ascii="仿宋_GB2312" w:eastAsia="仿宋_GB2312"/>
          <w:sz w:val="32"/>
          <w:szCs w:val="32"/>
        </w:rPr>
        <w:t>21年政府性基金预算财政拨款支出0万元。</w:t>
      </w:r>
    </w:p>
    <w:p w14:paraId="2C5EAAC9">
      <w:pPr>
        <w:numPr>
          <w:ilvl w:val="0"/>
          <w:numId w:val="5"/>
        </w:numPr>
        <w:spacing w:line="600" w:lineRule="exact"/>
        <w:ind w:firstLine="640"/>
        <w:outlineLvl w:val="1"/>
        <w:rPr>
          <w:rStyle w:val="27"/>
          <w:rFonts w:ascii="黑体" w:hAnsi="黑体" w:eastAsia="黑体"/>
          <w:b w:val="0"/>
        </w:rPr>
      </w:pPr>
      <w:bookmarkStart w:id="65" w:name="_Toc19453"/>
      <w:bookmarkStart w:id="66" w:name="_Toc15396611"/>
      <w:bookmarkStart w:id="67" w:name="_Toc15377219"/>
      <w:r>
        <w:rPr>
          <w:rStyle w:val="27"/>
          <w:rFonts w:hint="eastAsia" w:ascii="黑体" w:hAnsi="黑体" w:eastAsia="黑体"/>
          <w:b w:val="0"/>
        </w:rPr>
        <w:t>国有资本经营预算支出决算情况说明</w:t>
      </w:r>
      <w:bookmarkEnd w:id="65"/>
      <w:bookmarkEnd w:id="66"/>
      <w:bookmarkEnd w:id="67"/>
    </w:p>
    <w:p w14:paraId="1594C0D3">
      <w:pPr>
        <w:spacing w:line="600" w:lineRule="exact"/>
        <w:ind w:firstLine="640"/>
      </w:pPr>
      <w:r>
        <w:rPr>
          <w:rFonts w:ascii="仿宋_GB2312" w:eastAsia="仿宋_GB2312"/>
          <w:sz w:val="32"/>
          <w:szCs w:val="32"/>
        </w:rPr>
        <w:t>20</w:t>
      </w:r>
      <w:r>
        <w:rPr>
          <w:rFonts w:hint="eastAsia" w:ascii="仿宋_GB2312" w:eastAsia="仿宋_GB2312"/>
          <w:sz w:val="32"/>
          <w:szCs w:val="32"/>
        </w:rPr>
        <w:t>21年国有资本经营预算财政拨款支出0万元。</w:t>
      </w:r>
      <w:bookmarkStart w:id="68" w:name="_Toc15377221"/>
      <w:bookmarkStart w:id="69" w:name="_Toc15396612"/>
    </w:p>
    <w:p w14:paraId="7AB6BF47">
      <w:pPr>
        <w:numPr>
          <w:ilvl w:val="0"/>
          <w:numId w:val="5"/>
        </w:numPr>
        <w:spacing w:line="600" w:lineRule="exact"/>
        <w:ind w:firstLine="640"/>
        <w:outlineLvl w:val="1"/>
        <w:rPr>
          <w:rStyle w:val="27"/>
          <w:rFonts w:ascii="黑体" w:hAnsi="黑体" w:eastAsia="黑体"/>
          <w:b w:val="0"/>
        </w:rPr>
      </w:pPr>
      <w:bookmarkStart w:id="70" w:name="_Toc11704"/>
      <w:r>
        <w:rPr>
          <w:rStyle w:val="27"/>
          <w:rFonts w:hint="eastAsia" w:ascii="黑体" w:hAnsi="黑体" w:eastAsia="黑体"/>
          <w:b w:val="0"/>
        </w:rPr>
        <w:t>预算绩效管理情况</w:t>
      </w:r>
      <w:bookmarkEnd w:id="70"/>
    </w:p>
    <w:p w14:paraId="5503D9D4">
      <w:pPr>
        <w:autoSpaceDE w:val="0"/>
        <w:autoSpaceDN w:val="0"/>
        <w:adjustRightInd w:val="0"/>
        <w:spacing w:line="600" w:lineRule="exact"/>
        <w:ind w:firstLine="640" w:firstLineChars="200"/>
        <w:jc w:val="left"/>
        <w:rPr>
          <w:rFonts w:ascii="仿宋_GB2312" w:eastAsia="仿宋_GB2312"/>
          <w:color w:val="000000"/>
          <w:sz w:val="32"/>
          <w:szCs w:val="32"/>
        </w:rPr>
      </w:pPr>
      <w:r>
        <w:rPr>
          <w:rFonts w:hint="eastAsia" w:ascii="仿宋_GB2312" w:hAnsi="仿宋_GB2312" w:eastAsia="仿宋_GB2312" w:cs="仿宋_GB2312"/>
          <w:sz w:val="32"/>
          <w:szCs w:val="32"/>
        </w:rPr>
        <w:t>根据预算绩效管理要求，本部门（单位）在年初预算编制阶段，组织对</w:t>
      </w:r>
      <w:r>
        <w:rPr>
          <w:rFonts w:hint="eastAsia" w:ascii="仿宋_GB2312" w:eastAsia="仿宋_GB2312"/>
          <w:color w:val="000000"/>
          <w:sz w:val="32"/>
          <w:szCs w:val="32"/>
        </w:rPr>
        <w:t>公共卫生督导经费、“新生儿”及健康教育经费、2021年招商引资工作经费、2021年争取资金工作经费、独生子女父母奖励金、计划生育家庭伤残及死亡扶助、计划生育家庭特困扶助、计划生育免费服务、计划生育事业费投入、计划生育手术中并发症患者对象、免费婚检、区级重点项目工作经费、特困家庭再扶助（独生子女死亡再扶助）、乡村医生区级定额补助、支付泸定县麻风经费、计划生育家庭奖励扶助-国奖、计划生育家庭奖励扶助-省奖、基本公共卫生服务本级配套开展了预算事前绩效评估，并对以上18个项目编制了绩效目标，预算执行过程中，选取10个项目开展绩效监控，年终执行完毕后，对5个项目开展了绩效目标完成情况自评。</w:t>
      </w:r>
    </w:p>
    <w:p w14:paraId="54881CAD">
      <w:pPr>
        <w:autoSpaceDE w:val="0"/>
        <w:autoSpaceDN w:val="0"/>
        <w:adjustRightInd w:val="0"/>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本部门按要求对</w:t>
      </w:r>
      <w:r>
        <w:rPr>
          <w:rFonts w:ascii="仿宋_GB2312" w:hAnsi="仿宋_GB2312" w:eastAsia="仿宋_GB2312" w:cs="仿宋_GB2312"/>
          <w:sz w:val="32"/>
          <w:szCs w:val="32"/>
        </w:rPr>
        <w:t>202</w:t>
      </w:r>
      <w:r>
        <w:rPr>
          <w:rFonts w:hint="eastAsia" w:ascii="仿宋_GB2312" w:hAnsi="仿宋_GB2312" w:eastAsia="仿宋_GB2312" w:cs="仿宋_GB2312"/>
          <w:sz w:val="32"/>
          <w:szCs w:val="32"/>
        </w:rPr>
        <w:t>1年部门整体支出开展绩效自评，</w:t>
      </w:r>
      <w:r>
        <w:rPr>
          <w:rFonts w:hint="eastAsia" w:ascii="仿宋_GB2312" w:eastAsia="仿宋_GB2312"/>
          <w:color w:val="000000"/>
          <w:sz w:val="32"/>
          <w:szCs w:val="32"/>
        </w:rPr>
        <w:t>从评价情况来看预算支出未发现无预算、超预算支出，未发现虚列支出和预算科目间相互挤占问题，所有财政资金支出均履行了严格审批手续，未发现挤占、挪用、转移财政资金行为。基本支出严格执行国家有关政策及规定，无擅自扩大开支范围和提高开支标准，单位津补贴、奖金和福利均按照国家或地方的规定发放，项目支出均按照批准的项目和用途以及项目实施方案执行，无自行改变项目内容，扩大支出范围现象。无自行调整项目支出预算问题，所有项目支出均合理合规。未发现利用财政或自有资金对外借、贷款问题。本部门还自行组织了项目绩效评价，从评价情况来看我局对项目资金加强使用管理，明确了项目内容、目标任务及工作措施。在实施过程中，经常召开专项会议，及时调度项目进度，研究解决项目工作中的具体问题，并根据专项资金文件规定的申报、审核、支付、管理流程，基本按照相关文件的规定审核支付资金，资金的支付范围、支付标准基本合规合法，支付依据充分，做到了专款专用。</w:t>
      </w:r>
    </w:p>
    <w:p w14:paraId="3F8D6D6B">
      <w:pPr>
        <w:numPr>
          <w:ilvl w:val="0"/>
          <w:numId w:val="5"/>
        </w:numPr>
        <w:spacing w:line="600" w:lineRule="exact"/>
        <w:ind w:firstLine="640"/>
        <w:outlineLvl w:val="1"/>
        <w:rPr>
          <w:rStyle w:val="27"/>
          <w:rFonts w:ascii="黑体" w:hAnsi="黑体" w:eastAsia="黑体"/>
          <w:b w:val="0"/>
        </w:rPr>
      </w:pPr>
      <w:bookmarkStart w:id="71" w:name="_Toc943"/>
      <w:r>
        <w:rPr>
          <w:rStyle w:val="27"/>
          <w:rFonts w:hint="eastAsia" w:ascii="黑体" w:hAnsi="黑体" w:eastAsia="黑体"/>
          <w:b w:val="0"/>
        </w:rPr>
        <w:t>其他重要事项的情况说明</w:t>
      </w:r>
      <w:bookmarkEnd w:id="68"/>
      <w:bookmarkEnd w:id="69"/>
      <w:bookmarkEnd w:id="71"/>
    </w:p>
    <w:p w14:paraId="538D581D">
      <w:pPr>
        <w:spacing w:line="600" w:lineRule="exact"/>
        <w:ind w:firstLine="643" w:firstLineChars="200"/>
        <w:outlineLvl w:val="2"/>
        <w:rPr>
          <w:rFonts w:ascii="仿宋" w:hAnsi="仿宋" w:eastAsia="仿宋"/>
          <w:sz w:val="32"/>
          <w:szCs w:val="32"/>
        </w:rPr>
      </w:pPr>
      <w:bookmarkStart w:id="72" w:name="_Toc15377222"/>
      <w:bookmarkStart w:id="73" w:name="_Toc15377225"/>
      <w:bookmarkStart w:id="74" w:name="_Toc15396613"/>
      <w:r>
        <w:rPr>
          <w:rFonts w:hint="eastAsia" w:ascii="仿宋" w:hAnsi="仿宋" w:eastAsia="仿宋"/>
          <w:b/>
          <w:sz w:val="32"/>
          <w:szCs w:val="32"/>
        </w:rPr>
        <w:t>（一）机关运行经费支出情况</w:t>
      </w:r>
      <w:bookmarkEnd w:id="72"/>
    </w:p>
    <w:p w14:paraId="0DF1FCA0">
      <w:pPr>
        <w:spacing w:line="600" w:lineRule="exact"/>
        <w:ind w:firstLine="640" w:firstLineChars="200"/>
        <w:rPr>
          <w:rFonts w:ascii="仿宋" w:hAnsi="仿宋" w:eastAsia="仿宋" w:cs="仿宋"/>
          <w:b/>
          <w:sz w:val="32"/>
          <w:szCs w:val="32"/>
        </w:rPr>
      </w:pPr>
      <w:r>
        <w:rPr>
          <w:rFonts w:ascii="仿宋_GB2312" w:eastAsia="仿宋_GB2312"/>
          <w:sz w:val="32"/>
          <w:szCs w:val="32"/>
        </w:rPr>
        <w:t>20</w:t>
      </w:r>
      <w:r>
        <w:rPr>
          <w:rFonts w:hint="eastAsia" w:ascii="仿宋_GB2312" w:eastAsia="仿宋_GB2312"/>
          <w:sz w:val="32"/>
          <w:szCs w:val="32"/>
        </w:rPr>
        <w:t>21年，卫生健康局机关运行经费支出502.30万元，比</w:t>
      </w:r>
      <w:r>
        <w:rPr>
          <w:rFonts w:ascii="仿宋_GB2312" w:eastAsia="仿宋_GB2312"/>
          <w:sz w:val="32"/>
          <w:szCs w:val="32"/>
        </w:rPr>
        <w:t>20</w:t>
      </w:r>
      <w:r>
        <w:rPr>
          <w:rFonts w:hint="eastAsia" w:ascii="仿宋_GB2312" w:eastAsia="仿宋_GB2312"/>
          <w:sz w:val="32"/>
          <w:szCs w:val="32"/>
        </w:rPr>
        <w:t>20年增加225.42万元，增长81.41</w:t>
      </w:r>
      <w:r>
        <w:rPr>
          <w:rFonts w:ascii="仿宋_GB2312" w:eastAsia="仿宋_GB2312"/>
          <w:sz w:val="32"/>
          <w:szCs w:val="32"/>
        </w:rPr>
        <w:t>%</w:t>
      </w:r>
      <w:r>
        <w:rPr>
          <w:rFonts w:hint="eastAsia" w:ascii="仿宋_GB2312" w:eastAsia="仿宋_GB2312"/>
          <w:sz w:val="32"/>
          <w:szCs w:val="32"/>
        </w:rPr>
        <w:t>，</w:t>
      </w:r>
      <w:r>
        <w:rPr>
          <w:rFonts w:hint="eastAsia" w:ascii="仿宋_GB2312" w:eastAsia="仿宋_GB2312"/>
          <w:color w:val="000000"/>
          <w:sz w:val="32"/>
          <w:szCs w:val="32"/>
        </w:rPr>
        <w:t>主要原因是新冠疫情期间办公用品、下乡督导差旅费、宣传印刷、消毒消杀人员劳务、隔离点物资采购，核酸采样、核酸检测培训等费用增加，其中办公费19.54万元、印刷费12万元、手续费0.06万元、水费1万元、电费8万元、邮电费12.71万元、物业管理费2.47万元、差旅费104.44万元、维修费22.42万元、会议费12.90万元、培训费1.08万元、公务接待7.76万元、专用材料费114.19万元、劳务费21.26万元、委托业务费50万元、工会经费36.55万元、其他交通费31.74万元、其他商品服务支出44.18万元</w:t>
      </w:r>
    </w:p>
    <w:p w14:paraId="7E08176D">
      <w:pPr>
        <w:autoSpaceDE w:val="0"/>
        <w:autoSpaceDN w:val="0"/>
        <w:adjustRightInd w:val="0"/>
        <w:spacing w:line="600" w:lineRule="exact"/>
        <w:ind w:firstLine="643" w:firstLineChars="200"/>
        <w:jc w:val="left"/>
        <w:outlineLvl w:val="2"/>
        <w:rPr>
          <w:rFonts w:ascii="仿宋" w:hAnsi="仿宋" w:eastAsia="仿宋"/>
          <w:b/>
          <w:sz w:val="32"/>
          <w:szCs w:val="32"/>
        </w:rPr>
      </w:pPr>
      <w:bookmarkStart w:id="75" w:name="_Toc15377223"/>
      <w:r>
        <w:rPr>
          <w:rFonts w:hint="eastAsia" w:ascii="仿宋" w:hAnsi="仿宋" w:eastAsia="仿宋"/>
          <w:b/>
          <w:sz w:val="32"/>
          <w:szCs w:val="32"/>
        </w:rPr>
        <w:t>（二）政府采购支出情况</w:t>
      </w:r>
      <w:bookmarkEnd w:id="75"/>
    </w:p>
    <w:p w14:paraId="78287878">
      <w:pPr>
        <w:spacing w:line="600" w:lineRule="exact"/>
        <w:ind w:firstLine="640" w:firstLineChars="20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21年，卫生系统政府采购支出总额642.97万元，其中：政府采购货物支出642.97万元，主要用于医疗设备的采购，占政府采购支出总额的100</w:t>
      </w:r>
      <w:r>
        <w:rPr>
          <w:rFonts w:ascii="仿宋_GB2312" w:eastAsia="仿宋_GB2312"/>
          <w:sz w:val="32"/>
          <w:szCs w:val="32"/>
        </w:rPr>
        <w:t>%</w:t>
      </w:r>
      <w:r>
        <w:rPr>
          <w:rFonts w:hint="eastAsia" w:ascii="仿宋_GB2312" w:eastAsia="仿宋_GB2312"/>
          <w:sz w:val="32"/>
          <w:szCs w:val="32"/>
        </w:rPr>
        <w:t>。</w:t>
      </w:r>
    </w:p>
    <w:p w14:paraId="18942D13">
      <w:pPr>
        <w:autoSpaceDE w:val="0"/>
        <w:autoSpaceDN w:val="0"/>
        <w:adjustRightInd w:val="0"/>
        <w:spacing w:line="600" w:lineRule="exact"/>
        <w:ind w:firstLine="643" w:firstLineChars="200"/>
        <w:jc w:val="left"/>
        <w:outlineLvl w:val="2"/>
        <w:rPr>
          <w:rFonts w:ascii="仿宋" w:hAnsi="仿宋" w:eastAsia="仿宋"/>
          <w:b/>
          <w:sz w:val="32"/>
          <w:szCs w:val="32"/>
        </w:rPr>
      </w:pPr>
      <w:bookmarkStart w:id="76" w:name="_Toc15377224"/>
      <w:r>
        <w:rPr>
          <w:rFonts w:hint="eastAsia" w:ascii="仿宋" w:hAnsi="仿宋" w:eastAsia="仿宋"/>
          <w:b/>
          <w:sz w:val="32"/>
          <w:szCs w:val="32"/>
        </w:rPr>
        <w:t>（三）国有资产占有使用情况</w:t>
      </w:r>
      <w:bookmarkEnd w:id="76"/>
    </w:p>
    <w:p w14:paraId="3E0C6A28">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eastAsia="仿宋_GB2312"/>
          <w:sz w:val="32"/>
          <w:szCs w:val="32"/>
        </w:rPr>
        <w:t>截至</w:t>
      </w:r>
      <w:r>
        <w:rPr>
          <w:rFonts w:ascii="仿宋_GB2312" w:eastAsia="仿宋_GB2312"/>
          <w:sz w:val="32"/>
          <w:szCs w:val="32"/>
        </w:rPr>
        <w:t>20</w:t>
      </w:r>
      <w:r>
        <w:rPr>
          <w:rFonts w:hint="eastAsia" w:ascii="仿宋_GB2312" w:eastAsia="仿宋_GB2312"/>
          <w:sz w:val="32"/>
          <w:szCs w:val="32"/>
        </w:rPr>
        <w:t>21年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日，卫生系统共有车辆25辆，其中：其他用车25辆，其他用车主要是用于医疗单位的急诊急救、核酸采样、健康体检、疾病预防控制中心的冷链运输等，单价</w:t>
      </w:r>
      <w:r>
        <w:rPr>
          <w:rFonts w:ascii="仿宋_GB2312" w:eastAsia="仿宋_GB2312"/>
          <w:sz w:val="32"/>
          <w:szCs w:val="32"/>
        </w:rPr>
        <w:t>50</w:t>
      </w:r>
      <w:r>
        <w:rPr>
          <w:rFonts w:hint="eastAsia" w:ascii="仿宋_GB2312" w:eastAsia="仿宋_GB2312"/>
          <w:sz w:val="32"/>
          <w:szCs w:val="32"/>
        </w:rPr>
        <w:t>万元以上通用设备12台（套），单价</w:t>
      </w:r>
      <w:r>
        <w:rPr>
          <w:rFonts w:ascii="仿宋_GB2312" w:eastAsia="仿宋_GB2312"/>
          <w:sz w:val="32"/>
          <w:szCs w:val="32"/>
        </w:rPr>
        <w:t>100</w:t>
      </w:r>
      <w:r>
        <w:rPr>
          <w:rFonts w:hint="eastAsia" w:ascii="仿宋_GB2312" w:eastAsia="仿宋_GB2312"/>
          <w:sz w:val="32"/>
          <w:szCs w:val="32"/>
        </w:rPr>
        <w:t>万元以上专用设备3台（套）。</w:t>
      </w:r>
    </w:p>
    <w:p w14:paraId="61E8C8CB">
      <w:pPr>
        <w:widowControl/>
        <w:jc w:val="left"/>
        <w:rPr>
          <w:rFonts w:ascii="仿宋_GB2312" w:eastAsia="仿宋_GB2312"/>
          <w:b/>
          <w:sz w:val="32"/>
          <w:szCs w:val="32"/>
        </w:rPr>
      </w:pPr>
    </w:p>
    <w:p w14:paraId="102E3D31">
      <w:pPr>
        <w:numPr>
          <w:ilvl w:val="0"/>
          <w:numId w:val="6"/>
        </w:numPr>
        <w:spacing w:line="600" w:lineRule="exact"/>
        <w:ind w:firstLine="660" w:firstLineChars="150"/>
        <w:jc w:val="center"/>
        <w:outlineLvl w:val="0"/>
        <w:rPr>
          <w:rStyle w:val="26"/>
          <w:rFonts w:ascii="黑体" w:hAnsi="黑体" w:eastAsia="黑体"/>
          <w:b w:val="0"/>
        </w:rPr>
      </w:pPr>
      <w:bookmarkStart w:id="77" w:name="_Toc28418"/>
      <w:r>
        <w:rPr>
          <w:rFonts w:hint="eastAsia" w:ascii="黑体" w:hAnsi="黑体" w:eastAsia="黑体"/>
          <w:sz w:val="44"/>
          <w:szCs w:val="44"/>
        </w:rPr>
        <w:t>名</w:t>
      </w:r>
      <w:r>
        <w:rPr>
          <w:rStyle w:val="26"/>
          <w:rFonts w:hint="eastAsia" w:ascii="黑体" w:hAnsi="黑体" w:eastAsia="黑体"/>
          <w:b w:val="0"/>
        </w:rPr>
        <w:t>词解释</w:t>
      </w:r>
      <w:bookmarkEnd w:id="73"/>
      <w:bookmarkEnd w:id="74"/>
      <w:bookmarkEnd w:id="77"/>
    </w:p>
    <w:p w14:paraId="5C649A4D">
      <w:pPr>
        <w:spacing w:line="600" w:lineRule="exact"/>
        <w:jc w:val="left"/>
        <w:rPr>
          <w:rFonts w:ascii="宋体"/>
          <w:b/>
          <w:sz w:val="44"/>
          <w:szCs w:val="44"/>
        </w:rPr>
      </w:pPr>
    </w:p>
    <w:p w14:paraId="553324A4">
      <w:pPr>
        <w:pStyle w:val="24"/>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1.</w:t>
      </w:r>
      <w:r>
        <w:rPr>
          <w:rFonts w:hint="eastAsia" w:ascii="仿宋_GB2312" w:eastAsia="仿宋_GB2312"/>
          <w:color w:val="auto"/>
          <w:sz w:val="32"/>
          <w:szCs w:val="32"/>
        </w:rPr>
        <w:t>财政拨款收入：指单位从同级财政部门取得的财政预算资金。</w:t>
      </w:r>
    </w:p>
    <w:p w14:paraId="4AA098DA">
      <w:pPr>
        <w:pStyle w:val="24"/>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2.</w:t>
      </w:r>
      <w:r>
        <w:rPr>
          <w:rFonts w:hint="eastAsia" w:ascii="仿宋_GB2312" w:eastAsia="仿宋_GB2312"/>
          <w:color w:val="auto"/>
          <w:sz w:val="32"/>
          <w:szCs w:val="32"/>
        </w:rPr>
        <w:t>事业收入：指事业单位开展专业业务活动及辅助活动取得的收入。如…（二级预算单位事业收入情况）等。</w:t>
      </w:r>
    </w:p>
    <w:p w14:paraId="7E9655D4">
      <w:pPr>
        <w:pStyle w:val="24"/>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3.</w:t>
      </w:r>
      <w:r>
        <w:rPr>
          <w:rFonts w:hint="eastAsia" w:ascii="仿宋_GB2312" w:eastAsia="仿宋_GB2312"/>
          <w:color w:val="auto"/>
          <w:sz w:val="32"/>
          <w:szCs w:val="32"/>
        </w:rPr>
        <w:t>经营收入：指事业单位在专业业务活动及其辅助活动之外开展非独立核算经营活动取得的收入。如…（二级预算单位经营收入情况）等。</w:t>
      </w:r>
    </w:p>
    <w:p w14:paraId="6E059348">
      <w:pPr>
        <w:pStyle w:val="24"/>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4.</w:t>
      </w:r>
      <w:r>
        <w:rPr>
          <w:rFonts w:hint="eastAsia" w:ascii="仿宋_GB2312" w:eastAsia="仿宋_GB2312"/>
          <w:color w:val="auto"/>
          <w:sz w:val="32"/>
          <w:szCs w:val="32"/>
        </w:rPr>
        <w:t>其他收入：指单位取得的除上述收入以外的各项收入。主要是…（收入类型）等。</w:t>
      </w:r>
      <w:r>
        <w:rPr>
          <w:rFonts w:ascii="仿宋_GB2312" w:eastAsia="仿宋_GB2312"/>
          <w:color w:val="auto"/>
          <w:sz w:val="32"/>
          <w:szCs w:val="32"/>
        </w:rPr>
        <w:t xml:space="preserve"> </w:t>
      </w:r>
    </w:p>
    <w:p w14:paraId="7F5275AB">
      <w:pPr>
        <w:pStyle w:val="24"/>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5.</w:t>
      </w:r>
      <w:r>
        <w:rPr>
          <w:rFonts w:hint="eastAsia" w:ascii="仿宋_GB2312" w:eastAsia="仿宋_GB2312"/>
          <w:color w:val="auto"/>
          <w:sz w:val="32"/>
          <w:szCs w:val="32"/>
        </w:rPr>
        <w:t>使用非财政拨款结余：指事业单位使用以前年度积累的非财政拨款结余弥补当年收支差额的金额。</w:t>
      </w:r>
      <w:r>
        <w:rPr>
          <w:rFonts w:ascii="仿宋_GB2312" w:eastAsia="仿宋_GB2312"/>
          <w:color w:val="auto"/>
          <w:sz w:val="32"/>
          <w:szCs w:val="32"/>
        </w:rPr>
        <w:t xml:space="preserve"> </w:t>
      </w:r>
    </w:p>
    <w:p w14:paraId="26E06FBB">
      <w:pPr>
        <w:pStyle w:val="24"/>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6.</w:t>
      </w:r>
      <w:r>
        <w:rPr>
          <w:rFonts w:hint="eastAsia" w:ascii="仿宋_GB2312" w:eastAsia="仿宋_GB2312"/>
          <w:color w:val="auto"/>
          <w:sz w:val="32"/>
          <w:szCs w:val="32"/>
        </w:rPr>
        <w:t>年初结转和结余：指以前年度尚未完成、结转到本年按有关规定继续使用的资金。</w:t>
      </w:r>
      <w:r>
        <w:rPr>
          <w:rFonts w:ascii="仿宋_GB2312" w:eastAsia="仿宋_GB2312"/>
          <w:color w:val="auto"/>
          <w:sz w:val="32"/>
          <w:szCs w:val="32"/>
        </w:rPr>
        <w:t xml:space="preserve"> </w:t>
      </w:r>
    </w:p>
    <w:p w14:paraId="512821AB">
      <w:pPr>
        <w:pStyle w:val="24"/>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7.</w:t>
      </w:r>
      <w:r>
        <w:rPr>
          <w:rFonts w:hint="eastAsia" w:ascii="仿宋_GB2312" w:eastAsia="仿宋_GB2312"/>
          <w:color w:val="auto"/>
          <w:sz w:val="32"/>
          <w:szCs w:val="32"/>
        </w:rPr>
        <w:t>结余分配：指事业单位按照会计制度规定缴纳的所得税、提取的专用结余以及转入非财政拨款结余的金额等。</w:t>
      </w:r>
    </w:p>
    <w:p w14:paraId="75531F60">
      <w:pPr>
        <w:pStyle w:val="24"/>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8</w:t>
      </w:r>
      <w:r>
        <w:rPr>
          <w:rFonts w:hint="eastAsia" w:ascii="仿宋_GB2312" w:eastAsia="仿宋_GB2312"/>
          <w:color w:val="auto"/>
          <w:sz w:val="32"/>
          <w:szCs w:val="32"/>
        </w:rPr>
        <w:t>、年末结转和结余：指单位按有关规定结转到下年或以后年度继续使用的资金。</w:t>
      </w:r>
    </w:p>
    <w:p w14:paraId="3904DCFC">
      <w:pPr>
        <w:ind w:firstLine="640" w:firstLineChars="200"/>
        <w:rPr>
          <w:rFonts w:ascii="仿宋_GB2312" w:eastAsia="仿宋_GB2312"/>
          <w:sz w:val="32"/>
          <w:szCs w:val="32"/>
        </w:rPr>
      </w:pPr>
      <w:r>
        <w:rPr>
          <w:rFonts w:hint="eastAsia" w:ascii="仿宋_GB2312" w:eastAsia="仿宋_GB2312"/>
          <w:color w:val="000000"/>
          <w:sz w:val="32"/>
          <w:szCs w:val="32"/>
        </w:rPr>
        <w:t>9.</w:t>
      </w:r>
      <w:r>
        <w:rPr>
          <w:rFonts w:hint="eastAsia" w:ascii="仿宋" w:hAnsi="仿宋" w:eastAsia="仿宋"/>
          <w:color w:val="000000"/>
          <w:sz w:val="32"/>
          <w:szCs w:val="32"/>
        </w:rPr>
        <w:t>卫生健康支出</w:t>
      </w:r>
      <w:r>
        <w:rPr>
          <w:rStyle w:val="16"/>
          <w:rFonts w:hint="eastAsia" w:ascii="仿宋" w:hAnsi="仿宋" w:eastAsia="仿宋"/>
          <w:b w:val="0"/>
          <w:color w:val="000000"/>
          <w:sz w:val="32"/>
          <w:szCs w:val="32"/>
        </w:rPr>
        <w:t>（类）卫生健康管理事务（款）行政运行（项）</w:t>
      </w:r>
      <w:r>
        <w:rPr>
          <w:rFonts w:hint="eastAsia" w:ascii="仿宋_GB2312" w:eastAsia="仿宋_GB2312"/>
          <w:color w:val="000000"/>
          <w:sz w:val="32"/>
          <w:szCs w:val="32"/>
        </w:rPr>
        <w:t>：指反映行政单位的基本支出；</w:t>
      </w:r>
      <w:r>
        <w:rPr>
          <w:rFonts w:hint="eastAsia" w:ascii="仿宋" w:hAnsi="仿宋" w:eastAsia="仿宋"/>
          <w:color w:val="000000"/>
          <w:sz w:val="32"/>
          <w:szCs w:val="32"/>
        </w:rPr>
        <w:t>卫生健康支出</w:t>
      </w:r>
      <w:r>
        <w:rPr>
          <w:rFonts w:hint="eastAsia" w:ascii="仿宋_GB2312" w:eastAsia="仿宋_GB2312"/>
          <w:color w:val="000000"/>
          <w:sz w:val="32"/>
          <w:szCs w:val="32"/>
        </w:rPr>
        <w:t>(类)公立医院（款）</w:t>
      </w:r>
      <w:r>
        <w:rPr>
          <w:rStyle w:val="16"/>
          <w:rFonts w:hint="eastAsia" w:ascii="仿宋_GB2312" w:eastAsia="仿宋_GB2312"/>
          <w:b w:val="0"/>
          <w:color w:val="000000"/>
          <w:sz w:val="32"/>
          <w:szCs w:val="32"/>
        </w:rPr>
        <w:t>中医（民族）医院（项）</w:t>
      </w:r>
      <w:r>
        <w:rPr>
          <w:rFonts w:hint="eastAsia" w:ascii="仿宋_GB2312" w:eastAsia="仿宋_GB2312"/>
          <w:color w:val="000000"/>
          <w:sz w:val="32"/>
          <w:szCs w:val="32"/>
        </w:rPr>
        <w:t>：指反映</w:t>
      </w:r>
      <w:r>
        <w:rPr>
          <w:rFonts w:hint="eastAsia" w:ascii="仿宋" w:hAnsi="仿宋" w:eastAsia="仿宋"/>
          <w:color w:val="000000"/>
          <w:sz w:val="32"/>
          <w:szCs w:val="32"/>
        </w:rPr>
        <w:t>卫生健康部门</w:t>
      </w:r>
      <w:r>
        <w:rPr>
          <w:rFonts w:hint="eastAsia" w:ascii="仿宋_GB2312" w:eastAsia="仿宋_GB2312"/>
          <w:color w:val="000000"/>
          <w:sz w:val="32"/>
          <w:szCs w:val="32"/>
        </w:rPr>
        <w:t>所属的中医院支出；</w:t>
      </w:r>
      <w:r>
        <w:rPr>
          <w:rFonts w:hint="eastAsia" w:ascii="仿宋" w:hAnsi="仿宋" w:eastAsia="仿宋"/>
          <w:color w:val="000000"/>
          <w:sz w:val="32"/>
          <w:szCs w:val="32"/>
        </w:rPr>
        <w:t>卫生健康支出</w:t>
      </w:r>
      <w:r>
        <w:rPr>
          <w:rFonts w:hint="eastAsia" w:ascii="仿宋_GB2312" w:eastAsia="仿宋_GB2312"/>
          <w:color w:val="000000"/>
          <w:sz w:val="32"/>
          <w:szCs w:val="32"/>
        </w:rPr>
        <w:t>（类）基层医疗卫生机构（款）</w:t>
      </w:r>
      <w:r>
        <w:rPr>
          <w:rStyle w:val="16"/>
          <w:rFonts w:hint="eastAsia" w:ascii="仿宋_GB2312" w:eastAsia="仿宋_GB2312"/>
          <w:b w:val="0"/>
          <w:color w:val="000000"/>
          <w:sz w:val="32"/>
          <w:szCs w:val="32"/>
        </w:rPr>
        <w:t>乡镇卫生院（项）</w:t>
      </w:r>
      <w:r>
        <w:rPr>
          <w:rFonts w:hint="eastAsia" w:ascii="仿宋_GB2312" w:eastAsia="仿宋_GB2312"/>
          <w:color w:val="000000"/>
          <w:sz w:val="32"/>
          <w:szCs w:val="32"/>
        </w:rPr>
        <w:t>：反映乡镇卫生院的支出；</w:t>
      </w:r>
      <w:r>
        <w:rPr>
          <w:rFonts w:hint="eastAsia" w:ascii="仿宋" w:hAnsi="仿宋" w:eastAsia="仿宋"/>
          <w:color w:val="000000"/>
          <w:sz w:val="32"/>
          <w:szCs w:val="32"/>
        </w:rPr>
        <w:t>卫生健康支出</w:t>
      </w:r>
      <w:r>
        <w:rPr>
          <w:rStyle w:val="16"/>
          <w:rFonts w:hint="eastAsia" w:ascii="仿宋_GB2312" w:eastAsia="仿宋_GB2312"/>
          <w:b w:val="0"/>
          <w:color w:val="000000"/>
          <w:sz w:val="32"/>
          <w:szCs w:val="32"/>
        </w:rPr>
        <w:t>（类）公共卫生（款）疾病预防控制机构（项）</w:t>
      </w:r>
      <w:r>
        <w:rPr>
          <w:rFonts w:hint="eastAsia" w:ascii="仿宋_GB2312" w:eastAsia="仿宋_GB2312"/>
          <w:color w:val="000000"/>
          <w:sz w:val="32"/>
          <w:szCs w:val="32"/>
        </w:rPr>
        <w:t>：反映</w:t>
      </w:r>
      <w:r>
        <w:rPr>
          <w:rFonts w:hint="eastAsia" w:ascii="仿宋" w:hAnsi="仿宋" w:eastAsia="仿宋"/>
          <w:color w:val="000000"/>
          <w:sz w:val="32"/>
          <w:szCs w:val="32"/>
        </w:rPr>
        <w:t>卫生健康</w:t>
      </w:r>
      <w:r>
        <w:rPr>
          <w:rFonts w:hint="eastAsia" w:ascii="仿宋_GB2312" w:eastAsia="仿宋_GB2312"/>
          <w:color w:val="000000"/>
          <w:sz w:val="32"/>
          <w:szCs w:val="32"/>
        </w:rPr>
        <w:t>部门所属的疾病预防控制机构的支出；</w:t>
      </w:r>
      <w:r>
        <w:rPr>
          <w:rFonts w:hint="eastAsia" w:ascii="仿宋" w:hAnsi="仿宋" w:eastAsia="仿宋"/>
          <w:color w:val="000000"/>
          <w:sz w:val="32"/>
          <w:szCs w:val="32"/>
        </w:rPr>
        <w:t>卫生健康支出</w:t>
      </w:r>
      <w:r>
        <w:rPr>
          <w:rStyle w:val="16"/>
          <w:rFonts w:hint="eastAsia" w:ascii="仿宋_GB2312" w:eastAsia="仿宋_GB2312"/>
          <w:b w:val="0"/>
          <w:color w:val="000000"/>
          <w:sz w:val="32"/>
          <w:szCs w:val="32"/>
        </w:rPr>
        <w:t>（类）公共卫生（款）卫生监督机构（项）</w:t>
      </w:r>
      <w:r>
        <w:rPr>
          <w:rFonts w:hint="eastAsia" w:ascii="仿宋_GB2312" w:eastAsia="仿宋_GB2312"/>
          <w:color w:val="000000"/>
          <w:sz w:val="32"/>
          <w:szCs w:val="32"/>
        </w:rPr>
        <w:t>：反映</w:t>
      </w:r>
      <w:r>
        <w:rPr>
          <w:rFonts w:hint="eastAsia" w:ascii="仿宋" w:hAnsi="仿宋" w:eastAsia="仿宋"/>
          <w:color w:val="000000"/>
          <w:sz w:val="32"/>
          <w:szCs w:val="32"/>
        </w:rPr>
        <w:t>卫生健康</w:t>
      </w:r>
      <w:r>
        <w:rPr>
          <w:rFonts w:hint="eastAsia" w:ascii="仿宋_GB2312" w:eastAsia="仿宋_GB2312"/>
          <w:color w:val="000000"/>
          <w:sz w:val="32"/>
          <w:szCs w:val="32"/>
        </w:rPr>
        <w:t>部门所属卫生监督机构的支出；</w:t>
      </w:r>
      <w:r>
        <w:rPr>
          <w:rFonts w:hint="eastAsia" w:ascii="仿宋" w:hAnsi="仿宋" w:eastAsia="仿宋"/>
          <w:color w:val="000000"/>
          <w:sz w:val="32"/>
          <w:szCs w:val="32"/>
        </w:rPr>
        <w:t>卫生健康支出</w:t>
      </w:r>
      <w:r>
        <w:rPr>
          <w:rStyle w:val="16"/>
          <w:rFonts w:hint="eastAsia" w:ascii="仿宋_GB2312" w:eastAsia="仿宋_GB2312"/>
          <w:b w:val="0"/>
          <w:color w:val="000000"/>
          <w:sz w:val="32"/>
          <w:szCs w:val="32"/>
        </w:rPr>
        <w:t>（类）公共卫生（款）妇幼保健机构（项）</w:t>
      </w:r>
      <w:r>
        <w:rPr>
          <w:rFonts w:hint="eastAsia" w:ascii="仿宋_GB2312" w:eastAsia="仿宋_GB2312"/>
          <w:color w:val="000000"/>
          <w:sz w:val="32"/>
          <w:szCs w:val="32"/>
        </w:rPr>
        <w:t>：反映</w:t>
      </w:r>
      <w:r>
        <w:rPr>
          <w:rFonts w:hint="eastAsia" w:ascii="仿宋" w:hAnsi="仿宋" w:eastAsia="仿宋"/>
          <w:color w:val="000000"/>
          <w:sz w:val="32"/>
          <w:szCs w:val="32"/>
        </w:rPr>
        <w:t>卫生健康部门</w:t>
      </w:r>
      <w:r>
        <w:rPr>
          <w:rFonts w:hint="eastAsia" w:ascii="仿宋_GB2312" w:eastAsia="仿宋_GB2312"/>
          <w:color w:val="000000"/>
          <w:sz w:val="32"/>
          <w:szCs w:val="32"/>
        </w:rPr>
        <w:t>所属妇幼保健机构的支出；</w:t>
      </w:r>
      <w:r>
        <w:rPr>
          <w:rStyle w:val="16"/>
          <w:rFonts w:hint="eastAsia" w:ascii="仿宋_GB2312" w:eastAsia="仿宋_GB2312"/>
          <w:b w:val="0"/>
          <w:color w:val="000000"/>
          <w:sz w:val="32"/>
          <w:szCs w:val="32"/>
        </w:rPr>
        <w:t>卫生健康支出（类）公共卫生（款）基本公共卫生服务（项）</w:t>
      </w:r>
      <w:r>
        <w:rPr>
          <w:rFonts w:hint="eastAsia" w:ascii="仿宋_GB2312" w:eastAsia="仿宋_GB2312"/>
          <w:color w:val="000000"/>
          <w:sz w:val="32"/>
          <w:szCs w:val="32"/>
        </w:rPr>
        <w:t>：反映乡镇卫生院、社区卫生机构开展基本公共卫生服务的支出；</w:t>
      </w:r>
      <w:r>
        <w:rPr>
          <w:rStyle w:val="16"/>
          <w:rFonts w:hint="eastAsia" w:ascii="仿宋_GB2312" w:eastAsia="仿宋_GB2312"/>
          <w:b w:val="0"/>
          <w:color w:val="000000"/>
          <w:sz w:val="32"/>
          <w:szCs w:val="32"/>
        </w:rPr>
        <w:t>卫生健康支出（类）公共卫生（款）重大公共卫生专项（项）</w:t>
      </w:r>
      <w:r>
        <w:rPr>
          <w:rFonts w:hint="eastAsia" w:ascii="仿宋_GB2312" w:eastAsia="仿宋_GB2312"/>
          <w:color w:val="000000"/>
          <w:sz w:val="32"/>
          <w:szCs w:val="32"/>
        </w:rPr>
        <w:t>：反映重大疾病预防控制等重大公共卫生服务项目支出；</w:t>
      </w:r>
      <w:r>
        <w:rPr>
          <w:rFonts w:hint="eastAsia" w:ascii="仿宋_GB2312" w:eastAsia="仿宋_GB2312"/>
          <w:bCs/>
          <w:color w:val="000000"/>
          <w:sz w:val="32"/>
          <w:szCs w:val="32"/>
        </w:rPr>
        <w:t>卫生健康支出（类）中医药（款）中医药专项（项）</w:t>
      </w:r>
      <w:r>
        <w:rPr>
          <w:rFonts w:hint="eastAsia" w:ascii="仿宋_GB2312" w:eastAsia="仿宋_GB2312"/>
          <w:color w:val="000000"/>
          <w:sz w:val="32"/>
          <w:szCs w:val="32"/>
        </w:rPr>
        <w:t>:主要用于中医专项支出：</w:t>
      </w:r>
      <w:r>
        <w:rPr>
          <w:rStyle w:val="16"/>
          <w:rFonts w:hint="eastAsia" w:ascii="仿宋_GB2312" w:eastAsia="仿宋_GB2312"/>
          <w:b w:val="0"/>
          <w:color w:val="000000"/>
          <w:sz w:val="32"/>
          <w:szCs w:val="32"/>
        </w:rPr>
        <w:t>卫生健康支出</w:t>
      </w:r>
      <w:r>
        <w:rPr>
          <w:rFonts w:hint="eastAsia" w:ascii="仿宋_GB2312" w:eastAsia="仿宋_GB2312"/>
          <w:color w:val="000000"/>
          <w:sz w:val="32"/>
          <w:szCs w:val="32"/>
        </w:rPr>
        <w:t>（类）基层医疗卫生机构（款）其他基层医疗卫生机构支出（项）</w:t>
      </w:r>
      <w:r>
        <w:rPr>
          <w:rStyle w:val="16"/>
          <w:rFonts w:hint="eastAsia" w:ascii="仿宋_GB2312" w:eastAsia="仿宋_GB2312"/>
          <w:b w:val="0"/>
          <w:color w:val="000000"/>
          <w:sz w:val="32"/>
          <w:szCs w:val="32"/>
        </w:rPr>
        <w:t>：反映除乡镇卫生院、城市社区卫生机构以外的其他用于基层医疗卫生机构的支出；卫生健康支出（类）计划生育事务</w:t>
      </w:r>
      <w:r>
        <w:rPr>
          <w:rFonts w:hint="eastAsia" w:ascii="仿宋_GB2312" w:eastAsia="仿宋_GB2312"/>
          <w:color w:val="000000"/>
          <w:sz w:val="32"/>
          <w:szCs w:val="32"/>
        </w:rPr>
        <w:t>（款）其他计划生育事务支出（项）</w:t>
      </w:r>
      <w:r>
        <w:rPr>
          <w:rStyle w:val="16"/>
          <w:rFonts w:hint="eastAsia" w:ascii="仿宋_GB2312" w:eastAsia="仿宋_GB2312"/>
          <w:b w:val="0"/>
          <w:color w:val="000000"/>
          <w:sz w:val="32"/>
          <w:szCs w:val="32"/>
        </w:rPr>
        <w:t>:反映计划生育服务支出；</w:t>
      </w:r>
      <w:r>
        <w:rPr>
          <w:rStyle w:val="16"/>
          <w:rFonts w:hint="eastAsia" w:ascii="仿宋_GB2312" w:eastAsia="仿宋_GB2312"/>
          <w:b w:val="0"/>
          <w:bCs/>
          <w:color w:val="000000"/>
          <w:sz w:val="32"/>
          <w:szCs w:val="32"/>
        </w:rPr>
        <w:t>卫生健康支出（类）其他卫生健康支出（款）</w:t>
      </w:r>
      <w:r>
        <w:rPr>
          <w:rFonts w:hint="eastAsia" w:ascii="仿宋_GB2312" w:eastAsia="仿宋_GB2312"/>
          <w:bCs/>
          <w:color w:val="000000"/>
          <w:sz w:val="32"/>
          <w:szCs w:val="32"/>
        </w:rPr>
        <w:t>其他卫生健康支出(项)</w:t>
      </w:r>
      <w:r>
        <w:rPr>
          <w:rFonts w:hint="eastAsia" w:ascii="仿宋_GB2312" w:eastAsia="仿宋_GB2312"/>
          <w:color w:val="000000"/>
          <w:sz w:val="32"/>
          <w:szCs w:val="32"/>
        </w:rPr>
        <w:t>:主要用于疫情防控公共卫生体系建设、基层医疗服务提升、疾控中心基本建设、妇幼保健机构基本建设、全科医师转岗、特岗培训、人才队伍建设、二类疫苗接种服务费等支出:</w:t>
      </w:r>
      <w:r>
        <w:rPr>
          <w:rStyle w:val="16"/>
          <w:rFonts w:hint="eastAsia" w:ascii="仿宋_GB2312" w:eastAsia="仿宋_GB2312"/>
          <w:b w:val="0"/>
          <w:color w:val="000000"/>
          <w:sz w:val="32"/>
          <w:szCs w:val="32"/>
        </w:rPr>
        <w:t>卫生健康支出（类）行政事业单位医疗</w:t>
      </w:r>
      <w:r>
        <w:rPr>
          <w:rFonts w:hint="eastAsia" w:ascii="仿宋_GB2312" w:eastAsia="仿宋_GB2312"/>
          <w:color w:val="000000"/>
          <w:sz w:val="32"/>
          <w:szCs w:val="32"/>
        </w:rPr>
        <w:t>（款）  事业单位医疗（项）</w:t>
      </w:r>
      <w:r>
        <w:rPr>
          <w:rStyle w:val="16"/>
          <w:rFonts w:hint="eastAsia" w:ascii="仿宋_GB2312" w:eastAsia="仿宋_GB2312"/>
          <w:b w:val="0"/>
          <w:color w:val="000000"/>
          <w:sz w:val="32"/>
          <w:szCs w:val="32"/>
        </w:rPr>
        <w:t>:</w:t>
      </w:r>
      <w:r>
        <w:rPr>
          <w:rStyle w:val="16"/>
          <w:rFonts w:hint="eastAsia" w:ascii="仿宋_GB2312" w:eastAsia="仿宋_GB2312"/>
          <w:b w:val="0"/>
          <w:sz w:val="32"/>
          <w:szCs w:val="32"/>
        </w:rPr>
        <w:t>反映</w:t>
      </w:r>
      <w:r>
        <w:rPr>
          <w:rStyle w:val="16"/>
          <w:rFonts w:hint="eastAsia" w:ascii="仿宋_GB2312" w:eastAsia="仿宋_GB2312"/>
          <w:b w:val="0"/>
          <w:color w:val="000000"/>
          <w:sz w:val="32"/>
          <w:szCs w:val="32"/>
        </w:rPr>
        <w:t>卫生健康支出中的在职人员医疗保险；卫生健康支出（类）行政事业单位医疗</w:t>
      </w:r>
      <w:r>
        <w:rPr>
          <w:rFonts w:hint="eastAsia" w:ascii="仿宋_GB2312" w:eastAsia="仿宋_GB2312"/>
          <w:color w:val="000000"/>
          <w:sz w:val="32"/>
          <w:szCs w:val="32"/>
        </w:rPr>
        <w:t>（款）其他卫生健康支出（项）反映基层医疗单位贫困人口体检支出：</w:t>
      </w:r>
      <w:r>
        <w:rPr>
          <w:rFonts w:hint="eastAsia" w:ascii="仿宋_GB2312" w:eastAsia="仿宋_GB2312"/>
          <w:sz w:val="32"/>
          <w:szCs w:val="32"/>
        </w:rPr>
        <w:t>农林水支出（类）扶贫（款）其他扶贫支出（项）主要反映健康扶贫支出。</w:t>
      </w:r>
    </w:p>
    <w:p w14:paraId="6D787939">
      <w:pPr>
        <w:ind w:firstLine="640" w:firstLineChars="200"/>
        <w:rPr>
          <w:rStyle w:val="16"/>
          <w:rFonts w:ascii="仿宋" w:hAnsi="仿宋" w:eastAsia="仿宋" w:cs="仿宋"/>
          <w:b w:val="0"/>
          <w:color w:val="000000"/>
          <w:sz w:val="32"/>
          <w:szCs w:val="32"/>
        </w:rPr>
      </w:pPr>
      <w:r>
        <w:rPr>
          <w:rFonts w:hint="eastAsia" w:ascii="仿宋" w:hAnsi="仿宋" w:eastAsia="仿宋" w:cs="仿宋"/>
          <w:sz w:val="32"/>
          <w:szCs w:val="32"/>
        </w:rPr>
        <w:t>10.社会保障和就业支出：反映政府在社会保障和就业方面的支出。</w:t>
      </w:r>
      <w:r>
        <w:rPr>
          <w:rFonts w:hint="eastAsia" w:ascii="仿宋" w:hAnsi="仿宋" w:eastAsia="仿宋" w:cs="仿宋"/>
          <w:sz w:val="32"/>
          <w:szCs w:val="32"/>
        </w:rPr>
        <w:br w:type="textWrapping"/>
      </w:r>
      <w:r>
        <w:rPr>
          <w:rFonts w:hint="eastAsia" w:ascii="仿宋" w:hAnsi="仿宋" w:eastAsia="仿宋" w:cs="仿宋"/>
          <w:sz w:val="32"/>
          <w:szCs w:val="32"/>
        </w:rPr>
        <w:t>社会保障和就业支出-行政事业单位离退休-机关事业单位基本养老保险缴费支出：反映机关事业单位实施养老保险制度由单位缴纳的基本养老保险支出；</w:t>
      </w:r>
      <w:r>
        <w:rPr>
          <w:rFonts w:hint="eastAsia" w:ascii="仿宋" w:hAnsi="仿宋" w:eastAsia="仿宋" w:cs="仿宋"/>
          <w:sz w:val="32"/>
          <w:szCs w:val="32"/>
        </w:rPr>
        <w:br w:type="textWrapping"/>
      </w:r>
      <w:r>
        <w:rPr>
          <w:rFonts w:hint="eastAsia" w:ascii="仿宋" w:hAnsi="仿宋" w:eastAsia="仿宋" w:cs="仿宋"/>
          <w:sz w:val="32"/>
          <w:szCs w:val="32"/>
        </w:rPr>
        <w:t xml:space="preserve">    11.住房保障支出：住房保障支出-住房改革支出-住房公积金：反映行政事业单位按人力资源和社会保障部、财政部规定的基本工资和津贴补贴以及规定比例为职工缴纳的住房公积金。</w:t>
      </w:r>
    </w:p>
    <w:p w14:paraId="13499661">
      <w:pPr>
        <w:ind w:firstLine="640" w:firstLineChars="200"/>
        <w:rPr>
          <w:rFonts w:ascii="仿宋_GB2312" w:eastAsia="仿宋_GB2312"/>
          <w:color w:val="000000"/>
          <w:sz w:val="32"/>
          <w:szCs w:val="32"/>
        </w:rPr>
      </w:pPr>
      <w:r>
        <w:rPr>
          <w:rFonts w:hint="eastAsia" w:ascii="仿宋_GB2312" w:eastAsia="仿宋_GB2312"/>
          <w:color w:val="000000"/>
          <w:sz w:val="32"/>
          <w:szCs w:val="32"/>
        </w:rPr>
        <w:t>12</w:t>
      </w:r>
      <w:r>
        <w:rPr>
          <w:rFonts w:ascii="仿宋_GB2312" w:eastAsia="仿宋_GB2312"/>
          <w:color w:val="000000"/>
          <w:sz w:val="32"/>
          <w:szCs w:val="32"/>
        </w:rPr>
        <w:t>.</w:t>
      </w:r>
      <w:r>
        <w:rPr>
          <w:rFonts w:hint="eastAsia" w:ascii="仿宋_GB2312" w:eastAsia="仿宋_GB2312"/>
          <w:color w:val="000000"/>
          <w:sz w:val="32"/>
          <w:szCs w:val="32"/>
        </w:rPr>
        <w:t>基本支出：指为保障机构正常运转、完成日常工作任务而发生的人员支出和公用支出。</w:t>
      </w:r>
    </w:p>
    <w:p w14:paraId="7C8E6B3C">
      <w:pPr>
        <w:ind w:firstLine="640" w:firstLineChars="200"/>
        <w:rPr>
          <w:rFonts w:ascii="仿宋_GB2312" w:eastAsia="仿宋_GB2312"/>
          <w:color w:val="000000"/>
          <w:sz w:val="32"/>
          <w:szCs w:val="32"/>
        </w:rPr>
      </w:pPr>
      <w:r>
        <w:rPr>
          <w:rFonts w:hint="eastAsia" w:ascii="仿宋_GB2312" w:eastAsia="仿宋_GB2312"/>
          <w:color w:val="000000"/>
          <w:sz w:val="32"/>
          <w:szCs w:val="32"/>
        </w:rPr>
        <w:t>13</w:t>
      </w:r>
      <w:r>
        <w:rPr>
          <w:rFonts w:ascii="仿宋_GB2312" w:eastAsia="仿宋_GB2312"/>
          <w:color w:val="000000"/>
          <w:sz w:val="32"/>
          <w:szCs w:val="32"/>
        </w:rPr>
        <w:t>.</w:t>
      </w:r>
      <w:r>
        <w:rPr>
          <w:rFonts w:hint="eastAsia" w:ascii="仿宋_GB2312" w:eastAsia="仿宋_GB2312"/>
          <w:color w:val="000000"/>
          <w:sz w:val="32"/>
          <w:szCs w:val="32"/>
        </w:rPr>
        <w:t>项目支出：指在基本支出之外为完成特定行政任务和事业发展目标所发生的支出。</w:t>
      </w:r>
      <w:r>
        <w:rPr>
          <w:rFonts w:ascii="仿宋_GB2312" w:eastAsia="仿宋_GB2312"/>
          <w:color w:val="000000"/>
          <w:sz w:val="32"/>
          <w:szCs w:val="32"/>
        </w:rPr>
        <w:t xml:space="preserve"> </w:t>
      </w:r>
    </w:p>
    <w:p w14:paraId="19579D11">
      <w:pPr>
        <w:pStyle w:val="24"/>
        <w:spacing w:line="560" w:lineRule="exact"/>
        <w:ind w:firstLine="640" w:firstLineChars="200"/>
        <w:rPr>
          <w:rFonts w:ascii="仿宋_GB2312" w:eastAsia="仿宋_GB2312"/>
          <w:sz w:val="32"/>
          <w:szCs w:val="32"/>
        </w:rPr>
      </w:pPr>
      <w:r>
        <w:rPr>
          <w:rFonts w:hint="eastAsia" w:ascii="仿宋_GB2312" w:eastAsia="仿宋_GB2312"/>
          <w:sz w:val="32"/>
          <w:szCs w:val="32"/>
        </w:rPr>
        <w:t>14</w:t>
      </w:r>
      <w:r>
        <w:rPr>
          <w:rFonts w:ascii="仿宋_GB2312" w:eastAsia="仿宋_GB2312"/>
          <w:sz w:val="32"/>
          <w:szCs w:val="32"/>
        </w:rPr>
        <w:t>.</w:t>
      </w:r>
      <w:r>
        <w:rPr>
          <w:rFonts w:hint="eastAsia" w:ascii="仿宋_GB2312" w:eastAsia="仿宋_GB2312"/>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1D329487">
      <w:pPr>
        <w:pStyle w:val="24"/>
        <w:spacing w:line="560" w:lineRule="exact"/>
        <w:ind w:firstLine="640" w:firstLineChars="200"/>
        <w:rPr>
          <w:rFonts w:ascii="仿宋_GB2312" w:eastAsia="仿宋_GB2312"/>
          <w:sz w:val="32"/>
          <w:szCs w:val="32"/>
        </w:rPr>
      </w:pPr>
      <w:r>
        <w:rPr>
          <w:rFonts w:hint="eastAsia" w:ascii="仿宋_GB2312" w:eastAsia="仿宋_GB2312"/>
          <w:sz w:val="32"/>
          <w:szCs w:val="32"/>
        </w:rPr>
        <w:t>15</w:t>
      </w:r>
      <w:r>
        <w:rPr>
          <w:rFonts w:ascii="仿宋_GB2312" w:eastAsia="仿宋_GB2312"/>
          <w:sz w:val="32"/>
          <w:szCs w:val="32"/>
        </w:rPr>
        <w:t>.</w:t>
      </w:r>
      <w:r>
        <w:rPr>
          <w:rFonts w:hint="eastAsia" w:ascii="仿宋_GB2312" w:eastAsia="仿宋_GB2312"/>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2FCE9BFE">
      <w:pPr>
        <w:pStyle w:val="24"/>
        <w:spacing w:line="560" w:lineRule="exact"/>
        <w:ind w:firstLine="640" w:firstLineChars="200"/>
        <w:rPr>
          <w:rFonts w:ascii="仿宋_GB2312" w:eastAsia="仿宋_GB2312" w:cs="黑体"/>
          <w:color w:val="auto"/>
          <w:sz w:val="32"/>
          <w:szCs w:val="32"/>
        </w:rPr>
      </w:pPr>
    </w:p>
    <w:p w14:paraId="33B521B8">
      <w:pPr>
        <w:spacing w:line="600" w:lineRule="exact"/>
        <w:jc w:val="center"/>
        <w:outlineLvl w:val="0"/>
        <w:rPr>
          <w:rStyle w:val="26"/>
          <w:rFonts w:ascii="黑体" w:hAnsi="黑体" w:eastAsia="黑体"/>
          <w:b w:val="0"/>
        </w:rPr>
      </w:pPr>
      <w:bookmarkStart w:id="78" w:name="_Toc2385"/>
      <w:bookmarkStart w:id="79" w:name="_Toc15396614"/>
      <w:bookmarkStart w:id="80" w:name="_Toc15377226"/>
      <w:r>
        <w:rPr>
          <w:rFonts w:hint="eastAsia" w:ascii="黑体" w:hAnsi="黑体" w:eastAsia="黑体"/>
          <w:sz w:val="44"/>
          <w:szCs w:val="44"/>
        </w:rPr>
        <w:t>第</w:t>
      </w:r>
      <w:r>
        <w:rPr>
          <w:rStyle w:val="26"/>
          <w:rFonts w:hint="eastAsia" w:ascii="黑体" w:hAnsi="黑体" w:eastAsia="黑体"/>
          <w:b w:val="0"/>
        </w:rPr>
        <w:t>四部分 附件</w:t>
      </w:r>
      <w:bookmarkEnd w:id="78"/>
      <w:bookmarkEnd w:id="79"/>
    </w:p>
    <w:p w14:paraId="0C61B645">
      <w:pPr>
        <w:spacing w:line="572" w:lineRule="exact"/>
        <w:jc w:val="left"/>
        <w:outlineLvl w:val="0"/>
        <w:rPr>
          <w:rFonts w:ascii="方正小标宋简体" w:hAnsi="方正小标宋简体" w:eastAsia="方正小标宋简体" w:cs="方正小标宋简体"/>
          <w:sz w:val="44"/>
          <w:szCs w:val="44"/>
        </w:rPr>
      </w:pPr>
      <w:bookmarkStart w:id="81" w:name="_Toc31167"/>
      <w:r>
        <w:rPr>
          <w:rFonts w:hint="eastAsia" w:ascii="黑体" w:hAnsi="黑体" w:eastAsia="黑体" w:cs="黑体"/>
          <w:sz w:val="32"/>
          <w:szCs w:val="32"/>
        </w:rPr>
        <w:t>附件</w:t>
      </w:r>
      <w:bookmarkEnd w:id="81"/>
    </w:p>
    <w:p w14:paraId="440BFB56">
      <w:pPr>
        <w:spacing w:line="572" w:lineRule="exact"/>
        <w:jc w:val="center"/>
        <w:rPr>
          <w:rFonts w:ascii="黑体" w:hAnsi="黑体" w:eastAsia="黑体" w:cs="黑体"/>
          <w:kern w:val="0"/>
          <w:sz w:val="40"/>
          <w:szCs w:val="44"/>
          <w:lang w:val="zh-CN"/>
        </w:rPr>
      </w:pPr>
      <w:r>
        <w:rPr>
          <w:rFonts w:hint="eastAsia" w:ascii="黑体" w:hAnsi="黑体" w:eastAsia="黑体" w:cs="黑体"/>
          <w:kern w:val="0"/>
          <w:sz w:val="40"/>
          <w:szCs w:val="44"/>
        </w:rPr>
        <w:t>2021年卫生健康局部门整体绩效评价报告</w:t>
      </w:r>
    </w:p>
    <w:p w14:paraId="111883A3">
      <w:pPr>
        <w:widowControl/>
        <w:spacing w:line="572" w:lineRule="exact"/>
        <w:ind w:firstLine="640" w:firstLineChars="200"/>
        <w:contextualSpacing/>
        <w:jc w:val="center"/>
        <w:rPr>
          <w:rFonts w:ascii="仿宋_GB2312" w:hAnsi="宋体" w:eastAsia="仿宋_GB2312"/>
          <w:sz w:val="32"/>
          <w:szCs w:val="32"/>
          <w:shd w:val="clear" w:color="auto" w:fill="FFFFFF"/>
        </w:rPr>
      </w:pPr>
      <w:r>
        <w:rPr>
          <w:rFonts w:hint="eastAsia" w:ascii="仿宋_GB2312" w:hAnsi="宋体" w:eastAsia="仿宋_GB2312"/>
          <w:sz w:val="32"/>
          <w:szCs w:val="32"/>
          <w:shd w:val="clear" w:color="auto" w:fill="FFFFFF"/>
        </w:rPr>
        <w:t>（报告范围包括机关和下属单位）</w:t>
      </w:r>
    </w:p>
    <w:p w14:paraId="743CFFD8">
      <w:pPr>
        <w:widowControl/>
        <w:adjustRightInd w:val="0"/>
        <w:snapToGrid w:val="0"/>
        <w:spacing w:line="572" w:lineRule="exact"/>
        <w:ind w:firstLine="480" w:firstLineChars="200"/>
        <w:contextualSpacing/>
        <w:jc w:val="left"/>
        <w:rPr>
          <w:rFonts w:ascii="黑体" w:hAnsi="宋体" w:eastAsia="黑体" w:cs="宋体"/>
          <w:kern w:val="0"/>
          <w:sz w:val="24"/>
          <w:szCs w:val="32"/>
          <w:shd w:val="clear" w:color="auto" w:fill="FFFFFF"/>
        </w:rPr>
      </w:pPr>
    </w:p>
    <w:p w14:paraId="7C7790D4">
      <w:pPr>
        <w:widowControl/>
        <w:adjustRightInd w:val="0"/>
        <w:snapToGrid w:val="0"/>
        <w:spacing w:line="572" w:lineRule="exact"/>
        <w:ind w:firstLine="640" w:firstLineChars="200"/>
        <w:contextualSpacing/>
        <w:jc w:val="left"/>
        <w:rPr>
          <w:rFonts w:ascii="黑体" w:hAnsi="宋体" w:eastAsia="黑体" w:cs="宋体"/>
          <w:kern w:val="0"/>
          <w:sz w:val="32"/>
          <w:szCs w:val="32"/>
          <w:shd w:val="clear" w:color="auto" w:fill="FFFFFF"/>
          <w:lang w:val="zh-CN"/>
        </w:rPr>
      </w:pPr>
      <w:r>
        <w:rPr>
          <w:rFonts w:hint="eastAsia" w:ascii="黑体" w:hAnsi="宋体" w:eastAsia="黑体" w:cs="宋体"/>
          <w:kern w:val="0"/>
          <w:sz w:val="32"/>
          <w:szCs w:val="32"/>
          <w:shd w:val="clear" w:color="auto" w:fill="FFFFFF"/>
        </w:rPr>
        <w:t>一、</w:t>
      </w:r>
      <w:r>
        <w:rPr>
          <w:rFonts w:hint="eastAsia" w:ascii="黑体" w:hAnsi="宋体" w:eastAsia="黑体" w:cs="宋体"/>
          <w:kern w:val="0"/>
          <w:sz w:val="32"/>
          <w:szCs w:val="32"/>
          <w:shd w:val="clear" w:color="auto" w:fill="FFFFFF"/>
          <w:lang w:val="zh-CN"/>
        </w:rPr>
        <w:t>部门（单位）概况</w:t>
      </w:r>
    </w:p>
    <w:p w14:paraId="77B11DD8">
      <w:pPr>
        <w:widowControl/>
        <w:adjustRightInd w:val="0"/>
        <w:snapToGrid w:val="0"/>
        <w:spacing w:line="572" w:lineRule="exact"/>
        <w:ind w:firstLine="640" w:firstLineChars="200"/>
        <w:contextualSpacing/>
        <w:jc w:val="left"/>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kern w:val="0"/>
          <w:sz w:val="32"/>
          <w:szCs w:val="32"/>
          <w:shd w:val="clear" w:color="auto" w:fill="FFFFFF"/>
          <w:lang w:val="zh-CN"/>
        </w:rPr>
        <w:t>（一）机构组成。</w:t>
      </w:r>
    </w:p>
    <w:p w14:paraId="36E0A143">
      <w:pPr>
        <w:pStyle w:val="2"/>
        <w:ind w:firstLine="640"/>
        <w:rPr>
          <w:b w:val="0"/>
          <w:bCs/>
          <w:lang w:val="zh-CN"/>
        </w:rPr>
      </w:pPr>
      <w:r>
        <w:rPr>
          <w:rFonts w:hint="eastAsia" w:ascii="仿宋" w:hAnsi="仿宋" w:eastAsia="仿宋" w:cs="仿宋"/>
          <w:b w:val="0"/>
          <w:bCs/>
          <w:szCs w:val="32"/>
        </w:rPr>
        <w:t>昭化区卫生健康局下属二级单位33个(区人民医院经费独立核算、区社区卫生服务中心纳入局机关核算），其中参照公务员法管理的事业单位1个，其他事业单位31个</w:t>
      </w:r>
    </w:p>
    <w:p w14:paraId="18BE68A0">
      <w:pPr>
        <w:widowControl/>
        <w:numPr>
          <w:ilvl w:val="0"/>
          <w:numId w:val="7"/>
        </w:numPr>
        <w:adjustRightInd w:val="0"/>
        <w:snapToGrid w:val="0"/>
        <w:spacing w:line="572" w:lineRule="exact"/>
        <w:ind w:firstLine="640" w:firstLineChars="200"/>
        <w:contextualSpacing/>
        <w:jc w:val="left"/>
        <w:rPr>
          <w:rFonts w:ascii="仿宋_GB2312" w:hAnsi="宋体" w:eastAsia="仿宋_GB2312" w:cs="宋体"/>
          <w:kern w:val="0"/>
          <w:sz w:val="32"/>
          <w:szCs w:val="32"/>
          <w:shd w:val="clear" w:color="auto" w:fill="FFFFFF"/>
          <w:lang w:val="zh-CN"/>
        </w:rPr>
      </w:pPr>
      <w:r>
        <w:rPr>
          <w:rFonts w:hint="eastAsia" w:ascii="仿宋_GB2312" w:hAnsi="宋体" w:eastAsia="仿宋_GB2312" w:cs="宋体"/>
          <w:kern w:val="0"/>
          <w:sz w:val="32"/>
          <w:szCs w:val="32"/>
          <w:shd w:val="clear" w:color="auto" w:fill="FFFFFF"/>
          <w:lang w:val="zh-CN"/>
        </w:rPr>
        <w:t>机构职能。</w:t>
      </w:r>
    </w:p>
    <w:p w14:paraId="31CF951D">
      <w:pPr>
        <w:widowControl/>
        <w:adjustRightInd w:val="0"/>
        <w:snapToGrid w:val="0"/>
        <w:spacing w:line="572" w:lineRule="exact"/>
        <w:ind w:firstLine="640" w:firstLineChars="200"/>
        <w:contextualSpacing/>
        <w:jc w:val="left"/>
        <w:rPr>
          <w:rFonts w:ascii="仿宋" w:hAnsi="仿宋" w:eastAsia="仿宋" w:cs="仿宋"/>
          <w:bCs/>
          <w:color w:val="000000"/>
          <w:sz w:val="32"/>
          <w:szCs w:val="32"/>
        </w:rPr>
      </w:pPr>
      <w:r>
        <w:rPr>
          <w:rFonts w:hint="eastAsia" w:ascii="仿宋" w:hAnsi="仿宋" w:eastAsia="仿宋" w:cs="仿宋"/>
          <w:bCs/>
          <w:color w:val="000000"/>
          <w:sz w:val="32"/>
          <w:szCs w:val="32"/>
        </w:rPr>
        <w:t xml:space="preserve">落实党中央关于卫生健康工作的方针、政策和省委、市委、区委的决策部署。组织拟订全区卫生健康政策；带头推进全区医药卫生体制改革；制定并组织落实全区疾病预防控制规划、免疫规划以及严重危害人民健康的艾滋病等重大传染病、寄生虫病、地方病等公共卫生问题的干预措施；贯彻落实国家应对人口老龄化政策措施；贯彻落实国家基本药物制度政策和国家基本药物制度；负责职责范围内的职业卫生、放射卫生、环境卫生、学校卫生、公共场所卫生、饮用水卫生等公共卫生的监督管理；制定全区医疗机构、医疗服务行业管理办法并监督实施，建立医疗服务评价和监督管理体系；负责全区计划生育管理和服务工作；负责全区卫生健康工作；贯彻执行国家、省促进中医药事业发展的法律法规，拟定全区中医药中长期发展规划并组织实施；负责区确定的保健对象的医疗保健工作；指导区计划生育协会的业务工作；依法依规履行卫生健康行业安全生产监督管理职责；完成区委、区政府交办的其他任务。  </w:t>
      </w:r>
    </w:p>
    <w:p w14:paraId="7E7586BC">
      <w:pPr>
        <w:widowControl/>
        <w:numPr>
          <w:ilvl w:val="0"/>
          <w:numId w:val="7"/>
        </w:numPr>
        <w:adjustRightInd w:val="0"/>
        <w:snapToGrid w:val="0"/>
        <w:spacing w:line="572" w:lineRule="exact"/>
        <w:ind w:firstLine="640" w:firstLineChars="200"/>
        <w:contextualSpacing/>
        <w:jc w:val="left"/>
        <w:rPr>
          <w:rFonts w:ascii="仿宋_GB2312" w:hAnsi="宋体" w:eastAsia="仿宋_GB2312" w:cs="宋体"/>
          <w:kern w:val="0"/>
          <w:sz w:val="32"/>
          <w:szCs w:val="32"/>
          <w:shd w:val="clear" w:color="auto" w:fill="FFFFFF"/>
          <w:lang w:val="zh-CN"/>
        </w:rPr>
      </w:pPr>
      <w:r>
        <w:rPr>
          <w:rFonts w:hint="eastAsia" w:ascii="仿宋_GB2312" w:hAnsi="宋体" w:eastAsia="仿宋_GB2312" w:cs="宋体"/>
          <w:kern w:val="0"/>
          <w:sz w:val="32"/>
          <w:szCs w:val="32"/>
          <w:shd w:val="clear" w:color="auto" w:fill="FFFFFF"/>
          <w:lang w:val="zh-CN"/>
        </w:rPr>
        <w:t>人员概况。</w:t>
      </w:r>
    </w:p>
    <w:p w14:paraId="6B1671AC">
      <w:pPr>
        <w:pStyle w:val="2"/>
        <w:ind w:firstLine="640"/>
        <w:rPr>
          <w:b w:val="0"/>
          <w:bCs/>
        </w:rPr>
      </w:pPr>
      <w:r>
        <w:rPr>
          <w:rFonts w:hint="eastAsia"/>
          <w:b w:val="0"/>
          <w:bCs/>
          <w:lang w:val="zh-CN"/>
        </w:rPr>
        <w:t>卫健系统共有编制65</w:t>
      </w:r>
      <w:r>
        <w:rPr>
          <w:rFonts w:hint="eastAsia"/>
          <w:b w:val="0"/>
          <w:bCs/>
        </w:rPr>
        <w:t>6</w:t>
      </w:r>
      <w:r>
        <w:rPr>
          <w:rFonts w:hint="eastAsia"/>
          <w:b w:val="0"/>
          <w:bCs/>
          <w:lang w:val="zh-CN"/>
        </w:rPr>
        <w:t>个，在职人员</w:t>
      </w:r>
      <w:r>
        <w:rPr>
          <w:rFonts w:hint="eastAsia"/>
          <w:b w:val="0"/>
          <w:bCs/>
        </w:rPr>
        <w:t>600人，其中</w:t>
      </w:r>
      <w:r>
        <w:rPr>
          <w:rFonts w:hint="eastAsia"/>
          <w:b w:val="0"/>
          <w:bCs/>
          <w:lang w:val="zh-CN"/>
        </w:rPr>
        <w:t>纳入财政预算人员</w:t>
      </w:r>
      <w:r>
        <w:rPr>
          <w:rFonts w:hint="eastAsia"/>
          <w:b w:val="0"/>
          <w:bCs/>
        </w:rPr>
        <w:t>466人</w:t>
      </w:r>
      <w:r>
        <w:rPr>
          <w:rFonts w:hint="eastAsia"/>
          <w:b w:val="0"/>
          <w:bCs/>
          <w:lang w:val="zh-CN"/>
        </w:rPr>
        <w:t>：其中行政人员</w:t>
      </w:r>
      <w:r>
        <w:rPr>
          <w:rFonts w:hint="eastAsia"/>
          <w:b w:val="0"/>
          <w:bCs/>
        </w:rPr>
        <w:t>13</w:t>
      </w:r>
      <w:r>
        <w:rPr>
          <w:rFonts w:hint="eastAsia"/>
          <w:b w:val="0"/>
          <w:bCs/>
          <w:lang w:val="zh-CN"/>
        </w:rPr>
        <w:t>人，参公管理人员</w:t>
      </w:r>
      <w:r>
        <w:rPr>
          <w:rFonts w:hint="eastAsia"/>
          <w:b w:val="0"/>
          <w:bCs/>
        </w:rPr>
        <w:t>41人</w:t>
      </w:r>
      <w:r>
        <w:rPr>
          <w:rFonts w:hint="eastAsia"/>
          <w:b w:val="0"/>
          <w:bCs/>
          <w:lang w:val="zh-CN"/>
        </w:rPr>
        <w:t>，事业人员</w:t>
      </w:r>
      <w:r>
        <w:rPr>
          <w:rFonts w:hint="eastAsia"/>
          <w:b w:val="0"/>
          <w:bCs/>
        </w:rPr>
        <w:t>411人，离休人员1人；</w:t>
      </w:r>
      <w:r>
        <w:rPr>
          <w:rFonts w:hint="eastAsia"/>
          <w:b w:val="0"/>
          <w:bCs/>
          <w:lang w:val="zh-CN"/>
        </w:rPr>
        <w:t>经费自理人员</w:t>
      </w:r>
      <w:r>
        <w:rPr>
          <w:rFonts w:hint="eastAsia"/>
          <w:b w:val="0"/>
          <w:bCs/>
        </w:rPr>
        <w:t>102人；其他人员32人。</w:t>
      </w:r>
    </w:p>
    <w:p w14:paraId="57D7CB44">
      <w:pPr>
        <w:widowControl/>
        <w:adjustRightInd w:val="0"/>
        <w:snapToGrid w:val="0"/>
        <w:spacing w:line="572" w:lineRule="exact"/>
        <w:ind w:firstLine="640" w:firstLineChars="200"/>
        <w:contextualSpacing/>
        <w:jc w:val="left"/>
        <w:rPr>
          <w:rFonts w:ascii="黑体" w:hAnsi="宋体" w:eastAsia="黑体" w:cs="宋体"/>
          <w:kern w:val="0"/>
          <w:sz w:val="32"/>
          <w:szCs w:val="32"/>
          <w:shd w:val="clear" w:color="auto" w:fill="FFFFFF"/>
        </w:rPr>
      </w:pPr>
      <w:r>
        <w:rPr>
          <w:rFonts w:hint="eastAsia" w:ascii="黑体" w:hAnsi="宋体" w:eastAsia="黑体" w:cs="宋体"/>
          <w:kern w:val="0"/>
          <w:sz w:val="32"/>
          <w:szCs w:val="32"/>
          <w:shd w:val="clear" w:color="auto" w:fill="FFFFFF"/>
        </w:rPr>
        <w:t>二、部门财政资金收支情况</w:t>
      </w:r>
    </w:p>
    <w:p w14:paraId="7720E216">
      <w:pPr>
        <w:widowControl/>
        <w:adjustRightInd w:val="0"/>
        <w:snapToGrid w:val="0"/>
        <w:spacing w:line="572" w:lineRule="exact"/>
        <w:ind w:firstLine="640" w:firstLineChars="200"/>
        <w:contextualSpacing/>
        <w:jc w:val="left"/>
        <w:rPr>
          <w:rFonts w:ascii="仿宋_GB2312" w:hAnsi="宋体" w:eastAsia="仿宋_GB2312" w:cs="宋体"/>
          <w:kern w:val="0"/>
          <w:sz w:val="32"/>
          <w:szCs w:val="32"/>
          <w:shd w:val="clear" w:color="auto" w:fill="FFFFFF"/>
          <w:lang w:val="zh-CN"/>
        </w:rPr>
      </w:pPr>
      <w:r>
        <w:rPr>
          <w:rFonts w:hint="eastAsia" w:ascii="仿宋_GB2312" w:hAnsi="宋体" w:eastAsia="仿宋_GB2312" w:cs="宋体"/>
          <w:kern w:val="0"/>
          <w:sz w:val="32"/>
          <w:szCs w:val="32"/>
          <w:shd w:val="clear" w:color="auto" w:fill="FFFFFF"/>
          <w:lang w:val="zh-CN"/>
        </w:rPr>
        <w:t>（一）部门财政资金收入情况。</w:t>
      </w:r>
    </w:p>
    <w:p w14:paraId="280B9B2E">
      <w:pPr>
        <w:pStyle w:val="2"/>
        <w:ind w:firstLine="640"/>
        <w:rPr>
          <w:b w:val="0"/>
          <w:bCs/>
        </w:rPr>
      </w:pPr>
      <w:r>
        <w:rPr>
          <w:rFonts w:hint="eastAsia" w:ascii="仿宋_GB2312" w:hAnsi="宋体"/>
          <w:b w:val="0"/>
          <w:bCs/>
          <w:color w:val="auto"/>
          <w:kern w:val="0"/>
          <w:szCs w:val="32"/>
          <w:shd w:val="clear" w:color="auto" w:fill="FFFFFF"/>
        </w:rPr>
        <w:t>2021年财政资金收入总计11956.43万元，本年财政拨款收入9754.97，其中基本支出拨款收入5647.65万元，项目支出拨款4107.32万元；上年财政拨款结转2201.46万元。</w:t>
      </w:r>
    </w:p>
    <w:p w14:paraId="42A6C41D">
      <w:pPr>
        <w:widowControl/>
        <w:numPr>
          <w:ilvl w:val="0"/>
          <w:numId w:val="8"/>
        </w:numPr>
        <w:adjustRightInd w:val="0"/>
        <w:snapToGrid w:val="0"/>
        <w:spacing w:line="572" w:lineRule="exact"/>
        <w:ind w:firstLine="640" w:firstLineChars="200"/>
        <w:contextualSpacing/>
        <w:jc w:val="left"/>
        <w:rPr>
          <w:rFonts w:ascii="仿宋_GB2312" w:hAnsi="宋体" w:eastAsia="仿宋_GB2312" w:cs="宋体"/>
          <w:kern w:val="0"/>
          <w:sz w:val="32"/>
          <w:szCs w:val="32"/>
          <w:shd w:val="clear" w:color="auto" w:fill="FFFFFF"/>
          <w:lang w:val="zh-CN"/>
        </w:rPr>
      </w:pPr>
      <w:r>
        <w:rPr>
          <w:rFonts w:hint="eastAsia" w:ascii="仿宋_GB2312" w:hAnsi="宋体" w:eastAsia="仿宋_GB2312" w:cs="宋体"/>
          <w:kern w:val="0"/>
          <w:sz w:val="32"/>
          <w:szCs w:val="32"/>
          <w:shd w:val="clear" w:color="auto" w:fill="FFFFFF"/>
          <w:lang w:val="zh-CN"/>
        </w:rPr>
        <w:t>部门财政资金支出情况。</w:t>
      </w:r>
    </w:p>
    <w:p w14:paraId="749B8DAB">
      <w:pPr>
        <w:pStyle w:val="2"/>
        <w:ind w:left="420" w:leftChars="200" w:firstLine="0" w:firstLineChars="0"/>
        <w:rPr>
          <w:b w:val="0"/>
          <w:bCs/>
        </w:rPr>
      </w:pPr>
      <w:r>
        <w:rPr>
          <w:rFonts w:hint="eastAsia"/>
          <w:b w:val="0"/>
          <w:bCs/>
        </w:rPr>
        <w:t>2021年财政资金支出总计11599.97万元，其中托育项目支出45万元，社会保障和就业支出879.84万元，卫生健康支出9310.5万元，住房保障支出639万元，年末财政拨款结转结余725.63万元。</w:t>
      </w:r>
    </w:p>
    <w:p w14:paraId="4096952D">
      <w:pPr>
        <w:widowControl/>
        <w:numPr>
          <w:ilvl w:val="0"/>
          <w:numId w:val="3"/>
        </w:numPr>
        <w:adjustRightInd w:val="0"/>
        <w:snapToGrid w:val="0"/>
        <w:spacing w:line="572" w:lineRule="exact"/>
        <w:contextualSpacing/>
        <w:jc w:val="left"/>
        <w:rPr>
          <w:rFonts w:ascii="黑体" w:hAnsi="宋体" w:eastAsia="黑体" w:cs="宋体"/>
          <w:kern w:val="0"/>
          <w:sz w:val="32"/>
          <w:szCs w:val="32"/>
          <w:shd w:val="clear" w:color="auto" w:fill="FFFFFF"/>
        </w:rPr>
      </w:pPr>
      <w:r>
        <w:rPr>
          <w:rFonts w:hint="eastAsia" w:ascii="黑体" w:hAnsi="宋体" w:eastAsia="黑体" w:cs="宋体"/>
          <w:kern w:val="0"/>
          <w:sz w:val="32"/>
          <w:szCs w:val="32"/>
          <w:shd w:val="clear" w:color="auto" w:fill="FFFFFF"/>
        </w:rPr>
        <w:t>部门整体预算绩效管理情况</w:t>
      </w:r>
    </w:p>
    <w:p w14:paraId="19CCFB8A">
      <w:pPr>
        <w:widowControl/>
        <w:adjustRightInd w:val="0"/>
        <w:snapToGrid w:val="0"/>
        <w:spacing w:line="572" w:lineRule="exact"/>
        <w:ind w:left="640"/>
        <w:contextualSpacing/>
        <w:jc w:val="left"/>
        <w:rPr>
          <w:rFonts w:ascii="仿宋_GB2312" w:hAnsi="宋体" w:eastAsia="仿宋_GB2312" w:cs="宋体"/>
          <w:kern w:val="0"/>
          <w:sz w:val="32"/>
          <w:szCs w:val="32"/>
          <w:shd w:val="clear" w:color="auto" w:fill="FFFFFF"/>
          <w:lang w:val="zh-CN"/>
        </w:rPr>
      </w:pPr>
      <w:r>
        <w:rPr>
          <w:rFonts w:hint="eastAsia" w:ascii="仿宋_GB2312" w:hAnsi="宋体" w:eastAsia="仿宋_GB2312" w:cs="宋体"/>
          <w:kern w:val="0"/>
          <w:sz w:val="32"/>
          <w:szCs w:val="32"/>
          <w:shd w:val="clear" w:color="auto" w:fill="FFFFFF"/>
          <w:lang w:val="zh-CN"/>
        </w:rPr>
        <w:t>（一）部门预算项目绩效管理。</w:t>
      </w:r>
    </w:p>
    <w:p w14:paraId="509A5C00">
      <w:pPr>
        <w:widowControl/>
        <w:adjustRightInd w:val="0"/>
        <w:snapToGrid w:val="0"/>
        <w:spacing w:line="572" w:lineRule="exact"/>
        <w:ind w:firstLine="640" w:firstLineChars="200"/>
        <w:contextualSpacing/>
        <w:jc w:val="left"/>
        <w:rPr>
          <w:rFonts w:ascii="仿宋_GB2312" w:hAnsi="宋体" w:eastAsia="仿宋_GB2312" w:cs="宋体"/>
          <w:kern w:val="0"/>
          <w:sz w:val="32"/>
          <w:szCs w:val="32"/>
          <w:shd w:val="clear" w:color="auto" w:fill="FFFFFF"/>
          <w:lang w:val="zh-CN"/>
        </w:rPr>
      </w:pPr>
      <w:r>
        <w:rPr>
          <w:rFonts w:hint="eastAsia" w:ascii="仿宋_GB2312" w:hAnsi="宋体" w:eastAsia="仿宋_GB2312" w:cs="宋体"/>
          <w:kern w:val="0"/>
          <w:sz w:val="32"/>
          <w:szCs w:val="32"/>
          <w:shd w:val="clear" w:color="auto" w:fill="FFFFFF"/>
          <w:lang w:val="zh-CN"/>
        </w:rPr>
        <w:t>贯彻执行国家、部门有关财经法规规定，坚持厉行节约，量入为出，降低行政事业成本，提高资金使用效益；合理编制预算，制定绩效目标，统筹安排资金，以保障单位正常运转及绩效目标的完成；定期编制财务报告，如实反映行政事业单位预算执行情况，并进行财务活动分析，以促进财务管理建立，健全内部财务管理制度；对单位经济活动进行财务控制和监督，加强对国有资产管理，防止国有资产流失；创新财务管理制度，降低成本，合理配置资源，以实现社会效益和经济效益最大化，提高资金使用效益，及时申报资金，截止12月，当年支出占全年指标数的80%。</w:t>
      </w:r>
    </w:p>
    <w:p w14:paraId="2B9CD3ED">
      <w:pPr>
        <w:widowControl/>
        <w:adjustRightInd w:val="0"/>
        <w:snapToGrid w:val="0"/>
        <w:spacing w:line="572" w:lineRule="exact"/>
        <w:ind w:firstLine="640" w:firstLineChars="200"/>
        <w:contextualSpacing/>
        <w:jc w:val="left"/>
        <w:rPr>
          <w:rFonts w:ascii="仿宋_GB2312" w:hAnsi="宋体" w:eastAsia="仿宋_GB2312" w:cs="宋体"/>
          <w:kern w:val="0"/>
          <w:sz w:val="32"/>
          <w:szCs w:val="32"/>
          <w:shd w:val="clear" w:color="auto" w:fill="FFFFFF"/>
          <w:lang w:val="zh-CN"/>
        </w:rPr>
      </w:pPr>
      <w:r>
        <w:rPr>
          <w:rFonts w:hint="eastAsia" w:ascii="仿宋_GB2312" w:hAnsi="宋体" w:eastAsia="仿宋_GB2312" w:cs="宋体"/>
          <w:kern w:val="0"/>
          <w:sz w:val="32"/>
          <w:szCs w:val="32"/>
          <w:shd w:val="clear" w:color="auto" w:fill="FFFFFF"/>
          <w:lang w:val="zh-CN"/>
        </w:rPr>
        <w:t>（二）结果应用情况。</w:t>
      </w:r>
    </w:p>
    <w:p w14:paraId="6703D5F4">
      <w:pPr>
        <w:widowControl/>
        <w:adjustRightInd w:val="0"/>
        <w:snapToGrid w:val="0"/>
        <w:spacing w:line="572" w:lineRule="exact"/>
        <w:ind w:firstLine="640" w:firstLineChars="200"/>
        <w:contextualSpacing/>
        <w:jc w:val="left"/>
        <w:rPr>
          <w:rFonts w:ascii="仿宋_GB2312" w:hAnsi="宋体" w:eastAsia="仿宋_GB2312" w:cs="宋体"/>
          <w:kern w:val="0"/>
          <w:sz w:val="32"/>
          <w:szCs w:val="32"/>
          <w:shd w:val="clear" w:color="auto" w:fill="FFFFFF"/>
          <w:lang w:val="zh-CN"/>
        </w:rPr>
      </w:pPr>
      <w:r>
        <w:rPr>
          <w:rFonts w:hint="eastAsia" w:ascii="仿宋_GB2312" w:hAnsi="宋体" w:eastAsia="仿宋_GB2312" w:cs="宋体"/>
          <w:kern w:val="0"/>
          <w:sz w:val="32"/>
          <w:szCs w:val="32"/>
          <w:shd w:val="clear" w:color="auto" w:fill="FFFFFF"/>
          <w:lang w:val="zh-CN"/>
        </w:rPr>
        <w:t>一是通过民生项目的实施，为全区常住人口免费提供了基本公共卫生服务，为重点人群开免费开展体检，计划生育惠民政策共惠及12365人次，扶助资金总额为1026.66万元，超额完成“两癌”筛查任务，保障了老百姓的健康权益和健康安全；二是全覆盖打造健康场所，健康机关、健康学校、健康医院、健康企业、健康社区、健康主题公园、健康步道各项指标高质量达标，积极开展健康宣传，倡导文明生活方式，广泛向群众科普宣传健康知识和疾病防控知识，引导群众养成讲文明、讲卫生、防疾病的好习惯，提高居民健康素养；三是通过医疗服务能力的建设，对医疗机构设施设备的补充和人才的培训培养，医疗机构的服务能力明显提升，医院工作流程、工作环境得到进一步改善，实施基本药物制度有效地减轻老百姓就医负担；通过专特科科室建设，医院专科专病服务能力进一步凸显，医疗服务质量得到很大提高，群众看病就医获得感明显增强。</w:t>
      </w:r>
    </w:p>
    <w:p w14:paraId="58336F8A">
      <w:pPr>
        <w:widowControl/>
        <w:numPr>
          <w:ilvl w:val="0"/>
          <w:numId w:val="9"/>
        </w:numPr>
        <w:adjustRightInd w:val="0"/>
        <w:snapToGrid w:val="0"/>
        <w:spacing w:line="580" w:lineRule="exact"/>
        <w:ind w:firstLine="640" w:firstLineChars="200"/>
        <w:contextualSpacing/>
        <w:jc w:val="left"/>
        <w:rPr>
          <w:rFonts w:ascii="仿宋_GB2312" w:hAnsi="宋体" w:eastAsia="仿宋_GB2312" w:cs="宋体"/>
          <w:kern w:val="0"/>
          <w:sz w:val="32"/>
          <w:szCs w:val="32"/>
          <w:shd w:val="clear" w:color="auto" w:fill="FFFFFF"/>
          <w:lang w:val="zh-CN"/>
        </w:rPr>
      </w:pPr>
      <w:r>
        <w:rPr>
          <w:rFonts w:hint="eastAsia" w:ascii="仿宋_GB2312" w:hAnsi="宋体" w:eastAsia="仿宋_GB2312" w:cs="宋体"/>
          <w:kern w:val="0"/>
          <w:sz w:val="32"/>
          <w:szCs w:val="32"/>
          <w:shd w:val="clear" w:color="auto" w:fill="FFFFFF"/>
          <w:lang w:val="zh-CN"/>
        </w:rPr>
        <w:t>自评质量</w:t>
      </w:r>
    </w:p>
    <w:p w14:paraId="0E74EED4">
      <w:pPr>
        <w:widowControl/>
        <w:adjustRightInd w:val="0"/>
        <w:snapToGrid w:val="0"/>
        <w:spacing w:line="576" w:lineRule="exact"/>
        <w:contextualSpacing/>
        <w:jc w:val="left"/>
        <w:rPr>
          <w:rFonts w:ascii="仿宋_GB2312" w:hAnsi="宋体" w:eastAsia="仿宋_GB2312" w:cs="宋体"/>
          <w:kern w:val="0"/>
          <w:sz w:val="32"/>
          <w:szCs w:val="32"/>
          <w:shd w:val="clear" w:color="auto" w:fill="FFFFFF"/>
        </w:rPr>
      </w:pPr>
      <w:r>
        <w:rPr>
          <w:rFonts w:hint="eastAsia" w:ascii="仿宋_GB2312" w:hAnsi="宋体" w:eastAsia="仿宋_GB2312" w:cs="宋体"/>
          <w:kern w:val="0"/>
          <w:sz w:val="32"/>
          <w:szCs w:val="32"/>
          <w:shd w:val="clear" w:color="auto" w:fill="FFFFFF"/>
        </w:rPr>
        <w:t xml:space="preserve">   2021年卫健系统财务支出基本符合国家财经法规和财务管理制度规定以及有关专项资金管理办法的规定，资金的拨付有完整的审批过程和手续，支出基本符合部门预算批复的用途，资金使用无截留、挤占、挪用、虚列支出等情况。根据区政府绩效考核文件精神，绩效目标基本完成，在保障机关运转、履行职能职责上整体情况良好。</w:t>
      </w:r>
    </w:p>
    <w:p w14:paraId="36F0D7F4">
      <w:pPr>
        <w:widowControl/>
        <w:adjustRightInd w:val="0"/>
        <w:snapToGrid w:val="0"/>
        <w:spacing w:line="576" w:lineRule="exact"/>
        <w:ind w:firstLine="640" w:firstLineChars="200"/>
        <w:contextualSpacing/>
        <w:jc w:val="left"/>
        <w:rPr>
          <w:rFonts w:ascii="黑体" w:hAnsi="宋体" w:eastAsia="黑体" w:cs="宋体"/>
          <w:kern w:val="0"/>
          <w:sz w:val="32"/>
          <w:szCs w:val="32"/>
          <w:shd w:val="clear" w:color="auto" w:fill="FFFFFF"/>
        </w:rPr>
      </w:pPr>
      <w:r>
        <w:rPr>
          <w:rFonts w:hint="eastAsia" w:ascii="黑体" w:hAnsi="宋体" w:eastAsia="黑体" w:cs="宋体"/>
          <w:kern w:val="0"/>
          <w:sz w:val="32"/>
          <w:szCs w:val="32"/>
          <w:shd w:val="clear" w:color="auto" w:fill="FFFFFF"/>
        </w:rPr>
        <w:t>四、评价结论及建议</w:t>
      </w:r>
    </w:p>
    <w:p w14:paraId="27D35AC9">
      <w:pPr>
        <w:widowControl/>
        <w:adjustRightInd w:val="0"/>
        <w:snapToGrid w:val="0"/>
        <w:spacing w:line="576" w:lineRule="exact"/>
        <w:ind w:firstLine="640" w:firstLineChars="200"/>
        <w:contextualSpacing/>
        <w:jc w:val="left"/>
        <w:rPr>
          <w:rFonts w:ascii="仿宋_GB2312" w:hAnsi="宋体" w:eastAsia="仿宋_GB2312" w:cs="宋体"/>
          <w:kern w:val="0"/>
          <w:sz w:val="32"/>
          <w:szCs w:val="32"/>
          <w:shd w:val="clear" w:color="auto" w:fill="FFFFFF"/>
          <w:lang w:val="zh-CN"/>
        </w:rPr>
      </w:pPr>
      <w:r>
        <w:rPr>
          <w:rFonts w:hint="eastAsia" w:ascii="仿宋_GB2312" w:hAnsi="宋体" w:eastAsia="仿宋_GB2312" w:cs="宋体"/>
          <w:kern w:val="0"/>
          <w:sz w:val="32"/>
          <w:szCs w:val="32"/>
          <w:shd w:val="clear" w:color="auto" w:fill="FFFFFF"/>
          <w:lang w:val="zh-CN"/>
        </w:rPr>
        <w:t>（一）评价结论：按照预算绩效管理要求，本部门对2021年整体支出开展绩效自评，自评得分92分。</w:t>
      </w:r>
    </w:p>
    <w:p w14:paraId="79D0A33C">
      <w:pPr>
        <w:widowControl/>
        <w:adjustRightInd w:val="0"/>
        <w:snapToGrid w:val="0"/>
        <w:spacing w:line="576" w:lineRule="exact"/>
        <w:ind w:firstLine="640" w:firstLineChars="200"/>
        <w:contextualSpacing/>
        <w:jc w:val="left"/>
        <w:rPr>
          <w:rFonts w:ascii="仿宋_GB2312" w:hAnsi="宋体" w:eastAsia="仿宋_GB2312" w:cs="宋体"/>
          <w:kern w:val="0"/>
          <w:sz w:val="32"/>
          <w:szCs w:val="32"/>
          <w:shd w:val="clear" w:color="auto" w:fill="FFFFFF"/>
          <w:lang w:val="zh-CN"/>
        </w:rPr>
      </w:pPr>
      <w:r>
        <w:rPr>
          <w:rFonts w:hint="eastAsia" w:ascii="仿宋_GB2312" w:hAnsi="宋体" w:eastAsia="仿宋_GB2312" w:cs="宋体"/>
          <w:kern w:val="0"/>
          <w:sz w:val="32"/>
          <w:szCs w:val="32"/>
          <w:shd w:val="clear" w:color="auto" w:fill="FFFFFF"/>
          <w:lang w:val="zh-CN"/>
        </w:rPr>
        <w:t>（二）存在问题：一是由于二级单位预算经费、部分财政专项经费经过我局拨付，在账务核算上不易区分，财政资金属性上难以划分，容易重记或漏记，导致核算不准确；二是公务卡使用执行不好，有时候不能查到消费信息，就直接还到个人银行卡，公务卡消费不明显；三是对部分项目未进行系统的开展绩效评价，把平常的督查工作当作绩效评价工作开展，对预算执行过程疏于监督管理，只对部分项目进行了中期评估，对绩效评价的结果运用不好；四是部分项目经费使用缓慢，由于受前几年项目资金年末才办追加的影响，基本上是第二年才开始实施上年的项目资金，历年来形成了滚动实施，加之财政偶尔支付困难，导致当年经费滞留。</w:t>
      </w:r>
    </w:p>
    <w:p w14:paraId="0AEA53A4">
      <w:pPr>
        <w:widowControl/>
        <w:adjustRightInd w:val="0"/>
        <w:snapToGrid w:val="0"/>
        <w:spacing w:line="576" w:lineRule="exact"/>
        <w:ind w:firstLine="640" w:firstLineChars="200"/>
        <w:contextualSpacing/>
        <w:jc w:val="left"/>
        <w:rPr>
          <w:rFonts w:ascii="仿宋_GB2312" w:hAnsi="宋体" w:eastAsia="仿宋_GB2312" w:cs="宋体"/>
          <w:kern w:val="0"/>
          <w:sz w:val="32"/>
          <w:szCs w:val="32"/>
          <w:shd w:val="clear" w:color="auto" w:fill="FFFFFF"/>
          <w:lang w:val="zh-CN"/>
        </w:rPr>
      </w:pPr>
      <w:r>
        <w:rPr>
          <w:rFonts w:hint="eastAsia" w:ascii="仿宋_GB2312" w:hAnsi="宋体" w:eastAsia="仿宋_GB2312" w:cs="宋体"/>
          <w:kern w:val="0"/>
          <w:sz w:val="32"/>
          <w:szCs w:val="32"/>
          <w:shd w:val="clear" w:color="auto" w:fill="FFFFFF"/>
          <w:lang w:val="zh-CN"/>
        </w:rPr>
        <w:t>（三）改进建议：一是认真区分财政资金来源、使用单位，在账务处理时认真分析，确保账务处理准确；二是对于系统整体开支，加大监督力度，注重资金使用过程中的风险与问题，及早发现及早整改，组织专人开展绩效评价，对绩效评价结果积极运用；三是加大监督检查力度，积极协调专项资金及时到位，督促项目资金尽快使用，确保当年资金不滞留。</w:t>
      </w:r>
    </w:p>
    <w:p w14:paraId="635E606B">
      <w:pPr>
        <w:pStyle w:val="7"/>
        <w:spacing w:before="93"/>
        <w:rPr>
          <w:rFonts w:hAnsi="宋体" w:cs="宋体"/>
          <w:sz w:val="32"/>
          <w:szCs w:val="32"/>
          <w:shd w:val="clear" w:color="auto" w:fill="FFFFFF"/>
          <w:lang w:val="zh-CN"/>
        </w:rPr>
      </w:pPr>
    </w:p>
    <w:p w14:paraId="084DB012">
      <w:pPr>
        <w:pStyle w:val="7"/>
        <w:spacing w:before="93"/>
        <w:rPr>
          <w:lang w:val="zh-CN"/>
        </w:rPr>
      </w:pPr>
      <w:r>
        <w:rPr>
          <w:rFonts w:hint="eastAsia" w:hAnsi="宋体" w:cs="宋体"/>
          <w:sz w:val="32"/>
          <w:szCs w:val="32"/>
          <w:shd w:val="clear" w:color="auto" w:fill="FFFFFF"/>
          <w:lang w:val="zh-CN"/>
        </w:rPr>
        <w:t>附件</w:t>
      </w:r>
    </w:p>
    <w:p w14:paraId="593C7738">
      <w:pPr>
        <w:spacing w:line="600" w:lineRule="exact"/>
        <w:ind w:firstLine="883"/>
        <w:jc w:val="center"/>
        <w:rPr>
          <w:rFonts w:ascii="黑体" w:hAnsi="黑体" w:eastAsia="黑体" w:cs="黑体"/>
          <w:sz w:val="32"/>
          <w:szCs w:val="32"/>
          <w:lang w:val="zh-CN"/>
        </w:rPr>
      </w:pPr>
      <w:r>
        <w:rPr>
          <w:rFonts w:hint="eastAsia" w:ascii="黑体" w:hAnsi="黑体" w:eastAsia="黑体" w:cs="黑体"/>
          <w:sz w:val="40"/>
          <w:szCs w:val="40"/>
        </w:rPr>
        <w:t>2021年</w:t>
      </w:r>
      <w:r>
        <w:rPr>
          <w:rFonts w:hint="eastAsia" w:ascii="黑体" w:hAnsi="黑体" w:eastAsia="黑体" w:cs="黑体"/>
          <w:sz w:val="40"/>
          <w:szCs w:val="40"/>
          <w:lang w:val="zh-CN"/>
        </w:rPr>
        <w:t>专项项目支出绩效自评报告</w:t>
      </w:r>
    </w:p>
    <w:p w14:paraId="105C5A13">
      <w:pPr>
        <w:spacing w:line="600" w:lineRule="exact"/>
        <w:ind w:firstLine="640"/>
        <w:jc w:val="center"/>
        <w:rPr>
          <w:rFonts w:ascii="宋体" w:hAnsi="宋体"/>
          <w:sz w:val="32"/>
          <w:szCs w:val="32"/>
          <w:lang w:val="zh-CN"/>
        </w:rPr>
      </w:pPr>
    </w:p>
    <w:p w14:paraId="4798F937">
      <w:pPr>
        <w:adjustRightInd w:val="0"/>
        <w:snapToGrid w:val="0"/>
        <w:spacing w:line="600" w:lineRule="exact"/>
        <w:ind w:firstLine="720"/>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14:paraId="5E09055A">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（一）项目基本情况。</w:t>
      </w:r>
    </w:p>
    <w:p w14:paraId="25F86324">
      <w:pPr>
        <w:spacing w:line="580" w:lineRule="exact"/>
        <w:ind w:firstLine="640" w:firstLineChars="200"/>
        <w:rPr>
          <w:rStyle w:val="32"/>
          <w:rFonts w:ascii="宋体" w:hAnsi="宋体" w:eastAsia="仿宋_GB2312" w:cs="Arial"/>
          <w:color w:val="333333"/>
          <w:sz w:val="32"/>
          <w:szCs w:val="32"/>
          <w:shd w:val="clear" w:color="auto" w:fill="FFFFFF"/>
        </w:rPr>
      </w:pPr>
      <w:r>
        <w:rPr>
          <w:rFonts w:hint="eastAsia" w:ascii="仿宋" w:hAnsi="仿宋" w:eastAsia="仿宋" w:cs="仿宋"/>
          <w:sz w:val="32"/>
          <w:szCs w:val="32"/>
        </w:rPr>
        <w:t>2021年中央财政补助我区重大疾病防控资金共115.9万元，主要用于扩大免疫规划、艾滋病、结核病、麻风病防治，地方病监测、死因监测、慢病管理、精神卫生和新冠肺炎监测；0—6岁儿童疫苗接种冷链运转、疫苗针对传染病监测；艾滋病、结核病和麻风病病人的筛查与诊断、治疗；严重精神障碍患者的随访管理、治疗和危险病人应急处置；地方病监测和慢病管理；新冠肺炎监测等工作。我局根据资金实施方案及职能职责，将该项目资金拨付到区疾病预防控制中心具体实施。</w:t>
      </w:r>
    </w:p>
    <w:p w14:paraId="28C5D24E">
      <w:pPr>
        <w:adjustRightInd w:val="0"/>
        <w:snapToGrid w:val="0"/>
        <w:spacing w:line="600"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2．项目立项、资金申报的依据。</w:t>
      </w:r>
    </w:p>
    <w:p w14:paraId="06A2472A">
      <w:pPr>
        <w:adjustRightInd w:val="0"/>
        <w:snapToGrid w:val="0"/>
        <w:spacing w:line="600"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3．资金管理办法制定情况，资金支持具体项目的条件、范围与支持方式概况。</w:t>
      </w:r>
    </w:p>
    <w:p w14:paraId="5EE3E62F">
      <w:pPr>
        <w:adjustRightInd w:val="0"/>
        <w:snapToGrid w:val="0"/>
        <w:spacing w:line="600"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4．资金分配的原则及考虑因素。</w:t>
      </w:r>
    </w:p>
    <w:p w14:paraId="0E66B81B">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（二）项目绩效目标。</w:t>
      </w:r>
    </w:p>
    <w:p w14:paraId="296EA287">
      <w:pPr>
        <w:spacing w:line="580" w:lineRule="exact"/>
        <w:ind w:firstLine="640" w:firstLineChars="200"/>
        <w:rPr>
          <w:rFonts w:ascii="仿宋" w:hAnsi="仿宋" w:eastAsia="仿宋" w:cs="仿宋"/>
          <w:sz w:val="32"/>
          <w:szCs w:val="32"/>
        </w:rPr>
      </w:pPr>
      <w:r>
        <w:rPr>
          <w:rFonts w:hint="eastAsia" w:ascii="仿宋" w:hAnsi="仿宋" w:eastAsia="仿宋" w:cs="仿宋"/>
          <w:color w:val="333333"/>
          <w:sz w:val="32"/>
          <w:szCs w:val="32"/>
          <w:shd w:val="clear" w:color="auto" w:fill="FFFFFF"/>
        </w:rPr>
        <w:t>继续为0-6岁适龄儿童常规接种，保持高水平国家免疫规划疫苗接种率，接种率达90%以上；开展麻疹、AFP等疫苗可预防疾病监测、开展乙肝哨点监测、加强AEFI监测，所有指标均达到方案要求，全区范围内开展脊灰灭活疫苗查漏补种活动。15岁</w:t>
      </w:r>
      <w:r>
        <w:rPr>
          <w:rStyle w:val="32"/>
          <w:rFonts w:hint="eastAsia" w:ascii="仿宋" w:hAnsi="仿宋" w:eastAsia="仿宋" w:cs="仿宋"/>
          <w:color w:val="333333"/>
          <w:sz w:val="32"/>
          <w:szCs w:val="32"/>
          <w:shd w:val="clear" w:color="auto" w:fill="FFFFFF"/>
        </w:rPr>
        <w:t>以下儿童非脊灰AFP病例报告发病率达1/10万以上；</w:t>
      </w:r>
      <w:r>
        <w:rPr>
          <w:rStyle w:val="32"/>
          <w:rFonts w:hint="eastAsia" w:ascii="仿宋_GB2312" w:hAnsi="宋体" w:eastAsia="仿宋_GB2312" w:cs="Arial"/>
          <w:color w:val="333333"/>
          <w:sz w:val="32"/>
          <w:szCs w:val="32"/>
          <w:shd w:val="clear" w:color="auto" w:fill="FFFFFF"/>
        </w:rPr>
        <w:t>麻疹风疹病例排除报告发病率达到2/10万以上；AEFI监测达到1/万剂；乙肝、流脑、乙脑等科预防疾病监测指标均要达到国家标准；</w:t>
      </w:r>
      <w:r>
        <w:rPr>
          <w:rFonts w:hint="eastAsia" w:ascii="仿宋" w:hAnsi="仿宋" w:eastAsia="仿宋" w:cs="仿宋"/>
          <w:color w:val="333333"/>
          <w:sz w:val="32"/>
          <w:szCs w:val="32"/>
          <w:shd w:val="clear" w:color="auto" w:fill="FFFFFF"/>
        </w:rPr>
        <w:t>脊灰灭活疫苗查漏补种率要达到95%以上。</w:t>
      </w:r>
      <w:r>
        <w:rPr>
          <w:rFonts w:hint="eastAsia" w:ascii="仿宋" w:hAnsi="仿宋" w:eastAsia="仿宋" w:cs="仿宋"/>
          <w:sz w:val="32"/>
          <w:szCs w:val="32"/>
        </w:rPr>
        <w:t>开展慢病及相关危险因素监测，主要是死因监测工作；建立完善政府领导多部门合作和社会团体广泛参与的精神卫生工作体制和组织管理、协调机制；建立健全精神卫生服务体系和网络，提高精神卫生工作队伍人员素质和服务能力，组织开展精神卫生障碍患者的筛查、建档与管理，降低肇事肇祸风险、构建和谐社会。</w:t>
      </w:r>
      <w:r>
        <w:rPr>
          <w:rFonts w:hint="eastAsia" w:ascii="仿宋_GB2312" w:eastAsia="仿宋_GB2312"/>
          <w:sz w:val="32"/>
          <w:szCs w:val="32"/>
        </w:rPr>
        <w:t>进一步落实结核病防控举措，提供基础防病能力，提升防治工作质量，继续降低结核病的感染、发病与死亡，确保结核病疫情稳步下降，提高群众健康水平。提高公众麻防知识的知晓率，加强公众麻风病的认识和政策的了解、主动参与防治工作，消除群众对麻风病的恐惧心理，使麻风疑似病例的报告和主动就医的自觉性不断增强，麻风病危害进一步降低。提升群众</w:t>
      </w:r>
      <w:r>
        <w:rPr>
          <w:rFonts w:hint="eastAsia" w:ascii="仿宋" w:hAnsi="仿宋" w:eastAsia="仿宋" w:cs="仿宋"/>
          <w:sz w:val="32"/>
          <w:szCs w:val="32"/>
        </w:rPr>
        <w:t>主动参与艾滋病防治的意识和防范意识，养成良好的生活和行为习惯，</w:t>
      </w:r>
      <w:r>
        <w:rPr>
          <w:rFonts w:ascii="仿宋_GB2312" w:hAnsi="Calibri" w:eastAsia="仿宋_GB2312" w:cs="仿宋_GB2312"/>
          <w:sz w:val="32"/>
          <w:szCs w:val="32"/>
          <w:shd w:val="clear" w:color="auto" w:fill="FFFFFF"/>
        </w:rPr>
        <w:t>提高广大群众防治艾滋病知识的知晓率，</w:t>
      </w:r>
      <w:r>
        <w:rPr>
          <w:rFonts w:hint="eastAsia" w:ascii="仿宋_GB2312" w:hAnsi="Calibri" w:eastAsia="仿宋_GB2312" w:cs="仿宋_GB2312"/>
          <w:sz w:val="32"/>
          <w:szCs w:val="32"/>
          <w:shd w:val="clear" w:color="auto" w:fill="FFFFFF"/>
        </w:rPr>
        <w:t>正确认识</w:t>
      </w:r>
      <w:r>
        <w:rPr>
          <w:rFonts w:ascii="仿宋_GB2312" w:hAnsi="Calibri" w:eastAsia="仿宋_GB2312" w:cs="仿宋_GB2312"/>
          <w:sz w:val="32"/>
          <w:szCs w:val="32"/>
          <w:shd w:val="clear" w:color="auto" w:fill="FFFFFF"/>
        </w:rPr>
        <w:t>艾滋病、正视艾滋病、更好的遏制艾滋病的传播和蔓延，</w:t>
      </w:r>
      <w:r>
        <w:rPr>
          <w:rFonts w:hint="eastAsia" w:ascii="仿宋_GB2312" w:hAnsi="Calibri" w:eastAsia="仿宋_GB2312" w:cs="仿宋_GB2312"/>
          <w:sz w:val="32"/>
          <w:szCs w:val="32"/>
          <w:shd w:val="clear" w:color="auto" w:fill="FFFFFF"/>
        </w:rPr>
        <w:t>推进我区健康昭化建设，切实</w:t>
      </w:r>
      <w:r>
        <w:rPr>
          <w:rFonts w:ascii="仿宋_GB2312" w:hAnsi="Calibri" w:eastAsia="仿宋_GB2312" w:cs="仿宋_GB2312"/>
          <w:sz w:val="32"/>
          <w:szCs w:val="32"/>
          <w:shd w:val="clear" w:color="auto" w:fill="FFFFFF"/>
        </w:rPr>
        <w:t>保障人民群众的身心健康</w:t>
      </w:r>
      <w:r>
        <w:rPr>
          <w:rFonts w:hint="eastAsia" w:ascii="仿宋_GB2312" w:hAnsi="Calibri" w:eastAsia="仿宋_GB2312" w:cs="仿宋_GB2312"/>
          <w:sz w:val="32"/>
          <w:szCs w:val="32"/>
          <w:shd w:val="clear" w:color="auto" w:fill="FFFFFF"/>
        </w:rPr>
        <w:t>。</w:t>
      </w:r>
    </w:p>
    <w:p w14:paraId="27E8F17E">
      <w:pPr>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慢病监测与综合防治：死因监测规范报告率大于80%。</w:t>
      </w:r>
    </w:p>
    <w:p w14:paraId="2FE36F72">
      <w:pPr>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精神卫生：在册严重精神障碍患者管理率</w:t>
      </w:r>
      <w:r>
        <w:rPr>
          <w:rFonts w:ascii="Arial" w:hAnsi="Arial" w:eastAsia="仿宋" w:cs="Arial"/>
          <w:sz w:val="32"/>
          <w:szCs w:val="32"/>
        </w:rPr>
        <w:t>≥</w:t>
      </w:r>
      <w:r>
        <w:rPr>
          <w:rFonts w:hint="eastAsia" w:ascii="仿宋" w:hAnsi="仿宋" w:eastAsia="仿宋" w:cs="仿宋"/>
          <w:sz w:val="32"/>
          <w:szCs w:val="32"/>
        </w:rPr>
        <w:t>90%。病例筛查与诊断190人，贫困患者治疗补助20人，2－5约危险病人应急处置10人，监护人护理教育444人，项目管理技术指导6人质控397人。</w:t>
      </w:r>
    </w:p>
    <w:p w14:paraId="4CE1ACD5">
      <w:pPr>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免疫规划：儿童国家免疫规划疫苗接种率99%以上，每月进行免疫规划疫苗冷链运转；</w:t>
      </w:r>
    </w:p>
    <w:p w14:paraId="614EAA79">
      <w:pPr>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艾滋病：扩大监测覆盖率24.10%；</w:t>
      </w:r>
    </w:p>
    <w:p w14:paraId="3A85AF6F">
      <w:pPr>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结核病：肺结核治疗成功率97.84%，涂阳患者密切接触者复查率100%；</w:t>
      </w:r>
    </w:p>
    <w:p w14:paraId="1D7C9C08">
      <w:pPr>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麻风病：现症患者治疗随访率100%，可疑症状筛查率110.45%；</w:t>
      </w:r>
    </w:p>
    <w:p w14:paraId="5D85C9AB">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（三）项目自评步骤及方法。</w:t>
      </w:r>
    </w:p>
    <w:p w14:paraId="13509271">
      <w:pPr>
        <w:adjustRightInd w:val="0"/>
        <w:snapToGrid w:val="0"/>
        <w:spacing w:line="600" w:lineRule="exact"/>
        <w:ind w:firstLine="720"/>
        <w:rPr>
          <w:rFonts w:ascii="仿宋_GB2312" w:hAnsi="宋体" w:eastAsia="仿宋_GB2312"/>
          <w:sz w:val="32"/>
          <w:szCs w:val="32"/>
          <w:lang w:val="zh-CN"/>
        </w:rPr>
      </w:pPr>
      <w:r>
        <w:rPr>
          <w:rFonts w:hint="eastAsia" w:ascii="仿宋_GB2312" w:eastAsia="仿宋_GB2312"/>
          <w:sz w:val="32"/>
          <w:szCs w:val="32"/>
        </w:rPr>
        <w:t>根据项目实施情况，填列项目支出绩效评价指标表册、收集财政专项资金绩效评价基本情况和问卷调查表册，下发相关资料到相关科室，收集反馈相关情况。</w:t>
      </w:r>
    </w:p>
    <w:p w14:paraId="4324649B">
      <w:pPr>
        <w:adjustRightInd w:val="0"/>
        <w:snapToGrid w:val="0"/>
        <w:spacing w:line="600" w:lineRule="exact"/>
        <w:ind w:firstLine="720"/>
        <w:rPr>
          <w:rFonts w:ascii="黑体" w:hAnsi="宋体" w:eastAsia="黑体"/>
          <w:sz w:val="32"/>
          <w:szCs w:val="32"/>
        </w:rPr>
      </w:pPr>
      <w:r>
        <w:rPr>
          <w:rFonts w:hint="eastAsia" w:ascii="黑体" w:hAnsi="宋体" w:eastAsia="黑体"/>
          <w:sz w:val="32"/>
          <w:szCs w:val="32"/>
        </w:rPr>
        <w:t>二、项目资金申报及使用情况</w:t>
      </w:r>
    </w:p>
    <w:p w14:paraId="716A7BD0">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（一）项目资金申报及批复情况。</w:t>
      </w:r>
    </w:p>
    <w:p w14:paraId="1638FE49">
      <w:pPr>
        <w:spacing w:line="576" w:lineRule="exact"/>
        <w:ind w:firstLine="640" w:firstLineChars="200"/>
        <w:rPr>
          <w:rFonts w:ascii="仿宋_GB2312" w:eastAsia="仿宋_GB2312"/>
          <w:sz w:val="32"/>
          <w:szCs w:val="32"/>
        </w:rPr>
      </w:pPr>
      <w:r>
        <w:rPr>
          <w:rFonts w:hint="eastAsia" w:ascii="仿宋_GB2312" w:eastAsia="仿宋_GB2312"/>
          <w:sz w:val="32"/>
          <w:szCs w:val="32"/>
        </w:rPr>
        <w:t>项目申报与项目相符，申报目标是合理可行。</w:t>
      </w:r>
    </w:p>
    <w:p w14:paraId="1E2DCC14">
      <w:pPr>
        <w:adjustRightInd w:val="0"/>
        <w:snapToGrid w:val="0"/>
        <w:spacing w:line="600" w:lineRule="exact"/>
        <w:ind w:firstLine="643" w:firstLineChars="200"/>
        <w:rPr>
          <w:rFonts w:ascii="仿宋_GB2312" w:hAnsi="宋体" w:eastAsia="仿宋_GB2312"/>
          <w:sz w:val="32"/>
          <w:szCs w:val="32"/>
          <w:lang w:val="zh-CN"/>
        </w:rPr>
      </w:pPr>
      <w:r>
        <w:rPr>
          <w:rFonts w:hint="eastAsia" w:ascii="楷体_GB2312" w:hAnsi="宋体" w:eastAsia="楷体_GB2312"/>
          <w:b/>
          <w:sz w:val="32"/>
          <w:szCs w:val="32"/>
          <w:lang w:val="zh-CN"/>
        </w:rPr>
        <w:t>（二）资金计划、到位及使用情况。</w:t>
      </w:r>
    </w:p>
    <w:p w14:paraId="66637BF1">
      <w:pPr>
        <w:spacing w:line="576" w:lineRule="exact"/>
        <w:ind w:firstLine="640" w:firstLineChars="200"/>
        <w:rPr>
          <w:rFonts w:ascii="仿宋_GB2312" w:hAnsi="仿宋_GB2312" w:eastAsia="仿宋_GB2312" w:cs="仿宋_GB2312"/>
          <w:color w:val="0000FF"/>
          <w:sz w:val="32"/>
          <w:szCs w:val="32"/>
        </w:rPr>
      </w:pPr>
      <w:r>
        <w:rPr>
          <w:rFonts w:hint="eastAsia" w:ascii="仿宋_GB2312" w:hAnsi="微软雅黑" w:eastAsia="仿宋_GB2312" w:cs="仿宋_GB2312"/>
          <w:sz w:val="32"/>
          <w:szCs w:val="32"/>
          <w:shd w:val="clear" w:color="auto" w:fill="FFFFFF"/>
        </w:rPr>
        <w:t xml:space="preserve"> 重大疾病预防控制项目是政府部门常年实施的关乎群众健康的民生类资金，2021年项目总投入115.9万元，其中：中央资金92.9万元，地方资金23万元。</w:t>
      </w:r>
      <w:r>
        <w:rPr>
          <w:rFonts w:hint="eastAsia" w:ascii="仿宋_GB2312" w:hAnsi="仿宋_GB2312" w:eastAsia="仿宋_GB2312" w:cs="仿宋_GB2312"/>
          <w:sz w:val="32"/>
          <w:szCs w:val="32"/>
        </w:rPr>
        <w:t>资金按照计划时间到位，资金到位率100%。截止评价时点，项目资金实际支出92.9万元，程序合规合法，资金支付率100%。</w:t>
      </w:r>
    </w:p>
    <w:p w14:paraId="26E20E28">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（三）项目财务管理情况。</w:t>
      </w:r>
    </w:p>
    <w:p w14:paraId="3A86B769">
      <w:pPr>
        <w:adjustRightInd w:val="0"/>
        <w:snapToGrid w:val="0"/>
        <w:spacing w:line="600" w:lineRule="exact"/>
        <w:ind w:firstLine="720"/>
        <w:rPr>
          <w:rFonts w:ascii="仿宋_GB2312" w:hAnsi="宋体" w:eastAsia="仿宋_GB2312"/>
          <w:sz w:val="32"/>
          <w:szCs w:val="32"/>
          <w:lang w:val="zh-CN"/>
        </w:rPr>
      </w:pPr>
      <w:r>
        <w:rPr>
          <w:rFonts w:hint="eastAsia" w:ascii="仿宋_GB2312" w:hAnsi="仿宋_GB2312" w:eastAsia="仿宋_GB2312" w:cs="仿宋_GB2312"/>
          <w:sz w:val="32"/>
          <w:szCs w:val="32"/>
        </w:rPr>
        <w:t>我局出台了《卫生计生专项资金管理办法》，要求各项目实施单位严格按照专项资金管理办法，</w:t>
      </w:r>
      <w:r>
        <w:rPr>
          <w:rFonts w:hint="eastAsia" w:ascii="仿宋_GB2312" w:hAnsi="宋体" w:eastAsia="仿宋_GB2312"/>
          <w:sz w:val="32"/>
          <w:szCs w:val="32"/>
          <w:lang w:val="zh-CN"/>
        </w:rPr>
        <w:t>按照各项专项资金使用用途安排该专项资金的支出使用，严格遵守“专款专用”原则，严格落实专项资金的申报、使用审批手续，充分发挥资金使用效益。区疾病预防控制中心结合本单位的实际工作，制定重大公共卫生专项资金实施方案，对费用开支进行规范化管理，安排人员负责管理、监管，层层把关，资金的拨付要有完整的审批程序和手续，确保专项资金安全运行。</w:t>
      </w:r>
    </w:p>
    <w:p w14:paraId="39A28CA4">
      <w:pPr>
        <w:adjustRightInd w:val="0"/>
        <w:snapToGrid w:val="0"/>
        <w:spacing w:line="600" w:lineRule="exact"/>
        <w:ind w:firstLine="720"/>
        <w:rPr>
          <w:rFonts w:ascii="仿宋_GB2312" w:hAnsi="宋体" w:eastAsia="仿宋_GB2312"/>
          <w:sz w:val="32"/>
          <w:szCs w:val="32"/>
          <w:lang w:val="zh-CN"/>
        </w:rPr>
      </w:pPr>
      <w:r>
        <w:rPr>
          <w:rFonts w:hint="eastAsia" w:ascii="仿宋_GB2312" w:hAnsi="宋体" w:eastAsia="仿宋_GB2312"/>
          <w:sz w:val="32"/>
          <w:szCs w:val="32"/>
        </w:rPr>
        <w:t xml:space="preserve"> </w:t>
      </w:r>
      <w:r>
        <w:rPr>
          <w:rFonts w:hint="eastAsia" w:ascii="黑体" w:hAnsi="宋体" w:eastAsia="黑体"/>
          <w:sz w:val="32"/>
          <w:szCs w:val="32"/>
        </w:rPr>
        <w:t>三、项目实施及管理情况</w:t>
      </w:r>
    </w:p>
    <w:p w14:paraId="4CC30672">
      <w:pPr>
        <w:numPr>
          <w:ilvl w:val="0"/>
          <w:numId w:val="10"/>
        </w:num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项目组织架构及实施流程。</w:t>
      </w:r>
    </w:p>
    <w:p w14:paraId="2A47CB17">
      <w:pPr>
        <w:ind w:firstLine="640" w:firstLineChars="200"/>
        <w:rPr>
          <w:rFonts w:ascii="仿宋_GB2312" w:eastAsia="仿宋_GB2312"/>
          <w:color w:val="FF0000"/>
          <w:sz w:val="32"/>
          <w:szCs w:val="32"/>
        </w:rPr>
      </w:pPr>
      <w:r>
        <w:rPr>
          <w:rFonts w:hint="eastAsia" w:ascii="仿宋_GB2312" w:eastAsia="仿宋_GB2312"/>
          <w:sz w:val="32"/>
          <w:szCs w:val="32"/>
        </w:rPr>
        <w:t>本项目主管部门:昭化区卫健局，项目实施单位:昭化区疾病预防控制中心。项目的实施由昭化区疾病预防控制中心各科室根据职能职责，按照绩效目标任务与具体的实施方案组织实施，并对基层实施情况进行检查督导，区疾控中心财务室根据考核结果填报财政资金申请表，报卫健局审核后报请财政支付。</w:t>
      </w:r>
    </w:p>
    <w:p w14:paraId="1A11F634">
      <w:pPr>
        <w:adjustRightInd w:val="0"/>
        <w:snapToGrid w:val="0"/>
        <w:spacing w:line="600" w:lineRule="exact"/>
        <w:ind w:firstLine="720"/>
        <w:rPr>
          <w:rFonts w:ascii="仿宋_GB2312" w:hAnsi="宋体" w:eastAsia="仿宋_GB2312"/>
          <w:sz w:val="32"/>
          <w:szCs w:val="32"/>
          <w:lang w:val="zh-CN"/>
        </w:rPr>
      </w:pPr>
      <w:r>
        <w:rPr>
          <w:rFonts w:hint="eastAsia" w:ascii="楷体_GB2312" w:hAnsi="宋体" w:eastAsia="楷体_GB2312"/>
          <w:b/>
          <w:sz w:val="32"/>
          <w:szCs w:val="32"/>
          <w:lang w:val="zh-CN"/>
        </w:rPr>
        <w:t>（二）项目管理情况。</w:t>
      </w:r>
      <w:r>
        <w:rPr>
          <w:rFonts w:hint="eastAsia" w:ascii="仿宋_GB2312" w:hAnsi="宋体" w:eastAsia="仿宋_GB2312"/>
          <w:sz w:val="32"/>
          <w:szCs w:val="32"/>
          <w:lang w:val="zh-CN"/>
        </w:rPr>
        <w:t>该项目严格按照相关法律法规及相关管理制度进行实施。</w:t>
      </w:r>
    </w:p>
    <w:p w14:paraId="6659A367">
      <w:pPr>
        <w:adjustRightInd w:val="0"/>
        <w:snapToGrid w:val="0"/>
        <w:spacing w:line="600" w:lineRule="exact"/>
        <w:ind w:firstLine="720"/>
        <w:rPr>
          <w:rFonts w:ascii="黑体" w:hAnsi="宋体" w:eastAsia="黑体"/>
          <w:sz w:val="32"/>
          <w:szCs w:val="32"/>
        </w:rPr>
      </w:pPr>
      <w:r>
        <w:rPr>
          <w:rFonts w:hint="eastAsia" w:ascii="楷体_GB2312" w:hAnsi="宋体" w:eastAsia="楷体_GB2312"/>
          <w:b/>
          <w:sz w:val="32"/>
          <w:szCs w:val="32"/>
          <w:lang w:val="zh-CN"/>
        </w:rPr>
        <w:t>（三）项目监管情况。</w:t>
      </w:r>
      <w:r>
        <w:rPr>
          <w:rFonts w:hint="eastAsia" w:ascii="仿宋_GB2312" w:hAnsi="宋体" w:eastAsia="仿宋_GB2312"/>
          <w:sz w:val="32"/>
          <w:szCs w:val="32"/>
          <w:lang w:val="zh-CN"/>
        </w:rPr>
        <w:t>区卫健局通过制定目标任务及日常督导的方式，结合年底考核对该项工作加强管理。</w:t>
      </w:r>
    </w:p>
    <w:p w14:paraId="7B018B2C">
      <w:pPr>
        <w:adjustRightInd w:val="0"/>
        <w:snapToGrid w:val="0"/>
        <w:spacing w:line="600" w:lineRule="exact"/>
        <w:ind w:firstLine="960" w:firstLineChars="300"/>
        <w:rPr>
          <w:rFonts w:ascii="仿宋_GB2312" w:hAnsi="宋体" w:eastAsia="仿宋_GB2312"/>
          <w:sz w:val="32"/>
          <w:szCs w:val="32"/>
          <w:lang w:val="zh-CN"/>
        </w:rPr>
      </w:pPr>
      <w:r>
        <w:rPr>
          <w:rFonts w:hint="eastAsia" w:ascii="黑体" w:hAnsi="宋体" w:eastAsia="黑体"/>
          <w:sz w:val="32"/>
          <w:szCs w:val="32"/>
        </w:rPr>
        <w:t>四、项目绩效情况</w:t>
      </w:r>
      <w:r>
        <w:rPr>
          <w:rFonts w:hint="eastAsia" w:ascii="仿宋_GB2312" w:hAnsi="宋体" w:eastAsia="仿宋_GB2312"/>
          <w:sz w:val="32"/>
          <w:szCs w:val="32"/>
          <w:lang w:val="zh-CN"/>
        </w:rPr>
        <w:tab/>
      </w:r>
    </w:p>
    <w:p w14:paraId="0CC5D4E6">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（一）项目完成情况。</w:t>
      </w:r>
    </w:p>
    <w:p w14:paraId="53081F3D">
      <w:pPr>
        <w:spacing w:line="550" w:lineRule="exact"/>
        <w:ind w:firstLine="640" w:firstLineChars="200"/>
        <w:rPr>
          <w:rStyle w:val="32"/>
          <w:rFonts w:ascii="仿宋_GB2312" w:hAnsi="仿宋_GB2312" w:eastAsia="仿宋_GB2312" w:cs="仿宋_GB2312"/>
          <w:color w:val="333333"/>
          <w:sz w:val="32"/>
          <w:szCs w:val="32"/>
          <w:shd w:val="clear" w:color="auto" w:fill="FFFFFF"/>
        </w:rPr>
      </w:pPr>
      <w:r>
        <w:rPr>
          <w:rStyle w:val="32"/>
          <w:rFonts w:hint="eastAsia" w:ascii="仿宋_GB2312" w:hAnsi="仿宋_GB2312" w:eastAsia="仿宋_GB2312" w:cs="仿宋_GB2312"/>
          <w:color w:val="333333"/>
          <w:sz w:val="32"/>
          <w:szCs w:val="32"/>
          <w:shd w:val="clear" w:color="auto" w:fill="FFFFFF"/>
        </w:rPr>
        <w:t>1、扩大免疫规划：0-6岁儿童建卡率100%，建证率≥98%；新生儿乙肝疫苗99.91%（其中首针及时接种率为93.06%），乙肝全程接种率为99.58%。其他国家免疫规划疫苗接种率均达到99%以上。AFP监测报告1例，发病率为3.74/10万。麻疹6例，</w:t>
      </w:r>
      <w:r>
        <w:rPr>
          <w:rStyle w:val="32"/>
          <w:rFonts w:hint="eastAsia" w:ascii="仿宋_GB2312" w:hAnsi="宋体" w:eastAsia="仿宋_GB2312" w:cs="Arial"/>
          <w:color w:val="333333"/>
          <w:sz w:val="32"/>
          <w:szCs w:val="32"/>
          <w:shd w:val="clear" w:color="auto" w:fill="FFFFFF"/>
        </w:rPr>
        <w:t>麻疹风疹病例排除报告发病率</w:t>
      </w:r>
      <w:r>
        <w:rPr>
          <w:rStyle w:val="32"/>
          <w:rFonts w:hint="eastAsia" w:ascii="仿宋_GB2312" w:hAnsi="仿宋_GB2312" w:eastAsia="仿宋_GB2312" w:cs="仿宋_GB2312"/>
          <w:color w:val="333333"/>
          <w:sz w:val="32"/>
          <w:szCs w:val="32"/>
          <w:shd w:val="clear" w:color="auto" w:fill="FFFFFF"/>
        </w:rPr>
        <w:t xml:space="preserve">3.23/10万。乙肝哨点监测121例，发病报告率为90.16/10万；AEFI监测报告45例，发生率为15.86/10万，接种单位监测报告覆盖率100%。各项监测均达到绩效目标要求。脊灰灭活疫苗查漏补种：共摸底6477人，应种2032人，实补种2000人，补种率98.43%，达到95%的要求。  </w:t>
      </w:r>
    </w:p>
    <w:p w14:paraId="1BE57FFD">
      <w:pPr>
        <w:ind w:left="105" w:leftChars="50" w:firstLine="800" w:firstLineChars="250"/>
        <w:rPr>
          <w:rStyle w:val="32"/>
          <w:rFonts w:ascii="仿宋_GB2312" w:hAnsi="仿宋_GB2312" w:eastAsia="仿宋_GB2312" w:cs="仿宋_GB2312"/>
          <w:color w:val="333333"/>
          <w:sz w:val="32"/>
          <w:szCs w:val="32"/>
          <w:shd w:val="clear" w:color="auto" w:fill="FFFFFF"/>
        </w:rPr>
      </w:pPr>
      <w:r>
        <w:rPr>
          <w:rStyle w:val="32"/>
          <w:rFonts w:hint="eastAsia" w:ascii="仿宋_GB2312" w:hAnsi="仿宋_GB2312" w:eastAsia="仿宋_GB2312" w:cs="仿宋_GB2312"/>
          <w:color w:val="333333"/>
          <w:sz w:val="32"/>
          <w:szCs w:val="32"/>
          <w:shd w:val="clear" w:color="auto" w:fill="FFFFFF"/>
        </w:rPr>
        <w:t>2、</w:t>
      </w:r>
      <w:r>
        <w:rPr>
          <w:rFonts w:hint="eastAsia" w:ascii="仿宋_GB2312" w:eastAsia="仿宋_GB2312"/>
          <w:sz w:val="32"/>
          <w:szCs w:val="32"/>
        </w:rPr>
        <w:t>艾滋病项目：</w:t>
      </w:r>
      <w:r>
        <w:rPr>
          <w:rStyle w:val="32"/>
          <w:rFonts w:hint="eastAsia" w:ascii="仿宋_GB2312" w:hAnsi="仿宋_GB2312" w:eastAsia="仿宋_GB2312" w:cs="仿宋_GB2312"/>
          <w:color w:val="333333"/>
          <w:sz w:val="32"/>
          <w:szCs w:val="32"/>
          <w:shd w:val="clear" w:color="auto" w:fill="FFFFFF"/>
        </w:rPr>
        <w:t>2021年，一是向全区各相关单位印发宣传品4000册、全区悬挂横幅30幅、张贴海报300张；二是按照常住人口艾滋病检测覆盖率20%任务，我区应完成筛查37401人，实际完成筛查45075人次，覆盖率为24.10%，确诊阳性3例，完成率达120.52%；三是对娱乐场所FSW人群宣传干预全年完成HIV检测163人，未发现HIV阳性人员，筛出梅毒阳性3例，转介3例。四是2021年 全区公安机关开展打击卖淫嫖娼违法犯罪行动7次，未挡获卖淫人员和嫖娼人员。五是感染者/病人随访检测比例指标任务90%，完成率93.06%；配偶检测指标任务90%，完成率92.85%、艾滋病病毒感染者/病人接受结核病检查比例指标任务90%，完成率100%、病毒载量检测率指标任务90%，完成率93.75%；六是抗病毒治疗覆盖率指标任务90%，完成率98.61%；治疗成功率指标任务90%，完成率98.33%；单阳家庭治疗覆盖率指标任务100%，完成率100%。七是全年完成业务培训2次。八是咨询检测408人，完成率为100%。</w:t>
      </w:r>
    </w:p>
    <w:p w14:paraId="7E5C3D03">
      <w:pPr>
        <w:ind w:left="105" w:leftChars="50" w:firstLine="800" w:firstLineChars="250"/>
        <w:rPr>
          <w:rStyle w:val="32"/>
          <w:rFonts w:ascii="仿宋_GB2312" w:hAnsi="仿宋_GB2312" w:eastAsia="仿宋_GB2312" w:cs="仿宋_GB2312"/>
          <w:color w:val="333333"/>
          <w:sz w:val="32"/>
          <w:szCs w:val="32"/>
          <w:shd w:val="clear" w:color="auto" w:fill="FFFFFF"/>
        </w:rPr>
      </w:pPr>
      <w:r>
        <w:rPr>
          <w:rFonts w:hint="eastAsia" w:ascii="仿宋_GB2312" w:eastAsia="仿宋_GB2312"/>
          <w:sz w:val="32"/>
          <w:szCs w:val="32"/>
        </w:rPr>
        <w:t>3、结核病项目：</w:t>
      </w:r>
      <w:r>
        <w:rPr>
          <w:rStyle w:val="32"/>
          <w:rFonts w:hint="eastAsia" w:ascii="仿宋_GB2312" w:hAnsi="仿宋_GB2312" w:eastAsia="仿宋_GB2312" w:cs="仿宋_GB2312"/>
          <w:color w:val="333333"/>
          <w:sz w:val="32"/>
          <w:szCs w:val="32"/>
          <w:shd w:val="clear" w:color="auto" w:fill="FFFFFF"/>
        </w:rPr>
        <w:t>登记活动性患者数94例，病原学阳性人数60例，病原学阳性率63.83%，纳入治疗人数139人，成功治疗人数136人，成功治疗率97.84%，高危人群登记数12人，耐药筛查人数12人，耐药筛查率100%，新涂阳患者登记数68人，开展耐药筛查人数67人，其中痰培养阴性2例，耐药筛查率92.42%，登记利福平耐药患者数2人，纳入治疗人数2人，纳入治疗率100%，按发病时间报告肺结核病人90例，报告发病率为67.06/10万，肺结核患者应管理率100%，艾滋病病毒感染者的肺结核患者开展结核病筛查率100%，全区65岁以上的建档管理老年人24288人，开展结核症状筛查21965人，筛查率90.43%,登记管理糖尿病患者2763人，开展结核症状筛查2490人，筛查率90.12%，新生入学学生2738人，开展TB-PPD结核菌素试验或TB-ST抗体快诊检测筛查数2738人，开展筛查率100%。</w:t>
      </w:r>
    </w:p>
    <w:p w14:paraId="52F6FC4A">
      <w:pPr>
        <w:adjustRightInd w:val="0"/>
        <w:snapToGrid w:val="0"/>
        <w:spacing w:line="600" w:lineRule="exact"/>
        <w:ind w:firstLine="720"/>
        <w:rPr>
          <w:rFonts w:ascii="仿宋_GB2312" w:eastAsia="仿宋_GB2312"/>
          <w:sz w:val="32"/>
          <w:szCs w:val="32"/>
        </w:rPr>
      </w:pPr>
      <w:r>
        <w:rPr>
          <w:rFonts w:hint="eastAsia" w:ascii="仿宋_GB2312" w:eastAsia="仿宋_GB2312"/>
          <w:sz w:val="32"/>
          <w:szCs w:val="32"/>
        </w:rPr>
        <w:t>4、麻风病项目：2021年，在1月31日“世界防治麻风病日”期间，向全区各医疗卫生机构印发宣传手册5000册、折页5000伤、全区悬挂横幅28幅、张贴海报400张；为29名患者发放了防护包和自我护理包，44名手、足麻木者购买防护鞋现金100元/人，对32名重残、贫困、独居患者及4名防治工作人员发放了大米、油、肉、衣被物资和慰问金。麻风疑似病例监测报告任务数为67人，实际完成74人，完成率达110.45%</w:t>
      </w:r>
      <w:r>
        <w:rPr>
          <w:rFonts w:hint="eastAsia" w:ascii="仿宋_GB2312" w:eastAsia="仿宋_GB2312"/>
          <w:sz w:val="32"/>
          <w:szCs w:val="32"/>
          <w:lang w:val="zh-CN"/>
        </w:rPr>
        <w:t>；疫点调查任务数为1个，实际完成</w:t>
      </w:r>
      <w:r>
        <w:rPr>
          <w:rFonts w:hint="eastAsia" w:ascii="仿宋_GB2312" w:eastAsia="仿宋_GB2312"/>
          <w:sz w:val="32"/>
          <w:szCs w:val="32"/>
        </w:rPr>
        <w:t>1</w:t>
      </w:r>
      <w:r>
        <w:rPr>
          <w:rFonts w:hint="eastAsia" w:ascii="仿宋_GB2312" w:eastAsia="仿宋_GB2312"/>
          <w:sz w:val="32"/>
          <w:szCs w:val="32"/>
          <w:lang w:val="zh-CN"/>
        </w:rPr>
        <w:t>个，户、</w:t>
      </w:r>
      <w:r>
        <w:rPr>
          <w:rFonts w:hint="eastAsia" w:ascii="仿宋_GB2312" w:eastAsia="仿宋_GB2312"/>
          <w:sz w:val="32"/>
          <w:szCs w:val="32"/>
        </w:rPr>
        <w:t>138</w:t>
      </w:r>
      <w:r>
        <w:rPr>
          <w:rFonts w:hint="eastAsia" w:ascii="仿宋_GB2312" w:eastAsia="仿宋_GB2312"/>
          <w:sz w:val="32"/>
          <w:szCs w:val="32"/>
          <w:lang w:val="zh-CN"/>
        </w:rPr>
        <w:t>人，完成率%；家属和密切接触者检查应完成</w:t>
      </w:r>
      <w:r>
        <w:rPr>
          <w:rFonts w:hint="eastAsia" w:ascii="仿宋_GB2312" w:eastAsia="仿宋_GB2312"/>
          <w:sz w:val="32"/>
          <w:szCs w:val="32"/>
        </w:rPr>
        <w:t>56</w:t>
      </w:r>
      <w:r>
        <w:rPr>
          <w:rFonts w:hint="eastAsia" w:ascii="仿宋_GB2312" w:eastAsia="仿宋_GB2312"/>
          <w:sz w:val="32"/>
          <w:szCs w:val="32"/>
          <w:lang w:val="zh-CN"/>
        </w:rPr>
        <w:t>人，实际完成</w:t>
      </w:r>
      <w:r>
        <w:rPr>
          <w:rFonts w:hint="eastAsia" w:ascii="仿宋_GB2312" w:eastAsia="仿宋_GB2312"/>
          <w:sz w:val="32"/>
          <w:szCs w:val="32"/>
        </w:rPr>
        <w:t>56</w:t>
      </w:r>
      <w:r>
        <w:rPr>
          <w:rFonts w:hint="eastAsia" w:ascii="仿宋_GB2312" w:eastAsia="仿宋_GB2312"/>
          <w:sz w:val="32"/>
          <w:szCs w:val="32"/>
          <w:lang w:val="zh-CN"/>
        </w:rPr>
        <w:t>人，完成率1</w:t>
      </w:r>
      <w:r>
        <w:rPr>
          <w:rFonts w:hint="eastAsia" w:ascii="仿宋_GB2312" w:eastAsia="仿宋_GB2312"/>
          <w:sz w:val="32"/>
          <w:szCs w:val="32"/>
        </w:rPr>
        <w:t>00</w:t>
      </w:r>
      <w:r>
        <w:rPr>
          <w:rFonts w:hint="eastAsia" w:ascii="仿宋_GB2312" w:eastAsia="仿宋_GB2312"/>
          <w:sz w:val="32"/>
          <w:szCs w:val="32"/>
          <w:lang w:val="zh-CN"/>
        </w:rPr>
        <w:t>%；对</w:t>
      </w:r>
      <w:r>
        <w:rPr>
          <w:rFonts w:hint="eastAsia" w:ascii="仿宋_GB2312" w:eastAsia="仿宋_GB2312"/>
          <w:sz w:val="32"/>
          <w:szCs w:val="32"/>
        </w:rPr>
        <w:t>1</w:t>
      </w:r>
      <w:r>
        <w:rPr>
          <w:rFonts w:hint="eastAsia" w:ascii="仿宋_GB2312" w:eastAsia="仿宋_GB2312"/>
          <w:sz w:val="32"/>
          <w:szCs w:val="32"/>
          <w:lang w:val="zh-CN"/>
        </w:rPr>
        <w:t>例现症患者，按期完成查菌、随访、资料录入工作；对4</w:t>
      </w:r>
      <w:r>
        <w:rPr>
          <w:rFonts w:hint="eastAsia" w:ascii="仿宋_GB2312" w:eastAsia="仿宋_GB2312"/>
          <w:sz w:val="32"/>
          <w:szCs w:val="32"/>
        </w:rPr>
        <w:t>4</w:t>
      </w:r>
      <w:r>
        <w:rPr>
          <w:rFonts w:hint="eastAsia" w:ascii="仿宋_GB2312" w:eastAsia="仿宋_GB2312"/>
          <w:sz w:val="32"/>
          <w:szCs w:val="32"/>
          <w:lang w:val="zh-CN"/>
        </w:rPr>
        <w:t>名治愈存活者按时完成了随访、部分家属检查</w:t>
      </w:r>
      <w:r>
        <w:rPr>
          <w:rFonts w:hint="eastAsia" w:ascii="仿宋_GB2312" w:eastAsia="仿宋_GB2312"/>
          <w:sz w:val="32"/>
          <w:szCs w:val="32"/>
        </w:rPr>
        <w:t>。</w:t>
      </w:r>
    </w:p>
    <w:p w14:paraId="26E63CE9">
      <w:pPr>
        <w:spacing w:line="580" w:lineRule="exact"/>
        <w:ind w:firstLine="640" w:firstLineChars="200"/>
        <w:rPr>
          <w:rFonts w:ascii="仿宋" w:hAnsi="仿宋" w:eastAsia="仿宋" w:cs="仿宋"/>
          <w:sz w:val="32"/>
          <w:szCs w:val="32"/>
        </w:rPr>
      </w:pPr>
      <w:r>
        <w:rPr>
          <w:rFonts w:hint="eastAsia" w:ascii="仿宋_GB2312" w:eastAsia="仿宋_GB2312"/>
          <w:sz w:val="32"/>
          <w:szCs w:val="32"/>
        </w:rPr>
        <w:t>5、死因监测。</w:t>
      </w:r>
      <w:r>
        <w:rPr>
          <w:rFonts w:hint="eastAsia" w:ascii="仿宋" w:hAnsi="仿宋" w:eastAsia="仿宋" w:cs="仿宋"/>
          <w:sz w:val="32"/>
          <w:szCs w:val="32"/>
        </w:rPr>
        <w:t>绩效目标任务死因监测规范报告率≥80%，实际死因监测规范报告率为90%，完成了绩效目标任务。</w:t>
      </w:r>
    </w:p>
    <w:p w14:paraId="411CD02E">
      <w:pPr>
        <w:adjustRightInd w:val="0"/>
        <w:snapToGrid w:val="0"/>
        <w:spacing w:line="600" w:lineRule="exact"/>
        <w:ind w:firstLine="720"/>
        <w:rPr>
          <w:rFonts w:ascii="仿宋_GB2312" w:eastAsia="仿宋_GB2312"/>
          <w:sz w:val="32"/>
          <w:szCs w:val="32"/>
        </w:rPr>
      </w:pPr>
      <w:r>
        <w:rPr>
          <w:rFonts w:hint="eastAsia" w:ascii="仿宋_GB2312" w:eastAsia="仿宋_GB2312"/>
          <w:sz w:val="32"/>
          <w:szCs w:val="32"/>
        </w:rPr>
        <w:t>6、严重精神障碍管理。</w:t>
      </w:r>
      <w:r>
        <w:rPr>
          <w:rFonts w:hint="eastAsia" w:ascii="仿宋" w:hAnsi="仿宋" w:eastAsia="仿宋" w:cs="仿宋"/>
          <w:sz w:val="32"/>
          <w:szCs w:val="32"/>
        </w:rPr>
        <w:t>2021年全区在册严重精神障碍患者管理率为98.79%，目标任务是</w:t>
      </w:r>
      <w:r>
        <w:rPr>
          <w:rFonts w:ascii="Arial" w:hAnsi="Arial" w:eastAsia="仿宋" w:cs="Arial"/>
          <w:sz w:val="32"/>
          <w:szCs w:val="32"/>
        </w:rPr>
        <w:t>≥</w:t>
      </w:r>
      <w:r>
        <w:rPr>
          <w:rFonts w:hint="eastAsia" w:ascii="仿宋" w:hAnsi="仿宋" w:eastAsia="仿宋" w:cs="仿宋"/>
          <w:sz w:val="32"/>
          <w:szCs w:val="32"/>
        </w:rPr>
        <w:t>90%，完成绩效目标任务：筛查与诊断工作：</w:t>
      </w:r>
      <w:r>
        <w:rPr>
          <w:rFonts w:hint="eastAsia" w:ascii="仿宋_GB2312" w:eastAsia="仿宋_GB2312"/>
          <w:sz w:val="32"/>
          <w:szCs w:val="32"/>
        </w:rPr>
        <w:t>摸排调查约1000人，筛出疑似患者26人，到现场进行确诊20人，确诊为严重精神障碍患者16人，完成了筛查190人的目标任务；贫困患者补助50人，完成了补助24人的目标任务； 2－5级危险病人处置12人，完成了处置12人的目标任务； 监护人护理教育1300余人次，完成了444人次的目标任务；项目管理技术指导12人次，完成了6人的目标任务；项目质控650人，完成了397人的目标任务。</w:t>
      </w:r>
    </w:p>
    <w:p w14:paraId="58A64D60">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（二）项目效益情况。</w:t>
      </w:r>
    </w:p>
    <w:p w14:paraId="395EF412">
      <w:pPr>
        <w:adjustRightInd w:val="0"/>
        <w:snapToGrid w:val="0"/>
        <w:spacing w:line="600" w:lineRule="exact"/>
        <w:ind w:firstLine="720"/>
        <w:rPr>
          <w:rFonts w:ascii="仿宋_GB2312" w:eastAsia="仿宋_GB2312"/>
          <w:sz w:val="32"/>
          <w:szCs w:val="32"/>
        </w:rPr>
      </w:pPr>
      <w:r>
        <w:rPr>
          <w:rFonts w:hint="eastAsia" w:ascii="仿宋_GB2312" w:eastAsia="仿宋_GB2312"/>
          <w:sz w:val="32"/>
          <w:szCs w:val="32"/>
        </w:rPr>
        <w:t>保持了免疫规划疫苗高水平接种率；开展适龄儿童疫苗查漏补种工作；维持脊髓灰质炎、麻疹、乙肝控制目标，降低疫苗针对性传染病发病率；加强疑似预防接种异常反应监测；开展疫苗冷链运转设备配备和全程管理风险防控工作，保证疫苗实施全程冷链监控和疫苗信息全程可追溯；开展入托入学儿童预防接种证查验工作；巩固规范化预防接种门诊达标成果；加强儿童预防接种“互联网+预防接种”信息技术；儿童预防接种信息资源共享；做好宣传、人员培训、业务指导和督导。进一步落实结核病防控举措，提供基础防病能力，提升防治工作质量，继续降低结核病的感染、发病与死亡，确保结核病疫情稳步下降，提高群众健康水平。提高公众麻防知识的知晓率，加强公众麻风病的认识和政策的了解、主动参与防治工作，消除群众对麻风病的恐惧心理，使麻风疑似病例的报告和主动就医的自觉性不断增强，麻风病危害进一步降低。提升群众主动参与艾滋病防治的意识和防范意识，养成良好的生活和行为习惯，提高广大群众防治艾滋病知识的知晓率，正确认识艾滋病、正视艾滋病、更好的遏制艾滋病的传播和蔓延，推进我区健康昭化建设，切实保障人民群众的身心健康。开展碘缺乏病、克山病监测、病人管理治疗和宣传等工作，及时掌握全区碘缺乏病发病、克山病情况，有效开展病人救治管理等工作，保持全区碘缺乏病、克山病持续消除状态。全面开展“三减三健”活动，建设支持性环境，提高辖区居民健康知识知晓率。建立完善政府领导、多部门合作和社会团体广泛参与的精神卫生工作体制和组织管理、协调机制。加强精神卫生知识宣传和健康教育，提高全社会对精神卫生工作重要性的认识。强化重点人群心理行为问题干预力度，遏制精神疾病负担上升趋势。建立健全精神卫生服务体系和网络，完善现有精神卫生工作机构功能，提高精神卫生工作队伍人员素质和服务能力。</w:t>
      </w:r>
    </w:p>
    <w:p w14:paraId="5ED877B6">
      <w:pPr>
        <w:adjustRightInd w:val="0"/>
        <w:snapToGrid w:val="0"/>
        <w:spacing w:line="600" w:lineRule="exact"/>
        <w:ind w:firstLine="640" w:firstLineChars="200"/>
        <w:rPr>
          <w:rFonts w:ascii="黑体" w:hAnsi="宋体" w:eastAsia="黑体"/>
          <w:sz w:val="32"/>
          <w:szCs w:val="32"/>
        </w:rPr>
      </w:pPr>
      <w:r>
        <w:rPr>
          <w:rFonts w:hint="eastAsia" w:ascii="黑体" w:hAnsi="宋体" w:eastAsia="黑体"/>
          <w:sz w:val="32"/>
          <w:szCs w:val="32"/>
        </w:rPr>
        <w:t>五、评价结论及建议</w:t>
      </w:r>
    </w:p>
    <w:p w14:paraId="1AE4B3CF">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（一）评价结论。</w:t>
      </w:r>
    </w:p>
    <w:p w14:paraId="4A279502">
      <w:pPr>
        <w:adjustRightInd w:val="0"/>
        <w:snapToGrid w:val="0"/>
        <w:spacing w:line="600" w:lineRule="exact"/>
        <w:ind w:firstLine="720"/>
        <w:rPr>
          <w:rFonts w:ascii="仿宋_GB2312" w:eastAsia="仿宋_GB2312"/>
          <w:sz w:val="32"/>
          <w:szCs w:val="32"/>
        </w:rPr>
      </w:pPr>
      <w:r>
        <w:rPr>
          <w:rFonts w:hint="eastAsia" w:ascii="仿宋_GB2312" w:eastAsia="仿宋_GB2312"/>
          <w:sz w:val="32"/>
          <w:szCs w:val="32"/>
        </w:rPr>
        <w:t>2021年在上级主管部门的领导下，深入贯彻落实党的十九大精神，进一步开展好疾控公共卫生服务工作，规范疾控公共卫生资金的使用与管理，为广大人民群众的健康更好地服务，从项目实施进度及资金支付进度来看，该项目社会综合效益良好，财政项目支出合理、规范、有效。从项目立项开始，做到有依有据，在资金管理上做到专款专用，通过本项目的实施，促进人们的健康素养，推动了昭化区经济社会发展，取得较好的社会效益</w:t>
      </w:r>
      <w:r>
        <w:rPr>
          <w:rFonts w:hint="eastAsia" w:ascii="仿宋_GB2312" w:eastAsia="仿宋_GB2312"/>
          <w:sz w:val="32"/>
          <w:szCs w:val="32"/>
          <w:lang w:val="zh-CN"/>
        </w:rPr>
        <w:t>。</w:t>
      </w:r>
    </w:p>
    <w:p w14:paraId="48C7350D">
      <w:pPr>
        <w:adjustRightInd w:val="0"/>
        <w:snapToGrid w:val="0"/>
        <w:spacing w:line="600" w:lineRule="exact"/>
        <w:ind w:firstLine="643" w:firstLineChars="200"/>
        <w:rPr>
          <w:rFonts w:ascii="楷体_GB2312" w:hAnsi="宋体" w:eastAsia="楷体_GB2312"/>
          <w:b/>
          <w:sz w:val="32"/>
          <w:szCs w:val="32"/>
          <w:lang w:val="zh-CN"/>
        </w:rPr>
      </w:pPr>
      <w:r>
        <w:rPr>
          <w:rFonts w:hint="eastAsia" w:ascii="楷体_GB2312" w:hAnsi="宋体" w:eastAsia="楷体_GB2312"/>
          <w:b/>
          <w:sz w:val="32"/>
          <w:szCs w:val="32"/>
          <w:lang w:val="zh-CN"/>
        </w:rPr>
        <w:t>（二）存在的问题。</w:t>
      </w:r>
    </w:p>
    <w:p w14:paraId="510FC2B1">
      <w:pPr>
        <w:spacing w:line="550" w:lineRule="exact"/>
        <w:ind w:firstLine="640" w:firstLineChars="200"/>
        <w:rPr>
          <w:rStyle w:val="32"/>
          <w:rFonts w:ascii="仿宋_GB2312" w:hAnsi="仿宋_GB2312" w:eastAsia="仿宋_GB2312" w:cs="仿宋_GB2312"/>
          <w:color w:val="333333"/>
          <w:sz w:val="32"/>
          <w:szCs w:val="32"/>
          <w:shd w:val="clear" w:color="auto" w:fill="FFFFFF"/>
          <w:lang w:val="zh-CN"/>
        </w:rPr>
      </w:pPr>
      <w:r>
        <w:rPr>
          <w:rStyle w:val="32"/>
          <w:rFonts w:hint="eastAsia" w:ascii="仿宋_GB2312" w:hAnsi="仿宋_GB2312" w:eastAsia="仿宋_GB2312" w:cs="仿宋_GB2312"/>
          <w:color w:val="333333"/>
          <w:sz w:val="32"/>
          <w:szCs w:val="32"/>
          <w:shd w:val="clear" w:color="auto" w:fill="FFFFFF"/>
        </w:rPr>
        <w:t>一是项目资金不足，落实绩效目标困难较多，导致绩效指标完成质量不高，工作人员激励机制建立有难度。二是部分项目经费无增长，如慢病防治的监测与综合防治工作任务重，经费</w:t>
      </w:r>
      <w:r>
        <w:rPr>
          <w:rFonts w:hint="eastAsia" w:ascii="仿宋" w:hAnsi="仿宋" w:eastAsia="仿宋" w:cs="仿宋"/>
          <w:sz w:val="32"/>
          <w:szCs w:val="32"/>
        </w:rPr>
        <w:t>少，影响了</w:t>
      </w:r>
      <w:r>
        <w:rPr>
          <w:rStyle w:val="32"/>
          <w:rFonts w:hint="eastAsia" w:ascii="仿宋_GB2312" w:hAnsi="仿宋_GB2312" w:eastAsia="仿宋_GB2312" w:cs="仿宋_GB2312"/>
          <w:color w:val="333333"/>
          <w:sz w:val="32"/>
          <w:szCs w:val="32"/>
          <w:shd w:val="clear" w:color="auto" w:fill="FFFFFF"/>
        </w:rPr>
        <w:t>工作的开展；精神病人治疗补助人员增多，但经费没增长。</w:t>
      </w:r>
    </w:p>
    <w:p w14:paraId="56821823">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（三）相关建议。</w:t>
      </w:r>
    </w:p>
    <w:p w14:paraId="3A0D1BB9">
      <w:pPr>
        <w:spacing w:line="550" w:lineRule="exact"/>
        <w:ind w:firstLine="640" w:firstLineChars="200"/>
        <w:rPr>
          <w:rStyle w:val="32"/>
          <w:rFonts w:ascii="仿宋_GB2312" w:hAnsi="仿宋_GB2312" w:eastAsia="仿宋_GB2312" w:cs="仿宋_GB2312"/>
          <w:color w:val="333333"/>
          <w:sz w:val="32"/>
          <w:szCs w:val="32"/>
          <w:shd w:val="clear" w:color="auto" w:fill="FFFFFF"/>
        </w:rPr>
      </w:pPr>
      <w:r>
        <w:rPr>
          <w:rStyle w:val="32"/>
          <w:rFonts w:hint="eastAsia" w:ascii="仿宋_GB2312" w:hAnsi="仿宋_GB2312" w:eastAsia="仿宋_GB2312" w:cs="仿宋_GB2312"/>
          <w:color w:val="333333"/>
          <w:sz w:val="32"/>
          <w:szCs w:val="32"/>
          <w:shd w:val="clear" w:color="auto" w:fill="FFFFFF"/>
        </w:rPr>
        <w:t>希望增加扩大国家免疫规划项目资金投入。</w:t>
      </w:r>
    </w:p>
    <w:p w14:paraId="505E91C3">
      <w:pPr>
        <w:adjustRightInd w:val="0"/>
        <w:snapToGrid w:val="0"/>
        <w:spacing w:line="600" w:lineRule="exact"/>
        <w:ind w:firstLine="640" w:firstLineChars="200"/>
        <w:rPr>
          <w:rFonts w:ascii="仿宋_GB2312" w:hAnsi="宋体" w:eastAsia="仿宋_GB2312"/>
          <w:sz w:val="32"/>
          <w:szCs w:val="32"/>
          <w:lang w:val="zh-CN"/>
        </w:rPr>
      </w:pPr>
    </w:p>
    <w:p w14:paraId="28BA1802">
      <w:pPr>
        <w:pStyle w:val="7"/>
        <w:spacing w:before="93"/>
        <w:rPr>
          <w:lang w:val="zh-CN"/>
        </w:rPr>
      </w:pPr>
    </w:p>
    <w:p w14:paraId="21203C50">
      <w:pPr>
        <w:pStyle w:val="7"/>
        <w:spacing w:before="93"/>
        <w:rPr>
          <w:lang w:val="zh-CN"/>
        </w:rPr>
      </w:pPr>
    </w:p>
    <w:p w14:paraId="753B846F">
      <w:pPr>
        <w:pStyle w:val="7"/>
        <w:spacing w:before="93"/>
        <w:rPr>
          <w:lang w:val="zh-CN"/>
        </w:rPr>
      </w:pPr>
    </w:p>
    <w:p w14:paraId="6495E3A4">
      <w:pPr>
        <w:pStyle w:val="7"/>
        <w:spacing w:before="93"/>
        <w:rPr>
          <w:lang w:val="zh-CN"/>
        </w:rPr>
      </w:pPr>
    </w:p>
    <w:p w14:paraId="4A896074">
      <w:pPr>
        <w:pStyle w:val="7"/>
        <w:spacing w:before="93"/>
        <w:rPr>
          <w:lang w:val="zh-CN"/>
        </w:rPr>
      </w:pPr>
    </w:p>
    <w:p w14:paraId="471627D9">
      <w:pPr>
        <w:pStyle w:val="7"/>
        <w:spacing w:before="93"/>
        <w:rPr>
          <w:lang w:val="zh-CN"/>
        </w:rPr>
      </w:pPr>
    </w:p>
    <w:p w14:paraId="1588C80D">
      <w:pPr>
        <w:pStyle w:val="7"/>
        <w:spacing w:before="93"/>
        <w:rPr>
          <w:lang w:val="zh-CN"/>
        </w:rPr>
      </w:pPr>
    </w:p>
    <w:p w14:paraId="1EE8DEA2">
      <w:pPr>
        <w:pStyle w:val="7"/>
        <w:spacing w:before="93"/>
        <w:rPr>
          <w:lang w:val="zh-CN"/>
        </w:rPr>
      </w:pPr>
    </w:p>
    <w:p w14:paraId="055B578E">
      <w:pPr>
        <w:pStyle w:val="7"/>
        <w:spacing w:before="93"/>
        <w:rPr>
          <w:lang w:val="zh-CN"/>
        </w:rPr>
      </w:pPr>
    </w:p>
    <w:p w14:paraId="1D1E69B4">
      <w:pPr>
        <w:pStyle w:val="7"/>
        <w:spacing w:before="93"/>
        <w:rPr>
          <w:lang w:val="zh-CN"/>
        </w:rPr>
      </w:pPr>
    </w:p>
    <w:p w14:paraId="70F3119E">
      <w:pPr>
        <w:pStyle w:val="7"/>
        <w:spacing w:before="93"/>
        <w:rPr>
          <w:lang w:val="zh-CN"/>
        </w:rPr>
      </w:pPr>
    </w:p>
    <w:p w14:paraId="1556C975">
      <w:pPr>
        <w:pStyle w:val="7"/>
        <w:spacing w:before="93"/>
        <w:rPr>
          <w:lang w:val="zh-CN"/>
        </w:rPr>
      </w:pPr>
      <w:r>
        <w:rPr>
          <w:rFonts w:hint="eastAsia"/>
          <w:lang w:val="zh-CN"/>
        </w:rPr>
        <w:t>附表</w:t>
      </w:r>
    </w:p>
    <w:tbl>
      <w:tblPr>
        <w:tblStyle w:val="14"/>
        <w:tblW w:w="9429" w:type="dxa"/>
        <w:tblInd w:w="0" w:type="dxa"/>
        <w:tblLayout w:type="autofit"/>
        <w:tblCellMar>
          <w:top w:w="0" w:type="dxa"/>
          <w:left w:w="0" w:type="dxa"/>
          <w:bottom w:w="0" w:type="dxa"/>
          <w:right w:w="0" w:type="dxa"/>
        </w:tblCellMar>
      </w:tblPr>
      <w:tblGrid>
        <w:gridCol w:w="509"/>
        <w:gridCol w:w="509"/>
        <w:gridCol w:w="809"/>
        <w:gridCol w:w="51"/>
        <w:gridCol w:w="1617"/>
        <w:gridCol w:w="133"/>
        <w:gridCol w:w="946"/>
        <w:gridCol w:w="404"/>
        <w:gridCol w:w="984"/>
        <w:gridCol w:w="433"/>
        <w:gridCol w:w="477"/>
        <w:gridCol w:w="453"/>
        <w:gridCol w:w="2055"/>
        <w:gridCol w:w="49"/>
      </w:tblGrid>
      <w:tr w14:paraId="6CD72942">
        <w:tblPrEx>
          <w:tblCellMar>
            <w:top w:w="0" w:type="dxa"/>
            <w:left w:w="0" w:type="dxa"/>
            <w:bottom w:w="0" w:type="dxa"/>
            <w:right w:w="0" w:type="dxa"/>
          </w:tblCellMar>
        </w:tblPrEx>
        <w:trPr>
          <w:gridAfter w:val="1"/>
          <w:wAfter w:w="49" w:type="dxa"/>
          <w:trHeight w:val="600" w:hRule="atLeast"/>
        </w:trPr>
        <w:tc>
          <w:tcPr>
            <w:tcW w:w="9380" w:type="dxa"/>
            <w:gridSpan w:val="13"/>
            <w:tcBorders>
              <w:top w:val="nil"/>
              <w:left w:val="nil"/>
              <w:bottom w:val="nil"/>
              <w:right w:val="nil"/>
            </w:tcBorders>
            <w:shd w:val="clear" w:color="auto" w:fill="auto"/>
            <w:tcMar>
              <w:top w:w="10" w:type="dxa"/>
              <w:left w:w="10" w:type="dxa"/>
              <w:right w:w="10" w:type="dxa"/>
            </w:tcMar>
            <w:vAlign w:val="center"/>
          </w:tcPr>
          <w:p w14:paraId="5BF63AF8">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rPr>
              <w:t xml:space="preserve">基本公共卫生转移支付区域（项目）绩效目标自评表 </w:t>
            </w:r>
          </w:p>
        </w:tc>
      </w:tr>
      <w:tr w14:paraId="02A5AEF3">
        <w:tblPrEx>
          <w:tblCellMar>
            <w:top w:w="0" w:type="dxa"/>
            <w:left w:w="0" w:type="dxa"/>
            <w:bottom w:w="0" w:type="dxa"/>
            <w:right w:w="0" w:type="dxa"/>
          </w:tblCellMar>
        </w:tblPrEx>
        <w:trPr>
          <w:gridAfter w:val="1"/>
          <w:wAfter w:w="49" w:type="dxa"/>
          <w:trHeight w:val="340" w:hRule="atLeast"/>
        </w:trPr>
        <w:tc>
          <w:tcPr>
            <w:tcW w:w="9380" w:type="dxa"/>
            <w:gridSpan w:val="13"/>
            <w:tcBorders>
              <w:top w:val="nil"/>
              <w:left w:val="nil"/>
              <w:bottom w:val="single" w:color="000000" w:sz="4" w:space="0"/>
              <w:right w:val="nil"/>
            </w:tcBorders>
            <w:shd w:val="clear" w:color="auto" w:fill="auto"/>
            <w:tcMar>
              <w:top w:w="10" w:type="dxa"/>
              <w:left w:w="10" w:type="dxa"/>
              <w:right w:w="10" w:type="dxa"/>
            </w:tcMar>
          </w:tcPr>
          <w:p w14:paraId="04144774">
            <w:pPr>
              <w:widowControl/>
              <w:jc w:val="center"/>
              <w:textAlignment w:val="top"/>
              <w:rPr>
                <w:rFonts w:ascii="宋体" w:hAnsi="宋体" w:cs="宋体"/>
                <w:color w:val="000000"/>
                <w:sz w:val="22"/>
                <w:szCs w:val="22"/>
              </w:rPr>
            </w:pPr>
            <w:r>
              <w:rPr>
                <w:rFonts w:hint="eastAsia" w:ascii="宋体" w:hAnsi="宋体" w:cs="宋体"/>
                <w:color w:val="000000"/>
                <w:kern w:val="0"/>
                <w:sz w:val="22"/>
                <w:szCs w:val="22"/>
              </w:rPr>
              <w:t>（2021年度）</w:t>
            </w:r>
          </w:p>
        </w:tc>
      </w:tr>
      <w:tr w14:paraId="1113CCDA">
        <w:tblPrEx>
          <w:tblCellMar>
            <w:top w:w="0" w:type="dxa"/>
            <w:left w:w="0" w:type="dxa"/>
            <w:bottom w:w="0" w:type="dxa"/>
            <w:right w:w="0" w:type="dxa"/>
          </w:tblCellMar>
        </w:tblPrEx>
        <w:trPr>
          <w:gridAfter w:val="1"/>
          <w:wAfter w:w="49" w:type="dxa"/>
          <w:trHeight w:val="552" w:hRule="atLeast"/>
        </w:trPr>
        <w:tc>
          <w:tcPr>
            <w:tcW w:w="1827"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67C6B6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转移支付（项目）名称</w:t>
            </w:r>
          </w:p>
        </w:tc>
        <w:tc>
          <w:tcPr>
            <w:tcW w:w="7553" w:type="dxa"/>
            <w:gridSpan w:val="10"/>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45B6CE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基本公共卫生服务资金</w:t>
            </w:r>
          </w:p>
        </w:tc>
      </w:tr>
      <w:tr w14:paraId="4E9A6B6A">
        <w:tblPrEx>
          <w:tblCellMar>
            <w:top w:w="0" w:type="dxa"/>
            <w:left w:w="0" w:type="dxa"/>
            <w:bottom w:w="0" w:type="dxa"/>
            <w:right w:w="0" w:type="dxa"/>
          </w:tblCellMar>
        </w:tblPrEx>
        <w:trPr>
          <w:gridAfter w:val="1"/>
          <w:wAfter w:w="49" w:type="dxa"/>
          <w:trHeight w:val="323" w:hRule="atLeast"/>
        </w:trPr>
        <w:tc>
          <w:tcPr>
            <w:tcW w:w="1827"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7C9F68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中央主管部门</w:t>
            </w:r>
          </w:p>
        </w:tc>
        <w:tc>
          <w:tcPr>
            <w:tcW w:w="7553" w:type="dxa"/>
            <w:gridSpan w:val="10"/>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DC6D6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国家卫健委</w:t>
            </w:r>
          </w:p>
        </w:tc>
      </w:tr>
      <w:tr w14:paraId="618A34CE">
        <w:tblPrEx>
          <w:tblCellMar>
            <w:top w:w="0" w:type="dxa"/>
            <w:left w:w="0" w:type="dxa"/>
            <w:bottom w:w="0" w:type="dxa"/>
            <w:right w:w="0" w:type="dxa"/>
          </w:tblCellMar>
        </w:tblPrEx>
        <w:trPr>
          <w:gridAfter w:val="1"/>
          <w:wAfter w:w="49" w:type="dxa"/>
          <w:trHeight w:val="323" w:hRule="atLeast"/>
        </w:trPr>
        <w:tc>
          <w:tcPr>
            <w:tcW w:w="1827"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742BD5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地方主管部门</w:t>
            </w: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82F8D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广元市昭化区卫健局</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65909D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资金使用单位</w:t>
            </w:r>
          </w:p>
        </w:tc>
        <w:tc>
          <w:tcPr>
            <w:tcW w:w="3418"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87A013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基层医疗卫生机构</w:t>
            </w:r>
          </w:p>
        </w:tc>
      </w:tr>
      <w:tr w14:paraId="5978F0F4">
        <w:tblPrEx>
          <w:tblCellMar>
            <w:top w:w="0" w:type="dxa"/>
            <w:left w:w="0" w:type="dxa"/>
            <w:bottom w:w="0" w:type="dxa"/>
            <w:right w:w="0" w:type="dxa"/>
          </w:tblCellMar>
        </w:tblPrEx>
        <w:trPr>
          <w:gridAfter w:val="1"/>
          <w:wAfter w:w="49" w:type="dxa"/>
          <w:trHeight w:val="323" w:hRule="atLeast"/>
        </w:trPr>
        <w:tc>
          <w:tcPr>
            <w:tcW w:w="182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AAA117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资金情况</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（万元）</w:t>
            </w:r>
          </w:p>
        </w:tc>
        <w:tc>
          <w:tcPr>
            <w:tcW w:w="166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BA676A1">
            <w:pPr>
              <w:rPr>
                <w:rFonts w:ascii="宋体" w:hAnsi="宋体" w:cs="宋体"/>
                <w:color w:val="000000"/>
                <w:sz w:val="18"/>
                <w:szCs w:val="18"/>
              </w:rPr>
            </w:pPr>
          </w:p>
        </w:tc>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83B6A8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全年预算数（A）</w:t>
            </w:r>
          </w:p>
        </w:tc>
        <w:tc>
          <w:tcPr>
            <w:tcW w:w="2298"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23B8E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全年执行数（B）</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2FB9BD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预算执行率（B/A)</w:t>
            </w:r>
          </w:p>
        </w:tc>
      </w:tr>
      <w:tr w14:paraId="034CCC6E">
        <w:tblPrEx>
          <w:tblCellMar>
            <w:top w:w="0" w:type="dxa"/>
            <w:left w:w="0" w:type="dxa"/>
            <w:bottom w:w="0" w:type="dxa"/>
            <w:right w:w="0" w:type="dxa"/>
          </w:tblCellMar>
        </w:tblPrEx>
        <w:trPr>
          <w:gridAfter w:val="1"/>
          <w:wAfter w:w="49" w:type="dxa"/>
          <w:trHeight w:val="323" w:hRule="atLeast"/>
        </w:trPr>
        <w:tc>
          <w:tcPr>
            <w:tcW w:w="182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E7BA5BD">
            <w:pPr>
              <w:jc w:val="center"/>
              <w:rPr>
                <w:rFonts w:ascii="宋体" w:hAnsi="宋体" w:cs="宋体"/>
                <w:color w:val="000000"/>
                <w:sz w:val="18"/>
                <w:szCs w:val="18"/>
              </w:rPr>
            </w:pPr>
          </w:p>
        </w:tc>
        <w:tc>
          <w:tcPr>
            <w:tcW w:w="166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892CAF3">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年度资金总额：</w:t>
            </w:r>
          </w:p>
        </w:tc>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9C4918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1426.94</w:t>
            </w:r>
          </w:p>
        </w:tc>
        <w:tc>
          <w:tcPr>
            <w:tcW w:w="2298"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DE1B6A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1434.92</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59237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100.56%</w:t>
            </w:r>
          </w:p>
        </w:tc>
      </w:tr>
      <w:tr w14:paraId="0B56EB03">
        <w:tblPrEx>
          <w:tblCellMar>
            <w:top w:w="0" w:type="dxa"/>
            <w:left w:w="0" w:type="dxa"/>
            <w:bottom w:w="0" w:type="dxa"/>
            <w:right w:w="0" w:type="dxa"/>
          </w:tblCellMar>
        </w:tblPrEx>
        <w:trPr>
          <w:gridAfter w:val="1"/>
          <w:wAfter w:w="49" w:type="dxa"/>
          <w:trHeight w:val="323" w:hRule="atLeast"/>
        </w:trPr>
        <w:tc>
          <w:tcPr>
            <w:tcW w:w="182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94E9955">
            <w:pPr>
              <w:jc w:val="center"/>
              <w:rPr>
                <w:rFonts w:ascii="宋体" w:hAnsi="宋体" w:cs="宋体"/>
                <w:color w:val="000000"/>
                <w:sz w:val="18"/>
                <w:szCs w:val="18"/>
              </w:rPr>
            </w:pPr>
          </w:p>
        </w:tc>
        <w:tc>
          <w:tcPr>
            <w:tcW w:w="166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15BE8A8">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其中：中央财政资金</w:t>
            </w:r>
          </w:p>
        </w:tc>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CDE950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1206.89</w:t>
            </w:r>
          </w:p>
        </w:tc>
        <w:tc>
          <w:tcPr>
            <w:tcW w:w="2298"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EB82E0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1206.89</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11493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100%</w:t>
            </w:r>
          </w:p>
        </w:tc>
      </w:tr>
      <w:tr w14:paraId="2939FA9E">
        <w:tblPrEx>
          <w:tblCellMar>
            <w:top w:w="0" w:type="dxa"/>
            <w:left w:w="0" w:type="dxa"/>
            <w:bottom w:w="0" w:type="dxa"/>
            <w:right w:w="0" w:type="dxa"/>
          </w:tblCellMar>
        </w:tblPrEx>
        <w:trPr>
          <w:gridAfter w:val="1"/>
          <w:wAfter w:w="49" w:type="dxa"/>
          <w:trHeight w:val="323" w:hRule="atLeast"/>
        </w:trPr>
        <w:tc>
          <w:tcPr>
            <w:tcW w:w="182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4EABE61">
            <w:pPr>
              <w:jc w:val="center"/>
              <w:rPr>
                <w:rFonts w:ascii="宋体" w:hAnsi="宋体" w:cs="宋体"/>
                <w:color w:val="000000"/>
                <w:sz w:val="18"/>
                <w:szCs w:val="18"/>
              </w:rPr>
            </w:pPr>
          </w:p>
        </w:tc>
        <w:tc>
          <w:tcPr>
            <w:tcW w:w="166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895FF7">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地方资金</w:t>
            </w:r>
          </w:p>
        </w:tc>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CF5832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220.05</w:t>
            </w:r>
          </w:p>
        </w:tc>
        <w:tc>
          <w:tcPr>
            <w:tcW w:w="2298"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4AF35A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228.03</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FF209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100.56%</w:t>
            </w:r>
          </w:p>
        </w:tc>
      </w:tr>
      <w:tr w14:paraId="39C2EFE5">
        <w:tblPrEx>
          <w:tblCellMar>
            <w:top w:w="0" w:type="dxa"/>
            <w:left w:w="0" w:type="dxa"/>
            <w:bottom w:w="0" w:type="dxa"/>
            <w:right w:w="0" w:type="dxa"/>
          </w:tblCellMar>
        </w:tblPrEx>
        <w:trPr>
          <w:gridAfter w:val="1"/>
          <w:wAfter w:w="49" w:type="dxa"/>
          <w:trHeight w:val="323" w:hRule="atLeast"/>
        </w:trPr>
        <w:tc>
          <w:tcPr>
            <w:tcW w:w="182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12B68F1">
            <w:pPr>
              <w:jc w:val="center"/>
              <w:rPr>
                <w:rFonts w:ascii="宋体" w:hAnsi="宋体" w:cs="宋体"/>
                <w:color w:val="000000"/>
                <w:sz w:val="18"/>
                <w:szCs w:val="18"/>
              </w:rPr>
            </w:pPr>
          </w:p>
        </w:tc>
        <w:tc>
          <w:tcPr>
            <w:tcW w:w="166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EC50D6">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其他资金</w:t>
            </w:r>
          </w:p>
        </w:tc>
        <w:tc>
          <w:tcPr>
            <w:tcW w:w="1079"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DC7BA68">
            <w:pPr>
              <w:jc w:val="center"/>
              <w:rPr>
                <w:rFonts w:ascii="宋体" w:hAnsi="宋体" w:cs="宋体"/>
                <w:color w:val="000000"/>
                <w:sz w:val="18"/>
                <w:szCs w:val="18"/>
              </w:rPr>
            </w:pPr>
          </w:p>
        </w:tc>
        <w:tc>
          <w:tcPr>
            <w:tcW w:w="2298"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E761693">
            <w:pPr>
              <w:jc w:val="center"/>
              <w:rPr>
                <w:rFonts w:ascii="宋体" w:hAnsi="宋体" w:cs="宋体"/>
                <w:color w:val="000000"/>
                <w:sz w:val="18"/>
                <w:szCs w:val="18"/>
              </w:rPr>
            </w:pP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8E47AD2">
            <w:pPr>
              <w:jc w:val="left"/>
              <w:rPr>
                <w:rFonts w:ascii="宋体" w:hAnsi="宋体" w:cs="宋体"/>
                <w:color w:val="000000"/>
                <w:sz w:val="18"/>
                <w:szCs w:val="18"/>
              </w:rPr>
            </w:pPr>
          </w:p>
        </w:tc>
      </w:tr>
      <w:tr w14:paraId="491E67FC">
        <w:tblPrEx>
          <w:tblCellMar>
            <w:top w:w="0" w:type="dxa"/>
            <w:left w:w="0" w:type="dxa"/>
            <w:bottom w:w="0" w:type="dxa"/>
            <w:right w:w="0" w:type="dxa"/>
          </w:tblCellMar>
        </w:tblPrEx>
        <w:trPr>
          <w:gridAfter w:val="1"/>
          <w:wAfter w:w="49" w:type="dxa"/>
          <w:trHeight w:val="323" w:hRule="atLeast"/>
        </w:trPr>
        <w:tc>
          <w:tcPr>
            <w:tcW w:w="50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120796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总体目标完成情况</w:t>
            </w:r>
          </w:p>
        </w:tc>
        <w:tc>
          <w:tcPr>
            <w:tcW w:w="4065" w:type="dxa"/>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4913FF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总体目标</w:t>
            </w:r>
          </w:p>
        </w:tc>
        <w:tc>
          <w:tcPr>
            <w:tcW w:w="4806" w:type="dxa"/>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631960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全年实际完成情况</w:t>
            </w:r>
          </w:p>
        </w:tc>
      </w:tr>
      <w:tr w14:paraId="4010AA8D">
        <w:tblPrEx>
          <w:tblCellMar>
            <w:top w:w="0" w:type="dxa"/>
            <w:left w:w="0" w:type="dxa"/>
            <w:bottom w:w="0" w:type="dxa"/>
            <w:right w:w="0" w:type="dxa"/>
          </w:tblCellMar>
        </w:tblPrEx>
        <w:trPr>
          <w:gridAfter w:val="1"/>
          <w:wAfter w:w="49" w:type="dxa"/>
          <w:trHeight w:val="306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42C0393">
            <w:pPr>
              <w:jc w:val="center"/>
              <w:rPr>
                <w:rFonts w:ascii="宋体" w:hAnsi="宋体" w:cs="宋体"/>
                <w:color w:val="000000"/>
                <w:sz w:val="18"/>
                <w:szCs w:val="18"/>
              </w:rPr>
            </w:pPr>
          </w:p>
        </w:tc>
        <w:tc>
          <w:tcPr>
            <w:tcW w:w="4065" w:type="dxa"/>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6849E71">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1:免费向全区18.7万常住城乡居民提供12类国家基本公共卫生服务；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2、开展对重点疾病及危害因素检测，有效控制疾病流行，为制定相关政策提供科学依据；</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3、助力国家脱贫攻坚，保持重点地方病防治措施全面落实。</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4、开展职业病检测，最大限度地保护放射工作人员，患者和公众的健康权益。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5、同时推进妇幼健康、健康素养促进、医养结合和老年健康服务、卫生应急、计划生育等方面工作。</w:t>
            </w:r>
          </w:p>
        </w:tc>
        <w:tc>
          <w:tcPr>
            <w:tcW w:w="4806" w:type="dxa"/>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AF6DF6F">
            <w:pPr>
              <w:widowControl/>
              <w:spacing w:after="180"/>
              <w:jc w:val="left"/>
              <w:textAlignment w:val="center"/>
              <w:rPr>
                <w:rFonts w:ascii="宋体" w:hAnsi="宋体" w:cs="宋体"/>
                <w:color w:val="000000"/>
                <w:sz w:val="18"/>
                <w:szCs w:val="18"/>
              </w:rPr>
            </w:pPr>
            <w:r>
              <w:rPr>
                <w:rFonts w:hint="eastAsia" w:ascii="宋体" w:hAnsi="宋体" w:cs="宋体"/>
                <w:color w:val="000000"/>
                <w:kern w:val="0"/>
                <w:sz w:val="18"/>
                <w:szCs w:val="18"/>
              </w:rPr>
              <w:t>1.全区承担基本公共卫生项目基层医疗卫生机构免费为辖区居民提供12类基本公共卫生服务。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2.开展对重点疾病及危害因素监测，有效控制疾病流行，为制定相关政策提供科学依据。重点疾病监测项目完成相应指标。</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3.助力国家脱贫攻坚，保持重点地方病防治措施全面落实。完成地方病监测任务。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4.全面完成职业病监测各项任务。最大限度地保护放射工作人员、患者和公众的健康权益。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5.推进妇幼健康、健康素养促进、医养结合和老年健康服务、卫生应急、计划生育等方面工作，确保各项指标达标及工作落实。</w:t>
            </w:r>
          </w:p>
        </w:tc>
      </w:tr>
      <w:tr w14:paraId="16C2B96F">
        <w:tblPrEx>
          <w:tblCellMar>
            <w:top w:w="0" w:type="dxa"/>
            <w:left w:w="0" w:type="dxa"/>
            <w:bottom w:w="0" w:type="dxa"/>
            <w:right w:w="0" w:type="dxa"/>
          </w:tblCellMar>
        </w:tblPrEx>
        <w:trPr>
          <w:gridAfter w:val="1"/>
          <w:wAfter w:w="49" w:type="dxa"/>
          <w:trHeight w:val="522" w:hRule="atLeast"/>
        </w:trPr>
        <w:tc>
          <w:tcPr>
            <w:tcW w:w="50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7193385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绩效指标</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2AAA32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一级</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指标</w:t>
            </w: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EFB0B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二级指标</w:t>
            </w: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A84437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三级指标</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15B794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指标值</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EEFCDB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全年实际完成值</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F26407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未完成原因和改进措施</w:t>
            </w:r>
          </w:p>
        </w:tc>
      </w:tr>
      <w:tr w14:paraId="12740F4D">
        <w:tblPrEx>
          <w:tblCellMar>
            <w:top w:w="0" w:type="dxa"/>
            <w:left w:w="0" w:type="dxa"/>
            <w:bottom w:w="0" w:type="dxa"/>
            <w:right w:w="0" w:type="dxa"/>
          </w:tblCellMar>
        </w:tblPrEx>
        <w:trPr>
          <w:gridAfter w:val="1"/>
          <w:wAfter w:w="49" w:type="dxa"/>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0C8E7EDE">
            <w:pPr>
              <w:jc w:val="center"/>
              <w:rPr>
                <w:rFonts w:ascii="宋体" w:hAnsi="宋体" w:cs="宋体"/>
                <w:color w:val="000000"/>
                <w:sz w:val="18"/>
                <w:szCs w:val="18"/>
              </w:rPr>
            </w:pPr>
          </w:p>
        </w:tc>
        <w:tc>
          <w:tcPr>
            <w:tcW w:w="50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889F38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产</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出</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指</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标</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185B04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数量指标</w:t>
            </w: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26AEF0D">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适龄儿童国家免疫规划疫苗接种率</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B88788B">
            <w:pPr>
              <w:widowControl/>
              <w:jc w:val="center"/>
              <w:textAlignment w:val="center"/>
              <w:rPr>
                <w:rFonts w:ascii="Arial" w:hAnsi="Arial" w:cs="Arial"/>
                <w:color w:val="000000"/>
                <w:sz w:val="18"/>
                <w:szCs w:val="18"/>
              </w:rPr>
            </w:pPr>
            <w:r>
              <w:rPr>
                <w:rFonts w:ascii="Arial" w:hAnsi="Arial" w:cs="Arial"/>
                <w:color w:val="000000"/>
                <w:kern w:val="0"/>
                <w:sz w:val="18"/>
                <w:szCs w:val="18"/>
              </w:rPr>
              <w:t>≥</w:t>
            </w:r>
            <w:r>
              <w:rPr>
                <w:rFonts w:hint="eastAsia" w:ascii="宋体" w:hAnsi="宋体" w:cs="宋体"/>
                <w:color w:val="000000"/>
                <w:kern w:val="0"/>
                <w:sz w:val="18"/>
                <w:szCs w:val="18"/>
              </w:rPr>
              <w:t>90%</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FB355E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98%</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B9DA1CB">
            <w:pPr>
              <w:jc w:val="left"/>
              <w:rPr>
                <w:rFonts w:ascii="宋体" w:hAnsi="宋体" w:cs="宋体"/>
                <w:color w:val="000000"/>
                <w:sz w:val="18"/>
                <w:szCs w:val="18"/>
              </w:rPr>
            </w:pPr>
            <w:r>
              <w:rPr>
                <w:rFonts w:hint="eastAsia" w:ascii="宋体" w:hAnsi="宋体" w:cs="宋体"/>
                <w:color w:val="000000"/>
                <w:sz w:val="18"/>
                <w:szCs w:val="18"/>
              </w:rPr>
              <w:t>完成</w:t>
            </w:r>
          </w:p>
        </w:tc>
      </w:tr>
      <w:tr w14:paraId="3E7D26F3">
        <w:tblPrEx>
          <w:tblCellMar>
            <w:top w:w="0" w:type="dxa"/>
            <w:left w:w="0" w:type="dxa"/>
            <w:bottom w:w="0" w:type="dxa"/>
            <w:right w:w="0" w:type="dxa"/>
          </w:tblCellMar>
        </w:tblPrEx>
        <w:trPr>
          <w:gridAfter w:val="1"/>
          <w:wAfter w:w="49" w:type="dxa"/>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7186B8EA">
            <w:pPr>
              <w:jc w:val="center"/>
              <w:rPr>
                <w:rFonts w:ascii="宋体" w:hAnsi="宋体" w:cs="宋体"/>
                <w:color w:val="000000"/>
                <w:sz w:val="18"/>
                <w:szCs w:val="18"/>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75FC253">
            <w:pPr>
              <w:jc w:val="center"/>
              <w:rPr>
                <w:rFonts w:ascii="宋体" w:hAnsi="宋体" w:cs="宋体"/>
                <w:color w:val="000000"/>
                <w:sz w:val="18"/>
                <w:szCs w:val="18"/>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6E1047">
            <w:pPr>
              <w:jc w:val="center"/>
              <w:rPr>
                <w:rFonts w:ascii="宋体" w:hAnsi="宋体" w:cs="宋体"/>
                <w:color w:val="000000"/>
                <w:sz w:val="18"/>
                <w:szCs w:val="18"/>
              </w:rPr>
            </w:pP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6BA88A4">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7岁以下儿童健康管理率</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78BFA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≥85%</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A4406B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92.60%</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FF3DA87">
            <w:pPr>
              <w:jc w:val="left"/>
              <w:rPr>
                <w:rFonts w:ascii="宋体" w:hAnsi="宋体" w:cs="宋体"/>
                <w:color w:val="000000"/>
                <w:sz w:val="18"/>
                <w:szCs w:val="18"/>
              </w:rPr>
            </w:pPr>
            <w:r>
              <w:rPr>
                <w:rFonts w:hint="eastAsia" w:ascii="宋体" w:hAnsi="宋体" w:cs="宋体"/>
                <w:color w:val="000000"/>
                <w:sz w:val="18"/>
                <w:szCs w:val="18"/>
              </w:rPr>
              <w:t>完成</w:t>
            </w:r>
          </w:p>
        </w:tc>
      </w:tr>
      <w:tr w14:paraId="54E1324B">
        <w:tblPrEx>
          <w:tblCellMar>
            <w:top w:w="0" w:type="dxa"/>
            <w:left w:w="0" w:type="dxa"/>
            <w:bottom w:w="0" w:type="dxa"/>
            <w:right w:w="0" w:type="dxa"/>
          </w:tblCellMar>
        </w:tblPrEx>
        <w:trPr>
          <w:gridAfter w:val="1"/>
          <w:wAfter w:w="49" w:type="dxa"/>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29A0A315">
            <w:pPr>
              <w:jc w:val="center"/>
              <w:rPr>
                <w:rFonts w:ascii="宋体" w:hAnsi="宋体" w:cs="宋体"/>
                <w:color w:val="000000"/>
                <w:sz w:val="18"/>
                <w:szCs w:val="18"/>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C080A67">
            <w:pPr>
              <w:jc w:val="center"/>
              <w:rPr>
                <w:rFonts w:ascii="宋体" w:hAnsi="宋体" w:cs="宋体"/>
                <w:color w:val="000000"/>
                <w:sz w:val="18"/>
                <w:szCs w:val="18"/>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CF596EC">
            <w:pPr>
              <w:jc w:val="center"/>
              <w:rPr>
                <w:rFonts w:ascii="宋体" w:hAnsi="宋体" w:cs="宋体"/>
                <w:color w:val="000000"/>
                <w:sz w:val="18"/>
                <w:szCs w:val="18"/>
              </w:rPr>
            </w:pP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F0EFBC8">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孕产妇系统管理率</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CDA7BB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≥85%</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A8601A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98%</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6954A17">
            <w:pPr>
              <w:jc w:val="left"/>
              <w:rPr>
                <w:rFonts w:ascii="宋体" w:hAnsi="宋体" w:cs="宋体"/>
                <w:color w:val="000000"/>
                <w:sz w:val="18"/>
                <w:szCs w:val="18"/>
              </w:rPr>
            </w:pPr>
            <w:r>
              <w:rPr>
                <w:rFonts w:hint="eastAsia" w:ascii="宋体" w:hAnsi="宋体" w:cs="宋体"/>
                <w:color w:val="000000"/>
                <w:sz w:val="18"/>
                <w:szCs w:val="18"/>
              </w:rPr>
              <w:t>完成</w:t>
            </w:r>
          </w:p>
        </w:tc>
      </w:tr>
      <w:tr w14:paraId="74CA691E">
        <w:tblPrEx>
          <w:tblCellMar>
            <w:top w:w="0" w:type="dxa"/>
            <w:left w:w="0" w:type="dxa"/>
            <w:bottom w:w="0" w:type="dxa"/>
            <w:right w:w="0" w:type="dxa"/>
          </w:tblCellMar>
        </w:tblPrEx>
        <w:trPr>
          <w:gridAfter w:val="1"/>
          <w:wAfter w:w="49" w:type="dxa"/>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75694A95">
            <w:pPr>
              <w:jc w:val="center"/>
              <w:rPr>
                <w:rFonts w:ascii="宋体" w:hAnsi="宋体" w:cs="宋体"/>
                <w:color w:val="000000"/>
                <w:sz w:val="18"/>
                <w:szCs w:val="18"/>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2AF8A96">
            <w:pPr>
              <w:jc w:val="center"/>
              <w:rPr>
                <w:rFonts w:ascii="宋体" w:hAnsi="宋体" w:cs="宋体"/>
                <w:color w:val="000000"/>
                <w:sz w:val="18"/>
                <w:szCs w:val="18"/>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4DA8E12">
            <w:pPr>
              <w:jc w:val="center"/>
              <w:rPr>
                <w:rFonts w:ascii="宋体" w:hAnsi="宋体" w:cs="宋体"/>
                <w:color w:val="000000"/>
                <w:sz w:val="18"/>
                <w:szCs w:val="18"/>
              </w:rPr>
            </w:pP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6E6B1A7">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老年人健康管理率</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BB67BC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≥69%</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8307A4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69.95%</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8CA0CE4">
            <w:pPr>
              <w:jc w:val="left"/>
              <w:rPr>
                <w:rFonts w:ascii="宋体" w:hAnsi="宋体" w:cs="宋体"/>
                <w:color w:val="000000"/>
                <w:sz w:val="18"/>
                <w:szCs w:val="18"/>
              </w:rPr>
            </w:pPr>
            <w:r>
              <w:rPr>
                <w:rFonts w:hint="eastAsia" w:ascii="宋体" w:hAnsi="宋体" w:cs="宋体"/>
                <w:color w:val="000000"/>
                <w:sz w:val="18"/>
                <w:szCs w:val="18"/>
              </w:rPr>
              <w:t>完成</w:t>
            </w:r>
          </w:p>
        </w:tc>
      </w:tr>
      <w:tr w14:paraId="7F8D7CF7">
        <w:tblPrEx>
          <w:tblCellMar>
            <w:top w:w="0" w:type="dxa"/>
            <w:left w:w="0" w:type="dxa"/>
            <w:bottom w:w="0" w:type="dxa"/>
            <w:right w:w="0" w:type="dxa"/>
          </w:tblCellMar>
        </w:tblPrEx>
        <w:trPr>
          <w:gridAfter w:val="1"/>
          <w:wAfter w:w="49" w:type="dxa"/>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591F5EB0">
            <w:pPr>
              <w:jc w:val="center"/>
              <w:rPr>
                <w:rFonts w:ascii="宋体" w:hAnsi="宋体" w:cs="宋体"/>
                <w:color w:val="000000"/>
                <w:sz w:val="18"/>
                <w:szCs w:val="18"/>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25CA86A">
            <w:pPr>
              <w:jc w:val="center"/>
              <w:rPr>
                <w:rFonts w:ascii="宋体" w:hAnsi="宋体" w:cs="宋体"/>
                <w:color w:val="000000"/>
                <w:sz w:val="18"/>
                <w:szCs w:val="18"/>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0FD5F50">
            <w:pPr>
              <w:jc w:val="center"/>
              <w:rPr>
                <w:rFonts w:ascii="宋体" w:hAnsi="宋体" w:cs="宋体"/>
                <w:color w:val="000000"/>
                <w:sz w:val="18"/>
                <w:szCs w:val="18"/>
              </w:rPr>
            </w:pP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6617B21">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高血压患者管理人数</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745C84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1.1709万人</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5236B4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1.34万人</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A3FB7D9">
            <w:pPr>
              <w:jc w:val="left"/>
              <w:rPr>
                <w:rFonts w:ascii="宋体" w:hAnsi="宋体" w:cs="宋体"/>
                <w:color w:val="000000"/>
                <w:sz w:val="18"/>
                <w:szCs w:val="18"/>
              </w:rPr>
            </w:pPr>
            <w:r>
              <w:rPr>
                <w:rFonts w:hint="eastAsia" w:ascii="宋体" w:hAnsi="宋体" w:cs="宋体"/>
                <w:color w:val="000000"/>
                <w:sz w:val="18"/>
                <w:szCs w:val="18"/>
              </w:rPr>
              <w:t>完成</w:t>
            </w:r>
          </w:p>
        </w:tc>
      </w:tr>
      <w:tr w14:paraId="37E818C8">
        <w:tblPrEx>
          <w:tblCellMar>
            <w:top w:w="0" w:type="dxa"/>
            <w:left w:w="0" w:type="dxa"/>
            <w:bottom w:w="0" w:type="dxa"/>
            <w:right w:w="0" w:type="dxa"/>
          </w:tblCellMar>
        </w:tblPrEx>
        <w:trPr>
          <w:gridAfter w:val="1"/>
          <w:wAfter w:w="49" w:type="dxa"/>
          <w:trHeight w:val="144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5CD31866">
            <w:pPr>
              <w:jc w:val="center"/>
              <w:rPr>
                <w:rFonts w:ascii="宋体" w:hAnsi="宋体" w:cs="宋体"/>
                <w:color w:val="000000"/>
                <w:sz w:val="18"/>
                <w:szCs w:val="18"/>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3816B31">
            <w:pPr>
              <w:jc w:val="center"/>
              <w:rPr>
                <w:rFonts w:ascii="宋体" w:hAnsi="宋体" w:cs="宋体"/>
                <w:color w:val="000000"/>
                <w:sz w:val="18"/>
                <w:szCs w:val="18"/>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F60A035">
            <w:pPr>
              <w:jc w:val="center"/>
              <w:rPr>
                <w:rFonts w:ascii="宋体" w:hAnsi="宋体" w:cs="宋体"/>
                <w:color w:val="000000"/>
                <w:sz w:val="18"/>
                <w:szCs w:val="18"/>
              </w:rPr>
            </w:pP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E0C6ACC">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2型糖尿病患者管理人数</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21D80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0.3496万人</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0D142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0.2488万人</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639F95">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未完成原因：2型糖尿病患者流动较大，外出较多，导致管理人数不达标。</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改进措施：加大对本辖区常住人口筛查力度、利用上级慢病流转信息，提高管理人数。</w:t>
            </w:r>
          </w:p>
        </w:tc>
      </w:tr>
      <w:tr w14:paraId="36C471B6">
        <w:tblPrEx>
          <w:tblCellMar>
            <w:top w:w="0" w:type="dxa"/>
            <w:left w:w="0" w:type="dxa"/>
            <w:bottom w:w="0" w:type="dxa"/>
            <w:right w:w="0" w:type="dxa"/>
          </w:tblCellMar>
        </w:tblPrEx>
        <w:trPr>
          <w:gridAfter w:val="1"/>
          <w:wAfter w:w="49" w:type="dxa"/>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713545F3">
            <w:pPr>
              <w:jc w:val="center"/>
              <w:rPr>
                <w:rFonts w:ascii="宋体" w:hAnsi="宋体" w:cs="宋体"/>
                <w:color w:val="000000"/>
                <w:sz w:val="18"/>
                <w:szCs w:val="18"/>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BBF5623">
            <w:pPr>
              <w:jc w:val="center"/>
              <w:rPr>
                <w:rFonts w:ascii="宋体" w:hAnsi="宋体" w:cs="宋体"/>
                <w:color w:val="000000"/>
                <w:sz w:val="18"/>
                <w:szCs w:val="18"/>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718A4A9">
            <w:pPr>
              <w:jc w:val="center"/>
              <w:rPr>
                <w:rFonts w:ascii="宋体" w:hAnsi="宋体" w:cs="宋体"/>
                <w:color w:val="000000"/>
                <w:sz w:val="18"/>
                <w:szCs w:val="18"/>
              </w:rPr>
            </w:pP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6DC3046">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老年人中医药健康管理率</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379675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85758C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77.43%</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7AFA91D">
            <w:pPr>
              <w:jc w:val="center"/>
              <w:rPr>
                <w:rFonts w:ascii="宋体" w:hAnsi="宋体" w:cs="宋体"/>
                <w:color w:val="000000"/>
                <w:sz w:val="18"/>
                <w:szCs w:val="18"/>
              </w:rPr>
            </w:pPr>
            <w:r>
              <w:rPr>
                <w:rFonts w:hint="eastAsia" w:ascii="宋体" w:hAnsi="宋体" w:cs="宋体"/>
                <w:color w:val="000000"/>
                <w:sz w:val="18"/>
                <w:szCs w:val="18"/>
              </w:rPr>
              <w:t>完成</w:t>
            </w:r>
          </w:p>
        </w:tc>
      </w:tr>
      <w:tr w14:paraId="4EF1E785">
        <w:tblPrEx>
          <w:tblCellMar>
            <w:top w:w="0" w:type="dxa"/>
            <w:left w:w="0" w:type="dxa"/>
            <w:bottom w:w="0" w:type="dxa"/>
            <w:right w:w="0" w:type="dxa"/>
          </w:tblCellMar>
        </w:tblPrEx>
        <w:trPr>
          <w:gridAfter w:val="1"/>
          <w:wAfter w:w="49" w:type="dxa"/>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7A734ACE">
            <w:pPr>
              <w:jc w:val="center"/>
              <w:rPr>
                <w:rFonts w:ascii="宋体" w:hAnsi="宋体" w:cs="宋体"/>
                <w:color w:val="000000"/>
                <w:sz w:val="18"/>
                <w:szCs w:val="18"/>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08E9C02">
            <w:pPr>
              <w:jc w:val="center"/>
              <w:rPr>
                <w:rFonts w:ascii="宋体" w:hAnsi="宋体" w:cs="宋体"/>
                <w:color w:val="000000"/>
                <w:sz w:val="18"/>
                <w:szCs w:val="18"/>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710EFF4">
            <w:pPr>
              <w:jc w:val="center"/>
              <w:rPr>
                <w:rFonts w:ascii="宋体" w:hAnsi="宋体" w:cs="宋体"/>
                <w:color w:val="000000"/>
                <w:sz w:val="18"/>
                <w:szCs w:val="18"/>
              </w:rPr>
            </w:pP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F704FA0">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儿童中医药健康管理率</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028C31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749BA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92.65%</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7E318F">
            <w:pPr>
              <w:jc w:val="center"/>
              <w:rPr>
                <w:rFonts w:ascii="宋体" w:hAnsi="宋体" w:cs="宋体"/>
                <w:color w:val="000000"/>
                <w:sz w:val="18"/>
                <w:szCs w:val="18"/>
              </w:rPr>
            </w:pPr>
            <w:r>
              <w:rPr>
                <w:rFonts w:hint="eastAsia" w:ascii="宋体" w:hAnsi="宋体" w:cs="宋体"/>
                <w:color w:val="000000"/>
                <w:sz w:val="18"/>
                <w:szCs w:val="18"/>
              </w:rPr>
              <w:t>完成</w:t>
            </w:r>
          </w:p>
        </w:tc>
      </w:tr>
      <w:tr w14:paraId="4AADBB67">
        <w:tblPrEx>
          <w:tblCellMar>
            <w:top w:w="0" w:type="dxa"/>
            <w:left w:w="0" w:type="dxa"/>
            <w:bottom w:w="0" w:type="dxa"/>
            <w:right w:w="0" w:type="dxa"/>
          </w:tblCellMar>
        </w:tblPrEx>
        <w:trPr>
          <w:gridAfter w:val="1"/>
          <w:wAfter w:w="49" w:type="dxa"/>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3C5BFAD9">
            <w:pPr>
              <w:jc w:val="center"/>
              <w:rPr>
                <w:rFonts w:ascii="宋体" w:hAnsi="宋体" w:cs="宋体"/>
                <w:color w:val="000000"/>
                <w:sz w:val="18"/>
                <w:szCs w:val="18"/>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A82D565">
            <w:pPr>
              <w:jc w:val="center"/>
              <w:rPr>
                <w:rFonts w:ascii="宋体" w:hAnsi="宋体" w:cs="宋体"/>
                <w:color w:val="000000"/>
                <w:sz w:val="18"/>
                <w:szCs w:val="18"/>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9C1B3B9">
            <w:pPr>
              <w:jc w:val="center"/>
              <w:rPr>
                <w:rFonts w:ascii="宋体" w:hAnsi="宋体" w:cs="宋体"/>
                <w:color w:val="000000"/>
                <w:sz w:val="18"/>
                <w:szCs w:val="18"/>
              </w:rPr>
            </w:pP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0F5FC72">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地方病监测完成率</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36640D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≥95%</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62A67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100%</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4F373F2">
            <w:pPr>
              <w:jc w:val="center"/>
              <w:rPr>
                <w:rFonts w:ascii="宋体" w:hAnsi="宋体" w:cs="宋体"/>
                <w:color w:val="000000"/>
                <w:sz w:val="18"/>
                <w:szCs w:val="18"/>
              </w:rPr>
            </w:pPr>
            <w:r>
              <w:rPr>
                <w:rFonts w:hint="eastAsia" w:ascii="宋体" w:hAnsi="宋体" w:cs="宋体"/>
                <w:color w:val="000000"/>
                <w:sz w:val="18"/>
                <w:szCs w:val="18"/>
              </w:rPr>
              <w:t>完成</w:t>
            </w:r>
          </w:p>
        </w:tc>
      </w:tr>
      <w:tr w14:paraId="17B4F5CB">
        <w:tblPrEx>
          <w:tblCellMar>
            <w:top w:w="0" w:type="dxa"/>
            <w:left w:w="0" w:type="dxa"/>
            <w:bottom w:w="0" w:type="dxa"/>
            <w:right w:w="0" w:type="dxa"/>
          </w:tblCellMar>
        </w:tblPrEx>
        <w:trPr>
          <w:gridAfter w:val="1"/>
          <w:wAfter w:w="49" w:type="dxa"/>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53A0D5B3">
            <w:pPr>
              <w:jc w:val="center"/>
              <w:rPr>
                <w:rFonts w:ascii="宋体" w:hAnsi="宋体" w:cs="宋体"/>
                <w:color w:val="000000"/>
                <w:sz w:val="18"/>
                <w:szCs w:val="18"/>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0775360">
            <w:pPr>
              <w:jc w:val="center"/>
              <w:rPr>
                <w:rFonts w:ascii="宋体" w:hAnsi="宋体" w:cs="宋体"/>
                <w:color w:val="000000"/>
                <w:sz w:val="18"/>
                <w:szCs w:val="18"/>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2438A24">
            <w:pPr>
              <w:jc w:val="center"/>
              <w:rPr>
                <w:rFonts w:ascii="宋体" w:hAnsi="宋体" w:cs="宋体"/>
                <w:color w:val="000000"/>
                <w:sz w:val="18"/>
                <w:szCs w:val="18"/>
              </w:rPr>
            </w:pP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A21ED47">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贫困地区儿童营养改善国家级贫困县覆盖率</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A4137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≥100%</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D501FF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100%</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15432EE">
            <w:pPr>
              <w:jc w:val="center"/>
              <w:rPr>
                <w:rFonts w:ascii="宋体" w:hAnsi="宋体" w:cs="宋体"/>
                <w:color w:val="000000"/>
                <w:sz w:val="18"/>
                <w:szCs w:val="18"/>
              </w:rPr>
            </w:pPr>
            <w:r>
              <w:rPr>
                <w:rFonts w:hint="eastAsia" w:ascii="宋体" w:hAnsi="宋体" w:cs="宋体"/>
                <w:color w:val="000000"/>
                <w:sz w:val="18"/>
                <w:szCs w:val="18"/>
              </w:rPr>
              <w:t>完成</w:t>
            </w:r>
          </w:p>
        </w:tc>
      </w:tr>
      <w:tr w14:paraId="37D514E4">
        <w:tblPrEx>
          <w:tblCellMar>
            <w:top w:w="0" w:type="dxa"/>
            <w:left w:w="0" w:type="dxa"/>
            <w:bottom w:w="0" w:type="dxa"/>
            <w:right w:w="0" w:type="dxa"/>
          </w:tblCellMar>
        </w:tblPrEx>
        <w:trPr>
          <w:gridAfter w:val="1"/>
          <w:wAfter w:w="49" w:type="dxa"/>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3D9AA160">
            <w:pPr>
              <w:jc w:val="center"/>
              <w:rPr>
                <w:rFonts w:ascii="宋体" w:hAnsi="宋体" w:cs="宋体"/>
                <w:color w:val="000000"/>
                <w:sz w:val="18"/>
                <w:szCs w:val="18"/>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4D535F8">
            <w:pPr>
              <w:jc w:val="center"/>
              <w:rPr>
                <w:rFonts w:ascii="宋体" w:hAnsi="宋体" w:cs="宋体"/>
                <w:color w:val="000000"/>
                <w:sz w:val="18"/>
                <w:szCs w:val="18"/>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8A3F102">
            <w:pPr>
              <w:jc w:val="center"/>
              <w:rPr>
                <w:rFonts w:ascii="宋体" w:hAnsi="宋体" w:cs="宋体"/>
                <w:color w:val="000000"/>
                <w:sz w:val="18"/>
                <w:szCs w:val="18"/>
              </w:rPr>
            </w:pP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FE5FD41">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麻风病按规定随访到位率</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1FE858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≥90%</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57D13D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100%</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82F966">
            <w:pPr>
              <w:jc w:val="center"/>
              <w:rPr>
                <w:rFonts w:ascii="宋体" w:hAnsi="宋体" w:cs="宋体"/>
                <w:color w:val="000000"/>
                <w:sz w:val="18"/>
                <w:szCs w:val="18"/>
              </w:rPr>
            </w:pPr>
            <w:r>
              <w:rPr>
                <w:rFonts w:hint="eastAsia" w:ascii="宋体" w:hAnsi="宋体" w:cs="宋体"/>
                <w:color w:val="000000"/>
                <w:sz w:val="18"/>
                <w:szCs w:val="18"/>
              </w:rPr>
              <w:t>完成</w:t>
            </w:r>
          </w:p>
        </w:tc>
      </w:tr>
      <w:tr w14:paraId="67AE3270">
        <w:tblPrEx>
          <w:tblCellMar>
            <w:top w:w="0" w:type="dxa"/>
            <w:left w:w="0" w:type="dxa"/>
            <w:bottom w:w="0" w:type="dxa"/>
            <w:right w:w="0" w:type="dxa"/>
          </w:tblCellMar>
        </w:tblPrEx>
        <w:trPr>
          <w:gridAfter w:val="1"/>
          <w:wAfter w:w="49" w:type="dxa"/>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600C0BE9">
            <w:pPr>
              <w:jc w:val="center"/>
              <w:rPr>
                <w:rFonts w:ascii="宋体" w:hAnsi="宋体" w:cs="宋体"/>
                <w:color w:val="000000"/>
                <w:sz w:val="18"/>
                <w:szCs w:val="18"/>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05315AD">
            <w:pPr>
              <w:jc w:val="center"/>
              <w:rPr>
                <w:rFonts w:ascii="宋体" w:hAnsi="宋体" w:cs="宋体"/>
                <w:color w:val="000000"/>
                <w:sz w:val="18"/>
                <w:szCs w:val="18"/>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E7B1F74">
            <w:pPr>
              <w:jc w:val="center"/>
              <w:rPr>
                <w:rFonts w:ascii="宋体" w:hAnsi="宋体" w:cs="宋体"/>
                <w:color w:val="000000"/>
                <w:sz w:val="18"/>
                <w:szCs w:val="18"/>
              </w:rPr>
            </w:pP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4382BE8">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目标人群叶酸服用率</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614F01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≥90%</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E3382D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97.89%</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7593BF">
            <w:pPr>
              <w:jc w:val="center"/>
              <w:rPr>
                <w:rFonts w:ascii="宋体" w:hAnsi="宋体" w:cs="宋体"/>
                <w:color w:val="000000"/>
                <w:sz w:val="18"/>
                <w:szCs w:val="18"/>
              </w:rPr>
            </w:pPr>
            <w:r>
              <w:rPr>
                <w:rFonts w:hint="eastAsia" w:ascii="宋体" w:hAnsi="宋体" w:cs="宋体"/>
                <w:color w:val="000000"/>
                <w:sz w:val="18"/>
                <w:szCs w:val="18"/>
              </w:rPr>
              <w:t>完成</w:t>
            </w:r>
          </w:p>
        </w:tc>
      </w:tr>
      <w:tr w14:paraId="75F4CCF0">
        <w:tblPrEx>
          <w:tblCellMar>
            <w:top w:w="0" w:type="dxa"/>
            <w:left w:w="0" w:type="dxa"/>
            <w:bottom w:w="0" w:type="dxa"/>
            <w:right w:w="0" w:type="dxa"/>
          </w:tblCellMar>
        </w:tblPrEx>
        <w:trPr>
          <w:gridAfter w:val="1"/>
          <w:wAfter w:w="49" w:type="dxa"/>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7D928F43">
            <w:pPr>
              <w:jc w:val="center"/>
              <w:rPr>
                <w:rFonts w:ascii="宋体" w:hAnsi="宋体" w:cs="宋体"/>
                <w:color w:val="000000"/>
                <w:sz w:val="18"/>
                <w:szCs w:val="18"/>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79FF816">
            <w:pPr>
              <w:jc w:val="center"/>
              <w:rPr>
                <w:rFonts w:ascii="宋体" w:hAnsi="宋体" w:cs="宋体"/>
                <w:color w:val="000000"/>
                <w:sz w:val="18"/>
                <w:szCs w:val="18"/>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D8EAE31">
            <w:pPr>
              <w:jc w:val="center"/>
              <w:rPr>
                <w:rFonts w:ascii="宋体" w:hAnsi="宋体" w:cs="宋体"/>
                <w:color w:val="000000"/>
                <w:sz w:val="18"/>
                <w:szCs w:val="18"/>
              </w:rPr>
            </w:pP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3BBE5D8">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孕前优生健康检查目标人群覆盖率</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790CB6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≥80%</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13961B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105.70%</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BA303E6">
            <w:pPr>
              <w:jc w:val="center"/>
              <w:rPr>
                <w:rFonts w:ascii="宋体" w:hAnsi="宋体" w:cs="宋体"/>
                <w:color w:val="000000"/>
                <w:sz w:val="18"/>
                <w:szCs w:val="18"/>
              </w:rPr>
            </w:pPr>
            <w:r>
              <w:rPr>
                <w:rFonts w:hint="eastAsia" w:ascii="宋体" w:hAnsi="宋体" w:cs="宋体"/>
                <w:color w:val="000000"/>
                <w:sz w:val="18"/>
                <w:szCs w:val="18"/>
              </w:rPr>
              <w:t>完成</w:t>
            </w:r>
          </w:p>
        </w:tc>
      </w:tr>
      <w:tr w14:paraId="38450A2F">
        <w:tblPrEx>
          <w:tblCellMar>
            <w:top w:w="0" w:type="dxa"/>
            <w:left w:w="0" w:type="dxa"/>
            <w:bottom w:w="0" w:type="dxa"/>
            <w:right w:w="0" w:type="dxa"/>
          </w:tblCellMar>
        </w:tblPrEx>
        <w:trPr>
          <w:gridAfter w:val="1"/>
          <w:wAfter w:w="49" w:type="dxa"/>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76071D4F">
            <w:pPr>
              <w:jc w:val="center"/>
              <w:rPr>
                <w:rFonts w:ascii="宋体" w:hAnsi="宋体" w:cs="宋体"/>
                <w:color w:val="000000"/>
                <w:sz w:val="18"/>
                <w:szCs w:val="18"/>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F26EA0">
            <w:pPr>
              <w:jc w:val="center"/>
              <w:rPr>
                <w:rFonts w:ascii="宋体" w:hAnsi="宋体" w:cs="宋体"/>
                <w:color w:val="000000"/>
                <w:sz w:val="18"/>
                <w:szCs w:val="18"/>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62AA1FE">
            <w:pPr>
              <w:jc w:val="center"/>
              <w:rPr>
                <w:rFonts w:ascii="宋体" w:hAnsi="宋体" w:cs="宋体"/>
                <w:color w:val="000000"/>
                <w:sz w:val="18"/>
                <w:szCs w:val="18"/>
              </w:rPr>
            </w:pP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B42C06F">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农村妇女“两癌”检查目标任务完成率</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6F2F99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≥100%</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FB1130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101.72%</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9C1A1F0">
            <w:pPr>
              <w:jc w:val="center"/>
              <w:rPr>
                <w:rFonts w:ascii="宋体" w:hAnsi="宋体" w:cs="宋体"/>
                <w:color w:val="000000"/>
                <w:sz w:val="18"/>
                <w:szCs w:val="18"/>
              </w:rPr>
            </w:pPr>
            <w:r>
              <w:rPr>
                <w:rFonts w:hint="eastAsia" w:ascii="宋体" w:hAnsi="宋体" w:cs="宋体"/>
                <w:color w:val="000000"/>
                <w:sz w:val="18"/>
                <w:szCs w:val="18"/>
              </w:rPr>
              <w:t>完成</w:t>
            </w:r>
          </w:p>
        </w:tc>
      </w:tr>
      <w:tr w14:paraId="174277B1">
        <w:tblPrEx>
          <w:tblCellMar>
            <w:top w:w="0" w:type="dxa"/>
            <w:left w:w="0" w:type="dxa"/>
            <w:bottom w:w="0" w:type="dxa"/>
            <w:right w:w="0" w:type="dxa"/>
          </w:tblCellMar>
        </w:tblPrEx>
        <w:trPr>
          <w:gridAfter w:val="1"/>
          <w:wAfter w:w="49" w:type="dxa"/>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65BE2AB8">
            <w:pPr>
              <w:jc w:val="center"/>
              <w:rPr>
                <w:rFonts w:ascii="宋体" w:hAnsi="宋体" w:cs="宋体"/>
                <w:color w:val="000000"/>
                <w:sz w:val="18"/>
                <w:szCs w:val="18"/>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8903E5">
            <w:pPr>
              <w:jc w:val="center"/>
              <w:rPr>
                <w:rFonts w:ascii="宋体" w:hAnsi="宋体" w:cs="宋体"/>
                <w:color w:val="000000"/>
                <w:sz w:val="18"/>
                <w:szCs w:val="18"/>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7FF5246">
            <w:pPr>
              <w:jc w:val="center"/>
              <w:rPr>
                <w:rFonts w:ascii="宋体" w:hAnsi="宋体" w:cs="宋体"/>
                <w:color w:val="000000"/>
                <w:sz w:val="18"/>
                <w:szCs w:val="18"/>
              </w:rPr>
            </w:pP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7AA3655">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完成国家和省级双随机抽检任务</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85F62A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100%</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A81FB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100%</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E967A60">
            <w:pPr>
              <w:jc w:val="center"/>
              <w:rPr>
                <w:rFonts w:ascii="宋体" w:hAnsi="宋体" w:cs="宋体"/>
                <w:color w:val="000000"/>
                <w:sz w:val="18"/>
                <w:szCs w:val="18"/>
              </w:rPr>
            </w:pPr>
            <w:r>
              <w:rPr>
                <w:rFonts w:hint="eastAsia" w:ascii="宋体" w:hAnsi="宋体" w:cs="宋体"/>
                <w:color w:val="000000"/>
                <w:sz w:val="18"/>
                <w:szCs w:val="18"/>
              </w:rPr>
              <w:t>完成</w:t>
            </w:r>
          </w:p>
        </w:tc>
      </w:tr>
      <w:tr w14:paraId="171B4E00">
        <w:tblPrEx>
          <w:tblCellMar>
            <w:top w:w="0" w:type="dxa"/>
            <w:left w:w="0" w:type="dxa"/>
            <w:bottom w:w="0" w:type="dxa"/>
            <w:right w:w="0" w:type="dxa"/>
          </w:tblCellMar>
        </w:tblPrEx>
        <w:trPr>
          <w:gridAfter w:val="1"/>
          <w:wAfter w:w="49" w:type="dxa"/>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2F347A1D">
            <w:pPr>
              <w:jc w:val="center"/>
              <w:rPr>
                <w:rFonts w:ascii="宋体" w:hAnsi="宋体" w:cs="宋体"/>
                <w:color w:val="000000"/>
                <w:sz w:val="18"/>
                <w:szCs w:val="18"/>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ADE6CE1">
            <w:pPr>
              <w:jc w:val="center"/>
              <w:rPr>
                <w:rFonts w:ascii="宋体" w:hAnsi="宋体" w:cs="宋体"/>
                <w:color w:val="000000"/>
                <w:sz w:val="18"/>
                <w:szCs w:val="18"/>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116BE5">
            <w:pPr>
              <w:jc w:val="center"/>
              <w:rPr>
                <w:rFonts w:ascii="宋体" w:hAnsi="宋体" w:cs="宋体"/>
                <w:color w:val="000000"/>
                <w:sz w:val="18"/>
                <w:szCs w:val="18"/>
              </w:rPr>
            </w:pP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B6397FA">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65岁及以上老年人医养结合服务率</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EFCA42E">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FDF5DF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78C36A2">
            <w:pPr>
              <w:jc w:val="center"/>
              <w:rPr>
                <w:rFonts w:ascii="宋体" w:hAnsi="宋体" w:cs="宋体"/>
                <w:color w:val="000000"/>
                <w:sz w:val="18"/>
                <w:szCs w:val="18"/>
              </w:rPr>
            </w:pPr>
            <w:r>
              <w:rPr>
                <w:rFonts w:hint="eastAsia" w:ascii="宋体" w:hAnsi="宋体" w:cs="宋体"/>
                <w:color w:val="000000"/>
                <w:sz w:val="18"/>
                <w:szCs w:val="18"/>
              </w:rPr>
              <w:t>完成</w:t>
            </w:r>
          </w:p>
        </w:tc>
      </w:tr>
      <w:tr w14:paraId="4FF17A62">
        <w:tblPrEx>
          <w:tblCellMar>
            <w:top w:w="0" w:type="dxa"/>
            <w:left w:w="0" w:type="dxa"/>
            <w:bottom w:w="0" w:type="dxa"/>
            <w:right w:w="0" w:type="dxa"/>
          </w:tblCellMar>
        </w:tblPrEx>
        <w:trPr>
          <w:gridAfter w:val="1"/>
          <w:wAfter w:w="49" w:type="dxa"/>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7C4B30D8">
            <w:pPr>
              <w:jc w:val="center"/>
              <w:rPr>
                <w:rFonts w:ascii="宋体" w:hAnsi="宋体" w:cs="宋体"/>
                <w:color w:val="000000"/>
                <w:sz w:val="18"/>
                <w:szCs w:val="18"/>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453E09C">
            <w:pPr>
              <w:jc w:val="center"/>
              <w:rPr>
                <w:rFonts w:ascii="宋体" w:hAnsi="宋体" w:cs="宋体"/>
                <w:color w:val="000000"/>
                <w:sz w:val="18"/>
                <w:szCs w:val="18"/>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661D3F0">
            <w:pPr>
              <w:jc w:val="center"/>
              <w:rPr>
                <w:rFonts w:ascii="宋体" w:hAnsi="宋体" w:cs="宋体"/>
                <w:color w:val="000000"/>
                <w:sz w:val="18"/>
                <w:szCs w:val="18"/>
              </w:rPr>
            </w:pP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0504806">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65岁以上失能老年人健康服务率</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48AF8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246AA1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87B9727">
            <w:pPr>
              <w:jc w:val="center"/>
              <w:rPr>
                <w:rFonts w:ascii="宋体" w:hAnsi="宋体" w:cs="宋体"/>
                <w:color w:val="000000"/>
                <w:sz w:val="18"/>
                <w:szCs w:val="18"/>
              </w:rPr>
            </w:pPr>
            <w:r>
              <w:rPr>
                <w:rFonts w:hint="eastAsia" w:ascii="宋体" w:hAnsi="宋体" w:cs="宋体"/>
                <w:color w:val="000000"/>
                <w:sz w:val="18"/>
                <w:szCs w:val="18"/>
              </w:rPr>
              <w:t>完成</w:t>
            </w:r>
          </w:p>
        </w:tc>
      </w:tr>
      <w:tr w14:paraId="410870D1">
        <w:tblPrEx>
          <w:tblCellMar>
            <w:top w:w="0" w:type="dxa"/>
            <w:left w:w="0" w:type="dxa"/>
            <w:bottom w:w="0" w:type="dxa"/>
            <w:right w:w="0" w:type="dxa"/>
          </w:tblCellMar>
        </w:tblPrEx>
        <w:trPr>
          <w:gridAfter w:val="1"/>
          <w:wAfter w:w="49" w:type="dxa"/>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4FFBD6E3">
            <w:pPr>
              <w:jc w:val="center"/>
              <w:rPr>
                <w:rFonts w:ascii="宋体" w:hAnsi="宋体" w:cs="宋体"/>
                <w:color w:val="000000"/>
                <w:sz w:val="18"/>
                <w:szCs w:val="18"/>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E21124D">
            <w:pPr>
              <w:jc w:val="center"/>
              <w:rPr>
                <w:rFonts w:ascii="宋体" w:hAnsi="宋体" w:cs="宋体"/>
                <w:color w:val="000000"/>
                <w:sz w:val="18"/>
                <w:szCs w:val="18"/>
              </w:rPr>
            </w:pP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C2DD3E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质量指标</w:t>
            </w: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931A06C">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高血压患者规范管理率</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B331EE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≥60%</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BAA71A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85.75%</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1B6B7C9">
            <w:pPr>
              <w:jc w:val="center"/>
              <w:rPr>
                <w:rFonts w:ascii="宋体" w:hAnsi="宋体" w:cs="宋体"/>
                <w:color w:val="000000"/>
                <w:sz w:val="18"/>
                <w:szCs w:val="18"/>
              </w:rPr>
            </w:pPr>
            <w:r>
              <w:rPr>
                <w:rFonts w:hint="eastAsia" w:ascii="宋体" w:hAnsi="宋体" w:cs="宋体"/>
                <w:color w:val="000000"/>
                <w:sz w:val="18"/>
                <w:szCs w:val="18"/>
              </w:rPr>
              <w:t>完成</w:t>
            </w:r>
          </w:p>
        </w:tc>
      </w:tr>
      <w:tr w14:paraId="3C560358">
        <w:tblPrEx>
          <w:tblCellMar>
            <w:top w:w="0" w:type="dxa"/>
            <w:left w:w="0" w:type="dxa"/>
            <w:bottom w:w="0" w:type="dxa"/>
            <w:right w:w="0" w:type="dxa"/>
          </w:tblCellMar>
        </w:tblPrEx>
        <w:trPr>
          <w:gridAfter w:val="1"/>
          <w:wAfter w:w="49" w:type="dxa"/>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5E0DAA8A">
            <w:pPr>
              <w:jc w:val="center"/>
              <w:rPr>
                <w:rFonts w:ascii="宋体" w:hAnsi="宋体" w:cs="宋体"/>
                <w:color w:val="000000"/>
                <w:sz w:val="18"/>
                <w:szCs w:val="18"/>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9EE8CAD">
            <w:pPr>
              <w:jc w:val="center"/>
              <w:rPr>
                <w:rFonts w:ascii="宋体" w:hAnsi="宋体" w:cs="宋体"/>
                <w:color w:val="000000"/>
                <w:sz w:val="18"/>
                <w:szCs w:val="18"/>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9007918">
            <w:pPr>
              <w:jc w:val="center"/>
              <w:rPr>
                <w:rFonts w:ascii="宋体" w:hAnsi="宋体" w:cs="宋体"/>
                <w:color w:val="000000"/>
                <w:sz w:val="18"/>
                <w:szCs w:val="18"/>
              </w:rPr>
            </w:pP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0661DAA">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2型糖尿病患者规范管理率</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BA0189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≥60%</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C6F77B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85.61%</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8F4E57C">
            <w:pPr>
              <w:jc w:val="center"/>
              <w:rPr>
                <w:rFonts w:ascii="宋体" w:hAnsi="宋体" w:cs="宋体"/>
                <w:color w:val="000000"/>
                <w:sz w:val="18"/>
                <w:szCs w:val="18"/>
              </w:rPr>
            </w:pPr>
            <w:r>
              <w:rPr>
                <w:rFonts w:hint="eastAsia" w:ascii="宋体" w:hAnsi="宋体" w:cs="宋体"/>
                <w:color w:val="000000"/>
                <w:sz w:val="18"/>
                <w:szCs w:val="18"/>
              </w:rPr>
              <w:t>完成</w:t>
            </w:r>
          </w:p>
        </w:tc>
      </w:tr>
      <w:tr w14:paraId="27C21CD5">
        <w:tblPrEx>
          <w:tblCellMar>
            <w:top w:w="0" w:type="dxa"/>
            <w:left w:w="0" w:type="dxa"/>
            <w:bottom w:w="0" w:type="dxa"/>
            <w:right w:w="0" w:type="dxa"/>
          </w:tblCellMar>
        </w:tblPrEx>
        <w:trPr>
          <w:gridAfter w:val="1"/>
          <w:wAfter w:w="49" w:type="dxa"/>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38D9FF46">
            <w:pPr>
              <w:jc w:val="center"/>
              <w:rPr>
                <w:rFonts w:ascii="宋体" w:hAnsi="宋体" w:cs="宋体"/>
                <w:color w:val="000000"/>
                <w:sz w:val="18"/>
                <w:szCs w:val="18"/>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A77C808">
            <w:pPr>
              <w:jc w:val="center"/>
              <w:rPr>
                <w:rFonts w:ascii="宋体" w:hAnsi="宋体" w:cs="宋体"/>
                <w:color w:val="000000"/>
                <w:sz w:val="18"/>
                <w:szCs w:val="18"/>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EDEE03C">
            <w:pPr>
              <w:jc w:val="center"/>
              <w:rPr>
                <w:rFonts w:ascii="宋体" w:hAnsi="宋体" w:cs="宋体"/>
                <w:color w:val="000000"/>
                <w:sz w:val="18"/>
                <w:szCs w:val="18"/>
              </w:rPr>
            </w:pP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C8ED906">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严重精神障碍患者规范管理率</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54C8AE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≥80%</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8209C1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98.79%</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0DBFFA">
            <w:pPr>
              <w:jc w:val="center"/>
              <w:rPr>
                <w:rFonts w:ascii="宋体" w:hAnsi="宋体" w:cs="宋体"/>
                <w:color w:val="000000"/>
                <w:sz w:val="18"/>
                <w:szCs w:val="18"/>
              </w:rPr>
            </w:pPr>
            <w:r>
              <w:rPr>
                <w:rFonts w:hint="eastAsia" w:ascii="宋体" w:hAnsi="宋体" w:cs="宋体"/>
                <w:color w:val="000000"/>
                <w:sz w:val="18"/>
                <w:szCs w:val="18"/>
              </w:rPr>
              <w:t>完成</w:t>
            </w:r>
          </w:p>
        </w:tc>
      </w:tr>
      <w:tr w14:paraId="314DA4D4">
        <w:tblPrEx>
          <w:tblCellMar>
            <w:top w:w="0" w:type="dxa"/>
            <w:left w:w="0" w:type="dxa"/>
            <w:bottom w:w="0" w:type="dxa"/>
            <w:right w:w="0" w:type="dxa"/>
          </w:tblCellMar>
        </w:tblPrEx>
        <w:trPr>
          <w:gridAfter w:val="1"/>
          <w:wAfter w:w="49" w:type="dxa"/>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59930D5B">
            <w:pPr>
              <w:jc w:val="center"/>
              <w:rPr>
                <w:rFonts w:ascii="宋体" w:hAnsi="宋体" w:cs="宋体"/>
                <w:color w:val="000000"/>
                <w:sz w:val="18"/>
                <w:szCs w:val="18"/>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9C81EBC">
            <w:pPr>
              <w:jc w:val="center"/>
              <w:rPr>
                <w:rFonts w:ascii="宋体" w:hAnsi="宋体" w:cs="宋体"/>
                <w:color w:val="000000"/>
                <w:sz w:val="18"/>
                <w:szCs w:val="18"/>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A009002">
            <w:pPr>
              <w:jc w:val="center"/>
              <w:rPr>
                <w:rFonts w:ascii="宋体" w:hAnsi="宋体" w:cs="宋体"/>
                <w:color w:val="000000"/>
                <w:sz w:val="18"/>
                <w:szCs w:val="18"/>
              </w:rPr>
            </w:pP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F466BC3">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肺结核患者管理率</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AB1D43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≥90%</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1C08E4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94.24%</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D7B1A27">
            <w:pPr>
              <w:jc w:val="center"/>
              <w:rPr>
                <w:rFonts w:ascii="宋体" w:hAnsi="宋体" w:cs="宋体"/>
                <w:color w:val="000000"/>
                <w:sz w:val="18"/>
                <w:szCs w:val="18"/>
              </w:rPr>
            </w:pPr>
            <w:r>
              <w:rPr>
                <w:rFonts w:hint="eastAsia" w:ascii="宋体" w:hAnsi="宋体" w:cs="宋体"/>
                <w:color w:val="000000"/>
                <w:sz w:val="18"/>
                <w:szCs w:val="18"/>
              </w:rPr>
              <w:t>完成</w:t>
            </w:r>
          </w:p>
        </w:tc>
      </w:tr>
      <w:tr w14:paraId="49F2FB52">
        <w:tblPrEx>
          <w:tblCellMar>
            <w:top w:w="0" w:type="dxa"/>
            <w:left w:w="0" w:type="dxa"/>
            <w:bottom w:w="0" w:type="dxa"/>
            <w:right w:w="0" w:type="dxa"/>
          </w:tblCellMar>
        </w:tblPrEx>
        <w:trPr>
          <w:gridAfter w:val="1"/>
          <w:wAfter w:w="49" w:type="dxa"/>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5A7F067E">
            <w:pPr>
              <w:jc w:val="center"/>
              <w:rPr>
                <w:rFonts w:ascii="宋体" w:hAnsi="宋体" w:cs="宋体"/>
                <w:color w:val="000000"/>
                <w:sz w:val="18"/>
                <w:szCs w:val="18"/>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2538A71">
            <w:pPr>
              <w:jc w:val="center"/>
              <w:rPr>
                <w:rFonts w:ascii="宋体" w:hAnsi="宋体" w:cs="宋体"/>
                <w:color w:val="000000"/>
                <w:sz w:val="18"/>
                <w:szCs w:val="18"/>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FF203F">
            <w:pPr>
              <w:jc w:val="center"/>
              <w:rPr>
                <w:rFonts w:ascii="宋体" w:hAnsi="宋体" w:cs="宋体"/>
                <w:color w:val="000000"/>
                <w:sz w:val="18"/>
                <w:szCs w:val="18"/>
              </w:rPr>
            </w:pP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CB8F242">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传染病和突发公共卫生事件报告率</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D6FACC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≥95%</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F8419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100%</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4A8422">
            <w:pPr>
              <w:jc w:val="center"/>
              <w:rPr>
                <w:rFonts w:ascii="宋体" w:hAnsi="宋体" w:cs="宋体"/>
                <w:color w:val="000000"/>
                <w:sz w:val="18"/>
                <w:szCs w:val="18"/>
              </w:rPr>
            </w:pPr>
            <w:r>
              <w:rPr>
                <w:rFonts w:hint="eastAsia" w:ascii="宋体" w:hAnsi="宋体" w:cs="宋体"/>
                <w:color w:val="000000"/>
                <w:sz w:val="18"/>
                <w:szCs w:val="18"/>
              </w:rPr>
              <w:t>完成</w:t>
            </w:r>
          </w:p>
        </w:tc>
      </w:tr>
      <w:tr w14:paraId="7D82920A">
        <w:tblPrEx>
          <w:tblCellMar>
            <w:top w:w="0" w:type="dxa"/>
            <w:left w:w="0" w:type="dxa"/>
            <w:bottom w:w="0" w:type="dxa"/>
            <w:right w:w="0" w:type="dxa"/>
          </w:tblCellMar>
        </w:tblPrEx>
        <w:trPr>
          <w:gridAfter w:val="1"/>
          <w:wAfter w:w="49" w:type="dxa"/>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4A816C1A">
            <w:pPr>
              <w:jc w:val="center"/>
              <w:rPr>
                <w:rFonts w:ascii="宋体" w:hAnsi="宋体" w:cs="宋体"/>
                <w:color w:val="000000"/>
                <w:sz w:val="18"/>
                <w:szCs w:val="18"/>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8C05AB3">
            <w:pPr>
              <w:jc w:val="center"/>
              <w:rPr>
                <w:rFonts w:ascii="宋体" w:hAnsi="宋体" w:cs="宋体"/>
                <w:color w:val="000000"/>
                <w:sz w:val="18"/>
                <w:szCs w:val="18"/>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3F7C0C3">
            <w:pPr>
              <w:jc w:val="center"/>
              <w:rPr>
                <w:rFonts w:ascii="宋体" w:hAnsi="宋体" w:cs="宋体"/>
                <w:color w:val="000000"/>
                <w:sz w:val="18"/>
                <w:szCs w:val="18"/>
              </w:rPr>
            </w:pP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B3570DD">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地方病核心指标监测率</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AA2F8A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≥90%</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3F7304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100%</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7191886">
            <w:pPr>
              <w:jc w:val="center"/>
              <w:rPr>
                <w:rFonts w:ascii="宋体" w:hAnsi="宋体" w:cs="宋体"/>
                <w:color w:val="000000"/>
                <w:sz w:val="18"/>
                <w:szCs w:val="18"/>
              </w:rPr>
            </w:pPr>
            <w:r>
              <w:rPr>
                <w:rFonts w:hint="eastAsia" w:ascii="宋体" w:hAnsi="宋体" w:cs="宋体"/>
                <w:color w:val="000000"/>
                <w:sz w:val="18"/>
                <w:szCs w:val="18"/>
              </w:rPr>
              <w:t>完成</w:t>
            </w:r>
          </w:p>
        </w:tc>
      </w:tr>
      <w:tr w14:paraId="61BEC0EC">
        <w:tblPrEx>
          <w:tblCellMar>
            <w:top w:w="0" w:type="dxa"/>
            <w:left w:w="0" w:type="dxa"/>
            <w:bottom w:w="0" w:type="dxa"/>
            <w:right w:w="0" w:type="dxa"/>
          </w:tblCellMar>
        </w:tblPrEx>
        <w:trPr>
          <w:gridAfter w:val="1"/>
          <w:wAfter w:w="49" w:type="dxa"/>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3951D93D">
            <w:pPr>
              <w:jc w:val="center"/>
              <w:rPr>
                <w:rFonts w:ascii="宋体" w:hAnsi="宋体" w:cs="宋体"/>
                <w:color w:val="000000"/>
                <w:sz w:val="18"/>
                <w:szCs w:val="18"/>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A8D3D18">
            <w:pPr>
              <w:jc w:val="center"/>
              <w:rPr>
                <w:rFonts w:ascii="宋体" w:hAnsi="宋体" w:cs="宋体"/>
                <w:color w:val="000000"/>
                <w:sz w:val="18"/>
                <w:szCs w:val="18"/>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E6B37AE">
            <w:pPr>
              <w:jc w:val="center"/>
              <w:rPr>
                <w:rFonts w:ascii="宋体" w:hAnsi="宋体" w:cs="宋体"/>
                <w:color w:val="000000"/>
                <w:sz w:val="18"/>
                <w:szCs w:val="18"/>
              </w:rPr>
            </w:pP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917449D">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麻风病可疑线索报告率</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E1F2D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≥90%</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914ACA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100%</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D0DA7F7">
            <w:pPr>
              <w:jc w:val="center"/>
              <w:rPr>
                <w:rFonts w:ascii="宋体" w:hAnsi="宋体" w:cs="宋体"/>
                <w:color w:val="000000"/>
                <w:sz w:val="18"/>
                <w:szCs w:val="18"/>
              </w:rPr>
            </w:pPr>
            <w:r>
              <w:rPr>
                <w:rFonts w:hint="eastAsia" w:ascii="宋体" w:hAnsi="宋体" w:cs="宋体"/>
                <w:color w:val="000000"/>
                <w:sz w:val="18"/>
                <w:szCs w:val="18"/>
              </w:rPr>
              <w:t>完成</w:t>
            </w:r>
          </w:p>
        </w:tc>
      </w:tr>
      <w:tr w14:paraId="00EF5CEF">
        <w:tblPrEx>
          <w:tblCellMar>
            <w:top w:w="0" w:type="dxa"/>
            <w:left w:w="0" w:type="dxa"/>
            <w:bottom w:w="0" w:type="dxa"/>
            <w:right w:w="0" w:type="dxa"/>
          </w:tblCellMar>
        </w:tblPrEx>
        <w:trPr>
          <w:gridAfter w:val="1"/>
          <w:wAfter w:w="49" w:type="dxa"/>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673E2C75">
            <w:pPr>
              <w:jc w:val="center"/>
              <w:rPr>
                <w:rFonts w:ascii="宋体" w:hAnsi="宋体" w:cs="宋体"/>
                <w:color w:val="000000"/>
                <w:sz w:val="18"/>
                <w:szCs w:val="18"/>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0E8F109">
            <w:pPr>
              <w:jc w:val="center"/>
              <w:rPr>
                <w:rFonts w:ascii="宋体" w:hAnsi="宋体" w:cs="宋体"/>
                <w:color w:val="000000"/>
                <w:sz w:val="18"/>
                <w:szCs w:val="18"/>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614F494">
            <w:pPr>
              <w:jc w:val="center"/>
              <w:rPr>
                <w:rFonts w:ascii="宋体" w:hAnsi="宋体" w:cs="宋体"/>
                <w:color w:val="000000"/>
                <w:sz w:val="18"/>
                <w:szCs w:val="18"/>
              </w:rPr>
            </w:pP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8BDA4EA">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开展疾控业务专业指导评价</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08A242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乡镇覆盖100%</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37F4A62">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100%乡镇全覆盖</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DC4648">
            <w:pPr>
              <w:jc w:val="center"/>
              <w:rPr>
                <w:rFonts w:ascii="宋体" w:hAnsi="宋体" w:cs="宋体"/>
                <w:color w:val="000000"/>
                <w:sz w:val="18"/>
                <w:szCs w:val="18"/>
              </w:rPr>
            </w:pPr>
            <w:r>
              <w:rPr>
                <w:rFonts w:hint="eastAsia" w:ascii="宋体" w:hAnsi="宋体" w:cs="宋体"/>
                <w:color w:val="000000"/>
                <w:sz w:val="18"/>
                <w:szCs w:val="18"/>
              </w:rPr>
              <w:t>完成</w:t>
            </w:r>
          </w:p>
        </w:tc>
      </w:tr>
      <w:tr w14:paraId="2C572F9A">
        <w:tblPrEx>
          <w:tblCellMar>
            <w:top w:w="0" w:type="dxa"/>
            <w:left w:w="0" w:type="dxa"/>
            <w:bottom w:w="0" w:type="dxa"/>
            <w:right w:w="0" w:type="dxa"/>
          </w:tblCellMar>
        </w:tblPrEx>
        <w:trPr>
          <w:gridAfter w:val="1"/>
          <w:wAfter w:w="49" w:type="dxa"/>
          <w:trHeight w:val="84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3B10B65B">
            <w:pPr>
              <w:jc w:val="center"/>
              <w:rPr>
                <w:rFonts w:ascii="宋体" w:hAnsi="宋体" w:cs="宋体"/>
                <w:color w:val="000000"/>
                <w:sz w:val="18"/>
                <w:szCs w:val="18"/>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ADFCAA6">
            <w:pPr>
              <w:jc w:val="center"/>
              <w:rPr>
                <w:rFonts w:ascii="宋体" w:hAnsi="宋体" w:cs="宋体"/>
                <w:color w:val="000000"/>
                <w:sz w:val="18"/>
                <w:szCs w:val="18"/>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E082B4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时效指标</w:t>
            </w: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E3D77FD">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项目完成时间</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1CD96F4">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2021年12月底前</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完成项目所有内容</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5080ED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2021年12月31日前</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885058C">
            <w:pPr>
              <w:jc w:val="center"/>
              <w:rPr>
                <w:rFonts w:ascii="宋体" w:hAnsi="宋体" w:cs="宋体"/>
                <w:color w:val="000000"/>
                <w:sz w:val="18"/>
                <w:szCs w:val="18"/>
              </w:rPr>
            </w:pPr>
            <w:r>
              <w:rPr>
                <w:rFonts w:hint="eastAsia" w:ascii="宋体" w:hAnsi="宋体" w:cs="宋体"/>
                <w:color w:val="000000"/>
                <w:sz w:val="18"/>
                <w:szCs w:val="18"/>
              </w:rPr>
              <w:t>完成</w:t>
            </w:r>
          </w:p>
        </w:tc>
      </w:tr>
      <w:tr w14:paraId="03216DDC">
        <w:tblPrEx>
          <w:tblCellMar>
            <w:top w:w="0" w:type="dxa"/>
            <w:left w:w="0" w:type="dxa"/>
            <w:bottom w:w="0" w:type="dxa"/>
            <w:right w:w="0" w:type="dxa"/>
          </w:tblCellMar>
        </w:tblPrEx>
        <w:trPr>
          <w:gridAfter w:val="1"/>
          <w:wAfter w:w="49" w:type="dxa"/>
          <w:trHeight w:val="46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4B2AEF1E">
            <w:pPr>
              <w:jc w:val="center"/>
              <w:rPr>
                <w:rFonts w:ascii="宋体" w:hAnsi="宋体" w:cs="宋体"/>
                <w:color w:val="000000"/>
                <w:sz w:val="18"/>
                <w:szCs w:val="18"/>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149E1E0">
            <w:pPr>
              <w:jc w:val="center"/>
              <w:rPr>
                <w:rFonts w:ascii="宋体" w:hAnsi="宋体" w:cs="宋体"/>
                <w:color w:val="000000"/>
                <w:sz w:val="18"/>
                <w:szCs w:val="18"/>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E61C819">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成本指标</w:t>
            </w: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936A003">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人均79元</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366CA7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79</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ADA682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79</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932F511">
            <w:pPr>
              <w:jc w:val="center"/>
              <w:rPr>
                <w:rFonts w:ascii="宋体" w:hAnsi="宋体" w:cs="宋体"/>
                <w:color w:val="000000"/>
                <w:sz w:val="18"/>
                <w:szCs w:val="18"/>
              </w:rPr>
            </w:pPr>
            <w:r>
              <w:rPr>
                <w:rFonts w:hint="eastAsia" w:ascii="宋体" w:hAnsi="宋体" w:cs="宋体"/>
                <w:color w:val="000000"/>
                <w:sz w:val="18"/>
                <w:szCs w:val="18"/>
              </w:rPr>
              <w:t>完成</w:t>
            </w:r>
          </w:p>
        </w:tc>
      </w:tr>
      <w:tr w14:paraId="4397A78F">
        <w:tblPrEx>
          <w:tblCellMar>
            <w:top w:w="0" w:type="dxa"/>
            <w:left w:w="0" w:type="dxa"/>
            <w:bottom w:w="0" w:type="dxa"/>
            <w:right w:w="0" w:type="dxa"/>
          </w:tblCellMar>
        </w:tblPrEx>
        <w:trPr>
          <w:gridAfter w:val="1"/>
          <w:wAfter w:w="49" w:type="dxa"/>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65D9D92F">
            <w:pPr>
              <w:jc w:val="center"/>
              <w:rPr>
                <w:rFonts w:ascii="宋体" w:hAnsi="宋体" w:cs="宋体"/>
                <w:color w:val="000000"/>
                <w:sz w:val="18"/>
                <w:szCs w:val="18"/>
              </w:rPr>
            </w:pPr>
          </w:p>
        </w:tc>
        <w:tc>
          <w:tcPr>
            <w:tcW w:w="50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EB67EF0">
            <w:pPr>
              <w:jc w:val="center"/>
              <w:rPr>
                <w:rFonts w:ascii="宋体" w:hAnsi="宋体" w:cs="宋体"/>
                <w:color w:val="000000"/>
                <w:sz w:val="18"/>
                <w:szCs w:val="18"/>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F308C2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社会效益</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指标</w:t>
            </w: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6E091A0">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城乡居民公共卫生服务差距</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7599B98">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不断缩小</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972439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完成</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15ECAD2">
            <w:pPr>
              <w:jc w:val="center"/>
              <w:rPr>
                <w:rFonts w:ascii="宋体" w:hAnsi="宋体" w:cs="宋体"/>
                <w:color w:val="000000"/>
                <w:sz w:val="18"/>
                <w:szCs w:val="18"/>
              </w:rPr>
            </w:pPr>
          </w:p>
        </w:tc>
      </w:tr>
      <w:tr w14:paraId="4C9DAFA8">
        <w:tblPrEx>
          <w:tblCellMar>
            <w:top w:w="0" w:type="dxa"/>
            <w:left w:w="0" w:type="dxa"/>
            <w:bottom w:w="0" w:type="dxa"/>
            <w:right w:w="0" w:type="dxa"/>
          </w:tblCellMar>
        </w:tblPrEx>
        <w:trPr>
          <w:gridAfter w:val="1"/>
          <w:wAfter w:w="49" w:type="dxa"/>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21631992">
            <w:pPr>
              <w:jc w:val="center"/>
              <w:rPr>
                <w:rFonts w:ascii="宋体" w:hAnsi="宋体" w:cs="宋体"/>
                <w:color w:val="000000"/>
                <w:sz w:val="18"/>
                <w:szCs w:val="18"/>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7289506">
            <w:pPr>
              <w:jc w:val="center"/>
              <w:rPr>
                <w:rFonts w:ascii="宋体" w:hAnsi="宋体" w:cs="宋体"/>
                <w:color w:val="000000"/>
                <w:sz w:val="18"/>
                <w:szCs w:val="18"/>
              </w:rPr>
            </w:pPr>
          </w:p>
        </w:tc>
        <w:tc>
          <w:tcPr>
            <w:tcW w:w="8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1C3EDC3">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可持续影响指标</w:t>
            </w: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A4DBA4">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基本公共卫生服务水平</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0EB3C76">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不断提高</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37EA7A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完成</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AD243F0">
            <w:pPr>
              <w:jc w:val="center"/>
              <w:rPr>
                <w:rFonts w:ascii="宋体" w:hAnsi="宋体" w:cs="宋体"/>
                <w:color w:val="000000"/>
                <w:sz w:val="18"/>
                <w:szCs w:val="18"/>
              </w:rPr>
            </w:pPr>
          </w:p>
        </w:tc>
      </w:tr>
      <w:tr w14:paraId="6A63A159">
        <w:tblPrEx>
          <w:tblCellMar>
            <w:top w:w="0" w:type="dxa"/>
            <w:left w:w="0" w:type="dxa"/>
            <w:bottom w:w="0" w:type="dxa"/>
            <w:right w:w="0" w:type="dxa"/>
          </w:tblCellMar>
        </w:tblPrEx>
        <w:trPr>
          <w:gridAfter w:val="1"/>
          <w:wAfter w:w="49" w:type="dxa"/>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76BB1242">
            <w:pPr>
              <w:jc w:val="center"/>
              <w:rPr>
                <w:rFonts w:ascii="宋体" w:hAnsi="宋体" w:cs="宋体"/>
                <w:color w:val="000000"/>
                <w:sz w:val="18"/>
                <w:szCs w:val="18"/>
              </w:rPr>
            </w:pPr>
          </w:p>
        </w:tc>
        <w:tc>
          <w:tcPr>
            <w:tcW w:w="50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90D5D7F">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满意度指标</w:t>
            </w:r>
          </w:p>
        </w:tc>
        <w:tc>
          <w:tcPr>
            <w:tcW w:w="80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3C8AEC">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服务对象</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满意度指标</w:t>
            </w: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0CD6008">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服务对象满意度</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6E2166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不断提高</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16DEDFA">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完成</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1F87FD6">
            <w:pPr>
              <w:jc w:val="center"/>
              <w:rPr>
                <w:rFonts w:ascii="宋体" w:hAnsi="宋体" w:cs="宋体"/>
                <w:color w:val="000000"/>
                <w:sz w:val="18"/>
                <w:szCs w:val="18"/>
              </w:rPr>
            </w:pPr>
          </w:p>
        </w:tc>
      </w:tr>
      <w:tr w14:paraId="4C0226AA">
        <w:tblPrEx>
          <w:tblCellMar>
            <w:top w:w="0" w:type="dxa"/>
            <w:left w:w="0" w:type="dxa"/>
            <w:bottom w:w="0" w:type="dxa"/>
            <w:right w:w="0" w:type="dxa"/>
          </w:tblCellMar>
        </w:tblPrEx>
        <w:trPr>
          <w:gridAfter w:val="1"/>
          <w:wAfter w:w="49" w:type="dxa"/>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7504509D">
            <w:pPr>
              <w:jc w:val="center"/>
              <w:rPr>
                <w:rFonts w:ascii="宋体" w:hAnsi="宋体" w:cs="宋体"/>
                <w:color w:val="000000"/>
                <w:sz w:val="18"/>
                <w:szCs w:val="18"/>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0BEFDAD">
            <w:pPr>
              <w:jc w:val="center"/>
              <w:rPr>
                <w:rFonts w:ascii="宋体" w:hAnsi="宋体" w:cs="宋体"/>
                <w:color w:val="000000"/>
                <w:sz w:val="18"/>
                <w:szCs w:val="18"/>
              </w:rPr>
            </w:pPr>
          </w:p>
        </w:tc>
        <w:tc>
          <w:tcPr>
            <w:tcW w:w="8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4E2D8F">
            <w:pPr>
              <w:jc w:val="center"/>
              <w:rPr>
                <w:rFonts w:ascii="宋体" w:hAnsi="宋体" w:cs="宋体"/>
                <w:color w:val="000000"/>
                <w:sz w:val="18"/>
                <w:szCs w:val="18"/>
              </w:rPr>
            </w:pPr>
          </w:p>
        </w:tc>
        <w:tc>
          <w:tcPr>
            <w:tcW w:w="27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5C91395">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rPr>
              <w:t>避孕药具发放满意度</w:t>
            </w:r>
          </w:p>
        </w:tc>
        <w:tc>
          <w:tcPr>
            <w:tcW w:w="138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DE0E3C1">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≥80%</w:t>
            </w:r>
          </w:p>
        </w:tc>
        <w:tc>
          <w:tcPr>
            <w:tcW w:w="91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66C5E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85%</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A8DB806">
            <w:pPr>
              <w:jc w:val="center"/>
              <w:rPr>
                <w:rFonts w:ascii="宋体" w:hAnsi="宋体" w:cs="宋体"/>
                <w:color w:val="000000"/>
                <w:sz w:val="18"/>
                <w:szCs w:val="18"/>
              </w:rPr>
            </w:pPr>
          </w:p>
        </w:tc>
      </w:tr>
      <w:tr w14:paraId="0BE101A7">
        <w:tblPrEx>
          <w:tblCellMar>
            <w:top w:w="0" w:type="dxa"/>
            <w:left w:w="0" w:type="dxa"/>
            <w:bottom w:w="0" w:type="dxa"/>
            <w:right w:w="0" w:type="dxa"/>
          </w:tblCellMar>
        </w:tblPrEx>
        <w:trPr>
          <w:gridAfter w:val="1"/>
          <w:wAfter w:w="49" w:type="dxa"/>
          <w:trHeight w:val="323"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26E2285">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说明</w:t>
            </w:r>
          </w:p>
        </w:tc>
        <w:tc>
          <w:tcPr>
            <w:tcW w:w="8871" w:type="dxa"/>
            <w:gridSpan w:val="1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6382F90">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无</w:t>
            </w:r>
          </w:p>
        </w:tc>
      </w:tr>
      <w:tr w14:paraId="2A9E91D6">
        <w:tblPrEx>
          <w:tblCellMar>
            <w:top w:w="0" w:type="dxa"/>
            <w:left w:w="0" w:type="dxa"/>
            <w:bottom w:w="0" w:type="dxa"/>
            <w:right w:w="0" w:type="dxa"/>
          </w:tblCellMar>
        </w:tblPrEx>
        <w:trPr>
          <w:gridAfter w:val="1"/>
          <w:wAfter w:w="49" w:type="dxa"/>
          <w:trHeight w:val="280" w:hRule="atLeast"/>
        </w:trPr>
        <w:tc>
          <w:tcPr>
            <w:tcW w:w="509" w:type="dxa"/>
            <w:tcBorders>
              <w:top w:val="nil"/>
              <w:left w:val="nil"/>
              <w:bottom w:val="nil"/>
              <w:right w:val="nil"/>
            </w:tcBorders>
            <w:shd w:val="clear" w:color="auto" w:fill="auto"/>
            <w:noWrap/>
            <w:tcMar>
              <w:top w:w="10" w:type="dxa"/>
              <w:left w:w="10" w:type="dxa"/>
              <w:right w:w="10" w:type="dxa"/>
            </w:tcMar>
            <w:vAlign w:val="center"/>
          </w:tcPr>
          <w:p w14:paraId="6ED84AAB">
            <w:pPr>
              <w:rPr>
                <w:rFonts w:ascii="宋体" w:hAnsi="宋体" w:cs="宋体"/>
                <w:color w:val="000000"/>
                <w:sz w:val="22"/>
                <w:szCs w:val="22"/>
              </w:rPr>
            </w:pPr>
          </w:p>
        </w:tc>
        <w:tc>
          <w:tcPr>
            <w:tcW w:w="509" w:type="dxa"/>
            <w:tcBorders>
              <w:top w:val="nil"/>
              <w:left w:val="nil"/>
              <w:bottom w:val="nil"/>
              <w:right w:val="nil"/>
            </w:tcBorders>
            <w:shd w:val="clear" w:color="auto" w:fill="auto"/>
            <w:noWrap/>
            <w:tcMar>
              <w:top w:w="10" w:type="dxa"/>
              <w:left w:w="10" w:type="dxa"/>
              <w:right w:w="10" w:type="dxa"/>
            </w:tcMar>
            <w:vAlign w:val="center"/>
          </w:tcPr>
          <w:p w14:paraId="25E52FE7">
            <w:pPr>
              <w:rPr>
                <w:rFonts w:ascii="宋体" w:hAnsi="宋体" w:cs="宋体"/>
                <w:color w:val="000000"/>
                <w:sz w:val="22"/>
                <w:szCs w:val="22"/>
              </w:rPr>
            </w:pPr>
          </w:p>
        </w:tc>
        <w:tc>
          <w:tcPr>
            <w:tcW w:w="809" w:type="dxa"/>
            <w:tcBorders>
              <w:top w:val="nil"/>
              <w:left w:val="nil"/>
              <w:bottom w:val="nil"/>
              <w:right w:val="nil"/>
            </w:tcBorders>
            <w:shd w:val="clear" w:color="auto" w:fill="auto"/>
            <w:noWrap/>
            <w:tcMar>
              <w:top w:w="10" w:type="dxa"/>
              <w:left w:w="10" w:type="dxa"/>
              <w:right w:w="10" w:type="dxa"/>
            </w:tcMar>
            <w:vAlign w:val="center"/>
          </w:tcPr>
          <w:p w14:paraId="32953949">
            <w:pPr>
              <w:rPr>
                <w:rFonts w:ascii="宋体" w:hAnsi="宋体" w:cs="宋体"/>
                <w:color w:val="000000"/>
                <w:sz w:val="22"/>
                <w:szCs w:val="22"/>
              </w:rPr>
            </w:pPr>
          </w:p>
        </w:tc>
        <w:tc>
          <w:tcPr>
            <w:tcW w:w="1668" w:type="dxa"/>
            <w:gridSpan w:val="2"/>
            <w:tcBorders>
              <w:top w:val="nil"/>
              <w:left w:val="nil"/>
              <w:bottom w:val="nil"/>
              <w:right w:val="nil"/>
            </w:tcBorders>
            <w:shd w:val="clear" w:color="auto" w:fill="auto"/>
            <w:noWrap/>
            <w:tcMar>
              <w:top w:w="10" w:type="dxa"/>
              <w:left w:w="10" w:type="dxa"/>
              <w:right w:w="10" w:type="dxa"/>
            </w:tcMar>
            <w:vAlign w:val="center"/>
          </w:tcPr>
          <w:p w14:paraId="6AB1F94C">
            <w:pPr>
              <w:rPr>
                <w:rFonts w:ascii="宋体" w:hAnsi="宋体" w:cs="宋体"/>
                <w:color w:val="000000"/>
                <w:sz w:val="22"/>
                <w:szCs w:val="22"/>
              </w:rPr>
            </w:pPr>
          </w:p>
        </w:tc>
        <w:tc>
          <w:tcPr>
            <w:tcW w:w="1079" w:type="dxa"/>
            <w:gridSpan w:val="2"/>
            <w:tcBorders>
              <w:top w:val="nil"/>
              <w:left w:val="nil"/>
              <w:bottom w:val="nil"/>
              <w:right w:val="nil"/>
            </w:tcBorders>
            <w:shd w:val="clear" w:color="auto" w:fill="auto"/>
            <w:noWrap/>
            <w:tcMar>
              <w:top w:w="10" w:type="dxa"/>
              <w:left w:w="10" w:type="dxa"/>
              <w:right w:w="10" w:type="dxa"/>
            </w:tcMar>
            <w:vAlign w:val="center"/>
          </w:tcPr>
          <w:p w14:paraId="5306B70A">
            <w:pPr>
              <w:rPr>
                <w:rFonts w:ascii="宋体" w:hAnsi="宋体" w:cs="宋体"/>
                <w:color w:val="000000"/>
                <w:sz w:val="22"/>
                <w:szCs w:val="22"/>
              </w:rPr>
            </w:pPr>
          </w:p>
        </w:tc>
        <w:tc>
          <w:tcPr>
            <w:tcW w:w="1388" w:type="dxa"/>
            <w:gridSpan w:val="2"/>
            <w:tcBorders>
              <w:top w:val="nil"/>
              <w:left w:val="nil"/>
              <w:bottom w:val="nil"/>
              <w:right w:val="nil"/>
            </w:tcBorders>
            <w:shd w:val="clear" w:color="auto" w:fill="auto"/>
            <w:noWrap/>
            <w:tcMar>
              <w:top w:w="10" w:type="dxa"/>
              <w:left w:w="10" w:type="dxa"/>
              <w:right w:w="10" w:type="dxa"/>
            </w:tcMar>
            <w:vAlign w:val="center"/>
          </w:tcPr>
          <w:p w14:paraId="4700A353">
            <w:pPr>
              <w:rPr>
                <w:rFonts w:ascii="宋体" w:hAnsi="宋体" w:cs="宋体"/>
                <w:color w:val="000000"/>
                <w:sz w:val="22"/>
                <w:szCs w:val="22"/>
              </w:rPr>
            </w:pPr>
          </w:p>
        </w:tc>
        <w:tc>
          <w:tcPr>
            <w:tcW w:w="910" w:type="dxa"/>
            <w:gridSpan w:val="2"/>
            <w:tcBorders>
              <w:top w:val="nil"/>
              <w:left w:val="nil"/>
              <w:bottom w:val="nil"/>
              <w:right w:val="nil"/>
            </w:tcBorders>
            <w:shd w:val="clear" w:color="auto" w:fill="auto"/>
            <w:noWrap/>
            <w:tcMar>
              <w:top w:w="10" w:type="dxa"/>
              <w:left w:w="10" w:type="dxa"/>
              <w:right w:w="10" w:type="dxa"/>
            </w:tcMar>
            <w:vAlign w:val="center"/>
          </w:tcPr>
          <w:p w14:paraId="1EEBD2EF">
            <w:pPr>
              <w:rPr>
                <w:rFonts w:ascii="宋体" w:hAnsi="宋体" w:cs="宋体"/>
                <w:color w:val="000000"/>
                <w:sz w:val="22"/>
                <w:szCs w:val="22"/>
              </w:rPr>
            </w:pPr>
          </w:p>
        </w:tc>
        <w:tc>
          <w:tcPr>
            <w:tcW w:w="2508" w:type="dxa"/>
            <w:gridSpan w:val="2"/>
            <w:tcBorders>
              <w:top w:val="nil"/>
              <w:left w:val="nil"/>
              <w:bottom w:val="nil"/>
              <w:right w:val="nil"/>
            </w:tcBorders>
            <w:shd w:val="clear" w:color="auto" w:fill="auto"/>
            <w:noWrap/>
            <w:tcMar>
              <w:top w:w="10" w:type="dxa"/>
              <w:left w:w="10" w:type="dxa"/>
              <w:right w:w="10" w:type="dxa"/>
            </w:tcMar>
            <w:vAlign w:val="center"/>
          </w:tcPr>
          <w:p w14:paraId="731245BC">
            <w:pPr>
              <w:rPr>
                <w:rFonts w:ascii="宋体" w:hAnsi="宋体" w:cs="宋体"/>
                <w:color w:val="000000"/>
                <w:sz w:val="22"/>
                <w:szCs w:val="22"/>
              </w:rPr>
            </w:pPr>
          </w:p>
        </w:tc>
      </w:tr>
      <w:tr w14:paraId="431ECDE5">
        <w:tblPrEx>
          <w:tblCellMar>
            <w:top w:w="0" w:type="dxa"/>
            <w:left w:w="0" w:type="dxa"/>
            <w:bottom w:w="0" w:type="dxa"/>
            <w:right w:w="0" w:type="dxa"/>
          </w:tblCellMar>
        </w:tblPrEx>
        <w:trPr>
          <w:trHeight w:val="330" w:hRule="atLeast"/>
        </w:trPr>
        <w:tc>
          <w:tcPr>
            <w:tcW w:w="509" w:type="dxa"/>
            <w:tcBorders>
              <w:top w:val="nil"/>
              <w:left w:val="nil"/>
              <w:bottom w:val="nil"/>
              <w:right w:val="nil"/>
            </w:tcBorders>
            <w:shd w:val="clear" w:color="auto" w:fill="auto"/>
            <w:noWrap/>
            <w:tcMar>
              <w:top w:w="10" w:type="dxa"/>
              <w:left w:w="10" w:type="dxa"/>
              <w:right w:w="10" w:type="dxa"/>
            </w:tcMar>
            <w:vAlign w:val="center"/>
          </w:tcPr>
          <w:p w14:paraId="6145D2F3">
            <w:pPr>
              <w:jc w:val="left"/>
              <w:rPr>
                <w:rFonts w:ascii="仿宋_GB2312" w:hAnsi="宋体" w:eastAsia="仿宋_GB2312" w:cs="仿宋_GB2312"/>
                <w:color w:val="000000"/>
                <w:sz w:val="16"/>
                <w:szCs w:val="16"/>
              </w:rPr>
            </w:pPr>
          </w:p>
        </w:tc>
        <w:tc>
          <w:tcPr>
            <w:tcW w:w="509" w:type="dxa"/>
            <w:tcBorders>
              <w:top w:val="nil"/>
              <w:left w:val="nil"/>
              <w:bottom w:val="nil"/>
              <w:right w:val="nil"/>
            </w:tcBorders>
            <w:shd w:val="clear" w:color="auto" w:fill="auto"/>
            <w:tcMar>
              <w:top w:w="10" w:type="dxa"/>
              <w:left w:w="10" w:type="dxa"/>
              <w:right w:w="10" w:type="dxa"/>
            </w:tcMar>
            <w:vAlign w:val="center"/>
          </w:tcPr>
          <w:p w14:paraId="610B50D3">
            <w:pPr>
              <w:rPr>
                <w:rFonts w:ascii="黑体" w:hAnsi="宋体" w:eastAsia="黑体" w:cs="黑体"/>
                <w:color w:val="000000"/>
                <w:sz w:val="16"/>
                <w:szCs w:val="16"/>
              </w:rPr>
            </w:pPr>
          </w:p>
        </w:tc>
        <w:tc>
          <w:tcPr>
            <w:tcW w:w="860" w:type="dxa"/>
            <w:gridSpan w:val="2"/>
            <w:tcBorders>
              <w:top w:val="nil"/>
              <w:left w:val="nil"/>
              <w:bottom w:val="nil"/>
              <w:right w:val="nil"/>
            </w:tcBorders>
            <w:shd w:val="clear" w:color="auto" w:fill="auto"/>
            <w:tcMar>
              <w:top w:w="10" w:type="dxa"/>
              <w:left w:w="10" w:type="dxa"/>
              <w:right w:w="10" w:type="dxa"/>
            </w:tcMar>
            <w:vAlign w:val="center"/>
          </w:tcPr>
          <w:p w14:paraId="115FCA54">
            <w:pPr>
              <w:rPr>
                <w:rFonts w:ascii="黑体" w:hAnsi="宋体" w:eastAsia="黑体" w:cs="黑体"/>
                <w:color w:val="000000"/>
                <w:sz w:val="16"/>
                <w:szCs w:val="16"/>
              </w:rPr>
            </w:pPr>
          </w:p>
        </w:tc>
        <w:tc>
          <w:tcPr>
            <w:tcW w:w="1750" w:type="dxa"/>
            <w:gridSpan w:val="2"/>
            <w:tcBorders>
              <w:top w:val="nil"/>
              <w:left w:val="nil"/>
              <w:bottom w:val="nil"/>
              <w:right w:val="nil"/>
            </w:tcBorders>
            <w:shd w:val="clear" w:color="auto" w:fill="auto"/>
            <w:tcMar>
              <w:top w:w="10" w:type="dxa"/>
              <w:left w:w="10" w:type="dxa"/>
              <w:right w:w="10" w:type="dxa"/>
            </w:tcMar>
            <w:vAlign w:val="center"/>
          </w:tcPr>
          <w:p w14:paraId="241FD369">
            <w:pPr>
              <w:rPr>
                <w:rFonts w:ascii="黑体" w:hAnsi="宋体" w:eastAsia="黑体" w:cs="黑体"/>
                <w:color w:val="000000"/>
                <w:sz w:val="16"/>
                <w:szCs w:val="16"/>
              </w:rPr>
            </w:pPr>
          </w:p>
        </w:tc>
        <w:tc>
          <w:tcPr>
            <w:tcW w:w="1350" w:type="dxa"/>
            <w:gridSpan w:val="2"/>
            <w:tcBorders>
              <w:top w:val="nil"/>
              <w:left w:val="nil"/>
              <w:bottom w:val="nil"/>
              <w:right w:val="nil"/>
            </w:tcBorders>
            <w:shd w:val="clear" w:color="auto" w:fill="auto"/>
            <w:tcMar>
              <w:top w:w="10" w:type="dxa"/>
              <w:left w:w="10" w:type="dxa"/>
              <w:right w:w="10" w:type="dxa"/>
            </w:tcMar>
            <w:vAlign w:val="center"/>
          </w:tcPr>
          <w:p w14:paraId="09A83A33">
            <w:pPr>
              <w:rPr>
                <w:rFonts w:ascii="宋体" w:hAnsi="宋体" w:cs="宋体"/>
                <w:color w:val="000000"/>
                <w:sz w:val="16"/>
                <w:szCs w:val="16"/>
              </w:rPr>
            </w:pPr>
          </w:p>
        </w:tc>
        <w:tc>
          <w:tcPr>
            <w:tcW w:w="1417" w:type="dxa"/>
            <w:gridSpan w:val="2"/>
            <w:tcBorders>
              <w:top w:val="nil"/>
              <w:left w:val="nil"/>
              <w:bottom w:val="nil"/>
              <w:right w:val="nil"/>
            </w:tcBorders>
            <w:shd w:val="clear" w:color="auto" w:fill="auto"/>
            <w:tcMar>
              <w:top w:w="10" w:type="dxa"/>
              <w:left w:w="10" w:type="dxa"/>
              <w:right w:w="10" w:type="dxa"/>
            </w:tcMar>
            <w:vAlign w:val="center"/>
          </w:tcPr>
          <w:p w14:paraId="712FE0F8">
            <w:pPr>
              <w:rPr>
                <w:rFonts w:ascii="宋体" w:hAnsi="宋体" w:cs="宋体"/>
                <w:color w:val="000000"/>
                <w:sz w:val="16"/>
                <w:szCs w:val="16"/>
              </w:rPr>
            </w:pPr>
          </w:p>
        </w:tc>
        <w:tc>
          <w:tcPr>
            <w:tcW w:w="930" w:type="dxa"/>
            <w:gridSpan w:val="2"/>
            <w:tcBorders>
              <w:top w:val="nil"/>
              <w:left w:val="nil"/>
              <w:bottom w:val="nil"/>
              <w:right w:val="nil"/>
            </w:tcBorders>
            <w:shd w:val="clear" w:color="auto" w:fill="auto"/>
            <w:tcMar>
              <w:top w:w="10" w:type="dxa"/>
              <w:left w:w="10" w:type="dxa"/>
              <w:right w:w="10" w:type="dxa"/>
            </w:tcMar>
            <w:vAlign w:val="center"/>
          </w:tcPr>
          <w:p w14:paraId="0D9EE1D6">
            <w:pPr>
              <w:rPr>
                <w:rFonts w:ascii="宋体" w:hAnsi="宋体" w:cs="宋体"/>
                <w:color w:val="000000"/>
                <w:sz w:val="16"/>
                <w:szCs w:val="16"/>
              </w:rPr>
            </w:pPr>
          </w:p>
        </w:tc>
        <w:tc>
          <w:tcPr>
            <w:tcW w:w="2104" w:type="dxa"/>
            <w:gridSpan w:val="2"/>
            <w:tcBorders>
              <w:top w:val="nil"/>
              <w:left w:val="nil"/>
              <w:bottom w:val="nil"/>
              <w:right w:val="nil"/>
            </w:tcBorders>
            <w:shd w:val="clear" w:color="auto" w:fill="auto"/>
            <w:tcMar>
              <w:top w:w="10" w:type="dxa"/>
              <w:left w:w="10" w:type="dxa"/>
              <w:right w:w="10" w:type="dxa"/>
            </w:tcMar>
            <w:vAlign w:val="center"/>
          </w:tcPr>
          <w:p w14:paraId="1BD6F256">
            <w:pPr>
              <w:rPr>
                <w:rFonts w:ascii="宋体" w:hAnsi="宋体" w:cs="宋体"/>
                <w:color w:val="000000"/>
                <w:sz w:val="16"/>
                <w:szCs w:val="16"/>
              </w:rPr>
            </w:pPr>
          </w:p>
        </w:tc>
      </w:tr>
      <w:tr w14:paraId="40F7E191">
        <w:tblPrEx>
          <w:tblCellMar>
            <w:top w:w="0" w:type="dxa"/>
            <w:left w:w="0" w:type="dxa"/>
            <w:bottom w:w="0" w:type="dxa"/>
            <w:right w:w="0" w:type="dxa"/>
          </w:tblCellMar>
        </w:tblPrEx>
        <w:trPr>
          <w:trHeight w:val="440" w:hRule="atLeast"/>
        </w:trPr>
        <w:tc>
          <w:tcPr>
            <w:tcW w:w="9429" w:type="dxa"/>
            <w:gridSpan w:val="14"/>
            <w:tcBorders>
              <w:top w:val="nil"/>
              <w:left w:val="nil"/>
              <w:bottom w:val="nil"/>
              <w:right w:val="nil"/>
            </w:tcBorders>
            <w:shd w:val="clear" w:color="auto" w:fill="auto"/>
            <w:tcMar>
              <w:top w:w="10" w:type="dxa"/>
              <w:left w:w="10" w:type="dxa"/>
              <w:right w:w="10" w:type="dxa"/>
            </w:tcMar>
            <w:vAlign w:val="center"/>
          </w:tcPr>
          <w:p w14:paraId="49FBE251">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rPr>
              <w:t xml:space="preserve">基本药物制度转移支付区域（项目）绩效目标自评表 </w:t>
            </w:r>
          </w:p>
        </w:tc>
      </w:tr>
      <w:tr w14:paraId="71071570">
        <w:tblPrEx>
          <w:tblCellMar>
            <w:top w:w="0" w:type="dxa"/>
            <w:left w:w="0" w:type="dxa"/>
            <w:bottom w:w="0" w:type="dxa"/>
            <w:right w:w="0" w:type="dxa"/>
          </w:tblCellMar>
        </w:tblPrEx>
        <w:trPr>
          <w:trHeight w:val="432" w:hRule="atLeast"/>
        </w:trPr>
        <w:tc>
          <w:tcPr>
            <w:tcW w:w="9429" w:type="dxa"/>
            <w:gridSpan w:val="14"/>
            <w:tcBorders>
              <w:top w:val="nil"/>
              <w:left w:val="nil"/>
              <w:bottom w:val="single" w:color="000000" w:sz="4" w:space="0"/>
              <w:right w:val="nil"/>
            </w:tcBorders>
            <w:shd w:val="clear" w:color="auto" w:fill="auto"/>
            <w:tcMar>
              <w:top w:w="10" w:type="dxa"/>
              <w:left w:w="10" w:type="dxa"/>
              <w:right w:w="10" w:type="dxa"/>
            </w:tcMar>
          </w:tcPr>
          <w:p w14:paraId="52106BF1">
            <w:pPr>
              <w:widowControl/>
              <w:jc w:val="center"/>
              <w:textAlignment w:val="top"/>
              <w:rPr>
                <w:rFonts w:ascii="宋体" w:hAnsi="宋体" w:cs="宋体"/>
                <w:color w:val="000000"/>
                <w:sz w:val="20"/>
                <w:szCs w:val="20"/>
              </w:rPr>
            </w:pPr>
            <w:r>
              <w:rPr>
                <w:rFonts w:hint="eastAsia" w:ascii="宋体" w:hAnsi="宋体" w:cs="宋体"/>
                <w:color w:val="000000"/>
                <w:kern w:val="0"/>
                <w:sz w:val="20"/>
                <w:szCs w:val="20"/>
              </w:rPr>
              <w:t>（2021年度）</w:t>
            </w:r>
          </w:p>
        </w:tc>
      </w:tr>
      <w:tr w14:paraId="167BEC82">
        <w:tblPrEx>
          <w:tblCellMar>
            <w:top w:w="0" w:type="dxa"/>
            <w:left w:w="0" w:type="dxa"/>
            <w:bottom w:w="0" w:type="dxa"/>
            <w:right w:w="0" w:type="dxa"/>
          </w:tblCellMar>
        </w:tblPrEx>
        <w:trPr>
          <w:trHeight w:val="400" w:hRule="atLeast"/>
        </w:trPr>
        <w:tc>
          <w:tcPr>
            <w:tcW w:w="1878"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67E2E3E">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转移支付（项目）名称</w:t>
            </w:r>
          </w:p>
        </w:tc>
        <w:tc>
          <w:tcPr>
            <w:tcW w:w="7551" w:type="dxa"/>
            <w:gridSpan w:val="10"/>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0429BC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基本药物制度资金</w:t>
            </w:r>
          </w:p>
        </w:tc>
      </w:tr>
      <w:tr w14:paraId="354EA218">
        <w:tblPrEx>
          <w:tblCellMar>
            <w:top w:w="0" w:type="dxa"/>
            <w:left w:w="0" w:type="dxa"/>
            <w:bottom w:w="0" w:type="dxa"/>
            <w:right w:w="0" w:type="dxa"/>
          </w:tblCellMar>
        </w:tblPrEx>
        <w:trPr>
          <w:trHeight w:val="323" w:hRule="atLeast"/>
        </w:trPr>
        <w:tc>
          <w:tcPr>
            <w:tcW w:w="1878"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2F03B9A">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中央主管部门</w:t>
            </w:r>
          </w:p>
        </w:tc>
        <w:tc>
          <w:tcPr>
            <w:tcW w:w="7551" w:type="dxa"/>
            <w:gridSpan w:val="10"/>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5A2A398">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国家卫健委</w:t>
            </w:r>
          </w:p>
        </w:tc>
      </w:tr>
      <w:tr w14:paraId="11ABC882">
        <w:tblPrEx>
          <w:tblCellMar>
            <w:top w:w="0" w:type="dxa"/>
            <w:left w:w="0" w:type="dxa"/>
            <w:bottom w:w="0" w:type="dxa"/>
            <w:right w:w="0" w:type="dxa"/>
          </w:tblCellMar>
        </w:tblPrEx>
        <w:trPr>
          <w:trHeight w:val="323" w:hRule="atLeast"/>
        </w:trPr>
        <w:tc>
          <w:tcPr>
            <w:tcW w:w="1878"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71F2EB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地方主管部门</w:t>
            </w:r>
          </w:p>
        </w:tc>
        <w:tc>
          <w:tcPr>
            <w:tcW w:w="3100"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52DB52A">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广元市昭化区卫健局</w:t>
            </w:r>
          </w:p>
        </w:tc>
        <w:tc>
          <w:tcPr>
            <w:tcW w:w="14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840170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资金使用单位</w:t>
            </w:r>
          </w:p>
        </w:tc>
        <w:tc>
          <w:tcPr>
            <w:tcW w:w="3034"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BF763B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基层医疗卫生机构</w:t>
            </w:r>
          </w:p>
        </w:tc>
      </w:tr>
      <w:tr w14:paraId="450BAD40">
        <w:tblPrEx>
          <w:tblCellMar>
            <w:top w:w="0" w:type="dxa"/>
            <w:left w:w="0" w:type="dxa"/>
            <w:bottom w:w="0" w:type="dxa"/>
            <w:right w:w="0" w:type="dxa"/>
          </w:tblCellMar>
        </w:tblPrEx>
        <w:trPr>
          <w:trHeight w:val="323" w:hRule="atLeast"/>
        </w:trPr>
        <w:tc>
          <w:tcPr>
            <w:tcW w:w="1878" w:type="dxa"/>
            <w:gridSpan w:val="4"/>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3C6C82E">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资金情况</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（万元）</w:t>
            </w:r>
          </w:p>
        </w:tc>
        <w:tc>
          <w:tcPr>
            <w:tcW w:w="175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B101180">
            <w:pPr>
              <w:rPr>
                <w:rFonts w:ascii="宋体" w:hAnsi="宋体" w:cs="宋体"/>
                <w:color w:val="000000"/>
                <w:sz w:val="16"/>
                <w:szCs w:val="16"/>
              </w:rPr>
            </w:pP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8E3ABA">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全年预算数（A）</w:t>
            </w:r>
          </w:p>
        </w:tc>
        <w:tc>
          <w:tcPr>
            <w:tcW w:w="23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DFEF1BE">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全年执行数（B）</w:t>
            </w:r>
          </w:p>
        </w:tc>
        <w:tc>
          <w:tcPr>
            <w:tcW w:w="210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8E48FF8">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预算执行率（B/A)</w:t>
            </w:r>
          </w:p>
        </w:tc>
      </w:tr>
      <w:tr w14:paraId="2682C488">
        <w:tblPrEx>
          <w:tblCellMar>
            <w:top w:w="0" w:type="dxa"/>
            <w:left w:w="0" w:type="dxa"/>
            <w:bottom w:w="0" w:type="dxa"/>
            <w:right w:w="0" w:type="dxa"/>
          </w:tblCellMar>
        </w:tblPrEx>
        <w:trPr>
          <w:trHeight w:val="323" w:hRule="atLeast"/>
        </w:trPr>
        <w:tc>
          <w:tcPr>
            <w:tcW w:w="1878"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D56468A">
            <w:pPr>
              <w:jc w:val="center"/>
              <w:rPr>
                <w:rFonts w:ascii="宋体" w:hAnsi="宋体" w:cs="宋体"/>
                <w:color w:val="000000"/>
                <w:sz w:val="16"/>
                <w:szCs w:val="16"/>
              </w:rPr>
            </w:pPr>
          </w:p>
        </w:tc>
        <w:tc>
          <w:tcPr>
            <w:tcW w:w="175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CD4B3B5">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年度资金总额：</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733FAB9">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280.69</w:t>
            </w:r>
          </w:p>
        </w:tc>
        <w:tc>
          <w:tcPr>
            <w:tcW w:w="23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FA0B04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280.69</w:t>
            </w:r>
          </w:p>
        </w:tc>
        <w:tc>
          <w:tcPr>
            <w:tcW w:w="210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7A4890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r>
      <w:tr w14:paraId="3B63E66A">
        <w:tblPrEx>
          <w:tblCellMar>
            <w:top w:w="0" w:type="dxa"/>
            <w:left w:w="0" w:type="dxa"/>
            <w:bottom w:w="0" w:type="dxa"/>
            <w:right w:w="0" w:type="dxa"/>
          </w:tblCellMar>
        </w:tblPrEx>
        <w:trPr>
          <w:trHeight w:val="323" w:hRule="atLeast"/>
        </w:trPr>
        <w:tc>
          <w:tcPr>
            <w:tcW w:w="1878"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F11B293">
            <w:pPr>
              <w:jc w:val="center"/>
              <w:rPr>
                <w:rFonts w:ascii="宋体" w:hAnsi="宋体" w:cs="宋体"/>
                <w:color w:val="000000"/>
                <w:sz w:val="16"/>
                <w:szCs w:val="16"/>
              </w:rPr>
            </w:pPr>
          </w:p>
        </w:tc>
        <w:tc>
          <w:tcPr>
            <w:tcW w:w="175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1A75AC6">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w:t>
            </w:r>
            <w:r>
              <w:rPr>
                <w:rStyle w:val="35"/>
                <w:rFonts w:hint="default"/>
              </w:rPr>
              <w:t>其中：中央财政资金</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35E24B5">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228.33</w:t>
            </w:r>
          </w:p>
        </w:tc>
        <w:tc>
          <w:tcPr>
            <w:tcW w:w="23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0C1B91">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228.33</w:t>
            </w:r>
          </w:p>
        </w:tc>
        <w:tc>
          <w:tcPr>
            <w:tcW w:w="210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F9EDA1A">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r>
      <w:tr w14:paraId="5F9605D9">
        <w:tblPrEx>
          <w:tblCellMar>
            <w:top w:w="0" w:type="dxa"/>
            <w:left w:w="0" w:type="dxa"/>
            <w:bottom w:w="0" w:type="dxa"/>
            <w:right w:w="0" w:type="dxa"/>
          </w:tblCellMar>
        </w:tblPrEx>
        <w:trPr>
          <w:trHeight w:val="323" w:hRule="atLeast"/>
        </w:trPr>
        <w:tc>
          <w:tcPr>
            <w:tcW w:w="1878"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2BC279">
            <w:pPr>
              <w:jc w:val="center"/>
              <w:rPr>
                <w:rFonts w:ascii="宋体" w:hAnsi="宋体" w:cs="宋体"/>
                <w:color w:val="000000"/>
                <w:sz w:val="16"/>
                <w:szCs w:val="16"/>
              </w:rPr>
            </w:pPr>
          </w:p>
        </w:tc>
        <w:tc>
          <w:tcPr>
            <w:tcW w:w="175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C7A09EE">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w:t>
            </w:r>
            <w:r>
              <w:rPr>
                <w:rStyle w:val="35"/>
                <w:rFonts w:hint="default"/>
              </w:rPr>
              <w:t xml:space="preserve">      地方资金</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D7C614B">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52.36</w:t>
            </w:r>
          </w:p>
        </w:tc>
        <w:tc>
          <w:tcPr>
            <w:tcW w:w="23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10D4442">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52.36</w:t>
            </w:r>
          </w:p>
        </w:tc>
        <w:tc>
          <w:tcPr>
            <w:tcW w:w="210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E0F699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r>
      <w:tr w14:paraId="682299EF">
        <w:tblPrEx>
          <w:tblCellMar>
            <w:top w:w="0" w:type="dxa"/>
            <w:left w:w="0" w:type="dxa"/>
            <w:bottom w:w="0" w:type="dxa"/>
            <w:right w:w="0" w:type="dxa"/>
          </w:tblCellMar>
        </w:tblPrEx>
        <w:trPr>
          <w:trHeight w:val="323" w:hRule="atLeast"/>
        </w:trPr>
        <w:tc>
          <w:tcPr>
            <w:tcW w:w="1878"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07EC680">
            <w:pPr>
              <w:jc w:val="center"/>
              <w:rPr>
                <w:rFonts w:ascii="宋体" w:hAnsi="宋体" w:cs="宋体"/>
                <w:color w:val="000000"/>
                <w:sz w:val="16"/>
                <w:szCs w:val="16"/>
              </w:rPr>
            </w:pPr>
          </w:p>
        </w:tc>
        <w:tc>
          <w:tcPr>
            <w:tcW w:w="175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972D2BF">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w:t>
            </w:r>
            <w:r>
              <w:rPr>
                <w:rStyle w:val="35"/>
                <w:rFonts w:hint="default"/>
              </w:rPr>
              <w:t xml:space="preserve">  其他资金</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92BC9DE">
            <w:pPr>
              <w:jc w:val="center"/>
              <w:rPr>
                <w:rFonts w:ascii="宋体" w:hAnsi="宋体" w:cs="宋体"/>
                <w:color w:val="000000"/>
                <w:sz w:val="16"/>
                <w:szCs w:val="16"/>
              </w:rPr>
            </w:pPr>
          </w:p>
        </w:tc>
        <w:tc>
          <w:tcPr>
            <w:tcW w:w="2347"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DD9ED0B">
            <w:pPr>
              <w:jc w:val="center"/>
              <w:rPr>
                <w:rFonts w:ascii="宋体" w:hAnsi="宋体" w:cs="宋体"/>
                <w:color w:val="000000"/>
                <w:sz w:val="16"/>
                <w:szCs w:val="16"/>
              </w:rPr>
            </w:pPr>
          </w:p>
        </w:tc>
        <w:tc>
          <w:tcPr>
            <w:tcW w:w="210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746887C">
            <w:pPr>
              <w:jc w:val="left"/>
              <w:rPr>
                <w:rFonts w:ascii="宋体" w:hAnsi="宋体" w:cs="宋体"/>
                <w:color w:val="000000"/>
                <w:sz w:val="16"/>
                <w:szCs w:val="16"/>
              </w:rPr>
            </w:pPr>
          </w:p>
        </w:tc>
      </w:tr>
      <w:tr w14:paraId="63DB96B4">
        <w:tblPrEx>
          <w:tblCellMar>
            <w:top w:w="0" w:type="dxa"/>
            <w:left w:w="0" w:type="dxa"/>
            <w:bottom w:w="0" w:type="dxa"/>
            <w:right w:w="0" w:type="dxa"/>
          </w:tblCellMar>
        </w:tblPrEx>
        <w:trPr>
          <w:trHeight w:val="323" w:hRule="atLeast"/>
        </w:trPr>
        <w:tc>
          <w:tcPr>
            <w:tcW w:w="50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1C9FFFE">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总体目标完成情况</w:t>
            </w:r>
          </w:p>
        </w:tc>
        <w:tc>
          <w:tcPr>
            <w:tcW w:w="4469" w:type="dxa"/>
            <w:gridSpan w:val="7"/>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62F8D9E">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总体目标</w:t>
            </w:r>
          </w:p>
        </w:tc>
        <w:tc>
          <w:tcPr>
            <w:tcW w:w="4451" w:type="dxa"/>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A28EC3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全年实际完成情况</w:t>
            </w:r>
          </w:p>
        </w:tc>
      </w:tr>
      <w:tr w14:paraId="2882E01C">
        <w:tblPrEx>
          <w:tblCellMar>
            <w:top w:w="0" w:type="dxa"/>
            <w:left w:w="0" w:type="dxa"/>
            <w:bottom w:w="0" w:type="dxa"/>
            <w:right w:w="0" w:type="dxa"/>
          </w:tblCellMar>
        </w:tblPrEx>
        <w:trPr>
          <w:trHeight w:val="110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90E00CC">
            <w:pPr>
              <w:jc w:val="center"/>
              <w:rPr>
                <w:rFonts w:ascii="宋体" w:hAnsi="宋体" w:cs="宋体"/>
                <w:color w:val="000000"/>
                <w:sz w:val="16"/>
                <w:szCs w:val="16"/>
              </w:rPr>
            </w:pPr>
          </w:p>
        </w:tc>
        <w:tc>
          <w:tcPr>
            <w:tcW w:w="4469" w:type="dxa"/>
            <w:gridSpan w:val="7"/>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E117478">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目标1：保证所有政府办基层医疗卫生机构实施国家基本药物制度，推进综合改革顺利进行；  目标2：对实施国家基本药物制度的村卫生室给予补助，支持国家基本药物制度在村卫生室顺利实施；</w:t>
            </w:r>
          </w:p>
        </w:tc>
        <w:tc>
          <w:tcPr>
            <w:tcW w:w="4451" w:type="dxa"/>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FE5C428">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全区27个乡镇卫生院、210个村卫生室全面实施国家基本药物制度，确保基本药物制度的实施，解决了老百姓看病贵的问题，稳定了乡村医生的收入。</w:t>
            </w:r>
          </w:p>
        </w:tc>
      </w:tr>
      <w:tr w14:paraId="610D0871">
        <w:tblPrEx>
          <w:tblCellMar>
            <w:top w:w="0" w:type="dxa"/>
            <w:left w:w="0" w:type="dxa"/>
            <w:bottom w:w="0" w:type="dxa"/>
            <w:right w:w="0" w:type="dxa"/>
          </w:tblCellMar>
        </w:tblPrEx>
        <w:trPr>
          <w:trHeight w:val="522" w:hRule="atLeast"/>
        </w:trPr>
        <w:tc>
          <w:tcPr>
            <w:tcW w:w="50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444CFF92">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绩效指标</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12946F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一级</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指标</w:t>
            </w:r>
          </w:p>
        </w:tc>
        <w:tc>
          <w:tcPr>
            <w:tcW w:w="86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CC119F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二级指标</w:t>
            </w:r>
          </w:p>
        </w:tc>
        <w:tc>
          <w:tcPr>
            <w:tcW w:w="3100"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5B87C5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三级指标</w:t>
            </w:r>
          </w:p>
        </w:tc>
        <w:tc>
          <w:tcPr>
            <w:tcW w:w="14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7E600CA">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指标值</w:t>
            </w:r>
          </w:p>
        </w:tc>
        <w:tc>
          <w:tcPr>
            <w:tcW w:w="93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5631A8E">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全年实际完成值</w:t>
            </w:r>
          </w:p>
        </w:tc>
        <w:tc>
          <w:tcPr>
            <w:tcW w:w="210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AE01C7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未完成原因和改进措施</w:t>
            </w:r>
          </w:p>
        </w:tc>
      </w:tr>
      <w:tr w14:paraId="42C415BB">
        <w:tblPrEx>
          <w:tblCellMar>
            <w:top w:w="0" w:type="dxa"/>
            <w:left w:w="0" w:type="dxa"/>
            <w:bottom w:w="0" w:type="dxa"/>
            <w:right w:w="0" w:type="dxa"/>
          </w:tblCellMar>
        </w:tblPrEx>
        <w:trPr>
          <w:trHeight w:val="46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75798FFF">
            <w:pPr>
              <w:jc w:val="center"/>
              <w:rPr>
                <w:rFonts w:ascii="宋体" w:hAnsi="宋体" w:cs="宋体"/>
                <w:color w:val="000000"/>
                <w:sz w:val="16"/>
                <w:szCs w:val="16"/>
              </w:rPr>
            </w:pPr>
          </w:p>
        </w:tc>
        <w:tc>
          <w:tcPr>
            <w:tcW w:w="50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EC3F2D8">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产</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出</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指</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标</w:t>
            </w:r>
          </w:p>
        </w:tc>
        <w:tc>
          <w:tcPr>
            <w:tcW w:w="8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23F2EA2">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数量指标</w:t>
            </w:r>
          </w:p>
        </w:tc>
        <w:tc>
          <w:tcPr>
            <w:tcW w:w="3100"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0B814F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政府办基层医疗卫生机构基本药物制度覆盖率</w:t>
            </w:r>
          </w:p>
        </w:tc>
        <w:tc>
          <w:tcPr>
            <w:tcW w:w="1417" w:type="dxa"/>
            <w:gridSpan w:val="2"/>
            <w:tcBorders>
              <w:top w:val="single" w:color="000000" w:sz="4" w:space="0"/>
              <w:left w:val="nil"/>
              <w:bottom w:val="single" w:color="000000" w:sz="4" w:space="0"/>
              <w:right w:val="nil"/>
            </w:tcBorders>
            <w:shd w:val="clear" w:color="auto" w:fill="auto"/>
            <w:tcMar>
              <w:top w:w="10" w:type="dxa"/>
              <w:left w:w="10" w:type="dxa"/>
              <w:right w:w="10" w:type="dxa"/>
            </w:tcMar>
            <w:vAlign w:val="center"/>
          </w:tcPr>
          <w:p w14:paraId="3353B8B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93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0D167E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210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39E7A82">
            <w:pPr>
              <w:jc w:val="center"/>
              <w:rPr>
                <w:rFonts w:ascii="宋体" w:hAnsi="宋体" w:cs="宋体"/>
                <w:color w:val="000000"/>
                <w:sz w:val="16"/>
                <w:szCs w:val="16"/>
              </w:rPr>
            </w:pPr>
            <w:r>
              <w:rPr>
                <w:rFonts w:hint="eastAsia" w:ascii="宋体" w:hAnsi="宋体" w:cs="宋体"/>
                <w:color w:val="000000"/>
                <w:sz w:val="18"/>
                <w:szCs w:val="18"/>
              </w:rPr>
              <w:t>完成</w:t>
            </w:r>
          </w:p>
        </w:tc>
      </w:tr>
      <w:tr w14:paraId="1992A622">
        <w:tblPrEx>
          <w:tblCellMar>
            <w:top w:w="0" w:type="dxa"/>
            <w:left w:w="0" w:type="dxa"/>
            <w:bottom w:w="0" w:type="dxa"/>
            <w:right w:w="0" w:type="dxa"/>
          </w:tblCellMar>
        </w:tblPrEx>
        <w:trPr>
          <w:trHeight w:val="46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13BDC089">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70C79FB">
            <w:pPr>
              <w:jc w:val="center"/>
              <w:rPr>
                <w:rFonts w:ascii="宋体" w:hAnsi="宋体" w:cs="宋体"/>
                <w:color w:val="000000"/>
                <w:sz w:val="16"/>
                <w:szCs w:val="16"/>
              </w:rPr>
            </w:pPr>
          </w:p>
        </w:tc>
        <w:tc>
          <w:tcPr>
            <w:tcW w:w="8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F42756A">
            <w:pPr>
              <w:jc w:val="center"/>
              <w:rPr>
                <w:rFonts w:ascii="宋体" w:hAnsi="宋体" w:cs="宋体"/>
                <w:color w:val="000000"/>
                <w:sz w:val="16"/>
                <w:szCs w:val="16"/>
              </w:rPr>
            </w:pPr>
          </w:p>
        </w:tc>
        <w:tc>
          <w:tcPr>
            <w:tcW w:w="3100"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6FA057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村卫生室国家基本药物制度覆盖率</w:t>
            </w:r>
          </w:p>
        </w:tc>
        <w:tc>
          <w:tcPr>
            <w:tcW w:w="1417" w:type="dxa"/>
            <w:gridSpan w:val="2"/>
            <w:tcBorders>
              <w:top w:val="single" w:color="000000" w:sz="4" w:space="0"/>
              <w:left w:val="nil"/>
              <w:bottom w:val="single" w:color="000000" w:sz="4" w:space="0"/>
              <w:right w:val="nil"/>
            </w:tcBorders>
            <w:shd w:val="clear" w:color="auto" w:fill="auto"/>
            <w:tcMar>
              <w:top w:w="10" w:type="dxa"/>
              <w:left w:w="10" w:type="dxa"/>
              <w:right w:w="10" w:type="dxa"/>
            </w:tcMar>
            <w:vAlign w:val="center"/>
          </w:tcPr>
          <w:p w14:paraId="439CFB1F">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93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1AD93DF">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210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7394A31">
            <w:pPr>
              <w:jc w:val="center"/>
              <w:rPr>
                <w:rFonts w:ascii="宋体" w:hAnsi="宋体" w:cs="宋体"/>
                <w:color w:val="000000"/>
                <w:sz w:val="16"/>
                <w:szCs w:val="16"/>
              </w:rPr>
            </w:pPr>
            <w:r>
              <w:rPr>
                <w:rFonts w:hint="eastAsia" w:ascii="宋体" w:hAnsi="宋体" w:cs="宋体"/>
                <w:color w:val="000000"/>
                <w:sz w:val="18"/>
                <w:szCs w:val="18"/>
              </w:rPr>
              <w:t>完成</w:t>
            </w:r>
          </w:p>
        </w:tc>
      </w:tr>
      <w:tr w14:paraId="59F343B5">
        <w:tblPrEx>
          <w:tblCellMar>
            <w:top w:w="0" w:type="dxa"/>
            <w:left w:w="0" w:type="dxa"/>
            <w:bottom w:w="0" w:type="dxa"/>
            <w:right w:w="0" w:type="dxa"/>
          </w:tblCellMar>
        </w:tblPrEx>
        <w:trPr>
          <w:trHeight w:val="42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22189837">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8F3F03">
            <w:pPr>
              <w:jc w:val="center"/>
              <w:rPr>
                <w:rFonts w:ascii="宋体" w:hAnsi="宋体" w:cs="宋体"/>
                <w:color w:val="000000"/>
                <w:sz w:val="16"/>
                <w:szCs w:val="16"/>
              </w:rPr>
            </w:pPr>
          </w:p>
        </w:tc>
        <w:tc>
          <w:tcPr>
            <w:tcW w:w="86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AB0AF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质量指标</w:t>
            </w:r>
          </w:p>
        </w:tc>
        <w:tc>
          <w:tcPr>
            <w:tcW w:w="3100"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C366134">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目录药品质量合格率</w:t>
            </w:r>
          </w:p>
        </w:tc>
        <w:tc>
          <w:tcPr>
            <w:tcW w:w="14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BE3E34B">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93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9ECF012">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210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0C9106">
            <w:pPr>
              <w:jc w:val="center"/>
              <w:rPr>
                <w:rFonts w:ascii="宋体" w:hAnsi="宋体" w:cs="宋体"/>
                <w:color w:val="000000"/>
                <w:sz w:val="16"/>
                <w:szCs w:val="16"/>
              </w:rPr>
            </w:pPr>
            <w:r>
              <w:rPr>
                <w:rFonts w:hint="eastAsia" w:ascii="宋体" w:hAnsi="宋体" w:cs="宋体"/>
                <w:color w:val="000000"/>
                <w:sz w:val="18"/>
                <w:szCs w:val="18"/>
              </w:rPr>
              <w:t>完成</w:t>
            </w:r>
          </w:p>
        </w:tc>
      </w:tr>
      <w:tr w14:paraId="03679A78">
        <w:tblPrEx>
          <w:tblCellMar>
            <w:top w:w="0" w:type="dxa"/>
            <w:left w:w="0" w:type="dxa"/>
            <w:bottom w:w="0" w:type="dxa"/>
            <w:right w:w="0" w:type="dxa"/>
          </w:tblCellMar>
        </w:tblPrEx>
        <w:trPr>
          <w:trHeight w:val="42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766CDF89">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21A9CC8">
            <w:pPr>
              <w:jc w:val="center"/>
              <w:rPr>
                <w:rFonts w:ascii="宋体" w:hAnsi="宋体" w:cs="宋体"/>
                <w:color w:val="000000"/>
                <w:sz w:val="16"/>
                <w:szCs w:val="16"/>
              </w:rPr>
            </w:pPr>
          </w:p>
        </w:tc>
        <w:tc>
          <w:tcPr>
            <w:tcW w:w="86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077A1E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时效指标</w:t>
            </w:r>
          </w:p>
        </w:tc>
        <w:tc>
          <w:tcPr>
            <w:tcW w:w="3100"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3BACD38">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补助资金下达率</w:t>
            </w:r>
          </w:p>
        </w:tc>
        <w:tc>
          <w:tcPr>
            <w:tcW w:w="14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65151DB">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93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DEFE5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210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DDE257E">
            <w:pPr>
              <w:jc w:val="center"/>
              <w:rPr>
                <w:rFonts w:ascii="宋体" w:hAnsi="宋体" w:cs="宋体"/>
                <w:color w:val="000000"/>
                <w:sz w:val="16"/>
                <w:szCs w:val="16"/>
              </w:rPr>
            </w:pPr>
            <w:r>
              <w:rPr>
                <w:rFonts w:hint="eastAsia" w:ascii="宋体" w:hAnsi="宋体" w:cs="宋体"/>
                <w:color w:val="000000"/>
                <w:sz w:val="18"/>
                <w:szCs w:val="18"/>
              </w:rPr>
              <w:t>完成</w:t>
            </w:r>
          </w:p>
        </w:tc>
      </w:tr>
      <w:tr w14:paraId="43BE4D9F">
        <w:tblPrEx>
          <w:tblCellMar>
            <w:top w:w="0" w:type="dxa"/>
            <w:left w:w="0" w:type="dxa"/>
            <w:bottom w:w="0" w:type="dxa"/>
            <w:right w:w="0" w:type="dxa"/>
          </w:tblCellMar>
        </w:tblPrEx>
        <w:trPr>
          <w:trHeight w:val="42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73DFF350">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BDAA3AB">
            <w:pPr>
              <w:jc w:val="center"/>
              <w:rPr>
                <w:rFonts w:ascii="宋体" w:hAnsi="宋体" w:cs="宋体"/>
                <w:color w:val="000000"/>
                <w:sz w:val="16"/>
                <w:szCs w:val="16"/>
              </w:rPr>
            </w:pPr>
          </w:p>
        </w:tc>
        <w:tc>
          <w:tcPr>
            <w:tcW w:w="86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0BF1E6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成本指标</w:t>
            </w:r>
          </w:p>
        </w:tc>
        <w:tc>
          <w:tcPr>
            <w:tcW w:w="3100"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467D44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严格按照上级补助全额兑现</w:t>
            </w:r>
          </w:p>
        </w:tc>
        <w:tc>
          <w:tcPr>
            <w:tcW w:w="14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FC232EE">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93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DEA24D8">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210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A5E8D74">
            <w:pPr>
              <w:jc w:val="center"/>
              <w:rPr>
                <w:rFonts w:ascii="宋体" w:hAnsi="宋体" w:cs="宋体"/>
                <w:color w:val="000000"/>
                <w:sz w:val="16"/>
                <w:szCs w:val="16"/>
              </w:rPr>
            </w:pPr>
            <w:r>
              <w:rPr>
                <w:rFonts w:hint="eastAsia" w:ascii="宋体" w:hAnsi="宋体" w:cs="宋体"/>
                <w:color w:val="000000"/>
                <w:sz w:val="18"/>
                <w:szCs w:val="18"/>
              </w:rPr>
              <w:t>完成</w:t>
            </w:r>
          </w:p>
        </w:tc>
      </w:tr>
      <w:tr w14:paraId="58F0B937">
        <w:tblPrEx>
          <w:tblCellMar>
            <w:top w:w="0" w:type="dxa"/>
            <w:left w:w="0" w:type="dxa"/>
            <w:bottom w:w="0" w:type="dxa"/>
            <w:right w:w="0" w:type="dxa"/>
          </w:tblCellMar>
        </w:tblPrEx>
        <w:trPr>
          <w:trHeight w:val="50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45F4DBC1">
            <w:pPr>
              <w:jc w:val="center"/>
              <w:rPr>
                <w:rFonts w:ascii="宋体" w:hAnsi="宋体" w:cs="宋体"/>
                <w:color w:val="000000"/>
                <w:sz w:val="16"/>
                <w:szCs w:val="16"/>
              </w:rPr>
            </w:pPr>
          </w:p>
        </w:tc>
        <w:tc>
          <w:tcPr>
            <w:tcW w:w="50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C9F05F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效</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益</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指</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标</w:t>
            </w:r>
          </w:p>
        </w:tc>
        <w:tc>
          <w:tcPr>
            <w:tcW w:w="86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87C338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社会效益</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指标</w:t>
            </w:r>
          </w:p>
        </w:tc>
        <w:tc>
          <w:tcPr>
            <w:tcW w:w="3100"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1FBB3DE">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乡村医生收入</w:t>
            </w:r>
          </w:p>
        </w:tc>
        <w:tc>
          <w:tcPr>
            <w:tcW w:w="14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36DCFD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保持稳定</w:t>
            </w:r>
          </w:p>
        </w:tc>
        <w:tc>
          <w:tcPr>
            <w:tcW w:w="93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FCF2BB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完成</w:t>
            </w:r>
          </w:p>
        </w:tc>
        <w:tc>
          <w:tcPr>
            <w:tcW w:w="210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63A5AC3">
            <w:pPr>
              <w:jc w:val="center"/>
              <w:rPr>
                <w:rFonts w:ascii="宋体" w:hAnsi="宋体" w:cs="宋体"/>
                <w:color w:val="000000"/>
                <w:sz w:val="16"/>
                <w:szCs w:val="16"/>
              </w:rPr>
            </w:pPr>
          </w:p>
        </w:tc>
      </w:tr>
      <w:tr w14:paraId="6D3B9A53">
        <w:tblPrEx>
          <w:tblCellMar>
            <w:top w:w="0" w:type="dxa"/>
            <w:left w:w="0" w:type="dxa"/>
            <w:bottom w:w="0" w:type="dxa"/>
            <w:right w:w="0" w:type="dxa"/>
          </w:tblCellMar>
        </w:tblPrEx>
        <w:trPr>
          <w:trHeight w:val="36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1ADA8AD6">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F57142F">
            <w:pPr>
              <w:jc w:val="center"/>
              <w:rPr>
                <w:rFonts w:ascii="宋体" w:hAnsi="宋体" w:cs="宋体"/>
                <w:color w:val="000000"/>
                <w:sz w:val="16"/>
                <w:szCs w:val="16"/>
              </w:rPr>
            </w:pPr>
          </w:p>
        </w:tc>
        <w:tc>
          <w:tcPr>
            <w:tcW w:w="8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85CC5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可持续影响指标</w:t>
            </w:r>
          </w:p>
        </w:tc>
        <w:tc>
          <w:tcPr>
            <w:tcW w:w="3100"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28D418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国家基本药物制度在基层持续实施</w:t>
            </w:r>
          </w:p>
        </w:tc>
        <w:tc>
          <w:tcPr>
            <w:tcW w:w="14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DEC7B8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中长期</w:t>
            </w:r>
          </w:p>
        </w:tc>
        <w:tc>
          <w:tcPr>
            <w:tcW w:w="93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CAF7044">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完成</w:t>
            </w:r>
          </w:p>
        </w:tc>
        <w:tc>
          <w:tcPr>
            <w:tcW w:w="210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B05F071">
            <w:pPr>
              <w:jc w:val="center"/>
              <w:rPr>
                <w:rFonts w:ascii="宋体" w:hAnsi="宋体" w:cs="宋体"/>
                <w:color w:val="000000"/>
                <w:sz w:val="16"/>
                <w:szCs w:val="16"/>
              </w:rPr>
            </w:pPr>
          </w:p>
        </w:tc>
      </w:tr>
      <w:tr w14:paraId="76647FDF">
        <w:tblPrEx>
          <w:tblCellMar>
            <w:top w:w="0" w:type="dxa"/>
            <w:left w:w="0" w:type="dxa"/>
            <w:bottom w:w="0" w:type="dxa"/>
            <w:right w:w="0" w:type="dxa"/>
          </w:tblCellMar>
        </w:tblPrEx>
        <w:trPr>
          <w:trHeight w:val="36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63D07376">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0C92750">
            <w:pPr>
              <w:jc w:val="center"/>
              <w:rPr>
                <w:rFonts w:ascii="宋体" w:hAnsi="宋体" w:cs="宋体"/>
                <w:color w:val="000000"/>
                <w:sz w:val="16"/>
                <w:szCs w:val="16"/>
              </w:rPr>
            </w:pPr>
          </w:p>
        </w:tc>
        <w:tc>
          <w:tcPr>
            <w:tcW w:w="8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D24AFF4">
            <w:pPr>
              <w:jc w:val="center"/>
              <w:rPr>
                <w:rFonts w:ascii="宋体" w:hAnsi="宋体" w:cs="宋体"/>
                <w:color w:val="000000"/>
                <w:sz w:val="16"/>
                <w:szCs w:val="16"/>
              </w:rPr>
            </w:pPr>
          </w:p>
        </w:tc>
        <w:tc>
          <w:tcPr>
            <w:tcW w:w="3100"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70CFB4E">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降低患者的医疗费用</w:t>
            </w:r>
          </w:p>
        </w:tc>
        <w:tc>
          <w:tcPr>
            <w:tcW w:w="14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4A1D91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有效</w:t>
            </w:r>
          </w:p>
        </w:tc>
        <w:tc>
          <w:tcPr>
            <w:tcW w:w="93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969B78">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完成</w:t>
            </w:r>
          </w:p>
        </w:tc>
        <w:tc>
          <w:tcPr>
            <w:tcW w:w="210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E241888">
            <w:pPr>
              <w:jc w:val="center"/>
              <w:rPr>
                <w:rFonts w:ascii="宋体" w:hAnsi="宋体" w:cs="宋体"/>
                <w:color w:val="000000"/>
                <w:sz w:val="16"/>
                <w:szCs w:val="16"/>
              </w:rPr>
            </w:pPr>
          </w:p>
        </w:tc>
      </w:tr>
      <w:tr w14:paraId="18691935">
        <w:tblPrEx>
          <w:tblCellMar>
            <w:top w:w="0" w:type="dxa"/>
            <w:left w:w="0" w:type="dxa"/>
            <w:bottom w:w="0" w:type="dxa"/>
            <w:right w:w="0" w:type="dxa"/>
          </w:tblCellMar>
        </w:tblPrEx>
        <w:trPr>
          <w:trHeight w:val="36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656695D6">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127448D">
            <w:pPr>
              <w:jc w:val="center"/>
              <w:rPr>
                <w:rFonts w:ascii="宋体" w:hAnsi="宋体" w:cs="宋体"/>
                <w:color w:val="000000"/>
                <w:sz w:val="16"/>
                <w:szCs w:val="16"/>
              </w:rPr>
            </w:pPr>
          </w:p>
        </w:tc>
        <w:tc>
          <w:tcPr>
            <w:tcW w:w="8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C67ECFA">
            <w:pPr>
              <w:jc w:val="center"/>
              <w:rPr>
                <w:rFonts w:ascii="宋体" w:hAnsi="宋体" w:cs="宋体"/>
                <w:color w:val="000000"/>
                <w:sz w:val="16"/>
                <w:szCs w:val="16"/>
              </w:rPr>
            </w:pPr>
          </w:p>
        </w:tc>
        <w:tc>
          <w:tcPr>
            <w:tcW w:w="3100"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B919561">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保证药品安全、有效、经济</w:t>
            </w:r>
          </w:p>
        </w:tc>
        <w:tc>
          <w:tcPr>
            <w:tcW w:w="14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BC31925">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长期</w:t>
            </w:r>
          </w:p>
        </w:tc>
        <w:tc>
          <w:tcPr>
            <w:tcW w:w="93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EB02F2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完成</w:t>
            </w:r>
          </w:p>
        </w:tc>
        <w:tc>
          <w:tcPr>
            <w:tcW w:w="210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6C4267">
            <w:pPr>
              <w:jc w:val="center"/>
              <w:rPr>
                <w:rFonts w:ascii="宋体" w:hAnsi="宋体" w:cs="宋体"/>
                <w:color w:val="000000"/>
                <w:sz w:val="16"/>
                <w:szCs w:val="16"/>
              </w:rPr>
            </w:pPr>
          </w:p>
        </w:tc>
      </w:tr>
      <w:tr w14:paraId="51D8D88F">
        <w:tblPrEx>
          <w:tblCellMar>
            <w:top w:w="0" w:type="dxa"/>
            <w:left w:w="0" w:type="dxa"/>
            <w:bottom w:w="0" w:type="dxa"/>
            <w:right w:w="0" w:type="dxa"/>
          </w:tblCellMar>
        </w:tblPrEx>
        <w:trPr>
          <w:trHeight w:val="54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623C3EDE">
            <w:pPr>
              <w:jc w:val="center"/>
              <w:rPr>
                <w:rFonts w:ascii="宋体" w:hAnsi="宋体" w:cs="宋体"/>
                <w:color w:val="000000"/>
                <w:sz w:val="16"/>
                <w:szCs w:val="16"/>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7D13FB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满意度指标</w:t>
            </w:r>
          </w:p>
        </w:tc>
        <w:tc>
          <w:tcPr>
            <w:tcW w:w="86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8746ADE">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服务对象</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满意度指标</w:t>
            </w:r>
          </w:p>
        </w:tc>
        <w:tc>
          <w:tcPr>
            <w:tcW w:w="3100"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7E4BA69">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受益群众满意度</w:t>
            </w:r>
          </w:p>
        </w:tc>
        <w:tc>
          <w:tcPr>
            <w:tcW w:w="1417"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C9D634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≥90%</w:t>
            </w:r>
          </w:p>
        </w:tc>
        <w:tc>
          <w:tcPr>
            <w:tcW w:w="93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DD97459">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95%</w:t>
            </w:r>
          </w:p>
        </w:tc>
        <w:tc>
          <w:tcPr>
            <w:tcW w:w="210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686DCD8">
            <w:pPr>
              <w:jc w:val="center"/>
              <w:rPr>
                <w:rFonts w:ascii="宋体" w:hAnsi="宋体" w:cs="宋体"/>
                <w:color w:val="000000"/>
                <w:sz w:val="16"/>
                <w:szCs w:val="16"/>
              </w:rPr>
            </w:pPr>
          </w:p>
        </w:tc>
      </w:tr>
      <w:tr w14:paraId="21920EFC">
        <w:tblPrEx>
          <w:tblCellMar>
            <w:top w:w="0" w:type="dxa"/>
            <w:left w:w="0" w:type="dxa"/>
            <w:bottom w:w="0" w:type="dxa"/>
            <w:right w:w="0" w:type="dxa"/>
          </w:tblCellMar>
        </w:tblPrEx>
        <w:trPr>
          <w:trHeight w:val="323"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288A35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说明</w:t>
            </w:r>
          </w:p>
        </w:tc>
        <w:tc>
          <w:tcPr>
            <w:tcW w:w="8920" w:type="dxa"/>
            <w:gridSpan w:val="1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5B7F971">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无</w:t>
            </w:r>
          </w:p>
        </w:tc>
      </w:tr>
    </w:tbl>
    <w:p w14:paraId="3BD0D6E7">
      <w:pPr>
        <w:widowControl/>
        <w:jc w:val="left"/>
        <w:rPr>
          <w:rStyle w:val="26"/>
          <w:rFonts w:ascii="黑体" w:hAnsi="黑体" w:eastAsia="黑体"/>
          <w:b w:val="0"/>
        </w:rPr>
      </w:pPr>
    </w:p>
    <w:tbl>
      <w:tblPr>
        <w:tblStyle w:val="14"/>
        <w:tblW w:w="9240" w:type="dxa"/>
        <w:tblInd w:w="0" w:type="dxa"/>
        <w:tblLayout w:type="autofit"/>
        <w:tblCellMar>
          <w:top w:w="0" w:type="dxa"/>
          <w:left w:w="0" w:type="dxa"/>
          <w:bottom w:w="0" w:type="dxa"/>
          <w:right w:w="0" w:type="dxa"/>
        </w:tblCellMar>
      </w:tblPr>
      <w:tblGrid>
        <w:gridCol w:w="509"/>
        <w:gridCol w:w="509"/>
        <w:gridCol w:w="860"/>
        <w:gridCol w:w="1750"/>
        <w:gridCol w:w="1390"/>
        <w:gridCol w:w="1417"/>
        <w:gridCol w:w="1155"/>
        <w:gridCol w:w="1650"/>
      </w:tblGrid>
      <w:tr w14:paraId="409E9EDC">
        <w:tblPrEx>
          <w:tblCellMar>
            <w:top w:w="0" w:type="dxa"/>
            <w:left w:w="0" w:type="dxa"/>
            <w:bottom w:w="0" w:type="dxa"/>
            <w:right w:w="0" w:type="dxa"/>
          </w:tblCellMar>
        </w:tblPrEx>
        <w:trPr>
          <w:trHeight w:val="330" w:hRule="atLeast"/>
        </w:trPr>
        <w:tc>
          <w:tcPr>
            <w:tcW w:w="509" w:type="dxa"/>
            <w:tcBorders>
              <w:top w:val="nil"/>
              <w:left w:val="nil"/>
              <w:bottom w:val="nil"/>
              <w:right w:val="nil"/>
            </w:tcBorders>
            <w:shd w:val="clear" w:color="auto" w:fill="auto"/>
            <w:noWrap/>
            <w:tcMar>
              <w:top w:w="10" w:type="dxa"/>
              <w:left w:w="10" w:type="dxa"/>
              <w:right w:w="10" w:type="dxa"/>
            </w:tcMar>
            <w:vAlign w:val="center"/>
          </w:tcPr>
          <w:p w14:paraId="1A58E9C8">
            <w:pPr>
              <w:jc w:val="left"/>
              <w:rPr>
                <w:rFonts w:ascii="仿宋_GB2312" w:hAnsi="宋体" w:eastAsia="仿宋_GB2312" w:cs="仿宋_GB2312"/>
                <w:color w:val="000000"/>
                <w:sz w:val="16"/>
                <w:szCs w:val="16"/>
              </w:rPr>
            </w:pPr>
          </w:p>
        </w:tc>
        <w:tc>
          <w:tcPr>
            <w:tcW w:w="509" w:type="dxa"/>
            <w:tcBorders>
              <w:top w:val="nil"/>
              <w:left w:val="nil"/>
              <w:bottom w:val="nil"/>
              <w:right w:val="nil"/>
            </w:tcBorders>
            <w:shd w:val="clear" w:color="auto" w:fill="auto"/>
            <w:tcMar>
              <w:top w:w="10" w:type="dxa"/>
              <w:left w:w="10" w:type="dxa"/>
              <w:right w:w="10" w:type="dxa"/>
            </w:tcMar>
            <w:vAlign w:val="center"/>
          </w:tcPr>
          <w:p w14:paraId="34740593">
            <w:pPr>
              <w:rPr>
                <w:rFonts w:ascii="黑体" w:hAnsi="宋体" w:eastAsia="黑体" w:cs="黑体"/>
                <w:color w:val="000000"/>
                <w:sz w:val="16"/>
                <w:szCs w:val="16"/>
              </w:rPr>
            </w:pPr>
          </w:p>
        </w:tc>
        <w:tc>
          <w:tcPr>
            <w:tcW w:w="860" w:type="dxa"/>
            <w:tcBorders>
              <w:top w:val="nil"/>
              <w:left w:val="nil"/>
              <w:bottom w:val="nil"/>
              <w:right w:val="nil"/>
            </w:tcBorders>
            <w:shd w:val="clear" w:color="auto" w:fill="auto"/>
            <w:tcMar>
              <w:top w:w="10" w:type="dxa"/>
              <w:left w:w="10" w:type="dxa"/>
              <w:right w:w="10" w:type="dxa"/>
            </w:tcMar>
            <w:vAlign w:val="center"/>
          </w:tcPr>
          <w:p w14:paraId="56E46255">
            <w:pPr>
              <w:rPr>
                <w:rFonts w:ascii="黑体" w:hAnsi="宋体" w:eastAsia="黑体" w:cs="黑体"/>
                <w:color w:val="000000"/>
                <w:sz w:val="16"/>
                <w:szCs w:val="16"/>
              </w:rPr>
            </w:pPr>
          </w:p>
        </w:tc>
        <w:tc>
          <w:tcPr>
            <w:tcW w:w="1750" w:type="dxa"/>
            <w:tcBorders>
              <w:top w:val="nil"/>
              <w:left w:val="nil"/>
              <w:bottom w:val="nil"/>
              <w:right w:val="nil"/>
            </w:tcBorders>
            <w:shd w:val="clear" w:color="auto" w:fill="auto"/>
            <w:tcMar>
              <w:top w:w="10" w:type="dxa"/>
              <w:left w:w="10" w:type="dxa"/>
              <w:right w:w="10" w:type="dxa"/>
            </w:tcMar>
            <w:vAlign w:val="center"/>
          </w:tcPr>
          <w:p w14:paraId="738E88AE">
            <w:pPr>
              <w:rPr>
                <w:rFonts w:ascii="黑体" w:hAnsi="宋体" w:eastAsia="黑体" w:cs="黑体"/>
                <w:color w:val="000000"/>
                <w:sz w:val="16"/>
                <w:szCs w:val="16"/>
              </w:rPr>
            </w:pPr>
          </w:p>
        </w:tc>
        <w:tc>
          <w:tcPr>
            <w:tcW w:w="1390" w:type="dxa"/>
            <w:tcBorders>
              <w:top w:val="nil"/>
              <w:left w:val="nil"/>
              <w:bottom w:val="nil"/>
              <w:right w:val="nil"/>
            </w:tcBorders>
            <w:shd w:val="clear" w:color="auto" w:fill="auto"/>
            <w:tcMar>
              <w:top w:w="10" w:type="dxa"/>
              <w:left w:w="10" w:type="dxa"/>
              <w:right w:w="10" w:type="dxa"/>
            </w:tcMar>
            <w:vAlign w:val="center"/>
          </w:tcPr>
          <w:p w14:paraId="17009815">
            <w:pPr>
              <w:rPr>
                <w:rFonts w:ascii="宋体" w:hAnsi="宋体" w:cs="宋体"/>
                <w:color w:val="000000"/>
                <w:sz w:val="16"/>
                <w:szCs w:val="16"/>
              </w:rPr>
            </w:pPr>
          </w:p>
        </w:tc>
        <w:tc>
          <w:tcPr>
            <w:tcW w:w="1417" w:type="dxa"/>
            <w:tcBorders>
              <w:top w:val="nil"/>
              <w:left w:val="nil"/>
              <w:bottom w:val="nil"/>
              <w:right w:val="nil"/>
            </w:tcBorders>
            <w:shd w:val="clear" w:color="auto" w:fill="auto"/>
            <w:tcMar>
              <w:top w:w="10" w:type="dxa"/>
              <w:left w:w="10" w:type="dxa"/>
              <w:right w:w="10" w:type="dxa"/>
            </w:tcMar>
            <w:vAlign w:val="center"/>
          </w:tcPr>
          <w:p w14:paraId="30B9F822">
            <w:pPr>
              <w:rPr>
                <w:rFonts w:ascii="宋体" w:hAnsi="宋体" w:cs="宋体"/>
                <w:color w:val="000000"/>
                <w:sz w:val="16"/>
                <w:szCs w:val="16"/>
              </w:rPr>
            </w:pPr>
          </w:p>
        </w:tc>
        <w:tc>
          <w:tcPr>
            <w:tcW w:w="1155" w:type="dxa"/>
            <w:tcBorders>
              <w:top w:val="nil"/>
              <w:left w:val="nil"/>
              <w:bottom w:val="nil"/>
              <w:right w:val="nil"/>
            </w:tcBorders>
            <w:shd w:val="clear" w:color="auto" w:fill="auto"/>
            <w:tcMar>
              <w:top w:w="10" w:type="dxa"/>
              <w:left w:w="10" w:type="dxa"/>
              <w:right w:w="10" w:type="dxa"/>
            </w:tcMar>
            <w:vAlign w:val="center"/>
          </w:tcPr>
          <w:p w14:paraId="4721CEFB">
            <w:pPr>
              <w:rPr>
                <w:rFonts w:ascii="宋体" w:hAnsi="宋体" w:cs="宋体"/>
                <w:color w:val="000000"/>
                <w:sz w:val="16"/>
                <w:szCs w:val="16"/>
              </w:rPr>
            </w:pPr>
          </w:p>
        </w:tc>
        <w:tc>
          <w:tcPr>
            <w:tcW w:w="1650" w:type="dxa"/>
            <w:tcBorders>
              <w:top w:val="nil"/>
              <w:left w:val="nil"/>
              <w:bottom w:val="nil"/>
              <w:right w:val="nil"/>
            </w:tcBorders>
            <w:shd w:val="clear" w:color="auto" w:fill="auto"/>
            <w:tcMar>
              <w:top w:w="10" w:type="dxa"/>
              <w:left w:w="10" w:type="dxa"/>
              <w:right w:w="10" w:type="dxa"/>
            </w:tcMar>
            <w:vAlign w:val="center"/>
          </w:tcPr>
          <w:p w14:paraId="4716A1FF">
            <w:pPr>
              <w:rPr>
                <w:rFonts w:ascii="宋体" w:hAnsi="宋体" w:cs="宋体"/>
                <w:color w:val="000000"/>
                <w:sz w:val="16"/>
                <w:szCs w:val="16"/>
              </w:rPr>
            </w:pPr>
          </w:p>
        </w:tc>
      </w:tr>
      <w:tr w14:paraId="0A2F2170">
        <w:tblPrEx>
          <w:tblCellMar>
            <w:top w:w="0" w:type="dxa"/>
            <w:left w:w="0" w:type="dxa"/>
            <w:bottom w:w="0" w:type="dxa"/>
            <w:right w:w="0" w:type="dxa"/>
          </w:tblCellMar>
        </w:tblPrEx>
        <w:trPr>
          <w:trHeight w:val="600" w:hRule="atLeast"/>
        </w:trPr>
        <w:tc>
          <w:tcPr>
            <w:tcW w:w="9240" w:type="dxa"/>
            <w:gridSpan w:val="8"/>
            <w:tcBorders>
              <w:top w:val="nil"/>
              <w:left w:val="nil"/>
              <w:bottom w:val="nil"/>
              <w:right w:val="nil"/>
            </w:tcBorders>
            <w:shd w:val="clear" w:color="auto" w:fill="auto"/>
            <w:tcMar>
              <w:top w:w="10" w:type="dxa"/>
              <w:left w:w="10" w:type="dxa"/>
              <w:right w:w="10" w:type="dxa"/>
            </w:tcMar>
            <w:vAlign w:val="center"/>
          </w:tcPr>
          <w:p w14:paraId="1F231DA1">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rPr>
              <w:t xml:space="preserve">计划生育转移支付区域（项目）绩效目标自评表 </w:t>
            </w:r>
          </w:p>
        </w:tc>
      </w:tr>
      <w:tr w14:paraId="165271BF">
        <w:tblPrEx>
          <w:tblCellMar>
            <w:top w:w="0" w:type="dxa"/>
            <w:left w:w="0" w:type="dxa"/>
            <w:bottom w:w="0" w:type="dxa"/>
            <w:right w:w="0" w:type="dxa"/>
          </w:tblCellMar>
        </w:tblPrEx>
        <w:trPr>
          <w:trHeight w:val="432" w:hRule="atLeast"/>
        </w:trPr>
        <w:tc>
          <w:tcPr>
            <w:tcW w:w="9240" w:type="dxa"/>
            <w:gridSpan w:val="8"/>
            <w:tcBorders>
              <w:top w:val="nil"/>
              <w:left w:val="nil"/>
              <w:bottom w:val="single" w:color="000000" w:sz="4" w:space="0"/>
              <w:right w:val="nil"/>
            </w:tcBorders>
            <w:shd w:val="clear" w:color="auto" w:fill="auto"/>
            <w:tcMar>
              <w:top w:w="10" w:type="dxa"/>
              <w:left w:w="10" w:type="dxa"/>
              <w:right w:w="10" w:type="dxa"/>
            </w:tcMar>
          </w:tcPr>
          <w:p w14:paraId="59816694">
            <w:pPr>
              <w:widowControl/>
              <w:jc w:val="center"/>
              <w:textAlignment w:val="top"/>
              <w:rPr>
                <w:rFonts w:ascii="宋体" w:hAnsi="宋体" w:cs="宋体"/>
                <w:color w:val="000000"/>
                <w:sz w:val="16"/>
                <w:szCs w:val="16"/>
              </w:rPr>
            </w:pPr>
            <w:r>
              <w:rPr>
                <w:rFonts w:hint="eastAsia" w:ascii="宋体" w:hAnsi="宋体" w:cs="宋体"/>
                <w:color w:val="000000"/>
                <w:kern w:val="0"/>
                <w:sz w:val="16"/>
                <w:szCs w:val="16"/>
              </w:rPr>
              <w:t>（2021年度）</w:t>
            </w:r>
          </w:p>
        </w:tc>
      </w:tr>
      <w:tr w14:paraId="6855854D">
        <w:tblPrEx>
          <w:tblCellMar>
            <w:top w:w="0" w:type="dxa"/>
            <w:left w:w="0" w:type="dxa"/>
            <w:bottom w:w="0" w:type="dxa"/>
            <w:right w:w="0" w:type="dxa"/>
          </w:tblCellMar>
        </w:tblPrEx>
        <w:trPr>
          <w:trHeight w:val="460" w:hRule="atLeast"/>
        </w:trPr>
        <w:tc>
          <w:tcPr>
            <w:tcW w:w="187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E9A195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转移支付（项目）名称</w:t>
            </w:r>
          </w:p>
        </w:tc>
        <w:tc>
          <w:tcPr>
            <w:tcW w:w="7362" w:type="dxa"/>
            <w:gridSpan w:val="5"/>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D32243F">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计划生育转移支付资金</w:t>
            </w:r>
          </w:p>
        </w:tc>
      </w:tr>
      <w:tr w14:paraId="63FE02A1">
        <w:tblPrEx>
          <w:tblCellMar>
            <w:top w:w="0" w:type="dxa"/>
            <w:left w:w="0" w:type="dxa"/>
            <w:bottom w:w="0" w:type="dxa"/>
            <w:right w:w="0" w:type="dxa"/>
          </w:tblCellMar>
        </w:tblPrEx>
        <w:trPr>
          <w:trHeight w:val="323" w:hRule="atLeast"/>
        </w:trPr>
        <w:tc>
          <w:tcPr>
            <w:tcW w:w="187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08B2A6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中央主管部门</w:t>
            </w:r>
          </w:p>
        </w:tc>
        <w:tc>
          <w:tcPr>
            <w:tcW w:w="7362" w:type="dxa"/>
            <w:gridSpan w:val="5"/>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00A632A">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国家卫健委</w:t>
            </w:r>
          </w:p>
        </w:tc>
      </w:tr>
      <w:tr w14:paraId="0413B1C7">
        <w:tblPrEx>
          <w:tblCellMar>
            <w:top w:w="0" w:type="dxa"/>
            <w:left w:w="0" w:type="dxa"/>
            <w:bottom w:w="0" w:type="dxa"/>
            <w:right w:w="0" w:type="dxa"/>
          </w:tblCellMar>
        </w:tblPrEx>
        <w:trPr>
          <w:trHeight w:val="323" w:hRule="atLeast"/>
        </w:trPr>
        <w:tc>
          <w:tcPr>
            <w:tcW w:w="187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5F338E2">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地方主管部门</w:t>
            </w:r>
          </w:p>
        </w:tc>
        <w:tc>
          <w:tcPr>
            <w:tcW w:w="31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E786DB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广元市昭化区卫健局</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877177B">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资金使用单位</w:t>
            </w:r>
          </w:p>
        </w:tc>
        <w:tc>
          <w:tcPr>
            <w:tcW w:w="28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8A20EB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基层医疗卫生机构</w:t>
            </w:r>
          </w:p>
        </w:tc>
      </w:tr>
      <w:tr w14:paraId="6C48F2D7">
        <w:tblPrEx>
          <w:tblCellMar>
            <w:top w:w="0" w:type="dxa"/>
            <w:left w:w="0" w:type="dxa"/>
            <w:bottom w:w="0" w:type="dxa"/>
            <w:right w:w="0" w:type="dxa"/>
          </w:tblCellMar>
        </w:tblPrEx>
        <w:trPr>
          <w:trHeight w:val="323" w:hRule="atLeast"/>
        </w:trPr>
        <w:tc>
          <w:tcPr>
            <w:tcW w:w="1878"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360570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资金情况</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（万元）</w:t>
            </w: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894EB6B">
            <w:pPr>
              <w:rPr>
                <w:rFonts w:ascii="宋体" w:hAnsi="宋体" w:cs="宋体"/>
                <w:color w:val="000000"/>
                <w:sz w:val="16"/>
                <w:szCs w:val="16"/>
              </w:rPr>
            </w:pPr>
          </w:p>
        </w:tc>
        <w:tc>
          <w:tcPr>
            <w:tcW w:w="13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C37869B">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全年预算数（A）</w:t>
            </w:r>
          </w:p>
        </w:tc>
        <w:tc>
          <w:tcPr>
            <w:tcW w:w="2572"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944F9EF">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全年执行数（B）</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37A93A">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预算执行率（B/A)</w:t>
            </w:r>
          </w:p>
        </w:tc>
      </w:tr>
      <w:tr w14:paraId="1527E40E">
        <w:tblPrEx>
          <w:tblCellMar>
            <w:top w:w="0" w:type="dxa"/>
            <w:left w:w="0" w:type="dxa"/>
            <w:bottom w:w="0" w:type="dxa"/>
            <w:right w:w="0" w:type="dxa"/>
          </w:tblCellMar>
        </w:tblPrEx>
        <w:trPr>
          <w:trHeight w:val="323" w:hRule="atLeast"/>
        </w:trPr>
        <w:tc>
          <w:tcPr>
            <w:tcW w:w="187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714CB36">
            <w:pPr>
              <w:jc w:val="center"/>
              <w:rPr>
                <w:rFonts w:ascii="宋体" w:hAnsi="宋体" w:cs="宋体"/>
                <w:color w:val="000000"/>
                <w:sz w:val="16"/>
                <w:szCs w:val="16"/>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E152F77">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年度资金总额：</w:t>
            </w:r>
          </w:p>
        </w:tc>
        <w:tc>
          <w:tcPr>
            <w:tcW w:w="13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73EC23A">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1026.66</w:t>
            </w:r>
          </w:p>
        </w:tc>
        <w:tc>
          <w:tcPr>
            <w:tcW w:w="2572"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0AF3A0F">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1026.66</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E186A5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r>
      <w:tr w14:paraId="46103E47">
        <w:tblPrEx>
          <w:tblCellMar>
            <w:top w:w="0" w:type="dxa"/>
            <w:left w:w="0" w:type="dxa"/>
            <w:bottom w:w="0" w:type="dxa"/>
            <w:right w:w="0" w:type="dxa"/>
          </w:tblCellMar>
        </w:tblPrEx>
        <w:trPr>
          <w:trHeight w:val="323" w:hRule="atLeast"/>
        </w:trPr>
        <w:tc>
          <w:tcPr>
            <w:tcW w:w="187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B4812B9">
            <w:pPr>
              <w:jc w:val="center"/>
              <w:rPr>
                <w:rFonts w:ascii="宋体" w:hAnsi="宋体" w:cs="宋体"/>
                <w:color w:val="000000"/>
                <w:sz w:val="16"/>
                <w:szCs w:val="16"/>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E655F09">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其中：中央财政资金</w:t>
            </w:r>
          </w:p>
        </w:tc>
        <w:tc>
          <w:tcPr>
            <w:tcW w:w="13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0F01C65">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577.66</w:t>
            </w:r>
          </w:p>
        </w:tc>
        <w:tc>
          <w:tcPr>
            <w:tcW w:w="2572"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6211AC8">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577.66</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5153D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r>
      <w:tr w14:paraId="66D9529A">
        <w:tblPrEx>
          <w:tblCellMar>
            <w:top w:w="0" w:type="dxa"/>
            <w:left w:w="0" w:type="dxa"/>
            <w:bottom w:w="0" w:type="dxa"/>
            <w:right w:w="0" w:type="dxa"/>
          </w:tblCellMar>
        </w:tblPrEx>
        <w:trPr>
          <w:trHeight w:val="323" w:hRule="atLeast"/>
        </w:trPr>
        <w:tc>
          <w:tcPr>
            <w:tcW w:w="187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F68A89D">
            <w:pPr>
              <w:jc w:val="center"/>
              <w:rPr>
                <w:rFonts w:ascii="宋体" w:hAnsi="宋体" w:cs="宋体"/>
                <w:color w:val="000000"/>
                <w:sz w:val="16"/>
                <w:szCs w:val="16"/>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F8A93D3">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地方资金</w:t>
            </w:r>
          </w:p>
        </w:tc>
        <w:tc>
          <w:tcPr>
            <w:tcW w:w="13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A718FC2">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449</w:t>
            </w:r>
          </w:p>
        </w:tc>
        <w:tc>
          <w:tcPr>
            <w:tcW w:w="2572"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C2FF84">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449</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2FCFE2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r>
      <w:tr w14:paraId="033329D1">
        <w:tblPrEx>
          <w:tblCellMar>
            <w:top w:w="0" w:type="dxa"/>
            <w:left w:w="0" w:type="dxa"/>
            <w:bottom w:w="0" w:type="dxa"/>
            <w:right w:w="0" w:type="dxa"/>
          </w:tblCellMar>
        </w:tblPrEx>
        <w:trPr>
          <w:trHeight w:val="323" w:hRule="atLeast"/>
        </w:trPr>
        <w:tc>
          <w:tcPr>
            <w:tcW w:w="187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598CC89">
            <w:pPr>
              <w:jc w:val="center"/>
              <w:rPr>
                <w:rFonts w:ascii="宋体" w:hAnsi="宋体" w:cs="宋体"/>
                <w:color w:val="000000"/>
                <w:sz w:val="16"/>
                <w:szCs w:val="16"/>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9260948">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其他资金</w:t>
            </w:r>
          </w:p>
        </w:tc>
        <w:tc>
          <w:tcPr>
            <w:tcW w:w="13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758E073">
            <w:pPr>
              <w:jc w:val="center"/>
              <w:rPr>
                <w:rFonts w:ascii="宋体" w:hAnsi="宋体" w:cs="宋体"/>
                <w:color w:val="000000"/>
                <w:sz w:val="16"/>
                <w:szCs w:val="16"/>
              </w:rPr>
            </w:pPr>
          </w:p>
        </w:tc>
        <w:tc>
          <w:tcPr>
            <w:tcW w:w="2572"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DF1253">
            <w:pPr>
              <w:jc w:val="center"/>
              <w:rPr>
                <w:rFonts w:ascii="宋体" w:hAnsi="宋体" w:cs="宋体"/>
                <w:color w:val="000000"/>
                <w:sz w:val="16"/>
                <w:szCs w:val="16"/>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F483FDD">
            <w:pPr>
              <w:jc w:val="left"/>
              <w:rPr>
                <w:rFonts w:ascii="宋体" w:hAnsi="宋体" w:cs="宋体"/>
                <w:color w:val="000000"/>
                <w:sz w:val="16"/>
                <w:szCs w:val="16"/>
              </w:rPr>
            </w:pPr>
          </w:p>
        </w:tc>
      </w:tr>
      <w:tr w14:paraId="26EABD4F">
        <w:tblPrEx>
          <w:tblCellMar>
            <w:top w:w="0" w:type="dxa"/>
            <w:left w:w="0" w:type="dxa"/>
            <w:bottom w:w="0" w:type="dxa"/>
            <w:right w:w="0" w:type="dxa"/>
          </w:tblCellMar>
        </w:tblPrEx>
        <w:trPr>
          <w:trHeight w:val="323" w:hRule="atLeast"/>
        </w:trPr>
        <w:tc>
          <w:tcPr>
            <w:tcW w:w="50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299F9A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总体目标完成情况</w:t>
            </w:r>
          </w:p>
        </w:tc>
        <w:tc>
          <w:tcPr>
            <w:tcW w:w="4509"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2CF77B4">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总体目标</w:t>
            </w:r>
          </w:p>
        </w:tc>
        <w:tc>
          <w:tcPr>
            <w:tcW w:w="4222"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692BE8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全年实际完成情况</w:t>
            </w:r>
          </w:p>
        </w:tc>
      </w:tr>
      <w:tr w14:paraId="5DE75158">
        <w:tblPrEx>
          <w:tblCellMar>
            <w:top w:w="0" w:type="dxa"/>
            <w:left w:w="0" w:type="dxa"/>
            <w:bottom w:w="0" w:type="dxa"/>
            <w:right w:w="0" w:type="dxa"/>
          </w:tblCellMar>
        </w:tblPrEx>
        <w:trPr>
          <w:trHeight w:val="108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B11DDE9">
            <w:pPr>
              <w:jc w:val="center"/>
              <w:rPr>
                <w:rFonts w:ascii="宋体" w:hAnsi="宋体" w:cs="宋体"/>
                <w:color w:val="000000"/>
                <w:sz w:val="16"/>
                <w:szCs w:val="16"/>
              </w:rPr>
            </w:pPr>
          </w:p>
        </w:tc>
        <w:tc>
          <w:tcPr>
            <w:tcW w:w="4509"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18FE030">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目标1：实施农村计划生育家庭奖励扶助制度，解决农村独生子女和双女家庭养老问题，提高家庭发展能力。 目标2：实施计划生育家庭特别扶助制度，缓解计划生育困难家庭在生产、生活、医疗和养老方面的特殊困难，保障和改善民生，促进社会和谐稳定。</w:t>
            </w:r>
          </w:p>
        </w:tc>
        <w:tc>
          <w:tcPr>
            <w:tcW w:w="4222"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0943012">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落实计划生育奖励扶助制度，享受政策对象资格确认准确无误；资金足额及时发放，无重大责任事故；保障了执行计划生育政策家庭的合法权益；保障和改善了民生，促进了社会和谐发展。</w:t>
            </w:r>
          </w:p>
        </w:tc>
      </w:tr>
      <w:tr w14:paraId="40AC37D7">
        <w:tblPrEx>
          <w:tblCellMar>
            <w:top w:w="0" w:type="dxa"/>
            <w:left w:w="0" w:type="dxa"/>
            <w:bottom w:w="0" w:type="dxa"/>
            <w:right w:w="0" w:type="dxa"/>
          </w:tblCellMar>
        </w:tblPrEx>
        <w:trPr>
          <w:trHeight w:val="522" w:hRule="atLeast"/>
        </w:trPr>
        <w:tc>
          <w:tcPr>
            <w:tcW w:w="50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77BFD894">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绩效指标</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EFD9A7F">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一级</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指标</w:t>
            </w:r>
          </w:p>
        </w:tc>
        <w:tc>
          <w:tcPr>
            <w:tcW w:w="8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FC71CA8">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二级指标</w:t>
            </w:r>
          </w:p>
        </w:tc>
        <w:tc>
          <w:tcPr>
            <w:tcW w:w="31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4428C34">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三级指标</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1F6063A">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指标值</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41CAA01">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全年实际完成值</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EF13A02">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未完成原因和改进措施</w:t>
            </w:r>
          </w:p>
        </w:tc>
      </w:tr>
      <w:tr w14:paraId="08547D84">
        <w:tblPrEx>
          <w:tblCellMar>
            <w:top w:w="0" w:type="dxa"/>
            <w:left w:w="0" w:type="dxa"/>
            <w:bottom w:w="0" w:type="dxa"/>
            <w:right w:w="0" w:type="dxa"/>
          </w:tblCellMar>
        </w:tblPrEx>
        <w:trPr>
          <w:trHeight w:val="40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52666468">
            <w:pPr>
              <w:jc w:val="center"/>
              <w:rPr>
                <w:rFonts w:ascii="宋体" w:hAnsi="宋体" w:cs="宋体"/>
                <w:color w:val="000000"/>
                <w:sz w:val="16"/>
                <w:szCs w:val="16"/>
              </w:rPr>
            </w:pPr>
          </w:p>
        </w:tc>
        <w:tc>
          <w:tcPr>
            <w:tcW w:w="50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1C8D054">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产</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出</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指</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标</w:t>
            </w:r>
          </w:p>
        </w:tc>
        <w:tc>
          <w:tcPr>
            <w:tcW w:w="8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0473C1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数量指标</w:t>
            </w:r>
          </w:p>
        </w:tc>
        <w:tc>
          <w:tcPr>
            <w:tcW w:w="31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7124BA9">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计划生育奖励扶助</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3C67FD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7723</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8392374">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7723</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80FCEC1">
            <w:pPr>
              <w:jc w:val="center"/>
              <w:rPr>
                <w:rFonts w:ascii="宋体" w:hAnsi="宋体" w:cs="宋体"/>
                <w:color w:val="000000"/>
                <w:sz w:val="16"/>
                <w:szCs w:val="16"/>
              </w:rPr>
            </w:pPr>
            <w:r>
              <w:rPr>
                <w:rFonts w:hint="eastAsia" w:ascii="宋体" w:hAnsi="宋体" w:cs="宋体"/>
                <w:color w:val="000000"/>
                <w:sz w:val="18"/>
                <w:szCs w:val="18"/>
              </w:rPr>
              <w:t>完成</w:t>
            </w:r>
          </w:p>
        </w:tc>
      </w:tr>
      <w:tr w14:paraId="13477BF8">
        <w:tblPrEx>
          <w:tblCellMar>
            <w:top w:w="0" w:type="dxa"/>
            <w:left w:w="0" w:type="dxa"/>
            <w:bottom w:w="0" w:type="dxa"/>
            <w:right w:w="0" w:type="dxa"/>
          </w:tblCellMar>
        </w:tblPrEx>
        <w:trPr>
          <w:trHeight w:val="40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096E859B">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8149AAD">
            <w:pPr>
              <w:jc w:val="center"/>
              <w:rPr>
                <w:rFonts w:ascii="宋体" w:hAnsi="宋体" w:cs="宋体"/>
                <w:color w:val="000000"/>
                <w:sz w:val="16"/>
                <w:szCs w:val="16"/>
              </w:rPr>
            </w:pPr>
          </w:p>
        </w:tc>
        <w:tc>
          <w:tcPr>
            <w:tcW w:w="8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8674C3F">
            <w:pPr>
              <w:jc w:val="center"/>
              <w:rPr>
                <w:rFonts w:ascii="宋体" w:hAnsi="宋体" w:cs="宋体"/>
                <w:color w:val="000000"/>
                <w:sz w:val="16"/>
                <w:szCs w:val="16"/>
              </w:rPr>
            </w:pPr>
          </w:p>
        </w:tc>
        <w:tc>
          <w:tcPr>
            <w:tcW w:w="31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3B6C999">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计划生育特别扶助独子死亡</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7256162">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203</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821530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203</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BFCB3E">
            <w:pPr>
              <w:jc w:val="center"/>
              <w:rPr>
                <w:rFonts w:ascii="宋体" w:hAnsi="宋体" w:cs="宋体"/>
                <w:color w:val="000000"/>
                <w:sz w:val="16"/>
                <w:szCs w:val="16"/>
              </w:rPr>
            </w:pPr>
            <w:r>
              <w:rPr>
                <w:rFonts w:hint="eastAsia" w:ascii="宋体" w:hAnsi="宋体" w:cs="宋体"/>
                <w:color w:val="000000"/>
                <w:sz w:val="18"/>
                <w:szCs w:val="18"/>
              </w:rPr>
              <w:t>完成</w:t>
            </w:r>
          </w:p>
        </w:tc>
      </w:tr>
      <w:tr w14:paraId="5E8BA64C">
        <w:tblPrEx>
          <w:tblCellMar>
            <w:top w:w="0" w:type="dxa"/>
            <w:left w:w="0" w:type="dxa"/>
            <w:bottom w:w="0" w:type="dxa"/>
            <w:right w:w="0" w:type="dxa"/>
          </w:tblCellMar>
        </w:tblPrEx>
        <w:trPr>
          <w:trHeight w:val="40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1A6356D9">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04ED8CA">
            <w:pPr>
              <w:jc w:val="center"/>
              <w:rPr>
                <w:rFonts w:ascii="宋体" w:hAnsi="宋体" w:cs="宋体"/>
                <w:color w:val="000000"/>
                <w:sz w:val="16"/>
                <w:szCs w:val="16"/>
              </w:rPr>
            </w:pPr>
          </w:p>
        </w:tc>
        <w:tc>
          <w:tcPr>
            <w:tcW w:w="8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486BB45">
            <w:pPr>
              <w:jc w:val="center"/>
              <w:rPr>
                <w:rFonts w:ascii="宋体" w:hAnsi="宋体" w:cs="宋体"/>
                <w:color w:val="000000"/>
                <w:sz w:val="16"/>
                <w:szCs w:val="16"/>
              </w:rPr>
            </w:pPr>
          </w:p>
        </w:tc>
        <w:tc>
          <w:tcPr>
            <w:tcW w:w="31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B6C936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计划生育特别扶助独子伤残</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75C831">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93</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DA6823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93</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0FBAEF0">
            <w:pPr>
              <w:jc w:val="center"/>
              <w:rPr>
                <w:rFonts w:ascii="宋体" w:hAnsi="宋体" w:cs="宋体"/>
                <w:color w:val="000000"/>
                <w:sz w:val="16"/>
                <w:szCs w:val="16"/>
              </w:rPr>
            </w:pPr>
            <w:r>
              <w:rPr>
                <w:rFonts w:hint="eastAsia" w:ascii="宋体" w:hAnsi="宋体" w:cs="宋体"/>
                <w:color w:val="000000"/>
                <w:sz w:val="18"/>
                <w:szCs w:val="18"/>
              </w:rPr>
              <w:t>完成</w:t>
            </w:r>
          </w:p>
        </w:tc>
      </w:tr>
      <w:tr w14:paraId="67A9D172">
        <w:tblPrEx>
          <w:tblCellMar>
            <w:top w:w="0" w:type="dxa"/>
            <w:left w:w="0" w:type="dxa"/>
            <w:bottom w:w="0" w:type="dxa"/>
            <w:right w:w="0" w:type="dxa"/>
          </w:tblCellMar>
        </w:tblPrEx>
        <w:trPr>
          <w:trHeight w:val="44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7C4B09F0">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4500850">
            <w:pPr>
              <w:jc w:val="center"/>
              <w:rPr>
                <w:rFonts w:ascii="宋体" w:hAnsi="宋体" w:cs="宋体"/>
                <w:color w:val="000000"/>
                <w:sz w:val="16"/>
                <w:szCs w:val="16"/>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36DF6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质量指标</w:t>
            </w:r>
          </w:p>
        </w:tc>
        <w:tc>
          <w:tcPr>
            <w:tcW w:w="31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8925C3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符合条件申报对象覆盖率</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94160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DF93332">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34FC6E1">
            <w:pPr>
              <w:jc w:val="center"/>
              <w:rPr>
                <w:rFonts w:ascii="宋体" w:hAnsi="宋体" w:cs="宋体"/>
                <w:color w:val="000000"/>
                <w:sz w:val="16"/>
                <w:szCs w:val="16"/>
              </w:rPr>
            </w:pPr>
            <w:r>
              <w:rPr>
                <w:rFonts w:hint="eastAsia" w:ascii="宋体" w:hAnsi="宋体" w:cs="宋体"/>
                <w:color w:val="000000"/>
                <w:sz w:val="18"/>
                <w:szCs w:val="18"/>
              </w:rPr>
              <w:t>完成</w:t>
            </w:r>
          </w:p>
        </w:tc>
      </w:tr>
      <w:tr w14:paraId="3AFB86AE">
        <w:tblPrEx>
          <w:tblCellMar>
            <w:top w:w="0" w:type="dxa"/>
            <w:left w:w="0" w:type="dxa"/>
            <w:bottom w:w="0" w:type="dxa"/>
            <w:right w:w="0" w:type="dxa"/>
          </w:tblCellMar>
        </w:tblPrEx>
        <w:trPr>
          <w:trHeight w:val="40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61230E8B">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43A9C99">
            <w:pPr>
              <w:jc w:val="center"/>
              <w:rPr>
                <w:rFonts w:ascii="宋体" w:hAnsi="宋体" w:cs="宋体"/>
                <w:color w:val="000000"/>
                <w:sz w:val="16"/>
                <w:szCs w:val="16"/>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46A069A">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时效指标</w:t>
            </w:r>
          </w:p>
        </w:tc>
        <w:tc>
          <w:tcPr>
            <w:tcW w:w="31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CCF8AE9">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奖励和扶助资金到位率</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BA30AD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8D8F61">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BE0A584">
            <w:pPr>
              <w:jc w:val="center"/>
              <w:rPr>
                <w:rFonts w:ascii="宋体" w:hAnsi="宋体" w:cs="宋体"/>
                <w:color w:val="000000"/>
                <w:sz w:val="16"/>
                <w:szCs w:val="16"/>
              </w:rPr>
            </w:pPr>
            <w:r>
              <w:rPr>
                <w:rFonts w:hint="eastAsia" w:ascii="宋体" w:hAnsi="宋体" w:cs="宋体"/>
                <w:color w:val="000000"/>
                <w:sz w:val="18"/>
                <w:szCs w:val="18"/>
              </w:rPr>
              <w:t>完成</w:t>
            </w:r>
          </w:p>
        </w:tc>
      </w:tr>
      <w:tr w14:paraId="47EF7AB0">
        <w:tblPrEx>
          <w:tblCellMar>
            <w:top w:w="0" w:type="dxa"/>
            <w:left w:w="0" w:type="dxa"/>
            <w:bottom w:w="0" w:type="dxa"/>
            <w:right w:w="0" w:type="dxa"/>
          </w:tblCellMar>
        </w:tblPrEx>
        <w:trPr>
          <w:trHeight w:val="48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421A0CFD">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5050354">
            <w:pPr>
              <w:jc w:val="center"/>
              <w:rPr>
                <w:rFonts w:ascii="宋体" w:hAnsi="宋体" w:cs="宋体"/>
                <w:color w:val="000000"/>
                <w:sz w:val="16"/>
                <w:szCs w:val="16"/>
              </w:rPr>
            </w:pPr>
          </w:p>
        </w:tc>
        <w:tc>
          <w:tcPr>
            <w:tcW w:w="8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DFAA98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成本指标</w:t>
            </w:r>
          </w:p>
        </w:tc>
        <w:tc>
          <w:tcPr>
            <w:tcW w:w="31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2FEF1AA">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计划生育奖励扶助发放标准</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B705BCA">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80元/人/月</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1A81A35">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80元/人/月</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FB3355">
            <w:pPr>
              <w:jc w:val="center"/>
              <w:rPr>
                <w:rFonts w:ascii="宋体" w:hAnsi="宋体" w:cs="宋体"/>
                <w:color w:val="000000"/>
                <w:sz w:val="16"/>
                <w:szCs w:val="16"/>
              </w:rPr>
            </w:pPr>
            <w:r>
              <w:rPr>
                <w:rFonts w:hint="eastAsia" w:ascii="宋体" w:hAnsi="宋体" w:cs="宋体"/>
                <w:color w:val="000000"/>
                <w:sz w:val="18"/>
                <w:szCs w:val="18"/>
              </w:rPr>
              <w:t>完成</w:t>
            </w:r>
          </w:p>
        </w:tc>
      </w:tr>
      <w:tr w14:paraId="3632C7DF">
        <w:tblPrEx>
          <w:tblCellMar>
            <w:top w:w="0" w:type="dxa"/>
            <w:left w:w="0" w:type="dxa"/>
            <w:bottom w:w="0" w:type="dxa"/>
            <w:right w:w="0" w:type="dxa"/>
          </w:tblCellMar>
        </w:tblPrEx>
        <w:trPr>
          <w:trHeight w:val="38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4A112B6D">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11F6AF3">
            <w:pPr>
              <w:jc w:val="center"/>
              <w:rPr>
                <w:rFonts w:ascii="宋体" w:hAnsi="宋体" w:cs="宋体"/>
                <w:color w:val="000000"/>
                <w:sz w:val="16"/>
                <w:szCs w:val="16"/>
              </w:rPr>
            </w:pPr>
          </w:p>
        </w:tc>
        <w:tc>
          <w:tcPr>
            <w:tcW w:w="8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4576844">
            <w:pPr>
              <w:jc w:val="center"/>
              <w:rPr>
                <w:rFonts w:ascii="宋体" w:hAnsi="宋体" w:cs="宋体"/>
                <w:color w:val="000000"/>
                <w:sz w:val="16"/>
                <w:szCs w:val="16"/>
              </w:rPr>
            </w:pPr>
          </w:p>
        </w:tc>
        <w:tc>
          <w:tcPr>
            <w:tcW w:w="31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6486D2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计划生育特别扶助独子死亡发放标准</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4762972">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860元/人/月</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3F343A1">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860元/人/月</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DD4BBCF">
            <w:pPr>
              <w:jc w:val="center"/>
              <w:rPr>
                <w:rFonts w:ascii="宋体" w:hAnsi="宋体" w:cs="宋体"/>
                <w:color w:val="000000"/>
                <w:sz w:val="16"/>
                <w:szCs w:val="16"/>
              </w:rPr>
            </w:pPr>
            <w:r>
              <w:rPr>
                <w:rFonts w:hint="eastAsia" w:ascii="宋体" w:hAnsi="宋体" w:cs="宋体"/>
                <w:color w:val="000000"/>
                <w:sz w:val="18"/>
                <w:szCs w:val="18"/>
              </w:rPr>
              <w:t>完成</w:t>
            </w:r>
          </w:p>
        </w:tc>
      </w:tr>
      <w:tr w14:paraId="4E34CFEF">
        <w:tblPrEx>
          <w:tblCellMar>
            <w:top w:w="0" w:type="dxa"/>
            <w:left w:w="0" w:type="dxa"/>
            <w:bottom w:w="0" w:type="dxa"/>
            <w:right w:w="0" w:type="dxa"/>
          </w:tblCellMar>
        </w:tblPrEx>
        <w:trPr>
          <w:trHeight w:val="38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361DB677">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9CD07C">
            <w:pPr>
              <w:jc w:val="center"/>
              <w:rPr>
                <w:rFonts w:ascii="宋体" w:hAnsi="宋体" w:cs="宋体"/>
                <w:color w:val="000000"/>
                <w:sz w:val="16"/>
                <w:szCs w:val="16"/>
              </w:rPr>
            </w:pPr>
          </w:p>
        </w:tc>
        <w:tc>
          <w:tcPr>
            <w:tcW w:w="8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E58C8F7">
            <w:pPr>
              <w:jc w:val="center"/>
              <w:rPr>
                <w:rFonts w:ascii="宋体" w:hAnsi="宋体" w:cs="宋体"/>
                <w:color w:val="000000"/>
                <w:sz w:val="16"/>
                <w:szCs w:val="16"/>
              </w:rPr>
            </w:pPr>
          </w:p>
        </w:tc>
        <w:tc>
          <w:tcPr>
            <w:tcW w:w="31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3D0B378">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计划生育特别扶助独子伤残发放标准</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D8FA1C5">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680元/人/月</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872AA94">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680元/人/月</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8B751B8">
            <w:pPr>
              <w:jc w:val="center"/>
              <w:rPr>
                <w:rFonts w:ascii="宋体" w:hAnsi="宋体" w:cs="宋体"/>
                <w:color w:val="000000"/>
                <w:sz w:val="16"/>
                <w:szCs w:val="16"/>
              </w:rPr>
            </w:pPr>
            <w:r>
              <w:rPr>
                <w:rFonts w:hint="eastAsia" w:ascii="宋体" w:hAnsi="宋体" w:cs="宋体"/>
                <w:color w:val="000000"/>
                <w:sz w:val="18"/>
                <w:szCs w:val="18"/>
              </w:rPr>
              <w:t>完成</w:t>
            </w:r>
          </w:p>
        </w:tc>
      </w:tr>
      <w:tr w14:paraId="2D34DDDC">
        <w:tblPrEx>
          <w:tblCellMar>
            <w:top w:w="0" w:type="dxa"/>
            <w:left w:w="0" w:type="dxa"/>
            <w:bottom w:w="0" w:type="dxa"/>
            <w:right w:w="0" w:type="dxa"/>
          </w:tblCellMar>
        </w:tblPrEx>
        <w:trPr>
          <w:trHeight w:val="40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24904F71">
            <w:pPr>
              <w:jc w:val="center"/>
              <w:rPr>
                <w:rFonts w:ascii="宋体" w:hAnsi="宋体" w:cs="宋体"/>
                <w:color w:val="000000"/>
                <w:sz w:val="16"/>
                <w:szCs w:val="16"/>
              </w:rPr>
            </w:pPr>
          </w:p>
        </w:tc>
        <w:tc>
          <w:tcPr>
            <w:tcW w:w="50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7A21955">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效</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益</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指</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标</w:t>
            </w:r>
          </w:p>
        </w:tc>
        <w:tc>
          <w:tcPr>
            <w:tcW w:w="86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0A1C1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社会效益</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指标</w:t>
            </w:r>
          </w:p>
        </w:tc>
        <w:tc>
          <w:tcPr>
            <w:tcW w:w="31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AD3980B">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家庭发展能力</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B80C60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逐步提高</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855A018">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完成</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563EE3">
            <w:pPr>
              <w:jc w:val="center"/>
              <w:rPr>
                <w:rFonts w:ascii="宋体" w:hAnsi="宋体" w:cs="宋体"/>
                <w:color w:val="000000"/>
                <w:sz w:val="16"/>
                <w:szCs w:val="16"/>
              </w:rPr>
            </w:pPr>
          </w:p>
        </w:tc>
      </w:tr>
      <w:tr w14:paraId="66192426">
        <w:tblPrEx>
          <w:tblCellMar>
            <w:top w:w="0" w:type="dxa"/>
            <w:left w:w="0" w:type="dxa"/>
            <w:bottom w:w="0" w:type="dxa"/>
            <w:right w:w="0" w:type="dxa"/>
          </w:tblCellMar>
        </w:tblPrEx>
        <w:trPr>
          <w:trHeight w:val="36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7A147236">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2218F1">
            <w:pPr>
              <w:jc w:val="center"/>
              <w:rPr>
                <w:rFonts w:ascii="宋体" w:hAnsi="宋体" w:cs="宋体"/>
                <w:color w:val="000000"/>
                <w:sz w:val="16"/>
                <w:szCs w:val="16"/>
              </w:rPr>
            </w:pPr>
          </w:p>
        </w:tc>
        <w:tc>
          <w:tcPr>
            <w:tcW w:w="8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453E346">
            <w:pPr>
              <w:jc w:val="center"/>
              <w:rPr>
                <w:rFonts w:ascii="宋体" w:hAnsi="宋体" w:cs="宋体"/>
                <w:color w:val="000000"/>
                <w:sz w:val="16"/>
                <w:szCs w:val="16"/>
              </w:rPr>
            </w:pPr>
          </w:p>
        </w:tc>
        <w:tc>
          <w:tcPr>
            <w:tcW w:w="31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C46E3E2">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社会稳定水平</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83CD86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逐步提高</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60DC81">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完成</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39FD161">
            <w:pPr>
              <w:jc w:val="center"/>
              <w:rPr>
                <w:rFonts w:ascii="宋体" w:hAnsi="宋体" w:cs="宋体"/>
                <w:color w:val="000000"/>
                <w:sz w:val="16"/>
                <w:szCs w:val="16"/>
              </w:rPr>
            </w:pPr>
          </w:p>
        </w:tc>
      </w:tr>
      <w:tr w14:paraId="6E1636E2">
        <w:tblPrEx>
          <w:tblCellMar>
            <w:top w:w="0" w:type="dxa"/>
            <w:left w:w="0" w:type="dxa"/>
            <w:bottom w:w="0" w:type="dxa"/>
            <w:right w:w="0" w:type="dxa"/>
          </w:tblCellMar>
        </w:tblPrEx>
        <w:trPr>
          <w:trHeight w:val="52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5692ADCC">
            <w:pPr>
              <w:jc w:val="center"/>
              <w:rPr>
                <w:rFonts w:ascii="宋体" w:hAnsi="宋体" w:cs="宋体"/>
                <w:color w:val="000000"/>
                <w:sz w:val="16"/>
                <w:szCs w:val="16"/>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F0B6E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满意度指标</w:t>
            </w:r>
          </w:p>
        </w:tc>
        <w:tc>
          <w:tcPr>
            <w:tcW w:w="8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305A5DF">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服务对象</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满意度指标</w:t>
            </w:r>
          </w:p>
        </w:tc>
        <w:tc>
          <w:tcPr>
            <w:tcW w:w="31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B5721B8">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受益群众满意度</w:t>
            </w:r>
          </w:p>
        </w:tc>
        <w:tc>
          <w:tcPr>
            <w:tcW w:w="141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D305DFF">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≥90%</w:t>
            </w:r>
          </w:p>
        </w:tc>
        <w:tc>
          <w:tcPr>
            <w:tcW w:w="115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7DBE5E">
            <w:pPr>
              <w:widowControl/>
              <w:jc w:val="right"/>
              <w:textAlignment w:val="center"/>
              <w:rPr>
                <w:rFonts w:ascii="宋体" w:hAnsi="宋体" w:cs="宋体"/>
                <w:color w:val="000000"/>
                <w:sz w:val="16"/>
                <w:szCs w:val="16"/>
              </w:rPr>
            </w:pPr>
            <w:r>
              <w:rPr>
                <w:rFonts w:hint="eastAsia" w:ascii="宋体" w:hAnsi="宋体" w:cs="宋体"/>
                <w:color w:val="000000"/>
                <w:kern w:val="0"/>
                <w:sz w:val="16"/>
                <w:szCs w:val="16"/>
              </w:rPr>
              <w:t>95%</w:t>
            </w:r>
          </w:p>
        </w:tc>
        <w:tc>
          <w:tcPr>
            <w:tcW w:w="165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C9D32BB">
            <w:pPr>
              <w:jc w:val="center"/>
              <w:rPr>
                <w:rFonts w:ascii="宋体" w:hAnsi="宋体" w:cs="宋体"/>
                <w:color w:val="000000"/>
                <w:sz w:val="16"/>
                <w:szCs w:val="16"/>
              </w:rPr>
            </w:pPr>
          </w:p>
        </w:tc>
      </w:tr>
      <w:tr w14:paraId="704EE075">
        <w:tblPrEx>
          <w:tblCellMar>
            <w:top w:w="0" w:type="dxa"/>
            <w:left w:w="0" w:type="dxa"/>
            <w:bottom w:w="0" w:type="dxa"/>
            <w:right w:w="0" w:type="dxa"/>
          </w:tblCellMar>
        </w:tblPrEx>
        <w:trPr>
          <w:trHeight w:val="323"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B4CA2C1">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说明</w:t>
            </w:r>
          </w:p>
        </w:tc>
        <w:tc>
          <w:tcPr>
            <w:tcW w:w="8731" w:type="dxa"/>
            <w:gridSpan w:val="7"/>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AD61E7A">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无</w:t>
            </w:r>
          </w:p>
        </w:tc>
      </w:tr>
    </w:tbl>
    <w:p w14:paraId="4F4BAFAC">
      <w:pPr>
        <w:pStyle w:val="2"/>
        <w:ind w:firstLine="0" w:firstLineChars="0"/>
        <w:rPr>
          <w:rStyle w:val="26"/>
          <w:rFonts w:ascii="黑体" w:hAnsi="黑体" w:eastAsia="黑体"/>
          <w:b w:val="0"/>
          <w:color w:val="auto"/>
        </w:rPr>
      </w:pPr>
    </w:p>
    <w:tbl>
      <w:tblPr>
        <w:tblStyle w:val="14"/>
        <w:tblW w:w="9840" w:type="dxa"/>
        <w:tblInd w:w="0" w:type="dxa"/>
        <w:tblLayout w:type="autofit"/>
        <w:tblCellMar>
          <w:top w:w="0" w:type="dxa"/>
          <w:left w:w="0" w:type="dxa"/>
          <w:bottom w:w="0" w:type="dxa"/>
          <w:right w:w="0" w:type="dxa"/>
        </w:tblCellMar>
      </w:tblPr>
      <w:tblGrid>
        <w:gridCol w:w="509"/>
        <w:gridCol w:w="508"/>
        <w:gridCol w:w="719"/>
        <w:gridCol w:w="1870"/>
        <w:gridCol w:w="1570"/>
        <w:gridCol w:w="1630"/>
        <w:gridCol w:w="930"/>
        <w:gridCol w:w="2104"/>
      </w:tblGrid>
      <w:tr w14:paraId="39909E5C">
        <w:tblPrEx>
          <w:tblCellMar>
            <w:top w:w="0" w:type="dxa"/>
            <w:left w:w="0" w:type="dxa"/>
            <w:bottom w:w="0" w:type="dxa"/>
            <w:right w:w="0" w:type="dxa"/>
          </w:tblCellMar>
        </w:tblPrEx>
        <w:trPr>
          <w:trHeight w:val="330" w:hRule="atLeast"/>
        </w:trPr>
        <w:tc>
          <w:tcPr>
            <w:tcW w:w="509" w:type="dxa"/>
            <w:tcBorders>
              <w:top w:val="nil"/>
              <w:left w:val="nil"/>
              <w:bottom w:val="nil"/>
              <w:right w:val="nil"/>
            </w:tcBorders>
            <w:shd w:val="clear" w:color="auto" w:fill="auto"/>
            <w:noWrap/>
            <w:tcMar>
              <w:top w:w="10" w:type="dxa"/>
              <w:left w:w="10" w:type="dxa"/>
              <w:right w:w="10" w:type="dxa"/>
            </w:tcMar>
            <w:vAlign w:val="center"/>
          </w:tcPr>
          <w:p w14:paraId="54333DF2">
            <w:pPr>
              <w:jc w:val="left"/>
              <w:rPr>
                <w:rFonts w:ascii="仿宋_GB2312" w:hAnsi="宋体" w:eastAsia="仿宋_GB2312" w:cs="仿宋_GB2312"/>
                <w:color w:val="000000"/>
                <w:sz w:val="16"/>
                <w:szCs w:val="16"/>
              </w:rPr>
            </w:pPr>
          </w:p>
        </w:tc>
        <w:tc>
          <w:tcPr>
            <w:tcW w:w="509" w:type="dxa"/>
            <w:tcBorders>
              <w:top w:val="nil"/>
              <w:left w:val="nil"/>
              <w:bottom w:val="nil"/>
              <w:right w:val="nil"/>
            </w:tcBorders>
            <w:shd w:val="clear" w:color="auto" w:fill="auto"/>
            <w:tcMar>
              <w:top w:w="10" w:type="dxa"/>
              <w:left w:w="10" w:type="dxa"/>
              <w:right w:w="10" w:type="dxa"/>
            </w:tcMar>
            <w:vAlign w:val="center"/>
          </w:tcPr>
          <w:p w14:paraId="13C023BC">
            <w:pPr>
              <w:rPr>
                <w:rFonts w:ascii="黑体" w:hAnsi="宋体" w:eastAsia="黑体" w:cs="黑体"/>
                <w:color w:val="000000"/>
                <w:sz w:val="16"/>
                <w:szCs w:val="16"/>
              </w:rPr>
            </w:pPr>
          </w:p>
        </w:tc>
        <w:tc>
          <w:tcPr>
            <w:tcW w:w="720" w:type="dxa"/>
            <w:tcBorders>
              <w:top w:val="nil"/>
              <w:left w:val="nil"/>
              <w:bottom w:val="nil"/>
              <w:right w:val="nil"/>
            </w:tcBorders>
            <w:shd w:val="clear" w:color="auto" w:fill="auto"/>
            <w:tcMar>
              <w:top w:w="10" w:type="dxa"/>
              <w:left w:w="10" w:type="dxa"/>
              <w:right w:w="10" w:type="dxa"/>
            </w:tcMar>
            <w:vAlign w:val="center"/>
          </w:tcPr>
          <w:p w14:paraId="1CE3E98A">
            <w:pPr>
              <w:rPr>
                <w:rFonts w:ascii="黑体" w:hAnsi="宋体" w:eastAsia="黑体" w:cs="黑体"/>
                <w:color w:val="000000"/>
                <w:sz w:val="16"/>
                <w:szCs w:val="16"/>
              </w:rPr>
            </w:pPr>
          </w:p>
        </w:tc>
        <w:tc>
          <w:tcPr>
            <w:tcW w:w="1870" w:type="dxa"/>
            <w:tcBorders>
              <w:top w:val="nil"/>
              <w:left w:val="nil"/>
              <w:bottom w:val="nil"/>
              <w:right w:val="nil"/>
            </w:tcBorders>
            <w:shd w:val="clear" w:color="auto" w:fill="auto"/>
            <w:tcMar>
              <w:top w:w="10" w:type="dxa"/>
              <w:left w:w="10" w:type="dxa"/>
              <w:right w:w="10" w:type="dxa"/>
            </w:tcMar>
            <w:vAlign w:val="center"/>
          </w:tcPr>
          <w:p w14:paraId="00FAE5AB">
            <w:pPr>
              <w:rPr>
                <w:rFonts w:ascii="黑体" w:hAnsi="宋体" w:eastAsia="黑体" w:cs="黑体"/>
                <w:color w:val="000000"/>
                <w:sz w:val="16"/>
                <w:szCs w:val="16"/>
              </w:rPr>
            </w:pPr>
          </w:p>
        </w:tc>
        <w:tc>
          <w:tcPr>
            <w:tcW w:w="1570" w:type="dxa"/>
            <w:tcBorders>
              <w:top w:val="nil"/>
              <w:left w:val="nil"/>
              <w:bottom w:val="nil"/>
              <w:right w:val="nil"/>
            </w:tcBorders>
            <w:shd w:val="clear" w:color="auto" w:fill="auto"/>
            <w:tcMar>
              <w:top w:w="10" w:type="dxa"/>
              <w:left w:w="10" w:type="dxa"/>
              <w:right w:w="10" w:type="dxa"/>
            </w:tcMar>
            <w:vAlign w:val="center"/>
          </w:tcPr>
          <w:p w14:paraId="440FE918">
            <w:pPr>
              <w:rPr>
                <w:rFonts w:ascii="宋体" w:hAnsi="宋体" w:cs="宋体"/>
                <w:color w:val="000000"/>
                <w:sz w:val="16"/>
                <w:szCs w:val="16"/>
              </w:rPr>
            </w:pPr>
          </w:p>
        </w:tc>
        <w:tc>
          <w:tcPr>
            <w:tcW w:w="1630" w:type="dxa"/>
            <w:tcBorders>
              <w:top w:val="nil"/>
              <w:left w:val="nil"/>
              <w:bottom w:val="nil"/>
              <w:right w:val="nil"/>
            </w:tcBorders>
            <w:shd w:val="clear" w:color="auto" w:fill="auto"/>
            <w:tcMar>
              <w:top w:w="10" w:type="dxa"/>
              <w:left w:w="10" w:type="dxa"/>
              <w:right w:w="10" w:type="dxa"/>
            </w:tcMar>
            <w:vAlign w:val="center"/>
          </w:tcPr>
          <w:p w14:paraId="5D497F59">
            <w:pPr>
              <w:rPr>
                <w:rFonts w:ascii="宋体" w:hAnsi="宋体" w:cs="宋体"/>
                <w:color w:val="000000"/>
                <w:sz w:val="16"/>
                <w:szCs w:val="16"/>
              </w:rPr>
            </w:pPr>
          </w:p>
        </w:tc>
        <w:tc>
          <w:tcPr>
            <w:tcW w:w="930" w:type="dxa"/>
            <w:tcBorders>
              <w:top w:val="nil"/>
              <w:left w:val="nil"/>
              <w:bottom w:val="nil"/>
              <w:right w:val="nil"/>
            </w:tcBorders>
            <w:shd w:val="clear" w:color="auto" w:fill="auto"/>
            <w:tcMar>
              <w:top w:w="10" w:type="dxa"/>
              <w:left w:w="10" w:type="dxa"/>
              <w:right w:w="10" w:type="dxa"/>
            </w:tcMar>
            <w:vAlign w:val="center"/>
          </w:tcPr>
          <w:p w14:paraId="594BB502">
            <w:pPr>
              <w:rPr>
                <w:rFonts w:ascii="宋体" w:hAnsi="宋体" w:cs="宋体"/>
                <w:color w:val="000000"/>
                <w:sz w:val="16"/>
                <w:szCs w:val="16"/>
              </w:rPr>
            </w:pPr>
          </w:p>
        </w:tc>
        <w:tc>
          <w:tcPr>
            <w:tcW w:w="2104" w:type="dxa"/>
            <w:tcBorders>
              <w:top w:val="nil"/>
              <w:left w:val="nil"/>
              <w:bottom w:val="nil"/>
              <w:right w:val="nil"/>
            </w:tcBorders>
            <w:shd w:val="clear" w:color="auto" w:fill="auto"/>
            <w:tcMar>
              <w:top w:w="10" w:type="dxa"/>
              <w:left w:w="10" w:type="dxa"/>
              <w:right w:w="10" w:type="dxa"/>
            </w:tcMar>
            <w:vAlign w:val="center"/>
          </w:tcPr>
          <w:p w14:paraId="7684EEBB">
            <w:pPr>
              <w:rPr>
                <w:rFonts w:ascii="宋体" w:hAnsi="宋体" w:cs="宋体"/>
                <w:color w:val="000000"/>
                <w:sz w:val="16"/>
                <w:szCs w:val="16"/>
              </w:rPr>
            </w:pPr>
          </w:p>
        </w:tc>
      </w:tr>
      <w:tr w14:paraId="696F15A3">
        <w:tblPrEx>
          <w:tblCellMar>
            <w:top w:w="0" w:type="dxa"/>
            <w:left w:w="0" w:type="dxa"/>
            <w:bottom w:w="0" w:type="dxa"/>
            <w:right w:w="0" w:type="dxa"/>
          </w:tblCellMar>
        </w:tblPrEx>
        <w:trPr>
          <w:trHeight w:val="600" w:hRule="atLeast"/>
        </w:trPr>
        <w:tc>
          <w:tcPr>
            <w:tcW w:w="9842" w:type="dxa"/>
            <w:gridSpan w:val="8"/>
            <w:tcBorders>
              <w:top w:val="nil"/>
              <w:left w:val="nil"/>
              <w:bottom w:val="nil"/>
              <w:right w:val="nil"/>
            </w:tcBorders>
            <w:shd w:val="clear" w:color="auto" w:fill="auto"/>
            <w:tcMar>
              <w:top w:w="10" w:type="dxa"/>
              <w:left w:w="10" w:type="dxa"/>
              <w:right w:w="10" w:type="dxa"/>
            </w:tcMar>
            <w:vAlign w:val="center"/>
          </w:tcPr>
          <w:p w14:paraId="03765923">
            <w:pPr>
              <w:widowControl/>
              <w:jc w:val="center"/>
              <w:textAlignment w:val="center"/>
              <w:rPr>
                <w:rFonts w:ascii="宋体" w:hAnsi="宋体" w:cs="宋体"/>
                <w:b/>
                <w:color w:val="000000"/>
                <w:sz w:val="24"/>
              </w:rPr>
            </w:pPr>
            <w:r>
              <w:rPr>
                <w:rFonts w:hint="eastAsia" w:ascii="宋体" w:hAnsi="宋体" w:cs="宋体"/>
                <w:b/>
                <w:color w:val="000000"/>
                <w:kern w:val="0"/>
                <w:sz w:val="24"/>
              </w:rPr>
              <w:t xml:space="preserve">基本公共卫生转移支付区域（项目）绩效目标自评表 </w:t>
            </w:r>
          </w:p>
        </w:tc>
      </w:tr>
      <w:tr w14:paraId="1AB88C49">
        <w:tblPrEx>
          <w:tblCellMar>
            <w:top w:w="0" w:type="dxa"/>
            <w:left w:w="0" w:type="dxa"/>
            <w:bottom w:w="0" w:type="dxa"/>
            <w:right w:w="0" w:type="dxa"/>
          </w:tblCellMar>
        </w:tblPrEx>
        <w:trPr>
          <w:trHeight w:val="432" w:hRule="atLeast"/>
        </w:trPr>
        <w:tc>
          <w:tcPr>
            <w:tcW w:w="9842" w:type="dxa"/>
            <w:gridSpan w:val="8"/>
            <w:tcBorders>
              <w:top w:val="nil"/>
              <w:left w:val="nil"/>
              <w:bottom w:val="single" w:color="000000" w:sz="4" w:space="0"/>
              <w:right w:val="nil"/>
            </w:tcBorders>
            <w:shd w:val="clear" w:color="auto" w:fill="auto"/>
            <w:tcMar>
              <w:top w:w="10" w:type="dxa"/>
              <w:left w:w="10" w:type="dxa"/>
              <w:right w:w="10" w:type="dxa"/>
            </w:tcMar>
          </w:tcPr>
          <w:p w14:paraId="1DE61ABA">
            <w:pPr>
              <w:widowControl/>
              <w:jc w:val="center"/>
              <w:textAlignment w:val="top"/>
              <w:rPr>
                <w:rFonts w:ascii="宋体" w:hAnsi="宋体" w:cs="宋体"/>
                <w:color w:val="000000"/>
                <w:sz w:val="16"/>
                <w:szCs w:val="16"/>
              </w:rPr>
            </w:pPr>
            <w:r>
              <w:rPr>
                <w:rFonts w:hint="eastAsia" w:ascii="宋体" w:hAnsi="宋体" w:cs="宋体"/>
                <w:color w:val="000000"/>
                <w:kern w:val="0"/>
                <w:sz w:val="16"/>
                <w:szCs w:val="16"/>
              </w:rPr>
              <w:t>（2021年度）</w:t>
            </w:r>
          </w:p>
        </w:tc>
      </w:tr>
      <w:tr w14:paraId="119598CB">
        <w:tblPrEx>
          <w:tblCellMar>
            <w:top w:w="0" w:type="dxa"/>
            <w:left w:w="0" w:type="dxa"/>
            <w:bottom w:w="0" w:type="dxa"/>
            <w:right w:w="0" w:type="dxa"/>
          </w:tblCellMar>
        </w:tblPrEx>
        <w:trPr>
          <w:trHeight w:val="552" w:hRule="atLeast"/>
        </w:trPr>
        <w:tc>
          <w:tcPr>
            <w:tcW w:w="17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E4ECBF8">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转移支付（项目）名称</w:t>
            </w:r>
          </w:p>
        </w:tc>
        <w:tc>
          <w:tcPr>
            <w:tcW w:w="8104" w:type="dxa"/>
            <w:gridSpan w:val="5"/>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72EF9E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医疗服务与保障能力提升资金</w:t>
            </w:r>
          </w:p>
        </w:tc>
      </w:tr>
      <w:tr w14:paraId="09B7486A">
        <w:tblPrEx>
          <w:tblCellMar>
            <w:top w:w="0" w:type="dxa"/>
            <w:left w:w="0" w:type="dxa"/>
            <w:bottom w:w="0" w:type="dxa"/>
            <w:right w:w="0" w:type="dxa"/>
          </w:tblCellMar>
        </w:tblPrEx>
        <w:trPr>
          <w:trHeight w:val="323" w:hRule="atLeast"/>
        </w:trPr>
        <w:tc>
          <w:tcPr>
            <w:tcW w:w="17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851314F">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中央主管部门</w:t>
            </w:r>
          </w:p>
        </w:tc>
        <w:tc>
          <w:tcPr>
            <w:tcW w:w="8104" w:type="dxa"/>
            <w:gridSpan w:val="5"/>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905F13F">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国家卫健委</w:t>
            </w:r>
          </w:p>
        </w:tc>
      </w:tr>
      <w:tr w14:paraId="5315DC86">
        <w:tblPrEx>
          <w:tblCellMar>
            <w:top w:w="0" w:type="dxa"/>
            <w:left w:w="0" w:type="dxa"/>
            <w:bottom w:w="0" w:type="dxa"/>
            <w:right w:w="0" w:type="dxa"/>
          </w:tblCellMar>
        </w:tblPrEx>
        <w:trPr>
          <w:trHeight w:val="323" w:hRule="atLeast"/>
        </w:trPr>
        <w:tc>
          <w:tcPr>
            <w:tcW w:w="1738"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492404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地方主管部门</w:t>
            </w: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D9C814A">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广元市昭化区卫健局</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40E466E">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资金使用单位</w:t>
            </w:r>
          </w:p>
        </w:tc>
        <w:tc>
          <w:tcPr>
            <w:tcW w:w="303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A415274">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区人民医院、区中医医院</w:t>
            </w:r>
          </w:p>
        </w:tc>
      </w:tr>
      <w:tr w14:paraId="3B12846C">
        <w:tblPrEx>
          <w:tblCellMar>
            <w:top w:w="0" w:type="dxa"/>
            <w:left w:w="0" w:type="dxa"/>
            <w:bottom w:w="0" w:type="dxa"/>
            <w:right w:w="0" w:type="dxa"/>
          </w:tblCellMar>
        </w:tblPrEx>
        <w:trPr>
          <w:trHeight w:val="323" w:hRule="atLeast"/>
        </w:trPr>
        <w:tc>
          <w:tcPr>
            <w:tcW w:w="1738"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BBF3774">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资金情况</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（万元）</w:t>
            </w:r>
          </w:p>
        </w:tc>
        <w:tc>
          <w:tcPr>
            <w:tcW w:w="18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0746179">
            <w:pPr>
              <w:rPr>
                <w:rFonts w:ascii="宋体" w:hAnsi="宋体" w:cs="宋体"/>
                <w:color w:val="000000"/>
                <w:sz w:val="16"/>
                <w:szCs w:val="16"/>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5F55EC9">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全年预算数（A）</w:t>
            </w:r>
          </w:p>
        </w:tc>
        <w:tc>
          <w:tcPr>
            <w:tcW w:w="256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4F2B54A">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全年执行数（B）</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81942CE">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预算执行率（B/A)</w:t>
            </w:r>
          </w:p>
        </w:tc>
      </w:tr>
      <w:tr w14:paraId="69CDBA03">
        <w:tblPrEx>
          <w:tblCellMar>
            <w:top w:w="0" w:type="dxa"/>
            <w:left w:w="0" w:type="dxa"/>
            <w:bottom w:w="0" w:type="dxa"/>
            <w:right w:w="0" w:type="dxa"/>
          </w:tblCellMar>
        </w:tblPrEx>
        <w:trPr>
          <w:trHeight w:val="323" w:hRule="atLeast"/>
        </w:trPr>
        <w:tc>
          <w:tcPr>
            <w:tcW w:w="173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E8136F0">
            <w:pPr>
              <w:jc w:val="center"/>
              <w:rPr>
                <w:rFonts w:ascii="宋体" w:hAnsi="宋体" w:cs="宋体"/>
                <w:color w:val="000000"/>
                <w:sz w:val="16"/>
                <w:szCs w:val="16"/>
              </w:rPr>
            </w:pPr>
          </w:p>
        </w:tc>
        <w:tc>
          <w:tcPr>
            <w:tcW w:w="18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FE25076">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年度资金总额：</w:t>
            </w:r>
          </w:p>
        </w:tc>
        <w:tc>
          <w:tcPr>
            <w:tcW w:w="15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5E88A99">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430</w:t>
            </w:r>
          </w:p>
        </w:tc>
        <w:tc>
          <w:tcPr>
            <w:tcW w:w="256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68869C4">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430</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9546B2B">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r>
      <w:tr w14:paraId="0BC88C2A">
        <w:tblPrEx>
          <w:tblCellMar>
            <w:top w:w="0" w:type="dxa"/>
            <w:left w:w="0" w:type="dxa"/>
            <w:bottom w:w="0" w:type="dxa"/>
            <w:right w:w="0" w:type="dxa"/>
          </w:tblCellMar>
        </w:tblPrEx>
        <w:trPr>
          <w:trHeight w:val="323" w:hRule="atLeast"/>
        </w:trPr>
        <w:tc>
          <w:tcPr>
            <w:tcW w:w="173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71FB37A">
            <w:pPr>
              <w:jc w:val="center"/>
              <w:rPr>
                <w:rFonts w:ascii="宋体" w:hAnsi="宋体" w:cs="宋体"/>
                <w:color w:val="000000"/>
                <w:sz w:val="16"/>
                <w:szCs w:val="16"/>
              </w:rPr>
            </w:pPr>
          </w:p>
        </w:tc>
        <w:tc>
          <w:tcPr>
            <w:tcW w:w="18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D559CF0">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其中：中央财政资金</w:t>
            </w:r>
          </w:p>
        </w:tc>
        <w:tc>
          <w:tcPr>
            <w:tcW w:w="15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CAD928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410.2</w:t>
            </w:r>
          </w:p>
        </w:tc>
        <w:tc>
          <w:tcPr>
            <w:tcW w:w="256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9A30E32">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410.2</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95B2AD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r>
      <w:tr w14:paraId="57D3024F">
        <w:tblPrEx>
          <w:tblCellMar>
            <w:top w:w="0" w:type="dxa"/>
            <w:left w:w="0" w:type="dxa"/>
            <w:bottom w:w="0" w:type="dxa"/>
            <w:right w:w="0" w:type="dxa"/>
          </w:tblCellMar>
        </w:tblPrEx>
        <w:trPr>
          <w:trHeight w:val="323" w:hRule="atLeast"/>
        </w:trPr>
        <w:tc>
          <w:tcPr>
            <w:tcW w:w="173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68C6BA">
            <w:pPr>
              <w:jc w:val="center"/>
              <w:rPr>
                <w:rFonts w:ascii="宋体" w:hAnsi="宋体" w:cs="宋体"/>
                <w:color w:val="000000"/>
                <w:sz w:val="16"/>
                <w:szCs w:val="16"/>
              </w:rPr>
            </w:pPr>
          </w:p>
        </w:tc>
        <w:tc>
          <w:tcPr>
            <w:tcW w:w="18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7D7CC67">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地方资金</w:t>
            </w:r>
          </w:p>
        </w:tc>
        <w:tc>
          <w:tcPr>
            <w:tcW w:w="15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58A6E92">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19.8</w:t>
            </w:r>
          </w:p>
        </w:tc>
        <w:tc>
          <w:tcPr>
            <w:tcW w:w="256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8A9721">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19.8</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5EFEF3F">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r>
      <w:tr w14:paraId="3C0E7FCF">
        <w:tblPrEx>
          <w:tblCellMar>
            <w:top w:w="0" w:type="dxa"/>
            <w:left w:w="0" w:type="dxa"/>
            <w:bottom w:w="0" w:type="dxa"/>
            <w:right w:w="0" w:type="dxa"/>
          </w:tblCellMar>
        </w:tblPrEx>
        <w:trPr>
          <w:trHeight w:val="323" w:hRule="atLeast"/>
        </w:trPr>
        <w:tc>
          <w:tcPr>
            <w:tcW w:w="1738"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773211E">
            <w:pPr>
              <w:jc w:val="center"/>
              <w:rPr>
                <w:rFonts w:ascii="宋体" w:hAnsi="宋体" w:cs="宋体"/>
                <w:color w:val="000000"/>
                <w:sz w:val="16"/>
                <w:szCs w:val="16"/>
              </w:rPr>
            </w:pPr>
          </w:p>
        </w:tc>
        <w:tc>
          <w:tcPr>
            <w:tcW w:w="18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39CD5E">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其他资金</w:t>
            </w:r>
          </w:p>
        </w:tc>
        <w:tc>
          <w:tcPr>
            <w:tcW w:w="157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9AAA734">
            <w:pPr>
              <w:jc w:val="center"/>
              <w:rPr>
                <w:rFonts w:ascii="宋体" w:hAnsi="宋体" w:cs="宋体"/>
                <w:color w:val="000000"/>
                <w:sz w:val="16"/>
                <w:szCs w:val="16"/>
              </w:rPr>
            </w:pPr>
          </w:p>
        </w:tc>
        <w:tc>
          <w:tcPr>
            <w:tcW w:w="256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98D06AB">
            <w:pPr>
              <w:jc w:val="center"/>
              <w:rPr>
                <w:rFonts w:ascii="宋体" w:hAnsi="宋体" w:cs="宋体"/>
                <w:color w:val="000000"/>
                <w:sz w:val="16"/>
                <w:szCs w:val="16"/>
              </w:rPr>
            </w:pP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C8C051B">
            <w:pPr>
              <w:jc w:val="left"/>
              <w:rPr>
                <w:rFonts w:ascii="宋体" w:hAnsi="宋体" w:cs="宋体"/>
                <w:color w:val="000000"/>
                <w:sz w:val="16"/>
                <w:szCs w:val="16"/>
              </w:rPr>
            </w:pPr>
          </w:p>
        </w:tc>
      </w:tr>
      <w:tr w14:paraId="0A4D32FB">
        <w:tblPrEx>
          <w:tblCellMar>
            <w:top w:w="0" w:type="dxa"/>
            <w:left w:w="0" w:type="dxa"/>
            <w:bottom w:w="0" w:type="dxa"/>
            <w:right w:w="0" w:type="dxa"/>
          </w:tblCellMar>
        </w:tblPrEx>
        <w:trPr>
          <w:trHeight w:val="323" w:hRule="atLeast"/>
        </w:trPr>
        <w:tc>
          <w:tcPr>
            <w:tcW w:w="50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A23EAE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总体目标完成情况</w:t>
            </w:r>
          </w:p>
        </w:tc>
        <w:tc>
          <w:tcPr>
            <w:tcW w:w="4669"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9E10ED4">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总体目标</w:t>
            </w:r>
          </w:p>
        </w:tc>
        <w:tc>
          <w:tcPr>
            <w:tcW w:w="4664"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69D7EB">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全年实际完成情况</w:t>
            </w:r>
          </w:p>
        </w:tc>
      </w:tr>
      <w:tr w14:paraId="4C6DE42E">
        <w:tblPrEx>
          <w:tblCellMar>
            <w:top w:w="0" w:type="dxa"/>
            <w:left w:w="0" w:type="dxa"/>
            <w:bottom w:w="0" w:type="dxa"/>
            <w:right w:w="0" w:type="dxa"/>
          </w:tblCellMar>
        </w:tblPrEx>
        <w:trPr>
          <w:trHeight w:val="112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146B21B">
            <w:pPr>
              <w:jc w:val="center"/>
              <w:rPr>
                <w:rFonts w:ascii="宋体" w:hAnsi="宋体" w:cs="宋体"/>
                <w:color w:val="000000"/>
                <w:sz w:val="16"/>
                <w:szCs w:val="16"/>
              </w:rPr>
            </w:pPr>
          </w:p>
        </w:tc>
        <w:tc>
          <w:tcPr>
            <w:tcW w:w="4669"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0849D45">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目标1.完成中央财政经费支持的本地区各项卫生健康培训任务；目标2：基本建设具有中国特色的权责清晰、管理科学、治理完善、运行高效、监督有力的现代医院管理制度，建立维护公益性，调动积极性、保障可持续的运行新机制和科学合理的补偿机制</w:t>
            </w:r>
          </w:p>
        </w:tc>
        <w:tc>
          <w:tcPr>
            <w:tcW w:w="4664"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0136320">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通过人员培训、流程改造、设备购置，医院的服务能力得到提升，业务能力得到拓展，县级公立医院看大病、解难症水平明显提升，基本实现大病不出县，让群众就地就医；医疗服务体系能力明显提升，就医秩序得到改善。</w:t>
            </w:r>
          </w:p>
        </w:tc>
      </w:tr>
      <w:tr w14:paraId="1D965302">
        <w:tblPrEx>
          <w:tblCellMar>
            <w:top w:w="0" w:type="dxa"/>
            <w:left w:w="0" w:type="dxa"/>
            <w:bottom w:w="0" w:type="dxa"/>
            <w:right w:w="0" w:type="dxa"/>
          </w:tblCellMar>
        </w:tblPrEx>
        <w:trPr>
          <w:trHeight w:val="522" w:hRule="atLeast"/>
        </w:trPr>
        <w:tc>
          <w:tcPr>
            <w:tcW w:w="50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4EE2B1A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绩效指标</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F9C228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一级</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指标</w:t>
            </w: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A46FAC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二级指标</w:t>
            </w: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7C0AB99">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三级指标</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4148DB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指标值</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EEA3F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全年实际完成值</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10B67FB">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未完成原因和改进措施</w:t>
            </w:r>
          </w:p>
        </w:tc>
      </w:tr>
      <w:tr w14:paraId="0DF322C3">
        <w:tblPrEx>
          <w:tblCellMar>
            <w:top w:w="0" w:type="dxa"/>
            <w:left w:w="0" w:type="dxa"/>
            <w:bottom w:w="0" w:type="dxa"/>
            <w:right w:w="0" w:type="dxa"/>
          </w:tblCellMar>
        </w:tblPrEx>
        <w:trPr>
          <w:trHeight w:val="50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52A0E9AF">
            <w:pPr>
              <w:jc w:val="center"/>
              <w:rPr>
                <w:rFonts w:ascii="宋体" w:hAnsi="宋体" w:cs="宋体"/>
                <w:color w:val="000000"/>
                <w:sz w:val="16"/>
                <w:szCs w:val="16"/>
              </w:rPr>
            </w:pPr>
          </w:p>
        </w:tc>
        <w:tc>
          <w:tcPr>
            <w:tcW w:w="50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08AA579">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产</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出</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指</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标</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E3FB182">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数量指标</w:t>
            </w: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91DDCCA">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医疗服务收入（不含药品、耗材、检查、化验收入）占公立医院医疗收入的比例</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28845D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较上年提高</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EB58FE1">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完成</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CC920D8">
            <w:pPr>
              <w:jc w:val="center"/>
              <w:rPr>
                <w:rFonts w:ascii="宋体" w:hAnsi="宋体" w:cs="宋体"/>
                <w:color w:val="000000"/>
                <w:sz w:val="16"/>
                <w:szCs w:val="16"/>
              </w:rPr>
            </w:pPr>
          </w:p>
        </w:tc>
      </w:tr>
      <w:tr w14:paraId="0D74F4D1">
        <w:tblPrEx>
          <w:tblCellMar>
            <w:top w:w="0" w:type="dxa"/>
            <w:left w:w="0" w:type="dxa"/>
            <w:bottom w:w="0" w:type="dxa"/>
            <w:right w:w="0" w:type="dxa"/>
          </w:tblCellMar>
        </w:tblPrEx>
        <w:trPr>
          <w:trHeight w:val="32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069A5C26">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1ED429F">
            <w:pPr>
              <w:jc w:val="center"/>
              <w:rPr>
                <w:rFonts w:ascii="宋体" w:hAnsi="宋体" w:cs="宋体"/>
                <w:color w:val="000000"/>
                <w:sz w:val="16"/>
                <w:szCs w:val="16"/>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57607F">
            <w:pPr>
              <w:jc w:val="center"/>
              <w:rPr>
                <w:rFonts w:ascii="宋体" w:hAnsi="宋体" w:cs="宋体"/>
                <w:color w:val="000000"/>
                <w:sz w:val="16"/>
                <w:szCs w:val="16"/>
              </w:rPr>
            </w:pP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9B8109F">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公立医院资产负债率</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2BD591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较上年降低</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31A77CA">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完成</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0A5CCA6">
            <w:pPr>
              <w:jc w:val="center"/>
              <w:rPr>
                <w:rFonts w:ascii="宋体" w:hAnsi="宋体" w:cs="宋体"/>
                <w:color w:val="000000"/>
                <w:sz w:val="16"/>
                <w:szCs w:val="16"/>
              </w:rPr>
            </w:pPr>
          </w:p>
        </w:tc>
      </w:tr>
      <w:tr w14:paraId="5FE9BD9E">
        <w:tblPrEx>
          <w:tblCellMar>
            <w:top w:w="0" w:type="dxa"/>
            <w:left w:w="0" w:type="dxa"/>
            <w:bottom w:w="0" w:type="dxa"/>
            <w:right w:w="0" w:type="dxa"/>
          </w:tblCellMar>
        </w:tblPrEx>
        <w:trPr>
          <w:trHeight w:val="50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13B754B8">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44458D9">
            <w:pPr>
              <w:jc w:val="center"/>
              <w:rPr>
                <w:rFonts w:ascii="宋体" w:hAnsi="宋体" w:cs="宋体"/>
                <w:color w:val="000000"/>
                <w:sz w:val="16"/>
                <w:szCs w:val="16"/>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732E0A1">
            <w:pPr>
              <w:jc w:val="center"/>
              <w:rPr>
                <w:rFonts w:ascii="宋体" w:hAnsi="宋体" w:cs="宋体"/>
                <w:color w:val="000000"/>
                <w:sz w:val="16"/>
                <w:szCs w:val="16"/>
              </w:rPr>
            </w:pP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800EC5">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公立医院基本建设、设备购置长期负债占总资产的比例</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9DEA56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较上年降低</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FDA54FA">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完成</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C63F4BD">
            <w:pPr>
              <w:jc w:val="center"/>
              <w:rPr>
                <w:rFonts w:ascii="宋体" w:hAnsi="宋体" w:cs="宋体"/>
                <w:color w:val="000000"/>
                <w:sz w:val="16"/>
                <w:szCs w:val="16"/>
              </w:rPr>
            </w:pPr>
          </w:p>
        </w:tc>
      </w:tr>
      <w:tr w14:paraId="5363FAA2">
        <w:tblPrEx>
          <w:tblCellMar>
            <w:top w:w="0" w:type="dxa"/>
            <w:left w:w="0" w:type="dxa"/>
            <w:bottom w:w="0" w:type="dxa"/>
            <w:right w:w="0" w:type="dxa"/>
          </w:tblCellMar>
        </w:tblPrEx>
        <w:trPr>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41C8C1F6">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A566974">
            <w:pPr>
              <w:jc w:val="center"/>
              <w:rPr>
                <w:rFonts w:ascii="宋体" w:hAnsi="宋体" w:cs="宋体"/>
                <w:color w:val="000000"/>
                <w:sz w:val="16"/>
                <w:szCs w:val="16"/>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FDE086A">
            <w:pPr>
              <w:jc w:val="center"/>
              <w:rPr>
                <w:rFonts w:ascii="宋体" w:hAnsi="宋体" w:cs="宋体"/>
                <w:color w:val="000000"/>
                <w:sz w:val="16"/>
                <w:szCs w:val="16"/>
              </w:rPr>
            </w:pP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2DBACC0">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公立医院安防系统建设达标率</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D3C1FBB">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≥85%</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67131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1022327">
            <w:pPr>
              <w:jc w:val="center"/>
              <w:rPr>
                <w:rFonts w:ascii="宋体" w:hAnsi="宋体" w:cs="宋体"/>
                <w:color w:val="000000"/>
                <w:sz w:val="16"/>
                <w:szCs w:val="16"/>
              </w:rPr>
            </w:pPr>
            <w:r>
              <w:rPr>
                <w:rFonts w:hint="eastAsia" w:ascii="宋体" w:hAnsi="宋体" w:cs="宋体"/>
                <w:color w:val="000000"/>
                <w:sz w:val="18"/>
                <w:szCs w:val="18"/>
              </w:rPr>
              <w:t>完成</w:t>
            </w:r>
          </w:p>
        </w:tc>
      </w:tr>
      <w:tr w14:paraId="0D649FF9">
        <w:tblPrEx>
          <w:tblCellMar>
            <w:top w:w="0" w:type="dxa"/>
            <w:left w:w="0" w:type="dxa"/>
            <w:bottom w:w="0" w:type="dxa"/>
            <w:right w:w="0" w:type="dxa"/>
          </w:tblCellMar>
        </w:tblPrEx>
        <w:trPr>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7D3B03DB">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5405CA">
            <w:pPr>
              <w:jc w:val="center"/>
              <w:rPr>
                <w:rFonts w:ascii="宋体" w:hAnsi="宋体" w:cs="宋体"/>
                <w:color w:val="000000"/>
                <w:sz w:val="16"/>
                <w:szCs w:val="16"/>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6D82B8F">
            <w:pPr>
              <w:jc w:val="center"/>
              <w:rPr>
                <w:rFonts w:ascii="宋体" w:hAnsi="宋体" w:cs="宋体"/>
                <w:color w:val="000000"/>
                <w:sz w:val="16"/>
                <w:szCs w:val="16"/>
              </w:rPr>
            </w:pP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2A03050">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公立医院安检覆盖率</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720D75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≥75%</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ABD1D92">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80%</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B6ECE9D">
            <w:pPr>
              <w:jc w:val="center"/>
              <w:rPr>
                <w:rFonts w:ascii="宋体" w:hAnsi="宋体" w:cs="宋体"/>
                <w:color w:val="000000"/>
                <w:sz w:val="16"/>
                <w:szCs w:val="16"/>
              </w:rPr>
            </w:pPr>
            <w:r>
              <w:rPr>
                <w:rFonts w:hint="eastAsia" w:ascii="宋体" w:hAnsi="宋体" w:cs="宋体"/>
                <w:color w:val="000000"/>
                <w:sz w:val="18"/>
                <w:szCs w:val="18"/>
              </w:rPr>
              <w:t>完成</w:t>
            </w:r>
          </w:p>
        </w:tc>
      </w:tr>
      <w:tr w14:paraId="5EDE045B">
        <w:tblPrEx>
          <w:tblCellMar>
            <w:top w:w="0" w:type="dxa"/>
            <w:left w:w="0" w:type="dxa"/>
            <w:bottom w:w="0" w:type="dxa"/>
            <w:right w:w="0" w:type="dxa"/>
          </w:tblCellMar>
        </w:tblPrEx>
        <w:trPr>
          <w:trHeight w:val="52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5AF40201">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7FB2265">
            <w:pPr>
              <w:jc w:val="center"/>
              <w:rPr>
                <w:rFonts w:ascii="宋体" w:hAnsi="宋体" w:cs="宋体"/>
                <w:color w:val="000000"/>
                <w:sz w:val="16"/>
                <w:szCs w:val="16"/>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DAEB9B3">
            <w:pPr>
              <w:jc w:val="center"/>
              <w:rPr>
                <w:rFonts w:ascii="宋体" w:hAnsi="宋体" w:cs="宋体"/>
                <w:color w:val="000000"/>
                <w:sz w:val="16"/>
                <w:szCs w:val="16"/>
              </w:rPr>
            </w:pP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B62B503">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基层医疗卫生机构中医综合服务区（中医馆）服务能力建设</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E1B4E11">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≥6</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C45109A">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6</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B14FCF5">
            <w:pPr>
              <w:jc w:val="center"/>
              <w:rPr>
                <w:rFonts w:ascii="宋体" w:hAnsi="宋体" w:cs="宋体"/>
                <w:color w:val="000000"/>
                <w:sz w:val="16"/>
                <w:szCs w:val="16"/>
              </w:rPr>
            </w:pPr>
            <w:r>
              <w:rPr>
                <w:rFonts w:hint="eastAsia" w:ascii="宋体" w:hAnsi="宋体" w:cs="宋体"/>
                <w:color w:val="000000"/>
                <w:sz w:val="18"/>
                <w:szCs w:val="18"/>
              </w:rPr>
              <w:t>完成</w:t>
            </w:r>
          </w:p>
        </w:tc>
      </w:tr>
      <w:tr w14:paraId="5A086DEF">
        <w:tblPrEx>
          <w:tblCellMar>
            <w:top w:w="0" w:type="dxa"/>
            <w:left w:w="0" w:type="dxa"/>
            <w:bottom w:w="0" w:type="dxa"/>
            <w:right w:w="0" w:type="dxa"/>
          </w:tblCellMar>
        </w:tblPrEx>
        <w:trPr>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35798445">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735FD1B">
            <w:pPr>
              <w:jc w:val="center"/>
              <w:rPr>
                <w:rFonts w:ascii="宋体" w:hAnsi="宋体" w:cs="宋体"/>
                <w:color w:val="000000"/>
                <w:sz w:val="16"/>
                <w:szCs w:val="16"/>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DF4479">
            <w:pPr>
              <w:jc w:val="center"/>
              <w:rPr>
                <w:rFonts w:ascii="宋体" w:hAnsi="宋体" w:cs="宋体"/>
                <w:color w:val="000000"/>
                <w:sz w:val="16"/>
                <w:szCs w:val="16"/>
              </w:rPr>
            </w:pP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6561E99">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紧缺人才培训完成率</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FFAF79">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≥90%</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F2D9BE9">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53A4261">
            <w:pPr>
              <w:jc w:val="center"/>
              <w:rPr>
                <w:rFonts w:ascii="宋体" w:hAnsi="宋体" w:cs="宋体"/>
                <w:color w:val="000000"/>
                <w:sz w:val="16"/>
                <w:szCs w:val="16"/>
              </w:rPr>
            </w:pPr>
            <w:r>
              <w:rPr>
                <w:rFonts w:hint="eastAsia" w:ascii="宋体" w:hAnsi="宋体" w:cs="宋体"/>
                <w:color w:val="000000"/>
                <w:sz w:val="18"/>
                <w:szCs w:val="18"/>
              </w:rPr>
              <w:t>完成</w:t>
            </w:r>
          </w:p>
        </w:tc>
      </w:tr>
      <w:tr w14:paraId="500CBC41">
        <w:tblPrEx>
          <w:tblCellMar>
            <w:top w:w="0" w:type="dxa"/>
            <w:left w:w="0" w:type="dxa"/>
            <w:bottom w:w="0" w:type="dxa"/>
            <w:right w:w="0" w:type="dxa"/>
          </w:tblCellMar>
        </w:tblPrEx>
        <w:trPr>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63FC614A">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33395A6">
            <w:pPr>
              <w:jc w:val="center"/>
              <w:rPr>
                <w:rFonts w:ascii="宋体" w:hAnsi="宋体" w:cs="宋体"/>
                <w:color w:val="000000"/>
                <w:sz w:val="16"/>
                <w:szCs w:val="16"/>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8CEA0F1">
            <w:pPr>
              <w:jc w:val="center"/>
              <w:rPr>
                <w:rFonts w:ascii="宋体" w:hAnsi="宋体" w:cs="宋体"/>
                <w:color w:val="000000"/>
                <w:sz w:val="16"/>
                <w:szCs w:val="16"/>
              </w:rPr>
            </w:pP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FD09EE4">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县乡村卫生人才培训完成率</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E3CDB98">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≥90%</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DD7969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8DCC5E4">
            <w:pPr>
              <w:jc w:val="center"/>
              <w:rPr>
                <w:rFonts w:ascii="宋体" w:hAnsi="宋体" w:cs="宋体"/>
                <w:color w:val="000000"/>
                <w:sz w:val="16"/>
                <w:szCs w:val="16"/>
              </w:rPr>
            </w:pPr>
            <w:r>
              <w:rPr>
                <w:rFonts w:hint="eastAsia" w:ascii="宋体" w:hAnsi="宋体" w:cs="宋体"/>
                <w:color w:val="000000"/>
                <w:sz w:val="18"/>
                <w:szCs w:val="18"/>
              </w:rPr>
              <w:t>完成</w:t>
            </w:r>
          </w:p>
        </w:tc>
      </w:tr>
      <w:tr w14:paraId="5DAE9130">
        <w:tblPrEx>
          <w:tblCellMar>
            <w:top w:w="0" w:type="dxa"/>
            <w:left w:w="0" w:type="dxa"/>
            <w:bottom w:w="0" w:type="dxa"/>
            <w:right w:w="0" w:type="dxa"/>
          </w:tblCellMar>
        </w:tblPrEx>
        <w:trPr>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04755F54">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D4CEA57">
            <w:pPr>
              <w:jc w:val="center"/>
              <w:rPr>
                <w:rFonts w:ascii="宋体" w:hAnsi="宋体" w:cs="宋体"/>
                <w:color w:val="000000"/>
                <w:sz w:val="16"/>
                <w:szCs w:val="16"/>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DE84A0">
            <w:pPr>
              <w:jc w:val="center"/>
              <w:rPr>
                <w:rFonts w:ascii="宋体" w:hAnsi="宋体" w:cs="宋体"/>
                <w:color w:val="000000"/>
                <w:sz w:val="16"/>
                <w:szCs w:val="16"/>
              </w:rPr>
            </w:pP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1E674B2">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全科医生转岗培训人数</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B7A255B">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16</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0B40D5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16</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7E79E03">
            <w:pPr>
              <w:jc w:val="center"/>
              <w:rPr>
                <w:rFonts w:ascii="宋体" w:hAnsi="宋体" w:cs="宋体"/>
                <w:color w:val="000000"/>
                <w:sz w:val="16"/>
                <w:szCs w:val="16"/>
              </w:rPr>
            </w:pPr>
            <w:r>
              <w:rPr>
                <w:rFonts w:hint="eastAsia" w:ascii="宋体" w:hAnsi="宋体" w:cs="宋体"/>
                <w:color w:val="000000"/>
                <w:sz w:val="18"/>
                <w:szCs w:val="18"/>
              </w:rPr>
              <w:t>完成</w:t>
            </w:r>
          </w:p>
        </w:tc>
      </w:tr>
      <w:tr w14:paraId="7429F415">
        <w:tblPrEx>
          <w:tblCellMar>
            <w:top w:w="0" w:type="dxa"/>
            <w:left w:w="0" w:type="dxa"/>
            <w:bottom w:w="0" w:type="dxa"/>
            <w:right w:w="0" w:type="dxa"/>
          </w:tblCellMar>
        </w:tblPrEx>
        <w:trPr>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53CDC4D1">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C9B1796">
            <w:pPr>
              <w:jc w:val="center"/>
              <w:rPr>
                <w:rFonts w:ascii="宋体" w:hAnsi="宋体" w:cs="宋体"/>
                <w:color w:val="000000"/>
                <w:sz w:val="16"/>
                <w:szCs w:val="16"/>
              </w:rPr>
            </w:pP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246318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质量指标</w:t>
            </w: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4819333">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全科医生转岗培训考核合格率</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9A41C55">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≥95%</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A1D717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98%</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4479A4A">
            <w:pPr>
              <w:jc w:val="center"/>
              <w:rPr>
                <w:rFonts w:ascii="宋体" w:hAnsi="宋体" w:cs="宋体"/>
                <w:color w:val="000000"/>
                <w:sz w:val="16"/>
                <w:szCs w:val="16"/>
              </w:rPr>
            </w:pPr>
            <w:r>
              <w:rPr>
                <w:rFonts w:hint="eastAsia" w:ascii="宋体" w:hAnsi="宋体" w:cs="宋体"/>
                <w:color w:val="000000"/>
                <w:sz w:val="18"/>
                <w:szCs w:val="18"/>
              </w:rPr>
              <w:t>完成</w:t>
            </w:r>
          </w:p>
        </w:tc>
      </w:tr>
      <w:tr w14:paraId="7C3C3FA5">
        <w:tblPrEx>
          <w:tblCellMar>
            <w:top w:w="0" w:type="dxa"/>
            <w:left w:w="0" w:type="dxa"/>
            <w:bottom w:w="0" w:type="dxa"/>
            <w:right w:w="0" w:type="dxa"/>
          </w:tblCellMar>
        </w:tblPrEx>
        <w:trPr>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71309D12">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20CBE7A">
            <w:pPr>
              <w:jc w:val="center"/>
              <w:rPr>
                <w:rFonts w:ascii="宋体" w:hAnsi="宋体" w:cs="宋体"/>
                <w:color w:val="000000"/>
                <w:sz w:val="16"/>
                <w:szCs w:val="16"/>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217C05B">
            <w:pPr>
              <w:jc w:val="center"/>
              <w:rPr>
                <w:rFonts w:ascii="宋体" w:hAnsi="宋体" w:cs="宋体"/>
                <w:color w:val="000000"/>
                <w:sz w:val="16"/>
                <w:szCs w:val="16"/>
              </w:rPr>
            </w:pP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C017044">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公立医院平均住院日</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589020E">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较上年降低≤9.35天</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23F98CB">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完成</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5BB2B5F">
            <w:pPr>
              <w:jc w:val="center"/>
              <w:rPr>
                <w:rFonts w:ascii="宋体" w:hAnsi="宋体" w:cs="宋体"/>
                <w:color w:val="000000"/>
                <w:sz w:val="16"/>
                <w:szCs w:val="16"/>
              </w:rPr>
            </w:pPr>
            <w:r>
              <w:rPr>
                <w:rFonts w:hint="eastAsia" w:ascii="宋体" w:hAnsi="宋体" w:cs="宋体"/>
                <w:color w:val="000000"/>
                <w:sz w:val="18"/>
                <w:szCs w:val="18"/>
              </w:rPr>
              <w:t>完成</w:t>
            </w:r>
          </w:p>
        </w:tc>
      </w:tr>
      <w:tr w14:paraId="6D3FA934">
        <w:tblPrEx>
          <w:tblCellMar>
            <w:top w:w="0" w:type="dxa"/>
            <w:left w:w="0" w:type="dxa"/>
            <w:bottom w:w="0" w:type="dxa"/>
            <w:right w:w="0" w:type="dxa"/>
          </w:tblCellMar>
        </w:tblPrEx>
        <w:trPr>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0D929FF3">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C9A2B06">
            <w:pPr>
              <w:jc w:val="center"/>
              <w:rPr>
                <w:rFonts w:ascii="宋体" w:hAnsi="宋体" w:cs="宋体"/>
                <w:color w:val="000000"/>
                <w:sz w:val="16"/>
                <w:szCs w:val="16"/>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B989FD3">
            <w:pPr>
              <w:jc w:val="center"/>
              <w:rPr>
                <w:rFonts w:ascii="宋体" w:hAnsi="宋体" w:cs="宋体"/>
                <w:color w:val="000000"/>
                <w:sz w:val="16"/>
                <w:szCs w:val="16"/>
              </w:rPr>
            </w:pP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CDA4A88">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中医馆建设合格率</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FF1039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≥90%</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8AF1C01">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92%</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DDFA32">
            <w:pPr>
              <w:jc w:val="center"/>
              <w:rPr>
                <w:rFonts w:ascii="宋体" w:hAnsi="宋体" w:cs="宋体"/>
                <w:color w:val="000000"/>
                <w:sz w:val="16"/>
                <w:szCs w:val="16"/>
              </w:rPr>
            </w:pPr>
            <w:r>
              <w:rPr>
                <w:rFonts w:hint="eastAsia" w:ascii="宋体" w:hAnsi="宋体" w:cs="宋体"/>
                <w:color w:val="000000"/>
                <w:sz w:val="18"/>
                <w:szCs w:val="18"/>
              </w:rPr>
              <w:t>完成</w:t>
            </w:r>
          </w:p>
        </w:tc>
      </w:tr>
      <w:tr w14:paraId="63920B1F">
        <w:tblPrEx>
          <w:tblCellMar>
            <w:top w:w="0" w:type="dxa"/>
            <w:left w:w="0" w:type="dxa"/>
            <w:bottom w:w="0" w:type="dxa"/>
            <w:right w:w="0" w:type="dxa"/>
          </w:tblCellMar>
        </w:tblPrEx>
        <w:trPr>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7D0820CE">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CE47222">
            <w:pPr>
              <w:jc w:val="center"/>
              <w:rPr>
                <w:rFonts w:ascii="宋体" w:hAnsi="宋体" w:cs="宋体"/>
                <w:color w:val="000000"/>
                <w:sz w:val="16"/>
                <w:szCs w:val="16"/>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A30445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时效指标</w:t>
            </w: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18820B3">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中医馆项目周期</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68F0989">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w:t>
            </w:r>
            <w:r>
              <w:rPr>
                <w:rStyle w:val="36"/>
                <w:rFonts w:hint="default"/>
              </w:rPr>
              <w:t>2年</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AC53AE">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D48A54F">
            <w:pPr>
              <w:jc w:val="center"/>
              <w:rPr>
                <w:rFonts w:ascii="宋体" w:hAnsi="宋体" w:cs="宋体"/>
                <w:color w:val="000000"/>
                <w:sz w:val="16"/>
                <w:szCs w:val="16"/>
              </w:rPr>
            </w:pPr>
            <w:r>
              <w:rPr>
                <w:rFonts w:hint="eastAsia" w:ascii="宋体" w:hAnsi="宋体" w:cs="宋体"/>
                <w:color w:val="000000"/>
                <w:sz w:val="18"/>
                <w:szCs w:val="18"/>
              </w:rPr>
              <w:t>完成</w:t>
            </w:r>
          </w:p>
        </w:tc>
      </w:tr>
      <w:tr w14:paraId="2A1D9005">
        <w:tblPrEx>
          <w:tblCellMar>
            <w:top w:w="0" w:type="dxa"/>
            <w:left w:w="0" w:type="dxa"/>
            <w:bottom w:w="0" w:type="dxa"/>
            <w:right w:w="0" w:type="dxa"/>
          </w:tblCellMar>
        </w:tblPrEx>
        <w:trPr>
          <w:trHeight w:val="36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30C69991">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CC08A4D">
            <w:pPr>
              <w:jc w:val="center"/>
              <w:rPr>
                <w:rFonts w:ascii="宋体" w:hAnsi="宋体" w:cs="宋体"/>
                <w:color w:val="000000"/>
                <w:sz w:val="16"/>
                <w:szCs w:val="16"/>
              </w:rPr>
            </w:pP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074DA4">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成本指标</w:t>
            </w: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7C30BE7">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公立医院百元医疗收入的医疗支出（不含药品收入）</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CEEEAB9">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较上年降低</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975AD9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完成</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E197EA8">
            <w:pPr>
              <w:jc w:val="center"/>
              <w:rPr>
                <w:rFonts w:ascii="宋体" w:hAnsi="宋体" w:cs="宋体"/>
                <w:color w:val="000000"/>
                <w:sz w:val="16"/>
                <w:szCs w:val="16"/>
              </w:rPr>
            </w:pPr>
          </w:p>
        </w:tc>
      </w:tr>
      <w:tr w14:paraId="58F1DD10">
        <w:tblPrEx>
          <w:tblCellMar>
            <w:top w:w="0" w:type="dxa"/>
            <w:left w:w="0" w:type="dxa"/>
            <w:bottom w:w="0" w:type="dxa"/>
            <w:right w:w="0" w:type="dxa"/>
          </w:tblCellMar>
        </w:tblPrEx>
        <w:trPr>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4B55B7C0">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8A4EFA3">
            <w:pPr>
              <w:jc w:val="center"/>
              <w:rPr>
                <w:rFonts w:ascii="宋体" w:hAnsi="宋体" w:cs="宋体"/>
                <w:color w:val="000000"/>
                <w:sz w:val="16"/>
                <w:szCs w:val="16"/>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A422218">
            <w:pPr>
              <w:jc w:val="center"/>
              <w:rPr>
                <w:rFonts w:ascii="宋体" w:hAnsi="宋体" w:cs="宋体"/>
                <w:color w:val="000000"/>
                <w:sz w:val="16"/>
                <w:szCs w:val="16"/>
              </w:rPr>
            </w:pP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A5E0F88">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中医馆建设成本控制有效性</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EFBF0A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严格采购程序</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2782F25">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完成</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8911C5F">
            <w:pPr>
              <w:jc w:val="center"/>
              <w:rPr>
                <w:rFonts w:ascii="宋体" w:hAnsi="宋体" w:cs="宋体"/>
                <w:color w:val="000000"/>
                <w:sz w:val="16"/>
                <w:szCs w:val="16"/>
              </w:rPr>
            </w:pPr>
          </w:p>
        </w:tc>
      </w:tr>
      <w:tr w14:paraId="220AC34F">
        <w:tblPrEx>
          <w:tblCellMar>
            <w:top w:w="0" w:type="dxa"/>
            <w:left w:w="0" w:type="dxa"/>
            <w:bottom w:w="0" w:type="dxa"/>
            <w:right w:w="0" w:type="dxa"/>
          </w:tblCellMar>
        </w:tblPrEx>
        <w:trPr>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14E59E70">
            <w:pPr>
              <w:jc w:val="center"/>
              <w:rPr>
                <w:rFonts w:ascii="宋体" w:hAnsi="宋体" w:cs="宋体"/>
                <w:color w:val="000000"/>
                <w:sz w:val="16"/>
                <w:szCs w:val="16"/>
              </w:rPr>
            </w:pPr>
          </w:p>
        </w:tc>
        <w:tc>
          <w:tcPr>
            <w:tcW w:w="50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2F4B93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效</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益</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指</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标</w:t>
            </w:r>
          </w:p>
        </w:tc>
        <w:tc>
          <w:tcPr>
            <w:tcW w:w="720" w:type="dxa"/>
            <w:vMerge w:val="restart"/>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F7ADE0B">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社会效益</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指标</w:t>
            </w: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2504D12">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中医馆服务能力提升</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93232AE">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明显提高</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034D5D1">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完成</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DF55335">
            <w:pPr>
              <w:jc w:val="center"/>
              <w:rPr>
                <w:rFonts w:ascii="宋体" w:hAnsi="宋体" w:cs="宋体"/>
                <w:color w:val="000000"/>
                <w:sz w:val="16"/>
                <w:szCs w:val="16"/>
              </w:rPr>
            </w:pPr>
          </w:p>
        </w:tc>
      </w:tr>
      <w:tr w14:paraId="42F4E4B6">
        <w:tblPrEx>
          <w:tblCellMar>
            <w:top w:w="0" w:type="dxa"/>
            <w:left w:w="0" w:type="dxa"/>
            <w:bottom w:w="0" w:type="dxa"/>
            <w:right w:w="0" w:type="dxa"/>
          </w:tblCellMar>
        </w:tblPrEx>
        <w:trPr>
          <w:trHeight w:val="58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7E0D1667">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18F8478">
            <w:pPr>
              <w:jc w:val="center"/>
              <w:rPr>
                <w:rFonts w:ascii="宋体" w:hAnsi="宋体" w:cs="宋体"/>
                <w:color w:val="000000"/>
                <w:sz w:val="16"/>
                <w:szCs w:val="16"/>
              </w:rPr>
            </w:pPr>
          </w:p>
        </w:tc>
        <w:tc>
          <w:tcPr>
            <w:tcW w:w="720"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BDAF079">
            <w:pPr>
              <w:jc w:val="center"/>
              <w:rPr>
                <w:rFonts w:ascii="宋体" w:hAnsi="宋体" w:cs="宋体"/>
                <w:color w:val="000000"/>
                <w:sz w:val="16"/>
                <w:szCs w:val="16"/>
              </w:rPr>
            </w:pP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EC83197">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基层医疗卫生机构诊疗人次数占医疗卫生机构诊疗总人人次的比例</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2E8CE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较上年提高</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E8BDFF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完成</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A51AD37">
            <w:pPr>
              <w:jc w:val="center"/>
              <w:rPr>
                <w:rFonts w:ascii="宋体" w:hAnsi="宋体" w:cs="宋体"/>
                <w:color w:val="000000"/>
                <w:sz w:val="16"/>
                <w:szCs w:val="16"/>
              </w:rPr>
            </w:pPr>
          </w:p>
        </w:tc>
      </w:tr>
      <w:tr w14:paraId="7D860474">
        <w:tblPrEx>
          <w:tblCellMar>
            <w:top w:w="0" w:type="dxa"/>
            <w:left w:w="0" w:type="dxa"/>
            <w:bottom w:w="0" w:type="dxa"/>
            <w:right w:w="0" w:type="dxa"/>
          </w:tblCellMar>
        </w:tblPrEx>
        <w:trPr>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238A61BA">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9690424">
            <w:pPr>
              <w:jc w:val="center"/>
              <w:rPr>
                <w:rFonts w:ascii="宋体" w:hAnsi="宋体" w:cs="宋体"/>
                <w:color w:val="000000"/>
                <w:sz w:val="16"/>
                <w:szCs w:val="16"/>
              </w:rPr>
            </w:pPr>
          </w:p>
        </w:tc>
        <w:tc>
          <w:tcPr>
            <w:tcW w:w="720"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0F4FAA26">
            <w:pPr>
              <w:jc w:val="center"/>
              <w:rPr>
                <w:rFonts w:ascii="宋体" w:hAnsi="宋体" w:cs="宋体"/>
                <w:color w:val="000000"/>
                <w:sz w:val="16"/>
                <w:szCs w:val="16"/>
              </w:rPr>
            </w:pP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C884008">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公立医院每门急诊人次平均收费水平增长比例</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0A727F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较上年降低</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420010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完成</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C4680D0">
            <w:pPr>
              <w:jc w:val="center"/>
              <w:rPr>
                <w:rFonts w:ascii="宋体" w:hAnsi="宋体" w:cs="宋体"/>
                <w:color w:val="000000"/>
                <w:sz w:val="16"/>
                <w:szCs w:val="16"/>
              </w:rPr>
            </w:pPr>
          </w:p>
        </w:tc>
      </w:tr>
      <w:tr w14:paraId="68D77B05">
        <w:tblPrEx>
          <w:tblCellMar>
            <w:top w:w="0" w:type="dxa"/>
            <w:left w:w="0" w:type="dxa"/>
            <w:bottom w:w="0" w:type="dxa"/>
            <w:right w:w="0" w:type="dxa"/>
          </w:tblCellMar>
        </w:tblPrEx>
        <w:trPr>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7A6FD733">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F2758C">
            <w:pPr>
              <w:jc w:val="center"/>
              <w:rPr>
                <w:rFonts w:ascii="宋体" w:hAnsi="宋体" w:cs="宋体"/>
                <w:color w:val="000000"/>
                <w:sz w:val="16"/>
                <w:szCs w:val="16"/>
              </w:rPr>
            </w:pPr>
          </w:p>
        </w:tc>
        <w:tc>
          <w:tcPr>
            <w:tcW w:w="720"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8C261C9">
            <w:pPr>
              <w:jc w:val="center"/>
              <w:rPr>
                <w:rFonts w:ascii="宋体" w:hAnsi="宋体" w:cs="宋体"/>
                <w:color w:val="000000"/>
                <w:sz w:val="16"/>
                <w:szCs w:val="16"/>
              </w:rPr>
            </w:pP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2004CFD">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公立医院出院人平均医药费增长比例</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C576E05">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较上年降低</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DD7271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完成</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09FF439">
            <w:pPr>
              <w:jc w:val="center"/>
              <w:rPr>
                <w:rFonts w:ascii="宋体" w:hAnsi="宋体" w:cs="宋体"/>
                <w:color w:val="000000"/>
                <w:sz w:val="16"/>
                <w:szCs w:val="16"/>
              </w:rPr>
            </w:pPr>
          </w:p>
        </w:tc>
      </w:tr>
      <w:tr w14:paraId="54A7E0EF">
        <w:tblPrEx>
          <w:tblCellMar>
            <w:top w:w="0" w:type="dxa"/>
            <w:left w:w="0" w:type="dxa"/>
            <w:bottom w:w="0" w:type="dxa"/>
            <w:right w:w="0" w:type="dxa"/>
          </w:tblCellMar>
        </w:tblPrEx>
        <w:trPr>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4F0F21C3">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F75E81C">
            <w:pPr>
              <w:jc w:val="center"/>
              <w:rPr>
                <w:rFonts w:ascii="宋体" w:hAnsi="宋体" w:cs="宋体"/>
                <w:color w:val="000000"/>
                <w:sz w:val="16"/>
                <w:szCs w:val="16"/>
              </w:rPr>
            </w:pPr>
          </w:p>
        </w:tc>
        <w:tc>
          <w:tcPr>
            <w:tcW w:w="720" w:type="dxa"/>
            <w:vMerge w:val="restart"/>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5E8FD515">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可持续影响指标</w:t>
            </w: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6B3B7BC">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管理费用占公立医院业务支出的比例</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1671984">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较上年降低</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D7E5D2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完成</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83E7205">
            <w:pPr>
              <w:jc w:val="center"/>
              <w:rPr>
                <w:rFonts w:ascii="宋体" w:hAnsi="宋体" w:cs="宋体"/>
                <w:color w:val="000000"/>
                <w:sz w:val="16"/>
                <w:szCs w:val="16"/>
              </w:rPr>
            </w:pPr>
          </w:p>
        </w:tc>
      </w:tr>
      <w:tr w14:paraId="0AAE10ED">
        <w:tblPrEx>
          <w:tblCellMar>
            <w:top w:w="0" w:type="dxa"/>
            <w:left w:w="0" w:type="dxa"/>
            <w:bottom w:w="0" w:type="dxa"/>
            <w:right w:w="0" w:type="dxa"/>
          </w:tblCellMar>
        </w:tblPrEx>
        <w:trPr>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54BA3880">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184DABE">
            <w:pPr>
              <w:jc w:val="center"/>
              <w:rPr>
                <w:rFonts w:ascii="宋体" w:hAnsi="宋体" w:cs="宋体"/>
                <w:color w:val="000000"/>
                <w:sz w:val="16"/>
                <w:szCs w:val="16"/>
              </w:rPr>
            </w:pPr>
          </w:p>
        </w:tc>
        <w:tc>
          <w:tcPr>
            <w:tcW w:w="720"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48BE1F42">
            <w:pPr>
              <w:jc w:val="center"/>
              <w:rPr>
                <w:rFonts w:ascii="宋体" w:hAnsi="宋体" w:cs="宋体"/>
                <w:color w:val="000000"/>
                <w:sz w:val="16"/>
                <w:szCs w:val="16"/>
              </w:rPr>
            </w:pP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C972108">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实现收支平衡的公立医院数占公立医院总数的比例</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1DA7035">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较上年提高</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BF0CE4F">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完成</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52C1F91">
            <w:pPr>
              <w:jc w:val="center"/>
              <w:rPr>
                <w:rFonts w:ascii="宋体" w:hAnsi="宋体" w:cs="宋体"/>
                <w:color w:val="000000"/>
                <w:sz w:val="16"/>
                <w:szCs w:val="16"/>
              </w:rPr>
            </w:pPr>
          </w:p>
        </w:tc>
      </w:tr>
      <w:tr w14:paraId="0D1B4637">
        <w:tblPrEx>
          <w:tblCellMar>
            <w:top w:w="0" w:type="dxa"/>
            <w:left w:w="0" w:type="dxa"/>
            <w:bottom w:w="0" w:type="dxa"/>
            <w:right w:w="0" w:type="dxa"/>
          </w:tblCellMar>
        </w:tblPrEx>
        <w:trPr>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63BF40CC">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A13CCED">
            <w:pPr>
              <w:jc w:val="center"/>
              <w:rPr>
                <w:rFonts w:ascii="宋体" w:hAnsi="宋体" w:cs="宋体"/>
                <w:color w:val="000000"/>
                <w:sz w:val="16"/>
                <w:szCs w:val="16"/>
              </w:rPr>
            </w:pPr>
          </w:p>
        </w:tc>
        <w:tc>
          <w:tcPr>
            <w:tcW w:w="720" w:type="dxa"/>
            <w:vMerge w:val="continue"/>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14:paraId="10E10628">
            <w:pPr>
              <w:jc w:val="center"/>
              <w:rPr>
                <w:rFonts w:ascii="宋体" w:hAnsi="宋体" w:cs="宋体"/>
                <w:color w:val="000000"/>
                <w:sz w:val="16"/>
                <w:szCs w:val="16"/>
              </w:rPr>
            </w:pP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6ED3BBA">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人民群众中医药服务获得感</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C2E92CE">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提高</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0BF999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完成</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BF31927">
            <w:pPr>
              <w:jc w:val="center"/>
              <w:rPr>
                <w:rFonts w:ascii="宋体" w:hAnsi="宋体" w:cs="宋体"/>
                <w:color w:val="000000"/>
                <w:sz w:val="16"/>
                <w:szCs w:val="16"/>
              </w:rPr>
            </w:pPr>
          </w:p>
        </w:tc>
      </w:tr>
      <w:tr w14:paraId="46A8F95E">
        <w:tblPrEx>
          <w:tblCellMar>
            <w:top w:w="0" w:type="dxa"/>
            <w:left w:w="0" w:type="dxa"/>
            <w:bottom w:w="0" w:type="dxa"/>
            <w:right w:w="0" w:type="dxa"/>
          </w:tblCellMar>
        </w:tblPrEx>
        <w:trPr>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6A6AE0F8">
            <w:pPr>
              <w:jc w:val="center"/>
              <w:rPr>
                <w:rFonts w:ascii="宋体" w:hAnsi="宋体" w:cs="宋体"/>
                <w:color w:val="000000"/>
                <w:sz w:val="16"/>
                <w:szCs w:val="16"/>
              </w:rPr>
            </w:pPr>
          </w:p>
        </w:tc>
        <w:tc>
          <w:tcPr>
            <w:tcW w:w="50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E2B38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满意度指标</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B57071">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服务对象</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满意度指标</w:t>
            </w: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F2F58F1">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公立医院职工满意度</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AEF298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≥78%</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2163D3B">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85%</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FB4208A">
            <w:pPr>
              <w:jc w:val="center"/>
              <w:rPr>
                <w:rFonts w:ascii="宋体" w:hAnsi="宋体" w:cs="宋体"/>
                <w:color w:val="000000"/>
                <w:sz w:val="16"/>
                <w:szCs w:val="16"/>
              </w:rPr>
            </w:pPr>
          </w:p>
        </w:tc>
      </w:tr>
      <w:tr w14:paraId="2CEF1721">
        <w:tblPrEx>
          <w:tblCellMar>
            <w:top w:w="0" w:type="dxa"/>
            <w:left w:w="0" w:type="dxa"/>
            <w:bottom w:w="0" w:type="dxa"/>
            <w:right w:w="0" w:type="dxa"/>
          </w:tblCellMar>
        </w:tblPrEx>
        <w:trPr>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27B97965">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E9BC210">
            <w:pPr>
              <w:jc w:val="center"/>
              <w:rPr>
                <w:rFonts w:ascii="宋体" w:hAnsi="宋体" w:cs="宋体"/>
                <w:color w:val="000000"/>
                <w:sz w:val="16"/>
                <w:szCs w:val="16"/>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EC804E7">
            <w:pPr>
              <w:jc w:val="center"/>
              <w:rPr>
                <w:rFonts w:ascii="宋体" w:hAnsi="宋体" w:cs="宋体"/>
                <w:color w:val="000000"/>
                <w:sz w:val="16"/>
                <w:szCs w:val="16"/>
              </w:rPr>
            </w:pP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5B3CBE7">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公立医院门诊患者满意度</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FCA447F">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≥89%</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082E33A">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92%</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792EB88">
            <w:pPr>
              <w:jc w:val="center"/>
              <w:rPr>
                <w:rFonts w:ascii="宋体" w:hAnsi="宋体" w:cs="宋体"/>
                <w:color w:val="000000"/>
                <w:sz w:val="16"/>
                <w:szCs w:val="16"/>
              </w:rPr>
            </w:pPr>
          </w:p>
        </w:tc>
      </w:tr>
      <w:tr w14:paraId="29A8701D">
        <w:tblPrEx>
          <w:tblCellMar>
            <w:top w:w="0" w:type="dxa"/>
            <w:left w:w="0" w:type="dxa"/>
            <w:bottom w:w="0" w:type="dxa"/>
            <w:right w:w="0" w:type="dxa"/>
          </w:tblCellMar>
        </w:tblPrEx>
        <w:trPr>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2280396F">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D23D43E">
            <w:pPr>
              <w:jc w:val="center"/>
              <w:rPr>
                <w:rFonts w:ascii="宋体" w:hAnsi="宋体" w:cs="宋体"/>
                <w:color w:val="000000"/>
                <w:sz w:val="16"/>
                <w:szCs w:val="16"/>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C4B3A4F">
            <w:pPr>
              <w:jc w:val="center"/>
              <w:rPr>
                <w:rFonts w:ascii="宋体" w:hAnsi="宋体" w:cs="宋体"/>
                <w:color w:val="000000"/>
                <w:sz w:val="16"/>
                <w:szCs w:val="16"/>
              </w:rPr>
            </w:pP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63DBE04">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公立医院住院患者满意度</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4F0C14">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≥91%</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0844A42">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92%</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650960B">
            <w:pPr>
              <w:jc w:val="center"/>
              <w:rPr>
                <w:rFonts w:ascii="宋体" w:hAnsi="宋体" w:cs="宋体"/>
                <w:color w:val="000000"/>
                <w:sz w:val="16"/>
                <w:szCs w:val="16"/>
              </w:rPr>
            </w:pPr>
          </w:p>
        </w:tc>
      </w:tr>
      <w:tr w14:paraId="26830F91">
        <w:tblPrEx>
          <w:tblCellMar>
            <w:top w:w="0" w:type="dxa"/>
            <w:left w:w="0" w:type="dxa"/>
            <w:bottom w:w="0" w:type="dxa"/>
            <w:right w:w="0" w:type="dxa"/>
          </w:tblCellMar>
        </w:tblPrEx>
        <w:trPr>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7A02846D">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E855F78">
            <w:pPr>
              <w:jc w:val="center"/>
              <w:rPr>
                <w:rFonts w:ascii="宋体" w:hAnsi="宋体" w:cs="宋体"/>
                <w:color w:val="000000"/>
                <w:sz w:val="16"/>
                <w:szCs w:val="16"/>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278496">
            <w:pPr>
              <w:jc w:val="center"/>
              <w:rPr>
                <w:rFonts w:ascii="宋体" w:hAnsi="宋体" w:cs="宋体"/>
                <w:color w:val="000000"/>
                <w:sz w:val="16"/>
                <w:szCs w:val="16"/>
              </w:rPr>
            </w:pP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6B8C2BE">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参培对象的满意度</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40945F4">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≥80%</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B4E2C49">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85%</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8384CB6">
            <w:pPr>
              <w:jc w:val="center"/>
              <w:rPr>
                <w:rFonts w:ascii="宋体" w:hAnsi="宋体" w:cs="宋体"/>
                <w:color w:val="000000"/>
                <w:sz w:val="16"/>
                <w:szCs w:val="16"/>
              </w:rPr>
            </w:pPr>
          </w:p>
        </w:tc>
      </w:tr>
      <w:tr w14:paraId="00E63BED">
        <w:tblPrEx>
          <w:tblCellMar>
            <w:top w:w="0" w:type="dxa"/>
            <w:left w:w="0" w:type="dxa"/>
            <w:bottom w:w="0" w:type="dxa"/>
            <w:right w:w="0" w:type="dxa"/>
          </w:tblCellMar>
        </w:tblPrEx>
        <w:trPr>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6558DA8A">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B43837C">
            <w:pPr>
              <w:jc w:val="center"/>
              <w:rPr>
                <w:rFonts w:ascii="宋体" w:hAnsi="宋体" w:cs="宋体"/>
                <w:color w:val="000000"/>
                <w:sz w:val="16"/>
                <w:szCs w:val="16"/>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1D58A12">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w:t>
            </w:r>
          </w:p>
        </w:tc>
        <w:tc>
          <w:tcPr>
            <w:tcW w:w="34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168D157">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全科医生转岗培训学员满意度</w:t>
            </w:r>
          </w:p>
        </w:tc>
        <w:tc>
          <w:tcPr>
            <w:tcW w:w="16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BFDF115">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≥90%</w:t>
            </w:r>
          </w:p>
        </w:tc>
        <w:tc>
          <w:tcPr>
            <w:tcW w:w="9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1488BD9">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92%</w:t>
            </w:r>
          </w:p>
        </w:tc>
        <w:tc>
          <w:tcPr>
            <w:tcW w:w="21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F86157C">
            <w:pPr>
              <w:jc w:val="center"/>
              <w:rPr>
                <w:rFonts w:ascii="宋体" w:hAnsi="宋体" w:cs="宋体"/>
                <w:color w:val="000000"/>
                <w:sz w:val="16"/>
                <w:szCs w:val="16"/>
              </w:rPr>
            </w:pPr>
          </w:p>
        </w:tc>
      </w:tr>
      <w:tr w14:paraId="71AEDCE7">
        <w:tblPrEx>
          <w:tblCellMar>
            <w:top w:w="0" w:type="dxa"/>
            <w:left w:w="0" w:type="dxa"/>
            <w:bottom w:w="0" w:type="dxa"/>
            <w:right w:w="0" w:type="dxa"/>
          </w:tblCellMar>
        </w:tblPrEx>
        <w:trPr>
          <w:trHeight w:val="323"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CF20C6F">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说明</w:t>
            </w:r>
          </w:p>
        </w:tc>
        <w:tc>
          <w:tcPr>
            <w:tcW w:w="9333" w:type="dxa"/>
            <w:gridSpan w:val="7"/>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19F69E9">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无</w:t>
            </w:r>
          </w:p>
        </w:tc>
      </w:tr>
    </w:tbl>
    <w:p w14:paraId="45F4DEA1"/>
    <w:tbl>
      <w:tblPr>
        <w:tblStyle w:val="14"/>
        <w:tblW w:w="9650" w:type="dxa"/>
        <w:tblInd w:w="0" w:type="dxa"/>
        <w:tblLayout w:type="autofit"/>
        <w:tblCellMar>
          <w:top w:w="0" w:type="dxa"/>
          <w:left w:w="0" w:type="dxa"/>
          <w:bottom w:w="0" w:type="dxa"/>
          <w:right w:w="0" w:type="dxa"/>
        </w:tblCellMar>
      </w:tblPr>
      <w:tblGrid>
        <w:gridCol w:w="508"/>
        <w:gridCol w:w="509"/>
        <w:gridCol w:w="949"/>
        <w:gridCol w:w="1814"/>
        <w:gridCol w:w="590"/>
        <w:gridCol w:w="1141"/>
        <w:gridCol w:w="830"/>
        <w:gridCol w:w="3309"/>
      </w:tblGrid>
      <w:tr w14:paraId="1423F33B">
        <w:tblPrEx>
          <w:tblCellMar>
            <w:top w:w="0" w:type="dxa"/>
            <w:left w:w="0" w:type="dxa"/>
            <w:bottom w:w="0" w:type="dxa"/>
            <w:right w:w="0" w:type="dxa"/>
          </w:tblCellMar>
        </w:tblPrEx>
        <w:trPr>
          <w:trHeight w:val="600" w:hRule="atLeast"/>
        </w:trPr>
        <w:tc>
          <w:tcPr>
            <w:tcW w:w="9653" w:type="dxa"/>
            <w:gridSpan w:val="8"/>
            <w:tcBorders>
              <w:top w:val="nil"/>
              <w:left w:val="nil"/>
              <w:bottom w:val="nil"/>
              <w:right w:val="nil"/>
            </w:tcBorders>
            <w:shd w:val="clear" w:color="auto" w:fill="auto"/>
            <w:tcMar>
              <w:top w:w="10" w:type="dxa"/>
              <w:left w:w="10" w:type="dxa"/>
              <w:right w:w="10" w:type="dxa"/>
            </w:tcMar>
            <w:vAlign w:val="center"/>
          </w:tcPr>
          <w:p w14:paraId="2CC83F2A">
            <w:pPr>
              <w:widowControl/>
              <w:jc w:val="center"/>
              <w:textAlignment w:val="center"/>
              <w:rPr>
                <w:rFonts w:ascii="宋体" w:hAnsi="宋体" w:cs="宋体"/>
                <w:b/>
                <w:color w:val="000000"/>
                <w:sz w:val="24"/>
              </w:rPr>
            </w:pPr>
            <w:r>
              <w:rPr>
                <w:rFonts w:hint="eastAsia" w:ascii="宋体" w:hAnsi="宋体" w:cs="宋体"/>
                <w:b/>
                <w:color w:val="000000"/>
                <w:kern w:val="0"/>
                <w:sz w:val="24"/>
              </w:rPr>
              <w:t xml:space="preserve">重大传染病转移支付区域（项目）绩效目标自评表 </w:t>
            </w:r>
          </w:p>
        </w:tc>
      </w:tr>
      <w:tr w14:paraId="468A1995">
        <w:tblPrEx>
          <w:tblCellMar>
            <w:top w:w="0" w:type="dxa"/>
            <w:left w:w="0" w:type="dxa"/>
            <w:bottom w:w="0" w:type="dxa"/>
            <w:right w:w="0" w:type="dxa"/>
          </w:tblCellMar>
        </w:tblPrEx>
        <w:trPr>
          <w:trHeight w:val="432" w:hRule="atLeast"/>
        </w:trPr>
        <w:tc>
          <w:tcPr>
            <w:tcW w:w="9653" w:type="dxa"/>
            <w:gridSpan w:val="8"/>
            <w:tcBorders>
              <w:top w:val="nil"/>
              <w:left w:val="nil"/>
              <w:bottom w:val="single" w:color="000000" w:sz="4" w:space="0"/>
              <w:right w:val="nil"/>
            </w:tcBorders>
            <w:shd w:val="clear" w:color="auto" w:fill="auto"/>
            <w:tcMar>
              <w:top w:w="10" w:type="dxa"/>
              <w:left w:w="10" w:type="dxa"/>
              <w:right w:w="10" w:type="dxa"/>
            </w:tcMar>
          </w:tcPr>
          <w:p w14:paraId="7D15FC08">
            <w:pPr>
              <w:widowControl/>
              <w:jc w:val="center"/>
              <w:textAlignment w:val="top"/>
              <w:rPr>
                <w:rFonts w:ascii="宋体" w:hAnsi="宋体" w:cs="宋体"/>
                <w:color w:val="000000"/>
                <w:sz w:val="22"/>
                <w:szCs w:val="22"/>
              </w:rPr>
            </w:pPr>
            <w:r>
              <w:rPr>
                <w:rFonts w:hint="eastAsia" w:ascii="宋体" w:hAnsi="宋体" w:cs="宋体"/>
                <w:color w:val="000000"/>
                <w:kern w:val="0"/>
                <w:sz w:val="22"/>
                <w:szCs w:val="22"/>
              </w:rPr>
              <w:t>（2021年度）</w:t>
            </w:r>
          </w:p>
        </w:tc>
      </w:tr>
      <w:tr w14:paraId="2D6BBEE6">
        <w:tblPrEx>
          <w:tblCellMar>
            <w:top w:w="0" w:type="dxa"/>
            <w:left w:w="0" w:type="dxa"/>
            <w:bottom w:w="0" w:type="dxa"/>
            <w:right w:w="0" w:type="dxa"/>
          </w:tblCellMar>
        </w:tblPrEx>
        <w:trPr>
          <w:trHeight w:val="340" w:hRule="atLeast"/>
        </w:trPr>
        <w:tc>
          <w:tcPr>
            <w:tcW w:w="1967"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EBF2BE">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转移支付（项目）名称</w:t>
            </w:r>
          </w:p>
        </w:tc>
        <w:tc>
          <w:tcPr>
            <w:tcW w:w="7686" w:type="dxa"/>
            <w:gridSpan w:val="5"/>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A4FCBC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重大传染病</w:t>
            </w:r>
          </w:p>
        </w:tc>
      </w:tr>
      <w:tr w14:paraId="58630035">
        <w:tblPrEx>
          <w:tblCellMar>
            <w:top w:w="0" w:type="dxa"/>
            <w:left w:w="0" w:type="dxa"/>
            <w:bottom w:w="0" w:type="dxa"/>
            <w:right w:w="0" w:type="dxa"/>
          </w:tblCellMar>
        </w:tblPrEx>
        <w:trPr>
          <w:trHeight w:val="323" w:hRule="atLeast"/>
        </w:trPr>
        <w:tc>
          <w:tcPr>
            <w:tcW w:w="1967"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780F1FB">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中央主管部门</w:t>
            </w:r>
          </w:p>
        </w:tc>
        <w:tc>
          <w:tcPr>
            <w:tcW w:w="7686" w:type="dxa"/>
            <w:gridSpan w:val="5"/>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9A13B7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国家卫生健康委</w:t>
            </w:r>
          </w:p>
        </w:tc>
      </w:tr>
      <w:tr w14:paraId="2297AD89">
        <w:tblPrEx>
          <w:tblCellMar>
            <w:top w:w="0" w:type="dxa"/>
            <w:left w:w="0" w:type="dxa"/>
            <w:bottom w:w="0" w:type="dxa"/>
            <w:right w:w="0" w:type="dxa"/>
          </w:tblCellMar>
        </w:tblPrEx>
        <w:trPr>
          <w:trHeight w:val="323" w:hRule="atLeast"/>
        </w:trPr>
        <w:tc>
          <w:tcPr>
            <w:tcW w:w="1967"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B46F1C4">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地方主管部门</w:t>
            </w: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62CCCEB">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广元市昭化区卫健局</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648FE99">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实施单位</w:t>
            </w:r>
          </w:p>
        </w:tc>
        <w:tc>
          <w:tcPr>
            <w:tcW w:w="4140"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110B68">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区疾病预防控制中心</w:t>
            </w:r>
          </w:p>
        </w:tc>
      </w:tr>
      <w:tr w14:paraId="5951D867">
        <w:tblPrEx>
          <w:tblCellMar>
            <w:top w:w="0" w:type="dxa"/>
            <w:left w:w="0" w:type="dxa"/>
            <w:bottom w:w="0" w:type="dxa"/>
            <w:right w:w="0" w:type="dxa"/>
          </w:tblCellMar>
        </w:tblPrEx>
        <w:trPr>
          <w:trHeight w:val="323" w:hRule="atLeast"/>
        </w:trPr>
        <w:tc>
          <w:tcPr>
            <w:tcW w:w="196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0EFFD5F">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资金情况</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（万元）</w:t>
            </w:r>
          </w:p>
        </w:tc>
        <w:tc>
          <w:tcPr>
            <w:tcW w:w="181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DD51F7F">
            <w:pPr>
              <w:rPr>
                <w:rFonts w:ascii="宋体" w:hAnsi="宋体" w:cs="宋体"/>
                <w:color w:val="000000"/>
                <w:sz w:val="16"/>
                <w:szCs w:val="16"/>
              </w:rPr>
            </w:pPr>
          </w:p>
        </w:tc>
        <w:tc>
          <w:tcPr>
            <w:tcW w:w="5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7BAC45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全年预算数（A）</w:t>
            </w:r>
          </w:p>
        </w:tc>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DDCDEA2">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全年执行数（B）</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ED3179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预算执行率（B/A)</w:t>
            </w:r>
          </w:p>
        </w:tc>
      </w:tr>
      <w:tr w14:paraId="3AA3BAF6">
        <w:tblPrEx>
          <w:tblCellMar>
            <w:top w:w="0" w:type="dxa"/>
            <w:left w:w="0" w:type="dxa"/>
            <w:bottom w:w="0" w:type="dxa"/>
            <w:right w:w="0" w:type="dxa"/>
          </w:tblCellMar>
        </w:tblPrEx>
        <w:trPr>
          <w:trHeight w:val="323" w:hRule="atLeast"/>
        </w:trPr>
        <w:tc>
          <w:tcPr>
            <w:tcW w:w="196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8555646">
            <w:pPr>
              <w:jc w:val="center"/>
              <w:rPr>
                <w:rFonts w:ascii="宋体" w:hAnsi="宋体" w:cs="宋体"/>
                <w:color w:val="000000"/>
                <w:sz w:val="16"/>
                <w:szCs w:val="16"/>
              </w:rPr>
            </w:pPr>
          </w:p>
        </w:tc>
        <w:tc>
          <w:tcPr>
            <w:tcW w:w="181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B52F9B8">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年度资金总额：</w:t>
            </w:r>
          </w:p>
        </w:tc>
        <w:tc>
          <w:tcPr>
            <w:tcW w:w="5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E0BA80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115.9</w:t>
            </w:r>
          </w:p>
        </w:tc>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76BB70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115.9</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6BEB2C8">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100%</w:t>
            </w:r>
          </w:p>
        </w:tc>
      </w:tr>
      <w:tr w14:paraId="59A390F7">
        <w:tblPrEx>
          <w:tblCellMar>
            <w:top w:w="0" w:type="dxa"/>
            <w:left w:w="0" w:type="dxa"/>
            <w:bottom w:w="0" w:type="dxa"/>
            <w:right w:w="0" w:type="dxa"/>
          </w:tblCellMar>
        </w:tblPrEx>
        <w:trPr>
          <w:trHeight w:val="323" w:hRule="atLeast"/>
        </w:trPr>
        <w:tc>
          <w:tcPr>
            <w:tcW w:w="196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D15068F">
            <w:pPr>
              <w:jc w:val="center"/>
              <w:rPr>
                <w:rFonts w:ascii="宋体" w:hAnsi="宋体" w:cs="宋体"/>
                <w:color w:val="000000"/>
                <w:sz w:val="16"/>
                <w:szCs w:val="16"/>
              </w:rPr>
            </w:pPr>
          </w:p>
        </w:tc>
        <w:tc>
          <w:tcPr>
            <w:tcW w:w="181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3C128C2">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其中：中央补助</w:t>
            </w:r>
          </w:p>
        </w:tc>
        <w:tc>
          <w:tcPr>
            <w:tcW w:w="5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D78813E">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92.9</w:t>
            </w:r>
          </w:p>
        </w:tc>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5BDC0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92.9</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32C7875">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100%</w:t>
            </w:r>
          </w:p>
        </w:tc>
      </w:tr>
      <w:tr w14:paraId="58F437D2">
        <w:tblPrEx>
          <w:tblCellMar>
            <w:top w:w="0" w:type="dxa"/>
            <w:left w:w="0" w:type="dxa"/>
            <w:bottom w:w="0" w:type="dxa"/>
            <w:right w:w="0" w:type="dxa"/>
          </w:tblCellMar>
        </w:tblPrEx>
        <w:trPr>
          <w:trHeight w:val="323" w:hRule="atLeast"/>
        </w:trPr>
        <w:tc>
          <w:tcPr>
            <w:tcW w:w="196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88CDDE8">
            <w:pPr>
              <w:jc w:val="center"/>
              <w:rPr>
                <w:rFonts w:ascii="宋体" w:hAnsi="宋体" w:cs="宋体"/>
                <w:color w:val="000000"/>
                <w:sz w:val="16"/>
                <w:szCs w:val="16"/>
              </w:rPr>
            </w:pPr>
          </w:p>
        </w:tc>
        <w:tc>
          <w:tcPr>
            <w:tcW w:w="181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9763A7">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地方资金</w:t>
            </w:r>
          </w:p>
        </w:tc>
        <w:tc>
          <w:tcPr>
            <w:tcW w:w="5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2C2D26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23</w:t>
            </w:r>
          </w:p>
        </w:tc>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DC0447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23</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47FB961">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100%</w:t>
            </w:r>
          </w:p>
        </w:tc>
      </w:tr>
      <w:tr w14:paraId="2B500236">
        <w:tblPrEx>
          <w:tblCellMar>
            <w:top w:w="0" w:type="dxa"/>
            <w:left w:w="0" w:type="dxa"/>
            <w:bottom w:w="0" w:type="dxa"/>
            <w:right w:w="0" w:type="dxa"/>
          </w:tblCellMar>
        </w:tblPrEx>
        <w:trPr>
          <w:trHeight w:val="323" w:hRule="atLeast"/>
        </w:trPr>
        <w:tc>
          <w:tcPr>
            <w:tcW w:w="196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0FD7FCA">
            <w:pPr>
              <w:jc w:val="center"/>
              <w:rPr>
                <w:rFonts w:ascii="宋体" w:hAnsi="宋体" w:cs="宋体"/>
                <w:color w:val="000000"/>
                <w:sz w:val="16"/>
                <w:szCs w:val="16"/>
              </w:rPr>
            </w:pPr>
          </w:p>
        </w:tc>
        <w:tc>
          <w:tcPr>
            <w:tcW w:w="1815"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F585574">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其他资金</w:t>
            </w:r>
          </w:p>
        </w:tc>
        <w:tc>
          <w:tcPr>
            <w:tcW w:w="59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188F430">
            <w:pPr>
              <w:jc w:val="center"/>
              <w:rPr>
                <w:rFonts w:ascii="宋体" w:hAnsi="宋体" w:cs="宋体"/>
                <w:color w:val="000000"/>
                <w:sz w:val="16"/>
                <w:szCs w:val="16"/>
              </w:rPr>
            </w:pPr>
          </w:p>
        </w:tc>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52C9534">
            <w:pPr>
              <w:jc w:val="center"/>
              <w:rPr>
                <w:rFonts w:ascii="宋体" w:hAnsi="宋体" w:cs="宋体"/>
                <w:color w:val="000000"/>
                <w:sz w:val="16"/>
                <w:szCs w:val="16"/>
              </w:rPr>
            </w:pP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E451285">
            <w:pPr>
              <w:jc w:val="left"/>
              <w:rPr>
                <w:rFonts w:ascii="宋体" w:hAnsi="宋体" w:cs="宋体"/>
                <w:color w:val="000000"/>
                <w:sz w:val="16"/>
                <w:szCs w:val="16"/>
              </w:rPr>
            </w:pPr>
          </w:p>
        </w:tc>
      </w:tr>
      <w:tr w14:paraId="31DEEE72">
        <w:tblPrEx>
          <w:tblCellMar>
            <w:top w:w="0" w:type="dxa"/>
            <w:left w:w="0" w:type="dxa"/>
            <w:bottom w:w="0" w:type="dxa"/>
            <w:right w:w="0" w:type="dxa"/>
          </w:tblCellMar>
        </w:tblPrEx>
        <w:trPr>
          <w:trHeight w:val="323" w:hRule="atLeast"/>
        </w:trPr>
        <w:tc>
          <w:tcPr>
            <w:tcW w:w="50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9C9BA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年度总体目标</w:t>
            </w:r>
          </w:p>
        </w:tc>
        <w:tc>
          <w:tcPr>
            <w:tcW w:w="3863"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5BAB01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总体目标</w:t>
            </w:r>
          </w:p>
        </w:tc>
        <w:tc>
          <w:tcPr>
            <w:tcW w:w="5281"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0EC18F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全年实际完成情况</w:t>
            </w:r>
          </w:p>
        </w:tc>
      </w:tr>
      <w:tr w14:paraId="6FAC8FCA">
        <w:tblPrEx>
          <w:tblCellMar>
            <w:top w:w="0" w:type="dxa"/>
            <w:left w:w="0" w:type="dxa"/>
            <w:bottom w:w="0" w:type="dxa"/>
            <w:right w:w="0" w:type="dxa"/>
          </w:tblCellMar>
        </w:tblPrEx>
        <w:trPr>
          <w:trHeight w:val="204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C1CBC49">
            <w:pPr>
              <w:jc w:val="center"/>
              <w:rPr>
                <w:rFonts w:ascii="宋体" w:hAnsi="宋体" w:cs="宋体"/>
                <w:color w:val="000000"/>
                <w:sz w:val="16"/>
                <w:szCs w:val="16"/>
              </w:rPr>
            </w:pPr>
          </w:p>
        </w:tc>
        <w:tc>
          <w:tcPr>
            <w:tcW w:w="3863"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23623A5">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进一步完善“政府组织领导、部门各负其责、全社会共同参与”的防治机制,全面落实各项预防控制措施，提高发现率，扩大治疗覆盖面，提升治疗成功率，降低死亡率，降低新发感染，提高感染者和病人的生活质量。强化重点人群心理行为问题干预力度，遏制精神疾病负担上升趋势。继续为0-6岁适龄儿童常规接种。保持高水平国家免疫规划疫苗接种率。</w:t>
            </w:r>
          </w:p>
        </w:tc>
        <w:tc>
          <w:tcPr>
            <w:tcW w:w="5281"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28F9109">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1、2021年艾滋病防治各项指标均达到上级要求；2、2021年全区在册严重精神障碍患者管理率为98.79%，达到绩效目标要求；3、落实了结核病早发现、早诊断、早治疗、早管理。报告发病率67.06/10万，与2020年同期下降21.12%，未完成项目要求的55/10万。治疗管理肺结核患者任务数未完成指标人数，其他各项指标均达到项目要求完成；4、开展了慢病监测与综合防治工作和全人群死因监测工作；5、续为0-6岁适龄儿童常规接种。保持高水平国家免疫规划疫苗接种率，接种率达到90%以上:开展麻疹、AP等疫苗可预防疾病监测、开展乙肝哨点监测、加强AEFI监测，所有指标均达到方案要求；6、全面开展包虫病综合防治，提升包虫病防治成效；7、现症患者规范化疗、管理率&gt;95%，新发病人Ⅱ级畸残者控制在16%以内；</w:t>
            </w:r>
          </w:p>
        </w:tc>
      </w:tr>
      <w:tr w14:paraId="108381E6">
        <w:tblPrEx>
          <w:tblCellMar>
            <w:top w:w="0" w:type="dxa"/>
            <w:left w:w="0" w:type="dxa"/>
            <w:bottom w:w="0" w:type="dxa"/>
            <w:right w:w="0" w:type="dxa"/>
          </w:tblCellMar>
        </w:tblPrEx>
        <w:trPr>
          <w:trHeight w:val="522" w:hRule="atLeast"/>
        </w:trPr>
        <w:tc>
          <w:tcPr>
            <w:tcW w:w="50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7C5631B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绩效指标</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B9F89D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一级</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指标</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8A0098A">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二级指标</w:t>
            </w: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B164C0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三级指标</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058E47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指标值</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B7AA65F">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全年实际完成值</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307BE6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未完成原因和改进措施</w:t>
            </w:r>
          </w:p>
        </w:tc>
      </w:tr>
      <w:tr w14:paraId="015026F9">
        <w:tblPrEx>
          <w:tblCellMar>
            <w:top w:w="0" w:type="dxa"/>
            <w:left w:w="0" w:type="dxa"/>
            <w:bottom w:w="0" w:type="dxa"/>
            <w:right w:w="0" w:type="dxa"/>
          </w:tblCellMar>
        </w:tblPrEx>
        <w:trPr>
          <w:trHeight w:val="30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05B8E981">
            <w:pPr>
              <w:jc w:val="center"/>
              <w:rPr>
                <w:rFonts w:ascii="宋体" w:hAnsi="宋体" w:cs="宋体"/>
                <w:color w:val="000000"/>
                <w:sz w:val="16"/>
                <w:szCs w:val="16"/>
              </w:rPr>
            </w:pPr>
          </w:p>
        </w:tc>
        <w:tc>
          <w:tcPr>
            <w:tcW w:w="50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B1B4672">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产</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出</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指</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标</w:t>
            </w:r>
          </w:p>
        </w:tc>
        <w:tc>
          <w:tcPr>
            <w:tcW w:w="94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398E2D4">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数量指标</w:t>
            </w: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8B4F074">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扩大筛查</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AD52E45">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37401</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68D118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39259</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6C025C">
            <w:pPr>
              <w:jc w:val="center"/>
              <w:rPr>
                <w:rFonts w:ascii="宋体" w:hAnsi="宋体" w:cs="宋体"/>
                <w:color w:val="000000"/>
                <w:sz w:val="16"/>
                <w:szCs w:val="16"/>
              </w:rPr>
            </w:pPr>
          </w:p>
        </w:tc>
      </w:tr>
      <w:tr w14:paraId="0FD5DC1C">
        <w:tblPrEx>
          <w:tblCellMar>
            <w:top w:w="0" w:type="dxa"/>
            <w:left w:w="0" w:type="dxa"/>
            <w:bottom w:w="0" w:type="dxa"/>
            <w:right w:w="0" w:type="dxa"/>
          </w:tblCellMar>
        </w:tblPrEx>
        <w:trPr>
          <w:trHeight w:val="96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3E09A0B3">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42C345">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41A53C2">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0E13864">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感染者/病人随访检测61例</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A7FE7E">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72</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B2C729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67</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7A3AACF">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未完成原因：1例病人失访，4例病人在外地务工；改进措施：一是继续加强1例失访病人的追踪，二是加强沟通将外地务工病人做到应检尽检</w:t>
            </w:r>
          </w:p>
        </w:tc>
      </w:tr>
      <w:tr w14:paraId="4AFD98C6">
        <w:tblPrEx>
          <w:tblCellMar>
            <w:top w:w="0" w:type="dxa"/>
            <w:left w:w="0" w:type="dxa"/>
            <w:bottom w:w="0" w:type="dxa"/>
            <w:right w:w="0" w:type="dxa"/>
          </w:tblCellMar>
        </w:tblPrEx>
        <w:trPr>
          <w:trHeight w:val="28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7A56A0A5">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A3E2226">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70F461">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FC5DFD4">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配偶检测14例</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13E884">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14</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21E404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13</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7974BD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不配合</w:t>
            </w:r>
          </w:p>
        </w:tc>
      </w:tr>
      <w:tr w14:paraId="2E0DF6FE">
        <w:tblPrEx>
          <w:tblCellMar>
            <w:top w:w="0" w:type="dxa"/>
            <w:left w:w="0" w:type="dxa"/>
            <w:bottom w:w="0" w:type="dxa"/>
            <w:right w:w="0" w:type="dxa"/>
          </w:tblCellMar>
        </w:tblPrEx>
        <w:trPr>
          <w:trHeight w:val="50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534BB472">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D1A112D">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711F48C">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FD229A9">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抗病毒治疗72例</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7491711">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64</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D63005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60</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ECA6FBA">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未完成原因：1例病人失访.改进措施：继续加强1例失访病人的追踪</w:t>
            </w:r>
          </w:p>
        </w:tc>
      </w:tr>
      <w:tr w14:paraId="4E573715">
        <w:tblPrEx>
          <w:tblCellMar>
            <w:top w:w="0" w:type="dxa"/>
            <w:left w:w="0" w:type="dxa"/>
            <w:bottom w:w="0" w:type="dxa"/>
            <w:right w:w="0" w:type="dxa"/>
          </w:tblCellMar>
        </w:tblPrEx>
        <w:trPr>
          <w:trHeight w:val="80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5404F123">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F0A171">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9D87715">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42B208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病毒载量检64例</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272CEB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53</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2651FB">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51</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DAAB82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未完成原因：二例病人失访，3例病人在外地务工；改进措施：一是继续加强1例失访病人的追踪，二是加强沟通将外地务工病人做到应检尽检</w:t>
            </w:r>
          </w:p>
        </w:tc>
      </w:tr>
      <w:tr w14:paraId="666E2DA3">
        <w:tblPrEx>
          <w:tblCellMar>
            <w:top w:w="0" w:type="dxa"/>
            <w:left w:w="0" w:type="dxa"/>
            <w:bottom w:w="0" w:type="dxa"/>
            <w:right w:w="0" w:type="dxa"/>
          </w:tblCellMar>
        </w:tblPrEx>
        <w:trPr>
          <w:trHeight w:val="56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477E129B">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EF2EC87">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2306A33">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1115438">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治疗成功率60例</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D529FE1">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60</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1BAFA42">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59</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D8A152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病人没按时服药出现漏服现象，改进措施：加强随访劝其按时服药</w:t>
            </w:r>
          </w:p>
        </w:tc>
      </w:tr>
      <w:tr w14:paraId="1AD51B66">
        <w:tblPrEx>
          <w:tblCellMar>
            <w:top w:w="0" w:type="dxa"/>
            <w:left w:w="0" w:type="dxa"/>
            <w:bottom w:w="0" w:type="dxa"/>
            <w:right w:w="0" w:type="dxa"/>
          </w:tblCellMar>
        </w:tblPrEx>
        <w:trPr>
          <w:trHeight w:val="36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61E290CA">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F958F91">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5AB5758">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0958CB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暗娼干预检查181人次</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F68870F">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181</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8C1049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181</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F833969">
            <w:pPr>
              <w:jc w:val="center"/>
              <w:rPr>
                <w:rFonts w:ascii="宋体" w:hAnsi="宋体" w:cs="宋体"/>
                <w:color w:val="000000"/>
                <w:sz w:val="16"/>
                <w:szCs w:val="16"/>
              </w:rPr>
            </w:pPr>
            <w:r>
              <w:rPr>
                <w:rFonts w:hint="eastAsia" w:ascii="宋体" w:hAnsi="宋体" w:cs="宋体"/>
                <w:color w:val="000000"/>
                <w:sz w:val="18"/>
                <w:szCs w:val="18"/>
              </w:rPr>
              <w:t>完成</w:t>
            </w:r>
          </w:p>
        </w:tc>
      </w:tr>
      <w:tr w14:paraId="369ED5AC">
        <w:tblPrEx>
          <w:tblCellMar>
            <w:top w:w="0" w:type="dxa"/>
            <w:left w:w="0" w:type="dxa"/>
            <w:bottom w:w="0" w:type="dxa"/>
            <w:right w:w="0" w:type="dxa"/>
          </w:tblCellMar>
        </w:tblPrEx>
        <w:trPr>
          <w:trHeight w:val="46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152617DA">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08A1083">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7C2A6B7">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56FF3F1">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开展重点人群艾滋病防治健康教育宣传4次</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C500FF9">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4</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EA7C28B">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4</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C079CCB">
            <w:pPr>
              <w:jc w:val="center"/>
              <w:rPr>
                <w:rFonts w:ascii="宋体" w:hAnsi="宋体" w:cs="宋体"/>
                <w:color w:val="000000"/>
                <w:sz w:val="16"/>
                <w:szCs w:val="16"/>
              </w:rPr>
            </w:pPr>
            <w:r>
              <w:rPr>
                <w:rFonts w:hint="eastAsia" w:ascii="宋体" w:hAnsi="宋体" w:cs="宋体"/>
                <w:color w:val="000000"/>
                <w:sz w:val="18"/>
                <w:szCs w:val="18"/>
              </w:rPr>
              <w:t>完成</w:t>
            </w:r>
          </w:p>
        </w:tc>
      </w:tr>
      <w:tr w14:paraId="50FADC90">
        <w:tblPrEx>
          <w:tblCellMar>
            <w:top w:w="0" w:type="dxa"/>
            <w:left w:w="0" w:type="dxa"/>
            <w:bottom w:w="0" w:type="dxa"/>
            <w:right w:w="0" w:type="dxa"/>
          </w:tblCellMar>
        </w:tblPrEx>
        <w:trPr>
          <w:trHeight w:val="54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63DE4919">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13CA08C">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BFF86B9">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693C1CF">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开展医疗机构业务培训2次</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E62C94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2</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1C84A9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2</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897C779">
            <w:pPr>
              <w:jc w:val="center"/>
              <w:rPr>
                <w:rFonts w:ascii="宋体" w:hAnsi="宋体" w:cs="宋体"/>
                <w:color w:val="000000"/>
                <w:sz w:val="16"/>
                <w:szCs w:val="16"/>
              </w:rPr>
            </w:pPr>
            <w:r>
              <w:rPr>
                <w:rFonts w:hint="eastAsia" w:ascii="宋体" w:hAnsi="宋体" w:cs="宋体"/>
                <w:color w:val="000000"/>
                <w:sz w:val="18"/>
                <w:szCs w:val="18"/>
              </w:rPr>
              <w:t>完成</w:t>
            </w:r>
          </w:p>
        </w:tc>
      </w:tr>
      <w:tr w14:paraId="5D1BED2E">
        <w:tblPrEx>
          <w:tblCellMar>
            <w:top w:w="0" w:type="dxa"/>
            <w:left w:w="0" w:type="dxa"/>
            <w:bottom w:w="0" w:type="dxa"/>
            <w:right w:w="0" w:type="dxa"/>
          </w:tblCellMar>
        </w:tblPrEx>
        <w:trPr>
          <w:trHeight w:val="54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532EBC65">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F286A01">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C6B7998">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C10566E">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开展医疗机构艾滋病防治工作督导2次</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E3C5D5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2</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0848A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2</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CAF299C">
            <w:pPr>
              <w:jc w:val="center"/>
              <w:rPr>
                <w:rFonts w:ascii="宋体" w:hAnsi="宋体" w:cs="宋体"/>
                <w:color w:val="000000"/>
                <w:sz w:val="16"/>
                <w:szCs w:val="16"/>
              </w:rPr>
            </w:pPr>
            <w:r>
              <w:rPr>
                <w:rFonts w:hint="eastAsia" w:ascii="宋体" w:hAnsi="宋体" w:cs="宋体"/>
                <w:color w:val="000000"/>
                <w:sz w:val="18"/>
                <w:szCs w:val="18"/>
              </w:rPr>
              <w:t>完成</w:t>
            </w:r>
          </w:p>
        </w:tc>
      </w:tr>
      <w:tr w14:paraId="588D0FDA">
        <w:tblPrEx>
          <w:tblCellMar>
            <w:top w:w="0" w:type="dxa"/>
            <w:left w:w="0" w:type="dxa"/>
            <w:bottom w:w="0" w:type="dxa"/>
            <w:right w:w="0" w:type="dxa"/>
          </w:tblCellMar>
        </w:tblPrEx>
        <w:trPr>
          <w:trHeight w:val="54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3CB28256">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20826CC">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565B509">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970637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VCT完成408人</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4155D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408</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24F8B41">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408</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1832E4C">
            <w:pPr>
              <w:jc w:val="center"/>
              <w:rPr>
                <w:rFonts w:ascii="宋体" w:hAnsi="宋体" w:cs="宋体"/>
                <w:color w:val="000000"/>
                <w:sz w:val="16"/>
                <w:szCs w:val="16"/>
              </w:rPr>
            </w:pPr>
            <w:r>
              <w:rPr>
                <w:rFonts w:hint="eastAsia" w:ascii="宋体" w:hAnsi="宋体" w:cs="宋体"/>
                <w:color w:val="000000"/>
                <w:sz w:val="18"/>
                <w:szCs w:val="18"/>
              </w:rPr>
              <w:t>完成</w:t>
            </w:r>
          </w:p>
        </w:tc>
      </w:tr>
      <w:tr w14:paraId="2348AEA6">
        <w:tblPrEx>
          <w:tblCellMar>
            <w:top w:w="0" w:type="dxa"/>
            <w:left w:w="0" w:type="dxa"/>
            <w:bottom w:w="0" w:type="dxa"/>
            <w:right w:w="0" w:type="dxa"/>
          </w:tblCellMar>
        </w:tblPrEx>
        <w:trPr>
          <w:trHeight w:val="48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122497F4">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650163">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34A75D1">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DAB0E1B">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病原学阳性肺结核患者的密切接触者筛查率</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3F92C5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95%</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7BF8C85">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2FB98C3">
            <w:pPr>
              <w:jc w:val="center"/>
              <w:rPr>
                <w:rFonts w:ascii="宋体" w:hAnsi="宋体" w:cs="宋体"/>
                <w:color w:val="000000"/>
                <w:sz w:val="16"/>
                <w:szCs w:val="16"/>
              </w:rPr>
            </w:pPr>
            <w:r>
              <w:rPr>
                <w:rFonts w:hint="eastAsia" w:ascii="宋体" w:hAnsi="宋体" w:cs="宋体"/>
                <w:color w:val="000000"/>
                <w:sz w:val="18"/>
                <w:szCs w:val="18"/>
              </w:rPr>
              <w:t>完成</w:t>
            </w:r>
          </w:p>
        </w:tc>
      </w:tr>
      <w:tr w14:paraId="629E902F">
        <w:tblPrEx>
          <w:tblCellMar>
            <w:top w:w="0" w:type="dxa"/>
            <w:left w:w="0" w:type="dxa"/>
            <w:bottom w:w="0" w:type="dxa"/>
            <w:right w:w="0" w:type="dxa"/>
          </w:tblCellMar>
        </w:tblPrEx>
        <w:trPr>
          <w:trHeight w:val="92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52E0C121">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541CA8B">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763EE14">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A57D3F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2021年治疗管理肺结核患者人数</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7C860F">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154例</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672820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94例</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7BECFEF">
            <w:pPr>
              <w:widowControl/>
              <w:jc w:val="left"/>
              <w:textAlignment w:val="center"/>
              <w:rPr>
                <w:rFonts w:ascii="宋体" w:hAnsi="宋体" w:cs="宋体"/>
                <w:color w:val="000000"/>
                <w:sz w:val="16"/>
                <w:szCs w:val="16"/>
              </w:rPr>
            </w:pPr>
            <w:r>
              <w:rPr>
                <w:rFonts w:hint="eastAsia" w:ascii="宋体" w:hAnsi="宋体" w:cs="宋体"/>
                <w:color w:val="000000"/>
                <w:kern w:val="0"/>
                <w:sz w:val="16"/>
                <w:szCs w:val="16"/>
              </w:rPr>
              <w:t>主要存在的问题：一是区定点医疗机构无传染病区和病房，造成病人流失。二是因地理位置昭化区离市级定点医院距离太近。三是区定点结核门诊专职人员缺，结防工作人数属兼职。</w:t>
            </w:r>
          </w:p>
        </w:tc>
      </w:tr>
      <w:tr w14:paraId="65B7DAE9">
        <w:tblPrEx>
          <w:tblCellMar>
            <w:top w:w="0" w:type="dxa"/>
            <w:left w:w="0" w:type="dxa"/>
            <w:bottom w:w="0" w:type="dxa"/>
            <w:right w:w="0" w:type="dxa"/>
          </w:tblCellMar>
        </w:tblPrEx>
        <w:trPr>
          <w:trHeight w:val="38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68529036">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AC3DB8C">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DC3A3D3">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98A2204">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新冠肺炎网络实验室建设任务完成率</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A3AA63D">
            <w:pPr>
              <w:widowControl/>
              <w:jc w:val="center"/>
              <w:textAlignment w:val="center"/>
              <w:rPr>
                <w:rFonts w:ascii="宋体" w:hAnsi="宋体" w:cs="宋体"/>
                <w:color w:val="000000"/>
                <w:sz w:val="16"/>
                <w:szCs w:val="16"/>
              </w:rPr>
            </w:pPr>
            <w:r>
              <w:rPr>
                <w:rFonts w:ascii="宋体" w:hAnsi="宋体" w:cs="宋体"/>
                <w:color w:val="000000"/>
                <w:kern w:val="0"/>
                <w:sz w:val="16"/>
                <w:szCs w:val="16"/>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F36131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0" w:type="auto"/>
            <w:tcBorders>
              <w:top w:val="nil"/>
              <w:left w:val="nil"/>
              <w:bottom w:val="nil"/>
              <w:right w:val="nil"/>
            </w:tcBorders>
            <w:shd w:val="clear" w:color="auto" w:fill="auto"/>
            <w:noWrap/>
            <w:tcMar>
              <w:top w:w="10" w:type="dxa"/>
              <w:left w:w="10" w:type="dxa"/>
              <w:right w:w="10" w:type="dxa"/>
            </w:tcMar>
            <w:vAlign w:val="center"/>
          </w:tcPr>
          <w:p w14:paraId="50A5CB35">
            <w:pPr>
              <w:rPr>
                <w:rFonts w:ascii="宋体" w:hAnsi="宋体" w:cs="宋体"/>
                <w:color w:val="000000"/>
                <w:sz w:val="16"/>
                <w:szCs w:val="16"/>
              </w:rPr>
            </w:pPr>
            <w:r>
              <w:rPr>
                <w:rFonts w:hint="eastAsia" w:ascii="宋体" w:hAnsi="宋体" w:cs="宋体"/>
                <w:color w:val="000000"/>
                <w:sz w:val="18"/>
                <w:szCs w:val="18"/>
              </w:rPr>
              <w:t>完成</w:t>
            </w:r>
          </w:p>
        </w:tc>
      </w:tr>
      <w:tr w14:paraId="317C2D43">
        <w:tblPrEx>
          <w:tblCellMar>
            <w:top w:w="0" w:type="dxa"/>
            <w:left w:w="0" w:type="dxa"/>
            <w:bottom w:w="0" w:type="dxa"/>
            <w:right w:w="0" w:type="dxa"/>
          </w:tblCellMar>
        </w:tblPrEx>
        <w:trPr>
          <w:trHeight w:val="32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57B55B96">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7FD766B">
            <w:pPr>
              <w:jc w:val="center"/>
              <w:rPr>
                <w:rFonts w:ascii="宋体" w:hAnsi="宋体" w:cs="宋体"/>
                <w:color w:val="000000"/>
                <w:sz w:val="16"/>
                <w:szCs w:val="16"/>
              </w:rPr>
            </w:pPr>
          </w:p>
        </w:tc>
        <w:tc>
          <w:tcPr>
            <w:tcW w:w="94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C2792F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质量指标</w:t>
            </w: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02C875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1.筛查检查覆盖率≥20%</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DC5D37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20%</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3862E4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24.10%</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97EF89F">
            <w:pPr>
              <w:jc w:val="center"/>
              <w:rPr>
                <w:rFonts w:ascii="宋体" w:hAnsi="宋体" w:cs="宋体"/>
                <w:color w:val="000000"/>
                <w:sz w:val="16"/>
                <w:szCs w:val="16"/>
              </w:rPr>
            </w:pPr>
            <w:r>
              <w:rPr>
                <w:rFonts w:hint="eastAsia" w:ascii="宋体" w:hAnsi="宋体" w:cs="宋体"/>
                <w:color w:val="000000"/>
                <w:sz w:val="18"/>
                <w:szCs w:val="18"/>
              </w:rPr>
              <w:t>完成</w:t>
            </w:r>
          </w:p>
        </w:tc>
      </w:tr>
      <w:tr w14:paraId="18C6E3ED">
        <w:tblPrEx>
          <w:tblCellMar>
            <w:top w:w="0" w:type="dxa"/>
            <w:left w:w="0" w:type="dxa"/>
            <w:bottom w:w="0" w:type="dxa"/>
            <w:right w:w="0" w:type="dxa"/>
          </w:tblCellMar>
        </w:tblPrEx>
        <w:trPr>
          <w:trHeight w:val="38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716DA659">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9CE1B13">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6B80EF3">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D2C42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2.感染者/病人随访检测率≥90%</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BE16B95">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90%</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F5453B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93.06%</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76080CE">
            <w:pPr>
              <w:jc w:val="center"/>
              <w:rPr>
                <w:rFonts w:ascii="宋体" w:hAnsi="宋体" w:cs="宋体"/>
                <w:color w:val="000000"/>
                <w:sz w:val="16"/>
                <w:szCs w:val="16"/>
              </w:rPr>
            </w:pPr>
            <w:r>
              <w:rPr>
                <w:rFonts w:hint="eastAsia" w:ascii="宋体" w:hAnsi="宋体" w:cs="宋体"/>
                <w:color w:val="000000"/>
                <w:sz w:val="18"/>
                <w:szCs w:val="18"/>
              </w:rPr>
              <w:t>完成</w:t>
            </w:r>
          </w:p>
        </w:tc>
      </w:tr>
      <w:tr w14:paraId="3CB1A92C">
        <w:tblPrEx>
          <w:tblCellMar>
            <w:top w:w="0" w:type="dxa"/>
            <w:left w:w="0" w:type="dxa"/>
            <w:bottom w:w="0" w:type="dxa"/>
            <w:right w:w="0" w:type="dxa"/>
          </w:tblCellMar>
        </w:tblPrEx>
        <w:trPr>
          <w:trHeight w:val="38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27020513">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44C1D54">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52AD98E">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F5F9C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3.配偶检测≥90%</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CFC8EB1">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90%</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4D285E">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92.86%</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6BBCB35">
            <w:pPr>
              <w:jc w:val="center"/>
              <w:rPr>
                <w:rFonts w:ascii="宋体" w:hAnsi="宋体" w:cs="宋体"/>
                <w:color w:val="000000"/>
                <w:sz w:val="16"/>
                <w:szCs w:val="16"/>
              </w:rPr>
            </w:pPr>
            <w:r>
              <w:rPr>
                <w:rFonts w:hint="eastAsia" w:ascii="宋体" w:hAnsi="宋体" w:cs="宋体"/>
                <w:color w:val="000000"/>
                <w:sz w:val="18"/>
                <w:szCs w:val="18"/>
              </w:rPr>
              <w:t>完成</w:t>
            </w:r>
          </w:p>
        </w:tc>
      </w:tr>
      <w:tr w14:paraId="0C4B7354">
        <w:tblPrEx>
          <w:tblCellMar>
            <w:top w:w="0" w:type="dxa"/>
            <w:left w:w="0" w:type="dxa"/>
            <w:bottom w:w="0" w:type="dxa"/>
            <w:right w:w="0" w:type="dxa"/>
          </w:tblCellMar>
        </w:tblPrEx>
        <w:trPr>
          <w:trHeight w:val="32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2B20AEE7">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B935E94">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24E8AFC">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65677D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4.抗病毒治疗比例完成率≥90%</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22C626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90%</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31C109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98.61%</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1DBF570">
            <w:pPr>
              <w:jc w:val="center"/>
              <w:rPr>
                <w:rFonts w:ascii="宋体" w:hAnsi="宋体" w:cs="宋体"/>
                <w:color w:val="000000"/>
                <w:sz w:val="16"/>
                <w:szCs w:val="16"/>
              </w:rPr>
            </w:pPr>
            <w:r>
              <w:rPr>
                <w:rFonts w:hint="eastAsia" w:ascii="宋体" w:hAnsi="宋体" w:cs="宋体"/>
                <w:color w:val="000000"/>
                <w:sz w:val="18"/>
                <w:szCs w:val="18"/>
              </w:rPr>
              <w:t>完成</w:t>
            </w:r>
          </w:p>
        </w:tc>
      </w:tr>
      <w:tr w14:paraId="4570B581">
        <w:tblPrEx>
          <w:tblCellMar>
            <w:top w:w="0" w:type="dxa"/>
            <w:left w:w="0" w:type="dxa"/>
            <w:bottom w:w="0" w:type="dxa"/>
            <w:right w:w="0" w:type="dxa"/>
          </w:tblCellMar>
        </w:tblPrEx>
        <w:trPr>
          <w:trHeight w:val="42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0C43BF58">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ABB84C5">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979C952">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3F77DD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5.病毒载量检测率≥90%</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67D6AD5">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90%</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50F2C3E">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93.76%</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868A01C">
            <w:pPr>
              <w:jc w:val="center"/>
              <w:rPr>
                <w:rFonts w:ascii="宋体" w:hAnsi="宋体" w:cs="宋体"/>
                <w:color w:val="000000"/>
                <w:sz w:val="16"/>
                <w:szCs w:val="16"/>
              </w:rPr>
            </w:pPr>
            <w:r>
              <w:rPr>
                <w:rFonts w:hint="eastAsia" w:ascii="宋体" w:hAnsi="宋体" w:cs="宋体"/>
                <w:color w:val="000000"/>
                <w:sz w:val="18"/>
                <w:szCs w:val="18"/>
              </w:rPr>
              <w:t>完成</w:t>
            </w:r>
          </w:p>
        </w:tc>
      </w:tr>
      <w:tr w14:paraId="1A827B8D">
        <w:tblPrEx>
          <w:tblCellMar>
            <w:top w:w="0" w:type="dxa"/>
            <w:left w:w="0" w:type="dxa"/>
            <w:bottom w:w="0" w:type="dxa"/>
            <w:right w:w="0" w:type="dxa"/>
          </w:tblCellMar>
        </w:tblPrEx>
        <w:trPr>
          <w:trHeight w:val="32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4EC67F42">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F353061">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1526CEE">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B841BFF">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6.治疗成功率≥90%</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9BB6B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90%</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0247955">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98.33%</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3E2BE1B">
            <w:pPr>
              <w:jc w:val="center"/>
              <w:rPr>
                <w:rFonts w:ascii="宋体" w:hAnsi="宋体" w:cs="宋体"/>
                <w:color w:val="000000"/>
                <w:sz w:val="16"/>
                <w:szCs w:val="16"/>
              </w:rPr>
            </w:pPr>
            <w:r>
              <w:rPr>
                <w:rFonts w:hint="eastAsia" w:ascii="宋体" w:hAnsi="宋体" w:cs="宋体"/>
                <w:color w:val="000000"/>
                <w:sz w:val="18"/>
                <w:szCs w:val="18"/>
              </w:rPr>
              <w:t>完成</w:t>
            </w:r>
          </w:p>
        </w:tc>
      </w:tr>
      <w:tr w14:paraId="742BB4FD">
        <w:tblPrEx>
          <w:tblCellMar>
            <w:top w:w="0" w:type="dxa"/>
            <w:left w:w="0" w:type="dxa"/>
            <w:bottom w:w="0" w:type="dxa"/>
            <w:right w:w="0" w:type="dxa"/>
          </w:tblCellMar>
        </w:tblPrEx>
        <w:trPr>
          <w:trHeight w:val="32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78ABAF2A">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60D8357">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161517">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82F3BD8">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7.VCT完成率100%</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A2039C5">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6EF06E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921F282">
            <w:pPr>
              <w:jc w:val="center"/>
              <w:rPr>
                <w:rFonts w:ascii="宋体" w:hAnsi="宋体" w:cs="宋体"/>
                <w:color w:val="000000"/>
                <w:sz w:val="16"/>
                <w:szCs w:val="16"/>
              </w:rPr>
            </w:pPr>
            <w:r>
              <w:rPr>
                <w:rFonts w:hint="eastAsia" w:ascii="宋体" w:hAnsi="宋体" w:cs="宋体"/>
                <w:color w:val="000000"/>
                <w:sz w:val="18"/>
                <w:szCs w:val="18"/>
              </w:rPr>
              <w:t>完成</w:t>
            </w:r>
          </w:p>
        </w:tc>
      </w:tr>
      <w:tr w14:paraId="2E310A12">
        <w:tblPrEx>
          <w:tblCellMar>
            <w:top w:w="0" w:type="dxa"/>
            <w:left w:w="0" w:type="dxa"/>
            <w:bottom w:w="0" w:type="dxa"/>
            <w:right w:w="0" w:type="dxa"/>
          </w:tblCellMar>
        </w:tblPrEx>
        <w:trPr>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097CEC7D">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1F20365">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FB008A">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069120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8.暗娼干预覆盖100%</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61E7169">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AD5F88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FEFB084">
            <w:pPr>
              <w:jc w:val="center"/>
              <w:rPr>
                <w:rFonts w:ascii="宋体" w:hAnsi="宋体" w:cs="宋体"/>
                <w:color w:val="000000"/>
                <w:sz w:val="16"/>
                <w:szCs w:val="16"/>
              </w:rPr>
            </w:pPr>
            <w:r>
              <w:rPr>
                <w:rFonts w:hint="eastAsia" w:ascii="宋体" w:hAnsi="宋体" w:cs="宋体"/>
                <w:color w:val="000000"/>
                <w:sz w:val="18"/>
                <w:szCs w:val="18"/>
              </w:rPr>
              <w:t>完成</w:t>
            </w:r>
          </w:p>
        </w:tc>
      </w:tr>
      <w:tr w14:paraId="79B3275C">
        <w:tblPrEx>
          <w:tblCellMar>
            <w:top w:w="0" w:type="dxa"/>
            <w:left w:w="0" w:type="dxa"/>
            <w:bottom w:w="0" w:type="dxa"/>
            <w:right w:w="0" w:type="dxa"/>
          </w:tblCellMar>
        </w:tblPrEx>
        <w:trPr>
          <w:trHeight w:val="54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59D1D742">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36AF864">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DF27471">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2AC9AD1">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9.艾滋病病毒感染者的结核病检查率≥90%</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37A1EE1">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90%</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409B289">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100.00%</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7CF617D">
            <w:pPr>
              <w:jc w:val="center"/>
              <w:rPr>
                <w:rFonts w:ascii="宋体" w:hAnsi="宋体" w:cs="宋体"/>
                <w:color w:val="000000"/>
                <w:sz w:val="16"/>
                <w:szCs w:val="16"/>
              </w:rPr>
            </w:pPr>
            <w:r>
              <w:rPr>
                <w:rFonts w:hint="eastAsia" w:ascii="宋体" w:hAnsi="宋体" w:cs="宋体"/>
                <w:color w:val="000000"/>
                <w:sz w:val="18"/>
                <w:szCs w:val="18"/>
              </w:rPr>
              <w:t>完成</w:t>
            </w:r>
          </w:p>
        </w:tc>
      </w:tr>
      <w:tr w14:paraId="7071C8AE">
        <w:tblPrEx>
          <w:tblCellMar>
            <w:top w:w="0" w:type="dxa"/>
            <w:left w:w="0" w:type="dxa"/>
            <w:bottom w:w="0" w:type="dxa"/>
            <w:right w:w="0" w:type="dxa"/>
          </w:tblCellMar>
        </w:tblPrEx>
        <w:trPr>
          <w:trHeight w:val="42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1E2C5B48">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DB50D26">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F8DE3A0">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FC23431">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10.艾滋病补助发放100%</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508CCC9">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71021A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5D4B710">
            <w:pPr>
              <w:jc w:val="center"/>
              <w:rPr>
                <w:rFonts w:ascii="宋体" w:hAnsi="宋体" w:cs="宋体"/>
                <w:color w:val="000000"/>
                <w:sz w:val="16"/>
                <w:szCs w:val="16"/>
              </w:rPr>
            </w:pPr>
            <w:r>
              <w:rPr>
                <w:rFonts w:hint="eastAsia" w:ascii="宋体" w:hAnsi="宋体" w:cs="宋体"/>
                <w:color w:val="000000"/>
                <w:sz w:val="18"/>
                <w:szCs w:val="18"/>
              </w:rPr>
              <w:t>完成</w:t>
            </w:r>
          </w:p>
        </w:tc>
      </w:tr>
      <w:tr w14:paraId="2ADA2A2E">
        <w:tblPrEx>
          <w:tblCellMar>
            <w:top w:w="0" w:type="dxa"/>
            <w:left w:w="0" w:type="dxa"/>
            <w:bottom w:w="0" w:type="dxa"/>
            <w:right w:w="0" w:type="dxa"/>
          </w:tblCellMar>
        </w:tblPrEx>
        <w:trPr>
          <w:trHeight w:val="34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719E114C">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5A0C4DE">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ABDE194">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D9752B1">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肺结核患者成功治疗率</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3E7F85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90%</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66C229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97.84%</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1BDBD87">
            <w:pPr>
              <w:jc w:val="center"/>
              <w:rPr>
                <w:rFonts w:ascii="宋体" w:hAnsi="宋体" w:cs="宋体"/>
                <w:color w:val="000000"/>
                <w:sz w:val="16"/>
                <w:szCs w:val="16"/>
              </w:rPr>
            </w:pPr>
            <w:r>
              <w:rPr>
                <w:rFonts w:hint="eastAsia" w:ascii="宋体" w:hAnsi="宋体" w:cs="宋体"/>
                <w:color w:val="000000"/>
                <w:sz w:val="18"/>
                <w:szCs w:val="18"/>
              </w:rPr>
              <w:t>完成</w:t>
            </w:r>
          </w:p>
        </w:tc>
      </w:tr>
      <w:tr w14:paraId="443AD4A4">
        <w:tblPrEx>
          <w:tblCellMar>
            <w:top w:w="0" w:type="dxa"/>
            <w:left w:w="0" w:type="dxa"/>
            <w:bottom w:w="0" w:type="dxa"/>
            <w:right w:w="0" w:type="dxa"/>
          </w:tblCellMar>
        </w:tblPrEx>
        <w:trPr>
          <w:trHeight w:val="30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21DF68DE">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882F00A">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30BDCFE">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05B8BC5">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病原学阳性率</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F5D0C1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50%</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5EBFC4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64.52%</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F19E197">
            <w:pPr>
              <w:jc w:val="center"/>
              <w:rPr>
                <w:rFonts w:ascii="宋体" w:hAnsi="宋体" w:cs="宋体"/>
                <w:color w:val="000000"/>
                <w:sz w:val="16"/>
                <w:szCs w:val="16"/>
              </w:rPr>
            </w:pPr>
            <w:r>
              <w:rPr>
                <w:rFonts w:hint="eastAsia" w:ascii="宋体" w:hAnsi="宋体" w:cs="宋体"/>
                <w:color w:val="000000"/>
                <w:sz w:val="18"/>
                <w:szCs w:val="18"/>
              </w:rPr>
              <w:t>完成</w:t>
            </w:r>
          </w:p>
        </w:tc>
      </w:tr>
      <w:tr w14:paraId="0EE9B8D3">
        <w:tblPrEx>
          <w:tblCellMar>
            <w:top w:w="0" w:type="dxa"/>
            <w:left w:w="0" w:type="dxa"/>
            <w:bottom w:w="0" w:type="dxa"/>
            <w:right w:w="0" w:type="dxa"/>
          </w:tblCellMar>
        </w:tblPrEx>
        <w:trPr>
          <w:trHeight w:val="52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50F947BC">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13E0AE6">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0D42035">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DEDC859">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报告肺结核病患者和疑似肺结核患者的总体到位率</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2E087C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95%</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EA2CBD5">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95.38%</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7E636A2">
            <w:pPr>
              <w:jc w:val="center"/>
              <w:rPr>
                <w:rFonts w:ascii="宋体" w:hAnsi="宋体" w:cs="宋体"/>
                <w:color w:val="000000"/>
                <w:sz w:val="16"/>
                <w:szCs w:val="16"/>
              </w:rPr>
            </w:pPr>
            <w:r>
              <w:rPr>
                <w:rFonts w:hint="eastAsia" w:ascii="宋体" w:hAnsi="宋体" w:cs="宋体"/>
                <w:color w:val="000000"/>
                <w:sz w:val="18"/>
                <w:szCs w:val="18"/>
              </w:rPr>
              <w:t>完成</w:t>
            </w:r>
          </w:p>
        </w:tc>
      </w:tr>
      <w:tr w14:paraId="7345E6B3">
        <w:tblPrEx>
          <w:tblCellMar>
            <w:top w:w="0" w:type="dxa"/>
            <w:left w:w="0" w:type="dxa"/>
            <w:bottom w:w="0" w:type="dxa"/>
            <w:right w:w="0" w:type="dxa"/>
          </w:tblCellMar>
        </w:tblPrEx>
        <w:trPr>
          <w:trHeight w:val="52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07198D9C">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F1D0E33">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D21663">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0F31A24">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以乡镇（街道）为单位适龄儿童国家免疫规划疫苗接种率</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967D2D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90%</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3BA819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均达到99%以上</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2C63F86">
            <w:pPr>
              <w:jc w:val="center"/>
              <w:rPr>
                <w:rFonts w:ascii="宋体" w:hAnsi="宋体" w:cs="宋体"/>
                <w:color w:val="000000"/>
                <w:sz w:val="16"/>
                <w:szCs w:val="16"/>
              </w:rPr>
            </w:pPr>
            <w:r>
              <w:rPr>
                <w:rFonts w:hint="eastAsia" w:ascii="宋体" w:hAnsi="宋体" w:cs="宋体"/>
                <w:color w:val="000000"/>
                <w:sz w:val="18"/>
                <w:szCs w:val="18"/>
              </w:rPr>
              <w:t>完成</w:t>
            </w:r>
          </w:p>
        </w:tc>
      </w:tr>
      <w:tr w14:paraId="2EECB1E8">
        <w:tblPrEx>
          <w:tblCellMar>
            <w:top w:w="0" w:type="dxa"/>
            <w:left w:w="0" w:type="dxa"/>
            <w:bottom w:w="0" w:type="dxa"/>
            <w:right w:w="0" w:type="dxa"/>
          </w:tblCellMar>
        </w:tblPrEx>
        <w:trPr>
          <w:trHeight w:val="38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49957981">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C323C50">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1676DD">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FCFD78E">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死因监测规范报告率</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656C1E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&gt;80%</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71B6AA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90%</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9029099">
            <w:pPr>
              <w:jc w:val="center"/>
              <w:rPr>
                <w:rFonts w:ascii="宋体" w:hAnsi="宋体" w:cs="宋体"/>
                <w:color w:val="000000"/>
                <w:sz w:val="16"/>
                <w:szCs w:val="16"/>
              </w:rPr>
            </w:pPr>
            <w:r>
              <w:rPr>
                <w:rFonts w:hint="eastAsia" w:ascii="宋体" w:hAnsi="宋体" w:cs="宋体"/>
                <w:color w:val="000000"/>
                <w:sz w:val="18"/>
                <w:szCs w:val="18"/>
              </w:rPr>
              <w:t>完成</w:t>
            </w:r>
          </w:p>
        </w:tc>
      </w:tr>
      <w:tr w14:paraId="0FB6A43B">
        <w:tblPrEx>
          <w:tblCellMar>
            <w:top w:w="0" w:type="dxa"/>
            <w:left w:w="0" w:type="dxa"/>
            <w:bottom w:w="0" w:type="dxa"/>
            <w:right w:w="0" w:type="dxa"/>
          </w:tblCellMar>
        </w:tblPrEx>
        <w:trPr>
          <w:trHeight w:val="42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2E765F71">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039D41">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21C8999">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BE623C4">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在册严重精神障碍患者管理率</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B1F90FF">
            <w:pPr>
              <w:widowControl/>
              <w:jc w:val="center"/>
              <w:textAlignment w:val="center"/>
              <w:rPr>
                <w:rFonts w:ascii="宋体" w:hAnsi="宋体" w:cs="宋体"/>
                <w:color w:val="000000"/>
                <w:sz w:val="16"/>
                <w:szCs w:val="16"/>
              </w:rPr>
            </w:pPr>
            <w:r>
              <w:rPr>
                <w:rFonts w:ascii="宋体" w:hAnsi="宋体" w:cs="宋体"/>
                <w:color w:val="000000"/>
                <w:kern w:val="0"/>
                <w:sz w:val="16"/>
                <w:szCs w:val="16"/>
              </w:rPr>
              <w:t>≧</w:t>
            </w:r>
            <w:r>
              <w:rPr>
                <w:rStyle w:val="37"/>
                <w:rFonts w:hint="default"/>
              </w:rPr>
              <w:t>90%</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57F317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98.79%</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DA1A78">
            <w:pPr>
              <w:jc w:val="center"/>
              <w:rPr>
                <w:rFonts w:ascii="宋体" w:hAnsi="宋体" w:cs="宋体"/>
                <w:color w:val="000000"/>
                <w:sz w:val="16"/>
                <w:szCs w:val="16"/>
              </w:rPr>
            </w:pPr>
            <w:r>
              <w:rPr>
                <w:rFonts w:hint="eastAsia" w:ascii="宋体" w:hAnsi="宋体" w:cs="宋体"/>
                <w:color w:val="000000"/>
                <w:sz w:val="18"/>
                <w:szCs w:val="18"/>
              </w:rPr>
              <w:t>完成</w:t>
            </w:r>
          </w:p>
        </w:tc>
      </w:tr>
      <w:tr w14:paraId="6EA78663">
        <w:tblPrEx>
          <w:tblCellMar>
            <w:top w:w="0" w:type="dxa"/>
            <w:left w:w="0" w:type="dxa"/>
            <w:bottom w:w="0" w:type="dxa"/>
            <w:right w:w="0" w:type="dxa"/>
          </w:tblCellMar>
        </w:tblPrEx>
        <w:trPr>
          <w:trHeight w:val="38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255083B4">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5FF0A05">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7158641">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03A32C2">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病媒生物监测结果分析报告率</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337AA7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3AB4C17">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658069">
            <w:pPr>
              <w:jc w:val="center"/>
              <w:rPr>
                <w:rFonts w:ascii="宋体" w:hAnsi="宋体" w:cs="宋体"/>
                <w:color w:val="000000"/>
                <w:sz w:val="16"/>
                <w:szCs w:val="16"/>
              </w:rPr>
            </w:pPr>
            <w:r>
              <w:rPr>
                <w:rFonts w:hint="eastAsia" w:ascii="宋体" w:hAnsi="宋体" w:cs="宋体"/>
                <w:color w:val="000000"/>
                <w:sz w:val="18"/>
                <w:szCs w:val="18"/>
              </w:rPr>
              <w:t>完成</w:t>
            </w:r>
          </w:p>
        </w:tc>
      </w:tr>
      <w:tr w14:paraId="66FDE812">
        <w:tblPrEx>
          <w:tblCellMar>
            <w:top w:w="0" w:type="dxa"/>
            <w:left w:w="0" w:type="dxa"/>
            <w:bottom w:w="0" w:type="dxa"/>
            <w:right w:w="0" w:type="dxa"/>
          </w:tblCellMar>
        </w:tblPrEx>
        <w:trPr>
          <w:trHeight w:val="32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0C2A13BC">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2AAFD2B">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DB367D6">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DC79B92">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麻风现症患者规范化疗、管理率</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D46B45C">
            <w:pPr>
              <w:widowControl/>
              <w:jc w:val="center"/>
              <w:textAlignment w:val="center"/>
              <w:rPr>
                <w:rFonts w:ascii="宋体" w:hAnsi="宋体" w:cs="宋体"/>
                <w:color w:val="000000"/>
                <w:sz w:val="16"/>
                <w:szCs w:val="16"/>
              </w:rPr>
            </w:pPr>
            <w:r>
              <w:rPr>
                <w:rFonts w:ascii="宋体" w:hAnsi="宋体" w:cs="宋体"/>
                <w:color w:val="000000"/>
                <w:kern w:val="0"/>
                <w:sz w:val="16"/>
                <w:szCs w:val="16"/>
              </w:rPr>
              <w:t>&gt;95%</w:t>
            </w:r>
          </w:p>
        </w:tc>
        <w:tc>
          <w:tcPr>
            <w:tcW w:w="0" w:type="auto"/>
            <w:tcBorders>
              <w:top w:val="nil"/>
              <w:left w:val="nil"/>
              <w:bottom w:val="nil"/>
              <w:right w:val="nil"/>
            </w:tcBorders>
            <w:shd w:val="clear" w:color="auto" w:fill="auto"/>
            <w:noWrap/>
            <w:tcMar>
              <w:top w:w="10" w:type="dxa"/>
              <w:left w:w="10" w:type="dxa"/>
              <w:right w:w="10" w:type="dxa"/>
            </w:tcMar>
            <w:vAlign w:val="center"/>
          </w:tcPr>
          <w:p w14:paraId="3FE81D8B">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FBD1B8B">
            <w:pPr>
              <w:jc w:val="center"/>
              <w:rPr>
                <w:rFonts w:ascii="宋体" w:hAnsi="宋体" w:cs="宋体"/>
                <w:color w:val="000000"/>
                <w:sz w:val="16"/>
                <w:szCs w:val="16"/>
              </w:rPr>
            </w:pPr>
            <w:r>
              <w:rPr>
                <w:rFonts w:hint="eastAsia" w:ascii="宋体" w:hAnsi="宋体" w:cs="宋体"/>
                <w:color w:val="000000"/>
                <w:sz w:val="18"/>
                <w:szCs w:val="18"/>
              </w:rPr>
              <w:t>完成</w:t>
            </w:r>
          </w:p>
        </w:tc>
      </w:tr>
      <w:tr w14:paraId="73EAD9BF">
        <w:tblPrEx>
          <w:tblCellMar>
            <w:top w:w="0" w:type="dxa"/>
            <w:left w:w="0" w:type="dxa"/>
            <w:bottom w:w="0" w:type="dxa"/>
            <w:right w:w="0" w:type="dxa"/>
          </w:tblCellMar>
        </w:tblPrEx>
        <w:trPr>
          <w:trHeight w:val="56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11B0F40B">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0C9EE22">
            <w:pPr>
              <w:jc w:val="center"/>
              <w:rPr>
                <w:rFonts w:ascii="宋体" w:hAnsi="宋体" w:cs="宋体"/>
                <w:color w:val="000000"/>
                <w:sz w:val="16"/>
                <w:szCs w:val="16"/>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AB7A6F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时效指标</w:t>
            </w: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7A5F859">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12月底前完成医疗机构培训，12月中旬前完成医疗机构督导。</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F8EAE3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完成</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8737AC">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完成</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47E35E9">
            <w:pPr>
              <w:jc w:val="center"/>
              <w:rPr>
                <w:rFonts w:ascii="宋体" w:hAnsi="宋体" w:cs="宋体"/>
                <w:color w:val="000000"/>
                <w:sz w:val="16"/>
                <w:szCs w:val="16"/>
              </w:rPr>
            </w:pPr>
          </w:p>
        </w:tc>
      </w:tr>
      <w:tr w14:paraId="771774FE">
        <w:tblPrEx>
          <w:tblCellMar>
            <w:top w:w="0" w:type="dxa"/>
            <w:left w:w="0" w:type="dxa"/>
            <w:bottom w:w="0" w:type="dxa"/>
            <w:right w:w="0" w:type="dxa"/>
          </w:tblCellMar>
        </w:tblPrEx>
        <w:trPr>
          <w:trHeight w:val="54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7B2E9AF5">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BC8A2D9">
            <w:pPr>
              <w:jc w:val="center"/>
              <w:rPr>
                <w:rFonts w:ascii="宋体" w:hAnsi="宋体" w:cs="宋体"/>
                <w:color w:val="000000"/>
                <w:sz w:val="16"/>
                <w:szCs w:val="16"/>
              </w:rPr>
            </w:pP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276069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成本指标</w:t>
            </w: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CBEDB71">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严格按照上级补助全额兑现</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165081E">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59F5C33">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100%</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B01BC28">
            <w:pPr>
              <w:jc w:val="center"/>
              <w:rPr>
                <w:rFonts w:ascii="宋体" w:hAnsi="宋体" w:cs="宋体"/>
                <w:color w:val="000000"/>
                <w:sz w:val="16"/>
                <w:szCs w:val="16"/>
              </w:rPr>
            </w:pPr>
            <w:r>
              <w:rPr>
                <w:rFonts w:hint="eastAsia" w:ascii="宋体" w:hAnsi="宋体" w:cs="宋体"/>
                <w:color w:val="000000"/>
                <w:sz w:val="18"/>
                <w:szCs w:val="18"/>
              </w:rPr>
              <w:t>完成</w:t>
            </w:r>
          </w:p>
        </w:tc>
      </w:tr>
      <w:tr w14:paraId="2C6760E2">
        <w:tblPrEx>
          <w:tblCellMar>
            <w:top w:w="0" w:type="dxa"/>
            <w:left w:w="0" w:type="dxa"/>
            <w:bottom w:w="0" w:type="dxa"/>
            <w:right w:w="0" w:type="dxa"/>
          </w:tblCellMar>
        </w:tblPrEx>
        <w:trPr>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7DF1981F">
            <w:pPr>
              <w:jc w:val="center"/>
              <w:rPr>
                <w:rFonts w:ascii="宋体" w:hAnsi="宋体" w:cs="宋体"/>
                <w:color w:val="000000"/>
                <w:sz w:val="16"/>
                <w:szCs w:val="16"/>
              </w:rPr>
            </w:pPr>
          </w:p>
        </w:tc>
        <w:tc>
          <w:tcPr>
            <w:tcW w:w="50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07EB011">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效</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益</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指</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标</w:t>
            </w:r>
          </w:p>
        </w:tc>
        <w:tc>
          <w:tcPr>
            <w:tcW w:w="949" w:type="dxa"/>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EC4C7E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社会效益</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指标</w:t>
            </w: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62390E4">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居民健康水平提高</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D90BF9D">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中长期</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1F3B16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完成</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77C1B7A">
            <w:pPr>
              <w:jc w:val="center"/>
              <w:rPr>
                <w:rFonts w:ascii="宋体" w:hAnsi="宋体" w:cs="宋体"/>
                <w:color w:val="000000"/>
                <w:sz w:val="16"/>
                <w:szCs w:val="16"/>
              </w:rPr>
            </w:pPr>
          </w:p>
        </w:tc>
      </w:tr>
      <w:tr w14:paraId="7833D3A5">
        <w:tblPrEx>
          <w:tblCellMar>
            <w:top w:w="0" w:type="dxa"/>
            <w:left w:w="0" w:type="dxa"/>
            <w:bottom w:w="0" w:type="dxa"/>
            <w:right w:w="0" w:type="dxa"/>
          </w:tblCellMar>
        </w:tblPrEx>
        <w:trPr>
          <w:trHeight w:val="263"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5946E768">
            <w:pPr>
              <w:jc w:val="center"/>
              <w:rPr>
                <w:rFonts w:ascii="宋体" w:hAnsi="宋体" w:cs="宋体"/>
                <w:color w:val="000000"/>
                <w:sz w:val="16"/>
                <w:szCs w:val="16"/>
              </w:rPr>
            </w:pPr>
          </w:p>
        </w:tc>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C6C2549">
            <w:pPr>
              <w:jc w:val="center"/>
              <w:rPr>
                <w:rFonts w:ascii="宋体" w:hAnsi="宋体" w:cs="宋体"/>
                <w:color w:val="000000"/>
                <w:sz w:val="16"/>
                <w:szCs w:val="16"/>
              </w:rPr>
            </w:pPr>
          </w:p>
        </w:tc>
        <w:tc>
          <w:tcPr>
            <w:tcW w:w="9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DC2D45F">
            <w:pPr>
              <w:jc w:val="center"/>
              <w:rPr>
                <w:rFonts w:ascii="宋体" w:hAnsi="宋体" w:cs="宋体"/>
                <w:color w:val="000000"/>
                <w:sz w:val="16"/>
                <w:szCs w:val="16"/>
              </w:rPr>
            </w:pP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928A742">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公共卫生均等化水平提高</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86E5079">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中长期</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47BBEBB">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完成</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F4E51AD">
            <w:pPr>
              <w:jc w:val="center"/>
              <w:rPr>
                <w:rFonts w:ascii="宋体" w:hAnsi="宋体" w:cs="宋体"/>
                <w:color w:val="000000"/>
                <w:sz w:val="16"/>
                <w:szCs w:val="16"/>
              </w:rPr>
            </w:pPr>
          </w:p>
        </w:tc>
      </w:tr>
      <w:tr w14:paraId="4697E9E5">
        <w:tblPrEx>
          <w:tblCellMar>
            <w:top w:w="0" w:type="dxa"/>
            <w:left w:w="0" w:type="dxa"/>
            <w:bottom w:w="0" w:type="dxa"/>
            <w:right w:w="0" w:type="dxa"/>
          </w:tblCellMar>
        </w:tblPrEx>
        <w:trPr>
          <w:trHeight w:val="420" w:hRule="atLeast"/>
        </w:trPr>
        <w:tc>
          <w:tcPr>
            <w:tcW w:w="5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textDirection w:val="tbRlV"/>
            <w:vAlign w:val="center"/>
          </w:tcPr>
          <w:p w14:paraId="4F87E453">
            <w:pPr>
              <w:jc w:val="center"/>
              <w:rPr>
                <w:rFonts w:ascii="宋体" w:hAnsi="宋体" w:cs="宋体"/>
                <w:color w:val="000000"/>
                <w:sz w:val="16"/>
                <w:szCs w:val="16"/>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B71C336">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满意度指标</w:t>
            </w:r>
          </w:p>
        </w:tc>
        <w:tc>
          <w:tcPr>
            <w:tcW w:w="94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8818C4B">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服务对象</w:t>
            </w:r>
            <w:r>
              <w:rPr>
                <w:rFonts w:hint="eastAsia" w:ascii="宋体" w:hAnsi="宋体" w:cs="宋体"/>
                <w:color w:val="000000"/>
                <w:kern w:val="0"/>
                <w:sz w:val="16"/>
                <w:szCs w:val="16"/>
              </w:rPr>
              <w:br w:type="textWrapping"/>
            </w:r>
            <w:r>
              <w:rPr>
                <w:rFonts w:hint="eastAsia" w:ascii="宋体" w:hAnsi="宋体" w:cs="宋体"/>
                <w:color w:val="000000"/>
                <w:kern w:val="0"/>
                <w:sz w:val="16"/>
                <w:szCs w:val="16"/>
              </w:rPr>
              <w:t>满意度指标</w:t>
            </w:r>
          </w:p>
        </w:tc>
        <w:tc>
          <w:tcPr>
            <w:tcW w:w="2405"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48DC4C4">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患者满意度</w:t>
            </w:r>
          </w:p>
        </w:tc>
        <w:tc>
          <w:tcPr>
            <w:tcW w:w="114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E1F600">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90%</w:t>
            </w:r>
          </w:p>
        </w:tc>
        <w:tc>
          <w:tcPr>
            <w:tcW w:w="83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E6E4D2A">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90%</w:t>
            </w:r>
          </w:p>
        </w:tc>
        <w:tc>
          <w:tcPr>
            <w:tcW w:w="33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7816DFF">
            <w:pPr>
              <w:jc w:val="center"/>
              <w:rPr>
                <w:rFonts w:ascii="宋体" w:hAnsi="宋体" w:cs="宋体"/>
                <w:color w:val="000000"/>
                <w:sz w:val="16"/>
                <w:szCs w:val="16"/>
              </w:rPr>
            </w:pPr>
          </w:p>
        </w:tc>
      </w:tr>
      <w:tr w14:paraId="7D9FF9C5">
        <w:tblPrEx>
          <w:tblCellMar>
            <w:top w:w="0" w:type="dxa"/>
            <w:left w:w="0" w:type="dxa"/>
            <w:bottom w:w="0" w:type="dxa"/>
            <w:right w:w="0" w:type="dxa"/>
          </w:tblCellMar>
        </w:tblPrEx>
        <w:trPr>
          <w:trHeight w:val="323" w:hRule="atLeast"/>
        </w:trPr>
        <w:tc>
          <w:tcPr>
            <w:tcW w:w="50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6D3DBF2">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说明</w:t>
            </w:r>
          </w:p>
        </w:tc>
        <w:tc>
          <w:tcPr>
            <w:tcW w:w="9144" w:type="dxa"/>
            <w:gridSpan w:val="7"/>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49A965A">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无</w:t>
            </w:r>
          </w:p>
        </w:tc>
      </w:tr>
    </w:tbl>
    <w:p w14:paraId="1CDBCDE1">
      <w:pPr>
        <w:rPr>
          <w:rStyle w:val="26"/>
          <w:rFonts w:ascii="黑体" w:hAnsi="黑体" w:eastAsia="黑体"/>
          <w:b w:val="0"/>
        </w:rPr>
      </w:pPr>
    </w:p>
    <w:p w14:paraId="74C8FB55">
      <w:pPr>
        <w:pStyle w:val="2"/>
        <w:ind w:firstLine="880"/>
        <w:rPr>
          <w:rStyle w:val="26"/>
          <w:rFonts w:ascii="黑体" w:hAnsi="黑体" w:eastAsia="黑体"/>
          <w:b w:val="0"/>
          <w:color w:val="auto"/>
        </w:rPr>
      </w:pPr>
    </w:p>
    <w:p w14:paraId="261423C8"/>
    <w:p w14:paraId="3A09D795">
      <w:pPr>
        <w:spacing w:line="600" w:lineRule="exact"/>
        <w:ind w:firstLine="2200" w:firstLineChars="500"/>
        <w:outlineLvl w:val="0"/>
        <w:rPr>
          <w:rFonts w:ascii="仿宋" w:hAnsi="仿宋" w:eastAsia="仿宋"/>
        </w:rPr>
      </w:pPr>
      <w:bookmarkStart w:id="82" w:name="_Toc11733"/>
      <w:bookmarkStart w:id="83" w:name="_Toc15396618"/>
      <w:r>
        <w:rPr>
          <w:rFonts w:hint="eastAsia" w:ascii="黑体" w:hAnsi="黑体" w:eastAsia="黑体"/>
          <w:sz w:val="44"/>
          <w:szCs w:val="44"/>
        </w:rPr>
        <w:t>第</w:t>
      </w:r>
      <w:r>
        <w:rPr>
          <w:rStyle w:val="26"/>
          <w:rFonts w:hint="eastAsia" w:ascii="黑体" w:hAnsi="黑体" w:eastAsia="黑体"/>
          <w:b w:val="0"/>
        </w:rPr>
        <w:t>五部分 附表</w:t>
      </w:r>
      <w:bookmarkEnd w:id="80"/>
      <w:bookmarkEnd w:id="82"/>
      <w:bookmarkEnd w:id="83"/>
      <w:bookmarkStart w:id="84" w:name="_Toc15396619"/>
    </w:p>
    <w:p w14:paraId="0FED6EB0">
      <w:pPr>
        <w:pStyle w:val="5"/>
        <w:rPr>
          <w:rFonts w:ascii="仿宋" w:hAnsi="仿宋" w:eastAsia="仿宋"/>
        </w:rPr>
      </w:pPr>
      <w:bookmarkStart w:id="85" w:name="_Toc30495"/>
      <w:r>
        <w:rPr>
          <w:rFonts w:hint="eastAsia" w:ascii="仿宋" w:hAnsi="仿宋" w:eastAsia="仿宋"/>
          <w:b w:val="0"/>
        </w:rPr>
        <w:t>一、收</w:t>
      </w:r>
      <w:r>
        <w:rPr>
          <w:rStyle w:val="27"/>
          <w:rFonts w:hint="eastAsia" w:ascii="仿宋" w:hAnsi="仿宋" w:eastAsia="仿宋"/>
          <w:b w:val="0"/>
          <w:bCs w:val="0"/>
        </w:rPr>
        <w:t>入支出决算总表</w:t>
      </w:r>
      <w:bookmarkEnd w:id="84"/>
      <w:bookmarkEnd w:id="85"/>
    </w:p>
    <w:p w14:paraId="3B575560">
      <w:pPr>
        <w:pStyle w:val="5"/>
        <w:rPr>
          <w:rFonts w:ascii="仿宋" w:hAnsi="仿宋" w:eastAsia="仿宋"/>
        </w:rPr>
      </w:pPr>
      <w:bookmarkStart w:id="86" w:name="_Toc18831"/>
      <w:bookmarkStart w:id="87" w:name="_Toc15396620"/>
      <w:r>
        <w:rPr>
          <w:rFonts w:hint="eastAsia" w:ascii="仿宋" w:hAnsi="仿宋" w:eastAsia="仿宋"/>
          <w:b w:val="0"/>
        </w:rPr>
        <w:t>二、收</w:t>
      </w:r>
      <w:r>
        <w:rPr>
          <w:rStyle w:val="27"/>
          <w:rFonts w:hint="eastAsia" w:ascii="仿宋" w:hAnsi="仿宋" w:eastAsia="仿宋"/>
          <w:b w:val="0"/>
          <w:bCs w:val="0"/>
        </w:rPr>
        <w:t>入决算表</w:t>
      </w:r>
      <w:bookmarkEnd w:id="86"/>
      <w:bookmarkEnd w:id="87"/>
    </w:p>
    <w:p w14:paraId="54E7EEFB">
      <w:pPr>
        <w:pStyle w:val="5"/>
        <w:rPr>
          <w:rFonts w:ascii="仿宋" w:hAnsi="仿宋" w:eastAsia="仿宋"/>
        </w:rPr>
      </w:pPr>
      <w:bookmarkStart w:id="88" w:name="_Toc15396621"/>
      <w:bookmarkStart w:id="89" w:name="_Toc27266"/>
      <w:r>
        <w:rPr>
          <w:rStyle w:val="27"/>
          <w:rFonts w:hint="eastAsia" w:ascii="仿宋" w:hAnsi="仿宋" w:eastAsia="仿宋"/>
          <w:b w:val="0"/>
          <w:bCs w:val="0"/>
        </w:rPr>
        <w:t>三、</w:t>
      </w:r>
      <w:r>
        <w:rPr>
          <w:rFonts w:hint="eastAsia" w:ascii="仿宋" w:hAnsi="仿宋" w:eastAsia="仿宋"/>
          <w:b w:val="0"/>
        </w:rPr>
        <w:t>支</w:t>
      </w:r>
      <w:r>
        <w:rPr>
          <w:rStyle w:val="27"/>
          <w:rFonts w:hint="eastAsia" w:ascii="仿宋" w:hAnsi="仿宋" w:eastAsia="仿宋"/>
          <w:b w:val="0"/>
          <w:bCs w:val="0"/>
        </w:rPr>
        <w:t>出决算表</w:t>
      </w:r>
      <w:bookmarkEnd w:id="88"/>
      <w:bookmarkEnd w:id="89"/>
    </w:p>
    <w:p w14:paraId="164C5EE5">
      <w:pPr>
        <w:pStyle w:val="5"/>
        <w:rPr>
          <w:rFonts w:ascii="仿宋" w:hAnsi="仿宋" w:eastAsia="仿宋"/>
          <w:b w:val="0"/>
        </w:rPr>
      </w:pPr>
      <w:bookmarkStart w:id="90" w:name="_Toc5458"/>
      <w:bookmarkStart w:id="91" w:name="_Toc15396622"/>
      <w:r>
        <w:rPr>
          <w:rStyle w:val="27"/>
          <w:rFonts w:hint="eastAsia" w:ascii="仿宋" w:hAnsi="仿宋" w:eastAsia="仿宋"/>
          <w:b w:val="0"/>
          <w:bCs w:val="0"/>
        </w:rPr>
        <w:t>四、</w:t>
      </w:r>
      <w:r>
        <w:rPr>
          <w:rFonts w:hint="eastAsia" w:ascii="仿宋" w:hAnsi="仿宋" w:eastAsia="仿宋"/>
          <w:b w:val="0"/>
        </w:rPr>
        <w:t>财</w:t>
      </w:r>
      <w:r>
        <w:rPr>
          <w:rStyle w:val="27"/>
          <w:rFonts w:hint="eastAsia" w:ascii="仿宋" w:hAnsi="仿宋" w:eastAsia="仿宋"/>
          <w:b w:val="0"/>
          <w:bCs w:val="0"/>
        </w:rPr>
        <w:t>政拨款收入支出决算总表</w:t>
      </w:r>
      <w:bookmarkEnd w:id="90"/>
      <w:bookmarkEnd w:id="91"/>
    </w:p>
    <w:p w14:paraId="7F06B7FE">
      <w:pPr>
        <w:pStyle w:val="5"/>
        <w:rPr>
          <w:rStyle w:val="27"/>
          <w:rFonts w:ascii="仿宋" w:hAnsi="仿宋" w:eastAsia="仿宋"/>
          <w:b w:val="0"/>
          <w:bCs w:val="0"/>
        </w:rPr>
      </w:pPr>
      <w:bookmarkStart w:id="92" w:name="_Toc10396"/>
      <w:bookmarkStart w:id="93" w:name="_Toc15396623"/>
      <w:r>
        <w:rPr>
          <w:rStyle w:val="27"/>
          <w:rFonts w:hint="eastAsia" w:ascii="仿宋" w:hAnsi="仿宋" w:eastAsia="仿宋"/>
          <w:b w:val="0"/>
          <w:bCs w:val="0"/>
        </w:rPr>
        <w:t>五、</w:t>
      </w:r>
      <w:r>
        <w:rPr>
          <w:rFonts w:hint="eastAsia" w:ascii="仿宋" w:hAnsi="仿宋" w:eastAsia="仿宋"/>
          <w:b w:val="0"/>
        </w:rPr>
        <w:t>财</w:t>
      </w:r>
      <w:r>
        <w:rPr>
          <w:rStyle w:val="27"/>
          <w:rFonts w:hint="eastAsia" w:ascii="仿宋" w:hAnsi="仿宋" w:eastAsia="仿宋"/>
          <w:b w:val="0"/>
          <w:bCs w:val="0"/>
        </w:rPr>
        <w:t>政拨款支出决算明细表</w:t>
      </w:r>
      <w:bookmarkEnd w:id="92"/>
      <w:bookmarkEnd w:id="93"/>
      <w:bookmarkStart w:id="94" w:name="_Toc15396624"/>
    </w:p>
    <w:p w14:paraId="74C8F785">
      <w:pPr>
        <w:pStyle w:val="5"/>
        <w:rPr>
          <w:rFonts w:ascii="仿宋" w:hAnsi="仿宋" w:eastAsia="仿宋"/>
        </w:rPr>
      </w:pPr>
      <w:bookmarkStart w:id="95" w:name="_Toc15744"/>
      <w:r>
        <w:rPr>
          <w:rStyle w:val="27"/>
          <w:rFonts w:hint="eastAsia" w:ascii="仿宋" w:hAnsi="仿宋" w:eastAsia="仿宋"/>
          <w:b w:val="0"/>
          <w:bCs w:val="0"/>
        </w:rPr>
        <w:t>六、</w:t>
      </w:r>
      <w:r>
        <w:rPr>
          <w:rFonts w:hint="eastAsia" w:ascii="仿宋" w:hAnsi="仿宋" w:eastAsia="仿宋"/>
          <w:b w:val="0"/>
        </w:rPr>
        <w:t>一</w:t>
      </w:r>
      <w:r>
        <w:rPr>
          <w:rStyle w:val="27"/>
          <w:rFonts w:hint="eastAsia" w:ascii="仿宋" w:hAnsi="仿宋" w:eastAsia="仿宋"/>
          <w:b w:val="0"/>
          <w:bCs w:val="0"/>
        </w:rPr>
        <w:t>般公共预算财政拨款支出决算表</w:t>
      </w:r>
      <w:bookmarkEnd w:id="94"/>
      <w:bookmarkEnd w:id="95"/>
    </w:p>
    <w:p w14:paraId="7622413D">
      <w:pPr>
        <w:pStyle w:val="5"/>
        <w:rPr>
          <w:rFonts w:ascii="仿宋" w:hAnsi="仿宋" w:eastAsia="仿宋"/>
        </w:rPr>
      </w:pPr>
      <w:bookmarkStart w:id="96" w:name="_Toc13500"/>
      <w:bookmarkStart w:id="97" w:name="_Toc15396625"/>
      <w:r>
        <w:rPr>
          <w:rStyle w:val="27"/>
          <w:rFonts w:hint="eastAsia" w:ascii="仿宋" w:hAnsi="仿宋" w:eastAsia="仿宋"/>
          <w:b w:val="0"/>
          <w:bCs w:val="0"/>
        </w:rPr>
        <w:t>七、</w:t>
      </w:r>
      <w:r>
        <w:rPr>
          <w:rFonts w:hint="eastAsia" w:ascii="仿宋" w:hAnsi="仿宋" w:eastAsia="仿宋"/>
          <w:b w:val="0"/>
        </w:rPr>
        <w:t>一</w:t>
      </w:r>
      <w:r>
        <w:rPr>
          <w:rStyle w:val="27"/>
          <w:rFonts w:hint="eastAsia" w:ascii="仿宋" w:hAnsi="仿宋" w:eastAsia="仿宋"/>
          <w:b w:val="0"/>
          <w:bCs w:val="0"/>
        </w:rPr>
        <w:t>般公共预算财政拨款支出决算明细表</w:t>
      </w:r>
      <w:bookmarkEnd w:id="96"/>
      <w:bookmarkEnd w:id="97"/>
    </w:p>
    <w:p w14:paraId="5E158EB9">
      <w:pPr>
        <w:pStyle w:val="5"/>
        <w:rPr>
          <w:rFonts w:ascii="仿宋" w:hAnsi="仿宋" w:eastAsia="仿宋"/>
        </w:rPr>
      </w:pPr>
      <w:bookmarkStart w:id="98" w:name="_Toc15396626"/>
      <w:bookmarkStart w:id="99" w:name="_Toc1728"/>
      <w:r>
        <w:rPr>
          <w:rStyle w:val="27"/>
          <w:rFonts w:hint="eastAsia" w:ascii="仿宋" w:hAnsi="仿宋" w:eastAsia="仿宋"/>
          <w:b w:val="0"/>
          <w:bCs w:val="0"/>
        </w:rPr>
        <w:t>八、</w:t>
      </w:r>
      <w:r>
        <w:rPr>
          <w:rFonts w:hint="eastAsia" w:ascii="仿宋" w:hAnsi="仿宋" w:eastAsia="仿宋"/>
          <w:b w:val="0"/>
        </w:rPr>
        <w:t>一</w:t>
      </w:r>
      <w:r>
        <w:rPr>
          <w:rStyle w:val="27"/>
          <w:rFonts w:hint="eastAsia" w:ascii="仿宋" w:hAnsi="仿宋" w:eastAsia="仿宋"/>
          <w:b w:val="0"/>
          <w:bCs w:val="0"/>
        </w:rPr>
        <w:t>般公共预算财政拨款基本支出决算表</w:t>
      </w:r>
      <w:bookmarkEnd w:id="98"/>
      <w:bookmarkEnd w:id="99"/>
    </w:p>
    <w:p w14:paraId="427C66CD">
      <w:pPr>
        <w:pStyle w:val="5"/>
        <w:rPr>
          <w:rFonts w:ascii="仿宋" w:hAnsi="仿宋" w:eastAsia="仿宋"/>
        </w:rPr>
      </w:pPr>
      <w:bookmarkStart w:id="100" w:name="_Toc15396627"/>
      <w:bookmarkStart w:id="101" w:name="_Toc7481"/>
      <w:r>
        <w:rPr>
          <w:rStyle w:val="27"/>
          <w:rFonts w:hint="eastAsia" w:ascii="仿宋" w:hAnsi="仿宋" w:eastAsia="仿宋"/>
          <w:b w:val="0"/>
          <w:bCs w:val="0"/>
        </w:rPr>
        <w:t>九、</w:t>
      </w:r>
      <w:r>
        <w:rPr>
          <w:rFonts w:hint="eastAsia" w:ascii="仿宋" w:hAnsi="仿宋" w:eastAsia="仿宋"/>
          <w:b w:val="0"/>
        </w:rPr>
        <w:t>一</w:t>
      </w:r>
      <w:r>
        <w:rPr>
          <w:rStyle w:val="27"/>
          <w:rFonts w:hint="eastAsia" w:ascii="仿宋" w:hAnsi="仿宋" w:eastAsia="仿宋"/>
          <w:b w:val="0"/>
          <w:bCs w:val="0"/>
        </w:rPr>
        <w:t>般公共预算财政拨款项目支出决算表</w:t>
      </w:r>
      <w:bookmarkEnd w:id="100"/>
      <w:bookmarkEnd w:id="101"/>
    </w:p>
    <w:p w14:paraId="56DA7DC0">
      <w:pPr>
        <w:pStyle w:val="5"/>
        <w:rPr>
          <w:rFonts w:ascii="仿宋" w:hAnsi="仿宋" w:eastAsia="仿宋"/>
        </w:rPr>
      </w:pPr>
      <w:bookmarkStart w:id="102" w:name="_Toc15396628"/>
      <w:bookmarkStart w:id="103" w:name="_Toc22834"/>
      <w:r>
        <w:rPr>
          <w:rStyle w:val="27"/>
          <w:rFonts w:hint="eastAsia" w:ascii="仿宋" w:hAnsi="仿宋" w:eastAsia="仿宋"/>
          <w:b w:val="0"/>
          <w:bCs w:val="0"/>
        </w:rPr>
        <w:t>十、</w:t>
      </w:r>
      <w:r>
        <w:rPr>
          <w:rFonts w:hint="eastAsia" w:ascii="仿宋" w:hAnsi="仿宋" w:eastAsia="仿宋"/>
          <w:b w:val="0"/>
        </w:rPr>
        <w:t>一</w:t>
      </w:r>
      <w:r>
        <w:rPr>
          <w:rStyle w:val="27"/>
          <w:rFonts w:hint="eastAsia" w:ascii="仿宋" w:hAnsi="仿宋" w:eastAsia="仿宋"/>
          <w:b w:val="0"/>
          <w:bCs w:val="0"/>
        </w:rPr>
        <w:t>般公共预算财政拨款“三公”经费支出决算表</w:t>
      </w:r>
      <w:bookmarkEnd w:id="102"/>
      <w:bookmarkEnd w:id="103"/>
    </w:p>
    <w:p w14:paraId="64FAF75F">
      <w:pPr>
        <w:pStyle w:val="5"/>
        <w:rPr>
          <w:rFonts w:ascii="仿宋" w:hAnsi="仿宋" w:eastAsia="仿宋"/>
        </w:rPr>
      </w:pPr>
      <w:bookmarkStart w:id="104" w:name="_Toc15396629"/>
      <w:bookmarkStart w:id="105" w:name="_Toc30799"/>
      <w:r>
        <w:rPr>
          <w:rStyle w:val="27"/>
          <w:rFonts w:hint="eastAsia" w:ascii="仿宋" w:hAnsi="仿宋" w:eastAsia="仿宋"/>
          <w:b w:val="0"/>
          <w:bCs w:val="0"/>
        </w:rPr>
        <w:t>十一、</w:t>
      </w:r>
      <w:r>
        <w:rPr>
          <w:rFonts w:hint="eastAsia" w:ascii="仿宋" w:hAnsi="仿宋" w:eastAsia="仿宋"/>
          <w:b w:val="0"/>
        </w:rPr>
        <w:t>政</w:t>
      </w:r>
      <w:r>
        <w:rPr>
          <w:rStyle w:val="27"/>
          <w:rFonts w:hint="eastAsia" w:ascii="仿宋" w:hAnsi="仿宋" w:eastAsia="仿宋"/>
          <w:b w:val="0"/>
          <w:bCs w:val="0"/>
        </w:rPr>
        <w:t>府性基金预算财政拨款收入支出决算表</w:t>
      </w:r>
      <w:bookmarkEnd w:id="104"/>
      <w:bookmarkEnd w:id="105"/>
    </w:p>
    <w:p w14:paraId="1819D2FC">
      <w:pPr>
        <w:pStyle w:val="5"/>
        <w:rPr>
          <w:rFonts w:ascii="仿宋" w:hAnsi="仿宋" w:eastAsia="仿宋"/>
        </w:rPr>
      </w:pPr>
      <w:bookmarkStart w:id="106" w:name="_Toc28238"/>
      <w:bookmarkStart w:id="107" w:name="_Toc15396630"/>
      <w:r>
        <w:rPr>
          <w:rStyle w:val="27"/>
          <w:rFonts w:hint="eastAsia" w:ascii="仿宋" w:hAnsi="仿宋" w:eastAsia="仿宋"/>
          <w:b w:val="0"/>
          <w:bCs w:val="0"/>
        </w:rPr>
        <w:t>十二、</w:t>
      </w:r>
      <w:r>
        <w:rPr>
          <w:rFonts w:hint="eastAsia" w:ascii="仿宋" w:hAnsi="仿宋" w:eastAsia="仿宋"/>
          <w:b w:val="0"/>
        </w:rPr>
        <w:t>政</w:t>
      </w:r>
      <w:r>
        <w:rPr>
          <w:rStyle w:val="27"/>
          <w:rFonts w:hint="eastAsia" w:ascii="仿宋" w:hAnsi="仿宋" w:eastAsia="仿宋"/>
          <w:b w:val="0"/>
          <w:bCs w:val="0"/>
        </w:rPr>
        <w:t>府性基金预算财政拨款“三公”经费支出决算表</w:t>
      </w:r>
      <w:bookmarkEnd w:id="106"/>
      <w:bookmarkEnd w:id="107"/>
    </w:p>
    <w:p w14:paraId="149E2BAA">
      <w:pPr>
        <w:pStyle w:val="5"/>
        <w:rPr>
          <w:rStyle w:val="27"/>
          <w:rFonts w:ascii="仿宋" w:hAnsi="仿宋" w:eastAsia="仿宋"/>
          <w:b w:val="0"/>
          <w:bCs w:val="0"/>
        </w:rPr>
      </w:pPr>
      <w:bookmarkStart w:id="108" w:name="_Toc27899"/>
      <w:bookmarkStart w:id="109" w:name="_Toc15396631"/>
      <w:r>
        <w:rPr>
          <w:rStyle w:val="27"/>
          <w:rFonts w:hint="eastAsia" w:ascii="仿宋" w:hAnsi="仿宋" w:eastAsia="仿宋"/>
          <w:b w:val="0"/>
          <w:bCs w:val="0"/>
        </w:rPr>
        <w:t>十三、</w:t>
      </w:r>
      <w:r>
        <w:rPr>
          <w:rFonts w:hint="eastAsia" w:ascii="仿宋" w:hAnsi="仿宋" w:eastAsia="仿宋"/>
          <w:b w:val="0"/>
        </w:rPr>
        <w:t>国</w:t>
      </w:r>
      <w:r>
        <w:rPr>
          <w:rStyle w:val="27"/>
          <w:rFonts w:hint="eastAsia" w:ascii="仿宋" w:hAnsi="仿宋" w:eastAsia="仿宋"/>
          <w:b w:val="0"/>
          <w:bCs w:val="0"/>
        </w:rPr>
        <w:t>有资本经营预算财政拨款收入支出决算表</w:t>
      </w:r>
      <w:bookmarkEnd w:id="108"/>
      <w:bookmarkEnd w:id="109"/>
    </w:p>
    <w:p w14:paraId="4FC77621">
      <w:pPr>
        <w:rPr>
          <w:rFonts w:eastAsia="仿宋"/>
        </w:rPr>
      </w:pPr>
      <w:bookmarkStart w:id="110" w:name="_Toc32482"/>
      <w:r>
        <w:rPr>
          <w:rStyle w:val="27"/>
          <w:rFonts w:hint="eastAsia" w:ascii="仿宋" w:hAnsi="仿宋" w:eastAsia="仿宋"/>
          <w:b w:val="0"/>
          <w:bCs w:val="0"/>
        </w:rPr>
        <w:t>十四、国有资本经营预算财政拨款支出决算表</w:t>
      </w:r>
      <w:bookmarkEnd w:id="110"/>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C4B9142-D407-452C-AFE9-9AC1C8A841E3}"/>
  </w:font>
  <w:font w:name="黑体">
    <w:panose1 w:val="02010609060101010101"/>
    <w:charset w:val="86"/>
    <w:family w:val="auto"/>
    <w:pitch w:val="default"/>
    <w:sig w:usb0="800002BF" w:usb1="38CF7CFA" w:usb2="00000016" w:usb3="00000000" w:csb0="00040001" w:csb1="00000000"/>
    <w:embedRegular r:id="rId2" w:fontKey="{33ABFC98-53D8-4B48-ADD0-C578059786A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3602966-EC03-48CC-8167-AD9521F57452}"/>
  </w:font>
  <w:font w:name="Cambria">
    <w:panose1 w:val="02040503050406030204"/>
    <w:charset w:val="00"/>
    <w:family w:val="roman"/>
    <w:pitch w:val="default"/>
    <w:sig w:usb0="E00006FF" w:usb1="420024FF" w:usb2="02000000" w:usb3="00000000" w:csb0="2000019F" w:csb1="00000000"/>
    <w:embedRegular r:id="rId4" w:fontKey="{C92A028D-749C-42BC-8799-C7CEA6D143B2}"/>
  </w:font>
  <w:font w:name="仿宋_GB2312">
    <w:altName w:val="仿宋"/>
    <w:panose1 w:val="00000000000000000000"/>
    <w:charset w:val="86"/>
    <w:family w:val="modern"/>
    <w:pitch w:val="default"/>
    <w:sig w:usb0="00000000" w:usb1="00000000" w:usb2="00000000" w:usb3="00000000" w:csb0="00040000" w:csb1="00000000"/>
    <w:embedRegular r:id="rId5" w:fontKey="{61FA610F-9BB0-42CB-BC67-88547069DDE2}"/>
  </w:font>
  <w:font w:name="仿宋">
    <w:panose1 w:val="02010609060101010101"/>
    <w:charset w:val="86"/>
    <w:family w:val="modern"/>
    <w:pitch w:val="default"/>
    <w:sig w:usb0="800002BF" w:usb1="38CF7CFA" w:usb2="00000016" w:usb3="00000000" w:csb0="00040001" w:csb1="00000000"/>
    <w:embedRegular r:id="rId6" w:fontKey="{89E091CC-79D7-454B-BC46-CAB61604D0B2}"/>
  </w:font>
  <w:font w:name="方正小标宋简体">
    <w:panose1 w:val="02000000000000000000"/>
    <w:charset w:val="86"/>
    <w:family w:val="script"/>
    <w:pitch w:val="default"/>
    <w:sig w:usb0="00000001" w:usb1="08000000" w:usb2="00000000" w:usb3="00000000" w:csb0="00040000" w:csb1="00000000"/>
    <w:embedRegular r:id="rId7" w:fontKey="{F74A35BA-DC89-48C6-A47B-C4BC335A6267}"/>
  </w:font>
  <w:font w:name="MingLiU">
    <w:altName w:val="PMingLiU-ExtB"/>
    <w:panose1 w:val="02020509000000000000"/>
    <w:charset w:val="88"/>
    <w:family w:val="modern"/>
    <w:pitch w:val="default"/>
    <w:sig w:usb0="00000000" w:usb1="00000000" w:usb2="00000016" w:usb3="00000000" w:csb0="00100001" w:csb1="00000000"/>
    <w:embedRegular r:id="rId8" w:fontKey="{08A2A35A-2C6F-4FC0-9427-4476DF2014B4}"/>
  </w:font>
  <w:font w:name="楷体_GB2312">
    <w:panose1 w:val="02010609030101010101"/>
    <w:charset w:val="86"/>
    <w:family w:val="auto"/>
    <w:pitch w:val="default"/>
    <w:sig w:usb0="00000001" w:usb1="080E0000" w:usb2="00000000" w:usb3="00000000" w:csb0="00040000" w:csb1="00000000"/>
    <w:embedRegular r:id="rId9" w:fontKey="{AB878357-F553-4B66-B257-64F1E79E0479}"/>
  </w:font>
  <w:font w:name="微软雅黑">
    <w:panose1 w:val="020B0503020204020204"/>
    <w:charset w:val="86"/>
    <w:family w:val="swiss"/>
    <w:pitch w:val="default"/>
    <w:sig w:usb0="80000287" w:usb1="2ACF3C50" w:usb2="00000016" w:usb3="00000000" w:csb0="0004001F" w:csb1="00000000"/>
    <w:embedRegular r:id="rId10" w:fontKey="{44FBDF78-385D-4745-A40C-379DD1947F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415BC243">
        <w:pPr>
          <w:pStyle w:val="10"/>
          <w:jc w:val="center"/>
        </w:pPr>
        <w:r>
          <w:fldChar w:fldCharType="begin"/>
        </w:r>
        <w:r>
          <w:instrText xml:space="preserve">PAGE   \* MERGEFORMAT</w:instrText>
        </w:r>
        <w:r>
          <w:fldChar w:fldCharType="separate"/>
        </w:r>
        <w:r>
          <w:rPr>
            <w:lang w:val="zh-CN"/>
          </w:rPr>
          <w:t>14</w:t>
        </w:r>
        <w:r>
          <w:fldChar w:fldCharType="end"/>
        </w:r>
      </w:p>
    </w:sdtContent>
  </w:sdt>
  <w:p w14:paraId="6E1E3B93">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8E2F7">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A6E3AC"/>
    <w:multiLevelType w:val="singleLevel"/>
    <w:tmpl w:val="8CA6E3AC"/>
    <w:lvl w:ilvl="0" w:tentative="0">
      <w:start w:val="2"/>
      <w:numFmt w:val="chineseCounting"/>
      <w:suff w:val="nothing"/>
      <w:lvlText w:val="（%1）"/>
      <w:lvlJc w:val="left"/>
      <w:rPr>
        <w:rFonts w:hint="eastAsia"/>
      </w:rPr>
    </w:lvl>
  </w:abstractNum>
  <w:abstractNum w:abstractNumId="1">
    <w:nsid w:val="A18DEBC2"/>
    <w:multiLevelType w:val="singleLevel"/>
    <w:tmpl w:val="A18DEBC2"/>
    <w:lvl w:ilvl="0" w:tentative="0">
      <w:start w:val="1"/>
      <w:numFmt w:val="decimal"/>
      <w:lvlText w:val="%1."/>
      <w:lvlJc w:val="left"/>
      <w:pPr>
        <w:tabs>
          <w:tab w:val="left" w:pos="312"/>
        </w:tabs>
      </w:pPr>
    </w:lvl>
  </w:abstractNum>
  <w:abstractNum w:abstractNumId="2">
    <w:nsid w:val="B25398ED"/>
    <w:multiLevelType w:val="singleLevel"/>
    <w:tmpl w:val="B25398ED"/>
    <w:lvl w:ilvl="0" w:tentative="0">
      <w:start w:val="1"/>
      <w:numFmt w:val="chineseCounting"/>
      <w:suff w:val="nothing"/>
      <w:lvlText w:val="（%1）"/>
      <w:lvlJc w:val="left"/>
      <w:rPr>
        <w:rFonts w:hint="eastAsia"/>
      </w:rPr>
    </w:lvl>
  </w:abstractNum>
  <w:abstractNum w:abstractNumId="3">
    <w:nsid w:val="CF652CEC"/>
    <w:multiLevelType w:val="singleLevel"/>
    <w:tmpl w:val="CF652CEC"/>
    <w:lvl w:ilvl="0" w:tentative="0">
      <w:start w:val="9"/>
      <w:numFmt w:val="chineseCounting"/>
      <w:suff w:val="nothing"/>
      <w:lvlText w:val="%1、"/>
      <w:lvlJc w:val="left"/>
      <w:rPr>
        <w:rFonts w:hint="eastAsia"/>
      </w:rPr>
    </w:lvl>
  </w:abstractNum>
  <w:abstractNum w:abstractNumId="4">
    <w:nsid w:val="E2FA047D"/>
    <w:multiLevelType w:val="singleLevel"/>
    <w:tmpl w:val="E2FA047D"/>
    <w:lvl w:ilvl="0" w:tentative="0">
      <w:start w:val="3"/>
      <w:numFmt w:val="chineseCounting"/>
      <w:suff w:val="space"/>
      <w:lvlText w:val="第%1部分"/>
      <w:lvlJc w:val="left"/>
      <w:rPr>
        <w:rFonts w:hint="eastAsia"/>
      </w:rPr>
    </w:lvl>
  </w:abstractNum>
  <w:abstractNum w:abstractNumId="5">
    <w:nsid w:val="FD12779A"/>
    <w:multiLevelType w:val="singleLevel"/>
    <w:tmpl w:val="FD12779A"/>
    <w:lvl w:ilvl="0" w:tentative="0">
      <w:start w:val="2"/>
      <w:numFmt w:val="chineseCounting"/>
      <w:suff w:val="nothing"/>
      <w:lvlText w:val="（%1）"/>
      <w:lvlJc w:val="left"/>
      <w:rPr>
        <w:rFonts w:hint="eastAsia"/>
      </w:rPr>
    </w:lvl>
  </w:abstractNum>
  <w:abstractNum w:abstractNumId="6">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7">
    <w:nsid w:val="3E794925"/>
    <w:multiLevelType w:val="singleLevel"/>
    <w:tmpl w:val="3E794925"/>
    <w:lvl w:ilvl="0" w:tentative="0">
      <w:start w:val="3"/>
      <w:numFmt w:val="chineseCounting"/>
      <w:suff w:val="nothing"/>
      <w:lvlText w:val="（%1）"/>
      <w:lvlJc w:val="left"/>
      <w:rPr>
        <w:rFonts w:hint="eastAsia"/>
      </w:rPr>
    </w:lvl>
  </w:abstractNum>
  <w:abstractNum w:abstractNumId="8">
    <w:nsid w:val="429E8E69"/>
    <w:multiLevelType w:val="singleLevel"/>
    <w:tmpl w:val="429E8E69"/>
    <w:lvl w:ilvl="0" w:tentative="0">
      <w:start w:val="1"/>
      <w:numFmt w:val="chineseCounting"/>
      <w:suff w:val="nothing"/>
      <w:lvlText w:val="%1、"/>
      <w:lvlJc w:val="left"/>
      <w:rPr>
        <w:rFonts w:hint="eastAsia"/>
      </w:rPr>
    </w:lvl>
  </w:abstractNum>
  <w:abstractNum w:abstractNumId="9">
    <w:nsid w:val="6ED61FA3"/>
    <w:multiLevelType w:val="singleLevel"/>
    <w:tmpl w:val="6ED61FA3"/>
    <w:lvl w:ilvl="0" w:tentative="0">
      <w:start w:val="1"/>
      <w:numFmt w:val="decimal"/>
      <w:lvlText w:val="%1."/>
      <w:lvlJc w:val="left"/>
      <w:pPr>
        <w:tabs>
          <w:tab w:val="left" w:pos="312"/>
        </w:tabs>
      </w:pPr>
    </w:lvl>
  </w:abstractNum>
  <w:num w:numId="1">
    <w:abstractNumId w:val="8"/>
  </w:num>
  <w:num w:numId="2">
    <w:abstractNumId w:val="9"/>
  </w:num>
  <w:num w:numId="3">
    <w:abstractNumId w:val="6"/>
  </w:num>
  <w:num w:numId="4">
    <w:abstractNumId w:val="1"/>
  </w:num>
  <w:num w:numId="5">
    <w:abstractNumId w:val="3"/>
  </w:num>
  <w:num w:numId="6">
    <w:abstractNumId w:val="4"/>
  </w:num>
  <w:num w:numId="7">
    <w:abstractNumId w:val="0"/>
  </w:num>
  <w:num w:numId="8">
    <w:abstractNumId w:val="5"/>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GVhYTg4NGNkZWJkODFjNzcyZDRjM2M4Y2UzNjI5ZmU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07B64"/>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0097D"/>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3E7309"/>
    <w:rsid w:val="00406254"/>
    <w:rsid w:val="004223DE"/>
    <w:rsid w:val="00434489"/>
    <w:rsid w:val="00437085"/>
    <w:rsid w:val="00443880"/>
    <w:rsid w:val="004464F4"/>
    <w:rsid w:val="00471401"/>
    <w:rsid w:val="00473F31"/>
    <w:rsid w:val="00475EE6"/>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D7B2B"/>
    <w:rsid w:val="006E579E"/>
    <w:rsid w:val="006F020C"/>
    <w:rsid w:val="006F0A87"/>
    <w:rsid w:val="007127B7"/>
    <w:rsid w:val="0071714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4F9C"/>
    <w:rsid w:val="00985A92"/>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162D6"/>
    <w:rsid w:val="00B2048C"/>
    <w:rsid w:val="00B229E0"/>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67194"/>
    <w:rsid w:val="00C87FD8"/>
    <w:rsid w:val="00C91381"/>
    <w:rsid w:val="00C91CBB"/>
    <w:rsid w:val="00CB4E70"/>
    <w:rsid w:val="00CC09B6"/>
    <w:rsid w:val="00CC666F"/>
    <w:rsid w:val="00CD1E3F"/>
    <w:rsid w:val="00CD5650"/>
    <w:rsid w:val="00CE44F6"/>
    <w:rsid w:val="00CE49DA"/>
    <w:rsid w:val="00CE7B61"/>
    <w:rsid w:val="00D00095"/>
    <w:rsid w:val="00D114F0"/>
    <w:rsid w:val="00D20620"/>
    <w:rsid w:val="00D254F7"/>
    <w:rsid w:val="00D26091"/>
    <w:rsid w:val="00D2685C"/>
    <w:rsid w:val="00D34E7C"/>
    <w:rsid w:val="00D35489"/>
    <w:rsid w:val="00D36AFE"/>
    <w:rsid w:val="00D51276"/>
    <w:rsid w:val="00D64901"/>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5ADA"/>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0B75"/>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5485E34"/>
    <w:rsid w:val="066E0107"/>
    <w:rsid w:val="07996F6E"/>
    <w:rsid w:val="0A2032A3"/>
    <w:rsid w:val="0BBD06AC"/>
    <w:rsid w:val="0E26728E"/>
    <w:rsid w:val="101860EC"/>
    <w:rsid w:val="10C055FF"/>
    <w:rsid w:val="118107EC"/>
    <w:rsid w:val="12557610"/>
    <w:rsid w:val="136E1176"/>
    <w:rsid w:val="13D50BC4"/>
    <w:rsid w:val="16BB723D"/>
    <w:rsid w:val="1BBE6ABD"/>
    <w:rsid w:val="1BE8440E"/>
    <w:rsid w:val="1CD76862"/>
    <w:rsid w:val="1D155CEE"/>
    <w:rsid w:val="1D895DAA"/>
    <w:rsid w:val="23682D28"/>
    <w:rsid w:val="23860B96"/>
    <w:rsid w:val="240371BF"/>
    <w:rsid w:val="2848483E"/>
    <w:rsid w:val="29FD04D3"/>
    <w:rsid w:val="2C8A61B5"/>
    <w:rsid w:val="2DF04E50"/>
    <w:rsid w:val="319F7F4E"/>
    <w:rsid w:val="335974F7"/>
    <w:rsid w:val="359F7AA1"/>
    <w:rsid w:val="35CC4EF1"/>
    <w:rsid w:val="36AA5135"/>
    <w:rsid w:val="37E16F03"/>
    <w:rsid w:val="3B701C83"/>
    <w:rsid w:val="3B7F2EA4"/>
    <w:rsid w:val="3BD901AA"/>
    <w:rsid w:val="3D98207C"/>
    <w:rsid w:val="44E268DA"/>
    <w:rsid w:val="4A627F82"/>
    <w:rsid w:val="4B4F25DA"/>
    <w:rsid w:val="4BE068DB"/>
    <w:rsid w:val="4D577224"/>
    <w:rsid w:val="4EAB630A"/>
    <w:rsid w:val="4ECE2238"/>
    <w:rsid w:val="4F830062"/>
    <w:rsid w:val="533E5903"/>
    <w:rsid w:val="53F32EEC"/>
    <w:rsid w:val="541A711E"/>
    <w:rsid w:val="55FD3351"/>
    <w:rsid w:val="58874DC3"/>
    <w:rsid w:val="5AA20D3C"/>
    <w:rsid w:val="5AF92295"/>
    <w:rsid w:val="5C0E640D"/>
    <w:rsid w:val="5CD71FC4"/>
    <w:rsid w:val="64390ABB"/>
    <w:rsid w:val="65660009"/>
    <w:rsid w:val="66376316"/>
    <w:rsid w:val="67D56B80"/>
    <w:rsid w:val="6ACA388E"/>
    <w:rsid w:val="6B7E77D2"/>
    <w:rsid w:val="6C4A05C8"/>
    <w:rsid w:val="6C655268"/>
    <w:rsid w:val="6D50115E"/>
    <w:rsid w:val="6D855CBE"/>
    <w:rsid w:val="6E7E3605"/>
    <w:rsid w:val="6FF5CC65"/>
    <w:rsid w:val="7031193F"/>
    <w:rsid w:val="715C0E4B"/>
    <w:rsid w:val="72734D90"/>
    <w:rsid w:val="733C67A7"/>
    <w:rsid w:val="73AD73D5"/>
    <w:rsid w:val="73B6EB34"/>
    <w:rsid w:val="79AF634B"/>
    <w:rsid w:val="79EE5BA4"/>
    <w:rsid w:val="7A533C91"/>
    <w:rsid w:val="7A894339"/>
    <w:rsid w:val="7D7D575D"/>
    <w:rsid w:val="7EEF11D3"/>
    <w:rsid w:val="7FA30C79"/>
    <w:rsid w:val="7FC96657"/>
    <w:rsid w:val="D8D6DB89"/>
    <w:rsid w:val="DB6F4CAB"/>
    <w:rsid w:val="DF6F97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2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0"/>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qFormat/>
    <w:uiPriority w:val="0"/>
    <w:pPr>
      <w:ind w:firstLine="643"/>
    </w:pPr>
    <w:rPr>
      <w:rFonts w:eastAsia="仿宋_GB2312" w:cs="宋体"/>
      <w:b/>
      <w:color w:val="000000"/>
      <w:sz w:val="32"/>
    </w:rPr>
  </w:style>
  <w:style w:type="paragraph" w:styleId="7">
    <w:name w:val="Body Text"/>
    <w:basedOn w:val="1"/>
    <w:next w:val="1"/>
    <w:link w:val="23"/>
    <w:qFormat/>
    <w:uiPriority w:val="99"/>
    <w:pPr>
      <w:spacing w:beforeLines="30"/>
    </w:pPr>
    <w:rPr>
      <w:rFonts w:ascii="仿宋_GB2312" w:eastAsia="仿宋_GB2312"/>
      <w:kern w:val="0"/>
      <w:sz w:val="30"/>
    </w:rPr>
  </w:style>
  <w:style w:type="paragraph" w:styleId="8">
    <w:name w:val="toc 3"/>
    <w:basedOn w:val="1"/>
    <w:next w:val="1"/>
    <w:unhideWhenUsed/>
    <w:qFormat/>
    <w:uiPriority w:val="39"/>
    <w:pPr>
      <w:tabs>
        <w:tab w:val="right" w:leader="dot" w:pos="8296"/>
      </w:tabs>
      <w:ind w:left="840" w:leftChars="400"/>
    </w:pPr>
  </w:style>
  <w:style w:type="paragraph" w:styleId="9">
    <w:name w:val="Balloon Text"/>
    <w:basedOn w:val="1"/>
    <w:link w:val="29"/>
    <w:semiHidden/>
    <w:unhideWhenUsed/>
    <w:qFormat/>
    <w:uiPriority w:val="99"/>
    <w:rPr>
      <w:sz w:val="18"/>
      <w:szCs w:val="18"/>
    </w:rPr>
  </w:style>
  <w:style w:type="paragraph" w:styleId="10">
    <w:name w:val="footer"/>
    <w:basedOn w:val="1"/>
    <w:link w:val="21"/>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19"/>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toc 2"/>
    <w:basedOn w:val="1"/>
    <w:next w:val="1"/>
    <w:unhideWhenUsed/>
    <w:qFormat/>
    <w:uiPriority w:val="39"/>
    <w:pPr>
      <w:tabs>
        <w:tab w:val="right" w:leader="dot" w:pos="8296"/>
      </w:tabs>
      <w:ind w:left="420" w:leftChars="200"/>
    </w:pPr>
  </w:style>
  <w:style w:type="character" w:styleId="16">
    <w:name w:val="Strong"/>
    <w:basedOn w:val="15"/>
    <w:qFormat/>
    <w:uiPriority w:val="99"/>
    <w:rPr>
      <w:b/>
    </w:rPr>
  </w:style>
  <w:style w:type="character" w:styleId="17">
    <w:name w:val="Hyperlink"/>
    <w:basedOn w:val="15"/>
    <w:unhideWhenUsed/>
    <w:qFormat/>
    <w:uiPriority w:val="99"/>
    <w:rPr>
      <w:color w:val="0000FF" w:themeColor="hyperlink"/>
      <w:u w:val="single"/>
    </w:rPr>
  </w:style>
  <w:style w:type="character" w:customStyle="1" w:styleId="18">
    <w:name w:val="Header Char"/>
    <w:basedOn w:val="15"/>
    <w:semiHidden/>
    <w:qFormat/>
    <w:uiPriority w:val="99"/>
    <w:rPr>
      <w:rFonts w:ascii="Times New Roman" w:hAnsi="Times New Roman"/>
      <w:sz w:val="18"/>
      <w:szCs w:val="18"/>
    </w:rPr>
  </w:style>
  <w:style w:type="character" w:customStyle="1" w:styleId="19">
    <w:name w:val="页眉 Char"/>
    <w:link w:val="11"/>
    <w:semiHidden/>
    <w:qFormat/>
    <w:locked/>
    <w:uiPriority w:val="99"/>
    <w:rPr>
      <w:sz w:val="18"/>
    </w:rPr>
  </w:style>
  <w:style w:type="character" w:customStyle="1" w:styleId="20">
    <w:name w:val="Footer Char"/>
    <w:basedOn w:val="15"/>
    <w:semiHidden/>
    <w:qFormat/>
    <w:uiPriority w:val="99"/>
    <w:rPr>
      <w:rFonts w:ascii="Times New Roman" w:hAnsi="Times New Roman"/>
      <w:sz w:val="18"/>
      <w:szCs w:val="18"/>
    </w:rPr>
  </w:style>
  <w:style w:type="character" w:customStyle="1" w:styleId="21">
    <w:name w:val="页脚 Char"/>
    <w:link w:val="10"/>
    <w:qFormat/>
    <w:locked/>
    <w:uiPriority w:val="99"/>
    <w:rPr>
      <w:sz w:val="18"/>
    </w:rPr>
  </w:style>
  <w:style w:type="character" w:customStyle="1" w:styleId="22">
    <w:name w:val="Body Text Char"/>
    <w:basedOn w:val="15"/>
    <w:semiHidden/>
    <w:qFormat/>
    <w:uiPriority w:val="99"/>
    <w:rPr>
      <w:rFonts w:ascii="Times New Roman" w:hAnsi="Times New Roman"/>
      <w:szCs w:val="24"/>
    </w:rPr>
  </w:style>
  <w:style w:type="character" w:customStyle="1" w:styleId="23">
    <w:name w:val="正文文本 Char"/>
    <w:link w:val="7"/>
    <w:qFormat/>
    <w:locked/>
    <w:uiPriority w:val="99"/>
    <w:rPr>
      <w:rFonts w:ascii="仿宋_GB2312" w:hAnsi="Times New Roman" w:eastAsia="仿宋_GB2312"/>
      <w:sz w:val="24"/>
    </w:rPr>
  </w:style>
  <w:style w:type="paragraph" w:customStyle="1" w:styleId="24">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5">
    <w:name w:val="List Paragraph"/>
    <w:basedOn w:val="1"/>
    <w:qFormat/>
    <w:uiPriority w:val="34"/>
    <w:pPr>
      <w:ind w:firstLine="420" w:firstLineChars="200"/>
    </w:pPr>
  </w:style>
  <w:style w:type="character" w:customStyle="1" w:styleId="26">
    <w:name w:val="标题 1 Char"/>
    <w:basedOn w:val="15"/>
    <w:link w:val="4"/>
    <w:qFormat/>
    <w:uiPriority w:val="9"/>
    <w:rPr>
      <w:rFonts w:ascii="Times New Roman" w:hAnsi="Times New Roman"/>
      <w:b/>
      <w:bCs/>
      <w:kern w:val="44"/>
      <w:sz w:val="44"/>
      <w:szCs w:val="44"/>
    </w:rPr>
  </w:style>
  <w:style w:type="character" w:customStyle="1" w:styleId="27">
    <w:name w:val="标题 2 Char"/>
    <w:basedOn w:val="15"/>
    <w:link w:val="5"/>
    <w:qFormat/>
    <w:uiPriority w:val="9"/>
    <w:rPr>
      <w:rFonts w:asciiTheme="majorHAnsi" w:hAnsiTheme="majorHAnsi" w:eastAsiaTheme="majorEastAsia" w:cstheme="majorBidi"/>
      <w:b/>
      <w:bCs/>
      <w:kern w:val="2"/>
      <w:sz w:val="32"/>
      <w:szCs w:val="32"/>
    </w:rPr>
  </w:style>
  <w:style w:type="paragraph" w:customStyle="1" w:styleId="28">
    <w:name w:val="TOC 标题1"/>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29">
    <w:name w:val="批注框文本 Char"/>
    <w:basedOn w:val="15"/>
    <w:link w:val="9"/>
    <w:semiHidden/>
    <w:qFormat/>
    <w:uiPriority w:val="99"/>
    <w:rPr>
      <w:rFonts w:ascii="Times New Roman" w:hAnsi="Times New Roman"/>
      <w:kern w:val="2"/>
      <w:sz w:val="18"/>
      <w:szCs w:val="18"/>
    </w:rPr>
  </w:style>
  <w:style w:type="character" w:customStyle="1" w:styleId="30">
    <w:name w:val="标题 3 Char"/>
    <w:basedOn w:val="15"/>
    <w:link w:val="6"/>
    <w:qFormat/>
    <w:uiPriority w:val="9"/>
    <w:rPr>
      <w:rFonts w:ascii="Times New Roman" w:hAnsi="Times New Roman"/>
      <w:b/>
      <w:bCs/>
      <w:kern w:val="2"/>
      <w:sz w:val="32"/>
      <w:szCs w:val="32"/>
    </w:rPr>
  </w:style>
  <w:style w:type="paragraph" w:customStyle="1" w:styleId="31">
    <w:name w:val="TOC 标题2"/>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2">
    <w:name w:val="apple-style-span"/>
    <w:basedOn w:val="15"/>
    <w:qFormat/>
    <w:uiPriority w:val="0"/>
  </w:style>
  <w:style w:type="character" w:customStyle="1" w:styleId="33">
    <w:name w:val="font101"/>
    <w:basedOn w:val="15"/>
    <w:qFormat/>
    <w:uiPriority w:val="0"/>
    <w:rPr>
      <w:rFonts w:hint="eastAsia" w:ascii="宋体" w:hAnsi="宋体" w:eastAsia="宋体" w:cs="宋体"/>
      <w:color w:val="000000"/>
      <w:sz w:val="18"/>
      <w:szCs w:val="18"/>
      <w:u w:val="none"/>
    </w:rPr>
  </w:style>
  <w:style w:type="character" w:customStyle="1" w:styleId="34">
    <w:name w:val="font51"/>
    <w:basedOn w:val="15"/>
    <w:qFormat/>
    <w:uiPriority w:val="0"/>
    <w:rPr>
      <w:rFonts w:hint="eastAsia" w:ascii="宋体" w:hAnsi="宋体" w:eastAsia="宋体" w:cs="宋体"/>
      <w:color w:val="000000"/>
      <w:sz w:val="18"/>
      <w:szCs w:val="18"/>
      <w:u w:val="none"/>
    </w:rPr>
  </w:style>
  <w:style w:type="character" w:customStyle="1" w:styleId="35">
    <w:name w:val="font11"/>
    <w:basedOn w:val="15"/>
    <w:qFormat/>
    <w:uiPriority w:val="0"/>
    <w:rPr>
      <w:rFonts w:hint="eastAsia" w:ascii="宋体" w:hAnsi="宋体" w:eastAsia="宋体" w:cs="宋体"/>
      <w:color w:val="000000"/>
      <w:sz w:val="16"/>
      <w:szCs w:val="16"/>
      <w:u w:val="none"/>
    </w:rPr>
  </w:style>
  <w:style w:type="character" w:customStyle="1" w:styleId="36">
    <w:name w:val="font41"/>
    <w:basedOn w:val="15"/>
    <w:qFormat/>
    <w:uiPriority w:val="0"/>
    <w:rPr>
      <w:rFonts w:hint="eastAsia" w:ascii="宋体" w:hAnsi="宋体" w:eastAsia="宋体" w:cs="宋体"/>
      <w:color w:val="000000"/>
      <w:sz w:val="16"/>
      <w:szCs w:val="16"/>
      <w:u w:val="none"/>
    </w:rPr>
  </w:style>
  <w:style w:type="character" w:customStyle="1" w:styleId="37">
    <w:name w:val="font61"/>
    <w:basedOn w:val="15"/>
    <w:qFormat/>
    <w:uiPriority w:val="0"/>
    <w:rPr>
      <w:rFonts w:hint="eastAsia" w:ascii="宋体" w:hAnsi="宋体" w:eastAsia="宋体" w:cs="宋体"/>
      <w:color w:val="000000"/>
      <w:sz w:val="16"/>
      <w:szCs w:val="16"/>
      <w:u w:val="none"/>
    </w:rPr>
  </w:style>
  <w:style w:type="paragraph" w:customStyle="1" w:styleId="38">
    <w:name w:val="WPSOffice手动目录 1"/>
    <w:qFormat/>
    <w:uiPriority w:val="0"/>
    <w:rPr>
      <w:rFonts w:ascii="Times New Roman" w:hAnsi="Times New Roman" w:eastAsia="宋体" w:cs="Times New Roman"/>
      <w:lang w:val="en-US" w:eastAsia="zh-CN" w:bidi="ar-SA"/>
    </w:rPr>
  </w:style>
  <w:style w:type="paragraph" w:customStyle="1" w:styleId="39">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四川省财政厅</Company>
  <Pages>50</Pages>
  <Words>23029</Words>
  <Characters>25547</Characters>
  <Lines>205</Lines>
  <Paragraphs>57</Paragraphs>
  <TotalTime>81</TotalTime>
  <ScaleCrop>false</ScaleCrop>
  <LinksUpToDate>false</LinksUpToDate>
  <CharactersWithSpaces>25778</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昭化融媒体</cp:lastModifiedBy>
  <cp:lastPrinted>2022-08-08T09:11:00Z</cp:lastPrinted>
  <dcterms:modified xsi:type="dcterms:W3CDTF">2024-08-02T02:26:53Z</dcterms:modified>
  <dc:title>四川省***</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71EE4C5B63CC42F888BCD11980679D2B</vt:lpwstr>
  </property>
</Properties>
</file>