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B8" w:rsidRDefault="007454B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0" w:name="_Toc23430"/>
      <w:bookmarkStart w:id="1" w:name="_Toc15057"/>
      <w:bookmarkStart w:id="2" w:name="_Toc24531"/>
      <w:bookmarkStart w:id="3" w:name="_Toc27536"/>
      <w:bookmarkStart w:id="4" w:name="_Toc15377193"/>
      <w:bookmarkStart w:id="5" w:name="_Toc29273"/>
      <w:bookmarkStart w:id="6" w:name="_Toc15396475"/>
      <w:bookmarkStart w:id="7" w:name="_Toc4858"/>
      <w:bookmarkStart w:id="8" w:name="_Toc23559"/>
      <w:bookmarkStart w:id="9" w:name="_Toc1043"/>
      <w:bookmarkStart w:id="10" w:name="_Toc15396597"/>
      <w:bookmarkStart w:id="11" w:name="_Toc27616"/>
      <w:bookmarkStart w:id="12" w:name="_Toc11513"/>
      <w:bookmarkStart w:id="13" w:name="_Toc15422"/>
      <w:bookmarkStart w:id="14" w:name="_Toc21535"/>
      <w:bookmarkStart w:id="15" w:name="_Toc15378441"/>
      <w:bookmarkStart w:id="16" w:name="_Toc3338"/>
      <w:bookmarkStart w:id="17" w:name="_Toc26536"/>
      <w:bookmarkStart w:id="18" w:name="_Toc30776"/>
      <w:bookmarkStart w:id="19" w:name="_Toc6993"/>
      <w:bookmarkStart w:id="20" w:name="_Toc15627"/>
      <w:bookmarkStart w:id="21" w:name="_Toc30057"/>
      <w:bookmarkStart w:id="22" w:name="_Toc15377425"/>
      <w:bookmarkStart w:id="23" w:name="_Toc15306267"/>
    </w:p>
    <w:p w:rsidR="007454B8" w:rsidRDefault="007454B8">
      <w:pPr>
        <w:adjustRightInd w:val="0"/>
        <w:snapToGrid w:val="0"/>
        <w:spacing w:line="360" w:lineRule="auto"/>
        <w:jc w:val="center"/>
        <w:outlineLvl w:val="0"/>
        <w:rPr>
          <w:rFonts w:ascii="方正小标宋简体" w:eastAsia="方正小标宋简体" w:hAnsi="方正小标宋简体" w:cs="方正小标宋简体"/>
          <w:sz w:val="72"/>
          <w:szCs w:val="72"/>
        </w:rPr>
      </w:pPr>
    </w:p>
    <w:p w:rsidR="007454B8" w:rsidRDefault="00341F08">
      <w:pPr>
        <w:adjustRightInd w:val="0"/>
        <w:snapToGrid w:val="0"/>
        <w:spacing w:line="360" w:lineRule="auto"/>
        <w:jc w:val="center"/>
        <w:outlineLvl w:val="0"/>
        <w:rPr>
          <w:rFonts w:ascii="黑体" w:eastAsia="黑体" w:hAnsi="黑体"/>
          <w:bCs/>
          <w:color w:val="000000"/>
          <w:sz w:val="72"/>
          <w:szCs w:val="72"/>
        </w:rPr>
      </w:pPr>
      <w:r>
        <w:rPr>
          <w:rFonts w:ascii="方正小标宋简体" w:eastAsia="方正小标宋简体" w:hAnsi="方正小标宋简体" w:cs="方正小标宋简体" w:hint="eastAsia"/>
          <w:sz w:val="72"/>
          <w:szCs w:val="72"/>
        </w:rPr>
        <w:t>2021</w:t>
      </w:r>
      <w:r>
        <w:rPr>
          <w:rFonts w:ascii="黑体" w:eastAsia="黑体" w:hAnsi="黑体" w:hint="eastAsia"/>
          <w:bCs/>
          <w:color w:val="000000"/>
          <w:sz w:val="72"/>
          <w:szCs w:val="72"/>
        </w:rPr>
        <w:t>年度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454B8" w:rsidRDefault="00341F08">
      <w:pPr>
        <w:adjustRightInd w:val="0"/>
        <w:snapToGrid w:val="0"/>
        <w:spacing w:line="360" w:lineRule="auto"/>
        <w:ind w:left="1440" w:hangingChars="200" w:hanging="1440"/>
        <w:outlineLvl w:val="0"/>
        <w:rPr>
          <w:rFonts w:ascii="黑体" w:eastAsia="黑体" w:hAnsi="黑体"/>
          <w:bCs/>
          <w:color w:val="000000"/>
          <w:sz w:val="72"/>
          <w:szCs w:val="72"/>
        </w:rPr>
      </w:pPr>
      <w:bookmarkStart w:id="24" w:name="_Toc15377426"/>
      <w:bookmarkStart w:id="25" w:name="_Toc4622"/>
      <w:bookmarkStart w:id="26" w:name="_Toc18914"/>
      <w:bookmarkStart w:id="27" w:name="_Toc1252"/>
      <w:bookmarkStart w:id="28" w:name="_Toc18765"/>
      <w:bookmarkStart w:id="29" w:name="_Toc31590"/>
      <w:bookmarkStart w:id="30" w:name="_Toc15396476"/>
      <w:bookmarkStart w:id="31" w:name="_Toc15378442"/>
      <w:bookmarkStart w:id="32" w:name="_Toc7907"/>
      <w:bookmarkStart w:id="33" w:name="_Toc10218"/>
      <w:bookmarkStart w:id="34" w:name="_Toc19451"/>
      <w:bookmarkStart w:id="35" w:name="_Toc14825"/>
      <w:bookmarkStart w:id="36" w:name="_Toc23691"/>
      <w:bookmarkStart w:id="37" w:name="_Toc22640"/>
      <w:bookmarkStart w:id="38" w:name="_Toc23687"/>
      <w:bookmarkStart w:id="39" w:name="_Toc8034"/>
      <w:bookmarkStart w:id="40" w:name="_Toc15377194"/>
      <w:bookmarkStart w:id="41" w:name="_Toc2717"/>
      <w:bookmarkStart w:id="42" w:name="_Toc25558"/>
      <w:bookmarkStart w:id="43" w:name="_Toc6227"/>
      <w:bookmarkStart w:id="44" w:name="_Toc15396598"/>
      <w:bookmarkStart w:id="45" w:name="_Toc32738"/>
      <w:bookmarkStart w:id="46" w:name="_Toc3279"/>
      <w:r>
        <w:rPr>
          <w:rFonts w:ascii="黑体" w:eastAsia="黑体" w:hAnsi="黑体" w:hint="eastAsia"/>
          <w:bCs/>
          <w:color w:val="000000"/>
          <w:sz w:val="72"/>
          <w:szCs w:val="72"/>
        </w:rPr>
        <w:t>四川省</w:t>
      </w:r>
      <w:bookmarkStart w:id="47" w:name="_Toc15306268"/>
      <w:bookmarkEnd w:id="23"/>
      <w:r>
        <w:rPr>
          <w:rFonts w:ascii="黑体" w:eastAsia="黑体" w:hAnsi="黑体" w:hint="eastAsia"/>
          <w:bCs/>
          <w:color w:val="000000"/>
          <w:sz w:val="72"/>
          <w:szCs w:val="72"/>
        </w:rPr>
        <w:t>广元市昭化区陈江乡卫生院单位决算</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7454B8" w:rsidRDefault="00341F08">
      <w:pPr>
        <w:widowControl/>
        <w:ind w:firstLineChars="200" w:firstLine="720"/>
        <w:jc w:val="center"/>
        <w:rPr>
          <w:rFonts w:asciiTheme="minorEastAsia" w:eastAsiaTheme="minorEastAsia" w:hAnsiTheme="minorEastAsia" w:cstheme="minorEastAsia"/>
          <w:sz w:val="24"/>
        </w:rPr>
      </w:pPr>
      <w:r>
        <w:rPr>
          <w:rFonts w:ascii="方正小标宋简体" w:eastAsia="方正小标宋简体" w:hAnsi="宋体"/>
          <w:sz w:val="36"/>
          <w:szCs w:val="36"/>
        </w:rPr>
        <w:br w:type="page"/>
      </w:r>
    </w:p>
    <w:bookmarkStart w:id="48" w:name="_Toc30832" w:displacedByCustomXml="next"/>
    <w:bookmarkStart w:id="49" w:name="_Toc11920" w:displacedByCustomXml="next"/>
    <w:bookmarkStart w:id="50" w:name="_Toc16586" w:displacedByCustomXml="next"/>
    <w:bookmarkStart w:id="51" w:name="_Toc15396600" w:displacedByCustomXml="next"/>
    <w:bookmarkStart w:id="52" w:name="_Toc15377197" w:displacedByCustomXml="next"/>
    <w:bookmarkStart w:id="53" w:name="_Toc4580" w:displacedByCustomXml="next"/>
    <w:bookmarkStart w:id="54" w:name="_Toc29872" w:displacedByCustomXml="next"/>
    <w:bookmarkStart w:id="55" w:name="_Toc5287_WPSOffice_Level2" w:displacedByCustomXml="next"/>
    <w:bookmarkStart w:id="56" w:name="_Toc2304" w:displacedByCustomXml="next"/>
    <w:bookmarkStart w:id="57" w:name="_Toc16745" w:displacedByCustomXml="next"/>
    <w:bookmarkStart w:id="58" w:name="_Toc30961" w:displacedByCustomXml="next"/>
    <w:bookmarkStart w:id="59" w:name="_Toc2347_WPSOffice_Level1" w:displacedByCustomXml="next"/>
    <w:bookmarkStart w:id="60" w:name="_Toc12472" w:displacedByCustomXml="next"/>
    <w:bookmarkStart w:id="61" w:name="_Toc8255" w:displacedByCustomXml="next"/>
    <w:bookmarkStart w:id="62" w:name="_Toc26575" w:displacedByCustomXml="next"/>
    <w:sdt>
      <w:sdtPr>
        <w:rPr>
          <w:rFonts w:ascii="宋体" w:hAnsi="宋体" w:cs="宋体" w:hint="eastAsia"/>
          <w:sz w:val="20"/>
          <w:szCs w:val="30"/>
        </w:rPr>
        <w:id w:val="147450916"/>
        <w:docPartObj>
          <w:docPartGallery w:val="Table of Contents"/>
          <w:docPartUnique/>
        </w:docPartObj>
      </w:sdtPr>
      <w:sdtEndPr>
        <w:rPr>
          <w:rFonts w:cs="Times New Roman"/>
          <w:b/>
          <w:sz w:val="21"/>
          <w:szCs w:val="24"/>
        </w:rPr>
      </w:sdtEndPr>
      <w:sdtContent>
        <w:p w:rsidR="007454B8" w:rsidRDefault="00341F08">
          <w:pPr>
            <w:jc w:val="center"/>
            <w:rPr>
              <w:rFonts w:ascii="宋体" w:hAnsi="宋体" w:cs="宋体"/>
              <w:sz w:val="20"/>
              <w:szCs w:val="30"/>
            </w:rPr>
          </w:pPr>
          <w:r>
            <w:rPr>
              <w:rFonts w:ascii="宋体" w:hAnsi="宋体" w:cs="宋体" w:hint="eastAsia"/>
              <w:sz w:val="20"/>
              <w:szCs w:val="30"/>
            </w:rPr>
            <w:t>目录</w:t>
          </w:r>
        </w:p>
        <w:p w:rsidR="007454B8" w:rsidRDefault="00341F08">
          <w:pPr>
            <w:jc w:val="center"/>
            <w:rPr>
              <w:rFonts w:ascii="宋体" w:hAnsi="宋体" w:cs="宋体"/>
              <w:sz w:val="20"/>
              <w:szCs w:val="30"/>
            </w:rPr>
          </w:pPr>
          <w:r>
            <w:rPr>
              <w:rFonts w:ascii="宋体" w:hAnsi="宋体" w:cs="宋体" w:hint="eastAsia"/>
              <w:sz w:val="20"/>
              <w:szCs w:val="30"/>
            </w:rPr>
            <w:t>公开时间：2022年 9月30日</w:t>
          </w:r>
        </w:p>
        <w:p w:rsidR="007454B8" w:rsidRDefault="00D91991">
          <w:pPr>
            <w:pStyle w:val="WPSOffice1"/>
            <w:tabs>
              <w:tab w:val="right" w:leader="dot" w:pos="8306"/>
            </w:tabs>
            <w:rPr>
              <w:b/>
            </w:rPr>
          </w:pPr>
          <w:r w:rsidRPr="00D91991">
            <w:fldChar w:fldCharType="begin"/>
          </w:r>
          <w:r w:rsidR="00341F08">
            <w:instrText xml:space="preserve">TOC \o "1-2" \h \u </w:instrText>
          </w:r>
          <w:r w:rsidRPr="00D91991">
            <w:fldChar w:fldCharType="separate"/>
          </w:r>
          <w:hyperlink w:anchor="_Toc7967" w:history="1">
            <w:r w:rsidR="00341F08">
              <w:rPr>
                <w:rFonts w:ascii="黑体" w:eastAsia="黑体" w:hAnsi="黑体" w:hint="eastAsia"/>
                <w:b/>
              </w:rPr>
              <w:t>第一部分 单位概况</w:t>
            </w:r>
            <w:r w:rsidR="00341F08">
              <w:rPr>
                <w:b/>
              </w:rPr>
              <w:tab/>
            </w:r>
            <w:r>
              <w:rPr>
                <w:b/>
              </w:rPr>
              <w:fldChar w:fldCharType="begin"/>
            </w:r>
            <w:r w:rsidR="00341F08">
              <w:rPr>
                <w:b/>
              </w:rPr>
              <w:instrText xml:space="preserve"> PAGEREF _Toc7967 \h </w:instrText>
            </w:r>
            <w:r>
              <w:rPr>
                <w:b/>
              </w:rPr>
            </w:r>
            <w:r>
              <w:rPr>
                <w:b/>
              </w:rPr>
              <w:fldChar w:fldCharType="separate"/>
            </w:r>
            <w:r w:rsidR="00341F08">
              <w:rPr>
                <w:b/>
              </w:rPr>
              <w:t>2</w:t>
            </w:r>
            <w:r>
              <w:rPr>
                <w:b/>
              </w:rPr>
              <w:fldChar w:fldCharType="end"/>
            </w:r>
          </w:hyperlink>
        </w:p>
        <w:p w:rsidR="007454B8" w:rsidRDefault="00D91991" w:rsidP="00423CCB">
          <w:pPr>
            <w:pStyle w:val="WPSOffice2"/>
            <w:tabs>
              <w:tab w:val="right" w:leader="dot" w:pos="8306"/>
            </w:tabs>
            <w:ind w:left="420"/>
          </w:pPr>
          <w:hyperlink w:anchor="_Toc234" w:history="1">
            <w:r w:rsidR="00341F08">
              <w:rPr>
                <w:rFonts w:hint="eastAsia"/>
              </w:rPr>
              <w:t>一、职能简介</w:t>
            </w:r>
            <w:r w:rsidR="00341F08">
              <w:tab/>
            </w:r>
            <w:r>
              <w:fldChar w:fldCharType="begin"/>
            </w:r>
            <w:r w:rsidR="00341F08">
              <w:instrText xml:space="preserve"> PAGEREF _Toc234 \h </w:instrText>
            </w:r>
            <w:r>
              <w:fldChar w:fldCharType="separate"/>
            </w:r>
            <w:r w:rsidR="00341F08">
              <w:t>2</w:t>
            </w:r>
            <w:r>
              <w:fldChar w:fldCharType="end"/>
            </w:r>
          </w:hyperlink>
        </w:p>
        <w:p w:rsidR="007454B8" w:rsidRDefault="00D91991" w:rsidP="00423CCB">
          <w:pPr>
            <w:pStyle w:val="WPSOffice2"/>
            <w:tabs>
              <w:tab w:val="right" w:leader="dot" w:pos="8306"/>
            </w:tabs>
            <w:ind w:left="420"/>
          </w:pPr>
          <w:hyperlink w:anchor="_Toc30529" w:history="1">
            <w:r w:rsidR="00341F08">
              <w:rPr>
                <w:rFonts w:ascii="宋体" w:hAnsi="宋体" w:cs="宋体" w:hint="eastAsia"/>
                <w:kern w:val="2"/>
                <w:szCs w:val="30"/>
              </w:rPr>
              <w:t>二、2021年重点工作完成情况</w:t>
            </w:r>
            <w:r w:rsidR="00341F08">
              <w:tab/>
            </w:r>
            <w:r>
              <w:fldChar w:fldCharType="begin"/>
            </w:r>
            <w:r w:rsidR="00341F08">
              <w:instrText xml:space="preserve"> PAGEREF _Toc30529 \h </w:instrText>
            </w:r>
            <w:r>
              <w:fldChar w:fldCharType="separate"/>
            </w:r>
            <w:r w:rsidR="00341F08">
              <w:t>3</w:t>
            </w:r>
            <w:r>
              <w:fldChar w:fldCharType="end"/>
            </w:r>
          </w:hyperlink>
        </w:p>
        <w:p w:rsidR="007454B8" w:rsidRDefault="00D91991">
          <w:pPr>
            <w:pStyle w:val="WPSOffice1"/>
            <w:tabs>
              <w:tab w:val="right" w:leader="dot" w:pos="8306"/>
            </w:tabs>
            <w:rPr>
              <w:b/>
            </w:rPr>
          </w:pPr>
          <w:hyperlink w:anchor="_Toc5126" w:history="1">
            <w:r w:rsidR="00341F08">
              <w:rPr>
                <w:rFonts w:hint="eastAsia"/>
                <w:b/>
              </w:rPr>
              <w:t>第二部分</w:t>
            </w:r>
            <w:r w:rsidR="00341F08">
              <w:rPr>
                <w:b/>
              </w:rPr>
              <w:t xml:space="preserve"> </w:t>
            </w:r>
            <w:r w:rsidR="00341F08">
              <w:rPr>
                <w:rFonts w:hint="eastAsia"/>
                <w:b/>
              </w:rPr>
              <w:t>2021</w:t>
            </w:r>
            <w:r w:rsidR="00341F08">
              <w:rPr>
                <w:rFonts w:hint="eastAsia"/>
                <w:b/>
              </w:rPr>
              <w:t>年度单位决算情况说明</w:t>
            </w:r>
            <w:r w:rsidR="00341F08">
              <w:rPr>
                <w:b/>
              </w:rPr>
              <w:tab/>
            </w:r>
            <w:r>
              <w:rPr>
                <w:b/>
              </w:rPr>
              <w:fldChar w:fldCharType="begin"/>
            </w:r>
            <w:r w:rsidR="00341F08">
              <w:rPr>
                <w:b/>
              </w:rPr>
              <w:instrText xml:space="preserve"> PAGEREF _Toc5126 \h </w:instrText>
            </w:r>
            <w:r>
              <w:rPr>
                <w:b/>
              </w:rPr>
            </w:r>
            <w:r>
              <w:rPr>
                <w:b/>
              </w:rPr>
              <w:fldChar w:fldCharType="separate"/>
            </w:r>
            <w:r w:rsidR="00341F08">
              <w:rPr>
                <w:b/>
              </w:rPr>
              <w:t>5</w:t>
            </w:r>
            <w:r>
              <w:rPr>
                <w:b/>
              </w:rPr>
              <w:fldChar w:fldCharType="end"/>
            </w:r>
          </w:hyperlink>
        </w:p>
        <w:p w:rsidR="007454B8" w:rsidRDefault="00D91991" w:rsidP="00423CCB">
          <w:pPr>
            <w:pStyle w:val="WPSOffice2"/>
            <w:tabs>
              <w:tab w:val="right" w:leader="dot" w:pos="8306"/>
            </w:tabs>
            <w:ind w:left="420"/>
          </w:pPr>
          <w:hyperlink w:anchor="_Toc1423" w:history="1">
            <w:r w:rsidR="00341F08">
              <w:rPr>
                <w:rFonts w:hint="eastAsia"/>
              </w:rPr>
              <w:t>一、收入支出决算总体情况说明</w:t>
            </w:r>
            <w:r w:rsidR="00341F08">
              <w:tab/>
            </w:r>
            <w:r>
              <w:fldChar w:fldCharType="begin"/>
            </w:r>
            <w:r w:rsidR="00341F08">
              <w:instrText xml:space="preserve"> PAGEREF _Toc1423 \h </w:instrText>
            </w:r>
            <w:r>
              <w:fldChar w:fldCharType="separate"/>
            </w:r>
            <w:r w:rsidR="00341F08">
              <w:t>5</w:t>
            </w:r>
            <w:r>
              <w:fldChar w:fldCharType="end"/>
            </w:r>
          </w:hyperlink>
        </w:p>
        <w:p w:rsidR="007454B8" w:rsidRDefault="00D91991" w:rsidP="00423CCB">
          <w:pPr>
            <w:pStyle w:val="WPSOffice2"/>
            <w:tabs>
              <w:tab w:val="right" w:leader="dot" w:pos="8306"/>
            </w:tabs>
            <w:ind w:left="420"/>
          </w:pPr>
          <w:hyperlink w:anchor="_Toc17372" w:history="1">
            <w:r w:rsidR="00341F08">
              <w:rPr>
                <w:rFonts w:hint="eastAsia"/>
              </w:rPr>
              <w:t>二、收入决算情况说明</w:t>
            </w:r>
            <w:r w:rsidR="00341F08">
              <w:tab/>
            </w:r>
            <w:r>
              <w:fldChar w:fldCharType="begin"/>
            </w:r>
            <w:r w:rsidR="00341F08">
              <w:instrText xml:space="preserve"> PAGEREF _Toc17372 \h </w:instrText>
            </w:r>
            <w:r>
              <w:fldChar w:fldCharType="separate"/>
            </w:r>
            <w:r w:rsidR="00341F08">
              <w:t>6</w:t>
            </w:r>
            <w:r>
              <w:fldChar w:fldCharType="end"/>
            </w:r>
          </w:hyperlink>
        </w:p>
        <w:p w:rsidR="007454B8" w:rsidRDefault="00D91991" w:rsidP="00423CCB">
          <w:pPr>
            <w:pStyle w:val="WPSOffice2"/>
            <w:tabs>
              <w:tab w:val="right" w:leader="dot" w:pos="8306"/>
            </w:tabs>
            <w:ind w:left="420"/>
          </w:pPr>
          <w:hyperlink w:anchor="_Toc20714" w:history="1">
            <w:r w:rsidR="00341F08">
              <w:rPr>
                <w:rFonts w:hint="eastAsia"/>
              </w:rPr>
              <w:t>三、支出决算情况说明</w:t>
            </w:r>
            <w:r w:rsidR="00341F08">
              <w:tab/>
            </w:r>
            <w:r>
              <w:fldChar w:fldCharType="begin"/>
            </w:r>
            <w:r w:rsidR="00341F08">
              <w:instrText xml:space="preserve"> PAGEREF _Toc20714 \h </w:instrText>
            </w:r>
            <w:r>
              <w:fldChar w:fldCharType="separate"/>
            </w:r>
            <w:r w:rsidR="00341F08">
              <w:t>6</w:t>
            </w:r>
            <w:r>
              <w:fldChar w:fldCharType="end"/>
            </w:r>
          </w:hyperlink>
        </w:p>
        <w:p w:rsidR="007454B8" w:rsidRDefault="00D91991" w:rsidP="00423CCB">
          <w:pPr>
            <w:pStyle w:val="WPSOffice2"/>
            <w:tabs>
              <w:tab w:val="right" w:leader="dot" w:pos="8306"/>
            </w:tabs>
            <w:ind w:left="420"/>
          </w:pPr>
          <w:hyperlink w:anchor="_Toc4045" w:history="1">
            <w:r w:rsidR="00341F08">
              <w:rPr>
                <w:rFonts w:hint="eastAsia"/>
              </w:rPr>
              <w:t>四、财政拨款收入支出决算总体情况说明</w:t>
            </w:r>
            <w:r w:rsidR="00341F08">
              <w:tab/>
            </w:r>
            <w:r>
              <w:fldChar w:fldCharType="begin"/>
            </w:r>
            <w:r w:rsidR="00341F08">
              <w:instrText xml:space="preserve"> PAGEREF _Toc4045 \h </w:instrText>
            </w:r>
            <w:r>
              <w:fldChar w:fldCharType="separate"/>
            </w:r>
            <w:r w:rsidR="00341F08">
              <w:t>7</w:t>
            </w:r>
            <w:r>
              <w:fldChar w:fldCharType="end"/>
            </w:r>
          </w:hyperlink>
        </w:p>
        <w:p w:rsidR="007454B8" w:rsidRDefault="00D91991" w:rsidP="00423CCB">
          <w:pPr>
            <w:pStyle w:val="WPSOffice2"/>
            <w:tabs>
              <w:tab w:val="right" w:leader="dot" w:pos="8306"/>
            </w:tabs>
            <w:ind w:left="420"/>
          </w:pPr>
          <w:hyperlink w:anchor="_Toc10033" w:history="1">
            <w:r w:rsidR="00341F08">
              <w:rPr>
                <w:rFonts w:hint="eastAsia"/>
              </w:rPr>
              <w:t>五、一般公共预算财政拨款支出决算情况说明</w:t>
            </w:r>
            <w:r w:rsidR="00341F08">
              <w:tab/>
            </w:r>
            <w:r>
              <w:fldChar w:fldCharType="begin"/>
            </w:r>
            <w:r w:rsidR="00341F08">
              <w:instrText xml:space="preserve"> PAGEREF _Toc10033 \h </w:instrText>
            </w:r>
            <w:r>
              <w:fldChar w:fldCharType="separate"/>
            </w:r>
            <w:r w:rsidR="00341F08">
              <w:t>8</w:t>
            </w:r>
            <w:r>
              <w:fldChar w:fldCharType="end"/>
            </w:r>
          </w:hyperlink>
        </w:p>
        <w:p w:rsidR="007454B8" w:rsidRDefault="00D91991" w:rsidP="00423CCB">
          <w:pPr>
            <w:pStyle w:val="WPSOffice2"/>
            <w:tabs>
              <w:tab w:val="right" w:leader="dot" w:pos="8306"/>
            </w:tabs>
            <w:ind w:left="420"/>
          </w:pPr>
          <w:hyperlink w:anchor="_Toc4688" w:history="1">
            <w:r w:rsidR="00341F08">
              <w:rPr>
                <w:rFonts w:hint="eastAsia"/>
              </w:rPr>
              <w:t>六、一般公共预算财政拨款基本支出决算情况说明</w:t>
            </w:r>
            <w:r w:rsidR="00341F08">
              <w:tab/>
            </w:r>
            <w:r>
              <w:fldChar w:fldCharType="begin"/>
            </w:r>
            <w:r w:rsidR="00341F08">
              <w:instrText xml:space="preserve"> PAGEREF _Toc4688 \h </w:instrText>
            </w:r>
            <w:r>
              <w:fldChar w:fldCharType="separate"/>
            </w:r>
            <w:r w:rsidR="00341F08">
              <w:t>11</w:t>
            </w:r>
            <w:r>
              <w:fldChar w:fldCharType="end"/>
            </w:r>
          </w:hyperlink>
        </w:p>
        <w:p w:rsidR="007454B8" w:rsidRDefault="00D91991" w:rsidP="00423CCB">
          <w:pPr>
            <w:pStyle w:val="WPSOffice2"/>
            <w:tabs>
              <w:tab w:val="right" w:leader="dot" w:pos="8306"/>
            </w:tabs>
            <w:ind w:left="420"/>
          </w:pPr>
          <w:hyperlink w:anchor="_Toc29891" w:history="1">
            <w:r w:rsidR="00341F08">
              <w:rPr>
                <w:rFonts w:hint="eastAsia"/>
              </w:rPr>
              <w:t>七、“三公”经费财政拨款支出决算情况说明</w:t>
            </w:r>
            <w:r w:rsidR="00341F08">
              <w:tab/>
            </w:r>
            <w:r>
              <w:fldChar w:fldCharType="begin"/>
            </w:r>
            <w:r w:rsidR="00341F08">
              <w:instrText xml:space="preserve"> PAGEREF _Toc29891 \h </w:instrText>
            </w:r>
            <w:r>
              <w:fldChar w:fldCharType="separate"/>
            </w:r>
            <w:r w:rsidR="00341F08">
              <w:t>12</w:t>
            </w:r>
            <w:r>
              <w:fldChar w:fldCharType="end"/>
            </w:r>
          </w:hyperlink>
        </w:p>
        <w:p w:rsidR="007454B8" w:rsidRDefault="00D91991" w:rsidP="00423CCB">
          <w:pPr>
            <w:pStyle w:val="WPSOffice2"/>
            <w:tabs>
              <w:tab w:val="right" w:leader="dot" w:pos="8306"/>
            </w:tabs>
            <w:ind w:left="420"/>
          </w:pPr>
          <w:hyperlink w:anchor="_Toc31461" w:history="1">
            <w:r w:rsidR="00341F08">
              <w:rPr>
                <w:rFonts w:hint="eastAsia"/>
              </w:rPr>
              <w:t>八、政府性基金预算支出决算情况说明</w:t>
            </w:r>
            <w:r w:rsidR="00341F08">
              <w:tab/>
            </w:r>
            <w:r>
              <w:fldChar w:fldCharType="begin"/>
            </w:r>
            <w:r w:rsidR="00341F08">
              <w:instrText xml:space="preserve"> PAGEREF _Toc31461 \h </w:instrText>
            </w:r>
            <w:r>
              <w:fldChar w:fldCharType="separate"/>
            </w:r>
            <w:r w:rsidR="00341F08">
              <w:t>13</w:t>
            </w:r>
            <w:r>
              <w:fldChar w:fldCharType="end"/>
            </w:r>
          </w:hyperlink>
        </w:p>
        <w:p w:rsidR="007454B8" w:rsidRDefault="00D91991" w:rsidP="00423CCB">
          <w:pPr>
            <w:pStyle w:val="WPSOffice2"/>
            <w:tabs>
              <w:tab w:val="right" w:leader="dot" w:pos="8306"/>
            </w:tabs>
            <w:ind w:left="420"/>
          </w:pPr>
          <w:hyperlink w:anchor="_Toc21821" w:history="1">
            <w:r w:rsidR="00341F08">
              <w:rPr>
                <w:rFonts w:hint="eastAsia"/>
              </w:rPr>
              <w:t>九、</w:t>
            </w:r>
            <w:r w:rsidR="00341F08">
              <w:rPr>
                <w:rFonts w:hint="eastAsia"/>
              </w:rPr>
              <w:t xml:space="preserve"> </w:t>
            </w:r>
            <w:r w:rsidR="00341F08">
              <w:rPr>
                <w:rFonts w:hint="eastAsia"/>
              </w:rPr>
              <w:t>国有资本经营预算支出决算情况说明</w:t>
            </w:r>
            <w:r w:rsidR="00341F08">
              <w:tab/>
            </w:r>
            <w:r>
              <w:fldChar w:fldCharType="begin"/>
            </w:r>
            <w:r w:rsidR="00341F08">
              <w:instrText xml:space="preserve"> PAGEREF _Toc21821 \h </w:instrText>
            </w:r>
            <w:r>
              <w:fldChar w:fldCharType="separate"/>
            </w:r>
            <w:r w:rsidR="00341F08">
              <w:t>13</w:t>
            </w:r>
            <w:r>
              <w:fldChar w:fldCharType="end"/>
            </w:r>
          </w:hyperlink>
        </w:p>
        <w:p w:rsidR="007454B8" w:rsidRDefault="00D91991" w:rsidP="00423CCB">
          <w:pPr>
            <w:pStyle w:val="WPSOffice2"/>
            <w:tabs>
              <w:tab w:val="right" w:leader="dot" w:pos="8306"/>
            </w:tabs>
            <w:ind w:left="420"/>
          </w:pPr>
          <w:hyperlink w:anchor="_Toc24686" w:history="1">
            <w:r w:rsidR="00341F08">
              <w:rPr>
                <w:rFonts w:hint="eastAsia"/>
              </w:rPr>
              <w:t>十、预算绩效管理情况</w:t>
            </w:r>
            <w:r w:rsidR="00341F08">
              <w:tab/>
            </w:r>
            <w:r>
              <w:fldChar w:fldCharType="begin"/>
            </w:r>
            <w:r w:rsidR="00341F08">
              <w:instrText xml:space="preserve"> PAGEREF _Toc24686 \h </w:instrText>
            </w:r>
            <w:r>
              <w:fldChar w:fldCharType="separate"/>
            </w:r>
            <w:r w:rsidR="00341F08">
              <w:t>13</w:t>
            </w:r>
            <w:r>
              <w:fldChar w:fldCharType="end"/>
            </w:r>
          </w:hyperlink>
        </w:p>
        <w:p w:rsidR="007454B8" w:rsidRDefault="00D91991" w:rsidP="00423CCB">
          <w:pPr>
            <w:pStyle w:val="WPSOffice2"/>
            <w:tabs>
              <w:tab w:val="right" w:leader="dot" w:pos="8306"/>
            </w:tabs>
            <w:ind w:left="420"/>
          </w:pPr>
          <w:hyperlink w:anchor="_Toc3810" w:history="1">
            <w:r w:rsidR="00341F08">
              <w:rPr>
                <w:rFonts w:hint="eastAsia"/>
              </w:rPr>
              <w:t>十一、其他重要事项的情况说明</w:t>
            </w:r>
            <w:r w:rsidR="00341F08">
              <w:tab/>
            </w:r>
            <w:r>
              <w:fldChar w:fldCharType="begin"/>
            </w:r>
            <w:r w:rsidR="00341F08">
              <w:instrText xml:space="preserve"> PAGEREF _Toc3810 \h </w:instrText>
            </w:r>
            <w:r>
              <w:fldChar w:fldCharType="separate"/>
            </w:r>
            <w:r w:rsidR="00341F08">
              <w:t>19</w:t>
            </w:r>
            <w:r>
              <w:fldChar w:fldCharType="end"/>
            </w:r>
          </w:hyperlink>
        </w:p>
        <w:p w:rsidR="007454B8" w:rsidRDefault="00D91991">
          <w:pPr>
            <w:pStyle w:val="WPSOffice1"/>
            <w:tabs>
              <w:tab w:val="right" w:leader="dot" w:pos="8306"/>
            </w:tabs>
            <w:rPr>
              <w:b/>
            </w:rPr>
          </w:pPr>
          <w:hyperlink w:anchor="_Toc30558" w:history="1">
            <w:r w:rsidR="00341F08">
              <w:rPr>
                <w:rFonts w:ascii="黑体" w:eastAsia="黑体" w:hAnsi="黑体" w:cs="黑体" w:hint="eastAsia"/>
                <w:b/>
                <w:szCs w:val="44"/>
              </w:rPr>
              <w:t xml:space="preserve">第三部分 </w:t>
            </w:r>
            <w:r w:rsidR="00341F08">
              <w:rPr>
                <w:rFonts w:hint="eastAsia"/>
                <w:b/>
              </w:rPr>
              <w:t>名词解释</w:t>
            </w:r>
            <w:r w:rsidR="00341F08">
              <w:rPr>
                <w:b/>
              </w:rPr>
              <w:tab/>
            </w:r>
            <w:r>
              <w:rPr>
                <w:b/>
              </w:rPr>
              <w:fldChar w:fldCharType="begin"/>
            </w:r>
            <w:r w:rsidR="00341F08">
              <w:rPr>
                <w:b/>
              </w:rPr>
              <w:instrText xml:space="preserve"> PAGEREF _Toc30558 \h </w:instrText>
            </w:r>
            <w:r>
              <w:rPr>
                <w:b/>
              </w:rPr>
            </w:r>
            <w:r>
              <w:rPr>
                <w:b/>
              </w:rPr>
              <w:fldChar w:fldCharType="separate"/>
            </w:r>
            <w:r w:rsidR="00341F08">
              <w:rPr>
                <w:b/>
              </w:rPr>
              <w:t>19</w:t>
            </w:r>
            <w:r>
              <w:rPr>
                <w:b/>
              </w:rPr>
              <w:fldChar w:fldCharType="end"/>
            </w:r>
          </w:hyperlink>
        </w:p>
        <w:p w:rsidR="007454B8" w:rsidRDefault="00D91991">
          <w:pPr>
            <w:pStyle w:val="WPSOffice1"/>
            <w:tabs>
              <w:tab w:val="right" w:leader="dot" w:pos="8306"/>
            </w:tabs>
            <w:rPr>
              <w:b/>
            </w:rPr>
          </w:pPr>
          <w:hyperlink w:anchor="_Toc30355" w:history="1">
            <w:r w:rsidR="00341F08">
              <w:rPr>
                <w:rFonts w:hint="eastAsia"/>
                <w:b/>
              </w:rPr>
              <w:t>第四部分</w:t>
            </w:r>
            <w:r w:rsidR="00341F08">
              <w:rPr>
                <w:rFonts w:hint="eastAsia"/>
                <w:b/>
              </w:rPr>
              <w:t xml:space="preserve"> </w:t>
            </w:r>
            <w:r w:rsidR="00341F08">
              <w:rPr>
                <w:rFonts w:hint="eastAsia"/>
                <w:b/>
              </w:rPr>
              <w:t>附件</w:t>
            </w:r>
            <w:r w:rsidR="00341F08">
              <w:rPr>
                <w:b/>
              </w:rPr>
              <w:tab/>
            </w:r>
            <w:r>
              <w:rPr>
                <w:b/>
              </w:rPr>
              <w:fldChar w:fldCharType="begin"/>
            </w:r>
            <w:r w:rsidR="00341F08">
              <w:rPr>
                <w:b/>
              </w:rPr>
              <w:instrText xml:space="preserve"> PAGEREF _Toc30355 \h </w:instrText>
            </w:r>
            <w:r>
              <w:rPr>
                <w:b/>
              </w:rPr>
            </w:r>
            <w:r>
              <w:rPr>
                <w:b/>
              </w:rPr>
              <w:fldChar w:fldCharType="separate"/>
            </w:r>
            <w:r w:rsidR="00341F08">
              <w:rPr>
                <w:b/>
              </w:rPr>
              <w:t>23</w:t>
            </w:r>
            <w:r>
              <w:rPr>
                <w:b/>
              </w:rPr>
              <w:fldChar w:fldCharType="end"/>
            </w:r>
          </w:hyperlink>
        </w:p>
        <w:p w:rsidR="007454B8" w:rsidRDefault="00D91991">
          <w:pPr>
            <w:pStyle w:val="WPSOffice1"/>
            <w:tabs>
              <w:tab w:val="right" w:leader="dot" w:pos="8306"/>
            </w:tabs>
            <w:rPr>
              <w:b/>
            </w:rPr>
          </w:pPr>
          <w:hyperlink w:anchor="_Toc21095" w:history="1">
            <w:r w:rsidR="00341F08">
              <w:rPr>
                <w:rFonts w:hint="eastAsia"/>
                <w:b/>
              </w:rPr>
              <w:t>第五部分</w:t>
            </w:r>
            <w:r w:rsidR="00341F08">
              <w:rPr>
                <w:rFonts w:hint="eastAsia"/>
                <w:b/>
              </w:rPr>
              <w:t xml:space="preserve"> </w:t>
            </w:r>
            <w:r w:rsidR="00341F08">
              <w:rPr>
                <w:rFonts w:hint="eastAsia"/>
                <w:b/>
              </w:rPr>
              <w:t>附表</w:t>
            </w:r>
            <w:r w:rsidR="00341F08">
              <w:rPr>
                <w:b/>
              </w:rPr>
              <w:tab/>
            </w:r>
            <w:r>
              <w:rPr>
                <w:b/>
              </w:rPr>
              <w:fldChar w:fldCharType="begin"/>
            </w:r>
            <w:r w:rsidR="00341F08">
              <w:rPr>
                <w:b/>
              </w:rPr>
              <w:instrText xml:space="preserve"> PAGEREF _Toc21095 \h </w:instrText>
            </w:r>
            <w:r>
              <w:rPr>
                <w:b/>
              </w:rPr>
            </w:r>
            <w:r>
              <w:rPr>
                <w:b/>
              </w:rPr>
              <w:fldChar w:fldCharType="separate"/>
            </w:r>
            <w:r w:rsidR="00341F08">
              <w:rPr>
                <w:b/>
              </w:rPr>
              <w:t>25</w:t>
            </w:r>
            <w:r>
              <w:rPr>
                <w:b/>
              </w:rPr>
              <w:fldChar w:fldCharType="end"/>
            </w:r>
          </w:hyperlink>
        </w:p>
        <w:p w:rsidR="007454B8" w:rsidRDefault="00D91991" w:rsidP="00423CCB">
          <w:pPr>
            <w:pStyle w:val="WPSOffice2"/>
            <w:tabs>
              <w:tab w:val="right" w:leader="dot" w:pos="8306"/>
            </w:tabs>
            <w:ind w:left="420"/>
          </w:pPr>
          <w:hyperlink w:anchor="_Toc26693" w:history="1">
            <w:r w:rsidR="00341F08">
              <w:rPr>
                <w:rFonts w:ascii="宋体" w:hAnsi="宋体" w:cs="宋体" w:hint="eastAsia"/>
                <w:szCs w:val="30"/>
              </w:rPr>
              <w:t>一、收入支出决算总表</w:t>
            </w:r>
            <w:r w:rsidR="00341F08">
              <w:tab/>
            </w:r>
            <w:r>
              <w:fldChar w:fldCharType="begin"/>
            </w:r>
            <w:r w:rsidR="00341F08">
              <w:instrText xml:space="preserve"> PAGEREF _Toc26693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18826" w:history="1">
            <w:r w:rsidR="00341F08">
              <w:rPr>
                <w:rFonts w:ascii="宋体" w:hAnsi="宋体" w:cs="宋体" w:hint="eastAsia"/>
                <w:szCs w:val="30"/>
              </w:rPr>
              <w:t>二、收入决算表</w:t>
            </w:r>
            <w:r w:rsidR="00341F08">
              <w:tab/>
            </w:r>
            <w:r>
              <w:fldChar w:fldCharType="begin"/>
            </w:r>
            <w:r w:rsidR="00341F08">
              <w:instrText xml:space="preserve"> PAGEREF _Toc18826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8271" w:history="1">
            <w:r w:rsidR="00341F08">
              <w:rPr>
                <w:rFonts w:ascii="宋体" w:hAnsi="宋体" w:cs="宋体" w:hint="eastAsia"/>
                <w:szCs w:val="30"/>
              </w:rPr>
              <w:t>三、支出决算表</w:t>
            </w:r>
            <w:r w:rsidR="00341F08">
              <w:tab/>
            </w:r>
            <w:r>
              <w:fldChar w:fldCharType="begin"/>
            </w:r>
            <w:r w:rsidR="00341F08">
              <w:instrText xml:space="preserve"> PAGEREF _Toc8271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17078" w:history="1">
            <w:r w:rsidR="00341F08">
              <w:rPr>
                <w:rFonts w:ascii="宋体" w:hAnsi="宋体" w:cs="宋体" w:hint="eastAsia"/>
                <w:szCs w:val="30"/>
              </w:rPr>
              <w:t>四、财政拨款收入支出决算总表</w:t>
            </w:r>
            <w:r w:rsidR="00341F08">
              <w:tab/>
            </w:r>
            <w:r>
              <w:fldChar w:fldCharType="begin"/>
            </w:r>
            <w:r w:rsidR="00341F08">
              <w:instrText xml:space="preserve"> PAGEREF _Toc17078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25611" w:history="1">
            <w:r w:rsidR="00341F08">
              <w:rPr>
                <w:rFonts w:ascii="宋体" w:hAnsi="宋体" w:cs="宋体" w:hint="eastAsia"/>
                <w:szCs w:val="30"/>
              </w:rPr>
              <w:t>五、财政拨款支出决算明细表</w:t>
            </w:r>
            <w:r w:rsidR="00341F08">
              <w:tab/>
            </w:r>
            <w:r>
              <w:fldChar w:fldCharType="begin"/>
            </w:r>
            <w:r w:rsidR="00341F08">
              <w:instrText xml:space="preserve"> PAGEREF _Toc25611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12382" w:history="1">
            <w:r w:rsidR="00341F08">
              <w:rPr>
                <w:rFonts w:ascii="宋体" w:hAnsi="宋体" w:cs="宋体" w:hint="eastAsia"/>
                <w:szCs w:val="30"/>
              </w:rPr>
              <w:t>六、一般公共预算财政拨款支出决算表</w:t>
            </w:r>
            <w:r w:rsidR="00341F08">
              <w:tab/>
            </w:r>
            <w:r>
              <w:fldChar w:fldCharType="begin"/>
            </w:r>
            <w:r w:rsidR="00341F08">
              <w:instrText xml:space="preserve"> PAGEREF _Toc12382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7326" w:history="1">
            <w:r w:rsidR="00341F08">
              <w:rPr>
                <w:rFonts w:ascii="宋体" w:hAnsi="宋体" w:cs="宋体" w:hint="eastAsia"/>
                <w:szCs w:val="30"/>
              </w:rPr>
              <w:t>七、一般公共预算财政拨款支出决算明细表</w:t>
            </w:r>
            <w:r w:rsidR="00341F08">
              <w:tab/>
            </w:r>
            <w:r>
              <w:fldChar w:fldCharType="begin"/>
            </w:r>
            <w:r w:rsidR="00341F08">
              <w:instrText xml:space="preserve"> PAGEREF _Toc7326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32166" w:history="1">
            <w:r w:rsidR="00341F08">
              <w:rPr>
                <w:rFonts w:ascii="宋体" w:hAnsi="宋体" w:cs="宋体" w:hint="eastAsia"/>
                <w:szCs w:val="30"/>
              </w:rPr>
              <w:t>八、一般公共预算财政拨款基本支出决算表</w:t>
            </w:r>
            <w:r w:rsidR="00341F08">
              <w:tab/>
            </w:r>
            <w:r>
              <w:fldChar w:fldCharType="begin"/>
            </w:r>
            <w:r w:rsidR="00341F08">
              <w:instrText xml:space="preserve"> PAGEREF _Toc32166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23780" w:history="1">
            <w:r w:rsidR="00341F08">
              <w:rPr>
                <w:rFonts w:ascii="宋体" w:hAnsi="宋体" w:cs="宋体" w:hint="eastAsia"/>
                <w:szCs w:val="30"/>
              </w:rPr>
              <w:t>九、一般公共预算财政拨款项目支出决算表</w:t>
            </w:r>
            <w:r w:rsidR="00341F08">
              <w:tab/>
            </w:r>
            <w:r>
              <w:fldChar w:fldCharType="begin"/>
            </w:r>
            <w:r w:rsidR="00341F08">
              <w:instrText xml:space="preserve"> PAGEREF _Toc23780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7450" w:history="1">
            <w:r w:rsidR="00341F08">
              <w:rPr>
                <w:rFonts w:ascii="宋体" w:hAnsi="宋体" w:cs="宋体" w:hint="eastAsia"/>
                <w:szCs w:val="30"/>
              </w:rPr>
              <w:t>十、一般公共预算财政拨款“三公”经费支出决算表</w:t>
            </w:r>
            <w:r w:rsidR="00341F08">
              <w:tab/>
            </w:r>
            <w:r>
              <w:fldChar w:fldCharType="begin"/>
            </w:r>
            <w:r w:rsidR="00341F08">
              <w:instrText xml:space="preserve"> PAGEREF _Toc7450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21457" w:history="1">
            <w:r w:rsidR="00341F08">
              <w:rPr>
                <w:rFonts w:ascii="宋体" w:hAnsi="宋体" w:cs="宋体" w:hint="eastAsia"/>
                <w:szCs w:val="30"/>
              </w:rPr>
              <w:t>十一、政府性基金预算财政拨款收入支出决算表</w:t>
            </w:r>
            <w:r w:rsidR="00341F08">
              <w:tab/>
            </w:r>
            <w:r>
              <w:fldChar w:fldCharType="begin"/>
            </w:r>
            <w:r w:rsidR="00341F08">
              <w:instrText xml:space="preserve"> PAGEREF _Toc21457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22036" w:history="1">
            <w:r w:rsidR="00341F08">
              <w:rPr>
                <w:rFonts w:ascii="宋体" w:hAnsi="宋体" w:cs="宋体" w:hint="eastAsia"/>
                <w:szCs w:val="30"/>
              </w:rPr>
              <w:t>十二、政府性基金预算财政拨款“三公”经费支出决算表</w:t>
            </w:r>
            <w:r w:rsidR="00341F08">
              <w:tab/>
            </w:r>
            <w:r>
              <w:fldChar w:fldCharType="begin"/>
            </w:r>
            <w:r w:rsidR="00341F08">
              <w:instrText xml:space="preserve"> PAGEREF _Toc22036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30407" w:history="1">
            <w:r w:rsidR="00341F08">
              <w:rPr>
                <w:rFonts w:ascii="宋体" w:hAnsi="宋体" w:cs="宋体" w:hint="eastAsia"/>
                <w:szCs w:val="30"/>
              </w:rPr>
              <w:t>十三、国有资本经营预算财政拨款收入支出决算表</w:t>
            </w:r>
            <w:r w:rsidR="00341F08">
              <w:tab/>
            </w:r>
            <w:r>
              <w:fldChar w:fldCharType="begin"/>
            </w:r>
            <w:r w:rsidR="00341F08">
              <w:instrText xml:space="preserve"> PAGEREF _Toc30407 \h </w:instrText>
            </w:r>
            <w:r>
              <w:fldChar w:fldCharType="separate"/>
            </w:r>
            <w:r w:rsidR="00341F08">
              <w:t>25</w:t>
            </w:r>
            <w:r>
              <w:fldChar w:fldCharType="end"/>
            </w:r>
          </w:hyperlink>
        </w:p>
        <w:p w:rsidR="007454B8" w:rsidRDefault="00D91991" w:rsidP="00423CCB">
          <w:pPr>
            <w:pStyle w:val="WPSOffice2"/>
            <w:tabs>
              <w:tab w:val="right" w:leader="dot" w:pos="8306"/>
            </w:tabs>
            <w:ind w:left="420"/>
          </w:pPr>
          <w:hyperlink w:anchor="_Toc3629" w:history="1">
            <w:r w:rsidR="00341F08">
              <w:rPr>
                <w:rFonts w:ascii="宋体" w:hAnsi="宋体" w:cs="宋体" w:hint="eastAsia"/>
                <w:szCs w:val="30"/>
              </w:rPr>
              <w:t>十四、国有资本经营预算财政拨款支出决算表</w:t>
            </w:r>
            <w:r w:rsidR="00341F08">
              <w:tab/>
            </w:r>
            <w:r>
              <w:fldChar w:fldCharType="begin"/>
            </w:r>
            <w:r w:rsidR="00341F08">
              <w:instrText xml:space="preserve"> PAGEREF _Toc3629 \h </w:instrText>
            </w:r>
            <w:r>
              <w:fldChar w:fldCharType="separate"/>
            </w:r>
            <w:r w:rsidR="00341F08">
              <w:t>25</w:t>
            </w:r>
            <w:r>
              <w:fldChar w:fldCharType="end"/>
            </w:r>
          </w:hyperlink>
        </w:p>
        <w:p w:rsidR="007454B8" w:rsidRDefault="00D91991">
          <w:pPr>
            <w:rPr>
              <w:rFonts w:ascii="宋体" w:hAnsi="宋体"/>
              <w:b/>
            </w:rPr>
          </w:pPr>
          <w:r>
            <w:rPr>
              <w:b/>
            </w:rPr>
            <w:fldChar w:fldCharType="end"/>
          </w:r>
        </w:p>
      </w:sdtContent>
    </w:sdt>
    <w:p w:rsidR="007454B8" w:rsidRDefault="007454B8" w:rsidP="00423CCB">
      <w:pPr>
        <w:pStyle w:val="a5"/>
        <w:spacing w:before="93"/>
        <w:rPr>
          <w:rFonts w:ascii="宋体" w:eastAsia="宋体" w:hAnsi="宋体"/>
          <w:b/>
          <w:kern w:val="2"/>
          <w:sz w:val="21"/>
        </w:rPr>
      </w:pPr>
    </w:p>
    <w:p w:rsidR="007454B8" w:rsidRDefault="007454B8"/>
    <w:p w:rsidR="007454B8" w:rsidRDefault="00341F08">
      <w:pPr>
        <w:pStyle w:val="1"/>
        <w:jc w:val="center"/>
        <w:rPr>
          <w:rStyle w:val="1Char0"/>
          <w:rFonts w:ascii="黑体" w:eastAsia="黑体" w:hAnsi="黑体"/>
          <w:b/>
        </w:rPr>
      </w:pPr>
      <w:bookmarkStart w:id="63" w:name="_Toc1402_WPSOffice_Level2"/>
      <w:bookmarkStart w:id="64" w:name="_Toc27760"/>
      <w:bookmarkStart w:id="65" w:name="_Toc19626"/>
      <w:bookmarkStart w:id="66" w:name="_Toc25306"/>
      <w:bookmarkStart w:id="67" w:name="_Toc234"/>
      <w:bookmarkStart w:id="68" w:name="_Toc28187"/>
      <w:bookmarkStart w:id="69" w:name="_Toc20097"/>
      <w:bookmarkStart w:id="70" w:name="_Toc16763"/>
      <w:bookmarkStart w:id="71" w:name="_Toc15378445"/>
      <w:bookmarkStart w:id="72" w:name="_Toc15377198"/>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r>
        <w:rPr>
          <w:rFonts w:ascii="黑体" w:eastAsia="黑体" w:hAnsi="黑体" w:hint="eastAsia"/>
          <w:b w:val="0"/>
        </w:rPr>
        <w:lastRenderedPageBreak/>
        <w:t>第一部分 单位</w:t>
      </w:r>
      <w:r>
        <w:rPr>
          <w:rStyle w:val="1Char0"/>
          <w:rFonts w:ascii="黑体" w:eastAsia="黑体" w:hAnsi="黑体" w:hint="eastAsia"/>
        </w:rPr>
        <w:t>概况</w:t>
      </w:r>
    </w:p>
    <w:p w:rsidR="007454B8" w:rsidRDefault="00341F08">
      <w:pPr>
        <w:pStyle w:val="3"/>
      </w:pPr>
      <w:r>
        <w:rPr>
          <w:rFonts w:hint="eastAsia"/>
        </w:rPr>
        <w:t>一、职能简介</w:t>
      </w:r>
      <w:bookmarkEnd w:id="63"/>
      <w:bookmarkEnd w:id="64"/>
      <w:bookmarkEnd w:id="65"/>
      <w:bookmarkEnd w:id="66"/>
      <w:bookmarkEnd w:id="67"/>
      <w:bookmarkEnd w:id="68"/>
      <w:bookmarkEnd w:id="69"/>
      <w:bookmarkEnd w:id="70"/>
    </w:p>
    <w:bookmarkEnd w:id="71"/>
    <w:bookmarkEnd w:id="72"/>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r>
        <w:rPr>
          <w:rFonts w:ascii="宋体" w:hAnsi="宋体" w:cs="宋体" w:hint="eastAsia"/>
          <w:kern w:val="2"/>
          <w:sz w:val="30"/>
          <w:szCs w:val="30"/>
        </w:rPr>
        <w:t xml:space="preserve">（一）基本公共卫生服务方面                               </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1.要严格执行“收支两条线”规定，每月核对收费票据与缴款单据，及时上缴专户，禁止坐支挪用现金，坚持银行月对账制度。</w:t>
      </w:r>
    </w:p>
    <w:p w:rsidR="007454B8" w:rsidRDefault="00341F08">
      <w:pPr>
        <w:spacing w:line="360" w:lineRule="auto"/>
        <w:ind w:firstLineChars="200" w:firstLine="600"/>
        <w:rPr>
          <w:rFonts w:ascii="宋体" w:hAnsi="宋体" w:cs="宋体"/>
          <w:sz w:val="30"/>
          <w:szCs w:val="30"/>
        </w:rPr>
      </w:pPr>
      <w:bookmarkStart w:id="73" w:name="_Toc11019"/>
      <w:bookmarkStart w:id="74" w:name="_Toc14391"/>
      <w:bookmarkStart w:id="75" w:name="_Toc28342"/>
      <w:bookmarkStart w:id="76" w:name="_Toc9608"/>
      <w:r>
        <w:rPr>
          <w:rFonts w:ascii="宋体" w:hAnsi="宋体" w:cs="宋体" w:hint="eastAsia"/>
          <w:sz w:val="30"/>
          <w:szCs w:val="30"/>
        </w:rPr>
        <w:t>2.做好银行存款及库存现金收付，并随时记账，做到月清月结。</w:t>
      </w:r>
      <w:bookmarkEnd w:id="73"/>
      <w:bookmarkEnd w:id="74"/>
      <w:bookmarkEnd w:id="75"/>
      <w:bookmarkEnd w:id="76"/>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3.严格按照国家要求有关现金管理和银行结算制度的规定。根据审核签字后的原始凭证办理收支业务。</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4.做好备用金的管理、杜绝假票据入账，坚持“三重一大”的文件精神。</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5.严格按文件管理财务账目，做好金财网安全维护管理工作。</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6.及时上报审核基药发票并付款。</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7.制定财务计划，完成财务报表。</w:t>
      </w:r>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8.对卫生院固定资产建立台账。</w:t>
      </w:r>
      <w:bookmarkStart w:id="77" w:name="_Toc15378446"/>
      <w:bookmarkStart w:id="78" w:name="_Toc15377199"/>
    </w:p>
    <w:p w:rsidR="007454B8" w:rsidRDefault="00341F08">
      <w:pPr>
        <w:pStyle w:val="3"/>
        <w:rPr>
          <w:rFonts w:ascii="宋体" w:hAnsi="宋体" w:cs="宋体"/>
          <w:sz w:val="30"/>
          <w:szCs w:val="30"/>
        </w:rPr>
      </w:pPr>
      <w:bookmarkStart w:id="79" w:name="_Toc9981_WPSOffice_Level2"/>
      <w:bookmarkStart w:id="80" w:name="_Toc30529"/>
      <w:bookmarkStart w:id="81" w:name="_Toc14403"/>
      <w:bookmarkStart w:id="82" w:name="_Toc7984"/>
      <w:bookmarkStart w:id="83" w:name="_Toc16914"/>
      <w:bookmarkStart w:id="84" w:name="_Toc23560"/>
      <w:bookmarkStart w:id="85" w:name="_Toc2943"/>
      <w:bookmarkStart w:id="86" w:name="_Toc31402"/>
      <w:bookmarkStart w:id="87" w:name="_Toc474"/>
      <w:bookmarkEnd w:id="77"/>
      <w:bookmarkEnd w:id="78"/>
      <w:r>
        <w:rPr>
          <w:rFonts w:ascii="宋体" w:hAnsi="宋体" w:cs="宋体" w:hint="eastAsia"/>
          <w:sz w:val="30"/>
          <w:szCs w:val="30"/>
        </w:rPr>
        <w:t>二、2021年重点工作完成情况</w:t>
      </w:r>
      <w:bookmarkEnd w:id="79"/>
      <w:bookmarkEnd w:id="80"/>
      <w:bookmarkEnd w:id="81"/>
      <w:bookmarkEnd w:id="82"/>
      <w:bookmarkEnd w:id="83"/>
      <w:bookmarkEnd w:id="84"/>
      <w:bookmarkEnd w:id="85"/>
      <w:bookmarkEnd w:id="86"/>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bookmarkStart w:id="88" w:name="_Toc1916"/>
      <w:bookmarkStart w:id="89" w:name="_Toc18850"/>
      <w:r>
        <w:rPr>
          <w:rFonts w:ascii="宋体" w:hAnsi="宋体" w:cs="宋体" w:hint="eastAsia"/>
          <w:kern w:val="2"/>
          <w:sz w:val="30"/>
          <w:szCs w:val="30"/>
        </w:rPr>
        <w:t>1.坚决守住了新冠肺炎疫情“零”底线。</w:t>
      </w:r>
      <w:bookmarkEnd w:id="87"/>
      <w:bookmarkEnd w:id="88"/>
      <w:bookmarkEnd w:id="89"/>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自新冠肺炎发生以来，我把疫情防控工作作为压倒一切的重</w:t>
      </w:r>
      <w:r>
        <w:rPr>
          <w:rFonts w:ascii="宋体" w:hAnsi="宋体" w:cs="宋体" w:hint="eastAsia"/>
          <w:kern w:val="2"/>
          <w:sz w:val="30"/>
          <w:szCs w:val="30"/>
        </w:rPr>
        <w:lastRenderedPageBreak/>
        <w:t>大政治任务，深入贯彻习近平总书记重要指示精神，坚决落实党中央、国务院和省、市、区委各项决策部署。作为全区疫情防控指挥部的重要组成单位，我院与疫情防控各组、镇村全面配合，落实各项防控措施。截至目前，坚决守住了新冠肺炎疫情确诊病例“零”、疑似病例“零”底线。</w:t>
      </w:r>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bookmarkStart w:id="90" w:name="_Toc26146_WPSOffice_Level3"/>
      <w:bookmarkStart w:id="91" w:name="_Toc10675"/>
      <w:r>
        <w:rPr>
          <w:rFonts w:ascii="宋体" w:hAnsi="宋体" w:cs="宋体" w:hint="eastAsia"/>
          <w:kern w:val="2"/>
          <w:sz w:val="30"/>
          <w:szCs w:val="30"/>
        </w:rPr>
        <w:t>(一)积极推进医药卫生体制改革</w:t>
      </w:r>
      <w:bookmarkEnd w:id="90"/>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1、成立组织机构、强化政策宣传。院内成立医改工作领导小组，以院长为组长、各科组负责人和卫生室负责人为成员的领导小组，负责乡村医疗机构医改具体工作事项的贯彻执行和稳步推进。</w:t>
      </w:r>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2、大力营造宣传氛围、加大医改宣传力度。对各村社干部和社会贤达及知名人士进行宣传，从而进一步提高宣传力度；推动医德医风建设，提升服务效能，巩固基层医改实施成效。</w:t>
      </w:r>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r>
        <w:rPr>
          <w:rFonts w:ascii="宋体" w:hAnsi="宋体" w:cs="宋体" w:hint="eastAsia"/>
          <w:kern w:val="2"/>
          <w:sz w:val="30"/>
          <w:szCs w:val="30"/>
        </w:rPr>
        <w:t>3、按时召开乡村医生例会和职工大会及各类专题业务培训会议，组织张家乡医疗卫生从业人员集中学习、互相交流，掌握医改政策新动态新知识，坚决贯彻执行医改政策。</w:t>
      </w:r>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bookmarkStart w:id="92" w:name="_Toc19456_WPSOffice_Level3"/>
      <w:r>
        <w:rPr>
          <w:rFonts w:ascii="宋体" w:hAnsi="宋体" w:cs="宋体" w:hint="eastAsia"/>
          <w:kern w:val="2"/>
          <w:sz w:val="30"/>
          <w:szCs w:val="30"/>
        </w:rPr>
        <w:t>(二)落实医疗保障制度建设</w:t>
      </w:r>
      <w:bookmarkEnd w:id="92"/>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结合医改文件精神，对辖区内居民实行即时结报和非即时结报全程办理；按照区卫计局信息化建设工作要求，在卫生院和村卫生室全力推进新信息系统的建设、使用和日常管理；积极开展一站式服务、医保慢病大病申报及补偿申报，使医改补助范围全覆盖，真正体现关注民情、惠及民生的医改精神。</w:t>
      </w:r>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bookmarkStart w:id="93" w:name="_Toc24376_WPSOffice_Level3"/>
      <w:r>
        <w:rPr>
          <w:rFonts w:ascii="宋体" w:hAnsi="宋体" w:cs="宋体" w:hint="eastAsia"/>
          <w:kern w:val="2"/>
          <w:sz w:val="30"/>
          <w:szCs w:val="30"/>
        </w:rPr>
        <w:lastRenderedPageBreak/>
        <w:t>(三)规范执行国家药品零差率政策和基本药物制度</w:t>
      </w:r>
      <w:bookmarkEnd w:id="93"/>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1、卫生院、卫生室全部按规定比例配备基药和省补药品，完善药品日常管理和采购配送及监督检查机制，明确相关人员职责，卫生室药品由卫生室统一配送，统一实行网上采购并实行零差率销售。</w:t>
      </w:r>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2、把国家基本药物目录四川省新增药品目录下发到卫生院各科室和6所一体化村卫生室，加强基药培训学习。</w:t>
      </w:r>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3、按照区药监局、区卫计局工作要求，完善药品(医疗器械)不良反应报告制度，加强对临床抗生素使用率的日常监管。</w:t>
      </w:r>
    </w:p>
    <w:p w:rsidR="007454B8" w:rsidRDefault="00341F08">
      <w:pPr>
        <w:pStyle w:val="a9"/>
        <w:shd w:val="clear" w:color="auto" w:fill="FFFFFF"/>
        <w:spacing w:before="0" w:beforeAutospacing="0" w:after="0" w:afterAutospacing="0" w:line="330" w:lineRule="atLeast"/>
        <w:rPr>
          <w:rFonts w:ascii="宋体" w:hAnsi="宋体" w:cs="宋体"/>
          <w:kern w:val="2"/>
          <w:sz w:val="30"/>
          <w:szCs w:val="30"/>
        </w:rPr>
      </w:pPr>
      <w:bookmarkStart w:id="94" w:name="_Toc17349_WPSOffice_Level3"/>
      <w:r>
        <w:rPr>
          <w:rFonts w:ascii="宋体" w:hAnsi="宋体" w:cs="宋体" w:hint="eastAsia"/>
          <w:kern w:val="2"/>
          <w:sz w:val="30"/>
          <w:szCs w:val="30"/>
        </w:rPr>
        <w:t>(四)加强基层医疗队伍人才建设</w:t>
      </w:r>
      <w:bookmarkEnd w:id="94"/>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1、我院所有在编在岗人员均具有对应的执业资格和职称。我乡村卫生室在岗村医8人，都具有乡村医生资格证，从业人员全部持证上岗总体素质尚可，但年龄偏老龄化。</w:t>
      </w:r>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2、积极参加省、市、区组织的各类培训和继续教育，从无缺席情况发生；加强临床全科人才培养。</w:t>
      </w:r>
    </w:p>
    <w:p w:rsidR="007454B8" w:rsidRDefault="00341F08">
      <w:pPr>
        <w:pStyle w:val="a9"/>
        <w:shd w:val="clear" w:color="auto" w:fill="FFFFFF"/>
        <w:spacing w:before="0" w:beforeAutospacing="0" w:after="0" w:afterAutospacing="0" w:line="330" w:lineRule="atLeast"/>
        <w:ind w:firstLineChars="200" w:firstLine="600"/>
        <w:rPr>
          <w:rFonts w:ascii="宋体" w:hAnsi="宋体" w:cs="宋体"/>
          <w:kern w:val="2"/>
          <w:sz w:val="30"/>
          <w:szCs w:val="30"/>
        </w:rPr>
      </w:pPr>
      <w:r>
        <w:rPr>
          <w:rFonts w:ascii="宋体" w:hAnsi="宋体" w:cs="宋体" w:hint="eastAsia"/>
          <w:kern w:val="2"/>
          <w:sz w:val="30"/>
          <w:szCs w:val="30"/>
        </w:rPr>
        <w:t>3、利用职工大会乡村医生例会契机，经常性抓院内培训，并把培训学习与工作人员年度绩效挂钩。</w:t>
      </w:r>
    </w:p>
    <w:p w:rsidR="007454B8" w:rsidRDefault="00341F08">
      <w:pPr>
        <w:pStyle w:val="1"/>
        <w:ind w:right="440"/>
        <w:jc w:val="center"/>
        <w:rPr>
          <w:rStyle w:val="1Char0"/>
          <w:rFonts w:ascii="黑体" w:eastAsia="黑体" w:hAnsi="黑体"/>
          <w:bCs/>
        </w:rPr>
      </w:pPr>
      <w:bookmarkStart w:id="95" w:name="_Toc15377204"/>
      <w:bookmarkStart w:id="96" w:name="_Toc15396602"/>
      <w:bookmarkStart w:id="97" w:name="_Toc12915"/>
      <w:bookmarkStart w:id="98" w:name="_Toc15377205"/>
      <w:bookmarkStart w:id="99" w:name="_Toc12844"/>
      <w:bookmarkStart w:id="100" w:name="_Toc10618"/>
      <w:bookmarkStart w:id="101" w:name="_Toc15396603"/>
      <w:bookmarkStart w:id="102" w:name="_Toc26146_WPSOffice_Level2"/>
      <w:bookmarkStart w:id="103" w:name="_Toc26994"/>
      <w:bookmarkStart w:id="104" w:name="_Toc1423"/>
      <w:bookmarkStart w:id="105" w:name="_Toc18032"/>
      <w:bookmarkStart w:id="106" w:name="_Toc7148_WPSOffice_Level2"/>
      <w:bookmarkStart w:id="107" w:name="_Toc10257"/>
      <w:bookmarkStart w:id="108" w:name="_Toc8109"/>
      <w:bookmarkStart w:id="109" w:name="_Toc10353"/>
      <w:bookmarkStart w:id="110" w:name="_Toc27686"/>
      <w:bookmarkEnd w:id="91"/>
      <w:r>
        <w:rPr>
          <w:rFonts w:ascii="黑体" w:eastAsia="黑体" w:hAnsi="黑体" w:hint="eastAsia"/>
          <w:b w:val="0"/>
        </w:rPr>
        <w:t>第二部分 2021年度</w:t>
      </w:r>
      <w:r>
        <w:rPr>
          <w:rStyle w:val="1Char0"/>
          <w:rFonts w:ascii="黑体" w:eastAsia="黑体" w:hAnsi="黑体" w:hint="eastAsia"/>
          <w:bCs/>
        </w:rPr>
        <w:t>单位决算情况说明</w:t>
      </w:r>
      <w:bookmarkEnd w:id="95"/>
      <w:bookmarkEnd w:id="96"/>
    </w:p>
    <w:p w:rsidR="007454B8" w:rsidRDefault="00341F08">
      <w:pPr>
        <w:pStyle w:val="3"/>
      </w:pPr>
      <w:r>
        <w:rPr>
          <w:rFonts w:hint="eastAsia"/>
        </w:rPr>
        <w:t>一、收入支出决算总体情况说明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2021年昭化区陈江乡卫生院收支总计173.59万元，与2020</w:t>
      </w:r>
      <w:r>
        <w:rPr>
          <w:rFonts w:ascii="宋体" w:hAnsi="宋体" w:cs="宋体" w:hint="eastAsia"/>
          <w:sz w:val="30"/>
          <w:szCs w:val="30"/>
        </w:rPr>
        <w:lastRenderedPageBreak/>
        <w:t>年相比收、支总计各减少4.7万元，减少2.64%。主要变动原因：2021年医疗收入相比上年增加13.83万元，政府性基金减少10.50万元；事业收入减少8.02万元，2021年支出主要变动的原因：社会保障和就业支出减少5.31万元，卫生健康支出增加8.9万元，抗疫特别国债减少10.50万元，住房保障支出增加2.22万元。</w:t>
      </w:r>
    </w:p>
    <w:p w:rsidR="007454B8" w:rsidRDefault="007454B8">
      <w:pPr>
        <w:spacing w:line="600" w:lineRule="exact"/>
        <w:ind w:firstLineChars="200" w:firstLine="600"/>
        <w:rPr>
          <w:rFonts w:ascii="宋体" w:hAnsi="宋体" w:cs="宋体"/>
          <w:sz w:val="30"/>
          <w:szCs w:val="30"/>
        </w:rPr>
      </w:pPr>
    </w:p>
    <w:p w:rsidR="007454B8" w:rsidRDefault="00341F08">
      <w:pPr>
        <w:widowControl/>
        <w:ind w:firstLineChars="200" w:firstLine="420"/>
        <w:jc w:val="left"/>
      </w:pPr>
      <w:r>
        <w:rPr>
          <w:noProof/>
        </w:rPr>
        <w:drawing>
          <wp:inline distT="0" distB="0" distL="114300" distR="114300">
            <wp:extent cx="4108450" cy="2170430"/>
            <wp:effectExtent l="4445" t="4445" r="17145" b="19685"/>
            <wp:docPr id="14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54B8" w:rsidRDefault="00341F08">
      <w:pPr>
        <w:pStyle w:val="3"/>
        <w:ind w:firstLineChars="200" w:firstLine="643"/>
      </w:pPr>
      <w:bookmarkStart w:id="111" w:name="_Toc9404"/>
      <w:bookmarkStart w:id="112" w:name="_Toc23181"/>
      <w:bookmarkStart w:id="113" w:name="_Toc14956_WPSOffice_Level2"/>
      <w:bookmarkStart w:id="114" w:name="_Toc18260"/>
      <w:bookmarkStart w:id="115" w:name="_Toc15377206"/>
      <w:bookmarkStart w:id="116" w:name="_Toc17372"/>
      <w:bookmarkStart w:id="117" w:name="_Toc7243"/>
      <w:bookmarkStart w:id="118" w:name="_Toc11840"/>
      <w:bookmarkStart w:id="119" w:name="_Toc4200"/>
      <w:bookmarkStart w:id="120" w:name="_Toc16353"/>
      <w:bookmarkStart w:id="121" w:name="_Toc15396604"/>
      <w:bookmarkStart w:id="122" w:name="_Toc2165"/>
      <w:bookmarkStart w:id="123" w:name="_Toc7231"/>
      <w:r>
        <w:rPr>
          <w:rFonts w:hint="eastAsia"/>
        </w:rPr>
        <w:t>二、收入决算情况说明</w:t>
      </w:r>
      <w:bookmarkEnd w:id="111"/>
      <w:bookmarkEnd w:id="112"/>
      <w:bookmarkEnd w:id="113"/>
      <w:bookmarkEnd w:id="114"/>
      <w:bookmarkEnd w:id="115"/>
      <w:bookmarkEnd w:id="116"/>
      <w:bookmarkEnd w:id="117"/>
      <w:bookmarkEnd w:id="118"/>
      <w:bookmarkEnd w:id="119"/>
      <w:bookmarkEnd w:id="120"/>
      <w:bookmarkEnd w:id="121"/>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2021年本年收入合计173.59万元，其中：一般公共预算财政拨款收入121.75万元，占70.13%；事业收入51.85万元，占29.87%</w:t>
      </w:r>
      <w:bookmarkEnd w:id="122"/>
      <w:bookmarkEnd w:id="123"/>
      <w:r>
        <w:rPr>
          <w:rFonts w:ascii="宋体" w:hAnsi="宋体" w:cs="宋体" w:hint="eastAsia"/>
          <w:sz w:val="30"/>
          <w:szCs w:val="30"/>
        </w:rPr>
        <w:t>。</w:t>
      </w:r>
    </w:p>
    <w:p w:rsidR="007454B8" w:rsidRDefault="00341F08">
      <w:pPr>
        <w:pStyle w:val="2"/>
        <w:ind w:firstLine="643"/>
      </w:pPr>
      <w:r>
        <w:rPr>
          <w:noProof/>
        </w:rPr>
        <w:drawing>
          <wp:inline distT="0" distB="0" distL="114300" distR="114300">
            <wp:extent cx="3595370" cy="1708150"/>
            <wp:effectExtent l="4445" t="4445" r="12065" b="9525"/>
            <wp:docPr id="141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54B8" w:rsidRDefault="00341F08">
      <w:pPr>
        <w:pStyle w:val="3"/>
        <w:ind w:firstLineChars="200" w:firstLine="643"/>
      </w:pPr>
      <w:bookmarkStart w:id="124" w:name="_Toc14567"/>
      <w:bookmarkStart w:id="125" w:name="_Toc15396605"/>
      <w:bookmarkStart w:id="126" w:name="_Toc2551_WPSOffice_Level2"/>
      <w:bookmarkStart w:id="127" w:name="_Toc10356"/>
      <w:bookmarkStart w:id="128" w:name="_Toc20420"/>
      <w:bookmarkStart w:id="129" w:name="_Toc19637"/>
      <w:bookmarkStart w:id="130" w:name="_Toc20787"/>
      <w:bookmarkStart w:id="131" w:name="_Toc19957"/>
      <w:bookmarkStart w:id="132" w:name="_Toc24376_WPSOffice_Level2"/>
      <w:bookmarkStart w:id="133" w:name="_Toc25893"/>
      <w:bookmarkStart w:id="134" w:name="_Toc15377207"/>
      <w:bookmarkStart w:id="135" w:name="_Toc27621"/>
      <w:bookmarkStart w:id="136" w:name="_Toc20714"/>
      <w:bookmarkStart w:id="137" w:name="_Toc5401"/>
      <w:r>
        <w:rPr>
          <w:rFonts w:hint="eastAsia"/>
        </w:rPr>
        <w:lastRenderedPageBreak/>
        <w:t>三、支出决算情况说明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7454B8" w:rsidRDefault="00341F08">
      <w:pPr>
        <w:spacing w:line="360" w:lineRule="auto"/>
        <w:ind w:firstLineChars="200" w:firstLine="600"/>
        <w:rPr>
          <w:rFonts w:ascii="宋体" w:hAnsi="宋体" w:cs="宋体"/>
          <w:sz w:val="30"/>
          <w:szCs w:val="30"/>
        </w:rPr>
      </w:pPr>
      <w:bookmarkStart w:id="138" w:name="_Toc32489"/>
      <w:bookmarkStart w:id="139" w:name="_Toc19720"/>
      <w:r>
        <w:rPr>
          <w:rFonts w:ascii="宋体" w:hAnsi="宋体" w:cs="宋体" w:hint="eastAsia"/>
          <w:sz w:val="30"/>
          <w:szCs w:val="30"/>
        </w:rPr>
        <w:t>2021年本年支出合计173.59万元，其中：基本支出136.73万元，占78.77%；项目支出36.86万元，占21.23%。</w:t>
      </w:r>
      <w:bookmarkEnd w:id="138"/>
      <w:bookmarkEnd w:id="139"/>
    </w:p>
    <w:p w:rsidR="007454B8" w:rsidRDefault="00341F08">
      <w:pPr>
        <w:widowControl/>
        <w:ind w:firstLineChars="200" w:firstLine="420"/>
        <w:jc w:val="left"/>
      </w:pPr>
      <w:bookmarkStart w:id="140" w:name="_Toc15377208"/>
      <w:bookmarkStart w:id="141" w:name="_Toc15396606"/>
      <w:r>
        <w:rPr>
          <w:noProof/>
        </w:rPr>
        <w:drawing>
          <wp:inline distT="0" distB="0" distL="114300" distR="114300">
            <wp:extent cx="4183380" cy="1673225"/>
            <wp:effectExtent l="4445" t="5080" r="18415" b="13335"/>
            <wp:docPr id="1420"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54B8" w:rsidRDefault="00341F08">
      <w:pPr>
        <w:pStyle w:val="3"/>
        <w:ind w:firstLineChars="200" w:firstLine="643"/>
      </w:pPr>
      <w:bookmarkStart w:id="142" w:name="_Toc21469"/>
      <w:bookmarkStart w:id="143" w:name="_Toc29026_WPSOffice_Level2"/>
      <w:bookmarkStart w:id="144" w:name="_Toc29551"/>
      <w:bookmarkStart w:id="145" w:name="_Toc17349_WPSOffice_Level2"/>
      <w:bookmarkStart w:id="146" w:name="_Toc25025"/>
      <w:bookmarkStart w:id="147" w:name="_Toc19602"/>
      <w:bookmarkStart w:id="148" w:name="_Toc26049"/>
      <w:bookmarkStart w:id="149" w:name="_Toc4045"/>
      <w:bookmarkStart w:id="150" w:name="_Toc10580"/>
      <w:bookmarkStart w:id="151" w:name="_Toc12558"/>
      <w:bookmarkStart w:id="152" w:name="_Toc29600"/>
      <w:bookmarkStart w:id="153" w:name="_Toc8015"/>
      <w:r>
        <w:rPr>
          <w:rFonts w:hint="eastAsia"/>
        </w:rPr>
        <w:t>四、财政拨款收入支出决算总体情况说明</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7454B8" w:rsidRDefault="00341F08">
      <w:pPr>
        <w:spacing w:line="360" w:lineRule="auto"/>
        <w:ind w:firstLineChars="200" w:firstLine="600"/>
        <w:rPr>
          <w:rFonts w:ascii="宋体" w:hAnsi="宋体" w:cs="宋体"/>
          <w:sz w:val="30"/>
          <w:szCs w:val="30"/>
        </w:rPr>
      </w:pPr>
      <w:r>
        <w:rPr>
          <w:rFonts w:ascii="宋体" w:hAnsi="宋体" w:cs="宋体" w:hint="eastAsia"/>
          <w:sz w:val="30"/>
          <w:szCs w:val="30"/>
        </w:rPr>
        <w:t>2021年财政拨款收、支总计121.75万元。与2020年相比，财政拨款收、支总计各增加3.33万元，增加2.81%。2021年收入主要变动原因：政府性基金减少10.50万元，一般公共预算拨款增加13.83万元。2021年支出变动的主要原因：社会保障和就业支出减少5.31万元，卫生健康支出增加16.91万元，抗疫特别国债减少10.50万元，住房保障支出增加2.22万元。</w:t>
      </w:r>
    </w:p>
    <w:p w:rsidR="007454B8" w:rsidRDefault="007454B8">
      <w:pPr>
        <w:spacing w:line="600" w:lineRule="exact"/>
        <w:ind w:firstLineChars="200" w:firstLine="600"/>
        <w:rPr>
          <w:rStyle w:val="aa"/>
          <w:rFonts w:ascii="宋体" w:hAnsi="宋体" w:cs="宋体"/>
          <w:b w:val="0"/>
          <w:sz w:val="30"/>
          <w:szCs w:val="30"/>
        </w:rPr>
      </w:pPr>
    </w:p>
    <w:p w:rsidR="007454B8" w:rsidRDefault="00341F08">
      <w:pPr>
        <w:widowControl/>
        <w:ind w:firstLineChars="200" w:firstLine="420"/>
        <w:jc w:val="left"/>
      </w:pPr>
      <w:r>
        <w:rPr>
          <w:noProof/>
        </w:rPr>
        <w:drawing>
          <wp:inline distT="0" distB="0" distL="114300" distR="114300">
            <wp:extent cx="3795395" cy="1995170"/>
            <wp:effectExtent l="4445" t="4445" r="10160"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54B8" w:rsidRDefault="00341F08">
      <w:pPr>
        <w:pStyle w:val="3"/>
      </w:pPr>
      <w:bookmarkStart w:id="154" w:name="_Toc10033"/>
      <w:bookmarkStart w:id="155" w:name="_Toc13677_WPSOffice_Level2"/>
      <w:bookmarkStart w:id="156" w:name="_Toc9331"/>
      <w:bookmarkStart w:id="157" w:name="_Toc15396607"/>
      <w:bookmarkStart w:id="158" w:name="_Toc26612"/>
      <w:bookmarkStart w:id="159" w:name="_Toc3181"/>
      <w:bookmarkStart w:id="160" w:name="_Toc21915"/>
      <w:bookmarkStart w:id="161" w:name="_Toc19412"/>
      <w:bookmarkStart w:id="162" w:name="_Toc28140"/>
      <w:bookmarkStart w:id="163" w:name="_Toc29549_WPSOffice_Level2"/>
      <w:bookmarkStart w:id="164" w:name="_Toc5374"/>
      <w:bookmarkStart w:id="165" w:name="_Toc15429"/>
      <w:bookmarkStart w:id="166" w:name="_Toc3892"/>
      <w:bookmarkStart w:id="167" w:name="_Toc15377209"/>
      <w:r>
        <w:rPr>
          <w:rFonts w:hint="eastAsia"/>
        </w:rPr>
        <w:lastRenderedPageBreak/>
        <w:t>五、一般公共预算财政拨款支出决算情况说明</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7454B8" w:rsidRDefault="00341F08">
      <w:pPr>
        <w:outlineLvl w:val="2"/>
        <w:rPr>
          <w:rFonts w:asciiTheme="minorEastAsia" w:eastAsiaTheme="minorEastAsia" w:hAnsiTheme="minorEastAsia" w:cstheme="minorEastAsia"/>
          <w:sz w:val="28"/>
          <w:szCs w:val="28"/>
        </w:rPr>
      </w:pPr>
      <w:bookmarkStart w:id="168" w:name="_Toc27235"/>
      <w:bookmarkStart w:id="169" w:name="_Toc12779"/>
      <w:bookmarkStart w:id="170" w:name="_Toc15377210"/>
      <w:bookmarkStart w:id="171" w:name="_Toc15388"/>
      <w:bookmarkStart w:id="172" w:name="_Toc29390"/>
      <w:bookmarkStart w:id="173" w:name="_Toc13677_WPSOffice_Level3"/>
      <w:r>
        <w:rPr>
          <w:rFonts w:asciiTheme="minorEastAsia" w:eastAsiaTheme="minorEastAsia" w:hAnsiTheme="minorEastAsia" w:cstheme="minorEastAsia" w:hint="eastAsia"/>
          <w:sz w:val="28"/>
          <w:szCs w:val="28"/>
        </w:rPr>
        <w:t>（一）一般公共预算财政拨款支出决算总体情况</w:t>
      </w:r>
      <w:bookmarkEnd w:id="168"/>
      <w:bookmarkEnd w:id="169"/>
      <w:bookmarkEnd w:id="170"/>
      <w:bookmarkEnd w:id="171"/>
      <w:bookmarkEnd w:id="172"/>
      <w:bookmarkEnd w:id="173"/>
    </w:p>
    <w:p w:rsidR="007454B8" w:rsidRDefault="00341F08">
      <w:pPr>
        <w:outlineLvl w:val="2"/>
        <w:rPr>
          <w:rFonts w:ascii="宋体" w:hAnsi="宋体" w:cs="宋体"/>
          <w:sz w:val="30"/>
          <w:szCs w:val="30"/>
        </w:rPr>
      </w:pPr>
      <w:r>
        <w:rPr>
          <w:rFonts w:ascii="宋体" w:hAnsi="宋体" w:cs="宋体" w:hint="eastAsia"/>
          <w:sz w:val="30"/>
          <w:szCs w:val="30"/>
        </w:rPr>
        <w:t>2021年一般公共预算财政拨款支出121.75万元，占本年支出合计的12.82%。与2020年相比，一般公共预算财政拨款增加13.83万元，增加12.82%。主要变动原因：基本支出增加3.14万元，项目支出增加了10.68万元。</w:t>
      </w:r>
    </w:p>
    <w:p w:rsidR="007454B8" w:rsidRDefault="00341F08">
      <w:pPr>
        <w:widowControl/>
        <w:ind w:firstLineChars="200" w:firstLine="420"/>
        <w:jc w:val="left"/>
        <w:rPr>
          <w:rFonts w:ascii="宋体" w:hAnsi="宋体" w:cs="宋体"/>
          <w:sz w:val="30"/>
          <w:szCs w:val="30"/>
        </w:rPr>
      </w:pPr>
      <w:r>
        <w:rPr>
          <w:noProof/>
        </w:rPr>
        <w:drawing>
          <wp:inline distT="0" distB="0" distL="114300" distR="114300">
            <wp:extent cx="5268595" cy="2327275"/>
            <wp:effectExtent l="4445" t="4445" r="15240" b="15240"/>
            <wp:docPr id="8687"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54B8" w:rsidRDefault="00341F08">
      <w:pPr>
        <w:spacing w:line="600" w:lineRule="exact"/>
        <w:outlineLvl w:val="2"/>
        <w:rPr>
          <w:rFonts w:ascii="宋体" w:hAnsi="宋体" w:cs="宋体"/>
          <w:sz w:val="30"/>
          <w:szCs w:val="30"/>
        </w:rPr>
      </w:pPr>
      <w:bookmarkStart w:id="174" w:name="_Toc22690"/>
      <w:bookmarkStart w:id="175" w:name="_Toc15377211"/>
      <w:bookmarkStart w:id="176" w:name="_Toc22688"/>
      <w:bookmarkStart w:id="177" w:name="_Toc21690_WPSOffice_Level3"/>
      <w:bookmarkStart w:id="178" w:name="_Toc18743"/>
      <w:bookmarkStart w:id="179" w:name="_Toc12962"/>
      <w:r>
        <w:rPr>
          <w:rFonts w:ascii="宋体" w:hAnsi="宋体" w:cs="宋体" w:hint="eastAsia"/>
          <w:b/>
          <w:bCs/>
          <w:sz w:val="30"/>
          <w:szCs w:val="30"/>
        </w:rPr>
        <w:t>（二）一般公共预算财政拨款支出决算结构情况</w:t>
      </w:r>
      <w:bookmarkEnd w:id="174"/>
      <w:bookmarkEnd w:id="175"/>
      <w:bookmarkEnd w:id="176"/>
      <w:bookmarkEnd w:id="177"/>
      <w:bookmarkEnd w:id="178"/>
      <w:bookmarkEnd w:id="179"/>
    </w:p>
    <w:p w:rsidR="007454B8" w:rsidRDefault="00341F08">
      <w:pPr>
        <w:outlineLvl w:val="2"/>
        <w:rPr>
          <w:rFonts w:ascii="宋体" w:hAnsi="宋体" w:cs="宋体"/>
          <w:sz w:val="30"/>
          <w:szCs w:val="30"/>
        </w:rPr>
      </w:pPr>
      <w:r>
        <w:rPr>
          <w:rFonts w:ascii="宋体" w:hAnsi="宋体" w:cs="宋体" w:hint="eastAsia"/>
          <w:sz w:val="30"/>
          <w:szCs w:val="30"/>
        </w:rPr>
        <w:t>2021年一般公共预算财政拨款支出121.75万元，主要用于；社会保障和就业（类）支出7.16万元，占5.88%；卫生健康支出106.12万元，占87.17%；住房保障支出8.46万元，占6.95%。</w:t>
      </w:r>
    </w:p>
    <w:p w:rsidR="007454B8" w:rsidRDefault="00341F08">
      <w:pPr>
        <w:widowControl/>
        <w:ind w:firstLineChars="200" w:firstLine="420"/>
        <w:jc w:val="left"/>
      </w:pPr>
      <w:r>
        <w:rPr>
          <w:noProof/>
        </w:rPr>
        <w:drawing>
          <wp:inline distT="0" distB="0" distL="114300" distR="114300">
            <wp:extent cx="4192270" cy="2317115"/>
            <wp:effectExtent l="4445" t="4445" r="13335" b="21590"/>
            <wp:docPr id="8742"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54B8" w:rsidRDefault="00341F08">
      <w:pPr>
        <w:spacing w:line="600" w:lineRule="exact"/>
        <w:outlineLvl w:val="2"/>
        <w:rPr>
          <w:rFonts w:ascii="宋体" w:hAnsi="宋体" w:cs="宋体"/>
          <w:b/>
          <w:bCs/>
          <w:color w:val="000000"/>
          <w:sz w:val="30"/>
          <w:szCs w:val="30"/>
        </w:rPr>
      </w:pPr>
      <w:bookmarkStart w:id="180" w:name="_Toc15377212"/>
      <w:bookmarkStart w:id="181" w:name="_Toc10851"/>
      <w:bookmarkStart w:id="182" w:name="_Toc5356"/>
      <w:bookmarkStart w:id="183" w:name="_Toc25465_WPSOffice_Level3"/>
      <w:bookmarkStart w:id="184" w:name="_Toc21412"/>
      <w:bookmarkStart w:id="185" w:name="_Toc11364"/>
      <w:r>
        <w:rPr>
          <w:rFonts w:ascii="宋体" w:hAnsi="宋体" w:cs="宋体" w:hint="eastAsia"/>
          <w:b/>
          <w:bCs/>
          <w:color w:val="000000"/>
          <w:sz w:val="30"/>
          <w:szCs w:val="30"/>
        </w:rPr>
        <w:lastRenderedPageBreak/>
        <w:t>（三）一般公共预算财政拨款支出决算具体</w:t>
      </w:r>
      <w:bookmarkEnd w:id="180"/>
      <w:r>
        <w:rPr>
          <w:rFonts w:ascii="宋体" w:hAnsi="宋体" w:cs="宋体" w:hint="eastAsia"/>
          <w:b/>
          <w:bCs/>
          <w:color w:val="000000"/>
          <w:sz w:val="30"/>
          <w:szCs w:val="30"/>
        </w:rPr>
        <w:t>情况</w:t>
      </w:r>
      <w:bookmarkEnd w:id="181"/>
      <w:bookmarkEnd w:id="182"/>
      <w:bookmarkEnd w:id="183"/>
      <w:bookmarkEnd w:id="184"/>
      <w:bookmarkEnd w:id="185"/>
    </w:p>
    <w:p w:rsidR="007454B8" w:rsidRDefault="00341F08">
      <w:pPr>
        <w:spacing w:line="600" w:lineRule="exact"/>
        <w:outlineLvl w:val="2"/>
        <w:rPr>
          <w:rFonts w:ascii="宋体" w:hAnsi="宋体" w:cs="宋体"/>
          <w:b/>
          <w:bCs/>
          <w:color w:val="000000"/>
          <w:sz w:val="30"/>
          <w:szCs w:val="30"/>
        </w:rPr>
      </w:pPr>
      <w:bookmarkStart w:id="186" w:name="_Toc23198"/>
      <w:bookmarkStart w:id="187" w:name="_Toc15377444"/>
      <w:bookmarkStart w:id="188" w:name="_Toc5544"/>
      <w:bookmarkStart w:id="189" w:name="_Toc15378460"/>
      <w:bookmarkStart w:id="190" w:name="_Toc15377213"/>
      <w:bookmarkStart w:id="191" w:name="_Toc19492"/>
      <w:bookmarkStart w:id="192" w:name="_Toc1103"/>
      <w:bookmarkStart w:id="193" w:name="_Toc29999"/>
      <w:bookmarkStart w:id="194" w:name="_Toc9289"/>
      <w:r>
        <w:rPr>
          <w:rFonts w:ascii="宋体" w:hAnsi="宋体" w:cs="宋体" w:hint="eastAsia"/>
          <w:b/>
          <w:bCs/>
          <w:color w:val="000000"/>
          <w:sz w:val="30"/>
          <w:szCs w:val="30"/>
        </w:rPr>
        <w:t>2021年一般公共预算支出决算数为121.75万元，完成预算100%，决算数等于预算数的主要原因是收支持平，其中：</w:t>
      </w:r>
      <w:bookmarkEnd w:id="186"/>
      <w:bookmarkEnd w:id="187"/>
      <w:bookmarkEnd w:id="188"/>
      <w:bookmarkEnd w:id="189"/>
      <w:bookmarkEnd w:id="190"/>
      <w:bookmarkEnd w:id="191"/>
      <w:bookmarkEnd w:id="192"/>
      <w:bookmarkEnd w:id="193"/>
      <w:bookmarkEnd w:id="194"/>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卫生健康支出（类）基层医疗卫生机构（款）乡镇卫生院（项）：</w:t>
      </w:r>
      <w:r>
        <w:rPr>
          <w:rFonts w:ascii="宋体" w:hAnsi="宋体" w:cs="宋体" w:hint="eastAsia"/>
          <w:sz w:val="30"/>
          <w:szCs w:val="30"/>
        </w:rPr>
        <w:t>主要用于乡镇卫生院人员经费、能力建设支出，决算数65.26万元，完成预算100%，决算数等于预算数的主要原因是收支持平。</w:t>
      </w:r>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卫生健康支出（类）基层医疗卫生机构（款）其他基层医疗卫生机构支出（项）：</w:t>
      </w:r>
      <w:r>
        <w:rPr>
          <w:rFonts w:ascii="宋体" w:hAnsi="宋体" w:cs="宋体" w:hint="eastAsia"/>
          <w:sz w:val="30"/>
          <w:szCs w:val="30"/>
        </w:rPr>
        <w:t>主要用于村卫生站省级补助。2021年决算数为10.95万元，完成预算100%，决算数等于预算数的主要原因是收支持平。</w:t>
      </w:r>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生健康支出（类）公共卫生（款）基本公共卫生服务（项）：</w:t>
      </w:r>
      <w:r>
        <w:rPr>
          <w:rFonts w:ascii="宋体" w:hAnsi="宋体" w:cs="宋体" w:hint="eastAsia"/>
          <w:sz w:val="30"/>
          <w:szCs w:val="30"/>
        </w:rPr>
        <w:t>主要用于乡镇卫生院、村卫生站开展基本公共卫生服务活动支出。2021年决算数为25.90万元，完成预算100%，决算数等于预算数的主要原因是收支持平。</w:t>
      </w:r>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住房保障支出（类）住房改革支出（款）住房公积金支出（项）：</w:t>
      </w:r>
      <w:r>
        <w:rPr>
          <w:rFonts w:ascii="宋体" w:hAnsi="宋体" w:cs="宋体" w:hint="eastAsia"/>
          <w:sz w:val="30"/>
          <w:szCs w:val="30"/>
        </w:rPr>
        <w:t>主要用于在职在编人员缴纳住房公积金支出。2021年决算数为8.46万元，完成预算100%，决算数等于预算数的主要原因是收支持平。</w:t>
      </w:r>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社会保障和就业支出(类)行政事业单位离退休（款）单位事业单位基本养老保险缴费支出（项）：</w:t>
      </w:r>
      <w:r>
        <w:rPr>
          <w:rFonts w:ascii="宋体" w:hAnsi="宋体" w:cs="宋体" w:hint="eastAsia"/>
          <w:sz w:val="30"/>
          <w:szCs w:val="30"/>
        </w:rPr>
        <w:t>主要用于在职在编人员基本养老保险支出，2021年决算数为6.75万元，完成预算100 %，决算数等于预算数的主要原因是收支持平。</w:t>
      </w:r>
    </w:p>
    <w:p w:rsidR="007454B8" w:rsidRDefault="00341F08">
      <w:pPr>
        <w:spacing w:line="600" w:lineRule="exact"/>
        <w:ind w:firstLineChars="200" w:firstLine="602"/>
        <w:rPr>
          <w:rFonts w:ascii="宋体" w:hAnsi="宋体" w:cs="宋体"/>
          <w:sz w:val="30"/>
          <w:szCs w:val="30"/>
        </w:rPr>
      </w:pPr>
      <w:r>
        <w:rPr>
          <w:rFonts w:ascii="宋体" w:hAnsi="宋体" w:cs="宋体" w:hint="eastAsia"/>
          <w:b/>
          <w:bCs/>
          <w:color w:val="000000"/>
          <w:sz w:val="30"/>
          <w:szCs w:val="30"/>
        </w:rPr>
        <w:t>社会保障和就业支出(类)行政事业单位离退休（款）机关事</w:t>
      </w:r>
      <w:r>
        <w:rPr>
          <w:rFonts w:ascii="宋体" w:hAnsi="宋体" w:cs="宋体" w:hint="eastAsia"/>
          <w:b/>
          <w:bCs/>
          <w:color w:val="000000"/>
          <w:sz w:val="30"/>
          <w:szCs w:val="30"/>
        </w:rPr>
        <w:lastRenderedPageBreak/>
        <w:t>业单位职业年金缴费支出（项）：</w:t>
      </w:r>
      <w:r>
        <w:rPr>
          <w:rFonts w:ascii="宋体" w:hAnsi="宋体" w:cs="宋体" w:hint="eastAsia"/>
          <w:sz w:val="30"/>
          <w:szCs w:val="30"/>
        </w:rPr>
        <w:t>主要用于在职在编人员职业年金支出，2021年决算数为0.41万元，完成预算100%，决算数等于预算数的主要原因是收支持平。</w:t>
      </w:r>
    </w:p>
    <w:p w:rsidR="007454B8" w:rsidRDefault="00341F08">
      <w:pPr>
        <w:spacing w:line="600" w:lineRule="exact"/>
        <w:ind w:firstLineChars="200" w:firstLine="602"/>
        <w:rPr>
          <w:rFonts w:ascii="宋体" w:hAnsi="宋体" w:cs="宋体"/>
          <w:sz w:val="30"/>
          <w:szCs w:val="30"/>
        </w:rPr>
      </w:pPr>
      <w:bookmarkStart w:id="195" w:name="_Toc30269"/>
      <w:bookmarkStart w:id="196" w:name="_Toc29795"/>
      <w:bookmarkStart w:id="197" w:name="_Toc9075"/>
      <w:bookmarkStart w:id="198" w:name="_Toc30673"/>
      <w:bookmarkStart w:id="199" w:name="_Toc29615"/>
      <w:bookmarkStart w:id="200" w:name="_Toc12192"/>
      <w:bookmarkStart w:id="201" w:name="_Toc10165"/>
      <w:bookmarkStart w:id="202" w:name="_Toc10763"/>
      <w:bookmarkStart w:id="203" w:name="_Toc14770"/>
      <w:bookmarkStart w:id="204" w:name="_Toc23473"/>
      <w:bookmarkStart w:id="205" w:name="_Toc6479"/>
      <w:bookmarkStart w:id="206" w:name="_Toc15377214"/>
      <w:bookmarkStart w:id="207" w:name="_Toc15396608"/>
      <w:r>
        <w:rPr>
          <w:rFonts w:ascii="宋体" w:hAnsi="宋体" w:cs="宋体" w:hint="eastAsia"/>
          <w:b/>
          <w:bCs/>
          <w:color w:val="000000"/>
          <w:sz w:val="30"/>
          <w:szCs w:val="30"/>
        </w:rPr>
        <w:t>卫生健康支出（类）行政事业单位（款）事业单位医疗（项）：</w:t>
      </w:r>
      <w:r>
        <w:rPr>
          <w:rFonts w:ascii="宋体" w:hAnsi="宋体" w:cs="宋体" w:hint="eastAsia"/>
          <w:sz w:val="30"/>
          <w:szCs w:val="30"/>
        </w:rPr>
        <w:t>主要用于在职在编人员医疗保险支出，2021年决算数4.01万元，完成预算100%</w:t>
      </w:r>
      <w:bookmarkEnd w:id="195"/>
      <w:bookmarkEnd w:id="196"/>
      <w:bookmarkEnd w:id="197"/>
      <w:bookmarkEnd w:id="198"/>
      <w:bookmarkEnd w:id="199"/>
      <w:bookmarkEnd w:id="200"/>
      <w:bookmarkEnd w:id="201"/>
      <w:bookmarkEnd w:id="202"/>
      <w:bookmarkEnd w:id="203"/>
      <w:bookmarkEnd w:id="204"/>
      <w:bookmarkEnd w:id="205"/>
      <w:r>
        <w:rPr>
          <w:rFonts w:ascii="宋体" w:hAnsi="宋体" w:cs="宋体" w:hint="eastAsia"/>
          <w:sz w:val="30"/>
          <w:szCs w:val="30"/>
        </w:rPr>
        <w:t>，决算数等于预算数的主要原因是收支持平。</w:t>
      </w:r>
    </w:p>
    <w:p w:rsidR="007454B8" w:rsidRDefault="00341F08">
      <w:pPr>
        <w:tabs>
          <w:tab w:val="right" w:pos="8306"/>
        </w:tabs>
        <w:spacing w:line="600" w:lineRule="exact"/>
        <w:outlineLvl w:val="1"/>
        <w:rPr>
          <w:rStyle w:val="2Char1"/>
          <w:rFonts w:ascii="宋体" w:hAnsi="宋体" w:cs="宋体"/>
          <w:sz w:val="30"/>
          <w:szCs w:val="30"/>
        </w:rPr>
      </w:pPr>
      <w:bookmarkStart w:id="208" w:name="_Toc16927"/>
      <w:bookmarkStart w:id="209" w:name="_Toc9457"/>
      <w:bookmarkStart w:id="210" w:name="_Toc3639"/>
      <w:bookmarkStart w:id="211" w:name="_Toc10447"/>
      <w:bookmarkStart w:id="212" w:name="_Toc22870"/>
      <w:bookmarkStart w:id="213" w:name="_Toc2074"/>
      <w:bookmarkStart w:id="214" w:name="_Toc21781_WPSOffice_Level2"/>
      <w:bookmarkStart w:id="215" w:name="_Toc2182"/>
      <w:bookmarkStart w:id="216" w:name="_Toc4688"/>
      <w:bookmarkStart w:id="217" w:name="_Toc21690_WPSOffice_Level2"/>
      <w:bookmarkStart w:id="218" w:name="_Toc178"/>
      <w:bookmarkStart w:id="219" w:name="_Toc791"/>
      <w:r>
        <w:rPr>
          <w:rStyle w:val="3Char"/>
          <w:rFonts w:hint="eastAsia"/>
        </w:rPr>
        <w:t>六、一般公共预算财政拨款基本支出决算情况说明</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Style w:val="2Char1"/>
          <w:rFonts w:ascii="宋体" w:hAnsi="宋体" w:cs="宋体" w:hint="eastAsia"/>
          <w:sz w:val="30"/>
          <w:szCs w:val="30"/>
        </w:rPr>
        <w:tab/>
      </w:r>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2021年一般公共预算财政拨款基本支出84.89万元，其中：人员经费84.17万元，主要包括：基本工资27.07万元、津贴补贴1.15万元、绩效工资34.32万元、机关事业单位基本养老保险缴费6.75万元、职业年金缴费0.41万元、基本医疗保险缴费4.01万元、住房公积金8.46万元、生活补助2万元。</w:t>
      </w:r>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公用经费0.72万元，其中邮电费0.72万元。</w:t>
      </w:r>
      <w:bookmarkStart w:id="220" w:name="_Toc29874"/>
      <w:bookmarkStart w:id="221" w:name="_Toc15396609"/>
      <w:bookmarkStart w:id="222" w:name="_Toc29891"/>
      <w:bookmarkStart w:id="223" w:name="_Toc25465_WPSOffice_Level2"/>
      <w:bookmarkStart w:id="224" w:name="_Toc23665"/>
      <w:bookmarkStart w:id="225" w:name="_Toc5747"/>
      <w:bookmarkStart w:id="226" w:name="_Toc15377215"/>
      <w:bookmarkStart w:id="227" w:name="_Toc26655"/>
      <w:bookmarkStart w:id="228" w:name="_Toc12649"/>
      <w:bookmarkStart w:id="229" w:name="_Toc1709_WPSOffice_Level2"/>
      <w:bookmarkStart w:id="230" w:name="_Toc24170"/>
      <w:bookmarkStart w:id="231" w:name="_Toc3100"/>
      <w:bookmarkStart w:id="232" w:name="_Toc8849"/>
      <w:bookmarkStart w:id="233" w:name="_Toc31995"/>
    </w:p>
    <w:p w:rsidR="007454B8" w:rsidRDefault="00341F08">
      <w:pPr>
        <w:pStyle w:val="3"/>
      </w:pPr>
      <w:r>
        <w:rPr>
          <w:rFonts w:hint="eastAsia"/>
        </w:rPr>
        <w:t>七、“三公”经费财政拨款支出决算情况说明</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7454B8" w:rsidRDefault="00341F08">
      <w:pPr>
        <w:spacing w:line="600" w:lineRule="exact"/>
        <w:ind w:firstLineChars="200" w:firstLine="600"/>
        <w:rPr>
          <w:rFonts w:ascii="宋体" w:hAnsi="宋体" w:cs="宋体"/>
          <w:sz w:val="30"/>
          <w:szCs w:val="30"/>
        </w:rPr>
      </w:pPr>
      <w:bookmarkStart w:id="234" w:name="_Toc31324"/>
      <w:bookmarkStart w:id="235" w:name="_Toc21756_WPSOffice_Level3"/>
      <w:bookmarkStart w:id="236" w:name="_Toc11581"/>
      <w:bookmarkStart w:id="237" w:name="_Toc30356"/>
      <w:bookmarkStart w:id="238" w:name="_Toc3592"/>
      <w:bookmarkStart w:id="239" w:name="_Toc15377216"/>
      <w:r>
        <w:rPr>
          <w:rFonts w:ascii="宋体" w:hAnsi="宋体" w:cs="宋体" w:hint="eastAsia"/>
          <w:sz w:val="30"/>
          <w:szCs w:val="30"/>
        </w:rPr>
        <w:t>（一）“三公”经费财政拨款支出决算总体情况说明</w:t>
      </w:r>
      <w:bookmarkEnd w:id="234"/>
      <w:bookmarkEnd w:id="235"/>
      <w:bookmarkEnd w:id="236"/>
      <w:bookmarkEnd w:id="237"/>
      <w:bookmarkEnd w:id="238"/>
      <w:bookmarkEnd w:id="239"/>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2021年“三公”经费财政拨款支出决算为0万元，年初未安排预算。</w:t>
      </w:r>
      <w:bookmarkStart w:id="240" w:name="_Toc15377217"/>
    </w:p>
    <w:p w:rsidR="007454B8" w:rsidRDefault="00341F08">
      <w:pPr>
        <w:spacing w:line="600" w:lineRule="exact"/>
        <w:ind w:firstLineChars="200" w:firstLine="600"/>
        <w:rPr>
          <w:rFonts w:ascii="宋体" w:hAnsi="宋体" w:cs="宋体"/>
          <w:sz w:val="30"/>
          <w:szCs w:val="30"/>
        </w:rPr>
      </w:pPr>
      <w:bookmarkStart w:id="241" w:name="_Toc2891"/>
      <w:bookmarkStart w:id="242" w:name="_Toc10232"/>
      <w:bookmarkStart w:id="243" w:name="_Toc15393_WPSOffice_Level3"/>
      <w:bookmarkStart w:id="244" w:name="_Toc19211"/>
      <w:r>
        <w:rPr>
          <w:rFonts w:ascii="宋体" w:hAnsi="宋体" w:cs="宋体" w:hint="eastAsia"/>
          <w:sz w:val="30"/>
          <w:szCs w:val="30"/>
        </w:rPr>
        <w:t>（二）“三公”经费财政拨款支出决算具体情况说明</w:t>
      </w:r>
      <w:bookmarkEnd w:id="240"/>
      <w:bookmarkEnd w:id="241"/>
      <w:bookmarkEnd w:id="242"/>
      <w:bookmarkEnd w:id="243"/>
      <w:bookmarkEnd w:id="244"/>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2021年“三公”经费财政拨款支出决算中：</w:t>
      </w:r>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1.因公出国（境）经费支出0万元，年初未安排预算。</w:t>
      </w:r>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t>2.公务用车购置及运行维护费支出0万元，年初未安排预算。</w:t>
      </w:r>
    </w:p>
    <w:p w:rsidR="007454B8" w:rsidRDefault="00341F08">
      <w:pPr>
        <w:spacing w:line="600" w:lineRule="exact"/>
        <w:ind w:firstLineChars="200" w:firstLine="600"/>
        <w:rPr>
          <w:rFonts w:ascii="宋体" w:hAnsi="宋体" w:cs="宋体"/>
          <w:sz w:val="30"/>
          <w:szCs w:val="30"/>
        </w:rPr>
      </w:pPr>
      <w:r>
        <w:rPr>
          <w:rFonts w:ascii="宋体" w:hAnsi="宋体" w:cs="宋体" w:hint="eastAsia"/>
          <w:sz w:val="30"/>
          <w:szCs w:val="30"/>
        </w:rPr>
        <w:lastRenderedPageBreak/>
        <w:t>3.公务接待费支出0万元，年初未安排预算。</w:t>
      </w:r>
    </w:p>
    <w:p w:rsidR="007454B8" w:rsidRDefault="00341F08">
      <w:pPr>
        <w:pStyle w:val="3"/>
        <w:spacing w:line="240" w:lineRule="atLeast"/>
      </w:pPr>
      <w:bookmarkStart w:id="245" w:name="_Toc15396610"/>
      <w:bookmarkStart w:id="246" w:name="_Toc1088"/>
      <w:bookmarkStart w:id="247" w:name="_Toc1126_WPSOffice_Level2"/>
      <w:bookmarkStart w:id="248" w:name="_Toc1330"/>
      <w:bookmarkStart w:id="249" w:name="_Toc29852"/>
      <w:bookmarkStart w:id="250" w:name="_Toc2918"/>
      <w:bookmarkStart w:id="251" w:name="_Toc27546"/>
      <w:bookmarkStart w:id="252" w:name="_Toc3214"/>
      <w:bookmarkStart w:id="253" w:name="_Toc31461"/>
      <w:bookmarkStart w:id="254" w:name="_Toc8968"/>
      <w:bookmarkStart w:id="255" w:name="_Toc21756_WPSOffice_Level2"/>
      <w:bookmarkStart w:id="256" w:name="_Toc2839"/>
      <w:bookmarkStart w:id="257" w:name="_Toc15377218"/>
      <w:bookmarkStart w:id="258" w:name="_Toc13325"/>
      <w:r>
        <w:rPr>
          <w:rFonts w:hint="eastAsia"/>
        </w:rPr>
        <w:t>八、政府性基金预算支出决算情况说明</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7454B8" w:rsidRDefault="00341F08">
      <w:pPr>
        <w:spacing w:line="600" w:lineRule="exact"/>
        <w:rPr>
          <w:rFonts w:ascii="宋体" w:hAnsi="宋体" w:cs="宋体"/>
          <w:sz w:val="30"/>
          <w:szCs w:val="30"/>
        </w:rPr>
      </w:pPr>
      <w:r>
        <w:rPr>
          <w:rFonts w:ascii="宋体" w:hAnsi="宋体" w:cs="宋体" w:hint="eastAsia"/>
          <w:sz w:val="30"/>
          <w:szCs w:val="30"/>
        </w:rPr>
        <w:t>2021年政府性基金预算拨款支出0万元，年初未安排预算，与上年数持平。</w:t>
      </w:r>
      <w:bookmarkStart w:id="259" w:name="_Toc315"/>
      <w:bookmarkStart w:id="260" w:name="_Toc9305"/>
      <w:bookmarkStart w:id="261" w:name="_Toc21821"/>
      <w:bookmarkStart w:id="262" w:name="_Toc15377219"/>
      <w:bookmarkStart w:id="263" w:name="_Toc42"/>
      <w:bookmarkStart w:id="264" w:name="_Toc18741"/>
      <w:bookmarkStart w:id="265" w:name="_Toc13475"/>
      <w:bookmarkStart w:id="266" w:name="_Toc15396611"/>
      <w:bookmarkStart w:id="267" w:name="_Toc25700"/>
      <w:bookmarkStart w:id="268" w:name="_Toc17173"/>
      <w:bookmarkStart w:id="269" w:name="_Toc15393_WPSOffice_Level2"/>
      <w:bookmarkStart w:id="270" w:name="_Toc22130"/>
      <w:bookmarkStart w:id="271" w:name="_Toc24940"/>
      <w:bookmarkStart w:id="272" w:name="_Toc20779_WPSOffice_Level2"/>
    </w:p>
    <w:p w:rsidR="007454B8" w:rsidRDefault="00341F08">
      <w:pPr>
        <w:pStyle w:val="3"/>
        <w:numPr>
          <w:ilvl w:val="0"/>
          <w:numId w:val="1"/>
        </w:numPr>
        <w:spacing w:line="240" w:lineRule="atLeast"/>
      </w:pPr>
      <w:r>
        <w:rPr>
          <w:rFonts w:hint="eastAsia"/>
        </w:rPr>
        <w:t>国有资本经营预算支出决算情况说明</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7454B8" w:rsidRDefault="00341F08">
      <w:pPr>
        <w:pStyle w:val="3"/>
        <w:spacing w:line="240" w:lineRule="atLeast"/>
        <w:rPr>
          <w:rFonts w:ascii="宋体" w:hAnsi="宋体" w:cs="宋体"/>
          <w:b w:val="0"/>
          <w:bCs w:val="0"/>
          <w:sz w:val="30"/>
          <w:szCs w:val="30"/>
        </w:rPr>
      </w:pPr>
      <w:r>
        <w:rPr>
          <w:rFonts w:ascii="宋体" w:hAnsi="宋体" w:cs="宋体" w:hint="eastAsia"/>
          <w:b w:val="0"/>
          <w:bCs w:val="0"/>
          <w:sz w:val="30"/>
          <w:szCs w:val="30"/>
        </w:rPr>
        <w:t>2021年国有资本经营预算拨款支出0万元。</w:t>
      </w:r>
      <w:bookmarkStart w:id="273" w:name="_Toc11110"/>
      <w:bookmarkStart w:id="274" w:name="_Toc21718_WPSOffice_Level2"/>
      <w:bookmarkStart w:id="275" w:name="_Toc32580"/>
      <w:bookmarkStart w:id="276" w:name="_Toc24204"/>
      <w:bookmarkStart w:id="277" w:name="_Toc27268"/>
      <w:bookmarkStart w:id="278" w:name="_Toc13767"/>
      <w:bookmarkStart w:id="279" w:name="_Toc24686"/>
      <w:bookmarkStart w:id="280" w:name="_Toc24770_WPSOffice_Level2"/>
      <w:bookmarkStart w:id="281" w:name="_Toc7702"/>
      <w:bookmarkStart w:id="282" w:name="_Toc14333"/>
      <w:bookmarkStart w:id="283" w:name="_Toc14579"/>
    </w:p>
    <w:p w:rsidR="007454B8" w:rsidRDefault="00341F08">
      <w:pPr>
        <w:pStyle w:val="3"/>
        <w:spacing w:line="240" w:lineRule="atLeast"/>
      </w:pPr>
      <w:r>
        <w:rPr>
          <w:rFonts w:hint="eastAsia"/>
        </w:rPr>
        <w:t>十、预算绩效管理情况</w:t>
      </w:r>
      <w:bookmarkEnd w:id="273"/>
      <w:bookmarkEnd w:id="274"/>
      <w:bookmarkEnd w:id="275"/>
      <w:bookmarkEnd w:id="276"/>
      <w:bookmarkEnd w:id="277"/>
      <w:bookmarkEnd w:id="278"/>
      <w:bookmarkEnd w:id="279"/>
      <w:bookmarkEnd w:id="280"/>
      <w:bookmarkEnd w:id="281"/>
      <w:bookmarkEnd w:id="282"/>
      <w:bookmarkEnd w:id="283"/>
    </w:p>
    <w:p w:rsidR="007454B8" w:rsidRDefault="00341F08">
      <w:pPr>
        <w:widowControl/>
        <w:shd w:val="clear" w:color="auto" w:fill="FFFFFF"/>
        <w:spacing w:line="432" w:lineRule="atLeast"/>
        <w:jc w:val="left"/>
        <w:rPr>
          <w:rFonts w:ascii="宋体" w:hAnsi="宋体" w:cs="宋体"/>
          <w:sz w:val="30"/>
          <w:szCs w:val="30"/>
        </w:rPr>
      </w:pPr>
      <w:r>
        <w:rPr>
          <w:rFonts w:asciiTheme="minorEastAsia" w:eastAsiaTheme="minorEastAsia" w:hAnsiTheme="minorEastAsia" w:cstheme="minorEastAsia" w:hint="eastAsia"/>
          <w:color w:val="333333"/>
          <w:kern w:val="0"/>
          <w:sz w:val="28"/>
          <w:szCs w:val="28"/>
        </w:rPr>
        <w:t>（</w:t>
      </w:r>
      <w:r>
        <w:rPr>
          <w:rFonts w:ascii="宋体" w:hAnsi="宋体" w:cs="宋体" w:hint="eastAsia"/>
          <w:sz w:val="30"/>
          <w:szCs w:val="30"/>
        </w:rPr>
        <w:t>一）绩效目标管理情况</w:t>
      </w:r>
    </w:p>
    <w:p w:rsidR="007454B8" w:rsidRDefault="00341F08">
      <w:pPr>
        <w:widowControl/>
        <w:shd w:val="clear" w:color="auto" w:fill="FFFFFF"/>
        <w:spacing w:line="432" w:lineRule="atLeast"/>
        <w:ind w:firstLineChars="200" w:firstLine="600"/>
        <w:jc w:val="left"/>
        <w:rPr>
          <w:rFonts w:ascii="宋体" w:hAnsi="宋体" w:cs="宋体"/>
          <w:sz w:val="30"/>
          <w:szCs w:val="30"/>
        </w:rPr>
      </w:pPr>
      <w:r>
        <w:rPr>
          <w:rFonts w:ascii="宋体" w:hAnsi="宋体" w:cs="宋体" w:hint="eastAsia"/>
          <w:sz w:val="30"/>
          <w:szCs w:val="30"/>
        </w:rPr>
        <w:t>根据预算绩效管理要求，本单位在2021年度部门决算中反映其他基层医疗卫生机构支出、基本公共卫生经费开展绩效目标管理，共编制绩效目标2个，涉及财政资金36.86万元，执行数为36.86万元，完成预算的100%。</w:t>
      </w:r>
    </w:p>
    <w:p w:rsidR="007454B8" w:rsidRDefault="00341F08">
      <w:pPr>
        <w:widowControl/>
        <w:shd w:val="clear" w:color="auto" w:fill="FFFFFF"/>
        <w:spacing w:line="432" w:lineRule="atLeast"/>
        <w:rPr>
          <w:rFonts w:asciiTheme="minorEastAsia" w:eastAsiaTheme="minorEastAsia" w:hAnsiTheme="minorEastAsia" w:cstheme="minorEastAsia"/>
          <w:color w:val="333333"/>
          <w:kern w:val="0"/>
          <w:sz w:val="28"/>
          <w:szCs w:val="28"/>
        </w:rPr>
      </w:pPr>
      <w:bookmarkStart w:id="284" w:name="_Toc14653_WPSOffice_Level2"/>
      <w:bookmarkStart w:id="285" w:name="_Toc30974"/>
      <w:bookmarkStart w:id="286" w:name="_Toc13393"/>
      <w:bookmarkStart w:id="287" w:name="_Toc6973"/>
      <w:bookmarkStart w:id="288" w:name="_Toc13990"/>
      <w:bookmarkStart w:id="289" w:name="_Toc23738_WPSOffice_Level2"/>
      <w:bookmarkStart w:id="290" w:name="_Toc27153"/>
      <w:bookmarkStart w:id="291" w:name="_Toc31026"/>
      <w:bookmarkStart w:id="292" w:name="_Toc3810"/>
      <w:bookmarkStart w:id="293" w:name="_Toc13235"/>
      <w:bookmarkStart w:id="294" w:name="_Toc21756"/>
      <w:bookmarkStart w:id="295" w:name="_Toc30714"/>
      <w:r>
        <w:rPr>
          <w:rFonts w:asciiTheme="minorEastAsia" w:eastAsiaTheme="minorEastAsia" w:hAnsiTheme="minorEastAsia" w:cstheme="minorEastAsia" w:hint="eastAsia"/>
          <w:color w:val="333333"/>
          <w:kern w:val="0"/>
          <w:sz w:val="28"/>
          <w:szCs w:val="28"/>
        </w:rPr>
        <w:t>（二）单位整体支出绩效自评开展情况。</w:t>
      </w:r>
    </w:p>
    <w:p w:rsidR="007454B8" w:rsidRDefault="00341F08">
      <w:pPr>
        <w:widowControl/>
        <w:shd w:val="clear" w:color="auto" w:fill="FFFFFF"/>
        <w:spacing w:line="432" w:lineRule="atLeast"/>
        <w:ind w:firstLineChars="200" w:firstLine="600"/>
        <w:jc w:val="left"/>
        <w:rPr>
          <w:rFonts w:ascii="宋体" w:hAnsi="宋体" w:cs="宋体"/>
          <w:sz w:val="30"/>
          <w:szCs w:val="30"/>
        </w:rPr>
      </w:pPr>
      <w:r>
        <w:rPr>
          <w:rFonts w:ascii="宋体" w:hAnsi="宋体" w:cs="宋体" w:hint="eastAsia"/>
          <w:sz w:val="30"/>
          <w:szCs w:val="30"/>
        </w:rPr>
        <w:t>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w:t>
      </w:r>
      <w:r>
        <w:rPr>
          <w:rFonts w:ascii="宋体" w:hAnsi="宋体" w:cs="宋体" w:hint="eastAsia"/>
          <w:sz w:val="30"/>
          <w:szCs w:val="30"/>
        </w:rPr>
        <w:lastRenderedPageBreak/>
        <w:t>支出预算问题，所有项目支出均合理合规。未发现利用财政或自有资金对外借、贷款问题。本单位还自行组织了项目绩效评价，从评价情况来看我局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rsidR="007454B8" w:rsidRDefault="00341F08">
      <w:pPr>
        <w:widowControl/>
        <w:shd w:val="clear" w:color="auto" w:fill="FFFFFF"/>
        <w:spacing w:line="432" w:lineRule="atLeast"/>
        <w:ind w:firstLineChars="200" w:firstLine="600"/>
        <w:jc w:val="left"/>
        <w:rPr>
          <w:rFonts w:ascii="宋体" w:hAnsi="宋体" w:cs="宋体"/>
          <w:sz w:val="30"/>
          <w:szCs w:val="30"/>
        </w:rPr>
      </w:pPr>
      <w:r>
        <w:rPr>
          <w:rFonts w:ascii="宋体" w:hAnsi="宋体" w:cs="宋体" w:hint="eastAsia"/>
          <w:sz w:val="30"/>
          <w:szCs w:val="30"/>
        </w:rPr>
        <w:t>（三）工作开展落实情况</w:t>
      </w:r>
    </w:p>
    <w:p w:rsidR="007454B8" w:rsidRDefault="00341F08">
      <w:pPr>
        <w:widowControl/>
        <w:shd w:val="clear" w:color="auto" w:fill="FFFFFF"/>
        <w:spacing w:line="432" w:lineRule="atLeast"/>
        <w:ind w:firstLineChars="200" w:firstLine="600"/>
        <w:jc w:val="left"/>
        <w:rPr>
          <w:rFonts w:ascii="宋体" w:hAnsi="宋体" w:cs="宋体"/>
          <w:sz w:val="30"/>
          <w:szCs w:val="30"/>
        </w:rPr>
      </w:pPr>
      <w:bookmarkStart w:id="296" w:name="_Toc3057"/>
      <w:bookmarkStart w:id="297" w:name="_Toc3842"/>
      <w:bookmarkStart w:id="298" w:name="_Toc24110"/>
      <w:bookmarkStart w:id="299" w:name="_Toc13500"/>
      <w:bookmarkStart w:id="300" w:name="_Toc25297"/>
      <w:bookmarkStart w:id="301" w:name="_Toc13218"/>
      <w:bookmarkStart w:id="302" w:name="_Toc24746"/>
      <w:r>
        <w:rPr>
          <w:rFonts w:ascii="宋体" w:hAnsi="宋体" w:cs="宋体" w:hint="eastAsia"/>
          <w:sz w:val="30"/>
          <w:szCs w:val="30"/>
        </w:rPr>
        <w:t>1、健康扶贫及基本公共卫生工作开展情况</w:t>
      </w:r>
      <w:bookmarkEnd w:id="296"/>
      <w:bookmarkEnd w:id="297"/>
      <w:bookmarkEnd w:id="298"/>
      <w:bookmarkEnd w:id="299"/>
      <w:bookmarkEnd w:id="300"/>
      <w:bookmarkEnd w:id="301"/>
      <w:bookmarkEnd w:id="302"/>
      <w:r>
        <w:rPr>
          <w:rFonts w:ascii="宋体" w:hAnsi="宋体" w:cs="宋体" w:hint="eastAsia"/>
          <w:sz w:val="30"/>
          <w:szCs w:val="30"/>
        </w:rPr>
        <w:t>到目前共建纸质居民健康档案1213人份。7岁以下儿童325人，建档人数225人，建档率100%。3岁以下儿童建档352人。高血压156人，管理156人；糖尿病30人，管理30人；65岁以上老年人管理350人。1-12月我院开展健康教育讲座12次，出健康教育宣传栏12期，开展公众健康咨询活动8次，发放健康教育材料2150份。2021年1月-12月，通过成立的卫生监督领导小组对全乡进行卫生巡查，其中学校卫生共1家，巡查次数总计8次；通过巡查，对辖区内未办健康证、公共场所卫生许可证的意见书，要求其进行整改，并做好督促工作。</w:t>
      </w:r>
    </w:p>
    <w:p w:rsidR="007454B8" w:rsidRDefault="00341F08">
      <w:pPr>
        <w:pStyle w:val="3"/>
      </w:pPr>
      <w:r>
        <w:rPr>
          <w:rFonts w:hint="eastAsia"/>
        </w:rPr>
        <w:t>十一、其他重要事项的情况说明</w:t>
      </w:r>
      <w:bookmarkEnd w:id="284"/>
      <w:bookmarkEnd w:id="285"/>
      <w:bookmarkEnd w:id="286"/>
      <w:bookmarkEnd w:id="287"/>
      <w:bookmarkEnd w:id="288"/>
      <w:bookmarkEnd w:id="289"/>
      <w:bookmarkEnd w:id="290"/>
      <w:bookmarkEnd w:id="291"/>
      <w:bookmarkEnd w:id="292"/>
      <w:bookmarkEnd w:id="293"/>
      <w:bookmarkEnd w:id="294"/>
      <w:bookmarkEnd w:id="295"/>
    </w:p>
    <w:p w:rsidR="007454B8" w:rsidRDefault="00341F08">
      <w:pPr>
        <w:pStyle w:val="2"/>
        <w:ind w:firstLineChars="0" w:firstLine="0"/>
        <w:outlineLvl w:val="2"/>
        <w:rPr>
          <w:rStyle w:val="1Char"/>
        </w:rPr>
      </w:pPr>
      <w:bookmarkStart w:id="303" w:name="_Toc21718_WPSOffice_Level3"/>
      <w:bookmarkStart w:id="304" w:name="_Toc18696"/>
      <w:bookmarkStart w:id="305" w:name="_Toc24107"/>
      <w:bookmarkStart w:id="306" w:name="_Toc18915"/>
      <w:r>
        <w:rPr>
          <w:rFonts w:asciiTheme="minorEastAsia" w:eastAsiaTheme="minorEastAsia" w:hAnsiTheme="minorEastAsia" w:cstheme="minorEastAsia" w:hint="eastAsia"/>
          <w:sz w:val="30"/>
          <w:szCs w:val="30"/>
        </w:rPr>
        <w:t>（</w:t>
      </w:r>
      <w:r>
        <w:rPr>
          <w:rStyle w:val="1Char"/>
          <w:rFonts w:hint="eastAsia"/>
        </w:rPr>
        <w:t>一）机关运行经费支出情况</w:t>
      </w:r>
      <w:bookmarkEnd w:id="303"/>
      <w:bookmarkEnd w:id="304"/>
      <w:bookmarkEnd w:id="305"/>
      <w:bookmarkEnd w:id="306"/>
    </w:p>
    <w:p w:rsidR="007454B8" w:rsidRDefault="00341F08">
      <w:pPr>
        <w:widowControl/>
        <w:shd w:val="clear" w:color="auto" w:fill="FFFFFF"/>
        <w:spacing w:line="432" w:lineRule="atLeast"/>
        <w:jc w:val="left"/>
        <w:rPr>
          <w:rFonts w:ascii="宋体" w:hAnsi="宋体" w:cs="宋体"/>
          <w:sz w:val="30"/>
          <w:szCs w:val="30"/>
        </w:rPr>
      </w:pPr>
      <w:bookmarkStart w:id="307" w:name="_Toc26710"/>
      <w:bookmarkStart w:id="308" w:name="_Toc778"/>
      <w:bookmarkStart w:id="309" w:name="_Toc7603"/>
      <w:bookmarkStart w:id="310" w:name="_Toc31403"/>
      <w:bookmarkStart w:id="311" w:name="_Toc15377223"/>
      <w:r>
        <w:rPr>
          <w:rFonts w:ascii="宋体" w:hAnsi="宋体" w:cs="宋体" w:hint="eastAsia"/>
          <w:sz w:val="30"/>
          <w:szCs w:val="30"/>
        </w:rPr>
        <w:lastRenderedPageBreak/>
        <w:t>本单位为事业单位，无机关运行经费。</w:t>
      </w:r>
    </w:p>
    <w:p w:rsidR="007454B8" w:rsidRDefault="00341F08">
      <w:pPr>
        <w:pStyle w:val="2"/>
        <w:ind w:firstLineChars="0" w:firstLine="0"/>
        <w:outlineLvl w:val="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（二）政府采购支出情况</w:t>
      </w:r>
      <w:bookmarkEnd w:id="307"/>
      <w:bookmarkEnd w:id="308"/>
      <w:bookmarkEnd w:id="309"/>
      <w:bookmarkEnd w:id="310"/>
      <w:bookmarkEnd w:id="311"/>
    </w:p>
    <w:p w:rsidR="007454B8" w:rsidRDefault="00341F08">
      <w:pPr>
        <w:widowControl/>
        <w:shd w:val="clear" w:color="auto" w:fill="FFFFFF"/>
        <w:spacing w:line="432" w:lineRule="atLeast"/>
        <w:jc w:val="left"/>
        <w:rPr>
          <w:rFonts w:ascii="宋体" w:hAnsi="宋体" w:cs="宋体"/>
          <w:sz w:val="30"/>
          <w:szCs w:val="30"/>
        </w:rPr>
      </w:pPr>
      <w:r>
        <w:rPr>
          <w:rFonts w:ascii="宋体" w:hAnsi="宋体" w:cs="宋体" w:hint="eastAsia"/>
          <w:sz w:val="30"/>
          <w:szCs w:val="30"/>
        </w:rPr>
        <w:t>2021年陈江乡卫生院支出总额0万元。</w:t>
      </w:r>
    </w:p>
    <w:p w:rsidR="007454B8" w:rsidRDefault="00341F08">
      <w:pPr>
        <w:pStyle w:val="2"/>
        <w:ind w:firstLineChars="0" w:firstLine="0"/>
        <w:outlineLvl w:val="2"/>
        <w:rPr>
          <w:rFonts w:asciiTheme="minorEastAsia" w:eastAsiaTheme="minorEastAsia" w:hAnsiTheme="minorEastAsia" w:cstheme="minorEastAsia"/>
          <w:sz w:val="30"/>
          <w:szCs w:val="30"/>
        </w:rPr>
      </w:pPr>
      <w:bookmarkStart w:id="312" w:name="_Toc15377224"/>
      <w:bookmarkStart w:id="313" w:name="_Toc21366"/>
      <w:bookmarkStart w:id="314" w:name="_Toc30706"/>
      <w:bookmarkStart w:id="315" w:name="_Toc23738_WPSOffice_Level3"/>
      <w:bookmarkStart w:id="316" w:name="_Toc12967"/>
      <w:bookmarkStart w:id="317" w:name="_Toc3228"/>
      <w:r>
        <w:rPr>
          <w:rFonts w:asciiTheme="minorEastAsia" w:eastAsiaTheme="minorEastAsia" w:hAnsiTheme="minorEastAsia" w:cstheme="minorEastAsia" w:hint="eastAsia"/>
          <w:sz w:val="30"/>
          <w:szCs w:val="30"/>
        </w:rPr>
        <w:t>（三）国有资产占有使用情况</w:t>
      </w:r>
      <w:bookmarkEnd w:id="312"/>
      <w:bookmarkEnd w:id="313"/>
      <w:bookmarkEnd w:id="314"/>
      <w:bookmarkEnd w:id="315"/>
      <w:bookmarkEnd w:id="316"/>
      <w:bookmarkEnd w:id="317"/>
    </w:p>
    <w:p w:rsidR="007454B8" w:rsidRDefault="00341F08">
      <w:pPr>
        <w:widowControl/>
        <w:shd w:val="clear" w:color="auto" w:fill="FFFFFF"/>
        <w:spacing w:line="432" w:lineRule="atLeast"/>
        <w:jc w:val="left"/>
        <w:rPr>
          <w:rFonts w:ascii="宋体" w:hAnsi="宋体" w:cs="宋体"/>
          <w:sz w:val="30"/>
          <w:szCs w:val="30"/>
        </w:rPr>
      </w:pPr>
      <w:r>
        <w:rPr>
          <w:rFonts w:ascii="宋体" w:hAnsi="宋体" w:cs="宋体" w:hint="eastAsia"/>
          <w:sz w:val="30"/>
          <w:szCs w:val="30"/>
        </w:rPr>
        <w:t>截至2021年12月31日，卫生院系统共有车辆0辆，单价50万元以上通用设备0台（套），单价100万元以上专用设备0台（套）。</w:t>
      </w:r>
    </w:p>
    <w:p w:rsidR="007454B8" w:rsidRDefault="007454B8" w:rsidP="00423CCB">
      <w:pPr>
        <w:pStyle w:val="2"/>
        <w:ind w:firstLine="560"/>
        <w:rPr>
          <w:rFonts w:asciiTheme="minorEastAsia" w:eastAsiaTheme="minorEastAsia" w:hAnsiTheme="minorEastAsia" w:cstheme="minorEastAsia"/>
          <w:b w:val="0"/>
          <w:sz w:val="28"/>
          <w:szCs w:val="28"/>
        </w:rPr>
      </w:pPr>
    </w:p>
    <w:p w:rsidR="007454B8" w:rsidRDefault="007454B8">
      <w:pPr>
        <w:rPr>
          <w:rFonts w:asciiTheme="minorEastAsia" w:eastAsiaTheme="minorEastAsia" w:hAnsiTheme="minorEastAsia" w:cstheme="minorEastAsia"/>
          <w:color w:val="000000"/>
          <w:sz w:val="28"/>
          <w:szCs w:val="28"/>
        </w:rPr>
      </w:pPr>
    </w:p>
    <w:p w:rsidR="007454B8" w:rsidRDefault="007454B8" w:rsidP="00423CCB">
      <w:pPr>
        <w:pStyle w:val="2"/>
        <w:ind w:firstLine="560"/>
        <w:rPr>
          <w:rFonts w:asciiTheme="minorEastAsia" w:eastAsiaTheme="minorEastAsia" w:hAnsiTheme="minorEastAsia" w:cstheme="minorEastAsia" w:hint="eastAsia"/>
          <w:b w:val="0"/>
          <w:sz w:val="28"/>
          <w:szCs w:val="28"/>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Default="007119EE" w:rsidP="007119EE">
      <w:pPr>
        <w:pStyle w:val="2"/>
        <w:ind w:firstLine="643"/>
        <w:rPr>
          <w:rFonts w:hint="eastAsia"/>
        </w:rPr>
      </w:pPr>
    </w:p>
    <w:p w:rsidR="007119EE" w:rsidRDefault="007119EE" w:rsidP="007119EE">
      <w:pPr>
        <w:rPr>
          <w:rFonts w:hint="eastAsia"/>
        </w:rPr>
      </w:pPr>
    </w:p>
    <w:p w:rsidR="007119EE" w:rsidRPr="007119EE" w:rsidRDefault="007119EE" w:rsidP="007119EE">
      <w:pPr>
        <w:pStyle w:val="2"/>
        <w:ind w:firstLine="643"/>
      </w:pPr>
    </w:p>
    <w:p w:rsidR="007454B8" w:rsidRDefault="007454B8"/>
    <w:p w:rsidR="007454B8" w:rsidRDefault="00341F08">
      <w:pPr>
        <w:numPr>
          <w:ilvl w:val="0"/>
          <w:numId w:val="2"/>
        </w:numPr>
        <w:spacing w:line="600" w:lineRule="exact"/>
        <w:ind w:firstLineChars="150" w:firstLine="660"/>
        <w:jc w:val="center"/>
        <w:outlineLvl w:val="0"/>
        <w:rPr>
          <w:rStyle w:val="1Char0"/>
          <w:rFonts w:ascii="黑体" w:eastAsia="黑体" w:hAnsi="黑体"/>
          <w:b w:val="0"/>
        </w:rPr>
      </w:pPr>
      <w:bookmarkStart w:id="318" w:name="_Toc15377225"/>
      <w:bookmarkStart w:id="319" w:name="_Toc15396613"/>
      <w:bookmarkStart w:id="320" w:name="_Toc20465"/>
      <w:bookmarkStart w:id="321" w:name="_Toc28984"/>
      <w:bookmarkStart w:id="322" w:name="_Toc29459"/>
      <w:bookmarkStart w:id="323" w:name="_Toc1085"/>
      <w:bookmarkStart w:id="324" w:name="_Toc26553"/>
      <w:bookmarkStart w:id="325" w:name="_Toc22030"/>
      <w:bookmarkStart w:id="326" w:name="_Toc26146_WPSOffice_Level1"/>
      <w:bookmarkStart w:id="327" w:name="_Toc15396614"/>
      <w:bookmarkStart w:id="328" w:name="_Toc15377226"/>
      <w:r>
        <w:rPr>
          <w:rFonts w:ascii="黑体" w:eastAsia="黑体" w:hAnsi="黑体" w:hint="eastAsia"/>
          <w:sz w:val="44"/>
          <w:szCs w:val="44"/>
        </w:rPr>
        <w:lastRenderedPageBreak/>
        <w:t>名</w:t>
      </w:r>
      <w:r>
        <w:rPr>
          <w:rStyle w:val="1Char0"/>
          <w:rFonts w:ascii="黑体" w:eastAsia="黑体" w:hAnsi="黑体" w:hint="eastAsia"/>
          <w:b w:val="0"/>
        </w:rPr>
        <w:t>词解释</w:t>
      </w:r>
      <w:bookmarkEnd w:id="318"/>
      <w:bookmarkEnd w:id="319"/>
    </w:p>
    <w:p w:rsidR="007454B8" w:rsidRDefault="007454B8" w:rsidP="00423CCB">
      <w:pPr>
        <w:pStyle w:val="2"/>
        <w:ind w:firstLine="643"/>
      </w:pP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1.财政拨款收入：指单位从同级财政单位取得的各类拨款。</w:t>
      </w:r>
      <w:bookmarkEnd w:id="320"/>
      <w:bookmarkEnd w:id="321"/>
      <w:bookmarkEnd w:id="322"/>
      <w:bookmarkEnd w:id="323"/>
      <w:bookmarkEnd w:id="324"/>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2.事业收入：指事业单位开展专业业务活动及辅助活动取得的收入。如区人民医院、妇幼保健计划生育服务中心、区中医医院、乡镇卫生院医疗收入等。</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 xml:space="preserve">3.其他收入：指单位取得的除上述收入以外的各项收入。主要是利息收入等。 </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 xml:space="preserve">5.年初结转和结余：指以前年度尚未完成、结转到本年按有关规定继续使用的资金。 </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6.本年盈余分配：指事业单位按照政府会计制度的规定从非财政拨款结余或事业结余中提取的奖励基金和职工福利基金等。</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7.年末结转和结余：指单位按有关规定结转到下年或以后年度继续使用的资金。</w:t>
      </w:r>
    </w:p>
    <w:p w:rsidR="007454B8" w:rsidRDefault="00341F08">
      <w:pPr>
        <w:ind w:firstLineChars="200" w:firstLine="600"/>
        <w:rPr>
          <w:rFonts w:ascii="宋体" w:hAnsi="宋体" w:cs="宋体"/>
          <w:sz w:val="30"/>
          <w:szCs w:val="30"/>
        </w:rPr>
      </w:pPr>
      <w:r>
        <w:rPr>
          <w:rFonts w:ascii="宋体" w:hAnsi="宋体" w:cs="宋体" w:hint="eastAsia"/>
          <w:sz w:val="30"/>
          <w:szCs w:val="30"/>
        </w:rPr>
        <w:t>8.卫生健康支出（类）卫生健康管理事务（款）行政运行（项）：指反映行政单位的基本支出；卫生健康支出(类)公立医院（款）中医（民族）医院（项）：指反映卫生健康单位所属的中医院支出；卫生健康支出（类）基层医疗卫生机构（款）乡镇卫生院（项）：反映乡镇卫生院的支出；卫生健康支出（类）公共卫生（款）疾</w:t>
      </w:r>
      <w:r>
        <w:rPr>
          <w:rFonts w:ascii="宋体" w:hAnsi="宋体" w:cs="宋体" w:hint="eastAsia"/>
          <w:sz w:val="30"/>
          <w:szCs w:val="30"/>
        </w:rPr>
        <w:lastRenderedPageBreak/>
        <w:t>病预防控制机构（项）：反映卫生健康单位所属的疾病预防控制机构的支出；卫生健康支出（类）公共卫生（款）卫生监督机构（项）：反映卫生健康单位所属卫生监督机构的支出；卫生健康支出（类）公共卫生（款）妇幼保健机构（项）：反映卫生健康单位所属妇幼保健机构的支出；卫生健康支出（类）公共卫生（款）基本公共卫生服务（项）：反映乡镇卫生院、社区卫生机构开展基本公共卫生服务的支出；卫生健康支出（类）公共卫生（款）重大公共卫生专项（项）：反映重大疾病预防控制等重大公共卫生服务项目支出；卫生健康支出（类）中医药（款）中医药专项（项）：主要用于中医专项支出：卫生健康支出（类）基层医疗卫生机构（款）其他基层医疗卫生机构支出（项）：反映除乡镇卫生院、城市社区卫生机构以外的其他用于基层医疗卫生机构的支出；卫生健康支出（类）计划生育事务（款）其他计划生育事务支出（项）：反映计划生育服务支出；卫生健康支出（类）行政事业单位医疗（款）  事业单位医疗（项）：反映卫生健康支出中的在职人员医疗保险；卫生健康支出（类）行政事业单位医疗（款）其他卫生健康支出（项）反映基层医疗单位贫困人口体检支出：农林水支出（类）扶贫（款）其他扶贫支出（项）主要反映健康扶贫支出。</w:t>
      </w:r>
    </w:p>
    <w:p w:rsidR="007454B8" w:rsidRDefault="00341F08">
      <w:pPr>
        <w:ind w:firstLineChars="200" w:firstLine="600"/>
        <w:rPr>
          <w:rFonts w:ascii="宋体" w:hAnsi="宋体" w:cs="宋体"/>
          <w:sz w:val="30"/>
          <w:szCs w:val="30"/>
        </w:rPr>
      </w:pPr>
      <w:r>
        <w:rPr>
          <w:rFonts w:ascii="宋体" w:hAnsi="宋体" w:cs="宋体" w:hint="eastAsia"/>
          <w:sz w:val="30"/>
          <w:szCs w:val="30"/>
        </w:rPr>
        <w:t>9.社会保障和就业支出：反映政府在社会保障和就业方面的支出。</w:t>
      </w:r>
      <w:r>
        <w:rPr>
          <w:rFonts w:ascii="宋体" w:hAnsi="宋体" w:cs="宋体" w:hint="eastAsia"/>
          <w:sz w:val="30"/>
          <w:szCs w:val="30"/>
        </w:rPr>
        <w:br/>
        <w:t>社会保障和就业支出－行政事业单位离退休－机关事业单位基</w:t>
      </w:r>
      <w:r>
        <w:rPr>
          <w:rFonts w:ascii="宋体" w:hAnsi="宋体" w:cs="宋体" w:hint="eastAsia"/>
          <w:sz w:val="30"/>
          <w:szCs w:val="30"/>
        </w:rPr>
        <w:lastRenderedPageBreak/>
        <w:t>本养老保险缴费支出：反映机关事业单位实施养老保险制度由单位缴纳的基本养老保险支出；</w:t>
      </w:r>
      <w:r>
        <w:rPr>
          <w:rFonts w:ascii="宋体" w:hAnsi="宋体" w:cs="宋体" w:hint="eastAsia"/>
          <w:sz w:val="30"/>
          <w:szCs w:val="30"/>
        </w:rPr>
        <w:br/>
        <w:t xml:space="preserve">    10.住房保障支出：住房保障支出－住房改革支出－住房公积金：反映行政事业单位按人力资源和社会保障部、财政部规定的基本工资和津贴补贴以及规定比例为职工缴纳的住房公积金。</w:t>
      </w:r>
    </w:p>
    <w:p w:rsidR="007454B8" w:rsidRDefault="00341F08">
      <w:pPr>
        <w:ind w:firstLineChars="200" w:firstLine="600"/>
        <w:rPr>
          <w:rFonts w:ascii="宋体" w:hAnsi="宋体" w:cs="宋体"/>
          <w:sz w:val="30"/>
          <w:szCs w:val="30"/>
        </w:rPr>
      </w:pPr>
      <w:r>
        <w:rPr>
          <w:rFonts w:ascii="宋体" w:hAnsi="宋体" w:cs="宋体" w:hint="eastAsia"/>
          <w:sz w:val="30"/>
          <w:szCs w:val="30"/>
        </w:rPr>
        <w:t>11.基本支出：指为保障机构正常运转、完成日常工作任务而发生的人员支出和公用支出。</w:t>
      </w:r>
    </w:p>
    <w:p w:rsidR="007454B8" w:rsidRDefault="00341F08">
      <w:pPr>
        <w:ind w:firstLineChars="200" w:firstLine="600"/>
        <w:rPr>
          <w:rFonts w:ascii="宋体" w:hAnsi="宋体" w:cs="宋体"/>
          <w:sz w:val="30"/>
          <w:szCs w:val="30"/>
        </w:rPr>
      </w:pPr>
      <w:r>
        <w:rPr>
          <w:rFonts w:ascii="宋体" w:hAnsi="宋体" w:cs="宋体" w:hint="eastAsia"/>
          <w:sz w:val="30"/>
          <w:szCs w:val="30"/>
        </w:rPr>
        <w:t xml:space="preserve">12.项目支出：指在基本支出之外为完成特定行政任务和事业发展目标所发生的支出。 </w:t>
      </w:r>
    </w:p>
    <w:p w:rsidR="007454B8" w:rsidRDefault="00341F08">
      <w:pPr>
        <w:pStyle w:val="Default"/>
        <w:spacing w:line="560" w:lineRule="exact"/>
        <w:ind w:firstLineChars="200" w:firstLine="600"/>
        <w:rPr>
          <w:rFonts w:ascii="宋体" w:eastAsia="宋体" w:hAnsi="宋体" w:cs="宋体"/>
          <w:color w:val="auto"/>
          <w:kern w:val="2"/>
          <w:sz w:val="30"/>
          <w:szCs w:val="30"/>
        </w:rPr>
      </w:pPr>
      <w:r>
        <w:rPr>
          <w:rFonts w:ascii="宋体" w:eastAsia="宋体" w:hAnsi="宋体" w:cs="宋体" w:hint="eastAsia"/>
          <w:color w:val="auto"/>
          <w:kern w:val="2"/>
          <w:sz w:val="30"/>
          <w:szCs w:val="30"/>
        </w:rPr>
        <w:t>13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454B8" w:rsidRDefault="007454B8" w:rsidP="007119EE">
      <w:pPr>
        <w:pStyle w:val="Default"/>
        <w:spacing w:line="560" w:lineRule="exact"/>
        <w:ind w:firstLineChars="200" w:firstLine="600"/>
        <w:rPr>
          <w:rFonts w:ascii="宋体" w:eastAsia="宋体" w:hAnsi="宋体" w:cs="宋体" w:hint="eastAsia"/>
          <w:color w:val="auto"/>
          <w:kern w:val="2"/>
          <w:sz w:val="30"/>
          <w:szCs w:val="30"/>
        </w:rPr>
      </w:pPr>
      <w:bookmarkStart w:id="329" w:name="_Toc15822"/>
      <w:bookmarkStart w:id="330" w:name="_Toc30755"/>
      <w:bookmarkStart w:id="331" w:name="_Toc7148_WPSOffice_Level1"/>
      <w:bookmarkStart w:id="332" w:name="_Toc8154"/>
      <w:bookmarkStart w:id="333" w:name="_Toc4975"/>
      <w:bookmarkStart w:id="334" w:name="_Toc30080"/>
      <w:bookmarkStart w:id="335" w:name="_Toc12755"/>
      <w:bookmarkStart w:id="336" w:name="_Toc1807"/>
      <w:bookmarkStart w:id="337" w:name="_Toc19655"/>
      <w:bookmarkStart w:id="338" w:name="_Toc30355"/>
      <w:bookmarkStart w:id="339" w:name="_Toc31309"/>
      <w:bookmarkStart w:id="340" w:name="_Toc22408"/>
    </w:p>
    <w:p w:rsidR="007119EE" w:rsidRDefault="007119EE" w:rsidP="007119EE">
      <w:pPr>
        <w:pStyle w:val="Default"/>
        <w:spacing w:line="560" w:lineRule="exact"/>
        <w:ind w:firstLineChars="200" w:firstLine="600"/>
        <w:rPr>
          <w:rFonts w:ascii="宋体" w:eastAsia="宋体" w:hAnsi="宋体" w:cs="宋体" w:hint="eastAsia"/>
          <w:color w:val="auto"/>
          <w:kern w:val="2"/>
          <w:sz w:val="30"/>
          <w:szCs w:val="30"/>
        </w:rPr>
      </w:pPr>
    </w:p>
    <w:p w:rsidR="007119EE" w:rsidRDefault="007119EE" w:rsidP="007119EE">
      <w:pPr>
        <w:pStyle w:val="Default"/>
        <w:spacing w:line="560" w:lineRule="exact"/>
        <w:ind w:firstLineChars="200" w:firstLine="600"/>
        <w:rPr>
          <w:rFonts w:ascii="宋体" w:eastAsia="宋体" w:hAnsi="宋体" w:cs="宋体" w:hint="eastAsia"/>
          <w:color w:val="auto"/>
          <w:kern w:val="2"/>
          <w:sz w:val="30"/>
          <w:szCs w:val="30"/>
        </w:rPr>
      </w:pPr>
    </w:p>
    <w:p w:rsidR="007119EE" w:rsidRDefault="007119EE" w:rsidP="007119EE">
      <w:pPr>
        <w:pStyle w:val="Default"/>
        <w:spacing w:line="560" w:lineRule="exact"/>
        <w:ind w:firstLineChars="200" w:firstLine="600"/>
        <w:rPr>
          <w:rFonts w:ascii="宋体" w:eastAsia="宋体" w:hAnsi="宋体" w:cs="宋体" w:hint="eastAsia"/>
          <w:color w:val="auto"/>
          <w:kern w:val="2"/>
          <w:sz w:val="30"/>
          <w:szCs w:val="30"/>
        </w:rPr>
      </w:pPr>
    </w:p>
    <w:p w:rsidR="007119EE" w:rsidRDefault="007119EE" w:rsidP="007119EE">
      <w:pPr>
        <w:pStyle w:val="Default"/>
        <w:spacing w:line="560" w:lineRule="exact"/>
        <w:ind w:firstLineChars="200" w:firstLine="600"/>
        <w:rPr>
          <w:rFonts w:ascii="宋体" w:eastAsia="宋体" w:hAnsi="宋体" w:cs="宋体" w:hint="eastAsia"/>
          <w:color w:val="auto"/>
          <w:kern w:val="2"/>
          <w:sz w:val="30"/>
          <w:szCs w:val="30"/>
        </w:rPr>
      </w:pPr>
    </w:p>
    <w:p w:rsidR="007119EE" w:rsidRDefault="007119EE" w:rsidP="007119EE">
      <w:pPr>
        <w:pStyle w:val="Default"/>
        <w:spacing w:line="560" w:lineRule="exact"/>
        <w:ind w:firstLineChars="200" w:firstLine="600"/>
        <w:rPr>
          <w:rFonts w:ascii="宋体" w:eastAsia="宋体" w:hAnsi="宋体" w:cs="宋体" w:hint="eastAsia"/>
          <w:color w:val="auto"/>
          <w:kern w:val="2"/>
          <w:sz w:val="30"/>
          <w:szCs w:val="30"/>
        </w:rPr>
      </w:pPr>
    </w:p>
    <w:p w:rsidR="007119EE" w:rsidRDefault="007119EE" w:rsidP="007119EE">
      <w:pPr>
        <w:pStyle w:val="Default"/>
        <w:spacing w:line="560" w:lineRule="exact"/>
        <w:ind w:firstLineChars="200" w:firstLine="560"/>
        <w:rPr>
          <w:rFonts w:asciiTheme="minorEastAsia" w:eastAsiaTheme="minorEastAsia" w:hAnsiTheme="minorEastAsia" w:cstheme="minorEastAsia"/>
          <w:sz w:val="28"/>
          <w:szCs w:val="28"/>
        </w:rPr>
      </w:pPr>
    </w:p>
    <w:bookmarkEnd w:id="329"/>
    <w:bookmarkEnd w:id="330"/>
    <w:bookmarkEnd w:id="331"/>
    <w:bookmarkEnd w:id="332"/>
    <w:bookmarkEnd w:id="333"/>
    <w:bookmarkEnd w:id="334"/>
    <w:bookmarkEnd w:id="335"/>
    <w:bookmarkEnd w:id="336"/>
    <w:bookmarkEnd w:id="337"/>
    <w:bookmarkEnd w:id="338"/>
    <w:bookmarkEnd w:id="339"/>
    <w:bookmarkEnd w:id="340"/>
    <w:p w:rsidR="007454B8" w:rsidRDefault="00341F08">
      <w:pPr>
        <w:spacing w:line="600" w:lineRule="exact"/>
        <w:jc w:val="center"/>
        <w:outlineLvl w:val="0"/>
        <w:rPr>
          <w:rStyle w:val="1Char0"/>
          <w:rFonts w:ascii="黑体" w:eastAsia="黑体" w:hAnsi="黑体"/>
          <w:b w:val="0"/>
        </w:rPr>
      </w:pPr>
      <w:r>
        <w:rPr>
          <w:rFonts w:ascii="黑体" w:eastAsia="黑体" w:hAnsi="黑体" w:hint="eastAsia"/>
          <w:sz w:val="44"/>
          <w:szCs w:val="44"/>
        </w:rPr>
        <w:lastRenderedPageBreak/>
        <w:t>第</w:t>
      </w:r>
      <w:r>
        <w:rPr>
          <w:rStyle w:val="1Char0"/>
          <w:rFonts w:ascii="黑体" w:eastAsia="黑体" w:hAnsi="黑体" w:hint="eastAsia"/>
          <w:b w:val="0"/>
        </w:rPr>
        <w:t>四部分 附件</w:t>
      </w:r>
    </w:p>
    <w:p w:rsidR="007454B8" w:rsidRDefault="00341F08">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p w:rsidR="007454B8" w:rsidRDefault="007454B8"/>
    <w:tbl>
      <w:tblPr>
        <w:tblpPr w:leftFromText="180" w:rightFromText="180" w:vertAnchor="text" w:horzAnchor="page" w:tblpXSpec="center" w:tblpY="282"/>
        <w:tblOverlap w:val="never"/>
        <w:tblW w:w="10440" w:type="dxa"/>
        <w:jc w:val="center"/>
        <w:tblLook w:val="04A0"/>
      </w:tblPr>
      <w:tblGrid>
        <w:gridCol w:w="802"/>
        <w:gridCol w:w="494"/>
        <w:gridCol w:w="1122"/>
        <w:gridCol w:w="2096"/>
        <w:gridCol w:w="1601"/>
        <w:gridCol w:w="1348"/>
        <w:gridCol w:w="978"/>
        <w:gridCol w:w="1999"/>
      </w:tblGrid>
      <w:tr w:rsidR="007454B8">
        <w:trPr>
          <w:trHeight w:val="600"/>
          <w:jc w:val="center"/>
        </w:trPr>
        <w:tc>
          <w:tcPr>
            <w:tcW w:w="10440" w:type="dxa"/>
            <w:gridSpan w:val="8"/>
            <w:tcBorders>
              <w:top w:val="single" w:sz="4" w:space="0" w:color="auto"/>
              <w:left w:val="single" w:sz="4" w:space="0" w:color="auto"/>
              <w:bottom w:val="single" w:sz="4" w:space="0" w:color="auto"/>
              <w:right w:val="single" w:sz="4" w:space="0" w:color="auto"/>
            </w:tcBorders>
            <w:vAlign w:val="center"/>
          </w:tcPr>
          <w:p w:rsidR="007454B8" w:rsidRDefault="00341F08">
            <w:pPr>
              <w:widowControl/>
              <w:spacing w:line="580" w:lineRule="exact"/>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 xml:space="preserve">基本药物制度转移支付区域（项目）绩效目标自评表 </w:t>
            </w:r>
          </w:p>
        </w:tc>
      </w:tr>
      <w:tr w:rsidR="007454B8">
        <w:trPr>
          <w:trHeight w:val="432"/>
          <w:jc w:val="center"/>
        </w:trPr>
        <w:tc>
          <w:tcPr>
            <w:tcW w:w="10440" w:type="dxa"/>
            <w:gridSpan w:val="8"/>
            <w:tcBorders>
              <w:top w:val="single" w:sz="4" w:space="0" w:color="auto"/>
              <w:left w:val="single" w:sz="4" w:space="0" w:color="auto"/>
              <w:bottom w:val="single" w:sz="4" w:space="0" w:color="auto"/>
              <w:right w:val="single" w:sz="4" w:space="0" w:color="auto"/>
            </w:tcBorders>
          </w:tcPr>
          <w:p w:rsidR="007454B8" w:rsidRDefault="00341F08">
            <w:pPr>
              <w:widowControl/>
              <w:spacing w:line="580" w:lineRule="exact"/>
              <w:jc w:val="center"/>
              <w:textAlignment w:val="top"/>
              <w:rPr>
                <w:rFonts w:ascii="宋体" w:hAnsi="宋体" w:cs="宋体"/>
                <w:color w:val="000000"/>
                <w:sz w:val="22"/>
                <w:szCs w:val="22"/>
              </w:rPr>
            </w:pPr>
            <w:r>
              <w:rPr>
                <w:rFonts w:ascii="宋体" w:hAnsi="宋体" w:cs="宋体" w:hint="eastAsia"/>
                <w:color w:val="000000"/>
                <w:kern w:val="0"/>
                <w:sz w:val="22"/>
                <w:szCs w:val="22"/>
              </w:rPr>
              <w:t>（2021年度）</w:t>
            </w:r>
          </w:p>
        </w:tc>
      </w:tr>
      <w:tr w:rsidR="007454B8">
        <w:trPr>
          <w:trHeight w:val="400"/>
          <w:jc w:val="center"/>
        </w:trPr>
        <w:tc>
          <w:tcPr>
            <w:tcW w:w="2413" w:type="dxa"/>
            <w:gridSpan w:val="3"/>
            <w:tcBorders>
              <w:top w:val="single" w:sz="4" w:space="0" w:color="auto"/>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转移支付（项目）名称</w:t>
            </w:r>
          </w:p>
        </w:tc>
        <w:tc>
          <w:tcPr>
            <w:tcW w:w="8027" w:type="dxa"/>
            <w:gridSpan w:val="5"/>
            <w:tcBorders>
              <w:top w:val="single" w:sz="4" w:space="0" w:color="auto"/>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基本药物制度资金</w:t>
            </w:r>
          </w:p>
        </w:tc>
      </w:tr>
      <w:tr w:rsidR="007454B8">
        <w:trPr>
          <w:trHeight w:val="323"/>
          <w:jc w:val="center"/>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中央主管单位</w:t>
            </w:r>
          </w:p>
        </w:tc>
        <w:tc>
          <w:tcPr>
            <w:tcW w:w="8027" w:type="dxa"/>
            <w:gridSpan w:val="5"/>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国家卫健委</w:t>
            </w:r>
          </w:p>
        </w:tc>
      </w:tr>
      <w:tr w:rsidR="007454B8">
        <w:trPr>
          <w:trHeight w:val="323"/>
          <w:jc w:val="center"/>
        </w:trPr>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地方主管单位</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广元市昭化区卫健局</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资金使用单位</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基层医疗卫生机构</w:t>
            </w:r>
          </w:p>
        </w:tc>
      </w:tr>
      <w:tr w:rsidR="007454B8">
        <w:trPr>
          <w:trHeight w:val="323"/>
          <w:jc w:val="center"/>
        </w:trPr>
        <w:tc>
          <w:tcPr>
            <w:tcW w:w="2413" w:type="dxa"/>
            <w:gridSpan w:val="3"/>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资金情况</w:t>
            </w:r>
            <w:r>
              <w:rPr>
                <w:rFonts w:ascii="宋体" w:hAnsi="宋体" w:cs="宋体" w:hint="eastAsia"/>
                <w:color w:val="000000"/>
                <w:kern w:val="0"/>
                <w:sz w:val="20"/>
                <w:szCs w:val="20"/>
              </w:rPr>
              <w:br/>
              <w:t>（万元）</w:t>
            </w:r>
          </w:p>
        </w:tc>
        <w:tc>
          <w:tcPr>
            <w:tcW w:w="2098"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rPr>
                <w:rFonts w:ascii="宋体" w:hAnsi="宋体" w:cs="宋体"/>
                <w:color w:val="000000"/>
                <w:sz w:val="20"/>
                <w:szCs w:val="20"/>
              </w:rPr>
            </w:pPr>
          </w:p>
        </w:tc>
        <w:tc>
          <w:tcPr>
            <w:tcW w:w="1602"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全年预算数（A）</w:t>
            </w: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全年执行数（B）</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预算执行率（B/A)</w:t>
            </w:r>
          </w:p>
        </w:tc>
      </w:tr>
      <w:tr w:rsidR="007454B8">
        <w:trPr>
          <w:trHeight w:val="323"/>
          <w:jc w:val="center"/>
        </w:trPr>
        <w:tc>
          <w:tcPr>
            <w:tcW w:w="2413" w:type="dxa"/>
            <w:gridSpan w:val="3"/>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09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1602"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10.95</w:t>
            </w: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10.95</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r>
      <w:tr w:rsidR="007454B8">
        <w:trPr>
          <w:trHeight w:val="323"/>
          <w:jc w:val="center"/>
        </w:trPr>
        <w:tc>
          <w:tcPr>
            <w:tcW w:w="2413" w:type="dxa"/>
            <w:gridSpan w:val="3"/>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09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Style w:val="font91"/>
                <w:rFonts w:hint="default"/>
              </w:rPr>
              <w:t>其中：中央财政资金</w:t>
            </w:r>
          </w:p>
        </w:tc>
        <w:tc>
          <w:tcPr>
            <w:tcW w:w="1602"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8.76</w:t>
            </w: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8.76</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r>
      <w:tr w:rsidR="007454B8">
        <w:trPr>
          <w:trHeight w:val="323"/>
          <w:jc w:val="center"/>
        </w:trPr>
        <w:tc>
          <w:tcPr>
            <w:tcW w:w="2413" w:type="dxa"/>
            <w:gridSpan w:val="3"/>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09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Style w:val="font91"/>
                <w:rFonts w:hint="default"/>
              </w:rPr>
              <w:t xml:space="preserve">      地方资金</w:t>
            </w:r>
          </w:p>
        </w:tc>
        <w:tc>
          <w:tcPr>
            <w:tcW w:w="1602"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2.19</w:t>
            </w: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2.19</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r>
      <w:tr w:rsidR="007454B8">
        <w:trPr>
          <w:trHeight w:val="323"/>
          <w:jc w:val="center"/>
        </w:trPr>
        <w:tc>
          <w:tcPr>
            <w:tcW w:w="2413" w:type="dxa"/>
            <w:gridSpan w:val="3"/>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09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Style w:val="font91"/>
                <w:rFonts w:hint="default"/>
              </w:rPr>
              <w:t xml:space="preserve">  其他资金</w:t>
            </w:r>
          </w:p>
        </w:tc>
        <w:tc>
          <w:tcPr>
            <w:tcW w:w="1602"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left"/>
              <w:rPr>
                <w:rFonts w:ascii="宋体" w:hAnsi="宋体" w:cs="宋体"/>
                <w:color w:val="000000"/>
                <w:sz w:val="20"/>
                <w:szCs w:val="20"/>
              </w:rPr>
            </w:pPr>
          </w:p>
        </w:tc>
      </w:tr>
      <w:tr w:rsidR="007454B8">
        <w:trPr>
          <w:trHeight w:val="323"/>
          <w:jc w:val="center"/>
        </w:trPr>
        <w:tc>
          <w:tcPr>
            <w:tcW w:w="796" w:type="dxa"/>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总体目标完成情况</w:t>
            </w:r>
          </w:p>
        </w:tc>
        <w:tc>
          <w:tcPr>
            <w:tcW w:w="5317" w:type="dxa"/>
            <w:gridSpan w:val="4"/>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总体目标</w:t>
            </w:r>
          </w:p>
        </w:tc>
        <w:tc>
          <w:tcPr>
            <w:tcW w:w="4327" w:type="dxa"/>
            <w:gridSpan w:val="3"/>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全年实际完成情况</w:t>
            </w:r>
          </w:p>
        </w:tc>
      </w:tr>
      <w:tr w:rsidR="007454B8">
        <w:trPr>
          <w:trHeight w:val="2855"/>
          <w:jc w:val="center"/>
        </w:trPr>
        <w:tc>
          <w:tcPr>
            <w:tcW w:w="796"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5317" w:type="dxa"/>
            <w:gridSpan w:val="4"/>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目标1：保证所有政府办基层医疗卫生机构实施国家基本药物制度，推进综合改革顺利进行；  目标2：对实施国家基本药物制度的村卫生室给予补助，支持国家基本药物制度在村卫生室顺利实施；</w:t>
            </w:r>
          </w:p>
        </w:tc>
        <w:tc>
          <w:tcPr>
            <w:tcW w:w="4327" w:type="dxa"/>
            <w:gridSpan w:val="3"/>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全乡5个村卫生站、全面实施国家基本药物制度，确保基本药物制度的实施，解决了老百姓看病贵的问题，稳定了乡村医生的收入。</w:t>
            </w:r>
          </w:p>
        </w:tc>
      </w:tr>
      <w:tr w:rsidR="007454B8">
        <w:trPr>
          <w:trHeight w:val="522"/>
          <w:jc w:val="center"/>
        </w:trPr>
        <w:tc>
          <w:tcPr>
            <w:tcW w:w="79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绩效指标</w:t>
            </w:r>
          </w:p>
        </w:tc>
        <w:tc>
          <w:tcPr>
            <w:tcW w:w="494"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一级</w:t>
            </w:r>
            <w:r>
              <w:rPr>
                <w:rFonts w:ascii="宋体" w:hAnsi="宋体" w:cs="宋体" w:hint="eastAsia"/>
                <w:color w:val="000000"/>
                <w:kern w:val="0"/>
                <w:sz w:val="20"/>
                <w:szCs w:val="20"/>
              </w:rPr>
              <w:br/>
              <w:t>指</w:t>
            </w:r>
            <w:r>
              <w:rPr>
                <w:rFonts w:ascii="宋体" w:hAnsi="宋体" w:cs="宋体" w:hint="eastAsia"/>
                <w:color w:val="000000"/>
                <w:kern w:val="0"/>
                <w:sz w:val="20"/>
                <w:szCs w:val="20"/>
              </w:rPr>
              <w:lastRenderedPageBreak/>
              <w:t>标</w:t>
            </w: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二级指标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三级指标</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指标值</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全年实际完成值</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未完成原因和改进措施</w:t>
            </w:r>
          </w:p>
        </w:tc>
      </w:tr>
      <w:tr w:rsidR="007454B8">
        <w:trPr>
          <w:trHeight w:val="46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p>
        </w:tc>
        <w:tc>
          <w:tcPr>
            <w:tcW w:w="1123" w:type="dxa"/>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政府办基层医疗卫生机构基本药物制度覆盖率</w:t>
            </w:r>
          </w:p>
        </w:tc>
        <w:tc>
          <w:tcPr>
            <w:tcW w:w="1349" w:type="dxa"/>
            <w:tcBorders>
              <w:top w:val="single" w:sz="4" w:space="0" w:color="000000"/>
              <w:left w:val="nil"/>
              <w:bottom w:val="single" w:sz="4" w:space="0" w:color="000000"/>
              <w:right w:val="nil"/>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46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村卫生室国家基本药物制度覆盖率</w:t>
            </w:r>
          </w:p>
        </w:tc>
        <w:tc>
          <w:tcPr>
            <w:tcW w:w="1349" w:type="dxa"/>
            <w:tcBorders>
              <w:top w:val="single" w:sz="4" w:space="0" w:color="000000"/>
              <w:left w:val="nil"/>
              <w:bottom w:val="single" w:sz="4" w:space="0" w:color="000000"/>
              <w:right w:val="nil"/>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42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目录药品质量合格率</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42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补助资金下达率</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42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严格按照上级补助全额兑现</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100%</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50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效</w:t>
            </w:r>
            <w:r>
              <w:rPr>
                <w:rFonts w:ascii="宋体" w:hAnsi="宋体" w:cs="宋体" w:hint="eastAsia"/>
                <w:color w:val="000000"/>
                <w:kern w:val="0"/>
                <w:sz w:val="20"/>
                <w:szCs w:val="20"/>
              </w:rPr>
              <w:br/>
              <w:t>益</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乡村医生收入</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保持稳定</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完成</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r>
      <w:tr w:rsidR="007454B8">
        <w:trPr>
          <w:trHeight w:val="34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vMerge w:val="restart"/>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可持续影响指标</w:t>
            </w: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国家基本药物制度在基层持续实施</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中长期</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完成</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r>
      <w:tr w:rsidR="007454B8">
        <w:trPr>
          <w:trHeight w:val="34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降低患者的医疗费用</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有效</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完成</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r>
      <w:tr w:rsidR="007454B8">
        <w:trPr>
          <w:trHeight w:val="34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c>
          <w:tcPr>
            <w:tcW w:w="3700" w:type="dxa"/>
            <w:gridSpan w:val="2"/>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保证药品安全、有效、经济</w:t>
            </w:r>
          </w:p>
        </w:tc>
        <w:tc>
          <w:tcPr>
            <w:tcW w:w="1349"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长期</w:t>
            </w:r>
          </w:p>
        </w:tc>
        <w:tc>
          <w:tcPr>
            <w:tcW w:w="978"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完成</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7454B8">
            <w:pPr>
              <w:spacing w:line="580" w:lineRule="exact"/>
              <w:jc w:val="center"/>
              <w:rPr>
                <w:rFonts w:ascii="宋体" w:hAnsi="宋体" w:cs="宋体"/>
                <w:color w:val="000000"/>
                <w:sz w:val="20"/>
                <w:szCs w:val="20"/>
              </w:rPr>
            </w:pPr>
          </w:p>
        </w:tc>
      </w:tr>
      <w:tr w:rsidR="007454B8">
        <w:trPr>
          <w:trHeight w:val="2890"/>
          <w:jc w:val="center"/>
        </w:trPr>
        <w:tc>
          <w:tcPr>
            <w:tcW w:w="796" w:type="dxa"/>
            <w:vMerge/>
            <w:tcBorders>
              <w:top w:val="single" w:sz="4" w:space="0" w:color="000000"/>
              <w:left w:val="single" w:sz="4" w:space="0" w:color="000000"/>
              <w:bottom w:val="single" w:sz="4" w:space="0" w:color="000000"/>
              <w:right w:val="single" w:sz="4" w:space="0" w:color="000000"/>
            </w:tcBorders>
            <w:textDirection w:val="tbRlV"/>
            <w:vAlign w:val="center"/>
          </w:tcPr>
          <w:p w:rsidR="007454B8" w:rsidRDefault="007454B8">
            <w:pPr>
              <w:spacing w:line="580" w:lineRule="exact"/>
              <w:jc w:val="center"/>
              <w:rPr>
                <w:rFonts w:ascii="宋体" w:hAnsi="宋体" w:cs="宋体"/>
                <w:color w:val="000000"/>
                <w:sz w:val="20"/>
                <w:szCs w:val="20"/>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满意度指标</w:t>
            </w:r>
          </w:p>
        </w:tc>
        <w:tc>
          <w:tcPr>
            <w:tcW w:w="1123"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服务对象</w:t>
            </w:r>
            <w:r>
              <w:rPr>
                <w:rFonts w:ascii="宋体" w:hAnsi="宋体" w:cs="宋体" w:hint="eastAsia"/>
                <w:color w:val="000000"/>
                <w:kern w:val="0"/>
                <w:sz w:val="20"/>
                <w:szCs w:val="20"/>
              </w:rPr>
              <w:br/>
              <w:t>满意度指标</w:t>
            </w:r>
          </w:p>
        </w:tc>
        <w:tc>
          <w:tcPr>
            <w:tcW w:w="3700" w:type="dxa"/>
            <w:gridSpan w:val="2"/>
            <w:tcBorders>
              <w:top w:val="single" w:sz="4" w:space="0" w:color="000000"/>
              <w:left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受益群众满意度</w:t>
            </w:r>
          </w:p>
        </w:tc>
        <w:tc>
          <w:tcPr>
            <w:tcW w:w="1349" w:type="dxa"/>
            <w:tcBorders>
              <w:top w:val="single" w:sz="4" w:space="0" w:color="000000"/>
              <w:left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95</w:t>
            </w:r>
            <w:bookmarkStart w:id="341" w:name="_GoBack"/>
            <w:bookmarkEnd w:id="341"/>
            <w:r>
              <w:rPr>
                <w:rFonts w:ascii="宋体" w:hAnsi="宋体" w:cs="宋体" w:hint="eastAsia"/>
                <w:color w:val="000000"/>
                <w:kern w:val="0"/>
                <w:sz w:val="20"/>
                <w:szCs w:val="20"/>
              </w:rPr>
              <w:t>%</w:t>
            </w:r>
          </w:p>
        </w:tc>
        <w:tc>
          <w:tcPr>
            <w:tcW w:w="978" w:type="dxa"/>
            <w:tcBorders>
              <w:top w:val="single" w:sz="4" w:space="0" w:color="000000"/>
              <w:left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95%</w:t>
            </w:r>
          </w:p>
        </w:tc>
        <w:tc>
          <w:tcPr>
            <w:tcW w:w="2000" w:type="dxa"/>
            <w:tcBorders>
              <w:top w:val="single" w:sz="4" w:space="0" w:color="000000"/>
              <w:left w:val="single" w:sz="4" w:space="0" w:color="000000"/>
              <w:bottom w:val="single" w:sz="4" w:space="0" w:color="000000"/>
              <w:right w:val="single" w:sz="4" w:space="0" w:color="000000"/>
            </w:tcBorders>
            <w:vAlign w:val="center"/>
          </w:tcPr>
          <w:p w:rsidR="007454B8" w:rsidRDefault="00341F08">
            <w:pPr>
              <w:spacing w:line="580" w:lineRule="exact"/>
              <w:jc w:val="center"/>
              <w:rPr>
                <w:rFonts w:ascii="宋体" w:hAnsi="宋体" w:cs="宋体"/>
                <w:color w:val="000000"/>
                <w:sz w:val="20"/>
                <w:szCs w:val="20"/>
              </w:rPr>
            </w:pPr>
            <w:r>
              <w:rPr>
                <w:rFonts w:ascii="宋体" w:hAnsi="宋体" w:cs="宋体" w:hint="eastAsia"/>
                <w:color w:val="000000"/>
                <w:sz w:val="20"/>
                <w:szCs w:val="20"/>
              </w:rPr>
              <w:t>完成</w:t>
            </w:r>
          </w:p>
        </w:tc>
      </w:tr>
      <w:tr w:rsidR="007454B8">
        <w:trPr>
          <w:trHeight w:val="340"/>
          <w:jc w:val="center"/>
        </w:trPr>
        <w:tc>
          <w:tcPr>
            <w:tcW w:w="796" w:type="dxa"/>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说明</w:t>
            </w:r>
          </w:p>
        </w:tc>
        <w:tc>
          <w:tcPr>
            <w:tcW w:w="9644" w:type="dxa"/>
            <w:gridSpan w:val="7"/>
            <w:tcBorders>
              <w:top w:val="single" w:sz="4" w:space="0" w:color="000000"/>
              <w:left w:val="single" w:sz="4" w:space="0" w:color="000000"/>
              <w:bottom w:val="single" w:sz="4" w:space="0" w:color="000000"/>
              <w:right w:val="single" w:sz="4" w:space="0" w:color="000000"/>
            </w:tcBorders>
            <w:vAlign w:val="center"/>
          </w:tcPr>
          <w:p w:rsidR="007454B8" w:rsidRDefault="00341F08">
            <w:pPr>
              <w:widowControl/>
              <w:spacing w:line="5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无</w:t>
            </w:r>
          </w:p>
        </w:tc>
      </w:tr>
    </w:tbl>
    <w:p w:rsidR="007454B8" w:rsidRDefault="007454B8" w:rsidP="00423CCB">
      <w:pPr>
        <w:ind w:leftChars="200" w:left="420"/>
      </w:pPr>
    </w:p>
    <w:p w:rsidR="007454B8" w:rsidRDefault="007454B8">
      <w:pPr>
        <w:pStyle w:val="2"/>
        <w:ind w:firstLineChars="0" w:firstLine="0"/>
      </w:pPr>
    </w:p>
    <w:p w:rsidR="007454B8" w:rsidRDefault="007454B8"/>
    <w:p w:rsidR="007454B8" w:rsidRDefault="007454B8">
      <w:pPr>
        <w:pStyle w:val="2"/>
        <w:ind w:firstLineChars="0" w:firstLine="0"/>
      </w:pPr>
    </w:p>
    <w:tbl>
      <w:tblPr>
        <w:tblpPr w:leftFromText="180" w:rightFromText="180" w:vertAnchor="text" w:horzAnchor="page" w:tblpX="608" w:tblpY="378"/>
        <w:tblOverlap w:val="never"/>
        <w:tblW w:w="10680" w:type="dxa"/>
        <w:tblLayout w:type="fixed"/>
        <w:tblCellMar>
          <w:left w:w="0" w:type="dxa"/>
          <w:right w:w="0" w:type="dxa"/>
        </w:tblCellMar>
        <w:tblLook w:val="04A0"/>
      </w:tblPr>
      <w:tblGrid>
        <w:gridCol w:w="975"/>
        <w:gridCol w:w="1290"/>
        <w:gridCol w:w="915"/>
        <w:gridCol w:w="3660"/>
        <w:gridCol w:w="999"/>
        <w:gridCol w:w="2841"/>
      </w:tblGrid>
      <w:tr w:rsidR="007454B8">
        <w:trPr>
          <w:trHeight w:val="888"/>
        </w:trPr>
        <w:tc>
          <w:tcPr>
            <w:tcW w:w="10680" w:type="dxa"/>
            <w:gridSpan w:val="6"/>
            <w:tcMar>
              <w:top w:w="15" w:type="dxa"/>
              <w:left w:w="15" w:type="dxa"/>
              <w:bottom w:w="0" w:type="dxa"/>
              <w:right w:w="15" w:type="dxa"/>
            </w:tcMar>
            <w:vAlign w:val="center"/>
          </w:tcPr>
          <w:p w:rsidR="007454B8" w:rsidRDefault="00341F08">
            <w:pPr>
              <w:pStyle w:val="ac"/>
              <w:widowControl/>
              <w:ind w:firstLineChars="0" w:firstLine="0"/>
              <w:jc w:val="center"/>
              <w:textAlignment w:val="center"/>
              <w:rPr>
                <w:rFonts w:ascii="宋体" w:hAnsi="宋体" w:cs="宋体"/>
                <w:sz w:val="36"/>
                <w:szCs w:val="36"/>
              </w:rPr>
            </w:pPr>
            <w:r>
              <w:rPr>
                <w:rFonts w:ascii="黑体" w:eastAsia="黑体" w:hAnsi="黑体" w:cs="宋体" w:hint="eastAsia"/>
                <w:bCs/>
                <w:kern w:val="0"/>
                <w:sz w:val="36"/>
                <w:szCs w:val="36"/>
              </w:rPr>
              <w:t>项目支出绩效目标完成情况表</w:t>
            </w:r>
            <w:r>
              <w:rPr>
                <w:rFonts w:ascii="宋体" w:hAnsi="宋体" w:cs="宋体" w:hint="eastAsia"/>
                <w:b/>
                <w:bCs/>
                <w:kern w:val="0"/>
                <w:sz w:val="36"/>
                <w:szCs w:val="36"/>
              </w:rPr>
              <w:br/>
            </w:r>
            <w:r>
              <w:rPr>
                <w:rFonts w:ascii="宋体" w:hAnsi="宋体" w:cs="宋体" w:hint="eastAsia"/>
                <w:kern w:val="0"/>
                <w:sz w:val="36"/>
                <w:szCs w:val="36"/>
              </w:rPr>
              <w:lastRenderedPageBreak/>
              <w:t>(2021年度）</w:t>
            </w:r>
          </w:p>
        </w:tc>
      </w:tr>
      <w:tr w:rsidR="007454B8">
        <w:trPr>
          <w:trHeight w:val="276"/>
        </w:trPr>
        <w:tc>
          <w:tcPr>
            <w:tcW w:w="318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项目名称</w:t>
            </w:r>
          </w:p>
        </w:tc>
        <w:tc>
          <w:tcPr>
            <w:tcW w:w="75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国家基本公共卫生免费服务项目</w:t>
            </w:r>
          </w:p>
        </w:tc>
      </w:tr>
      <w:tr w:rsidR="007454B8">
        <w:trPr>
          <w:trHeight w:val="276"/>
        </w:trPr>
        <w:tc>
          <w:tcPr>
            <w:tcW w:w="318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预算单位</w:t>
            </w:r>
          </w:p>
        </w:tc>
        <w:tc>
          <w:tcPr>
            <w:tcW w:w="75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陈江乡卫生院</w:t>
            </w:r>
          </w:p>
        </w:tc>
      </w:tr>
      <w:tr w:rsidR="007454B8">
        <w:trPr>
          <w:trHeight w:val="276"/>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预算执行情况（万元）</w:t>
            </w: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预算数：</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25.90</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执行数：</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25.90</w:t>
            </w:r>
          </w:p>
        </w:tc>
      </w:tr>
      <w:tr w:rsidR="007454B8">
        <w:trPr>
          <w:trHeight w:val="276"/>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其中－财政拨款：</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25.90</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其中－财政拨款：</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25.90</w:t>
            </w:r>
          </w:p>
        </w:tc>
      </w:tr>
      <w:tr w:rsidR="007454B8">
        <w:trPr>
          <w:trHeight w:val="576"/>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22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其他资金：</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无</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其他资金：</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无</w:t>
            </w:r>
          </w:p>
        </w:tc>
      </w:tr>
      <w:tr w:rsidR="007454B8">
        <w:trPr>
          <w:trHeight w:val="510"/>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年度目标完成情况</w:t>
            </w:r>
          </w:p>
        </w:tc>
        <w:tc>
          <w:tcPr>
            <w:tcW w:w="58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预期目标</w:t>
            </w:r>
          </w:p>
        </w:tc>
        <w:tc>
          <w:tcPr>
            <w:tcW w:w="384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实际完成目标</w:t>
            </w:r>
          </w:p>
        </w:tc>
      </w:tr>
      <w:tr w:rsidR="007454B8">
        <w:trPr>
          <w:trHeight w:val="5370"/>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58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提高基本公共卫生服务项目均等化水平，规范公共卫生服务行为，推进基本公共卫生服务项目开展，加强孕产妇健康管理和儿童健康管理，全面完成2020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384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rsidR="007454B8">
        <w:trPr>
          <w:trHeight w:val="850"/>
        </w:trPr>
        <w:tc>
          <w:tcPr>
            <w:tcW w:w="97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绩效指标完成情况</w:t>
            </w: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一级指标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二级指标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三级指标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预期指标值（包含数字及文字描述）</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实际完成指标值（包含数字及文字描述）</w:t>
            </w:r>
          </w:p>
        </w:tc>
      </w:tr>
      <w:tr w:rsidR="007454B8">
        <w:trPr>
          <w:trHeight w:val="779"/>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适龄人群国家免疫规划疫苗接种率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≥90%以上</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92%，完成指标</w:t>
            </w:r>
          </w:p>
        </w:tc>
      </w:tr>
      <w:tr w:rsidR="007454B8">
        <w:trPr>
          <w:trHeight w:val="710"/>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65岁以上老年人健康管理率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≥70%以上</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75.65%，完成指标</w:t>
            </w:r>
          </w:p>
        </w:tc>
      </w:tr>
      <w:tr w:rsidR="007454B8">
        <w:trPr>
          <w:trHeight w:val="923"/>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中医药健康管理服务目标人群覆盖率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老年人：65.97%；0-36个月儿童：68.72%，</w:t>
            </w:r>
          </w:p>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634"/>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预防接种管理率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≥90%以上</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92%，完成指标</w:t>
            </w:r>
          </w:p>
        </w:tc>
      </w:tr>
      <w:tr w:rsidR="007454B8">
        <w:trPr>
          <w:trHeight w:val="758"/>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高血压患者健康管理率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71.52%，完成指标</w:t>
            </w:r>
          </w:p>
        </w:tc>
      </w:tr>
      <w:tr w:rsidR="007454B8">
        <w:trPr>
          <w:trHeight w:val="634"/>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高血压患者健康管理人数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156人</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156人</w:t>
            </w:r>
          </w:p>
        </w:tc>
      </w:tr>
      <w:tr w:rsidR="007454B8">
        <w:trPr>
          <w:trHeight w:val="516"/>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糖尿病患者健康管理率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73.60%，完成指标</w:t>
            </w:r>
          </w:p>
        </w:tc>
      </w:tr>
      <w:tr w:rsidR="007454B8">
        <w:trPr>
          <w:trHeight w:val="455"/>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糖尿病患者健康管理人数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30人</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30人</w:t>
            </w:r>
          </w:p>
        </w:tc>
      </w:tr>
      <w:tr w:rsidR="007454B8">
        <w:trPr>
          <w:trHeight w:val="533"/>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严重精神障碍患者管理率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84.02%，完成指标</w:t>
            </w:r>
          </w:p>
        </w:tc>
      </w:tr>
      <w:tr w:rsidR="007454B8">
        <w:trPr>
          <w:trHeight w:val="566"/>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严重精神障碍患者健康管理人数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20人</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20人</w:t>
            </w:r>
          </w:p>
        </w:tc>
      </w:tr>
      <w:tr w:rsidR="007454B8">
        <w:trPr>
          <w:trHeight w:val="689"/>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居民健康档案规范化电子建档率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98.59%，完成指标</w:t>
            </w:r>
          </w:p>
        </w:tc>
      </w:tr>
      <w:tr w:rsidR="007454B8">
        <w:trPr>
          <w:trHeight w:val="685"/>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儿童健康管理率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86.34%，完成指标</w:t>
            </w:r>
          </w:p>
        </w:tc>
      </w:tr>
      <w:tr w:rsidR="007454B8">
        <w:trPr>
          <w:trHeight w:val="579"/>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孕产妇健康管理率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85.95%，完成指标</w:t>
            </w:r>
          </w:p>
        </w:tc>
      </w:tr>
      <w:tr w:rsidR="007454B8">
        <w:trPr>
          <w:trHeight w:val="579"/>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传染病及突发公共卫生事件报告和处理率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474"/>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结核病患者健康管理率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538"/>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慢性病患者提供规范随访次数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4次及以上，完成指标</w:t>
            </w:r>
          </w:p>
        </w:tc>
      </w:tr>
      <w:tr w:rsidR="007454B8">
        <w:trPr>
          <w:trHeight w:val="593"/>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慢性病患者提供健康体检次数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721"/>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严重精神障碍患者提供规范随访次数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4次及以上，完成指标</w:t>
            </w:r>
          </w:p>
        </w:tc>
      </w:tr>
      <w:tr w:rsidR="007454B8">
        <w:trPr>
          <w:trHeight w:val="820"/>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严重精神障碍患者提供健康体检次数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655"/>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卫生监督协管信息报告率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642"/>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卫生监督协管巡查次数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655"/>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孕产妇孕期保健次数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632"/>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数量指标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产后访视次数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2次</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591"/>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高血压患者规范管理率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72.47%，完成指标</w:t>
            </w:r>
          </w:p>
        </w:tc>
      </w:tr>
      <w:tr w:rsidR="007454B8">
        <w:trPr>
          <w:trHeight w:val="579"/>
        </w:trPr>
        <w:tc>
          <w:tcPr>
            <w:tcW w:w="975" w:type="dxa"/>
            <w:vMerge/>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糖尿病患者规范管理率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66.65%，完成指标</w:t>
            </w:r>
          </w:p>
        </w:tc>
      </w:tr>
      <w:tr w:rsidR="007454B8">
        <w:trPr>
          <w:trHeight w:val="573"/>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老年人健康管理率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75.65%，完成指标</w:t>
            </w:r>
          </w:p>
        </w:tc>
      </w:tr>
      <w:tr w:rsidR="007454B8">
        <w:trPr>
          <w:trHeight w:val="519"/>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高血压患者健康管理率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72.47%，完成指标</w:t>
            </w:r>
          </w:p>
        </w:tc>
      </w:tr>
      <w:tr w:rsidR="007454B8">
        <w:trPr>
          <w:trHeight w:val="367"/>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糖尿病患者健康管理率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66.65%，完成指标</w:t>
            </w:r>
          </w:p>
        </w:tc>
      </w:tr>
      <w:tr w:rsidR="007454B8">
        <w:trPr>
          <w:trHeight w:val="559"/>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严重精神障碍患者管理率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84.11%，完成指标</w:t>
            </w:r>
          </w:p>
        </w:tc>
      </w:tr>
      <w:tr w:rsidR="007454B8">
        <w:trPr>
          <w:trHeight w:val="38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传染病及突发公共卫生事件报告和处理率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463"/>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结核病患者健康管理率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601"/>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建档立卡贫困人口家庭医生签约率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546"/>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居民健康档案规范化电子建档率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98.59%，完成指标</w:t>
            </w:r>
          </w:p>
        </w:tc>
      </w:tr>
      <w:tr w:rsidR="007454B8">
        <w:trPr>
          <w:trHeight w:val="518"/>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儿童健康管理率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86.34%，完成指标</w:t>
            </w:r>
          </w:p>
        </w:tc>
      </w:tr>
      <w:tr w:rsidR="007454B8">
        <w:trPr>
          <w:trHeight w:val="468"/>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孕产妇健康管理率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85.95%，完成指标</w:t>
            </w:r>
          </w:p>
        </w:tc>
      </w:tr>
      <w:tr w:rsidR="007454B8">
        <w:trPr>
          <w:trHeight w:val="546"/>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新生儿访视率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86.05%，完成指标</w:t>
            </w:r>
          </w:p>
        </w:tc>
      </w:tr>
      <w:tr w:rsidR="007454B8">
        <w:trPr>
          <w:trHeight w:val="504"/>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0-6岁儿童健康管理率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86.34%，完成指标</w:t>
            </w:r>
          </w:p>
        </w:tc>
      </w:tr>
      <w:tr w:rsidR="007454B8">
        <w:trPr>
          <w:trHeight w:val="436"/>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产后访视率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85.95%，完成指标</w:t>
            </w:r>
          </w:p>
        </w:tc>
      </w:tr>
      <w:tr w:rsidR="007454B8">
        <w:trPr>
          <w:trHeight w:val="105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开展卫生监督协管工作年度内报告的有关事件或线索的次数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105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产出指标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年度内开展生活饮用水卫生、学校卫生、非法行医、计划生育、非法采供血实地巡</w:t>
            </w:r>
            <w:r>
              <w:rPr>
                <w:rFonts w:ascii="宋体" w:hAnsi="宋体" w:cs="宋体" w:hint="eastAsia"/>
                <w:color w:val="000000"/>
                <w:kern w:val="0"/>
                <w:sz w:val="20"/>
                <w:szCs w:val="20"/>
              </w:rPr>
              <w:lastRenderedPageBreak/>
              <w:t>查和信息报告工作</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100%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100%，完成指标</w:t>
            </w:r>
          </w:p>
        </w:tc>
      </w:tr>
      <w:tr w:rsidR="007454B8">
        <w:trPr>
          <w:trHeight w:val="105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实效指标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甲类传染病、乙类传染病中的肺炭疽、非典型肺炎疫情报告时限</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2小时内</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505"/>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实效指标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乙类传染病和丙类传染病疫情报告时限</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24小时内</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601"/>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实效指标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卫生监督信息上报时效</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5个工作日内</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完成指标</w:t>
            </w:r>
          </w:p>
        </w:tc>
      </w:tr>
      <w:tr w:rsidR="007454B8">
        <w:trPr>
          <w:trHeight w:val="931"/>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社会效益指标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病原学阳性肺结核患者治愈率和病原学阴性肺结核治疗成功率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91%，完成指标</w:t>
            </w:r>
          </w:p>
        </w:tc>
      </w:tr>
      <w:tr w:rsidR="007454B8">
        <w:trPr>
          <w:trHeight w:val="642"/>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居民健康保健意识和健康知识知晓率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逐步提高</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75%，完成指标</w:t>
            </w:r>
          </w:p>
        </w:tc>
      </w:tr>
      <w:tr w:rsidR="007454B8">
        <w:trPr>
          <w:trHeight w:val="711"/>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建档立卡贫困人口健康保健意识和健康知识知晓率</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大幅度提高</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85%，完成指标</w:t>
            </w:r>
          </w:p>
        </w:tc>
      </w:tr>
      <w:tr w:rsidR="007454B8">
        <w:trPr>
          <w:trHeight w:val="518"/>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建立全县各乡镇卫生监督协管站</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5个</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5个，完成指标</w:t>
            </w:r>
          </w:p>
        </w:tc>
      </w:tr>
      <w:tr w:rsidR="007454B8">
        <w:trPr>
          <w:trHeight w:val="408"/>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居民健康水平提高</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中长期</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逐步提高</w:t>
            </w:r>
          </w:p>
        </w:tc>
      </w:tr>
      <w:tr w:rsidR="007454B8">
        <w:trPr>
          <w:trHeight w:val="45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公共卫生均等化水平提高</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中长期</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逐步提高</w:t>
            </w:r>
          </w:p>
        </w:tc>
      </w:tr>
      <w:tr w:rsidR="007454B8">
        <w:trPr>
          <w:trHeight w:val="1050"/>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效益指标</w:t>
            </w:r>
          </w:p>
        </w:tc>
        <w:tc>
          <w:tcPr>
            <w:tcW w:w="915"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建立健全“责权明晰、任务明确、工作规范、上下联动、运转高效”的卫生监督体系，为广大群众提供公共卫生安全保障</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长期</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逐步提高</w:t>
            </w:r>
          </w:p>
        </w:tc>
      </w:tr>
      <w:tr w:rsidR="007454B8">
        <w:trPr>
          <w:trHeight w:val="583"/>
        </w:trPr>
        <w:tc>
          <w:tcPr>
            <w:tcW w:w="975" w:type="dxa"/>
            <w:tcBorders>
              <w:top w:val="single" w:sz="4" w:space="0" w:color="000000"/>
              <w:left w:val="single" w:sz="4" w:space="0" w:color="000000"/>
              <w:bottom w:val="single" w:sz="4" w:space="0" w:color="000000"/>
              <w:right w:val="single" w:sz="4" w:space="0" w:color="000000"/>
            </w:tcBorders>
            <w:vAlign w:val="center"/>
          </w:tcPr>
          <w:p w:rsidR="007454B8" w:rsidRDefault="007454B8">
            <w:pPr>
              <w:widowControl/>
              <w:spacing w:line="580" w:lineRule="exact"/>
              <w:jc w:val="center"/>
              <w:textAlignment w:val="center"/>
              <w:rPr>
                <w:rFonts w:ascii="宋体" w:hAnsi="宋体" w:cs="宋体"/>
                <w:color w:val="000000"/>
                <w:kern w:val="0"/>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满意度指标</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服务对象</w:t>
            </w:r>
            <w:r>
              <w:rPr>
                <w:rFonts w:ascii="宋体" w:hAnsi="宋体" w:cs="宋体" w:hint="eastAsia"/>
                <w:color w:val="000000"/>
                <w:kern w:val="0"/>
                <w:sz w:val="20"/>
                <w:szCs w:val="20"/>
              </w:rPr>
              <w:br/>
              <w:t>满意度指标</w:t>
            </w:r>
          </w:p>
        </w:tc>
        <w:tc>
          <w:tcPr>
            <w:tcW w:w="36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居民满意度、建档立卡贫困户满意度。</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2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454B8" w:rsidRDefault="00341F08">
            <w:pPr>
              <w:widowControl/>
              <w:spacing w:line="5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r>
    </w:tbl>
    <w:p w:rsidR="007454B8" w:rsidRDefault="007454B8">
      <w:pPr>
        <w:jc w:val="center"/>
      </w:pPr>
    </w:p>
    <w:p w:rsidR="007454B8" w:rsidRDefault="00341F08">
      <w:pPr>
        <w:spacing w:line="600" w:lineRule="exact"/>
        <w:jc w:val="center"/>
        <w:outlineLvl w:val="0"/>
        <w:rPr>
          <w:rFonts w:ascii="仿宋" w:eastAsia="仿宋" w:hAnsi="仿宋"/>
        </w:rPr>
      </w:pPr>
      <w:bookmarkStart w:id="342" w:name="_Toc2682"/>
      <w:bookmarkStart w:id="343" w:name="_Toc22116"/>
      <w:bookmarkStart w:id="344" w:name="_Toc8096"/>
      <w:bookmarkStart w:id="345" w:name="_Toc15396619"/>
      <w:bookmarkStart w:id="346" w:name="_Toc20766"/>
      <w:bookmarkStart w:id="347" w:name="_Toc26693"/>
      <w:bookmarkStart w:id="348" w:name="_Toc6176"/>
      <w:bookmarkStart w:id="349" w:name="_Toc7997_WPSOffice_Level2"/>
      <w:bookmarkStart w:id="350" w:name="_Toc18342"/>
      <w:bookmarkStart w:id="351" w:name="_Toc19418"/>
      <w:bookmarkStart w:id="352" w:name="_Toc5559_WPSOffice_Level2"/>
      <w:bookmarkStart w:id="353" w:name="_Toc15431"/>
      <w:bookmarkStart w:id="354" w:name="_Toc13609"/>
      <w:bookmarkEnd w:id="325"/>
      <w:bookmarkEnd w:id="326"/>
      <w:bookmarkEnd w:id="327"/>
      <w:bookmarkEnd w:id="328"/>
      <w:r>
        <w:rPr>
          <w:rFonts w:ascii="黑体" w:eastAsia="黑体" w:hAnsi="黑体" w:hint="eastAsia"/>
          <w:sz w:val="44"/>
          <w:szCs w:val="44"/>
        </w:rPr>
        <w:t>第</w:t>
      </w:r>
      <w:r>
        <w:rPr>
          <w:rStyle w:val="1Char0"/>
          <w:rFonts w:ascii="黑体" w:eastAsia="黑体" w:hAnsi="黑体" w:hint="eastAsia"/>
          <w:b w:val="0"/>
        </w:rPr>
        <w:t>五部分 附表</w:t>
      </w:r>
    </w:p>
    <w:p w:rsidR="007454B8" w:rsidRDefault="00341F08">
      <w:pPr>
        <w:pStyle w:val="20"/>
        <w:ind w:firstLineChars="200" w:firstLine="600"/>
        <w:rPr>
          <w:rFonts w:ascii="宋体" w:eastAsia="宋体" w:hAnsi="宋体" w:cs="宋体"/>
          <w:b w:val="0"/>
          <w:bCs w:val="0"/>
          <w:sz w:val="30"/>
          <w:szCs w:val="30"/>
        </w:rPr>
      </w:pPr>
      <w:r>
        <w:rPr>
          <w:rFonts w:ascii="宋体" w:eastAsia="宋体" w:hAnsi="宋体" w:cs="宋体" w:hint="eastAsia"/>
          <w:b w:val="0"/>
          <w:bCs w:val="0"/>
          <w:sz w:val="30"/>
          <w:szCs w:val="30"/>
        </w:rPr>
        <w:lastRenderedPageBreak/>
        <w:t>一、收入支出决算总表</w:t>
      </w:r>
      <w:bookmarkEnd w:id="342"/>
      <w:bookmarkEnd w:id="343"/>
      <w:bookmarkEnd w:id="344"/>
      <w:bookmarkEnd w:id="345"/>
      <w:bookmarkEnd w:id="346"/>
      <w:bookmarkEnd w:id="347"/>
      <w:bookmarkEnd w:id="348"/>
      <w:bookmarkEnd w:id="349"/>
      <w:bookmarkEnd w:id="350"/>
      <w:bookmarkEnd w:id="351"/>
      <w:bookmarkEnd w:id="352"/>
      <w:bookmarkEnd w:id="353"/>
      <w:bookmarkEnd w:id="354"/>
    </w:p>
    <w:p w:rsidR="007454B8" w:rsidRDefault="00341F08">
      <w:pPr>
        <w:pStyle w:val="20"/>
        <w:ind w:firstLineChars="200" w:firstLine="600"/>
        <w:rPr>
          <w:rFonts w:ascii="宋体" w:eastAsia="宋体" w:hAnsi="宋体" w:cs="宋体"/>
          <w:b w:val="0"/>
          <w:bCs w:val="0"/>
          <w:sz w:val="30"/>
          <w:szCs w:val="30"/>
        </w:rPr>
      </w:pPr>
      <w:bookmarkStart w:id="355" w:name="_Toc11421"/>
      <w:bookmarkStart w:id="356" w:name="_Toc15396620"/>
      <w:bookmarkStart w:id="357" w:name="_Toc6031"/>
      <w:bookmarkStart w:id="358" w:name="_Toc18826"/>
      <w:bookmarkStart w:id="359" w:name="_Toc20312_WPSOffice_Level2"/>
      <w:bookmarkStart w:id="360" w:name="_Toc12045"/>
      <w:bookmarkStart w:id="361" w:name="_Toc5984"/>
      <w:bookmarkStart w:id="362" w:name="_Toc24607"/>
      <w:bookmarkStart w:id="363" w:name="_Toc21247_WPSOffice_Level2"/>
      <w:bookmarkStart w:id="364" w:name="_Toc23721"/>
      <w:bookmarkStart w:id="365" w:name="_Toc29797"/>
      <w:bookmarkStart w:id="366" w:name="_Toc16137"/>
      <w:bookmarkStart w:id="367" w:name="_Toc29763"/>
      <w:r>
        <w:rPr>
          <w:rFonts w:ascii="宋体" w:eastAsia="宋体" w:hAnsi="宋体" w:cs="宋体" w:hint="eastAsia"/>
          <w:b w:val="0"/>
          <w:bCs w:val="0"/>
          <w:sz w:val="30"/>
          <w:szCs w:val="30"/>
        </w:rPr>
        <w:t>二、收入决算表</w:t>
      </w:r>
      <w:bookmarkEnd w:id="355"/>
      <w:bookmarkEnd w:id="356"/>
      <w:bookmarkEnd w:id="357"/>
      <w:bookmarkEnd w:id="358"/>
      <w:bookmarkEnd w:id="359"/>
      <w:bookmarkEnd w:id="360"/>
      <w:bookmarkEnd w:id="361"/>
      <w:bookmarkEnd w:id="362"/>
      <w:bookmarkEnd w:id="363"/>
      <w:bookmarkEnd w:id="364"/>
      <w:bookmarkEnd w:id="365"/>
      <w:bookmarkEnd w:id="366"/>
      <w:bookmarkEnd w:id="367"/>
    </w:p>
    <w:p w:rsidR="007454B8" w:rsidRDefault="00341F08">
      <w:pPr>
        <w:pStyle w:val="20"/>
        <w:ind w:firstLineChars="200" w:firstLine="600"/>
        <w:rPr>
          <w:rFonts w:ascii="宋体" w:eastAsia="宋体" w:hAnsi="宋体" w:cs="宋体"/>
          <w:b w:val="0"/>
          <w:bCs w:val="0"/>
          <w:sz w:val="30"/>
          <w:szCs w:val="30"/>
        </w:rPr>
      </w:pPr>
      <w:bookmarkStart w:id="368" w:name="_Toc8271"/>
      <w:bookmarkStart w:id="369" w:name="_Toc3397"/>
      <w:bookmarkStart w:id="370" w:name="_Toc28642"/>
      <w:bookmarkStart w:id="371" w:name="_Toc15471"/>
      <w:bookmarkStart w:id="372" w:name="_Toc15396621"/>
      <w:bookmarkStart w:id="373" w:name="_Toc4277"/>
      <w:bookmarkStart w:id="374" w:name="_Toc28885"/>
      <w:bookmarkStart w:id="375" w:name="_Toc8868"/>
      <w:bookmarkStart w:id="376" w:name="_Toc23752"/>
      <w:bookmarkStart w:id="377" w:name="_Toc16370"/>
      <w:bookmarkStart w:id="378" w:name="_Toc12975_WPSOffice_Level2"/>
      <w:bookmarkStart w:id="379" w:name="_Toc2680"/>
      <w:bookmarkStart w:id="380" w:name="_Toc18274_WPSOffice_Level2"/>
      <w:r>
        <w:rPr>
          <w:rFonts w:ascii="宋体" w:eastAsia="宋体" w:hAnsi="宋体" w:cs="宋体" w:hint="eastAsia"/>
          <w:b w:val="0"/>
          <w:bCs w:val="0"/>
          <w:sz w:val="30"/>
          <w:szCs w:val="30"/>
        </w:rPr>
        <w:t>三、支出决算表</w:t>
      </w:r>
      <w:bookmarkEnd w:id="368"/>
      <w:bookmarkEnd w:id="369"/>
      <w:bookmarkEnd w:id="370"/>
      <w:bookmarkEnd w:id="371"/>
      <w:bookmarkEnd w:id="372"/>
      <w:bookmarkEnd w:id="373"/>
      <w:bookmarkEnd w:id="374"/>
      <w:bookmarkEnd w:id="375"/>
      <w:bookmarkEnd w:id="376"/>
      <w:bookmarkEnd w:id="377"/>
      <w:bookmarkEnd w:id="378"/>
      <w:bookmarkEnd w:id="379"/>
      <w:bookmarkEnd w:id="380"/>
    </w:p>
    <w:p w:rsidR="007454B8" w:rsidRDefault="00341F08">
      <w:pPr>
        <w:pStyle w:val="20"/>
        <w:ind w:firstLineChars="200" w:firstLine="600"/>
        <w:rPr>
          <w:rFonts w:ascii="宋体" w:eastAsia="宋体" w:hAnsi="宋体" w:cs="宋体"/>
          <w:b w:val="0"/>
          <w:bCs w:val="0"/>
          <w:sz w:val="30"/>
          <w:szCs w:val="30"/>
        </w:rPr>
      </w:pPr>
      <w:bookmarkStart w:id="381" w:name="_Toc20190"/>
      <w:bookmarkStart w:id="382" w:name="_Toc28009"/>
      <w:bookmarkStart w:id="383" w:name="_Toc1481"/>
      <w:bookmarkStart w:id="384" w:name="_Toc28386"/>
      <w:bookmarkStart w:id="385" w:name="_Toc21238_WPSOffice_Level2"/>
      <w:bookmarkStart w:id="386" w:name="_Toc3917"/>
      <w:bookmarkStart w:id="387" w:name="_Toc17078"/>
      <w:bookmarkStart w:id="388" w:name="_Toc15396622"/>
      <w:bookmarkStart w:id="389" w:name="_Toc3198"/>
      <w:bookmarkStart w:id="390" w:name="_Toc17045"/>
      <w:bookmarkStart w:id="391" w:name="_Toc9318"/>
      <w:bookmarkStart w:id="392" w:name="_Toc31265_WPSOffice_Level2"/>
      <w:bookmarkStart w:id="393" w:name="_Toc5443"/>
      <w:r>
        <w:rPr>
          <w:rFonts w:ascii="宋体" w:eastAsia="宋体" w:hAnsi="宋体" w:cs="宋体" w:hint="eastAsia"/>
          <w:b w:val="0"/>
          <w:bCs w:val="0"/>
          <w:sz w:val="30"/>
          <w:szCs w:val="30"/>
        </w:rPr>
        <w:t>四、财政拨款收入支出决算总表</w:t>
      </w:r>
      <w:bookmarkEnd w:id="381"/>
      <w:bookmarkEnd w:id="382"/>
      <w:bookmarkEnd w:id="383"/>
      <w:bookmarkEnd w:id="384"/>
      <w:bookmarkEnd w:id="385"/>
      <w:bookmarkEnd w:id="386"/>
      <w:bookmarkEnd w:id="387"/>
      <w:bookmarkEnd w:id="388"/>
      <w:bookmarkEnd w:id="389"/>
      <w:bookmarkEnd w:id="390"/>
      <w:bookmarkEnd w:id="391"/>
      <w:bookmarkEnd w:id="392"/>
      <w:bookmarkEnd w:id="393"/>
    </w:p>
    <w:p w:rsidR="007454B8" w:rsidRDefault="00341F08">
      <w:pPr>
        <w:pStyle w:val="20"/>
        <w:ind w:firstLineChars="200" w:firstLine="600"/>
        <w:rPr>
          <w:rFonts w:ascii="宋体" w:eastAsia="宋体" w:hAnsi="宋体" w:cs="宋体"/>
          <w:b w:val="0"/>
          <w:bCs w:val="0"/>
          <w:sz w:val="30"/>
          <w:szCs w:val="30"/>
        </w:rPr>
      </w:pPr>
      <w:bookmarkStart w:id="394" w:name="_Toc2013"/>
      <w:bookmarkStart w:id="395" w:name="_Toc25226"/>
      <w:bookmarkStart w:id="396" w:name="_Toc25982"/>
      <w:bookmarkStart w:id="397" w:name="_Toc16691"/>
      <w:bookmarkStart w:id="398" w:name="_Toc15396623"/>
      <w:bookmarkStart w:id="399" w:name="_Toc25611"/>
      <w:bookmarkStart w:id="400" w:name="_Toc1472"/>
      <w:bookmarkStart w:id="401" w:name="_Toc29483"/>
      <w:bookmarkStart w:id="402" w:name="_Toc9578"/>
      <w:bookmarkStart w:id="403" w:name="_Toc25166_WPSOffice_Level2"/>
      <w:bookmarkStart w:id="404" w:name="_Toc13699_WPSOffice_Level2"/>
      <w:bookmarkStart w:id="405" w:name="_Toc16417"/>
      <w:bookmarkStart w:id="406" w:name="_Toc23424"/>
      <w:r>
        <w:rPr>
          <w:rFonts w:ascii="宋体" w:eastAsia="宋体" w:hAnsi="宋体" w:cs="宋体" w:hint="eastAsia"/>
          <w:b w:val="0"/>
          <w:bCs w:val="0"/>
          <w:sz w:val="30"/>
          <w:szCs w:val="30"/>
        </w:rPr>
        <w:t>五、财政拨款支出决算明细表</w:t>
      </w:r>
      <w:bookmarkStart w:id="407" w:name="_Toc15396624"/>
      <w:bookmarkEnd w:id="394"/>
      <w:bookmarkEnd w:id="395"/>
      <w:bookmarkEnd w:id="396"/>
      <w:bookmarkEnd w:id="397"/>
      <w:bookmarkEnd w:id="398"/>
      <w:bookmarkEnd w:id="399"/>
      <w:bookmarkEnd w:id="400"/>
      <w:bookmarkEnd w:id="401"/>
      <w:bookmarkEnd w:id="402"/>
      <w:bookmarkEnd w:id="403"/>
      <w:bookmarkEnd w:id="404"/>
      <w:bookmarkEnd w:id="405"/>
      <w:bookmarkEnd w:id="406"/>
    </w:p>
    <w:p w:rsidR="007454B8" w:rsidRDefault="00341F08">
      <w:pPr>
        <w:pStyle w:val="20"/>
        <w:ind w:firstLineChars="200" w:firstLine="600"/>
        <w:rPr>
          <w:rFonts w:ascii="宋体" w:eastAsia="宋体" w:hAnsi="宋体" w:cs="宋体"/>
          <w:b w:val="0"/>
          <w:bCs w:val="0"/>
          <w:sz w:val="30"/>
          <w:szCs w:val="30"/>
        </w:rPr>
      </w:pPr>
      <w:bookmarkStart w:id="408" w:name="_Toc26343"/>
      <w:bookmarkStart w:id="409" w:name="_Toc19243"/>
      <w:bookmarkStart w:id="410" w:name="_Toc17246"/>
      <w:bookmarkStart w:id="411" w:name="_Toc12382"/>
      <w:bookmarkStart w:id="412" w:name="_Toc31934"/>
      <w:bookmarkStart w:id="413" w:name="_Toc22806"/>
      <w:bookmarkStart w:id="414" w:name="_Toc6443_WPSOffice_Level2"/>
      <w:bookmarkStart w:id="415" w:name="_Toc10998"/>
      <w:bookmarkStart w:id="416" w:name="_Toc30128"/>
      <w:bookmarkStart w:id="417" w:name="_Toc23538_WPSOffice_Level2"/>
      <w:bookmarkStart w:id="418" w:name="_Toc22099"/>
      <w:bookmarkStart w:id="419" w:name="_Toc14999"/>
      <w:r>
        <w:rPr>
          <w:rFonts w:ascii="宋体" w:eastAsia="宋体" w:hAnsi="宋体" w:cs="宋体" w:hint="eastAsia"/>
          <w:b w:val="0"/>
          <w:bCs w:val="0"/>
          <w:sz w:val="30"/>
          <w:szCs w:val="30"/>
        </w:rPr>
        <w:t>六、一般公共预算财政拨款支出决算表</w:t>
      </w:r>
      <w:bookmarkEnd w:id="407"/>
      <w:bookmarkEnd w:id="408"/>
      <w:bookmarkEnd w:id="409"/>
      <w:bookmarkEnd w:id="410"/>
      <w:bookmarkEnd w:id="411"/>
      <w:bookmarkEnd w:id="412"/>
      <w:bookmarkEnd w:id="413"/>
      <w:bookmarkEnd w:id="414"/>
      <w:bookmarkEnd w:id="415"/>
      <w:bookmarkEnd w:id="416"/>
      <w:bookmarkEnd w:id="417"/>
      <w:bookmarkEnd w:id="418"/>
      <w:bookmarkEnd w:id="419"/>
    </w:p>
    <w:p w:rsidR="007454B8" w:rsidRDefault="00341F08">
      <w:pPr>
        <w:pStyle w:val="20"/>
        <w:ind w:firstLineChars="200" w:firstLine="600"/>
        <w:rPr>
          <w:rFonts w:ascii="宋体" w:eastAsia="宋体" w:hAnsi="宋体" w:cs="宋体"/>
          <w:b w:val="0"/>
          <w:bCs w:val="0"/>
          <w:sz w:val="30"/>
          <w:szCs w:val="30"/>
        </w:rPr>
      </w:pPr>
      <w:bookmarkStart w:id="420" w:name="_Toc21547"/>
      <w:bookmarkStart w:id="421" w:name="_Toc2743"/>
      <w:bookmarkStart w:id="422" w:name="_Toc5446"/>
      <w:bookmarkStart w:id="423" w:name="_Toc14649"/>
      <w:bookmarkStart w:id="424" w:name="_Toc20998"/>
      <w:bookmarkStart w:id="425" w:name="_Toc7326"/>
      <w:bookmarkStart w:id="426" w:name="_Toc5214"/>
      <w:bookmarkStart w:id="427" w:name="_Toc26007_WPSOffice_Level2"/>
      <w:bookmarkStart w:id="428" w:name="_Toc7543"/>
      <w:bookmarkStart w:id="429" w:name="_Toc15396625"/>
      <w:bookmarkStart w:id="430" w:name="_Toc9362_WPSOffice_Level2"/>
      <w:bookmarkStart w:id="431" w:name="_Toc17524"/>
      <w:bookmarkStart w:id="432" w:name="_Toc8842"/>
      <w:r>
        <w:rPr>
          <w:rFonts w:ascii="宋体" w:eastAsia="宋体" w:hAnsi="宋体" w:cs="宋体" w:hint="eastAsia"/>
          <w:b w:val="0"/>
          <w:bCs w:val="0"/>
          <w:sz w:val="30"/>
          <w:szCs w:val="30"/>
        </w:rPr>
        <w:t>七、一般公共预算财政拨款支出决算明细表</w:t>
      </w:r>
      <w:bookmarkEnd w:id="420"/>
      <w:bookmarkEnd w:id="421"/>
      <w:bookmarkEnd w:id="422"/>
      <w:bookmarkEnd w:id="423"/>
      <w:bookmarkEnd w:id="424"/>
      <w:bookmarkEnd w:id="425"/>
      <w:bookmarkEnd w:id="426"/>
      <w:bookmarkEnd w:id="427"/>
      <w:bookmarkEnd w:id="428"/>
      <w:bookmarkEnd w:id="429"/>
      <w:bookmarkEnd w:id="430"/>
      <w:bookmarkEnd w:id="431"/>
      <w:bookmarkEnd w:id="432"/>
    </w:p>
    <w:p w:rsidR="007454B8" w:rsidRDefault="00341F08">
      <w:pPr>
        <w:pStyle w:val="20"/>
        <w:ind w:firstLineChars="200" w:firstLine="600"/>
        <w:rPr>
          <w:rFonts w:ascii="宋体" w:eastAsia="宋体" w:hAnsi="宋体" w:cs="宋体"/>
          <w:b w:val="0"/>
          <w:bCs w:val="0"/>
          <w:sz w:val="30"/>
          <w:szCs w:val="30"/>
        </w:rPr>
      </w:pPr>
      <w:bookmarkStart w:id="433" w:name="_Toc1495_WPSOffice_Level2"/>
      <w:bookmarkStart w:id="434" w:name="_Toc32166"/>
      <w:bookmarkStart w:id="435" w:name="_Toc16592"/>
      <w:bookmarkStart w:id="436" w:name="_Toc6030"/>
      <w:bookmarkStart w:id="437" w:name="_Toc3640_WPSOffice_Level2"/>
      <w:bookmarkStart w:id="438" w:name="_Toc4747"/>
      <w:bookmarkStart w:id="439" w:name="_Toc10801"/>
      <w:bookmarkStart w:id="440" w:name="_Toc17556"/>
      <w:bookmarkStart w:id="441" w:name="_Toc16650"/>
      <w:bookmarkStart w:id="442" w:name="_Toc31490"/>
      <w:bookmarkStart w:id="443" w:name="_Toc16590"/>
      <w:bookmarkStart w:id="444" w:name="_Toc15396626"/>
      <w:bookmarkStart w:id="445" w:name="_Toc4944"/>
      <w:r>
        <w:rPr>
          <w:rFonts w:ascii="宋体" w:eastAsia="宋体" w:hAnsi="宋体" w:cs="宋体" w:hint="eastAsia"/>
          <w:b w:val="0"/>
          <w:bCs w:val="0"/>
          <w:sz w:val="30"/>
          <w:szCs w:val="30"/>
        </w:rPr>
        <w:t>八、一般公共预算财政拨款基本支出决算表</w:t>
      </w:r>
      <w:bookmarkEnd w:id="433"/>
      <w:bookmarkEnd w:id="434"/>
      <w:bookmarkEnd w:id="435"/>
      <w:bookmarkEnd w:id="436"/>
      <w:bookmarkEnd w:id="437"/>
      <w:bookmarkEnd w:id="438"/>
      <w:bookmarkEnd w:id="439"/>
      <w:bookmarkEnd w:id="440"/>
      <w:bookmarkEnd w:id="441"/>
      <w:bookmarkEnd w:id="442"/>
      <w:bookmarkEnd w:id="443"/>
      <w:bookmarkEnd w:id="444"/>
      <w:bookmarkEnd w:id="445"/>
    </w:p>
    <w:p w:rsidR="007454B8" w:rsidRDefault="00341F08">
      <w:pPr>
        <w:pStyle w:val="20"/>
        <w:ind w:firstLineChars="200" w:firstLine="600"/>
        <w:rPr>
          <w:rFonts w:ascii="宋体" w:eastAsia="宋体" w:hAnsi="宋体" w:cs="宋体"/>
          <w:b w:val="0"/>
          <w:bCs w:val="0"/>
          <w:sz w:val="30"/>
          <w:szCs w:val="30"/>
        </w:rPr>
      </w:pPr>
      <w:bookmarkStart w:id="446" w:name="_Toc19490"/>
      <w:bookmarkStart w:id="447" w:name="_Toc4619"/>
      <w:bookmarkStart w:id="448" w:name="_Toc1053"/>
      <w:bookmarkStart w:id="449" w:name="_Toc2005_WPSOffice_Level2"/>
      <w:bookmarkStart w:id="450" w:name="_Toc16993"/>
      <w:bookmarkStart w:id="451" w:name="_Toc1814"/>
      <w:bookmarkStart w:id="452" w:name="_Toc23780"/>
      <w:bookmarkStart w:id="453" w:name="_Toc23407"/>
      <w:bookmarkStart w:id="454" w:name="_Toc8223"/>
      <w:bookmarkStart w:id="455" w:name="_Toc15396627"/>
      <w:bookmarkStart w:id="456" w:name="_Toc17630"/>
      <w:bookmarkStart w:id="457" w:name="_Toc9167_WPSOffice_Level2"/>
      <w:bookmarkStart w:id="458" w:name="_Toc15242"/>
      <w:r>
        <w:rPr>
          <w:rFonts w:ascii="宋体" w:eastAsia="宋体" w:hAnsi="宋体" w:cs="宋体" w:hint="eastAsia"/>
          <w:b w:val="0"/>
          <w:bCs w:val="0"/>
          <w:sz w:val="30"/>
          <w:szCs w:val="30"/>
        </w:rPr>
        <w:t>九、一般公共预算财政拨款项目支出决算表</w:t>
      </w:r>
      <w:bookmarkEnd w:id="446"/>
      <w:bookmarkEnd w:id="447"/>
      <w:bookmarkEnd w:id="448"/>
      <w:bookmarkEnd w:id="449"/>
      <w:bookmarkEnd w:id="450"/>
      <w:bookmarkEnd w:id="451"/>
      <w:bookmarkEnd w:id="452"/>
      <w:bookmarkEnd w:id="453"/>
      <w:bookmarkEnd w:id="454"/>
      <w:bookmarkEnd w:id="455"/>
      <w:bookmarkEnd w:id="456"/>
      <w:bookmarkEnd w:id="457"/>
      <w:bookmarkEnd w:id="458"/>
    </w:p>
    <w:p w:rsidR="007454B8" w:rsidRDefault="00341F08">
      <w:pPr>
        <w:pStyle w:val="20"/>
        <w:ind w:firstLineChars="200" w:firstLine="600"/>
        <w:rPr>
          <w:rFonts w:ascii="宋体" w:eastAsia="宋体" w:hAnsi="宋体" w:cs="宋体"/>
          <w:b w:val="0"/>
          <w:bCs w:val="0"/>
          <w:sz w:val="30"/>
          <w:szCs w:val="30"/>
        </w:rPr>
      </w:pPr>
      <w:bookmarkStart w:id="459" w:name="_Toc1674"/>
      <w:bookmarkStart w:id="460" w:name="_Toc11316"/>
      <w:bookmarkStart w:id="461" w:name="_Toc17577"/>
      <w:bookmarkStart w:id="462" w:name="_Toc32268"/>
      <w:bookmarkStart w:id="463" w:name="_Toc12622"/>
      <w:bookmarkStart w:id="464" w:name="_Toc27653"/>
      <w:bookmarkStart w:id="465" w:name="_Toc2749"/>
      <w:bookmarkStart w:id="466" w:name="_Toc7450"/>
      <w:bookmarkStart w:id="467" w:name="_Toc3781"/>
      <w:bookmarkStart w:id="468" w:name="_Toc27392_WPSOffice_Level2"/>
      <w:bookmarkStart w:id="469" w:name="_Toc10480_WPSOffice_Level2"/>
      <w:bookmarkStart w:id="470" w:name="_Toc3860"/>
      <w:bookmarkStart w:id="471" w:name="_Toc15396628"/>
      <w:r>
        <w:rPr>
          <w:rFonts w:ascii="宋体" w:eastAsia="宋体" w:hAnsi="宋体" w:cs="宋体" w:hint="eastAsia"/>
          <w:b w:val="0"/>
          <w:bCs w:val="0"/>
          <w:sz w:val="30"/>
          <w:szCs w:val="30"/>
        </w:rPr>
        <w:t>十、一般公共预算财政拨款“三公”经费支出决算表</w:t>
      </w:r>
      <w:bookmarkEnd w:id="459"/>
      <w:bookmarkEnd w:id="460"/>
      <w:bookmarkEnd w:id="461"/>
      <w:bookmarkEnd w:id="462"/>
      <w:bookmarkEnd w:id="463"/>
      <w:bookmarkEnd w:id="464"/>
      <w:bookmarkEnd w:id="465"/>
      <w:bookmarkEnd w:id="466"/>
      <w:bookmarkEnd w:id="467"/>
      <w:bookmarkEnd w:id="468"/>
      <w:bookmarkEnd w:id="469"/>
      <w:bookmarkEnd w:id="470"/>
      <w:bookmarkEnd w:id="471"/>
    </w:p>
    <w:p w:rsidR="007454B8" w:rsidRDefault="00341F08">
      <w:pPr>
        <w:pStyle w:val="20"/>
        <w:ind w:firstLineChars="200" w:firstLine="600"/>
        <w:rPr>
          <w:rFonts w:ascii="宋体" w:eastAsia="宋体" w:hAnsi="宋体" w:cs="宋体"/>
          <w:b w:val="0"/>
          <w:bCs w:val="0"/>
          <w:sz w:val="30"/>
          <w:szCs w:val="30"/>
        </w:rPr>
      </w:pPr>
      <w:bookmarkStart w:id="472" w:name="_Toc19565"/>
      <w:bookmarkStart w:id="473" w:name="_Toc16075_WPSOffice_Level2"/>
      <w:bookmarkStart w:id="474" w:name="_Toc21457"/>
      <w:bookmarkStart w:id="475" w:name="_Toc16671"/>
      <w:bookmarkStart w:id="476" w:name="_Toc30309"/>
      <w:bookmarkStart w:id="477" w:name="_Toc10225"/>
      <w:bookmarkStart w:id="478" w:name="_Toc10246"/>
      <w:bookmarkStart w:id="479" w:name="_Toc6547"/>
      <w:bookmarkStart w:id="480" w:name="_Toc8826_WPSOffice_Level2"/>
      <w:bookmarkStart w:id="481" w:name="_Toc21828"/>
      <w:bookmarkStart w:id="482" w:name="_Toc26679"/>
      <w:bookmarkStart w:id="483" w:name="_Toc32101"/>
      <w:bookmarkStart w:id="484" w:name="_Toc15396629"/>
      <w:r>
        <w:rPr>
          <w:rFonts w:ascii="宋体" w:eastAsia="宋体" w:hAnsi="宋体" w:cs="宋体" w:hint="eastAsia"/>
          <w:b w:val="0"/>
          <w:bCs w:val="0"/>
          <w:sz w:val="30"/>
          <w:szCs w:val="30"/>
        </w:rPr>
        <w:t>十一、政府性基金预算财政拨款收入支出决算表</w:t>
      </w:r>
      <w:bookmarkEnd w:id="472"/>
      <w:bookmarkEnd w:id="473"/>
      <w:bookmarkEnd w:id="474"/>
      <w:bookmarkEnd w:id="475"/>
      <w:bookmarkEnd w:id="476"/>
      <w:bookmarkEnd w:id="477"/>
      <w:bookmarkEnd w:id="478"/>
      <w:bookmarkEnd w:id="479"/>
      <w:bookmarkEnd w:id="480"/>
      <w:bookmarkEnd w:id="481"/>
      <w:bookmarkEnd w:id="482"/>
      <w:bookmarkEnd w:id="483"/>
      <w:bookmarkEnd w:id="484"/>
    </w:p>
    <w:p w:rsidR="007454B8" w:rsidRDefault="00341F08">
      <w:pPr>
        <w:pStyle w:val="20"/>
        <w:ind w:firstLineChars="200" w:firstLine="600"/>
        <w:rPr>
          <w:rFonts w:ascii="宋体" w:eastAsia="宋体" w:hAnsi="宋体" w:cs="宋体"/>
          <w:b w:val="0"/>
          <w:bCs w:val="0"/>
          <w:sz w:val="30"/>
          <w:szCs w:val="30"/>
        </w:rPr>
      </w:pPr>
      <w:bookmarkStart w:id="485" w:name="_Toc26925"/>
      <w:bookmarkStart w:id="486" w:name="_Toc24897_WPSOffice_Level2"/>
      <w:bookmarkStart w:id="487" w:name="_Toc25683"/>
      <w:bookmarkStart w:id="488" w:name="_Toc22036"/>
      <w:bookmarkStart w:id="489" w:name="_Toc28458"/>
      <w:bookmarkStart w:id="490" w:name="_Toc25760"/>
      <w:bookmarkStart w:id="491" w:name="_Toc13784"/>
      <w:bookmarkStart w:id="492" w:name="_Toc15396630"/>
      <w:bookmarkStart w:id="493" w:name="_Toc19260_WPSOffice_Level2"/>
      <w:bookmarkStart w:id="494" w:name="_Toc24348"/>
      <w:bookmarkStart w:id="495" w:name="_Toc1367"/>
      <w:bookmarkStart w:id="496" w:name="_Toc28979"/>
      <w:bookmarkStart w:id="497" w:name="_Toc19898"/>
      <w:r>
        <w:rPr>
          <w:rFonts w:ascii="宋体" w:eastAsia="宋体" w:hAnsi="宋体" w:cs="宋体" w:hint="eastAsia"/>
          <w:b w:val="0"/>
          <w:bCs w:val="0"/>
          <w:sz w:val="30"/>
          <w:szCs w:val="30"/>
        </w:rPr>
        <w:t>十二、政府性基金预算财政拨款“三公”经费支出决算表</w:t>
      </w:r>
      <w:bookmarkEnd w:id="485"/>
      <w:bookmarkEnd w:id="486"/>
      <w:bookmarkEnd w:id="487"/>
      <w:bookmarkEnd w:id="488"/>
      <w:bookmarkEnd w:id="489"/>
      <w:bookmarkEnd w:id="490"/>
      <w:bookmarkEnd w:id="491"/>
      <w:bookmarkEnd w:id="492"/>
      <w:bookmarkEnd w:id="493"/>
      <w:bookmarkEnd w:id="494"/>
      <w:bookmarkEnd w:id="495"/>
      <w:bookmarkEnd w:id="496"/>
      <w:bookmarkEnd w:id="497"/>
    </w:p>
    <w:p w:rsidR="007454B8" w:rsidRDefault="00341F08">
      <w:pPr>
        <w:pStyle w:val="20"/>
        <w:ind w:firstLineChars="200" w:firstLine="600"/>
        <w:rPr>
          <w:rFonts w:ascii="宋体" w:eastAsia="宋体" w:hAnsi="宋体" w:cs="宋体"/>
          <w:b w:val="0"/>
          <w:bCs w:val="0"/>
          <w:sz w:val="30"/>
          <w:szCs w:val="30"/>
        </w:rPr>
      </w:pPr>
      <w:bookmarkStart w:id="498" w:name="_Toc15396631"/>
      <w:bookmarkStart w:id="499" w:name="_Toc11847"/>
      <w:bookmarkStart w:id="500" w:name="_Toc30407"/>
      <w:bookmarkStart w:id="501" w:name="_Toc4748_WPSOffice_Level2"/>
      <w:bookmarkStart w:id="502" w:name="_Toc19714_WPSOffice_Level2"/>
      <w:bookmarkStart w:id="503" w:name="_Toc4589"/>
      <w:bookmarkStart w:id="504" w:name="_Toc20615"/>
      <w:bookmarkStart w:id="505" w:name="_Toc30330"/>
      <w:bookmarkStart w:id="506" w:name="_Toc23039"/>
      <w:bookmarkStart w:id="507" w:name="_Toc29237"/>
      <w:bookmarkStart w:id="508" w:name="_Toc9676"/>
      <w:bookmarkStart w:id="509" w:name="_Toc14864"/>
      <w:bookmarkStart w:id="510" w:name="_Toc4752"/>
      <w:r>
        <w:rPr>
          <w:rFonts w:ascii="宋体" w:eastAsia="宋体" w:hAnsi="宋体" w:cs="宋体" w:hint="eastAsia"/>
          <w:b w:val="0"/>
          <w:bCs w:val="0"/>
          <w:sz w:val="30"/>
          <w:szCs w:val="30"/>
        </w:rPr>
        <w:t>十三、</w:t>
      </w:r>
      <w:bookmarkEnd w:id="498"/>
      <w:r>
        <w:rPr>
          <w:rFonts w:ascii="宋体" w:eastAsia="宋体" w:hAnsi="宋体" w:cs="宋体" w:hint="eastAsia"/>
          <w:b w:val="0"/>
          <w:bCs w:val="0"/>
          <w:sz w:val="30"/>
          <w:szCs w:val="30"/>
        </w:rPr>
        <w:t>国有资本经营预算财政拨款收入支出决算表</w:t>
      </w:r>
      <w:bookmarkEnd w:id="499"/>
      <w:bookmarkEnd w:id="500"/>
      <w:bookmarkEnd w:id="501"/>
      <w:bookmarkEnd w:id="502"/>
      <w:bookmarkEnd w:id="503"/>
      <w:bookmarkEnd w:id="504"/>
      <w:bookmarkEnd w:id="505"/>
      <w:bookmarkEnd w:id="506"/>
      <w:bookmarkEnd w:id="507"/>
      <w:bookmarkEnd w:id="508"/>
      <w:bookmarkEnd w:id="509"/>
      <w:bookmarkEnd w:id="510"/>
    </w:p>
    <w:p w:rsidR="007454B8" w:rsidRDefault="00341F08">
      <w:pPr>
        <w:pStyle w:val="20"/>
        <w:ind w:firstLineChars="200" w:firstLine="600"/>
        <w:rPr>
          <w:rFonts w:ascii="宋体" w:eastAsia="宋体" w:hAnsi="宋体" w:cs="宋体"/>
          <w:b w:val="0"/>
          <w:bCs w:val="0"/>
          <w:sz w:val="30"/>
          <w:szCs w:val="30"/>
        </w:rPr>
      </w:pPr>
      <w:bookmarkStart w:id="511" w:name="_Toc14794"/>
      <w:bookmarkStart w:id="512" w:name="_Toc10983"/>
      <w:bookmarkStart w:id="513" w:name="_Toc7130"/>
      <w:bookmarkStart w:id="514" w:name="_Toc15402"/>
      <w:bookmarkStart w:id="515" w:name="_Toc3825"/>
      <w:bookmarkStart w:id="516" w:name="_Toc3629"/>
      <w:bookmarkStart w:id="517" w:name="_Toc20564"/>
      <w:bookmarkStart w:id="518" w:name="_Toc7705_WPSOffice_Level2"/>
      <w:bookmarkStart w:id="519" w:name="_Toc26065"/>
      <w:bookmarkStart w:id="520" w:name="_Toc24316_WPSOffice_Level2"/>
      <w:bookmarkStart w:id="521" w:name="_Toc18947"/>
      <w:bookmarkStart w:id="522" w:name="_Toc27417"/>
      <w:r>
        <w:rPr>
          <w:rFonts w:ascii="宋体" w:eastAsia="宋体" w:hAnsi="宋体" w:cs="宋体" w:hint="eastAsia"/>
          <w:b w:val="0"/>
          <w:bCs w:val="0"/>
          <w:sz w:val="30"/>
          <w:szCs w:val="30"/>
        </w:rPr>
        <w:t>十四、国有资本经营预算财政拨款支出决算表</w:t>
      </w:r>
      <w:bookmarkEnd w:id="511"/>
      <w:bookmarkEnd w:id="512"/>
      <w:bookmarkEnd w:id="513"/>
      <w:bookmarkEnd w:id="514"/>
      <w:bookmarkEnd w:id="515"/>
      <w:bookmarkEnd w:id="516"/>
      <w:bookmarkEnd w:id="517"/>
      <w:bookmarkEnd w:id="518"/>
      <w:bookmarkEnd w:id="519"/>
      <w:bookmarkEnd w:id="520"/>
      <w:bookmarkEnd w:id="521"/>
      <w:bookmarkEnd w:id="522"/>
    </w:p>
    <w:sectPr w:rsidR="007454B8" w:rsidSect="007454B8">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76A" w:rsidRDefault="00E1376A" w:rsidP="007454B8">
      <w:r>
        <w:separator/>
      </w:r>
    </w:p>
  </w:endnote>
  <w:endnote w:type="continuationSeparator" w:id="0">
    <w:p w:rsidR="00E1376A" w:rsidRDefault="00E1376A" w:rsidP="007454B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7454B8" w:rsidRDefault="00D91991">
        <w:pPr>
          <w:pStyle w:val="a7"/>
          <w:jc w:val="center"/>
        </w:pPr>
        <w:r>
          <w:fldChar w:fldCharType="begin"/>
        </w:r>
        <w:r w:rsidR="00341F08">
          <w:instrText>PAGE   \* MERGEFORMAT</w:instrText>
        </w:r>
        <w:r>
          <w:fldChar w:fldCharType="separate"/>
        </w:r>
        <w:r w:rsidR="007119EE" w:rsidRPr="007119EE">
          <w:rPr>
            <w:noProof/>
            <w:lang w:val="zh-CN"/>
          </w:rPr>
          <w:t>22</w:t>
        </w:r>
        <w:r>
          <w:fldChar w:fldCharType="end"/>
        </w:r>
      </w:p>
    </w:sdtContent>
  </w:sdt>
  <w:p w:rsidR="007454B8" w:rsidRDefault="007454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76A" w:rsidRDefault="00E1376A" w:rsidP="007454B8">
      <w:r>
        <w:separator/>
      </w:r>
    </w:p>
  </w:footnote>
  <w:footnote w:type="continuationSeparator" w:id="0">
    <w:p w:rsidR="00E1376A" w:rsidRDefault="00E1376A" w:rsidP="00745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B8" w:rsidRDefault="007454B8">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1">
    <w:nsid w:val="7A0196AF"/>
    <w:multiLevelType w:val="singleLevel"/>
    <w:tmpl w:val="7A0196AF"/>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VlNjgyOTdlOTczYjVlMTllZTA3NTZiYzQ5MTgzMDgifQ=="/>
  </w:docVars>
  <w:rsids>
    <w:rsidRoot w:val="00F1361C"/>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506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1F08"/>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3CCB"/>
    <w:rsid w:val="00434489"/>
    <w:rsid w:val="00437085"/>
    <w:rsid w:val="00443880"/>
    <w:rsid w:val="004464F4"/>
    <w:rsid w:val="00460F3D"/>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19EE"/>
    <w:rsid w:val="007127B7"/>
    <w:rsid w:val="0071798E"/>
    <w:rsid w:val="007416B6"/>
    <w:rsid w:val="007454B8"/>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13CA"/>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181"/>
    <w:rsid w:val="00B944D6"/>
    <w:rsid w:val="00B97F34"/>
    <w:rsid w:val="00BB4DF0"/>
    <w:rsid w:val="00BC289F"/>
    <w:rsid w:val="00BC2D50"/>
    <w:rsid w:val="00BC5361"/>
    <w:rsid w:val="00BC5460"/>
    <w:rsid w:val="00BC6B50"/>
    <w:rsid w:val="00BD0E25"/>
    <w:rsid w:val="00BF5BD6"/>
    <w:rsid w:val="00C03E31"/>
    <w:rsid w:val="00C25C14"/>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788"/>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4695"/>
    <w:rsid w:val="00D7035F"/>
    <w:rsid w:val="00D91991"/>
    <w:rsid w:val="00DA634F"/>
    <w:rsid w:val="00DA65AC"/>
    <w:rsid w:val="00DB1913"/>
    <w:rsid w:val="00DC410D"/>
    <w:rsid w:val="00DC5A81"/>
    <w:rsid w:val="00DC68CA"/>
    <w:rsid w:val="00DC7CBA"/>
    <w:rsid w:val="00DD73B7"/>
    <w:rsid w:val="00DF28BC"/>
    <w:rsid w:val="00DF34B9"/>
    <w:rsid w:val="00E01053"/>
    <w:rsid w:val="00E019EA"/>
    <w:rsid w:val="00E07ACF"/>
    <w:rsid w:val="00E1376A"/>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269"/>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1697"/>
    <w:rsid w:val="01341807"/>
    <w:rsid w:val="01402C6D"/>
    <w:rsid w:val="014D0A29"/>
    <w:rsid w:val="016814B1"/>
    <w:rsid w:val="016D658C"/>
    <w:rsid w:val="01803F8E"/>
    <w:rsid w:val="019B53E2"/>
    <w:rsid w:val="01F851E5"/>
    <w:rsid w:val="022A7E4D"/>
    <w:rsid w:val="027A19C3"/>
    <w:rsid w:val="0285193A"/>
    <w:rsid w:val="02943C7D"/>
    <w:rsid w:val="030831EF"/>
    <w:rsid w:val="03123E2A"/>
    <w:rsid w:val="0317463D"/>
    <w:rsid w:val="036E3682"/>
    <w:rsid w:val="03A11E4C"/>
    <w:rsid w:val="03D622A4"/>
    <w:rsid w:val="03E77005"/>
    <w:rsid w:val="04051239"/>
    <w:rsid w:val="04207E21"/>
    <w:rsid w:val="042F6428"/>
    <w:rsid w:val="044A30F0"/>
    <w:rsid w:val="04B37BAA"/>
    <w:rsid w:val="04B53A4B"/>
    <w:rsid w:val="04E979CB"/>
    <w:rsid w:val="04EC4B0A"/>
    <w:rsid w:val="04FF1AFA"/>
    <w:rsid w:val="05353DA0"/>
    <w:rsid w:val="054F7185"/>
    <w:rsid w:val="05706070"/>
    <w:rsid w:val="05722A73"/>
    <w:rsid w:val="05B62173"/>
    <w:rsid w:val="05FC6D6C"/>
    <w:rsid w:val="05FD5618"/>
    <w:rsid w:val="061443D6"/>
    <w:rsid w:val="06740FD0"/>
    <w:rsid w:val="07177C01"/>
    <w:rsid w:val="0723360F"/>
    <w:rsid w:val="07473B57"/>
    <w:rsid w:val="07554285"/>
    <w:rsid w:val="07556990"/>
    <w:rsid w:val="07655E83"/>
    <w:rsid w:val="07760EA0"/>
    <w:rsid w:val="077F47F7"/>
    <w:rsid w:val="078609FB"/>
    <w:rsid w:val="078C0AB3"/>
    <w:rsid w:val="07C071A2"/>
    <w:rsid w:val="080243D4"/>
    <w:rsid w:val="080F6B2A"/>
    <w:rsid w:val="08132B33"/>
    <w:rsid w:val="081638EF"/>
    <w:rsid w:val="0843571B"/>
    <w:rsid w:val="08566507"/>
    <w:rsid w:val="086E14C5"/>
    <w:rsid w:val="0872374A"/>
    <w:rsid w:val="08772B3E"/>
    <w:rsid w:val="08D87F21"/>
    <w:rsid w:val="090344FC"/>
    <w:rsid w:val="09085A76"/>
    <w:rsid w:val="090A37C1"/>
    <w:rsid w:val="092D1F47"/>
    <w:rsid w:val="09324078"/>
    <w:rsid w:val="093B68B2"/>
    <w:rsid w:val="098426DA"/>
    <w:rsid w:val="0986011F"/>
    <w:rsid w:val="09D007C4"/>
    <w:rsid w:val="09D473DB"/>
    <w:rsid w:val="09E66FF6"/>
    <w:rsid w:val="09F1540C"/>
    <w:rsid w:val="0A086634"/>
    <w:rsid w:val="0A1311C1"/>
    <w:rsid w:val="0A186AA6"/>
    <w:rsid w:val="0A1A38CA"/>
    <w:rsid w:val="0A2032A3"/>
    <w:rsid w:val="0A277863"/>
    <w:rsid w:val="0A31358E"/>
    <w:rsid w:val="0A6C34F3"/>
    <w:rsid w:val="0AA44773"/>
    <w:rsid w:val="0AAA2B3A"/>
    <w:rsid w:val="0ABB4D47"/>
    <w:rsid w:val="0AC4141D"/>
    <w:rsid w:val="0AFD3D85"/>
    <w:rsid w:val="0B09221B"/>
    <w:rsid w:val="0B1F51B9"/>
    <w:rsid w:val="0B2823DD"/>
    <w:rsid w:val="0B2E72C7"/>
    <w:rsid w:val="0B58487B"/>
    <w:rsid w:val="0B60747D"/>
    <w:rsid w:val="0B6D6042"/>
    <w:rsid w:val="0B780989"/>
    <w:rsid w:val="0B7F3FC7"/>
    <w:rsid w:val="0B8A37D8"/>
    <w:rsid w:val="0B911BFF"/>
    <w:rsid w:val="0BB93035"/>
    <w:rsid w:val="0BC04D96"/>
    <w:rsid w:val="0BE502CE"/>
    <w:rsid w:val="0BF031C2"/>
    <w:rsid w:val="0BF80C0E"/>
    <w:rsid w:val="0BF80D23"/>
    <w:rsid w:val="0BFB4BC2"/>
    <w:rsid w:val="0C6E7F1D"/>
    <w:rsid w:val="0C776A4C"/>
    <w:rsid w:val="0C810F75"/>
    <w:rsid w:val="0C8471D4"/>
    <w:rsid w:val="0C923886"/>
    <w:rsid w:val="0CAA4CC7"/>
    <w:rsid w:val="0CAE788D"/>
    <w:rsid w:val="0CE75980"/>
    <w:rsid w:val="0CF91A59"/>
    <w:rsid w:val="0D003FB0"/>
    <w:rsid w:val="0D1F7729"/>
    <w:rsid w:val="0D4B1DBA"/>
    <w:rsid w:val="0D59076B"/>
    <w:rsid w:val="0D646FD0"/>
    <w:rsid w:val="0D957AD2"/>
    <w:rsid w:val="0DC532E5"/>
    <w:rsid w:val="0E032C8D"/>
    <w:rsid w:val="0E5A0C11"/>
    <w:rsid w:val="0E7630AB"/>
    <w:rsid w:val="0E975183"/>
    <w:rsid w:val="0F095F23"/>
    <w:rsid w:val="0F242D12"/>
    <w:rsid w:val="0F574ABF"/>
    <w:rsid w:val="0F6D5134"/>
    <w:rsid w:val="0F73174D"/>
    <w:rsid w:val="0FF62D26"/>
    <w:rsid w:val="102D1C3B"/>
    <w:rsid w:val="103450AB"/>
    <w:rsid w:val="103F5AD3"/>
    <w:rsid w:val="104355C3"/>
    <w:rsid w:val="105C17EB"/>
    <w:rsid w:val="10A03BBC"/>
    <w:rsid w:val="10B2309D"/>
    <w:rsid w:val="10C055FF"/>
    <w:rsid w:val="10C7451E"/>
    <w:rsid w:val="10FB34AE"/>
    <w:rsid w:val="11274EE5"/>
    <w:rsid w:val="11337E72"/>
    <w:rsid w:val="1137596A"/>
    <w:rsid w:val="113C451C"/>
    <w:rsid w:val="11513AE3"/>
    <w:rsid w:val="115334B4"/>
    <w:rsid w:val="115C5127"/>
    <w:rsid w:val="115E7E10"/>
    <w:rsid w:val="11785B40"/>
    <w:rsid w:val="11800151"/>
    <w:rsid w:val="118107EC"/>
    <w:rsid w:val="1195262E"/>
    <w:rsid w:val="119A56B6"/>
    <w:rsid w:val="11AB5044"/>
    <w:rsid w:val="11C1454D"/>
    <w:rsid w:val="11DD6519"/>
    <w:rsid w:val="11E416BD"/>
    <w:rsid w:val="11EA7ED0"/>
    <w:rsid w:val="12062D4C"/>
    <w:rsid w:val="120C2F10"/>
    <w:rsid w:val="121A1812"/>
    <w:rsid w:val="122D2087"/>
    <w:rsid w:val="122E4051"/>
    <w:rsid w:val="122F22A3"/>
    <w:rsid w:val="123933FC"/>
    <w:rsid w:val="125E6151"/>
    <w:rsid w:val="127725E3"/>
    <w:rsid w:val="12854068"/>
    <w:rsid w:val="129C545E"/>
    <w:rsid w:val="12A7615B"/>
    <w:rsid w:val="12BF4D1E"/>
    <w:rsid w:val="12C22CE1"/>
    <w:rsid w:val="12E60F1D"/>
    <w:rsid w:val="13037F87"/>
    <w:rsid w:val="130A4F62"/>
    <w:rsid w:val="13136DB9"/>
    <w:rsid w:val="13343776"/>
    <w:rsid w:val="13547AE7"/>
    <w:rsid w:val="135B061C"/>
    <w:rsid w:val="13684828"/>
    <w:rsid w:val="137649A2"/>
    <w:rsid w:val="13767A5D"/>
    <w:rsid w:val="138B62E2"/>
    <w:rsid w:val="139E3F68"/>
    <w:rsid w:val="13AA63C1"/>
    <w:rsid w:val="13AA70F2"/>
    <w:rsid w:val="13DD188A"/>
    <w:rsid w:val="13F13D67"/>
    <w:rsid w:val="13F37300"/>
    <w:rsid w:val="13F374A4"/>
    <w:rsid w:val="142133F1"/>
    <w:rsid w:val="14720225"/>
    <w:rsid w:val="148A1BCF"/>
    <w:rsid w:val="14AB79E6"/>
    <w:rsid w:val="14B35B1D"/>
    <w:rsid w:val="14B56F1B"/>
    <w:rsid w:val="14DC1B42"/>
    <w:rsid w:val="14EA0703"/>
    <w:rsid w:val="14EA66E4"/>
    <w:rsid w:val="15177E83"/>
    <w:rsid w:val="152A6D51"/>
    <w:rsid w:val="152E4B26"/>
    <w:rsid w:val="154F1A94"/>
    <w:rsid w:val="1561690D"/>
    <w:rsid w:val="158D777C"/>
    <w:rsid w:val="15B970B6"/>
    <w:rsid w:val="15BC487C"/>
    <w:rsid w:val="15BD59C0"/>
    <w:rsid w:val="15CA1659"/>
    <w:rsid w:val="163E26C3"/>
    <w:rsid w:val="16580BB3"/>
    <w:rsid w:val="16636E04"/>
    <w:rsid w:val="16926A30"/>
    <w:rsid w:val="169858BC"/>
    <w:rsid w:val="16BA2357"/>
    <w:rsid w:val="16BB723D"/>
    <w:rsid w:val="16C82672"/>
    <w:rsid w:val="16D63DBB"/>
    <w:rsid w:val="17143815"/>
    <w:rsid w:val="1728255F"/>
    <w:rsid w:val="17514FCE"/>
    <w:rsid w:val="17626C76"/>
    <w:rsid w:val="176302F9"/>
    <w:rsid w:val="17942284"/>
    <w:rsid w:val="179D1DBD"/>
    <w:rsid w:val="17B72DBF"/>
    <w:rsid w:val="17F45028"/>
    <w:rsid w:val="18015F3F"/>
    <w:rsid w:val="182C7FFC"/>
    <w:rsid w:val="184952AF"/>
    <w:rsid w:val="184D6476"/>
    <w:rsid w:val="185A0E70"/>
    <w:rsid w:val="18941652"/>
    <w:rsid w:val="189901FA"/>
    <w:rsid w:val="18A4506D"/>
    <w:rsid w:val="18B11822"/>
    <w:rsid w:val="18B726A8"/>
    <w:rsid w:val="18F60F1D"/>
    <w:rsid w:val="192817FA"/>
    <w:rsid w:val="197A0741"/>
    <w:rsid w:val="197B1844"/>
    <w:rsid w:val="19A52ACF"/>
    <w:rsid w:val="19C84F4B"/>
    <w:rsid w:val="19E02EC4"/>
    <w:rsid w:val="19EB57FF"/>
    <w:rsid w:val="1A1640F6"/>
    <w:rsid w:val="1A306385"/>
    <w:rsid w:val="1A4F0532"/>
    <w:rsid w:val="1A521EF3"/>
    <w:rsid w:val="1A836039"/>
    <w:rsid w:val="1A89451A"/>
    <w:rsid w:val="1ADA667F"/>
    <w:rsid w:val="1AE53AB7"/>
    <w:rsid w:val="1AEC1DBB"/>
    <w:rsid w:val="1AEE25CF"/>
    <w:rsid w:val="1AF90D1A"/>
    <w:rsid w:val="1B6603B7"/>
    <w:rsid w:val="1B804B9D"/>
    <w:rsid w:val="1BAF113C"/>
    <w:rsid w:val="1BD03B3D"/>
    <w:rsid w:val="1BE8440E"/>
    <w:rsid w:val="1C344D3B"/>
    <w:rsid w:val="1C5572FA"/>
    <w:rsid w:val="1C5A43C0"/>
    <w:rsid w:val="1C6660CF"/>
    <w:rsid w:val="1C8F14D9"/>
    <w:rsid w:val="1D007F39"/>
    <w:rsid w:val="1D155CEE"/>
    <w:rsid w:val="1D333746"/>
    <w:rsid w:val="1D446082"/>
    <w:rsid w:val="1D4D2E2B"/>
    <w:rsid w:val="1D7F1C04"/>
    <w:rsid w:val="1DE10AFC"/>
    <w:rsid w:val="1DFC1879"/>
    <w:rsid w:val="1E933BB9"/>
    <w:rsid w:val="1EBD40FC"/>
    <w:rsid w:val="1F05797E"/>
    <w:rsid w:val="1F11647B"/>
    <w:rsid w:val="1F572E39"/>
    <w:rsid w:val="1F967696"/>
    <w:rsid w:val="1FBD2D31"/>
    <w:rsid w:val="1FD0651A"/>
    <w:rsid w:val="1FDB1E18"/>
    <w:rsid w:val="1FE8482D"/>
    <w:rsid w:val="201C790C"/>
    <w:rsid w:val="205B7CB5"/>
    <w:rsid w:val="208C08C0"/>
    <w:rsid w:val="208F03B0"/>
    <w:rsid w:val="20A52244"/>
    <w:rsid w:val="20B01669"/>
    <w:rsid w:val="20F57F95"/>
    <w:rsid w:val="21311468"/>
    <w:rsid w:val="21510549"/>
    <w:rsid w:val="215D7E9E"/>
    <w:rsid w:val="217A2425"/>
    <w:rsid w:val="21AD4F92"/>
    <w:rsid w:val="21B548DB"/>
    <w:rsid w:val="21B97F1B"/>
    <w:rsid w:val="21C254F8"/>
    <w:rsid w:val="21DA4C71"/>
    <w:rsid w:val="22114A8B"/>
    <w:rsid w:val="22186A3F"/>
    <w:rsid w:val="222F3BF9"/>
    <w:rsid w:val="223C11AB"/>
    <w:rsid w:val="22713B52"/>
    <w:rsid w:val="22A63B98"/>
    <w:rsid w:val="22AA0D06"/>
    <w:rsid w:val="22CB3A23"/>
    <w:rsid w:val="22DA7DFE"/>
    <w:rsid w:val="22F664C5"/>
    <w:rsid w:val="230C593D"/>
    <w:rsid w:val="232E6640"/>
    <w:rsid w:val="234E17A0"/>
    <w:rsid w:val="23650A84"/>
    <w:rsid w:val="2369052A"/>
    <w:rsid w:val="237815D0"/>
    <w:rsid w:val="23790DAA"/>
    <w:rsid w:val="23AE0B4E"/>
    <w:rsid w:val="23B819CC"/>
    <w:rsid w:val="23B91E51"/>
    <w:rsid w:val="23D72166"/>
    <w:rsid w:val="23E43842"/>
    <w:rsid w:val="23FD4D93"/>
    <w:rsid w:val="240371BF"/>
    <w:rsid w:val="24151D90"/>
    <w:rsid w:val="242D6973"/>
    <w:rsid w:val="24901F2D"/>
    <w:rsid w:val="24C852C2"/>
    <w:rsid w:val="24DC58C2"/>
    <w:rsid w:val="254A2AF8"/>
    <w:rsid w:val="25C741E6"/>
    <w:rsid w:val="26007E3A"/>
    <w:rsid w:val="260C5F13"/>
    <w:rsid w:val="26470A8E"/>
    <w:rsid w:val="2652435A"/>
    <w:rsid w:val="26812549"/>
    <w:rsid w:val="2686323B"/>
    <w:rsid w:val="269962F2"/>
    <w:rsid w:val="27305549"/>
    <w:rsid w:val="27343A60"/>
    <w:rsid w:val="27343C6E"/>
    <w:rsid w:val="274719E5"/>
    <w:rsid w:val="275B2D9A"/>
    <w:rsid w:val="275F0ADD"/>
    <w:rsid w:val="27842671"/>
    <w:rsid w:val="27A94C47"/>
    <w:rsid w:val="27C9436C"/>
    <w:rsid w:val="27D00F92"/>
    <w:rsid w:val="28223F0C"/>
    <w:rsid w:val="28340C6E"/>
    <w:rsid w:val="285E6FE6"/>
    <w:rsid w:val="28661125"/>
    <w:rsid w:val="28877790"/>
    <w:rsid w:val="288C6067"/>
    <w:rsid w:val="288C7518"/>
    <w:rsid w:val="2895648E"/>
    <w:rsid w:val="289710B0"/>
    <w:rsid w:val="28C1326A"/>
    <w:rsid w:val="28E17F3B"/>
    <w:rsid w:val="291B4940"/>
    <w:rsid w:val="292B74A0"/>
    <w:rsid w:val="29420625"/>
    <w:rsid w:val="2959155B"/>
    <w:rsid w:val="29693E94"/>
    <w:rsid w:val="296F73C1"/>
    <w:rsid w:val="29806577"/>
    <w:rsid w:val="29907977"/>
    <w:rsid w:val="29914FA0"/>
    <w:rsid w:val="29AE692B"/>
    <w:rsid w:val="29B46585"/>
    <w:rsid w:val="29BC2CC1"/>
    <w:rsid w:val="29BF0C7A"/>
    <w:rsid w:val="29C70946"/>
    <w:rsid w:val="29DB62AA"/>
    <w:rsid w:val="29EB3BFC"/>
    <w:rsid w:val="29FD04D3"/>
    <w:rsid w:val="2A021BF3"/>
    <w:rsid w:val="2A061185"/>
    <w:rsid w:val="2A1F1315"/>
    <w:rsid w:val="2A360406"/>
    <w:rsid w:val="2A697EC4"/>
    <w:rsid w:val="2ABE7A3E"/>
    <w:rsid w:val="2ACE43D7"/>
    <w:rsid w:val="2AFF4E4C"/>
    <w:rsid w:val="2B013BED"/>
    <w:rsid w:val="2B0E388C"/>
    <w:rsid w:val="2B4D5C14"/>
    <w:rsid w:val="2B593A95"/>
    <w:rsid w:val="2B63431C"/>
    <w:rsid w:val="2BC87127"/>
    <w:rsid w:val="2BDD14FD"/>
    <w:rsid w:val="2BDD2F08"/>
    <w:rsid w:val="2BE94B33"/>
    <w:rsid w:val="2C057BB9"/>
    <w:rsid w:val="2C13649C"/>
    <w:rsid w:val="2CAE32B6"/>
    <w:rsid w:val="2CDE24A4"/>
    <w:rsid w:val="2CE67CE5"/>
    <w:rsid w:val="2D085772"/>
    <w:rsid w:val="2D4900F6"/>
    <w:rsid w:val="2D4C1A9B"/>
    <w:rsid w:val="2D5464BC"/>
    <w:rsid w:val="2D663BC2"/>
    <w:rsid w:val="2DA87C5A"/>
    <w:rsid w:val="2DD255F9"/>
    <w:rsid w:val="2E12076E"/>
    <w:rsid w:val="2E337165"/>
    <w:rsid w:val="2E3A3772"/>
    <w:rsid w:val="2E43320A"/>
    <w:rsid w:val="2E473213"/>
    <w:rsid w:val="2E797F7F"/>
    <w:rsid w:val="2E9D61F5"/>
    <w:rsid w:val="2ED047BC"/>
    <w:rsid w:val="2ED961F4"/>
    <w:rsid w:val="2EF62012"/>
    <w:rsid w:val="2EFA178C"/>
    <w:rsid w:val="2F267315"/>
    <w:rsid w:val="2F486B36"/>
    <w:rsid w:val="2F520F27"/>
    <w:rsid w:val="2F6201D2"/>
    <w:rsid w:val="2F7C7F1A"/>
    <w:rsid w:val="2F8D6403"/>
    <w:rsid w:val="2F926252"/>
    <w:rsid w:val="2F9A35C0"/>
    <w:rsid w:val="2FBD3287"/>
    <w:rsid w:val="2FC40563"/>
    <w:rsid w:val="2FF659A2"/>
    <w:rsid w:val="301A761A"/>
    <w:rsid w:val="301B7DB4"/>
    <w:rsid w:val="305F38FB"/>
    <w:rsid w:val="307A0F27"/>
    <w:rsid w:val="30923F2E"/>
    <w:rsid w:val="30A47041"/>
    <w:rsid w:val="30B46D73"/>
    <w:rsid w:val="30C22DFC"/>
    <w:rsid w:val="30C33612"/>
    <w:rsid w:val="31136FC8"/>
    <w:rsid w:val="31205C64"/>
    <w:rsid w:val="31536B47"/>
    <w:rsid w:val="319F7F4E"/>
    <w:rsid w:val="31A0245D"/>
    <w:rsid w:val="31C149AF"/>
    <w:rsid w:val="31D51287"/>
    <w:rsid w:val="31F6208F"/>
    <w:rsid w:val="325E4C53"/>
    <w:rsid w:val="325F5E35"/>
    <w:rsid w:val="32855D4C"/>
    <w:rsid w:val="32915164"/>
    <w:rsid w:val="32A56477"/>
    <w:rsid w:val="32E4123D"/>
    <w:rsid w:val="32F34712"/>
    <w:rsid w:val="334407C5"/>
    <w:rsid w:val="334C3385"/>
    <w:rsid w:val="334F40FB"/>
    <w:rsid w:val="335168BE"/>
    <w:rsid w:val="33586B75"/>
    <w:rsid w:val="339E473B"/>
    <w:rsid w:val="33B77429"/>
    <w:rsid w:val="33E4689A"/>
    <w:rsid w:val="33E8414F"/>
    <w:rsid w:val="33EF52D2"/>
    <w:rsid w:val="34133397"/>
    <w:rsid w:val="343566F3"/>
    <w:rsid w:val="34522218"/>
    <w:rsid w:val="34622388"/>
    <w:rsid w:val="34A6693E"/>
    <w:rsid w:val="35080815"/>
    <w:rsid w:val="35132128"/>
    <w:rsid w:val="35220271"/>
    <w:rsid w:val="35231015"/>
    <w:rsid w:val="354A6EB6"/>
    <w:rsid w:val="355048F4"/>
    <w:rsid w:val="355F439E"/>
    <w:rsid w:val="357E69CC"/>
    <w:rsid w:val="35BC1F54"/>
    <w:rsid w:val="35C41206"/>
    <w:rsid w:val="35C61549"/>
    <w:rsid w:val="35C84E84"/>
    <w:rsid w:val="35D03BD1"/>
    <w:rsid w:val="35D20288"/>
    <w:rsid w:val="35D95C83"/>
    <w:rsid w:val="35DA4940"/>
    <w:rsid w:val="363B550D"/>
    <w:rsid w:val="36783130"/>
    <w:rsid w:val="369D793A"/>
    <w:rsid w:val="36DA3AB6"/>
    <w:rsid w:val="36E657BF"/>
    <w:rsid w:val="37653E82"/>
    <w:rsid w:val="3792088D"/>
    <w:rsid w:val="379D1E63"/>
    <w:rsid w:val="379F6CD3"/>
    <w:rsid w:val="37B44C75"/>
    <w:rsid w:val="37C21931"/>
    <w:rsid w:val="385E2784"/>
    <w:rsid w:val="38991974"/>
    <w:rsid w:val="38A53B22"/>
    <w:rsid w:val="394C5CC9"/>
    <w:rsid w:val="39605ECC"/>
    <w:rsid w:val="39621645"/>
    <w:rsid w:val="39755F3E"/>
    <w:rsid w:val="39AE70AB"/>
    <w:rsid w:val="39B44FCF"/>
    <w:rsid w:val="39B53C0B"/>
    <w:rsid w:val="39CD28CD"/>
    <w:rsid w:val="39DF55A6"/>
    <w:rsid w:val="3A096446"/>
    <w:rsid w:val="3A10301E"/>
    <w:rsid w:val="3A2F28D9"/>
    <w:rsid w:val="3A791A5E"/>
    <w:rsid w:val="3A865F28"/>
    <w:rsid w:val="3AA770EA"/>
    <w:rsid w:val="3B1D3AEE"/>
    <w:rsid w:val="3B424B80"/>
    <w:rsid w:val="3BC13BBE"/>
    <w:rsid w:val="3BC40357"/>
    <w:rsid w:val="3BFF142D"/>
    <w:rsid w:val="3C0C0783"/>
    <w:rsid w:val="3C1663DA"/>
    <w:rsid w:val="3C3F3AB2"/>
    <w:rsid w:val="3C475056"/>
    <w:rsid w:val="3C5501AA"/>
    <w:rsid w:val="3C9A3FAA"/>
    <w:rsid w:val="3CA134EE"/>
    <w:rsid w:val="3CC84C13"/>
    <w:rsid w:val="3D015E31"/>
    <w:rsid w:val="3D78153E"/>
    <w:rsid w:val="3DAF201E"/>
    <w:rsid w:val="3DB16988"/>
    <w:rsid w:val="3DCB0822"/>
    <w:rsid w:val="3E46434D"/>
    <w:rsid w:val="3E52684D"/>
    <w:rsid w:val="3E594E1E"/>
    <w:rsid w:val="3E7A3FF6"/>
    <w:rsid w:val="3E931B60"/>
    <w:rsid w:val="3ECE1372"/>
    <w:rsid w:val="3F091114"/>
    <w:rsid w:val="3F09723D"/>
    <w:rsid w:val="3F3146B5"/>
    <w:rsid w:val="3F593CEB"/>
    <w:rsid w:val="3F6C5CBF"/>
    <w:rsid w:val="3F795B0E"/>
    <w:rsid w:val="3F865A6C"/>
    <w:rsid w:val="3F9E0B42"/>
    <w:rsid w:val="3F9F3A96"/>
    <w:rsid w:val="3FE94F8F"/>
    <w:rsid w:val="3FED76FE"/>
    <w:rsid w:val="3FF92FE1"/>
    <w:rsid w:val="401E3CFC"/>
    <w:rsid w:val="402A2A97"/>
    <w:rsid w:val="407E5492"/>
    <w:rsid w:val="40953E96"/>
    <w:rsid w:val="40DA76ED"/>
    <w:rsid w:val="410319CE"/>
    <w:rsid w:val="41170EA7"/>
    <w:rsid w:val="41256B6C"/>
    <w:rsid w:val="413934A2"/>
    <w:rsid w:val="41583F6E"/>
    <w:rsid w:val="41733762"/>
    <w:rsid w:val="41751BF9"/>
    <w:rsid w:val="41935BE8"/>
    <w:rsid w:val="41A47AEC"/>
    <w:rsid w:val="41D96B6A"/>
    <w:rsid w:val="41E00CF0"/>
    <w:rsid w:val="41F47E03"/>
    <w:rsid w:val="420A43B2"/>
    <w:rsid w:val="428016E7"/>
    <w:rsid w:val="42CA3743"/>
    <w:rsid w:val="42E6799C"/>
    <w:rsid w:val="431A6F8C"/>
    <w:rsid w:val="43421944"/>
    <w:rsid w:val="43474F7D"/>
    <w:rsid w:val="43781DCF"/>
    <w:rsid w:val="43B458B4"/>
    <w:rsid w:val="43B46420"/>
    <w:rsid w:val="43B778C4"/>
    <w:rsid w:val="43B91C73"/>
    <w:rsid w:val="43E8333B"/>
    <w:rsid w:val="44007DE3"/>
    <w:rsid w:val="442355FE"/>
    <w:rsid w:val="44996F83"/>
    <w:rsid w:val="44BB63B3"/>
    <w:rsid w:val="44EE2B02"/>
    <w:rsid w:val="44EE3E4E"/>
    <w:rsid w:val="450501B9"/>
    <w:rsid w:val="45321187"/>
    <w:rsid w:val="453E7B2C"/>
    <w:rsid w:val="4555693F"/>
    <w:rsid w:val="45582CC6"/>
    <w:rsid w:val="455F07E3"/>
    <w:rsid w:val="458C524F"/>
    <w:rsid w:val="459C7DA4"/>
    <w:rsid w:val="45AB0AFE"/>
    <w:rsid w:val="46466B78"/>
    <w:rsid w:val="465462F6"/>
    <w:rsid w:val="46557EF8"/>
    <w:rsid w:val="46846098"/>
    <w:rsid w:val="468D20DC"/>
    <w:rsid w:val="469814BD"/>
    <w:rsid w:val="46BD26CD"/>
    <w:rsid w:val="46BF6A4A"/>
    <w:rsid w:val="46CD6DAB"/>
    <w:rsid w:val="46CF5F4C"/>
    <w:rsid w:val="46E9196C"/>
    <w:rsid w:val="472A3249"/>
    <w:rsid w:val="47300C78"/>
    <w:rsid w:val="473421C1"/>
    <w:rsid w:val="47677372"/>
    <w:rsid w:val="47820A45"/>
    <w:rsid w:val="478A46DA"/>
    <w:rsid w:val="47CC526A"/>
    <w:rsid w:val="47D44777"/>
    <w:rsid w:val="47DC657E"/>
    <w:rsid w:val="47E349BA"/>
    <w:rsid w:val="47F13D4F"/>
    <w:rsid w:val="47FC4C7A"/>
    <w:rsid w:val="480A0199"/>
    <w:rsid w:val="48164D90"/>
    <w:rsid w:val="48402E2C"/>
    <w:rsid w:val="484A3F4C"/>
    <w:rsid w:val="486D24D6"/>
    <w:rsid w:val="487F32CA"/>
    <w:rsid w:val="488B2B60"/>
    <w:rsid w:val="48A50A42"/>
    <w:rsid w:val="48AD551E"/>
    <w:rsid w:val="48B4217B"/>
    <w:rsid w:val="48BB458B"/>
    <w:rsid w:val="48C217AD"/>
    <w:rsid w:val="48C24B78"/>
    <w:rsid w:val="492D6147"/>
    <w:rsid w:val="493C27E9"/>
    <w:rsid w:val="49535F23"/>
    <w:rsid w:val="4966187E"/>
    <w:rsid w:val="496F39ED"/>
    <w:rsid w:val="49BB0530"/>
    <w:rsid w:val="49CD76D0"/>
    <w:rsid w:val="49FF41D3"/>
    <w:rsid w:val="4A185DC8"/>
    <w:rsid w:val="4A1E7EC3"/>
    <w:rsid w:val="4A2D4ED8"/>
    <w:rsid w:val="4A3D7212"/>
    <w:rsid w:val="4A605928"/>
    <w:rsid w:val="4A9C7783"/>
    <w:rsid w:val="4AA4297D"/>
    <w:rsid w:val="4AD27525"/>
    <w:rsid w:val="4AFB026D"/>
    <w:rsid w:val="4B351649"/>
    <w:rsid w:val="4B49648B"/>
    <w:rsid w:val="4B84710C"/>
    <w:rsid w:val="4B871B00"/>
    <w:rsid w:val="4B9F6E4A"/>
    <w:rsid w:val="4BA35B89"/>
    <w:rsid w:val="4BB166B5"/>
    <w:rsid w:val="4BE068DB"/>
    <w:rsid w:val="4BF6002B"/>
    <w:rsid w:val="4C307BDC"/>
    <w:rsid w:val="4C32741F"/>
    <w:rsid w:val="4CAC78D9"/>
    <w:rsid w:val="4CC12D75"/>
    <w:rsid w:val="4CC55C38"/>
    <w:rsid w:val="4CCC108B"/>
    <w:rsid w:val="4CDE01C0"/>
    <w:rsid w:val="4CFE6790"/>
    <w:rsid w:val="4D0B78AA"/>
    <w:rsid w:val="4D1A55C0"/>
    <w:rsid w:val="4DB77DA8"/>
    <w:rsid w:val="4DC54AB4"/>
    <w:rsid w:val="4DD63ED8"/>
    <w:rsid w:val="4DE435D1"/>
    <w:rsid w:val="4DE60D60"/>
    <w:rsid w:val="4E341130"/>
    <w:rsid w:val="4E663B31"/>
    <w:rsid w:val="4EA0223A"/>
    <w:rsid w:val="4ECA3C16"/>
    <w:rsid w:val="4ECE2238"/>
    <w:rsid w:val="4ED07741"/>
    <w:rsid w:val="4EDB08F0"/>
    <w:rsid w:val="4F021625"/>
    <w:rsid w:val="4F1E57EF"/>
    <w:rsid w:val="4F270ED5"/>
    <w:rsid w:val="4F2B3AE1"/>
    <w:rsid w:val="4F550BBD"/>
    <w:rsid w:val="4F6B109A"/>
    <w:rsid w:val="4F8656C5"/>
    <w:rsid w:val="4F8B0627"/>
    <w:rsid w:val="4FA05756"/>
    <w:rsid w:val="4FA70E9E"/>
    <w:rsid w:val="4FD95D42"/>
    <w:rsid w:val="4FE4197D"/>
    <w:rsid w:val="5014235E"/>
    <w:rsid w:val="50504BB7"/>
    <w:rsid w:val="5064573A"/>
    <w:rsid w:val="5086478A"/>
    <w:rsid w:val="508B13F1"/>
    <w:rsid w:val="50A078EC"/>
    <w:rsid w:val="50CD6D8D"/>
    <w:rsid w:val="510065DD"/>
    <w:rsid w:val="51211C9A"/>
    <w:rsid w:val="512C30E0"/>
    <w:rsid w:val="512E26F5"/>
    <w:rsid w:val="514669B4"/>
    <w:rsid w:val="51560EBA"/>
    <w:rsid w:val="516F4176"/>
    <w:rsid w:val="517B6075"/>
    <w:rsid w:val="51A053AF"/>
    <w:rsid w:val="51A35685"/>
    <w:rsid w:val="51DB4B86"/>
    <w:rsid w:val="52271DF5"/>
    <w:rsid w:val="52913B0B"/>
    <w:rsid w:val="52AF3A02"/>
    <w:rsid w:val="52D61C7A"/>
    <w:rsid w:val="52ED5DDA"/>
    <w:rsid w:val="533E33EC"/>
    <w:rsid w:val="5343291F"/>
    <w:rsid w:val="53465B50"/>
    <w:rsid w:val="537C7287"/>
    <w:rsid w:val="537E2329"/>
    <w:rsid w:val="538806B8"/>
    <w:rsid w:val="538C49B0"/>
    <w:rsid w:val="53FA5565"/>
    <w:rsid w:val="54152488"/>
    <w:rsid w:val="542344B7"/>
    <w:rsid w:val="54297EA1"/>
    <w:rsid w:val="543A6A1B"/>
    <w:rsid w:val="546F2173"/>
    <w:rsid w:val="547258B2"/>
    <w:rsid w:val="54BC01B7"/>
    <w:rsid w:val="54EB4EAE"/>
    <w:rsid w:val="54F1040F"/>
    <w:rsid w:val="550146D2"/>
    <w:rsid w:val="55333C3E"/>
    <w:rsid w:val="55376316"/>
    <w:rsid w:val="555D7803"/>
    <w:rsid w:val="55627075"/>
    <w:rsid w:val="5563713A"/>
    <w:rsid w:val="565F050E"/>
    <w:rsid w:val="56CD7C06"/>
    <w:rsid w:val="56E40F4F"/>
    <w:rsid w:val="56E968BB"/>
    <w:rsid w:val="56F81272"/>
    <w:rsid w:val="574B5E3B"/>
    <w:rsid w:val="57621579"/>
    <w:rsid w:val="5784430D"/>
    <w:rsid w:val="57C464C6"/>
    <w:rsid w:val="57CC0FC7"/>
    <w:rsid w:val="57CC2EAD"/>
    <w:rsid w:val="57E1520F"/>
    <w:rsid w:val="57E97BC6"/>
    <w:rsid w:val="57F87F32"/>
    <w:rsid w:val="58597FDA"/>
    <w:rsid w:val="58610417"/>
    <w:rsid w:val="587C6CC2"/>
    <w:rsid w:val="58DD14DE"/>
    <w:rsid w:val="58EA21DF"/>
    <w:rsid w:val="592B61C1"/>
    <w:rsid w:val="597F19F6"/>
    <w:rsid w:val="59A501C4"/>
    <w:rsid w:val="59E225BE"/>
    <w:rsid w:val="59FF0672"/>
    <w:rsid w:val="59FF38D6"/>
    <w:rsid w:val="5A5B0231"/>
    <w:rsid w:val="5A5B2AD6"/>
    <w:rsid w:val="5A71076E"/>
    <w:rsid w:val="5ABB3EB9"/>
    <w:rsid w:val="5AC0706A"/>
    <w:rsid w:val="5AC24713"/>
    <w:rsid w:val="5ACA77AB"/>
    <w:rsid w:val="5ACD5802"/>
    <w:rsid w:val="5ADF0004"/>
    <w:rsid w:val="5AEC4240"/>
    <w:rsid w:val="5AF13E18"/>
    <w:rsid w:val="5B247066"/>
    <w:rsid w:val="5B465E03"/>
    <w:rsid w:val="5B470644"/>
    <w:rsid w:val="5B4F074F"/>
    <w:rsid w:val="5B9B5880"/>
    <w:rsid w:val="5BB1598F"/>
    <w:rsid w:val="5BF8682E"/>
    <w:rsid w:val="5C072B5C"/>
    <w:rsid w:val="5C2B04AE"/>
    <w:rsid w:val="5C75608C"/>
    <w:rsid w:val="5CB309A7"/>
    <w:rsid w:val="5CB76E73"/>
    <w:rsid w:val="5CF15675"/>
    <w:rsid w:val="5CF85EE0"/>
    <w:rsid w:val="5CFF2E1E"/>
    <w:rsid w:val="5D011713"/>
    <w:rsid w:val="5D0336DD"/>
    <w:rsid w:val="5D236E89"/>
    <w:rsid w:val="5D2E6280"/>
    <w:rsid w:val="5D3D21DA"/>
    <w:rsid w:val="5D4A6BCA"/>
    <w:rsid w:val="5D575623"/>
    <w:rsid w:val="5D5850AB"/>
    <w:rsid w:val="5D635F29"/>
    <w:rsid w:val="5D905EDF"/>
    <w:rsid w:val="5DA84284"/>
    <w:rsid w:val="5DD61FA1"/>
    <w:rsid w:val="5E0669CA"/>
    <w:rsid w:val="5E076111"/>
    <w:rsid w:val="5E0A45F7"/>
    <w:rsid w:val="5E167440"/>
    <w:rsid w:val="5E5C470A"/>
    <w:rsid w:val="5E673EC7"/>
    <w:rsid w:val="5E8072D3"/>
    <w:rsid w:val="5EB86749"/>
    <w:rsid w:val="5EC07AC5"/>
    <w:rsid w:val="5ED3379D"/>
    <w:rsid w:val="5EDB3011"/>
    <w:rsid w:val="5EE25EEC"/>
    <w:rsid w:val="5F1A212F"/>
    <w:rsid w:val="5F863377"/>
    <w:rsid w:val="5F8A3B5D"/>
    <w:rsid w:val="5FA42829"/>
    <w:rsid w:val="5FE11A93"/>
    <w:rsid w:val="604D4C6F"/>
    <w:rsid w:val="604F7EE9"/>
    <w:rsid w:val="605341A7"/>
    <w:rsid w:val="6068749F"/>
    <w:rsid w:val="60696A50"/>
    <w:rsid w:val="60C50FD7"/>
    <w:rsid w:val="60C76CD1"/>
    <w:rsid w:val="610D0ABC"/>
    <w:rsid w:val="61263E65"/>
    <w:rsid w:val="612E7483"/>
    <w:rsid w:val="616179A2"/>
    <w:rsid w:val="61742149"/>
    <w:rsid w:val="61757F2E"/>
    <w:rsid w:val="61846571"/>
    <w:rsid w:val="61964177"/>
    <w:rsid w:val="619A3EE4"/>
    <w:rsid w:val="619D1DAD"/>
    <w:rsid w:val="61A348FB"/>
    <w:rsid w:val="621E4F97"/>
    <w:rsid w:val="62213376"/>
    <w:rsid w:val="622A5BEC"/>
    <w:rsid w:val="6243538A"/>
    <w:rsid w:val="62476838"/>
    <w:rsid w:val="6268149E"/>
    <w:rsid w:val="627112EC"/>
    <w:rsid w:val="627D56B9"/>
    <w:rsid w:val="629619B1"/>
    <w:rsid w:val="62DF38CB"/>
    <w:rsid w:val="6368244F"/>
    <w:rsid w:val="63812494"/>
    <w:rsid w:val="63820043"/>
    <w:rsid w:val="63844DFF"/>
    <w:rsid w:val="63C872E1"/>
    <w:rsid w:val="6405121E"/>
    <w:rsid w:val="64131548"/>
    <w:rsid w:val="649875B3"/>
    <w:rsid w:val="64A7127C"/>
    <w:rsid w:val="64BE25DF"/>
    <w:rsid w:val="64CA39A1"/>
    <w:rsid w:val="64D11A99"/>
    <w:rsid w:val="64D338AD"/>
    <w:rsid w:val="65532916"/>
    <w:rsid w:val="658839F2"/>
    <w:rsid w:val="65BA0D0B"/>
    <w:rsid w:val="65C576CB"/>
    <w:rsid w:val="65FE0EE5"/>
    <w:rsid w:val="660B3D20"/>
    <w:rsid w:val="66127A76"/>
    <w:rsid w:val="664C7EC7"/>
    <w:rsid w:val="664D0BC1"/>
    <w:rsid w:val="66507267"/>
    <w:rsid w:val="669328F5"/>
    <w:rsid w:val="66AE61C8"/>
    <w:rsid w:val="66AF780D"/>
    <w:rsid w:val="66C26ABB"/>
    <w:rsid w:val="671B7C8C"/>
    <w:rsid w:val="671F131A"/>
    <w:rsid w:val="675165C6"/>
    <w:rsid w:val="67564591"/>
    <w:rsid w:val="676E209B"/>
    <w:rsid w:val="67B55EF9"/>
    <w:rsid w:val="67F25A5C"/>
    <w:rsid w:val="67FD7531"/>
    <w:rsid w:val="68074A19"/>
    <w:rsid w:val="680A1398"/>
    <w:rsid w:val="680B5B3B"/>
    <w:rsid w:val="688A7357"/>
    <w:rsid w:val="68E34676"/>
    <w:rsid w:val="69114EF8"/>
    <w:rsid w:val="6931198C"/>
    <w:rsid w:val="69676DA1"/>
    <w:rsid w:val="699D0A15"/>
    <w:rsid w:val="69AC4AC9"/>
    <w:rsid w:val="69B63FB1"/>
    <w:rsid w:val="69F36887"/>
    <w:rsid w:val="6A1E40F1"/>
    <w:rsid w:val="6A7C2CD8"/>
    <w:rsid w:val="6A9809F2"/>
    <w:rsid w:val="6AB97AD1"/>
    <w:rsid w:val="6AC975E8"/>
    <w:rsid w:val="6AEE0349"/>
    <w:rsid w:val="6AF705F9"/>
    <w:rsid w:val="6B11675C"/>
    <w:rsid w:val="6B281EF7"/>
    <w:rsid w:val="6B4A218F"/>
    <w:rsid w:val="6B4C03A6"/>
    <w:rsid w:val="6B4F0754"/>
    <w:rsid w:val="6B9D21C1"/>
    <w:rsid w:val="6BA04E2A"/>
    <w:rsid w:val="6BB838E4"/>
    <w:rsid w:val="6BD05E3D"/>
    <w:rsid w:val="6C2337E4"/>
    <w:rsid w:val="6C2A1F46"/>
    <w:rsid w:val="6C2A7599"/>
    <w:rsid w:val="6C4A05C8"/>
    <w:rsid w:val="6C970AA8"/>
    <w:rsid w:val="6CA51DEC"/>
    <w:rsid w:val="6CD66D6A"/>
    <w:rsid w:val="6CE22BEA"/>
    <w:rsid w:val="6CE562EB"/>
    <w:rsid w:val="6D9C5418"/>
    <w:rsid w:val="6DDA3742"/>
    <w:rsid w:val="6DE41A11"/>
    <w:rsid w:val="6DFB7682"/>
    <w:rsid w:val="6DFD65D6"/>
    <w:rsid w:val="6E6A3973"/>
    <w:rsid w:val="6E841D8D"/>
    <w:rsid w:val="6EB13D80"/>
    <w:rsid w:val="6EBF0EB8"/>
    <w:rsid w:val="6ED64EB5"/>
    <w:rsid w:val="6F03131A"/>
    <w:rsid w:val="6F0C7EA5"/>
    <w:rsid w:val="6F1654F2"/>
    <w:rsid w:val="6F1D7C06"/>
    <w:rsid w:val="6F327E52"/>
    <w:rsid w:val="6F37322C"/>
    <w:rsid w:val="6F512779"/>
    <w:rsid w:val="6F642FA5"/>
    <w:rsid w:val="6F6C3363"/>
    <w:rsid w:val="6F8E13EF"/>
    <w:rsid w:val="6FDC366F"/>
    <w:rsid w:val="6FDC5B81"/>
    <w:rsid w:val="7000276E"/>
    <w:rsid w:val="700205F2"/>
    <w:rsid w:val="702C23D0"/>
    <w:rsid w:val="706B2774"/>
    <w:rsid w:val="706B4AA6"/>
    <w:rsid w:val="707B10F4"/>
    <w:rsid w:val="708956F1"/>
    <w:rsid w:val="708F31E5"/>
    <w:rsid w:val="70A2307D"/>
    <w:rsid w:val="70B825D8"/>
    <w:rsid w:val="70D50EA3"/>
    <w:rsid w:val="70D6480D"/>
    <w:rsid w:val="71170EA3"/>
    <w:rsid w:val="711C2B67"/>
    <w:rsid w:val="712D3EC8"/>
    <w:rsid w:val="71862CD7"/>
    <w:rsid w:val="71A33942"/>
    <w:rsid w:val="71A46CC9"/>
    <w:rsid w:val="71D53288"/>
    <w:rsid w:val="71D667DE"/>
    <w:rsid w:val="71F62146"/>
    <w:rsid w:val="72734D90"/>
    <w:rsid w:val="72FF593A"/>
    <w:rsid w:val="73063D23"/>
    <w:rsid w:val="733953B7"/>
    <w:rsid w:val="7379295A"/>
    <w:rsid w:val="738A14AB"/>
    <w:rsid w:val="73B452D9"/>
    <w:rsid w:val="73C372CA"/>
    <w:rsid w:val="73DA2BA3"/>
    <w:rsid w:val="73DA531F"/>
    <w:rsid w:val="73F07C2D"/>
    <w:rsid w:val="743A07C2"/>
    <w:rsid w:val="74591AC6"/>
    <w:rsid w:val="74607793"/>
    <w:rsid w:val="74B70345"/>
    <w:rsid w:val="74DE6D23"/>
    <w:rsid w:val="74E366CA"/>
    <w:rsid w:val="751403D4"/>
    <w:rsid w:val="75367C0A"/>
    <w:rsid w:val="757E6D49"/>
    <w:rsid w:val="75803311"/>
    <w:rsid w:val="758B1E1D"/>
    <w:rsid w:val="75BB1E88"/>
    <w:rsid w:val="75C87389"/>
    <w:rsid w:val="761D001C"/>
    <w:rsid w:val="764E2556"/>
    <w:rsid w:val="76522B87"/>
    <w:rsid w:val="76557722"/>
    <w:rsid w:val="76581E72"/>
    <w:rsid w:val="765B2A37"/>
    <w:rsid w:val="769F033D"/>
    <w:rsid w:val="769F5613"/>
    <w:rsid w:val="76A278B5"/>
    <w:rsid w:val="76AF49E6"/>
    <w:rsid w:val="76B06A56"/>
    <w:rsid w:val="76CA79B6"/>
    <w:rsid w:val="76E7383C"/>
    <w:rsid w:val="76F13EB8"/>
    <w:rsid w:val="770E6AAE"/>
    <w:rsid w:val="775B6708"/>
    <w:rsid w:val="775C51A3"/>
    <w:rsid w:val="78003262"/>
    <w:rsid w:val="78246ADB"/>
    <w:rsid w:val="785D50ED"/>
    <w:rsid w:val="7863329F"/>
    <w:rsid w:val="78650E58"/>
    <w:rsid w:val="788E6057"/>
    <w:rsid w:val="789B25C4"/>
    <w:rsid w:val="78C60711"/>
    <w:rsid w:val="78FF16C7"/>
    <w:rsid w:val="79120C3C"/>
    <w:rsid w:val="793D367B"/>
    <w:rsid w:val="795B1D53"/>
    <w:rsid w:val="798410D2"/>
    <w:rsid w:val="798B50AA"/>
    <w:rsid w:val="79B34BCF"/>
    <w:rsid w:val="79E7B28D"/>
    <w:rsid w:val="7A0D74F1"/>
    <w:rsid w:val="7A151512"/>
    <w:rsid w:val="7A1E2103"/>
    <w:rsid w:val="7A551387"/>
    <w:rsid w:val="7A631D5C"/>
    <w:rsid w:val="7A6A0BEA"/>
    <w:rsid w:val="7A8D3EAA"/>
    <w:rsid w:val="7AC127F2"/>
    <w:rsid w:val="7AC6160A"/>
    <w:rsid w:val="7AD95618"/>
    <w:rsid w:val="7B022DCE"/>
    <w:rsid w:val="7BA91799"/>
    <w:rsid w:val="7C701126"/>
    <w:rsid w:val="7C813BD7"/>
    <w:rsid w:val="7C8E3EDF"/>
    <w:rsid w:val="7CC16371"/>
    <w:rsid w:val="7CD57EAB"/>
    <w:rsid w:val="7D161213"/>
    <w:rsid w:val="7D1D6196"/>
    <w:rsid w:val="7D276B1C"/>
    <w:rsid w:val="7D384885"/>
    <w:rsid w:val="7D470F6C"/>
    <w:rsid w:val="7D4B0446"/>
    <w:rsid w:val="7D5B030B"/>
    <w:rsid w:val="7D5D253D"/>
    <w:rsid w:val="7D8D727A"/>
    <w:rsid w:val="7DAE15BB"/>
    <w:rsid w:val="7DD21BE0"/>
    <w:rsid w:val="7DEC6B97"/>
    <w:rsid w:val="7DF052B7"/>
    <w:rsid w:val="7DF25B23"/>
    <w:rsid w:val="7E000B16"/>
    <w:rsid w:val="7E024A8C"/>
    <w:rsid w:val="7E17478C"/>
    <w:rsid w:val="7E7770DF"/>
    <w:rsid w:val="7E814921"/>
    <w:rsid w:val="7E8271DF"/>
    <w:rsid w:val="7EED63AD"/>
    <w:rsid w:val="7EF27ED4"/>
    <w:rsid w:val="7EFE38AC"/>
    <w:rsid w:val="7F737DF6"/>
    <w:rsid w:val="7F817DB4"/>
    <w:rsid w:val="7F8A623C"/>
    <w:rsid w:val="7F8C4A31"/>
    <w:rsid w:val="7F9F20EE"/>
    <w:rsid w:val="7FB824A8"/>
    <w:rsid w:val="7FD66215"/>
    <w:rsid w:val="7FDD6129"/>
    <w:rsid w:val="7FEC6079"/>
    <w:rsid w:val="9E3A1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454B8"/>
    <w:pPr>
      <w:widowControl w:val="0"/>
      <w:jc w:val="both"/>
    </w:pPr>
    <w:rPr>
      <w:kern w:val="2"/>
      <w:sz w:val="21"/>
      <w:szCs w:val="24"/>
    </w:rPr>
  </w:style>
  <w:style w:type="paragraph" w:styleId="1">
    <w:name w:val="heading 1"/>
    <w:basedOn w:val="a"/>
    <w:next w:val="a"/>
    <w:link w:val="1Char1"/>
    <w:uiPriority w:val="9"/>
    <w:qFormat/>
    <w:rsid w:val="007454B8"/>
    <w:pPr>
      <w:keepNext/>
      <w:keepLines/>
      <w:spacing w:before="340" w:after="330" w:line="578" w:lineRule="auto"/>
      <w:outlineLvl w:val="0"/>
    </w:pPr>
    <w:rPr>
      <w:b/>
      <w:bCs/>
      <w:kern w:val="44"/>
      <w:sz w:val="44"/>
      <w:szCs w:val="44"/>
    </w:rPr>
  </w:style>
  <w:style w:type="paragraph" w:styleId="20">
    <w:name w:val="heading 2"/>
    <w:basedOn w:val="a"/>
    <w:next w:val="a"/>
    <w:link w:val="2Char1"/>
    <w:uiPriority w:val="9"/>
    <w:unhideWhenUsed/>
    <w:qFormat/>
    <w:rsid w:val="007454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454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7454B8"/>
    <w:pPr>
      <w:ind w:firstLineChars="200" w:firstLine="420"/>
    </w:pPr>
  </w:style>
  <w:style w:type="paragraph" w:styleId="a3">
    <w:name w:val="Body Text Indent"/>
    <w:basedOn w:val="a"/>
    <w:next w:val="2"/>
    <w:qFormat/>
    <w:rsid w:val="007454B8"/>
    <w:pPr>
      <w:ind w:firstLine="643"/>
    </w:pPr>
    <w:rPr>
      <w:rFonts w:eastAsia="仿宋_GB2312" w:cs="宋体"/>
      <w:b/>
      <w:color w:val="000000"/>
      <w:sz w:val="32"/>
    </w:rPr>
  </w:style>
  <w:style w:type="paragraph" w:styleId="a4">
    <w:name w:val="Salutation"/>
    <w:basedOn w:val="a"/>
    <w:next w:val="a"/>
    <w:uiPriority w:val="99"/>
    <w:qFormat/>
    <w:rsid w:val="007454B8"/>
    <w:rPr>
      <w:szCs w:val="20"/>
    </w:rPr>
  </w:style>
  <w:style w:type="paragraph" w:styleId="a5">
    <w:name w:val="Body Text"/>
    <w:basedOn w:val="a"/>
    <w:next w:val="a"/>
    <w:link w:val="Char"/>
    <w:uiPriority w:val="99"/>
    <w:qFormat/>
    <w:rsid w:val="007454B8"/>
    <w:pPr>
      <w:spacing w:beforeLines="30"/>
    </w:pPr>
    <w:rPr>
      <w:rFonts w:ascii="仿宋_GB2312" w:eastAsia="仿宋_GB2312"/>
      <w:kern w:val="0"/>
      <w:sz w:val="30"/>
    </w:rPr>
  </w:style>
  <w:style w:type="paragraph" w:styleId="30">
    <w:name w:val="toc 3"/>
    <w:basedOn w:val="a"/>
    <w:next w:val="a"/>
    <w:uiPriority w:val="39"/>
    <w:unhideWhenUsed/>
    <w:qFormat/>
    <w:rsid w:val="007454B8"/>
    <w:pPr>
      <w:tabs>
        <w:tab w:val="right" w:leader="dot" w:pos="8296"/>
      </w:tabs>
      <w:ind w:leftChars="400" w:left="840"/>
    </w:pPr>
  </w:style>
  <w:style w:type="paragraph" w:styleId="a6">
    <w:name w:val="Balloon Text"/>
    <w:basedOn w:val="a"/>
    <w:link w:val="Char0"/>
    <w:uiPriority w:val="99"/>
    <w:semiHidden/>
    <w:unhideWhenUsed/>
    <w:qFormat/>
    <w:rsid w:val="007454B8"/>
    <w:rPr>
      <w:sz w:val="18"/>
      <w:szCs w:val="18"/>
    </w:rPr>
  </w:style>
  <w:style w:type="paragraph" w:styleId="a7">
    <w:name w:val="footer"/>
    <w:basedOn w:val="a"/>
    <w:link w:val="Char1"/>
    <w:uiPriority w:val="99"/>
    <w:qFormat/>
    <w:rsid w:val="007454B8"/>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7454B8"/>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link w:val="1Char"/>
    <w:uiPriority w:val="39"/>
    <w:unhideWhenUsed/>
    <w:qFormat/>
    <w:rsid w:val="007454B8"/>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7454B8"/>
    <w:pPr>
      <w:tabs>
        <w:tab w:val="right" w:leader="dot" w:pos="8296"/>
      </w:tabs>
      <w:ind w:leftChars="200" w:left="420"/>
    </w:pPr>
  </w:style>
  <w:style w:type="paragraph" w:styleId="a9">
    <w:name w:val="Normal (Web)"/>
    <w:basedOn w:val="a"/>
    <w:qFormat/>
    <w:rsid w:val="007454B8"/>
    <w:pPr>
      <w:spacing w:before="100" w:beforeAutospacing="1" w:after="100" w:afterAutospacing="1"/>
      <w:jc w:val="left"/>
    </w:pPr>
    <w:rPr>
      <w:kern w:val="0"/>
      <w:sz w:val="24"/>
    </w:rPr>
  </w:style>
  <w:style w:type="character" w:styleId="aa">
    <w:name w:val="Strong"/>
    <w:basedOn w:val="a0"/>
    <w:uiPriority w:val="99"/>
    <w:qFormat/>
    <w:rsid w:val="007454B8"/>
    <w:rPr>
      <w:b/>
    </w:rPr>
  </w:style>
  <w:style w:type="character" w:styleId="ab">
    <w:name w:val="Hyperlink"/>
    <w:basedOn w:val="a0"/>
    <w:uiPriority w:val="99"/>
    <w:unhideWhenUsed/>
    <w:qFormat/>
    <w:rsid w:val="007454B8"/>
    <w:rPr>
      <w:color w:val="0000FF" w:themeColor="hyperlink"/>
      <w:u w:val="single"/>
    </w:rPr>
  </w:style>
  <w:style w:type="character" w:customStyle="1" w:styleId="HeaderChar">
    <w:name w:val="Header Char"/>
    <w:basedOn w:val="a0"/>
    <w:uiPriority w:val="99"/>
    <w:semiHidden/>
    <w:qFormat/>
    <w:rsid w:val="007454B8"/>
    <w:rPr>
      <w:rFonts w:ascii="Times New Roman" w:hAnsi="Times New Roman"/>
      <w:sz w:val="18"/>
      <w:szCs w:val="18"/>
    </w:rPr>
  </w:style>
  <w:style w:type="character" w:customStyle="1" w:styleId="Char2">
    <w:name w:val="页眉 Char"/>
    <w:link w:val="a8"/>
    <w:uiPriority w:val="99"/>
    <w:semiHidden/>
    <w:qFormat/>
    <w:locked/>
    <w:rsid w:val="007454B8"/>
    <w:rPr>
      <w:sz w:val="18"/>
    </w:rPr>
  </w:style>
  <w:style w:type="character" w:customStyle="1" w:styleId="FooterChar">
    <w:name w:val="Footer Char"/>
    <w:basedOn w:val="a0"/>
    <w:uiPriority w:val="99"/>
    <w:semiHidden/>
    <w:qFormat/>
    <w:rsid w:val="007454B8"/>
    <w:rPr>
      <w:rFonts w:ascii="Times New Roman" w:hAnsi="Times New Roman"/>
      <w:sz w:val="18"/>
      <w:szCs w:val="18"/>
    </w:rPr>
  </w:style>
  <w:style w:type="character" w:customStyle="1" w:styleId="Char1">
    <w:name w:val="页脚 Char"/>
    <w:link w:val="a7"/>
    <w:uiPriority w:val="99"/>
    <w:qFormat/>
    <w:locked/>
    <w:rsid w:val="007454B8"/>
    <w:rPr>
      <w:sz w:val="18"/>
    </w:rPr>
  </w:style>
  <w:style w:type="character" w:customStyle="1" w:styleId="BodyTextChar">
    <w:name w:val="Body Text Char"/>
    <w:basedOn w:val="a0"/>
    <w:uiPriority w:val="99"/>
    <w:semiHidden/>
    <w:qFormat/>
    <w:rsid w:val="007454B8"/>
    <w:rPr>
      <w:rFonts w:ascii="Times New Roman" w:hAnsi="Times New Roman"/>
      <w:szCs w:val="24"/>
    </w:rPr>
  </w:style>
  <w:style w:type="character" w:customStyle="1" w:styleId="Char">
    <w:name w:val="正文文本 Char"/>
    <w:link w:val="a5"/>
    <w:uiPriority w:val="99"/>
    <w:qFormat/>
    <w:locked/>
    <w:rsid w:val="007454B8"/>
    <w:rPr>
      <w:rFonts w:ascii="仿宋_GB2312" w:eastAsia="仿宋_GB2312" w:hAnsi="Times New Roman"/>
      <w:sz w:val="24"/>
    </w:rPr>
  </w:style>
  <w:style w:type="paragraph" w:customStyle="1" w:styleId="Default">
    <w:name w:val="Default"/>
    <w:uiPriority w:val="99"/>
    <w:qFormat/>
    <w:rsid w:val="007454B8"/>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rsid w:val="007454B8"/>
    <w:pPr>
      <w:ind w:firstLineChars="200" w:firstLine="420"/>
    </w:pPr>
  </w:style>
  <w:style w:type="character" w:customStyle="1" w:styleId="1Char0">
    <w:name w:val="标题 1 Char"/>
    <w:basedOn w:val="a0"/>
    <w:link w:val="1"/>
    <w:uiPriority w:val="9"/>
    <w:qFormat/>
    <w:rsid w:val="007454B8"/>
    <w:rPr>
      <w:rFonts w:ascii="Times New Roman" w:hAnsi="Times New Roman"/>
      <w:b/>
      <w:bCs/>
      <w:kern w:val="44"/>
      <w:sz w:val="44"/>
      <w:szCs w:val="44"/>
    </w:rPr>
  </w:style>
  <w:style w:type="character" w:customStyle="1" w:styleId="2Char">
    <w:name w:val="标题 2 Char"/>
    <w:basedOn w:val="a0"/>
    <w:link w:val="20"/>
    <w:uiPriority w:val="9"/>
    <w:qFormat/>
    <w:rsid w:val="007454B8"/>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7454B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6"/>
    <w:uiPriority w:val="99"/>
    <w:semiHidden/>
    <w:qFormat/>
    <w:rsid w:val="007454B8"/>
    <w:rPr>
      <w:rFonts w:ascii="Times New Roman" w:hAnsi="Times New Roman"/>
      <w:kern w:val="2"/>
      <w:sz w:val="18"/>
      <w:szCs w:val="18"/>
    </w:rPr>
  </w:style>
  <w:style w:type="character" w:customStyle="1" w:styleId="3Char">
    <w:name w:val="标题 3 Char"/>
    <w:basedOn w:val="a0"/>
    <w:link w:val="3"/>
    <w:uiPriority w:val="9"/>
    <w:qFormat/>
    <w:rsid w:val="007454B8"/>
    <w:rPr>
      <w:rFonts w:ascii="Times New Roman" w:hAnsi="Times New Roman"/>
      <w:b/>
      <w:bCs/>
      <w:kern w:val="2"/>
      <w:sz w:val="32"/>
      <w:szCs w:val="32"/>
    </w:rPr>
  </w:style>
  <w:style w:type="paragraph" w:customStyle="1" w:styleId="TOC2">
    <w:name w:val="TOC 标题2"/>
    <w:basedOn w:val="1"/>
    <w:next w:val="a"/>
    <w:uiPriority w:val="39"/>
    <w:unhideWhenUsed/>
    <w:qFormat/>
    <w:rsid w:val="007454B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1">
    <w:name w:val="标题 2 Char1"/>
    <w:basedOn w:val="a0"/>
    <w:link w:val="20"/>
    <w:uiPriority w:val="9"/>
    <w:qFormat/>
    <w:locked/>
    <w:rsid w:val="007454B8"/>
    <w:rPr>
      <w:rFonts w:ascii="Cambria" w:eastAsia="宋体" w:hAnsi="Cambria" w:cs="Times New Roman"/>
      <w:b/>
      <w:bCs/>
      <w:kern w:val="2"/>
      <w:sz w:val="32"/>
      <w:szCs w:val="32"/>
    </w:rPr>
  </w:style>
  <w:style w:type="character" w:customStyle="1" w:styleId="1Char1">
    <w:name w:val="标题 1 Char1"/>
    <w:basedOn w:val="a0"/>
    <w:link w:val="1"/>
    <w:uiPriority w:val="9"/>
    <w:qFormat/>
    <w:locked/>
    <w:rsid w:val="007454B8"/>
    <w:rPr>
      <w:rFonts w:ascii="Times New Roman" w:hAnsi="Times New Roman" w:cs="Times New Roman"/>
      <w:b/>
      <w:bCs/>
      <w:kern w:val="44"/>
      <w:sz w:val="44"/>
      <w:szCs w:val="44"/>
    </w:rPr>
  </w:style>
  <w:style w:type="character" w:customStyle="1" w:styleId="font71">
    <w:name w:val="font71"/>
    <w:basedOn w:val="a0"/>
    <w:qFormat/>
    <w:rsid w:val="007454B8"/>
    <w:rPr>
      <w:rFonts w:ascii="宋体" w:eastAsia="宋体" w:hAnsi="宋体" w:cs="宋体" w:hint="eastAsia"/>
      <w:color w:val="000000"/>
      <w:sz w:val="20"/>
      <w:szCs w:val="20"/>
      <w:u w:val="none"/>
    </w:rPr>
  </w:style>
  <w:style w:type="character" w:customStyle="1" w:styleId="font11">
    <w:name w:val="font11"/>
    <w:basedOn w:val="a0"/>
    <w:qFormat/>
    <w:rsid w:val="007454B8"/>
    <w:rPr>
      <w:rFonts w:ascii="宋体" w:eastAsia="宋体" w:hAnsi="宋体" w:cs="宋体" w:hint="eastAsia"/>
      <w:color w:val="000000"/>
      <w:sz w:val="18"/>
      <w:szCs w:val="18"/>
      <w:u w:val="none"/>
    </w:rPr>
  </w:style>
  <w:style w:type="paragraph" w:customStyle="1" w:styleId="WPSOffice1">
    <w:name w:val="WPSOffice手动目录 1"/>
    <w:qFormat/>
    <w:rsid w:val="007454B8"/>
    <w:rPr>
      <w:rFonts w:ascii="Calibri" w:hAnsi="Calibri"/>
    </w:rPr>
  </w:style>
  <w:style w:type="paragraph" w:customStyle="1" w:styleId="WPSOffice2">
    <w:name w:val="WPSOffice手动目录 2"/>
    <w:qFormat/>
    <w:rsid w:val="007454B8"/>
    <w:pPr>
      <w:ind w:leftChars="200" w:left="200"/>
    </w:pPr>
    <w:rPr>
      <w:rFonts w:ascii="Calibri" w:hAnsi="Calibri"/>
    </w:rPr>
  </w:style>
  <w:style w:type="paragraph" w:customStyle="1" w:styleId="WPSOffice3">
    <w:name w:val="WPSOffice手动目录 3"/>
    <w:qFormat/>
    <w:rsid w:val="007454B8"/>
    <w:pPr>
      <w:ind w:leftChars="400" w:left="400"/>
    </w:pPr>
    <w:rPr>
      <w:rFonts w:ascii="Calibri" w:hAnsi="Calibri"/>
    </w:rPr>
  </w:style>
  <w:style w:type="character" w:customStyle="1" w:styleId="1Char">
    <w:name w:val="目录 1 Char"/>
    <w:link w:val="10"/>
    <w:uiPriority w:val="39"/>
    <w:qFormat/>
    <w:rsid w:val="007454B8"/>
    <w:rPr>
      <w:rFonts w:ascii="仿宋" w:eastAsia="仿宋" w:hAnsi="仿宋"/>
      <w:sz w:val="28"/>
      <w:szCs w:val="28"/>
    </w:rPr>
  </w:style>
  <w:style w:type="paragraph" w:customStyle="1" w:styleId="tableoffigures1">
    <w:name w:val="table of figures1"/>
    <w:basedOn w:val="a"/>
    <w:next w:val="a"/>
    <w:uiPriority w:val="99"/>
    <w:qFormat/>
    <w:rsid w:val="007454B8"/>
    <w:pPr>
      <w:ind w:leftChars="200" w:left="200" w:hangingChars="200" w:hanging="200"/>
    </w:pPr>
  </w:style>
  <w:style w:type="character" w:customStyle="1" w:styleId="font01">
    <w:name w:val="font01"/>
    <w:basedOn w:val="a0"/>
    <w:qFormat/>
    <w:rsid w:val="007454B8"/>
    <w:rPr>
      <w:rFonts w:ascii="宋体" w:eastAsia="宋体" w:hAnsi="宋体" w:cs="宋体" w:hint="eastAsia"/>
      <w:color w:val="000000"/>
      <w:sz w:val="24"/>
      <w:szCs w:val="24"/>
      <w:u w:val="none"/>
    </w:rPr>
  </w:style>
  <w:style w:type="character" w:customStyle="1" w:styleId="font91">
    <w:name w:val="font91"/>
    <w:basedOn w:val="a0"/>
    <w:qFormat/>
    <w:rsid w:val="007454B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39044;&#31639;\&#26609;&#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1&#24180;&#39044;&#31639;\&#26609;&#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1&#24180;&#39044;&#31639;\&#26609;&#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39044;&#31639;\&#26609;&#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6609;&#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6609;&#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7.837312604108837E-2"/>
          <c:y val="6.2005559119093223E-2"/>
          <c:w val="0.78725707940033296"/>
          <c:h val="0.8495616848407096"/>
        </c:manualLayout>
      </c:layout>
      <c:barChart>
        <c:barDir val="col"/>
        <c:grouping val="clustered"/>
        <c:ser>
          <c:idx val="0"/>
          <c:order val="0"/>
          <c:tx>
            <c:strRef>
              <c:f>[柱状图.xls]Sheet1!$G$8</c:f>
              <c:strCache>
                <c:ptCount val="1"/>
                <c:pt idx="0">
                  <c:v>收入</c:v>
                </c:pt>
              </c:strCache>
            </c:strRef>
          </c:tx>
          <c:spPr>
            <a:solidFill>
              <a:schemeClr val="accent1"/>
            </a:solidFill>
            <a:ln>
              <a:noFill/>
            </a:ln>
            <a:effectLst/>
          </c:spP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[柱状图.xls]Sheet1!$F$9:$F$11</c:f>
              <c:numCache>
                <c:formatCode>General</c:formatCode>
                <c:ptCount val="3"/>
                <c:pt idx="0">
                  <c:v>2020</c:v>
                </c:pt>
                <c:pt idx="2">
                  <c:v>2021</c:v>
                </c:pt>
              </c:numCache>
            </c:numRef>
          </c:cat>
          <c:val>
            <c:numRef>
              <c:f>[柱状图.xls]Sheet1!$G$9:$G$11</c:f>
              <c:numCache>
                <c:formatCode>General</c:formatCode>
                <c:ptCount val="3"/>
                <c:pt idx="0">
                  <c:v>178.29</c:v>
                </c:pt>
                <c:pt idx="1">
                  <c:v>0</c:v>
                </c:pt>
                <c:pt idx="2">
                  <c:v>178.29</c:v>
                </c:pt>
              </c:numCache>
            </c:numRef>
          </c:val>
        </c:ser>
        <c:ser>
          <c:idx val="1"/>
          <c:order val="1"/>
          <c:tx>
            <c:strRef>
              <c:f>[柱状图.xls]Sheet1!$H$8</c:f>
              <c:strCache>
                <c:ptCount val="1"/>
                <c:pt idx="0">
                  <c:v>支出</c:v>
                </c:pt>
              </c:strCache>
            </c:strRef>
          </c:tx>
          <c:spPr>
            <a:solidFill>
              <a:schemeClr val="accent2"/>
            </a:solidFill>
            <a:ln>
              <a:noFill/>
            </a:ln>
            <a:effectLst/>
          </c:spP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[柱状图.xls]Sheet1!$F$9:$F$11</c:f>
              <c:numCache>
                <c:formatCode>General</c:formatCode>
                <c:ptCount val="3"/>
                <c:pt idx="0">
                  <c:v>2020</c:v>
                </c:pt>
                <c:pt idx="2">
                  <c:v>2021</c:v>
                </c:pt>
              </c:numCache>
            </c:numRef>
          </c:cat>
          <c:val>
            <c:numRef>
              <c:f>[柱状图.xls]Sheet1!$H$9:$H$11</c:f>
              <c:numCache>
                <c:formatCode>General</c:formatCode>
                <c:ptCount val="3"/>
                <c:pt idx="0">
                  <c:v>173.59</c:v>
                </c:pt>
                <c:pt idx="1">
                  <c:v>0</c:v>
                </c:pt>
                <c:pt idx="2">
                  <c:v>173.59</c:v>
                </c:pt>
              </c:numCache>
            </c:numRef>
          </c:val>
        </c:ser>
        <c:gapWidth val="75"/>
        <c:axId val="100523008"/>
        <c:axId val="100539776"/>
      </c:barChart>
      <c:catAx>
        <c:axId val="100523008"/>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539776"/>
        <c:crosses val="autoZero"/>
        <c:auto val="1"/>
        <c:lblAlgn val="ctr"/>
        <c:lblOffset val="100"/>
      </c:catAx>
      <c:valAx>
        <c:axId val="100539776"/>
        <c:scaling>
          <c:orientation val="minMax"/>
        </c:scaling>
        <c:axPos val="l"/>
        <c:numFmt formatCode="General" sourceLinked="1"/>
        <c:maj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0523008"/>
        <c:crosses val="autoZero"/>
        <c:crossBetween val="between"/>
      </c:valAx>
      <c:spPr>
        <a:noFill/>
        <a:ln>
          <a:noFill/>
        </a:ln>
        <a:effectLst/>
      </c:spPr>
    </c:plotArea>
    <c:legend>
      <c:legendPos val="r"/>
      <c:layout>
        <c:manualLayout>
          <c:xMode val="edge"/>
          <c:yMode val="edge"/>
          <c:x val="0.41325000000000001"/>
          <c:y val="0.89475000000000005"/>
          <c:w val="0.1721983116290241"/>
          <c:h val="7.4074074074074112E-2"/>
        </c:manualLayout>
      </c:layout>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"政府性基金"</c:f>
              <c:strCache>
                <c:ptCount val="1"/>
                <c:pt idx="0">
                  <c:v>政府性基金</c:v>
                </c:pt>
              </c:strCache>
            </c:strRef>
          </c:tx>
          <c:spPr>
            <a:solidFill>
              <a:srgbClr val="5B9BD5">
                <a:alpha val="100000"/>
                <a:alpha val="100000"/>
              </a:srgbClr>
            </a:solidFill>
            <a:ln w="9525">
              <a:noFill/>
            </a:ln>
            <a:effectLst/>
          </c:spPr>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0.16297376694438689"/>
                  <c:y val="-0.1781174034842642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一般公共预算财政拨款收入</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121.75</a:t>
                    </a:r>
                    <a:endParaRPr lang="en-US" altLang="zh-CN"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dLbl>
              <c:idx val="1"/>
              <c:delete val="1"/>
            </c:dLbl>
            <c:dLbl>
              <c:idx val="2"/>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事业收入</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51.85</a:t>
                    </a:r>
                    <a:endParaRPr lang="en-US" altLang="zh-CN"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inEnd"/>
              <c:showPercent val="1"/>
              <c:extLst>
                <c:ext xmlns:c15="http://schemas.microsoft.com/office/drawing/2012/chart" uri="{CE6537A1-D6FC-4f65-9D91-7224C49458BB}"/>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[柱状图.xls]Sheet1!$F$25:$F$27</c:f>
              <c:strCache>
                <c:ptCount val="3"/>
                <c:pt idx="0">
                  <c:v>一般公共预算财政拨款收入</c:v>
                </c:pt>
                <c:pt idx="1">
                  <c:v>政府性基金</c:v>
                </c:pt>
                <c:pt idx="2">
                  <c:v>事业收入</c:v>
                </c:pt>
              </c:strCache>
            </c:strRef>
          </c:cat>
          <c:val>
            <c:numRef>
              <c:f>[柱状图.xls]Sheet1!$G$25:$G$27</c:f>
              <c:numCache>
                <c:formatCode>General</c:formatCode>
                <c:ptCount val="3"/>
                <c:pt idx="0">
                  <c:v>121.75</c:v>
                </c:pt>
                <c:pt idx="1">
                  <c:v>0</c:v>
                </c:pt>
                <c:pt idx="2">
                  <c:v>51.58</c:v>
                </c:pt>
              </c:numCache>
            </c:numRef>
          </c:val>
        </c:ser>
        <c:firstSliceAng val="0"/>
      </c:pieChart>
      <c:spPr>
        <a:noFill/>
        <a:ln>
          <a:noFill/>
        </a:ln>
        <a:effectLst/>
      </c:spPr>
    </c:plotArea>
    <c:legend>
      <c:legendPos val="r"/>
      <c:layout>
        <c:manualLayout>
          <c:xMode val="edge"/>
          <c:yMode val="edge"/>
          <c:x val="0.66125000000000045"/>
          <c:y val="0.19950000000000001"/>
          <c:w val="0.33175000000000021"/>
          <c:h val="0.50249999999999961"/>
        </c:manualLayout>
      </c:layout>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spPr>
            <a:solidFill>
              <a:srgbClr val="5B9BD5">
                <a:alpha val="100000"/>
                <a:alpha val="100000"/>
              </a:srgbClr>
            </a:solidFill>
            <a:ln w="9525">
              <a:noFill/>
            </a:ln>
            <a:effectLst/>
          </c:spPr>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dLbl>
              <c:idx val="0"/>
              <c:layout>
                <c:manualLayout>
                  <c:x val="-2.134384868968172E-2"/>
                  <c:y val="5.0529905513647085E-3"/>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36.86</a:t>
                    </a:r>
                    <a:endParaRPr lang="en-US" altLang="zh-CN" sz="900" b="0" i="0" u="none" strike="noStrike" cap="none" normalizeH="0" baseline="0">
                      <a:solidFill>
                        <a:srgbClr val="333333"/>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dLbl>
              <c:idx val="1"/>
              <c:layout>
                <c:manualLayout>
                  <c:x val="8.6326056168949727E-2"/>
                  <c:y val="-4.4891865497078506E-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136.73</a:t>
                    </a:r>
                    <a:endParaRPr lang="en-US" altLang="zh-CN" sz="900" b="0" i="0" u="none" strike="noStrike" cap="none" normalizeH="0" baseline="0">
                      <a:solidFill>
                        <a:srgbClr val="333333"/>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[柱状图.xls]Sheet1!$F$45:$F$46</c:f>
              <c:strCache>
                <c:ptCount val="2"/>
                <c:pt idx="0">
                  <c:v>项目支出</c:v>
                </c:pt>
                <c:pt idx="1">
                  <c:v>基本支出</c:v>
                </c:pt>
              </c:strCache>
            </c:strRef>
          </c:cat>
          <c:val>
            <c:numRef>
              <c:f>[柱状图.xls]Sheet1!$G$45:$G$46</c:f>
              <c:numCache>
                <c:formatCode>General</c:formatCode>
                <c:ptCount val="2"/>
                <c:pt idx="0">
                  <c:v>36.86</c:v>
                </c:pt>
                <c:pt idx="1">
                  <c:v>136.72999999999999</c:v>
                </c:pt>
              </c:numCache>
            </c:numRef>
          </c:val>
        </c:ser>
        <c:firstSliceAng val="0"/>
      </c:pieChart>
      <c:spPr>
        <a:noFill/>
        <a:ln>
          <a:noFill/>
        </a:ln>
        <a:effectLst/>
      </c:spPr>
    </c:plotArea>
    <c:legend>
      <c:legendPos val="r"/>
      <c:layout>
        <c:manualLayout>
          <c:xMode val="edge"/>
          <c:yMode val="edge"/>
          <c:x val="0.84475000000000044"/>
          <c:y val="0.42400000000000021"/>
          <c:w val="0.13750000000000001"/>
          <c:h val="0.15000000000000011"/>
        </c:manualLayout>
      </c:layout>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7.837312604108837E-2"/>
          <c:y val="6.2005559119093223E-2"/>
          <c:w val="0.78725707940033296"/>
          <c:h val="0.8495616848407096"/>
        </c:manualLayout>
      </c:layout>
      <c:barChart>
        <c:barDir val="col"/>
        <c:grouping val="clustered"/>
        <c:ser>
          <c:idx val="0"/>
          <c:order val="0"/>
          <c:tx>
            <c:strRef>
              <c:f>[柱状图.xls]Sheet1!$G$8</c:f>
              <c:strCache>
                <c:ptCount val="1"/>
                <c:pt idx="0">
                  <c:v>收入</c:v>
                </c:pt>
              </c:strCache>
            </c:strRef>
          </c:tx>
          <c:spPr>
            <a:solidFill>
              <a:schemeClr val="accent1"/>
            </a:solidFill>
            <a:ln>
              <a:noFill/>
            </a:ln>
            <a:effectLst/>
          </c:spP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[柱状图.xls]Sheet1!$F$9:$F$11</c:f>
              <c:numCache>
                <c:formatCode>General</c:formatCode>
                <c:ptCount val="3"/>
                <c:pt idx="0">
                  <c:v>2020</c:v>
                </c:pt>
                <c:pt idx="2">
                  <c:v>2021</c:v>
                </c:pt>
              </c:numCache>
            </c:numRef>
          </c:cat>
          <c:val>
            <c:numRef>
              <c:f>[柱状图.xls]Sheet1!$G$9:$G$11</c:f>
              <c:numCache>
                <c:formatCode>General</c:formatCode>
                <c:ptCount val="3"/>
                <c:pt idx="0">
                  <c:v>121.75</c:v>
                </c:pt>
                <c:pt idx="1">
                  <c:v>0</c:v>
                </c:pt>
                <c:pt idx="2">
                  <c:v>121.75</c:v>
                </c:pt>
              </c:numCache>
            </c:numRef>
          </c:val>
        </c:ser>
        <c:ser>
          <c:idx val="1"/>
          <c:order val="1"/>
          <c:tx>
            <c:strRef>
              <c:f>[柱状图.xls]Sheet1!$H$8</c:f>
              <c:strCache>
                <c:ptCount val="1"/>
                <c:pt idx="0">
                  <c:v>支出</c:v>
                </c:pt>
              </c:strCache>
            </c:strRef>
          </c:tx>
          <c:spPr>
            <a:solidFill>
              <a:schemeClr val="accent2"/>
            </a:solidFill>
            <a:ln>
              <a:noFill/>
            </a:ln>
            <a:effectLst/>
          </c:spPr>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[柱状图.xls]Sheet1!$F$9:$F$11</c:f>
              <c:numCache>
                <c:formatCode>General</c:formatCode>
                <c:ptCount val="3"/>
                <c:pt idx="0">
                  <c:v>2020</c:v>
                </c:pt>
                <c:pt idx="2">
                  <c:v>2021</c:v>
                </c:pt>
              </c:numCache>
            </c:numRef>
          </c:cat>
          <c:val>
            <c:numRef>
              <c:f>[柱状图.xls]Sheet1!$H$9:$H$11</c:f>
              <c:numCache>
                <c:formatCode>General</c:formatCode>
                <c:ptCount val="3"/>
                <c:pt idx="0">
                  <c:v>118.42</c:v>
                </c:pt>
                <c:pt idx="1">
                  <c:v>0</c:v>
                </c:pt>
                <c:pt idx="2">
                  <c:v>118.42</c:v>
                </c:pt>
              </c:numCache>
            </c:numRef>
          </c:val>
        </c:ser>
        <c:gapWidth val="75"/>
        <c:axId val="108860928"/>
        <c:axId val="108862464"/>
      </c:barChart>
      <c:catAx>
        <c:axId val="108860928"/>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8862464"/>
        <c:crosses val="autoZero"/>
        <c:auto val="1"/>
        <c:lblAlgn val="ctr"/>
        <c:lblOffset val="100"/>
      </c:catAx>
      <c:valAx>
        <c:axId val="108862464"/>
        <c:scaling>
          <c:orientation val="minMax"/>
        </c:scaling>
        <c:axPos val="l"/>
        <c:numFmt formatCode="General" sourceLinked="1"/>
        <c:maj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8860928"/>
        <c:crosses val="autoZero"/>
        <c:crossBetween val="between"/>
      </c:valAx>
      <c:spPr>
        <a:noFill/>
        <a:ln>
          <a:noFill/>
        </a:ln>
        <a:effectLst/>
      </c:spPr>
    </c:plotArea>
    <c:legend>
      <c:legendPos val="r"/>
      <c:layout>
        <c:manualLayout>
          <c:xMode val="edge"/>
          <c:yMode val="edge"/>
          <c:x val="0.41325000000000001"/>
          <c:y val="0.89475000000000005"/>
          <c:w val="0.1721983116290241"/>
          <c:h val="7.4074074074074112E-2"/>
        </c:manualLayout>
      </c:layout>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"一般公共预算财政拨款支出"</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multiLvlStrRef>
              <c:f>[柱状图.xls]Sheet1!$E$75:$F$76</c:f>
              <c:multiLvlStrCache>
                <c:ptCount val="2"/>
                <c:lvl>
                  <c:pt idx="0">
                    <c:v>一般公共预算财政拨款支出</c:v>
                  </c:pt>
                  <c:pt idx="1">
                    <c:v>一般公共预算财政拨款支出</c:v>
                  </c:pt>
                </c:lvl>
                <c:lvl>
                  <c:pt idx="0">
                    <c:v>2020年</c:v>
                  </c:pt>
                  <c:pt idx="1">
                    <c:v>2021年</c:v>
                  </c:pt>
                </c:lvl>
              </c:multiLvlStrCache>
            </c:multiLvlStrRef>
          </c:cat>
          <c:val>
            <c:numRef>
              <c:f>[柱状图.xls]Sheet1!$G$75:$G$76</c:f>
              <c:numCache>
                <c:formatCode>General</c:formatCode>
                <c:ptCount val="2"/>
                <c:pt idx="0">
                  <c:v>107.92</c:v>
                </c:pt>
                <c:pt idx="1">
                  <c:v>121.75</c:v>
                </c:pt>
              </c:numCache>
            </c:numRef>
          </c:val>
        </c:ser>
        <c:gapWidth val="75"/>
        <c:overlap val="40"/>
        <c:axId val="108886656"/>
        <c:axId val="108908928"/>
      </c:barChart>
      <c:catAx>
        <c:axId val="10888665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8908928"/>
        <c:crosses val="autoZero"/>
        <c:auto val="1"/>
        <c:lblAlgn val="ctr"/>
        <c:lblOffset val="100"/>
      </c:catAx>
      <c:valAx>
        <c:axId val="10890892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8886656"/>
        <c:crosses val="autoZero"/>
        <c:crossBetween val="between"/>
      </c:valAx>
      <c:spPr>
        <a:noFill/>
        <a:ln>
          <a:noFill/>
        </a:ln>
        <a:effectLst/>
      </c:spPr>
    </c:plotArea>
    <c:legend>
      <c:legendPos val="r"/>
      <c:layout>
        <c:manualLayout>
          <c:xMode val="edge"/>
          <c:yMode val="edge"/>
          <c:x val="0.74225000000000041"/>
          <c:y val="0.501"/>
          <c:w val="0.24409764501742229"/>
          <c:h val="7.293946241277488E-2"/>
        </c:manualLayout>
      </c:layout>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spPr>
            <a:solidFill>
              <a:srgbClr val="5B9BD5">
                <a:alpha val="100000"/>
                <a:alpha val="100000"/>
              </a:srgbClr>
            </a:solidFill>
            <a:ln w="9525">
              <a:noFill/>
            </a:ln>
            <a:effectLst/>
          </c:spPr>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2.1683633740409939E-3"/>
                  <c:y val="0.21635050087475391"/>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7.16</a:t>
                    </a:r>
                  </a:p>
                  <a:p>
                    <a:pPr algn="ctr" defTabSz="914400">
                      <a:defRPr lang="zh-CN" sz="900" b="0" i="0" u="none" strike="noStrike" kern="1200" baseline="0">
                        <a:solidFill>
                          <a:schemeClr val="tx1">
                            <a:lumMod val="75000"/>
                            <a:lumOff val="25000"/>
                          </a:schemeClr>
                        </a:solidFill>
                        <a:latin typeface="+mn-lt"/>
                        <a:ea typeface="+mn-ea"/>
                        <a:cs typeface="+mn-cs"/>
                      </a:defRPr>
                    </a:pPr>
                    <a:endPar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algn="ctr" defTabSz="914400">
                      <a:defRPr lang="zh-CN" sz="900" b="0" i="0" u="none" strike="noStrike" kern="1200" baseline="0">
                        <a:solidFill>
                          <a:schemeClr val="tx1">
                            <a:lumMod val="75000"/>
                            <a:lumOff val="25000"/>
                          </a:schemeClr>
                        </a:solidFill>
                        <a:latin typeface="+mn-lt"/>
                        <a:ea typeface="+mn-ea"/>
                        <a:cs typeface="+mn-cs"/>
                      </a:defRPr>
                    </a:pPr>
                    <a:endPar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endParaRPr>
                  </a:p>
                  <a:p>
                    <a:pPr algn="ctr" defTabSz="914400">
                      <a:defRPr lang="zh-CN" sz="900" b="0" i="0" u="none" strike="noStrike" kern="1200" baseline="0">
                        <a:solidFill>
                          <a:schemeClr val="tx1">
                            <a:lumMod val="75000"/>
                            <a:lumOff val="25000"/>
                          </a:schemeClr>
                        </a:solidFill>
                        <a:latin typeface="+mn-lt"/>
                        <a:ea typeface="+mn-ea"/>
                        <a:cs typeface="+mn-cs"/>
                      </a:defRPr>
                    </a:pPr>
                    <a:endParaRPr lang="en-US" altLang="zh-CN"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dLbl>
              <c:idx val="1"/>
              <c:layout>
                <c:manualLayout>
                  <c:x val="1.2988492581162999E-2"/>
                  <c:y val="-0.25603743958914199"/>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卫生健康支出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106.12</a:t>
                    </a:r>
                    <a:endParaRPr lang="en-US" altLang="zh-CN" sz="900" b="0" i="0" u="none" strike="noStrike" cap="none" normalizeH="0" baseline="0">
                      <a:solidFill>
                        <a:srgbClr val="333333"/>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dLbl>
              <c:idx val="2"/>
              <c:layout>
                <c:manualLayout>
                  <c:x val="-8.521681709552796E-4"/>
                  <c:y val="6.6551204347505097E-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8.46</a:t>
                    </a:r>
                    <a:endParaRPr lang="en-US" altLang="zh-CN" sz="900" b="0" i="0" u="none" strike="noStrike" cap="none" normalizeH="0" baseline="0">
                      <a:solidFill>
                        <a:srgbClr val="333333"/>
                      </a:solidFill>
                      <a:effectLst/>
                      <a:latin typeface="宋体" panose="02010600030101010101" charset="-122"/>
                      <a:ea typeface="宋体" panose="02010600030101010101" charset="-122"/>
                      <a:cs typeface="宋体" panose="02010600030101010101" charset="-122"/>
                    </a:endParaRPr>
                  </a:p>
                </c:rich>
              </c:tx>
              <c:spPr>
                <a:noFill/>
                <a:ln>
                  <a:noFill/>
                </a:ln>
                <a:effectLst/>
              </c:spPr>
              <c:dLblPos val="bestFit"/>
              <c:showPercent val="1"/>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[柱状图.xls]Sheet1!$F$84:$F$86</c:f>
              <c:strCache>
                <c:ptCount val="3"/>
                <c:pt idx="0">
                  <c:v>社会保障和就业支出</c:v>
                </c:pt>
                <c:pt idx="1">
                  <c:v>卫生健康支出</c:v>
                </c:pt>
                <c:pt idx="2">
                  <c:v>住房保障支出</c:v>
                </c:pt>
              </c:strCache>
            </c:strRef>
          </c:cat>
          <c:val>
            <c:numRef>
              <c:f>[柱状图.xls]Sheet1!$G$84:$G$86</c:f>
              <c:numCache>
                <c:formatCode>General</c:formatCode>
                <c:ptCount val="3"/>
                <c:pt idx="0">
                  <c:v>7.1599999999999975</c:v>
                </c:pt>
                <c:pt idx="1">
                  <c:v>106.11999999999999</c:v>
                </c:pt>
                <c:pt idx="2">
                  <c:v>8.4600000000000026</c:v>
                </c:pt>
              </c:numCache>
            </c:numRef>
          </c:val>
        </c:ser>
        <c:firstSliceAng val="0"/>
      </c:pieChart>
      <c:spPr>
        <a:noFill/>
        <a:ln>
          <a:noFill/>
        </a:ln>
        <a:effectLst/>
      </c:spPr>
    </c:plotArea>
    <c:legend>
      <c:legendPos val="r"/>
      <c:layout>
        <c:manualLayout>
          <c:xMode val="edge"/>
          <c:yMode val="edge"/>
          <c:x val="0.71750000000000003"/>
          <c:y val="0.39825000000000021"/>
          <c:w val="0.26100000000000001"/>
          <c:h val="0.19450000000000001"/>
        </c:manualLayout>
      </c:layout>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1807</Words>
  <Characters>10301</Characters>
  <Application>Microsoft Office Word</Application>
  <DocSecurity>0</DocSecurity>
  <Lines>85</Lines>
  <Paragraphs>24</Paragraphs>
  <ScaleCrop>false</ScaleCrop>
  <Company>四川省财政厅</Company>
  <LinksUpToDate>false</LinksUpToDate>
  <CharactersWithSpaces>12084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34</cp:revision>
  <cp:lastPrinted>2022-09-24T07:29:00Z</cp:lastPrinted>
  <dcterms:created xsi:type="dcterms:W3CDTF">2020-08-05T01:49:00Z</dcterms:created>
  <dcterms:modified xsi:type="dcterms:W3CDTF">2022-10-09T01:40:00Z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