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rPr>
        <w:id w:val="147462991"/>
        <w:docPartObj>
          <w:docPartGallery w:val="Table of Contents"/>
          <w:docPartUnique/>
        </w:docPartObj>
      </w:sdtPr>
      <w:sdtEndPr>
        <w:rPr>
          <w:rFonts w:ascii="宋体" w:hAnsi="宋体"/>
          <w:b/>
        </w:rPr>
      </w:sdtEndPr>
      <w:sdtContent>
        <w:p w14:paraId="7F4C3BD8">
          <w:bookmarkStart w:id="0" w:name="_Toc17377"/>
          <w:bookmarkStart w:id="350" w:name="_GoBack"/>
          <w:bookmarkEnd w:id="350"/>
        </w:p>
      </w:sdtContent>
    </w:sdt>
    <w:p w14:paraId="56A2A93D">
      <w:pPr>
        <w:adjustRightInd w:val="0"/>
        <w:snapToGrid w:val="0"/>
        <w:spacing w:line="360" w:lineRule="auto"/>
        <w:jc w:val="center"/>
        <w:outlineLvl w:val="0"/>
        <w:rPr>
          <w:rFonts w:ascii="方正小标宋简体" w:eastAsia="方正小标宋简体" w:cs="方正小标宋简体"/>
          <w:sz w:val="72"/>
          <w:szCs w:val="72"/>
        </w:rPr>
      </w:pPr>
      <w:bookmarkStart w:id="1" w:name="_Toc4733"/>
    </w:p>
    <w:p w14:paraId="6620BC73">
      <w:pPr>
        <w:adjustRightInd w:val="0"/>
        <w:snapToGrid w:val="0"/>
        <w:spacing w:line="360" w:lineRule="auto"/>
        <w:jc w:val="center"/>
        <w:outlineLvl w:val="0"/>
        <w:rPr>
          <w:rFonts w:ascii="方正小标宋简体" w:eastAsia="方正小标宋简体" w:cs="方正小标宋简体"/>
          <w:sz w:val="72"/>
          <w:szCs w:val="72"/>
        </w:rPr>
      </w:pPr>
      <w:r>
        <w:rPr>
          <w:rFonts w:hint="eastAsia" w:ascii="方正小标宋简体" w:eastAsia="方正小标宋简体" w:cs="方正小标宋简体"/>
          <w:sz w:val="72"/>
          <w:szCs w:val="72"/>
        </w:rPr>
        <w:t>2021年度</w:t>
      </w:r>
      <w:bookmarkEnd w:id="0"/>
      <w:bookmarkEnd w:id="1"/>
    </w:p>
    <w:p w14:paraId="5F1CFF1D">
      <w:pPr>
        <w:adjustRightInd w:val="0"/>
        <w:snapToGrid w:val="0"/>
        <w:spacing w:line="360" w:lineRule="auto"/>
        <w:jc w:val="center"/>
        <w:outlineLvl w:val="0"/>
        <w:rPr>
          <w:rFonts w:ascii="方正小标宋简体" w:eastAsia="方正小标宋简体" w:cs="方正小标宋简体"/>
          <w:sz w:val="72"/>
          <w:szCs w:val="72"/>
        </w:rPr>
      </w:pPr>
      <w:bookmarkStart w:id="2" w:name="_Toc7577"/>
      <w:bookmarkStart w:id="3" w:name="_Toc15378442"/>
      <w:bookmarkStart w:id="4" w:name="_Toc1880"/>
      <w:bookmarkStart w:id="5" w:name="_Toc15377426"/>
      <w:bookmarkStart w:id="6" w:name="_Toc23106"/>
      <w:bookmarkStart w:id="7" w:name="_Toc15377194"/>
      <w:bookmarkStart w:id="8" w:name="_Toc3521"/>
      <w:bookmarkStart w:id="9" w:name="_Toc861"/>
      <w:bookmarkStart w:id="10" w:name="_Toc4830"/>
      <w:bookmarkStart w:id="11" w:name="_Toc15396476"/>
      <w:bookmarkStart w:id="12" w:name="_Toc15778"/>
      <w:bookmarkStart w:id="13" w:name="_Toc15396598"/>
      <w:r>
        <w:rPr>
          <w:rFonts w:hint="eastAsia" w:ascii="方正小标宋简体" w:eastAsia="方正小标宋简体" w:cs="方正小标宋简体"/>
          <w:sz w:val="72"/>
          <w:szCs w:val="72"/>
        </w:rPr>
        <w:t>四川省</w:t>
      </w:r>
      <w:bookmarkStart w:id="14" w:name="_Toc15306268"/>
      <w:r>
        <w:rPr>
          <w:rFonts w:hint="eastAsia" w:ascii="方正小标宋简体" w:eastAsia="方正小标宋简体" w:cs="方正小标宋简体"/>
          <w:sz w:val="72"/>
          <w:szCs w:val="72"/>
        </w:rPr>
        <w:t>广元市昭化区石井铺镇卫生院单位决算</w:t>
      </w:r>
      <w:bookmarkEnd w:id="2"/>
      <w:bookmarkEnd w:id="3"/>
      <w:bookmarkEnd w:id="4"/>
      <w:bookmarkEnd w:id="5"/>
      <w:bookmarkEnd w:id="6"/>
      <w:bookmarkEnd w:id="7"/>
      <w:bookmarkEnd w:id="8"/>
      <w:bookmarkEnd w:id="9"/>
      <w:bookmarkEnd w:id="10"/>
      <w:bookmarkEnd w:id="11"/>
      <w:bookmarkEnd w:id="12"/>
      <w:bookmarkEnd w:id="13"/>
      <w:bookmarkEnd w:id="14"/>
    </w:p>
    <w:p w14:paraId="27990CE5">
      <w:pPr>
        <w:widowControl/>
        <w:adjustRightInd w:val="0"/>
        <w:snapToGrid w:val="0"/>
        <w:spacing w:line="440" w:lineRule="exact"/>
        <w:ind w:firstLine="1980" w:firstLineChars="550"/>
        <w:jc w:val="left"/>
        <w:rPr>
          <w:rFonts w:ascii="仿宋" w:eastAsia="仿宋"/>
          <w:sz w:val="24"/>
        </w:rPr>
      </w:pPr>
      <w:r>
        <w:rPr>
          <w:rFonts w:ascii="方正小标宋简体" w:eastAsia="方正小标宋简体"/>
          <w:sz w:val="36"/>
          <w:szCs w:val="36"/>
        </w:rPr>
        <w:br w:type="page"/>
      </w:r>
    </w:p>
    <w:sdt>
      <w:sdtPr>
        <w:rPr>
          <w:rFonts w:ascii="宋体" w:hAnsi="宋体"/>
        </w:rPr>
        <w:id w:val="147466479"/>
        <w:docPartObj>
          <w:docPartGallery w:val="Table of Contents"/>
          <w:docPartUnique/>
        </w:docPartObj>
      </w:sdtPr>
      <w:sdtEndPr>
        <w:rPr>
          <w:rFonts w:hint="eastAsia" w:ascii="仿宋" w:hAnsi="仿宋" w:eastAsia="仿宋" w:cs="仿宋"/>
          <w:b/>
          <w:sz w:val="28"/>
          <w:szCs w:val="28"/>
        </w:rPr>
      </w:sdtEndPr>
      <w:sdtContent>
        <w:p w14:paraId="6784897E">
          <w:pPr>
            <w:jc w:val="center"/>
            <w:rPr>
              <w:rFonts w:ascii="仿宋" w:hAnsi="仿宋" w:eastAsia="仿宋" w:cs="仿宋"/>
              <w:sz w:val="28"/>
              <w:szCs w:val="28"/>
            </w:rPr>
          </w:pPr>
          <w:r>
            <w:rPr>
              <w:rFonts w:hint="eastAsia" w:ascii="仿宋" w:hAnsi="仿宋" w:eastAsia="仿宋" w:cs="仿宋"/>
              <w:sz w:val="28"/>
              <w:szCs w:val="28"/>
            </w:rPr>
            <w:t>目录</w:t>
          </w:r>
        </w:p>
        <w:p w14:paraId="04FFB569">
          <w:pPr>
            <w:widowControl/>
            <w:spacing w:line="440" w:lineRule="exact"/>
            <w:jc w:val="center"/>
            <w:rPr>
              <w:rFonts w:ascii="仿宋" w:hAnsi="仿宋" w:eastAsia="仿宋" w:cs="仿宋"/>
              <w:bCs/>
              <w:kern w:val="44"/>
              <w:sz w:val="28"/>
              <w:szCs w:val="28"/>
            </w:rPr>
          </w:pPr>
          <w:r>
            <w:rPr>
              <w:rFonts w:hint="eastAsia" w:ascii="仿宋" w:hAnsi="仿宋" w:eastAsia="仿宋" w:cs="仿宋"/>
              <w:sz w:val="28"/>
              <w:szCs w:val="28"/>
            </w:rPr>
            <w:t>公开时间：2022年9月30日</w:t>
          </w:r>
        </w:p>
      </w:sdtContent>
    </w:sdt>
    <w:p w14:paraId="2F553A6D">
      <w:pPr>
        <w:pStyle w:val="28"/>
        <w:tabs>
          <w:tab w:val="right" w:leader="dot" w:pos="8306"/>
        </w:tabs>
        <w:rPr>
          <w:b/>
        </w:rPr>
      </w:pPr>
      <w:bookmarkStart w:id="15" w:name="_Toc7259"/>
      <w:bookmarkStart w:id="16" w:name="_Toc20671"/>
      <w:bookmarkStart w:id="17" w:name="_Toc23411"/>
      <w:r>
        <w:rPr>
          <w:b/>
        </w:rPr>
        <w:fldChar w:fldCharType="begin"/>
      </w:r>
      <w:r>
        <w:rPr>
          <w:b/>
        </w:rPr>
        <w:instrText xml:space="preserve"> HYPERLINK \l _Toc18442 </w:instrText>
      </w:r>
      <w:r>
        <w:rPr>
          <w:b/>
        </w:rPr>
        <w:fldChar w:fldCharType="separate"/>
      </w:r>
      <w:r>
        <w:rPr>
          <w:rFonts w:hint="eastAsia" w:ascii="黑体" w:eastAsia="黑体"/>
          <w:b/>
        </w:rPr>
        <w:t>第一部分 单位概况</w:t>
      </w:r>
      <w:r>
        <w:rPr>
          <w:b/>
        </w:rPr>
        <w:tab/>
      </w:r>
      <w:r>
        <w:rPr>
          <w:b/>
        </w:rPr>
        <w:fldChar w:fldCharType="begin"/>
      </w:r>
      <w:r>
        <w:rPr>
          <w:b/>
        </w:rPr>
        <w:instrText xml:space="preserve"> PAGEREF _Toc18442 \h </w:instrText>
      </w:r>
      <w:r>
        <w:rPr>
          <w:b/>
        </w:rPr>
        <w:fldChar w:fldCharType="separate"/>
      </w:r>
      <w:r>
        <w:rPr>
          <w:b/>
        </w:rPr>
        <w:t>3</w:t>
      </w:r>
      <w:r>
        <w:rPr>
          <w:b/>
        </w:rPr>
        <w:fldChar w:fldCharType="end"/>
      </w:r>
      <w:r>
        <w:rPr>
          <w:b/>
        </w:rPr>
        <w:fldChar w:fldCharType="end"/>
      </w:r>
    </w:p>
    <w:p w14:paraId="15EDDFB4">
      <w:pPr>
        <w:pStyle w:val="29"/>
        <w:tabs>
          <w:tab w:val="right" w:leader="dot" w:pos="8306"/>
        </w:tabs>
        <w:ind w:left="420"/>
      </w:pPr>
      <w:r>
        <w:fldChar w:fldCharType="begin"/>
      </w:r>
      <w:r>
        <w:instrText xml:space="preserve"> HYPERLINK \l "_Toc19356" </w:instrText>
      </w:r>
      <w:r>
        <w:fldChar w:fldCharType="separate"/>
      </w:r>
      <w:r>
        <w:rPr>
          <w:rFonts w:hint="eastAsia" w:ascii="黑体" w:eastAsia="黑体"/>
        </w:rPr>
        <w:t>一、 职能简介</w:t>
      </w:r>
      <w:r>
        <w:tab/>
      </w:r>
      <w:r>
        <w:fldChar w:fldCharType="begin"/>
      </w:r>
      <w:r>
        <w:instrText xml:space="preserve"> PAGEREF _Toc19356 \h </w:instrText>
      </w:r>
      <w:r>
        <w:fldChar w:fldCharType="separate"/>
      </w:r>
      <w:r>
        <w:t>3</w:t>
      </w:r>
      <w:r>
        <w:fldChar w:fldCharType="end"/>
      </w:r>
      <w:r>
        <w:fldChar w:fldCharType="end"/>
      </w:r>
    </w:p>
    <w:p w14:paraId="6BF96D74">
      <w:pPr>
        <w:pStyle w:val="29"/>
        <w:tabs>
          <w:tab w:val="right" w:leader="dot" w:pos="8306"/>
        </w:tabs>
        <w:ind w:left="420"/>
      </w:pPr>
      <w:r>
        <w:fldChar w:fldCharType="begin"/>
      </w:r>
      <w:r>
        <w:instrText xml:space="preserve"> HYPERLINK \l "_Toc17832" </w:instrText>
      </w:r>
      <w:r>
        <w:fldChar w:fldCharType="separate"/>
      </w:r>
      <w:r>
        <w:rPr>
          <w:rFonts w:hint="eastAsia" w:ascii="黑体" w:eastAsia="黑体"/>
        </w:rPr>
        <w:t>二、2021年重点工作完成情况</w:t>
      </w:r>
      <w:r>
        <w:tab/>
      </w:r>
      <w:r>
        <w:fldChar w:fldCharType="begin"/>
      </w:r>
      <w:r>
        <w:instrText xml:space="preserve"> PAGEREF _Toc17832 \h </w:instrText>
      </w:r>
      <w:r>
        <w:fldChar w:fldCharType="separate"/>
      </w:r>
      <w:r>
        <w:t>4</w:t>
      </w:r>
      <w:r>
        <w:fldChar w:fldCharType="end"/>
      </w:r>
      <w:r>
        <w:fldChar w:fldCharType="end"/>
      </w:r>
    </w:p>
    <w:p w14:paraId="311669EF">
      <w:pPr>
        <w:pStyle w:val="28"/>
        <w:tabs>
          <w:tab w:val="right" w:leader="dot" w:pos="8306"/>
        </w:tabs>
        <w:rPr>
          <w:b/>
        </w:rPr>
      </w:pPr>
      <w:r>
        <w:fldChar w:fldCharType="begin"/>
      </w:r>
      <w:r>
        <w:instrText xml:space="preserve"> HYPERLINK \l "_Toc7140" </w:instrText>
      </w:r>
      <w:r>
        <w:fldChar w:fldCharType="separate"/>
      </w:r>
      <w:r>
        <w:rPr>
          <w:rFonts w:hint="eastAsia" w:ascii="黑体" w:eastAsia="黑体"/>
          <w:b/>
          <w:bCs/>
        </w:rPr>
        <w:t>第二部分 2021年度单位决算情况说明</w:t>
      </w:r>
      <w:r>
        <w:rPr>
          <w:b/>
        </w:rPr>
        <w:tab/>
      </w:r>
      <w:r>
        <w:rPr>
          <w:b/>
        </w:rPr>
        <w:fldChar w:fldCharType="begin"/>
      </w:r>
      <w:r>
        <w:rPr>
          <w:b/>
        </w:rPr>
        <w:instrText xml:space="preserve"> PAGEREF _Toc7140 \h </w:instrText>
      </w:r>
      <w:r>
        <w:rPr>
          <w:b/>
        </w:rPr>
        <w:fldChar w:fldCharType="separate"/>
      </w:r>
      <w:r>
        <w:rPr>
          <w:b/>
        </w:rPr>
        <w:t>10</w:t>
      </w:r>
      <w:r>
        <w:rPr>
          <w:b/>
        </w:rPr>
        <w:fldChar w:fldCharType="end"/>
      </w:r>
      <w:r>
        <w:rPr>
          <w:b/>
        </w:rPr>
        <w:fldChar w:fldCharType="end"/>
      </w:r>
    </w:p>
    <w:p w14:paraId="46065CE3">
      <w:pPr>
        <w:pStyle w:val="29"/>
        <w:tabs>
          <w:tab w:val="right" w:leader="dot" w:pos="8306"/>
        </w:tabs>
        <w:ind w:left="420"/>
      </w:pPr>
      <w:r>
        <w:fldChar w:fldCharType="begin"/>
      </w:r>
      <w:r>
        <w:instrText xml:space="preserve"> HYPERLINK \l "_Toc7524" </w:instrText>
      </w:r>
      <w:r>
        <w:fldChar w:fldCharType="separate"/>
      </w:r>
      <w:r>
        <w:rPr>
          <w:rFonts w:ascii="黑体" w:eastAsia="黑体"/>
        </w:rPr>
        <w:t xml:space="preserve">一、 </w:t>
      </w:r>
      <w:r>
        <w:rPr>
          <w:rFonts w:hint="eastAsia" w:ascii="黑体" w:eastAsia="黑体"/>
          <w:szCs w:val="32"/>
        </w:rPr>
        <w:t>收</w:t>
      </w:r>
      <w:r>
        <w:rPr>
          <w:rFonts w:hint="eastAsia" w:ascii="黑体" w:eastAsia="黑体"/>
        </w:rPr>
        <w:t>入支出决算总体情况说明</w:t>
      </w:r>
      <w:r>
        <w:tab/>
      </w:r>
      <w:r>
        <w:fldChar w:fldCharType="begin"/>
      </w:r>
      <w:r>
        <w:instrText xml:space="preserve"> PAGEREF _Toc7524 \h </w:instrText>
      </w:r>
      <w:r>
        <w:fldChar w:fldCharType="separate"/>
      </w:r>
      <w:r>
        <w:t>10</w:t>
      </w:r>
      <w:r>
        <w:fldChar w:fldCharType="end"/>
      </w:r>
      <w:r>
        <w:fldChar w:fldCharType="end"/>
      </w:r>
    </w:p>
    <w:p w14:paraId="43DD4A0F">
      <w:pPr>
        <w:pStyle w:val="29"/>
        <w:tabs>
          <w:tab w:val="right" w:leader="dot" w:pos="8306"/>
        </w:tabs>
        <w:ind w:left="420"/>
      </w:pPr>
      <w:r>
        <w:fldChar w:fldCharType="begin"/>
      </w:r>
      <w:r>
        <w:instrText xml:space="preserve"> HYPERLINK \l "_Toc10446" </w:instrText>
      </w:r>
      <w:r>
        <w:fldChar w:fldCharType="separate"/>
      </w:r>
      <w:r>
        <w:rPr>
          <w:bCs/>
          <w:szCs w:val="32"/>
        </w:rPr>
        <w:t>二</w:t>
      </w:r>
      <w:r>
        <w:t>、</w:t>
      </w:r>
      <w:r>
        <w:rPr>
          <w:rFonts w:hint="eastAsia" w:ascii="黑体" w:eastAsia="黑体"/>
          <w:szCs w:val="32"/>
        </w:rPr>
        <w:t>收</w:t>
      </w:r>
      <w:r>
        <w:rPr>
          <w:rFonts w:hint="eastAsia" w:ascii="黑体" w:eastAsia="黑体"/>
        </w:rPr>
        <w:t>入决算情况说明</w:t>
      </w:r>
      <w:r>
        <w:tab/>
      </w:r>
      <w:r>
        <w:fldChar w:fldCharType="begin"/>
      </w:r>
      <w:r>
        <w:instrText xml:space="preserve"> PAGEREF _Toc10446 \h </w:instrText>
      </w:r>
      <w:r>
        <w:fldChar w:fldCharType="separate"/>
      </w:r>
      <w:r>
        <w:t>11</w:t>
      </w:r>
      <w:r>
        <w:fldChar w:fldCharType="end"/>
      </w:r>
      <w:r>
        <w:fldChar w:fldCharType="end"/>
      </w:r>
    </w:p>
    <w:p w14:paraId="4FD67FF6">
      <w:pPr>
        <w:pStyle w:val="29"/>
        <w:tabs>
          <w:tab w:val="right" w:leader="dot" w:pos="8306"/>
        </w:tabs>
        <w:ind w:left="420"/>
      </w:pPr>
      <w:r>
        <w:fldChar w:fldCharType="begin"/>
      </w:r>
      <w:r>
        <w:instrText xml:space="preserve"> HYPERLINK \l "_Toc28286" </w:instrText>
      </w:r>
      <w:r>
        <w:fldChar w:fldCharType="separate"/>
      </w:r>
      <w:r>
        <w:rPr>
          <w:rFonts w:ascii="黑体" w:eastAsia="黑体"/>
          <w:bCs/>
          <w:szCs w:val="32"/>
        </w:rPr>
        <w:t>三、</w:t>
      </w:r>
      <w:r>
        <w:rPr>
          <w:rFonts w:hint="eastAsia" w:ascii="黑体" w:eastAsia="黑体"/>
          <w:szCs w:val="32"/>
        </w:rPr>
        <w:t>支</w:t>
      </w:r>
      <w:r>
        <w:rPr>
          <w:rFonts w:hint="eastAsia" w:ascii="黑体" w:eastAsia="黑体"/>
        </w:rPr>
        <w:t>出决算情况说明</w:t>
      </w:r>
      <w:r>
        <w:tab/>
      </w:r>
      <w:r>
        <w:fldChar w:fldCharType="begin"/>
      </w:r>
      <w:r>
        <w:instrText xml:space="preserve"> PAGEREF _Toc28286 \h </w:instrText>
      </w:r>
      <w:r>
        <w:fldChar w:fldCharType="separate"/>
      </w:r>
      <w:r>
        <w:t>11</w:t>
      </w:r>
      <w:r>
        <w:fldChar w:fldCharType="end"/>
      </w:r>
      <w:r>
        <w:fldChar w:fldCharType="end"/>
      </w:r>
    </w:p>
    <w:p w14:paraId="407DE93F">
      <w:pPr>
        <w:pStyle w:val="29"/>
        <w:tabs>
          <w:tab w:val="right" w:leader="dot" w:pos="8306"/>
        </w:tabs>
        <w:ind w:left="420"/>
      </w:pPr>
      <w:r>
        <w:fldChar w:fldCharType="begin"/>
      </w:r>
      <w:r>
        <w:instrText xml:space="preserve"> HYPERLINK \l "_Toc9542" </w:instrText>
      </w:r>
      <w:r>
        <w:fldChar w:fldCharType="separate"/>
      </w:r>
      <w:r>
        <w:rPr>
          <w:rFonts w:hint="eastAsia" w:ascii="黑体" w:eastAsia="黑体"/>
          <w:szCs w:val="32"/>
        </w:rPr>
        <w:t>四、财</w:t>
      </w:r>
      <w:r>
        <w:rPr>
          <w:rFonts w:hint="eastAsia" w:ascii="黑体" w:eastAsia="黑体"/>
        </w:rPr>
        <w:t>政拨款收入支出决算总体情况说明</w:t>
      </w:r>
      <w:r>
        <w:tab/>
      </w:r>
      <w:r>
        <w:fldChar w:fldCharType="begin"/>
      </w:r>
      <w:r>
        <w:instrText xml:space="preserve"> PAGEREF _Toc9542 \h </w:instrText>
      </w:r>
      <w:r>
        <w:fldChar w:fldCharType="separate"/>
      </w:r>
      <w:r>
        <w:t>12</w:t>
      </w:r>
      <w:r>
        <w:fldChar w:fldCharType="end"/>
      </w:r>
      <w:r>
        <w:fldChar w:fldCharType="end"/>
      </w:r>
    </w:p>
    <w:p w14:paraId="58F24401">
      <w:pPr>
        <w:pStyle w:val="29"/>
        <w:tabs>
          <w:tab w:val="right" w:leader="dot" w:pos="8306"/>
        </w:tabs>
        <w:ind w:left="420"/>
      </w:pPr>
      <w:r>
        <w:fldChar w:fldCharType="begin"/>
      </w:r>
      <w:r>
        <w:instrText xml:space="preserve"> HYPERLINK \l "_Toc14191" </w:instrText>
      </w:r>
      <w:r>
        <w:fldChar w:fldCharType="separate"/>
      </w:r>
      <w:r>
        <w:rPr>
          <w:rFonts w:hint="eastAsia" w:ascii="黑体" w:eastAsia="黑体"/>
          <w:szCs w:val="32"/>
        </w:rPr>
        <w:t>五、一</w:t>
      </w:r>
      <w:r>
        <w:rPr>
          <w:rFonts w:hint="eastAsia" w:ascii="黑体" w:eastAsia="黑体"/>
        </w:rPr>
        <w:t>般公共预算财政拨款支出决算情况说明</w:t>
      </w:r>
      <w:r>
        <w:tab/>
      </w:r>
      <w:r>
        <w:fldChar w:fldCharType="begin"/>
      </w:r>
      <w:r>
        <w:instrText xml:space="preserve"> PAGEREF _Toc14191 \h </w:instrText>
      </w:r>
      <w:r>
        <w:fldChar w:fldCharType="separate"/>
      </w:r>
      <w:r>
        <w:t>12</w:t>
      </w:r>
      <w:r>
        <w:fldChar w:fldCharType="end"/>
      </w:r>
      <w:r>
        <w:fldChar w:fldCharType="end"/>
      </w:r>
    </w:p>
    <w:p w14:paraId="0CD95DE5">
      <w:pPr>
        <w:pStyle w:val="29"/>
        <w:tabs>
          <w:tab w:val="right" w:leader="dot" w:pos="8306"/>
        </w:tabs>
        <w:ind w:left="420"/>
      </w:pPr>
      <w:r>
        <w:fldChar w:fldCharType="begin"/>
      </w:r>
      <w:r>
        <w:instrText xml:space="preserve"> HYPERLINK \l "_Toc10847" </w:instrText>
      </w:r>
      <w:r>
        <w:fldChar w:fldCharType="separate"/>
      </w:r>
      <w:r>
        <w:rPr>
          <w:rFonts w:hint="eastAsia" w:ascii="黑体" w:eastAsia="黑体"/>
          <w:szCs w:val="32"/>
        </w:rPr>
        <w:t>六、一</w:t>
      </w:r>
      <w:r>
        <w:rPr>
          <w:rFonts w:hint="eastAsia" w:ascii="黑体" w:eastAsia="黑体"/>
        </w:rPr>
        <w:t>般公共预算财政拨款基本支出决算情况说明</w:t>
      </w:r>
      <w:r>
        <w:tab/>
      </w:r>
      <w:r>
        <w:fldChar w:fldCharType="begin"/>
      </w:r>
      <w:r>
        <w:instrText xml:space="preserve"> PAGEREF _Toc10847 \h </w:instrText>
      </w:r>
      <w:r>
        <w:fldChar w:fldCharType="separate"/>
      </w:r>
      <w:r>
        <w:t>15</w:t>
      </w:r>
      <w:r>
        <w:fldChar w:fldCharType="end"/>
      </w:r>
      <w:r>
        <w:fldChar w:fldCharType="end"/>
      </w:r>
    </w:p>
    <w:p w14:paraId="667470DF">
      <w:pPr>
        <w:pStyle w:val="29"/>
        <w:tabs>
          <w:tab w:val="right" w:leader="dot" w:pos="8306"/>
        </w:tabs>
        <w:ind w:left="420"/>
      </w:pPr>
      <w:r>
        <w:fldChar w:fldCharType="begin"/>
      </w:r>
      <w:r>
        <w:instrText xml:space="preserve"> HYPERLINK \l "_Toc29054"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_Toc29054 \h </w:instrText>
      </w:r>
      <w:r>
        <w:fldChar w:fldCharType="separate"/>
      </w:r>
      <w:r>
        <w:t>15</w:t>
      </w:r>
      <w:r>
        <w:fldChar w:fldCharType="end"/>
      </w:r>
      <w:r>
        <w:fldChar w:fldCharType="end"/>
      </w:r>
    </w:p>
    <w:p w14:paraId="5D8CCB84">
      <w:pPr>
        <w:pStyle w:val="29"/>
        <w:tabs>
          <w:tab w:val="right" w:leader="dot" w:pos="8306"/>
        </w:tabs>
        <w:ind w:left="420"/>
      </w:pPr>
      <w:r>
        <w:fldChar w:fldCharType="begin"/>
      </w:r>
      <w:r>
        <w:instrText xml:space="preserve"> HYPERLINK \l "_Toc4621"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_Toc4621 \h </w:instrText>
      </w:r>
      <w:r>
        <w:fldChar w:fldCharType="separate"/>
      </w:r>
      <w:r>
        <w:t>16</w:t>
      </w:r>
      <w:r>
        <w:fldChar w:fldCharType="end"/>
      </w:r>
      <w:r>
        <w:fldChar w:fldCharType="end"/>
      </w:r>
    </w:p>
    <w:p w14:paraId="5893E343">
      <w:pPr>
        <w:pStyle w:val="29"/>
        <w:tabs>
          <w:tab w:val="right" w:leader="dot" w:pos="8306"/>
        </w:tabs>
        <w:ind w:left="420"/>
      </w:pPr>
      <w:r>
        <w:fldChar w:fldCharType="begin"/>
      </w:r>
      <w:r>
        <w:instrText xml:space="preserve"> HYPERLINK \l "_Toc5003" </w:instrText>
      </w:r>
      <w:r>
        <w:fldChar w:fldCharType="separate"/>
      </w:r>
      <w:r>
        <w:rPr>
          <w:rFonts w:hint="eastAsia" w:ascii="黑体" w:hAnsi="黑体" w:eastAsia="黑体"/>
        </w:rPr>
        <w:t>九、 国有资本经营预算支出决算情况说明</w:t>
      </w:r>
      <w:r>
        <w:tab/>
      </w:r>
      <w:r>
        <w:fldChar w:fldCharType="begin"/>
      </w:r>
      <w:r>
        <w:instrText xml:space="preserve"> PAGEREF _Toc5003 \h </w:instrText>
      </w:r>
      <w:r>
        <w:fldChar w:fldCharType="separate"/>
      </w:r>
      <w:r>
        <w:t>16</w:t>
      </w:r>
      <w:r>
        <w:fldChar w:fldCharType="end"/>
      </w:r>
      <w:r>
        <w:fldChar w:fldCharType="end"/>
      </w:r>
    </w:p>
    <w:p w14:paraId="4F621B51">
      <w:pPr>
        <w:pStyle w:val="29"/>
        <w:tabs>
          <w:tab w:val="right" w:leader="dot" w:pos="8306"/>
        </w:tabs>
        <w:ind w:left="420"/>
      </w:pPr>
      <w:r>
        <w:fldChar w:fldCharType="begin"/>
      </w:r>
      <w:r>
        <w:instrText xml:space="preserve"> HYPERLINK \l "_Toc22209" </w:instrText>
      </w:r>
      <w:r>
        <w:fldChar w:fldCharType="separate"/>
      </w:r>
      <w:r>
        <w:rPr>
          <w:rFonts w:hint="eastAsia" w:ascii="黑体" w:hAnsi="黑体" w:eastAsia="黑体"/>
        </w:rPr>
        <w:t>十、 预算绩效管理情况</w:t>
      </w:r>
      <w:r>
        <w:tab/>
      </w:r>
      <w:r>
        <w:fldChar w:fldCharType="begin"/>
      </w:r>
      <w:r>
        <w:instrText xml:space="preserve"> PAGEREF _Toc22209 \h </w:instrText>
      </w:r>
      <w:r>
        <w:fldChar w:fldCharType="separate"/>
      </w:r>
      <w:r>
        <w:t>16</w:t>
      </w:r>
      <w:r>
        <w:fldChar w:fldCharType="end"/>
      </w:r>
      <w:r>
        <w:fldChar w:fldCharType="end"/>
      </w:r>
    </w:p>
    <w:p w14:paraId="271C10B0">
      <w:pPr>
        <w:pStyle w:val="29"/>
        <w:tabs>
          <w:tab w:val="right" w:leader="dot" w:pos="8306"/>
        </w:tabs>
        <w:ind w:left="420"/>
      </w:pPr>
      <w:r>
        <w:fldChar w:fldCharType="begin"/>
      </w:r>
      <w:r>
        <w:instrText xml:space="preserve"> HYPERLINK \l "_Toc8830" </w:instrText>
      </w:r>
      <w:r>
        <w:fldChar w:fldCharType="separate"/>
      </w:r>
      <w:r>
        <w:rPr>
          <w:rFonts w:hint="eastAsia" w:ascii="黑体" w:hAnsi="黑体" w:eastAsia="黑体"/>
          <w:szCs w:val="32"/>
        </w:rPr>
        <w:t>十一</w:t>
      </w:r>
      <w:r>
        <w:rPr>
          <w:rFonts w:hint="eastAsia" w:ascii="黑体" w:hAnsi="黑体" w:eastAsia="黑体"/>
        </w:rPr>
        <w:t>、其他重要事项的情况说明</w:t>
      </w:r>
      <w:r>
        <w:tab/>
      </w:r>
      <w:r>
        <w:fldChar w:fldCharType="begin"/>
      </w:r>
      <w:r>
        <w:instrText xml:space="preserve"> PAGEREF _Toc8830 \h </w:instrText>
      </w:r>
      <w:r>
        <w:fldChar w:fldCharType="separate"/>
      </w:r>
      <w:r>
        <w:t>20</w:t>
      </w:r>
      <w:r>
        <w:fldChar w:fldCharType="end"/>
      </w:r>
      <w:r>
        <w:fldChar w:fldCharType="end"/>
      </w:r>
    </w:p>
    <w:p w14:paraId="24E17200">
      <w:pPr>
        <w:pStyle w:val="28"/>
        <w:tabs>
          <w:tab w:val="right" w:leader="dot" w:pos="8306"/>
        </w:tabs>
        <w:rPr>
          <w:b/>
        </w:rPr>
      </w:pPr>
      <w:r>
        <w:fldChar w:fldCharType="begin"/>
      </w:r>
      <w:r>
        <w:instrText xml:space="preserve"> HYPERLINK \l "_Toc31195" </w:instrText>
      </w:r>
      <w:r>
        <w:fldChar w:fldCharType="separate"/>
      </w:r>
      <w:r>
        <w:rPr>
          <w:rFonts w:hint="eastAsia" w:ascii="黑体" w:eastAsia="黑体"/>
          <w:b/>
          <w:szCs w:val="44"/>
        </w:rPr>
        <w:t>第三部分  名</w:t>
      </w:r>
      <w:r>
        <w:rPr>
          <w:rFonts w:hint="eastAsia" w:ascii="黑体" w:eastAsia="黑体"/>
          <w:b/>
        </w:rPr>
        <w:t>词解释</w:t>
      </w:r>
      <w:r>
        <w:rPr>
          <w:b/>
        </w:rPr>
        <w:tab/>
      </w:r>
      <w:r>
        <w:rPr>
          <w:b/>
        </w:rPr>
        <w:fldChar w:fldCharType="begin"/>
      </w:r>
      <w:r>
        <w:rPr>
          <w:b/>
        </w:rPr>
        <w:instrText xml:space="preserve"> PAGEREF _Toc31195 \h </w:instrText>
      </w:r>
      <w:r>
        <w:rPr>
          <w:b/>
        </w:rPr>
        <w:fldChar w:fldCharType="separate"/>
      </w:r>
      <w:r>
        <w:rPr>
          <w:b/>
        </w:rPr>
        <w:t>21</w:t>
      </w:r>
      <w:r>
        <w:rPr>
          <w:b/>
        </w:rPr>
        <w:fldChar w:fldCharType="end"/>
      </w:r>
      <w:r>
        <w:rPr>
          <w:b/>
        </w:rPr>
        <w:fldChar w:fldCharType="end"/>
      </w:r>
    </w:p>
    <w:p w14:paraId="7B152412">
      <w:pPr>
        <w:pStyle w:val="28"/>
        <w:tabs>
          <w:tab w:val="right" w:leader="dot" w:pos="8306"/>
        </w:tabs>
        <w:rPr>
          <w:b/>
        </w:rPr>
      </w:pPr>
      <w:r>
        <w:fldChar w:fldCharType="begin"/>
      </w:r>
      <w:r>
        <w:instrText xml:space="preserve"> HYPERLINK \l "_Toc13610" </w:instrText>
      </w:r>
      <w:r>
        <w:fldChar w:fldCharType="separate"/>
      </w:r>
      <w:r>
        <w:rPr>
          <w:rFonts w:hint="eastAsia" w:ascii="黑体" w:eastAsia="黑体"/>
          <w:b/>
          <w:szCs w:val="44"/>
        </w:rPr>
        <w:t>第</w:t>
      </w:r>
      <w:r>
        <w:rPr>
          <w:rFonts w:hint="eastAsia" w:ascii="黑体" w:eastAsia="黑体"/>
          <w:b/>
        </w:rPr>
        <w:t>四部分 附件</w:t>
      </w:r>
      <w:r>
        <w:rPr>
          <w:b/>
        </w:rPr>
        <w:tab/>
      </w:r>
      <w:r>
        <w:rPr>
          <w:b/>
        </w:rPr>
        <w:fldChar w:fldCharType="begin"/>
      </w:r>
      <w:r>
        <w:rPr>
          <w:b/>
        </w:rPr>
        <w:instrText xml:space="preserve"> PAGEREF _Toc13610 \h </w:instrText>
      </w:r>
      <w:r>
        <w:rPr>
          <w:b/>
        </w:rPr>
        <w:fldChar w:fldCharType="separate"/>
      </w:r>
      <w:r>
        <w:rPr>
          <w:b/>
        </w:rPr>
        <w:t>23</w:t>
      </w:r>
      <w:r>
        <w:rPr>
          <w:b/>
        </w:rPr>
        <w:fldChar w:fldCharType="end"/>
      </w:r>
      <w:r>
        <w:rPr>
          <w:b/>
        </w:rPr>
        <w:fldChar w:fldCharType="end"/>
      </w:r>
    </w:p>
    <w:p w14:paraId="5A34A976">
      <w:pPr>
        <w:pStyle w:val="28"/>
        <w:tabs>
          <w:tab w:val="right" w:leader="dot" w:pos="8306"/>
        </w:tabs>
        <w:rPr>
          <w:b/>
        </w:rPr>
      </w:pPr>
      <w:r>
        <w:fldChar w:fldCharType="begin"/>
      </w:r>
      <w:r>
        <w:instrText xml:space="preserve"> HYPERLINK \l "_Toc21090" </w:instrText>
      </w:r>
      <w:r>
        <w:fldChar w:fldCharType="separate"/>
      </w:r>
      <w:r>
        <w:rPr>
          <w:rFonts w:hint="eastAsia" w:ascii="黑体" w:eastAsia="黑体"/>
          <w:b/>
          <w:szCs w:val="44"/>
        </w:rPr>
        <w:t>第</w:t>
      </w:r>
      <w:r>
        <w:rPr>
          <w:rFonts w:hint="eastAsia" w:ascii="黑体" w:eastAsia="黑体"/>
          <w:b/>
        </w:rPr>
        <w:t>五部分 附表</w:t>
      </w:r>
      <w:r>
        <w:rPr>
          <w:b/>
        </w:rPr>
        <w:tab/>
      </w:r>
      <w:r>
        <w:rPr>
          <w:b/>
        </w:rPr>
        <w:fldChar w:fldCharType="begin"/>
      </w:r>
      <w:r>
        <w:rPr>
          <w:b/>
        </w:rPr>
        <w:instrText xml:space="preserve"> PAGEREF _Toc21090 \h </w:instrText>
      </w:r>
      <w:r>
        <w:rPr>
          <w:b/>
        </w:rPr>
        <w:fldChar w:fldCharType="separate"/>
      </w:r>
      <w:r>
        <w:rPr>
          <w:b/>
        </w:rPr>
        <w:t>27</w:t>
      </w:r>
      <w:r>
        <w:rPr>
          <w:b/>
        </w:rPr>
        <w:fldChar w:fldCharType="end"/>
      </w:r>
      <w:r>
        <w:rPr>
          <w:b/>
        </w:rPr>
        <w:fldChar w:fldCharType="end"/>
      </w:r>
    </w:p>
    <w:p w14:paraId="5CE86809">
      <w:pPr>
        <w:pStyle w:val="29"/>
        <w:tabs>
          <w:tab w:val="right" w:leader="dot" w:pos="8306"/>
        </w:tabs>
        <w:ind w:left="420"/>
      </w:pPr>
      <w:r>
        <w:fldChar w:fldCharType="begin"/>
      </w:r>
      <w:r>
        <w:instrText xml:space="preserve"> HYPERLINK \l "_Toc18961" </w:instrText>
      </w:r>
      <w:r>
        <w:fldChar w:fldCharType="separate"/>
      </w:r>
      <w:r>
        <w:rPr>
          <w:rFonts w:hint="eastAsia" w:ascii="仿宋" w:eastAsia="仿宋"/>
        </w:rPr>
        <w:t>一、收入支出决算总表</w:t>
      </w:r>
      <w:r>
        <w:tab/>
      </w:r>
      <w:r>
        <w:fldChar w:fldCharType="begin"/>
      </w:r>
      <w:r>
        <w:instrText xml:space="preserve"> PAGEREF _Toc18961 \h </w:instrText>
      </w:r>
      <w:r>
        <w:fldChar w:fldCharType="separate"/>
      </w:r>
      <w:r>
        <w:t>28</w:t>
      </w:r>
      <w:r>
        <w:fldChar w:fldCharType="end"/>
      </w:r>
      <w:r>
        <w:fldChar w:fldCharType="end"/>
      </w:r>
    </w:p>
    <w:p w14:paraId="22CCBA85">
      <w:pPr>
        <w:pStyle w:val="29"/>
        <w:tabs>
          <w:tab w:val="right" w:leader="dot" w:pos="8306"/>
        </w:tabs>
        <w:ind w:left="420"/>
      </w:pPr>
      <w:r>
        <w:fldChar w:fldCharType="begin"/>
      </w:r>
      <w:r>
        <w:instrText xml:space="preserve"> HYPERLINK \l "_Toc16369" </w:instrText>
      </w:r>
      <w:r>
        <w:fldChar w:fldCharType="separate"/>
      </w:r>
      <w:r>
        <w:rPr>
          <w:rFonts w:hint="eastAsia" w:ascii="仿宋" w:eastAsia="仿宋"/>
        </w:rPr>
        <w:t>二、收入决算表</w:t>
      </w:r>
      <w:r>
        <w:tab/>
      </w:r>
      <w:r>
        <w:fldChar w:fldCharType="begin"/>
      </w:r>
      <w:r>
        <w:instrText xml:space="preserve"> PAGEREF _Toc16369 \h </w:instrText>
      </w:r>
      <w:r>
        <w:fldChar w:fldCharType="separate"/>
      </w:r>
      <w:r>
        <w:t>28</w:t>
      </w:r>
      <w:r>
        <w:fldChar w:fldCharType="end"/>
      </w:r>
      <w:r>
        <w:fldChar w:fldCharType="end"/>
      </w:r>
    </w:p>
    <w:p w14:paraId="6A5214DC">
      <w:pPr>
        <w:pStyle w:val="29"/>
        <w:tabs>
          <w:tab w:val="right" w:leader="dot" w:pos="8306"/>
        </w:tabs>
        <w:ind w:left="420"/>
      </w:pPr>
      <w:r>
        <w:fldChar w:fldCharType="begin"/>
      </w:r>
      <w:r>
        <w:instrText xml:space="preserve"> HYPERLINK \l "_Toc9911" </w:instrText>
      </w:r>
      <w:r>
        <w:fldChar w:fldCharType="separate"/>
      </w:r>
      <w:r>
        <w:rPr>
          <w:rFonts w:hint="eastAsia" w:ascii="仿宋" w:eastAsia="仿宋"/>
        </w:rPr>
        <w:t>三、支出决算表</w:t>
      </w:r>
      <w:r>
        <w:tab/>
      </w:r>
      <w:r>
        <w:fldChar w:fldCharType="begin"/>
      </w:r>
      <w:r>
        <w:instrText xml:space="preserve"> PAGEREF _Toc9911 \h </w:instrText>
      </w:r>
      <w:r>
        <w:fldChar w:fldCharType="separate"/>
      </w:r>
      <w:r>
        <w:t>28</w:t>
      </w:r>
      <w:r>
        <w:fldChar w:fldCharType="end"/>
      </w:r>
      <w:r>
        <w:fldChar w:fldCharType="end"/>
      </w:r>
    </w:p>
    <w:p w14:paraId="033AE3E9">
      <w:pPr>
        <w:pStyle w:val="29"/>
        <w:tabs>
          <w:tab w:val="right" w:leader="dot" w:pos="8306"/>
        </w:tabs>
        <w:ind w:left="420"/>
      </w:pPr>
      <w:r>
        <w:fldChar w:fldCharType="begin"/>
      </w:r>
      <w:r>
        <w:instrText xml:space="preserve"> HYPERLINK \l "_Toc15266" </w:instrText>
      </w:r>
      <w:r>
        <w:fldChar w:fldCharType="separate"/>
      </w:r>
      <w:r>
        <w:rPr>
          <w:rFonts w:hint="eastAsia" w:ascii="仿宋" w:eastAsia="仿宋"/>
        </w:rPr>
        <w:t>四、财政拨款收入支出决算总表</w:t>
      </w:r>
      <w:r>
        <w:tab/>
      </w:r>
      <w:r>
        <w:fldChar w:fldCharType="begin"/>
      </w:r>
      <w:r>
        <w:instrText xml:space="preserve"> PAGEREF _Toc15266 \h </w:instrText>
      </w:r>
      <w:r>
        <w:fldChar w:fldCharType="separate"/>
      </w:r>
      <w:r>
        <w:t>28</w:t>
      </w:r>
      <w:r>
        <w:fldChar w:fldCharType="end"/>
      </w:r>
      <w:r>
        <w:fldChar w:fldCharType="end"/>
      </w:r>
    </w:p>
    <w:p w14:paraId="05BEF40B">
      <w:pPr>
        <w:pStyle w:val="29"/>
        <w:tabs>
          <w:tab w:val="right" w:leader="dot" w:pos="8306"/>
        </w:tabs>
        <w:ind w:left="420"/>
      </w:pPr>
      <w:r>
        <w:fldChar w:fldCharType="begin"/>
      </w:r>
      <w:r>
        <w:instrText xml:space="preserve"> HYPERLINK \l "_Toc31190" </w:instrText>
      </w:r>
      <w:r>
        <w:fldChar w:fldCharType="separate"/>
      </w:r>
      <w:r>
        <w:rPr>
          <w:rFonts w:hint="eastAsia" w:ascii="仿宋" w:eastAsia="仿宋"/>
        </w:rPr>
        <w:t>五、财政拨款支出决算明细表</w:t>
      </w:r>
      <w:r>
        <w:tab/>
      </w:r>
      <w:r>
        <w:fldChar w:fldCharType="begin"/>
      </w:r>
      <w:r>
        <w:instrText xml:space="preserve"> PAGEREF _Toc31190 \h </w:instrText>
      </w:r>
      <w:r>
        <w:fldChar w:fldCharType="separate"/>
      </w:r>
      <w:r>
        <w:t>28</w:t>
      </w:r>
      <w:r>
        <w:fldChar w:fldCharType="end"/>
      </w:r>
      <w:r>
        <w:fldChar w:fldCharType="end"/>
      </w:r>
    </w:p>
    <w:p w14:paraId="2CD3FC8A">
      <w:pPr>
        <w:pStyle w:val="29"/>
        <w:tabs>
          <w:tab w:val="right" w:leader="dot" w:pos="8306"/>
        </w:tabs>
        <w:ind w:left="420"/>
      </w:pPr>
      <w:r>
        <w:fldChar w:fldCharType="begin"/>
      </w:r>
      <w:r>
        <w:instrText xml:space="preserve"> HYPERLINK \l "_Toc32332" </w:instrText>
      </w:r>
      <w:r>
        <w:fldChar w:fldCharType="separate"/>
      </w:r>
      <w:r>
        <w:rPr>
          <w:rFonts w:hint="eastAsia" w:ascii="仿宋" w:eastAsia="仿宋"/>
        </w:rPr>
        <w:t>六、一般公共预算财政拨款支出决算表</w:t>
      </w:r>
      <w:r>
        <w:tab/>
      </w:r>
      <w:r>
        <w:fldChar w:fldCharType="begin"/>
      </w:r>
      <w:r>
        <w:instrText xml:space="preserve"> PAGEREF _Toc32332 \h </w:instrText>
      </w:r>
      <w:r>
        <w:fldChar w:fldCharType="separate"/>
      </w:r>
      <w:r>
        <w:t>28</w:t>
      </w:r>
      <w:r>
        <w:fldChar w:fldCharType="end"/>
      </w:r>
      <w:r>
        <w:fldChar w:fldCharType="end"/>
      </w:r>
    </w:p>
    <w:p w14:paraId="6BC906B2">
      <w:pPr>
        <w:pStyle w:val="29"/>
        <w:tabs>
          <w:tab w:val="right" w:leader="dot" w:pos="8306"/>
        </w:tabs>
        <w:ind w:left="420"/>
      </w:pPr>
      <w:r>
        <w:fldChar w:fldCharType="begin"/>
      </w:r>
      <w:r>
        <w:instrText xml:space="preserve"> HYPERLINK \l "_Toc20966" </w:instrText>
      </w:r>
      <w:r>
        <w:fldChar w:fldCharType="separate"/>
      </w:r>
      <w:r>
        <w:rPr>
          <w:rFonts w:hint="eastAsia" w:ascii="仿宋" w:eastAsia="仿宋"/>
        </w:rPr>
        <w:t>七、一般公共预算财政拨款支出决算明细表</w:t>
      </w:r>
      <w:r>
        <w:tab/>
      </w:r>
      <w:r>
        <w:fldChar w:fldCharType="begin"/>
      </w:r>
      <w:r>
        <w:instrText xml:space="preserve"> PAGEREF _Toc20966 \h </w:instrText>
      </w:r>
      <w:r>
        <w:fldChar w:fldCharType="separate"/>
      </w:r>
      <w:r>
        <w:t>28</w:t>
      </w:r>
      <w:r>
        <w:fldChar w:fldCharType="end"/>
      </w:r>
      <w:r>
        <w:fldChar w:fldCharType="end"/>
      </w:r>
    </w:p>
    <w:p w14:paraId="1E34592B">
      <w:pPr>
        <w:pStyle w:val="29"/>
        <w:tabs>
          <w:tab w:val="right" w:leader="dot" w:pos="8306"/>
        </w:tabs>
        <w:ind w:left="420"/>
      </w:pPr>
      <w:r>
        <w:fldChar w:fldCharType="begin"/>
      </w:r>
      <w:r>
        <w:instrText xml:space="preserve"> HYPERLINK \l "_Toc6551" </w:instrText>
      </w:r>
      <w:r>
        <w:fldChar w:fldCharType="separate"/>
      </w:r>
      <w:r>
        <w:rPr>
          <w:rFonts w:hint="eastAsia" w:ascii="仿宋" w:eastAsia="仿宋"/>
        </w:rPr>
        <w:t>八、一般公共预算财政拨款基本支出决算表</w:t>
      </w:r>
      <w:r>
        <w:tab/>
      </w:r>
      <w:r>
        <w:fldChar w:fldCharType="begin"/>
      </w:r>
      <w:r>
        <w:instrText xml:space="preserve"> PAGEREF _Toc6551 \h </w:instrText>
      </w:r>
      <w:r>
        <w:fldChar w:fldCharType="separate"/>
      </w:r>
      <w:r>
        <w:t>28</w:t>
      </w:r>
      <w:r>
        <w:fldChar w:fldCharType="end"/>
      </w:r>
      <w:r>
        <w:fldChar w:fldCharType="end"/>
      </w:r>
    </w:p>
    <w:p w14:paraId="6BE574D1">
      <w:pPr>
        <w:pStyle w:val="29"/>
        <w:tabs>
          <w:tab w:val="right" w:leader="dot" w:pos="8306"/>
        </w:tabs>
        <w:ind w:left="420"/>
      </w:pPr>
      <w:r>
        <w:fldChar w:fldCharType="begin"/>
      </w:r>
      <w:r>
        <w:instrText xml:space="preserve"> HYPERLINK \l "_Toc2740" </w:instrText>
      </w:r>
      <w:r>
        <w:fldChar w:fldCharType="separate"/>
      </w:r>
      <w:r>
        <w:rPr>
          <w:rFonts w:hint="eastAsia" w:ascii="仿宋" w:eastAsia="仿宋"/>
        </w:rPr>
        <w:t>九、一般公共预算财政拨款项目支出决算表</w:t>
      </w:r>
      <w:r>
        <w:tab/>
      </w:r>
      <w:r>
        <w:fldChar w:fldCharType="begin"/>
      </w:r>
      <w:r>
        <w:instrText xml:space="preserve"> PAGEREF _Toc2740 \h </w:instrText>
      </w:r>
      <w:r>
        <w:fldChar w:fldCharType="separate"/>
      </w:r>
      <w:r>
        <w:t>28</w:t>
      </w:r>
      <w:r>
        <w:fldChar w:fldCharType="end"/>
      </w:r>
      <w:r>
        <w:fldChar w:fldCharType="end"/>
      </w:r>
    </w:p>
    <w:p w14:paraId="78C6437E">
      <w:pPr>
        <w:pStyle w:val="29"/>
        <w:tabs>
          <w:tab w:val="right" w:leader="dot" w:pos="8306"/>
        </w:tabs>
        <w:ind w:left="420"/>
      </w:pPr>
      <w:r>
        <w:fldChar w:fldCharType="begin"/>
      </w:r>
      <w:r>
        <w:instrText xml:space="preserve"> HYPERLINK \l "_Toc28607" </w:instrText>
      </w:r>
      <w:r>
        <w:fldChar w:fldCharType="separate"/>
      </w:r>
      <w:r>
        <w:rPr>
          <w:rFonts w:hint="eastAsia" w:ascii="仿宋" w:eastAsia="仿宋"/>
        </w:rPr>
        <w:t>十、一般公共预算财政拨款“三公”经费支出决算表</w:t>
      </w:r>
      <w:r>
        <w:tab/>
      </w:r>
      <w:r>
        <w:fldChar w:fldCharType="begin"/>
      </w:r>
      <w:r>
        <w:instrText xml:space="preserve"> PAGEREF _Toc28607 \h </w:instrText>
      </w:r>
      <w:r>
        <w:fldChar w:fldCharType="separate"/>
      </w:r>
      <w:r>
        <w:t>28</w:t>
      </w:r>
      <w:r>
        <w:fldChar w:fldCharType="end"/>
      </w:r>
      <w:r>
        <w:fldChar w:fldCharType="end"/>
      </w:r>
    </w:p>
    <w:p w14:paraId="657868B8">
      <w:pPr>
        <w:pStyle w:val="29"/>
        <w:tabs>
          <w:tab w:val="right" w:leader="dot" w:pos="8306"/>
        </w:tabs>
        <w:ind w:left="420"/>
      </w:pPr>
      <w:r>
        <w:fldChar w:fldCharType="begin"/>
      </w:r>
      <w:r>
        <w:instrText xml:space="preserve"> HYPERLINK \l "_Toc9384" </w:instrText>
      </w:r>
      <w:r>
        <w:fldChar w:fldCharType="separate"/>
      </w:r>
      <w:r>
        <w:rPr>
          <w:rFonts w:hint="eastAsia" w:ascii="仿宋" w:eastAsia="仿宋"/>
        </w:rPr>
        <w:t>十一、政府性基金预算财政拨款收入支出决算表</w:t>
      </w:r>
      <w:r>
        <w:tab/>
      </w:r>
      <w:r>
        <w:fldChar w:fldCharType="begin"/>
      </w:r>
      <w:r>
        <w:instrText xml:space="preserve"> PAGEREF _Toc9384 \h </w:instrText>
      </w:r>
      <w:r>
        <w:fldChar w:fldCharType="separate"/>
      </w:r>
      <w:r>
        <w:t>28</w:t>
      </w:r>
      <w:r>
        <w:fldChar w:fldCharType="end"/>
      </w:r>
      <w:r>
        <w:fldChar w:fldCharType="end"/>
      </w:r>
    </w:p>
    <w:p w14:paraId="788C9E1F">
      <w:pPr>
        <w:pStyle w:val="29"/>
        <w:tabs>
          <w:tab w:val="right" w:leader="dot" w:pos="8306"/>
        </w:tabs>
        <w:ind w:left="420"/>
      </w:pPr>
      <w:r>
        <w:fldChar w:fldCharType="begin"/>
      </w:r>
      <w:r>
        <w:instrText xml:space="preserve"> HYPERLINK \l "_Toc29243" </w:instrText>
      </w:r>
      <w:r>
        <w:fldChar w:fldCharType="separate"/>
      </w:r>
      <w:r>
        <w:rPr>
          <w:rFonts w:hint="eastAsia" w:ascii="仿宋" w:eastAsia="仿宋"/>
        </w:rPr>
        <w:t>十二、政府性基金预算财政拨款“三公”经费支出决算表</w:t>
      </w:r>
      <w:r>
        <w:tab/>
      </w:r>
      <w:r>
        <w:fldChar w:fldCharType="begin"/>
      </w:r>
      <w:r>
        <w:instrText xml:space="preserve"> PAGEREF _Toc29243 \h </w:instrText>
      </w:r>
      <w:r>
        <w:fldChar w:fldCharType="separate"/>
      </w:r>
      <w:r>
        <w:t>28</w:t>
      </w:r>
      <w:r>
        <w:fldChar w:fldCharType="end"/>
      </w:r>
      <w:r>
        <w:fldChar w:fldCharType="end"/>
      </w:r>
    </w:p>
    <w:p w14:paraId="63B8C5FE">
      <w:pPr>
        <w:pStyle w:val="29"/>
        <w:tabs>
          <w:tab w:val="right" w:leader="dot" w:pos="8306"/>
        </w:tabs>
        <w:ind w:left="420"/>
      </w:pPr>
      <w:r>
        <w:fldChar w:fldCharType="begin"/>
      </w:r>
      <w:r>
        <w:instrText xml:space="preserve"> HYPERLINK \l "_Toc15177" </w:instrText>
      </w:r>
      <w:r>
        <w:fldChar w:fldCharType="separate"/>
      </w:r>
      <w:r>
        <w:rPr>
          <w:rFonts w:hint="eastAsia" w:ascii="仿宋" w:eastAsia="仿宋"/>
        </w:rPr>
        <w:t>十三、国有资本经营预算财政拨款收入支出决算表</w:t>
      </w:r>
      <w:r>
        <w:tab/>
      </w:r>
      <w:r>
        <w:fldChar w:fldCharType="begin"/>
      </w:r>
      <w:r>
        <w:instrText xml:space="preserve"> PAGEREF _Toc15177 \h </w:instrText>
      </w:r>
      <w:r>
        <w:fldChar w:fldCharType="separate"/>
      </w:r>
      <w:r>
        <w:t>28</w:t>
      </w:r>
      <w:r>
        <w:fldChar w:fldCharType="end"/>
      </w:r>
      <w:r>
        <w:fldChar w:fldCharType="end"/>
      </w:r>
    </w:p>
    <w:p w14:paraId="57E287B2">
      <w:pPr>
        <w:pStyle w:val="28"/>
        <w:tabs>
          <w:tab w:val="right" w:leader="dot" w:pos="8306"/>
        </w:tabs>
        <w:rPr>
          <w:b/>
        </w:rPr>
      </w:pPr>
      <w:r>
        <w:fldChar w:fldCharType="begin"/>
      </w:r>
      <w:r>
        <w:instrText xml:space="preserve"> HYPERLINK \l "_Toc9917" </w:instrText>
      </w:r>
      <w:r>
        <w:fldChar w:fldCharType="separate"/>
      </w:r>
      <w:r>
        <w:rPr>
          <w:rFonts w:hint="eastAsia" w:ascii="仿宋" w:eastAsia="仿宋"/>
        </w:rPr>
        <w:t>十四、国有资本经营预算财政拨款支出决算表</w:t>
      </w:r>
      <w:r>
        <w:tab/>
      </w:r>
      <w:r>
        <w:fldChar w:fldCharType="begin"/>
      </w:r>
      <w:r>
        <w:instrText xml:space="preserve"> PAGEREF _Toc9917 \h </w:instrText>
      </w:r>
      <w:r>
        <w:fldChar w:fldCharType="separate"/>
      </w:r>
      <w:r>
        <w:t>28</w:t>
      </w:r>
      <w:r>
        <w:fldChar w:fldCharType="end"/>
      </w:r>
      <w:r>
        <w:fldChar w:fldCharType="end"/>
      </w:r>
    </w:p>
    <w:p w14:paraId="50393FFE">
      <w:pPr>
        <w:pStyle w:val="3"/>
        <w:jc w:val="center"/>
        <w:rPr>
          <w:rStyle w:val="19"/>
          <w:rFonts w:ascii="黑体" w:eastAsia="黑体"/>
          <w:b/>
          <w:bCs w:val="0"/>
        </w:rPr>
      </w:pPr>
      <w:bookmarkStart w:id="18" w:name="_Toc18142"/>
      <w:bookmarkStart w:id="19" w:name="_Toc16817"/>
      <w:bookmarkStart w:id="20" w:name="_Toc11282"/>
      <w:bookmarkStart w:id="21" w:name="_Toc18442"/>
      <w:r>
        <w:rPr>
          <w:rFonts w:hint="eastAsia" w:ascii="黑体" w:eastAsia="黑体"/>
          <w:b w:val="0"/>
        </w:rPr>
        <w:t>第一部分 单位</w:t>
      </w:r>
      <w:r>
        <w:rPr>
          <w:rStyle w:val="19"/>
          <w:rFonts w:hint="eastAsia" w:ascii="黑体" w:eastAsia="黑体"/>
          <w:b w:val="0"/>
          <w:bCs w:val="0"/>
        </w:rPr>
        <w:t>概况</w:t>
      </w:r>
      <w:bookmarkEnd w:id="15"/>
      <w:bookmarkEnd w:id="16"/>
      <w:bookmarkEnd w:id="17"/>
      <w:bookmarkEnd w:id="18"/>
      <w:bookmarkEnd w:id="19"/>
      <w:bookmarkEnd w:id="20"/>
      <w:bookmarkEnd w:id="21"/>
    </w:p>
    <w:p w14:paraId="74799E33">
      <w:pPr>
        <w:pStyle w:val="4"/>
        <w:ind w:firstLine="640" w:firstLineChars="200"/>
        <w:rPr>
          <w:rStyle w:val="20"/>
          <w:rFonts w:ascii="黑体" w:eastAsia="黑体"/>
          <w:b w:val="0"/>
          <w:bCs w:val="0"/>
        </w:rPr>
      </w:pPr>
      <w:bookmarkStart w:id="22" w:name="_Toc19356"/>
      <w:bookmarkStart w:id="23" w:name="_Toc5007"/>
      <w:bookmarkStart w:id="24" w:name="_Toc10721"/>
      <w:bookmarkStart w:id="25" w:name="_Toc8074"/>
      <w:bookmarkStart w:id="26" w:name="_Toc26545"/>
      <w:bookmarkStart w:id="27" w:name="_Toc25723"/>
      <w:bookmarkStart w:id="28" w:name="_Toc30592"/>
      <w:bookmarkStart w:id="29" w:name="_Toc15377197"/>
      <w:bookmarkStart w:id="30" w:name="_Toc15396600"/>
      <w:r>
        <w:rPr>
          <w:rStyle w:val="20"/>
          <w:rFonts w:hint="eastAsia" w:ascii="黑体" w:eastAsia="黑体"/>
          <w:b w:val="0"/>
          <w:bCs w:val="0"/>
        </w:rPr>
        <w:t>一、职能简介</w:t>
      </w:r>
      <w:bookmarkEnd w:id="22"/>
      <w:bookmarkEnd w:id="23"/>
      <w:bookmarkEnd w:id="24"/>
      <w:bookmarkEnd w:id="25"/>
      <w:bookmarkEnd w:id="26"/>
      <w:bookmarkEnd w:id="27"/>
      <w:bookmarkEnd w:id="28"/>
    </w:p>
    <w:p w14:paraId="36CC6E1E">
      <w:pPr>
        <w:widowControl/>
        <w:pBdr>
          <w:bottom w:val="single" w:color="FFFFFF" w:sz="8" w:space="31"/>
        </w:pBdr>
        <w:shd w:val="clear" w:color="auto" w:fill="FFFFFF"/>
        <w:spacing w:line="580" w:lineRule="atLeast"/>
        <w:ind w:firstLine="668"/>
        <w:rPr>
          <w:rFonts w:ascii="仿宋" w:eastAsia="仿宋" w:cs="仿宋"/>
          <w:kern w:val="0"/>
          <w:sz w:val="32"/>
          <w:szCs w:val="32"/>
        </w:rPr>
      </w:pPr>
      <w:r>
        <w:rPr>
          <w:rFonts w:hint="eastAsia" w:ascii="仿宋" w:eastAsia="仿宋" w:cs="仿宋"/>
          <w:kern w:val="0"/>
          <w:sz w:val="32"/>
          <w:szCs w:val="32"/>
        </w:rPr>
        <w:t>1、以公共卫生服务为主，综合提供预防、保健和基本医疗等服务。2、加强农村疾病预防控制，做好传染病、地方病防治和疫情等农村</w:t>
      </w:r>
      <w:r>
        <w:rPr>
          <w:rFonts w:hint="eastAsia" w:ascii="仿宋" w:eastAsia="仿宋" w:cs="仿宋"/>
          <w:kern w:val="0"/>
          <w:sz w:val="32"/>
          <w:szCs w:val="32"/>
          <w:lang w:eastAsia="zh-CN"/>
        </w:rPr>
        <w:t>突发公共卫生事件</w:t>
      </w:r>
      <w:r>
        <w:rPr>
          <w:rFonts w:hint="eastAsia" w:ascii="仿宋" w:eastAsia="仿宋" w:cs="仿宋"/>
          <w:kern w:val="0"/>
          <w:sz w:val="32"/>
          <w:szCs w:val="32"/>
        </w:rPr>
        <w:t xml:space="preserve">报告工作，重点控制严重危害农民身体健康的传染病、地方病、职业病和寄生虫病等重大疾病。3、认真执行儿童计划免疫。积极开展慢性非传染性疾病的防治工作。4、做好农村孕产妇和儿童保健工作，提高住院分娩率，改善儿童营养状况。5、积极做好新型农村合作医疗的服务、计划生育技术指导、康复等工作。6、开展爱国卫生运动，普及疾病预防和卫生保健知识，指导群众改善居住、饮食、饮水和环境卫生条件，引导和帮助农民建立良好的卫生习惯。 </w:t>
      </w:r>
    </w:p>
    <w:p w14:paraId="1D69E6E5">
      <w:pPr>
        <w:pStyle w:val="4"/>
        <w:ind w:firstLine="640" w:firstLineChars="200"/>
        <w:rPr>
          <w:rFonts w:ascii="黑体" w:eastAsia="黑体"/>
          <w:b w:val="0"/>
        </w:rPr>
      </w:pPr>
      <w:bookmarkStart w:id="31" w:name="_Toc11733"/>
      <w:bookmarkStart w:id="32" w:name="_Toc27772"/>
      <w:bookmarkStart w:id="33" w:name="_Toc17832"/>
      <w:bookmarkStart w:id="34" w:name="_Toc300"/>
      <w:bookmarkStart w:id="35" w:name="_Toc16001"/>
      <w:bookmarkStart w:id="36" w:name="_Toc14665"/>
      <w:bookmarkStart w:id="37" w:name="_Toc10228"/>
      <w:r>
        <w:rPr>
          <w:rFonts w:hint="eastAsia" w:ascii="黑体" w:eastAsia="黑体"/>
          <w:b w:val="0"/>
        </w:rPr>
        <w:t>二、2021年重点工作</w:t>
      </w:r>
      <w:bookmarkEnd w:id="29"/>
      <w:bookmarkEnd w:id="30"/>
      <w:r>
        <w:rPr>
          <w:rFonts w:hint="eastAsia" w:ascii="黑体" w:eastAsia="黑体"/>
          <w:b w:val="0"/>
        </w:rPr>
        <w:t>完成情况</w:t>
      </w:r>
      <w:bookmarkEnd w:id="31"/>
      <w:bookmarkEnd w:id="32"/>
      <w:bookmarkEnd w:id="33"/>
      <w:bookmarkEnd w:id="34"/>
      <w:bookmarkEnd w:id="35"/>
      <w:bookmarkEnd w:id="36"/>
      <w:bookmarkEnd w:id="37"/>
    </w:p>
    <w:p w14:paraId="01BC2820">
      <w:pPr>
        <w:spacing w:line="192" w:lineRule="auto"/>
        <w:ind w:firstLine="640" w:firstLineChars="200"/>
        <w:rPr>
          <w:rFonts w:ascii="仿宋" w:eastAsia="仿宋" w:cs="仿宋"/>
          <w:sz w:val="32"/>
          <w:szCs w:val="32"/>
        </w:rPr>
      </w:pPr>
      <w:r>
        <w:rPr>
          <w:rFonts w:hint="eastAsia" w:ascii="仿宋" w:eastAsia="仿宋" w:cs="仿宋"/>
          <w:sz w:val="32"/>
          <w:szCs w:val="32"/>
        </w:rPr>
        <w:t>2021年，在区卫健局、镇党委、政府的大力支持和悉心指导下，全院干部职工认真学习，全面贯彻落实各项政策，稳步推进医药卫生体制改革，狠抓医德医风，提升医疗质量，规范医疗行为，加强卫生院文化建设，促进医患和谐，顺利完成了各项目标任务，医疗卫生事业稳步发展，现将镇卫生院各项工作开展情况总结汇报如下:</w:t>
      </w:r>
    </w:p>
    <w:p w14:paraId="2F4EB2AE">
      <w:pPr>
        <w:spacing w:line="192" w:lineRule="auto"/>
        <w:ind w:firstLine="640" w:firstLineChars="200"/>
        <w:outlineLvl w:val="1"/>
        <w:rPr>
          <w:rFonts w:ascii="仿宋" w:eastAsia="仿宋" w:cs="仿宋"/>
          <w:sz w:val="32"/>
          <w:szCs w:val="32"/>
        </w:rPr>
      </w:pPr>
      <w:bookmarkStart w:id="38" w:name="_Toc24813"/>
      <w:bookmarkStart w:id="39" w:name="_Toc14545"/>
      <w:bookmarkStart w:id="40" w:name="_Toc17945"/>
      <w:bookmarkStart w:id="41" w:name="_Toc19476"/>
      <w:bookmarkStart w:id="42" w:name="_Toc3799"/>
      <w:bookmarkStart w:id="43" w:name="_Toc1678"/>
      <w:bookmarkStart w:id="44" w:name="_Toc2836"/>
      <w:r>
        <w:rPr>
          <w:rFonts w:hint="eastAsia" w:ascii="仿宋" w:eastAsia="仿宋" w:cs="仿宋"/>
          <w:sz w:val="32"/>
          <w:szCs w:val="32"/>
        </w:rPr>
        <w:t>（一）行政管理</w:t>
      </w:r>
      <w:bookmarkEnd w:id="38"/>
      <w:bookmarkEnd w:id="39"/>
      <w:bookmarkEnd w:id="40"/>
      <w:bookmarkEnd w:id="41"/>
      <w:bookmarkEnd w:id="42"/>
      <w:bookmarkEnd w:id="43"/>
      <w:bookmarkEnd w:id="44"/>
    </w:p>
    <w:p w14:paraId="73B2E253">
      <w:pPr>
        <w:spacing w:line="192" w:lineRule="auto"/>
        <w:ind w:firstLine="640" w:firstLineChars="200"/>
        <w:rPr>
          <w:rFonts w:ascii="仿宋" w:eastAsia="仿宋" w:cs="仿宋"/>
          <w:sz w:val="32"/>
          <w:szCs w:val="32"/>
        </w:rPr>
      </w:pPr>
      <w:r>
        <w:rPr>
          <w:rFonts w:hint="eastAsia" w:ascii="仿宋" w:eastAsia="仿宋" w:cs="仿宋"/>
          <w:sz w:val="32"/>
          <w:szCs w:val="32"/>
        </w:rPr>
        <w:t>1、积极推进医药卫生体制改革</w:t>
      </w:r>
    </w:p>
    <w:p w14:paraId="48151726">
      <w:pPr>
        <w:spacing w:line="192" w:lineRule="auto"/>
        <w:ind w:firstLine="640" w:firstLineChars="200"/>
        <w:rPr>
          <w:rFonts w:ascii="仿宋" w:eastAsia="仿宋" w:cs="仿宋"/>
          <w:sz w:val="32"/>
          <w:szCs w:val="32"/>
        </w:rPr>
      </w:pPr>
      <w:r>
        <w:rPr>
          <w:rFonts w:hint="eastAsia" w:ascii="仿宋" w:eastAsia="仿宋" w:cs="仿宋"/>
          <w:sz w:val="32"/>
          <w:szCs w:val="32"/>
        </w:rPr>
        <w:t>（1）健全组织机构、强化政策宣传</w:t>
      </w:r>
    </w:p>
    <w:p w14:paraId="0D326B86">
      <w:pPr>
        <w:spacing w:line="192" w:lineRule="auto"/>
        <w:ind w:firstLine="640" w:firstLineChars="200"/>
        <w:rPr>
          <w:rFonts w:ascii="仿宋" w:eastAsia="仿宋" w:cs="仿宋"/>
          <w:sz w:val="32"/>
          <w:szCs w:val="32"/>
        </w:rPr>
      </w:pPr>
      <w:r>
        <w:rPr>
          <w:rFonts w:hint="eastAsia" w:ascii="仿宋" w:eastAsia="仿宋" w:cs="仿宋"/>
          <w:sz w:val="32"/>
          <w:szCs w:val="32"/>
        </w:rPr>
        <w:t>院内调整医改工作领导小组，以院长为组长、分管副院长为副组长、各科组负责人和卫生室负责人为成员的领导小组，负责镇村医疗机构医改具体工作事项的贯彻执行和稳步推进。大力营造宣传氛围、加大医改宣传力度。结合利用卫生院、村卫生室干部职工进村入户进一步提高宣传力度;推动医德医风建设，提升服务效能，巩固基层医改实施成效。</w:t>
      </w:r>
    </w:p>
    <w:p w14:paraId="645B2F63">
      <w:pPr>
        <w:spacing w:line="192" w:lineRule="auto"/>
        <w:ind w:firstLine="640" w:firstLineChars="200"/>
        <w:rPr>
          <w:rFonts w:ascii="仿宋" w:eastAsia="仿宋" w:cs="仿宋"/>
          <w:sz w:val="32"/>
          <w:szCs w:val="32"/>
        </w:rPr>
      </w:pPr>
      <w:r>
        <w:rPr>
          <w:rFonts w:hint="eastAsia" w:ascii="仿宋" w:eastAsia="仿宋" w:cs="仿宋"/>
          <w:sz w:val="32"/>
          <w:szCs w:val="32"/>
        </w:rPr>
        <w:t>（2）按时召开乡村医生例会和职工大会及各类专题业务培训会议，组织职工及乡村医生集中学习、互相交流，掌握医改政策新动态新知识，坚决贯彻执行医改政策。</w:t>
      </w:r>
    </w:p>
    <w:p w14:paraId="45942BB1">
      <w:pPr>
        <w:spacing w:line="192" w:lineRule="auto"/>
        <w:ind w:firstLine="640" w:firstLineChars="200"/>
        <w:rPr>
          <w:rFonts w:ascii="仿宋" w:eastAsia="仿宋" w:cs="仿宋"/>
          <w:sz w:val="32"/>
          <w:szCs w:val="32"/>
        </w:rPr>
      </w:pPr>
      <w:r>
        <w:rPr>
          <w:rFonts w:hint="eastAsia" w:ascii="仿宋" w:eastAsia="仿宋" w:cs="仿宋"/>
          <w:sz w:val="32"/>
          <w:szCs w:val="32"/>
        </w:rPr>
        <w:t>2、落实健康扶贫、医疗保障制度建设</w:t>
      </w:r>
    </w:p>
    <w:p w14:paraId="4D5F2BDF">
      <w:pPr>
        <w:spacing w:line="192" w:lineRule="auto"/>
        <w:ind w:firstLine="640" w:firstLineChars="200"/>
        <w:rPr>
          <w:rFonts w:ascii="仿宋" w:eastAsia="仿宋" w:cs="仿宋"/>
          <w:sz w:val="32"/>
          <w:szCs w:val="32"/>
        </w:rPr>
      </w:pPr>
      <w:r>
        <w:rPr>
          <w:rFonts w:hint="eastAsia" w:ascii="仿宋" w:eastAsia="仿宋" w:cs="仿宋"/>
          <w:sz w:val="32"/>
          <w:szCs w:val="32"/>
        </w:rPr>
        <w:t>按照区卫健局信息化建设工作要求，在卫生院和村卫生室全力推进信息系统的建设、使用和日常管理;积极开展医保报销服务，慢性病慢病大病申报及补偿申报，补助范围全覆盖，真正体现关注民情、惠及民生。</w:t>
      </w:r>
    </w:p>
    <w:p w14:paraId="1130B48C">
      <w:pPr>
        <w:spacing w:line="192" w:lineRule="auto"/>
        <w:ind w:firstLine="640" w:firstLineChars="200"/>
        <w:rPr>
          <w:rFonts w:ascii="仿宋" w:eastAsia="仿宋" w:cs="仿宋"/>
          <w:sz w:val="32"/>
          <w:szCs w:val="32"/>
        </w:rPr>
      </w:pPr>
      <w:r>
        <w:rPr>
          <w:rFonts w:hint="eastAsia" w:ascii="仿宋" w:eastAsia="仿宋" w:cs="仿宋"/>
          <w:sz w:val="32"/>
          <w:szCs w:val="32"/>
        </w:rPr>
        <w:t>3、规范执行国家药品零差率政策和基本药物制度</w:t>
      </w:r>
    </w:p>
    <w:p w14:paraId="6F953ECF">
      <w:pPr>
        <w:spacing w:line="192" w:lineRule="auto"/>
        <w:ind w:firstLine="640" w:firstLineChars="200"/>
        <w:rPr>
          <w:rFonts w:ascii="仿宋" w:eastAsia="仿宋" w:cs="仿宋"/>
          <w:sz w:val="32"/>
          <w:szCs w:val="32"/>
        </w:rPr>
      </w:pPr>
      <w:r>
        <w:rPr>
          <w:rFonts w:hint="eastAsia" w:ascii="仿宋" w:eastAsia="仿宋" w:cs="仿宋"/>
          <w:sz w:val="32"/>
          <w:szCs w:val="32"/>
        </w:rPr>
        <w:t>（1）按规定比例配备基药和省补药品，完善药品日常管理和采购配送及监督检查机制，明确相关人员职责，卫生室药品统一配送，统一实行网上采购并实行零差率销售。进一步规范村卫生室日常诊疗行为。</w:t>
      </w:r>
    </w:p>
    <w:p w14:paraId="729290C7">
      <w:pPr>
        <w:spacing w:line="192" w:lineRule="auto"/>
        <w:ind w:firstLine="640" w:firstLineChars="200"/>
        <w:rPr>
          <w:rFonts w:ascii="仿宋" w:eastAsia="仿宋" w:cs="仿宋"/>
          <w:sz w:val="32"/>
          <w:szCs w:val="32"/>
        </w:rPr>
      </w:pPr>
      <w:r>
        <w:rPr>
          <w:rFonts w:hint="eastAsia" w:ascii="仿宋" w:eastAsia="仿宋" w:cs="仿宋"/>
          <w:sz w:val="32"/>
          <w:szCs w:val="32"/>
        </w:rPr>
        <w:t>（2）按照区食药局、卫健局工作要求，完善药品(医疗器械)不良反应报告制度，加强对临床抗生素使用率的日常监管，定期开展院内自查和村卫生室一体化督查，增强卫生院、村卫生室临床用药安全，进一步改善以药养医的发展模式，实现还惠于民。积极宣传国家药品零差率政策和基本药物制度。</w:t>
      </w:r>
    </w:p>
    <w:p w14:paraId="16AF277E">
      <w:pPr>
        <w:spacing w:line="192" w:lineRule="auto"/>
        <w:ind w:firstLine="640" w:firstLineChars="200"/>
        <w:rPr>
          <w:rFonts w:ascii="仿宋" w:eastAsia="仿宋" w:cs="仿宋"/>
          <w:sz w:val="32"/>
          <w:szCs w:val="32"/>
        </w:rPr>
      </w:pPr>
      <w:r>
        <w:rPr>
          <w:rFonts w:hint="eastAsia" w:ascii="仿宋" w:eastAsia="仿宋" w:cs="仿宋"/>
          <w:sz w:val="32"/>
          <w:szCs w:val="32"/>
        </w:rPr>
        <w:t>4、加强基层医疗队伍人才建设</w:t>
      </w:r>
    </w:p>
    <w:p w14:paraId="55425383">
      <w:pPr>
        <w:spacing w:line="192" w:lineRule="auto"/>
        <w:ind w:firstLine="640" w:firstLineChars="200"/>
        <w:rPr>
          <w:rFonts w:ascii="仿宋" w:eastAsia="仿宋" w:cs="仿宋"/>
          <w:sz w:val="32"/>
          <w:szCs w:val="32"/>
        </w:rPr>
      </w:pPr>
      <w:r>
        <w:rPr>
          <w:rFonts w:hint="eastAsia" w:ascii="仿宋" w:eastAsia="仿宋" w:cs="仿宋"/>
          <w:sz w:val="32"/>
          <w:szCs w:val="32"/>
        </w:rPr>
        <w:t>（1）我院在职在编人员8人，专业技术人员8人，管理岗2人。所有在编在岗人员均具有对应的执业资格和职称。我镇村卫生室在岗村医10人，都具有乡村医生资格证，总体素质尚可。</w:t>
      </w:r>
    </w:p>
    <w:p w14:paraId="7723AA76">
      <w:pPr>
        <w:spacing w:line="192" w:lineRule="auto"/>
        <w:ind w:firstLine="640" w:firstLineChars="200"/>
        <w:rPr>
          <w:rFonts w:ascii="仿宋" w:eastAsia="仿宋" w:cs="仿宋"/>
          <w:sz w:val="32"/>
          <w:szCs w:val="32"/>
        </w:rPr>
      </w:pPr>
      <w:r>
        <w:rPr>
          <w:rFonts w:hint="eastAsia" w:ascii="仿宋" w:eastAsia="仿宋" w:cs="仿宋"/>
          <w:sz w:val="32"/>
          <w:szCs w:val="32"/>
        </w:rPr>
        <w:t>（2）充分利用职工会议、乡村医生例会为契机，经常性抓院内培训，并把培训学习与工作人员年度绩效考核挂钩，本年度开展各类业务培训16次。</w:t>
      </w:r>
    </w:p>
    <w:p w14:paraId="0CD9ACB8">
      <w:pPr>
        <w:spacing w:line="192" w:lineRule="auto"/>
        <w:ind w:firstLine="640" w:firstLineChars="200"/>
        <w:rPr>
          <w:rFonts w:ascii="仿宋" w:eastAsia="仿宋" w:cs="仿宋"/>
          <w:sz w:val="32"/>
          <w:szCs w:val="32"/>
        </w:rPr>
      </w:pPr>
      <w:r>
        <w:rPr>
          <w:rFonts w:hint="eastAsia" w:ascii="仿宋" w:eastAsia="仿宋" w:cs="仿宋"/>
          <w:sz w:val="32"/>
          <w:szCs w:val="32"/>
        </w:rPr>
        <w:t>5、强化责任制管理，创平安医院</w:t>
      </w:r>
    </w:p>
    <w:p w14:paraId="675F4797">
      <w:pPr>
        <w:spacing w:line="192" w:lineRule="auto"/>
        <w:ind w:firstLine="640" w:firstLineChars="200"/>
        <w:rPr>
          <w:rFonts w:ascii="仿宋" w:eastAsia="仿宋" w:cs="仿宋"/>
          <w:sz w:val="32"/>
          <w:szCs w:val="32"/>
        </w:rPr>
      </w:pPr>
      <w:r>
        <w:rPr>
          <w:rFonts w:hint="eastAsia" w:ascii="仿宋" w:eastAsia="仿宋" w:cs="仿宋"/>
          <w:sz w:val="32"/>
          <w:szCs w:val="32"/>
        </w:rPr>
        <w:t>（1）完善卫生院各项应急预案做到分工明确、责任到人，流程合理，重点提高医疗质量，改善服务态度，建立医疗纠纷预警机制，前期处理机制，妥善处理医患关系。</w:t>
      </w:r>
    </w:p>
    <w:p w14:paraId="2910CF30">
      <w:pPr>
        <w:spacing w:line="192" w:lineRule="auto"/>
        <w:ind w:firstLine="640" w:firstLineChars="200"/>
        <w:rPr>
          <w:rFonts w:ascii="仿宋" w:eastAsia="仿宋" w:cs="仿宋"/>
          <w:sz w:val="32"/>
          <w:szCs w:val="32"/>
        </w:rPr>
      </w:pPr>
      <w:r>
        <w:rPr>
          <w:rFonts w:hint="eastAsia" w:ascii="仿宋" w:eastAsia="仿宋" w:cs="仿宋"/>
          <w:sz w:val="32"/>
          <w:szCs w:val="32"/>
        </w:rPr>
        <w:t>（2）落实防范措施积极对卫生院不安全自查，发现问题立即整改到位;建立院内每月自查，对村卫生室督查安全生产，重点检查诊疗规范操作规程落实情况、用药安全、药房等安全措施落实情况、管理到位情况完备有效。</w:t>
      </w:r>
    </w:p>
    <w:p w14:paraId="50B91067">
      <w:pPr>
        <w:spacing w:line="192" w:lineRule="auto"/>
        <w:ind w:firstLine="640" w:firstLineChars="200"/>
        <w:rPr>
          <w:rFonts w:ascii="仿宋" w:eastAsia="仿宋" w:cs="仿宋"/>
          <w:sz w:val="32"/>
          <w:szCs w:val="32"/>
        </w:rPr>
      </w:pPr>
      <w:r>
        <w:rPr>
          <w:rFonts w:hint="eastAsia" w:ascii="仿宋" w:eastAsia="仿宋" w:cs="仿宋"/>
          <w:sz w:val="32"/>
          <w:szCs w:val="32"/>
        </w:rPr>
        <w:t>（3）坚持24小时值班制度，制定节假日医疗急救卫生保障实施方案，实行行政领导负责制，担负起本镇的医疗救护卫生保障的责任，确保一方平安。</w:t>
      </w:r>
    </w:p>
    <w:p w14:paraId="326439B6">
      <w:pPr>
        <w:spacing w:line="192" w:lineRule="auto"/>
        <w:ind w:firstLine="640" w:firstLineChars="200"/>
        <w:rPr>
          <w:rFonts w:ascii="仿宋" w:eastAsia="仿宋" w:cs="仿宋"/>
          <w:sz w:val="32"/>
          <w:szCs w:val="32"/>
        </w:rPr>
      </w:pPr>
      <w:r>
        <w:rPr>
          <w:rFonts w:hint="eastAsia" w:ascii="仿宋" w:eastAsia="仿宋" w:cs="仿宋"/>
          <w:sz w:val="32"/>
          <w:szCs w:val="32"/>
        </w:rPr>
        <w:t>6、加强党风廉政建设和职工思想道德建设</w:t>
      </w:r>
    </w:p>
    <w:p w14:paraId="0441895E">
      <w:pPr>
        <w:spacing w:line="192" w:lineRule="auto"/>
        <w:ind w:firstLine="640" w:firstLineChars="200"/>
        <w:rPr>
          <w:rFonts w:ascii="仿宋" w:eastAsia="仿宋" w:cs="仿宋"/>
          <w:sz w:val="32"/>
          <w:szCs w:val="32"/>
        </w:rPr>
      </w:pPr>
      <w:r>
        <w:rPr>
          <w:rFonts w:hint="eastAsia" w:ascii="仿宋" w:eastAsia="仿宋" w:cs="仿宋"/>
          <w:sz w:val="32"/>
          <w:szCs w:val="32"/>
        </w:rPr>
        <w:t>（1）加强班子能力建设</w:t>
      </w:r>
    </w:p>
    <w:p w14:paraId="32D45BFD">
      <w:pPr>
        <w:spacing w:line="192" w:lineRule="auto"/>
        <w:ind w:firstLine="640" w:firstLineChars="200"/>
        <w:rPr>
          <w:rFonts w:ascii="仿宋" w:eastAsia="仿宋" w:cs="仿宋"/>
          <w:sz w:val="32"/>
          <w:szCs w:val="32"/>
        </w:rPr>
      </w:pPr>
      <w:r>
        <w:rPr>
          <w:rFonts w:hint="eastAsia" w:ascii="仿宋" w:eastAsia="仿宋" w:cs="仿宋"/>
          <w:sz w:val="32"/>
          <w:szCs w:val="32"/>
        </w:rPr>
        <w:t>确立“以人为本，不务虚、唯求实”的强化院领导班子建设的指导思想，确立以安全生产为基线，基本医疗、公共卫生、医疗保障为基点，以推进医改、保障就医、建立新形势下和谐医患关系管理模式，促进团队协作、决策民主化、信息公开化、服务多元化的目标。</w:t>
      </w:r>
    </w:p>
    <w:p w14:paraId="78E9DF31">
      <w:pPr>
        <w:spacing w:line="192" w:lineRule="auto"/>
        <w:ind w:firstLine="640" w:firstLineChars="200"/>
        <w:rPr>
          <w:rFonts w:ascii="仿宋" w:eastAsia="仿宋" w:cs="仿宋"/>
          <w:sz w:val="32"/>
          <w:szCs w:val="32"/>
        </w:rPr>
      </w:pPr>
      <w:r>
        <w:rPr>
          <w:rFonts w:hint="eastAsia" w:ascii="仿宋" w:eastAsia="仿宋" w:cs="仿宋"/>
          <w:sz w:val="32"/>
          <w:szCs w:val="32"/>
        </w:rPr>
        <w:t>（2）加强党风廉政教育和职工思想道德学习</w:t>
      </w:r>
    </w:p>
    <w:p w14:paraId="4A587503">
      <w:pPr>
        <w:spacing w:line="192" w:lineRule="auto"/>
        <w:ind w:firstLine="640" w:firstLineChars="200"/>
        <w:rPr>
          <w:rFonts w:ascii="仿宋" w:eastAsia="仿宋" w:cs="仿宋"/>
          <w:sz w:val="32"/>
          <w:szCs w:val="32"/>
        </w:rPr>
      </w:pPr>
      <w:r>
        <w:rPr>
          <w:rFonts w:hint="eastAsia" w:ascii="仿宋" w:eastAsia="仿宋" w:cs="仿宋"/>
          <w:sz w:val="32"/>
          <w:szCs w:val="32"/>
        </w:rPr>
        <w:t>对管人、财、物的个人经常进行教育学习，并从医德医风、职业道德、敬业奉献、感恩立德等多方面加强职工思想道德学习。</w:t>
      </w:r>
    </w:p>
    <w:p w14:paraId="1553A6A4">
      <w:pPr>
        <w:spacing w:line="192" w:lineRule="auto"/>
        <w:ind w:firstLine="640" w:firstLineChars="200"/>
        <w:rPr>
          <w:rFonts w:ascii="仿宋" w:eastAsia="仿宋" w:cs="仿宋"/>
          <w:sz w:val="32"/>
          <w:szCs w:val="32"/>
        </w:rPr>
      </w:pPr>
      <w:r>
        <w:rPr>
          <w:rFonts w:hint="eastAsia" w:ascii="仿宋" w:eastAsia="仿宋" w:cs="仿宋"/>
          <w:sz w:val="32"/>
          <w:szCs w:val="32"/>
        </w:rPr>
        <w:t>（3）实行院内行政管理量化分解，并将作风整治专项行动贯穿全年，逐步提升管理效能、服务效能，继续加大行风建设力度，逐步建立月度处方点评通报、首诊测血压通报、乡村一体化服务督查、平安建设安全生产自查督查。</w:t>
      </w:r>
    </w:p>
    <w:p w14:paraId="20E6E4E3">
      <w:pPr>
        <w:spacing w:line="192" w:lineRule="auto"/>
        <w:ind w:firstLine="640" w:firstLineChars="200"/>
        <w:outlineLvl w:val="1"/>
        <w:rPr>
          <w:rFonts w:ascii="仿宋" w:eastAsia="仿宋" w:cs="仿宋"/>
          <w:sz w:val="32"/>
          <w:szCs w:val="32"/>
        </w:rPr>
      </w:pPr>
      <w:bookmarkStart w:id="45" w:name="_Toc5138"/>
      <w:bookmarkStart w:id="46" w:name="_Toc23801"/>
      <w:bookmarkStart w:id="47" w:name="_Toc9248"/>
      <w:bookmarkStart w:id="48" w:name="_Toc25901"/>
      <w:bookmarkStart w:id="49" w:name="_Toc15263"/>
      <w:bookmarkStart w:id="50" w:name="_Toc30769"/>
      <w:bookmarkStart w:id="51" w:name="_Toc27600"/>
      <w:r>
        <w:rPr>
          <w:rFonts w:hint="eastAsia" w:ascii="仿宋" w:eastAsia="仿宋" w:cs="仿宋"/>
          <w:sz w:val="32"/>
          <w:szCs w:val="32"/>
        </w:rPr>
        <w:t>（二）基本公共卫生服务项目开展情况</w:t>
      </w:r>
      <w:bookmarkEnd w:id="45"/>
      <w:bookmarkEnd w:id="46"/>
      <w:bookmarkEnd w:id="47"/>
      <w:bookmarkEnd w:id="48"/>
      <w:bookmarkEnd w:id="49"/>
      <w:bookmarkEnd w:id="50"/>
      <w:bookmarkEnd w:id="51"/>
    </w:p>
    <w:p w14:paraId="621FF214">
      <w:pPr>
        <w:spacing w:line="192" w:lineRule="auto"/>
      </w:pPr>
      <w:r>
        <w:rPr>
          <w:rFonts w:hint="eastAsia" w:ascii="仿宋" w:eastAsia="仿宋" w:cs="仿宋"/>
          <w:sz w:val="32"/>
          <w:szCs w:val="32"/>
        </w:rPr>
        <w:t>在辖区内大力开展基本公共卫生服务，把医改的重点任务落到实处。具体实施步骤:</w:t>
      </w:r>
    </w:p>
    <w:p w14:paraId="6BEE3303">
      <w:pPr>
        <w:spacing w:line="192" w:lineRule="auto"/>
        <w:ind w:firstLine="640" w:firstLineChars="200"/>
        <w:rPr>
          <w:rFonts w:ascii="仿宋" w:eastAsia="仿宋" w:cs="仿宋"/>
          <w:sz w:val="32"/>
          <w:szCs w:val="32"/>
        </w:rPr>
      </w:pPr>
      <w:r>
        <w:rPr>
          <w:rFonts w:hint="eastAsia" w:ascii="仿宋" w:eastAsia="仿宋" w:cs="仿宋"/>
          <w:sz w:val="32"/>
          <w:szCs w:val="32"/>
        </w:rPr>
        <w:t>1、制定卫生院基本公共卫生服务工作方案，成立领导小组和服务指导人员。划分区域，团队协作、专人负责，各村卫生室协同;建立包村医生负责制。为各村卫生室配置专业医疗设备和器械。多渠道、多种形式，广覆盖城乡居民，继续加大宣传力度。新增居民健康档案信息化管理录入。</w:t>
      </w:r>
    </w:p>
    <w:p w14:paraId="1CC37206">
      <w:pPr>
        <w:spacing w:line="192" w:lineRule="auto"/>
        <w:ind w:firstLine="640" w:firstLineChars="200"/>
        <w:rPr>
          <w:rFonts w:ascii="仿宋" w:eastAsia="仿宋" w:cs="仿宋"/>
          <w:sz w:val="32"/>
          <w:szCs w:val="32"/>
        </w:rPr>
      </w:pPr>
      <w:r>
        <w:rPr>
          <w:rFonts w:hint="eastAsia" w:ascii="仿宋" w:eastAsia="仿宋" w:cs="仿宋"/>
          <w:sz w:val="32"/>
          <w:szCs w:val="32"/>
        </w:rPr>
        <w:t>2、每月召开例会，乡村医生之间相互交流、总结提高。规范慢性病管理，开展原发性高血压病、糖尿病病例筛查，定期随访，重点询问病情，检测血压、并发症、观察指导用药和饮食、进行健康教育;对高血压、糖尿病管理和控制情况进行考核、评价;提高知晓率和控制率。</w:t>
      </w:r>
    </w:p>
    <w:p w14:paraId="56FF0A46">
      <w:pPr>
        <w:spacing w:line="192" w:lineRule="auto"/>
        <w:ind w:firstLine="640" w:firstLineChars="200"/>
        <w:rPr>
          <w:rFonts w:ascii="仿宋" w:eastAsia="仿宋" w:cs="仿宋"/>
          <w:sz w:val="32"/>
          <w:szCs w:val="32"/>
        </w:rPr>
      </w:pPr>
      <w:r>
        <w:rPr>
          <w:rFonts w:hint="eastAsia" w:ascii="仿宋" w:eastAsia="仿宋" w:cs="仿宋"/>
          <w:sz w:val="32"/>
          <w:szCs w:val="32"/>
        </w:rPr>
        <w:t>3、加强健康教育，通过开设健康教育宣传栏、健康知识讲座、健康教育咨询等方式不断提高人民基本卫生知识和自我保健能力。安排辖区内65岁以上老人到卫生院、村卫生室免费参加健康体检；加大对辖区内重性精神病人登记管理、随访及康复指导工作。全面质量管理、信息化管理、社区居民满意度评价。卫生监督检查督导。</w:t>
      </w:r>
    </w:p>
    <w:p w14:paraId="141E6014">
      <w:pPr>
        <w:spacing w:line="192" w:lineRule="auto"/>
        <w:ind w:firstLine="640" w:firstLineChars="200"/>
        <w:rPr>
          <w:rFonts w:ascii="仿宋" w:eastAsia="仿宋" w:cs="仿宋"/>
          <w:sz w:val="32"/>
          <w:szCs w:val="32"/>
        </w:rPr>
      </w:pPr>
      <w:r>
        <w:rPr>
          <w:rFonts w:hint="eastAsia" w:ascii="仿宋" w:eastAsia="仿宋" w:cs="仿宋"/>
          <w:sz w:val="32"/>
          <w:szCs w:val="32"/>
        </w:rPr>
        <w:t>4、坚决打赢新冠肺炎疫情防控阻击战。自新冠肺炎发生以来，我院迅速行动，把疫情防控工作作为压倒一切的重大政治任务，深入贯彻习近平总书记重要指示精神，坚决落实党中央、国务院和省、市、区委各项决策部署。一是对中高风险地区返乡人员及密切接触人员进行摸排、检测体温，对务工返乡进行健康服务1次，对全镇人员健康教育防护发放宣传材料。二是派专人在预检分诊值守，严把入口关并严格按照疫情防控要求进行管控。三是依托各级大数据反馈信息，全面摸排确保所有重点地区返乡人员全部排查到位，并按照疫情防控要求进行管控。四是积极开展核酸检测工作，按照重点人群“愿检尽检”、“应检尽检”的要求，</w:t>
      </w:r>
      <w:r>
        <w:rPr>
          <w:rFonts w:hint="eastAsia" w:ascii="仿宋" w:eastAsia="仿宋" w:cs="仿宋"/>
          <w:sz w:val="32"/>
          <w:szCs w:val="32"/>
          <w:lang w:val="zh-CN"/>
        </w:rPr>
        <w:t>完成了医务人员、住院患者、陪护人员等核酸采样并及时将标本送至卫子中心卫生院集中送检。</w:t>
      </w:r>
      <w:r>
        <w:rPr>
          <w:rFonts w:hint="eastAsia" w:ascii="仿宋" w:eastAsia="仿宋" w:cs="仿宋"/>
          <w:sz w:val="32"/>
          <w:szCs w:val="32"/>
        </w:rPr>
        <w:t>五是积极配合区疾控中心做好新冠肺炎疫苗接种工作。</w:t>
      </w:r>
    </w:p>
    <w:p w14:paraId="2FF32FF4">
      <w:pPr>
        <w:spacing w:line="192" w:lineRule="auto"/>
        <w:ind w:firstLine="640" w:firstLineChars="200"/>
        <w:outlineLvl w:val="1"/>
        <w:rPr>
          <w:rFonts w:ascii="仿宋" w:eastAsia="仿宋" w:cs="仿宋"/>
          <w:sz w:val="32"/>
          <w:szCs w:val="32"/>
        </w:rPr>
      </w:pPr>
      <w:bookmarkStart w:id="52" w:name="_Toc31831"/>
      <w:bookmarkStart w:id="53" w:name="_Toc29304"/>
      <w:bookmarkStart w:id="54" w:name="_Toc2621"/>
      <w:bookmarkStart w:id="55" w:name="_Toc22040"/>
      <w:bookmarkStart w:id="56" w:name="_Toc29279"/>
      <w:bookmarkStart w:id="57" w:name="_Toc8649"/>
      <w:bookmarkStart w:id="58" w:name="_Toc6319"/>
      <w:r>
        <w:rPr>
          <w:rFonts w:hint="eastAsia" w:ascii="仿宋" w:eastAsia="仿宋" w:cs="仿宋"/>
          <w:sz w:val="32"/>
          <w:szCs w:val="32"/>
        </w:rPr>
        <w:t>（三）基本医疗总体概况</w:t>
      </w:r>
      <w:bookmarkEnd w:id="52"/>
      <w:bookmarkEnd w:id="53"/>
      <w:bookmarkEnd w:id="54"/>
      <w:bookmarkEnd w:id="55"/>
      <w:bookmarkEnd w:id="56"/>
      <w:bookmarkEnd w:id="57"/>
      <w:bookmarkEnd w:id="58"/>
    </w:p>
    <w:p w14:paraId="7E82E0EE">
      <w:pPr>
        <w:spacing w:line="192" w:lineRule="auto"/>
        <w:ind w:firstLine="640" w:firstLineChars="200"/>
        <w:rPr>
          <w:rFonts w:ascii="仿宋" w:eastAsia="仿宋" w:cs="仿宋"/>
          <w:sz w:val="32"/>
          <w:szCs w:val="32"/>
        </w:rPr>
      </w:pPr>
      <w:r>
        <w:rPr>
          <w:rFonts w:hint="eastAsia" w:ascii="仿宋" w:eastAsia="仿宋" w:cs="仿宋"/>
          <w:sz w:val="32"/>
          <w:szCs w:val="32"/>
        </w:rPr>
        <w:t>全年开展了多项下村义诊活动，免费送医送药上门服务解决了一部分腿脚不便群众的看病难问题，并且发现了一部分慢性病人，并帮助办理慢性病手续，同时加大了健康扶贫医疗救助、大病救助等民生工程惠民政策的宣传力度和知晓率。全院干部职工能立足岗位、团结协作，积极为群众服务。</w:t>
      </w:r>
    </w:p>
    <w:p w14:paraId="505CAA0E">
      <w:pPr>
        <w:spacing w:line="192" w:lineRule="auto"/>
        <w:ind w:firstLine="640" w:firstLineChars="200"/>
        <w:rPr>
          <w:rFonts w:ascii="仿宋" w:eastAsia="仿宋" w:cs="仿宋"/>
          <w:sz w:val="32"/>
          <w:szCs w:val="32"/>
        </w:rPr>
      </w:pPr>
      <w:r>
        <w:rPr>
          <w:rFonts w:hint="eastAsia" w:ascii="仿宋" w:eastAsia="仿宋" w:cs="仿宋"/>
          <w:sz w:val="32"/>
          <w:szCs w:val="32"/>
        </w:rPr>
        <w:t>始终坚持“以人为本、以病人为中心，构建和谐医患关系，创建人民满意卫生院”的基层卫生服务导向，扎实开展“创先争优”、“三好一满意”等一系列活动，始终将“抓业务、强管理、带班子、凝人心、聚合力”的工作原则贯穿于基本医疗、基本公共卫生服务。卫生院领导班子本着“求真、务实、创新”的积极态度，将基本医疗、公共卫生确立为卫生院的工作重心，进一步加强一体化村卫生室管理。</w:t>
      </w:r>
    </w:p>
    <w:p w14:paraId="55DC59E3">
      <w:pPr>
        <w:spacing w:line="192" w:lineRule="auto"/>
        <w:ind w:firstLine="640" w:firstLineChars="200"/>
        <w:outlineLvl w:val="1"/>
        <w:rPr>
          <w:rFonts w:ascii="仿宋" w:eastAsia="仿宋" w:cs="仿宋"/>
          <w:sz w:val="32"/>
          <w:szCs w:val="32"/>
        </w:rPr>
      </w:pPr>
      <w:bookmarkStart w:id="59" w:name="_Toc31607"/>
      <w:bookmarkStart w:id="60" w:name="_Toc1671"/>
      <w:bookmarkStart w:id="61" w:name="_Toc12837"/>
      <w:bookmarkStart w:id="62" w:name="_Toc2016"/>
      <w:bookmarkStart w:id="63" w:name="_Toc30425"/>
      <w:bookmarkStart w:id="64" w:name="_Toc24037"/>
      <w:bookmarkStart w:id="65" w:name="_Toc5065"/>
      <w:r>
        <w:rPr>
          <w:rFonts w:hint="eastAsia" w:ascii="仿宋" w:eastAsia="仿宋" w:cs="仿宋"/>
          <w:sz w:val="32"/>
          <w:szCs w:val="32"/>
        </w:rPr>
        <w:t>（四）存在问题</w:t>
      </w:r>
      <w:bookmarkEnd w:id="59"/>
      <w:bookmarkEnd w:id="60"/>
      <w:bookmarkEnd w:id="61"/>
      <w:bookmarkEnd w:id="62"/>
      <w:bookmarkEnd w:id="63"/>
      <w:bookmarkEnd w:id="64"/>
      <w:bookmarkEnd w:id="65"/>
    </w:p>
    <w:p w14:paraId="6B4674F6">
      <w:pPr>
        <w:spacing w:line="192" w:lineRule="auto"/>
        <w:ind w:firstLine="640" w:firstLineChars="200"/>
        <w:rPr>
          <w:rFonts w:ascii="仿宋" w:eastAsia="仿宋" w:cs="仿宋"/>
          <w:sz w:val="32"/>
          <w:szCs w:val="32"/>
        </w:rPr>
      </w:pPr>
      <w:r>
        <w:rPr>
          <w:rFonts w:hint="eastAsia" w:ascii="仿宋" w:eastAsia="仿宋" w:cs="仿宋"/>
          <w:sz w:val="32"/>
          <w:szCs w:val="32"/>
        </w:rPr>
        <w:t>随着卫生院功能定位的逐渐稳固和药品零差率政策等项医改政策的贯彻执行，卫生院公益性管理体制凸显，基层卫生事业新的运行机制已然确立，卫生事业逐渐步入良性发展轨道。但从我院整体运行情况来看还存在一些问题：</w:t>
      </w:r>
    </w:p>
    <w:p w14:paraId="4EDC8EAE">
      <w:pPr>
        <w:spacing w:line="192" w:lineRule="auto"/>
        <w:ind w:firstLine="640" w:firstLineChars="200"/>
        <w:rPr>
          <w:rFonts w:ascii="仿宋" w:eastAsia="仿宋" w:cs="仿宋"/>
          <w:sz w:val="32"/>
          <w:szCs w:val="32"/>
        </w:rPr>
      </w:pPr>
      <w:r>
        <w:rPr>
          <w:rFonts w:hint="eastAsia" w:ascii="仿宋" w:eastAsia="仿宋" w:cs="仿宋"/>
          <w:sz w:val="32"/>
          <w:szCs w:val="32"/>
        </w:rPr>
        <w:t>1、仍旧存在工作人员及村医业务素质亟待提升、药品零差率销售尚需加强监管、基药处方及临床抗生素使用尚需进一步规范和控制。</w:t>
      </w:r>
    </w:p>
    <w:p w14:paraId="13243B33">
      <w:pPr>
        <w:spacing w:line="192" w:lineRule="auto"/>
        <w:ind w:firstLine="640" w:firstLineChars="200"/>
        <w:rPr>
          <w:rFonts w:ascii="仿宋" w:eastAsia="仿宋" w:cs="仿宋"/>
          <w:sz w:val="32"/>
          <w:szCs w:val="32"/>
        </w:rPr>
      </w:pPr>
      <w:r>
        <w:rPr>
          <w:rFonts w:hint="eastAsia" w:ascii="仿宋" w:eastAsia="仿宋" w:cs="仿宋"/>
          <w:sz w:val="32"/>
          <w:szCs w:val="32"/>
        </w:rPr>
        <w:t>2、医务人员服务意识、风险防范意识有待提高，卫技人员不足、技术力量单一技术不高等，我院毗邻周边医院设备齐全，技术雄厚，造成大量病员外流。</w:t>
      </w:r>
    </w:p>
    <w:p w14:paraId="4D144FEB">
      <w:pPr>
        <w:spacing w:line="192" w:lineRule="auto"/>
        <w:ind w:firstLine="640" w:firstLineChars="200"/>
        <w:rPr>
          <w:rFonts w:ascii="仿宋" w:eastAsia="仿宋" w:cs="仿宋"/>
          <w:sz w:val="32"/>
          <w:szCs w:val="32"/>
        </w:rPr>
      </w:pPr>
      <w:r>
        <w:rPr>
          <w:rFonts w:hint="eastAsia" w:ascii="仿宋" w:eastAsia="仿宋" w:cs="仿宋"/>
          <w:sz w:val="32"/>
          <w:szCs w:val="32"/>
        </w:rPr>
        <w:t>3、基本公共卫生服务成效显著，人民群众健康意识和健康水平稳步提升，卫生院也取得了良好的经济效益和社会效益。但是，公共卫生服务到位率不高，存在签而未约，履职不到位。</w:t>
      </w:r>
    </w:p>
    <w:p w14:paraId="76677AFA">
      <w:pPr>
        <w:spacing w:line="192" w:lineRule="auto"/>
        <w:ind w:firstLine="640" w:firstLineChars="200"/>
        <w:rPr>
          <w:rFonts w:ascii="仿宋" w:eastAsia="仿宋" w:cs="仿宋"/>
          <w:sz w:val="32"/>
          <w:szCs w:val="32"/>
        </w:rPr>
      </w:pPr>
      <w:r>
        <w:rPr>
          <w:rFonts w:hint="eastAsia" w:ascii="仿宋" w:eastAsia="仿宋" w:cs="仿宋"/>
          <w:sz w:val="32"/>
          <w:szCs w:val="32"/>
        </w:rPr>
        <w:t>4、作为三级卫生服务网络的中间环节，如何发挥出乡镇卫生院的承上启下的桥梁作用。</w:t>
      </w:r>
    </w:p>
    <w:p w14:paraId="5C4561F1">
      <w:pPr>
        <w:spacing w:line="192" w:lineRule="auto"/>
        <w:ind w:firstLine="640" w:firstLineChars="200"/>
        <w:outlineLvl w:val="1"/>
        <w:rPr>
          <w:rFonts w:ascii="仿宋" w:eastAsia="仿宋" w:cs="仿宋"/>
          <w:sz w:val="32"/>
          <w:szCs w:val="32"/>
        </w:rPr>
      </w:pPr>
      <w:bookmarkStart w:id="66" w:name="_Toc12229"/>
      <w:bookmarkStart w:id="67" w:name="_Toc4551"/>
      <w:bookmarkStart w:id="68" w:name="_Toc23734"/>
      <w:bookmarkStart w:id="69" w:name="_Toc4957"/>
      <w:bookmarkStart w:id="70" w:name="_Toc7129"/>
      <w:bookmarkStart w:id="71" w:name="_Toc12174"/>
      <w:bookmarkStart w:id="72" w:name="_Toc30112"/>
      <w:r>
        <w:rPr>
          <w:rFonts w:hint="eastAsia" w:ascii="仿宋" w:eastAsia="仿宋" w:cs="仿宋"/>
          <w:sz w:val="32"/>
          <w:szCs w:val="32"/>
        </w:rPr>
        <w:t>（五）下一步打算</w:t>
      </w:r>
      <w:bookmarkEnd w:id="66"/>
      <w:bookmarkEnd w:id="67"/>
      <w:bookmarkEnd w:id="68"/>
      <w:bookmarkEnd w:id="69"/>
      <w:bookmarkEnd w:id="70"/>
      <w:bookmarkEnd w:id="71"/>
      <w:bookmarkEnd w:id="72"/>
    </w:p>
    <w:p w14:paraId="311286C4">
      <w:pPr>
        <w:spacing w:line="192" w:lineRule="auto"/>
        <w:ind w:firstLine="640" w:firstLineChars="200"/>
        <w:rPr>
          <w:rFonts w:ascii="仿宋" w:eastAsia="仿宋" w:cs="仿宋"/>
          <w:sz w:val="32"/>
          <w:szCs w:val="32"/>
        </w:rPr>
      </w:pPr>
      <w:r>
        <w:rPr>
          <w:rFonts w:hint="eastAsia" w:ascii="仿宋" w:eastAsia="仿宋" w:cs="仿宋"/>
          <w:sz w:val="32"/>
          <w:szCs w:val="32"/>
        </w:rPr>
        <w:t>1、在以后的工作中按照廉政建设的标准严格要求自己，忠实履行职责，一是抓业务发展的战略; 二是抓强有力的班子建设; 三是抓执行力的落实;四是创造一个风清气正的工作环境。</w:t>
      </w:r>
    </w:p>
    <w:p w14:paraId="2CD0641C">
      <w:pPr>
        <w:spacing w:line="192" w:lineRule="auto"/>
        <w:ind w:firstLine="640" w:firstLineChars="200"/>
        <w:rPr>
          <w:rFonts w:ascii="仿宋" w:eastAsia="仿宋" w:cs="仿宋"/>
          <w:sz w:val="32"/>
          <w:szCs w:val="32"/>
        </w:rPr>
      </w:pPr>
      <w:r>
        <w:rPr>
          <w:rFonts w:hint="eastAsia" w:ascii="仿宋" w:eastAsia="仿宋" w:cs="仿宋"/>
          <w:sz w:val="32"/>
          <w:szCs w:val="32"/>
        </w:rPr>
        <w:t>2、整合医疗卫生资源，提升中医药综合服务效能，促进基层医疗卫生服务多元化发展，有效服务群众、保障民生是我们实现基层卫生事业稳步健康发展的关键。</w:t>
      </w:r>
    </w:p>
    <w:p w14:paraId="3A7F295A">
      <w:pPr>
        <w:pStyle w:val="3"/>
        <w:ind w:right="440"/>
        <w:jc w:val="center"/>
      </w:pPr>
      <w:bookmarkStart w:id="73" w:name="_Toc29778"/>
      <w:bookmarkStart w:id="74" w:name="_Toc21660"/>
      <w:bookmarkStart w:id="75" w:name="_Toc15396602"/>
      <w:bookmarkStart w:id="76" w:name="_Toc15377204"/>
      <w:bookmarkStart w:id="77" w:name="_Toc18901"/>
      <w:bookmarkStart w:id="78" w:name="_Toc1548"/>
      <w:bookmarkStart w:id="79" w:name="_Toc3899"/>
      <w:bookmarkStart w:id="80" w:name="_Toc4697"/>
      <w:bookmarkStart w:id="81" w:name="_Toc7140"/>
      <w:r>
        <w:rPr>
          <w:rFonts w:hint="eastAsia" w:ascii="黑体" w:eastAsia="黑体"/>
          <w:b w:val="0"/>
        </w:rPr>
        <w:t>第二部分 2021年度</w:t>
      </w:r>
      <w:r>
        <w:rPr>
          <w:rStyle w:val="19"/>
          <w:rFonts w:hint="eastAsia" w:ascii="黑体" w:eastAsia="黑体"/>
          <w:b w:val="0"/>
          <w:bCs/>
        </w:rPr>
        <w:t>单位决算情况说明</w:t>
      </w:r>
      <w:bookmarkEnd w:id="73"/>
      <w:bookmarkEnd w:id="74"/>
      <w:bookmarkEnd w:id="75"/>
      <w:bookmarkEnd w:id="76"/>
      <w:bookmarkEnd w:id="77"/>
      <w:bookmarkEnd w:id="78"/>
      <w:bookmarkEnd w:id="79"/>
      <w:bookmarkEnd w:id="80"/>
      <w:bookmarkEnd w:id="81"/>
    </w:p>
    <w:p w14:paraId="385662B8">
      <w:pPr>
        <w:pStyle w:val="25"/>
        <w:numPr>
          <w:ilvl w:val="0"/>
          <w:numId w:val="1"/>
        </w:numPr>
        <w:spacing w:line="600" w:lineRule="exact"/>
        <w:ind w:firstLineChars="0"/>
        <w:outlineLvl w:val="1"/>
        <w:rPr>
          <w:rStyle w:val="20"/>
          <w:rFonts w:ascii="黑体" w:eastAsia="黑体"/>
          <w:b w:val="0"/>
        </w:rPr>
      </w:pPr>
      <w:bookmarkStart w:id="82" w:name="_Toc14421"/>
      <w:bookmarkStart w:id="83" w:name="_Toc7524"/>
      <w:bookmarkStart w:id="84" w:name="_Toc31812"/>
      <w:bookmarkStart w:id="85" w:name="_Toc280"/>
      <w:bookmarkStart w:id="86" w:name="_Toc28287"/>
      <w:bookmarkStart w:id="87" w:name="_Toc24484"/>
      <w:bookmarkStart w:id="88" w:name="_Toc15377205"/>
      <w:bookmarkStart w:id="89" w:name="_Toc15396603"/>
      <w:bookmarkStart w:id="90" w:name="_Toc28766"/>
      <w:r>
        <w:rPr>
          <w:rFonts w:hint="eastAsia" w:ascii="黑体" w:eastAsia="黑体"/>
          <w:sz w:val="32"/>
          <w:szCs w:val="32"/>
        </w:rPr>
        <w:t>收</w:t>
      </w:r>
      <w:r>
        <w:rPr>
          <w:rStyle w:val="20"/>
          <w:rFonts w:hint="eastAsia" w:ascii="黑体" w:eastAsia="黑体"/>
          <w:b w:val="0"/>
        </w:rPr>
        <w:t>入支出决算总体情况说明</w:t>
      </w:r>
      <w:bookmarkEnd w:id="82"/>
      <w:bookmarkEnd w:id="83"/>
      <w:bookmarkEnd w:id="84"/>
      <w:bookmarkEnd w:id="85"/>
      <w:bookmarkEnd w:id="86"/>
      <w:bookmarkEnd w:id="87"/>
      <w:bookmarkEnd w:id="88"/>
      <w:bookmarkEnd w:id="89"/>
      <w:bookmarkEnd w:id="90"/>
    </w:p>
    <w:p w14:paraId="08390CF8">
      <w:pPr>
        <w:spacing w:line="600" w:lineRule="exact"/>
        <w:ind w:firstLine="640" w:firstLineChars="200"/>
        <w:rPr>
          <w:rFonts w:ascii="仿宋" w:eastAsia="仿宋"/>
          <w:b/>
          <w:bCs/>
          <w:sz w:val="32"/>
          <w:szCs w:val="32"/>
        </w:rPr>
      </w:pPr>
      <w:r>
        <w:rPr>
          <w:rFonts w:hint="eastAsia" w:ascii="仿宋" w:eastAsia="仿宋"/>
          <w:sz w:val="32"/>
          <w:szCs w:val="32"/>
        </w:rPr>
        <w:t>2021年度收、支总计</w:t>
      </w:r>
      <w:r>
        <w:rPr>
          <w:rFonts w:ascii="仿宋" w:eastAsia="仿宋"/>
          <w:sz w:val="32"/>
          <w:szCs w:val="32"/>
        </w:rPr>
        <w:t>198.</w:t>
      </w:r>
      <w:r>
        <w:rPr>
          <w:rFonts w:hint="eastAsia" w:ascii="仿宋" w:eastAsia="仿宋"/>
          <w:sz w:val="32"/>
          <w:szCs w:val="32"/>
        </w:rPr>
        <w:t>02万元。与2020年相比</w:t>
      </w:r>
      <w:r>
        <w:rPr>
          <w:rFonts w:hint="eastAsia" w:ascii="仿宋" w:eastAsia="仿宋"/>
          <w:color w:val="000000"/>
          <w:sz w:val="32"/>
          <w:szCs w:val="32"/>
        </w:rPr>
        <w:t>，收、支总计各减少</w:t>
      </w:r>
      <w:r>
        <w:rPr>
          <w:rFonts w:ascii="仿宋" w:eastAsia="仿宋"/>
          <w:color w:val="000000"/>
          <w:sz w:val="32"/>
          <w:szCs w:val="32"/>
        </w:rPr>
        <w:t>11.7</w:t>
      </w:r>
      <w:r>
        <w:rPr>
          <w:rFonts w:hint="eastAsia" w:ascii="仿宋" w:eastAsia="仿宋"/>
          <w:color w:val="000000"/>
          <w:sz w:val="32"/>
          <w:szCs w:val="32"/>
        </w:rPr>
        <w:t>6万元，下降</w:t>
      </w:r>
      <w:r>
        <w:rPr>
          <w:rFonts w:ascii="仿宋" w:eastAsia="仿宋"/>
          <w:color w:val="000000"/>
          <w:sz w:val="32"/>
          <w:szCs w:val="32"/>
        </w:rPr>
        <w:t>5.</w:t>
      </w:r>
      <w:r>
        <w:rPr>
          <w:rFonts w:hint="eastAsia" w:ascii="仿宋" w:eastAsia="仿宋"/>
          <w:color w:val="000000"/>
          <w:sz w:val="32"/>
          <w:szCs w:val="32"/>
        </w:rPr>
        <w:t>6</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sz w:val="32"/>
          <w:szCs w:val="32"/>
        </w:rPr>
        <w:t>主要变动原因是</w:t>
      </w:r>
      <w:r>
        <w:rPr>
          <w:rFonts w:ascii="仿宋" w:eastAsia="仿宋"/>
          <w:sz w:val="32"/>
          <w:szCs w:val="32"/>
        </w:rPr>
        <w:t>2021年无抗疫特别国债资金。</w:t>
      </w:r>
    </w:p>
    <w:p w14:paraId="627A9D00">
      <w:pPr>
        <w:spacing w:line="600" w:lineRule="exact"/>
        <w:ind w:firstLine="640" w:firstLineChars="200"/>
        <w:jc w:val="left"/>
        <w:rPr>
          <w:rFonts w:ascii="仿宋_GB2312" w:eastAsia="仿宋_GB2312"/>
          <w:sz w:val="32"/>
          <w:szCs w:val="32"/>
        </w:rPr>
      </w:pPr>
    </w:p>
    <w:p w14:paraId="129F2B11">
      <w:pPr>
        <w:pStyle w:val="7"/>
        <w:ind w:firstLine="643"/>
        <w:jc w:val="center"/>
      </w:pPr>
      <w:r>
        <w:drawing>
          <wp:inline distT="0" distB="0" distL="67945" distR="67945">
            <wp:extent cx="4571365" cy="2742565"/>
            <wp:effectExtent l="0" t="0" r="0" b="0"/>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6" cstate="print"/>
                    <a:stretch>
                      <a:fillRect/>
                    </a:stretch>
                  </pic:blipFill>
                  <pic:spPr>
                    <a:xfrm>
                      <a:off x="0" y="0"/>
                      <a:ext cx="4571930" cy="2743158"/>
                    </a:xfrm>
                    <a:prstGeom prst="rect">
                      <a:avLst/>
                    </a:prstGeom>
                    <a:noFill/>
                    <a:ln w="9525" cap="flat" cmpd="sng">
                      <a:noFill/>
                      <a:prstDash val="solid"/>
                      <a:miter/>
                    </a:ln>
                  </pic:spPr>
                </pic:pic>
              </a:graphicData>
            </a:graphic>
          </wp:inline>
        </w:drawing>
      </w:r>
    </w:p>
    <w:p w14:paraId="51308756">
      <w:pPr>
        <w:pStyle w:val="25"/>
        <w:spacing w:line="600" w:lineRule="exact"/>
        <w:ind w:firstLine="643"/>
        <w:outlineLvl w:val="1"/>
        <w:rPr>
          <w:rStyle w:val="20"/>
          <w:rFonts w:ascii="黑体" w:eastAsia="黑体"/>
          <w:b w:val="0"/>
        </w:rPr>
      </w:pPr>
      <w:bookmarkStart w:id="91" w:name="_Toc7844"/>
      <w:bookmarkStart w:id="92" w:name="_Toc3037"/>
      <w:bookmarkStart w:id="93" w:name="_Toc14006"/>
      <w:bookmarkStart w:id="94" w:name="_Toc15377206"/>
      <w:bookmarkStart w:id="95" w:name="_Toc25068"/>
      <w:bookmarkStart w:id="96" w:name="_Toc2715"/>
      <w:bookmarkStart w:id="97" w:name="_Toc1626"/>
      <w:bookmarkStart w:id="98" w:name="_Toc10446"/>
      <w:bookmarkStart w:id="99" w:name="_Toc15396604"/>
      <w:r>
        <w:rPr>
          <w:b/>
          <w:bCs/>
          <w:sz w:val="32"/>
          <w:szCs w:val="32"/>
        </w:rPr>
        <w:t>二</w:t>
      </w:r>
      <w:r>
        <w:t>、</w:t>
      </w:r>
      <w:r>
        <w:rPr>
          <w:rFonts w:hint="eastAsia" w:ascii="黑体" w:eastAsia="黑体"/>
          <w:sz w:val="32"/>
          <w:szCs w:val="32"/>
        </w:rPr>
        <w:t>收</w:t>
      </w:r>
      <w:r>
        <w:rPr>
          <w:rStyle w:val="20"/>
          <w:rFonts w:hint="eastAsia" w:ascii="黑体" w:eastAsia="黑体"/>
          <w:b w:val="0"/>
        </w:rPr>
        <w:t>入决算情况说明</w:t>
      </w:r>
      <w:bookmarkEnd w:id="91"/>
      <w:bookmarkEnd w:id="92"/>
      <w:bookmarkEnd w:id="93"/>
      <w:bookmarkEnd w:id="94"/>
      <w:bookmarkEnd w:id="95"/>
      <w:bookmarkEnd w:id="96"/>
      <w:bookmarkEnd w:id="97"/>
      <w:bookmarkEnd w:id="98"/>
      <w:bookmarkEnd w:id="99"/>
    </w:p>
    <w:p w14:paraId="645C3C43">
      <w:pPr>
        <w:spacing w:line="600" w:lineRule="exact"/>
        <w:ind w:firstLine="640" w:firstLineChars="200"/>
        <w:outlineLvl w:val="1"/>
        <w:rPr>
          <w:rFonts w:ascii="仿宋" w:eastAsia="仿宋"/>
          <w:sz w:val="32"/>
          <w:szCs w:val="32"/>
        </w:rPr>
      </w:pPr>
      <w:bookmarkStart w:id="100" w:name="_Toc1095"/>
      <w:bookmarkStart w:id="101" w:name="_Toc12305"/>
      <w:bookmarkStart w:id="102" w:name="_Toc19491"/>
      <w:bookmarkStart w:id="103" w:name="_Toc5264"/>
      <w:bookmarkStart w:id="104" w:name="_Toc13228"/>
      <w:bookmarkStart w:id="105" w:name="_Toc27778"/>
      <w:bookmarkStart w:id="106" w:name="_Toc26196"/>
      <w:bookmarkStart w:id="107" w:name="_Toc32408"/>
      <w:r>
        <w:rPr>
          <w:rFonts w:ascii="仿宋" w:eastAsia="仿宋"/>
          <w:sz w:val="32"/>
          <w:szCs w:val="32"/>
        </w:rPr>
        <w:t>20</w:t>
      </w:r>
      <w:r>
        <w:rPr>
          <w:rFonts w:hint="eastAsia" w:ascii="仿宋" w:eastAsia="仿宋"/>
          <w:sz w:val="32"/>
          <w:szCs w:val="32"/>
        </w:rPr>
        <w:t>21年本年收入合计</w:t>
      </w:r>
      <w:r>
        <w:rPr>
          <w:rFonts w:ascii="仿宋" w:eastAsia="仿宋"/>
          <w:sz w:val="32"/>
          <w:szCs w:val="32"/>
        </w:rPr>
        <w:t>198.02</w:t>
      </w:r>
      <w:r>
        <w:rPr>
          <w:rFonts w:hint="eastAsia" w:ascii="仿宋" w:eastAsia="仿宋"/>
          <w:sz w:val="32"/>
          <w:szCs w:val="32"/>
        </w:rPr>
        <w:t>万元，其中：一般公共预算财政拨款收入</w:t>
      </w:r>
      <w:r>
        <w:rPr>
          <w:rFonts w:ascii="仿宋" w:eastAsia="仿宋"/>
          <w:sz w:val="32"/>
          <w:szCs w:val="32"/>
        </w:rPr>
        <w:t>147.79</w:t>
      </w:r>
      <w:r>
        <w:rPr>
          <w:rFonts w:hint="eastAsia" w:ascii="仿宋" w:eastAsia="仿宋"/>
          <w:sz w:val="32"/>
          <w:szCs w:val="32"/>
        </w:rPr>
        <w:t>万元，占</w:t>
      </w:r>
      <w:r>
        <w:rPr>
          <w:rFonts w:ascii="仿宋" w:eastAsia="仿宋"/>
          <w:sz w:val="32"/>
          <w:szCs w:val="32"/>
        </w:rPr>
        <w:t>74.63%</w:t>
      </w:r>
      <w:r>
        <w:rPr>
          <w:rFonts w:hint="eastAsia" w:ascii="仿宋" w:eastAsia="仿宋"/>
          <w:sz w:val="32"/>
          <w:szCs w:val="32"/>
        </w:rPr>
        <w:t>；事业收入</w:t>
      </w:r>
      <w:r>
        <w:rPr>
          <w:rFonts w:ascii="仿宋" w:eastAsia="仿宋"/>
          <w:sz w:val="32"/>
          <w:szCs w:val="32"/>
        </w:rPr>
        <w:t>50.23</w:t>
      </w:r>
      <w:r>
        <w:rPr>
          <w:rFonts w:hint="eastAsia" w:ascii="仿宋" w:eastAsia="仿宋"/>
          <w:sz w:val="32"/>
          <w:szCs w:val="32"/>
        </w:rPr>
        <w:t>万元，占</w:t>
      </w:r>
      <w:r>
        <w:rPr>
          <w:rFonts w:ascii="仿宋" w:eastAsia="仿宋"/>
          <w:sz w:val="32"/>
          <w:szCs w:val="32"/>
        </w:rPr>
        <w:t>25.37%</w:t>
      </w:r>
      <w:r>
        <w:rPr>
          <w:rFonts w:hint="eastAsia" w:ascii="仿宋" w:eastAsia="仿宋"/>
          <w:sz w:val="32"/>
          <w:szCs w:val="32"/>
        </w:rPr>
        <w:t>。</w:t>
      </w:r>
      <w:bookmarkEnd w:id="100"/>
      <w:bookmarkEnd w:id="101"/>
      <w:bookmarkEnd w:id="102"/>
      <w:bookmarkEnd w:id="103"/>
      <w:bookmarkEnd w:id="104"/>
      <w:bookmarkEnd w:id="105"/>
      <w:bookmarkEnd w:id="106"/>
      <w:bookmarkEnd w:id="107"/>
    </w:p>
    <w:p w14:paraId="6FEF4359">
      <w:pPr>
        <w:spacing w:line="600" w:lineRule="exact"/>
        <w:ind w:firstLine="640" w:firstLineChars="200"/>
        <w:rPr>
          <w:rFonts w:ascii="仿宋" w:eastAsia="仿宋"/>
          <w:sz w:val="32"/>
          <w:szCs w:val="32"/>
        </w:rPr>
      </w:pPr>
    </w:p>
    <w:p w14:paraId="623CFA66">
      <w:pPr>
        <w:spacing w:line="600" w:lineRule="exact"/>
        <w:ind w:firstLine="640" w:firstLineChars="200"/>
        <w:rPr>
          <w:rFonts w:ascii="仿宋" w:eastAsia="仿宋"/>
          <w:sz w:val="32"/>
          <w:szCs w:val="32"/>
        </w:rPr>
      </w:pPr>
    </w:p>
    <w:p w14:paraId="4636C6FD">
      <w:pPr>
        <w:pStyle w:val="7"/>
        <w:ind w:firstLine="643"/>
        <w:jc w:val="center"/>
      </w:pPr>
      <w:r>
        <w:drawing>
          <wp:inline distT="0" distB="0" distL="67945" distR="67945">
            <wp:extent cx="4571365" cy="2742565"/>
            <wp:effectExtent l="0" t="0" r="0" b="0"/>
            <wp:docPr id="4"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pic:cNvPicPr>
                      <a:picLocks noChangeAspect="1"/>
                    </pic:cNvPicPr>
                  </pic:nvPicPr>
                  <pic:blipFill>
                    <a:blip r:embed="rId7" cstate="print"/>
                    <a:stretch>
                      <a:fillRect/>
                    </a:stretch>
                  </pic:blipFill>
                  <pic:spPr>
                    <a:xfrm>
                      <a:off x="0" y="0"/>
                      <a:ext cx="4571930" cy="2743158"/>
                    </a:xfrm>
                    <a:prstGeom prst="rect">
                      <a:avLst/>
                    </a:prstGeom>
                    <a:noFill/>
                    <a:ln w="9525" cap="flat" cmpd="sng">
                      <a:noFill/>
                      <a:prstDash val="solid"/>
                      <a:miter/>
                    </a:ln>
                  </pic:spPr>
                </pic:pic>
              </a:graphicData>
            </a:graphic>
          </wp:inline>
        </w:drawing>
      </w:r>
    </w:p>
    <w:p w14:paraId="4EDAB2AA">
      <w:pPr>
        <w:pStyle w:val="25"/>
        <w:spacing w:line="600" w:lineRule="exact"/>
        <w:ind w:firstLine="643"/>
        <w:outlineLvl w:val="1"/>
        <w:rPr>
          <w:rStyle w:val="20"/>
          <w:rFonts w:ascii="黑体" w:eastAsia="黑体"/>
          <w:b w:val="0"/>
        </w:rPr>
      </w:pPr>
      <w:bookmarkStart w:id="108" w:name="_Toc21382"/>
      <w:bookmarkStart w:id="109" w:name="_Toc985"/>
      <w:bookmarkStart w:id="110" w:name="_Toc15377207"/>
      <w:bookmarkStart w:id="111" w:name="_Toc9188"/>
      <w:bookmarkStart w:id="112" w:name="_Toc2472"/>
      <w:bookmarkStart w:id="113" w:name="_Toc28286"/>
      <w:bookmarkStart w:id="114" w:name="_Toc28670"/>
      <w:bookmarkStart w:id="115" w:name="_Toc15396605"/>
      <w:bookmarkStart w:id="116" w:name="_Toc3935"/>
      <w:r>
        <w:rPr>
          <w:rFonts w:ascii="黑体" w:eastAsia="黑体"/>
          <w:b/>
          <w:bCs/>
          <w:sz w:val="32"/>
          <w:szCs w:val="32"/>
        </w:rPr>
        <w:t>三、</w:t>
      </w:r>
      <w:r>
        <w:rPr>
          <w:rFonts w:hint="eastAsia" w:ascii="黑体" w:eastAsia="黑体"/>
          <w:sz w:val="32"/>
          <w:szCs w:val="32"/>
        </w:rPr>
        <w:t>支</w:t>
      </w:r>
      <w:r>
        <w:rPr>
          <w:rStyle w:val="20"/>
          <w:rFonts w:hint="eastAsia" w:ascii="黑体" w:eastAsia="黑体"/>
          <w:b w:val="0"/>
        </w:rPr>
        <w:t>出决算情况说明</w:t>
      </w:r>
      <w:bookmarkEnd w:id="108"/>
      <w:bookmarkEnd w:id="109"/>
      <w:bookmarkEnd w:id="110"/>
      <w:bookmarkEnd w:id="111"/>
      <w:bookmarkEnd w:id="112"/>
      <w:bookmarkEnd w:id="113"/>
      <w:bookmarkEnd w:id="114"/>
      <w:bookmarkEnd w:id="115"/>
      <w:bookmarkEnd w:id="116"/>
    </w:p>
    <w:p w14:paraId="30E6F644">
      <w:pPr>
        <w:spacing w:line="600" w:lineRule="exact"/>
        <w:ind w:firstLine="640" w:firstLineChars="200"/>
        <w:outlineLvl w:val="1"/>
        <w:rPr>
          <w:rFonts w:ascii="仿宋" w:eastAsia="仿宋"/>
          <w:b/>
          <w:sz w:val="32"/>
          <w:szCs w:val="32"/>
        </w:rPr>
      </w:pPr>
      <w:bookmarkStart w:id="117" w:name="_Toc1600"/>
      <w:bookmarkStart w:id="118" w:name="_Toc8276"/>
      <w:bookmarkStart w:id="119" w:name="_Toc6136"/>
      <w:bookmarkStart w:id="120" w:name="_Toc30249"/>
      <w:bookmarkStart w:id="121" w:name="_Toc5820"/>
      <w:bookmarkStart w:id="122" w:name="_Toc28784"/>
      <w:bookmarkStart w:id="123" w:name="_Toc17523"/>
      <w:bookmarkStart w:id="124" w:name="_Toc21941"/>
      <w:r>
        <w:rPr>
          <w:rFonts w:ascii="仿宋" w:eastAsia="仿宋"/>
          <w:sz w:val="32"/>
          <w:szCs w:val="32"/>
        </w:rPr>
        <w:t>20</w:t>
      </w:r>
      <w:r>
        <w:rPr>
          <w:rFonts w:hint="eastAsia" w:ascii="仿宋" w:eastAsia="仿宋"/>
          <w:sz w:val="32"/>
          <w:szCs w:val="32"/>
        </w:rPr>
        <w:t>21年本年支出合计</w:t>
      </w:r>
      <w:r>
        <w:rPr>
          <w:rFonts w:ascii="仿宋" w:eastAsia="仿宋"/>
          <w:sz w:val="32"/>
          <w:szCs w:val="32"/>
        </w:rPr>
        <w:t>147.79</w:t>
      </w:r>
      <w:r>
        <w:rPr>
          <w:rFonts w:hint="eastAsia" w:ascii="仿宋" w:eastAsia="仿宋"/>
          <w:sz w:val="32"/>
          <w:szCs w:val="32"/>
        </w:rPr>
        <w:t>万元，其中：基本支出</w:t>
      </w:r>
      <w:r>
        <w:rPr>
          <w:rFonts w:ascii="仿宋" w:eastAsia="仿宋"/>
          <w:sz w:val="32"/>
          <w:szCs w:val="32"/>
        </w:rPr>
        <w:t>70.82</w:t>
      </w:r>
      <w:r>
        <w:rPr>
          <w:rFonts w:hint="eastAsia" w:ascii="仿宋" w:eastAsia="仿宋"/>
          <w:sz w:val="32"/>
          <w:szCs w:val="32"/>
        </w:rPr>
        <w:t>万元，占</w:t>
      </w:r>
      <w:r>
        <w:rPr>
          <w:rFonts w:ascii="仿宋" w:eastAsia="仿宋"/>
          <w:sz w:val="32"/>
          <w:szCs w:val="32"/>
        </w:rPr>
        <w:t>47.92%</w:t>
      </w:r>
      <w:r>
        <w:rPr>
          <w:rFonts w:hint="eastAsia" w:ascii="仿宋" w:eastAsia="仿宋"/>
          <w:sz w:val="32"/>
          <w:szCs w:val="32"/>
        </w:rPr>
        <w:t>；项目支出</w:t>
      </w:r>
      <w:r>
        <w:rPr>
          <w:rFonts w:ascii="仿宋" w:eastAsia="仿宋"/>
          <w:sz w:val="32"/>
          <w:szCs w:val="32"/>
        </w:rPr>
        <w:t>76.97</w:t>
      </w:r>
      <w:r>
        <w:rPr>
          <w:rFonts w:hint="eastAsia" w:ascii="仿宋" w:eastAsia="仿宋"/>
          <w:sz w:val="32"/>
          <w:szCs w:val="32"/>
        </w:rPr>
        <w:t>万元，占</w:t>
      </w:r>
      <w:r>
        <w:rPr>
          <w:rFonts w:ascii="仿宋" w:eastAsia="仿宋"/>
          <w:sz w:val="32"/>
          <w:szCs w:val="32"/>
        </w:rPr>
        <w:t>52.08%。</w:t>
      </w:r>
      <w:bookmarkEnd w:id="117"/>
      <w:bookmarkEnd w:id="118"/>
      <w:bookmarkEnd w:id="119"/>
      <w:bookmarkEnd w:id="120"/>
      <w:bookmarkEnd w:id="121"/>
      <w:bookmarkEnd w:id="122"/>
      <w:bookmarkEnd w:id="123"/>
      <w:bookmarkEnd w:id="124"/>
    </w:p>
    <w:p w14:paraId="455FA760">
      <w:pPr>
        <w:spacing w:line="600" w:lineRule="exact"/>
        <w:ind w:firstLine="640"/>
        <w:rPr>
          <w:rFonts w:ascii="仿宋" w:eastAsia="仿宋"/>
          <w:sz w:val="32"/>
          <w:szCs w:val="32"/>
          <w:shd w:val="pct10" w:color="auto" w:fill="FFFFFF"/>
        </w:rPr>
      </w:pPr>
    </w:p>
    <w:p w14:paraId="625454C9">
      <w:pPr>
        <w:spacing w:line="600" w:lineRule="exact"/>
        <w:ind w:firstLine="640" w:firstLineChars="200"/>
        <w:rPr>
          <w:rFonts w:ascii="仿宋" w:eastAsia="仿宋"/>
          <w:sz w:val="32"/>
          <w:szCs w:val="32"/>
        </w:rPr>
      </w:pPr>
    </w:p>
    <w:p w14:paraId="4F8E4057">
      <w:pPr>
        <w:pStyle w:val="7"/>
        <w:ind w:firstLine="643"/>
        <w:jc w:val="center"/>
      </w:pPr>
      <w:r>
        <w:drawing>
          <wp:inline distT="0" distB="0" distL="67945" distR="67945">
            <wp:extent cx="4571365" cy="2742565"/>
            <wp:effectExtent l="0" t="0" r="0" b="0"/>
            <wp:docPr id="7"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pic:cNvPicPr>
                      <a:picLocks noChangeAspect="1"/>
                    </pic:cNvPicPr>
                  </pic:nvPicPr>
                  <pic:blipFill>
                    <a:blip r:embed="rId8" cstate="print"/>
                    <a:stretch>
                      <a:fillRect/>
                    </a:stretch>
                  </pic:blipFill>
                  <pic:spPr>
                    <a:xfrm>
                      <a:off x="0" y="0"/>
                      <a:ext cx="4571930" cy="2743158"/>
                    </a:xfrm>
                    <a:prstGeom prst="rect">
                      <a:avLst/>
                    </a:prstGeom>
                    <a:noFill/>
                    <a:ln w="9525" cap="flat" cmpd="sng">
                      <a:noFill/>
                      <a:prstDash val="solid"/>
                      <a:miter/>
                    </a:ln>
                  </pic:spPr>
                </pic:pic>
              </a:graphicData>
            </a:graphic>
          </wp:inline>
        </w:drawing>
      </w:r>
    </w:p>
    <w:p w14:paraId="27EBF612">
      <w:pPr>
        <w:spacing w:line="600" w:lineRule="exact"/>
        <w:ind w:firstLine="480" w:firstLineChars="150"/>
        <w:outlineLvl w:val="1"/>
        <w:rPr>
          <w:rStyle w:val="20"/>
          <w:rFonts w:ascii="黑体" w:eastAsia="黑体"/>
          <w:b w:val="0"/>
        </w:rPr>
      </w:pPr>
      <w:bookmarkStart w:id="125" w:name="_Toc8440"/>
      <w:bookmarkStart w:id="126" w:name="_Toc15396606"/>
      <w:bookmarkStart w:id="127" w:name="_Toc29334"/>
      <w:bookmarkStart w:id="128" w:name="_Toc8586"/>
      <w:bookmarkStart w:id="129" w:name="_Toc15377208"/>
      <w:bookmarkStart w:id="130" w:name="_Toc19598"/>
      <w:bookmarkStart w:id="131" w:name="_Toc26677"/>
      <w:bookmarkStart w:id="132" w:name="_Toc19538"/>
      <w:bookmarkStart w:id="133" w:name="_Toc9542"/>
      <w:r>
        <w:rPr>
          <w:rFonts w:hint="eastAsia" w:ascii="黑体" w:eastAsia="黑体"/>
          <w:sz w:val="32"/>
          <w:szCs w:val="32"/>
        </w:rPr>
        <w:t>四、财</w:t>
      </w:r>
      <w:r>
        <w:rPr>
          <w:rStyle w:val="20"/>
          <w:rFonts w:hint="eastAsia" w:ascii="黑体" w:eastAsia="黑体"/>
          <w:b w:val="0"/>
        </w:rPr>
        <w:t>政拨款收入支出决算总体情况说明</w:t>
      </w:r>
      <w:bookmarkEnd w:id="125"/>
      <w:bookmarkEnd w:id="126"/>
      <w:bookmarkEnd w:id="127"/>
      <w:bookmarkEnd w:id="128"/>
      <w:bookmarkEnd w:id="129"/>
      <w:bookmarkEnd w:id="130"/>
      <w:bookmarkEnd w:id="131"/>
      <w:bookmarkEnd w:id="132"/>
      <w:bookmarkEnd w:id="133"/>
    </w:p>
    <w:p w14:paraId="6574F821">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21年财政拨款收、支总计</w:t>
      </w:r>
      <w:r>
        <w:rPr>
          <w:rFonts w:ascii="仿宋" w:eastAsia="仿宋"/>
          <w:sz w:val="32"/>
          <w:szCs w:val="32"/>
        </w:rPr>
        <w:t>147.79</w:t>
      </w:r>
      <w:r>
        <w:rPr>
          <w:rFonts w:hint="eastAsia" w:ascii="仿宋" w:eastAsia="仿宋"/>
          <w:sz w:val="32"/>
          <w:szCs w:val="32"/>
        </w:rPr>
        <w:t>万元。与</w:t>
      </w:r>
      <w:r>
        <w:rPr>
          <w:rFonts w:ascii="仿宋" w:eastAsia="仿宋"/>
          <w:sz w:val="32"/>
          <w:szCs w:val="32"/>
        </w:rPr>
        <w:t>20</w:t>
      </w:r>
      <w:r>
        <w:rPr>
          <w:rFonts w:hint="eastAsia" w:ascii="仿宋" w:eastAsia="仿宋"/>
          <w:sz w:val="32"/>
          <w:szCs w:val="32"/>
        </w:rPr>
        <w:t>20年相比，财政拨款收、支总计各减少</w:t>
      </w:r>
      <w:r>
        <w:rPr>
          <w:rFonts w:ascii="仿宋" w:eastAsia="仿宋"/>
          <w:sz w:val="32"/>
          <w:szCs w:val="32"/>
        </w:rPr>
        <w:t>18.36</w:t>
      </w:r>
      <w:r>
        <w:rPr>
          <w:rFonts w:hint="eastAsia" w:ascii="仿宋" w:eastAsia="仿宋"/>
          <w:sz w:val="32"/>
          <w:szCs w:val="32"/>
        </w:rPr>
        <w:t>万元，下降11.05</w:t>
      </w:r>
      <w:r>
        <w:rPr>
          <w:rFonts w:ascii="仿宋" w:eastAsia="仿宋"/>
          <w:sz w:val="32"/>
          <w:szCs w:val="32"/>
        </w:rPr>
        <w:t>%</w:t>
      </w:r>
      <w:r>
        <w:rPr>
          <w:rFonts w:hint="eastAsia" w:ascii="仿宋" w:eastAsia="仿宋"/>
          <w:sz w:val="32"/>
          <w:szCs w:val="32"/>
        </w:rPr>
        <w:t>。主要变动原因是</w:t>
      </w:r>
      <w:r>
        <w:rPr>
          <w:rFonts w:ascii="仿宋" w:eastAsia="仿宋"/>
          <w:sz w:val="32"/>
          <w:szCs w:val="32"/>
        </w:rPr>
        <w:t>2021年无抗疫特别国债资金。</w:t>
      </w:r>
    </w:p>
    <w:p w14:paraId="0844419E">
      <w:pPr>
        <w:spacing w:line="600" w:lineRule="exact"/>
        <w:rPr>
          <w:rFonts w:ascii="仿宋" w:eastAsia="仿宋"/>
          <w:sz w:val="32"/>
          <w:szCs w:val="32"/>
        </w:rPr>
      </w:pPr>
    </w:p>
    <w:p w14:paraId="4C2946FD">
      <w:pPr>
        <w:spacing w:line="600" w:lineRule="exact"/>
        <w:ind w:firstLine="640"/>
        <w:rPr>
          <w:rFonts w:ascii="仿宋" w:eastAsia="仿宋"/>
          <w:sz w:val="32"/>
          <w:szCs w:val="32"/>
        </w:rPr>
      </w:pPr>
    </w:p>
    <w:p w14:paraId="4AB76FE4">
      <w:pPr>
        <w:pStyle w:val="7"/>
        <w:ind w:firstLine="643"/>
        <w:jc w:val="center"/>
      </w:pPr>
      <w:r>
        <w:drawing>
          <wp:inline distT="0" distB="0" distL="67945" distR="67945">
            <wp:extent cx="4571365" cy="2742565"/>
            <wp:effectExtent l="0" t="0" r="0" b="0"/>
            <wp:docPr id="10"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pic:cNvPicPr>
                      <a:picLocks noChangeAspect="1"/>
                    </pic:cNvPicPr>
                  </pic:nvPicPr>
                  <pic:blipFill>
                    <a:blip r:embed="rId9" cstate="print"/>
                    <a:stretch>
                      <a:fillRect/>
                    </a:stretch>
                  </pic:blipFill>
                  <pic:spPr>
                    <a:xfrm>
                      <a:off x="0" y="0"/>
                      <a:ext cx="4571930" cy="2743158"/>
                    </a:xfrm>
                    <a:prstGeom prst="rect">
                      <a:avLst/>
                    </a:prstGeom>
                    <a:noFill/>
                    <a:ln w="9525" cap="flat" cmpd="sng">
                      <a:noFill/>
                      <a:prstDash val="solid"/>
                      <a:miter/>
                    </a:ln>
                  </pic:spPr>
                </pic:pic>
              </a:graphicData>
            </a:graphic>
          </wp:inline>
        </w:drawing>
      </w:r>
    </w:p>
    <w:p w14:paraId="54938F79">
      <w:pPr>
        <w:spacing w:line="600" w:lineRule="exact"/>
        <w:ind w:firstLine="640" w:firstLineChars="200"/>
        <w:outlineLvl w:val="1"/>
        <w:rPr>
          <w:rStyle w:val="20"/>
          <w:rFonts w:ascii="黑体" w:eastAsia="黑体"/>
          <w:b w:val="0"/>
        </w:rPr>
      </w:pPr>
      <w:bookmarkStart w:id="134" w:name="_Toc31956"/>
      <w:bookmarkStart w:id="135" w:name="_Toc15396607"/>
      <w:bookmarkStart w:id="136" w:name="_Toc8482"/>
      <w:bookmarkStart w:id="137" w:name="_Toc15377209"/>
      <w:bookmarkStart w:id="138" w:name="_Toc2970"/>
      <w:bookmarkStart w:id="139" w:name="_Toc27917"/>
      <w:bookmarkStart w:id="140" w:name="_Toc14191"/>
      <w:bookmarkStart w:id="141" w:name="_Toc16812"/>
      <w:bookmarkStart w:id="142" w:name="_Toc3565"/>
      <w:r>
        <w:rPr>
          <w:rFonts w:hint="eastAsia" w:ascii="黑体" w:eastAsia="黑体"/>
          <w:sz w:val="32"/>
          <w:szCs w:val="32"/>
        </w:rPr>
        <w:t>五、</w:t>
      </w:r>
      <w:r>
        <w:rPr>
          <w:rFonts w:hint="eastAsia" w:ascii="黑体" w:eastAsia="黑体"/>
          <w:b/>
          <w:sz w:val="32"/>
          <w:szCs w:val="32"/>
        </w:rPr>
        <w:t>一</w:t>
      </w:r>
      <w:r>
        <w:rPr>
          <w:rStyle w:val="20"/>
          <w:rFonts w:hint="eastAsia" w:ascii="黑体" w:eastAsia="黑体"/>
          <w:b w:val="0"/>
        </w:rPr>
        <w:t>般公共预算财政拨款支出决算情况说明</w:t>
      </w:r>
      <w:bookmarkEnd w:id="134"/>
      <w:bookmarkEnd w:id="135"/>
      <w:bookmarkEnd w:id="136"/>
      <w:bookmarkEnd w:id="137"/>
      <w:bookmarkEnd w:id="138"/>
      <w:bookmarkEnd w:id="139"/>
      <w:bookmarkEnd w:id="140"/>
      <w:bookmarkEnd w:id="141"/>
      <w:bookmarkEnd w:id="142"/>
    </w:p>
    <w:p w14:paraId="75CD0A57">
      <w:pPr>
        <w:spacing w:line="600" w:lineRule="exact"/>
        <w:ind w:firstLine="643" w:firstLineChars="200"/>
        <w:outlineLvl w:val="2"/>
        <w:rPr>
          <w:rFonts w:ascii="仿宋" w:eastAsia="仿宋"/>
          <w:b/>
          <w:sz w:val="32"/>
          <w:szCs w:val="32"/>
        </w:rPr>
      </w:pPr>
      <w:bookmarkStart w:id="143" w:name="_Toc15377210"/>
      <w:r>
        <w:rPr>
          <w:rFonts w:hint="eastAsia" w:ascii="仿宋" w:eastAsia="仿宋"/>
          <w:b/>
          <w:sz w:val="32"/>
          <w:szCs w:val="32"/>
        </w:rPr>
        <w:t>（一）一般公共预算财政拨款支出决算总体情况</w:t>
      </w:r>
      <w:bookmarkEnd w:id="143"/>
    </w:p>
    <w:p w14:paraId="08F1B54E">
      <w:pPr>
        <w:spacing w:line="600" w:lineRule="exact"/>
        <w:ind w:firstLine="640" w:firstLineChars="200"/>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21年一般公共预算财政拨款支出</w:t>
      </w:r>
      <w:r>
        <w:rPr>
          <w:rFonts w:ascii="仿宋" w:eastAsia="仿宋"/>
          <w:sz w:val="32"/>
          <w:szCs w:val="32"/>
        </w:rPr>
        <w:t>147.79</w:t>
      </w:r>
      <w:r>
        <w:rPr>
          <w:rFonts w:hint="eastAsia" w:ascii="仿宋" w:eastAsia="仿宋"/>
          <w:sz w:val="32"/>
          <w:szCs w:val="32"/>
        </w:rPr>
        <w:t>万元，占本年支出合计的</w:t>
      </w:r>
      <w:r>
        <w:rPr>
          <w:rFonts w:ascii="仿宋" w:eastAsia="仿宋"/>
          <w:sz w:val="32"/>
          <w:szCs w:val="32"/>
        </w:rPr>
        <w:t>74.63%</w:t>
      </w:r>
      <w:r>
        <w:rPr>
          <w:rFonts w:hint="eastAsia" w:ascii="仿宋" w:eastAsia="仿宋"/>
          <w:sz w:val="32"/>
          <w:szCs w:val="32"/>
        </w:rPr>
        <w:t>。与</w:t>
      </w:r>
      <w:r>
        <w:rPr>
          <w:rFonts w:ascii="仿宋" w:eastAsia="仿宋"/>
          <w:sz w:val="32"/>
          <w:szCs w:val="32"/>
        </w:rPr>
        <w:t>20</w:t>
      </w:r>
      <w:r>
        <w:rPr>
          <w:rFonts w:hint="eastAsia" w:ascii="仿宋" w:eastAsia="仿宋"/>
          <w:sz w:val="32"/>
          <w:szCs w:val="32"/>
        </w:rPr>
        <w:t>20年相比，一般公共预算财政拨款支出减少</w:t>
      </w:r>
      <w:r>
        <w:rPr>
          <w:rFonts w:ascii="仿宋" w:eastAsia="仿宋"/>
          <w:sz w:val="32"/>
          <w:szCs w:val="32"/>
        </w:rPr>
        <w:t>18.36</w:t>
      </w:r>
      <w:r>
        <w:rPr>
          <w:rFonts w:hint="eastAsia" w:ascii="仿宋" w:eastAsia="仿宋"/>
          <w:sz w:val="32"/>
          <w:szCs w:val="32"/>
        </w:rPr>
        <w:t>万元，下降11.05</w:t>
      </w:r>
      <w:r>
        <w:rPr>
          <w:rFonts w:ascii="仿宋" w:eastAsia="仿宋"/>
          <w:sz w:val="32"/>
          <w:szCs w:val="32"/>
        </w:rPr>
        <w:t>%</w:t>
      </w:r>
      <w:r>
        <w:rPr>
          <w:rFonts w:hint="eastAsia" w:ascii="仿宋" w:eastAsia="仿宋"/>
          <w:sz w:val="32"/>
          <w:szCs w:val="32"/>
        </w:rPr>
        <w:t>。主要变动原因是</w:t>
      </w:r>
      <w:r>
        <w:rPr>
          <w:rFonts w:ascii="仿宋" w:eastAsia="仿宋"/>
          <w:sz w:val="32"/>
          <w:szCs w:val="32"/>
        </w:rPr>
        <w:t>2021年无抗疫特别国债资金。</w:t>
      </w:r>
    </w:p>
    <w:p w14:paraId="4D0FED3B">
      <w:pPr>
        <w:spacing w:line="600" w:lineRule="exact"/>
        <w:ind w:firstLine="643" w:firstLineChars="200"/>
        <w:rPr>
          <w:rFonts w:ascii="仿宋" w:eastAsia="仿宋"/>
          <w:sz w:val="32"/>
          <w:szCs w:val="32"/>
        </w:rPr>
      </w:pPr>
      <w:r>
        <w:rPr>
          <w:rFonts w:ascii="仿宋" w:eastAsia="仿宋"/>
          <w:b/>
          <w:sz w:val="32"/>
          <w:szCs w:val="32"/>
        </w:rPr>
        <w:drawing>
          <wp:anchor distT="0" distB="0" distL="67945" distR="67945" simplePos="0" relativeHeight="251659264" behindDoc="0" locked="0" layoutInCell="1" allowOverlap="1">
            <wp:simplePos x="0" y="0"/>
            <wp:positionH relativeFrom="column">
              <wp:posOffset>530225</wp:posOffset>
            </wp:positionH>
            <wp:positionV relativeFrom="paragraph">
              <wp:posOffset>132080</wp:posOffset>
            </wp:positionV>
            <wp:extent cx="4572000" cy="2743200"/>
            <wp:effectExtent l="0" t="0" r="0" b="0"/>
            <wp:wrapNone/>
            <wp:docPr id="13"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pic:cNvPicPr>
                      <a:picLocks noChangeAspect="1"/>
                    </pic:cNvPicPr>
                  </pic:nvPicPr>
                  <pic:blipFill>
                    <a:blip r:embed="rId10" cstate="print"/>
                    <a:stretch>
                      <a:fillRect/>
                    </a:stretch>
                  </pic:blipFill>
                  <pic:spPr>
                    <a:xfrm>
                      <a:off x="0" y="0"/>
                      <a:ext cx="4571930" cy="2743157"/>
                    </a:xfrm>
                    <a:prstGeom prst="rect">
                      <a:avLst/>
                    </a:prstGeom>
                    <a:noFill/>
                    <a:ln w="9525" cap="flat" cmpd="sng">
                      <a:noFill/>
                      <a:prstDash val="solid"/>
                      <a:miter/>
                    </a:ln>
                  </pic:spPr>
                </pic:pic>
              </a:graphicData>
            </a:graphic>
          </wp:anchor>
        </w:drawing>
      </w:r>
    </w:p>
    <w:p w14:paraId="732966C0">
      <w:pPr>
        <w:spacing w:line="600" w:lineRule="exact"/>
        <w:rPr>
          <w:rFonts w:ascii="仿宋" w:eastAsia="仿宋"/>
          <w:sz w:val="32"/>
          <w:szCs w:val="32"/>
        </w:rPr>
      </w:pPr>
      <w:bookmarkStart w:id="144" w:name="_Toc15377211"/>
    </w:p>
    <w:p w14:paraId="75E3A88E">
      <w:pPr>
        <w:spacing w:line="600" w:lineRule="exact"/>
        <w:ind w:firstLine="640" w:firstLineChars="200"/>
        <w:rPr>
          <w:rFonts w:ascii="仿宋" w:eastAsia="仿宋"/>
          <w:sz w:val="32"/>
          <w:szCs w:val="32"/>
        </w:rPr>
      </w:pPr>
    </w:p>
    <w:p w14:paraId="294B830A">
      <w:pPr>
        <w:spacing w:line="600" w:lineRule="exact"/>
        <w:ind w:firstLine="640" w:firstLineChars="200"/>
        <w:rPr>
          <w:rFonts w:ascii="仿宋" w:eastAsia="仿宋"/>
          <w:sz w:val="32"/>
          <w:szCs w:val="32"/>
        </w:rPr>
      </w:pPr>
    </w:p>
    <w:p w14:paraId="16468245">
      <w:pPr>
        <w:spacing w:line="600" w:lineRule="exact"/>
        <w:ind w:firstLine="640" w:firstLineChars="200"/>
        <w:rPr>
          <w:rFonts w:ascii="仿宋" w:eastAsia="仿宋"/>
          <w:sz w:val="32"/>
          <w:szCs w:val="32"/>
        </w:rPr>
      </w:pPr>
    </w:p>
    <w:p w14:paraId="38EEC871">
      <w:pPr>
        <w:spacing w:line="600" w:lineRule="exact"/>
        <w:ind w:firstLine="643" w:firstLineChars="200"/>
        <w:outlineLvl w:val="2"/>
        <w:rPr>
          <w:rFonts w:ascii="仿宋" w:eastAsia="仿宋"/>
          <w:b/>
          <w:sz w:val="32"/>
          <w:szCs w:val="32"/>
        </w:rPr>
      </w:pPr>
      <w:r>
        <w:rPr>
          <w:rFonts w:hint="eastAsia" w:ascii="仿宋" w:eastAsia="仿宋"/>
          <w:b/>
          <w:sz w:val="32"/>
          <w:szCs w:val="32"/>
        </w:rPr>
        <w:t>（二）一般公共预算财政拨款支出决算结构情况</w:t>
      </w:r>
      <w:bookmarkEnd w:id="144"/>
    </w:p>
    <w:p w14:paraId="47E64863">
      <w:pPr>
        <w:spacing w:line="600" w:lineRule="exact"/>
        <w:ind w:firstLine="640"/>
        <w:rPr>
          <w:rFonts w:ascii="仿宋" w:eastAsia="仿宋"/>
          <w:b/>
          <w:sz w:val="32"/>
          <w:szCs w:val="32"/>
        </w:rPr>
      </w:pPr>
      <w:r>
        <w:rPr>
          <w:rFonts w:ascii="仿宋" w:eastAsia="仿宋"/>
          <w:sz w:val="32"/>
          <w:szCs w:val="32"/>
        </w:rPr>
        <w:t>20</w:t>
      </w:r>
      <w:r>
        <w:rPr>
          <w:rFonts w:hint="eastAsia" w:ascii="仿宋" w:eastAsia="仿宋"/>
          <w:sz w:val="32"/>
          <w:szCs w:val="32"/>
        </w:rPr>
        <w:t>21年一般公共预算财政拨款支出</w:t>
      </w:r>
      <w:r>
        <w:rPr>
          <w:rFonts w:ascii="仿宋" w:eastAsia="仿宋"/>
          <w:sz w:val="32"/>
          <w:szCs w:val="32"/>
        </w:rPr>
        <w:t>147.79</w:t>
      </w:r>
      <w:r>
        <w:rPr>
          <w:rFonts w:hint="eastAsia" w:ascii="仿宋" w:eastAsia="仿宋"/>
          <w:sz w:val="32"/>
          <w:szCs w:val="32"/>
        </w:rPr>
        <w:t>万元，主要用于以下方面</w:t>
      </w:r>
      <w:r>
        <w:rPr>
          <w:rFonts w:ascii="仿宋" w:eastAsia="仿宋"/>
          <w:sz w:val="32"/>
          <w:szCs w:val="32"/>
        </w:rPr>
        <w:t>:</w:t>
      </w:r>
      <w:r>
        <w:rPr>
          <w:rFonts w:hint="eastAsia" w:ascii="仿宋" w:eastAsia="仿宋"/>
          <w:b/>
          <w:sz w:val="32"/>
          <w:szCs w:val="32"/>
        </w:rPr>
        <w:t>社会保障和就业（类）</w:t>
      </w:r>
      <w:r>
        <w:rPr>
          <w:rFonts w:hint="eastAsia" w:ascii="仿宋" w:eastAsia="仿宋"/>
          <w:sz w:val="32"/>
          <w:szCs w:val="32"/>
        </w:rPr>
        <w:t>支出</w:t>
      </w:r>
      <w:r>
        <w:rPr>
          <w:rFonts w:ascii="仿宋" w:eastAsia="仿宋"/>
          <w:sz w:val="32"/>
          <w:szCs w:val="32"/>
        </w:rPr>
        <w:t>10.17</w:t>
      </w:r>
      <w:r>
        <w:rPr>
          <w:rFonts w:hint="eastAsia" w:ascii="仿宋" w:eastAsia="仿宋"/>
          <w:sz w:val="32"/>
          <w:szCs w:val="32"/>
        </w:rPr>
        <w:t>万元，占</w:t>
      </w:r>
      <w:r>
        <w:rPr>
          <w:rFonts w:ascii="仿宋" w:eastAsia="仿宋"/>
          <w:sz w:val="32"/>
          <w:szCs w:val="32"/>
        </w:rPr>
        <w:t>6.88%，卫生健康支出129.72万元，占87.77%，住房保障支出7.9万元，占5.35%。</w:t>
      </w:r>
    </w:p>
    <w:p w14:paraId="22044292">
      <w:pPr>
        <w:spacing w:line="600" w:lineRule="exact"/>
        <w:ind w:firstLine="640"/>
        <w:rPr>
          <w:rFonts w:ascii="仿宋" w:eastAsia="仿宋"/>
          <w:sz w:val="32"/>
          <w:szCs w:val="32"/>
        </w:rPr>
      </w:pPr>
      <w:r>
        <w:rPr>
          <w:rFonts w:ascii="仿宋" w:eastAsia="仿宋"/>
          <w:b/>
          <w:sz w:val="32"/>
          <w:szCs w:val="32"/>
        </w:rPr>
        <w:drawing>
          <wp:anchor distT="0" distB="0" distL="67945" distR="67945" simplePos="0" relativeHeight="251660288" behindDoc="0" locked="0" layoutInCell="1" allowOverlap="1">
            <wp:simplePos x="0" y="0"/>
            <wp:positionH relativeFrom="column">
              <wp:posOffset>353060</wp:posOffset>
            </wp:positionH>
            <wp:positionV relativeFrom="paragraph">
              <wp:posOffset>164465</wp:posOffset>
            </wp:positionV>
            <wp:extent cx="4572000" cy="2743200"/>
            <wp:effectExtent l="0" t="0" r="0" b="0"/>
            <wp:wrapNone/>
            <wp:docPr id="16"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pic:cNvPicPr>
                      <a:picLocks noChangeAspect="1"/>
                    </pic:cNvPicPr>
                  </pic:nvPicPr>
                  <pic:blipFill>
                    <a:blip r:embed="rId11" cstate="print"/>
                    <a:stretch>
                      <a:fillRect/>
                    </a:stretch>
                  </pic:blipFill>
                  <pic:spPr>
                    <a:xfrm>
                      <a:off x="0" y="0"/>
                      <a:ext cx="4571930" cy="2743158"/>
                    </a:xfrm>
                    <a:prstGeom prst="rect">
                      <a:avLst/>
                    </a:prstGeom>
                    <a:noFill/>
                    <a:ln w="9525" cap="flat" cmpd="sng">
                      <a:noFill/>
                      <a:prstDash val="solid"/>
                      <a:miter/>
                    </a:ln>
                  </pic:spPr>
                </pic:pic>
              </a:graphicData>
            </a:graphic>
          </wp:anchor>
        </w:drawing>
      </w:r>
    </w:p>
    <w:p w14:paraId="698990FF">
      <w:pPr>
        <w:spacing w:line="600" w:lineRule="exact"/>
        <w:ind w:firstLine="640" w:firstLineChars="200"/>
        <w:rPr>
          <w:rFonts w:ascii="仿宋" w:eastAsia="仿宋"/>
          <w:sz w:val="32"/>
          <w:szCs w:val="32"/>
        </w:rPr>
      </w:pPr>
    </w:p>
    <w:p w14:paraId="736F73F2">
      <w:pPr>
        <w:spacing w:line="600" w:lineRule="exact"/>
        <w:ind w:firstLine="643" w:firstLineChars="200"/>
        <w:rPr>
          <w:rFonts w:ascii="仿宋" w:eastAsia="仿宋"/>
          <w:b/>
          <w:sz w:val="32"/>
          <w:szCs w:val="32"/>
        </w:rPr>
      </w:pPr>
      <w:bookmarkStart w:id="145" w:name="_Toc15377212"/>
    </w:p>
    <w:p w14:paraId="1D6A6F4E">
      <w:pPr>
        <w:spacing w:line="600" w:lineRule="exact"/>
        <w:ind w:firstLine="643" w:firstLineChars="200"/>
        <w:rPr>
          <w:rFonts w:ascii="仿宋" w:eastAsia="仿宋"/>
          <w:b/>
          <w:sz w:val="32"/>
          <w:szCs w:val="32"/>
        </w:rPr>
      </w:pPr>
    </w:p>
    <w:p w14:paraId="2827B5F0">
      <w:pPr>
        <w:spacing w:line="600" w:lineRule="exact"/>
        <w:ind w:firstLine="643" w:firstLineChars="200"/>
        <w:rPr>
          <w:rFonts w:ascii="仿宋" w:eastAsia="仿宋"/>
          <w:b/>
          <w:sz w:val="32"/>
          <w:szCs w:val="32"/>
        </w:rPr>
      </w:pPr>
    </w:p>
    <w:p w14:paraId="1A33B9D8">
      <w:pPr>
        <w:spacing w:line="600" w:lineRule="exact"/>
        <w:ind w:firstLine="643" w:firstLineChars="200"/>
        <w:rPr>
          <w:rFonts w:ascii="仿宋" w:eastAsia="仿宋"/>
          <w:b/>
          <w:sz w:val="32"/>
          <w:szCs w:val="32"/>
        </w:rPr>
      </w:pPr>
    </w:p>
    <w:p w14:paraId="24530E6B">
      <w:pPr>
        <w:spacing w:line="600" w:lineRule="exact"/>
        <w:ind w:firstLine="643" w:firstLineChars="200"/>
        <w:rPr>
          <w:rFonts w:ascii="仿宋" w:eastAsia="仿宋"/>
          <w:b/>
          <w:sz w:val="32"/>
          <w:szCs w:val="32"/>
        </w:rPr>
      </w:pPr>
    </w:p>
    <w:p w14:paraId="23CA9337">
      <w:pPr>
        <w:spacing w:line="600" w:lineRule="exact"/>
        <w:rPr>
          <w:rFonts w:ascii="仿宋" w:eastAsia="仿宋"/>
          <w:b/>
          <w:sz w:val="32"/>
          <w:szCs w:val="32"/>
        </w:rPr>
      </w:pPr>
    </w:p>
    <w:p w14:paraId="7443DD54">
      <w:pPr>
        <w:spacing w:line="600" w:lineRule="exact"/>
        <w:ind w:firstLine="321" w:firstLineChars="100"/>
        <w:outlineLvl w:val="2"/>
        <w:rPr>
          <w:rFonts w:ascii="仿宋" w:eastAsia="仿宋"/>
          <w:b/>
          <w:sz w:val="32"/>
          <w:szCs w:val="32"/>
        </w:rPr>
      </w:pPr>
      <w:r>
        <w:rPr>
          <w:rFonts w:hint="eastAsia" w:ascii="仿宋" w:eastAsia="仿宋"/>
          <w:b/>
          <w:sz w:val="32"/>
          <w:szCs w:val="32"/>
        </w:rPr>
        <w:t>（三）一般公共预算财政拨款支出决算具体情况</w:t>
      </w:r>
      <w:bookmarkEnd w:id="145"/>
    </w:p>
    <w:p w14:paraId="0311DB5A">
      <w:pPr>
        <w:spacing w:line="600" w:lineRule="exact"/>
        <w:ind w:firstLine="643" w:firstLineChars="200"/>
        <w:rPr>
          <w:rFonts w:ascii="仿宋_GB2312" w:eastAsia="仿宋_GB2312"/>
          <w:color w:val="000000"/>
          <w:sz w:val="32"/>
          <w:szCs w:val="32"/>
        </w:rPr>
      </w:pPr>
      <w:bookmarkStart w:id="146" w:name="_Toc15377444"/>
      <w:bookmarkStart w:id="147" w:name="_Toc19558"/>
      <w:bookmarkStart w:id="148" w:name="_Toc4832"/>
      <w:bookmarkStart w:id="149" w:name="_Toc2769"/>
      <w:bookmarkStart w:id="150" w:name="_Toc2070"/>
      <w:bookmarkStart w:id="151" w:name="_Toc15377213"/>
      <w:bookmarkStart w:id="152" w:name="_Toc15378460"/>
      <w:bookmarkStart w:id="153" w:name="_Toc23944"/>
      <w:bookmarkStart w:id="154" w:name="_Toc3326"/>
      <w:bookmarkStart w:id="155" w:name="_Toc5878"/>
      <w:bookmarkStart w:id="156" w:name="_Toc31140"/>
      <w:bookmarkStart w:id="157" w:name="_Toc4642"/>
      <w:bookmarkStart w:id="158" w:name="_Toc31121"/>
      <w:bookmarkStart w:id="159" w:name="_Toc18205"/>
      <w:bookmarkStart w:id="160" w:name="_Toc32230"/>
      <w:bookmarkStart w:id="161" w:name="_Toc10316"/>
      <w:bookmarkStart w:id="162" w:name="_Toc15377214"/>
      <w:bookmarkStart w:id="163" w:name="_Toc15396608"/>
      <w:r>
        <w:rPr>
          <w:rFonts w:hint="eastAsia" w:ascii="仿宋" w:eastAsia="仿宋"/>
          <w:b/>
          <w:sz w:val="32"/>
          <w:szCs w:val="32"/>
        </w:rPr>
        <w:t>2021年一般公共预算支出决算数为147.79万元</w:t>
      </w:r>
      <w:r>
        <w:rPr>
          <w:rFonts w:hint="eastAsia" w:ascii="仿宋" w:eastAsia="仿宋"/>
          <w:sz w:val="32"/>
          <w:szCs w:val="32"/>
        </w:rPr>
        <w:t>，</w:t>
      </w:r>
      <w:r>
        <w:rPr>
          <w:rStyle w:val="17"/>
          <w:rFonts w:hint="eastAsia" w:ascii="仿宋" w:eastAsia="仿宋"/>
          <w:bCs/>
          <w:sz w:val="32"/>
          <w:szCs w:val="32"/>
        </w:rPr>
        <w:t>完成预算</w:t>
      </w:r>
      <w:r>
        <w:rPr>
          <w:rStyle w:val="17"/>
          <w:rFonts w:ascii="仿宋" w:eastAsia="仿宋"/>
          <w:bCs/>
          <w:sz w:val="32"/>
          <w:szCs w:val="32"/>
        </w:rPr>
        <w:t>100%</w:t>
      </w:r>
      <w:r>
        <w:rPr>
          <w:rStyle w:val="17"/>
          <w:rFonts w:hint="eastAsia" w:ascii="仿宋" w:eastAsia="仿宋"/>
          <w:bCs/>
          <w:sz w:val="32"/>
          <w:szCs w:val="32"/>
        </w:rPr>
        <w:t>。</w:t>
      </w:r>
      <w:bookmarkEnd w:id="146"/>
      <w:bookmarkEnd w:id="147"/>
      <w:bookmarkEnd w:id="148"/>
      <w:bookmarkEnd w:id="149"/>
      <w:bookmarkEnd w:id="150"/>
      <w:bookmarkEnd w:id="151"/>
      <w:bookmarkEnd w:id="152"/>
      <w:bookmarkEnd w:id="153"/>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285AE8F8">
      <w:pPr>
        <w:spacing w:line="600" w:lineRule="exact"/>
        <w:ind w:firstLine="643" w:firstLineChars="200"/>
        <w:outlineLvl w:val="1"/>
        <w:rPr>
          <w:rFonts w:ascii="仿宋" w:eastAsia="仿宋"/>
          <w:sz w:val="32"/>
          <w:szCs w:val="32"/>
        </w:rPr>
      </w:pPr>
      <w:r>
        <w:rPr>
          <w:rStyle w:val="17"/>
          <w:rFonts w:hint="eastAsia" w:ascii="仿宋" w:eastAsia="仿宋"/>
          <w:bCs/>
          <w:sz w:val="32"/>
          <w:szCs w:val="32"/>
        </w:rPr>
        <w:t>其中：</w:t>
      </w:r>
      <w:bookmarkEnd w:id="154"/>
      <w:bookmarkEnd w:id="155"/>
    </w:p>
    <w:p w14:paraId="62849415">
      <w:pPr>
        <w:spacing w:line="600" w:lineRule="exact"/>
        <w:ind w:firstLine="643" w:firstLineChars="200"/>
        <w:rPr>
          <w:rFonts w:ascii="仿宋_GB2312" w:eastAsia="仿宋_GB2312"/>
          <w:color w:val="000000"/>
          <w:sz w:val="32"/>
          <w:szCs w:val="32"/>
        </w:rPr>
      </w:pPr>
      <w:r>
        <w:rPr>
          <w:rFonts w:hint="eastAsia" w:ascii="仿宋" w:hAnsi="仿宋" w:eastAsia="仿宋"/>
          <w:b/>
          <w:bCs/>
          <w:color w:val="000000"/>
          <w:sz w:val="32"/>
          <w:szCs w:val="32"/>
        </w:rPr>
        <w:t>卫生健康支出</w:t>
      </w:r>
      <w:r>
        <w:rPr>
          <w:rFonts w:hint="eastAsia" w:ascii="仿宋_GB2312" w:eastAsia="仿宋_GB2312"/>
          <w:b/>
          <w:color w:val="000000"/>
          <w:sz w:val="32"/>
          <w:szCs w:val="32"/>
        </w:rPr>
        <w:t>（类）基层医疗卫生机构（款）</w:t>
      </w:r>
      <w:r>
        <w:rPr>
          <w:rStyle w:val="17"/>
          <w:rFonts w:hint="eastAsia" w:ascii="仿宋_GB2312" w:eastAsia="仿宋_GB2312"/>
          <w:color w:val="000000"/>
          <w:sz w:val="32"/>
          <w:szCs w:val="32"/>
        </w:rPr>
        <w:t>乡镇卫生院（项）：</w:t>
      </w:r>
      <w:r>
        <w:rPr>
          <w:rStyle w:val="17"/>
          <w:rFonts w:hint="eastAsia" w:ascii="仿宋_GB2312" w:eastAsia="仿宋_GB2312"/>
          <w:b w:val="0"/>
          <w:color w:val="000000"/>
          <w:sz w:val="32"/>
          <w:szCs w:val="32"/>
        </w:rPr>
        <w:t>主要用于乡镇卫生院人员经费，</w:t>
      </w:r>
      <w:r>
        <w:rPr>
          <w:rStyle w:val="17"/>
          <w:rFonts w:hint="eastAsia" w:ascii="仿宋_GB2312" w:eastAsia="仿宋_GB2312"/>
          <w:b w:val="0"/>
          <w:bCs/>
          <w:color w:val="000000"/>
          <w:sz w:val="32"/>
          <w:szCs w:val="32"/>
        </w:rPr>
        <w:t>决算数67.48万元</w:t>
      </w:r>
      <w:r>
        <w:rPr>
          <w:rStyle w:val="17"/>
          <w:rFonts w:hint="eastAsia" w:ascii="仿宋_GB2312" w:eastAsia="仿宋_GB2312"/>
          <w:color w:val="000000"/>
          <w:sz w:val="32"/>
          <w:szCs w:val="32"/>
        </w:rPr>
        <w:t>，</w:t>
      </w:r>
      <w:r>
        <w:rPr>
          <w:rFonts w:hint="eastAsia" w:ascii="仿宋_GB2312" w:eastAsia="仿宋_GB2312"/>
          <w:color w:val="000000"/>
          <w:sz w:val="32"/>
          <w:szCs w:val="32"/>
        </w:rPr>
        <w:t>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21903173">
      <w:pPr>
        <w:spacing w:line="600" w:lineRule="exact"/>
        <w:ind w:firstLine="643" w:firstLineChars="200"/>
        <w:rPr>
          <w:rStyle w:val="17"/>
          <w:rFonts w:ascii="仿宋_GB2312" w:eastAsia="仿宋_GB2312"/>
          <w:b w:val="0"/>
          <w:color w:val="000000"/>
          <w:sz w:val="32"/>
          <w:szCs w:val="32"/>
        </w:rPr>
      </w:pPr>
      <w:r>
        <w:rPr>
          <w:rStyle w:val="17"/>
          <w:rFonts w:hint="eastAsia" w:ascii="仿宋_GB2312" w:eastAsia="仿宋_GB2312"/>
          <w:color w:val="000000"/>
          <w:sz w:val="32"/>
          <w:szCs w:val="32"/>
        </w:rPr>
        <w:t>卫生健康支出</w:t>
      </w:r>
      <w:r>
        <w:rPr>
          <w:rFonts w:hint="eastAsia" w:ascii="仿宋_GB2312" w:eastAsia="仿宋_GB2312"/>
          <w:b/>
          <w:color w:val="000000"/>
          <w:sz w:val="32"/>
          <w:szCs w:val="32"/>
        </w:rPr>
        <w:t>（类）基层医疗卫生机构（款）其他基层医疗卫生机构支出（项）：</w:t>
      </w:r>
      <w:r>
        <w:rPr>
          <w:rStyle w:val="17"/>
          <w:rFonts w:hint="eastAsia" w:ascii="仿宋_GB2312" w:eastAsia="仿宋_GB2312"/>
          <w:b w:val="0"/>
          <w:color w:val="000000"/>
          <w:sz w:val="32"/>
          <w:szCs w:val="32"/>
        </w:rPr>
        <w:t>主要用于村卫生站实行基本药物制度后弥补人员经费、机构运行。</w:t>
      </w:r>
      <w:r>
        <w:rPr>
          <w:rFonts w:hint="eastAsia" w:ascii="仿宋_GB2312" w:eastAsia="仿宋_GB2312"/>
          <w:color w:val="000000"/>
          <w:sz w:val="32"/>
          <w:szCs w:val="32"/>
        </w:rPr>
        <w:t>2021年决算数为18.95</w:t>
      </w:r>
      <w:r>
        <w:rPr>
          <w:rFonts w:hint="eastAsia" w:ascii="仿宋_GB2312" w:eastAsia="仿宋_GB2312"/>
          <w:sz w:val="32"/>
          <w:szCs w:val="32"/>
        </w:rPr>
        <w:t>万元，完成预算100%。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133A1C1F">
      <w:pPr>
        <w:spacing w:line="600" w:lineRule="exact"/>
        <w:ind w:firstLine="643" w:firstLineChars="200"/>
        <w:rPr>
          <w:color w:val="000000"/>
          <w:sz w:val="32"/>
          <w:szCs w:val="32"/>
        </w:rPr>
      </w:pPr>
      <w:r>
        <w:rPr>
          <w:rStyle w:val="17"/>
          <w:rFonts w:hint="eastAsia" w:ascii="仿宋_GB2312" w:eastAsia="仿宋_GB2312"/>
          <w:bCs/>
          <w:color w:val="000000"/>
          <w:sz w:val="32"/>
          <w:szCs w:val="32"/>
        </w:rPr>
        <w:t>卫生健康支出（类）公共卫生（款）</w:t>
      </w:r>
      <w:r>
        <w:rPr>
          <w:rStyle w:val="17"/>
          <w:rFonts w:hint="eastAsia" w:ascii="仿宋_GB2312" w:eastAsia="仿宋_GB2312"/>
          <w:color w:val="000000"/>
          <w:sz w:val="32"/>
          <w:szCs w:val="32"/>
        </w:rPr>
        <w:t>基本公共卫生服务（项）:</w:t>
      </w:r>
      <w:r>
        <w:rPr>
          <w:rStyle w:val="17"/>
          <w:rFonts w:hint="eastAsia" w:ascii="仿宋_GB2312" w:eastAsia="仿宋_GB2312"/>
          <w:b w:val="0"/>
          <w:color w:val="000000"/>
          <w:sz w:val="32"/>
          <w:szCs w:val="32"/>
        </w:rPr>
        <w:t>主要用于乡镇卫生院、村卫生站开展基本公共卫生服务活动支出。</w:t>
      </w:r>
      <w:r>
        <w:rPr>
          <w:rFonts w:hint="eastAsia" w:ascii="仿宋_GB2312" w:eastAsia="仿宋_GB2312"/>
          <w:color w:val="000000"/>
          <w:sz w:val="32"/>
          <w:szCs w:val="32"/>
        </w:rPr>
        <w:t>2021年决算数为48.52万元，完成预算100%</w:t>
      </w:r>
      <w:r>
        <w:rPr>
          <w:rFonts w:hint="eastAsia"/>
          <w:color w:val="000000"/>
          <w:sz w:val="32"/>
          <w:szCs w:val="32"/>
        </w:rPr>
        <w:t>。</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0863EA9E">
      <w:pPr>
        <w:spacing w:line="600" w:lineRule="exact"/>
        <w:ind w:firstLine="643" w:firstLineChars="200"/>
        <w:rPr>
          <w:rFonts w:ascii="仿宋_GB2312" w:eastAsia="仿宋_GB2312"/>
          <w:color w:val="000000"/>
          <w:sz w:val="32"/>
          <w:szCs w:val="32"/>
        </w:rPr>
      </w:pPr>
      <w:r>
        <w:rPr>
          <w:rStyle w:val="17"/>
          <w:rFonts w:hint="eastAsia" w:ascii="仿宋_GB2312" w:eastAsia="仿宋_GB2312"/>
          <w:bCs/>
          <w:color w:val="000000"/>
          <w:sz w:val="32"/>
          <w:szCs w:val="32"/>
        </w:rPr>
        <w:t>卫生健康支出（类）行政事业单位（款）事业单位医疗（项）</w:t>
      </w:r>
      <w:r>
        <w:rPr>
          <w:rStyle w:val="17"/>
          <w:rFonts w:hint="eastAsia" w:ascii="仿宋_GB2312" w:eastAsia="仿宋_GB2312"/>
          <w:b w:val="0"/>
          <w:color w:val="000000"/>
          <w:sz w:val="32"/>
          <w:szCs w:val="32"/>
        </w:rPr>
        <w:t>：用于在职在编人员医疗保险支出，2021年决算数4.24万元，</w:t>
      </w:r>
      <w:r>
        <w:rPr>
          <w:rFonts w:hint="eastAsia" w:ascii="仿宋_GB2312" w:eastAsia="仿宋_GB2312"/>
          <w:color w:val="000000"/>
          <w:sz w:val="32"/>
          <w:szCs w:val="32"/>
        </w:rPr>
        <w:t>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02CE0545">
      <w:pPr>
        <w:spacing w:line="600" w:lineRule="exact"/>
        <w:ind w:firstLine="643" w:firstLineChars="200"/>
        <w:rPr>
          <w:rStyle w:val="17"/>
          <w:rFonts w:ascii="仿宋_GB2312" w:eastAsia="仿宋_GB2312"/>
          <w:b w:val="0"/>
          <w:color w:val="000000"/>
          <w:sz w:val="32"/>
          <w:szCs w:val="32"/>
        </w:rPr>
      </w:pPr>
      <w:r>
        <w:rPr>
          <w:rStyle w:val="17"/>
          <w:rFonts w:hint="eastAsia" w:ascii="仿宋_GB2312" w:eastAsia="仿宋_GB2312"/>
          <w:color w:val="000000"/>
          <w:sz w:val="32"/>
          <w:szCs w:val="32"/>
        </w:rPr>
        <w:t>住房保障支出（类）住房改革支出（款）</w:t>
      </w:r>
      <w:r>
        <w:rPr>
          <w:rStyle w:val="17"/>
          <w:rFonts w:hint="eastAsia" w:ascii="仿宋_GB2312" w:eastAsia="仿宋_GB2312"/>
          <w:bCs/>
          <w:color w:val="000000"/>
          <w:sz w:val="32"/>
          <w:szCs w:val="32"/>
        </w:rPr>
        <w:t>住房公积金支出（项）</w:t>
      </w:r>
      <w:r>
        <w:rPr>
          <w:rStyle w:val="17"/>
          <w:rFonts w:hint="eastAsia" w:ascii="仿宋_GB2312" w:eastAsia="仿宋_GB2312"/>
          <w:b w:val="0"/>
          <w:color w:val="000000"/>
          <w:sz w:val="32"/>
          <w:szCs w:val="32"/>
        </w:rPr>
        <w:t>:主要用于在职在编人员缴纳住房公积金支出。2021年决算数为7.9万元，完成预算100%。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682F5133">
      <w:pPr>
        <w:spacing w:line="600" w:lineRule="exact"/>
        <w:ind w:firstLine="643" w:firstLineChars="200"/>
        <w:rPr>
          <w:rFonts w:ascii="仿宋_GB2312" w:eastAsia="仿宋_GB2312"/>
          <w:sz w:val="32"/>
          <w:szCs w:val="32"/>
        </w:rPr>
      </w:pPr>
      <w:r>
        <w:rPr>
          <w:rStyle w:val="17"/>
          <w:rFonts w:hint="eastAsia" w:ascii="仿宋_GB2312" w:eastAsia="仿宋_GB2312"/>
          <w:color w:val="000000"/>
          <w:sz w:val="32"/>
          <w:szCs w:val="32"/>
        </w:rPr>
        <w:t>社会保障和就业支出(类)行政事业单位离退休（款）</w:t>
      </w:r>
      <w:r>
        <w:rPr>
          <w:rFonts w:hint="eastAsia" w:ascii="仿宋_GB2312" w:eastAsia="仿宋_GB2312"/>
          <w:b/>
          <w:color w:val="000000"/>
          <w:sz w:val="32"/>
          <w:szCs w:val="32"/>
        </w:rPr>
        <w:t>机关事业单位基本养老保险缴费支出（项）：</w:t>
      </w:r>
      <w:r>
        <w:rPr>
          <w:rFonts w:hint="eastAsia" w:ascii="仿宋_GB2312" w:eastAsia="仿宋_GB2312"/>
          <w:bCs/>
          <w:color w:val="000000"/>
          <w:sz w:val="32"/>
          <w:szCs w:val="32"/>
        </w:rPr>
        <w:t>主要用于在职在编人员基本养老保险支出，</w:t>
      </w:r>
      <w:r>
        <w:rPr>
          <w:rFonts w:hint="eastAsia" w:ascii="仿宋_GB2312" w:eastAsia="仿宋_GB2312"/>
          <w:sz w:val="32"/>
          <w:szCs w:val="32"/>
        </w:rPr>
        <w:t>2021年决算数为6.78万元，完成预算100 %。</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758A25E5">
      <w:pPr>
        <w:spacing w:line="600" w:lineRule="exact"/>
        <w:ind w:firstLine="643" w:firstLineChars="200"/>
        <w:rPr>
          <w:rFonts w:ascii="仿宋_GB2312" w:eastAsia="仿宋_GB2312"/>
          <w:sz w:val="32"/>
          <w:szCs w:val="32"/>
        </w:rPr>
      </w:pPr>
      <w:r>
        <w:rPr>
          <w:rStyle w:val="17"/>
          <w:rFonts w:hint="eastAsia" w:ascii="仿宋_GB2312" w:eastAsia="仿宋_GB2312"/>
          <w:color w:val="000000"/>
          <w:sz w:val="32"/>
          <w:szCs w:val="32"/>
        </w:rPr>
        <w:t>社会保障和就业支出(类)行政事业单位离退休（款）</w:t>
      </w:r>
      <w:r>
        <w:rPr>
          <w:rFonts w:hint="eastAsia" w:ascii="仿宋_GB2312" w:eastAsia="仿宋_GB2312"/>
          <w:b/>
          <w:sz w:val="32"/>
          <w:szCs w:val="32"/>
        </w:rPr>
        <w:t>机关事业单位职业年金缴费支出（项）：</w:t>
      </w:r>
      <w:r>
        <w:rPr>
          <w:rFonts w:hint="eastAsia" w:ascii="仿宋_GB2312" w:eastAsia="仿宋_GB2312"/>
          <w:bCs/>
          <w:color w:val="000000"/>
          <w:sz w:val="32"/>
          <w:szCs w:val="32"/>
        </w:rPr>
        <w:t>主要用于在职在编人员职业年金支出，</w:t>
      </w:r>
      <w:r>
        <w:rPr>
          <w:rFonts w:hint="eastAsia" w:ascii="仿宋_GB2312" w:eastAsia="仿宋_GB2312"/>
          <w:sz w:val="32"/>
          <w:szCs w:val="32"/>
        </w:rPr>
        <w:t>2021年决算数为3.38万元，完成预算100%。</w:t>
      </w:r>
      <w:r>
        <w:rPr>
          <w:rStyle w:val="17"/>
          <w:rFonts w:hint="eastAsia" w:ascii="仿宋" w:eastAsia="仿宋"/>
          <w:b w:val="0"/>
          <w:bCs/>
          <w:sz w:val="32"/>
          <w:szCs w:val="32"/>
        </w:rPr>
        <w:t>决算数等于预算数的主要原因是</w:t>
      </w:r>
      <w:r>
        <w:rPr>
          <w:rStyle w:val="17"/>
          <w:rFonts w:ascii="仿宋" w:eastAsia="仿宋"/>
          <w:b w:val="0"/>
          <w:bCs/>
          <w:sz w:val="32"/>
          <w:szCs w:val="32"/>
        </w:rPr>
        <w:t>收支持平。</w:t>
      </w:r>
    </w:p>
    <w:p w14:paraId="6023D3B9">
      <w:pPr>
        <w:spacing w:line="600" w:lineRule="exact"/>
        <w:ind w:firstLine="643" w:firstLineChars="200"/>
        <w:rPr>
          <w:rStyle w:val="17"/>
          <w:rFonts w:ascii="仿宋" w:eastAsia="仿宋"/>
          <w:bCs/>
          <w:sz w:val="32"/>
          <w:szCs w:val="32"/>
        </w:rPr>
      </w:pPr>
    </w:p>
    <w:p w14:paraId="166920B1">
      <w:pPr>
        <w:tabs>
          <w:tab w:val="right" w:pos="8306"/>
        </w:tabs>
        <w:spacing w:line="600" w:lineRule="exact"/>
        <w:ind w:firstLine="640"/>
        <w:outlineLvl w:val="1"/>
        <w:rPr>
          <w:rStyle w:val="20"/>
        </w:rPr>
      </w:pPr>
      <w:bookmarkStart w:id="164" w:name="_Toc10847"/>
      <w:r>
        <w:rPr>
          <w:rFonts w:hint="eastAsia" w:ascii="黑体" w:eastAsia="黑体"/>
          <w:sz w:val="32"/>
          <w:szCs w:val="32"/>
        </w:rPr>
        <w:t>六</w:t>
      </w:r>
      <w:r>
        <w:rPr>
          <w:rFonts w:hint="eastAsia" w:ascii="黑体" w:eastAsia="黑体"/>
          <w:b/>
          <w:sz w:val="32"/>
          <w:szCs w:val="32"/>
        </w:rPr>
        <w:t>、一</w:t>
      </w:r>
      <w:r>
        <w:rPr>
          <w:rStyle w:val="20"/>
          <w:rFonts w:hint="eastAsia" w:ascii="黑体" w:eastAsia="黑体"/>
          <w:b w:val="0"/>
        </w:rPr>
        <w:t>般公共预算财政拨款基本支出决算情况说明</w:t>
      </w:r>
      <w:bookmarkEnd w:id="156"/>
      <w:bookmarkEnd w:id="157"/>
      <w:bookmarkEnd w:id="158"/>
      <w:bookmarkEnd w:id="159"/>
      <w:bookmarkEnd w:id="160"/>
      <w:bookmarkEnd w:id="161"/>
      <w:bookmarkEnd w:id="162"/>
      <w:bookmarkEnd w:id="163"/>
      <w:bookmarkEnd w:id="164"/>
      <w:r>
        <w:rPr>
          <w:rStyle w:val="20"/>
          <w:rFonts w:ascii="黑体" w:eastAsia="黑体"/>
          <w:b w:val="0"/>
        </w:rPr>
        <w:tab/>
      </w:r>
    </w:p>
    <w:p w14:paraId="4AB59F10">
      <w:pPr>
        <w:spacing w:line="600" w:lineRule="exact"/>
        <w:ind w:firstLine="645"/>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21年一般公共预算财政拨款基本支出70.82万元，其中：</w:t>
      </w:r>
    </w:p>
    <w:p w14:paraId="4337DDEB">
      <w:pPr>
        <w:spacing w:line="600" w:lineRule="exact"/>
        <w:ind w:firstLine="645"/>
        <w:rPr>
          <w:rFonts w:ascii="仿宋" w:eastAsia="仿宋"/>
          <w:sz w:val="32"/>
          <w:szCs w:val="32"/>
        </w:rPr>
      </w:pPr>
      <w:r>
        <w:rPr>
          <w:rFonts w:hint="eastAsia" w:ascii="仿宋" w:eastAsia="仿宋"/>
          <w:sz w:val="32"/>
          <w:szCs w:val="32"/>
        </w:rPr>
        <w:t>人员经费</w:t>
      </w:r>
      <w:r>
        <w:rPr>
          <w:rFonts w:ascii="仿宋" w:eastAsia="仿宋"/>
          <w:sz w:val="32"/>
          <w:szCs w:val="32"/>
        </w:rPr>
        <w:t>70.1</w:t>
      </w:r>
      <w:r>
        <w:rPr>
          <w:rFonts w:hint="eastAsia" w:ascii="仿宋" w:eastAsia="仿宋"/>
          <w:sz w:val="32"/>
          <w:szCs w:val="32"/>
        </w:rPr>
        <w:t>万元，主要包括：基本工资23.16万元、津贴补贴1.5万元、绩效工资17.94万元、机关事业单位基本养老保险缴费6.78万元、职业年金缴费3.38万元、其他社会保障缴费4.24万元、生活补助5.2万元、住房公积金7.9万元。</w:t>
      </w:r>
    </w:p>
    <w:p w14:paraId="5D096E44">
      <w:pPr>
        <w:spacing w:line="600" w:lineRule="exact"/>
        <w:ind w:firstLine="645"/>
        <w:rPr>
          <w:rFonts w:ascii="仿宋" w:eastAsia="仿宋"/>
          <w:sz w:val="32"/>
          <w:szCs w:val="32"/>
        </w:rPr>
      </w:pPr>
      <w:r>
        <w:rPr>
          <w:rFonts w:hint="eastAsia" w:ascii="仿宋" w:eastAsia="仿宋"/>
          <w:sz w:val="32"/>
          <w:szCs w:val="32"/>
        </w:rPr>
        <w:t>公用经费0.72万元，主要是邮电费0.72万元。</w:t>
      </w:r>
    </w:p>
    <w:p w14:paraId="67355505">
      <w:pPr>
        <w:spacing w:line="600" w:lineRule="exact"/>
        <w:ind w:firstLine="640"/>
        <w:outlineLvl w:val="1"/>
        <w:rPr>
          <w:rStyle w:val="32"/>
          <w:rFonts w:ascii="黑体" w:hAnsi="黑体" w:eastAsia="黑体"/>
          <w:b w:val="0"/>
        </w:rPr>
      </w:pPr>
      <w:bookmarkStart w:id="165" w:name="_Toc3725"/>
      <w:bookmarkStart w:id="166" w:name="_Toc29054"/>
      <w:bookmarkStart w:id="167" w:name="_Toc12760"/>
      <w:bookmarkStart w:id="168" w:name="_Toc24241"/>
      <w:bookmarkStart w:id="169" w:name="_Toc15396609"/>
      <w:bookmarkStart w:id="170" w:name="_Toc12402"/>
      <w:bookmarkStart w:id="171" w:name="_Toc15377215"/>
      <w:bookmarkStart w:id="172" w:name="_Toc17957"/>
      <w:bookmarkStart w:id="173" w:name="_Toc15396612"/>
      <w:bookmarkStart w:id="174" w:name="_Toc15377221"/>
      <w:r>
        <w:rPr>
          <w:rFonts w:hint="eastAsia" w:ascii="黑体" w:eastAsia="黑体"/>
          <w:color w:val="000000"/>
          <w:sz w:val="32"/>
          <w:szCs w:val="32"/>
        </w:rPr>
        <w:t>七、</w:t>
      </w:r>
      <w:r>
        <w:rPr>
          <w:rStyle w:val="32"/>
          <w:rFonts w:hint="eastAsia" w:ascii="黑体" w:hAnsi="黑体" w:eastAsia="黑体"/>
        </w:rPr>
        <w:t>“</w:t>
      </w:r>
      <w:r>
        <w:rPr>
          <w:rStyle w:val="32"/>
          <w:rFonts w:hint="eastAsia" w:ascii="黑体" w:hAnsi="黑体" w:eastAsia="黑体"/>
          <w:b w:val="0"/>
        </w:rPr>
        <w:t>三公”经费财政拨款支出决算情况说明</w:t>
      </w:r>
      <w:bookmarkEnd w:id="165"/>
      <w:bookmarkEnd w:id="166"/>
      <w:bookmarkEnd w:id="167"/>
      <w:bookmarkEnd w:id="168"/>
      <w:bookmarkEnd w:id="169"/>
      <w:bookmarkEnd w:id="170"/>
      <w:bookmarkEnd w:id="171"/>
      <w:bookmarkEnd w:id="172"/>
    </w:p>
    <w:p w14:paraId="32189A22">
      <w:pPr>
        <w:spacing w:line="600" w:lineRule="exact"/>
        <w:ind w:firstLine="640"/>
        <w:outlineLvl w:val="2"/>
        <w:rPr>
          <w:rFonts w:ascii="仿宋" w:hAnsi="仿宋" w:eastAsia="仿宋"/>
          <w:b/>
          <w:color w:val="000000"/>
          <w:sz w:val="32"/>
          <w:szCs w:val="32"/>
        </w:rPr>
      </w:pPr>
      <w:bookmarkStart w:id="175" w:name="_Toc15377216"/>
      <w:r>
        <w:rPr>
          <w:rFonts w:hint="eastAsia" w:ascii="仿宋" w:hAnsi="仿宋" w:eastAsia="仿宋"/>
          <w:b/>
          <w:color w:val="000000"/>
          <w:sz w:val="32"/>
          <w:szCs w:val="32"/>
        </w:rPr>
        <w:t>（一）“三公”经费财政拨款支出决算总体情况说明</w:t>
      </w:r>
      <w:bookmarkEnd w:id="175"/>
    </w:p>
    <w:p w14:paraId="1A0DD212">
      <w:pPr>
        <w:spacing w:line="600" w:lineRule="exact"/>
        <w:ind w:firstLine="640"/>
        <w:rPr>
          <w:rFonts w:ascii="仿宋" w:eastAsia="仿宋"/>
          <w:color w:val="000000"/>
          <w:sz w:val="32"/>
          <w:szCs w:val="32"/>
        </w:rPr>
      </w:pPr>
      <w:r>
        <w:rPr>
          <w:rFonts w:hint="eastAsia" w:ascii="仿宋" w:hAnsi="仿宋" w:eastAsia="仿宋"/>
          <w:color w:val="000000"/>
          <w:sz w:val="32"/>
          <w:szCs w:val="32"/>
        </w:rPr>
        <w:t>2021年“三公”经费财政拨款支出决算为0万元，</w:t>
      </w:r>
      <w:bookmarkStart w:id="176" w:name="_Toc15377217"/>
      <w:r>
        <w:rPr>
          <w:rFonts w:hint="eastAsia" w:ascii="仿宋" w:eastAsia="仿宋"/>
          <w:color w:val="000000"/>
          <w:sz w:val="32"/>
          <w:szCs w:val="32"/>
        </w:rPr>
        <w:t>年初未安排预算。</w:t>
      </w:r>
    </w:p>
    <w:p w14:paraId="17F05144">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176"/>
    </w:p>
    <w:p w14:paraId="7E552F7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2021年“三公”经费财政拨款支出决算中：</w:t>
      </w:r>
    </w:p>
    <w:p w14:paraId="19266C2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Fonts w:hint="eastAsia" w:ascii="仿宋" w:eastAsia="仿宋"/>
          <w:color w:val="000000"/>
          <w:sz w:val="32"/>
          <w:szCs w:val="32"/>
        </w:rPr>
        <w:t>年初未安排预算</w:t>
      </w:r>
      <w:r>
        <w:rPr>
          <w:rStyle w:val="17"/>
          <w:rFonts w:hint="eastAsia" w:ascii="仿宋" w:hAnsi="仿宋" w:eastAsia="仿宋"/>
          <w:b w:val="0"/>
          <w:bCs/>
          <w:color w:val="000000"/>
          <w:sz w:val="32"/>
          <w:szCs w:val="32"/>
        </w:rPr>
        <w:t>。</w:t>
      </w:r>
      <w:r>
        <w:rPr>
          <w:rFonts w:hint="eastAsia" w:ascii="仿宋" w:eastAsia="仿宋"/>
          <w:color w:val="000000"/>
          <w:sz w:val="32"/>
          <w:szCs w:val="32"/>
        </w:rPr>
        <w:t>年初未安排预算，</w:t>
      </w:r>
      <w:r>
        <w:rPr>
          <w:rStyle w:val="17"/>
          <w:rFonts w:hint="eastAsia" w:ascii="仿宋" w:eastAsia="仿宋"/>
          <w:b w:val="0"/>
          <w:bCs/>
          <w:color w:val="000000"/>
          <w:sz w:val="32"/>
          <w:szCs w:val="32"/>
        </w:rPr>
        <w:t>与上年数持平。</w:t>
      </w:r>
    </w:p>
    <w:p w14:paraId="211747D1">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Fonts w:hint="eastAsia" w:ascii="仿宋" w:eastAsia="仿宋"/>
          <w:color w:val="000000"/>
          <w:sz w:val="32"/>
          <w:szCs w:val="32"/>
        </w:rPr>
        <w:t>年初未安排预算</w:t>
      </w:r>
      <w:r>
        <w:rPr>
          <w:rStyle w:val="17"/>
          <w:rFonts w:hint="eastAsia" w:ascii="仿宋" w:hAnsi="仿宋" w:eastAsia="仿宋"/>
          <w:b w:val="0"/>
          <w:bCs/>
          <w:color w:val="000000"/>
          <w:sz w:val="32"/>
          <w:szCs w:val="32"/>
        </w:rPr>
        <w:t>。</w:t>
      </w:r>
    </w:p>
    <w:p w14:paraId="5C914CE2">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3</w:t>
      </w:r>
      <w:r>
        <w:rPr>
          <w:rFonts w:ascii="仿宋_GB2312" w:eastAsia="仿宋_GB2312"/>
          <w:b/>
          <w:color w:val="000000"/>
          <w:sz w:val="32"/>
          <w:szCs w:val="32"/>
        </w:rPr>
        <w:t>.</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Fonts w:hint="eastAsia" w:ascii="仿宋" w:eastAsia="仿宋"/>
          <w:color w:val="000000"/>
          <w:sz w:val="32"/>
          <w:szCs w:val="32"/>
        </w:rPr>
        <w:t>年初未安排预算</w:t>
      </w:r>
      <w:r>
        <w:rPr>
          <w:rStyle w:val="17"/>
          <w:rFonts w:hint="eastAsia" w:ascii="仿宋" w:hAnsi="仿宋" w:eastAsia="仿宋"/>
          <w:b w:val="0"/>
          <w:bCs/>
          <w:color w:val="000000"/>
          <w:sz w:val="32"/>
          <w:szCs w:val="32"/>
        </w:rPr>
        <w:t>。</w:t>
      </w:r>
    </w:p>
    <w:p w14:paraId="331E3FC2">
      <w:pPr>
        <w:spacing w:line="600" w:lineRule="exact"/>
        <w:ind w:firstLine="640" w:firstLineChars="200"/>
        <w:outlineLvl w:val="1"/>
        <w:rPr>
          <w:rStyle w:val="32"/>
          <w:rFonts w:ascii="黑体" w:hAnsi="黑体" w:eastAsia="黑体"/>
        </w:rPr>
      </w:pPr>
      <w:bookmarkStart w:id="177" w:name="_Toc25241"/>
      <w:bookmarkStart w:id="178" w:name="_Toc29632"/>
      <w:bookmarkStart w:id="179" w:name="_Toc17151"/>
      <w:bookmarkStart w:id="180" w:name="_Toc28422"/>
      <w:bookmarkStart w:id="181" w:name="_Toc3880"/>
      <w:bookmarkStart w:id="182" w:name="_Toc4621"/>
      <w:bookmarkStart w:id="183" w:name="_Toc18394"/>
      <w:r>
        <w:rPr>
          <w:rFonts w:hint="eastAsia" w:ascii="黑体" w:eastAsia="黑体"/>
          <w:color w:val="000000"/>
          <w:sz w:val="32"/>
          <w:szCs w:val="32"/>
        </w:rPr>
        <w:t>八、</w:t>
      </w:r>
      <w:r>
        <w:rPr>
          <w:rStyle w:val="32"/>
          <w:rFonts w:hint="eastAsia" w:ascii="黑体" w:hAnsi="黑体" w:eastAsia="黑体"/>
          <w:b w:val="0"/>
        </w:rPr>
        <w:t>政府性基金预算支出决算情况说明</w:t>
      </w:r>
      <w:bookmarkEnd w:id="177"/>
      <w:bookmarkEnd w:id="178"/>
      <w:bookmarkEnd w:id="179"/>
      <w:bookmarkEnd w:id="180"/>
      <w:bookmarkEnd w:id="181"/>
      <w:bookmarkEnd w:id="182"/>
      <w:bookmarkEnd w:id="183"/>
    </w:p>
    <w:p w14:paraId="7BFFBF41">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2021年政府性基金预算拨款支出0万元。</w:t>
      </w:r>
    </w:p>
    <w:p w14:paraId="18D32140">
      <w:pPr>
        <w:numPr>
          <w:ilvl w:val="0"/>
          <w:numId w:val="2"/>
        </w:numPr>
        <w:spacing w:line="600" w:lineRule="exact"/>
        <w:ind w:left="-10" w:firstLine="640"/>
        <w:outlineLvl w:val="1"/>
        <w:rPr>
          <w:rStyle w:val="32"/>
          <w:rFonts w:ascii="黑体" w:hAnsi="黑体" w:eastAsia="黑体"/>
          <w:b w:val="0"/>
        </w:rPr>
      </w:pPr>
      <w:bookmarkStart w:id="184" w:name="_Toc6210"/>
      <w:bookmarkStart w:id="185" w:name="_Toc15002"/>
      <w:bookmarkStart w:id="186" w:name="_Toc12031"/>
      <w:bookmarkStart w:id="187" w:name="_Toc5003"/>
      <w:bookmarkStart w:id="188" w:name="_Toc20656"/>
      <w:bookmarkStart w:id="189" w:name="_Toc18479"/>
      <w:bookmarkStart w:id="190" w:name="_Toc14472"/>
      <w:r>
        <w:rPr>
          <w:rStyle w:val="32"/>
          <w:rFonts w:hint="eastAsia" w:ascii="黑体" w:hAnsi="黑体" w:eastAsia="黑体"/>
          <w:b w:val="0"/>
        </w:rPr>
        <w:t>国有资本经营预算支出决算情况说明</w:t>
      </w:r>
      <w:bookmarkEnd w:id="184"/>
      <w:bookmarkEnd w:id="185"/>
      <w:bookmarkEnd w:id="186"/>
      <w:bookmarkEnd w:id="187"/>
      <w:bookmarkEnd w:id="188"/>
      <w:bookmarkEnd w:id="189"/>
      <w:bookmarkEnd w:id="190"/>
    </w:p>
    <w:p w14:paraId="705407EC">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2021年国有资本经营预算拨款支出0万元。</w:t>
      </w:r>
    </w:p>
    <w:p w14:paraId="350C2D1A">
      <w:pPr>
        <w:numPr>
          <w:ilvl w:val="0"/>
          <w:numId w:val="2"/>
        </w:numPr>
        <w:spacing w:line="600" w:lineRule="exact"/>
        <w:ind w:firstLine="640"/>
        <w:outlineLvl w:val="1"/>
        <w:rPr>
          <w:rStyle w:val="33"/>
          <w:rFonts w:ascii="黑体" w:hAnsi="黑体" w:eastAsia="黑体"/>
          <w:b w:val="0"/>
        </w:rPr>
      </w:pPr>
      <w:bookmarkStart w:id="191" w:name="_Toc20230"/>
      <w:bookmarkStart w:id="192" w:name="_Toc22209"/>
      <w:bookmarkStart w:id="193" w:name="_Toc16598"/>
      <w:bookmarkStart w:id="194" w:name="_Toc9686"/>
      <w:bookmarkStart w:id="195" w:name="_Toc6220"/>
      <w:bookmarkStart w:id="196" w:name="_Toc32621"/>
      <w:r>
        <w:rPr>
          <w:rStyle w:val="33"/>
          <w:rFonts w:hint="eastAsia" w:ascii="黑体" w:hAnsi="黑体" w:eastAsia="黑体"/>
          <w:b w:val="0"/>
        </w:rPr>
        <w:t>预算绩效管理情况</w:t>
      </w:r>
      <w:bookmarkEnd w:id="191"/>
      <w:bookmarkEnd w:id="192"/>
      <w:bookmarkEnd w:id="193"/>
      <w:bookmarkEnd w:id="194"/>
      <w:bookmarkEnd w:id="195"/>
      <w:bookmarkEnd w:id="196"/>
    </w:p>
    <w:p w14:paraId="50B49F9B">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1、绩效目标管理情况</w:t>
      </w:r>
    </w:p>
    <w:p w14:paraId="31FDEEAE">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按照预算绩效管理要求，本单位对2021年一般公共预算项目支出其他基层医疗卫生机构支出、基本公共卫生经费开展了绩效目标管理，共编制绩效目标2个，涉及财政资金76.97万元。执行数为76.97万元，完成预算的100%。</w:t>
      </w:r>
    </w:p>
    <w:p w14:paraId="30B92C89">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2、单位整体支出绩效自评开展情况</w:t>
      </w:r>
    </w:p>
    <w:p w14:paraId="1A2E1FD2">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按照预算绩效管理要求，本单位对2021年整体支出开展绩效自评，自评得分92分，存在的问题：一是固定资产报废不及时，导致账面数大，对所需的设备无法及时采购，也无法申请采购资金；二是对部分项目实施了绩效评价，但只注重结果，对预算执行过程疏于监督管理，末进行中期评估，也末全部进行绩效公开，对绩效评价的结果运用不好。下一步改进措施：一是加大资产管理力度，积极协调科室对资产进行清理，加强资产管理意识，完善资产报废手续；二是对系统整体开支，加大监督力度，注重资金使用过程中的风险与问题，及早发现及早整改，组织专人开展绩效评价，对评价结果全公示，并对绩效评价结果积极运用。</w:t>
      </w:r>
    </w:p>
    <w:p w14:paraId="10A06F94">
      <w:pPr>
        <w:spacing w:line="580" w:lineRule="exact"/>
        <w:ind w:firstLine="321" w:firstLineChars="100"/>
        <w:rPr>
          <w:rFonts w:ascii="仿宋_GB2312" w:hAnsi="仿宋_GB2312" w:eastAsia="仿宋_GB2312" w:cs="仿宋_GB2312"/>
          <w:sz w:val="32"/>
          <w:szCs w:val="32"/>
        </w:rPr>
      </w:pPr>
      <w:r>
        <w:rPr>
          <w:rFonts w:hint="eastAsia" w:ascii="仿宋" w:hAnsi="仿宋" w:eastAsia="仿宋" w:cs="楷体_GB2312"/>
          <w:b/>
          <w:bCs/>
          <w:sz w:val="32"/>
          <w:szCs w:val="32"/>
        </w:rPr>
        <w:t>（五）项目绩效目标完成情况</w:t>
      </w:r>
      <w:r>
        <w:rPr>
          <w:rFonts w:ascii="仿宋_GB2312" w:hAnsi="仿宋_GB2312" w:eastAsia="仿宋_GB2312" w:cs="仿宋_GB2312"/>
          <w:sz w:val="32"/>
          <w:szCs w:val="32"/>
        </w:rPr>
        <w:t xml:space="preserve"> </w:t>
      </w:r>
    </w:p>
    <w:p w14:paraId="6BC211AC">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2021年，我院在区卫健局的指导下,严格按照《国家级基本公共卫生服务规范》（第三版）的要求执行,加强内部管理,狠抓基本公共卫生服务项目工作,充分调动全院职工的工作积极性和主动性,适时调整了院领导班子分工,优化组合,基本完成了年初制定的工作目标，制定基本公共卫生服务项目计划,得到了各位领导的重视,结合辖区内实际,我院调整了基本公共卫生服务项目领导小组,并对领导小组成员做了具体分工。今年以来,我院定期对各村卫生室进行公共卫生服务项目工作的培训、考核，并多次进行督导检查，保证了各项公共卫生工作按照计划完成。</w:t>
      </w:r>
    </w:p>
    <w:p w14:paraId="4A737A98">
      <w:pPr>
        <w:spacing w:line="600" w:lineRule="atLeast"/>
        <w:rPr>
          <w:rFonts w:ascii="仿宋_GB2312" w:eastAsia="仿宋_GB2312"/>
          <w:color w:val="000000"/>
          <w:sz w:val="32"/>
          <w:szCs w:val="32"/>
        </w:rPr>
      </w:pPr>
      <w:r>
        <w:rPr>
          <w:rFonts w:hint="eastAsia" w:ascii="仿宋" w:hAnsi="仿宋" w:eastAsia="仿宋" w:cs="楷体_GB2312"/>
          <w:b/>
          <w:bCs/>
          <w:sz w:val="32"/>
          <w:szCs w:val="32"/>
        </w:rPr>
        <w:t>（六） 工作开展落实情况</w:t>
      </w:r>
      <w:r>
        <w:rPr>
          <w:rFonts w:hint="eastAsia" w:ascii="仿宋_GB2312" w:eastAsia="仿宋_GB2312"/>
          <w:color w:val="000000"/>
          <w:sz w:val="32"/>
          <w:szCs w:val="32"/>
        </w:rPr>
        <w:br w:type="textWrapping"/>
      </w:r>
      <w:r>
        <w:rPr>
          <w:rFonts w:hint="eastAsia" w:ascii="仿宋_GB2312" w:eastAsia="仿宋_GB2312"/>
          <w:color w:val="000000"/>
          <w:sz w:val="32"/>
          <w:szCs w:val="32"/>
        </w:rPr>
        <w:t>     1、居民健康档案管理。辖区常住人8090人,截止2021年12月底辖区内共建立居民健康档案8090份,建档率100%。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2、健康教育。按照规范的要求,发放各类宣传资料。发放教育印刷资料12种（中医6种）,播放影响资料14（中医5种）健康教育宣传栏24期(院12期，村卫生室12期),开展健康知识讲座24次(院12次,站室12次),开展健康咨询活动11次。</w:t>
      </w:r>
      <w:r>
        <w:rPr>
          <w:rFonts w:hint="eastAsia" w:ascii="仿宋_GB2312" w:eastAsia="仿宋_GB2312"/>
          <w:color w:val="000000"/>
          <w:sz w:val="32"/>
          <w:szCs w:val="32"/>
        </w:rPr>
        <w:br w:type="textWrapping"/>
      </w:r>
      <w:r>
        <w:rPr>
          <w:rFonts w:hint="eastAsia" w:ascii="仿宋_GB2312" w:eastAsia="仿宋_GB2312"/>
          <w:color w:val="000000"/>
          <w:sz w:val="32"/>
          <w:szCs w:val="32"/>
        </w:rPr>
        <w:t>      3、预防接种。 为适龄儿童应建立预防接种证322人次,建立预防接种证322人次,接种乙肝疫苗、卡介苗、脊灰疫苗、百白破疫苗、麻疹类疫苗(麻风、麻腮风)、甲肝疫苗、流脑疫苗、乙脑疫苗、白破二联等国家免疫规划疫苗,共接种654次。接种二类疫苗298人次,在接种过程中,未出现过异常反应,对辖区内计划免疫疫苗预防疾病进行主动监测,本年度无病发生。</w:t>
      </w:r>
    </w:p>
    <w:p w14:paraId="27121C75">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4、0-6岁儿童保健管理。辖区0—6岁儿童322人,健康管理233人,健康管理率100%,辖区内活产49人，新生儿访视,49人,访视率100%。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5、孕产妇管理健康。辖区内活产数49人，早孕建册 18人,早孕建册率100%,孕产妇系统管理49人,系统全年无孕产妇死亡报告。</w:t>
      </w:r>
      <w:r>
        <w:rPr>
          <w:rFonts w:hint="eastAsia" w:ascii="仿宋_GB2312" w:eastAsia="仿宋_GB2312"/>
          <w:color w:val="000000"/>
          <w:sz w:val="32"/>
          <w:szCs w:val="32"/>
        </w:rPr>
        <w:br w:type="textWrapping"/>
      </w:r>
      <w:r>
        <w:rPr>
          <w:rFonts w:hint="eastAsia" w:ascii="仿宋_GB2312" w:eastAsia="仿宋_GB2312"/>
          <w:color w:val="000000"/>
          <w:sz w:val="32"/>
          <w:szCs w:val="32"/>
        </w:rPr>
        <w:t>      6、老年人健康管理。辖区65岁及以上常住居民数947人,建立专项947年人,进行了生活自理能力评估。已经为947位老年人进行体检。此次体检除一般体格检查外,还积极开展血常规、肝功能、空腹血糖等辅助检查。对查出的高血压、糖尿病纳入慢性病规范管理,对查出的结石、占位等异常情况转诊到上级医疗单位进行确诊、治疗。</w:t>
      </w:r>
      <w:r>
        <w:rPr>
          <w:rFonts w:hint="eastAsia" w:ascii="仿宋_GB2312" w:eastAsia="仿宋_GB2312"/>
          <w:color w:val="000000"/>
          <w:sz w:val="32"/>
          <w:szCs w:val="32"/>
        </w:rPr>
        <w:br w:type="textWrapping"/>
      </w:r>
      <w:r>
        <w:rPr>
          <w:rFonts w:hint="eastAsia" w:ascii="仿宋_GB2312" w:eastAsia="仿宋_GB2312"/>
          <w:color w:val="000000"/>
          <w:sz w:val="32"/>
          <w:szCs w:val="32"/>
        </w:rPr>
        <w:t>      7、慢性病患者健康管理。主要是针对高血压、糖尿病等慢性病人群进行健康指导。对35岁以上人群实行门诊首诊测血压。对确诊高血压和糖尿病的患者进行登记管理,定期进行随访。应管高血579人，已管理高血压579人,管理率100%,规范管理567人,规范管理率98%,血压控制561人,控制率94%。应管糖尿病106人,已管理糖尿病106人,管理率100%,规范管理92人,规范管理率87%,血糖控制92人,控制率100%。</w:t>
      </w:r>
    </w:p>
    <w:p w14:paraId="6932C2EF">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8、严重精神障碍患者健康管理。调整了严重精神障碍患者领导小组,对我乡严重精神障碍患者进一步排查、摸底,掌握严重精神障碍患者复发、住院、迁出、死亡、走失等情况。现登记在册患者40人,管理40人,管理率100%,规范管理40人, 规范管理率100%。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9、传染病及突发公共卫生事件报告和处理。一是依据《传染病防治法》《传染病信息报告管理规范》以及传染病报告与处理规范要求,建立健全了传染病报告管理制度。二是定期对本单位人员进行传染病防治知识、技能的培训;采取多种形式对辖区居民进行传染病防治知识的宣传教育,提高了辖区居民传染病防治知识的知晓率。全年登记传染病0例,报告0例,传染病疫情报告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10、卫生监督协管工作。在院领导下认真贯彻落实上级有关文件精神,紧紧围绕以保证人民群众食品安全、学校卫生、公共场所卫生、非法行医等工作出发点,根据上级文件精神认真对中心学校开展传染病防治、健康教育、突发公共卫生事件应急预案处置,到各村巡查非法行医,排查公共场所单位和个人。全年开展巡查15次,各项工作取得了显著成绩，切实保障了人民群众身体健康和生命安全。</w:t>
      </w:r>
    </w:p>
    <w:p w14:paraId="2ACA882C">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11、中医药健康管理。辖区65岁及以上老年人2011人,接受中医药健康管理服务2011人,中医药健康管2011人,中医药健康管理率100%。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12、结核病患者健康管理。全年发现结核病患者12例，管理12例,管理率100%,发现疑似结核病0例,转诊0例。</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13、责任医生签约服务。调整了全科医生签约服务工作领导小组,制定责任医生签约实施方案,成立签约服务团队7个。截止到2021年12月底,规范签约8090人,签约率100%,其中重点人群签约率90%,特扶家庭签约率100%。</w:t>
      </w:r>
    </w:p>
    <w:p w14:paraId="1D7658E5"/>
    <w:p w14:paraId="26CA827C">
      <w:pPr>
        <w:spacing w:line="600" w:lineRule="exact"/>
        <w:ind w:firstLine="640" w:firstLineChars="200"/>
        <w:outlineLvl w:val="1"/>
        <w:rPr>
          <w:rStyle w:val="32"/>
          <w:rFonts w:ascii="黑体" w:hAnsi="黑体" w:eastAsia="黑体"/>
        </w:rPr>
      </w:pPr>
      <w:bookmarkStart w:id="197" w:name="_Toc12462"/>
      <w:bookmarkStart w:id="198" w:name="_Toc29756"/>
      <w:bookmarkStart w:id="199" w:name="_Toc5350"/>
      <w:bookmarkStart w:id="200" w:name="_Toc8214"/>
      <w:bookmarkStart w:id="201" w:name="_Toc8830"/>
      <w:bookmarkStart w:id="202" w:name="_Toc25577"/>
      <w:r>
        <w:rPr>
          <w:rFonts w:hint="eastAsia" w:ascii="黑体" w:hAnsi="黑体" w:eastAsia="黑体"/>
          <w:color w:val="000000"/>
          <w:sz w:val="32"/>
          <w:szCs w:val="32"/>
        </w:rPr>
        <w:t>十一</w:t>
      </w:r>
      <w:r>
        <w:rPr>
          <w:rStyle w:val="32"/>
          <w:rFonts w:hint="eastAsia" w:ascii="黑体" w:hAnsi="黑体" w:eastAsia="黑体"/>
        </w:rPr>
        <w:t>、</w:t>
      </w:r>
      <w:r>
        <w:rPr>
          <w:rStyle w:val="32"/>
          <w:rFonts w:hint="eastAsia" w:ascii="黑体" w:hAnsi="黑体" w:eastAsia="黑体"/>
          <w:b w:val="0"/>
        </w:rPr>
        <w:t>其他重要事项的情况说明</w:t>
      </w:r>
      <w:bookmarkEnd w:id="197"/>
      <w:bookmarkEnd w:id="198"/>
      <w:bookmarkEnd w:id="199"/>
      <w:bookmarkEnd w:id="200"/>
      <w:bookmarkEnd w:id="201"/>
      <w:bookmarkEnd w:id="202"/>
    </w:p>
    <w:p w14:paraId="7E335A2C">
      <w:pPr>
        <w:spacing w:line="600" w:lineRule="exact"/>
        <w:ind w:firstLine="643" w:firstLineChars="200"/>
        <w:outlineLvl w:val="2"/>
        <w:rPr>
          <w:rFonts w:ascii="仿宋" w:hAnsi="仿宋" w:eastAsia="仿宋"/>
          <w:color w:val="000000"/>
          <w:sz w:val="32"/>
          <w:szCs w:val="32"/>
        </w:rPr>
      </w:pPr>
      <w:bookmarkStart w:id="203" w:name="_Toc15377222"/>
      <w:r>
        <w:rPr>
          <w:rFonts w:hint="eastAsia" w:ascii="仿宋" w:hAnsi="仿宋" w:eastAsia="仿宋"/>
          <w:b/>
          <w:color w:val="000000"/>
          <w:sz w:val="32"/>
          <w:szCs w:val="32"/>
        </w:rPr>
        <w:t>（一）机关运行经费支出情况</w:t>
      </w:r>
      <w:bookmarkEnd w:id="203"/>
    </w:p>
    <w:p w14:paraId="3603A422">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本单位为事业单位，无机关运行经费。</w:t>
      </w:r>
    </w:p>
    <w:p w14:paraId="2E1D4C6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204" w:name="_Toc15377223"/>
      <w:r>
        <w:rPr>
          <w:rFonts w:hint="eastAsia" w:ascii="仿宋" w:hAnsi="仿宋" w:eastAsia="仿宋"/>
          <w:b/>
          <w:color w:val="000000"/>
          <w:sz w:val="32"/>
          <w:szCs w:val="32"/>
        </w:rPr>
        <w:t>（二）政府采购支出情况</w:t>
      </w:r>
      <w:bookmarkEnd w:id="204"/>
    </w:p>
    <w:p w14:paraId="373DDAB6">
      <w:pPr>
        <w:spacing w:line="600" w:lineRule="exact"/>
        <w:ind w:firstLine="640" w:firstLineChars="200"/>
        <w:rPr>
          <w:rFonts w:ascii="仿宋_GB2312" w:eastAsia="仿宋_GB2312"/>
          <w:color w:val="000000"/>
          <w:sz w:val="32"/>
          <w:szCs w:val="32"/>
          <w:highlight w:val="yellow"/>
        </w:rPr>
      </w:pPr>
      <w:r>
        <w:rPr>
          <w:rFonts w:hint="eastAsia" w:ascii="仿宋_GB2312" w:eastAsia="仿宋_GB2312"/>
          <w:color w:val="000000"/>
          <w:sz w:val="32"/>
          <w:szCs w:val="32"/>
        </w:rPr>
        <w:t>2021年，政府采购0万元。</w:t>
      </w:r>
    </w:p>
    <w:p w14:paraId="45EC4C8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205" w:name="_Toc15377224"/>
      <w:r>
        <w:rPr>
          <w:rFonts w:hint="eastAsia" w:ascii="仿宋" w:hAnsi="仿宋" w:eastAsia="仿宋"/>
          <w:b/>
          <w:color w:val="000000"/>
          <w:sz w:val="32"/>
          <w:szCs w:val="32"/>
        </w:rPr>
        <w:t>（三）国有资产占有使用情况</w:t>
      </w:r>
      <w:bookmarkEnd w:id="205"/>
    </w:p>
    <w:p w14:paraId="41115C9A">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截至2021年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日，有车辆0辆，单价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67D7F71A">
      <w:pPr>
        <w:autoSpaceDE w:val="0"/>
        <w:autoSpaceDN w:val="0"/>
        <w:adjustRightInd w:val="0"/>
        <w:spacing w:line="600" w:lineRule="exact"/>
        <w:ind w:firstLine="643" w:firstLineChars="200"/>
        <w:rPr>
          <w:rFonts w:ascii="仿宋" w:eastAsia="仿宋"/>
          <w:b/>
          <w:sz w:val="32"/>
          <w:szCs w:val="32"/>
          <w:highlight w:val="yellow"/>
        </w:rPr>
      </w:pPr>
    </w:p>
    <w:p w14:paraId="5646BC80">
      <w:pPr>
        <w:pStyle w:val="2"/>
        <w:spacing w:before="93"/>
        <w:outlineLvl w:val="0"/>
        <w:rPr>
          <w:rStyle w:val="19"/>
          <w:rFonts w:ascii="黑体" w:eastAsia="黑体"/>
          <w:b w:val="0"/>
        </w:rPr>
      </w:pPr>
      <w:r>
        <w:rPr>
          <w:rFonts w:hint="eastAsia"/>
        </w:rPr>
        <w:t xml:space="preserve">              </w:t>
      </w:r>
      <w:bookmarkEnd w:id="173"/>
      <w:bookmarkEnd w:id="174"/>
      <w:bookmarkStart w:id="206" w:name="_Toc15377225"/>
      <w:bookmarkStart w:id="207" w:name="_Toc14112"/>
      <w:bookmarkStart w:id="208" w:name="_Toc19295"/>
      <w:bookmarkStart w:id="209" w:name="_Toc3060"/>
      <w:bookmarkStart w:id="210" w:name="_Toc17593"/>
      <w:bookmarkStart w:id="211" w:name="_Toc16164"/>
      <w:bookmarkStart w:id="212" w:name="_Toc10328"/>
      <w:bookmarkStart w:id="213" w:name="_Toc15396613"/>
      <w:bookmarkStart w:id="214" w:name="_Toc31195"/>
      <w:r>
        <w:rPr>
          <w:rFonts w:hint="eastAsia" w:ascii="黑体" w:eastAsia="黑体"/>
          <w:sz w:val="44"/>
          <w:szCs w:val="44"/>
        </w:rPr>
        <w:t>第三部分  名</w:t>
      </w:r>
      <w:r>
        <w:rPr>
          <w:rStyle w:val="19"/>
          <w:rFonts w:hint="eastAsia" w:ascii="黑体" w:eastAsia="黑体"/>
          <w:b w:val="0"/>
        </w:rPr>
        <w:t>词解释</w:t>
      </w:r>
      <w:bookmarkEnd w:id="206"/>
      <w:bookmarkEnd w:id="207"/>
      <w:bookmarkEnd w:id="208"/>
      <w:bookmarkEnd w:id="209"/>
      <w:bookmarkEnd w:id="210"/>
      <w:bookmarkEnd w:id="211"/>
      <w:bookmarkEnd w:id="212"/>
      <w:bookmarkEnd w:id="213"/>
      <w:bookmarkEnd w:id="214"/>
    </w:p>
    <w:p w14:paraId="47E4AFA5">
      <w:pPr>
        <w:spacing w:line="600" w:lineRule="exact"/>
        <w:jc w:val="center"/>
        <w:rPr>
          <w:rFonts w:ascii="宋体"/>
          <w:b/>
          <w:sz w:val="44"/>
          <w:szCs w:val="44"/>
        </w:rPr>
      </w:pPr>
    </w:p>
    <w:p w14:paraId="6CF1B640">
      <w:pPr>
        <w:pStyle w:val="24"/>
        <w:spacing w:line="560" w:lineRule="exact"/>
        <w:ind w:firstLine="640" w:firstLineChars="200"/>
        <w:outlineLvl w:val="1"/>
        <w:rPr>
          <w:rFonts w:ascii="仿宋_GB2312" w:eastAsia="仿宋_GB2312"/>
          <w:color w:val="auto"/>
          <w:sz w:val="32"/>
          <w:szCs w:val="32"/>
        </w:rPr>
      </w:pPr>
      <w:bookmarkStart w:id="215" w:name="_Toc31657"/>
      <w:bookmarkStart w:id="216" w:name="_Toc4465"/>
      <w:bookmarkStart w:id="217" w:name="_Toc25316"/>
      <w:bookmarkStart w:id="218" w:name="_Toc859"/>
      <w:bookmarkStart w:id="219" w:name="_Toc21960"/>
      <w:bookmarkStart w:id="220" w:name="_Toc5114"/>
      <w:bookmarkStart w:id="221" w:name="_Toc11033"/>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215"/>
      <w:bookmarkEnd w:id="216"/>
      <w:bookmarkEnd w:id="217"/>
      <w:bookmarkEnd w:id="218"/>
      <w:bookmarkEnd w:id="219"/>
      <w:bookmarkEnd w:id="220"/>
      <w:bookmarkEnd w:id="221"/>
    </w:p>
    <w:p w14:paraId="07667522">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338930AB">
      <w:pPr>
        <w:pStyle w:val="24"/>
        <w:spacing w:line="560" w:lineRule="exact"/>
        <w:ind w:firstLine="640" w:firstLineChars="200"/>
        <w:rPr>
          <w:rFonts w:ascii="仿宋_GB2312" w:eastAsia="仿宋_GB2312"/>
          <w:color w:val="auto"/>
          <w:sz w:val="32"/>
          <w:szCs w:val="32"/>
        </w:rPr>
      </w:pPr>
      <w:bookmarkStart w:id="222" w:name="_Toc2640"/>
      <w:bookmarkStart w:id="223" w:name="_Toc15396614"/>
      <w:bookmarkStart w:id="224" w:name="_Toc17935"/>
      <w:bookmarkStart w:id="225" w:name="_Toc15377226"/>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其他收入：指单位取得的除上述收入以外的各项收入。主要是利息收入等。</w:t>
      </w:r>
      <w:r>
        <w:rPr>
          <w:rFonts w:ascii="仿宋_GB2312" w:eastAsia="仿宋_GB2312"/>
          <w:color w:val="auto"/>
          <w:sz w:val="32"/>
          <w:szCs w:val="32"/>
        </w:rPr>
        <w:t xml:space="preserve"> </w:t>
      </w:r>
    </w:p>
    <w:p w14:paraId="0995BF75">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505E34F5">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A9CE5A0">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本年盈余分配：指事业单位按照政府会计制度的规定从非财政拨款结余或事业结余中提取的奖励基金和职工福利基金等。</w:t>
      </w:r>
    </w:p>
    <w:p w14:paraId="44B93D50">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7.年末结转和结余：指单位按有关规定结转到下年或以后年度继续使用的资金。</w:t>
      </w:r>
    </w:p>
    <w:p w14:paraId="70CC86A6">
      <w:pPr>
        <w:ind w:firstLine="640" w:firstLineChars="200"/>
        <w:rPr>
          <w:rFonts w:ascii="仿宋_GB2312" w:eastAsia="仿宋_GB2312"/>
          <w:sz w:val="32"/>
          <w:szCs w:val="32"/>
        </w:rPr>
      </w:pPr>
      <w:r>
        <w:rPr>
          <w:rFonts w:hint="eastAsia" w:ascii="仿宋_GB2312" w:eastAsia="仿宋_GB2312"/>
          <w:color w:val="000000"/>
          <w:sz w:val="32"/>
          <w:szCs w:val="32"/>
        </w:rPr>
        <w:t>8.</w:t>
      </w:r>
      <w:r>
        <w:rPr>
          <w:rFonts w:hint="eastAsia" w:ascii="仿宋" w:hAnsi="仿宋" w:eastAsia="仿宋"/>
          <w:color w:val="000000"/>
          <w:sz w:val="32"/>
          <w:szCs w:val="32"/>
        </w:rPr>
        <w:t>卫生健康支出</w:t>
      </w:r>
      <w:r>
        <w:rPr>
          <w:rStyle w:val="17"/>
          <w:rFonts w:hint="eastAsia" w:ascii="仿宋" w:hAnsi="仿宋" w:eastAsia="仿宋"/>
          <w:b w:val="0"/>
          <w:color w:val="000000"/>
          <w:sz w:val="32"/>
          <w:szCs w:val="32"/>
        </w:rPr>
        <w:t>（类）卫生健康管理事务（款）行政运行（项）</w:t>
      </w:r>
      <w:r>
        <w:rPr>
          <w:rFonts w:hint="eastAsia" w:ascii="仿宋_GB2312" w:eastAsia="仿宋_GB2312"/>
          <w:color w:val="000000"/>
          <w:sz w:val="32"/>
          <w:szCs w:val="32"/>
        </w:rPr>
        <w:t>：指反映行政单位的基本支出；</w:t>
      </w:r>
      <w:r>
        <w:rPr>
          <w:rFonts w:hint="eastAsia" w:ascii="仿宋" w:hAnsi="仿宋" w:eastAsia="仿宋"/>
          <w:color w:val="000000"/>
          <w:sz w:val="32"/>
          <w:szCs w:val="32"/>
        </w:rPr>
        <w:t>卫生健康支出</w:t>
      </w:r>
      <w:r>
        <w:rPr>
          <w:rFonts w:hint="eastAsia" w:ascii="仿宋_GB2312" w:eastAsia="仿宋_GB2312"/>
          <w:color w:val="000000"/>
          <w:sz w:val="32"/>
          <w:szCs w:val="32"/>
        </w:rPr>
        <w:t>(类)公立医院（款）</w:t>
      </w:r>
      <w:r>
        <w:rPr>
          <w:rStyle w:val="17"/>
          <w:rFonts w:hint="eastAsia" w:ascii="仿宋_GB2312" w:eastAsia="仿宋_GB2312"/>
          <w:b w:val="0"/>
          <w:color w:val="000000"/>
          <w:sz w:val="32"/>
          <w:szCs w:val="32"/>
        </w:rPr>
        <w:t>中医（民族）医院（项）</w:t>
      </w:r>
      <w:r>
        <w:rPr>
          <w:rFonts w:hint="eastAsia" w:ascii="仿宋_GB2312" w:eastAsia="仿宋_GB2312"/>
          <w:color w:val="000000"/>
          <w:sz w:val="32"/>
          <w:szCs w:val="32"/>
        </w:rPr>
        <w:t>：指反映</w:t>
      </w:r>
      <w:r>
        <w:rPr>
          <w:rFonts w:hint="eastAsia" w:ascii="仿宋" w:hAnsi="仿宋" w:eastAsia="仿宋"/>
          <w:color w:val="000000"/>
          <w:sz w:val="32"/>
          <w:szCs w:val="32"/>
        </w:rPr>
        <w:t>卫生健康单位</w:t>
      </w:r>
      <w:r>
        <w:rPr>
          <w:rFonts w:hint="eastAsia" w:ascii="仿宋_GB2312" w:eastAsia="仿宋_GB2312"/>
          <w:color w:val="000000"/>
          <w:sz w:val="32"/>
          <w:szCs w:val="32"/>
        </w:rPr>
        <w:t>所属的中医院支出；</w:t>
      </w:r>
      <w:r>
        <w:rPr>
          <w:rFonts w:hint="eastAsia" w:ascii="仿宋" w:hAnsi="仿宋" w:eastAsia="仿宋"/>
          <w:color w:val="000000"/>
          <w:sz w:val="32"/>
          <w:szCs w:val="32"/>
        </w:rPr>
        <w:t>卫生健康支出</w:t>
      </w:r>
      <w:r>
        <w:rPr>
          <w:rFonts w:hint="eastAsia" w:ascii="仿宋_GB2312" w:eastAsia="仿宋_GB2312"/>
          <w:color w:val="000000"/>
          <w:sz w:val="32"/>
          <w:szCs w:val="32"/>
        </w:rPr>
        <w:t>（类）基层医疗卫生机构（款）</w:t>
      </w:r>
      <w:r>
        <w:rPr>
          <w:rStyle w:val="17"/>
          <w:rFonts w:hint="eastAsia" w:ascii="仿宋_GB2312" w:eastAsia="仿宋_GB2312"/>
          <w:b w:val="0"/>
          <w:color w:val="000000"/>
          <w:sz w:val="32"/>
          <w:szCs w:val="32"/>
        </w:rPr>
        <w:t>乡镇卫生院（项）</w:t>
      </w:r>
      <w:r>
        <w:rPr>
          <w:rFonts w:hint="eastAsia" w:ascii="仿宋_GB2312" w:eastAsia="仿宋_GB2312"/>
          <w:color w:val="000000"/>
          <w:sz w:val="32"/>
          <w:szCs w:val="32"/>
        </w:rPr>
        <w:t>：反映乡镇卫生院的支出；</w:t>
      </w:r>
      <w:r>
        <w:rPr>
          <w:rFonts w:hint="eastAsia" w:ascii="仿宋" w:hAnsi="仿宋" w:eastAsia="仿宋"/>
          <w:color w:val="000000"/>
          <w:sz w:val="32"/>
          <w:szCs w:val="32"/>
        </w:rPr>
        <w:t>卫生健康支出</w:t>
      </w:r>
      <w:r>
        <w:rPr>
          <w:rStyle w:val="17"/>
          <w:rFonts w:hint="eastAsia" w:ascii="仿宋_GB2312" w:eastAsia="仿宋_GB2312"/>
          <w:b w:val="0"/>
          <w:color w:val="000000"/>
          <w:sz w:val="32"/>
          <w:szCs w:val="32"/>
        </w:rPr>
        <w:t>（类）公共卫生（款）疾病预防控制机构（项）</w:t>
      </w:r>
      <w:r>
        <w:rPr>
          <w:rFonts w:hint="eastAsia" w:ascii="仿宋_GB2312" w:eastAsia="仿宋_GB2312"/>
          <w:color w:val="000000"/>
          <w:sz w:val="32"/>
          <w:szCs w:val="32"/>
        </w:rPr>
        <w:t>：反映</w:t>
      </w:r>
      <w:r>
        <w:rPr>
          <w:rFonts w:hint="eastAsia" w:ascii="仿宋" w:hAnsi="仿宋" w:eastAsia="仿宋"/>
          <w:color w:val="000000"/>
          <w:sz w:val="32"/>
          <w:szCs w:val="32"/>
        </w:rPr>
        <w:t>卫生健康</w:t>
      </w:r>
      <w:r>
        <w:rPr>
          <w:rFonts w:hint="eastAsia" w:ascii="仿宋_GB2312" w:eastAsia="仿宋_GB2312"/>
          <w:color w:val="000000"/>
          <w:sz w:val="32"/>
          <w:szCs w:val="32"/>
        </w:rPr>
        <w:t>单位所属的疾病预防控制机构的支出；</w:t>
      </w:r>
      <w:r>
        <w:rPr>
          <w:rFonts w:hint="eastAsia" w:ascii="仿宋" w:hAnsi="仿宋" w:eastAsia="仿宋"/>
          <w:color w:val="000000"/>
          <w:sz w:val="32"/>
          <w:szCs w:val="32"/>
        </w:rPr>
        <w:t>卫生健康支出</w:t>
      </w:r>
      <w:r>
        <w:rPr>
          <w:rStyle w:val="17"/>
          <w:rFonts w:hint="eastAsia" w:ascii="仿宋_GB2312" w:eastAsia="仿宋_GB2312"/>
          <w:b w:val="0"/>
          <w:color w:val="000000"/>
          <w:sz w:val="32"/>
          <w:szCs w:val="32"/>
        </w:rPr>
        <w:t>（类）公共卫生（款）卫生监督机构（项）</w:t>
      </w:r>
      <w:r>
        <w:rPr>
          <w:rFonts w:hint="eastAsia" w:ascii="仿宋_GB2312" w:eastAsia="仿宋_GB2312"/>
          <w:color w:val="000000"/>
          <w:sz w:val="32"/>
          <w:szCs w:val="32"/>
        </w:rPr>
        <w:t>：反映</w:t>
      </w:r>
      <w:r>
        <w:rPr>
          <w:rFonts w:hint="eastAsia" w:ascii="仿宋" w:hAnsi="仿宋" w:eastAsia="仿宋"/>
          <w:color w:val="000000"/>
          <w:sz w:val="32"/>
          <w:szCs w:val="32"/>
        </w:rPr>
        <w:t>卫生健康</w:t>
      </w:r>
      <w:r>
        <w:rPr>
          <w:rFonts w:hint="eastAsia" w:ascii="仿宋_GB2312" w:eastAsia="仿宋_GB2312"/>
          <w:color w:val="000000"/>
          <w:sz w:val="32"/>
          <w:szCs w:val="32"/>
        </w:rPr>
        <w:t>单位所属卫生监督机构的支出；</w:t>
      </w:r>
      <w:r>
        <w:rPr>
          <w:rFonts w:hint="eastAsia" w:ascii="仿宋" w:hAnsi="仿宋" w:eastAsia="仿宋"/>
          <w:color w:val="000000"/>
          <w:sz w:val="32"/>
          <w:szCs w:val="32"/>
        </w:rPr>
        <w:t>卫生健康支出</w:t>
      </w:r>
      <w:r>
        <w:rPr>
          <w:rStyle w:val="17"/>
          <w:rFonts w:hint="eastAsia" w:ascii="仿宋_GB2312" w:eastAsia="仿宋_GB2312"/>
          <w:b w:val="0"/>
          <w:color w:val="000000"/>
          <w:sz w:val="32"/>
          <w:szCs w:val="32"/>
        </w:rPr>
        <w:t>（类）公共卫生（款）妇幼保健机构（项）</w:t>
      </w:r>
      <w:r>
        <w:rPr>
          <w:rFonts w:hint="eastAsia" w:ascii="仿宋_GB2312" w:eastAsia="仿宋_GB2312"/>
          <w:color w:val="000000"/>
          <w:sz w:val="32"/>
          <w:szCs w:val="32"/>
        </w:rPr>
        <w:t>：反映</w:t>
      </w:r>
      <w:r>
        <w:rPr>
          <w:rFonts w:hint="eastAsia" w:ascii="仿宋" w:hAnsi="仿宋" w:eastAsia="仿宋"/>
          <w:color w:val="000000"/>
          <w:sz w:val="32"/>
          <w:szCs w:val="32"/>
        </w:rPr>
        <w:t>卫生健康单位</w:t>
      </w:r>
      <w:r>
        <w:rPr>
          <w:rFonts w:hint="eastAsia" w:ascii="仿宋_GB2312" w:eastAsia="仿宋_GB2312"/>
          <w:color w:val="000000"/>
          <w:sz w:val="32"/>
          <w:szCs w:val="32"/>
        </w:rPr>
        <w:t>所属妇幼保健机构的支出；</w:t>
      </w:r>
      <w:r>
        <w:rPr>
          <w:rStyle w:val="17"/>
          <w:rFonts w:hint="eastAsia" w:ascii="仿宋_GB2312" w:eastAsia="仿宋_GB2312"/>
          <w:b w:val="0"/>
          <w:color w:val="000000"/>
          <w:sz w:val="32"/>
          <w:szCs w:val="32"/>
        </w:rPr>
        <w:t>卫生健康支出（类）公共卫生（款）基本公共卫生服务（项）</w:t>
      </w:r>
      <w:r>
        <w:rPr>
          <w:rFonts w:hint="eastAsia" w:ascii="仿宋_GB2312" w:eastAsia="仿宋_GB2312"/>
          <w:color w:val="000000"/>
          <w:sz w:val="32"/>
          <w:szCs w:val="32"/>
        </w:rPr>
        <w:t>：反映乡镇卫生院、社区卫生机构开展基本公共卫生服务的支出；</w:t>
      </w:r>
      <w:r>
        <w:rPr>
          <w:rStyle w:val="17"/>
          <w:rFonts w:hint="eastAsia" w:ascii="仿宋_GB2312" w:eastAsia="仿宋_GB2312"/>
          <w:b w:val="0"/>
          <w:color w:val="000000"/>
          <w:sz w:val="32"/>
          <w:szCs w:val="32"/>
        </w:rPr>
        <w:t>卫生健康支出（类）公共卫生（款）重大公共卫生专项（项）</w:t>
      </w:r>
      <w:r>
        <w:rPr>
          <w:rFonts w:hint="eastAsia" w:ascii="仿宋_GB2312" w:eastAsia="仿宋_GB2312"/>
          <w:color w:val="000000"/>
          <w:sz w:val="32"/>
          <w:szCs w:val="32"/>
        </w:rPr>
        <w:t>：反映重大疾病预防控制等重大公共卫生服务项目支出；</w:t>
      </w:r>
      <w:r>
        <w:rPr>
          <w:rFonts w:hint="eastAsia" w:ascii="仿宋_GB2312" w:eastAsia="仿宋_GB2312"/>
          <w:bCs/>
          <w:color w:val="000000"/>
          <w:sz w:val="32"/>
          <w:szCs w:val="32"/>
        </w:rPr>
        <w:t>卫生健康支出（类）中医药（款）中医药专项（项）</w:t>
      </w:r>
      <w:r>
        <w:rPr>
          <w:rFonts w:hint="eastAsia" w:ascii="仿宋_GB2312" w:eastAsia="仿宋_GB2312"/>
          <w:color w:val="000000"/>
          <w:sz w:val="32"/>
          <w:szCs w:val="32"/>
        </w:rPr>
        <w:t>:主要用于中医专项支出：</w:t>
      </w:r>
      <w:r>
        <w:rPr>
          <w:rStyle w:val="17"/>
          <w:rFonts w:hint="eastAsia" w:ascii="仿宋_GB2312" w:eastAsia="仿宋_GB2312"/>
          <w:b w:val="0"/>
          <w:color w:val="000000"/>
          <w:sz w:val="32"/>
          <w:szCs w:val="32"/>
        </w:rPr>
        <w:t>卫生健康支出</w:t>
      </w:r>
      <w:r>
        <w:rPr>
          <w:rFonts w:hint="eastAsia" w:ascii="仿宋_GB2312" w:eastAsia="仿宋_GB2312"/>
          <w:color w:val="000000"/>
          <w:sz w:val="32"/>
          <w:szCs w:val="32"/>
        </w:rPr>
        <w:t>（类）基层医疗卫生机构（款）其他基层医疗卫生机构支出（项）</w:t>
      </w:r>
      <w:r>
        <w:rPr>
          <w:rStyle w:val="17"/>
          <w:rFonts w:hint="eastAsia" w:ascii="仿宋_GB2312" w:eastAsia="仿宋_GB2312"/>
          <w:b w:val="0"/>
          <w:color w:val="000000"/>
          <w:sz w:val="32"/>
          <w:szCs w:val="32"/>
        </w:rPr>
        <w:t>：反映除乡镇卫生院、城市社区卫生机构以外的其他用于基层医疗卫生机构的支出；卫生健康支出（类）计划生育事务</w:t>
      </w:r>
      <w:r>
        <w:rPr>
          <w:rFonts w:hint="eastAsia" w:ascii="仿宋_GB2312" w:eastAsia="仿宋_GB2312"/>
          <w:color w:val="000000"/>
          <w:sz w:val="32"/>
          <w:szCs w:val="32"/>
        </w:rPr>
        <w:t>（款）其他计划生育事务支出（项）</w:t>
      </w:r>
      <w:r>
        <w:rPr>
          <w:rStyle w:val="17"/>
          <w:rFonts w:hint="eastAsia" w:ascii="仿宋_GB2312" w:eastAsia="仿宋_GB2312"/>
          <w:b w:val="0"/>
          <w:color w:val="000000"/>
          <w:sz w:val="32"/>
          <w:szCs w:val="32"/>
        </w:rPr>
        <w:t>:反映计划生育服务支出；卫生健康支出（类）行政事业单位医疗</w:t>
      </w:r>
      <w:r>
        <w:rPr>
          <w:rFonts w:hint="eastAsia" w:ascii="仿宋_GB2312" w:eastAsia="仿宋_GB2312"/>
          <w:color w:val="000000"/>
          <w:sz w:val="32"/>
          <w:szCs w:val="32"/>
        </w:rPr>
        <w:t>（款）  事业单位医疗（项）</w:t>
      </w:r>
      <w:r>
        <w:rPr>
          <w:rStyle w:val="17"/>
          <w:rFonts w:hint="eastAsia" w:ascii="仿宋_GB2312" w:eastAsia="仿宋_GB2312"/>
          <w:b w:val="0"/>
          <w:color w:val="000000"/>
          <w:sz w:val="32"/>
          <w:szCs w:val="32"/>
        </w:rPr>
        <w:t>:</w:t>
      </w:r>
      <w:r>
        <w:rPr>
          <w:rStyle w:val="17"/>
          <w:rFonts w:hint="eastAsia" w:ascii="仿宋_GB2312" w:eastAsia="仿宋_GB2312"/>
          <w:b w:val="0"/>
          <w:sz w:val="32"/>
          <w:szCs w:val="32"/>
        </w:rPr>
        <w:t>反映</w:t>
      </w:r>
      <w:r>
        <w:rPr>
          <w:rStyle w:val="17"/>
          <w:rFonts w:hint="eastAsia" w:ascii="仿宋_GB2312" w:eastAsia="仿宋_GB2312"/>
          <w:b w:val="0"/>
          <w:color w:val="000000"/>
          <w:sz w:val="32"/>
          <w:szCs w:val="32"/>
        </w:rPr>
        <w:t>卫生健康支出中的在职人员医疗保险；卫生健康支出（类）行政事业单位医疗</w:t>
      </w:r>
      <w:r>
        <w:rPr>
          <w:rFonts w:hint="eastAsia" w:ascii="仿宋_GB2312" w:eastAsia="仿宋_GB2312"/>
          <w:color w:val="000000"/>
          <w:sz w:val="32"/>
          <w:szCs w:val="32"/>
        </w:rPr>
        <w:t>（款）其他卫生健康支出（项）反映基层医疗单位贫困人口体检支出：</w:t>
      </w:r>
      <w:r>
        <w:rPr>
          <w:rFonts w:hint="eastAsia" w:ascii="仿宋_GB2312" w:eastAsia="仿宋_GB2312"/>
          <w:sz w:val="32"/>
          <w:szCs w:val="32"/>
        </w:rPr>
        <w:t>农林水支出（类）扶贫（款）其他扶贫支出（项）主要反映健康扶贫支出。</w:t>
      </w:r>
    </w:p>
    <w:p w14:paraId="5B7DD583">
      <w:pPr>
        <w:ind w:firstLine="640" w:firstLineChars="200"/>
        <w:rPr>
          <w:rStyle w:val="17"/>
          <w:rFonts w:ascii="仿宋" w:hAnsi="仿宋" w:eastAsia="仿宋" w:cs="仿宋"/>
          <w:b w:val="0"/>
          <w:color w:val="000000"/>
          <w:sz w:val="32"/>
          <w:szCs w:val="32"/>
        </w:rPr>
      </w:pPr>
      <w:r>
        <w:rPr>
          <w:rFonts w:hint="eastAsia" w:ascii="仿宋" w:hAnsi="仿宋" w:eastAsia="仿宋" w:cs="仿宋"/>
          <w:sz w:val="32"/>
          <w:szCs w:val="32"/>
        </w:rPr>
        <w:t>9.社会保障和就业支出：反映政府在社会保障和就业方面的支出。</w:t>
      </w:r>
      <w:r>
        <w:rPr>
          <w:rFonts w:hint="eastAsia" w:ascii="仿宋" w:hAnsi="仿宋" w:eastAsia="仿宋" w:cs="仿宋"/>
          <w:sz w:val="32"/>
          <w:szCs w:val="32"/>
        </w:rPr>
        <w:br w:type="textWrapping"/>
      </w:r>
      <w:r>
        <w:rPr>
          <w:rFonts w:hint="eastAsia" w:ascii="仿宋" w:hAnsi="仿宋" w:eastAsia="仿宋" w:cs="仿宋"/>
          <w:sz w:val="32"/>
          <w:szCs w:val="32"/>
        </w:rPr>
        <w:t>社会保障和就业支出-行政事业单位离退休-机关事业单位基本养老保险缴费支出：反映机关事业单位实施养老保险制度由单位缴纳的基本养老保险支出；</w:t>
      </w:r>
      <w:r>
        <w:rPr>
          <w:rFonts w:hint="eastAsia" w:ascii="仿宋" w:hAnsi="仿宋" w:eastAsia="仿宋" w:cs="仿宋"/>
          <w:sz w:val="32"/>
          <w:szCs w:val="32"/>
        </w:rPr>
        <w:br w:type="textWrapping"/>
      </w:r>
      <w:r>
        <w:rPr>
          <w:rFonts w:hint="eastAsia" w:ascii="仿宋" w:hAnsi="仿宋" w:eastAsia="仿宋" w:cs="仿宋"/>
          <w:sz w:val="32"/>
          <w:szCs w:val="32"/>
        </w:rPr>
        <w:t xml:space="preserve">    10.住房保障支出：住房保障支出-住房改革支出-住房公积金：反映行政事业单位按人力资源和社会保障部、财政部规定的基本工资和津贴补贴以及规定比例为职工缴纳的住房公积金。</w:t>
      </w:r>
    </w:p>
    <w:p w14:paraId="682E287D">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14FCBF9E">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4C7EC3F0">
      <w:pPr>
        <w:spacing w:line="600" w:lineRule="exact"/>
        <w:jc w:val="center"/>
        <w:rPr>
          <w:rFonts w:ascii="黑体" w:eastAsia="黑体"/>
          <w:sz w:val="44"/>
          <w:szCs w:val="44"/>
        </w:rPr>
      </w:pPr>
    </w:p>
    <w:p w14:paraId="32EF3851">
      <w:pPr>
        <w:spacing w:line="600" w:lineRule="exact"/>
        <w:jc w:val="center"/>
        <w:outlineLvl w:val="0"/>
        <w:rPr>
          <w:rStyle w:val="19"/>
          <w:rFonts w:ascii="黑体" w:eastAsia="黑体"/>
          <w:b w:val="0"/>
        </w:rPr>
      </w:pPr>
      <w:bookmarkStart w:id="226" w:name="_Toc10867"/>
      <w:bookmarkStart w:id="227" w:name="_Toc13610"/>
      <w:bookmarkStart w:id="228" w:name="_Toc4143"/>
      <w:bookmarkStart w:id="229" w:name="_Toc570"/>
      <w:bookmarkStart w:id="230" w:name="_Toc17584"/>
      <w:r>
        <w:rPr>
          <w:rFonts w:hint="eastAsia" w:ascii="黑体" w:eastAsia="黑体"/>
          <w:sz w:val="44"/>
          <w:szCs w:val="44"/>
        </w:rPr>
        <w:t>第</w:t>
      </w:r>
      <w:r>
        <w:rPr>
          <w:rStyle w:val="19"/>
          <w:rFonts w:hint="eastAsia" w:ascii="黑体" w:eastAsia="黑体"/>
          <w:b w:val="0"/>
        </w:rPr>
        <w:t>四部分 附件</w:t>
      </w:r>
      <w:bookmarkEnd w:id="222"/>
      <w:bookmarkEnd w:id="223"/>
      <w:bookmarkEnd w:id="224"/>
      <w:bookmarkEnd w:id="226"/>
      <w:bookmarkEnd w:id="227"/>
      <w:bookmarkEnd w:id="228"/>
      <w:bookmarkEnd w:id="229"/>
      <w:bookmarkEnd w:id="230"/>
    </w:p>
    <w:tbl>
      <w:tblPr>
        <w:tblStyle w:val="15"/>
        <w:tblW w:w="10440" w:type="dxa"/>
        <w:jc w:val="center"/>
        <w:tblLayout w:type="autofit"/>
        <w:tblCellMar>
          <w:top w:w="0" w:type="dxa"/>
          <w:left w:w="108" w:type="dxa"/>
          <w:bottom w:w="0" w:type="dxa"/>
          <w:right w:w="108" w:type="dxa"/>
        </w:tblCellMar>
      </w:tblPr>
      <w:tblGrid>
        <w:gridCol w:w="528"/>
        <w:gridCol w:w="499"/>
        <w:gridCol w:w="1159"/>
        <w:gridCol w:w="2173"/>
        <w:gridCol w:w="1641"/>
        <w:gridCol w:w="1386"/>
        <w:gridCol w:w="996"/>
        <w:gridCol w:w="2058"/>
      </w:tblGrid>
      <w:tr w14:paraId="103E00BB">
        <w:tblPrEx>
          <w:tblCellMar>
            <w:top w:w="0" w:type="dxa"/>
            <w:left w:w="108" w:type="dxa"/>
            <w:bottom w:w="0" w:type="dxa"/>
            <w:right w:w="108" w:type="dxa"/>
          </w:tblCellMar>
        </w:tblPrEx>
        <w:trPr>
          <w:trHeight w:val="600" w:hRule="atLeast"/>
          <w:jc w:val="center"/>
        </w:trPr>
        <w:tc>
          <w:tcPr>
            <w:tcW w:w="10450" w:type="dxa"/>
            <w:gridSpan w:val="8"/>
            <w:tcBorders>
              <w:top w:val="nil"/>
              <w:left w:val="nil"/>
              <w:bottom w:val="nil"/>
              <w:right w:val="nil"/>
            </w:tcBorders>
            <w:vAlign w:val="center"/>
          </w:tcPr>
          <w:p w14:paraId="329EE677">
            <w:pPr>
              <w:widowControl/>
              <w:jc w:val="center"/>
              <w:textAlignment w:val="center"/>
              <w:rPr>
                <w:rFonts w:ascii="宋体" w:hAnsi="宋体" w:cs="宋体"/>
                <w:b/>
                <w:bCs/>
                <w:color w:val="000000"/>
                <w:sz w:val="32"/>
                <w:szCs w:val="32"/>
              </w:rPr>
            </w:pPr>
            <w:bookmarkStart w:id="231" w:name="_Toc15396618"/>
            <w:bookmarkStart w:id="232" w:name="_Toc16992"/>
            <w:bookmarkStart w:id="233" w:name="_Toc1424"/>
            <w:r>
              <w:rPr>
                <w:rFonts w:hint="eastAsia" w:ascii="宋体" w:hAnsi="宋体" w:cs="宋体"/>
                <w:b/>
                <w:bCs/>
                <w:color w:val="000000"/>
                <w:kern w:val="0"/>
                <w:sz w:val="32"/>
                <w:szCs w:val="32"/>
              </w:rPr>
              <w:t xml:space="preserve">基本药物制度转移支付区域（项目）绩效目标自评表 </w:t>
            </w:r>
          </w:p>
        </w:tc>
      </w:tr>
      <w:tr w14:paraId="5F95C171">
        <w:tblPrEx>
          <w:tblCellMar>
            <w:top w:w="0" w:type="dxa"/>
            <w:left w:w="108" w:type="dxa"/>
            <w:bottom w:w="0" w:type="dxa"/>
            <w:right w:w="108" w:type="dxa"/>
          </w:tblCellMar>
        </w:tblPrEx>
        <w:trPr>
          <w:trHeight w:val="432" w:hRule="atLeast"/>
          <w:jc w:val="center"/>
        </w:trPr>
        <w:tc>
          <w:tcPr>
            <w:tcW w:w="10450" w:type="dxa"/>
            <w:gridSpan w:val="8"/>
            <w:tcBorders>
              <w:top w:val="nil"/>
              <w:left w:val="nil"/>
              <w:bottom w:val="single" w:color="000000" w:sz="4" w:space="0"/>
              <w:right w:val="nil"/>
            </w:tcBorders>
          </w:tcPr>
          <w:p w14:paraId="42BF7C89">
            <w:pPr>
              <w:widowControl/>
              <w:jc w:val="center"/>
              <w:textAlignment w:val="top"/>
              <w:rPr>
                <w:rFonts w:ascii="宋体" w:hAnsi="宋体" w:cs="宋体"/>
                <w:color w:val="000000"/>
                <w:sz w:val="22"/>
                <w:szCs w:val="22"/>
              </w:rPr>
            </w:pPr>
            <w:r>
              <w:rPr>
                <w:rFonts w:hint="eastAsia" w:ascii="宋体" w:hAnsi="宋体" w:cs="宋体"/>
                <w:color w:val="000000"/>
                <w:kern w:val="0"/>
                <w:sz w:val="22"/>
                <w:szCs w:val="22"/>
              </w:rPr>
              <w:t>（2021年度）</w:t>
            </w:r>
          </w:p>
        </w:tc>
      </w:tr>
      <w:tr w14:paraId="7806195C">
        <w:tblPrEx>
          <w:tblCellMar>
            <w:top w:w="0" w:type="dxa"/>
            <w:left w:w="108" w:type="dxa"/>
            <w:bottom w:w="0" w:type="dxa"/>
            <w:right w:w="108" w:type="dxa"/>
          </w:tblCellMar>
        </w:tblPrEx>
        <w:trPr>
          <w:trHeight w:val="400" w:hRule="atLeast"/>
          <w:jc w:val="center"/>
        </w:trPr>
        <w:tc>
          <w:tcPr>
            <w:tcW w:w="2164" w:type="dxa"/>
            <w:gridSpan w:val="3"/>
            <w:tcBorders>
              <w:top w:val="single" w:color="000000" w:sz="4" w:space="0"/>
              <w:left w:val="single" w:color="000000" w:sz="4" w:space="0"/>
              <w:bottom w:val="single" w:color="000000" w:sz="4" w:space="0"/>
              <w:right w:val="single" w:color="000000" w:sz="4" w:space="0"/>
            </w:tcBorders>
            <w:vAlign w:val="center"/>
          </w:tcPr>
          <w:p w14:paraId="71DA9D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转移支付（项目）名称</w:t>
            </w:r>
          </w:p>
        </w:tc>
        <w:tc>
          <w:tcPr>
            <w:tcW w:w="8286" w:type="dxa"/>
            <w:gridSpan w:val="5"/>
            <w:tcBorders>
              <w:top w:val="single" w:color="000000" w:sz="4" w:space="0"/>
              <w:left w:val="single" w:color="000000" w:sz="4" w:space="0"/>
              <w:bottom w:val="single" w:color="000000" w:sz="4" w:space="0"/>
              <w:right w:val="single" w:color="000000" w:sz="4" w:space="0"/>
            </w:tcBorders>
            <w:vAlign w:val="center"/>
          </w:tcPr>
          <w:p w14:paraId="392E42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基本药物制度资金</w:t>
            </w:r>
          </w:p>
        </w:tc>
      </w:tr>
      <w:tr w14:paraId="6024A25A">
        <w:tblPrEx>
          <w:tblCellMar>
            <w:top w:w="0" w:type="dxa"/>
            <w:left w:w="108" w:type="dxa"/>
            <w:bottom w:w="0" w:type="dxa"/>
            <w:right w:w="108" w:type="dxa"/>
          </w:tblCellMar>
        </w:tblPrEx>
        <w:trPr>
          <w:trHeight w:val="323" w:hRule="atLeast"/>
          <w:jc w:val="center"/>
        </w:trPr>
        <w:tc>
          <w:tcPr>
            <w:tcW w:w="2164" w:type="dxa"/>
            <w:gridSpan w:val="3"/>
            <w:tcBorders>
              <w:top w:val="single" w:color="000000" w:sz="4" w:space="0"/>
              <w:left w:val="single" w:color="000000" w:sz="4" w:space="0"/>
              <w:bottom w:val="single" w:color="000000" w:sz="4" w:space="0"/>
              <w:right w:val="single" w:color="000000" w:sz="4" w:space="0"/>
            </w:tcBorders>
            <w:vAlign w:val="center"/>
          </w:tcPr>
          <w:p w14:paraId="5C6C24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中央主管部门</w:t>
            </w:r>
          </w:p>
        </w:tc>
        <w:tc>
          <w:tcPr>
            <w:tcW w:w="8286" w:type="dxa"/>
            <w:gridSpan w:val="5"/>
            <w:tcBorders>
              <w:top w:val="single" w:color="000000" w:sz="4" w:space="0"/>
              <w:left w:val="single" w:color="000000" w:sz="4" w:space="0"/>
              <w:bottom w:val="single" w:color="000000" w:sz="4" w:space="0"/>
              <w:right w:val="single" w:color="000000" w:sz="4" w:space="0"/>
            </w:tcBorders>
            <w:vAlign w:val="center"/>
          </w:tcPr>
          <w:p w14:paraId="0398E2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国家卫健委</w:t>
            </w:r>
          </w:p>
        </w:tc>
      </w:tr>
      <w:tr w14:paraId="4E9E1BA8">
        <w:tblPrEx>
          <w:tblCellMar>
            <w:top w:w="0" w:type="dxa"/>
            <w:left w:w="108" w:type="dxa"/>
            <w:bottom w:w="0" w:type="dxa"/>
            <w:right w:w="108" w:type="dxa"/>
          </w:tblCellMar>
        </w:tblPrEx>
        <w:trPr>
          <w:trHeight w:val="323" w:hRule="atLeast"/>
          <w:jc w:val="center"/>
        </w:trPr>
        <w:tc>
          <w:tcPr>
            <w:tcW w:w="2164" w:type="dxa"/>
            <w:gridSpan w:val="3"/>
            <w:tcBorders>
              <w:top w:val="single" w:color="000000" w:sz="4" w:space="0"/>
              <w:left w:val="single" w:color="000000" w:sz="4" w:space="0"/>
              <w:bottom w:val="single" w:color="000000" w:sz="4" w:space="0"/>
              <w:right w:val="single" w:color="000000" w:sz="4" w:space="0"/>
            </w:tcBorders>
            <w:vAlign w:val="center"/>
          </w:tcPr>
          <w:p w14:paraId="54BDD2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地方主管部门</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79C0A3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广元市昭化区卫健局</w:t>
            </w:r>
          </w:p>
        </w:tc>
        <w:tc>
          <w:tcPr>
            <w:tcW w:w="1391" w:type="dxa"/>
            <w:tcBorders>
              <w:top w:val="single" w:color="000000" w:sz="4" w:space="0"/>
              <w:left w:val="single" w:color="000000" w:sz="4" w:space="0"/>
              <w:bottom w:val="single" w:color="000000" w:sz="4" w:space="0"/>
              <w:right w:val="single" w:color="000000" w:sz="4" w:space="0"/>
            </w:tcBorders>
            <w:vAlign w:val="center"/>
          </w:tcPr>
          <w:p w14:paraId="7D127B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资金使用单位</w:t>
            </w:r>
          </w:p>
        </w:tc>
        <w:tc>
          <w:tcPr>
            <w:tcW w:w="3065" w:type="dxa"/>
            <w:gridSpan w:val="2"/>
            <w:tcBorders>
              <w:top w:val="single" w:color="000000" w:sz="4" w:space="0"/>
              <w:left w:val="single" w:color="000000" w:sz="4" w:space="0"/>
              <w:bottom w:val="single" w:color="000000" w:sz="4" w:space="0"/>
              <w:right w:val="single" w:color="000000" w:sz="4" w:space="0"/>
            </w:tcBorders>
            <w:vAlign w:val="center"/>
          </w:tcPr>
          <w:p w14:paraId="7CF80DCA">
            <w:pPr>
              <w:widowControl/>
              <w:jc w:val="center"/>
              <w:textAlignment w:val="center"/>
              <w:rPr>
                <w:rFonts w:ascii="宋体" w:hAnsi="宋体" w:cs="宋体"/>
                <w:color w:val="000000"/>
                <w:sz w:val="20"/>
                <w:szCs w:val="20"/>
              </w:rPr>
            </w:pPr>
            <w:r>
              <w:rPr>
                <w:rFonts w:hint="eastAsia" w:ascii="宋体" w:hAnsi="宋体" w:cs="宋体"/>
                <w:color w:val="000000"/>
                <w:sz w:val="20"/>
                <w:szCs w:val="20"/>
              </w:rPr>
              <w:t>石井铺乡卫生院</w:t>
            </w:r>
          </w:p>
        </w:tc>
      </w:tr>
      <w:tr w14:paraId="7E61843B">
        <w:tblPrEx>
          <w:tblCellMar>
            <w:top w:w="0" w:type="dxa"/>
            <w:left w:w="108" w:type="dxa"/>
            <w:bottom w:w="0" w:type="dxa"/>
            <w:right w:w="108" w:type="dxa"/>
          </w:tblCellMar>
        </w:tblPrEx>
        <w:trPr>
          <w:trHeight w:val="323" w:hRule="atLeast"/>
          <w:jc w:val="center"/>
        </w:trPr>
        <w:tc>
          <w:tcPr>
            <w:tcW w:w="216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88D85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资金情况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2183" w:type="dxa"/>
            <w:tcBorders>
              <w:top w:val="single" w:color="000000" w:sz="4" w:space="0"/>
              <w:left w:val="single" w:color="000000" w:sz="4" w:space="0"/>
              <w:bottom w:val="single" w:color="000000" w:sz="4" w:space="0"/>
              <w:right w:val="single" w:color="000000" w:sz="4" w:space="0"/>
            </w:tcBorders>
            <w:vAlign w:val="center"/>
          </w:tcPr>
          <w:p w14:paraId="4BABF967">
            <w:pPr>
              <w:rPr>
                <w:rFonts w:ascii="宋体" w:hAnsi="宋体" w:cs="宋体"/>
                <w:color w:val="000000"/>
                <w:sz w:val="20"/>
                <w:szCs w:val="20"/>
              </w:rPr>
            </w:pPr>
          </w:p>
        </w:tc>
        <w:tc>
          <w:tcPr>
            <w:tcW w:w="1647" w:type="dxa"/>
            <w:tcBorders>
              <w:top w:val="single" w:color="000000" w:sz="4" w:space="0"/>
              <w:left w:val="single" w:color="000000" w:sz="4" w:space="0"/>
              <w:bottom w:val="single" w:color="000000" w:sz="4" w:space="0"/>
              <w:right w:val="single" w:color="000000" w:sz="4" w:space="0"/>
            </w:tcBorders>
            <w:vAlign w:val="center"/>
          </w:tcPr>
          <w:p w14:paraId="5F38F7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全年预算数（A）</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37957B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2066" w:type="dxa"/>
            <w:tcBorders>
              <w:top w:val="single" w:color="000000" w:sz="4" w:space="0"/>
              <w:left w:val="single" w:color="000000" w:sz="4" w:space="0"/>
              <w:bottom w:val="single" w:color="000000" w:sz="4" w:space="0"/>
              <w:right w:val="single" w:color="000000" w:sz="4" w:space="0"/>
            </w:tcBorders>
            <w:vAlign w:val="center"/>
          </w:tcPr>
          <w:p w14:paraId="10D176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预算执行率（B/A)</w:t>
            </w:r>
          </w:p>
        </w:tc>
      </w:tr>
      <w:tr w14:paraId="26915D3E">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63D48E8">
            <w:pPr>
              <w:jc w:val="center"/>
              <w:rPr>
                <w:rFonts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vAlign w:val="center"/>
          </w:tcPr>
          <w:p w14:paraId="56707D1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1647" w:type="dxa"/>
            <w:tcBorders>
              <w:top w:val="single" w:color="000000" w:sz="4" w:space="0"/>
              <w:left w:val="single" w:color="000000" w:sz="4" w:space="0"/>
              <w:bottom w:val="single" w:color="000000" w:sz="4" w:space="0"/>
              <w:right w:val="single" w:color="000000" w:sz="4" w:space="0"/>
            </w:tcBorders>
            <w:vAlign w:val="center"/>
          </w:tcPr>
          <w:p w14:paraId="507C82B5">
            <w:pPr>
              <w:widowControl/>
              <w:jc w:val="center"/>
              <w:textAlignment w:val="center"/>
              <w:rPr>
                <w:rFonts w:ascii="宋体" w:hAnsi="宋体" w:cs="宋体"/>
                <w:color w:val="000000"/>
                <w:sz w:val="20"/>
                <w:szCs w:val="20"/>
              </w:rPr>
            </w:pPr>
            <w:r>
              <w:rPr>
                <w:rFonts w:hint="eastAsia" w:ascii="宋体" w:hAnsi="宋体" w:cs="宋体"/>
                <w:color w:val="000000"/>
                <w:sz w:val="20"/>
                <w:szCs w:val="20"/>
              </w:rPr>
              <w:t>18.96</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3C3E3FB3">
            <w:pPr>
              <w:widowControl/>
              <w:jc w:val="center"/>
              <w:textAlignment w:val="center"/>
              <w:rPr>
                <w:rFonts w:ascii="宋体" w:hAnsi="宋体" w:cs="宋体"/>
                <w:color w:val="000000"/>
                <w:sz w:val="20"/>
                <w:szCs w:val="20"/>
              </w:rPr>
            </w:pPr>
            <w:r>
              <w:rPr>
                <w:rFonts w:hint="eastAsia" w:ascii="宋体" w:hAnsi="宋体" w:cs="宋体"/>
                <w:color w:val="000000"/>
                <w:sz w:val="20"/>
                <w:szCs w:val="20"/>
              </w:rPr>
              <w:t>18.96</w:t>
            </w:r>
          </w:p>
        </w:tc>
        <w:tc>
          <w:tcPr>
            <w:tcW w:w="2066" w:type="dxa"/>
            <w:tcBorders>
              <w:top w:val="single" w:color="000000" w:sz="4" w:space="0"/>
              <w:left w:val="single" w:color="000000" w:sz="4" w:space="0"/>
              <w:bottom w:val="single" w:color="000000" w:sz="4" w:space="0"/>
              <w:right w:val="single" w:color="000000" w:sz="4" w:space="0"/>
            </w:tcBorders>
            <w:vAlign w:val="center"/>
          </w:tcPr>
          <w:p w14:paraId="105358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7386CE2E">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2AB3917">
            <w:pPr>
              <w:jc w:val="center"/>
              <w:rPr>
                <w:rFonts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vAlign w:val="center"/>
          </w:tcPr>
          <w:p w14:paraId="1A7466F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30"/>
              </w:rPr>
              <w:t>其中：中央财政资金</w:t>
            </w:r>
          </w:p>
        </w:tc>
        <w:tc>
          <w:tcPr>
            <w:tcW w:w="1647" w:type="dxa"/>
            <w:tcBorders>
              <w:top w:val="single" w:color="000000" w:sz="4" w:space="0"/>
              <w:left w:val="single" w:color="000000" w:sz="4" w:space="0"/>
              <w:bottom w:val="single" w:color="000000" w:sz="4" w:space="0"/>
              <w:right w:val="single" w:color="000000" w:sz="4" w:space="0"/>
            </w:tcBorders>
            <w:vAlign w:val="center"/>
          </w:tcPr>
          <w:p w14:paraId="53B7EB75">
            <w:pPr>
              <w:widowControl/>
              <w:jc w:val="center"/>
              <w:textAlignment w:val="center"/>
              <w:rPr>
                <w:rFonts w:ascii="宋体" w:hAnsi="宋体" w:cs="宋体"/>
                <w:color w:val="000000"/>
                <w:sz w:val="20"/>
                <w:szCs w:val="20"/>
              </w:rPr>
            </w:pPr>
            <w:r>
              <w:rPr>
                <w:rFonts w:hint="eastAsia" w:ascii="宋体" w:hAnsi="宋体" w:cs="宋体"/>
                <w:color w:val="000000"/>
                <w:sz w:val="20"/>
                <w:szCs w:val="20"/>
              </w:rPr>
              <w:t>15.42</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54A969AA">
            <w:pPr>
              <w:widowControl/>
              <w:jc w:val="center"/>
              <w:textAlignment w:val="center"/>
              <w:rPr>
                <w:rFonts w:ascii="宋体" w:hAnsi="宋体" w:cs="宋体"/>
                <w:color w:val="000000"/>
                <w:sz w:val="20"/>
                <w:szCs w:val="20"/>
              </w:rPr>
            </w:pPr>
            <w:r>
              <w:rPr>
                <w:rFonts w:hint="eastAsia" w:ascii="宋体" w:hAnsi="宋体" w:cs="宋体"/>
                <w:color w:val="000000"/>
                <w:sz w:val="20"/>
                <w:szCs w:val="20"/>
              </w:rPr>
              <w:t>15.42</w:t>
            </w:r>
          </w:p>
        </w:tc>
        <w:tc>
          <w:tcPr>
            <w:tcW w:w="2066" w:type="dxa"/>
            <w:tcBorders>
              <w:top w:val="single" w:color="000000" w:sz="4" w:space="0"/>
              <w:left w:val="single" w:color="000000" w:sz="4" w:space="0"/>
              <w:bottom w:val="single" w:color="000000" w:sz="4" w:space="0"/>
              <w:right w:val="single" w:color="000000" w:sz="4" w:space="0"/>
            </w:tcBorders>
            <w:vAlign w:val="center"/>
          </w:tcPr>
          <w:p w14:paraId="38782B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2B1E9B89">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5670779">
            <w:pPr>
              <w:jc w:val="center"/>
              <w:rPr>
                <w:rFonts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vAlign w:val="center"/>
          </w:tcPr>
          <w:p w14:paraId="2836CCD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30"/>
              </w:rPr>
              <w:t xml:space="preserve">      地方资金</w:t>
            </w:r>
          </w:p>
        </w:tc>
        <w:tc>
          <w:tcPr>
            <w:tcW w:w="1647" w:type="dxa"/>
            <w:tcBorders>
              <w:top w:val="single" w:color="000000" w:sz="4" w:space="0"/>
              <w:left w:val="single" w:color="000000" w:sz="4" w:space="0"/>
              <w:bottom w:val="single" w:color="000000" w:sz="4" w:space="0"/>
              <w:right w:val="single" w:color="000000" w:sz="4" w:space="0"/>
            </w:tcBorders>
            <w:vAlign w:val="center"/>
          </w:tcPr>
          <w:p w14:paraId="74515316">
            <w:pPr>
              <w:widowControl/>
              <w:jc w:val="center"/>
              <w:textAlignment w:val="center"/>
              <w:rPr>
                <w:rFonts w:ascii="宋体" w:hAnsi="宋体" w:cs="宋体"/>
                <w:color w:val="000000"/>
                <w:sz w:val="20"/>
                <w:szCs w:val="20"/>
              </w:rPr>
            </w:pPr>
            <w:r>
              <w:rPr>
                <w:rFonts w:hint="eastAsia" w:ascii="宋体" w:hAnsi="宋体" w:cs="宋体"/>
                <w:color w:val="000000"/>
                <w:sz w:val="20"/>
                <w:szCs w:val="20"/>
              </w:rPr>
              <w:t>3.54</w:t>
            </w: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4380C480">
            <w:pPr>
              <w:widowControl/>
              <w:jc w:val="center"/>
              <w:textAlignment w:val="center"/>
              <w:rPr>
                <w:rFonts w:ascii="宋体" w:hAnsi="宋体" w:cs="宋体"/>
                <w:color w:val="000000"/>
                <w:sz w:val="20"/>
                <w:szCs w:val="20"/>
              </w:rPr>
            </w:pPr>
            <w:r>
              <w:rPr>
                <w:rFonts w:hint="eastAsia" w:ascii="宋体" w:hAnsi="宋体" w:cs="宋体"/>
                <w:color w:val="000000"/>
                <w:sz w:val="20"/>
                <w:szCs w:val="20"/>
              </w:rPr>
              <w:t>3.54</w:t>
            </w:r>
          </w:p>
        </w:tc>
        <w:tc>
          <w:tcPr>
            <w:tcW w:w="2066" w:type="dxa"/>
            <w:tcBorders>
              <w:top w:val="single" w:color="000000" w:sz="4" w:space="0"/>
              <w:left w:val="single" w:color="000000" w:sz="4" w:space="0"/>
              <w:bottom w:val="single" w:color="000000" w:sz="4" w:space="0"/>
              <w:right w:val="single" w:color="000000" w:sz="4" w:space="0"/>
            </w:tcBorders>
            <w:vAlign w:val="center"/>
          </w:tcPr>
          <w:p w14:paraId="4EE979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09DDEC63">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470BF90">
            <w:pPr>
              <w:jc w:val="center"/>
              <w:rPr>
                <w:rFonts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vAlign w:val="center"/>
          </w:tcPr>
          <w:p w14:paraId="3AE7AE4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r>
              <w:rPr>
                <w:rStyle w:val="30"/>
              </w:rPr>
              <w:t xml:space="preserve">  其他资金</w:t>
            </w:r>
          </w:p>
        </w:tc>
        <w:tc>
          <w:tcPr>
            <w:tcW w:w="1647" w:type="dxa"/>
            <w:tcBorders>
              <w:top w:val="single" w:color="000000" w:sz="4" w:space="0"/>
              <w:left w:val="single" w:color="000000" w:sz="4" w:space="0"/>
              <w:bottom w:val="single" w:color="000000" w:sz="4" w:space="0"/>
              <w:right w:val="single" w:color="000000" w:sz="4" w:space="0"/>
            </w:tcBorders>
            <w:vAlign w:val="center"/>
          </w:tcPr>
          <w:p w14:paraId="5C5D4850">
            <w:pPr>
              <w:jc w:val="center"/>
              <w:rPr>
                <w:rFonts w:ascii="宋体" w:hAnsi="宋体" w:cs="宋体"/>
                <w:color w:val="000000"/>
                <w:sz w:val="20"/>
                <w:szCs w:val="20"/>
              </w:rPr>
            </w:pPr>
          </w:p>
        </w:tc>
        <w:tc>
          <w:tcPr>
            <w:tcW w:w="2390" w:type="dxa"/>
            <w:gridSpan w:val="2"/>
            <w:tcBorders>
              <w:top w:val="single" w:color="000000" w:sz="4" w:space="0"/>
              <w:left w:val="single" w:color="000000" w:sz="4" w:space="0"/>
              <w:bottom w:val="single" w:color="000000" w:sz="4" w:space="0"/>
              <w:right w:val="single" w:color="000000" w:sz="4" w:space="0"/>
            </w:tcBorders>
            <w:vAlign w:val="center"/>
          </w:tcPr>
          <w:p w14:paraId="7E44B55F">
            <w:pPr>
              <w:jc w:val="center"/>
              <w:rPr>
                <w:rFonts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514A3510">
            <w:pPr>
              <w:jc w:val="left"/>
              <w:rPr>
                <w:rFonts w:ascii="宋体" w:hAnsi="宋体" w:cs="宋体"/>
                <w:color w:val="000000"/>
                <w:sz w:val="20"/>
                <w:szCs w:val="20"/>
              </w:rPr>
            </w:pPr>
          </w:p>
        </w:tc>
      </w:tr>
      <w:tr w14:paraId="355A8A66">
        <w:tblPrEx>
          <w:tblCellMar>
            <w:top w:w="0" w:type="dxa"/>
            <w:left w:w="108" w:type="dxa"/>
            <w:bottom w:w="0" w:type="dxa"/>
            <w:right w:w="108" w:type="dxa"/>
          </w:tblCellMar>
        </w:tblPrEx>
        <w:trPr>
          <w:trHeight w:val="323" w:hRule="atLeast"/>
          <w:jc w:val="center"/>
        </w:trPr>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578A83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总体目标完成情况</w:t>
            </w:r>
          </w:p>
        </w:tc>
        <w:tc>
          <w:tcPr>
            <w:tcW w:w="5494" w:type="dxa"/>
            <w:gridSpan w:val="4"/>
            <w:tcBorders>
              <w:top w:val="single" w:color="000000" w:sz="4" w:space="0"/>
              <w:left w:val="single" w:color="000000" w:sz="4" w:space="0"/>
              <w:bottom w:val="single" w:color="000000" w:sz="4" w:space="0"/>
              <w:right w:val="single" w:color="000000" w:sz="4" w:space="0"/>
            </w:tcBorders>
            <w:vAlign w:val="center"/>
          </w:tcPr>
          <w:p w14:paraId="60859B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w:t>
            </w:r>
          </w:p>
        </w:tc>
        <w:tc>
          <w:tcPr>
            <w:tcW w:w="4456" w:type="dxa"/>
            <w:gridSpan w:val="3"/>
            <w:tcBorders>
              <w:top w:val="single" w:color="000000" w:sz="4" w:space="0"/>
              <w:left w:val="single" w:color="000000" w:sz="4" w:space="0"/>
              <w:bottom w:val="single" w:color="000000" w:sz="4" w:space="0"/>
              <w:right w:val="single" w:color="000000" w:sz="4" w:space="0"/>
            </w:tcBorders>
            <w:vAlign w:val="center"/>
          </w:tcPr>
          <w:p w14:paraId="510CAC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全年实际完成情况</w:t>
            </w:r>
          </w:p>
        </w:tc>
      </w:tr>
      <w:tr w14:paraId="2BF1250F">
        <w:tblPrEx>
          <w:tblCellMar>
            <w:top w:w="0" w:type="dxa"/>
            <w:left w:w="108" w:type="dxa"/>
            <w:bottom w:w="0" w:type="dxa"/>
            <w:right w:w="108" w:type="dxa"/>
          </w:tblCellMar>
        </w:tblPrEx>
        <w:trPr>
          <w:trHeight w:val="12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0A20B4A0">
            <w:pPr>
              <w:jc w:val="center"/>
              <w:rPr>
                <w:rFonts w:ascii="宋体" w:hAnsi="宋体" w:cs="宋体"/>
                <w:color w:val="000000"/>
                <w:sz w:val="20"/>
                <w:szCs w:val="20"/>
              </w:rPr>
            </w:pPr>
          </w:p>
        </w:tc>
        <w:tc>
          <w:tcPr>
            <w:tcW w:w="5494" w:type="dxa"/>
            <w:gridSpan w:val="4"/>
            <w:tcBorders>
              <w:top w:val="single" w:color="000000" w:sz="4" w:space="0"/>
              <w:left w:val="single" w:color="000000" w:sz="4" w:space="0"/>
              <w:bottom w:val="single" w:color="000000" w:sz="4" w:space="0"/>
              <w:right w:val="single" w:color="000000" w:sz="4" w:space="0"/>
            </w:tcBorders>
            <w:vAlign w:val="center"/>
          </w:tcPr>
          <w:p w14:paraId="3606302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目标1：保证所有政府办基层医疗卫生机构实施国家基本药物制度，推进综合改革顺利进行；  目标2：对实施国家基本药物制度的村卫生室给予补助，支持国家基本药物制度在村卫生室顺利实施；</w:t>
            </w:r>
          </w:p>
        </w:tc>
        <w:tc>
          <w:tcPr>
            <w:tcW w:w="4456" w:type="dxa"/>
            <w:gridSpan w:val="3"/>
            <w:tcBorders>
              <w:top w:val="single" w:color="000000" w:sz="4" w:space="0"/>
              <w:left w:val="single" w:color="000000" w:sz="4" w:space="0"/>
              <w:bottom w:val="single" w:color="000000" w:sz="4" w:space="0"/>
              <w:right w:val="single" w:color="000000" w:sz="4" w:space="0"/>
            </w:tcBorders>
            <w:vAlign w:val="center"/>
          </w:tcPr>
          <w:p w14:paraId="6547B3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全乡6个村卫生站、14个村医全面实施国家基本药物制度，确保基本药物制度的实施，解决了老百姓看病贵的问题，稳定了乡村医生的收入。</w:t>
            </w:r>
          </w:p>
        </w:tc>
      </w:tr>
      <w:tr w14:paraId="0295038B">
        <w:tblPrEx>
          <w:tblCellMar>
            <w:top w:w="0" w:type="dxa"/>
            <w:left w:w="108" w:type="dxa"/>
            <w:bottom w:w="0" w:type="dxa"/>
            <w:right w:w="108" w:type="dxa"/>
          </w:tblCellMar>
        </w:tblPrEx>
        <w:trPr>
          <w:trHeight w:val="522" w:hRule="atLeast"/>
          <w:jc w:val="center"/>
        </w:trPr>
        <w:tc>
          <w:tcPr>
            <w:tcW w:w="500"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066739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w:t>
            </w:r>
          </w:p>
        </w:tc>
        <w:tc>
          <w:tcPr>
            <w:tcW w:w="500" w:type="dxa"/>
            <w:tcBorders>
              <w:top w:val="single" w:color="000000" w:sz="4" w:space="0"/>
              <w:left w:val="single" w:color="000000" w:sz="4" w:space="0"/>
              <w:bottom w:val="single" w:color="000000" w:sz="4" w:space="0"/>
              <w:right w:val="single" w:color="000000" w:sz="4" w:space="0"/>
            </w:tcBorders>
            <w:vAlign w:val="center"/>
          </w:tcPr>
          <w:p w14:paraId="46C8CE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1164" w:type="dxa"/>
            <w:tcBorders>
              <w:top w:val="single" w:color="000000" w:sz="4" w:space="0"/>
              <w:left w:val="single" w:color="000000" w:sz="4" w:space="0"/>
              <w:bottom w:val="single" w:color="000000" w:sz="4" w:space="0"/>
              <w:right w:val="single" w:color="000000" w:sz="4" w:space="0"/>
            </w:tcBorders>
            <w:vAlign w:val="center"/>
          </w:tcPr>
          <w:p w14:paraId="21752F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6BE02D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391" w:type="dxa"/>
            <w:tcBorders>
              <w:top w:val="single" w:color="000000" w:sz="4" w:space="0"/>
              <w:left w:val="single" w:color="000000" w:sz="4" w:space="0"/>
              <w:bottom w:val="single" w:color="000000" w:sz="4" w:space="0"/>
              <w:right w:val="single" w:color="000000" w:sz="4" w:space="0"/>
            </w:tcBorders>
            <w:vAlign w:val="center"/>
          </w:tcPr>
          <w:p w14:paraId="5E5613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99" w:type="dxa"/>
            <w:tcBorders>
              <w:top w:val="single" w:color="000000" w:sz="4" w:space="0"/>
              <w:left w:val="single" w:color="000000" w:sz="4" w:space="0"/>
              <w:bottom w:val="single" w:color="000000" w:sz="4" w:space="0"/>
              <w:right w:val="single" w:color="000000" w:sz="4" w:space="0"/>
            </w:tcBorders>
            <w:vAlign w:val="center"/>
          </w:tcPr>
          <w:p w14:paraId="3EEFE7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全年实际完成值</w:t>
            </w:r>
          </w:p>
        </w:tc>
        <w:tc>
          <w:tcPr>
            <w:tcW w:w="2066" w:type="dxa"/>
            <w:tcBorders>
              <w:top w:val="single" w:color="000000" w:sz="4" w:space="0"/>
              <w:left w:val="single" w:color="000000" w:sz="4" w:space="0"/>
              <w:bottom w:val="single" w:color="000000" w:sz="4" w:space="0"/>
              <w:right w:val="single" w:color="000000" w:sz="4" w:space="0"/>
            </w:tcBorders>
            <w:vAlign w:val="center"/>
          </w:tcPr>
          <w:p w14:paraId="60313D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未完成原因和改进措施</w:t>
            </w:r>
          </w:p>
        </w:tc>
      </w:tr>
      <w:tr w14:paraId="3B1D8C70">
        <w:tblPrEx>
          <w:tblCellMar>
            <w:top w:w="0" w:type="dxa"/>
            <w:left w:w="108" w:type="dxa"/>
            <w:bottom w:w="0" w:type="dxa"/>
            <w:right w:w="108" w:type="dxa"/>
          </w:tblCellMar>
        </w:tblPrEx>
        <w:trPr>
          <w:trHeight w:val="46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C472F19">
            <w:pPr>
              <w:jc w:val="center"/>
              <w:rPr>
                <w:rFonts w:ascii="宋体" w:hAnsi="宋体" w:cs="宋体"/>
                <w:color w:val="000000"/>
                <w:sz w:val="20"/>
                <w:szCs w:val="20"/>
              </w:rPr>
            </w:pP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3FF67C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w:t>
            </w:r>
          </w:p>
        </w:tc>
        <w:tc>
          <w:tcPr>
            <w:tcW w:w="1164" w:type="dxa"/>
            <w:vMerge w:val="restart"/>
            <w:tcBorders>
              <w:top w:val="single" w:color="000000" w:sz="4" w:space="0"/>
              <w:left w:val="single" w:color="000000" w:sz="4" w:space="0"/>
              <w:bottom w:val="single" w:color="000000" w:sz="4" w:space="0"/>
              <w:right w:val="single" w:color="000000" w:sz="4" w:space="0"/>
            </w:tcBorders>
            <w:vAlign w:val="center"/>
          </w:tcPr>
          <w:p w14:paraId="7AE897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279F10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政府办基层医疗卫生机构基本药物制度覆盖率</w:t>
            </w:r>
          </w:p>
        </w:tc>
        <w:tc>
          <w:tcPr>
            <w:tcW w:w="1391" w:type="dxa"/>
            <w:tcBorders>
              <w:top w:val="single" w:color="000000" w:sz="4" w:space="0"/>
              <w:left w:val="nil"/>
              <w:bottom w:val="single" w:color="000000" w:sz="4" w:space="0"/>
              <w:right w:val="nil"/>
            </w:tcBorders>
            <w:vAlign w:val="center"/>
          </w:tcPr>
          <w:p w14:paraId="05EDB1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134F02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2C4588BF">
            <w:pPr>
              <w:jc w:val="center"/>
              <w:rPr>
                <w:rFonts w:ascii="宋体" w:hAnsi="宋体" w:cs="宋体"/>
                <w:color w:val="000000"/>
                <w:sz w:val="20"/>
                <w:szCs w:val="20"/>
              </w:rPr>
            </w:pPr>
            <w:r>
              <w:rPr>
                <w:rFonts w:hint="eastAsia" w:ascii="宋体" w:hAnsi="宋体" w:cs="宋体"/>
                <w:color w:val="000000"/>
                <w:sz w:val="20"/>
                <w:szCs w:val="20"/>
              </w:rPr>
              <w:t>完成</w:t>
            </w:r>
          </w:p>
        </w:tc>
      </w:tr>
      <w:tr w14:paraId="7211BD33">
        <w:tblPrEx>
          <w:tblCellMar>
            <w:top w:w="0" w:type="dxa"/>
            <w:left w:w="108" w:type="dxa"/>
            <w:bottom w:w="0" w:type="dxa"/>
            <w:right w:w="108" w:type="dxa"/>
          </w:tblCellMar>
        </w:tblPrEx>
        <w:trPr>
          <w:trHeight w:val="46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93438D3">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6C7272DE">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465D3B0C">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46BAB0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村卫生室国家基本药物制度覆盖率</w:t>
            </w:r>
          </w:p>
        </w:tc>
        <w:tc>
          <w:tcPr>
            <w:tcW w:w="1391" w:type="dxa"/>
            <w:tcBorders>
              <w:top w:val="single" w:color="000000" w:sz="4" w:space="0"/>
              <w:left w:val="nil"/>
              <w:bottom w:val="single" w:color="000000" w:sz="4" w:space="0"/>
              <w:right w:val="nil"/>
            </w:tcBorders>
            <w:vAlign w:val="center"/>
          </w:tcPr>
          <w:p w14:paraId="74AFAC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55F365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210446F0">
            <w:pPr>
              <w:jc w:val="center"/>
              <w:rPr>
                <w:rFonts w:ascii="宋体" w:hAnsi="宋体" w:cs="宋体"/>
                <w:color w:val="000000"/>
                <w:sz w:val="20"/>
                <w:szCs w:val="20"/>
              </w:rPr>
            </w:pPr>
            <w:r>
              <w:rPr>
                <w:rFonts w:hint="eastAsia" w:ascii="宋体" w:hAnsi="宋体" w:cs="宋体"/>
                <w:color w:val="000000"/>
                <w:sz w:val="20"/>
                <w:szCs w:val="20"/>
              </w:rPr>
              <w:t>完成</w:t>
            </w:r>
          </w:p>
        </w:tc>
      </w:tr>
      <w:tr w14:paraId="114F7DE3">
        <w:tblPrEx>
          <w:tblCellMar>
            <w:top w:w="0" w:type="dxa"/>
            <w:left w:w="108" w:type="dxa"/>
            <w:bottom w:w="0" w:type="dxa"/>
            <w:right w:w="108" w:type="dxa"/>
          </w:tblCellMar>
        </w:tblPrEx>
        <w:trPr>
          <w:trHeight w:val="42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DDCB4A0">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254AF29C">
            <w:pPr>
              <w:jc w:val="center"/>
              <w:rPr>
                <w:rFonts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32C88D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27DAF8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目录药品质量合格率</w:t>
            </w:r>
          </w:p>
        </w:tc>
        <w:tc>
          <w:tcPr>
            <w:tcW w:w="1391" w:type="dxa"/>
            <w:tcBorders>
              <w:top w:val="single" w:color="000000" w:sz="4" w:space="0"/>
              <w:left w:val="single" w:color="000000" w:sz="4" w:space="0"/>
              <w:bottom w:val="single" w:color="000000" w:sz="4" w:space="0"/>
              <w:right w:val="single" w:color="000000" w:sz="4" w:space="0"/>
            </w:tcBorders>
            <w:vAlign w:val="center"/>
          </w:tcPr>
          <w:p w14:paraId="00E33C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65E7CB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0948BE48">
            <w:pPr>
              <w:jc w:val="center"/>
              <w:rPr>
                <w:rFonts w:ascii="宋体" w:hAnsi="宋体" w:cs="宋体"/>
                <w:color w:val="000000"/>
                <w:sz w:val="20"/>
                <w:szCs w:val="20"/>
              </w:rPr>
            </w:pPr>
            <w:r>
              <w:rPr>
                <w:rFonts w:hint="eastAsia" w:ascii="宋体" w:hAnsi="宋体" w:cs="宋体"/>
                <w:color w:val="000000"/>
                <w:sz w:val="20"/>
                <w:szCs w:val="20"/>
              </w:rPr>
              <w:t>完成</w:t>
            </w:r>
          </w:p>
        </w:tc>
      </w:tr>
      <w:tr w14:paraId="3ED2C9F1">
        <w:tblPrEx>
          <w:tblCellMar>
            <w:top w:w="0" w:type="dxa"/>
            <w:left w:w="108" w:type="dxa"/>
            <w:bottom w:w="0" w:type="dxa"/>
            <w:right w:w="108" w:type="dxa"/>
          </w:tblCellMar>
        </w:tblPrEx>
        <w:trPr>
          <w:trHeight w:val="9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71B24F4">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0474046F">
            <w:pPr>
              <w:jc w:val="center"/>
              <w:rPr>
                <w:rFonts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5E8DC8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6968DC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补助资金下达率</w:t>
            </w:r>
          </w:p>
        </w:tc>
        <w:tc>
          <w:tcPr>
            <w:tcW w:w="1391" w:type="dxa"/>
            <w:tcBorders>
              <w:top w:val="single" w:color="000000" w:sz="4" w:space="0"/>
              <w:left w:val="single" w:color="000000" w:sz="4" w:space="0"/>
              <w:bottom w:val="single" w:color="000000" w:sz="4" w:space="0"/>
              <w:right w:val="single" w:color="000000" w:sz="4" w:space="0"/>
            </w:tcBorders>
            <w:vAlign w:val="center"/>
          </w:tcPr>
          <w:p w14:paraId="55A1A1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2EF622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6FBE469A">
            <w:pPr>
              <w:jc w:val="center"/>
              <w:rPr>
                <w:rFonts w:ascii="宋体" w:hAnsi="宋体" w:cs="宋体"/>
                <w:color w:val="000000"/>
                <w:sz w:val="20"/>
                <w:szCs w:val="20"/>
              </w:rPr>
            </w:pPr>
            <w:r>
              <w:rPr>
                <w:rFonts w:hint="eastAsia" w:ascii="宋体" w:hAnsi="宋体" w:cs="宋体"/>
                <w:color w:val="000000"/>
                <w:sz w:val="20"/>
                <w:szCs w:val="20"/>
              </w:rPr>
              <w:t>完成</w:t>
            </w:r>
          </w:p>
        </w:tc>
      </w:tr>
      <w:tr w14:paraId="6E1C5EB7">
        <w:tblPrEx>
          <w:tblCellMar>
            <w:top w:w="0" w:type="dxa"/>
            <w:left w:w="108" w:type="dxa"/>
            <w:bottom w:w="0" w:type="dxa"/>
            <w:right w:w="108" w:type="dxa"/>
          </w:tblCellMar>
        </w:tblPrEx>
        <w:trPr>
          <w:trHeight w:val="42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B7C3A83">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2695F963">
            <w:pPr>
              <w:jc w:val="center"/>
              <w:rPr>
                <w:rFonts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6F7F07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02D2B1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严格按照上级补助全额兑现</w:t>
            </w:r>
          </w:p>
        </w:tc>
        <w:tc>
          <w:tcPr>
            <w:tcW w:w="1391" w:type="dxa"/>
            <w:tcBorders>
              <w:top w:val="single" w:color="000000" w:sz="4" w:space="0"/>
              <w:left w:val="single" w:color="000000" w:sz="4" w:space="0"/>
              <w:bottom w:val="single" w:color="000000" w:sz="4" w:space="0"/>
              <w:right w:val="single" w:color="000000" w:sz="4" w:space="0"/>
            </w:tcBorders>
            <w:vAlign w:val="center"/>
          </w:tcPr>
          <w:p w14:paraId="766378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14:paraId="5F3CF2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066" w:type="dxa"/>
            <w:tcBorders>
              <w:top w:val="single" w:color="000000" w:sz="4" w:space="0"/>
              <w:left w:val="single" w:color="000000" w:sz="4" w:space="0"/>
              <w:bottom w:val="single" w:color="000000" w:sz="4" w:space="0"/>
              <w:right w:val="single" w:color="000000" w:sz="4" w:space="0"/>
            </w:tcBorders>
            <w:vAlign w:val="center"/>
          </w:tcPr>
          <w:p w14:paraId="70F39A95">
            <w:pPr>
              <w:jc w:val="center"/>
              <w:rPr>
                <w:rFonts w:ascii="宋体" w:hAnsi="宋体" w:cs="宋体"/>
                <w:color w:val="000000"/>
                <w:sz w:val="20"/>
                <w:szCs w:val="20"/>
              </w:rPr>
            </w:pPr>
            <w:r>
              <w:rPr>
                <w:rFonts w:hint="eastAsia" w:ascii="宋体" w:hAnsi="宋体" w:cs="宋体"/>
                <w:color w:val="000000"/>
                <w:sz w:val="20"/>
                <w:szCs w:val="20"/>
              </w:rPr>
              <w:t>完成</w:t>
            </w:r>
          </w:p>
        </w:tc>
      </w:tr>
      <w:tr w14:paraId="38F5A2D4">
        <w:tblPrEx>
          <w:tblCellMar>
            <w:top w:w="0" w:type="dxa"/>
            <w:left w:w="108" w:type="dxa"/>
            <w:bottom w:w="0" w:type="dxa"/>
            <w:right w:w="108" w:type="dxa"/>
          </w:tblCellMar>
        </w:tblPrEx>
        <w:trPr>
          <w:trHeight w:val="50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BE594C9">
            <w:pPr>
              <w:jc w:val="center"/>
              <w:rPr>
                <w:rFonts w:ascii="宋体" w:hAnsi="宋体" w:cs="宋体"/>
                <w:color w:val="000000"/>
                <w:sz w:val="20"/>
                <w:szCs w:val="20"/>
              </w:rPr>
            </w:pP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6765CF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w:t>
            </w:r>
          </w:p>
        </w:tc>
        <w:tc>
          <w:tcPr>
            <w:tcW w:w="1164" w:type="dxa"/>
            <w:tcBorders>
              <w:top w:val="single" w:color="000000" w:sz="4" w:space="0"/>
              <w:left w:val="single" w:color="000000" w:sz="4" w:space="0"/>
              <w:bottom w:val="single" w:color="000000" w:sz="4" w:space="0"/>
              <w:right w:val="single" w:color="000000" w:sz="4" w:space="0"/>
            </w:tcBorders>
            <w:vAlign w:val="center"/>
          </w:tcPr>
          <w:p w14:paraId="604E0C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71A8E4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乡村医生收入</w:t>
            </w:r>
          </w:p>
        </w:tc>
        <w:tc>
          <w:tcPr>
            <w:tcW w:w="1391" w:type="dxa"/>
            <w:tcBorders>
              <w:top w:val="single" w:color="000000" w:sz="4" w:space="0"/>
              <w:left w:val="single" w:color="000000" w:sz="4" w:space="0"/>
              <w:bottom w:val="single" w:color="000000" w:sz="4" w:space="0"/>
              <w:right w:val="single" w:color="000000" w:sz="4" w:space="0"/>
            </w:tcBorders>
            <w:vAlign w:val="center"/>
          </w:tcPr>
          <w:p w14:paraId="1072E5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保持稳定</w:t>
            </w:r>
          </w:p>
        </w:tc>
        <w:tc>
          <w:tcPr>
            <w:tcW w:w="999" w:type="dxa"/>
            <w:tcBorders>
              <w:top w:val="single" w:color="000000" w:sz="4" w:space="0"/>
              <w:left w:val="single" w:color="000000" w:sz="4" w:space="0"/>
              <w:bottom w:val="single" w:color="000000" w:sz="4" w:space="0"/>
              <w:right w:val="single" w:color="000000" w:sz="4" w:space="0"/>
            </w:tcBorders>
            <w:vAlign w:val="center"/>
          </w:tcPr>
          <w:p w14:paraId="6C8F7A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066" w:type="dxa"/>
            <w:tcBorders>
              <w:top w:val="single" w:color="000000" w:sz="4" w:space="0"/>
              <w:left w:val="single" w:color="000000" w:sz="4" w:space="0"/>
              <w:bottom w:val="single" w:color="000000" w:sz="4" w:space="0"/>
              <w:right w:val="single" w:color="000000" w:sz="4" w:space="0"/>
            </w:tcBorders>
            <w:vAlign w:val="center"/>
          </w:tcPr>
          <w:p w14:paraId="77B9ACAA">
            <w:pPr>
              <w:jc w:val="center"/>
              <w:rPr>
                <w:rFonts w:ascii="宋体" w:hAnsi="宋体" w:cs="宋体"/>
                <w:color w:val="000000"/>
                <w:sz w:val="20"/>
                <w:szCs w:val="20"/>
              </w:rPr>
            </w:pPr>
          </w:p>
        </w:tc>
      </w:tr>
      <w:tr w14:paraId="3D0D497F">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B5A0866">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4FE8C595">
            <w:pPr>
              <w:jc w:val="center"/>
              <w:rPr>
                <w:rFonts w:ascii="宋体" w:hAnsi="宋体" w:cs="宋体"/>
                <w:color w:val="000000"/>
                <w:sz w:val="20"/>
                <w:szCs w:val="20"/>
              </w:rPr>
            </w:pPr>
          </w:p>
        </w:tc>
        <w:tc>
          <w:tcPr>
            <w:tcW w:w="1164" w:type="dxa"/>
            <w:vMerge w:val="restart"/>
            <w:tcBorders>
              <w:top w:val="single" w:color="000000" w:sz="4" w:space="0"/>
              <w:left w:val="single" w:color="000000" w:sz="4" w:space="0"/>
              <w:bottom w:val="single" w:color="000000" w:sz="4" w:space="0"/>
              <w:right w:val="single" w:color="000000" w:sz="4" w:space="0"/>
            </w:tcBorders>
            <w:vAlign w:val="center"/>
          </w:tcPr>
          <w:p w14:paraId="4A87C4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6C954B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国家基本药物制度在基层持续实施</w:t>
            </w:r>
          </w:p>
        </w:tc>
        <w:tc>
          <w:tcPr>
            <w:tcW w:w="1391" w:type="dxa"/>
            <w:tcBorders>
              <w:top w:val="single" w:color="000000" w:sz="4" w:space="0"/>
              <w:left w:val="single" w:color="000000" w:sz="4" w:space="0"/>
              <w:bottom w:val="single" w:color="000000" w:sz="4" w:space="0"/>
              <w:right w:val="single" w:color="000000" w:sz="4" w:space="0"/>
            </w:tcBorders>
            <w:vAlign w:val="center"/>
          </w:tcPr>
          <w:p w14:paraId="0C4A57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中长期</w:t>
            </w:r>
          </w:p>
        </w:tc>
        <w:tc>
          <w:tcPr>
            <w:tcW w:w="999" w:type="dxa"/>
            <w:tcBorders>
              <w:top w:val="single" w:color="000000" w:sz="4" w:space="0"/>
              <w:left w:val="single" w:color="000000" w:sz="4" w:space="0"/>
              <w:bottom w:val="single" w:color="000000" w:sz="4" w:space="0"/>
              <w:right w:val="single" w:color="000000" w:sz="4" w:space="0"/>
            </w:tcBorders>
            <w:vAlign w:val="center"/>
          </w:tcPr>
          <w:p w14:paraId="33A2F5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066" w:type="dxa"/>
            <w:tcBorders>
              <w:top w:val="single" w:color="000000" w:sz="4" w:space="0"/>
              <w:left w:val="single" w:color="000000" w:sz="4" w:space="0"/>
              <w:bottom w:val="single" w:color="000000" w:sz="4" w:space="0"/>
              <w:right w:val="single" w:color="000000" w:sz="4" w:space="0"/>
            </w:tcBorders>
            <w:vAlign w:val="center"/>
          </w:tcPr>
          <w:p w14:paraId="06CD7C5B">
            <w:pPr>
              <w:jc w:val="center"/>
              <w:rPr>
                <w:rFonts w:ascii="宋体" w:hAnsi="宋体" w:cs="宋体"/>
                <w:color w:val="000000"/>
                <w:sz w:val="20"/>
                <w:szCs w:val="20"/>
              </w:rPr>
            </w:pPr>
          </w:p>
        </w:tc>
      </w:tr>
      <w:tr w14:paraId="28AFB539">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3211CF0">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61F7C44D">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5FAA6306">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68BB8E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降低患者的医疗费用</w:t>
            </w:r>
          </w:p>
        </w:tc>
        <w:tc>
          <w:tcPr>
            <w:tcW w:w="1391" w:type="dxa"/>
            <w:tcBorders>
              <w:top w:val="single" w:color="000000" w:sz="4" w:space="0"/>
              <w:left w:val="single" w:color="000000" w:sz="4" w:space="0"/>
              <w:bottom w:val="single" w:color="000000" w:sz="4" w:space="0"/>
              <w:right w:val="single" w:color="000000" w:sz="4" w:space="0"/>
            </w:tcBorders>
            <w:vAlign w:val="center"/>
          </w:tcPr>
          <w:p w14:paraId="4DAE87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有效</w:t>
            </w:r>
          </w:p>
        </w:tc>
        <w:tc>
          <w:tcPr>
            <w:tcW w:w="999" w:type="dxa"/>
            <w:tcBorders>
              <w:top w:val="single" w:color="000000" w:sz="4" w:space="0"/>
              <w:left w:val="single" w:color="000000" w:sz="4" w:space="0"/>
              <w:bottom w:val="single" w:color="000000" w:sz="4" w:space="0"/>
              <w:right w:val="single" w:color="000000" w:sz="4" w:space="0"/>
            </w:tcBorders>
            <w:vAlign w:val="center"/>
          </w:tcPr>
          <w:p w14:paraId="22226A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066" w:type="dxa"/>
            <w:tcBorders>
              <w:top w:val="single" w:color="000000" w:sz="4" w:space="0"/>
              <w:left w:val="single" w:color="000000" w:sz="4" w:space="0"/>
              <w:bottom w:val="single" w:color="000000" w:sz="4" w:space="0"/>
              <w:right w:val="single" w:color="000000" w:sz="4" w:space="0"/>
            </w:tcBorders>
            <w:vAlign w:val="center"/>
          </w:tcPr>
          <w:p w14:paraId="23909F18">
            <w:pPr>
              <w:jc w:val="center"/>
              <w:rPr>
                <w:rFonts w:ascii="宋体" w:hAnsi="宋体" w:cs="宋体"/>
                <w:color w:val="000000"/>
                <w:sz w:val="20"/>
                <w:szCs w:val="20"/>
              </w:rPr>
            </w:pPr>
          </w:p>
        </w:tc>
      </w:tr>
      <w:tr w14:paraId="283FB831">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DB356E0">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3B6374A8">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3F678B9E">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6846D3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保证药品安全、有效、经济</w:t>
            </w:r>
          </w:p>
        </w:tc>
        <w:tc>
          <w:tcPr>
            <w:tcW w:w="1391" w:type="dxa"/>
            <w:tcBorders>
              <w:top w:val="single" w:color="000000" w:sz="4" w:space="0"/>
              <w:left w:val="single" w:color="000000" w:sz="4" w:space="0"/>
              <w:bottom w:val="single" w:color="000000" w:sz="4" w:space="0"/>
              <w:right w:val="single" w:color="000000" w:sz="4" w:space="0"/>
            </w:tcBorders>
            <w:vAlign w:val="center"/>
          </w:tcPr>
          <w:p w14:paraId="0597BF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长期</w:t>
            </w:r>
          </w:p>
        </w:tc>
        <w:tc>
          <w:tcPr>
            <w:tcW w:w="999" w:type="dxa"/>
            <w:tcBorders>
              <w:top w:val="single" w:color="000000" w:sz="4" w:space="0"/>
              <w:left w:val="single" w:color="000000" w:sz="4" w:space="0"/>
              <w:bottom w:val="single" w:color="000000" w:sz="4" w:space="0"/>
              <w:right w:val="single" w:color="000000" w:sz="4" w:space="0"/>
            </w:tcBorders>
            <w:vAlign w:val="center"/>
          </w:tcPr>
          <w:p w14:paraId="20D525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066" w:type="dxa"/>
            <w:tcBorders>
              <w:top w:val="single" w:color="000000" w:sz="4" w:space="0"/>
              <w:left w:val="single" w:color="000000" w:sz="4" w:space="0"/>
              <w:bottom w:val="single" w:color="000000" w:sz="4" w:space="0"/>
              <w:right w:val="single" w:color="000000" w:sz="4" w:space="0"/>
            </w:tcBorders>
            <w:vAlign w:val="center"/>
          </w:tcPr>
          <w:p w14:paraId="5714AD5A">
            <w:pPr>
              <w:jc w:val="center"/>
              <w:rPr>
                <w:rFonts w:ascii="宋体" w:hAnsi="宋体" w:cs="宋体"/>
                <w:color w:val="000000"/>
                <w:sz w:val="20"/>
                <w:szCs w:val="20"/>
              </w:rPr>
            </w:pPr>
          </w:p>
        </w:tc>
      </w:tr>
      <w:tr w14:paraId="5A03A663">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784E12C">
            <w:pPr>
              <w:jc w:val="center"/>
              <w:rPr>
                <w:rFonts w:ascii="宋体" w:hAnsi="宋体" w:cs="宋体"/>
                <w:color w:val="000000"/>
                <w:sz w:val="20"/>
                <w:szCs w:val="20"/>
              </w:rPr>
            </w:pP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77DD31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164" w:type="dxa"/>
            <w:vMerge w:val="restart"/>
            <w:tcBorders>
              <w:top w:val="single" w:color="000000" w:sz="4" w:space="0"/>
              <w:left w:val="single" w:color="000000" w:sz="4" w:space="0"/>
              <w:bottom w:val="single" w:color="000000" w:sz="4" w:space="0"/>
              <w:right w:val="single" w:color="000000" w:sz="4" w:space="0"/>
            </w:tcBorders>
            <w:vAlign w:val="center"/>
          </w:tcPr>
          <w:p w14:paraId="7F332E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满意度指标</w:t>
            </w: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1353F2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受益群众满意度</w:t>
            </w:r>
          </w:p>
        </w:tc>
        <w:tc>
          <w:tcPr>
            <w:tcW w:w="1391" w:type="dxa"/>
            <w:tcBorders>
              <w:top w:val="single" w:color="000000" w:sz="4" w:space="0"/>
              <w:left w:val="single" w:color="000000" w:sz="4" w:space="0"/>
              <w:bottom w:val="single" w:color="000000" w:sz="4" w:space="0"/>
              <w:right w:val="single" w:color="000000" w:sz="4" w:space="0"/>
            </w:tcBorders>
            <w:vAlign w:val="center"/>
          </w:tcPr>
          <w:p w14:paraId="5B713B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999" w:type="dxa"/>
            <w:tcBorders>
              <w:top w:val="single" w:color="000000" w:sz="4" w:space="0"/>
              <w:left w:val="single" w:color="000000" w:sz="4" w:space="0"/>
              <w:bottom w:val="single" w:color="000000" w:sz="4" w:space="0"/>
              <w:right w:val="single" w:color="000000" w:sz="4" w:space="0"/>
            </w:tcBorders>
            <w:vAlign w:val="center"/>
          </w:tcPr>
          <w:p w14:paraId="6E9A92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2066" w:type="dxa"/>
            <w:tcBorders>
              <w:top w:val="single" w:color="000000" w:sz="4" w:space="0"/>
              <w:left w:val="single" w:color="000000" w:sz="4" w:space="0"/>
              <w:bottom w:val="single" w:color="000000" w:sz="4" w:space="0"/>
              <w:right w:val="single" w:color="000000" w:sz="4" w:space="0"/>
            </w:tcBorders>
            <w:vAlign w:val="center"/>
          </w:tcPr>
          <w:p w14:paraId="37A79AC3">
            <w:pPr>
              <w:jc w:val="center"/>
              <w:rPr>
                <w:rFonts w:ascii="宋体" w:hAnsi="宋体" w:cs="宋体"/>
                <w:color w:val="000000"/>
                <w:sz w:val="20"/>
                <w:szCs w:val="20"/>
              </w:rPr>
            </w:pPr>
          </w:p>
        </w:tc>
      </w:tr>
      <w:tr w14:paraId="0518B135">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DAD117A">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51C7DF1E">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7D92DAEA">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783E8524">
            <w:pPr>
              <w:jc w:val="center"/>
              <w:rPr>
                <w:rFonts w:ascii="宋体" w:hAnsi="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06F85AB3">
            <w:pPr>
              <w:rPr>
                <w:rFonts w:ascii="宋体" w:hAnsi="宋体" w:cs="宋体"/>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vAlign w:val="center"/>
          </w:tcPr>
          <w:p w14:paraId="0905119F">
            <w:pPr>
              <w:rPr>
                <w:rFonts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710DFBAB">
            <w:pPr>
              <w:jc w:val="center"/>
              <w:rPr>
                <w:rFonts w:ascii="宋体" w:hAnsi="宋体" w:cs="宋体"/>
                <w:color w:val="000000"/>
                <w:sz w:val="20"/>
                <w:szCs w:val="20"/>
              </w:rPr>
            </w:pPr>
          </w:p>
        </w:tc>
      </w:tr>
      <w:tr w14:paraId="41C82D25">
        <w:tblPrEx>
          <w:tblCellMar>
            <w:top w:w="0" w:type="dxa"/>
            <w:left w:w="108" w:type="dxa"/>
            <w:bottom w:w="0" w:type="dxa"/>
            <w:right w:w="108" w:type="dxa"/>
          </w:tblCellMar>
        </w:tblPrEx>
        <w:trPr>
          <w:trHeight w:val="52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DB7BBFF">
            <w:pPr>
              <w:jc w:val="center"/>
              <w:rPr>
                <w:rFonts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3B983CE1">
            <w:pPr>
              <w:jc w:val="center"/>
              <w:rPr>
                <w:rFonts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14:paraId="57974632">
            <w:pPr>
              <w:jc w:val="center"/>
              <w:rPr>
                <w:rFonts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vAlign w:val="center"/>
          </w:tcPr>
          <w:p w14:paraId="2D134C1A">
            <w:pPr>
              <w:jc w:val="center"/>
              <w:rPr>
                <w:rFonts w:ascii="宋体" w:hAnsi="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vAlign w:val="center"/>
          </w:tcPr>
          <w:p w14:paraId="0ACBB6DF">
            <w:pPr>
              <w:rPr>
                <w:rFonts w:ascii="宋体" w:hAnsi="宋体" w:cs="宋体"/>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vAlign w:val="center"/>
          </w:tcPr>
          <w:p w14:paraId="5526425F">
            <w:pPr>
              <w:rPr>
                <w:rFonts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10A0B992">
            <w:pPr>
              <w:jc w:val="center"/>
              <w:rPr>
                <w:rFonts w:ascii="宋体" w:hAnsi="宋体" w:cs="宋体"/>
                <w:color w:val="000000"/>
                <w:sz w:val="20"/>
                <w:szCs w:val="20"/>
              </w:rPr>
            </w:pPr>
          </w:p>
        </w:tc>
      </w:tr>
      <w:tr w14:paraId="5D5159DA">
        <w:tblPrEx>
          <w:tblCellMar>
            <w:top w:w="0" w:type="dxa"/>
            <w:left w:w="108" w:type="dxa"/>
            <w:bottom w:w="0" w:type="dxa"/>
            <w:right w:w="108" w:type="dxa"/>
          </w:tblCellMar>
        </w:tblPrEx>
        <w:trPr>
          <w:trHeight w:val="34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14:paraId="396989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说明</w:t>
            </w:r>
          </w:p>
        </w:tc>
        <w:tc>
          <w:tcPr>
            <w:tcW w:w="9950" w:type="dxa"/>
            <w:gridSpan w:val="7"/>
            <w:tcBorders>
              <w:top w:val="single" w:color="000000" w:sz="4" w:space="0"/>
              <w:left w:val="single" w:color="000000" w:sz="4" w:space="0"/>
              <w:bottom w:val="single" w:color="000000" w:sz="4" w:space="0"/>
              <w:right w:val="single" w:color="000000" w:sz="4" w:space="0"/>
            </w:tcBorders>
            <w:vAlign w:val="center"/>
          </w:tcPr>
          <w:p w14:paraId="3B91D5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w:t>
            </w:r>
          </w:p>
        </w:tc>
      </w:tr>
      <w:tr w14:paraId="1D45BFD5">
        <w:tblPrEx>
          <w:tblCellMar>
            <w:top w:w="0" w:type="dxa"/>
            <w:left w:w="108" w:type="dxa"/>
            <w:bottom w:w="0" w:type="dxa"/>
            <w:right w:w="108" w:type="dxa"/>
          </w:tblCellMar>
        </w:tblPrEx>
        <w:trPr>
          <w:trHeight w:val="340" w:hRule="atLeast"/>
          <w:jc w:val="center"/>
        </w:trPr>
        <w:tc>
          <w:tcPr>
            <w:tcW w:w="500" w:type="dxa"/>
            <w:tcBorders>
              <w:top w:val="single" w:color="000000" w:sz="4" w:space="0"/>
              <w:left w:val="single" w:color="000000" w:sz="4" w:space="0"/>
              <w:bottom w:val="single" w:color="000000" w:sz="4" w:space="0"/>
              <w:right w:val="single" w:color="000000" w:sz="4" w:space="0"/>
            </w:tcBorders>
            <w:vAlign w:val="center"/>
          </w:tcPr>
          <w:p w14:paraId="271DA630">
            <w:pPr>
              <w:widowControl/>
              <w:jc w:val="center"/>
              <w:textAlignment w:val="center"/>
              <w:rPr>
                <w:rFonts w:ascii="宋体" w:hAnsi="宋体" w:cs="宋体"/>
                <w:color w:val="000000"/>
                <w:kern w:val="0"/>
                <w:sz w:val="20"/>
                <w:szCs w:val="20"/>
              </w:rPr>
            </w:pPr>
          </w:p>
        </w:tc>
        <w:tc>
          <w:tcPr>
            <w:tcW w:w="9950" w:type="dxa"/>
            <w:gridSpan w:val="7"/>
            <w:tcBorders>
              <w:top w:val="single" w:color="000000" w:sz="4" w:space="0"/>
              <w:left w:val="single" w:color="000000" w:sz="4" w:space="0"/>
              <w:bottom w:val="single" w:color="000000" w:sz="4" w:space="0"/>
              <w:right w:val="single" w:color="000000" w:sz="4" w:space="0"/>
            </w:tcBorders>
            <w:vAlign w:val="center"/>
          </w:tcPr>
          <w:p w14:paraId="14EB5A87">
            <w:pPr>
              <w:widowControl/>
              <w:jc w:val="center"/>
              <w:textAlignment w:val="center"/>
              <w:rPr>
                <w:rFonts w:ascii="宋体" w:hAnsi="宋体" w:cs="宋体"/>
                <w:color w:val="000000"/>
                <w:kern w:val="0"/>
                <w:sz w:val="20"/>
                <w:szCs w:val="20"/>
              </w:rPr>
            </w:pPr>
          </w:p>
        </w:tc>
      </w:tr>
    </w:tbl>
    <w:p w14:paraId="717894A2"/>
    <w:tbl>
      <w:tblPr>
        <w:tblStyle w:val="15"/>
        <w:tblpPr w:leftFromText="180" w:rightFromText="180" w:vertAnchor="text" w:horzAnchor="page" w:tblpXSpec="center" w:tblpY="423"/>
        <w:tblOverlap w:val="never"/>
        <w:tblW w:w="9604" w:type="dxa"/>
        <w:tblInd w:w="0" w:type="dxa"/>
        <w:tblLayout w:type="fixed"/>
        <w:tblCellMar>
          <w:top w:w="0" w:type="dxa"/>
          <w:left w:w="0" w:type="dxa"/>
          <w:bottom w:w="0" w:type="dxa"/>
          <w:right w:w="0" w:type="dxa"/>
        </w:tblCellMar>
      </w:tblPr>
      <w:tblGrid>
        <w:gridCol w:w="390"/>
        <w:gridCol w:w="1425"/>
        <w:gridCol w:w="1073"/>
        <w:gridCol w:w="2286"/>
        <w:gridCol w:w="2036"/>
        <w:gridCol w:w="2394"/>
      </w:tblGrid>
      <w:tr w14:paraId="1AF207E4">
        <w:tblPrEx>
          <w:tblCellMar>
            <w:top w:w="0" w:type="dxa"/>
            <w:left w:w="0" w:type="dxa"/>
            <w:bottom w:w="0" w:type="dxa"/>
            <w:right w:w="0" w:type="dxa"/>
          </w:tblCellMar>
        </w:tblPrEx>
        <w:trPr>
          <w:trHeight w:val="1034" w:hRule="atLeast"/>
        </w:trPr>
        <w:tc>
          <w:tcPr>
            <w:tcW w:w="9604" w:type="dxa"/>
            <w:gridSpan w:val="6"/>
            <w:vAlign w:val="center"/>
          </w:tcPr>
          <w:p w14:paraId="05930A69">
            <w:pPr>
              <w:pStyle w:val="34"/>
              <w:widowControl/>
              <w:ind w:firstLineChars="0"/>
              <w:jc w:val="center"/>
              <w:textAlignment w:val="center"/>
              <w:rPr>
                <w:rStyle w:val="35"/>
                <w:rFonts w:ascii="宋体" w:hAnsi="宋体"/>
                <w:sz w:val="36"/>
                <w:szCs w:val="36"/>
              </w:rPr>
            </w:pPr>
            <w:r>
              <w:rPr>
                <w:rStyle w:val="35"/>
                <w:rFonts w:ascii="黑体" w:hAnsi="黑体" w:eastAsia="黑体" w:cs="宋体"/>
                <w:bCs/>
                <w:kern w:val="0"/>
                <w:sz w:val="36"/>
                <w:szCs w:val="36"/>
              </w:rPr>
              <w:t>项目支出绩效目标完成情况表</w:t>
            </w:r>
            <w:r>
              <w:rPr>
                <w:rStyle w:val="35"/>
                <w:rFonts w:ascii="宋体" w:hAnsi="宋体" w:cs="宋体"/>
                <w:b/>
                <w:bCs/>
                <w:kern w:val="0"/>
                <w:sz w:val="36"/>
                <w:szCs w:val="36"/>
              </w:rPr>
              <w:br w:type="textWrapping"/>
            </w:r>
            <w:r>
              <w:rPr>
                <w:rStyle w:val="35"/>
                <w:rFonts w:ascii="宋体" w:hAnsi="宋体"/>
                <w:kern w:val="0"/>
                <w:sz w:val="36"/>
                <w:szCs w:val="36"/>
              </w:rPr>
              <w:t>(202</w:t>
            </w:r>
            <w:r>
              <w:rPr>
                <w:rStyle w:val="35"/>
                <w:rFonts w:hint="eastAsia" w:ascii="宋体" w:hAnsi="宋体"/>
                <w:kern w:val="0"/>
                <w:sz w:val="36"/>
                <w:szCs w:val="36"/>
              </w:rPr>
              <w:t>1</w:t>
            </w:r>
            <w:r>
              <w:rPr>
                <w:rStyle w:val="35"/>
                <w:rFonts w:ascii="宋体" w:hAnsi="宋体"/>
                <w:kern w:val="0"/>
                <w:sz w:val="36"/>
                <w:szCs w:val="36"/>
              </w:rPr>
              <w:t>年度)</w:t>
            </w:r>
          </w:p>
        </w:tc>
      </w:tr>
      <w:tr w14:paraId="065BEB53">
        <w:tblPrEx>
          <w:tblCellMar>
            <w:top w:w="0" w:type="dxa"/>
            <w:left w:w="0" w:type="dxa"/>
            <w:bottom w:w="0" w:type="dxa"/>
            <w:right w:w="0" w:type="dxa"/>
          </w:tblCellMar>
        </w:tblPrEx>
        <w:trPr>
          <w:trHeight w:val="276" w:hRule="atLeast"/>
        </w:trPr>
        <w:tc>
          <w:tcPr>
            <w:tcW w:w="2888" w:type="dxa"/>
            <w:gridSpan w:val="3"/>
            <w:tcBorders>
              <w:top w:val="single" w:color="000000" w:sz="4" w:space="0"/>
              <w:left w:val="single" w:color="000000" w:sz="4" w:space="0"/>
              <w:bottom w:val="single" w:color="000000" w:sz="4" w:space="0"/>
              <w:right w:val="single" w:color="000000" w:sz="4" w:space="0"/>
            </w:tcBorders>
            <w:vAlign w:val="center"/>
          </w:tcPr>
          <w:p w14:paraId="397FAD32">
            <w:pPr>
              <w:widowControl/>
              <w:jc w:val="center"/>
              <w:textAlignment w:val="center"/>
              <w:rPr>
                <w:rStyle w:val="35"/>
                <w:rFonts w:ascii="宋体" w:hAnsi="宋体"/>
                <w:sz w:val="24"/>
              </w:rPr>
            </w:pPr>
            <w:r>
              <w:rPr>
                <w:rStyle w:val="35"/>
                <w:rFonts w:ascii="宋体" w:hAnsi="宋体"/>
                <w:kern w:val="0"/>
                <w:sz w:val="24"/>
              </w:rPr>
              <w:t>项目名称</w:t>
            </w:r>
          </w:p>
        </w:tc>
        <w:tc>
          <w:tcPr>
            <w:tcW w:w="6716" w:type="dxa"/>
            <w:gridSpan w:val="3"/>
            <w:tcBorders>
              <w:top w:val="single" w:color="000000" w:sz="4" w:space="0"/>
              <w:left w:val="single" w:color="000000" w:sz="4" w:space="0"/>
              <w:bottom w:val="single" w:color="000000" w:sz="4" w:space="0"/>
              <w:right w:val="single" w:color="000000" w:sz="4" w:space="0"/>
            </w:tcBorders>
            <w:vAlign w:val="center"/>
          </w:tcPr>
          <w:p w14:paraId="384887EF">
            <w:pPr>
              <w:widowControl/>
              <w:jc w:val="center"/>
              <w:textAlignment w:val="center"/>
              <w:rPr>
                <w:rStyle w:val="35"/>
                <w:rFonts w:ascii="宋体" w:hAnsi="宋体"/>
                <w:sz w:val="24"/>
              </w:rPr>
            </w:pPr>
            <w:r>
              <w:rPr>
                <w:rStyle w:val="35"/>
                <w:rFonts w:ascii="宋体" w:hAnsi="宋体"/>
                <w:sz w:val="24"/>
              </w:rPr>
              <w:t>国家基本公共卫生免费服务项目</w:t>
            </w:r>
          </w:p>
        </w:tc>
      </w:tr>
      <w:tr w14:paraId="65B2FB99">
        <w:tblPrEx>
          <w:tblCellMar>
            <w:top w:w="0" w:type="dxa"/>
            <w:left w:w="0" w:type="dxa"/>
            <w:bottom w:w="0" w:type="dxa"/>
            <w:right w:w="0" w:type="dxa"/>
          </w:tblCellMar>
        </w:tblPrEx>
        <w:trPr>
          <w:trHeight w:val="276" w:hRule="atLeast"/>
        </w:trPr>
        <w:tc>
          <w:tcPr>
            <w:tcW w:w="2888" w:type="dxa"/>
            <w:gridSpan w:val="3"/>
            <w:tcBorders>
              <w:top w:val="single" w:color="000000" w:sz="4" w:space="0"/>
              <w:left w:val="single" w:color="000000" w:sz="4" w:space="0"/>
              <w:bottom w:val="single" w:color="000000" w:sz="4" w:space="0"/>
              <w:right w:val="single" w:color="000000" w:sz="4" w:space="0"/>
            </w:tcBorders>
            <w:vAlign w:val="center"/>
          </w:tcPr>
          <w:p w14:paraId="5FECCAEA">
            <w:pPr>
              <w:widowControl/>
              <w:jc w:val="center"/>
              <w:textAlignment w:val="center"/>
              <w:rPr>
                <w:rStyle w:val="35"/>
                <w:rFonts w:ascii="宋体" w:hAnsi="宋体"/>
                <w:sz w:val="24"/>
              </w:rPr>
            </w:pPr>
            <w:r>
              <w:rPr>
                <w:rStyle w:val="35"/>
                <w:rFonts w:ascii="宋体" w:hAnsi="宋体"/>
                <w:kern w:val="0"/>
                <w:sz w:val="24"/>
              </w:rPr>
              <w:t>预算单位</w:t>
            </w:r>
          </w:p>
        </w:tc>
        <w:tc>
          <w:tcPr>
            <w:tcW w:w="6716" w:type="dxa"/>
            <w:gridSpan w:val="3"/>
            <w:tcBorders>
              <w:top w:val="single" w:color="000000" w:sz="4" w:space="0"/>
              <w:left w:val="single" w:color="000000" w:sz="4" w:space="0"/>
              <w:bottom w:val="single" w:color="000000" w:sz="4" w:space="0"/>
              <w:right w:val="single" w:color="000000" w:sz="4" w:space="0"/>
            </w:tcBorders>
            <w:vAlign w:val="center"/>
          </w:tcPr>
          <w:p w14:paraId="1F4E738E">
            <w:pPr>
              <w:widowControl/>
              <w:jc w:val="center"/>
              <w:textAlignment w:val="center"/>
              <w:rPr>
                <w:rStyle w:val="35"/>
                <w:rFonts w:ascii="宋体" w:hAnsi="宋体"/>
                <w:sz w:val="24"/>
              </w:rPr>
            </w:pPr>
            <w:r>
              <w:rPr>
                <w:rStyle w:val="35"/>
                <w:rFonts w:hint="eastAsia" w:ascii="宋体" w:hAnsi="宋体"/>
                <w:sz w:val="24"/>
              </w:rPr>
              <w:t>石井铺乡卫生院</w:t>
            </w:r>
          </w:p>
        </w:tc>
      </w:tr>
      <w:tr w14:paraId="436A6D3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14:paraId="7DBC7041">
            <w:pPr>
              <w:widowControl/>
              <w:jc w:val="center"/>
              <w:textAlignment w:val="center"/>
              <w:rPr>
                <w:rStyle w:val="35"/>
                <w:rFonts w:ascii="宋体" w:hAnsi="宋体"/>
                <w:sz w:val="24"/>
              </w:rPr>
            </w:pPr>
            <w:r>
              <w:rPr>
                <w:rStyle w:val="35"/>
                <w:rFonts w:ascii="宋体" w:hAnsi="宋体"/>
                <w:kern w:val="0"/>
                <w:sz w:val="24"/>
              </w:rPr>
              <w:t>预算执行情况(万元)</w:t>
            </w:r>
          </w:p>
        </w:tc>
        <w:tc>
          <w:tcPr>
            <w:tcW w:w="2498" w:type="dxa"/>
            <w:gridSpan w:val="2"/>
            <w:tcBorders>
              <w:top w:val="single" w:color="000000" w:sz="4" w:space="0"/>
              <w:left w:val="single" w:color="000000" w:sz="4" w:space="0"/>
              <w:bottom w:val="single" w:color="000000" w:sz="4" w:space="0"/>
              <w:right w:val="single" w:color="000000" w:sz="4" w:space="0"/>
            </w:tcBorders>
            <w:vAlign w:val="center"/>
          </w:tcPr>
          <w:p w14:paraId="5783432B">
            <w:pPr>
              <w:widowControl/>
              <w:jc w:val="center"/>
              <w:textAlignment w:val="center"/>
              <w:rPr>
                <w:rStyle w:val="35"/>
                <w:rFonts w:ascii="宋体" w:hAnsi="宋体"/>
                <w:sz w:val="24"/>
              </w:rPr>
            </w:pPr>
            <w:r>
              <w:rPr>
                <w:rStyle w:val="35"/>
                <w:rFonts w:ascii="宋体" w:hAnsi="宋体"/>
                <w:kern w:val="0"/>
                <w:sz w:val="24"/>
              </w:rPr>
              <w:t>预算数:</w:t>
            </w:r>
          </w:p>
        </w:tc>
        <w:tc>
          <w:tcPr>
            <w:tcW w:w="2286" w:type="dxa"/>
            <w:tcBorders>
              <w:top w:val="single" w:color="000000" w:sz="4" w:space="0"/>
              <w:left w:val="single" w:color="000000" w:sz="4" w:space="0"/>
              <w:bottom w:val="single" w:color="000000" w:sz="4" w:space="0"/>
              <w:right w:val="single" w:color="000000" w:sz="4" w:space="0"/>
            </w:tcBorders>
            <w:vAlign w:val="center"/>
          </w:tcPr>
          <w:p w14:paraId="64F74BA6">
            <w:pPr>
              <w:widowControl/>
              <w:jc w:val="center"/>
              <w:textAlignment w:val="center"/>
              <w:rPr>
                <w:rStyle w:val="35"/>
                <w:rFonts w:ascii="宋体" w:hAnsi="宋体"/>
                <w:sz w:val="24"/>
              </w:rPr>
            </w:pPr>
            <w:r>
              <w:rPr>
                <w:rStyle w:val="35"/>
                <w:rFonts w:hint="eastAsia" w:ascii="宋体" w:hAnsi="宋体"/>
                <w:sz w:val="24"/>
              </w:rPr>
              <w:t>58.01</w:t>
            </w:r>
          </w:p>
        </w:tc>
        <w:tc>
          <w:tcPr>
            <w:tcW w:w="2036" w:type="dxa"/>
            <w:tcBorders>
              <w:top w:val="single" w:color="000000" w:sz="4" w:space="0"/>
              <w:left w:val="single" w:color="000000" w:sz="4" w:space="0"/>
              <w:bottom w:val="single" w:color="000000" w:sz="4" w:space="0"/>
              <w:right w:val="single" w:color="000000" w:sz="4" w:space="0"/>
            </w:tcBorders>
            <w:vAlign w:val="center"/>
          </w:tcPr>
          <w:p w14:paraId="76E5D6FE">
            <w:pPr>
              <w:widowControl/>
              <w:jc w:val="center"/>
              <w:textAlignment w:val="center"/>
              <w:rPr>
                <w:rStyle w:val="35"/>
                <w:rFonts w:ascii="宋体" w:hAnsi="宋体"/>
                <w:sz w:val="24"/>
              </w:rPr>
            </w:pPr>
            <w:r>
              <w:rPr>
                <w:rStyle w:val="35"/>
                <w:rFonts w:ascii="宋体" w:hAnsi="宋体"/>
                <w:kern w:val="0"/>
                <w:sz w:val="24"/>
              </w:rPr>
              <w:t>执行数:</w:t>
            </w:r>
          </w:p>
        </w:tc>
        <w:tc>
          <w:tcPr>
            <w:tcW w:w="2394" w:type="dxa"/>
            <w:tcBorders>
              <w:top w:val="single" w:color="000000" w:sz="4" w:space="0"/>
              <w:left w:val="single" w:color="000000" w:sz="4" w:space="0"/>
              <w:bottom w:val="single" w:color="000000" w:sz="4" w:space="0"/>
              <w:right w:val="single" w:color="000000" w:sz="4" w:space="0"/>
            </w:tcBorders>
            <w:vAlign w:val="center"/>
          </w:tcPr>
          <w:p w14:paraId="31E3237D">
            <w:pPr>
              <w:widowControl/>
              <w:jc w:val="center"/>
              <w:textAlignment w:val="center"/>
              <w:rPr>
                <w:rStyle w:val="35"/>
                <w:rFonts w:ascii="宋体" w:hAnsi="宋体"/>
                <w:sz w:val="24"/>
              </w:rPr>
            </w:pPr>
            <w:r>
              <w:rPr>
                <w:rStyle w:val="35"/>
                <w:rFonts w:hint="eastAsia" w:ascii="宋体" w:hAnsi="宋体"/>
                <w:sz w:val="24"/>
              </w:rPr>
              <w:t>58.01</w:t>
            </w:r>
          </w:p>
        </w:tc>
      </w:tr>
      <w:tr w14:paraId="039BD209">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2E923CF">
            <w:pPr>
              <w:widowControl/>
              <w:jc w:val="left"/>
              <w:textAlignment w:val="baseline"/>
              <w:rPr>
                <w:rStyle w:val="35"/>
                <w:rFonts w:ascii="宋体" w:hAnsi="宋体"/>
                <w:sz w:val="24"/>
              </w:rPr>
            </w:pPr>
          </w:p>
        </w:tc>
        <w:tc>
          <w:tcPr>
            <w:tcW w:w="2498" w:type="dxa"/>
            <w:gridSpan w:val="2"/>
            <w:tcBorders>
              <w:top w:val="single" w:color="000000" w:sz="4" w:space="0"/>
              <w:left w:val="single" w:color="000000" w:sz="4" w:space="0"/>
              <w:bottom w:val="single" w:color="000000" w:sz="4" w:space="0"/>
              <w:right w:val="single" w:color="000000" w:sz="4" w:space="0"/>
            </w:tcBorders>
            <w:vAlign w:val="center"/>
          </w:tcPr>
          <w:p w14:paraId="624BC0AE">
            <w:pPr>
              <w:widowControl/>
              <w:jc w:val="center"/>
              <w:textAlignment w:val="center"/>
              <w:rPr>
                <w:rStyle w:val="35"/>
                <w:rFonts w:ascii="宋体" w:hAnsi="宋体"/>
                <w:sz w:val="24"/>
              </w:rPr>
            </w:pPr>
            <w:r>
              <w:rPr>
                <w:rStyle w:val="35"/>
                <w:rFonts w:ascii="宋体" w:hAnsi="宋体"/>
                <w:kern w:val="0"/>
                <w:sz w:val="24"/>
              </w:rPr>
              <w:t>其中-财政拨款:</w:t>
            </w:r>
          </w:p>
        </w:tc>
        <w:tc>
          <w:tcPr>
            <w:tcW w:w="2286" w:type="dxa"/>
            <w:tcBorders>
              <w:top w:val="single" w:color="000000" w:sz="4" w:space="0"/>
              <w:left w:val="single" w:color="000000" w:sz="4" w:space="0"/>
              <w:bottom w:val="single" w:color="000000" w:sz="4" w:space="0"/>
              <w:right w:val="single" w:color="000000" w:sz="4" w:space="0"/>
            </w:tcBorders>
            <w:vAlign w:val="center"/>
          </w:tcPr>
          <w:p w14:paraId="0AEB12D0">
            <w:pPr>
              <w:widowControl/>
              <w:jc w:val="center"/>
              <w:textAlignment w:val="center"/>
              <w:rPr>
                <w:rStyle w:val="35"/>
                <w:rFonts w:ascii="宋体" w:hAnsi="宋体"/>
                <w:sz w:val="24"/>
              </w:rPr>
            </w:pPr>
            <w:r>
              <w:rPr>
                <w:rStyle w:val="35"/>
                <w:rFonts w:hint="eastAsia" w:ascii="宋体" w:hAnsi="宋体"/>
                <w:sz w:val="24"/>
              </w:rPr>
              <w:t>58.01</w:t>
            </w:r>
          </w:p>
        </w:tc>
        <w:tc>
          <w:tcPr>
            <w:tcW w:w="2036" w:type="dxa"/>
            <w:tcBorders>
              <w:top w:val="single" w:color="000000" w:sz="4" w:space="0"/>
              <w:left w:val="single" w:color="000000" w:sz="4" w:space="0"/>
              <w:bottom w:val="single" w:color="000000" w:sz="4" w:space="0"/>
              <w:right w:val="single" w:color="000000" w:sz="4" w:space="0"/>
            </w:tcBorders>
            <w:vAlign w:val="center"/>
          </w:tcPr>
          <w:p w14:paraId="45E0BEAF">
            <w:pPr>
              <w:widowControl/>
              <w:jc w:val="center"/>
              <w:textAlignment w:val="center"/>
              <w:rPr>
                <w:rStyle w:val="35"/>
                <w:rFonts w:ascii="宋体" w:hAnsi="宋体"/>
                <w:sz w:val="24"/>
              </w:rPr>
            </w:pPr>
            <w:r>
              <w:rPr>
                <w:rStyle w:val="35"/>
                <w:rFonts w:ascii="宋体" w:hAnsi="宋体"/>
                <w:kern w:val="0"/>
                <w:sz w:val="24"/>
              </w:rPr>
              <w:t>其中-财政拨款:</w:t>
            </w:r>
          </w:p>
        </w:tc>
        <w:tc>
          <w:tcPr>
            <w:tcW w:w="2394" w:type="dxa"/>
            <w:tcBorders>
              <w:top w:val="single" w:color="000000" w:sz="4" w:space="0"/>
              <w:left w:val="single" w:color="000000" w:sz="4" w:space="0"/>
              <w:bottom w:val="single" w:color="000000" w:sz="4" w:space="0"/>
              <w:right w:val="single" w:color="000000" w:sz="4" w:space="0"/>
            </w:tcBorders>
            <w:vAlign w:val="center"/>
          </w:tcPr>
          <w:p w14:paraId="68A45A99">
            <w:pPr>
              <w:widowControl/>
              <w:jc w:val="center"/>
              <w:textAlignment w:val="center"/>
              <w:rPr>
                <w:rStyle w:val="35"/>
                <w:rFonts w:ascii="宋体" w:hAnsi="宋体"/>
                <w:sz w:val="24"/>
              </w:rPr>
            </w:pPr>
            <w:r>
              <w:rPr>
                <w:rStyle w:val="35"/>
                <w:rFonts w:hint="eastAsia" w:ascii="宋体" w:hAnsi="宋体"/>
                <w:sz w:val="24"/>
              </w:rPr>
              <w:t>58.01</w:t>
            </w:r>
          </w:p>
        </w:tc>
      </w:tr>
      <w:tr w14:paraId="638B25EE">
        <w:tblPrEx>
          <w:tblCellMar>
            <w:top w:w="0" w:type="dxa"/>
            <w:left w:w="0" w:type="dxa"/>
            <w:bottom w:w="0" w:type="dxa"/>
            <w:right w:w="0" w:type="dxa"/>
          </w:tblCellMar>
        </w:tblPrEx>
        <w:trPr>
          <w:trHeight w:val="9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FF3261A">
            <w:pPr>
              <w:widowControl/>
              <w:jc w:val="left"/>
              <w:textAlignment w:val="baseline"/>
              <w:rPr>
                <w:rStyle w:val="35"/>
                <w:rFonts w:ascii="宋体" w:hAnsi="宋体"/>
                <w:sz w:val="24"/>
              </w:rPr>
            </w:pPr>
          </w:p>
        </w:tc>
        <w:tc>
          <w:tcPr>
            <w:tcW w:w="2498" w:type="dxa"/>
            <w:gridSpan w:val="2"/>
            <w:tcBorders>
              <w:top w:val="single" w:color="000000" w:sz="4" w:space="0"/>
              <w:left w:val="single" w:color="000000" w:sz="4" w:space="0"/>
              <w:bottom w:val="single" w:color="000000" w:sz="4" w:space="0"/>
              <w:right w:val="single" w:color="000000" w:sz="4" w:space="0"/>
            </w:tcBorders>
            <w:vAlign w:val="center"/>
          </w:tcPr>
          <w:p w14:paraId="423457A3">
            <w:pPr>
              <w:widowControl/>
              <w:jc w:val="center"/>
              <w:textAlignment w:val="center"/>
              <w:rPr>
                <w:rStyle w:val="35"/>
                <w:rFonts w:ascii="宋体" w:hAnsi="宋体"/>
                <w:sz w:val="24"/>
              </w:rPr>
            </w:pPr>
            <w:r>
              <w:rPr>
                <w:rStyle w:val="35"/>
                <w:rFonts w:ascii="宋体" w:hAnsi="宋体"/>
                <w:kern w:val="0"/>
                <w:sz w:val="24"/>
              </w:rPr>
              <w:t>其他资金:</w:t>
            </w:r>
          </w:p>
        </w:tc>
        <w:tc>
          <w:tcPr>
            <w:tcW w:w="2286" w:type="dxa"/>
            <w:tcBorders>
              <w:top w:val="single" w:color="000000" w:sz="4" w:space="0"/>
              <w:left w:val="single" w:color="000000" w:sz="4" w:space="0"/>
              <w:bottom w:val="single" w:color="000000" w:sz="4" w:space="0"/>
              <w:right w:val="single" w:color="000000" w:sz="4" w:space="0"/>
            </w:tcBorders>
            <w:vAlign w:val="center"/>
          </w:tcPr>
          <w:p w14:paraId="001DAA98">
            <w:pPr>
              <w:widowControl/>
              <w:jc w:val="center"/>
              <w:textAlignment w:val="center"/>
              <w:rPr>
                <w:rStyle w:val="35"/>
                <w:rFonts w:ascii="宋体" w:hAnsi="宋体"/>
                <w:sz w:val="24"/>
              </w:rPr>
            </w:pPr>
          </w:p>
        </w:tc>
        <w:tc>
          <w:tcPr>
            <w:tcW w:w="2036" w:type="dxa"/>
            <w:tcBorders>
              <w:top w:val="single" w:color="000000" w:sz="4" w:space="0"/>
              <w:left w:val="single" w:color="000000" w:sz="4" w:space="0"/>
              <w:bottom w:val="single" w:color="000000" w:sz="4" w:space="0"/>
              <w:right w:val="single" w:color="000000" w:sz="4" w:space="0"/>
            </w:tcBorders>
            <w:vAlign w:val="center"/>
          </w:tcPr>
          <w:p w14:paraId="63629D8F">
            <w:pPr>
              <w:widowControl/>
              <w:jc w:val="center"/>
              <w:textAlignment w:val="center"/>
              <w:rPr>
                <w:rStyle w:val="35"/>
                <w:rFonts w:ascii="宋体" w:hAnsi="宋体"/>
                <w:sz w:val="24"/>
              </w:rPr>
            </w:pPr>
            <w:r>
              <w:rPr>
                <w:rStyle w:val="35"/>
                <w:rFonts w:ascii="宋体" w:hAnsi="宋体"/>
                <w:sz w:val="24"/>
              </w:rPr>
              <w:t>其他资金:</w:t>
            </w:r>
          </w:p>
        </w:tc>
        <w:tc>
          <w:tcPr>
            <w:tcW w:w="2394" w:type="dxa"/>
            <w:tcBorders>
              <w:top w:val="single" w:color="000000" w:sz="4" w:space="0"/>
              <w:left w:val="single" w:color="000000" w:sz="4" w:space="0"/>
              <w:bottom w:val="single" w:color="000000" w:sz="4" w:space="0"/>
              <w:right w:val="single" w:color="000000" w:sz="4" w:space="0"/>
            </w:tcBorders>
            <w:vAlign w:val="center"/>
          </w:tcPr>
          <w:p w14:paraId="24BE3955">
            <w:pPr>
              <w:widowControl/>
              <w:jc w:val="center"/>
              <w:textAlignment w:val="center"/>
              <w:rPr>
                <w:rStyle w:val="35"/>
                <w:rFonts w:ascii="宋体" w:hAnsi="宋体"/>
                <w:sz w:val="24"/>
              </w:rPr>
            </w:pPr>
          </w:p>
        </w:tc>
      </w:tr>
      <w:tr w14:paraId="55A71621">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14:paraId="6BF8470B">
            <w:pPr>
              <w:widowControl/>
              <w:jc w:val="center"/>
              <w:textAlignment w:val="center"/>
              <w:rPr>
                <w:rStyle w:val="35"/>
                <w:rFonts w:ascii="宋体" w:hAnsi="宋体"/>
                <w:sz w:val="24"/>
              </w:rPr>
            </w:pPr>
            <w:r>
              <w:rPr>
                <w:rStyle w:val="35"/>
                <w:rFonts w:ascii="宋体" w:hAnsi="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vAlign w:val="center"/>
          </w:tcPr>
          <w:p w14:paraId="02079EF1">
            <w:pPr>
              <w:widowControl/>
              <w:jc w:val="center"/>
              <w:textAlignment w:val="center"/>
              <w:rPr>
                <w:rStyle w:val="35"/>
                <w:rFonts w:ascii="宋体" w:hAnsi="宋体"/>
                <w:sz w:val="24"/>
              </w:rPr>
            </w:pPr>
            <w:r>
              <w:rPr>
                <w:rStyle w:val="35"/>
                <w:rFonts w:ascii="宋体" w:hAnsi="宋体"/>
                <w:kern w:val="0"/>
                <w:sz w:val="24"/>
              </w:rPr>
              <w:t>预期目标</w:t>
            </w:r>
          </w:p>
        </w:tc>
        <w:tc>
          <w:tcPr>
            <w:tcW w:w="4430" w:type="dxa"/>
            <w:gridSpan w:val="2"/>
            <w:tcBorders>
              <w:top w:val="single" w:color="000000" w:sz="4" w:space="0"/>
              <w:left w:val="single" w:color="000000" w:sz="4" w:space="0"/>
              <w:bottom w:val="single" w:color="000000" w:sz="4" w:space="0"/>
              <w:right w:val="single" w:color="000000" w:sz="4" w:space="0"/>
            </w:tcBorders>
            <w:vAlign w:val="center"/>
          </w:tcPr>
          <w:p w14:paraId="18F2296F">
            <w:pPr>
              <w:widowControl/>
              <w:jc w:val="center"/>
              <w:textAlignment w:val="center"/>
              <w:rPr>
                <w:rStyle w:val="35"/>
                <w:rFonts w:ascii="宋体" w:hAnsi="宋体"/>
                <w:sz w:val="24"/>
              </w:rPr>
            </w:pPr>
            <w:r>
              <w:rPr>
                <w:rStyle w:val="35"/>
                <w:rFonts w:ascii="宋体" w:hAnsi="宋体"/>
                <w:sz w:val="24"/>
              </w:rPr>
              <w:t>实际完成目标</w:t>
            </w:r>
          </w:p>
        </w:tc>
      </w:tr>
      <w:tr w14:paraId="03D26CEC">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4819DE1">
            <w:pPr>
              <w:widowControl/>
              <w:jc w:val="left"/>
              <w:textAlignment w:val="baseline"/>
              <w:rPr>
                <w:rStyle w:val="35"/>
                <w:rFonts w:ascii="宋体" w:hAnsi="宋体"/>
                <w:sz w:val="24"/>
              </w:rPr>
            </w:pPr>
          </w:p>
        </w:tc>
        <w:tc>
          <w:tcPr>
            <w:tcW w:w="4784" w:type="dxa"/>
            <w:gridSpan w:val="3"/>
            <w:tcBorders>
              <w:top w:val="single" w:color="000000" w:sz="4" w:space="0"/>
              <w:left w:val="single" w:color="000000" w:sz="4" w:space="0"/>
              <w:bottom w:val="single" w:color="000000" w:sz="4" w:space="0"/>
              <w:right w:val="single" w:color="000000" w:sz="4" w:space="0"/>
            </w:tcBorders>
            <w:vAlign w:val="center"/>
          </w:tcPr>
          <w:p w14:paraId="4B8B39E8">
            <w:pPr>
              <w:widowControl/>
              <w:jc w:val="center"/>
              <w:textAlignment w:val="center"/>
              <w:rPr>
                <w:rStyle w:val="35"/>
                <w:rFonts w:ascii="宋体" w:hAnsi="宋体"/>
                <w:sz w:val="24"/>
              </w:rPr>
            </w:pPr>
            <w:r>
              <w:rPr>
                <w:rStyle w:val="35"/>
                <w:rFonts w:ascii="宋体" w:hAnsi="宋体"/>
                <w:sz w:val="24"/>
              </w:rPr>
              <w:t>提高基本公共卫生服务项目均等化水平，规范公共卫生服务行为，推进基本公共卫生服务项目开展，加强孕产妇健康管理和儿童健康管理，全面完成2018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4430" w:type="dxa"/>
            <w:gridSpan w:val="2"/>
            <w:tcBorders>
              <w:top w:val="single" w:color="000000" w:sz="4" w:space="0"/>
              <w:left w:val="single" w:color="000000" w:sz="4" w:space="0"/>
              <w:bottom w:val="single" w:color="000000" w:sz="4" w:space="0"/>
              <w:right w:val="single" w:color="000000" w:sz="4" w:space="0"/>
            </w:tcBorders>
            <w:vAlign w:val="center"/>
          </w:tcPr>
          <w:p w14:paraId="6EBEE5BE">
            <w:pPr>
              <w:widowControl/>
              <w:jc w:val="left"/>
              <w:textAlignment w:val="center"/>
              <w:rPr>
                <w:rStyle w:val="35"/>
                <w:rFonts w:ascii="宋体" w:hAnsi="宋体"/>
                <w:sz w:val="24"/>
              </w:rPr>
            </w:pPr>
            <w:r>
              <w:rPr>
                <w:rStyle w:val="35"/>
                <w:rFonts w:ascii="宋体" w:hAnsi="宋体"/>
                <w:sz w:val="24"/>
              </w:rPr>
              <w:t>居民健康意识地有所提高和不良生活方式的有所改变，逐步树立起自我健康管理的理念；有效地预防和控制传染病及慢性病的发生和流行；提高了公共卫生服务和突发公共卫生服务应急处置能力，提高了居民健康素质。</w:t>
            </w:r>
          </w:p>
        </w:tc>
      </w:tr>
      <w:tr w14:paraId="78AB8B06">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vAlign w:val="center"/>
          </w:tcPr>
          <w:p w14:paraId="78FDE9CB">
            <w:pPr>
              <w:widowControl/>
              <w:jc w:val="center"/>
              <w:textAlignment w:val="center"/>
              <w:rPr>
                <w:rStyle w:val="35"/>
                <w:rFonts w:ascii="宋体" w:hAnsi="宋体"/>
                <w:sz w:val="24"/>
              </w:rPr>
            </w:pPr>
            <w:r>
              <w:rPr>
                <w:rStyle w:val="35"/>
                <w:rFonts w:ascii="宋体" w:hAnsi="宋体"/>
                <w:sz w:val="24"/>
              </w:rPr>
              <w:t>绩效指标完成情况</w:t>
            </w:r>
          </w:p>
        </w:tc>
        <w:tc>
          <w:tcPr>
            <w:tcW w:w="1425" w:type="dxa"/>
            <w:tcBorders>
              <w:top w:val="single" w:color="000000" w:sz="4" w:space="0"/>
              <w:left w:val="single" w:color="000000" w:sz="4" w:space="0"/>
              <w:bottom w:val="single" w:color="000000" w:sz="4" w:space="0"/>
              <w:right w:val="single" w:color="000000" w:sz="4" w:space="0"/>
            </w:tcBorders>
            <w:vAlign w:val="center"/>
          </w:tcPr>
          <w:p w14:paraId="5E3130C7">
            <w:pPr>
              <w:widowControl/>
              <w:jc w:val="center"/>
              <w:textAlignment w:val="center"/>
              <w:rPr>
                <w:rStyle w:val="35"/>
                <w:rFonts w:ascii="宋体" w:hAnsi="宋体"/>
                <w:sz w:val="24"/>
              </w:rPr>
            </w:pPr>
            <w:r>
              <w:rPr>
                <w:rStyle w:val="35"/>
                <w:rFonts w:ascii="宋体" w:hAnsi="宋体"/>
                <w:kern w:val="0"/>
                <w:sz w:val="24"/>
              </w:rPr>
              <w:t>一级指标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EA78D8C">
            <w:pPr>
              <w:widowControl/>
              <w:jc w:val="center"/>
              <w:textAlignment w:val="center"/>
              <w:rPr>
                <w:rStyle w:val="35"/>
                <w:rFonts w:ascii="宋体" w:hAnsi="宋体"/>
                <w:sz w:val="24"/>
              </w:rPr>
            </w:pPr>
            <w:r>
              <w:rPr>
                <w:rStyle w:val="35"/>
                <w:rFonts w:ascii="宋体" w:hAnsi="宋体"/>
                <w:kern w:val="0"/>
                <w:sz w:val="24"/>
              </w:rPr>
              <w:t>二级指标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EAF5616">
            <w:pPr>
              <w:widowControl/>
              <w:jc w:val="center"/>
              <w:textAlignment w:val="center"/>
              <w:rPr>
                <w:rStyle w:val="35"/>
                <w:rFonts w:ascii="宋体" w:hAnsi="宋体"/>
                <w:sz w:val="24"/>
              </w:rPr>
            </w:pPr>
            <w:r>
              <w:rPr>
                <w:rStyle w:val="35"/>
                <w:rFonts w:ascii="宋体" w:hAnsi="宋体"/>
                <w:kern w:val="0"/>
                <w:sz w:val="24"/>
              </w:rPr>
              <w:t>三级指标</w:t>
            </w:r>
          </w:p>
        </w:tc>
        <w:tc>
          <w:tcPr>
            <w:tcW w:w="2036" w:type="dxa"/>
            <w:tcBorders>
              <w:top w:val="single" w:color="000000" w:sz="4" w:space="0"/>
              <w:left w:val="single" w:color="000000" w:sz="4" w:space="0"/>
              <w:bottom w:val="single" w:color="000000" w:sz="4" w:space="0"/>
              <w:right w:val="single" w:color="000000" w:sz="4" w:space="0"/>
            </w:tcBorders>
            <w:vAlign w:val="center"/>
          </w:tcPr>
          <w:p w14:paraId="2545DCA0">
            <w:pPr>
              <w:widowControl/>
              <w:jc w:val="center"/>
              <w:textAlignment w:val="center"/>
              <w:rPr>
                <w:rStyle w:val="35"/>
                <w:rFonts w:ascii="宋体" w:hAnsi="宋体"/>
                <w:sz w:val="24"/>
              </w:rPr>
            </w:pPr>
            <w:r>
              <w:rPr>
                <w:rStyle w:val="35"/>
                <w:rFonts w:ascii="宋体" w:hAnsi="宋体"/>
                <w:kern w:val="0"/>
                <w:sz w:val="24"/>
              </w:rPr>
              <w:t>预期指标值(包含数字及文字描述)</w:t>
            </w:r>
          </w:p>
        </w:tc>
        <w:tc>
          <w:tcPr>
            <w:tcW w:w="2394" w:type="dxa"/>
            <w:tcBorders>
              <w:top w:val="single" w:color="000000" w:sz="4" w:space="0"/>
              <w:left w:val="single" w:color="000000" w:sz="4" w:space="0"/>
              <w:bottom w:val="single" w:color="000000" w:sz="4" w:space="0"/>
              <w:right w:val="single" w:color="000000" w:sz="4" w:space="0"/>
            </w:tcBorders>
            <w:vAlign w:val="center"/>
          </w:tcPr>
          <w:p w14:paraId="70FFBDB4">
            <w:pPr>
              <w:widowControl/>
              <w:jc w:val="center"/>
              <w:textAlignment w:val="center"/>
              <w:rPr>
                <w:rStyle w:val="35"/>
                <w:rFonts w:ascii="宋体" w:hAnsi="宋体"/>
                <w:sz w:val="24"/>
              </w:rPr>
            </w:pPr>
            <w:r>
              <w:rPr>
                <w:rStyle w:val="35"/>
                <w:rFonts w:ascii="宋体" w:hAnsi="宋体"/>
                <w:kern w:val="0"/>
                <w:sz w:val="24"/>
              </w:rPr>
              <w:t>实际完成指标值(包含数字及文字描述)</w:t>
            </w:r>
          </w:p>
        </w:tc>
      </w:tr>
      <w:tr w14:paraId="2F090BF6">
        <w:tblPrEx>
          <w:tblCellMar>
            <w:top w:w="0" w:type="dxa"/>
            <w:left w:w="0" w:type="dxa"/>
            <w:bottom w:w="0" w:type="dxa"/>
            <w:right w:w="0" w:type="dxa"/>
          </w:tblCellMar>
        </w:tblPrEx>
        <w:trPr>
          <w:trHeight w:val="7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17E606B">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8A5A0ED">
            <w:pPr>
              <w:widowControl/>
              <w:jc w:val="center"/>
              <w:textAlignment w:val="center"/>
              <w:rPr>
                <w:rStyle w:val="35"/>
                <w:rFonts w:ascii="宋体" w:hAnsi="宋体"/>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ECBB915">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E7BF5BC">
            <w:pPr>
              <w:widowControl/>
              <w:jc w:val="left"/>
              <w:textAlignment w:val="center"/>
              <w:rPr>
                <w:rStyle w:val="35"/>
                <w:rFonts w:ascii="宋体" w:hAnsi="宋体"/>
                <w:sz w:val="24"/>
              </w:rPr>
            </w:pPr>
            <w:r>
              <w:rPr>
                <w:rStyle w:val="35"/>
                <w:rFonts w:ascii="宋体" w:hAnsi="宋体"/>
                <w:kern w:val="0"/>
                <w:sz w:val="20"/>
                <w:szCs w:val="20"/>
              </w:rPr>
              <w:t>适龄人群国家免疫规划疫苗接种率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2D1C87C7">
            <w:pPr>
              <w:widowControl/>
              <w:jc w:val="center"/>
              <w:textAlignment w:val="center"/>
              <w:rPr>
                <w:rStyle w:val="35"/>
                <w:rFonts w:ascii="宋体" w:hAnsi="宋体"/>
                <w:sz w:val="24"/>
              </w:rPr>
            </w:pPr>
            <w:r>
              <w:rPr>
                <w:rStyle w:val="35"/>
                <w:rFonts w:ascii="宋体" w:hAnsi="宋体"/>
                <w:kern w:val="0"/>
                <w:sz w:val="20"/>
                <w:szCs w:val="20"/>
              </w:rPr>
              <w:t>≥90%以上</w:t>
            </w:r>
          </w:p>
        </w:tc>
        <w:tc>
          <w:tcPr>
            <w:tcW w:w="2394" w:type="dxa"/>
            <w:tcBorders>
              <w:top w:val="single" w:color="000000" w:sz="4" w:space="0"/>
              <w:left w:val="single" w:color="000000" w:sz="4" w:space="0"/>
              <w:bottom w:val="single" w:color="000000" w:sz="4" w:space="0"/>
              <w:right w:val="single" w:color="000000" w:sz="4" w:space="0"/>
            </w:tcBorders>
            <w:vAlign w:val="center"/>
          </w:tcPr>
          <w:p w14:paraId="46033A8F">
            <w:pPr>
              <w:widowControl/>
              <w:jc w:val="center"/>
              <w:textAlignment w:val="center"/>
              <w:rPr>
                <w:rStyle w:val="35"/>
                <w:rFonts w:ascii="宋体" w:hAnsi="宋体"/>
                <w:sz w:val="24"/>
              </w:rPr>
            </w:pPr>
            <w:r>
              <w:rPr>
                <w:rStyle w:val="35"/>
                <w:rFonts w:ascii="宋体" w:hAnsi="宋体"/>
                <w:sz w:val="24"/>
              </w:rPr>
              <w:t>92%，完成指标</w:t>
            </w:r>
          </w:p>
        </w:tc>
      </w:tr>
      <w:tr w14:paraId="5EF5C192">
        <w:tblPrEx>
          <w:tblCellMar>
            <w:top w:w="0" w:type="dxa"/>
            <w:left w:w="0" w:type="dxa"/>
            <w:bottom w:w="0" w:type="dxa"/>
            <w:right w:w="0" w:type="dxa"/>
          </w:tblCellMar>
        </w:tblPrEx>
        <w:trPr>
          <w:trHeight w:val="71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21F67BB">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4F99336">
            <w:pPr>
              <w:widowControl/>
              <w:jc w:val="center"/>
              <w:textAlignment w:val="center"/>
              <w:rPr>
                <w:rStyle w:val="35"/>
                <w:rFonts w:ascii="宋体" w:hAnsi="宋体"/>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BD99338">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AE5C808">
            <w:pPr>
              <w:widowControl/>
              <w:jc w:val="left"/>
              <w:textAlignment w:val="center"/>
              <w:rPr>
                <w:rStyle w:val="35"/>
                <w:rFonts w:ascii="宋体" w:hAnsi="宋体"/>
                <w:sz w:val="24"/>
              </w:rPr>
            </w:pPr>
            <w:r>
              <w:rPr>
                <w:rStyle w:val="35"/>
                <w:rFonts w:ascii="宋体" w:hAnsi="宋体"/>
                <w:kern w:val="0"/>
                <w:sz w:val="20"/>
                <w:szCs w:val="20"/>
              </w:rPr>
              <w:t>65岁以上老年人健康管理率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E0EA351">
            <w:pPr>
              <w:widowControl/>
              <w:jc w:val="center"/>
              <w:textAlignment w:val="center"/>
              <w:rPr>
                <w:rStyle w:val="35"/>
                <w:rFonts w:ascii="宋体" w:hAnsi="宋体"/>
                <w:sz w:val="24"/>
              </w:rPr>
            </w:pPr>
            <w:r>
              <w:rPr>
                <w:rStyle w:val="35"/>
                <w:rFonts w:ascii="宋体" w:hAnsi="宋体"/>
                <w:kern w:val="0"/>
                <w:sz w:val="20"/>
                <w:szCs w:val="20"/>
              </w:rPr>
              <w:t>≥70%以上</w:t>
            </w:r>
          </w:p>
        </w:tc>
        <w:tc>
          <w:tcPr>
            <w:tcW w:w="2394" w:type="dxa"/>
            <w:tcBorders>
              <w:top w:val="single" w:color="000000" w:sz="4" w:space="0"/>
              <w:left w:val="single" w:color="000000" w:sz="4" w:space="0"/>
              <w:bottom w:val="single" w:color="000000" w:sz="4" w:space="0"/>
              <w:right w:val="single" w:color="000000" w:sz="4" w:space="0"/>
            </w:tcBorders>
            <w:vAlign w:val="center"/>
          </w:tcPr>
          <w:p w14:paraId="56784E9C">
            <w:pPr>
              <w:widowControl/>
              <w:jc w:val="center"/>
              <w:textAlignment w:val="center"/>
              <w:rPr>
                <w:rStyle w:val="35"/>
                <w:rFonts w:ascii="宋体" w:hAnsi="宋体"/>
                <w:sz w:val="24"/>
              </w:rPr>
            </w:pPr>
            <w:r>
              <w:rPr>
                <w:rStyle w:val="35"/>
                <w:rFonts w:ascii="宋体" w:hAnsi="宋体"/>
                <w:sz w:val="24"/>
              </w:rPr>
              <w:t>75.65%，完成指标</w:t>
            </w:r>
          </w:p>
        </w:tc>
      </w:tr>
      <w:tr w14:paraId="143511A9">
        <w:tblPrEx>
          <w:tblCellMar>
            <w:top w:w="0" w:type="dxa"/>
            <w:left w:w="0" w:type="dxa"/>
            <w:bottom w:w="0" w:type="dxa"/>
            <w:right w:w="0" w:type="dxa"/>
          </w:tblCellMar>
        </w:tblPrEx>
        <w:trPr>
          <w:trHeight w:val="92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9E12B83">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4D97C6F">
            <w:pPr>
              <w:widowControl/>
              <w:jc w:val="center"/>
              <w:textAlignment w:val="center"/>
              <w:rPr>
                <w:rStyle w:val="35"/>
                <w:rFonts w:ascii="宋体" w:hAnsi="宋体"/>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2D64C355">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B29A455">
            <w:pPr>
              <w:widowControl/>
              <w:jc w:val="left"/>
              <w:textAlignment w:val="center"/>
              <w:rPr>
                <w:rStyle w:val="35"/>
                <w:rFonts w:ascii="宋体" w:hAnsi="宋体"/>
                <w:sz w:val="24"/>
              </w:rPr>
            </w:pPr>
            <w:r>
              <w:rPr>
                <w:rStyle w:val="35"/>
                <w:rFonts w:ascii="宋体" w:hAnsi="宋体"/>
                <w:kern w:val="0"/>
                <w:sz w:val="20"/>
                <w:szCs w:val="20"/>
              </w:rPr>
              <w:t>中医药健康管理服务目标人群覆盖率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7241B603">
            <w:pPr>
              <w:widowControl/>
              <w:jc w:val="center"/>
              <w:textAlignment w:val="center"/>
              <w:rPr>
                <w:rStyle w:val="35"/>
                <w:rFonts w:ascii="宋体" w:hAnsi="宋体"/>
                <w:sz w:val="24"/>
              </w:rPr>
            </w:pPr>
            <w:r>
              <w:rPr>
                <w:rStyle w:val="35"/>
                <w:rFonts w:ascii="宋体" w:hAnsi="宋体"/>
                <w:kern w:val="0"/>
                <w:sz w:val="20"/>
                <w:szCs w:val="20"/>
              </w:rPr>
              <w:t>≥45%</w:t>
            </w:r>
          </w:p>
        </w:tc>
        <w:tc>
          <w:tcPr>
            <w:tcW w:w="2394" w:type="dxa"/>
            <w:tcBorders>
              <w:top w:val="single" w:color="000000" w:sz="4" w:space="0"/>
              <w:left w:val="single" w:color="000000" w:sz="4" w:space="0"/>
              <w:bottom w:val="single" w:color="000000" w:sz="4" w:space="0"/>
              <w:right w:val="single" w:color="000000" w:sz="4" w:space="0"/>
            </w:tcBorders>
            <w:vAlign w:val="center"/>
          </w:tcPr>
          <w:p w14:paraId="2981ED0F">
            <w:pPr>
              <w:widowControl/>
              <w:textAlignment w:val="center"/>
              <w:rPr>
                <w:rStyle w:val="35"/>
                <w:rFonts w:ascii="宋体" w:hAnsi="宋体"/>
                <w:sz w:val="24"/>
              </w:rPr>
            </w:pPr>
            <w:r>
              <w:rPr>
                <w:rStyle w:val="35"/>
                <w:rFonts w:ascii="宋体" w:hAnsi="宋体"/>
                <w:sz w:val="24"/>
              </w:rPr>
              <w:t>老年人：65.97%；0-36个月儿童：68.72%，</w:t>
            </w:r>
          </w:p>
          <w:p w14:paraId="331BBF09">
            <w:pPr>
              <w:widowControl/>
              <w:jc w:val="center"/>
              <w:textAlignment w:val="center"/>
              <w:rPr>
                <w:rStyle w:val="35"/>
                <w:rFonts w:ascii="宋体" w:hAnsi="宋体"/>
                <w:sz w:val="24"/>
              </w:rPr>
            </w:pPr>
            <w:r>
              <w:rPr>
                <w:rStyle w:val="35"/>
                <w:rFonts w:ascii="宋体" w:hAnsi="宋体"/>
                <w:sz w:val="24"/>
              </w:rPr>
              <w:t>完成指标</w:t>
            </w:r>
          </w:p>
        </w:tc>
      </w:tr>
      <w:tr w14:paraId="5444B9C5">
        <w:tblPrEx>
          <w:tblCellMar>
            <w:top w:w="0" w:type="dxa"/>
            <w:left w:w="0" w:type="dxa"/>
            <w:bottom w:w="0" w:type="dxa"/>
            <w:right w:w="0" w:type="dxa"/>
          </w:tblCellMar>
        </w:tblPrEx>
        <w:trPr>
          <w:trHeight w:val="6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5E7AC5F">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0804F65">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C0ED7BE">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131DD5D">
            <w:pPr>
              <w:widowControl/>
              <w:jc w:val="left"/>
              <w:textAlignment w:val="center"/>
              <w:rPr>
                <w:rStyle w:val="35"/>
                <w:rFonts w:ascii="宋体" w:hAnsi="宋体"/>
                <w:sz w:val="24"/>
              </w:rPr>
            </w:pPr>
            <w:r>
              <w:rPr>
                <w:rStyle w:val="35"/>
                <w:rFonts w:ascii="宋体" w:hAnsi="宋体"/>
                <w:kern w:val="0"/>
                <w:sz w:val="20"/>
                <w:szCs w:val="20"/>
              </w:rPr>
              <w:t>预防接种管理率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054CD137">
            <w:pPr>
              <w:widowControl/>
              <w:jc w:val="center"/>
              <w:textAlignment w:val="center"/>
              <w:rPr>
                <w:rStyle w:val="35"/>
                <w:rFonts w:ascii="宋体" w:hAnsi="宋体"/>
                <w:sz w:val="24"/>
              </w:rPr>
            </w:pPr>
            <w:r>
              <w:rPr>
                <w:rStyle w:val="35"/>
                <w:rFonts w:ascii="宋体" w:hAnsi="宋体"/>
                <w:kern w:val="0"/>
                <w:sz w:val="20"/>
                <w:szCs w:val="20"/>
              </w:rPr>
              <w:t>≥90%以上</w:t>
            </w:r>
          </w:p>
        </w:tc>
        <w:tc>
          <w:tcPr>
            <w:tcW w:w="2394" w:type="dxa"/>
            <w:tcBorders>
              <w:top w:val="single" w:color="000000" w:sz="4" w:space="0"/>
              <w:left w:val="single" w:color="000000" w:sz="4" w:space="0"/>
              <w:bottom w:val="single" w:color="000000" w:sz="4" w:space="0"/>
              <w:right w:val="single" w:color="000000" w:sz="4" w:space="0"/>
            </w:tcBorders>
            <w:vAlign w:val="center"/>
          </w:tcPr>
          <w:p w14:paraId="3A35B037">
            <w:pPr>
              <w:widowControl/>
              <w:jc w:val="center"/>
              <w:textAlignment w:val="center"/>
              <w:rPr>
                <w:rStyle w:val="35"/>
                <w:rFonts w:ascii="宋体" w:hAnsi="宋体"/>
                <w:sz w:val="24"/>
              </w:rPr>
            </w:pPr>
            <w:r>
              <w:rPr>
                <w:rStyle w:val="35"/>
                <w:rFonts w:ascii="宋体" w:hAnsi="宋体"/>
                <w:sz w:val="24"/>
              </w:rPr>
              <w:t>92%，完成指标</w:t>
            </w:r>
          </w:p>
        </w:tc>
      </w:tr>
      <w:tr w14:paraId="54AE7AAE">
        <w:tblPrEx>
          <w:tblCellMar>
            <w:top w:w="0" w:type="dxa"/>
            <w:left w:w="0" w:type="dxa"/>
            <w:bottom w:w="0" w:type="dxa"/>
            <w:right w:w="0" w:type="dxa"/>
          </w:tblCellMar>
        </w:tblPrEx>
        <w:trPr>
          <w:trHeight w:val="7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201320F">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A11B30C">
            <w:pPr>
              <w:widowControl/>
              <w:jc w:val="center"/>
              <w:textAlignment w:val="center"/>
              <w:rPr>
                <w:rStyle w:val="35"/>
                <w:rFonts w:ascii="宋体" w:hAnsi="宋体"/>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C850ACD">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EAB5718">
            <w:pPr>
              <w:widowControl/>
              <w:jc w:val="left"/>
              <w:textAlignment w:val="center"/>
              <w:rPr>
                <w:rStyle w:val="35"/>
                <w:rFonts w:ascii="宋体" w:hAnsi="宋体"/>
                <w:sz w:val="24"/>
              </w:rPr>
            </w:pPr>
            <w:r>
              <w:rPr>
                <w:rStyle w:val="35"/>
                <w:rFonts w:ascii="宋体" w:hAnsi="宋体"/>
                <w:kern w:val="0"/>
                <w:sz w:val="20"/>
                <w:szCs w:val="20"/>
              </w:rPr>
              <w:t>高血压患者健康管理率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9598114">
            <w:pPr>
              <w:widowControl/>
              <w:jc w:val="center"/>
              <w:textAlignment w:val="center"/>
              <w:rPr>
                <w:rStyle w:val="35"/>
                <w:rFonts w:ascii="宋体" w:hAnsi="宋体"/>
                <w:sz w:val="24"/>
              </w:rPr>
            </w:pPr>
            <w:r>
              <w:rPr>
                <w:rStyle w:val="35"/>
                <w:rFonts w:ascii="宋体" w:hAnsi="宋体"/>
                <w:kern w:val="0"/>
                <w:sz w:val="20"/>
                <w:szCs w:val="20"/>
              </w:rPr>
              <w:t>≥70%</w:t>
            </w:r>
          </w:p>
        </w:tc>
        <w:tc>
          <w:tcPr>
            <w:tcW w:w="2394" w:type="dxa"/>
            <w:tcBorders>
              <w:top w:val="single" w:color="000000" w:sz="4" w:space="0"/>
              <w:left w:val="single" w:color="000000" w:sz="4" w:space="0"/>
              <w:bottom w:val="single" w:color="000000" w:sz="4" w:space="0"/>
              <w:right w:val="single" w:color="000000" w:sz="4" w:space="0"/>
            </w:tcBorders>
            <w:vAlign w:val="center"/>
          </w:tcPr>
          <w:p w14:paraId="75167B7B">
            <w:pPr>
              <w:widowControl/>
              <w:jc w:val="center"/>
              <w:textAlignment w:val="center"/>
              <w:rPr>
                <w:rStyle w:val="35"/>
                <w:rFonts w:ascii="宋体" w:hAnsi="宋体"/>
                <w:sz w:val="24"/>
              </w:rPr>
            </w:pPr>
            <w:r>
              <w:rPr>
                <w:rStyle w:val="35"/>
                <w:rFonts w:hint="eastAsia" w:ascii="宋体" w:hAnsi="宋体"/>
                <w:sz w:val="24"/>
              </w:rPr>
              <w:t>100</w:t>
            </w:r>
            <w:r>
              <w:rPr>
                <w:rStyle w:val="35"/>
                <w:rFonts w:ascii="宋体" w:hAnsi="宋体"/>
                <w:sz w:val="24"/>
              </w:rPr>
              <w:t>%，完成指标</w:t>
            </w:r>
          </w:p>
        </w:tc>
      </w:tr>
      <w:tr w14:paraId="1C4ADEF3">
        <w:tblPrEx>
          <w:tblCellMar>
            <w:top w:w="0" w:type="dxa"/>
            <w:left w:w="0" w:type="dxa"/>
            <w:bottom w:w="0" w:type="dxa"/>
            <w:right w:w="0" w:type="dxa"/>
          </w:tblCellMar>
        </w:tblPrEx>
        <w:trPr>
          <w:trHeight w:val="6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88642C7">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D018C99">
            <w:pPr>
              <w:widowControl/>
              <w:jc w:val="center"/>
              <w:textAlignment w:val="center"/>
              <w:rPr>
                <w:rStyle w:val="35"/>
                <w:rFonts w:ascii="宋体" w:hAnsi="宋体"/>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24016E9">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C3BF175">
            <w:pPr>
              <w:widowControl/>
              <w:jc w:val="left"/>
              <w:textAlignment w:val="center"/>
              <w:rPr>
                <w:rStyle w:val="35"/>
                <w:rFonts w:ascii="宋体" w:hAnsi="宋体"/>
                <w:sz w:val="24"/>
              </w:rPr>
            </w:pPr>
            <w:r>
              <w:rPr>
                <w:rStyle w:val="35"/>
                <w:rFonts w:ascii="宋体" w:hAnsi="宋体"/>
                <w:kern w:val="0"/>
                <w:sz w:val="20"/>
                <w:szCs w:val="20"/>
              </w:rPr>
              <w:t>高血压患者健康管理人数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0E9B27D6">
            <w:pPr>
              <w:widowControl/>
              <w:jc w:val="center"/>
              <w:textAlignment w:val="center"/>
              <w:rPr>
                <w:rStyle w:val="35"/>
                <w:rFonts w:ascii="宋体" w:hAnsi="宋体"/>
                <w:sz w:val="24"/>
              </w:rPr>
            </w:pPr>
            <w:r>
              <w:rPr>
                <w:rStyle w:val="35"/>
                <w:rFonts w:hint="eastAsia" w:ascii="宋体" w:hAnsi="宋体"/>
                <w:sz w:val="24"/>
              </w:rPr>
              <w:t>579</w:t>
            </w:r>
            <w:r>
              <w:rPr>
                <w:rStyle w:val="35"/>
                <w:rFonts w:ascii="宋体" w:hAnsi="宋体"/>
                <w:sz w:val="24"/>
              </w:rPr>
              <w:t>人</w:t>
            </w:r>
          </w:p>
        </w:tc>
        <w:tc>
          <w:tcPr>
            <w:tcW w:w="2394" w:type="dxa"/>
            <w:tcBorders>
              <w:top w:val="single" w:color="000000" w:sz="4" w:space="0"/>
              <w:left w:val="single" w:color="000000" w:sz="4" w:space="0"/>
              <w:bottom w:val="single" w:color="000000" w:sz="4" w:space="0"/>
              <w:right w:val="single" w:color="000000" w:sz="4" w:space="0"/>
            </w:tcBorders>
            <w:vAlign w:val="center"/>
          </w:tcPr>
          <w:p w14:paraId="15532DC9">
            <w:pPr>
              <w:widowControl/>
              <w:jc w:val="center"/>
              <w:textAlignment w:val="center"/>
              <w:rPr>
                <w:rStyle w:val="35"/>
                <w:rFonts w:ascii="宋体" w:hAnsi="宋体"/>
                <w:sz w:val="24"/>
              </w:rPr>
            </w:pPr>
            <w:r>
              <w:rPr>
                <w:rStyle w:val="35"/>
                <w:rFonts w:hint="eastAsia" w:ascii="宋体" w:hAnsi="宋体"/>
                <w:sz w:val="24"/>
              </w:rPr>
              <w:t>579</w:t>
            </w:r>
            <w:r>
              <w:rPr>
                <w:rStyle w:val="35"/>
                <w:rFonts w:ascii="宋体" w:hAnsi="宋体"/>
                <w:sz w:val="24"/>
              </w:rPr>
              <w:t>人</w:t>
            </w:r>
          </w:p>
        </w:tc>
      </w:tr>
      <w:tr w14:paraId="53AD7660">
        <w:tblPrEx>
          <w:tblCellMar>
            <w:top w:w="0" w:type="dxa"/>
            <w:left w:w="0" w:type="dxa"/>
            <w:bottom w:w="0" w:type="dxa"/>
            <w:right w:w="0" w:type="dxa"/>
          </w:tblCellMar>
        </w:tblPrEx>
        <w:trPr>
          <w:trHeight w:val="51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AD62774">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5276210">
            <w:pPr>
              <w:widowControl/>
              <w:jc w:val="center"/>
              <w:textAlignment w:val="center"/>
              <w:rPr>
                <w:rStyle w:val="35"/>
                <w:rFonts w:ascii="宋体" w:hAnsi="宋体"/>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DDCAAE5">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8B5F06E">
            <w:pPr>
              <w:widowControl/>
              <w:jc w:val="left"/>
              <w:textAlignment w:val="center"/>
              <w:rPr>
                <w:rStyle w:val="35"/>
                <w:rFonts w:ascii="宋体" w:hAnsi="宋体"/>
                <w:sz w:val="24"/>
              </w:rPr>
            </w:pPr>
            <w:r>
              <w:rPr>
                <w:rStyle w:val="35"/>
                <w:rFonts w:ascii="宋体" w:hAnsi="宋体"/>
                <w:kern w:val="0"/>
                <w:sz w:val="20"/>
                <w:szCs w:val="20"/>
              </w:rPr>
              <w:t>糖尿病患者健康管理率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7D95073">
            <w:pPr>
              <w:widowControl/>
              <w:jc w:val="center"/>
              <w:textAlignment w:val="center"/>
              <w:rPr>
                <w:rStyle w:val="35"/>
                <w:rFonts w:ascii="宋体" w:hAnsi="宋体"/>
                <w:sz w:val="24"/>
              </w:rPr>
            </w:pPr>
            <w:r>
              <w:rPr>
                <w:rStyle w:val="35"/>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vAlign w:val="center"/>
          </w:tcPr>
          <w:p w14:paraId="1C970136">
            <w:pPr>
              <w:widowControl/>
              <w:jc w:val="center"/>
              <w:textAlignment w:val="center"/>
              <w:rPr>
                <w:rStyle w:val="35"/>
                <w:rFonts w:ascii="宋体" w:hAnsi="宋体"/>
                <w:sz w:val="24"/>
              </w:rPr>
            </w:pPr>
            <w:r>
              <w:rPr>
                <w:rStyle w:val="35"/>
                <w:rFonts w:hint="eastAsia" w:ascii="宋体" w:hAnsi="宋体"/>
                <w:sz w:val="24"/>
              </w:rPr>
              <w:t>67</w:t>
            </w:r>
            <w:r>
              <w:rPr>
                <w:rStyle w:val="35"/>
                <w:rFonts w:ascii="宋体" w:hAnsi="宋体"/>
                <w:sz w:val="24"/>
              </w:rPr>
              <w:t>%,完成指标</w:t>
            </w:r>
          </w:p>
        </w:tc>
      </w:tr>
      <w:tr w14:paraId="7B3D3159">
        <w:tblPrEx>
          <w:tblCellMar>
            <w:top w:w="0" w:type="dxa"/>
            <w:left w:w="0" w:type="dxa"/>
            <w:bottom w:w="0" w:type="dxa"/>
            <w:right w:w="0" w:type="dxa"/>
          </w:tblCellMar>
        </w:tblPrEx>
        <w:trPr>
          <w:trHeight w:val="45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7095C17">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E2542EF">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D265B8B">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B5FCF92">
            <w:pPr>
              <w:widowControl/>
              <w:jc w:val="left"/>
              <w:textAlignment w:val="center"/>
              <w:rPr>
                <w:rStyle w:val="35"/>
                <w:rFonts w:ascii="宋体" w:hAnsi="宋体"/>
                <w:sz w:val="24"/>
              </w:rPr>
            </w:pPr>
            <w:r>
              <w:rPr>
                <w:rStyle w:val="35"/>
                <w:rFonts w:ascii="宋体" w:hAnsi="宋体"/>
                <w:kern w:val="0"/>
                <w:sz w:val="20"/>
                <w:szCs w:val="20"/>
              </w:rPr>
              <w:t>糖尿病患者健康管理人数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49704451">
            <w:pPr>
              <w:widowControl/>
              <w:jc w:val="center"/>
              <w:textAlignment w:val="center"/>
              <w:rPr>
                <w:rStyle w:val="35"/>
                <w:rFonts w:ascii="宋体" w:hAnsi="宋体"/>
                <w:sz w:val="24"/>
              </w:rPr>
            </w:pPr>
            <w:r>
              <w:rPr>
                <w:rStyle w:val="35"/>
                <w:rFonts w:hint="eastAsia" w:ascii="宋体" w:hAnsi="宋体"/>
                <w:sz w:val="24"/>
              </w:rPr>
              <w:t>106</w:t>
            </w:r>
            <w:r>
              <w:rPr>
                <w:rStyle w:val="35"/>
                <w:rFonts w:ascii="宋体" w:hAnsi="宋体"/>
                <w:sz w:val="24"/>
              </w:rPr>
              <w:t>人</w:t>
            </w:r>
          </w:p>
        </w:tc>
        <w:tc>
          <w:tcPr>
            <w:tcW w:w="2394" w:type="dxa"/>
            <w:tcBorders>
              <w:top w:val="single" w:color="000000" w:sz="4" w:space="0"/>
              <w:left w:val="single" w:color="000000" w:sz="4" w:space="0"/>
              <w:bottom w:val="single" w:color="000000" w:sz="4" w:space="0"/>
              <w:right w:val="single" w:color="000000" w:sz="4" w:space="0"/>
            </w:tcBorders>
            <w:vAlign w:val="center"/>
          </w:tcPr>
          <w:p w14:paraId="2822FD1B">
            <w:pPr>
              <w:widowControl/>
              <w:jc w:val="center"/>
              <w:textAlignment w:val="center"/>
              <w:rPr>
                <w:rStyle w:val="35"/>
                <w:rFonts w:ascii="宋体" w:hAnsi="宋体"/>
                <w:sz w:val="24"/>
              </w:rPr>
            </w:pPr>
            <w:r>
              <w:rPr>
                <w:rStyle w:val="35"/>
                <w:rFonts w:hint="eastAsia" w:ascii="宋体" w:hAnsi="宋体"/>
                <w:sz w:val="24"/>
              </w:rPr>
              <w:t>106</w:t>
            </w:r>
            <w:r>
              <w:rPr>
                <w:rStyle w:val="35"/>
                <w:rFonts w:ascii="宋体" w:hAnsi="宋体"/>
                <w:sz w:val="24"/>
              </w:rPr>
              <w:t>人</w:t>
            </w:r>
          </w:p>
        </w:tc>
      </w:tr>
      <w:tr w14:paraId="0C6459DE">
        <w:tblPrEx>
          <w:tblCellMar>
            <w:top w:w="0" w:type="dxa"/>
            <w:left w:w="0" w:type="dxa"/>
            <w:bottom w:w="0" w:type="dxa"/>
            <w:right w:w="0" w:type="dxa"/>
          </w:tblCellMar>
        </w:tblPrEx>
        <w:trPr>
          <w:trHeight w:val="53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D5DE8E5">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8898686">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781B83D">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106A540">
            <w:pPr>
              <w:widowControl/>
              <w:jc w:val="left"/>
              <w:textAlignment w:val="center"/>
              <w:rPr>
                <w:rStyle w:val="35"/>
                <w:rFonts w:ascii="宋体" w:hAnsi="宋体"/>
                <w:sz w:val="24"/>
              </w:rPr>
            </w:pPr>
            <w:r>
              <w:rPr>
                <w:rStyle w:val="35"/>
                <w:rFonts w:ascii="宋体" w:hAnsi="宋体"/>
                <w:kern w:val="0"/>
                <w:sz w:val="20"/>
                <w:szCs w:val="20"/>
              </w:rPr>
              <w:t>严重精神障碍患者管理率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630E0F9">
            <w:pPr>
              <w:widowControl/>
              <w:jc w:val="center"/>
              <w:textAlignment w:val="center"/>
              <w:rPr>
                <w:rStyle w:val="35"/>
                <w:rFonts w:ascii="宋体" w:hAnsi="宋体"/>
                <w:sz w:val="24"/>
              </w:rPr>
            </w:pPr>
            <w:r>
              <w:rPr>
                <w:rStyle w:val="35"/>
                <w:rFonts w:ascii="宋体" w:hAnsi="宋体"/>
                <w:kern w:val="0"/>
                <w:sz w:val="20"/>
                <w:szCs w:val="20"/>
              </w:rPr>
              <w:t>≥80%</w:t>
            </w:r>
          </w:p>
        </w:tc>
        <w:tc>
          <w:tcPr>
            <w:tcW w:w="2394" w:type="dxa"/>
            <w:tcBorders>
              <w:top w:val="single" w:color="000000" w:sz="4" w:space="0"/>
              <w:left w:val="single" w:color="000000" w:sz="4" w:space="0"/>
              <w:bottom w:val="single" w:color="000000" w:sz="4" w:space="0"/>
              <w:right w:val="single" w:color="000000" w:sz="4" w:space="0"/>
            </w:tcBorders>
            <w:vAlign w:val="center"/>
          </w:tcPr>
          <w:p w14:paraId="73688F69">
            <w:pPr>
              <w:widowControl/>
              <w:jc w:val="center"/>
              <w:textAlignment w:val="center"/>
              <w:rPr>
                <w:rStyle w:val="35"/>
                <w:rFonts w:ascii="宋体" w:hAnsi="宋体"/>
                <w:sz w:val="24"/>
              </w:rPr>
            </w:pPr>
            <w:r>
              <w:rPr>
                <w:rStyle w:val="35"/>
                <w:rFonts w:hint="eastAsia" w:ascii="宋体" w:hAnsi="宋体"/>
                <w:sz w:val="24"/>
              </w:rPr>
              <w:t>100</w:t>
            </w:r>
            <w:r>
              <w:rPr>
                <w:rStyle w:val="35"/>
                <w:rFonts w:ascii="宋体" w:hAnsi="宋体"/>
                <w:sz w:val="24"/>
              </w:rPr>
              <w:t>%，完成指标</w:t>
            </w:r>
          </w:p>
        </w:tc>
      </w:tr>
      <w:tr w14:paraId="45130C75">
        <w:tblPrEx>
          <w:tblCellMar>
            <w:top w:w="0" w:type="dxa"/>
            <w:left w:w="0" w:type="dxa"/>
            <w:bottom w:w="0" w:type="dxa"/>
            <w:right w:w="0" w:type="dxa"/>
          </w:tblCellMar>
        </w:tblPrEx>
        <w:trPr>
          <w:trHeight w:val="56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01CA96E">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2757F41">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B9604B1">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F709D34">
            <w:pPr>
              <w:widowControl/>
              <w:jc w:val="left"/>
              <w:textAlignment w:val="center"/>
              <w:rPr>
                <w:rStyle w:val="35"/>
                <w:rFonts w:ascii="宋体" w:hAnsi="宋体"/>
                <w:sz w:val="24"/>
              </w:rPr>
            </w:pPr>
            <w:r>
              <w:rPr>
                <w:rStyle w:val="35"/>
                <w:rFonts w:ascii="宋体" w:hAnsi="宋体"/>
                <w:kern w:val="0"/>
                <w:sz w:val="20"/>
                <w:szCs w:val="20"/>
              </w:rPr>
              <w:t>严重精神障碍患者健康管理人数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576B1F40">
            <w:pPr>
              <w:widowControl/>
              <w:jc w:val="center"/>
              <w:textAlignment w:val="center"/>
              <w:rPr>
                <w:rStyle w:val="35"/>
                <w:rFonts w:ascii="宋体" w:hAnsi="宋体"/>
                <w:sz w:val="24"/>
              </w:rPr>
            </w:pPr>
            <w:r>
              <w:rPr>
                <w:rStyle w:val="35"/>
                <w:rFonts w:hint="eastAsia" w:ascii="宋体" w:hAnsi="宋体"/>
                <w:sz w:val="24"/>
              </w:rPr>
              <w:t>40</w:t>
            </w:r>
            <w:r>
              <w:rPr>
                <w:rStyle w:val="35"/>
                <w:rFonts w:ascii="宋体" w:hAnsi="宋体"/>
                <w:sz w:val="24"/>
              </w:rPr>
              <w:t>人</w:t>
            </w:r>
          </w:p>
        </w:tc>
        <w:tc>
          <w:tcPr>
            <w:tcW w:w="2394" w:type="dxa"/>
            <w:tcBorders>
              <w:top w:val="single" w:color="000000" w:sz="4" w:space="0"/>
              <w:left w:val="single" w:color="000000" w:sz="4" w:space="0"/>
              <w:bottom w:val="single" w:color="000000" w:sz="4" w:space="0"/>
              <w:right w:val="single" w:color="000000" w:sz="4" w:space="0"/>
            </w:tcBorders>
            <w:vAlign w:val="center"/>
          </w:tcPr>
          <w:p w14:paraId="21237588">
            <w:pPr>
              <w:widowControl/>
              <w:jc w:val="center"/>
              <w:textAlignment w:val="center"/>
              <w:rPr>
                <w:rStyle w:val="35"/>
                <w:rFonts w:ascii="宋体" w:hAnsi="宋体"/>
                <w:sz w:val="24"/>
              </w:rPr>
            </w:pPr>
            <w:r>
              <w:rPr>
                <w:rStyle w:val="35"/>
                <w:rFonts w:hint="eastAsia" w:ascii="宋体" w:hAnsi="宋体"/>
                <w:sz w:val="24"/>
              </w:rPr>
              <w:t>40</w:t>
            </w:r>
            <w:r>
              <w:rPr>
                <w:rStyle w:val="35"/>
                <w:rFonts w:ascii="宋体" w:hAnsi="宋体"/>
                <w:sz w:val="24"/>
              </w:rPr>
              <w:t>人</w:t>
            </w:r>
          </w:p>
        </w:tc>
      </w:tr>
      <w:tr w14:paraId="5F94D4E0">
        <w:tblPrEx>
          <w:tblCellMar>
            <w:top w:w="0" w:type="dxa"/>
            <w:left w:w="0" w:type="dxa"/>
            <w:bottom w:w="0" w:type="dxa"/>
            <w:right w:w="0" w:type="dxa"/>
          </w:tblCellMar>
        </w:tblPrEx>
        <w:trPr>
          <w:trHeight w:val="68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B927E11">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1C47706">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7382580">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53C7E6F">
            <w:pPr>
              <w:widowControl/>
              <w:jc w:val="left"/>
              <w:textAlignment w:val="center"/>
              <w:rPr>
                <w:rStyle w:val="35"/>
                <w:rFonts w:ascii="宋体" w:hAnsi="宋体"/>
                <w:sz w:val="24"/>
              </w:rPr>
            </w:pPr>
            <w:r>
              <w:rPr>
                <w:rStyle w:val="35"/>
                <w:rFonts w:ascii="宋体" w:hAnsi="宋体"/>
                <w:kern w:val="0"/>
                <w:sz w:val="20"/>
                <w:szCs w:val="20"/>
              </w:rPr>
              <w:t>居民健康档案规范化电子建档率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7AC496A3">
            <w:pPr>
              <w:widowControl/>
              <w:jc w:val="center"/>
              <w:textAlignment w:val="center"/>
              <w:rPr>
                <w:rStyle w:val="35"/>
                <w:rFonts w:ascii="宋体" w:hAnsi="宋体"/>
                <w:sz w:val="24"/>
              </w:rPr>
            </w:pPr>
            <w:r>
              <w:rPr>
                <w:rStyle w:val="35"/>
                <w:rFonts w:ascii="宋体" w:hAnsi="宋体"/>
                <w:kern w:val="0"/>
                <w:sz w:val="20"/>
                <w:szCs w:val="20"/>
              </w:rPr>
              <w:t>≥93%</w:t>
            </w:r>
          </w:p>
        </w:tc>
        <w:tc>
          <w:tcPr>
            <w:tcW w:w="2394" w:type="dxa"/>
            <w:tcBorders>
              <w:top w:val="single" w:color="000000" w:sz="4" w:space="0"/>
              <w:left w:val="single" w:color="000000" w:sz="4" w:space="0"/>
              <w:bottom w:val="single" w:color="000000" w:sz="4" w:space="0"/>
              <w:right w:val="single" w:color="000000" w:sz="4" w:space="0"/>
            </w:tcBorders>
            <w:vAlign w:val="center"/>
          </w:tcPr>
          <w:p w14:paraId="4EB13636">
            <w:pPr>
              <w:widowControl/>
              <w:jc w:val="center"/>
              <w:textAlignment w:val="center"/>
              <w:rPr>
                <w:rStyle w:val="35"/>
                <w:rFonts w:ascii="宋体" w:hAnsi="宋体"/>
                <w:sz w:val="24"/>
              </w:rPr>
            </w:pPr>
            <w:r>
              <w:rPr>
                <w:rStyle w:val="35"/>
                <w:rFonts w:ascii="宋体" w:hAnsi="宋体"/>
                <w:sz w:val="24"/>
              </w:rPr>
              <w:t>98.59%，完成指标</w:t>
            </w:r>
          </w:p>
        </w:tc>
      </w:tr>
      <w:tr w14:paraId="7C4A5F1E">
        <w:tblPrEx>
          <w:tblCellMar>
            <w:top w:w="0" w:type="dxa"/>
            <w:left w:w="0" w:type="dxa"/>
            <w:bottom w:w="0" w:type="dxa"/>
            <w:right w:w="0" w:type="dxa"/>
          </w:tblCellMar>
        </w:tblPrEx>
        <w:trPr>
          <w:trHeight w:val="51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5C59908">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FD715CF">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C0F6D0C">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49475BB">
            <w:pPr>
              <w:widowControl/>
              <w:jc w:val="left"/>
              <w:textAlignment w:val="center"/>
              <w:rPr>
                <w:rStyle w:val="35"/>
                <w:rFonts w:ascii="宋体" w:hAnsi="宋体"/>
                <w:sz w:val="24"/>
              </w:rPr>
            </w:pPr>
            <w:r>
              <w:rPr>
                <w:rStyle w:val="35"/>
                <w:rFonts w:ascii="宋体" w:hAnsi="宋体"/>
                <w:kern w:val="0"/>
                <w:sz w:val="20"/>
                <w:szCs w:val="20"/>
              </w:rPr>
              <w:t>儿童健康管理率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CA46FDD">
            <w:pPr>
              <w:widowControl/>
              <w:jc w:val="center"/>
              <w:textAlignment w:val="center"/>
              <w:rPr>
                <w:rStyle w:val="35"/>
                <w:rFonts w:ascii="宋体" w:hAnsi="宋体"/>
                <w:sz w:val="24"/>
              </w:rPr>
            </w:pPr>
            <w:r>
              <w:rPr>
                <w:rStyle w:val="35"/>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4E430A7B">
            <w:pPr>
              <w:widowControl/>
              <w:jc w:val="center"/>
              <w:textAlignment w:val="center"/>
              <w:rPr>
                <w:rStyle w:val="35"/>
                <w:rFonts w:ascii="宋体" w:hAnsi="宋体"/>
                <w:sz w:val="24"/>
              </w:rPr>
            </w:pPr>
            <w:r>
              <w:rPr>
                <w:rStyle w:val="35"/>
                <w:rFonts w:ascii="宋体" w:hAnsi="宋体"/>
                <w:sz w:val="24"/>
              </w:rPr>
              <w:t>86.34%，完成指标</w:t>
            </w:r>
          </w:p>
        </w:tc>
      </w:tr>
      <w:tr w14:paraId="653D0872">
        <w:tblPrEx>
          <w:tblCellMar>
            <w:top w:w="0" w:type="dxa"/>
            <w:left w:w="0" w:type="dxa"/>
            <w:bottom w:w="0" w:type="dxa"/>
            <w:right w:w="0" w:type="dxa"/>
          </w:tblCellMar>
        </w:tblPrEx>
        <w:trPr>
          <w:trHeight w:val="5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DF9D720">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3E72F87">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898F1EC">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D19BD4D">
            <w:pPr>
              <w:widowControl/>
              <w:jc w:val="left"/>
              <w:textAlignment w:val="center"/>
              <w:rPr>
                <w:rStyle w:val="35"/>
                <w:rFonts w:ascii="宋体" w:hAnsi="宋体"/>
                <w:sz w:val="24"/>
              </w:rPr>
            </w:pPr>
            <w:r>
              <w:rPr>
                <w:rStyle w:val="35"/>
                <w:rFonts w:ascii="宋体" w:hAnsi="宋体"/>
                <w:kern w:val="0"/>
                <w:sz w:val="20"/>
                <w:szCs w:val="20"/>
              </w:rPr>
              <w:t>孕产妇健康管理率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116A5FE">
            <w:pPr>
              <w:widowControl/>
              <w:jc w:val="center"/>
              <w:textAlignment w:val="center"/>
              <w:rPr>
                <w:rStyle w:val="35"/>
                <w:rFonts w:ascii="宋体" w:hAnsi="宋体"/>
                <w:sz w:val="24"/>
              </w:rPr>
            </w:pPr>
            <w:r>
              <w:rPr>
                <w:rStyle w:val="35"/>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5368FAE1">
            <w:pPr>
              <w:widowControl/>
              <w:jc w:val="center"/>
              <w:textAlignment w:val="center"/>
              <w:rPr>
                <w:rStyle w:val="35"/>
                <w:rFonts w:ascii="宋体" w:hAnsi="宋体"/>
                <w:sz w:val="24"/>
              </w:rPr>
            </w:pPr>
            <w:r>
              <w:rPr>
                <w:rStyle w:val="35"/>
                <w:rFonts w:ascii="宋体" w:hAnsi="宋体"/>
                <w:sz w:val="24"/>
              </w:rPr>
              <w:t>85.95%，完成指标</w:t>
            </w:r>
          </w:p>
        </w:tc>
      </w:tr>
      <w:tr w14:paraId="3C46324D">
        <w:tblPrEx>
          <w:tblCellMar>
            <w:top w:w="0" w:type="dxa"/>
            <w:left w:w="0" w:type="dxa"/>
            <w:bottom w:w="0" w:type="dxa"/>
            <w:right w:w="0" w:type="dxa"/>
          </w:tblCellMar>
        </w:tblPrEx>
        <w:trPr>
          <w:trHeight w:val="5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BE90DD3">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ED18DB0">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2BC14B4D">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85E1FEE">
            <w:pPr>
              <w:widowControl/>
              <w:jc w:val="left"/>
              <w:textAlignment w:val="center"/>
              <w:rPr>
                <w:rStyle w:val="35"/>
                <w:rFonts w:ascii="宋体" w:hAnsi="宋体"/>
                <w:sz w:val="24"/>
              </w:rPr>
            </w:pPr>
            <w:r>
              <w:rPr>
                <w:rStyle w:val="35"/>
                <w:rFonts w:ascii="宋体" w:hAnsi="宋体"/>
                <w:kern w:val="0"/>
                <w:sz w:val="20"/>
                <w:szCs w:val="20"/>
              </w:rPr>
              <w:t>传染病及突发公共卫生事件报告和处理率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31A37653">
            <w:pPr>
              <w:widowControl/>
              <w:jc w:val="center"/>
              <w:textAlignment w:val="center"/>
              <w:rPr>
                <w:rStyle w:val="35"/>
                <w:rFonts w:ascii="宋体" w:hAnsi="宋体"/>
                <w:sz w:val="24"/>
              </w:rPr>
            </w:pPr>
            <w:r>
              <w:rPr>
                <w:rStyle w:val="35"/>
                <w:rFonts w:ascii="宋体" w:hAnsi="宋体"/>
                <w:sz w:val="24"/>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0B340D1E">
            <w:pPr>
              <w:widowControl/>
              <w:jc w:val="center"/>
              <w:textAlignment w:val="center"/>
              <w:rPr>
                <w:rStyle w:val="35"/>
                <w:rFonts w:ascii="宋体" w:hAnsi="宋体"/>
                <w:sz w:val="24"/>
              </w:rPr>
            </w:pPr>
            <w:r>
              <w:rPr>
                <w:rStyle w:val="35"/>
                <w:rFonts w:ascii="宋体" w:hAnsi="宋体"/>
                <w:sz w:val="24"/>
              </w:rPr>
              <w:t>100%，完成指标</w:t>
            </w:r>
          </w:p>
        </w:tc>
      </w:tr>
      <w:tr w14:paraId="3A9443A7">
        <w:tblPrEx>
          <w:tblCellMar>
            <w:top w:w="0" w:type="dxa"/>
            <w:left w:w="0" w:type="dxa"/>
            <w:bottom w:w="0" w:type="dxa"/>
            <w:right w:w="0" w:type="dxa"/>
          </w:tblCellMar>
        </w:tblPrEx>
        <w:trPr>
          <w:trHeight w:val="47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02DE180">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8805715">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7BF1C26">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664A44F">
            <w:pPr>
              <w:widowControl/>
              <w:jc w:val="left"/>
              <w:textAlignment w:val="center"/>
              <w:rPr>
                <w:rStyle w:val="35"/>
                <w:rFonts w:ascii="宋体" w:hAnsi="宋体"/>
                <w:sz w:val="24"/>
              </w:rPr>
            </w:pPr>
            <w:r>
              <w:rPr>
                <w:rStyle w:val="35"/>
                <w:rFonts w:ascii="宋体" w:hAnsi="宋体"/>
                <w:kern w:val="0"/>
                <w:sz w:val="20"/>
                <w:szCs w:val="20"/>
              </w:rPr>
              <w:t>结核病患者健康管理率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E6697CD">
            <w:pPr>
              <w:widowControl/>
              <w:jc w:val="center"/>
              <w:textAlignment w:val="center"/>
              <w:rPr>
                <w:rStyle w:val="35"/>
                <w:rFonts w:ascii="宋体" w:hAnsi="宋体"/>
                <w:sz w:val="24"/>
              </w:rPr>
            </w:pPr>
            <w:r>
              <w:rPr>
                <w:rStyle w:val="35"/>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vAlign w:val="center"/>
          </w:tcPr>
          <w:p w14:paraId="7FCFD421">
            <w:pPr>
              <w:widowControl/>
              <w:jc w:val="center"/>
              <w:textAlignment w:val="center"/>
              <w:rPr>
                <w:rStyle w:val="35"/>
                <w:rFonts w:ascii="宋体" w:hAnsi="宋体"/>
                <w:sz w:val="24"/>
              </w:rPr>
            </w:pPr>
            <w:r>
              <w:rPr>
                <w:rStyle w:val="35"/>
                <w:rFonts w:ascii="宋体" w:hAnsi="宋体"/>
                <w:sz w:val="24"/>
              </w:rPr>
              <w:t>100%，完成指标</w:t>
            </w:r>
          </w:p>
        </w:tc>
      </w:tr>
      <w:tr w14:paraId="21F71B0B">
        <w:tblPrEx>
          <w:tblCellMar>
            <w:top w:w="0" w:type="dxa"/>
            <w:left w:w="0" w:type="dxa"/>
            <w:bottom w:w="0" w:type="dxa"/>
            <w:right w:w="0" w:type="dxa"/>
          </w:tblCellMar>
        </w:tblPrEx>
        <w:trPr>
          <w:trHeight w:val="53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76C0902">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31DEEA5">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BAAE646">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949CC11">
            <w:pPr>
              <w:widowControl/>
              <w:jc w:val="left"/>
              <w:textAlignment w:val="center"/>
              <w:rPr>
                <w:rStyle w:val="35"/>
                <w:rFonts w:ascii="宋体" w:hAnsi="宋体"/>
                <w:sz w:val="24"/>
              </w:rPr>
            </w:pPr>
            <w:r>
              <w:rPr>
                <w:rStyle w:val="35"/>
                <w:rFonts w:ascii="宋体" w:hAnsi="宋体"/>
                <w:kern w:val="0"/>
                <w:sz w:val="20"/>
                <w:szCs w:val="20"/>
              </w:rPr>
              <w:t>慢性病患者提供规范随访次数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352AF98A">
            <w:pPr>
              <w:widowControl/>
              <w:jc w:val="center"/>
              <w:textAlignment w:val="center"/>
              <w:rPr>
                <w:rStyle w:val="35"/>
                <w:rFonts w:ascii="宋体" w:hAnsi="宋体"/>
                <w:sz w:val="24"/>
              </w:rPr>
            </w:pPr>
            <w:r>
              <w:rPr>
                <w:rStyle w:val="35"/>
                <w:rFonts w:ascii="宋体" w:hAnsi="宋体"/>
                <w:kern w:val="0"/>
                <w:sz w:val="20"/>
                <w:szCs w:val="20"/>
              </w:rPr>
              <w:t>≥4次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19578CDF">
            <w:pPr>
              <w:widowControl/>
              <w:jc w:val="center"/>
              <w:textAlignment w:val="center"/>
              <w:rPr>
                <w:rStyle w:val="35"/>
                <w:rFonts w:ascii="宋体" w:hAnsi="宋体"/>
                <w:sz w:val="24"/>
              </w:rPr>
            </w:pPr>
            <w:r>
              <w:rPr>
                <w:rStyle w:val="35"/>
                <w:rFonts w:ascii="宋体" w:hAnsi="宋体"/>
                <w:sz w:val="24"/>
              </w:rPr>
              <w:t>4次及以上，完成指标</w:t>
            </w:r>
          </w:p>
        </w:tc>
      </w:tr>
      <w:tr w14:paraId="057ADFD3">
        <w:tblPrEx>
          <w:tblCellMar>
            <w:top w:w="0" w:type="dxa"/>
            <w:left w:w="0" w:type="dxa"/>
            <w:bottom w:w="0" w:type="dxa"/>
            <w:right w:w="0" w:type="dxa"/>
          </w:tblCellMar>
        </w:tblPrEx>
        <w:trPr>
          <w:trHeight w:val="59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A6C11CF">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671F4C0">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E65585D">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01730C8">
            <w:pPr>
              <w:widowControl/>
              <w:jc w:val="left"/>
              <w:textAlignment w:val="center"/>
              <w:rPr>
                <w:rStyle w:val="35"/>
                <w:rFonts w:ascii="宋体" w:hAnsi="宋体"/>
                <w:sz w:val="24"/>
              </w:rPr>
            </w:pPr>
            <w:r>
              <w:rPr>
                <w:rStyle w:val="35"/>
                <w:rFonts w:ascii="宋体" w:hAnsi="宋体"/>
                <w:kern w:val="0"/>
                <w:sz w:val="20"/>
                <w:szCs w:val="20"/>
              </w:rPr>
              <w:t>慢性病患者提供健康体检次数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0B42AE9A">
            <w:pPr>
              <w:widowControl/>
              <w:jc w:val="center"/>
              <w:textAlignment w:val="center"/>
              <w:rPr>
                <w:rStyle w:val="35"/>
                <w:rFonts w:ascii="宋体" w:hAnsi="宋体"/>
                <w:sz w:val="24"/>
              </w:rPr>
            </w:pPr>
            <w:r>
              <w:rPr>
                <w:rStyle w:val="35"/>
                <w:rFonts w:ascii="宋体" w:hAnsi="宋体"/>
                <w:kern w:val="0"/>
                <w:sz w:val="20"/>
                <w:szCs w:val="20"/>
              </w:rPr>
              <w:t>≥1次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3B85A5AF">
            <w:pPr>
              <w:widowControl/>
              <w:jc w:val="center"/>
              <w:textAlignment w:val="center"/>
              <w:rPr>
                <w:rStyle w:val="35"/>
                <w:rFonts w:ascii="宋体" w:hAnsi="宋体"/>
                <w:sz w:val="24"/>
              </w:rPr>
            </w:pPr>
            <w:r>
              <w:rPr>
                <w:rStyle w:val="35"/>
                <w:rFonts w:ascii="宋体" w:hAnsi="宋体"/>
                <w:sz w:val="24"/>
              </w:rPr>
              <w:t>完成指标</w:t>
            </w:r>
          </w:p>
        </w:tc>
      </w:tr>
      <w:tr w14:paraId="0335A4FD">
        <w:tblPrEx>
          <w:tblCellMar>
            <w:top w:w="0" w:type="dxa"/>
            <w:left w:w="0" w:type="dxa"/>
            <w:bottom w:w="0" w:type="dxa"/>
            <w:right w:w="0" w:type="dxa"/>
          </w:tblCellMar>
        </w:tblPrEx>
        <w:trPr>
          <w:trHeight w:val="72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F309207">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22A7DDA">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B811A03">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5C637BD">
            <w:pPr>
              <w:widowControl/>
              <w:jc w:val="left"/>
              <w:textAlignment w:val="center"/>
              <w:rPr>
                <w:rStyle w:val="35"/>
                <w:rFonts w:ascii="宋体" w:hAnsi="宋体"/>
                <w:sz w:val="24"/>
              </w:rPr>
            </w:pPr>
            <w:r>
              <w:rPr>
                <w:rStyle w:val="35"/>
                <w:rFonts w:ascii="宋体" w:hAnsi="宋体"/>
                <w:kern w:val="0"/>
                <w:sz w:val="20"/>
                <w:szCs w:val="20"/>
              </w:rPr>
              <w:t>严重精神障碍患者提供规范随访次数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7C3204F4">
            <w:pPr>
              <w:widowControl/>
              <w:jc w:val="center"/>
              <w:textAlignment w:val="center"/>
              <w:rPr>
                <w:rStyle w:val="35"/>
                <w:rFonts w:ascii="宋体" w:hAnsi="宋体"/>
                <w:sz w:val="24"/>
              </w:rPr>
            </w:pPr>
            <w:r>
              <w:rPr>
                <w:rStyle w:val="35"/>
                <w:rFonts w:ascii="宋体" w:hAnsi="宋体"/>
                <w:kern w:val="0"/>
                <w:sz w:val="20"/>
                <w:szCs w:val="20"/>
              </w:rPr>
              <w:t>≥4次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6361FFBA">
            <w:pPr>
              <w:widowControl/>
              <w:jc w:val="center"/>
              <w:textAlignment w:val="center"/>
              <w:rPr>
                <w:rStyle w:val="35"/>
                <w:rFonts w:ascii="宋体" w:hAnsi="宋体"/>
                <w:sz w:val="24"/>
              </w:rPr>
            </w:pPr>
            <w:r>
              <w:rPr>
                <w:rStyle w:val="35"/>
                <w:rFonts w:ascii="宋体" w:hAnsi="宋体"/>
                <w:sz w:val="24"/>
              </w:rPr>
              <w:t>4次及以上，完成指标</w:t>
            </w:r>
          </w:p>
        </w:tc>
      </w:tr>
      <w:tr w14:paraId="744C0954">
        <w:tblPrEx>
          <w:tblCellMar>
            <w:top w:w="0" w:type="dxa"/>
            <w:left w:w="0" w:type="dxa"/>
            <w:bottom w:w="0" w:type="dxa"/>
            <w:right w:w="0" w:type="dxa"/>
          </w:tblCellMar>
        </w:tblPrEx>
        <w:trPr>
          <w:trHeight w:val="82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BC22694">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AF50A7B">
            <w:pPr>
              <w:widowControl/>
              <w:jc w:val="center"/>
              <w:textAlignment w:val="center"/>
              <w:rPr>
                <w:rStyle w:val="35"/>
                <w:rFonts w:ascii="宋体" w:hAnsi="宋体"/>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3C366DD">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0CFD048">
            <w:pPr>
              <w:widowControl/>
              <w:jc w:val="left"/>
              <w:textAlignment w:val="center"/>
              <w:rPr>
                <w:rStyle w:val="35"/>
                <w:rFonts w:ascii="宋体" w:hAnsi="宋体"/>
                <w:sz w:val="24"/>
              </w:rPr>
            </w:pPr>
            <w:r>
              <w:rPr>
                <w:rStyle w:val="35"/>
                <w:rFonts w:ascii="宋体" w:hAnsi="宋体"/>
                <w:kern w:val="0"/>
                <w:sz w:val="20"/>
                <w:szCs w:val="20"/>
              </w:rPr>
              <w:t>严重精神障碍患者提供健康体检次数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74476C41">
            <w:pPr>
              <w:widowControl/>
              <w:jc w:val="center"/>
              <w:textAlignment w:val="center"/>
              <w:rPr>
                <w:rStyle w:val="35"/>
                <w:rFonts w:ascii="宋体" w:hAnsi="宋体"/>
                <w:sz w:val="24"/>
              </w:rPr>
            </w:pPr>
            <w:r>
              <w:rPr>
                <w:rStyle w:val="35"/>
                <w:rFonts w:ascii="宋体" w:hAnsi="宋体"/>
                <w:kern w:val="0"/>
                <w:sz w:val="20"/>
                <w:szCs w:val="20"/>
              </w:rPr>
              <w:t>≥1次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2BDB70AD">
            <w:pPr>
              <w:widowControl/>
              <w:jc w:val="center"/>
              <w:textAlignment w:val="center"/>
              <w:rPr>
                <w:rStyle w:val="35"/>
                <w:rFonts w:ascii="宋体" w:hAnsi="宋体"/>
                <w:sz w:val="24"/>
              </w:rPr>
            </w:pPr>
            <w:r>
              <w:rPr>
                <w:rStyle w:val="35"/>
                <w:rFonts w:ascii="宋体" w:hAnsi="宋体"/>
                <w:sz w:val="24"/>
              </w:rPr>
              <w:t>完成指标</w:t>
            </w:r>
          </w:p>
        </w:tc>
      </w:tr>
      <w:tr w14:paraId="78CDE47A">
        <w:tblPrEx>
          <w:tblCellMar>
            <w:top w:w="0" w:type="dxa"/>
            <w:left w:w="0" w:type="dxa"/>
            <w:bottom w:w="0" w:type="dxa"/>
            <w:right w:w="0" w:type="dxa"/>
          </w:tblCellMar>
        </w:tblPrEx>
        <w:trPr>
          <w:trHeight w:val="65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AF01E57">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509369F">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7903B97">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9A6F947">
            <w:pPr>
              <w:widowControl/>
              <w:jc w:val="left"/>
              <w:textAlignment w:val="center"/>
              <w:rPr>
                <w:rStyle w:val="35"/>
                <w:rFonts w:ascii="宋体" w:hAnsi="宋体"/>
                <w:sz w:val="24"/>
              </w:rPr>
            </w:pPr>
            <w:r>
              <w:rPr>
                <w:rStyle w:val="35"/>
                <w:rFonts w:ascii="宋体" w:hAnsi="宋体"/>
                <w:kern w:val="0"/>
                <w:sz w:val="20"/>
                <w:szCs w:val="20"/>
              </w:rPr>
              <w:t>卫生监督协管信息报告率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43E63908">
            <w:pPr>
              <w:widowControl/>
              <w:jc w:val="center"/>
              <w:textAlignment w:val="center"/>
              <w:rPr>
                <w:rStyle w:val="35"/>
                <w:rFonts w:ascii="宋体" w:hAnsi="宋体"/>
                <w:sz w:val="24"/>
              </w:rPr>
            </w:pPr>
            <w:r>
              <w:rPr>
                <w:rStyle w:val="35"/>
                <w:rFonts w:ascii="宋体" w:hAnsi="宋体"/>
                <w:sz w:val="24"/>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2C99EB0C">
            <w:pPr>
              <w:widowControl/>
              <w:jc w:val="center"/>
              <w:textAlignment w:val="center"/>
              <w:rPr>
                <w:rStyle w:val="35"/>
                <w:rFonts w:ascii="宋体" w:hAnsi="宋体"/>
                <w:sz w:val="24"/>
              </w:rPr>
            </w:pPr>
            <w:r>
              <w:rPr>
                <w:rStyle w:val="35"/>
                <w:rFonts w:ascii="宋体" w:hAnsi="宋体"/>
                <w:sz w:val="24"/>
              </w:rPr>
              <w:t>100%，完成指标</w:t>
            </w:r>
          </w:p>
        </w:tc>
      </w:tr>
      <w:tr w14:paraId="1995BD3B">
        <w:tblPrEx>
          <w:tblCellMar>
            <w:top w:w="0" w:type="dxa"/>
            <w:left w:w="0" w:type="dxa"/>
            <w:bottom w:w="0" w:type="dxa"/>
            <w:right w:w="0" w:type="dxa"/>
          </w:tblCellMar>
        </w:tblPrEx>
        <w:trPr>
          <w:trHeight w:val="6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962364B">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A47D762">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693873C">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FBA5031">
            <w:pPr>
              <w:widowControl/>
              <w:jc w:val="left"/>
              <w:textAlignment w:val="center"/>
              <w:rPr>
                <w:rStyle w:val="35"/>
                <w:rFonts w:ascii="宋体" w:hAnsi="宋体"/>
                <w:sz w:val="24"/>
              </w:rPr>
            </w:pPr>
            <w:r>
              <w:rPr>
                <w:rStyle w:val="35"/>
                <w:rFonts w:ascii="宋体" w:hAnsi="宋体"/>
                <w:kern w:val="0"/>
                <w:sz w:val="20"/>
                <w:szCs w:val="20"/>
              </w:rPr>
              <w:t>卫生监督协管巡查次数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5E1A6DB9">
            <w:pPr>
              <w:widowControl/>
              <w:textAlignment w:val="center"/>
              <w:rPr>
                <w:rStyle w:val="35"/>
                <w:rFonts w:ascii="宋体" w:hAnsi="宋体"/>
                <w:sz w:val="24"/>
              </w:rPr>
            </w:pPr>
            <w:r>
              <w:rPr>
                <w:rStyle w:val="35"/>
                <w:rFonts w:ascii="宋体" w:hAnsi="宋体"/>
                <w:sz w:val="24"/>
              </w:rPr>
              <w:t xml:space="preserve">       ≥4</w:t>
            </w:r>
          </w:p>
        </w:tc>
        <w:tc>
          <w:tcPr>
            <w:tcW w:w="2394" w:type="dxa"/>
            <w:tcBorders>
              <w:top w:val="single" w:color="000000" w:sz="4" w:space="0"/>
              <w:left w:val="single" w:color="000000" w:sz="4" w:space="0"/>
              <w:bottom w:val="single" w:color="000000" w:sz="4" w:space="0"/>
              <w:right w:val="single" w:color="000000" w:sz="4" w:space="0"/>
            </w:tcBorders>
            <w:vAlign w:val="center"/>
          </w:tcPr>
          <w:p w14:paraId="57CCFE6E">
            <w:pPr>
              <w:widowControl/>
              <w:jc w:val="center"/>
              <w:textAlignment w:val="center"/>
              <w:rPr>
                <w:rStyle w:val="35"/>
                <w:rFonts w:ascii="宋体" w:hAnsi="宋体"/>
                <w:sz w:val="24"/>
              </w:rPr>
            </w:pPr>
            <w:r>
              <w:rPr>
                <w:rStyle w:val="35"/>
                <w:rFonts w:ascii="宋体" w:hAnsi="宋体"/>
                <w:sz w:val="24"/>
              </w:rPr>
              <w:t>完成指标</w:t>
            </w:r>
          </w:p>
        </w:tc>
      </w:tr>
      <w:tr w14:paraId="7971577A">
        <w:tblPrEx>
          <w:tblCellMar>
            <w:top w:w="0" w:type="dxa"/>
            <w:left w:w="0" w:type="dxa"/>
            <w:bottom w:w="0" w:type="dxa"/>
            <w:right w:w="0" w:type="dxa"/>
          </w:tblCellMar>
        </w:tblPrEx>
        <w:trPr>
          <w:trHeight w:val="65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5EC6130">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4A0DD92">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102AEC2A">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75ADDAD">
            <w:pPr>
              <w:widowControl/>
              <w:jc w:val="left"/>
              <w:textAlignment w:val="center"/>
              <w:rPr>
                <w:rStyle w:val="35"/>
                <w:rFonts w:ascii="宋体" w:hAnsi="宋体"/>
                <w:sz w:val="24"/>
              </w:rPr>
            </w:pPr>
            <w:r>
              <w:rPr>
                <w:rStyle w:val="35"/>
                <w:rFonts w:ascii="宋体" w:hAnsi="宋体"/>
                <w:kern w:val="0"/>
                <w:sz w:val="20"/>
                <w:szCs w:val="20"/>
              </w:rPr>
              <w:t>孕产妇孕期保健次数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787CE1DC">
            <w:pPr>
              <w:widowControl/>
              <w:jc w:val="center"/>
              <w:textAlignment w:val="center"/>
              <w:rPr>
                <w:rStyle w:val="35"/>
                <w:rFonts w:ascii="宋体" w:hAnsi="宋体"/>
                <w:sz w:val="24"/>
              </w:rPr>
            </w:pPr>
            <w:r>
              <w:rPr>
                <w:rStyle w:val="35"/>
                <w:rFonts w:ascii="宋体" w:hAnsi="宋体"/>
                <w:kern w:val="0"/>
                <w:sz w:val="20"/>
                <w:szCs w:val="20"/>
              </w:rPr>
              <w:t>≥5次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47CC4FD4">
            <w:pPr>
              <w:widowControl/>
              <w:jc w:val="center"/>
              <w:textAlignment w:val="center"/>
              <w:rPr>
                <w:rStyle w:val="35"/>
                <w:rFonts w:ascii="宋体" w:hAnsi="宋体"/>
                <w:sz w:val="24"/>
              </w:rPr>
            </w:pPr>
            <w:r>
              <w:rPr>
                <w:rStyle w:val="35"/>
                <w:rFonts w:ascii="宋体" w:hAnsi="宋体"/>
                <w:sz w:val="24"/>
              </w:rPr>
              <w:t>完成指标</w:t>
            </w:r>
          </w:p>
        </w:tc>
      </w:tr>
      <w:tr w14:paraId="05AC3B0C">
        <w:tblPrEx>
          <w:tblCellMar>
            <w:top w:w="0" w:type="dxa"/>
            <w:left w:w="0" w:type="dxa"/>
            <w:bottom w:w="0" w:type="dxa"/>
            <w:right w:w="0" w:type="dxa"/>
          </w:tblCellMar>
        </w:tblPrEx>
        <w:trPr>
          <w:trHeight w:val="63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B142A29">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AB66FDA">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87B0AEF">
            <w:pPr>
              <w:widowControl/>
              <w:jc w:val="center"/>
              <w:textAlignment w:val="center"/>
              <w:rPr>
                <w:rStyle w:val="35"/>
                <w:rFonts w:ascii="宋体" w:hAnsi="宋体"/>
                <w:sz w:val="24"/>
              </w:rPr>
            </w:pPr>
            <w:r>
              <w:rPr>
                <w:rStyle w:val="35"/>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266CA5E">
            <w:pPr>
              <w:widowControl/>
              <w:jc w:val="left"/>
              <w:textAlignment w:val="center"/>
              <w:rPr>
                <w:rStyle w:val="35"/>
                <w:rFonts w:ascii="宋体" w:hAnsi="宋体"/>
                <w:sz w:val="24"/>
              </w:rPr>
            </w:pPr>
            <w:r>
              <w:rPr>
                <w:rStyle w:val="35"/>
                <w:rFonts w:ascii="宋体" w:hAnsi="宋体"/>
                <w:kern w:val="0"/>
                <w:sz w:val="20"/>
                <w:szCs w:val="20"/>
              </w:rPr>
              <w:t>产后访视次数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366F7AF5">
            <w:pPr>
              <w:widowControl/>
              <w:jc w:val="center"/>
              <w:textAlignment w:val="center"/>
              <w:rPr>
                <w:rStyle w:val="35"/>
                <w:rFonts w:ascii="宋体" w:hAnsi="宋体"/>
                <w:sz w:val="24"/>
              </w:rPr>
            </w:pPr>
            <w:r>
              <w:rPr>
                <w:rStyle w:val="35"/>
                <w:rFonts w:hint="eastAsia" w:ascii="宋体" w:hAnsi="宋体"/>
                <w:kern w:val="0"/>
                <w:sz w:val="20"/>
                <w:szCs w:val="20"/>
              </w:rPr>
              <w:t>49</w:t>
            </w:r>
            <w:r>
              <w:rPr>
                <w:rStyle w:val="35"/>
                <w:rFonts w:ascii="宋体" w:hAnsi="宋体"/>
                <w:kern w:val="0"/>
                <w:sz w:val="20"/>
                <w:szCs w:val="20"/>
              </w:rPr>
              <w:t>次</w:t>
            </w:r>
          </w:p>
        </w:tc>
        <w:tc>
          <w:tcPr>
            <w:tcW w:w="2394" w:type="dxa"/>
            <w:tcBorders>
              <w:top w:val="single" w:color="000000" w:sz="4" w:space="0"/>
              <w:left w:val="single" w:color="000000" w:sz="4" w:space="0"/>
              <w:bottom w:val="single" w:color="000000" w:sz="4" w:space="0"/>
              <w:right w:val="single" w:color="000000" w:sz="4" w:space="0"/>
            </w:tcBorders>
            <w:vAlign w:val="center"/>
          </w:tcPr>
          <w:p w14:paraId="6B040D2C">
            <w:pPr>
              <w:widowControl/>
              <w:jc w:val="center"/>
              <w:textAlignment w:val="center"/>
              <w:rPr>
                <w:rStyle w:val="35"/>
                <w:rFonts w:ascii="宋体" w:hAnsi="宋体"/>
                <w:sz w:val="24"/>
              </w:rPr>
            </w:pPr>
            <w:r>
              <w:rPr>
                <w:rStyle w:val="35"/>
                <w:rFonts w:ascii="宋体" w:hAnsi="宋体"/>
                <w:sz w:val="24"/>
              </w:rPr>
              <w:t>完成指标</w:t>
            </w:r>
          </w:p>
        </w:tc>
      </w:tr>
      <w:tr w14:paraId="25554BDB">
        <w:tblPrEx>
          <w:tblCellMar>
            <w:top w:w="0" w:type="dxa"/>
            <w:left w:w="0" w:type="dxa"/>
            <w:bottom w:w="0" w:type="dxa"/>
            <w:right w:w="0" w:type="dxa"/>
          </w:tblCellMar>
        </w:tblPrEx>
        <w:trPr>
          <w:trHeight w:val="59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03622A0">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D52BE47">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39026A4">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08118CD6">
            <w:pPr>
              <w:widowControl/>
              <w:jc w:val="left"/>
              <w:textAlignment w:val="center"/>
              <w:rPr>
                <w:rStyle w:val="35"/>
                <w:rFonts w:ascii="宋体" w:hAnsi="宋体"/>
                <w:sz w:val="24"/>
              </w:rPr>
            </w:pPr>
            <w:r>
              <w:rPr>
                <w:rStyle w:val="35"/>
                <w:rFonts w:ascii="宋体" w:hAnsi="宋体"/>
                <w:kern w:val="0"/>
                <w:sz w:val="20"/>
                <w:szCs w:val="20"/>
              </w:rPr>
              <w:t>高血压患者规范管理率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0BE1C465">
            <w:pPr>
              <w:widowControl/>
              <w:jc w:val="center"/>
              <w:textAlignment w:val="center"/>
              <w:rPr>
                <w:rStyle w:val="35"/>
                <w:rFonts w:ascii="宋体" w:hAnsi="宋体"/>
                <w:sz w:val="24"/>
              </w:rPr>
            </w:pPr>
            <w:r>
              <w:rPr>
                <w:rStyle w:val="35"/>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vAlign w:val="center"/>
          </w:tcPr>
          <w:p w14:paraId="0891D3F8">
            <w:pPr>
              <w:widowControl/>
              <w:jc w:val="center"/>
              <w:textAlignment w:val="center"/>
              <w:rPr>
                <w:rStyle w:val="35"/>
                <w:rFonts w:ascii="宋体" w:hAnsi="宋体"/>
                <w:sz w:val="24"/>
              </w:rPr>
            </w:pPr>
            <w:r>
              <w:rPr>
                <w:rStyle w:val="35"/>
                <w:rFonts w:ascii="宋体" w:hAnsi="宋体"/>
                <w:sz w:val="24"/>
              </w:rPr>
              <w:t>72.47%，完成指标</w:t>
            </w:r>
          </w:p>
        </w:tc>
      </w:tr>
      <w:tr w14:paraId="634B8D7B">
        <w:tblPrEx>
          <w:tblCellMar>
            <w:top w:w="0" w:type="dxa"/>
            <w:left w:w="0" w:type="dxa"/>
            <w:bottom w:w="0" w:type="dxa"/>
            <w:right w:w="0" w:type="dxa"/>
          </w:tblCellMar>
        </w:tblPrEx>
        <w:trPr>
          <w:trHeight w:val="5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5C41397">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831FE39">
            <w:pPr>
              <w:widowControl/>
              <w:jc w:val="center"/>
              <w:textAlignment w:val="center"/>
              <w:rPr>
                <w:rStyle w:val="35"/>
                <w:rFonts w:ascii="宋体" w:hAnsi="宋体"/>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BAED9D9">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993A15A">
            <w:pPr>
              <w:widowControl/>
              <w:jc w:val="left"/>
              <w:textAlignment w:val="center"/>
              <w:rPr>
                <w:rStyle w:val="35"/>
                <w:rFonts w:ascii="宋体" w:hAnsi="宋体"/>
                <w:sz w:val="24"/>
              </w:rPr>
            </w:pPr>
            <w:r>
              <w:rPr>
                <w:rStyle w:val="35"/>
                <w:rFonts w:ascii="宋体" w:hAnsi="宋体"/>
                <w:kern w:val="0"/>
                <w:sz w:val="20"/>
                <w:szCs w:val="20"/>
              </w:rPr>
              <w:t>糖尿病患者规范管理率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7AF7BE37">
            <w:pPr>
              <w:widowControl/>
              <w:jc w:val="center"/>
              <w:textAlignment w:val="center"/>
              <w:rPr>
                <w:rStyle w:val="35"/>
                <w:rFonts w:ascii="宋体" w:hAnsi="宋体"/>
                <w:sz w:val="24"/>
              </w:rPr>
            </w:pPr>
            <w:r>
              <w:rPr>
                <w:rStyle w:val="35"/>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vAlign w:val="center"/>
          </w:tcPr>
          <w:p w14:paraId="69B3EC9B">
            <w:pPr>
              <w:widowControl/>
              <w:jc w:val="center"/>
              <w:textAlignment w:val="center"/>
              <w:rPr>
                <w:rStyle w:val="35"/>
                <w:rFonts w:ascii="宋体" w:hAnsi="宋体"/>
                <w:sz w:val="24"/>
              </w:rPr>
            </w:pPr>
            <w:r>
              <w:rPr>
                <w:rStyle w:val="35"/>
                <w:rFonts w:ascii="宋体" w:hAnsi="宋体"/>
                <w:sz w:val="24"/>
              </w:rPr>
              <w:t>66.65%，完成指标</w:t>
            </w:r>
          </w:p>
        </w:tc>
      </w:tr>
      <w:tr w14:paraId="608A09F9">
        <w:tblPrEx>
          <w:tblCellMar>
            <w:top w:w="0" w:type="dxa"/>
            <w:left w:w="0" w:type="dxa"/>
            <w:bottom w:w="0" w:type="dxa"/>
            <w:right w:w="0" w:type="dxa"/>
          </w:tblCellMar>
        </w:tblPrEx>
        <w:trPr>
          <w:trHeight w:val="573"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397A639D">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66AA985">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191CD078">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27102D4">
            <w:pPr>
              <w:widowControl/>
              <w:jc w:val="left"/>
              <w:textAlignment w:val="center"/>
              <w:rPr>
                <w:rStyle w:val="35"/>
                <w:rFonts w:ascii="宋体" w:hAnsi="宋体"/>
                <w:sz w:val="24"/>
              </w:rPr>
            </w:pPr>
            <w:r>
              <w:rPr>
                <w:rStyle w:val="35"/>
                <w:rFonts w:ascii="宋体" w:hAnsi="宋体"/>
                <w:kern w:val="0"/>
                <w:sz w:val="20"/>
                <w:szCs w:val="20"/>
              </w:rPr>
              <w:t>老年人健康管理率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71D7C5E2">
            <w:pPr>
              <w:widowControl/>
              <w:jc w:val="center"/>
              <w:textAlignment w:val="center"/>
              <w:rPr>
                <w:rStyle w:val="35"/>
                <w:rFonts w:ascii="宋体" w:hAnsi="宋体"/>
                <w:sz w:val="24"/>
              </w:rPr>
            </w:pPr>
            <w:r>
              <w:rPr>
                <w:rStyle w:val="35"/>
                <w:rFonts w:ascii="宋体" w:hAnsi="宋体"/>
                <w:kern w:val="0"/>
                <w:sz w:val="20"/>
                <w:szCs w:val="20"/>
              </w:rPr>
              <w:t>≥67%</w:t>
            </w:r>
          </w:p>
        </w:tc>
        <w:tc>
          <w:tcPr>
            <w:tcW w:w="2394" w:type="dxa"/>
            <w:tcBorders>
              <w:top w:val="single" w:color="000000" w:sz="4" w:space="0"/>
              <w:left w:val="single" w:color="000000" w:sz="4" w:space="0"/>
              <w:bottom w:val="single" w:color="000000" w:sz="4" w:space="0"/>
              <w:right w:val="single" w:color="000000" w:sz="4" w:space="0"/>
            </w:tcBorders>
            <w:vAlign w:val="center"/>
          </w:tcPr>
          <w:p w14:paraId="1F202AB8">
            <w:pPr>
              <w:widowControl/>
              <w:jc w:val="center"/>
              <w:textAlignment w:val="center"/>
              <w:rPr>
                <w:rStyle w:val="35"/>
                <w:rFonts w:ascii="宋体" w:hAnsi="宋体"/>
                <w:sz w:val="24"/>
              </w:rPr>
            </w:pPr>
            <w:r>
              <w:rPr>
                <w:rStyle w:val="35"/>
                <w:rFonts w:ascii="宋体" w:hAnsi="宋体"/>
                <w:sz w:val="24"/>
              </w:rPr>
              <w:t>75.65%，完成指标</w:t>
            </w:r>
          </w:p>
        </w:tc>
      </w:tr>
      <w:tr w14:paraId="7F5BAC48">
        <w:tblPrEx>
          <w:tblCellMar>
            <w:top w:w="0" w:type="dxa"/>
            <w:left w:w="0" w:type="dxa"/>
            <w:bottom w:w="0" w:type="dxa"/>
            <w:right w:w="0" w:type="dxa"/>
          </w:tblCellMar>
        </w:tblPrEx>
        <w:trPr>
          <w:trHeight w:val="519"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269F3594">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FF35841">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8DBA37C">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050F0A7">
            <w:pPr>
              <w:widowControl/>
              <w:jc w:val="left"/>
              <w:textAlignment w:val="center"/>
              <w:rPr>
                <w:rStyle w:val="35"/>
                <w:rFonts w:ascii="宋体" w:hAnsi="宋体"/>
                <w:sz w:val="24"/>
              </w:rPr>
            </w:pPr>
            <w:r>
              <w:rPr>
                <w:rStyle w:val="35"/>
                <w:rFonts w:ascii="宋体" w:hAnsi="宋体"/>
                <w:kern w:val="0"/>
                <w:sz w:val="20"/>
                <w:szCs w:val="20"/>
              </w:rPr>
              <w:t>高血压患者健康管理率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1A05F55">
            <w:pPr>
              <w:widowControl/>
              <w:jc w:val="center"/>
              <w:textAlignment w:val="center"/>
              <w:rPr>
                <w:rStyle w:val="35"/>
                <w:rFonts w:ascii="宋体" w:hAnsi="宋体"/>
                <w:sz w:val="24"/>
              </w:rPr>
            </w:pPr>
            <w:r>
              <w:rPr>
                <w:rStyle w:val="35"/>
                <w:rFonts w:ascii="宋体" w:hAnsi="宋体"/>
                <w:kern w:val="0"/>
                <w:sz w:val="20"/>
                <w:szCs w:val="20"/>
              </w:rPr>
              <w:t>≥70%</w:t>
            </w:r>
          </w:p>
        </w:tc>
        <w:tc>
          <w:tcPr>
            <w:tcW w:w="2394" w:type="dxa"/>
            <w:tcBorders>
              <w:top w:val="single" w:color="000000" w:sz="4" w:space="0"/>
              <w:left w:val="single" w:color="000000" w:sz="4" w:space="0"/>
              <w:bottom w:val="single" w:color="000000" w:sz="4" w:space="0"/>
              <w:right w:val="single" w:color="000000" w:sz="4" w:space="0"/>
            </w:tcBorders>
            <w:vAlign w:val="center"/>
          </w:tcPr>
          <w:p w14:paraId="6DCFB9BA">
            <w:pPr>
              <w:widowControl/>
              <w:jc w:val="center"/>
              <w:textAlignment w:val="center"/>
              <w:rPr>
                <w:rStyle w:val="35"/>
                <w:rFonts w:ascii="宋体" w:hAnsi="宋体"/>
                <w:sz w:val="24"/>
              </w:rPr>
            </w:pPr>
            <w:r>
              <w:rPr>
                <w:rStyle w:val="35"/>
                <w:rFonts w:ascii="宋体" w:hAnsi="宋体"/>
                <w:sz w:val="24"/>
              </w:rPr>
              <w:t>72.47%，完成指标</w:t>
            </w:r>
          </w:p>
        </w:tc>
      </w:tr>
      <w:tr w14:paraId="65AE686A">
        <w:tblPrEx>
          <w:tblCellMar>
            <w:top w:w="0" w:type="dxa"/>
            <w:left w:w="0" w:type="dxa"/>
            <w:bottom w:w="0" w:type="dxa"/>
            <w:right w:w="0" w:type="dxa"/>
          </w:tblCellMar>
        </w:tblPrEx>
        <w:trPr>
          <w:trHeight w:val="367"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37C05834">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320F443">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C23C2AD">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559CFB3">
            <w:pPr>
              <w:widowControl/>
              <w:jc w:val="left"/>
              <w:textAlignment w:val="center"/>
              <w:rPr>
                <w:rStyle w:val="35"/>
                <w:rFonts w:ascii="宋体" w:hAnsi="宋体"/>
                <w:sz w:val="24"/>
              </w:rPr>
            </w:pPr>
            <w:r>
              <w:rPr>
                <w:rStyle w:val="35"/>
                <w:rFonts w:ascii="宋体" w:hAnsi="宋体"/>
                <w:kern w:val="0"/>
                <w:sz w:val="20"/>
                <w:szCs w:val="20"/>
              </w:rPr>
              <w:t>糖尿病患者健康管理率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876A657">
            <w:pPr>
              <w:widowControl/>
              <w:jc w:val="center"/>
              <w:textAlignment w:val="center"/>
              <w:rPr>
                <w:rStyle w:val="35"/>
                <w:rFonts w:ascii="宋体" w:hAnsi="宋体"/>
                <w:sz w:val="24"/>
              </w:rPr>
            </w:pPr>
            <w:r>
              <w:rPr>
                <w:rStyle w:val="35"/>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vAlign w:val="center"/>
          </w:tcPr>
          <w:p w14:paraId="421D89AC">
            <w:pPr>
              <w:widowControl/>
              <w:jc w:val="center"/>
              <w:textAlignment w:val="center"/>
              <w:rPr>
                <w:rStyle w:val="35"/>
                <w:rFonts w:ascii="宋体" w:hAnsi="宋体"/>
                <w:sz w:val="24"/>
              </w:rPr>
            </w:pPr>
            <w:r>
              <w:rPr>
                <w:rStyle w:val="35"/>
                <w:rFonts w:ascii="宋体" w:hAnsi="宋体"/>
                <w:sz w:val="24"/>
              </w:rPr>
              <w:t>66.65%,完成指标</w:t>
            </w:r>
          </w:p>
        </w:tc>
      </w:tr>
      <w:tr w14:paraId="1872D7FF">
        <w:tblPrEx>
          <w:tblCellMar>
            <w:top w:w="0" w:type="dxa"/>
            <w:left w:w="0" w:type="dxa"/>
            <w:bottom w:w="0" w:type="dxa"/>
            <w:right w:w="0" w:type="dxa"/>
          </w:tblCellMar>
        </w:tblPrEx>
        <w:trPr>
          <w:trHeight w:val="559"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4976C99B">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42F004F">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1B1DF93F">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78D2D81">
            <w:pPr>
              <w:widowControl/>
              <w:jc w:val="left"/>
              <w:textAlignment w:val="center"/>
              <w:rPr>
                <w:rStyle w:val="35"/>
                <w:rFonts w:ascii="宋体" w:hAnsi="宋体"/>
                <w:sz w:val="24"/>
              </w:rPr>
            </w:pPr>
            <w:r>
              <w:rPr>
                <w:rStyle w:val="35"/>
                <w:rFonts w:ascii="宋体" w:hAnsi="宋体"/>
                <w:kern w:val="0"/>
                <w:sz w:val="20"/>
                <w:szCs w:val="20"/>
              </w:rPr>
              <w:t>严重精神障碍患者管理率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FD12DDF">
            <w:pPr>
              <w:widowControl/>
              <w:jc w:val="center"/>
              <w:textAlignment w:val="center"/>
              <w:rPr>
                <w:rStyle w:val="35"/>
                <w:rFonts w:ascii="宋体" w:hAnsi="宋体"/>
                <w:sz w:val="24"/>
              </w:rPr>
            </w:pPr>
            <w:r>
              <w:rPr>
                <w:rStyle w:val="35"/>
                <w:rFonts w:ascii="宋体" w:hAnsi="宋体"/>
                <w:kern w:val="0"/>
                <w:sz w:val="20"/>
                <w:szCs w:val="20"/>
              </w:rPr>
              <w:t>≥80%</w:t>
            </w:r>
          </w:p>
        </w:tc>
        <w:tc>
          <w:tcPr>
            <w:tcW w:w="2394" w:type="dxa"/>
            <w:tcBorders>
              <w:top w:val="single" w:color="000000" w:sz="4" w:space="0"/>
              <w:left w:val="single" w:color="000000" w:sz="4" w:space="0"/>
              <w:bottom w:val="single" w:color="000000" w:sz="4" w:space="0"/>
              <w:right w:val="single" w:color="000000" w:sz="4" w:space="0"/>
            </w:tcBorders>
            <w:vAlign w:val="center"/>
          </w:tcPr>
          <w:p w14:paraId="0AB11A15">
            <w:pPr>
              <w:widowControl/>
              <w:jc w:val="center"/>
              <w:textAlignment w:val="center"/>
              <w:rPr>
                <w:rStyle w:val="35"/>
                <w:rFonts w:ascii="宋体" w:hAnsi="宋体"/>
                <w:sz w:val="24"/>
              </w:rPr>
            </w:pPr>
            <w:r>
              <w:rPr>
                <w:rStyle w:val="35"/>
                <w:rFonts w:ascii="宋体" w:hAnsi="宋体"/>
                <w:sz w:val="24"/>
              </w:rPr>
              <w:t>84.11%，完成指标</w:t>
            </w:r>
          </w:p>
        </w:tc>
      </w:tr>
      <w:tr w14:paraId="5EB41DEE">
        <w:tblPrEx>
          <w:tblCellMar>
            <w:top w:w="0" w:type="dxa"/>
            <w:left w:w="0" w:type="dxa"/>
            <w:bottom w:w="0" w:type="dxa"/>
            <w:right w:w="0" w:type="dxa"/>
          </w:tblCellMar>
        </w:tblPrEx>
        <w:trPr>
          <w:trHeight w:val="38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289F42D2">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6EE28E6">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DACFE92">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FCC57E7">
            <w:pPr>
              <w:widowControl/>
              <w:jc w:val="left"/>
              <w:textAlignment w:val="center"/>
              <w:rPr>
                <w:rStyle w:val="35"/>
                <w:rFonts w:ascii="宋体" w:hAnsi="宋体"/>
                <w:sz w:val="24"/>
              </w:rPr>
            </w:pPr>
            <w:r>
              <w:rPr>
                <w:rStyle w:val="35"/>
                <w:rFonts w:ascii="宋体" w:hAnsi="宋体"/>
                <w:kern w:val="0"/>
                <w:sz w:val="20"/>
                <w:szCs w:val="20"/>
              </w:rPr>
              <w:t>传染病及突发公共卫生事件报告和处理率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21F1065C">
            <w:pPr>
              <w:widowControl/>
              <w:jc w:val="center"/>
              <w:textAlignment w:val="center"/>
              <w:rPr>
                <w:rStyle w:val="35"/>
                <w:rFonts w:ascii="宋体" w:hAnsi="宋体"/>
                <w:sz w:val="24"/>
              </w:rPr>
            </w:pPr>
            <w:r>
              <w:rPr>
                <w:rStyle w:val="35"/>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19747E5F">
            <w:pPr>
              <w:widowControl/>
              <w:jc w:val="center"/>
              <w:textAlignment w:val="center"/>
              <w:rPr>
                <w:rStyle w:val="35"/>
                <w:rFonts w:ascii="宋体" w:hAnsi="宋体"/>
                <w:sz w:val="24"/>
              </w:rPr>
            </w:pPr>
            <w:r>
              <w:rPr>
                <w:rStyle w:val="35"/>
                <w:rFonts w:ascii="宋体" w:hAnsi="宋体"/>
                <w:sz w:val="24"/>
              </w:rPr>
              <w:t>100%，完成指标</w:t>
            </w:r>
          </w:p>
        </w:tc>
      </w:tr>
      <w:tr w14:paraId="5D001762">
        <w:tblPrEx>
          <w:tblCellMar>
            <w:top w:w="0" w:type="dxa"/>
            <w:left w:w="0" w:type="dxa"/>
            <w:bottom w:w="0" w:type="dxa"/>
            <w:right w:w="0" w:type="dxa"/>
          </w:tblCellMar>
        </w:tblPrEx>
        <w:trPr>
          <w:trHeight w:val="463"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20058163">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7D44F2A">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60F29797">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E948558">
            <w:pPr>
              <w:widowControl/>
              <w:jc w:val="left"/>
              <w:textAlignment w:val="center"/>
              <w:rPr>
                <w:rStyle w:val="35"/>
                <w:rFonts w:ascii="宋体" w:hAnsi="宋体"/>
                <w:sz w:val="24"/>
              </w:rPr>
            </w:pPr>
            <w:r>
              <w:rPr>
                <w:rStyle w:val="35"/>
                <w:rFonts w:ascii="宋体" w:hAnsi="宋体"/>
                <w:kern w:val="0"/>
                <w:sz w:val="20"/>
                <w:szCs w:val="20"/>
              </w:rPr>
              <w:t>结核病患者健康管理率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2A8ACBE">
            <w:pPr>
              <w:widowControl/>
              <w:jc w:val="center"/>
              <w:textAlignment w:val="center"/>
              <w:rPr>
                <w:rStyle w:val="35"/>
                <w:rFonts w:ascii="宋体" w:hAnsi="宋体"/>
                <w:sz w:val="24"/>
              </w:rPr>
            </w:pPr>
            <w:r>
              <w:rPr>
                <w:rStyle w:val="35"/>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vAlign w:val="center"/>
          </w:tcPr>
          <w:p w14:paraId="0E482916">
            <w:pPr>
              <w:widowControl/>
              <w:jc w:val="center"/>
              <w:textAlignment w:val="center"/>
              <w:rPr>
                <w:rStyle w:val="35"/>
                <w:rFonts w:ascii="宋体" w:hAnsi="宋体"/>
                <w:sz w:val="24"/>
              </w:rPr>
            </w:pPr>
            <w:r>
              <w:rPr>
                <w:rStyle w:val="35"/>
                <w:rFonts w:ascii="宋体" w:hAnsi="宋体"/>
                <w:sz w:val="24"/>
              </w:rPr>
              <w:t>100%，完成指标</w:t>
            </w:r>
          </w:p>
        </w:tc>
      </w:tr>
      <w:tr w14:paraId="4BCCCFDD">
        <w:tblPrEx>
          <w:tblCellMar>
            <w:top w:w="0" w:type="dxa"/>
            <w:left w:w="0" w:type="dxa"/>
            <w:bottom w:w="0" w:type="dxa"/>
            <w:right w:w="0" w:type="dxa"/>
          </w:tblCellMar>
        </w:tblPrEx>
        <w:trPr>
          <w:trHeight w:val="601"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220A9974">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2979252">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0733940B">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3E9A850">
            <w:pPr>
              <w:widowControl/>
              <w:jc w:val="left"/>
              <w:textAlignment w:val="center"/>
              <w:rPr>
                <w:rStyle w:val="35"/>
                <w:rFonts w:ascii="宋体" w:hAnsi="宋体"/>
                <w:sz w:val="24"/>
              </w:rPr>
            </w:pPr>
            <w:r>
              <w:rPr>
                <w:rStyle w:val="35"/>
                <w:rFonts w:ascii="宋体" w:hAnsi="宋体"/>
                <w:kern w:val="0"/>
                <w:sz w:val="20"/>
                <w:szCs w:val="20"/>
              </w:rPr>
              <w:t>建档立卡贫困人口家庭医生签约率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CA4A64B">
            <w:pPr>
              <w:widowControl/>
              <w:jc w:val="center"/>
              <w:textAlignment w:val="center"/>
              <w:rPr>
                <w:rStyle w:val="35"/>
                <w:rFonts w:ascii="宋体" w:hAnsi="宋体"/>
                <w:sz w:val="24"/>
              </w:rPr>
            </w:pPr>
            <w:r>
              <w:rPr>
                <w:rStyle w:val="35"/>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7B6E77C5">
            <w:pPr>
              <w:widowControl/>
              <w:jc w:val="center"/>
              <w:textAlignment w:val="center"/>
              <w:rPr>
                <w:rStyle w:val="35"/>
                <w:rFonts w:ascii="宋体" w:hAnsi="宋体"/>
                <w:sz w:val="24"/>
              </w:rPr>
            </w:pPr>
            <w:r>
              <w:rPr>
                <w:rStyle w:val="35"/>
                <w:rFonts w:ascii="宋体" w:hAnsi="宋体"/>
                <w:sz w:val="24"/>
              </w:rPr>
              <w:t>100%，完成指标</w:t>
            </w:r>
          </w:p>
        </w:tc>
      </w:tr>
      <w:tr w14:paraId="030C5832">
        <w:tblPrEx>
          <w:tblCellMar>
            <w:top w:w="0" w:type="dxa"/>
            <w:left w:w="0" w:type="dxa"/>
            <w:bottom w:w="0" w:type="dxa"/>
            <w:right w:w="0" w:type="dxa"/>
          </w:tblCellMar>
        </w:tblPrEx>
        <w:trPr>
          <w:trHeight w:val="546"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ECB7E43">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67C6D9E">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2CEFA64">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70E4088">
            <w:pPr>
              <w:widowControl/>
              <w:jc w:val="left"/>
              <w:textAlignment w:val="center"/>
              <w:rPr>
                <w:rStyle w:val="35"/>
                <w:rFonts w:ascii="宋体" w:hAnsi="宋体"/>
                <w:sz w:val="24"/>
              </w:rPr>
            </w:pPr>
            <w:r>
              <w:rPr>
                <w:rStyle w:val="35"/>
                <w:rFonts w:ascii="宋体" w:hAnsi="宋体"/>
                <w:kern w:val="0"/>
                <w:sz w:val="20"/>
                <w:szCs w:val="20"/>
              </w:rPr>
              <w:t>居民健康档案规范化电子建档率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D156250">
            <w:pPr>
              <w:widowControl/>
              <w:jc w:val="center"/>
              <w:textAlignment w:val="center"/>
              <w:rPr>
                <w:rStyle w:val="35"/>
                <w:rFonts w:ascii="宋体" w:hAnsi="宋体"/>
                <w:sz w:val="24"/>
              </w:rPr>
            </w:pPr>
            <w:r>
              <w:rPr>
                <w:rStyle w:val="35"/>
                <w:rFonts w:ascii="宋体" w:hAnsi="宋体"/>
                <w:kern w:val="0"/>
                <w:sz w:val="20"/>
                <w:szCs w:val="20"/>
              </w:rPr>
              <w:t>≥93%</w:t>
            </w:r>
          </w:p>
        </w:tc>
        <w:tc>
          <w:tcPr>
            <w:tcW w:w="2394" w:type="dxa"/>
            <w:tcBorders>
              <w:top w:val="single" w:color="000000" w:sz="4" w:space="0"/>
              <w:left w:val="single" w:color="000000" w:sz="4" w:space="0"/>
              <w:bottom w:val="single" w:color="000000" w:sz="4" w:space="0"/>
              <w:right w:val="single" w:color="000000" w:sz="4" w:space="0"/>
            </w:tcBorders>
            <w:vAlign w:val="center"/>
          </w:tcPr>
          <w:p w14:paraId="3761B258">
            <w:pPr>
              <w:widowControl/>
              <w:jc w:val="center"/>
              <w:textAlignment w:val="center"/>
              <w:rPr>
                <w:rStyle w:val="35"/>
                <w:rFonts w:ascii="宋体" w:hAnsi="宋体"/>
                <w:sz w:val="24"/>
              </w:rPr>
            </w:pPr>
            <w:r>
              <w:rPr>
                <w:rStyle w:val="35"/>
                <w:rFonts w:ascii="宋体" w:hAnsi="宋体"/>
                <w:sz w:val="24"/>
              </w:rPr>
              <w:t>98.59%，完成指标</w:t>
            </w:r>
          </w:p>
        </w:tc>
      </w:tr>
      <w:tr w14:paraId="0FE18A00">
        <w:tblPrEx>
          <w:tblCellMar>
            <w:top w:w="0" w:type="dxa"/>
            <w:left w:w="0" w:type="dxa"/>
            <w:bottom w:w="0" w:type="dxa"/>
            <w:right w:w="0" w:type="dxa"/>
          </w:tblCellMar>
        </w:tblPrEx>
        <w:trPr>
          <w:trHeight w:val="518"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404EA6F3">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C8AA821">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A74BF30">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5264AF4">
            <w:pPr>
              <w:widowControl/>
              <w:jc w:val="left"/>
              <w:textAlignment w:val="center"/>
              <w:rPr>
                <w:rStyle w:val="35"/>
                <w:rFonts w:ascii="宋体" w:hAnsi="宋体"/>
                <w:sz w:val="24"/>
              </w:rPr>
            </w:pPr>
            <w:r>
              <w:rPr>
                <w:rStyle w:val="35"/>
                <w:rFonts w:ascii="宋体" w:hAnsi="宋体"/>
                <w:kern w:val="0"/>
                <w:sz w:val="20"/>
                <w:szCs w:val="20"/>
              </w:rPr>
              <w:t>儿童健康管理率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2F8C149D">
            <w:pPr>
              <w:widowControl/>
              <w:jc w:val="center"/>
              <w:textAlignment w:val="center"/>
              <w:rPr>
                <w:rStyle w:val="35"/>
                <w:rFonts w:ascii="宋体" w:hAnsi="宋体"/>
                <w:sz w:val="24"/>
              </w:rPr>
            </w:pPr>
            <w:r>
              <w:rPr>
                <w:rStyle w:val="35"/>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1494E94E">
            <w:pPr>
              <w:widowControl/>
              <w:jc w:val="center"/>
              <w:textAlignment w:val="center"/>
              <w:rPr>
                <w:rStyle w:val="35"/>
                <w:rFonts w:ascii="宋体" w:hAnsi="宋体"/>
                <w:sz w:val="24"/>
              </w:rPr>
            </w:pPr>
            <w:r>
              <w:rPr>
                <w:rStyle w:val="35"/>
                <w:rFonts w:ascii="宋体" w:hAnsi="宋体"/>
                <w:sz w:val="24"/>
              </w:rPr>
              <w:t>86.34%，完成指标</w:t>
            </w:r>
          </w:p>
        </w:tc>
      </w:tr>
      <w:tr w14:paraId="13AF803A">
        <w:tblPrEx>
          <w:tblCellMar>
            <w:top w:w="0" w:type="dxa"/>
            <w:left w:w="0" w:type="dxa"/>
            <w:bottom w:w="0" w:type="dxa"/>
            <w:right w:w="0" w:type="dxa"/>
          </w:tblCellMar>
        </w:tblPrEx>
        <w:trPr>
          <w:trHeight w:val="468"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FC3ED59">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426821C">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5761969">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F87D297">
            <w:pPr>
              <w:widowControl/>
              <w:jc w:val="left"/>
              <w:textAlignment w:val="center"/>
              <w:rPr>
                <w:rStyle w:val="35"/>
                <w:rFonts w:ascii="宋体" w:hAnsi="宋体"/>
                <w:sz w:val="24"/>
              </w:rPr>
            </w:pPr>
            <w:r>
              <w:rPr>
                <w:rStyle w:val="35"/>
                <w:rFonts w:ascii="宋体" w:hAnsi="宋体"/>
                <w:kern w:val="0"/>
                <w:sz w:val="20"/>
                <w:szCs w:val="20"/>
              </w:rPr>
              <w:t>孕产妇健康管理率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5BBA295">
            <w:pPr>
              <w:widowControl/>
              <w:jc w:val="center"/>
              <w:textAlignment w:val="center"/>
              <w:rPr>
                <w:rStyle w:val="35"/>
                <w:rFonts w:ascii="宋体" w:hAnsi="宋体"/>
                <w:sz w:val="24"/>
              </w:rPr>
            </w:pPr>
            <w:r>
              <w:rPr>
                <w:rStyle w:val="35"/>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07347356">
            <w:pPr>
              <w:widowControl/>
              <w:jc w:val="center"/>
              <w:textAlignment w:val="center"/>
              <w:rPr>
                <w:rStyle w:val="35"/>
                <w:rFonts w:ascii="宋体" w:hAnsi="宋体"/>
                <w:sz w:val="24"/>
              </w:rPr>
            </w:pPr>
            <w:r>
              <w:rPr>
                <w:rStyle w:val="35"/>
                <w:rFonts w:ascii="宋体" w:hAnsi="宋体"/>
                <w:sz w:val="24"/>
              </w:rPr>
              <w:t>85.95%，完成指标</w:t>
            </w:r>
          </w:p>
        </w:tc>
      </w:tr>
      <w:tr w14:paraId="45650F0D">
        <w:tblPrEx>
          <w:tblCellMar>
            <w:top w:w="0" w:type="dxa"/>
            <w:left w:w="0" w:type="dxa"/>
            <w:bottom w:w="0" w:type="dxa"/>
            <w:right w:w="0" w:type="dxa"/>
          </w:tblCellMar>
        </w:tblPrEx>
        <w:trPr>
          <w:trHeight w:val="546"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447C3306">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50F409B">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208F2A09">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2508EEB">
            <w:pPr>
              <w:widowControl/>
              <w:jc w:val="left"/>
              <w:textAlignment w:val="center"/>
              <w:rPr>
                <w:rStyle w:val="35"/>
                <w:rFonts w:ascii="宋体" w:hAnsi="宋体"/>
                <w:sz w:val="24"/>
              </w:rPr>
            </w:pPr>
            <w:r>
              <w:rPr>
                <w:rStyle w:val="35"/>
                <w:rFonts w:ascii="宋体" w:hAnsi="宋体"/>
                <w:kern w:val="0"/>
                <w:sz w:val="20"/>
                <w:szCs w:val="20"/>
              </w:rPr>
              <w:t>新生儿访视率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52531D92">
            <w:pPr>
              <w:widowControl/>
              <w:jc w:val="center"/>
              <w:textAlignment w:val="center"/>
              <w:rPr>
                <w:rStyle w:val="35"/>
                <w:rFonts w:ascii="宋体" w:hAnsi="宋体"/>
                <w:sz w:val="24"/>
              </w:rPr>
            </w:pPr>
            <w:r>
              <w:rPr>
                <w:rStyle w:val="35"/>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519FF842">
            <w:pPr>
              <w:widowControl/>
              <w:jc w:val="center"/>
              <w:textAlignment w:val="center"/>
              <w:rPr>
                <w:rStyle w:val="35"/>
                <w:rFonts w:ascii="宋体" w:hAnsi="宋体"/>
                <w:sz w:val="24"/>
              </w:rPr>
            </w:pPr>
            <w:r>
              <w:rPr>
                <w:rStyle w:val="35"/>
                <w:rFonts w:ascii="宋体" w:hAnsi="宋体"/>
                <w:sz w:val="24"/>
              </w:rPr>
              <w:t>86.05%，完成指标</w:t>
            </w:r>
          </w:p>
        </w:tc>
      </w:tr>
      <w:tr w14:paraId="244A2E27">
        <w:tblPrEx>
          <w:tblCellMar>
            <w:top w:w="0" w:type="dxa"/>
            <w:left w:w="0" w:type="dxa"/>
            <w:bottom w:w="0" w:type="dxa"/>
            <w:right w:w="0" w:type="dxa"/>
          </w:tblCellMar>
        </w:tblPrEx>
        <w:trPr>
          <w:trHeight w:val="504"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73926B5B">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DBE4F17">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FCC9E0E">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423B15A1">
            <w:pPr>
              <w:widowControl/>
              <w:jc w:val="left"/>
              <w:textAlignment w:val="center"/>
              <w:rPr>
                <w:rStyle w:val="35"/>
                <w:rFonts w:ascii="宋体" w:hAnsi="宋体"/>
                <w:sz w:val="24"/>
              </w:rPr>
            </w:pPr>
            <w:r>
              <w:rPr>
                <w:rStyle w:val="35"/>
                <w:rFonts w:ascii="宋体" w:hAnsi="宋体"/>
                <w:kern w:val="0"/>
                <w:sz w:val="20"/>
                <w:szCs w:val="20"/>
              </w:rPr>
              <w:t>0-6岁儿童健康管理率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07CE2FDF">
            <w:pPr>
              <w:widowControl/>
              <w:jc w:val="center"/>
              <w:textAlignment w:val="center"/>
              <w:rPr>
                <w:rStyle w:val="35"/>
                <w:rFonts w:ascii="宋体" w:hAnsi="宋体"/>
                <w:sz w:val="24"/>
              </w:rPr>
            </w:pPr>
            <w:r>
              <w:rPr>
                <w:rStyle w:val="35"/>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3133586B">
            <w:pPr>
              <w:widowControl/>
              <w:jc w:val="center"/>
              <w:textAlignment w:val="center"/>
              <w:rPr>
                <w:rStyle w:val="35"/>
                <w:rFonts w:ascii="宋体" w:hAnsi="宋体"/>
                <w:sz w:val="24"/>
              </w:rPr>
            </w:pPr>
            <w:r>
              <w:rPr>
                <w:rStyle w:val="35"/>
                <w:rFonts w:ascii="宋体" w:hAnsi="宋体"/>
                <w:sz w:val="24"/>
              </w:rPr>
              <w:t>86.34%，完成指标</w:t>
            </w:r>
          </w:p>
        </w:tc>
      </w:tr>
      <w:tr w14:paraId="5BD05025">
        <w:tblPrEx>
          <w:tblCellMar>
            <w:top w:w="0" w:type="dxa"/>
            <w:left w:w="0" w:type="dxa"/>
            <w:bottom w:w="0" w:type="dxa"/>
            <w:right w:w="0" w:type="dxa"/>
          </w:tblCellMar>
        </w:tblPrEx>
        <w:trPr>
          <w:trHeight w:val="436"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A572837">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57A2DE5">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5FE12316">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0562572">
            <w:pPr>
              <w:widowControl/>
              <w:jc w:val="left"/>
              <w:textAlignment w:val="center"/>
              <w:rPr>
                <w:rStyle w:val="35"/>
                <w:rFonts w:ascii="宋体" w:hAnsi="宋体"/>
                <w:sz w:val="24"/>
              </w:rPr>
            </w:pPr>
            <w:r>
              <w:rPr>
                <w:rStyle w:val="35"/>
                <w:rFonts w:ascii="宋体" w:hAnsi="宋体"/>
                <w:kern w:val="0"/>
                <w:sz w:val="20"/>
                <w:szCs w:val="20"/>
              </w:rPr>
              <w:t>产后访视率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023D4AD1">
            <w:pPr>
              <w:widowControl/>
              <w:jc w:val="center"/>
              <w:textAlignment w:val="center"/>
              <w:rPr>
                <w:rStyle w:val="35"/>
                <w:rFonts w:ascii="宋体" w:hAnsi="宋体"/>
                <w:sz w:val="24"/>
              </w:rPr>
            </w:pPr>
            <w:r>
              <w:rPr>
                <w:rStyle w:val="35"/>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vAlign w:val="center"/>
          </w:tcPr>
          <w:p w14:paraId="5F27E7AB">
            <w:pPr>
              <w:widowControl/>
              <w:jc w:val="center"/>
              <w:textAlignment w:val="center"/>
              <w:rPr>
                <w:rStyle w:val="35"/>
                <w:rFonts w:ascii="宋体" w:hAnsi="宋体"/>
                <w:sz w:val="24"/>
              </w:rPr>
            </w:pPr>
            <w:r>
              <w:rPr>
                <w:rStyle w:val="35"/>
                <w:rFonts w:ascii="宋体" w:hAnsi="宋体"/>
                <w:sz w:val="24"/>
              </w:rPr>
              <w:t>85.95%，完成指标</w:t>
            </w:r>
          </w:p>
        </w:tc>
      </w:tr>
      <w:tr w14:paraId="0DF49BEC">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FC470A1">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021B1C0">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43A25841">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B8800CF">
            <w:pPr>
              <w:widowControl/>
              <w:jc w:val="left"/>
              <w:textAlignment w:val="center"/>
              <w:rPr>
                <w:rStyle w:val="35"/>
                <w:rFonts w:ascii="宋体" w:hAnsi="宋体"/>
                <w:sz w:val="24"/>
              </w:rPr>
            </w:pPr>
            <w:r>
              <w:rPr>
                <w:rStyle w:val="35"/>
                <w:rFonts w:ascii="宋体" w:hAnsi="宋体"/>
                <w:kern w:val="0"/>
                <w:sz w:val="20"/>
                <w:szCs w:val="20"/>
              </w:rPr>
              <w:t>开展卫生监督协管工作年度内报告的有关事件或线索的次数</w:t>
            </w:r>
          </w:p>
        </w:tc>
        <w:tc>
          <w:tcPr>
            <w:tcW w:w="2036" w:type="dxa"/>
            <w:tcBorders>
              <w:top w:val="single" w:color="000000" w:sz="4" w:space="0"/>
              <w:left w:val="single" w:color="000000" w:sz="4" w:space="0"/>
              <w:bottom w:val="single" w:color="000000" w:sz="4" w:space="0"/>
              <w:right w:val="single" w:color="000000" w:sz="4" w:space="0"/>
            </w:tcBorders>
            <w:vAlign w:val="center"/>
          </w:tcPr>
          <w:p w14:paraId="770483A9">
            <w:pPr>
              <w:widowControl/>
              <w:jc w:val="center"/>
              <w:textAlignment w:val="center"/>
              <w:rPr>
                <w:rStyle w:val="35"/>
                <w:rFonts w:ascii="宋体" w:hAnsi="宋体"/>
                <w:sz w:val="24"/>
              </w:rPr>
            </w:pPr>
            <w:r>
              <w:rPr>
                <w:rStyle w:val="35"/>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730D06A5">
            <w:pPr>
              <w:widowControl/>
              <w:jc w:val="center"/>
              <w:textAlignment w:val="center"/>
              <w:rPr>
                <w:rStyle w:val="35"/>
                <w:rFonts w:ascii="宋体" w:hAnsi="宋体"/>
                <w:sz w:val="24"/>
              </w:rPr>
            </w:pPr>
            <w:r>
              <w:rPr>
                <w:rStyle w:val="35"/>
                <w:rFonts w:ascii="宋体" w:hAnsi="宋体"/>
                <w:sz w:val="24"/>
              </w:rPr>
              <w:t>100%，完成指标</w:t>
            </w:r>
          </w:p>
        </w:tc>
      </w:tr>
      <w:tr w14:paraId="5B597DF5">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1C969C57">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67D95DF">
            <w:pPr>
              <w:widowControl/>
              <w:jc w:val="center"/>
              <w:textAlignment w:val="center"/>
              <w:rPr>
                <w:rStyle w:val="35"/>
                <w:rFonts w:ascii="宋体" w:hAnsi="宋体"/>
                <w:kern w:val="0"/>
                <w:sz w:val="24"/>
              </w:rPr>
            </w:pPr>
            <w:r>
              <w:rPr>
                <w:rStyle w:val="35"/>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2AE36462">
            <w:pPr>
              <w:widowControl/>
              <w:jc w:val="center"/>
              <w:textAlignment w:val="center"/>
              <w:rPr>
                <w:rStyle w:val="35"/>
                <w:rFonts w:ascii="宋体" w:hAnsi="宋体"/>
                <w:sz w:val="24"/>
              </w:rPr>
            </w:pPr>
            <w:r>
              <w:rPr>
                <w:rStyle w:val="35"/>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75D5145C">
            <w:pPr>
              <w:widowControl/>
              <w:jc w:val="left"/>
              <w:textAlignment w:val="center"/>
              <w:rPr>
                <w:rStyle w:val="35"/>
                <w:rFonts w:ascii="宋体" w:hAnsi="宋体"/>
                <w:sz w:val="24"/>
              </w:rPr>
            </w:pPr>
            <w:r>
              <w:rPr>
                <w:rStyle w:val="35"/>
                <w:rFonts w:ascii="宋体" w:hAnsi="宋体"/>
                <w:kern w:val="0"/>
                <w:sz w:val="20"/>
                <w:szCs w:val="20"/>
              </w:rPr>
              <w:t>年度内开展生活饮用水卫生、学校卫生、非法行医、计划生育、非法采供血实地巡查和信息报告工作</w:t>
            </w:r>
          </w:p>
        </w:tc>
        <w:tc>
          <w:tcPr>
            <w:tcW w:w="2036" w:type="dxa"/>
            <w:tcBorders>
              <w:top w:val="single" w:color="000000" w:sz="4" w:space="0"/>
              <w:left w:val="single" w:color="000000" w:sz="4" w:space="0"/>
              <w:bottom w:val="single" w:color="000000" w:sz="4" w:space="0"/>
              <w:right w:val="single" w:color="000000" w:sz="4" w:space="0"/>
            </w:tcBorders>
            <w:vAlign w:val="center"/>
          </w:tcPr>
          <w:p w14:paraId="32335035">
            <w:pPr>
              <w:widowControl/>
              <w:jc w:val="center"/>
              <w:textAlignment w:val="center"/>
              <w:rPr>
                <w:rStyle w:val="35"/>
                <w:rFonts w:ascii="宋体" w:hAnsi="宋体"/>
                <w:sz w:val="24"/>
              </w:rPr>
            </w:pPr>
            <w:r>
              <w:rPr>
                <w:rStyle w:val="35"/>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vAlign w:val="center"/>
          </w:tcPr>
          <w:p w14:paraId="49CF0061">
            <w:pPr>
              <w:widowControl/>
              <w:jc w:val="center"/>
              <w:textAlignment w:val="center"/>
              <w:rPr>
                <w:rStyle w:val="35"/>
                <w:rFonts w:ascii="宋体" w:hAnsi="宋体"/>
                <w:sz w:val="24"/>
              </w:rPr>
            </w:pPr>
            <w:r>
              <w:rPr>
                <w:rStyle w:val="35"/>
                <w:rFonts w:ascii="宋体" w:hAnsi="宋体"/>
                <w:sz w:val="24"/>
              </w:rPr>
              <w:t>100%，完成指标</w:t>
            </w:r>
          </w:p>
        </w:tc>
      </w:tr>
      <w:tr w14:paraId="467F50FE">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16B8CD20">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075AA35">
            <w:pPr>
              <w:widowControl/>
              <w:jc w:val="center"/>
              <w:textAlignment w:val="center"/>
              <w:rPr>
                <w:rStyle w:val="35"/>
                <w:rFonts w:ascii="宋体" w:hAnsi="宋体"/>
                <w:kern w:val="0"/>
                <w:sz w:val="24"/>
              </w:rPr>
            </w:pPr>
            <w:r>
              <w:rPr>
                <w:rStyle w:val="35"/>
                <w:rFonts w:ascii="宋体" w:hAnsi="宋体"/>
                <w:kern w:val="0"/>
                <w:sz w:val="24"/>
              </w:rPr>
              <w:t>效益指标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FFBBB45">
            <w:pPr>
              <w:widowControl/>
              <w:jc w:val="center"/>
              <w:textAlignment w:val="center"/>
              <w:rPr>
                <w:rStyle w:val="35"/>
                <w:rFonts w:ascii="宋体" w:hAnsi="宋体"/>
                <w:sz w:val="24"/>
              </w:rPr>
            </w:pPr>
            <w:r>
              <w:rPr>
                <w:rStyle w:val="35"/>
                <w:rFonts w:ascii="宋体" w:hAnsi="宋体"/>
                <w:sz w:val="24"/>
              </w:rPr>
              <w:t>实效指标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35D0D2F1">
            <w:pPr>
              <w:widowControl/>
              <w:jc w:val="left"/>
              <w:textAlignment w:val="center"/>
              <w:rPr>
                <w:rStyle w:val="35"/>
                <w:rFonts w:ascii="宋体" w:hAnsi="宋体"/>
                <w:sz w:val="24"/>
              </w:rPr>
            </w:pPr>
            <w:r>
              <w:rPr>
                <w:rStyle w:val="35"/>
                <w:rFonts w:ascii="宋体" w:hAnsi="宋体"/>
                <w:kern w:val="0"/>
                <w:sz w:val="24"/>
              </w:rPr>
              <w:t>甲类传染病、乙类传染病中的肺炭疽、非典型肺炎疫情报告时限</w:t>
            </w:r>
          </w:p>
        </w:tc>
        <w:tc>
          <w:tcPr>
            <w:tcW w:w="2036" w:type="dxa"/>
            <w:tcBorders>
              <w:top w:val="single" w:color="000000" w:sz="4" w:space="0"/>
              <w:left w:val="single" w:color="000000" w:sz="4" w:space="0"/>
              <w:bottom w:val="single" w:color="000000" w:sz="4" w:space="0"/>
              <w:right w:val="single" w:color="000000" w:sz="4" w:space="0"/>
            </w:tcBorders>
            <w:vAlign w:val="center"/>
          </w:tcPr>
          <w:p w14:paraId="77A7906A">
            <w:pPr>
              <w:widowControl/>
              <w:jc w:val="center"/>
              <w:textAlignment w:val="center"/>
              <w:rPr>
                <w:rStyle w:val="35"/>
                <w:rFonts w:ascii="宋体" w:hAnsi="宋体"/>
                <w:sz w:val="24"/>
              </w:rPr>
            </w:pPr>
            <w:r>
              <w:rPr>
                <w:rStyle w:val="35"/>
                <w:rFonts w:ascii="宋体" w:hAnsi="宋体"/>
                <w:kern w:val="0"/>
                <w:sz w:val="20"/>
                <w:szCs w:val="20"/>
              </w:rPr>
              <w:t>2小时内</w:t>
            </w:r>
          </w:p>
        </w:tc>
        <w:tc>
          <w:tcPr>
            <w:tcW w:w="2394" w:type="dxa"/>
            <w:tcBorders>
              <w:top w:val="single" w:color="000000" w:sz="4" w:space="0"/>
              <w:left w:val="single" w:color="000000" w:sz="4" w:space="0"/>
              <w:bottom w:val="single" w:color="000000" w:sz="4" w:space="0"/>
              <w:right w:val="single" w:color="000000" w:sz="4" w:space="0"/>
            </w:tcBorders>
            <w:vAlign w:val="center"/>
          </w:tcPr>
          <w:p w14:paraId="0F70ADA4">
            <w:pPr>
              <w:widowControl/>
              <w:jc w:val="center"/>
              <w:textAlignment w:val="center"/>
              <w:rPr>
                <w:rStyle w:val="35"/>
                <w:rFonts w:ascii="宋体" w:hAnsi="宋体"/>
                <w:sz w:val="24"/>
              </w:rPr>
            </w:pPr>
            <w:r>
              <w:rPr>
                <w:rStyle w:val="35"/>
                <w:rFonts w:ascii="宋体" w:hAnsi="宋体"/>
                <w:sz w:val="24"/>
              </w:rPr>
              <w:t>完成指标</w:t>
            </w:r>
          </w:p>
        </w:tc>
      </w:tr>
      <w:tr w14:paraId="33F78E30">
        <w:tblPrEx>
          <w:tblCellMar>
            <w:top w:w="0" w:type="dxa"/>
            <w:left w:w="0" w:type="dxa"/>
            <w:bottom w:w="0" w:type="dxa"/>
            <w:right w:w="0" w:type="dxa"/>
          </w:tblCellMar>
        </w:tblPrEx>
        <w:trPr>
          <w:trHeight w:val="505"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9C007A3">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8FA6191">
            <w:pPr>
              <w:widowControl/>
              <w:jc w:val="center"/>
              <w:textAlignment w:val="center"/>
              <w:rPr>
                <w:rStyle w:val="35"/>
                <w:rFonts w:ascii="宋体" w:hAnsi="宋体"/>
                <w:kern w:val="0"/>
                <w:sz w:val="24"/>
              </w:rPr>
            </w:pPr>
            <w:r>
              <w:rPr>
                <w:rStyle w:val="35"/>
                <w:rFonts w:ascii="宋体" w:hAnsi="宋体"/>
                <w:kern w:val="0"/>
                <w:sz w:val="24"/>
              </w:rPr>
              <w:t>效益指标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B998AE7">
            <w:pPr>
              <w:widowControl/>
              <w:jc w:val="center"/>
              <w:textAlignment w:val="center"/>
              <w:rPr>
                <w:rStyle w:val="35"/>
                <w:rFonts w:ascii="宋体" w:hAnsi="宋体"/>
                <w:sz w:val="24"/>
              </w:rPr>
            </w:pPr>
            <w:r>
              <w:rPr>
                <w:rStyle w:val="35"/>
                <w:rFonts w:ascii="宋体" w:hAnsi="宋体"/>
                <w:sz w:val="24"/>
              </w:rPr>
              <w:t>实效指标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11557B9">
            <w:pPr>
              <w:widowControl/>
              <w:jc w:val="left"/>
              <w:textAlignment w:val="center"/>
              <w:rPr>
                <w:rStyle w:val="35"/>
                <w:rFonts w:ascii="宋体" w:hAnsi="宋体"/>
                <w:sz w:val="24"/>
              </w:rPr>
            </w:pPr>
            <w:r>
              <w:rPr>
                <w:rStyle w:val="35"/>
                <w:rFonts w:ascii="宋体" w:hAnsi="宋体"/>
                <w:kern w:val="0"/>
                <w:sz w:val="20"/>
                <w:szCs w:val="20"/>
              </w:rPr>
              <w:t>乙类传染病和丙类传染病疫情报告时限</w:t>
            </w:r>
          </w:p>
        </w:tc>
        <w:tc>
          <w:tcPr>
            <w:tcW w:w="2036" w:type="dxa"/>
            <w:tcBorders>
              <w:top w:val="single" w:color="000000" w:sz="4" w:space="0"/>
              <w:left w:val="single" w:color="000000" w:sz="4" w:space="0"/>
              <w:bottom w:val="single" w:color="000000" w:sz="4" w:space="0"/>
              <w:right w:val="single" w:color="000000" w:sz="4" w:space="0"/>
            </w:tcBorders>
            <w:vAlign w:val="center"/>
          </w:tcPr>
          <w:p w14:paraId="3B952E94">
            <w:pPr>
              <w:widowControl/>
              <w:jc w:val="center"/>
              <w:textAlignment w:val="center"/>
              <w:rPr>
                <w:rStyle w:val="35"/>
                <w:rFonts w:ascii="宋体" w:hAnsi="宋体"/>
                <w:sz w:val="24"/>
              </w:rPr>
            </w:pPr>
            <w:r>
              <w:rPr>
                <w:rStyle w:val="35"/>
                <w:rFonts w:ascii="宋体" w:hAnsi="宋体"/>
                <w:kern w:val="0"/>
                <w:sz w:val="20"/>
                <w:szCs w:val="20"/>
              </w:rPr>
              <w:t>24小时内</w:t>
            </w:r>
          </w:p>
        </w:tc>
        <w:tc>
          <w:tcPr>
            <w:tcW w:w="2394" w:type="dxa"/>
            <w:tcBorders>
              <w:top w:val="single" w:color="000000" w:sz="4" w:space="0"/>
              <w:left w:val="single" w:color="000000" w:sz="4" w:space="0"/>
              <w:bottom w:val="single" w:color="000000" w:sz="4" w:space="0"/>
              <w:right w:val="single" w:color="000000" w:sz="4" w:space="0"/>
            </w:tcBorders>
            <w:vAlign w:val="center"/>
          </w:tcPr>
          <w:p w14:paraId="5CA0A0DD">
            <w:pPr>
              <w:widowControl/>
              <w:jc w:val="center"/>
              <w:textAlignment w:val="center"/>
              <w:rPr>
                <w:rStyle w:val="35"/>
                <w:rFonts w:ascii="宋体" w:hAnsi="宋体"/>
                <w:sz w:val="24"/>
              </w:rPr>
            </w:pPr>
            <w:r>
              <w:rPr>
                <w:rStyle w:val="35"/>
                <w:rFonts w:ascii="宋体" w:hAnsi="宋体"/>
                <w:sz w:val="24"/>
              </w:rPr>
              <w:t>完成指标</w:t>
            </w:r>
          </w:p>
        </w:tc>
      </w:tr>
      <w:tr w14:paraId="21DD6FFC">
        <w:tblPrEx>
          <w:tblCellMar>
            <w:top w:w="0" w:type="dxa"/>
            <w:left w:w="0" w:type="dxa"/>
            <w:bottom w:w="0" w:type="dxa"/>
            <w:right w:w="0" w:type="dxa"/>
          </w:tblCellMar>
        </w:tblPrEx>
        <w:trPr>
          <w:trHeight w:val="601"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DEE6BD0">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7B03088">
            <w:pPr>
              <w:widowControl/>
              <w:jc w:val="center"/>
              <w:textAlignment w:val="center"/>
              <w:rPr>
                <w:rStyle w:val="35"/>
                <w:rFonts w:ascii="宋体" w:hAnsi="宋体"/>
                <w:kern w:val="0"/>
                <w:sz w:val="24"/>
              </w:rPr>
            </w:pPr>
            <w:r>
              <w:rPr>
                <w:rStyle w:val="35"/>
                <w:rFonts w:ascii="宋体" w:hAnsi="宋体"/>
                <w:kern w:val="0"/>
                <w:sz w:val="24"/>
              </w:rPr>
              <w:t>效益指标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3D9A87AE">
            <w:pPr>
              <w:widowControl/>
              <w:jc w:val="center"/>
              <w:textAlignment w:val="center"/>
              <w:rPr>
                <w:rStyle w:val="35"/>
                <w:rFonts w:ascii="宋体" w:hAnsi="宋体"/>
                <w:sz w:val="24"/>
              </w:rPr>
            </w:pPr>
            <w:r>
              <w:rPr>
                <w:rStyle w:val="35"/>
                <w:rFonts w:ascii="宋体" w:hAnsi="宋体"/>
                <w:sz w:val="24"/>
              </w:rPr>
              <w:t>实效指标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5949786F">
            <w:pPr>
              <w:widowControl/>
              <w:jc w:val="left"/>
              <w:textAlignment w:val="center"/>
              <w:rPr>
                <w:rStyle w:val="35"/>
                <w:rFonts w:ascii="宋体" w:hAnsi="宋体"/>
                <w:sz w:val="24"/>
              </w:rPr>
            </w:pPr>
            <w:r>
              <w:rPr>
                <w:rStyle w:val="35"/>
                <w:rFonts w:ascii="宋体" w:hAnsi="宋体"/>
                <w:kern w:val="0"/>
                <w:sz w:val="20"/>
                <w:szCs w:val="20"/>
              </w:rPr>
              <w:t>卫生监督信息上报时效</w:t>
            </w:r>
          </w:p>
        </w:tc>
        <w:tc>
          <w:tcPr>
            <w:tcW w:w="2036" w:type="dxa"/>
            <w:tcBorders>
              <w:top w:val="single" w:color="000000" w:sz="4" w:space="0"/>
              <w:left w:val="single" w:color="000000" w:sz="4" w:space="0"/>
              <w:bottom w:val="single" w:color="000000" w:sz="4" w:space="0"/>
              <w:right w:val="single" w:color="000000" w:sz="4" w:space="0"/>
            </w:tcBorders>
            <w:vAlign w:val="center"/>
          </w:tcPr>
          <w:p w14:paraId="27B4F7E8">
            <w:pPr>
              <w:widowControl/>
              <w:jc w:val="center"/>
              <w:textAlignment w:val="center"/>
              <w:rPr>
                <w:rStyle w:val="35"/>
                <w:rFonts w:ascii="宋体" w:hAnsi="宋体"/>
                <w:sz w:val="24"/>
              </w:rPr>
            </w:pPr>
            <w:r>
              <w:rPr>
                <w:rStyle w:val="35"/>
                <w:rFonts w:ascii="宋体" w:hAnsi="宋体"/>
                <w:kern w:val="0"/>
                <w:sz w:val="20"/>
                <w:szCs w:val="20"/>
              </w:rPr>
              <w:t>5个工作日内</w:t>
            </w:r>
          </w:p>
        </w:tc>
        <w:tc>
          <w:tcPr>
            <w:tcW w:w="2394" w:type="dxa"/>
            <w:tcBorders>
              <w:top w:val="single" w:color="000000" w:sz="4" w:space="0"/>
              <w:left w:val="single" w:color="000000" w:sz="4" w:space="0"/>
              <w:bottom w:val="single" w:color="000000" w:sz="4" w:space="0"/>
              <w:right w:val="single" w:color="000000" w:sz="4" w:space="0"/>
            </w:tcBorders>
            <w:vAlign w:val="center"/>
          </w:tcPr>
          <w:p w14:paraId="569765AC">
            <w:pPr>
              <w:widowControl/>
              <w:jc w:val="center"/>
              <w:textAlignment w:val="center"/>
              <w:rPr>
                <w:rStyle w:val="35"/>
                <w:rFonts w:ascii="宋体" w:hAnsi="宋体"/>
                <w:sz w:val="24"/>
              </w:rPr>
            </w:pPr>
            <w:r>
              <w:rPr>
                <w:rStyle w:val="35"/>
                <w:rFonts w:ascii="宋体" w:hAnsi="宋体"/>
                <w:sz w:val="24"/>
              </w:rPr>
              <w:t>完成指标</w:t>
            </w:r>
          </w:p>
        </w:tc>
      </w:tr>
      <w:tr w14:paraId="56D7CE63">
        <w:tblPrEx>
          <w:tblCellMar>
            <w:top w:w="0" w:type="dxa"/>
            <w:left w:w="0" w:type="dxa"/>
            <w:bottom w:w="0" w:type="dxa"/>
            <w:right w:w="0" w:type="dxa"/>
          </w:tblCellMar>
        </w:tblPrEx>
        <w:trPr>
          <w:trHeight w:val="931"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B77EC95">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BA85855">
            <w:pPr>
              <w:widowControl/>
              <w:jc w:val="center"/>
              <w:textAlignment w:val="center"/>
              <w:rPr>
                <w:rStyle w:val="35"/>
                <w:rFonts w:ascii="宋体" w:hAnsi="宋体"/>
                <w:kern w:val="0"/>
                <w:sz w:val="24"/>
              </w:rPr>
            </w:pPr>
            <w:r>
              <w:rPr>
                <w:rStyle w:val="35"/>
                <w:rFonts w:ascii="宋体" w:hAnsi="宋体"/>
                <w:kern w:val="0"/>
                <w:sz w:val="24"/>
              </w:rPr>
              <w:t>效益指标</w:t>
            </w:r>
          </w:p>
        </w:tc>
        <w:tc>
          <w:tcPr>
            <w:tcW w:w="1073" w:type="dxa"/>
            <w:vMerge w:val="restart"/>
            <w:tcBorders>
              <w:top w:val="single" w:color="000000" w:sz="4" w:space="0"/>
              <w:left w:val="single" w:color="000000" w:sz="4" w:space="0"/>
              <w:bottom w:val="single" w:color="000000" w:sz="4" w:space="0"/>
              <w:right w:val="single" w:color="000000" w:sz="4" w:space="0"/>
            </w:tcBorders>
            <w:vAlign w:val="center"/>
          </w:tcPr>
          <w:p w14:paraId="59CEE26E">
            <w:pPr>
              <w:widowControl/>
              <w:jc w:val="center"/>
              <w:textAlignment w:val="center"/>
              <w:rPr>
                <w:rStyle w:val="35"/>
                <w:rFonts w:ascii="宋体" w:hAnsi="宋体"/>
                <w:sz w:val="24"/>
              </w:rPr>
            </w:pPr>
            <w:r>
              <w:rPr>
                <w:rStyle w:val="35"/>
                <w:rFonts w:ascii="宋体" w:hAnsi="宋体"/>
                <w:kern w:val="0"/>
                <w:sz w:val="20"/>
                <w:szCs w:val="20"/>
              </w:rPr>
              <w:t>社会效益指标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1D0770AD">
            <w:pPr>
              <w:widowControl/>
              <w:jc w:val="left"/>
              <w:textAlignment w:val="center"/>
              <w:rPr>
                <w:rStyle w:val="35"/>
                <w:rFonts w:ascii="宋体" w:hAnsi="宋体"/>
                <w:sz w:val="24"/>
              </w:rPr>
            </w:pPr>
            <w:r>
              <w:rPr>
                <w:rStyle w:val="35"/>
                <w:rFonts w:ascii="宋体" w:hAnsi="宋体"/>
                <w:kern w:val="0"/>
                <w:sz w:val="20"/>
                <w:szCs w:val="20"/>
              </w:rPr>
              <w:t>病原学阳性肺结核患者治愈率和病原学阴性肺结核治疗成功率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114D5BD0">
            <w:pPr>
              <w:widowControl/>
              <w:jc w:val="center"/>
              <w:textAlignment w:val="center"/>
              <w:rPr>
                <w:rStyle w:val="35"/>
                <w:rFonts w:ascii="宋体" w:hAnsi="宋体"/>
                <w:sz w:val="24"/>
              </w:rPr>
            </w:pPr>
            <w:r>
              <w:rPr>
                <w:rStyle w:val="35"/>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vAlign w:val="center"/>
          </w:tcPr>
          <w:p w14:paraId="69C391AC">
            <w:pPr>
              <w:widowControl/>
              <w:jc w:val="center"/>
              <w:textAlignment w:val="center"/>
              <w:rPr>
                <w:rStyle w:val="35"/>
                <w:rFonts w:ascii="宋体" w:hAnsi="宋体"/>
                <w:sz w:val="24"/>
              </w:rPr>
            </w:pPr>
            <w:r>
              <w:rPr>
                <w:rStyle w:val="35"/>
                <w:rFonts w:ascii="宋体" w:hAnsi="宋体"/>
                <w:sz w:val="24"/>
              </w:rPr>
              <w:t>91%，完成指标</w:t>
            </w:r>
          </w:p>
        </w:tc>
      </w:tr>
      <w:tr w14:paraId="7B3A7335">
        <w:tblPrEx>
          <w:tblCellMar>
            <w:top w:w="0" w:type="dxa"/>
            <w:left w:w="0" w:type="dxa"/>
            <w:bottom w:w="0" w:type="dxa"/>
            <w:right w:w="0" w:type="dxa"/>
          </w:tblCellMar>
        </w:tblPrEx>
        <w:trPr>
          <w:trHeight w:val="642"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39DC19E7">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B67E7D7">
            <w:pPr>
              <w:widowControl/>
              <w:jc w:val="center"/>
              <w:textAlignment w:val="center"/>
              <w:rPr>
                <w:rStyle w:val="35"/>
                <w:rFonts w:ascii="宋体" w:hAnsi="宋体"/>
                <w:kern w:val="0"/>
                <w:sz w:val="24"/>
              </w:rPr>
            </w:pPr>
            <w:r>
              <w:rPr>
                <w:rStyle w:val="35"/>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2992D8DC">
            <w:pPr>
              <w:jc w:val="center"/>
              <w:textAlignment w:val="baseline"/>
              <w:rPr>
                <w:rStyle w:val="35"/>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49C27640">
            <w:pPr>
              <w:widowControl/>
              <w:jc w:val="left"/>
              <w:textAlignment w:val="center"/>
              <w:rPr>
                <w:rStyle w:val="35"/>
                <w:rFonts w:ascii="宋体" w:hAnsi="宋体"/>
                <w:sz w:val="24"/>
              </w:rPr>
            </w:pPr>
            <w:r>
              <w:rPr>
                <w:rStyle w:val="35"/>
                <w:rFonts w:ascii="宋体" w:hAnsi="宋体"/>
                <w:kern w:val="0"/>
                <w:sz w:val="20"/>
                <w:szCs w:val="20"/>
              </w:rPr>
              <w:t>居民健康保健意识和健康知识知晓率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7E565984">
            <w:pPr>
              <w:widowControl/>
              <w:jc w:val="center"/>
              <w:textAlignment w:val="center"/>
              <w:rPr>
                <w:rStyle w:val="35"/>
                <w:rFonts w:ascii="宋体" w:hAnsi="宋体"/>
                <w:sz w:val="24"/>
              </w:rPr>
            </w:pPr>
            <w:r>
              <w:rPr>
                <w:rStyle w:val="35"/>
                <w:rFonts w:ascii="宋体" w:hAnsi="宋体"/>
                <w:kern w:val="0"/>
                <w:sz w:val="24"/>
              </w:rPr>
              <w:t>逐步提高</w:t>
            </w:r>
          </w:p>
        </w:tc>
        <w:tc>
          <w:tcPr>
            <w:tcW w:w="2394" w:type="dxa"/>
            <w:tcBorders>
              <w:top w:val="single" w:color="000000" w:sz="4" w:space="0"/>
              <w:left w:val="single" w:color="000000" w:sz="4" w:space="0"/>
              <w:bottom w:val="single" w:color="000000" w:sz="4" w:space="0"/>
              <w:right w:val="single" w:color="000000" w:sz="4" w:space="0"/>
            </w:tcBorders>
            <w:vAlign w:val="center"/>
          </w:tcPr>
          <w:p w14:paraId="0070CCF6">
            <w:pPr>
              <w:widowControl/>
              <w:jc w:val="center"/>
              <w:textAlignment w:val="center"/>
              <w:rPr>
                <w:rStyle w:val="35"/>
                <w:rFonts w:ascii="宋体" w:hAnsi="宋体"/>
                <w:sz w:val="24"/>
              </w:rPr>
            </w:pPr>
            <w:r>
              <w:rPr>
                <w:rStyle w:val="35"/>
                <w:rFonts w:ascii="宋体" w:hAnsi="宋体"/>
                <w:sz w:val="24"/>
              </w:rPr>
              <w:t>75%，完成指标</w:t>
            </w:r>
          </w:p>
        </w:tc>
      </w:tr>
      <w:tr w14:paraId="06BD9C10">
        <w:tblPrEx>
          <w:tblCellMar>
            <w:top w:w="0" w:type="dxa"/>
            <w:left w:w="0" w:type="dxa"/>
            <w:bottom w:w="0" w:type="dxa"/>
            <w:right w:w="0" w:type="dxa"/>
          </w:tblCellMar>
        </w:tblPrEx>
        <w:trPr>
          <w:trHeight w:val="711"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8801D81">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78E95B6">
            <w:pPr>
              <w:widowControl/>
              <w:jc w:val="center"/>
              <w:textAlignment w:val="center"/>
              <w:rPr>
                <w:rStyle w:val="35"/>
                <w:rFonts w:ascii="宋体" w:hAnsi="宋体"/>
                <w:kern w:val="0"/>
                <w:sz w:val="24"/>
              </w:rPr>
            </w:pPr>
            <w:r>
              <w:rPr>
                <w:rStyle w:val="35"/>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41D81559">
            <w:pPr>
              <w:jc w:val="center"/>
              <w:textAlignment w:val="baseline"/>
              <w:rPr>
                <w:rStyle w:val="35"/>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40B5D03E">
            <w:pPr>
              <w:widowControl/>
              <w:jc w:val="left"/>
              <w:textAlignment w:val="center"/>
              <w:rPr>
                <w:rStyle w:val="35"/>
                <w:rFonts w:ascii="宋体" w:hAnsi="宋体"/>
                <w:sz w:val="24"/>
              </w:rPr>
            </w:pPr>
            <w:r>
              <w:rPr>
                <w:rStyle w:val="35"/>
                <w:rFonts w:ascii="宋体" w:hAnsi="宋体"/>
                <w:kern w:val="0"/>
                <w:sz w:val="20"/>
                <w:szCs w:val="20"/>
              </w:rPr>
              <w:t>建档立卡贫困人口健康保健意识和健康知识知晓率</w:t>
            </w:r>
          </w:p>
        </w:tc>
        <w:tc>
          <w:tcPr>
            <w:tcW w:w="2036" w:type="dxa"/>
            <w:tcBorders>
              <w:top w:val="single" w:color="000000" w:sz="4" w:space="0"/>
              <w:left w:val="single" w:color="000000" w:sz="4" w:space="0"/>
              <w:bottom w:val="single" w:color="000000" w:sz="4" w:space="0"/>
              <w:right w:val="single" w:color="000000" w:sz="4" w:space="0"/>
            </w:tcBorders>
            <w:vAlign w:val="center"/>
          </w:tcPr>
          <w:p w14:paraId="67F2D675">
            <w:pPr>
              <w:widowControl/>
              <w:jc w:val="center"/>
              <w:textAlignment w:val="center"/>
              <w:rPr>
                <w:rStyle w:val="35"/>
                <w:rFonts w:ascii="宋体" w:hAnsi="宋体"/>
                <w:sz w:val="24"/>
              </w:rPr>
            </w:pPr>
            <w:r>
              <w:rPr>
                <w:rStyle w:val="35"/>
                <w:rFonts w:ascii="宋体" w:hAnsi="宋体"/>
                <w:kern w:val="0"/>
                <w:sz w:val="24"/>
              </w:rPr>
              <w:t>大幅度提高</w:t>
            </w:r>
          </w:p>
        </w:tc>
        <w:tc>
          <w:tcPr>
            <w:tcW w:w="2394" w:type="dxa"/>
            <w:tcBorders>
              <w:top w:val="single" w:color="000000" w:sz="4" w:space="0"/>
              <w:left w:val="single" w:color="000000" w:sz="4" w:space="0"/>
              <w:bottom w:val="single" w:color="000000" w:sz="4" w:space="0"/>
              <w:right w:val="single" w:color="000000" w:sz="4" w:space="0"/>
            </w:tcBorders>
            <w:vAlign w:val="center"/>
          </w:tcPr>
          <w:p w14:paraId="03E87430">
            <w:pPr>
              <w:widowControl/>
              <w:jc w:val="center"/>
              <w:textAlignment w:val="center"/>
              <w:rPr>
                <w:rStyle w:val="35"/>
                <w:rFonts w:ascii="宋体" w:hAnsi="宋体"/>
                <w:sz w:val="24"/>
              </w:rPr>
            </w:pPr>
            <w:r>
              <w:rPr>
                <w:rStyle w:val="35"/>
                <w:rFonts w:ascii="宋体" w:hAnsi="宋体"/>
                <w:sz w:val="24"/>
              </w:rPr>
              <w:t>85%，完成指标</w:t>
            </w:r>
          </w:p>
        </w:tc>
      </w:tr>
      <w:tr w14:paraId="465376EC">
        <w:tblPrEx>
          <w:tblCellMar>
            <w:top w:w="0" w:type="dxa"/>
            <w:left w:w="0" w:type="dxa"/>
            <w:bottom w:w="0" w:type="dxa"/>
            <w:right w:w="0" w:type="dxa"/>
          </w:tblCellMar>
        </w:tblPrEx>
        <w:trPr>
          <w:trHeight w:val="518"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003F9A8">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0648326">
            <w:pPr>
              <w:widowControl/>
              <w:jc w:val="center"/>
              <w:textAlignment w:val="center"/>
              <w:rPr>
                <w:rStyle w:val="35"/>
                <w:rFonts w:ascii="宋体" w:hAnsi="宋体"/>
                <w:kern w:val="0"/>
                <w:sz w:val="24"/>
              </w:rPr>
            </w:pPr>
            <w:r>
              <w:rPr>
                <w:rStyle w:val="35"/>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57AA8F6A">
            <w:pPr>
              <w:jc w:val="center"/>
              <w:textAlignment w:val="baseline"/>
              <w:rPr>
                <w:rStyle w:val="35"/>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0D53C4B3">
            <w:pPr>
              <w:widowControl/>
              <w:jc w:val="left"/>
              <w:textAlignment w:val="center"/>
              <w:rPr>
                <w:rStyle w:val="35"/>
                <w:rFonts w:ascii="宋体" w:hAnsi="宋体"/>
                <w:sz w:val="24"/>
              </w:rPr>
            </w:pPr>
            <w:r>
              <w:rPr>
                <w:rStyle w:val="35"/>
                <w:rFonts w:ascii="宋体" w:hAnsi="宋体"/>
                <w:kern w:val="0"/>
                <w:sz w:val="20"/>
                <w:szCs w:val="20"/>
              </w:rPr>
              <w:t>建立全县各乡镇卫生监督协管站</w:t>
            </w:r>
          </w:p>
        </w:tc>
        <w:tc>
          <w:tcPr>
            <w:tcW w:w="2036" w:type="dxa"/>
            <w:tcBorders>
              <w:top w:val="single" w:color="000000" w:sz="4" w:space="0"/>
              <w:left w:val="single" w:color="000000" w:sz="4" w:space="0"/>
              <w:bottom w:val="single" w:color="000000" w:sz="4" w:space="0"/>
              <w:right w:val="single" w:color="000000" w:sz="4" w:space="0"/>
            </w:tcBorders>
            <w:vAlign w:val="center"/>
          </w:tcPr>
          <w:p w14:paraId="04C25261">
            <w:pPr>
              <w:widowControl/>
              <w:jc w:val="center"/>
              <w:textAlignment w:val="center"/>
              <w:rPr>
                <w:rStyle w:val="35"/>
                <w:rFonts w:ascii="宋体" w:hAnsi="宋体"/>
                <w:sz w:val="24"/>
              </w:rPr>
            </w:pPr>
            <w:r>
              <w:rPr>
                <w:rStyle w:val="35"/>
                <w:rFonts w:ascii="宋体" w:hAnsi="宋体"/>
                <w:kern w:val="0"/>
                <w:sz w:val="20"/>
                <w:szCs w:val="20"/>
              </w:rPr>
              <w:t>28个</w:t>
            </w:r>
          </w:p>
        </w:tc>
        <w:tc>
          <w:tcPr>
            <w:tcW w:w="2394" w:type="dxa"/>
            <w:tcBorders>
              <w:top w:val="single" w:color="000000" w:sz="4" w:space="0"/>
              <w:left w:val="single" w:color="000000" w:sz="4" w:space="0"/>
              <w:bottom w:val="single" w:color="000000" w:sz="4" w:space="0"/>
              <w:right w:val="single" w:color="000000" w:sz="4" w:space="0"/>
            </w:tcBorders>
            <w:vAlign w:val="center"/>
          </w:tcPr>
          <w:p w14:paraId="630D8A5C">
            <w:pPr>
              <w:widowControl/>
              <w:jc w:val="center"/>
              <w:textAlignment w:val="center"/>
              <w:rPr>
                <w:rStyle w:val="35"/>
                <w:rFonts w:ascii="宋体" w:hAnsi="宋体"/>
                <w:sz w:val="24"/>
              </w:rPr>
            </w:pPr>
            <w:r>
              <w:rPr>
                <w:rStyle w:val="35"/>
                <w:rFonts w:ascii="宋体" w:hAnsi="宋体"/>
                <w:sz w:val="24"/>
              </w:rPr>
              <w:t>28个，完成指标</w:t>
            </w:r>
          </w:p>
        </w:tc>
      </w:tr>
      <w:tr w14:paraId="13B71C80">
        <w:tblPrEx>
          <w:tblCellMar>
            <w:top w:w="0" w:type="dxa"/>
            <w:left w:w="0" w:type="dxa"/>
            <w:bottom w:w="0" w:type="dxa"/>
            <w:right w:w="0" w:type="dxa"/>
          </w:tblCellMar>
        </w:tblPrEx>
        <w:trPr>
          <w:trHeight w:val="408"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01322788">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A9A4137">
            <w:pPr>
              <w:widowControl/>
              <w:jc w:val="center"/>
              <w:textAlignment w:val="center"/>
              <w:rPr>
                <w:rStyle w:val="35"/>
                <w:rFonts w:ascii="宋体" w:hAnsi="宋体"/>
                <w:kern w:val="0"/>
                <w:sz w:val="24"/>
              </w:rPr>
            </w:pPr>
            <w:r>
              <w:rPr>
                <w:rStyle w:val="35"/>
                <w:rFonts w:ascii="宋体" w:hAnsi="宋体"/>
                <w:kern w:val="0"/>
                <w:sz w:val="24"/>
              </w:rPr>
              <w:t>效益指标</w:t>
            </w:r>
          </w:p>
        </w:tc>
        <w:tc>
          <w:tcPr>
            <w:tcW w:w="1073" w:type="dxa"/>
            <w:vMerge w:val="restart"/>
            <w:tcBorders>
              <w:top w:val="single" w:color="000000" w:sz="4" w:space="0"/>
              <w:left w:val="single" w:color="000000" w:sz="4" w:space="0"/>
              <w:bottom w:val="single" w:color="000000" w:sz="4" w:space="0"/>
              <w:right w:val="single" w:color="000000" w:sz="4" w:space="0"/>
            </w:tcBorders>
            <w:vAlign w:val="center"/>
          </w:tcPr>
          <w:p w14:paraId="57A027BD">
            <w:pPr>
              <w:widowControl/>
              <w:jc w:val="center"/>
              <w:textAlignment w:val="center"/>
              <w:rPr>
                <w:rStyle w:val="35"/>
                <w:rFonts w:ascii="宋体" w:hAnsi="宋体"/>
                <w:sz w:val="24"/>
              </w:rPr>
            </w:pPr>
            <w:r>
              <w:rPr>
                <w:rStyle w:val="35"/>
                <w:rFonts w:ascii="宋体" w:hAnsi="宋体"/>
                <w:kern w:val="0"/>
                <w:sz w:val="20"/>
                <w:szCs w:val="20"/>
              </w:rPr>
              <w:t>可持续影响指标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291EBD1C">
            <w:pPr>
              <w:widowControl/>
              <w:jc w:val="left"/>
              <w:textAlignment w:val="center"/>
              <w:rPr>
                <w:rStyle w:val="35"/>
                <w:rFonts w:ascii="宋体" w:hAnsi="宋体"/>
                <w:sz w:val="24"/>
              </w:rPr>
            </w:pPr>
            <w:r>
              <w:rPr>
                <w:rStyle w:val="35"/>
                <w:rFonts w:ascii="宋体" w:hAnsi="宋体"/>
                <w:kern w:val="0"/>
                <w:sz w:val="20"/>
                <w:szCs w:val="20"/>
              </w:rPr>
              <w:t>居民健康水平提高</w:t>
            </w:r>
          </w:p>
        </w:tc>
        <w:tc>
          <w:tcPr>
            <w:tcW w:w="2036" w:type="dxa"/>
            <w:tcBorders>
              <w:top w:val="single" w:color="000000" w:sz="4" w:space="0"/>
              <w:left w:val="single" w:color="000000" w:sz="4" w:space="0"/>
              <w:bottom w:val="single" w:color="000000" w:sz="4" w:space="0"/>
              <w:right w:val="single" w:color="000000" w:sz="4" w:space="0"/>
            </w:tcBorders>
            <w:vAlign w:val="center"/>
          </w:tcPr>
          <w:p w14:paraId="02AF4C8C">
            <w:pPr>
              <w:widowControl/>
              <w:jc w:val="center"/>
              <w:textAlignment w:val="center"/>
              <w:rPr>
                <w:rStyle w:val="35"/>
                <w:rFonts w:ascii="宋体" w:hAnsi="宋体"/>
                <w:sz w:val="24"/>
              </w:rPr>
            </w:pPr>
            <w:r>
              <w:rPr>
                <w:rStyle w:val="35"/>
                <w:rFonts w:ascii="宋体" w:hAnsi="宋体"/>
                <w:kern w:val="0"/>
                <w:sz w:val="20"/>
                <w:szCs w:val="20"/>
              </w:rPr>
              <w:t>中长期</w:t>
            </w:r>
          </w:p>
        </w:tc>
        <w:tc>
          <w:tcPr>
            <w:tcW w:w="2394" w:type="dxa"/>
            <w:tcBorders>
              <w:top w:val="single" w:color="000000" w:sz="4" w:space="0"/>
              <w:left w:val="single" w:color="000000" w:sz="4" w:space="0"/>
              <w:bottom w:val="single" w:color="000000" w:sz="4" w:space="0"/>
              <w:right w:val="single" w:color="000000" w:sz="4" w:space="0"/>
            </w:tcBorders>
            <w:vAlign w:val="center"/>
          </w:tcPr>
          <w:p w14:paraId="7C6EE18B">
            <w:pPr>
              <w:widowControl/>
              <w:jc w:val="center"/>
              <w:textAlignment w:val="center"/>
              <w:rPr>
                <w:rStyle w:val="35"/>
                <w:rFonts w:ascii="宋体" w:hAnsi="宋体"/>
                <w:sz w:val="24"/>
              </w:rPr>
            </w:pPr>
            <w:r>
              <w:rPr>
                <w:rStyle w:val="35"/>
                <w:rFonts w:ascii="宋体" w:hAnsi="宋体"/>
                <w:sz w:val="24"/>
              </w:rPr>
              <w:t>逐步提高</w:t>
            </w:r>
          </w:p>
        </w:tc>
      </w:tr>
      <w:tr w14:paraId="2DB227E8">
        <w:tblPrEx>
          <w:tblCellMar>
            <w:top w:w="0" w:type="dxa"/>
            <w:left w:w="0" w:type="dxa"/>
            <w:bottom w:w="0" w:type="dxa"/>
            <w:right w:w="0" w:type="dxa"/>
          </w:tblCellMar>
        </w:tblPrEx>
        <w:trPr>
          <w:trHeight w:val="4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17B0706">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A1859C1">
            <w:pPr>
              <w:widowControl/>
              <w:jc w:val="center"/>
              <w:textAlignment w:val="center"/>
              <w:rPr>
                <w:rStyle w:val="35"/>
                <w:rFonts w:ascii="宋体" w:hAnsi="宋体"/>
                <w:kern w:val="0"/>
                <w:sz w:val="24"/>
              </w:rPr>
            </w:pPr>
            <w:r>
              <w:rPr>
                <w:rStyle w:val="35"/>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6181F03E">
            <w:pPr>
              <w:jc w:val="center"/>
              <w:textAlignment w:val="baseline"/>
              <w:rPr>
                <w:rStyle w:val="35"/>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1828CC9E">
            <w:pPr>
              <w:widowControl/>
              <w:jc w:val="left"/>
              <w:textAlignment w:val="center"/>
              <w:rPr>
                <w:rStyle w:val="35"/>
                <w:rFonts w:ascii="宋体" w:hAnsi="宋体"/>
                <w:sz w:val="24"/>
              </w:rPr>
            </w:pPr>
            <w:r>
              <w:rPr>
                <w:rStyle w:val="35"/>
                <w:rFonts w:ascii="宋体" w:hAnsi="宋体"/>
                <w:kern w:val="0"/>
                <w:sz w:val="20"/>
                <w:szCs w:val="20"/>
              </w:rPr>
              <w:t>公共卫生均等化水平提高</w:t>
            </w:r>
          </w:p>
        </w:tc>
        <w:tc>
          <w:tcPr>
            <w:tcW w:w="2036" w:type="dxa"/>
            <w:tcBorders>
              <w:top w:val="single" w:color="000000" w:sz="4" w:space="0"/>
              <w:left w:val="single" w:color="000000" w:sz="4" w:space="0"/>
              <w:bottom w:val="single" w:color="000000" w:sz="4" w:space="0"/>
              <w:right w:val="single" w:color="000000" w:sz="4" w:space="0"/>
            </w:tcBorders>
            <w:vAlign w:val="center"/>
          </w:tcPr>
          <w:p w14:paraId="243E490E">
            <w:pPr>
              <w:widowControl/>
              <w:jc w:val="center"/>
              <w:textAlignment w:val="center"/>
              <w:rPr>
                <w:rStyle w:val="35"/>
                <w:rFonts w:ascii="宋体" w:hAnsi="宋体"/>
                <w:sz w:val="24"/>
              </w:rPr>
            </w:pPr>
            <w:r>
              <w:rPr>
                <w:rStyle w:val="35"/>
                <w:rFonts w:ascii="宋体" w:hAnsi="宋体"/>
                <w:kern w:val="0"/>
                <w:sz w:val="20"/>
                <w:szCs w:val="20"/>
              </w:rPr>
              <w:t>中长期</w:t>
            </w:r>
          </w:p>
        </w:tc>
        <w:tc>
          <w:tcPr>
            <w:tcW w:w="2394" w:type="dxa"/>
            <w:tcBorders>
              <w:top w:val="single" w:color="000000" w:sz="4" w:space="0"/>
              <w:left w:val="single" w:color="000000" w:sz="4" w:space="0"/>
              <w:bottom w:val="single" w:color="000000" w:sz="4" w:space="0"/>
              <w:right w:val="single" w:color="000000" w:sz="4" w:space="0"/>
            </w:tcBorders>
            <w:vAlign w:val="center"/>
          </w:tcPr>
          <w:p w14:paraId="2BF007D1">
            <w:pPr>
              <w:widowControl/>
              <w:jc w:val="center"/>
              <w:textAlignment w:val="center"/>
              <w:rPr>
                <w:rStyle w:val="35"/>
                <w:rFonts w:ascii="宋体" w:hAnsi="宋体"/>
                <w:sz w:val="24"/>
              </w:rPr>
            </w:pPr>
            <w:r>
              <w:rPr>
                <w:rStyle w:val="35"/>
                <w:rFonts w:ascii="宋体" w:hAnsi="宋体"/>
                <w:sz w:val="24"/>
              </w:rPr>
              <w:t>逐步提高</w:t>
            </w:r>
          </w:p>
        </w:tc>
      </w:tr>
      <w:tr w14:paraId="4935E3E8">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5E0ABA8F">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B34E534">
            <w:pPr>
              <w:widowControl/>
              <w:jc w:val="center"/>
              <w:textAlignment w:val="center"/>
              <w:rPr>
                <w:rStyle w:val="35"/>
                <w:rFonts w:ascii="宋体" w:hAnsi="宋体"/>
                <w:kern w:val="0"/>
                <w:sz w:val="24"/>
              </w:rPr>
            </w:pPr>
            <w:r>
              <w:rPr>
                <w:rStyle w:val="35"/>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14:paraId="48478FAD">
            <w:pPr>
              <w:jc w:val="center"/>
              <w:textAlignment w:val="baseline"/>
              <w:rPr>
                <w:rStyle w:val="35"/>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14:paraId="7668B799">
            <w:pPr>
              <w:widowControl/>
              <w:jc w:val="left"/>
              <w:textAlignment w:val="center"/>
              <w:rPr>
                <w:rStyle w:val="35"/>
                <w:rFonts w:ascii="宋体" w:hAnsi="宋体"/>
                <w:sz w:val="24"/>
              </w:rPr>
            </w:pPr>
            <w:r>
              <w:rPr>
                <w:rStyle w:val="35"/>
                <w:rFonts w:ascii="宋体" w:hAnsi="宋体"/>
                <w:kern w:val="0"/>
                <w:sz w:val="20"/>
                <w:szCs w:val="20"/>
              </w:rPr>
              <w:t>建立健全“责权明晰、任务明确、工作规范、上下联动、运转高效”的卫生监督体系，为广大群众提供公共卫生安全保障</w:t>
            </w:r>
          </w:p>
        </w:tc>
        <w:tc>
          <w:tcPr>
            <w:tcW w:w="2036" w:type="dxa"/>
            <w:tcBorders>
              <w:top w:val="single" w:color="000000" w:sz="4" w:space="0"/>
              <w:left w:val="single" w:color="000000" w:sz="4" w:space="0"/>
              <w:bottom w:val="single" w:color="000000" w:sz="4" w:space="0"/>
              <w:right w:val="single" w:color="000000" w:sz="4" w:space="0"/>
            </w:tcBorders>
            <w:vAlign w:val="center"/>
          </w:tcPr>
          <w:p w14:paraId="5834D463">
            <w:pPr>
              <w:widowControl/>
              <w:jc w:val="center"/>
              <w:textAlignment w:val="center"/>
              <w:rPr>
                <w:rStyle w:val="35"/>
                <w:rFonts w:ascii="宋体" w:hAnsi="宋体"/>
                <w:sz w:val="24"/>
              </w:rPr>
            </w:pPr>
            <w:r>
              <w:rPr>
                <w:rStyle w:val="35"/>
                <w:rFonts w:ascii="宋体" w:hAnsi="宋体"/>
                <w:kern w:val="0"/>
                <w:sz w:val="20"/>
                <w:szCs w:val="20"/>
              </w:rPr>
              <w:t>长期</w:t>
            </w:r>
          </w:p>
        </w:tc>
        <w:tc>
          <w:tcPr>
            <w:tcW w:w="2394" w:type="dxa"/>
            <w:tcBorders>
              <w:top w:val="single" w:color="000000" w:sz="4" w:space="0"/>
              <w:left w:val="single" w:color="000000" w:sz="4" w:space="0"/>
              <w:bottom w:val="single" w:color="000000" w:sz="4" w:space="0"/>
              <w:right w:val="single" w:color="000000" w:sz="4" w:space="0"/>
            </w:tcBorders>
            <w:vAlign w:val="center"/>
          </w:tcPr>
          <w:p w14:paraId="43176C00">
            <w:pPr>
              <w:widowControl/>
              <w:jc w:val="center"/>
              <w:textAlignment w:val="center"/>
              <w:rPr>
                <w:rStyle w:val="35"/>
                <w:rFonts w:ascii="宋体" w:hAnsi="宋体"/>
                <w:sz w:val="24"/>
              </w:rPr>
            </w:pPr>
            <w:r>
              <w:rPr>
                <w:rStyle w:val="35"/>
                <w:rFonts w:ascii="宋体" w:hAnsi="宋体"/>
                <w:sz w:val="24"/>
              </w:rPr>
              <w:t>逐步提高</w:t>
            </w:r>
          </w:p>
        </w:tc>
      </w:tr>
      <w:tr w14:paraId="7333D10F">
        <w:tblPrEx>
          <w:tblCellMar>
            <w:top w:w="0" w:type="dxa"/>
            <w:left w:w="0" w:type="dxa"/>
            <w:bottom w:w="0" w:type="dxa"/>
            <w:right w:w="0" w:type="dxa"/>
          </w:tblCellMar>
        </w:tblPrEx>
        <w:trPr>
          <w:trHeight w:val="583" w:hRule="atLeast"/>
        </w:trPr>
        <w:tc>
          <w:tcPr>
            <w:tcW w:w="390" w:type="dxa"/>
            <w:tcBorders>
              <w:top w:val="single" w:color="000000" w:sz="4" w:space="0"/>
              <w:left w:val="single" w:color="000000" w:sz="4" w:space="0"/>
              <w:bottom w:val="single" w:color="000000" w:sz="4" w:space="0"/>
              <w:right w:val="single" w:color="000000" w:sz="4" w:space="0"/>
            </w:tcBorders>
            <w:vAlign w:val="center"/>
          </w:tcPr>
          <w:p w14:paraId="3FF6A2BD">
            <w:pPr>
              <w:widowControl/>
              <w:jc w:val="left"/>
              <w:textAlignment w:val="baseline"/>
              <w:rPr>
                <w:rStyle w:val="35"/>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F115355">
            <w:pPr>
              <w:widowControl/>
              <w:jc w:val="center"/>
              <w:textAlignment w:val="center"/>
              <w:rPr>
                <w:rStyle w:val="35"/>
                <w:rFonts w:ascii="宋体" w:hAnsi="宋体"/>
                <w:kern w:val="0"/>
                <w:sz w:val="24"/>
              </w:rPr>
            </w:pPr>
            <w:r>
              <w:rPr>
                <w:rStyle w:val="35"/>
                <w:rFonts w:ascii="宋体" w:hAnsi="宋体"/>
                <w:kern w:val="0"/>
                <w:sz w:val="24"/>
              </w:rPr>
              <w:t>满意度指标</w:t>
            </w:r>
          </w:p>
        </w:tc>
        <w:tc>
          <w:tcPr>
            <w:tcW w:w="1073" w:type="dxa"/>
            <w:tcBorders>
              <w:top w:val="single" w:color="000000" w:sz="4" w:space="0"/>
              <w:left w:val="single" w:color="000000" w:sz="4" w:space="0"/>
              <w:bottom w:val="single" w:color="000000" w:sz="4" w:space="0"/>
              <w:right w:val="single" w:color="000000" w:sz="4" w:space="0"/>
            </w:tcBorders>
            <w:vAlign w:val="center"/>
          </w:tcPr>
          <w:p w14:paraId="76C28028">
            <w:pPr>
              <w:widowControl/>
              <w:jc w:val="center"/>
              <w:textAlignment w:val="center"/>
              <w:rPr>
                <w:rStyle w:val="35"/>
                <w:rFonts w:ascii="宋体" w:hAnsi="宋体"/>
                <w:sz w:val="24"/>
              </w:rPr>
            </w:pPr>
            <w:r>
              <w:rPr>
                <w:rStyle w:val="35"/>
                <w:rFonts w:ascii="宋体" w:hAnsi="宋体"/>
                <w:kern w:val="0"/>
                <w:sz w:val="20"/>
                <w:szCs w:val="20"/>
              </w:rPr>
              <w:t>服务对象</w:t>
            </w:r>
            <w:r>
              <w:rPr>
                <w:rStyle w:val="35"/>
                <w:rFonts w:ascii="宋体" w:hAnsi="宋体"/>
                <w:kern w:val="0"/>
                <w:sz w:val="20"/>
                <w:szCs w:val="20"/>
              </w:rPr>
              <w:br w:type="textWrapping"/>
            </w:r>
            <w:r>
              <w:rPr>
                <w:rStyle w:val="35"/>
                <w:rFonts w:ascii="宋体" w:hAnsi="宋体"/>
                <w:kern w:val="0"/>
                <w:sz w:val="20"/>
                <w:szCs w:val="20"/>
              </w:rPr>
              <w:t>满意度指标</w:t>
            </w:r>
          </w:p>
        </w:tc>
        <w:tc>
          <w:tcPr>
            <w:tcW w:w="2286" w:type="dxa"/>
            <w:tcBorders>
              <w:top w:val="single" w:color="000000" w:sz="4" w:space="0"/>
              <w:left w:val="single" w:color="000000" w:sz="4" w:space="0"/>
              <w:bottom w:val="single" w:color="000000" w:sz="4" w:space="0"/>
              <w:right w:val="single" w:color="000000" w:sz="4" w:space="0"/>
            </w:tcBorders>
            <w:vAlign w:val="center"/>
          </w:tcPr>
          <w:p w14:paraId="68FA8291">
            <w:pPr>
              <w:widowControl/>
              <w:jc w:val="left"/>
              <w:textAlignment w:val="center"/>
              <w:rPr>
                <w:rStyle w:val="35"/>
                <w:rFonts w:ascii="宋体" w:hAnsi="宋体"/>
                <w:sz w:val="24"/>
              </w:rPr>
            </w:pPr>
            <w:r>
              <w:rPr>
                <w:rStyle w:val="35"/>
                <w:rFonts w:ascii="宋体" w:hAnsi="宋体"/>
                <w:kern w:val="0"/>
                <w:sz w:val="20"/>
                <w:szCs w:val="20"/>
              </w:rPr>
              <w:t>居民满意度、建档立卡贫困户满意度。</w:t>
            </w:r>
          </w:p>
        </w:tc>
        <w:tc>
          <w:tcPr>
            <w:tcW w:w="2036" w:type="dxa"/>
            <w:tcBorders>
              <w:top w:val="single" w:color="000000" w:sz="4" w:space="0"/>
              <w:left w:val="single" w:color="000000" w:sz="4" w:space="0"/>
              <w:bottom w:val="single" w:color="000000" w:sz="4" w:space="0"/>
              <w:right w:val="single" w:color="000000" w:sz="4" w:space="0"/>
            </w:tcBorders>
            <w:vAlign w:val="center"/>
          </w:tcPr>
          <w:p w14:paraId="7DA16E91">
            <w:pPr>
              <w:widowControl/>
              <w:jc w:val="center"/>
              <w:textAlignment w:val="center"/>
              <w:rPr>
                <w:rStyle w:val="35"/>
                <w:rFonts w:ascii="宋体" w:hAnsi="宋体"/>
                <w:sz w:val="24"/>
              </w:rPr>
            </w:pPr>
            <w:r>
              <w:rPr>
                <w:rStyle w:val="35"/>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vAlign w:val="center"/>
          </w:tcPr>
          <w:p w14:paraId="31649C62">
            <w:pPr>
              <w:widowControl/>
              <w:jc w:val="center"/>
              <w:textAlignment w:val="center"/>
              <w:rPr>
                <w:rStyle w:val="35"/>
                <w:rFonts w:ascii="宋体" w:hAnsi="宋体"/>
                <w:sz w:val="24"/>
              </w:rPr>
            </w:pPr>
            <w:r>
              <w:rPr>
                <w:rStyle w:val="35"/>
                <w:rFonts w:ascii="宋体" w:hAnsi="宋体"/>
                <w:sz w:val="24"/>
              </w:rPr>
              <w:t>90%</w:t>
            </w:r>
          </w:p>
        </w:tc>
      </w:tr>
    </w:tbl>
    <w:p w14:paraId="334766ED">
      <w:pPr>
        <w:spacing w:line="600" w:lineRule="exact"/>
        <w:jc w:val="center"/>
        <w:rPr>
          <w:rFonts w:ascii="黑体" w:eastAsia="黑体"/>
          <w:sz w:val="44"/>
          <w:szCs w:val="44"/>
        </w:rPr>
      </w:pPr>
    </w:p>
    <w:p w14:paraId="14913B7F">
      <w:pPr>
        <w:spacing w:line="600" w:lineRule="exact"/>
        <w:rPr>
          <w:rFonts w:ascii="黑体" w:eastAsia="黑体"/>
          <w:sz w:val="44"/>
          <w:szCs w:val="44"/>
        </w:rPr>
      </w:pPr>
    </w:p>
    <w:p w14:paraId="218DE2F9">
      <w:pPr>
        <w:spacing w:line="600" w:lineRule="exact"/>
        <w:jc w:val="center"/>
        <w:rPr>
          <w:rFonts w:ascii="黑体" w:eastAsia="黑体"/>
          <w:sz w:val="44"/>
          <w:szCs w:val="44"/>
        </w:rPr>
      </w:pPr>
    </w:p>
    <w:p w14:paraId="05246391">
      <w:pPr>
        <w:spacing w:line="600" w:lineRule="exact"/>
        <w:jc w:val="center"/>
        <w:outlineLvl w:val="0"/>
        <w:rPr>
          <w:rFonts w:ascii="仿宋" w:eastAsia="仿宋"/>
        </w:rPr>
      </w:pPr>
      <w:bookmarkStart w:id="234" w:name="_Toc5327"/>
      <w:bookmarkStart w:id="235" w:name="_Toc15040"/>
      <w:bookmarkStart w:id="236" w:name="_Toc17994"/>
      <w:bookmarkStart w:id="237" w:name="_Toc24219"/>
      <w:bookmarkStart w:id="238" w:name="_Toc21090"/>
      <w:r>
        <w:rPr>
          <w:rFonts w:hint="eastAsia" w:ascii="黑体" w:eastAsia="黑体"/>
          <w:sz w:val="44"/>
          <w:szCs w:val="44"/>
        </w:rPr>
        <w:t>第</w:t>
      </w:r>
      <w:r>
        <w:rPr>
          <w:rStyle w:val="19"/>
          <w:rFonts w:hint="eastAsia" w:ascii="黑体" w:eastAsia="黑体"/>
          <w:b w:val="0"/>
        </w:rPr>
        <w:t>五部分 附表</w:t>
      </w:r>
      <w:bookmarkEnd w:id="225"/>
      <w:bookmarkEnd w:id="231"/>
      <w:bookmarkEnd w:id="232"/>
      <w:bookmarkEnd w:id="233"/>
      <w:bookmarkEnd w:id="234"/>
      <w:bookmarkEnd w:id="235"/>
      <w:bookmarkEnd w:id="236"/>
      <w:bookmarkEnd w:id="237"/>
      <w:bookmarkEnd w:id="238"/>
      <w:bookmarkStart w:id="239" w:name="_Toc15396619"/>
    </w:p>
    <w:p w14:paraId="275355A9">
      <w:pPr>
        <w:pStyle w:val="4"/>
        <w:rPr>
          <w:rFonts w:ascii="仿宋" w:eastAsia="仿宋"/>
        </w:rPr>
      </w:pPr>
      <w:bookmarkStart w:id="240" w:name="_Toc18961"/>
      <w:bookmarkStart w:id="241" w:name="_Toc5519"/>
      <w:bookmarkStart w:id="242" w:name="_Toc21413"/>
      <w:bookmarkStart w:id="243" w:name="_Toc11538"/>
      <w:bookmarkStart w:id="244" w:name="_Toc16990"/>
      <w:bookmarkStart w:id="245" w:name="_Toc19433"/>
      <w:bookmarkStart w:id="246" w:name="_Toc11607"/>
      <w:r>
        <w:rPr>
          <w:rFonts w:hint="eastAsia" w:ascii="仿宋" w:eastAsia="仿宋"/>
          <w:b w:val="0"/>
        </w:rPr>
        <w:t>一、收</w:t>
      </w:r>
      <w:r>
        <w:rPr>
          <w:rStyle w:val="20"/>
          <w:rFonts w:hint="eastAsia" w:ascii="仿宋" w:eastAsia="仿宋"/>
          <w:b w:val="0"/>
          <w:bCs w:val="0"/>
        </w:rPr>
        <w:t>入支出决算总表</w:t>
      </w:r>
      <w:bookmarkEnd w:id="239"/>
      <w:bookmarkEnd w:id="240"/>
      <w:bookmarkEnd w:id="241"/>
      <w:bookmarkEnd w:id="242"/>
      <w:bookmarkEnd w:id="243"/>
      <w:bookmarkEnd w:id="244"/>
      <w:bookmarkEnd w:id="245"/>
      <w:bookmarkEnd w:id="246"/>
    </w:p>
    <w:p w14:paraId="420719F7">
      <w:pPr>
        <w:pStyle w:val="4"/>
        <w:rPr>
          <w:rFonts w:ascii="仿宋" w:eastAsia="仿宋"/>
        </w:rPr>
      </w:pPr>
      <w:bookmarkStart w:id="247" w:name="_Toc16369"/>
      <w:bookmarkStart w:id="248" w:name="_Toc29147"/>
      <w:bookmarkStart w:id="249" w:name="_Toc23465"/>
      <w:bookmarkStart w:id="250" w:name="_Toc15396620"/>
      <w:bookmarkStart w:id="251" w:name="_Toc29674"/>
      <w:bookmarkStart w:id="252" w:name="_Toc17563"/>
      <w:bookmarkStart w:id="253" w:name="_Toc24425"/>
      <w:bookmarkStart w:id="254" w:name="_Toc31680"/>
      <w:r>
        <w:rPr>
          <w:rFonts w:hint="eastAsia" w:ascii="仿宋" w:eastAsia="仿宋"/>
          <w:b w:val="0"/>
        </w:rPr>
        <w:t>二、收</w:t>
      </w:r>
      <w:r>
        <w:rPr>
          <w:rStyle w:val="20"/>
          <w:rFonts w:hint="eastAsia" w:ascii="仿宋" w:eastAsia="仿宋"/>
          <w:b w:val="0"/>
          <w:bCs w:val="0"/>
        </w:rPr>
        <w:t>入决算表</w:t>
      </w:r>
      <w:bookmarkEnd w:id="247"/>
      <w:bookmarkEnd w:id="248"/>
      <w:bookmarkEnd w:id="249"/>
      <w:bookmarkEnd w:id="250"/>
      <w:bookmarkEnd w:id="251"/>
      <w:bookmarkEnd w:id="252"/>
      <w:bookmarkEnd w:id="253"/>
      <w:bookmarkEnd w:id="254"/>
    </w:p>
    <w:p w14:paraId="76DA382E">
      <w:pPr>
        <w:pStyle w:val="4"/>
        <w:rPr>
          <w:rFonts w:ascii="仿宋" w:eastAsia="仿宋"/>
        </w:rPr>
      </w:pPr>
      <w:bookmarkStart w:id="255" w:name="_Toc15396621"/>
      <w:bookmarkStart w:id="256" w:name="_Toc15055"/>
      <w:bookmarkStart w:id="257" w:name="_Toc13347"/>
      <w:bookmarkStart w:id="258" w:name="_Toc23253"/>
      <w:bookmarkStart w:id="259" w:name="_Toc9911"/>
      <w:bookmarkStart w:id="260" w:name="_Toc224"/>
      <w:bookmarkStart w:id="261" w:name="_Toc30100"/>
      <w:bookmarkStart w:id="262" w:name="_Toc23350"/>
      <w:r>
        <w:rPr>
          <w:rStyle w:val="20"/>
          <w:rFonts w:hint="eastAsia" w:ascii="仿宋" w:eastAsia="仿宋"/>
          <w:b w:val="0"/>
          <w:bCs w:val="0"/>
        </w:rPr>
        <w:t>三、</w:t>
      </w:r>
      <w:r>
        <w:rPr>
          <w:rFonts w:hint="eastAsia" w:ascii="仿宋" w:eastAsia="仿宋"/>
          <w:b w:val="0"/>
        </w:rPr>
        <w:t>支</w:t>
      </w:r>
      <w:r>
        <w:rPr>
          <w:rStyle w:val="20"/>
          <w:rFonts w:hint="eastAsia" w:ascii="仿宋" w:eastAsia="仿宋"/>
          <w:b w:val="0"/>
          <w:bCs w:val="0"/>
        </w:rPr>
        <w:t>出决算表</w:t>
      </w:r>
      <w:bookmarkEnd w:id="255"/>
      <w:bookmarkEnd w:id="256"/>
      <w:bookmarkEnd w:id="257"/>
      <w:bookmarkEnd w:id="258"/>
      <w:bookmarkEnd w:id="259"/>
      <w:bookmarkEnd w:id="260"/>
      <w:bookmarkEnd w:id="261"/>
      <w:bookmarkEnd w:id="262"/>
    </w:p>
    <w:p w14:paraId="5BAB93CE">
      <w:pPr>
        <w:pStyle w:val="4"/>
        <w:rPr>
          <w:rFonts w:ascii="仿宋" w:eastAsia="仿宋"/>
          <w:b w:val="0"/>
        </w:rPr>
      </w:pPr>
      <w:bookmarkStart w:id="263" w:name="_Toc29096"/>
      <w:bookmarkStart w:id="264" w:name="_Toc20989"/>
      <w:bookmarkStart w:id="265" w:name="_Toc24690"/>
      <w:bookmarkStart w:id="266" w:name="_Toc15266"/>
      <w:bookmarkStart w:id="267" w:name="_Toc30618"/>
      <w:bookmarkStart w:id="268" w:name="_Toc29724"/>
      <w:bookmarkStart w:id="269" w:name="_Toc15396622"/>
      <w:bookmarkStart w:id="270" w:name="_Toc13204"/>
      <w:r>
        <w:rPr>
          <w:rStyle w:val="20"/>
          <w:rFonts w:hint="eastAsia" w:ascii="仿宋" w:eastAsia="仿宋"/>
          <w:b w:val="0"/>
          <w:bCs w:val="0"/>
        </w:rPr>
        <w:t>四、</w:t>
      </w:r>
      <w:r>
        <w:rPr>
          <w:rFonts w:hint="eastAsia" w:ascii="仿宋" w:eastAsia="仿宋"/>
          <w:b w:val="0"/>
        </w:rPr>
        <w:t>财</w:t>
      </w:r>
      <w:r>
        <w:rPr>
          <w:rStyle w:val="20"/>
          <w:rFonts w:hint="eastAsia" w:ascii="仿宋" w:eastAsia="仿宋"/>
          <w:b w:val="0"/>
          <w:bCs w:val="0"/>
        </w:rPr>
        <w:t>政拨款收入支出决算总表</w:t>
      </w:r>
      <w:bookmarkEnd w:id="263"/>
      <w:bookmarkEnd w:id="264"/>
      <w:bookmarkEnd w:id="265"/>
      <w:bookmarkEnd w:id="266"/>
      <w:bookmarkEnd w:id="267"/>
      <w:bookmarkEnd w:id="268"/>
      <w:bookmarkEnd w:id="269"/>
      <w:bookmarkEnd w:id="270"/>
    </w:p>
    <w:p w14:paraId="53DE52CB">
      <w:pPr>
        <w:pStyle w:val="4"/>
        <w:rPr>
          <w:rStyle w:val="20"/>
          <w:rFonts w:ascii="仿宋" w:eastAsia="仿宋"/>
          <w:b w:val="0"/>
          <w:bCs w:val="0"/>
        </w:rPr>
      </w:pPr>
      <w:bookmarkStart w:id="271" w:name="_Toc15396623"/>
      <w:bookmarkStart w:id="272" w:name="_Toc31190"/>
      <w:bookmarkStart w:id="273" w:name="_Toc29341"/>
      <w:bookmarkStart w:id="274" w:name="_Toc11856"/>
      <w:bookmarkStart w:id="275" w:name="_Toc3841"/>
      <w:bookmarkStart w:id="276" w:name="_Toc2344"/>
      <w:bookmarkStart w:id="277" w:name="_Toc20106"/>
      <w:bookmarkStart w:id="278" w:name="_Toc23198"/>
      <w:r>
        <w:rPr>
          <w:rStyle w:val="20"/>
          <w:rFonts w:hint="eastAsia" w:ascii="仿宋" w:eastAsia="仿宋"/>
          <w:b w:val="0"/>
          <w:bCs w:val="0"/>
        </w:rPr>
        <w:t>五、</w:t>
      </w:r>
      <w:r>
        <w:rPr>
          <w:rFonts w:hint="eastAsia" w:ascii="仿宋" w:eastAsia="仿宋"/>
          <w:b w:val="0"/>
        </w:rPr>
        <w:t>财</w:t>
      </w:r>
      <w:r>
        <w:rPr>
          <w:rStyle w:val="20"/>
          <w:rFonts w:hint="eastAsia" w:ascii="仿宋" w:eastAsia="仿宋"/>
          <w:b w:val="0"/>
          <w:bCs w:val="0"/>
        </w:rPr>
        <w:t>政拨款支出决算明细表</w:t>
      </w:r>
      <w:bookmarkEnd w:id="271"/>
      <w:bookmarkEnd w:id="272"/>
      <w:bookmarkEnd w:id="273"/>
      <w:bookmarkEnd w:id="274"/>
      <w:bookmarkEnd w:id="275"/>
      <w:bookmarkEnd w:id="276"/>
      <w:bookmarkEnd w:id="277"/>
      <w:bookmarkEnd w:id="278"/>
      <w:bookmarkStart w:id="279" w:name="_Toc15396624"/>
    </w:p>
    <w:p w14:paraId="3571DF5F">
      <w:pPr>
        <w:pStyle w:val="4"/>
        <w:rPr>
          <w:rFonts w:ascii="仿宋" w:eastAsia="仿宋"/>
        </w:rPr>
      </w:pPr>
      <w:bookmarkStart w:id="280" w:name="_Toc32332"/>
      <w:bookmarkStart w:id="281" w:name="_Toc27919"/>
      <w:bookmarkStart w:id="282" w:name="_Toc16872"/>
      <w:bookmarkStart w:id="283" w:name="_Toc12759"/>
      <w:bookmarkStart w:id="284" w:name="_Toc2573"/>
      <w:bookmarkStart w:id="285" w:name="_Toc25504"/>
      <w:bookmarkStart w:id="286" w:name="_Toc20795"/>
      <w:r>
        <w:rPr>
          <w:rStyle w:val="20"/>
          <w:rFonts w:hint="eastAsia" w:ascii="仿宋" w:eastAsia="仿宋"/>
          <w:b w:val="0"/>
          <w:bCs w:val="0"/>
        </w:rPr>
        <w:t>六、</w:t>
      </w:r>
      <w:r>
        <w:rPr>
          <w:rFonts w:hint="eastAsia" w:ascii="仿宋" w:eastAsia="仿宋"/>
          <w:b w:val="0"/>
        </w:rPr>
        <w:t>一</w:t>
      </w:r>
      <w:r>
        <w:rPr>
          <w:rStyle w:val="20"/>
          <w:rFonts w:hint="eastAsia" w:ascii="仿宋" w:eastAsia="仿宋"/>
          <w:b w:val="0"/>
          <w:bCs w:val="0"/>
        </w:rPr>
        <w:t>般公共预算财政拨款支出决算表</w:t>
      </w:r>
      <w:bookmarkEnd w:id="279"/>
      <w:bookmarkEnd w:id="280"/>
      <w:bookmarkEnd w:id="281"/>
      <w:bookmarkEnd w:id="282"/>
      <w:bookmarkEnd w:id="283"/>
      <w:bookmarkEnd w:id="284"/>
      <w:bookmarkEnd w:id="285"/>
      <w:bookmarkEnd w:id="286"/>
    </w:p>
    <w:p w14:paraId="0CD249D1">
      <w:pPr>
        <w:pStyle w:val="4"/>
        <w:rPr>
          <w:rFonts w:ascii="仿宋" w:eastAsia="仿宋"/>
        </w:rPr>
      </w:pPr>
      <w:bookmarkStart w:id="287" w:name="_Toc32201"/>
      <w:bookmarkStart w:id="288" w:name="_Toc15396625"/>
      <w:bookmarkStart w:id="289" w:name="_Toc7603"/>
      <w:bookmarkStart w:id="290" w:name="_Toc23795"/>
      <w:bookmarkStart w:id="291" w:name="_Toc20966"/>
      <w:bookmarkStart w:id="292" w:name="_Toc26809"/>
      <w:bookmarkStart w:id="293" w:name="_Toc15785"/>
      <w:bookmarkStart w:id="294" w:name="_Toc1717"/>
      <w:r>
        <w:rPr>
          <w:rStyle w:val="20"/>
          <w:rFonts w:hint="eastAsia" w:ascii="仿宋" w:eastAsia="仿宋"/>
          <w:b w:val="0"/>
          <w:bCs w:val="0"/>
        </w:rPr>
        <w:t>七、</w:t>
      </w:r>
      <w:r>
        <w:rPr>
          <w:rFonts w:hint="eastAsia" w:ascii="仿宋" w:eastAsia="仿宋"/>
          <w:b w:val="0"/>
        </w:rPr>
        <w:t>一</w:t>
      </w:r>
      <w:r>
        <w:rPr>
          <w:rStyle w:val="20"/>
          <w:rFonts w:hint="eastAsia" w:ascii="仿宋" w:eastAsia="仿宋"/>
          <w:b w:val="0"/>
          <w:bCs w:val="0"/>
        </w:rPr>
        <w:t>般公共预算财政拨款支出决算明细表</w:t>
      </w:r>
      <w:bookmarkEnd w:id="287"/>
      <w:bookmarkEnd w:id="288"/>
      <w:bookmarkEnd w:id="289"/>
      <w:bookmarkEnd w:id="290"/>
      <w:bookmarkEnd w:id="291"/>
      <w:bookmarkEnd w:id="292"/>
      <w:bookmarkEnd w:id="293"/>
      <w:bookmarkEnd w:id="294"/>
    </w:p>
    <w:p w14:paraId="28F89144">
      <w:pPr>
        <w:pStyle w:val="4"/>
        <w:rPr>
          <w:rFonts w:ascii="仿宋" w:eastAsia="仿宋"/>
        </w:rPr>
      </w:pPr>
      <w:bookmarkStart w:id="295" w:name="_Toc6551"/>
      <w:bookmarkStart w:id="296" w:name="_Toc16653"/>
      <w:bookmarkStart w:id="297" w:name="_Toc3633"/>
      <w:bookmarkStart w:id="298" w:name="_Toc19083"/>
      <w:bookmarkStart w:id="299" w:name="_Toc5123"/>
      <w:bookmarkStart w:id="300" w:name="_Toc23424"/>
      <w:bookmarkStart w:id="301" w:name="_Toc17186"/>
      <w:bookmarkStart w:id="302" w:name="_Toc15396626"/>
      <w:r>
        <w:rPr>
          <w:rStyle w:val="20"/>
          <w:rFonts w:hint="eastAsia" w:ascii="仿宋" w:eastAsia="仿宋"/>
          <w:b w:val="0"/>
          <w:bCs w:val="0"/>
        </w:rPr>
        <w:t>八、</w:t>
      </w:r>
      <w:r>
        <w:rPr>
          <w:rFonts w:hint="eastAsia" w:ascii="仿宋" w:eastAsia="仿宋"/>
          <w:b w:val="0"/>
        </w:rPr>
        <w:t>一</w:t>
      </w:r>
      <w:r>
        <w:rPr>
          <w:rStyle w:val="20"/>
          <w:rFonts w:hint="eastAsia" w:ascii="仿宋" w:eastAsia="仿宋"/>
          <w:b w:val="0"/>
          <w:bCs w:val="0"/>
        </w:rPr>
        <w:t>般公共预算财政拨款基本支出决算表</w:t>
      </w:r>
      <w:bookmarkEnd w:id="295"/>
      <w:bookmarkEnd w:id="296"/>
      <w:bookmarkEnd w:id="297"/>
      <w:bookmarkEnd w:id="298"/>
      <w:bookmarkEnd w:id="299"/>
      <w:bookmarkEnd w:id="300"/>
      <w:bookmarkEnd w:id="301"/>
      <w:bookmarkEnd w:id="302"/>
    </w:p>
    <w:p w14:paraId="58D9F219">
      <w:pPr>
        <w:pStyle w:val="4"/>
        <w:rPr>
          <w:rFonts w:ascii="仿宋" w:eastAsia="仿宋"/>
        </w:rPr>
      </w:pPr>
      <w:bookmarkStart w:id="303" w:name="_Toc22756"/>
      <w:bookmarkStart w:id="304" w:name="_Toc22881"/>
      <w:bookmarkStart w:id="305" w:name="_Toc22202"/>
      <w:bookmarkStart w:id="306" w:name="_Toc2740"/>
      <w:bookmarkStart w:id="307" w:name="_Toc31021"/>
      <w:bookmarkStart w:id="308" w:name="_Toc7363"/>
      <w:bookmarkStart w:id="309" w:name="_Toc2475"/>
      <w:bookmarkStart w:id="310" w:name="_Toc15396627"/>
      <w:r>
        <w:rPr>
          <w:rStyle w:val="20"/>
          <w:rFonts w:hint="eastAsia" w:ascii="仿宋" w:eastAsia="仿宋"/>
          <w:b w:val="0"/>
          <w:bCs w:val="0"/>
        </w:rPr>
        <w:t>九、</w:t>
      </w:r>
      <w:r>
        <w:rPr>
          <w:rFonts w:hint="eastAsia" w:ascii="仿宋" w:eastAsia="仿宋"/>
          <w:b w:val="0"/>
        </w:rPr>
        <w:t>一</w:t>
      </w:r>
      <w:r>
        <w:rPr>
          <w:rStyle w:val="20"/>
          <w:rFonts w:hint="eastAsia" w:ascii="仿宋" w:eastAsia="仿宋"/>
          <w:b w:val="0"/>
          <w:bCs w:val="0"/>
        </w:rPr>
        <w:t>般公共预算财政拨款项目支出决算表</w:t>
      </w:r>
      <w:bookmarkEnd w:id="303"/>
      <w:bookmarkEnd w:id="304"/>
      <w:bookmarkEnd w:id="305"/>
      <w:bookmarkEnd w:id="306"/>
      <w:bookmarkEnd w:id="307"/>
      <w:bookmarkEnd w:id="308"/>
      <w:bookmarkEnd w:id="309"/>
      <w:bookmarkEnd w:id="310"/>
    </w:p>
    <w:p w14:paraId="1EAEFD11">
      <w:pPr>
        <w:pStyle w:val="4"/>
        <w:rPr>
          <w:rFonts w:ascii="仿宋" w:eastAsia="仿宋"/>
        </w:rPr>
      </w:pPr>
      <w:bookmarkStart w:id="311" w:name="_Toc28607"/>
      <w:bookmarkStart w:id="312" w:name="_Toc20446"/>
      <w:bookmarkStart w:id="313" w:name="_Toc14712"/>
      <w:bookmarkStart w:id="314" w:name="_Toc14140"/>
      <w:bookmarkStart w:id="315" w:name="_Toc31036"/>
      <w:bookmarkStart w:id="316" w:name="_Toc15396628"/>
      <w:bookmarkStart w:id="317" w:name="_Toc31768"/>
      <w:bookmarkStart w:id="318" w:name="_Toc32236"/>
      <w:r>
        <w:rPr>
          <w:rStyle w:val="20"/>
          <w:rFonts w:hint="eastAsia" w:ascii="仿宋" w:eastAsia="仿宋"/>
          <w:b w:val="0"/>
          <w:bCs w:val="0"/>
        </w:rPr>
        <w:t>十、</w:t>
      </w:r>
      <w:r>
        <w:rPr>
          <w:rFonts w:hint="eastAsia" w:ascii="仿宋" w:eastAsia="仿宋"/>
          <w:b w:val="0"/>
        </w:rPr>
        <w:t>一</w:t>
      </w:r>
      <w:r>
        <w:rPr>
          <w:rStyle w:val="20"/>
          <w:rFonts w:hint="eastAsia" w:ascii="仿宋" w:eastAsia="仿宋"/>
          <w:b w:val="0"/>
          <w:bCs w:val="0"/>
        </w:rPr>
        <w:t>般公共预算财政拨款“三公”经费支出决算表</w:t>
      </w:r>
      <w:bookmarkEnd w:id="311"/>
      <w:bookmarkEnd w:id="312"/>
      <w:bookmarkEnd w:id="313"/>
      <w:bookmarkEnd w:id="314"/>
      <w:bookmarkEnd w:id="315"/>
      <w:bookmarkEnd w:id="316"/>
      <w:bookmarkEnd w:id="317"/>
      <w:bookmarkEnd w:id="318"/>
    </w:p>
    <w:p w14:paraId="36DF397A">
      <w:pPr>
        <w:pStyle w:val="4"/>
        <w:rPr>
          <w:rFonts w:ascii="仿宋" w:eastAsia="仿宋"/>
        </w:rPr>
      </w:pPr>
      <w:bookmarkStart w:id="319" w:name="_Toc8523"/>
      <w:bookmarkStart w:id="320" w:name="_Toc18649"/>
      <w:bookmarkStart w:id="321" w:name="_Toc22448"/>
      <w:bookmarkStart w:id="322" w:name="_Toc23152"/>
      <w:bookmarkStart w:id="323" w:name="_Toc15537"/>
      <w:bookmarkStart w:id="324" w:name="_Toc15396629"/>
      <w:bookmarkStart w:id="325" w:name="_Toc9384"/>
      <w:bookmarkStart w:id="326" w:name="_Toc8928"/>
      <w:r>
        <w:rPr>
          <w:rStyle w:val="20"/>
          <w:rFonts w:hint="eastAsia" w:ascii="仿宋" w:eastAsia="仿宋"/>
          <w:b w:val="0"/>
          <w:bCs w:val="0"/>
        </w:rPr>
        <w:t>十一、</w:t>
      </w:r>
      <w:r>
        <w:rPr>
          <w:rFonts w:hint="eastAsia" w:ascii="仿宋" w:eastAsia="仿宋"/>
          <w:b w:val="0"/>
        </w:rPr>
        <w:t>政</w:t>
      </w:r>
      <w:r>
        <w:rPr>
          <w:rStyle w:val="20"/>
          <w:rFonts w:hint="eastAsia" w:ascii="仿宋" w:eastAsia="仿宋"/>
          <w:b w:val="0"/>
          <w:bCs w:val="0"/>
        </w:rPr>
        <w:t>府性基金预算财政拨款收入支出决算表</w:t>
      </w:r>
      <w:bookmarkEnd w:id="319"/>
      <w:bookmarkEnd w:id="320"/>
      <w:bookmarkEnd w:id="321"/>
      <w:bookmarkEnd w:id="322"/>
      <w:bookmarkEnd w:id="323"/>
      <w:bookmarkEnd w:id="324"/>
      <w:bookmarkEnd w:id="325"/>
      <w:bookmarkEnd w:id="326"/>
    </w:p>
    <w:p w14:paraId="76187312">
      <w:pPr>
        <w:pStyle w:val="4"/>
        <w:rPr>
          <w:rFonts w:ascii="仿宋" w:eastAsia="仿宋"/>
        </w:rPr>
      </w:pPr>
      <w:bookmarkStart w:id="327" w:name="_Toc17466"/>
      <w:bookmarkStart w:id="328" w:name="_Toc3022"/>
      <w:bookmarkStart w:id="329" w:name="_Toc29243"/>
      <w:bookmarkStart w:id="330" w:name="_Toc15396630"/>
      <w:bookmarkStart w:id="331" w:name="_Toc22866"/>
      <w:bookmarkStart w:id="332" w:name="_Toc8188"/>
      <w:bookmarkStart w:id="333" w:name="_Toc11434"/>
      <w:bookmarkStart w:id="334" w:name="_Toc5674"/>
      <w:r>
        <w:rPr>
          <w:rStyle w:val="20"/>
          <w:rFonts w:hint="eastAsia" w:ascii="仿宋" w:eastAsia="仿宋"/>
          <w:b w:val="0"/>
          <w:bCs w:val="0"/>
        </w:rPr>
        <w:t>十二、</w:t>
      </w:r>
      <w:r>
        <w:rPr>
          <w:rFonts w:hint="eastAsia" w:ascii="仿宋" w:eastAsia="仿宋"/>
          <w:b w:val="0"/>
        </w:rPr>
        <w:t>政</w:t>
      </w:r>
      <w:r>
        <w:rPr>
          <w:rStyle w:val="20"/>
          <w:rFonts w:hint="eastAsia" w:ascii="仿宋" w:eastAsia="仿宋"/>
          <w:b w:val="0"/>
          <w:bCs w:val="0"/>
        </w:rPr>
        <w:t>府性基金预算财政拨款“三公”经费支出决算表</w:t>
      </w:r>
      <w:bookmarkEnd w:id="327"/>
      <w:bookmarkEnd w:id="328"/>
      <w:bookmarkEnd w:id="329"/>
      <w:bookmarkEnd w:id="330"/>
      <w:bookmarkEnd w:id="331"/>
      <w:bookmarkEnd w:id="332"/>
      <w:bookmarkEnd w:id="333"/>
      <w:bookmarkEnd w:id="334"/>
    </w:p>
    <w:p w14:paraId="3DA71A92">
      <w:pPr>
        <w:pStyle w:val="4"/>
        <w:rPr>
          <w:rStyle w:val="20"/>
          <w:rFonts w:ascii="仿宋" w:eastAsia="仿宋"/>
          <w:b w:val="0"/>
          <w:bCs w:val="0"/>
        </w:rPr>
      </w:pPr>
      <w:bookmarkStart w:id="335" w:name="_Toc11374"/>
      <w:bookmarkStart w:id="336" w:name="_Toc30923"/>
      <w:bookmarkStart w:id="337" w:name="_Toc15396631"/>
      <w:bookmarkStart w:id="338" w:name="_Toc8732"/>
      <w:bookmarkStart w:id="339" w:name="_Toc12263"/>
      <w:bookmarkStart w:id="340" w:name="_Toc23725"/>
      <w:bookmarkStart w:id="341" w:name="_Toc15177"/>
      <w:bookmarkStart w:id="342" w:name="_Toc24063"/>
      <w:r>
        <w:rPr>
          <w:rStyle w:val="20"/>
          <w:rFonts w:hint="eastAsia" w:ascii="仿宋" w:eastAsia="仿宋"/>
          <w:b w:val="0"/>
          <w:bCs w:val="0"/>
        </w:rPr>
        <w:t>十三、</w:t>
      </w:r>
      <w:r>
        <w:rPr>
          <w:rFonts w:hint="eastAsia" w:ascii="仿宋" w:eastAsia="仿宋"/>
          <w:b w:val="0"/>
        </w:rPr>
        <w:t>国</w:t>
      </w:r>
      <w:r>
        <w:rPr>
          <w:rStyle w:val="20"/>
          <w:rFonts w:hint="eastAsia" w:ascii="仿宋" w:eastAsia="仿宋"/>
          <w:b w:val="0"/>
          <w:bCs w:val="0"/>
        </w:rPr>
        <w:t>有资本经营预算财政拨款收入支出决算表</w:t>
      </w:r>
      <w:bookmarkEnd w:id="335"/>
      <w:bookmarkEnd w:id="336"/>
      <w:bookmarkEnd w:id="337"/>
      <w:bookmarkEnd w:id="338"/>
      <w:bookmarkEnd w:id="339"/>
      <w:bookmarkEnd w:id="340"/>
      <w:bookmarkEnd w:id="341"/>
      <w:bookmarkEnd w:id="342"/>
    </w:p>
    <w:p w14:paraId="166ED2E6">
      <w:pPr>
        <w:rPr>
          <w:rFonts w:eastAsia="仿宋"/>
        </w:rPr>
      </w:pPr>
      <w:bookmarkStart w:id="343" w:name="_Toc7920"/>
      <w:bookmarkStart w:id="344" w:name="_Toc32224"/>
      <w:bookmarkStart w:id="345" w:name="_Toc13732"/>
      <w:bookmarkStart w:id="346" w:name="_Toc9917"/>
      <w:bookmarkStart w:id="347" w:name="_Toc15285"/>
      <w:bookmarkStart w:id="348" w:name="_Toc30078"/>
      <w:bookmarkStart w:id="349" w:name="_Toc2362"/>
      <w:r>
        <w:rPr>
          <w:rStyle w:val="20"/>
          <w:rFonts w:hint="eastAsia" w:ascii="仿宋" w:eastAsia="仿宋"/>
          <w:b w:val="0"/>
          <w:bCs w:val="0"/>
        </w:rPr>
        <w:t>十四、国有资本经营预算财政拨款支出决算表</w:t>
      </w:r>
      <w:bookmarkEnd w:id="343"/>
      <w:bookmarkEnd w:id="344"/>
      <w:bookmarkEnd w:id="345"/>
      <w:bookmarkEnd w:id="346"/>
      <w:bookmarkEnd w:id="347"/>
      <w:bookmarkEnd w:id="348"/>
      <w:bookmarkEnd w:id="349"/>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05E715-8D38-410C-88F3-87EFB9F1F6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C1208D26-F0FF-4839-9B19-F6D09D7429A3}"/>
  </w:font>
  <w:font w:name="仿宋_GB2312">
    <w:altName w:val="仿宋"/>
    <w:panose1 w:val="00000000000000000000"/>
    <w:charset w:val="86"/>
    <w:family w:val="modern"/>
    <w:pitch w:val="default"/>
    <w:sig w:usb0="00000000" w:usb1="00000000" w:usb2="00000000" w:usb3="00000000" w:csb0="00040000" w:csb1="00000000"/>
    <w:embedRegular r:id="rId3" w:fontKey="{37435F36-5BE9-4992-9970-0064C97954E6}"/>
  </w:font>
  <w:font w:name="仿宋">
    <w:panose1 w:val="02010609060101010101"/>
    <w:charset w:val="86"/>
    <w:family w:val="modern"/>
    <w:pitch w:val="default"/>
    <w:sig w:usb0="800002BF" w:usb1="38CF7CFA" w:usb2="00000016" w:usb3="00000000" w:csb0="00040001" w:csb1="00000000"/>
    <w:embedRegular r:id="rId4" w:fontKey="{90456C1F-8DB9-487A-AE04-859882B07C33}"/>
  </w:font>
  <w:font w:name="方正小标宋简体">
    <w:panose1 w:val="02000000000000000000"/>
    <w:charset w:val="86"/>
    <w:family w:val="script"/>
    <w:pitch w:val="default"/>
    <w:sig w:usb0="00000001" w:usb1="08000000" w:usb2="00000000" w:usb3="00000000" w:csb0="00040000" w:csb1="00000000"/>
    <w:embedRegular r:id="rId5" w:fontKey="{F622E83B-03D1-460C-A70E-DD8CAB632BD7}"/>
  </w:font>
  <w:font w:name="楷体_GB2312">
    <w:panose1 w:val="02010609030101010101"/>
    <w:charset w:val="86"/>
    <w:family w:val="modern"/>
    <w:pitch w:val="default"/>
    <w:sig w:usb0="00000001" w:usb1="080E0000" w:usb2="00000000" w:usb3="00000000" w:csb0="00040000" w:csb1="00000000"/>
    <w:embedRegular r:id="rId6" w:fontKey="{D0531597-6DC2-4C31-B8F7-14B5F0E896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9182952"/>
    </w:sdtPr>
    <w:sdtContent>
      <w:p w14:paraId="3FB4C809">
        <w:pPr>
          <w:pStyle w:val="10"/>
          <w:jc w:val="center"/>
        </w:pPr>
        <w:r>
          <w:fldChar w:fldCharType="begin"/>
        </w:r>
        <w:r>
          <w:instrText xml:space="preserve">PAGE   \* MERGEFORMAT</w:instrText>
        </w:r>
        <w:r>
          <w:fldChar w:fldCharType="separate"/>
        </w:r>
        <w:r>
          <w:rPr>
            <w:lang w:val="zh-CN"/>
          </w:rPr>
          <w:t>26</w:t>
        </w:r>
        <w:r>
          <w:fldChar w:fldCharType="end"/>
        </w:r>
      </w:p>
    </w:sdtContent>
  </w:sdt>
  <w:p w14:paraId="5BB0360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964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ODk1MjE5ZTk0NTIxNDI2ZjY0MjlhYzY1ZWJjY2Y4ZTYifQ=="/>
  </w:docVars>
  <w:rsids>
    <w:rsidRoot w:val="000D2DE3"/>
    <w:rsid w:val="000D2DE3"/>
    <w:rsid w:val="00146FA8"/>
    <w:rsid w:val="009D6E9C"/>
    <w:rsid w:val="01762404"/>
    <w:rsid w:val="09A420EC"/>
    <w:rsid w:val="0B7078E0"/>
    <w:rsid w:val="13B71A6A"/>
    <w:rsid w:val="16126767"/>
    <w:rsid w:val="1840688C"/>
    <w:rsid w:val="1C986C96"/>
    <w:rsid w:val="1DB01B70"/>
    <w:rsid w:val="20935935"/>
    <w:rsid w:val="210E7527"/>
    <w:rsid w:val="21333432"/>
    <w:rsid w:val="25327657"/>
    <w:rsid w:val="26920BFA"/>
    <w:rsid w:val="281174A9"/>
    <w:rsid w:val="2D1660E1"/>
    <w:rsid w:val="30937A49"/>
    <w:rsid w:val="33435756"/>
    <w:rsid w:val="37757EA8"/>
    <w:rsid w:val="380A4A95"/>
    <w:rsid w:val="3BD02487"/>
    <w:rsid w:val="3D31661F"/>
    <w:rsid w:val="3EA90A2F"/>
    <w:rsid w:val="470417C0"/>
    <w:rsid w:val="495B46A0"/>
    <w:rsid w:val="4DBF3025"/>
    <w:rsid w:val="4E954142"/>
    <w:rsid w:val="4EEE5055"/>
    <w:rsid w:val="505A5A36"/>
    <w:rsid w:val="506F14E1"/>
    <w:rsid w:val="514C1822"/>
    <w:rsid w:val="57D6726A"/>
    <w:rsid w:val="58577DBC"/>
    <w:rsid w:val="59FD365F"/>
    <w:rsid w:val="5BAB5397"/>
    <w:rsid w:val="5BDE15E4"/>
    <w:rsid w:val="5C5123E2"/>
    <w:rsid w:val="5C61067F"/>
    <w:rsid w:val="5E473A9D"/>
    <w:rsid w:val="619E5FDB"/>
    <w:rsid w:val="61E909C7"/>
    <w:rsid w:val="64E37662"/>
    <w:rsid w:val="66374F42"/>
    <w:rsid w:val="6B07083C"/>
    <w:rsid w:val="6C140879"/>
    <w:rsid w:val="6FD85226"/>
    <w:rsid w:val="7DF13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Lines="30"/>
    </w:pPr>
    <w:rPr>
      <w:rFonts w:ascii="仿宋_GB2312" w:eastAsia="仿宋_GB2312"/>
      <w:kern w:val="0"/>
      <w:sz w:val="30"/>
    </w:rPr>
  </w:style>
  <w:style w:type="paragraph" w:styleId="6">
    <w:name w:val="Body Text Indent"/>
    <w:basedOn w:val="1"/>
    <w:next w:val="7"/>
    <w:qFormat/>
    <w:uiPriority w:val="0"/>
    <w:pPr>
      <w:ind w:firstLine="643"/>
    </w:pPr>
    <w:rPr>
      <w:rFonts w:eastAsia="仿宋_GB2312" w:cs="宋体"/>
      <w:b/>
      <w:color w:val="000000"/>
      <w:sz w:val="32"/>
    </w:rPr>
  </w:style>
  <w:style w:type="paragraph" w:styleId="7">
    <w:name w:val="Body Text First Indent 2"/>
    <w:basedOn w:val="6"/>
    <w:next w:val="1"/>
    <w:qFormat/>
    <w:uiPriority w:val="0"/>
    <w:pPr>
      <w:ind w:firstLine="200" w:firstLineChars="200"/>
    </w:pPr>
  </w:style>
  <w:style w:type="paragraph" w:styleId="8">
    <w:name w:val="toc 3"/>
    <w:basedOn w:val="1"/>
    <w:next w:val="1"/>
    <w:qFormat/>
    <w:uiPriority w:val="0"/>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oc 2"/>
    <w:basedOn w:val="1"/>
    <w:next w:val="1"/>
    <w:qFormat/>
    <w:uiPriority w:val="0"/>
    <w:pPr>
      <w:tabs>
        <w:tab w:val="right" w:leader="dot" w:pos="8296"/>
      </w:tabs>
      <w:ind w:left="200" w:leftChars="200"/>
    </w:pPr>
  </w:style>
  <w:style w:type="paragraph" w:styleId="14">
    <w:name w:val="Normal (Web)"/>
    <w:basedOn w:val="1"/>
    <w:qFormat/>
    <w:uiPriority w:val="0"/>
    <w:rPr>
      <w:sz w:val="24"/>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标题 1 Char"/>
    <w:basedOn w:val="16"/>
    <w:link w:val="3"/>
    <w:qFormat/>
    <w:uiPriority w:val="0"/>
    <w:rPr>
      <w:rFonts w:ascii="Times New Roman" w:hAnsi="Times New Roman" w:eastAsia="宋体" w:cs="Times New Roman"/>
      <w:b/>
      <w:bCs/>
      <w:kern w:val="44"/>
      <w:sz w:val="44"/>
      <w:szCs w:val="44"/>
      <w:lang w:val="en-US" w:eastAsia="zh-CN" w:bidi="ar-SA"/>
    </w:rPr>
  </w:style>
  <w:style w:type="character" w:customStyle="1" w:styleId="20">
    <w:name w:val="heading 2 Char"/>
    <w:basedOn w:val="16"/>
    <w:link w:val="4"/>
    <w:qFormat/>
    <w:uiPriority w:val="0"/>
    <w:rPr>
      <w:rFonts w:ascii="Cambria" w:hAnsi="Cambria" w:eastAsia="宋体" w:cs="Times New Roman"/>
      <w:b/>
      <w:bCs/>
      <w:kern w:val="2"/>
      <w:sz w:val="32"/>
      <w:szCs w:val="32"/>
      <w:lang w:val="en-US" w:eastAsia="zh-CN" w:bidi="ar-SA"/>
    </w:rPr>
  </w:style>
  <w:style w:type="character" w:customStyle="1" w:styleId="21">
    <w:name w:val="Header Char"/>
    <w:basedOn w:val="16"/>
    <w:qFormat/>
    <w:uiPriority w:val="0"/>
    <w:rPr>
      <w:rFonts w:ascii="Times New Roman" w:hAnsi="Times New Roman"/>
      <w:sz w:val="18"/>
      <w:szCs w:val="18"/>
    </w:rPr>
  </w:style>
  <w:style w:type="character" w:customStyle="1" w:styleId="22">
    <w:name w:val="Footer Char"/>
    <w:basedOn w:val="16"/>
    <w:qFormat/>
    <w:uiPriority w:val="0"/>
    <w:rPr>
      <w:rFonts w:ascii="Times New Roman" w:hAnsi="Times New Roman"/>
      <w:sz w:val="18"/>
      <w:szCs w:val="18"/>
    </w:rPr>
  </w:style>
  <w:style w:type="character" w:customStyle="1" w:styleId="23">
    <w:name w:val="Body Text Char"/>
    <w:basedOn w:val="16"/>
    <w:qFormat/>
    <w:uiPriority w:val="0"/>
    <w:rPr>
      <w:rFonts w:ascii="Times New Roman" w:hAnsi="Times New Roman"/>
      <w:szCs w:val="24"/>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5">
    <w:name w:val="List Paragraph"/>
    <w:basedOn w:val="1"/>
    <w:qFormat/>
    <w:uiPriority w:val="0"/>
    <w:pPr>
      <w:ind w:firstLine="200" w:firstLineChars="200"/>
    </w:pPr>
  </w:style>
  <w:style w:type="paragraph" w:customStyle="1" w:styleId="26">
    <w:name w:val="TOC 标题1"/>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7">
    <w:name w:val="TOC 标题2"/>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0">
    <w:name w:val="font91"/>
    <w:basedOn w:val="16"/>
    <w:qFormat/>
    <w:uiPriority w:val="0"/>
    <w:rPr>
      <w:rFonts w:ascii="宋体" w:eastAsia="宋体" w:cs="宋体"/>
      <w:color w:val="000000"/>
      <w:sz w:val="20"/>
      <w:szCs w:val="20"/>
      <w:u w:val="none"/>
    </w:rPr>
  </w:style>
  <w:style w:type="character" w:customStyle="1" w:styleId="31">
    <w:name w:val="font101"/>
    <w:basedOn w:val="16"/>
    <w:qFormat/>
    <w:uiPriority w:val="0"/>
    <w:rPr>
      <w:rFonts w:ascii="宋体" w:eastAsia="宋体" w:cs="宋体"/>
      <w:color w:val="000000"/>
      <w:sz w:val="18"/>
      <w:szCs w:val="18"/>
      <w:u w:val="none"/>
    </w:rPr>
  </w:style>
  <w:style w:type="character" w:customStyle="1" w:styleId="32">
    <w:name w:val="标题 2 Char1"/>
    <w:basedOn w:val="16"/>
    <w:link w:val="4"/>
    <w:qFormat/>
    <w:locked/>
    <w:uiPriority w:val="9"/>
    <w:rPr>
      <w:rFonts w:ascii="Cambria" w:hAnsi="Cambria" w:eastAsia="宋体" w:cs="Times New Roman"/>
      <w:b/>
      <w:bCs/>
      <w:kern w:val="2"/>
      <w:sz w:val="32"/>
      <w:szCs w:val="32"/>
    </w:rPr>
  </w:style>
  <w:style w:type="character" w:customStyle="1" w:styleId="33">
    <w:name w:val="标题 2 Char"/>
    <w:basedOn w:val="16"/>
    <w:link w:val="4"/>
    <w:qFormat/>
    <w:uiPriority w:val="9"/>
    <w:rPr>
      <w:rFonts w:ascii="Cambria" w:hAnsi="Cambria" w:eastAsia="宋体" w:cs="Times New Roman"/>
      <w:b/>
      <w:bCs/>
      <w:kern w:val="2"/>
      <w:sz w:val="32"/>
      <w:szCs w:val="32"/>
    </w:rPr>
  </w:style>
  <w:style w:type="paragraph" w:customStyle="1" w:styleId="34">
    <w:name w:val="UserStyle_12"/>
    <w:basedOn w:val="1"/>
    <w:qFormat/>
    <w:uiPriority w:val="0"/>
    <w:pPr>
      <w:ind w:firstLine="420" w:firstLineChars="200"/>
      <w:textAlignment w:val="baseline"/>
    </w:pPr>
  </w:style>
  <w:style w:type="character" w:customStyle="1" w:styleId="35">
    <w:name w:val="NormalCharacter"/>
    <w:qFormat/>
    <w:uiPriority w:val="0"/>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11297</Words>
  <Characters>12142</Characters>
  <Lines>108</Lines>
  <Paragraphs>30</Paragraphs>
  <TotalTime>8</TotalTime>
  <ScaleCrop>false</ScaleCrop>
  <LinksUpToDate>false</LinksUpToDate>
  <CharactersWithSpaces>12302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2024-12-20T00:47:08Z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9524A98B1E2640A0B6D0CC738E900A8B</vt:lpwstr>
  </property>
  <property fmtid="{D5CDD505-2E9C-101B-9397-08002B2CF9AE}" pid="4" name="KSOTemplateDocerSaveRecord">
    <vt:lpwstr>eyJoZGlkIjoiMGVhYTg4NGNkZWJkODFjNzcyZDRjM2M4Y2UzNjI5ZmUiLCJ1c2VySWQiOiI2MTE2MzEwMDYifQ==</vt:lpwstr>
  </property>
</Properties>
</file>