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8A0" w:rsidRDefault="00B168A0">
      <w:pPr>
        <w:spacing w:line="600" w:lineRule="exact"/>
        <w:jc w:val="center"/>
        <w:rPr>
          <w:rFonts w:ascii="方正小标宋简体" w:eastAsia="方正小标宋简体" w:hAnsi="宋体"/>
          <w:sz w:val="72"/>
          <w:szCs w:val="72"/>
        </w:rPr>
      </w:pPr>
      <w:bookmarkStart w:id="0" w:name="_GoBack"/>
      <w:bookmarkStart w:id="1" w:name="_Toc15306267"/>
      <w:bookmarkEnd w:id="0"/>
    </w:p>
    <w:p w:rsidR="00B168A0" w:rsidRDefault="00B168A0">
      <w:pPr>
        <w:spacing w:line="600" w:lineRule="exact"/>
        <w:jc w:val="center"/>
        <w:rPr>
          <w:rFonts w:ascii="方正小标宋简体" w:eastAsia="方正小标宋简体" w:hAnsi="宋体"/>
          <w:sz w:val="72"/>
          <w:szCs w:val="72"/>
        </w:rPr>
      </w:pPr>
    </w:p>
    <w:p w:rsidR="00B168A0" w:rsidRDefault="00B168A0">
      <w:pPr>
        <w:spacing w:line="600" w:lineRule="exact"/>
        <w:jc w:val="center"/>
        <w:rPr>
          <w:rFonts w:ascii="方正小标宋简体" w:eastAsia="方正小标宋简体" w:hAnsi="宋体"/>
          <w:sz w:val="72"/>
          <w:szCs w:val="72"/>
        </w:rPr>
      </w:pPr>
    </w:p>
    <w:p w:rsidR="00B168A0" w:rsidRDefault="00B168A0">
      <w:pPr>
        <w:spacing w:line="600" w:lineRule="exact"/>
        <w:jc w:val="center"/>
        <w:rPr>
          <w:rFonts w:ascii="方正小标宋简体" w:eastAsia="方正小标宋简体" w:hAnsi="宋体"/>
          <w:sz w:val="72"/>
          <w:szCs w:val="72"/>
        </w:rPr>
      </w:pPr>
    </w:p>
    <w:p w:rsidR="00B168A0" w:rsidRDefault="004808F4">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2" w:name="_Toc15377193"/>
      <w:bookmarkStart w:id="3" w:name="_Toc15396475"/>
      <w:bookmarkStart w:id="4" w:name="_Toc15396597"/>
      <w:bookmarkStart w:id="5" w:name="_Toc15377425"/>
      <w:bookmarkStart w:id="6" w:name="_Toc15378441"/>
      <w:bookmarkStart w:id="7" w:name="_Toc24615"/>
      <w:r>
        <w:rPr>
          <w:rFonts w:ascii="方正小标宋简体" w:eastAsia="方正小标宋简体" w:hAnsi="方正小标宋简体" w:cs="方正小标宋简体" w:hint="eastAsia"/>
          <w:sz w:val="72"/>
          <w:szCs w:val="72"/>
        </w:rPr>
        <w:t>2021年度</w:t>
      </w:r>
      <w:bookmarkEnd w:id="2"/>
      <w:bookmarkEnd w:id="3"/>
      <w:bookmarkEnd w:id="4"/>
      <w:bookmarkEnd w:id="5"/>
      <w:bookmarkEnd w:id="6"/>
      <w:bookmarkEnd w:id="7"/>
    </w:p>
    <w:p w:rsidR="00B168A0" w:rsidRDefault="004808F4">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8" w:name="_Toc15396476"/>
      <w:bookmarkStart w:id="9" w:name="_Toc15377426"/>
      <w:bookmarkStart w:id="10" w:name="_Toc15396598"/>
      <w:bookmarkStart w:id="11" w:name="_Toc15377194"/>
      <w:bookmarkStart w:id="12" w:name="_Toc28891"/>
      <w:bookmarkStart w:id="13" w:name="_Toc15378442"/>
      <w:r>
        <w:rPr>
          <w:rFonts w:ascii="方正小标宋简体" w:eastAsia="方正小标宋简体" w:hAnsi="方正小标宋简体" w:cs="方正小标宋简体" w:hint="eastAsia"/>
          <w:sz w:val="72"/>
          <w:szCs w:val="72"/>
        </w:rPr>
        <w:t>四川省</w:t>
      </w:r>
      <w:bookmarkStart w:id="14" w:name="_Toc15306268"/>
      <w:bookmarkEnd w:id="1"/>
      <w:r>
        <w:rPr>
          <w:rFonts w:ascii="方正小标宋简体" w:eastAsia="方正小标宋简体" w:hAnsi="方正小标宋简体" w:cs="方正小标宋简体" w:hint="eastAsia"/>
          <w:sz w:val="72"/>
          <w:szCs w:val="72"/>
        </w:rPr>
        <w:t>广元市昭化区太公镇中心卫生院单位决算</w:t>
      </w:r>
      <w:bookmarkEnd w:id="8"/>
      <w:bookmarkEnd w:id="9"/>
      <w:bookmarkEnd w:id="10"/>
      <w:bookmarkEnd w:id="11"/>
      <w:bookmarkEnd w:id="12"/>
      <w:bookmarkEnd w:id="13"/>
      <w:bookmarkEnd w:id="14"/>
    </w:p>
    <w:p w:rsidR="00B168A0" w:rsidRDefault="004808F4">
      <w:pPr>
        <w:widowControl/>
        <w:jc w:val="center"/>
        <w:rPr>
          <w:rFonts w:ascii="仿宋" w:eastAsia="仿宋" w:hAnsi="仿宋"/>
          <w:b/>
          <w:sz w:val="24"/>
        </w:rPr>
      </w:pPr>
      <w:r>
        <w:rPr>
          <w:rFonts w:ascii="方正小标宋简体" w:eastAsia="方正小标宋简体" w:hAnsi="宋体"/>
          <w:sz w:val="36"/>
          <w:szCs w:val="36"/>
        </w:rPr>
        <w:br w:type="page"/>
      </w:r>
      <w:bookmarkStart w:id="15" w:name="_Toc15396599"/>
      <w:bookmarkStart w:id="16" w:name="_Toc15377196"/>
    </w:p>
    <w:sdt>
      <w:sdtPr>
        <w:rPr>
          <w:rFonts w:ascii="宋体" w:hAnsi="宋体"/>
        </w:rPr>
        <w:id w:val="147451931"/>
        <w:docPartObj>
          <w:docPartGallery w:val="Table of Contents"/>
          <w:docPartUnique/>
        </w:docPartObj>
      </w:sdtPr>
      <w:sdtEndPr>
        <w:rPr>
          <w:b/>
        </w:rPr>
      </w:sdtEndPr>
      <w:sdtContent>
        <w:p w:rsidR="00B168A0" w:rsidRDefault="004808F4">
          <w:pPr>
            <w:jc w:val="center"/>
            <w:rPr>
              <w:rFonts w:ascii="黑体" w:eastAsia="黑体" w:hAnsi="黑体"/>
              <w:sz w:val="48"/>
              <w:szCs w:val="48"/>
            </w:rPr>
          </w:pPr>
          <w:r>
            <w:rPr>
              <w:rFonts w:ascii="黑体" w:eastAsia="黑体" w:hAnsi="黑体" w:hint="eastAsia"/>
              <w:sz w:val="48"/>
              <w:szCs w:val="48"/>
            </w:rPr>
            <w:t>目录</w:t>
          </w:r>
        </w:p>
        <w:p w:rsidR="00B168A0" w:rsidRDefault="004808F4">
          <w:pPr>
            <w:pStyle w:val="21"/>
            <w:adjustRightInd w:val="0"/>
            <w:snapToGrid w:val="0"/>
            <w:spacing w:line="440" w:lineRule="exact"/>
            <w:ind w:firstLineChars="1100" w:firstLine="2640"/>
            <w:jc w:val="left"/>
            <w:rPr>
              <w:sz w:val="24"/>
            </w:rPr>
          </w:pPr>
          <w:r>
            <w:rPr>
              <w:rFonts w:hint="eastAsia"/>
              <w:sz w:val="24"/>
            </w:rPr>
            <w:t>公开时间：</w:t>
          </w:r>
          <w:r>
            <w:rPr>
              <w:rFonts w:hint="eastAsia"/>
              <w:sz w:val="24"/>
            </w:rPr>
            <w:t>2022</w:t>
          </w:r>
          <w:r>
            <w:rPr>
              <w:rFonts w:hint="eastAsia"/>
              <w:sz w:val="24"/>
            </w:rPr>
            <w:t>年</w:t>
          </w:r>
          <w:r>
            <w:rPr>
              <w:rFonts w:hint="eastAsia"/>
              <w:sz w:val="24"/>
            </w:rPr>
            <w:t>9</w:t>
          </w:r>
          <w:r>
            <w:rPr>
              <w:rFonts w:hint="eastAsia"/>
              <w:sz w:val="24"/>
            </w:rPr>
            <w:t>月</w:t>
          </w:r>
          <w:r>
            <w:rPr>
              <w:rFonts w:hint="eastAsia"/>
              <w:sz w:val="24"/>
            </w:rPr>
            <w:t>30</w:t>
          </w:r>
          <w:r>
            <w:rPr>
              <w:rFonts w:hint="eastAsia"/>
              <w:sz w:val="24"/>
            </w:rPr>
            <w:t>日</w:t>
          </w:r>
          <w:r w:rsidR="00B649E9">
            <w:rPr>
              <w:rFonts w:hint="eastAsia"/>
              <w:sz w:val="24"/>
            </w:rPr>
            <w:fldChar w:fldCharType="begin"/>
          </w:r>
          <w:r>
            <w:rPr>
              <w:rFonts w:hint="eastAsia"/>
              <w:sz w:val="24"/>
            </w:rPr>
            <w:instrText xml:space="preserve">TOC \o "1-2" \h \u </w:instrText>
          </w:r>
          <w:r w:rsidR="00B649E9">
            <w:rPr>
              <w:rFonts w:hint="eastAsia"/>
              <w:sz w:val="24"/>
            </w:rPr>
            <w:fldChar w:fldCharType="separate"/>
          </w:r>
        </w:p>
        <w:p w:rsidR="00B168A0" w:rsidRDefault="00B649E9">
          <w:pPr>
            <w:pStyle w:val="10"/>
            <w:adjustRightInd w:val="0"/>
            <w:snapToGrid w:val="0"/>
            <w:spacing w:before="0" w:line="440" w:lineRule="exact"/>
            <w:jc w:val="left"/>
            <w:rPr>
              <w:sz w:val="24"/>
            </w:rPr>
          </w:pPr>
          <w:hyperlink w:anchor="_Toc13207" w:history="1">
            <w:r w:rsidR="004808F4">
              <w:rPr>
                <w:rFonts w:ascii="仿宋_GB2312" w:eastAsia="仿宋_GB2312" w:hAnsi="MingLiU" w:hint="eastAsia"/>
                <w:b/>
                <w:bCs/>
                <w:sz w:val="32"/>
                <w:szCs w:val="24"/>
              </w:rPr>
              <w:t>第一部分 单位概况</w:t>
            </w:r>
            <w:r w:rsidR="004808F4">
              <w:rPr>
                <w:rFonts w:hint="eastAsia"/>
                <w:sz w:val="24"/>
              </w:rPr>
              <w:tab/>
            </w:r>
            <w:r>
              <w:rPr>
                <w:rFonts w:ascii="仿宋_GB2312" w:eastAsia="仿宋_GB2312" w:hAnsi="MingLiU" w:hint="eastAsia"/>
                <w:b/>
                <w:bCs/>
                <w:sz w:val="32"/>
                <w:szCs w:val="24"/>
              </w:rPr>
              <w:fldChar w:fldCharType="begin"/>
            </w:r>
            <w:r w:rsidR="004808F4">
              <w:rPr>
                <w:rFonts w:ascii="仿宋_GB2312" w:eastAsia="仿宋_GB2312" w:hAnsi="MingLiU" w:hint="eastAsia"/>
                <w:b/>
                <w:bCs/>
                <w:sz w:val="32"/>
                <w:szCs w:val="24"/>
              </w:rPr>
              <w:instrText xml:space="preserve"> PAGEREF _Toc13207 </w:instrText>
            </w:r>
            <w:r>
              <w:rPr>
                <w:rFonts w:ascii="仿宋_GB2312" w:eastAsia="仿宋_GB2312" w:hAnsi="MingLiU" w:hint="eastAsia"/>
                <w:b/>
                <w:bCs/>
                <w:sz w:val="32"/>
                <w:szCs w:val="24"/>
              </w:rPr>
              <w:fldChar w:fldCharType="separate"/>
            </w:r>
            <w:r w:rsidR="004808F4">
              <w:rPr>
                <w:rFonts w:ascii="仿宋_GB2312" w:eastAsia="仿宋_GB2312" w:hAnsi="MingLiU" w:hint="eastAsia"/>
                <w:b/>
                <w:bCs/>
                <w:sz w:val="32"/>
                <w:szCs w:val="24"/>
              </w:rPr>
              <w:t>4</w:t>
            </w:r>
            <w:r>
              <w:rPr>
                <w:rFonts w:ascii="仿宋_GB2312" w:eastAsia="仿宋_GB2312" w:hAnsi="MingLiU" w:hint="eastAsia"/>
                <w:b/>
                <w:bCs/>
                <w:sz w:val="32"/>
                <w:szCs w:val="24"/>
              </w:rPr>
              <w:fldChar w:fldCharType="end"/>
            </w:r>
          </w:hyperlink>
        </w:p>
        <w:p w:rsidR="00B168A0" w:rsidRDefault="00B649E9">
          <w:pPr>
            <w:pStyle w:val="21"/>
            <w:adjustRightInd w:val="0"/>
            <w:snapToGrid w:val="0"/>
            <w:spacing w:line="440" w:lineRule="exact"/>
            <w:jc w:val="left"/>
            <w:rPr>
              <w:sz w:val="24"/>
            </w:rPr>
          </w:pPr>
          <w:hyperlink w:anchor="_Toc19150" w:history="1">
            <w:r w:rsidR="004808F4">
              <w:rPr>
                <w:rFonts w:hint="eastAsia"/>
                <w:sz w:val="24"/>
              </w:rPr>
              <w:t>一、</w:t>
            </w:r>
            <w:r w:rsidR="004808F4">
              <w:rPr>
                <w:rFonts w:hint="eastAsia"/>
                <w:sz w:val="24"/>
              </w:rPr>
              <w:t xml:space="preserve"> </w:t>
            </w:r>
            <w:r w:rsidR="004808F4">
              <w:rPr>
                <w:rFonts w:hint="eastAsia"/>
                <w:sz w:val="24"/>
              </w:rPr>
              <w:t>职能简介</w:t>
            </w:r>
            <w:r w:rsidR="004808F4">
              <w:rPr>
                <w:rFonts w:hint="eastAsia"/>
                <w:sz w:val="24"/>
              </w:rPr>
              <w:tab/>
            </w:r>
            <w:r>
              <w:rPr>
                <w:rFonts w:hint="eastAsia"/>
                <w:sz w:val="24"/>
              </w:rPr>
              <w:fldChar w:fldCharType="begin"/>
            </w:r>
            <w:r w:rsidR="004808F4">
              <w:rPr>
                <w:rFonts w:hint="eastAsia"/>
                <w:sz w:val="24"/>
              </w:rPr>
              <w:instrText xml:space="preserve"> PAGEREF _Toc19150 </w:instrText>
            </w:r>
            <w:r>
              <w:rPr>
                <w:rFonts w:hint="eastAsia"/>
                <w:sz w:val="24"/>
              </w:rPr>
              <w:fldChar w:fldCharType="separate"/>
            </w:r>
            <w:r w:rsidR="004808F4">
              <w:rPr>
                <w:rFonts w:hint="eastAsia"/>
                <w:sz w:val="24"/>
              </w:rPr>
              <w:t>4</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27927" w:history="1">
            <w:r w:rsidR="004808F4">
              <w:rPr>
                <w:rFonts w:hint="eastAsia"/>
                <w:sz w:val="24"/>
              </w:rPr>
              <w:t>二、</w:t>
            </w:r>
            <w:r w:rsidR="004808F4">
              <w:rPr>
                <w:rFonts w:hint="eastAsia"/>
                <w:sz w:val="24"/>
              </w:rPr>
              <w:t>2021</w:t>
            </w:r>
            <w:r w:rsidR="004808F4">
              <w:rPr>
                <w:rFonts w:hint="eastAsia"/>
                <w:sz w:val="24"/>
              </w:rPr>
              <w:t>年重点工作完成情况</w:t>
            </w:r>
            <w:r w:rsidR="004808F4">
              <w:rPr>
                <w:rFonts w:hint="eastAsia"/>
                <w:sz w:val="24"/>
              </w:rPr>
              <w:tab/>
            </w:r>
            <w:r>
              <w:rPr>
                <w:rFonts w:hint="eastAsia"/>
                <w:sz w:val="24"/>
              </w:rPr>
              <w:fldChar w:fldCharType="begin"/>
            </w:r>
            <w:r w:rsidR="004808F4">
              <w:rPr>
                <w:rFonts w:hint="eastAsia"/>
                <w:sz w:val="24"/>
              </w:rPr>
              <w:instrText xml:space="preserve"> PAGEREF _Toc27927 </w:instrText>
            </w:r>
            <w:r>
              <w:rPr>
                <w:rFonts w:hint="eastAsia"/>
                <w:sz w:val="24"/>
              </w:rPr>
              <w:fldChar w:fldCharType="separate"/>
            </w:r>
            <w:r w:rsidR="004808F4">
              <w:rPr>
                <w:rFonts w:hint="eastAsia"/>
                <w:sz w:val="24"/>
              </w:rPr>
              <w:t>5</w:t>
            </w:r>
            <w:r>
              <w:rPr>
                <w:rFonts w:hint="eastAsia"/>
                <w:sz w:val="24"/>
              </w:rPr>
              <w:fldChar w:fldCharType="end"/>
            </w:r>
          </w:hyperlink>
        </w:p>
        <w:p w:rsidR="00B168A0" w:rsidRDefault="00B649E9">
          <w:pPr>
            <w:pStyle w:val="10"/>
            <w:adjustRightInd w:val="0"/>
            <w:snapToGrid w:val="0"/>
            <w:spacing w:before="0" w:line="440" w:lineRule="exact"/>
            <w:jc w:val="left"/>
            <w:rPr>
              <w:sz w:val="24"/>
            </w:rPr>
          </w:pPr>
          <w:hyperlink w:anchor="_Toc31717" w:history="1">
            <w:r w:rsidR="004808F4">
              <w:rPr>
                <w:rFonts w:ascii="仿宋_GB2312" w:eastAsia="仿宋_GB2312" w:hAnsi="MingLiU" w:hint="eastAsia"/>
                <w:b/>
                <w:bCs/>
                <w:sz w:val="32"/>
                <w:szCs w:val="24"/>
              </w:rPr>
              <w:t>第二部分 2021年度单位决算情况说明</w:t>
            </w:r>
            <w:r w:rsidR="004808F4">
              <w:rPr>
                <w:rFonts w:hint="eastAsia"/>
                <w:sz w:val="24"/>
              </w:rPr>
              <w:tab/>
            </w:r>
            <w:r>
              <w:rPr>
                <w:rFonts w:hint="eastAsia"/>
                <w:sz w:val="24"/>
              </w:rPr>
              <w:fldChar w:fldCharType="begin"/>
            </w:r>
            <w:r w:rsidR="004808F4">
              <w:rPr>
                <w:rFonts w:hint="eastAsia"/>
                <w:sz w:val="24"/>
              </w:rPr>
              <w:instrText xml:space="preserve"> PAGEREF _Toc31717 </w:instrText>
            </w:r>
            <w:r>
              <w:rPr>
                <w:rFonts w:hint="eastAsia"/>
                <w:sz w:val="24"/>
              </w:rPr>
              <w:fldChar w:fldCharType="separate"/>
            </w:r>
            <w:r w:rsidR="004808F4">
              <w:rPr>
                <w:rFonts w:hint="eastAsia"/>
                <w:sz w:val="24"/>
              </w:rPr>
              <w:t>8</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9771" w:history="1">
            <w:r w:rsidR="004808F4">
              <w:rPr>
                <w:sz w:val="24"/>
              </w:rPr>
              <w:t>一、</w:t>
            </w:r>
            <w:r w:rsidR="004808F4">
              <w:rPr>
                <w:sz w:val="24"/>
              </w:rPr>
              <w:t xml:space="preserve"> </w:t>
            </w:r>
            <w:r w:rsidR="004808F4">
              <w:rPr>
                <w:rFonts w:hint="eastAsia"/>
                <w:sz w:val="24"/>
              </w:rPr>
              <w:t>收入支出决算总体情况说明</w:t>
            </w:r>
            <w:r w:rsidR="004808F4">
              <w:rPr>
                <w:rFonts w:hint="eastAsia"/>
                <w:sz w:val="24"/>
              </w:rPr>
              <w:tab/>
            </w:r>
            <w:r>
              <w:rPr>
                <w:rFonts w:hint="eastAsia"/>
                <w:sz w:val="24"/>
              </w:rPr>
              <w:fldChar w:fldCharType="begin"/>
            </w:r>
            <w:r w:rsidR="004808F4">
              <w:rPr>
                <w:rFonts w:hint="eastAsia"/>
                <w:sz w:val="24"/>
              </w:rPr>
              <w:instrText xml:space="preserve"> PAGEREF _Toc9771 </w:instrText>
            </w:r>
            <w:r>
              <w:rPr>
                <w:rFonts w:hint="eastAsia"/>
                <w:sz w:val="24"/>
              </w:rPr>
              <w:fldChar w:fldCharType="separate"/>
            </w:r>
            <w:r w:rsidR="004808F4">
              <w:rPr>
                <w:rFonts w:hint="eastAsia"/>
                <w:sz w:val="24"/>
              </w:rPr>
              <w:t>8</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15414" w:history="1">
            <w:r w:rsidR="004808F4">
              <w:rPr>
                <w:sz w:val="24"/>
              </w:rPr>
              <w:t>二、</w:t>
            </w:r>
            <w:r w:rsidR="004808F4">
              <w:rPr>
                <w:sz w:val="24"/>
              </w:rPr>
              <w:t xml:space="preserve"> </w:t>
            </w:r>
            <w:r w:rsidR="004808F4">
              <w:rPr>
                <w:rFonts w:hint="eastAsia"/>
                <w:sz w:val="24"/>
              </w:rPr>
              <w:t>收入决算情况说明</w:t>
            </w:r>
            <w:r w:rsidR="004808F4">
              <w:rPr>
                <w:rFonts w:hint="eastAsia"/>
                <w:sz w:val="24"/>
              </w:rPr>
              <w:tab/>
            </w:r>
            <w:r>
              <w:rPr>
                <w:rFonts w:hint="eastAsia"/>
                <w:sz w:val="24"/>
              </w:rPr>
              <w:fldChar w:fldCharType="begin"/>
            </w:r>
            <w:r w:rsidR="004808F4">
              <w:rPr>
                <w:rFonts w:hint="eastAsia"/>
                <w:sz w:val="24"/>
              </w:rPr>
              <w:instrText xml:space="preserve"> PAGEREF _Toc15414 </w:instrText>
            </w:r>
            <w:r>
              <w:rPr>
                <w:rFonts w:hint="eastAsia"/>
                <w:sz w:val="24"/>
              </w:rPr>
              <w:fldChar w:fldCharType="separate"/>
            </w:r>
            <w:r w:rsidR="004808F4">
              <w:rPr>
                <w:rFonts w:hint="eastAsia"/>
                <w:sz w:val="24"/>
              </w:rPr>
              <w:t>8</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12466" w:history="1">
            <w:r w:rsidR="004808F4">
              <w:rPr>
                <w:sz w:val="24"/>
              </w:rPr>
              <w:t>三、</w:t>
            </w:r>
            <w:r w:rsidR="004808F4">
              <w:rPr>
                <w:sz w:val="24"/>
              </w:rPr>
              <w:t xml:space="preserve"> </w:t>
            </w:r>
            <w:r w:rsidR="004808F4">
              <w:rPr>
                <w:rFonts w:hint="eastAsia"/>
                <w:sz w:val="24"/>
              </w:rPr>
              <w:t>支出决算情况说明</w:t>
            </w:r>
            <w:r w:rsidR="004808F4">
              <w:rPr>
                <w:rFonts w:hint="eastAsia"/>
                <w:sz w:val="24"/>
              </w:rPr>
              <w:tab/>
            </w:r>
            <w:r>
              <w:rPr>
                <w:rFonts w:hint="eastAsia"/>
                <w:sz w:val="24"/>
              </w:rPr>
              <w:fldChar w:fldCharType="begin"/>
            </w:r>
            <w:r w:rsidR="004808F4">
              <w:rPr>
                <w:rFonts w:hint="eastAsia"/>
                <w:sz w:val="24"/>
              </w:rPr>
              <w:instrText xml:space="preserve"> PAGEREF _Toc12466 </w:instrText>
            </w:r>
            <w:r>
              <w:rPr>
                <w:rFonts w:hint="eastAsia"/>
                <w:sz w:val="24"/>
              </w:rPr>
              <w:fldChar w:fldCharType="separate"/>
            </w:r>
            <w:r w:rsidR="004808F4">
              <w:rPr>
                <w:rFonts w:hint="eastAsia"/>
                <w:sz w:val="24"/>
              </w:rPr>
              <w:t>9</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4053" w:history="1">
            <w:r w:rsidR="004808F4">
              <w:rPr>
                <w:rFonts w:hint="eastAsia"/>
                <w:sz w:val="24"/>
              </w:rPr>
              <w:t>四、财政拨款收入支出决算总体情况说明</w:t>
            </w:r>
            <w:r w:rsidR="004808F4">
              <w:rPr>
                <w:rFonts w:hint="eastAsia"/>
                <w:sz w:val="24"/>
              </w:rPr>
              <w:tab/>
            </w:r>
            <w:r>
              <w:rPr>
                <w:rFonts w:hint="eastAsia"/>
                <w:sz w:val="24"/>
              </w:rPr>
              <w:fldChar w:fldCharType="begin"/>
            </w:r>
            <w:r w:rsidR="004808F4">
              <w:rPr>
                <w:rFonts w:hint="eastAsia"/>
                <w:sz w:val="24"/>
              </w:rPr>
              <w:instrText xml:space="preserve"> PAGEREF _Toc4053 </w:instrText>
            </w:r>
            <w:r>
              <w:rPr>
                <w:rFonts w:hint="eastAsia"/>
                <w:sz w:val="24"/>
              </w:rPr>
              <w:fldChar w:fldCharType="separate"/>
            </w:r>
            <w:r w:rsidR="004808F4">
              <w:rPr>
                <w:rFonts w:hint="eastAsia"/>
                <w:sz w:val="24"/>
              </w:rPr>
              <w:t>9</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23382" w:history="1">
            <w:r w:rsidR="004808F4">
              <w:rPr>
                <w:rFonts w:hint="eastAsia"/>
                <w:sz w:val="24"/>
              </w:rPr>
              <w:t>五、一般公共预算财政拨款支出决算情况说明</w:t>
            </w:r>
            <w:r w:rsidR="004808F4">
              <w:rPr>
                <w:rFonts w:hint="eastAsia"/>
                <w:sz w:val="24"/>
              </w:rPr>
              <w:tab/>
            </w:r>
            <w:r>
              <w:rPr>
                <w:rFonts w:hint="eastAsia"/>
                <w:sz w:val="24"/>
              </w:rPr>
              <w:fldChar w:fldCharType="begin"/>
            </w:r>
            <w:r w:rsidR="004808F4">
              <w:rPr>
                <w:rFonts w:hint="eastAsia"/>
                <w:sz w:val="24"/>
              </w:rPr>
              <w:instrText xml:space="preserve"> PAGEREF _Toc23382 </w:instrText>
            </w:r>
            <w:r>
              <w:rPr>
                <w:rFonts w:hint="eastAsia"/>
                <w:sz w:val="24"/>
              </w:rPr>
              <w:fldChar w:fldCharType="separate"/>
            </w:r>
            <w:r w:rsidR="004808F4">
              <w:rPr>
                <w:rFonts w:hint="eastAsia"/>
                <w:sz w:val="24"/>
              </w:rPr>
              <w:t>10</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8713" w:history="1">
            <w:r w:rsidR="004808F4">
              <w:rPr>
                <w:rFonts w:hint="eastAsia"/>
                <w:sz w:val="24"/>
              </w:rPr>
              <w:t>六、一般公共预算财政拨款基本支出决算情况说明</w:t>
            </w:r>
            <w:r w:rsidR="004808F4">
              <w:rPr>
                <w:rFonts w:hint="eastAsia"/>
                <w:sz w:val="24"/>
              </w:rPr>
              <w:tab/>
            </w:r>
            <w:r>
              <w:rPr>
                <w:rFonts w:hint="eastAsia"/>
                <w:sz w:val="24"/>
              </w:rPr>
              <w:fldChar w:fldCharType="begin"/>
            </w:r>
            <w:r w:rsidR="004808F4">
              <w:rPr>
                <w:rFonts w:hint="eastAsia"/>
                <w:sz w:val="24"/>
              </w:rPr>
              <w:instrText xml:space="preserve"> PAGEREF _Toc8713 </w:instrText>
            </w:r>
            <w:r>
              <w:rPr>
                <w:rFonts w:hint="eastAsia"/>
                <w:sz w:val="24"/>
              </w:rPr>
              <w:fldChar w:fldCharType="separate"/>
            </w:r>
            <w:r w:rsidR="004808F4">
              <w:rPr>
                <w:rFonts w:hint="eastAsia"/>
                <w:sz w:val="24"/>
              </w:rPr>
              <w:t>12</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26234" w:history="1">
            <w:r w:rsidR="004808F4">
              <w:rPr>
                <w:rFonts w:hint="eastAsia"/>
                <w:sz w:val="24"/>
              </w:rPr>
              <w:t>七、“三公”经费财政拨款支出决算情况说明</w:t>
            </w:r>
            <w:r w:rsidR="004808F4">
              <w:rPr>
                <w:rFonts w:hint="eastAsia"/>
                <w:sz w:val="24"/>
              </w:rPr>
              <w:tab/>
            </w:r>
            <w:r>
              <w:rPr>
                <w:rFonts w:hint="eastAsia"/>
                <w:sz w:val="24"/>
              </w:rPr>
              <w:fldChar w:fldCharType="begin"/>
            </w:r>
            <w:r w:rsidR="004808F4">
              <w:rPr>
                <w:rFonts w:hint="eastAsia"/>
                <w:sz w:val="24"/>
              </w:rPr>
              <w:instrText xml:space="preserve"> PAGEREF _Toc26234 </w:instrText>
            </w:r>
            <w:r>
              <w:rPr>
                <w:rFonts w:hint="eastAsia"/>
                <w:sz w:val="24"/>
              </w:rPr>
              <w:fldChar w:fldCharType="separate"/>
            </w:r>
            <w:r w:rsidR="004808F4">
              <w:rPr>
                <w:rFonts w:hint="eastAsia"/>
                <w:sz w:val="24"/>
              </w:rPr>
              <w:t>12</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21241" w:history="1">
            <w:r w:rsidR="004808F4">
              <w:rPr>
                <w:rFonts w:hint="eastAsia"/>
                <w:sz w:val="24"/>
              </w:rPr>
              <w:t>八、政府性基金预算支出决算情况说明</w:t>
            </w:r>
            <w:r w:rsidR="004808F4">
              <w:rPr>
                <w:rFonts w:hint="eastAsia"/>
                <w:sz w:val="24"/>
              </w:rPr>
              <w:tab/>
            </w:r>
            <w:r>
              <w:rPr>
                <w:rFonts w:hint="eastAsia"/>
                <w:sz w:val="24"/>
              </w:rPr>
              <w:fldChar w:fldCharType="begin"/>
            </w:r>
            <w:r w:rsidR="004808F4">
              <w:rPr>
                <w:rFonts w:hint="eastAsia"/>
                <w:sz w:val="24"/>
              </w:rPr>
              <w:instrText xml:space="preserve"> PAGEREF _Toc21241 </w:instrText>
            </w:r>
            <w:r>
              <w:rPr>
                <w:rFonts w:hint="eastAsia"/>
                <w:sz w:val="24"/>
              </w:rPr>
              <w:fldChar w:fldCharType="separate"/>
            </w:r>
            <w:r w:rsidR="004808F4">
              <w:rPr>
                <w:rFonts w:hint="eastAsia"/>
                <w:sz w:val="24"/>
              </w:rPr>
              <w:t>13</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5560" w:history="1">
            <w:r w:rsidR="004808F4">
              <w:rPr>
                <w:rFonts w:hint="eastAsia"/>
                <w:sz w:val="24"/>
              </w:rPr>
              <w:t>九、</w:t>
            </w:r>
            <w:r w:rsidR="004808F4">
              <w:rPr>
                <w:rFonts w:hint="eastAsia"/>
                <w:sz w:val="24"/>
              </w:rPr>
              <w:t xml:space="preserve"> </w:t>
            </w:r>
            <w:r w:rsidR="004808F4">
              <w:rPr>
                <w:rFonts w:hint="eastAsia"/>
                <w:sz w:val="24"/>
              </w:rPr>
              <w:t>国有资本经营预算支出决算情况说明</w:t>
            </w:r>
            <w:r w:rsidR="004808F4">
              <w:rPr>
                <w:rFonts w:hint="eastAsia"/>
                <w:sz w:val="24"/>
              </w:rPr>
              <w:tab/>
            </w:r>
            <w:r>
              <w:rPr>
                <w:rFonts w:hint="eastAsia"/>
                <w:sz w:val="24"/>
              </w:rPr>
              <w:fldChar w:fldCharType="begin"/>
            </w:r>
            <w:r w:rsidR="004808F4">
              <w:rPr>
                <w:rFonts w:hint="eastAsia"/>
                <w:sz w:val="24"/>
              </w:rPr>
              <w:instrText xml:space="preserve"> PAGEREF _Toc5560 </w:instrText>
            </w:r>
            <w:r>
              <w:rPr>
                <w:rFonts w:hint="eastAsia"/>
                <w:sz w:val="24"/>
              </w:rPr>
              <w:fldChar w:fldCharType="separate"/>
            </w:r>
            <w:r w:rsidR="004808F4">
              <w:rPr>
                <w:rFonts w:hint="eastAsia"/>
                <w:sz w:val="24"/>
              </w:rPr>
              <w:t>13</w:t>
            </w:r>
            <w:r>
              <w:rPr>
                <w:rFonts w:hint="eastAsia"/>
                <w:sz w:val="24"/>
              </w:rPr>
              <w:fldChar w:fldCharType="end"/>
            </w:r>
          </w:hyperlink>
        </w:p>
        <w:p w:rsidR="00B168A0" w:rsidRDefault="00B649E9">
          <w:pPr>
            <w:pStyle w:val="21"/>
            <w:adjustRightInd w:val="0"/>
            <w:snapToGrid w:val="0"/>
            <w:spacing w:line="440" w:lineRule="exact"/>
            <w:jc w:val="left"/>
            <w:rPr>
              <w:sz w:val="24"/>
            </w:rPr>
          </w:pPr>
          <w:hyperlink w:anchor="_Toc27178" w:history="1">
            <w:r w:rsidR="004808F4">
              <w:rPr>
                <w:rFonts w:hint="eastAsia"/>
                <w:sz w:val="24"/>
              </w:rPr>
              <w:t>十、</w:t>
            </w:r>
            <w:r w:rsidR="004808F4">
              <w:rPr>
                <w:rFonts w:hint="eastAsia"/>
                <w:sz w:val="24"/>
              </w:rPr>
              <w:t xml:space="preserve"> </w:t>
            </w:r>
            <w:r w:rsidR="004808F4">
              <w:rPr>
                <w:rFonts w:hint="eastAsia"/>
                <w:sz w:val="24"/>
              </w:rPr>
              <w:t>其他重要事项的情况说明</w:t>
            </w:r>
            <w:r w:rsidR="004808F4">
              <w:rPr>
                <w:rFonts w:hint="eastAsia"/>
                <w:sz w:val="24"/>
              </w:rPr>
              <w:tab/>
            </w:r>
            <w:r>
              <w:rPr>
                <w:rFonts w:hint="eastAsia"/>
                <w:sz w:val="24"/>
              </w:rPr>
              <w:fldChar w:fldCharType="begin"/>
            </w:r>
            <w:r w:rsidR="004808F4">
              <w:rPr>
                <w:rFonts w:hint="eastAsia"/>
                <w:sz w:val="24"/>
              </w:rPr>
              <w:instrText xml:space="preserve"> PAGEREF _Toc27178 </w:instrText>
            </w:r>
            <w:r>
              <w:rPr>
                <w:rFonts w:hint="eastAsia"/>
                <w:sz w:val="24"/>
              </w:rPr>
              <w:fldChar w:fldCharType="separate"/>
            </w:r>
            <w:r w:rsidR="004808F4">
              <w:rPr>
                <w:rFonts w:hint="eastAsia"/>
                <w:sz w:val="24"/>
              </w:rPr>
              <w:t>13</w:t>
            </w:r>
            <w:r>
              <w:rPr>
                <w:rFonts w:hint="eastAsia"/>
                <w:sz w:val="24"/>
              </w:rPr>
              <w:fldChar w:fldCharType="end"/>
            </w:r>
          </w:hyperlink>
        </w:p>
        <w:p w:rsidR="00B168A0" w:rsidRDefault="00B649E9">
          <w:pPr>
            <w:pStyle w:val="10"/>
            <w:adjustRightInd w:val="0"/>
            <w:snapToGrid w:val="0"/>
            <w:spacing w:before="0" w:line="440" w:lineRule="exact"/>
            <w:jc w:val="left"/>
            <w:rPr>
              <w:sz w:val="24"/>
            </w:rPr>
          </w:pPr>
          <w:hyperlink w:anchor="_Toc19437" w:history="1">
            <w:r w:rsidR="004808F4">
              <w:rPr>
                <w:rFonts w:ascii="仿宋_GB2312" w:eastAsia="仿宋_GB2312" w:hAnsi="MingLiU" w:hint="eastAsia"/>
                <w:b/>
                <w:bCs/>
                <w:sz w:val="32"/>
                <w:szCs w:val="24"/>
              </w:rPr>
              <w:t>第三部分 名词解释</w:t>
            </w:r>
            <w:r w:rsidR="004808F4">
              <w:rPr>
                <w:rFonts w:hint="eastAsia"/>
                <w:sz w:val="24"/>
              </w:rPr>
              <w:tab/>
            </w:r>
            <w:r>
              <w:rPr>
                <w:rFonts w:hint="eastAsia"/>
                <w:sz w:val="24"/>
              </w:rPr>
              <w:fldChar w:fldCharType="begin"/>
            </w:r>
            <w:r w:rsidR="004808F4">
              <w:rPr>
                <w:rFonts w:hint="eastAsia"/>
                <w:sz w:val="24"/>
              </w:rPr>
              <w:instrText xml:space="preserve"> PAGEREF _Toc19437 </w:instrText>
            </w:r>
            <w:r>
              <w:rPr>
                <w:rFonts w:hint="eastAsia"/>
                <w:sz w:val="24"/>
              </w:rPr>
              <w:fldChar w:fldCharType="separate"/>
            </w:r>
            <w:r w:rsidR="004808F4">
              <w:rPr>
                <w:rFonts w:hint="eastAsia"/>
                <w:sz w:val="24"/>
              </w:rPr>
              <w:t>15</w:t>
            </w:r>
            <w:r>
              <w:rPr>
                <w:rFonts w:hint="eastAsia"/>
                <w:sz w:val="24"/>
              </w:rPr>
              <w:fldChar w:fldCharType="end"/>
            </w:r>
          </w:hyperlink>
        </w:p>
        <w:p w:rsidR="00B168A0" w:rsidRDefault="00B649E9">
          <w:pPr>
            <w:pStyle w:val="10"/>
            <w:adjustRightInd w:val="0"/>
            <w:snapToGrid w:val="0"/>
            <w:spacing w:before="0" w:line="440" w:lineRule="exact"/>
            <w:jc w:val="left"/>
            <w:rPr>
              <w:sz w:val="24"/>
            </w:rPr>
          </w:pPr>
          <w:hyperlink w:anchor="_Toc27339" w:history="1">
            <w:r w:rsidR="004808F4">
              <w:rPr>
                <w:rFonts w:ascii="仿宋_GB2312" w:eastAsia="仿宋_GB2312" w:hAnsi="MingLiU" w:hint="eastAsia"/>
                <w:b/>
                <w:bCs/>
                <w:sz w:val="32"/>
                <w:szCs w:val="24"/>
              </w:rPr>
              <w:t>第四部分 附件</w:t>
            </w:r>
            <w:r w:rsidR="004808F4">
              <w:rPr>
                <w:rFonts w:ascii="仿宋_GB2312" w:eastAsia="仿宋_GB2312" w:hAnsi="MingLiU"/>
                <w:b/>
                <w:bCs/>
                <w:sz w:val="32"/>
                <w:szCs w:val="24"/>
              </w:rPr>
              <w:tab/>
            </w:r>
            <w:r w:rsidR="004808F4">
              <w:rPr>
                <w:rFonts w:ascii="仿宋_GB2312" w:eastAsia="仿宋_GB2312" w:hAnsi="MingLiU" w:hint="eastAsia"/>
                <w:b/>
                <w:bCs/>
                <w:sz w:val="32"/>
                <w:szCs w:val="24"/>
              </w:rPr>
              <w:t>1</w:t>
            </w:r>
          </w:hyperlink>
          <w:r w:rsidR="004808F4">
            <w:rPr>
              <w:rFonts w:ascii="仿宋_GB2312" w:eastAsia="仿宋_GB2312" w:hAnsi="MingLiU" w:hint="eastAsia"/>
              <w:b/>
              <w:bCs/>
              <w:sz w:val="32"/>
              <w:szCs w:val="24"/>
            </w:rPr>
            <w:t>9</w:t>
          </w:r>
        </w:p>
        <w:p w:rsidR="00B168A0" w:rsidRDefault="00B649E9">
          <w:pPr>
            <w:pStyle w:val="10"/>
            <w:adjustRightInd w:val="0"/>
            <w:snapToGrid w:val="0"/>
            <w:spacing w:before="0" w:line="440" w:lineRule="exact"/>
            <w:jc w:val="left"/>
            <w:rPr>
              <w:rFonts w:ascii="仿宋_GB2312" w:eastAsia="仿宋_GB2312" w:hAnsi="MingLiU"/>
              <w:b/>
              <w:bCs/>
              <w:sz w:val="32"/>
              <w:szCs w:val="24"/>
            </w:rPr>
          </w:pPr>
          <w:hyperlink w:anchor="_Toc24207" w:history="1">
            <w:r w:rsidR="004808F4">
              <w:rPr>
                <w:rFonts w:ascii="仿宋_GB2312" w:eastAsia="仿宋_GB2312" w:hAnsi="MingLiU" w:hint="eastAsia"/>
                <w:b/>
                <w:bCs/>
                <w:sz w:val="32"/>
                <w:szCs w:val="24"/>
              </w:rPr>
              <w:t>第五部分 附表</w:t>
            </w:r>
            <w:r w:rsidR="004808F4">
              <w:rPr>
                <w:rFonts w:ascii="仿宋_GB2312" w:eastAsia="仿宋_GB2312" w:hAnsi="MingLiU" w:hint="eastAsia"/>
                <w:b/>
                <w:bCs/>
                <w:sz w:val="32"/>
                <w:szCs w:val="24"/>
              </w:rPr>
              <w:tab/>
              <w:t>2</w:t>
            </w:r>
          </w:hyperlink>
          <w:r w:rsidR="004808F4">
            <w:rPr>
              <w:rFonts w:ascii="仿宋_GB2312" w:eastAsia="仿宋_GB2312" w:hAnsi="MingLiU" w:hint="eastAsia"/>
              <w:b/>
              <w:bCs/>
              <w:sz w:val="32"/>
              <w:szCs w:val="24"/>
            </w:rPr>
            <w:t>5</w:t>
          </w:r>
        </w:p>
        <w:p w:rsidR="00B168A0" w:rsidRDefault="00B649E9">
          <w:pPr>
            <w:pStyle w:val="21"/>
            <w:adjustRightInd w:val="0"/>
            <w:snapToGrid w:val="0"/>
            <w:spacing w:line="440" w:lineRule="exact"/>
            <w:jc w:val="left"/>
            <w:rPr>
              <w:sz w:val="24"/>
            </w:rPr>
          </w:pPr>
          <w:hyperlink w:anchor="_Toc15643" w:history="1">
            <w:r w:rsidR="004808F4">
              <w:rPr>
                <w:rFonts w:hint="eastAsia"/>
                <w:sz w:val="24"/>
              </w:rPr>
              <w:t>一、收入支出决算总表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11947" w:history="1">
            <w:r w:rsidR="004808F4">
              <w:rPr>
                <w:rFonts w:hint="eastAsia"/>
                <w:sz w:val="24"/>
              </w:rPr>
              <w:t>二、收入决算表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5968" w:history="1">
            <w:r w:rsidR="004808F4">
              <w:rPr>
                <w:rFonts w:hint="eastAsia"/>
                <w:sz w:val="24"/>
              </w:rPr>
              <w:t>三、支出决算表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13977" w:history="1">
            <w:r w:rsidR="004808F4">
              <w:rPr>
                <w:rFonts w:hint="eastAsia"/>
                <w:sz w:val="24"/>
              </w:rPr>
              <w:t>四、财政拨款收入支出决算总表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22915" w:history="1">
            <w:r w:rsidR="004808F4">
              <w:rPr>
                <w:rFonts w:hint="eastAsia"/>
                <w:sz w:val="24"/>
              </w:rPr>
              <w:t>五、财政拨款支出决算明细表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2338" w:history="1">
            <w:r w:rsidR="004808F4">
              <w:rPr>
                <w:rFonts w:hint="eastAsia"/>
                <w:sz w:val="24"/>
              </w:rPr>
              <w:t>六、一般公共预算财政拨款支出决算表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8484" w:history="1">
            <w:r w:rsidR="004808F4">
              <w:rPr>
                <w:rFonts w:hint="eastAsia"/>
                <w:sz w:val="24"/>
              </w:rPr>
              <w:t>七、一般公共预算财政拨款支出决算明细表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21682" w:history="1">
            <w:r w:rsidR="004808F4">
              <w:rPr>
                <w:rFonts w:hint="eastAsia"/>
                <w:sz w:val="24"/>
              </w:rPr>
              <w:t>八、一般公共预算财政拨款基本支出决算表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14008" w:history="1">
            <w:r w:rsidR="004808F4">
              <w:rPr>
                <w:rFonts w:hint="eastAsia"/>
                <w:sz w:val="24"/>
              </w:rPr>
              <w:t>九、一般公共预算财政拨款项目支出决算表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3140" w:history="1">
            <w:r w:rsidR="004808F4">
              <w:rPr>
                <w:rFonts w:hint="eastAsia"/>
                <w:sz w:val="24"/>
              </w:rPr>
              <w:t>十、一般公共预算财政拨款“三公”经费支出决算表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950" w:history="1">
            <w:r w:rsidR="004808F4">
              <w:rPr>
                <w:rFonts w:hint="eastAsia"/>
                <w:sz w:val="24"/>
              </w:rPr>
              <w:t>十一、政府性基金预算财政拨款收入支出决算表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13390" w:history="1">
            <w:r w:rsidR="004808F4">
              <w:rPr>
                <w:rFonts w:hint="eastAsia"/>
                <w:sz w:val="24"/>
              </w:rPr>
              <w:t>十二、政府性基金预算财政拨款“三公”经费支出决算表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8235" w:history="1">
            <w:r w:rsidR="004808F4">
              <w:rPr>
                <w:rFonts w:hint="eastAsia"/>
                <w:sz w:val="24"/>
              </w:rPr>
              <w:t>十三、国有资本经营预算财政拨款收入支出决算表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rPr>
              <w:sz w:val="24"/>
            </w:rPr>
          </w:pPr>
          <w:hyperlink w:anchor="_Toc23633" w:history="1">
            <w:r w:rsidR="004808F4">
              <w:rPr>
                <w:rFonts w:hint="eastAsia"/>
                <w:sz w:val="24"/>
              </w:rPr>
              <w:t>十四、国有资本经营预算财政拨款支出决算表</w:t>
            </w:r>
            <w:r w:rsidR="004808F4">
              <w:rPr>
                <w:rFonts w:hint="eastAsia"/>
                <w:sz w:val="24"/>
              </w:rPr>
              <w:tab/>
              <w:t>2</w:t>
            </w:r>
          </w:hyperlink>
          <w:r w:rsidR="004808F4">
            <w:rPr>
              <w:rFonts w:hint="eastAsia"/>
              <w:sz w:val="24"/>
            </w:rPr>
            <w:t>6</w:t>
          </w:r>
        </w:p>
        <w:p w:rsidR="00B168A0" w:rsidRDefault="00B649E9">
          <w:pPr>
            <w:pStyle w:val="21"/>
            <w:adjustRightInd w:val="0"/>
            <w:snapToGrid w:val="0"/>
            <w:spacing w:line="440" w:lineRule="exact"/>
            <w:jc w:val="left"/>
          </w:pPr>
          <w:r>
            <w:rPr>
              <w:rFonts w:hint="eastAsia"/>
              <w:sz w:val="24"/>
            </w:rPr>
            <w:fldChar w:fldCharType="end"/>
          </w:r>
        </w:p>
      </w:sdtContent>
    </w:sdt>
    <w:p w:rsidR="00B168A0" w:rsidRDefault="004808F4">
      <w:pPr>
        <w:widowControl/>
        <w:spacing w:line="440" w:lineRule="exact"/>
        <w:jc w:val="left"/>
        <w:rPr>
          <w:rFonts w:ascii="仿宋" w:eastAsia="仿宋" w:hAnsi="仿宋"/>
          <w:bCs/>
          <w:kern w:val="44"/>
          <w:sz w:val="24"/>
        </w:rPr>
      </w:pPr>
      <w:r>
        <w:rPr>
          <w:rFonts w:ascii="仿宋" w:eastAsia="仿宋" w:hAnsi="仿宋"/>
          <w:b/>
          <w:sz w:val="24"/>
        </w:rPr>
        <w:br w:type="page"/>
      </w:r>
    </w:p>
    <w:p w:rsidR="00B168A0" w:rsidRDefault="004808F4">
      <w:pPr>
        <w:pStyle w:val="1"/>
        <w:jc w:val="center"/>
        <w:rPr>
          <w:rStyle w:val="1Char"/>
          <w:rFonts w:ascii="黑体" w:eastAsia="黑体" w:hAnsi="黑体"/>
          <w:b/>
        </w:rPr>
      </w:pPr>
      <w:bookmarkStart w:id="17" w:name="_Toc13207"/>
      <w:r>
        <w:rPr>
          <w:rFonts w:ascii="黑体" w:eastAsia="黑体" w:hAnsi="黑体" w:hint="eastAsia"/>
          <w:b w:val="0"/>
        </w:rPr>
        <w:lastRenderedPageBreak/>
        <w:t>第一部分 单位</w:t>
      </w:r>
      <w:r>
        <w:rPr>
          <w:rStyle w:val="1Char"/>
          <w:rFonts w:ascii="黑体" w:eastAsia="黑体" w:hAnsi="黑体" w:hint="eastAsia"/>
        </w:rPr>
        <w:t>概况</w:t>
      </w:r>
      <w:bookmarkEnd w:id="15"/>
      <w:bookmarkEnd w:id="16"/>
      <w:bookmarkEnd w:id="17"/>
    </w:p>
    <w:p w:rsidR="00B168A0" w:rsidRDefault="00B168A0">
      <w:pPr>
        <w:widowControl/>
        <w:jc w:val="left"/>
        <w:rPr>
          <w:rFonts w:ascii="黑体" w:eastAsia="黑体"/>
          <w:sz w:val="32"/>
          <w:szCs w:val="32"/>
        </w:rPr>
      </w:pPr>
    </w:p>
    <w:p w:rsidR="00B168A0" w:rsidRDefault="004808F4">
      <w:pPr>
        <w:pStyle w:val="2"/>
        <w:numPr>
          <w:ilvl w:val="0"/>
          <w:numId w:val="1"/>
        </w:numPr>
        <w:rPr>
          <w:rStyle w:val="2Char"/>
          <w:rFonts w:ascii="黑体" w:eastAsia="黑体" w:hAnsi="黑体"/>
        </w:rPr>
      </w:pPr>
      <w:bookmarkStart w:id="18" w:name="_Toc19150"/>
      <w:bookmarkStart w:id="19" w:name="_Toc15396600"/>
      <w:bookmarkStart w:id="20" w:name="_Toc15377197"/>
      <w:r>
        <w:rPr>
          <w:rStyle w:val="2Char"/>
          <w:rFonts w:ascii="黑体" w:eastAsia="黑体" w:hAnsi="黑体" w:hint="eastAsia"/>
        </w:rPr>
        <w:t>职能简介</w:t>
      </w:r>
      <w:bookmarkEnd w:id="18"/>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(一)医院基本情况</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广元市昭化区太公镇中心卫生院，占地面积约4600平方米，建筑面积约3672平方米，服务人口约1.9万人。是国家举办的“一级甲等”乡镇卫生院，是城镇职工医保、城乡居民医保定点医疗机构。现有职工总数27人，其中在编在岗人员22人，临聘5人，其中高级职称2人，中级职称7人，卫生院编制床位30张，实际开放床位30张。</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（二）、基本公共卫生服务方面</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 落实农村居民健康档案管理及服务；普及卫生保健常识，指导开展爱国卫生工作；规范预</w:t>
      </w:r>
      <w:r w:rsidR="00C67A8A">
        <w:rPr>
          <w:rFonts w:ascii="仿宋" w:eastAsia="仿宋" w:hAnsi="仿宋" w:hint="eastAsia"/>
          <w:sz w:val="32"/>
          <w:szCs w:val="32"/>
        </w:rPr>
        <w:t>防接种服务，执行国家免疫规划；及时发现、登记并报告辖区传染病病例</w:t>
      </w:r>
      <w:r>
        <w:rPr>
          <w:rFonts w:ascii="仿宋" w:eastAsia="仿宋" w:hAnsi="仿宋" w:hint="eastAsia"/>
          <w:sz w:val="32"/>
          <w:szCs w:val="32"/>
        </w:rPr>
        <w:t>和疑似病例，参与现场疫情处理，协助处理辖区内突发公共卫生事件；开展新生儿访视及儿童、孕产妇保健系统管理；对辖区65岁及以上老年人和糖尿病、精神病、高血压等慢性疾病登记管理；接受区卫生行政部门委托，对辖区内传染病防治、学校卫生、饮用水卫生、职业卫生以及村级预防保健工作进行指导、培训、考核与监督等。</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（三）、基本医疗服务方面</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 xml:space="preserve">正确处理常见病，多发病，对疑难杂症进行恰当的处理与转诊；加强急诊救护体系建设，承担本辖区及周边乡村现场应急救护，转诊和康复服务；认真执行国家基本药物制度，加强医疗质量管理及院感防控。    </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（四）、基本管理服务</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  规范卫生院财务管理工作，巩固农村公共卫生服务体系。履行定点医疗机构职责，严格执行国家基本医疗保险政策并做好有关的政策宣传，监督及服务工作。深入推进乡村卫生服务一体化管理，负责村卫生室的技术指导和医生培训等各项工作。落实健康扶贫相关政策。</w:t>
      </w:r>
    </w:p>
    <w:p w:rsidR="00B168A0" w:rsidRDefault="004808F4">
      <w:pPr>
        <w:pStyle w:val="2"/>
        <w:rPr>
          <w:rFonts w:ascii="黑体" w:eastAsia="黑体" w:hAnsi="黑体"/>
          <w:b w:val="0"/>
        </w:rPr>
      </w:pPr>
      <w:bookmarkStart w:id="21" w:name="_Toc27927"/>
      <w:r>
        <w:rPr>
          <w:rFonts w:ascii="黑体" w:eastAsia="黑体" w:hAnsi="黑体" w:hint="eastAsia"/>
          <w:b w:val="0"/>
        </w:rPr>
        <w:t>二、2021年重点工作</w:t>
      </w:r>
      <w:bookmarkEnd w:id="19"/>
      <w:bookmarkEnd w:id="20"/>
      <w:r>
        <w:rPr>
          <w:rFonts w:ascii="黑体" w:eastAsia="黑体" w:hAnsi="黑体" w:hint="eastAsia"/>
          <w:b w:val="0"/>
        </w:rPr>
        <w:t>完成情况</w:t>
      </w:r>
      <w:bookmarkEnd w:id="21"/>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一）、基本医疗服务工作。我们逐步健全医疗质量安全管理制度，增强了医疗风险和安全生产意识、措施，提升了医疗服务能力，突出了医疗优质服务管理工作。全年服务总量300万元，均较去年同期增长11万元，全年未发生医疗安全事故。</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二）、基本公共卫生工作。完善了居民个人健康档案信息6956人，完全依靠医院自己力量，先后落实免费体检906人次，随访456人次。稳步推进重点人群、健康教育、疾控和卫生协管等公共卫生工作规范管理。按照新冠肺炎诊疗方案和疫情防控方案，扎实开展了新冠肺炎疫情防控工作。随着哨点诊室规范化建成、医疗废水有效处置、医疗废物标</w:t>
      </w:r>
      <w:r>
        <w:rPr>
          <w:rFonts w:ascii="仿宋" w:eastAsia="仿宋" w:hAnsi="仿宋" w:hint="eastAsia"/>
          <w:sz w:val="32"/>
          <w:szCs w:val="32"/>
        </w:rPr>
        <w:lastRenderedPageBreak/>
        <w:t>准化管理，医院的疫情防控、院感防控、医疗质量进一步提升。一年来我乡无重大传染病和突发公共卫生事件发生；无孕产妇和儿童死亡。群众对公共卫生服务工作的知晓率和认可度大幅度提升。</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三）、医保工作。加强了医保政策宣传。人均住院天数、总费用、药占比、每床日费用和门诊均次费用等核心指标较去年同比均下降明显。药品使用和诊疗项目选择符合要求，无乱收费用和套取医保基金行为。医保资料管理进一步规范。</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四）、村卫生室管理工作。规范了卫生室医疗文书，注重乡村医生的服务能力培养。加强了乡村医生公共卫生、基本医疗、药品等管理和绩效考核工作，根据考核情况及时兑现乡村医生补助经费。乡村医生工作激情进一步增强。</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五）、中医药工作。我们注重中医药在基本医疗服务中运用，开展了中医药国家先进县区复审验收工作，进一步增强了中医药的服务能力，全年中医药服务量占46%，加强中医药在基本公共卫生工作中运用，服务量大幅度增加。</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六）、党建活动、效能建设和政风行风工作。我们紧紧围绕区卫健局和乡政府的中心工作同时，认真开展政治思想学习，狠抓内部管理，切实整改个人和单位存在的问题，及时解决了群众反映的突出问题，尽可能地满足患者就医用药需求，卫生院和医务人员在群众满意度进一步提升。    </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（七）、医改、安全等工作。按政策要求做好了医改的</w:t>
      </w:r>
      <w:r>
        <w:rPr>
          <w:rFonts w:ascii="仿宋" w:eastAsia="仿宋" w:hAnsi="仿宋" w:hint="eastAsia"/>
          <w:sz w:val="32"/>
          <w:szCs w:val="32"/>
        </w:rPr>
        <w:lastRenderedPageBreak/>
        <w:t>各项工作、全年无安全事故发生。其他工作稳步推进。</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（八）、积极完成了区卫健局和镇党委政府安排的其他工作。</w:t>
      </w:r>
    </w:p>
    <w:p w:rsidR="00B168A0" w:rsidRDefault="00B168A0" w:rsidP="00C67A8A">
      <w:pPr>
        <w:pStyle w:val="20"/>
        <w:ind w:firstLine="643"/>
      </w:pPr>
    </w:p>
    <w:p w:rsidR="00B168A0" w:rsidRDefault="004808F4">
      <w:pPr>
        <w:widowControl/>
        <w:ind w:firstLineChars="200" w:firstLine="880"/>
        <w:jc w:val="left"/>
        <w:rPr>
          <w:rStyle w:val="1Char"/>
          <w:rFonts w:ascii="黑体" w:eastAsia="黑体" w:hAnsi="黑体"/>
          <w:b w:val="0"/>
        </w:rPr>
      </w:pPr>
      <w:bookmarkStart w:id="22" w:name="_Toc31717"/>
      <w:bookmarkStart w:id="23" w:name="_Toc15396602"/>
      <w:bookmarkStart w:id="24" w:name="_Toc15377204"/>
      <w:r>
        <w:rPr>
          <w:rStyle w:val="1Char"/>
          <w:rFonts w:ascii="黑体" w:eastAsia="黑体" w:hAnsi="黑体" w:hint="eastAsia"/>
          <w:b w:val="0"/>
        </w:rPr>
        <w:t>第二部分 2021年度单位决算情况说明</w:t>
      </w:r>
      <w:bookmarkEnd w:id="22"/>
      <w:bookmarkEnd w:id="23"/>
      <w:bookmarkEnd w:id="24"/>
    </w:p>
    <w:p w:rsidR="00B168A0" w:rsidRDefault="00B168A0"/>
    <w:p w:rsidR="00B168A0" w:rsidRDefault="004808F4">
      <w:pPr>
        <w:pStyle w:val="ab"/>
        <w:numPr>
          <w:ilvl w:val="0"/>
          <w:numId w:val="2"/>
        </w:numPr>
        <w:spacing w:line="600" w:lineRule="exact"/>
        <w:ind w:firstLineChars="0"/>
        <w:outlineLvl w:val="1"/>
        <w:rPr>
          <w:rStyle w:val="2Char"/>
          <w:rFonts w:ascii="黑体" w:eastAsia="黑体" w:hAnsi="黑体"/>
          <w:b w:val="0"/>
        </w:rPr>
      </w:pPr>
      <w:bookmarkStart w:id="25" w:name="_Toc15396603"/>
      <w:bookmarkStart w:id="26" w:name="_Toc15377205"/>
      <w:bookmarkStart w:id="27" w:name="_Toc9771"/>
      <w:r>
        <w:rPr>
          <w:rFonts w:ascii="黑体" w:eastAsia="黑体" w:hAnsi="黑体" w:hint="eastAsia"/>
          <w:sz w:val="32"/>
          <w:szCs w:val="32"/>
        </w:rPr>
        <w:t>收</w:t>
      </w:r>
      <w:r>
        <w:rPr>
          <w:rStyle w:val="2Char"/>
          <w:rFonts w:ascii="黑体" w:eastAsia="黑体" w:hAnsi="黑体" w:hint="eastAsia"/>
          <w:b w:val="0"/>
        </w:rPr>
        <w:t>入支出决算总体情况说明</w:t>
      </w:r>
      <w:bookmarkEnd w:id="25"/>
      <w:bookmarkEnd w:id="26"/>
      <w:bookmarkEnd w:id="27"/>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2021年度收、支总计617.71万元。与2020年相比，收、支总计各减少17.88万元，减少2.81</w:t>
      </w:r>
      <w:r>
        <w:rPr>
          <w:rFonts w:ascii="仿宋" w:eastAsia="仿宋" w:hAnsi="仿宋"/>
          <w:sz w:val="32"/>
          <w:szCs w:val="32"/>
        </w:rPr>
        <w:t>%</w:t>
      </w:r>
      <w:r>
        <w:rPr>
          <w:rFonts w:ascii="仿宋" w:eastAsia="仿宋" w:hAnsi="仿宋" w:hint="eastAsia"/>
          <w:sz w:val="32"/>
          <w:szCs w:val="32"/>
        </w:rPr>
        <w:t>。收入主要变动原因是</w:t>
      </w:r>
      <w:r>
        <w:rPr>
          <w:rFonts w:ascii="仿宋" w:eastAsia="仿宋" w:hAnsi="仿宋" w:cs="仿宋" w:hint="eastAsia"/>
          <w:sz w:val="32"/>
          <w:szCs w:val="32"/>
        </w:rPr>
        <w:t>2021年医疗收入相比上年增加了1.14万元，政府性基金减少30万元；人员经费投入增加了10.98万元。2021年支出主要变动的原因是：社会保障和就业支出减少了2.92万元，抗疫特别国债减少了30万元，卫生健康支出增加了14.53万元，住房保障支出家增加了0.51万元。</w:t>
      </w:r>
    </w:p>
    <w:p w:rsidR="00B168A0" w:rsidRDefault="00B168A0">
      <w:pPr>
        <w:spacing w:line="600" w:lineRule="exact"/>
        <w:ind w:firstLineChars="200" w:firstLine="640"/>
        <w:rPr>
          <w:rFonts w:ascii="仿宋" w:eastAsia="仿宋" w:hAnsi="仿宋"/>
          <w:sz w:val="32"/>
          <w:szCs w:val="32"/>
        </w:rPr>
      </w:pPr>
    </w:p>
    <w:p w:rsidR="00B168A0" w:rsidRDefault="004808F4" w:rsidP="00C67A8A">
      <w:pPr>
        <w:pStyle w:val="a0"/>
        <w:spacing w:before="93"/>
      </w:pPr>
      <w:r>
        <w:rPr>
          <w:rFonts w:hint="eastAsia"/>
        </w:rPr>
        <w:t xml:space="preserve">     </w:t>
      </w:r>
      <w:r>
        <w:rPr>
          <w:noProof/>
        </w:rPr>
        <w:drawing>
          <wp:inline distT="0" distB="0" distL="114300" distR="114300">
            <wp:extent cx="3792855" cy="2143125"/>
            <wp:effectExtent l="4445" t="4445" r="12700" b="5080"/>
            <wp:docPr id="108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168A0" w:rsidRDefault="00B168A0">
      <w:pPr>
        <w:spacing w:line="600" w:lineRule="exact"/>
        <w:ind w:firstLineChars="200" w:firstLine="640"/>
        <w:jc w:val="left"/>
        <w:rPr>
          <w:rFonts w:ascii="仿宋_GB2312" w:eastAsia="仿宋_GB2312"/>
          <w:sz w:val="32"/>
          <w:szCs w:val="32"/>
        </w:rPr>
      </w:pPr>
    </w:p>
    <w:p w:rsidR="00B168A0" w:rsidRDefault="004808F4">
      <w:pPr>
        <w:pStyle w:val="ab"/>
        <w:numPr>
          <w:ilvl w:val="0"/>
          <w:numId w:val="2"/>
        </w:numPr>
        <w:spacing w:line="600" w:lineRule="exact"/>
        <w:ind w:firstLineChars="0"/>
        <w:outlineLvl w:val="1"/>
        <w:rPr>
          <w:rStyle w:val="2Char"/>
          <w:rFonts w:ascii="黑体" w:eastAsia="黑体" w:hAnsi="黑体"/>
          <w:b w:val="0"/>
        </w:rPr>
      </w:pPr>
      <w:bookmarkStart w:id="28" w:name="_Toc15396604"/>
      <w:bookmarkStart w:id="29" w:name="_Toc15377206"/>
      <w:bookmarkStart w:id="30" w:name="_Toc15414"/>
      <w:r>
        <w:rPr>
          <w:rFonts w:ascii="黑体" w:eastAsia="黑体" w:hAnsi="黑体" w:hint="eastAsia"/>
          <w:sz w:val="32"/>
          <w:szCs w:val="32"/>
        </w:rPr>
        <w:t>收</w:t>
      </w:r>
      <w:r>
        <w:rPr>
          <w:rStyle w:val="2Char"/>
          <w:rFonts w:ascii="黑体" w:eastAsia="黑体" w:hAnsi="黑体" w:hint="eastAsia"/>
          <w:b w:val="0"/>
        </w:rPr>
        <w:t>入决算情况说明</w:t>
      </w:r>
      <w:bookmarkEnd w:id="28"/>
      <w:bookmarkEnd w:id="29"/>
      <w:bookmarkEnd w:id="30"/>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2021年本年收入合计617.71万元，其中：一般公共预算财政拨款收入317.55万元，占51.41%；事业收入300.16万元，占48.59%。</w:t>
      </w:r>
    </w:p>
    <w:p w:rsidR="00B168A0" w:rsidRDefault="00B168A0">
      <w:pPr>
        <w:spacing w:line="600" w:lineRule="exact"/>
        <w:ind w:firstLineChars="200" w:firstLine="640"/>
        <w:rPr>
          <w:rFonts w:ascii="仿宋" w:eastAsia="仿宋" w:hAnsi="仿宋"/>
          <w:sz w:val="32"/>
          <w:szCs w:val="32"/>
        </w:rPr>
      </w:pPr>
    </w:p>
    <w:p w:rsidR="00B168A0" w:rsidRDefault="004808F4" w:rsidP="00C67A8A">
      <w:pPr>
        <w:pStyle w:val="20"/>
        <w:ind w:firstLine="643"/>
      </w:pPr>
      <w:r>
        <w:rPr>
          <w:noProof/>
        </w:rPr>
        <w:drawing>
          <wp:inline distT="0" distB="0" distL="114300" distR="114300">
            <wp:extent cx="3364230" cy="2276475"/>
            <wp:effectExtent l="4445" t="4445" r="22225" b="5080"/>
            <wp:docPr id="108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68A0" w:rsidRDefault="00B168A0">
      <w:pPr>
        <w:spacing w:line="600" w:lineRule="exact"/>
        <w:ind w:firstLineChars="200" w:firstLine="640"/>
        <w:rPr>
          <w:rFonts w:ascii="仿宋_GB2312" w:eastAsia="仿宋_GB2312"/>
          <w:sz w:val="32"/>
          <w:szCs w:val="32"/>
        </w:rPr>
      </w:pPr>
    </w:p>
    <w:p w:rsidR="00B168A0" w:rsidRDefault="004808F4">
      <w:pPr>
        <w:pStyle w:val="ab"/>
        <w:numPr>
          <w:ilvl w:val="0"/>
          <w:numId w:val="2"/>
        </w:numPr>
        <w:spacing w:line="600" w:lineRule="exact"/>
        <w:ind w:firstLineChars="0"/>
        <w:outlineLvl w:val="1"/>
        <w:rPr>
          <w:rStyle w:val="2Char"/>
          <w:rFonts w:ascii="黑体" w:eastAsia="黑体" w:hAnsi="黑体"/>
          <w:b w:val="0"/>
        </w:rPr>
      </w:pPr>
      <w:bookmarkStart w:id="31" w:name="_Toc15396605"/>
      <w:bookmarkStart w:id="32" w:name="_Toc15377207"/>
      <w:bookmarkStart w:id="33" w:name="_Toc12466"/>
      <w:r>
        <w:rPr>
          <w:rFonts w:ascii="黑体" w:eastAsia="黑体" w:hAnsi="黑体" w:hint="eastAsia"/>
          <w:sz w:val="32"/>
          <w:szCs w:val="32"/>
        </w:rPr>
        <w:t>支</w:t>
      </w:r>
      <w:r>
        <w:rPr>
          <w:rStyle w:val="2Char"/>
          <w:rFonts w:ascii="黑体" w:eastAsia="黑体" w:hAnsi="黑体" w:hint="eastAsia"/>
          <w:b w:val="0"/>
        </w:rPr>
        <w:t>出决算情况说明</w:t>
      </w:r>
      <w:bookmarkEnd w:id="31"/>
      <w:bookmarkEnd w:id="32"/>
      <w:bookmarkEnd w:id="33"/>
    </w:p>
    <w:p w:rsidR="00B168A0" w:rsidRDefault="004808F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2021年本年支出合计617.71万元，其中：基本支出537.30万元，占86.98%；项目支出80.41万元，占13.02%。</w:t>
      </w:r>
    </w:p>
    <w:p w:rsidR="00B168A0" w:rsidRDefault="004808F4">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B168A0" w:rsidRDefault="004808F4" w:rsidP="00C67A8A">
      <w:pPr>
        <w:pStyle w:val="20"/>
        <w:ind w:firstLine="643"/>
      </w:pPr>
      <w:r>
        <w:rPr>
          <w:noProof/>
        </w:rPr>
        <w:drawing>
          <wp:inline distT="0" distB="0" distL="114300" distR="114300">
            <wp:extent cx="3496310" cy="1915795"/>
            <wp:effectExtent l="4445" t="4445" r="23495" b="22860"/>
            <wp:docPr id="109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68A0" w:rsidRDefault="00B168A0">
      <w:pPr>
        <w:spacing w:line="600" w:lineRule="exact"/>
        <w:ind w:firstLineChars="200" w:firstLine="640"/>
        <w:rPr>
          <w:rFonts w:ascii="仿宋_GB2312" w:eastAsia="仿宋_GB2312"/>
          <w:sz w:val="32"/>
          <w:szCs w:val="32"/>
        </w:rPr>
      </w:pPr>
    </w:p>
    <w:p w:rsidR="00B168A0" w:rsidRDefault="004808F4">
      <w:pPr>
        <w:spacing w:line="600" w:lineRule="exact"/>
        <w:ind w:firstLineChars="200" w:firstLine="640"/>
        <w:outlineLvl w:val="1"/>
        <w:rPr>
          <w:rStyle w:val="2Char"/>
          <w:rFonts w:ascii="黑体" w:eastAsia="黑体" w:hAnsi="黑体"/>
          <w:b w:val="0"/>
        </w:rPr>
      </w:pPr>
      <w:bookmarkStart w:id="34" w:name="_Toc15396606"/>
      <w:bookmarkStart w:id="35" w:name="_Toc15377208"/>
      <w:bookmarkStart w:id="36" w:name="_Toc4053"/>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4"/>
      <w:bookmarkEnd w:id="35"/>
      <w:bookmarkEnd w:id="36"/>
    </w:p>
    <w:p w:rsidR="00B168A0" w:rsidRDefault="004808F4">
      <w:pPr>
        <w:spacing w:line="600" w:lineRule="exact"/>
        <w:ind w:firstLineChars="200" w:firstLine="640"/>
        <w:rPr>
          <w:rFonts w:ascii="仿宋" w:eastAsia="仿宋" w:hAnsi="仿宋" w:cs="仿宋"/>
          <w:color w:val="000000"/>
          <w:sz w:val="32"/>
          <w:szCs w:val="32"/>
        </w:rPr>
      </w:pPr>
      <w:r>
        <w:rPr>
          <w:rFonts w:ascii="仿宋" w:eastAsia="仿宋" w:hAnsi="仿宋"/>
          <w:sz w:val="32"/>
          <w:szCs w:val="32"/>
        </w:rPr>
        <w:lastRenderedPageBreak/>
        <w:t>20</w:t>
      </w:r>
      <w:r>
        <w:rPr>
          <w:rFonts w:ascii="仿宋" w:eastAsia="仿宋" w:hAnsi="仿宋" w:hint="eastAsia"/>
          <w:sz w:val="32"/>
          <w:szCs w:val="32"/>
        </w:rPr>
        <w:t>21年财政拨款收、支总计317.55万元。与</w:t>
      </w:r>
      <w:r>
        <w:rPr>
          <w:rFonts w:ascii="仿宋" w:eastAsia="仿宋" w:hAnsi="仿宋"/>
          <w:sz w:val="32"/>
          <w:szCs w:val="32"/>
        </w:rPr>
        <w:t>20</w:t>
      </w:r>
      <w:r>
        <w:rPr>
          <w:rFonts w:ascii="仿宋" w:eastAsia="仿宋" w:hAnsi="仿宋" w:hint="eastAsia"/>
          <w:sz w:val="32"/>
          <w:szCs w:val="32"/>
        </w:rPr>
        <w:t>20年相比，财政拨款收、支总计各减少19.02万元，下降5.65</w:t>
      </w:r>
      <w:r>
        <w:rPr>
          <w:rFonts w:ascii="仿宋" w:eastAsia="仿宋" w:hAnsi="仿宋"/>
          <w:sz w:val="32"/>
          <w:szCs w:val="32"/>
        </w:rPr>
        <w:t>%</w:t>
      </w:r>
      <w:r>
        <w:rPr>
          <w:rFonts w:ascii="仿宋" w:eastAsia="仿宋" w:hAnsi="仿宋" w:hint="eastAsia"/>
          <w:sz w:val="32"/>
          <w:szCs w:val="32"/>
        </w:rPr>
        <w:t>。2021年收入主要变动原因是政府性基金减少了30万元，一般公共预算拨款增加</w:t>
      </w:r>
      <w:r>
        <w:rPr>
          <w:rFonts w:ascii="仿宋" w:eastAsia="仿宋" w:hAnsi="仿宋" w:cs="仿宋" w:hint="eastAsia"/>
          <w:sz w:val="32"/>
          <w:szCs w:val="32"/>
        </w:rPr>
        <w:t>了10.98万元。2021年支出变动的主要原因是社会保障和就业支出减少了2.92万元，抗疫特别国债减少了30万元，卫生健康支出增加了13.39万元，住房保障支出家增加了0.51万元。</w:t>
      </w:r>
    </w:p>
    <w:p w:rsidR="00B168A0" w:rsidRDefault="00B168A0">
      <w:pPr>
        <w:spacing w:line="600" w:lineRule="exact"/>
        <w:ind w:firstLine="640"/>
        <w:rPr>
          <w:rFonts w:ascii="仿宋" w:eastAsia="仿宋" w:hAnsi="仿宋"/>
          <w:sz w:val="32"/>
          <w:szCs w:val="32"/>
        </w:rPr>
      </w:pPr>
    </w:p>
    <w:p w:rsidR="00B168A0" w:rsidRDefault="004808F4" w:rsidP="00C67A8A">
      <w:pPr>
        <w:pStyle w:val="20"/>
        <w:ind w:firstLine="643"/>
      </w:pPr>
      <w:r>
        <w:rPr>
          <w:noProof/>
        </w:rPr>
        <w:drawing>
          <wp:inline distT="0" distB="0" distL="114300" distR="114300">
            <wp:extent cx="3477260" cy="1943735"/>
            <wp:effectExtent l="4445" t="4445" r="23495" b="13970"/>
            <wp:docPr id="109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68A0" w:rsidRDefault="00B168A0">
      <w:pPr>
        <w:spacing w:line="600" w:lineRule="exact"/>
        <w:ind w:firstLine="640"/>
        <w:rPr>
          <w:rFonts w:ascii="仿宋" w:eastAsia="仿宋" w:hAnsi="仿宋"/>
          <w:b/>
          <w:sz w:val="32"/>
          <w:szCs w:val="32"/>
        </w:rPr>
      </w:pPr>
    </w:p>
    <w:p w:rsidR="00B168A0" w:rsidRDefault="004808F4">
      <w:pPr>
        <w:spacing w:line="600" w:lineRule="exact"/>
        <w:ind w:firstLineChars="200" w:firstLine="640"/>
        <w:outlineLvl w:val="1"/>
        <w:rPr>
          <w:rStyle w:val="2Char"/>
          <w:rFonts w:ascii="黑体" w:eastAsia="黑体" w:hAnsi="黑体"/>
          <w:b w:val="0"/>
        </w:rPr>
      </w:pPr>
      <w:bookmarkStart w:id="37" w:name="_Toc15396607"/>
      <w:bookmarkStart w:id="38" w:name="_Toc15377209"/>
      <w:bookmarkStart w:id="39" w:name="_Toc23382"/>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7"/>
      <w:bookmarkEnd w:id="38"/>
      <w:bookmarkEnd w:id="39"/>
    </w:p>
    <w:p w:rsidR="00B168A0" w:rsidRDefault="004808F4">
      <w:pPr>
        <w:spacing w:line="600" w:lineRule="exact"/>
        <w:ind w:firstLineChars="200" w:firstLine="643"/>
        <w:outlineLvl w:val="2"/>
        <w:rPr>
          <w:rFonts w:ascii="仿宋" w:eastAsia="仿宋" w:hAnsi="仿宋"/>
          <w:b/>
          <w:sz w:val="32"/>
          <w:szCs w:val="32"/>
        </w:rPr>
      </w:pPr>
      <w:bookmarkStart w:id="40" w:name="_Toc15377210"/>
      <w:r>
        <w:rPr>
          <w:rFonts w:ascii="仿宋" w:eastAsia="仿宋" w:hAnsi="仿宋" w:hint="eastAsia"/>
          <w:b/>
          <w:sz w:val="32"/>
          <w:szCs w:val="32"/>
        </w:rPr>
        <w:t>（一）一般公共预算财政拨款支出决算总体情况</w:t>
      </w:r>
      <w:bookmarkEnd w:id="40"/>
    </w:p>
    <w:p w:rsidR="00B168A0" w:rsidRDefault="004808F4">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21年一般公共预算财政拨款支出317.55万元，占本年支出合计的51.41</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20年相比，一般公共预算财政拨款支出增加</w:t>
      </w:r>
      <w:r w:rsidR="00DB6F19">
        <w:rPr>
          <w:rFonts w:ascii="仿宋" w:eastAsia="仿宋" w:hAnsi="仿宋" w:hint="eastAsia"/>
          <w:sz w:val="32"/>
          <w:szCs w:val="32"/>
        </w:rPr>
        <w:t>了</w:t>
      </w:r>
      <w:r>
        <w:rPr>
          <w:rFonts w:ascii="仿宋" w:eastAsia="仿宋" w:hAnsi="仿宋" w:hint="eastAsia"/>
          <w:sz w:val="32"/>
          <w:szCs w:val="32"/>
        </w:rPr>
        <w:t>10.98万元，增加</w:t>
      </w:r>
      <w:r w:rsidR="00DB6F19">
        <w:rPr>
          <w:rFonts w:ascii="仿宋" w:eastAsia="仿宋" w:hAnsi="仿宋" w:hint="eastAsia"/>
          <w:sz w:val="32"/>
          <w:szCs w:val="32"/>
        </w:rPr>
        <w:t>了</w:t>
      </w:r>
      <w:r>
        <w:rPr>
          <w:rFonts w:ascii="仿宋" w:eastAsia="仿宋" w:hAnsi="仿宋" w:hint="eastAsia"/>
          <w:sz w:val="32"/>
          <w:szCs w:val="32"/>
        </w:rPr>
        <w:t>3.58</w:t>
      </w:r>
      <w:r>
        <w:rPr>
          <w:rFonts w:ascii="仿宋" w:eastAsia="仿宋" w:hAnsi="仿宋"/>
          <w:sz w:val="32"/>
          <w:szCs w:val="32"/>
        </w:rPr>
        <w:t>%</w:t>
      </w:r>
      <w:r>
        <w:rPr>
          <w:rFonts w:ascii="仿宋" w:eastAsia="仿宋" w:hAnsi="仿宋" w:hint="eastAsia"/>
          <w:sz w:val="32"/>
          <w:szCs w:val="32"/>
        </w:rPr>
        <w:t>。主要变动原因基本支出减少了12.61万元，项目支出增加了23.59万元</w:t>
      </w:r>
    </w:p>
    <w:p w:rsidR="00B168A0" w:rsidRDefault="004808F4" w:rsidP="00C67A8A">
      <w:pPr>
        <w:pStyle w:val="20"/>
        <w:ind w:firstLine="643"/>
        <w:rPr>
          <w:rFonts w:ascii="仿宋" w:eastAsia="仿宋" w:hAnsi="仿宋"/>
          <w:szCs w:val="32"/>
        </w:rPr>
      </w:pPr>
      <w:r>
        <w:rPr>
          <w:noProof/>
        </w:rPr>
        <w:lastRenderedPageBreak/>
        <w:drawing>
          <wp:inline distT="0" distB="0" distL="114300" distR="114300">
            <wp:extent cx="3098165" cy="2247900"/>
            <wp:effectExtent l="4445" t="4445" r="21590" b="14605"/>
            <wp:docPr id="109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68A0" w:rsidRDefault="004808F4">
      <w:pPr>
        <w:spacing w:line="600" w:lineRule="exact"/>
        <w:ind w:firstLineChars="200" w:firstLine="643"/>
        <w:outlineLvl w:val="2"/>
        <w:rPr>
          <w:rFonts w:ascii="仿宋" w:eastAsia="仿宋" w:hAnsi="仿宋"/>
          <w:b/>
          <w:sz w:val="32"/>
          <w:szCs w:val="32"/>
        </w:rPr>
      </w:pPr>
      <w:bookmarkStart w:id="41" w:name="_Toc15377211"/>
      <w:r>
        <w:rPr>
          <w:rFonts w:ascii="仿宋" w:eastAsia="仿宋" w:hAnsi="仿宋" w:hint="eastAsia"/>
          <w:b/>
          <w:sz w:val="32"/>
          <w:szCs w:val="32"/>
        </w:rPr>
        <w:t>（二）一般公共预算财政拨款支出决算结构情况</w:t>
      </w:r>
      <w:bookmarkEnd w:id="41"/>
    </w:p>
    <w:p w:rsidR="00B168A0" w:rsidRDefault="004808F4">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21年一般公共预算财政拨款支出317.55万元，主要用于以下方面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支出32.11万元，占10.11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263.14万元，占82.87</w:t>
      </w:r>
      <w:r>
        <w:rPr>
          <w:rFonts w:ascii="仿宋" w:eastAsia="仿宋" w:hAnsi="仿宋"/>
          <w:sz w:val="32"/>
          <w:szCs w:val="32"/>
        </w:rPr>
        <w:t>%</w:t>
      </w:r>
      <w:r>
        <w:rPr>
          <w:rFonts w:ascii="仿宋" w:eastAsia="仿宋" w:hAnsi="仿宋" w:hint="eastAsia"/>
          <w:sz w:val="32"/>
          <w:szCs w:val="32"/>
        </w:rPr>
        <w:t>；住房保障支出22.30万元，占7.02</w:t>
      </w:r>
      <w:r>
        <w:rPr>
          <w:rFonts w:ascii="仿宋" w:eastAsia="仿宋" w:hAnsi="仿宋"/>
          <w:sz w:val="32"/>
          <w:szCs w:val="32"/>
        </w:rPr>
        <w:t>%</w:t>
      </w:r>
      <w:r>
        <w:rPr>
          <w:rFonts w:ascii="仿宋" w:eastAsia="仿宋" w:hAnsi="仿宋" w:hint="eastAsia"/>
          <w:sz w:val="32"/>
          <w:szCs w:val="32"/>
        </w:rPr>
        <w:t>。</w:t>
      </w:r>
    </w:p>
    <w:p w:rsidR="00B168A0" w:rsidRDefault="004808F4" w:rsidP="00C67A8A">
      <w:pPr>
        <w:pStyle w:val="20"/>
        <w:ind w:firstLine="643"/>
      </w:pPr>
      <w:r>
        <w:rPr>
          <w:noProof/>
        </w:rPr>
        <w:drawing>
          <wp:inline distT="0" distB="0" distL="114300" distR="114300">
            <wp:extent cx="3933190" cy="2143125"/>
            <wp:effectExtent l="4445" t="4445" r="5715" b="5080"/>
            <wp:docPr id="109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68A0" w:rsidRDefault="00B168A0">
      <w:pPr>
        <w:spacing w:line="600" w:lineRule="exact"/>
        <w:ind w:firstLineChars="200" w:firstLine="640"/>
        <w:rPr>
          <w:rFonts w:ascii="仿宋" w:eastAsia="仿宋" w:hAnsi="仿宋"/>
          <w:sz w:val="32"/>
          <w:szCs w:val="32"/>
        </w:rPr>
      </w:pPr>
    </w:p>
    <w:p w:rsidR="00B168A0" w:rsidRDefault="004808F4">
      <w:pPr>
        <w:spacing w:line="600" w:lineRule="exact"/>
        <w:ind w:firstLineChars="200" w:firstLine="643"/>
        <w:outlineLvl w:val="2"/>
        <w:rPr>
          <w:rFonts w:ascii="仿宋" w:eastAsia="仿宋" w:hAnsi="仿宋"/>
          <w:b/>
          <w:sz w:val="32"/>
          <w:szCs w:val="32"/>
        </w:rPr>
      </w:pPr>
      <w:bookmarkStart w:id="42" w:name="_Toc15377212"/>
      <w:r>
        <w:rPr>
          <w:rFonts w:ascii="仿宋" w:eastAsia="仿宋" w:hAnsi="仿宋" w:hint="eastAsia"/>
          <w:b/>
          <w:sz w:val="32"/>
          <w:szCs w:val="32"/>
        </w:rPr>
        <w:t>（三）一般公共预算财政拨款支出决算具体情况</w:t>
      </w:r>
      <w:bookmarkEnd w:id="42"/>
    </w:p>
    <w:p w:rsidR="00D66ACA" w:rsidRDefault="004808F4" w:rsidP="00D66ACA">
      <w:pPr>
        <w:spacing w:line="600" w:lineRule="exact"/>
        <w:ind w:firstLineChars="200" w:firstLine="643"/>
        <w:rPr>
          <w:rFonts w:ascii="仿宋_GB2312" w:eastAsia="仿宋_GB2312"/>
          <w:color w:val="000000"/>
          <w:sz w:val="32"/>
          <w:szCs w:val="32"/>
        </w:rPr>
      </w:pPr>
      <w:bookmarkStart w:id="43" w:name="_Toc15377444"/>
      <w:bookmarkStart w:id="44" w:name="_Toc15377213"/>
      <w:bookmarkStart w:id="45" w:name="_Toc15378460"/>
      <w:r>
        <w:rPr>
          <w:rFonts w:ascii="仿宋" w:eastAsia="仿宋" w:hAnsi="仿宋" w:hint="eastAsia"/>
          <w:b/>
          <w:sz w:val="32"/>
          <w:szCs w:val="32"/>
        </w:rPr>
        <w:t>2021年一般公共预算支出决算数为317.55万元</w:t>
      </w:r>
      <w:r>
        <w:rPr>
          <w:rFonts w:ascii="仿宋" w:eastAsia="仿宋" w:hAnsi="仿宋" w:hint="eastAsia"/>
          <w:sz w:val="32"/>
          <w:szCs w:val="32"/>
        </w:rPr>
        <w:t>，</w:t>
      </w:r>
      <w:r>
        <w:rPr>
          <w:rStyle w:val="a9"/>
          <w:rFonts w:ascii="仿宋" w:eastAsia="仿宋" w:hAnsi="仿宋" w:hint="eastAsia"/>
          <w:bCs/>
          <w:sz w:val="32"/>
          <w:szCs w:val="32"/>
        </w:rPr>
        <w:t>完成预算100</w:t>
      </w:r>
      <w:r>
        <w:rPr>
          <w:rStyle w:val="a9"/>
          <w:rFonts w:ascii="仿宋" w:eastAsia="仿宋" w:hAnsi="仿宋"/>
          <w:bCs/>
          <w:sz w:val="32"/>
          <w:szCs w:val="32"/>
        </w:rPr>
        <w:t>%</w:t>
      </w:r>
      <w:r>
        <w:rPr>
          <w:rStyle w:val="a9"/>
          <w:rFonts w:ascii="仿宋" w:eastAsia="仿宋" w:hAnsi="仿宋" w:hint="eastAsia"/>
          <w:bCs/>
          <w:sz w:val="32"/>
          <w:szCs w:val="32"/>
        </w:rPr>
        <w:t>。</w:t>
      </w:r>
      <w:r w:rsidR="00D66ACA" w:rsidRPr="00ED12AB">
        <w:rPr>
          <w:rStyle w:val="a9"/>
          <w:rFonts w:ascii="仿宋" w:eastAsia="仿宋" w:hAnsi="仿宋" w:hint="eastAsia"/>
          <w:b w:val="0"/>
          <w:bCs/>
          <w:color w:val="000000"/>
          <w:sz w:val="32"/>
          <w:szCs w:val="32"/>
        </w:rPr>
        <w:t>决算数等于预算数的主要原因是收支持平</w:t>
      </w:r>
      <w:r w:rsidR="00D66ACA">
        <w:rPr>
          <w:rStyle w:val="a9"/>
          <w:rFonts w:ascii="仿宋" w:eastAsia="仿宋" w:hAnsi="仿宋" w:hint="eastAsia"/>
          <w:b w:val="0"/>
          <w:bCs/>
          <w:color w:val="000000"/>
          <w:sz w:val="32"/>
          <w:szCs w:val="32"/>
        </w:rPr>
        <w:t>。</w:t>
      </w:r>
    </w:p>
    <w:p w:rsidR="00B168A0" w:rsidRDefault="004808F4">
      <w:pPr>
        <w:spacing w:line="600" w:lineRule="exact"/>
        <w:ind w:firstLineChars="200" w:firstLine="643"/>
        <w:outlineLvl w:val="2"/>
        <w:rPr>
          <w:rFonts w:ascii="仿宋" w:eastAsia="仿宋" w:hAnsi="仿宋"/>
          <w:sz w:val="32"/>
          <w:szCs w:val="32"/>
        </w:rPr>
      </w:pPr>
      <w:r>
        <w:rPr>
          <w:rStyle w:val="a9"/>
          <w:rFonts w:ascii="仿宋" w:eastAsia="仿宋" w:hAnsi="仿宋" w:hint="eastAsia"/>
          <w:bCs/>
          <w:sz w:val="32"/>
          <w:szCs w:val="32"/>
        </w:rPr>
        <w:t>其中：</w:t>
      </w:r>
      <w:bookmarkEnd w:id="43"/>
      <w:bookmarkEnd w:id="44"/>
      <w:bookmarkEnd w:id="45"/>
    </w:p>
    <w:p w:rsidR="00B168A0" w:rsidRPr="00D66ACA" w:rsidRDefault="004808F4" w:rsidP="00D66ACA">
      <w:pPr>
        <w:spacing w:line="600" w:lineRule="exact"/>
        <w:ind w:firstLineChars="200" w:firstLine="643"/>
        <w:rPr>
          <w:rStyle w:val="a9"/>
          <w:rFonts w:ascii="仿宋_GB2312" w:eastAsia="仿宋_GB2312"/>
          <w:b w:val="0"/>
          <w:color w:val="000000"/>
          <w:sz w:val="32"/>
          <w:szCs w:val="32"/>
        </w:rPr>
      </w:pPr>
      <w:r>
        <w:rPr>
          <w:rStyle w:val="a9"/>
          <w:rFonts w:ascii="仿宋" w:eastAsia="仿宋" w:hAnsi="仿宋" w:hint="eastAsia"/>
          <w:bCs/>
          <w:sz w:val="32"/>
          <w:szCs w:val="32"/>
        </w:rPr>
        <w:t>1.社会保障和就业（类）行政事业单位养老支出（款）</w:t>
      </w:r>
      <w:r>
        <w:rPr>
          <w:rStyle w:val="a9"/>
          <w:rFonts w:ascii="仿宋" w:eastAsia="仿宋" w:hAnsi="仿宋" w:hint="eastAsia"/>
          <w:bCs/>
          <w:sz w:val="32"/>
          <w:szCs w:val="32"/>
        </w:rPr>
        <w:lastRenderedPageBreak/>
        <w:t>机关事业单位基本养老保险缴费支出（项）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支出决算为21.48万元，完成预算100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r w:rsidR="00D66ACA" w:rsidRPr="00ED12AB">
        <w:rPr>
          <w:rStyle w:val="a9"/>
          <w:rFonts w:ascii="仿宋" w:eastAsia="仿宋" w:hAnsi="仿宋" w:hint="eastAsia"/>
          <w:b w:val="0"/>
          <w:bCs/>
          <w:color w:val="000000"/>
          <w:sz w:val="32"/>
          <w:szCs w:val="32"/>
        </w:rPr>
        <w:t>决算数等于预算数的主要原因是收支持平</w:t>
      </w:r>
      <w:r w:rsidR="00D66ACA">
        <w:rPr>
          <w:rStyle w:val="a9"/>
          <w:rFonts w:ascii="仿宋" w:eastAsia="仿宋" w:hAnsi="仿宋" w:hint="eastAsia"/>
          <w:b w:val="0"/>
          <w:bCs/>
          <w:color w:val="000000"/>
          <w:sz w:val="32"/>
          <w:szCs w:val="32"/>
        </w:rPr>
        <w:t>。</w:t>
      </w:r>
    </w:p>
    <w:p w:rsidR="00B168A0" w:rsidRPr="00D66ACA" w:rsidRDefault="004808F4" w:rsidP="00D66ACA">
      <w:pPr>
        <w:spacing w:line="600" w:lineRule="exact"/>
        <w:ind w:firstLineChars="200" w:firstLine="643"/>
        <w:rPr>
          <w:rStyle w:val="a9"/>
          <w:rFonts w:ascii="仿宋_GB2312" w:eastAsia="仿宋_GB2312"/>
          <w:b w:val="0"/>
          <w:color w:val="000000"/>
          <w:sz w:val="32"/>
          <w:szCs w:val="32"/>
        </w:rPr>
      </w:pPr>
      <w:r>
        <w:rPr>
          <w:rStyle w:val="a9"/>
          <w:rFonts w:ascii="仿宋" w:eastAsia="仿宋" w:hAnsi="仿宋" w:hint="eastAsia"/>
          <w:bCs/>
          <w:sz w:val="32"/>
          <w:szCs w:val="32"/>
        </w:rPr>
        <w:t>2.社会保障和就业（类）行政事业单位养老支出（款）机关事业单位职业年金缴费支出（项）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支出决算为10.64万元，完成预算100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r w:rsidR="00D66ACA" w:rsidRPr="00ED12AB">
        <w:rPr>
          <w:rStyle w:val="a9"/>
          <w:rFonts w:ascii="仿宋" w:eastAsia="仿宋" w:hAnsi="仿宋" w:hint="eastAsia"/>
          <w:b w:val="0"/>
          <w:bCs/>
          <w:color w:val="000000"/>
          <w:sz w:val="32"/>
          <w:szCs w:val="32"/>
        </w:rPr>
        <w:t>决算数等于预算数的主要原因是收支持平</w:t>
      </w:r>
      <w:r w:rsidR="00D66ACA">
        <w:rPr>
          <w:rStyle w:val="a9"/>
          <w:rFonts w:ascii="仿宋" w:eastAsia="仿宋" w:hAnsi="仿宋" w:hint="eastAsia"/>
          <w:b w:val="0"/>
          <w:bCs/>
          <w:color w:val="000000"/>
          <w:sz w:val="32"/>
          <w:szCs w:val="32"/>
        </w:rPr>
        <w:t>。</w:t>
      </w:r>
    </w:p>
    <w:p w:rsidR="00B168A0" w:rsidRPr="00D66ACA" w:rsidRDefault="004808F4" w:rsidP="00D66ACA">
      <w:pPr>
        <w:spacing w:line="600" w:lineRule="exact"/>
        <w:ind w:firstLineChars="200" w:firstLine="643"/>
        <w:rPr>
          <w:rFonts w:ascii="仿宋_GB2312" w:eastAsia="仿宋_GB2312"/>
          <w:color w:val="000000"/>
          <w:sz w:val="32"/>
          <w:szCs w:val="32"/>
        </w:rPr>
      </w:pPr>
      <w:r>
        <w:rPr>
          <w:rStyle w:val="a9"/>
          <w:rFonts w:ascii="仿宋" w:eastAsia="仿宋" w:hAnsi="仿宋"/>
          <w:bCs/>
          <w:sz w:val="32"/>
          <w:szCs w:val="32"/>
        </w:rPr>
        <w:t>3.</w:t>
      </w:r>
      <w:r>
        <w:rPr>
          <w:rFonts w:ascii="仿宋" w:eastAsia="仿宋" w:hAnsi="仿宋" w:hint="eastAsia"/>
          <w:b/>
          <w:bCs/>
          <w:sz w:val="32"/>
          <w:szCs w:val="32"/>
        </w:rPr>
        <w:t>卫生健康</w:t>
      </w:r>
      <w:r>
        <w:rPr>
          <w:rStyle w:val="a9"/>
          <w:rFonts w:ascii="仿宋" w:eastAsia="仿宋" w:hAnsi="仿宋" w:hint="eastAsia"/>
          <w:bCs/>
          <w:sz w:val="32"/>
          <w:szCs w:val="32"/>
        </w:rPr>
        <w:t>（类）基层医疗卫生机构（款）乡镇卫生院（项）</w:t>
      </w:r>
      <w:r>
        <w:rPr>
          <w:rStyle w:val="a9"/>
          <w:rFonts w:ascii="仿宋" w:eastAsia="仿宋" w:hAnsi="仿宋"/>
          <w:bCs/>
          <w:sz w:val="32"/>
          <w:szCs w:val="32"/>
        </w:rPr>
        <w:t>:</w:t>
      </w:r>
      <w:r>
        <w:rPr>
          <w:rStyle w:val="a9"/>
          <w:rFonts w:ascii="仿宋" w:eastAsia="仿宋" w:hAnsi="仿宋" w:hint="eastAsia"/>
          <w:b w:val="0"/>
          <w:bCs/>
          <w:sz w:val="32"/>
          <w:szCs w:val="32"/>
        </w:rPr>
        <w:t>支出决算为166.67万元，完成预算100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r w:rsidR="00D66ACA" w:rsidRPr="00ED12AB">
        <w:rPr>
          <w:rStyle w:val="a9"/>
          <w:rFonts w:ascii="仿宋" w:eastAsia="仿宋" w:hAnsi="仿宋" w:hint="eastAsia"/>
          <w:b w:val="0"/>
          <w:bCs/>
          <w:color w:val="000000"/>
          <w:sz w:val="32"/>
          <w:szCs w:val="32"/>
        </w:rPr>
        <w:t>决算数等于预算数的主要原因是收支持平</w:t>
      </w:r>
      <w:r w:rsidR="00D66ACA">
        <w:rPr>
          <w:rStyle w:val="a9"/>
          <w:rFonts w:ascii="仿宋" w:eastAsia="仿宋" w:hAnsi="仿宋" w:hint="eastAsia"/>
          <w:b w:val="0"/>
          <w:bCs/>
          <w:color w:val="000000"/>
          <w:sz w:val="32"/>
          <w:szCs w:val="32"/>
        </w:rPr>
        <w:t>。</w:t>
      </w:r>
    </w:p>
    <w:p w:rsidR="00B168A0" w:rsidRPr="00D66ACA" w:rsidRDefault="004808F4" w:rsidP="00D66ACA">
      <w:pPr>
        <w:spacing w:line="600" w:lineRule="exact"/>
        <w:ind w:firstLineChars="200" w:firstLine="643"/>
        <w:rPr>
          <w:rStyle w:val="a9"/>
          <w:rFonts w:ascii="仿宋_GB2312" w:eastAsia="仿宋_GB2312"/>
          <w:b w:val="0"/>
          <w:color w:val="000000"/>
          <w:sz w:val="32"/>
          <w:szCs w:val="32"/>
        </w:rPr>
      </w:pPr>
      <w:r>
        <w:rPr>
          <w:rStyle w:val="a9"/>
          <w:rFonts w:ascii="仿宋" w:eastAsia="仿宋" w:hAnsi="仿宋"/>
          <w:bCs/>
          <w:sz w:val="32"/>
          <w:szCs w:val="32"/>
        </w:rPr>
        <w:t>4.</w:t>
      </w:r>
      <w:r>
        <w:rPr>
          <w:rFonts w:ascii="仿宋" w:eastAsia="仿宋" w:hAnsi="仿宋" w:hint="eastAsia"/>
          <w:b/>
          <w:bCs/>
          <w:sz w:val="32"/>
          <w:szCs w:val="32"/>
        </w:rPr>
        <w:t>卫生健康</w:t>
      </w:r>
      <w:r>
        <w:rPr>
          <w:rStyle w:val="a9"/>
          <w:rFonts w:ascii="仿宋" w:eastAsia="仿宋" w:hAnsi="仿宋" w:hint="eastAsia"/>
          <w:bCs/>
          <w:sz w:val="32"/>
          <w:szCs w:val="32"/>
        </w:rPr>
        <w:t>（类）基层医疗卫生机构（款）其他基层医疗卫生机构支出（项）</w:t>
      </w:r>
      <w:r>
        <w:rPr>
          <w:rStyle w:val="a9"/>
          <w:rFonts w:ascii="仿宋" w:eastAsia="仿宋" w:hAnsi="仿宋"/>
          <w:bCs/>
          <w:sz w:val="32"/>
          <w:szCs w:val="32"/>
        </w:rPr>
        <w:t>:</w:t>
      </w:r>
      <w:r>
        <w:rPr>
          <w:rStyle w:val="a9"/>
          <w:rFonts w:ascii="仿宋" w:eastAsia="仿宋" w:hAnsi="仿宋" w:hint="eastAsia"/>
          <w:b w:val="0"/>
          <w:bCs/>
          <w:sz w:val="32"/>
          <w:szCs w:val="32"/>
        </w:rPr>
        <w:t>支出决算为21.74万元，完成预算100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r w:rsidR="00D66ACA" w:rsidRPr="00ED12AB">
        <w:rPr>
          <w:rStyle w:val="a9"/>
          <w:rFonts w:ascii="仿宋" w:eastAsia="仿宋" w:hAnsi="仿宋" w:hint="eastAsia"/>
          <w:b w:val="0"/>
          <w:bCs/>
          <w:color w:val="000000"/>
          <w:sz w:val="32"/>
          <w:szCs w:val="32"/>
        </w:rPr>
        <w:t>决算数等于预算数的主要原因是收支持平</w:t>
      </w:r>
      <w:r w:rsidR="00D66ACA">
        <w:rPr>
          <w:rStyle w:val="a9"/>
          <w:rFonts w:ascii="仿宋" w:eastAsia="仿宋" w:hAnsi="仿宋" w:hint="eastAsia"/>
          <w:b w:val="0"/>
          <w:bCs/>
          <w:color w:val="000000"/>
          <w:sz w:val="32"/>
          <w:szCs w:val="32"/>
        </w:rPr>
        <w:t>。</w:t>
      </w:r>
    </w:p>
    <w:p w:rsidR="00B168A0" w:rsidRPr="00D66ACA" w:rsidRDefault="004808F4" w:rsidP="00D66ACA">
      <w:pPr>
        <w:spacing w:line="600" w:lineRule="exact"/>
        <w:ind w:firstLineChars="200" w:firstLine="643"/>
        <w:rPr>
          <w:rStyle w:val="a9"/>
          <w:rFonts w:ascii="仿宋_GB2312" w:eastAsia="仿宋_GB2312"/>
          <w:b w:val="0"/>
          <w:color w:val="000000"/>
          <w:sz w:val="32"/>
          <w:szCs w:val="32"/>
        </w:rPr>
      </w:pPr>
      <w:r>
        <w:rPr>
          <w:rFonts w:ascii="仿宋" w:eastAsia="仿宋" w:hAnsi="仿宋" w:hint="eastAsia"/>
          <w:b/>
          <w:bCs/>
          <w:sz w:val="32"/>
          <w:szCs w:val="32"/>
        </w:rPr>
        <w:t>5.卫生健康</w:t>
      </w:r>
      <w:r>
        <w:rPr>
          <w:rStyle w:val="a9"/>
          <w:rFonts w:ascii="仿宋" w:eastAsia="仿宋" w:hAnsi="仿宋" w:hint="eastAsia"/>
          <w:bCs/>
          <w:sz w:val="32"/>
          <w:szCs w:val="32"/>
        </w:rPr>
        <w:t>（类）公共卫生（款）基本公共卫生服务（项）</w:t>
      </w:r>
      <w:r>
        <w:rPr>
          <w:rStyle w:val="a9"/>
          <w:rFonts w:ascii="仿宋" w:eastAsia="仿宋" w:hAnsi="仿宋"/>
          <w:bCs/>
          <w:sz w:val="32"/>
          <w:szCs w:val="32"/>
        </w:rPr>
        <w:t>:</w:t>
      </w:r>
      <w:r>
        <w:rPr>
          <w:rStyle w:val="a9"/>
          <w:rFonts w:ascii="仿宋" w:eastAsia="仿宋" w:hAnsi="仿宋" w:hint="eastAsia"/>
          <w:b w:val="0"/>
          <w:bCs/>
          <w:sz w:val="32"/>
          <w:szCs w:val="32"/>
        </w:rPr>
        <w:t>支出决算为58.67万元，完成预算100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r w:rsidR="00D66ACA" w:rsidRPr="00ED12AB">
        <w:rPr>
          <w:rStyle w:val="a9"/>
          <w:rFonts w:ascii="仿宋" w:eastAsia="仿宋" w:hAnsi="仿宋" w:hint="eastAsia"/>
          <w:b w:val="0"/>
          <w:bCs/>
          <w:color w:val="000000"/>
          <w:sz w:val="32"/>
          <w:szCs w:val="32"/>
        </w:rPr>
        <w:t>决算数等于预算数的主要原因是收支持平</w:t>
      </w:r>
      <w:r w:rsidR="00D66ACA">
        <w:rPr>
          <w:rStyle w:val="a9"/>
          <w:rFonts w:ascii="仿宋" w:eastAsia="仿宋" w:hAnsi="仿宋" w:hint="eastAsia"/>
          <w:b w:val="0"/>
          <w:bCs/>
          <w:color w:val="000000"/>
          <w:sz w:val="32"/>
          <w:szCs w:val="32"/>
        </w:rPr>
        <w:t>。</w:t>
      </w:r>
    </w:p>
    <w:p w:rsidR="00B168A0" w:rsidRPr="00D66ACA" w:rsidRDefault="004808F4" w:rsidP="00D66ACA">
      <w:pPr>
        <w:spacing w:line="600" w:lineRule="exact"/>
        <w:ind w:firstLineChars="200" w:firstLine="643"/>
        <w:rPr>
          <w:rFonts w:ascii="仿宋_GB2312" w:eastAsia="仿宋_GB2312"/>
          <w:color w:val="000000"/>
          <w:sz w:val="32"/>
          <w:szCs w:val="32"/>
        </w:rPr>
      </w:pPr>
      <w:r>
        <w:rPr>
          <w:rStyle w:val="a9"/>
          <w:rFonts w:ascii="仿宋" w:eastAsia="仿宋" w:hAnsi="仿宋" w:hint="eastAsia"/>
          <w:bCs/>
          <w:sz w:val="32"/>
          <w:szCs w:val="32"/>
        </w:rPr>
        <w:t>6</w:t>
      </w:r>
      <w:r>
        <w:rPr>
          <w:rStyle w:val="a9"/>
          <w:rFonts w:ascii="仿宋" w:eastAsia="仿宋" w:hAnsi="仿宋"/>
          <w:bCs/>
          <w:sz w:val="32"/>
          <w:szCs w:val="32"/>
        </w:rPr>
        <w:t>.</w:t>
      </w:r>
      <w:r>
        <w:rPr>
          <w:rFonts w:ascii="仿宋" w:eastAsia="仿宋" w:hAnsi="仿宋" w:hint="eastAsia"/>
          <w:b/>
          <w:bCs/>
          <w:sz w:val="32"/>
          <w:szCs w:val="32"/>
        </w:rPr>
        <w:t>卫生健康</w:t>
      </w:r>
      <w:r>
        <w:rPr>
          <w:rStyle w:val="a9"/>
          <w:rFonts w:ascii="仿宋" w:eastAsia="仿宋" w:hAnsi="仿宋" w:hint="eastAsia"/>
          <w:bCs/>
          <w:sz w:val="32"/>
          <w:szCs w:val="32"/>
        </w:rPr>
        <w:t>（类）行政事业单位医疗（款）事业单位医疗（项）</w:t>
      </w:r>
      <w:r>
        <w:rPr>
          <w:rStyle w:val="a9"/>
          <w:rFonts w:ascii="仿宋" w:eastAsia="仿宋" w:hAnsi="仿宋"/>
          <w:bCs/>
          <w:sz w:val="32"/>
          <w:szCs w:val="32"/>
        </w:rPr>
        <w:t>:</w:t>
      </w:r>
      <w:r>
        <w:rPr>
          <w:rStyle w:val="a9"/>
          <w:rFonts w:ascii="仿宋" w:eastAsia="仿宋" w:hAnsi="仿宋" w:hint="eastAsia"/>
          <w:b w:val="0"/>
          <w:bCs/>
          <w:sz w:val="32"/>
          <w:szCs w:val="32"/>
        </w:rPr>
        <w:t>支出决算为16.05万元，完成预算100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r w:rsidR="00D66ACA" w:rsidRPr="00ED12AB">
        <w:rPr>
          <w:rStyle w:val="a9"/>
          <w:rFonts w:ascii="仿宋" w:eastAsia="仿宋" w:hAnsi="仿宋" w:hint="eastAsia"/>
          <w:b w:val="0"/>
          <w:bCs/>
          <w:color w:val="000000"/>
          <w:sz w:val="32"/>
          <w:szCs w:val="32"/>
        </w:rPr>
        <w:t>决算数等于预算数的主要原因是收支持平</w:t>
      </w:r>
      <w:r w:rsidR="00D66ACA">
        <w:rPr>
          <w:rStyle w:val="a9"/>
          <w:rFonts w:ascii="仿宋" w:eastAsia="仿宋" w:hAnsi="仿宋" w:hint="eastAsia"/>
          <w:b w:val="0"/>
          <w:bCs/>
          <w:color w:val="000000"/>
          <w:sz w:val="32"/>
          <w:szCs w:val="32"/>
        </w:rPr>
        <w:t>。</w:t>
      </w:r>
    </w:p>
    <w:p w:rsidR="00B168A0" w:rsidRPr="00D66ACA" w:rsidRDefault="004808F4" w:rsidP="00D66ACA">
      <w:pPr>
        <w:spacing w:line="600" w:lineRule="exact"/>
        <w:ind w:firstLineChars="200" w:firstLine="643"/>
        <w:rPr>
          <w:rFonts w:ascii="仿宋_GB2312" w:eastAsia="仿宋_GB2312"/>
          <w:color w:val="000000"/>
          <w:sz w:val="32"/>
          <w:szCs w:val="32"/>
        </w:rPr>
      </w:pPr>
      <w:r>
        <w:rPr>
          <w:rStyle w:val="a9"/>
          <w:rFonts w:ascii="仿宋" w:eastAsia="仿宋" w:hAnsi="仿宋" w:hint="eastAsia"/>
          <w:bCs/>
          <w:sz w:val="32"/>
          <w:szCs w:val="32"/>
        </w:rPr>
        <w:t>7</w:t>
      </w:r>
      <w:r>
        <w:rPr>
          <w:rStyle w:val="a9"/>
          <w:rFonts w:ascii="仿宋" w:eastAsia="仿宋" w:hAnsi="仿宋"/>
          <w:bCs/>
          <w:sz w:val="32"/>
          <w:szCs w:val="32"/>
        </w:rPr>
        <w:t>.</w:t>
      </w:r>
      <w:r>
        <w:rPr>
          <w:rStyle w:val="a9"/>
          <w:rFonts w:ascii="仿宋" w:eastAsia="仿宋" w:hAnsi="仿宋" w:hint="eastAsia"/>
          <w:bCs/>
          <w:sz w:val="32"/>
          <w:szCs w:val="32"/>
        </w:rPr>
        <w:t>住房保障（类）住房改革支出（款）住房公积金（项）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支出决算为22.30万元，完成预算100</w:t>
      </w:r>
      <w:r>
        <w:rPr>
          <w:rStyle w:val="a9"/>
          <w:rFonts w:ascii="仿宋" w:eastAsia="仿宋" w:hAnsi="仿宋"/>
          <w:b w:val="0"/>
          <w:bCs/>
          <w:sz w:val="32"/>
          <w:szCs w:val="32"/>
        </w:rPr>
        <w:t>%</w:t>
      </w:r>
      <w:r>
        <w:rPr>
          <w:rStyle w:val="a9"/>
          <w:rFonts w:ascii="仿宋" w:eastAsia="仿宋" w:hAnsi="仿宋" w:hint="eastAsia"/>
          <w:b w:val="0"/>
          <w:bCs/>
          <w:sz w:val="32"/>
          <w:szCs w:val="32"/>
        </w:rPr>
        <w:t>。</w:t>
      </w:r>
      <w:r w:rsidR="00D66ACA" w:rsidRPr="00ED12AB">
        <w:rPr>
          <w:rStyle w:val="a9"/>
          <w:rFonts w:ascii="仿宋" w:eastAsia="仿宋" w:hAnsi="仿宋" w:hint="eastAsia"/>
          <w:b w:val="0"/>
          <w:bCs/>
          <w:color w:val="000000"/>
          <w:sz w:val="32"/>
          <w:szCs w:val="32"/>
        </w:rPr>
        <w:t>决算数等于预算数的主要原因是收支持平</w:t>
      </w:r>
      <w:r w:rsidR="00D66ACA">
        <w:rPr>
          <w:rStyle w:val="a9"/>
          <w:rFonts w:ascii="仿宋" w:eastAsia="仿宋" w:hAnsi="仿宋" w:hint="eastAsia"/>
          <w:b w:val="0"/>
          <w:bCs/>
          <w:color w:val="000000"/>
          <w:sz w:val="32"/>
          <w:szCs w:val="32"/>
        </w:rPr>
        <w:t>。</w:t>
      </w:r>
    </w:p>
    <w:p w:rsidR="00B168A0" w:rsidRDefault="00B168A0">
      <w:pPr>
        <w:spacing w:line="600" w:lineRule="exact"/>
        <w:rPr>
          <w:rFonts w:ascii="仿宋" w:eastAsia="仿宋" w:hAnsi="仿宋"/>
          <w:b/>
          <w:sz w:val="32"/>
          <w:szCs w:val="32"/>
        </w:rPr>
      </w:pPr>
    </w:p>
    <w:p w:rsidR="00B168A0" w:rsidRDefault="004808F4">
      <w:pPr>
        <w:tabs>
          <w:tab w:val="right" w:pos="8306"/>
        </w:tabs>
        <w:spacing w:line="600" w:lineRule="exact"/>
        <w:ind w:firstLine="640"/>
        <w:outlineLvl w:val="1"/>
        <w:rPr>
          <w:rStyle w:val="2Char"/>
        </w:rPr>
      </w:pPr>
      <w:bookmarkStart w:id="46" w:name="_Toc15396608"/>
      <w:bookmarkStart w:id="47" w:name="_Toc15377214"/>
      <w:bookmarkStart w:id="48" w:name="_Toc8713"/>
      <w:r>
        <w:rPr>
          <w:rFonts w:ascii="黑体" w:eastAsia="黑体" w:hint="eastAsia"/>
          <w:sz w:val="32"/>
          <w:szCs w:val="32"/>
        </w:rPr>
        <w:lastRenderedPageBreak/>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6"/>
      <w:bookmarkEnd w:id="47"/>
      <w:bookmarkEnd w:id="48"/>
      <w:r>
        <w:rPr>
          <w:rStyle w:val="2Char"/>
          <w:rFonts w:ascii="黑体" w:eastAsia="黑体" w:hAnsi="黑体"/>
          <w:b w:val="0"/>
        </w:rPr>
        <w:tab/>
      </w:r>
    </w:p>
    <w:p w:rsidR="00B168A0" w:rsidRDefault="004808F4">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21年一般公共预算财政拨款基本支出237.13万元，其中：</w:t>
      </w:r>
    </w:p>
    <w:p w:rsidR="00B168A0" w:rsidRDefault="004808F4">
      <w:pPr>
        <w:spacing w:line="600" w:lineRule="exact"/>
        <w:ind w:firstLine="645"/>
        <w:rPr>
          <w:rFonts w:ascii="仿宋" w:eastAsia="仿宋" w:hAnsi="仿宋"/>
          <w:sz w:val="32"/>
          <w:szCs w:val="32"/>
        </w:rPr>
      </w:pPr>
      <w:r>
        <w:rPr>
          <w:rFonts w:ascii="仿宋" w:eastAsia="仿宋" w:hAnsi="仿宋" w:hint="eastAsia"/>
          <w:sz w:val="32"/>
          <w:szCs w:val="32"/>
        </w:rPr>
        <w:t>人员经费236.41万元，主要包括：基本工资70.46万元、津贴补贴3.61万元、绩效工资81.88万元、机关事业单位基本养老保险缴费21.47万元、职业年金缴费10.64万元、职工基本医疗保险缴费16.05万元、住房公积金22.3万元、生活补助10万元。</w:t>
      </w:r>
      <w:r>
        <w:rPr>
          <w:rFonts w:ascii="仿宋" w:eastAsia="仿宋" w:hAnsi="仿宋"/>
          <w:sz w:val="32"/>
          <w:szCs w:val="32"/>
        </w:rPr>
        <w:br/>
      </w:r>
      <w:r>
        <w:rPr>
          <w:rFonts w:ascii="仿宋" w:eastAsia="仿宋" w:hAnsi="仿宋" w:hint="eastAsia"/>
          <w:sz w:val="32"/>
          <w:szCs w:val="32"/>
        </w:rPr>
        <w:t xml:space="preserve">　　公用经费0.72万元，其中邮电费0.72万元。</w:t>
      </w:r>
    </w:p>
    <w:p w:rsidR="00B168A0" w:rsidRDefault="004808F4">
      <w:pPr>
        <w:spacing w:line="600" w:lineRule="exact"/>
        <w:ind w:firstLine="640"/>
        <w:outlineLvl w:val="1"/>
        <w:rPr>
          <w:rStyle w:val="2Char"/>
          <w:rFonts w:ascii="黑体" w:eastAsia="黑体" w:hAnsi="黑体"/>
          <w:b w:val="0"/>
        </w:rPr>
      </w:pPr>
      <w:bookmarkStart w:id="49" w:name="_Toc15377215"/>
      <w:bookmarkStart w:id="50" w:name="_Toc15396609"/>
      <w:bookmarkStart w:id="51" w:name="_Toc26234"/>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9"/>
      <w:bookmarkEnd w:id="50"/>
      <w:bookmarkEnd w:id="51"/>
    </w:p>
    <w:p w:rsidR="00B168A0" w:rsidRDefault="004808F4">
      <w:pPr>
        <w:spacing w:line="600" w:lineRule="exact"/>
        <w:ind w:firstLine="640"/>
        <w:outlineLvl w:val="2"/>
        <w:rPr>
          <w:rFonts w:ascii="仿宋" w:eastAsia="仿宋" w:hAnsi="仿宋"/>
          <w:b/>
          <w:sz w:val="32"/>
          <w:szCs w:val="32"/>
        </w:rPr>
      </w:pPr>
      <w:bookmarkStart w:id="52" w:name="_Toc15377216"/>
      <w:r>
        <w:rPr>
          <w:rFonts w:ascii="仿宋" w:eastAsia="仿宋" w:hAnsi="仿宋" w:hint="eastAsia"/>
          <w:b/>
          <w:sz w:val="32"/>
          <w:szCs w:val="32"/>
        </w:rPr>
        <w:t>（一）“三公”经费财政拨款支出决算总体情况说明</w:t>
      </w:r>
      <w:bookmarkEnd w:id="52"/>
    </w:p>
    <w:p w:rsidR="00B168A0" w:rsidRDefault="004808F4">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21年“三公”经费财政拨款支出决算为0万元，</w:t>
      </w:r>
      <w:r>
        <w:rPr>
          <w:rFonts w:ascii="仿宋_GB2312" w:eastAsia="仿宋_GB2312" w:hint="eastAsia"/>
          <w:sz w:val="32"/>
          <w:szCs w:val="32"/>
        </w:rPr>
        <w:t>年初未安排预算</w:t>
      </w:r>
      <w:r>
        <w:rPr>
          <w:rFonts w:ascii="仿宋" w:eastAsia="仿宋" w:hAnsi="仿宋" w:hint="eastAsia"/>
          <w:sz w:val="32"/>
          <w:szCs w:val="32"/>
        </w:rPr>
        <w:t>。</w:t>
      </w:r>
    </w:p>
    <w:p w:rsidR="00B168A0" w:rsidRDefault="004808F4">
      <w:pPr>
        <w:spacing w:line="600" w:lineRule="exact"/>
        <w:ind w:firstLine="640"/>
        <w:outlineLvl w:val="2"/>
        <w:rPr>
          <w:rFonts w:ascii="仿宋" w:eastAsia="仿宋" w:hAnsi="仿宋"/>
          <w:b/>
          <w:sz w:val="32"/>
          <w:szCs w:val="32"/>
        </w:rPr>
      </w:pPr>
      <w:bookmarkStart w:id="53" w:name="_Toc15377217"/>
      <w:r>
        <w:rPr>
          <w:rFonts w:ascii="仿宋" w:eastAsia="仿宋" w:hAnsi="仿宋" w:hint="eastAsia"/>
          <w:b/>
          <w:sz w:val="32"/>
          <w:szCs w:val="32"/>
        </w:rPr>
        <w:t>（二）“三公”经费财政拨款支出决算具体情况说明</w:t>
      </w:r>
      <w:bookmarkEnd w:id="53"/>
    </w:p>
    <w:p w:rsidR="00B168A0" w:rsidRDefault="004808F4">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w:t>
      </w:r>
    </w:p>
    <w:p w:rsidR="00B168A0" w:rsidRDefault="004808F4">
      <w:pPr>
        <w:spacing w:line="600" w:lineRule="exact"/>
        <w:ind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0万元，年初未安排预算</w:t>
      </w:r>
      <w:r>
        <w:rPr>
          <w:rStyle w:val="a9"/>
          <w:rFonts w:ascii="仿宋" w:eastAsia="仿宋" w:hAnsi="仿宋" w:hint="eastAsia"/>
          <w:b w:val="0"/>
          <w:bCs/>
          <w:sz w:val="32"/>
          <w:szCs w:val="32"/>
        </w:rPr>
        <w:t>。</w:t>
      </w:r>
    </w:p>
    <w:p w:rsidR="00B168A0" w:rsidRDefault="004808F4">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0万元,年初未安排预算</w:t>
      </w:r>
      <w:r>
        <w:rPr>
          <w:rStyle w:val="a9"/>
          <w:rFonts w:ascii="仿宋" w:eastAsia="仿宋" w:hAnsi="仿宋" w:hint="eastAsia"/>
          <w:b w:val="0"/>
          <w:bCs/>
          <w:sz w:val="32"/>
          <w:szCs w:val="32"/>
        </w:rPr>
        <w:t>。</w:t>
      </w:r>
    </w:p>
    <w:p w:rsidR="00B168A0" w:rsidRDefault="004808F4">
      <w:pPr>
        <w:spacing w:line="600" w:lineRule="exact"/>
        <w:ind w:firstLine="640"/>
        <w:rPr>
          <w:rFonts w:ascii="黑体" w:eastAsia="黑体"/>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0万元，年初未安排预算</w:t>
      </w:r>
      <w:r>
        <w:rPr>
          <w:rStyle w:val="a9"/>
          <w:rFonts w:ascii="仿宋" w:eastAsia="仿宋" w:hAnsi="仿宋" w:hint="eastAsia"/>
          <w:b w:val="0"/>
          <w:bCs/>
          <w:sz w:val="32"/>
          <w:szCs w:val="32"/>
        </w:rPr>
        <w:t>。</w:t>
      </w:r>
      <w:bookmarkStart w:id="54" w:name="_Toc15377218"/>
      <w:bookmarkStart w:id="55" w:name="_Toc15396610"/>
    </w:p>
    <w:p w:rsidR="00B168A0" w:rsidRDefault="004808F4">
      <w:pPr>
        <w:spacing w:line="600" w:lineRule="exact"/>
        <w:ind w:firstLine="640"/>
        <w:outlineLvl w:val="1"/>
        <w:rPr>
          <w:rStyle w:val="2Char"/>
          <w:rFonts w:ascii="黑体" w:eastAsia="黑体" w:hAnsi="黑体"/>
        </w:rPr>
      </w:pPr>
      <w:bookmarkStart w:id="56" w:name="_Toc21241"/>
      <w:r>
        <w:rPr>
          <w:rFonts w:ascii="黑体" w:eastAsia="黑体" w:hint="eastAsia"/>
          <w:sz w:val="32"/>
          <w:szCs w:val="32"/>
        </w:rPr>
        <w:t>八、</w:t>
      </w:r>
      <w:r>
        <w:rPr>
          <w:rStyle w:val="2Char"/>
          <w:rFonts w:ascii="黑体" w:eastAsia="黑体" w:hAnsi="黑体" w:hint="eastAsia"/>
          <w:b w:val="0"/>
        </w:rPr>
        <w:t>政府性基金预算支出决算情况说明</w:t>
      </w:r>
      <w:bookmarkEnd w:id="54"/>
      <w:bookmarkEnd w:id="55"/>
      <w:bookmarkEnd w:id="56"/>
    </w:p>
    <w:p w:rsidR="00B168A0" w:rsidRDefault="004808F4">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21年政府性基金预算财政拨款支出0万元。</w:t>
      </w:r>
    </w:p>
    <w:p w:rsidR="00B168A0" w:rsidRDefault="004808F4">
      <w:pPr>
        <w:numPr>
          <w:ilvl w:val="0"/>
          <w:numId w:val="3"/>
        </w:numPr>
        <w:spacing w:line="600" w:lineRule="exact"/>
        <w:ind w:firstLine="640"/>
        <w:outlineLvl w:val="1"/>
        <w:rPr>
          <w:rStyle w:val="2Char"/>
          <w:rFonts w:ascii="黑体" w:eastAsia="黑体" w:hAnsi="黑体"/>
          <w:b w:val="0"/>
        </w:rPr>
      </w:pPr>
      <w:bookmarkStart w:id="57" w:name="_Toc15396611"/>
      <w:bookmarkStart w:id="58" w:name="_Toc15377219"/>
      <w:bookmarkStart w:id="59" w:name="_Toc5560"/>
      <w:r>
        <w:rPr>
          <w:rStyle w:val="2Char"/>
          <w:rFonts w:ascii="黑体" w:eastAsia="黑体" w:hAnsi="黑体" w:hint="eastAsia"/>
          <w:b w:val="0"/>
        </w:rPr>
        <w:t>国有资本经营预算支出决算情况说明</w:t>
      </w:r>
      <w:bookmarkEnd w:id="57"/>
      <w:bookmarkEnd w:id="58"/>
      <w:bookmarkEnd w:id="59"/>
    </w:p>
    <w:p w:rsidR="00B168A0" w:rsidRDefault="004808F4">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21年国有资本经营预算财政拨款支出0万元。</w:t>
      </w:r>
      <w:bookmarkStart w:id="60" w:name="_Toc15377221"/>
      <w:bookmarkStart w:id="61" w:name="_Toc15396612"/>
      <w:bookmarkStart w:id="62" w:name="_Toc27178"/>
    </w:p>
    <w:p w:rsidR="00B168A0" w:rsidRDefault="004808F4">
      <w:pPr>
        <w:numPr>
          <w:ilvl w:val="0"/>
          <w:numId w:val="3"/>
        </w:numPr>
        <w:spacing w:line="600" w:lineRule="exact"/>
        <w:ind w:firstLine="640"/>
        <w:outlineLvl w:val="1"/>
        <w:rPr>
          <w:rStyle w:val="2Char"/>
          <w:rFonts w:ascii="黑体" w:eastAsia="黑体" w:hAnsi="黑体"/>
          <w:b w:val="0"/>
        </w:rPr>
      </w:pPr>
      <w:r>
        <w:rPr>
          <w:rStyle w:val="2Char"/>
          <w:rFonts w:ascii="黑体" w:eastAsia="黑体" w:hAnsi="黑体" w:hint="eastAsia"/>
          <w:b w:val="0"/>
        </w:rPr>
        <w:lastRenderedPageBreak/>
        <w:t>预算绩效管理情况</w:t>
      </w:r>
    </w:p>
    <w:p w:rsidR="00B168A0" w:rsidRDefault="004808F4">
      <w:pPr>
        <w:spacing w:line="600" w:lineRule="exact"/>
        <w:ind w:firstLineChars="200" w:firstLine="640"/>
        <w:jc w:val="left"/>
        <w:textAlignment w:val="baseline"/>
        <w:rPr>
          <w:rStyle w:val="NormalCharacter"/>
          <w:rFonts w:ascii="仿宋_GB2312" w:eastAsia="仿宋_GB2312"/>
          <w:color w:val="000000"/>
          <w:sz w:val="32"/>
          <w:szCs w:val="32"/>
        </w:rPr>
      </w:pPr>
      <w:r>
        <w:rPr>
          <w:rFonts w:ascii="仿宋_GB2312" w:eastAsia="仿宋_GB2312" w:hAnsi="仿宋_GB2312" w:cs="仿宋_GB2312" w:hint="eastAsia"/>
          <w:sz w:val="32"/>
          <w:szCs w:val="32"/>
        </w:rPr>
        <w:t>根据预算绩效管理要求，本单位在2021年度预算编制阶段，组织对基本药物制度、基本公共卫生服务等2个项目开展了预算事前绩效评估，其中对基本公共卫生服务1个项目编制了绩效目标。</w:t>
      </w:r>
    </w:p>
    <w:p w:rsidR="00B168A0" w:rsidRDefault="004808F4" w:rsidP="00DB0005">
      <w:pPr>
        <w:spacing w:line="600" w:lineRule="exact"/>
        <w:ind w:firstLineChars="150" w:firstLine="480"/>
        <w:jc w:val="left"/>
        <w:textAlignment w:val="baseline"/>
        <w:rPr>
          <w:rStyle w:val="NormalCharacter"/>
          <w:rFonts w:ascii="仿宋_GB2312" w:eastAsia="仿宋_GB2312"/>
          <w:color w:val="000000"/>
          <w:sz w:val="32"/>
          <w:szCs w:val="32"/>
        </w:rPr>
      </w:pPr>
      <w:r>
        <w:rPr>
          <w:rStyle w:val="NormalCharacter"/>
          <w:rFonts w:ascii="仿宋_GB2312" w:eastAsia="仿宋_GB2312"/>
          <w:color w:val="000000"/>
          <w:sz w:val="32"/>
          <w:szCs w:val="32"/>
        </w:rPr>
        <w:t>1.绩效目标管理情况</w:t>
      </w:r>
    </w:p>
    <w:p w:rsidR="00B168A0" w:rsidRDefault="004808F4">
      <w:pPr>
        <w:spacing w:line="600" w:lineRule="exact"/>
        <w:ind w:firstLineChars="200" w:firstLine="640"/>
        <w:jc w:val="left"/>
        <w:textAlignment w:val="baseline"/>
        <w:rPr>
          <w:rStyle w:val="NormalCharacter"/>
          <w:rFonts w:ascii="仿宋_GB2312" w:eastAsia="仿宋_GB2312"/>
          <w:color w:val="000000"/>
          <w:sz w:val="32"/>
          <w:szCs w:val="32"/>
        </w:rPr>
      </w:pPr>
      <w:r>
        <w:rPr>
          <w:rStyle w:val="NormalCharacter"/>
          <w:rFonts w:ascii="仿宋_GB2312" w:eastAsia="仿宋_GB2312"/>
          <w:color w:val="000000"/>
          <w:sz w:val="32"/>
          <w:szCs w:val="32"/>
        </w:rPr>
        <w:t>按照预算绩效管理要求，本单位对202</w:t>
      </w:r>
      <w:r>
        <w:rPr>
          <w:rStyle w:val="NormalCharacter"/>
          <w:rFonts w:ascii="仿宋_GB2312" w:eastAsia="仿宋_GB2312" w:hint="eastAsia"/>
          <w:color w:val="000000"/>
          <w:sz w:val="32"/>
          <w:szCs w:val="32"/>
        </w:rPr>
        <w:t>1</w:t>
      </w:r>
      <w:r>
        <w:rPr>
          <w:rStyle w:val="NormalCharacter"/>
          <w:rFonts w:ascii="仿宋_GB2312" w:eastAsia="仿宋_GB2312"/>
          <w:color w:val="000000"/>
          <w:sz w:val="32"/>
          <w:szCs w:val="32"/>
        </w:rPr>
        <w:t>年一般公共预算项目支出开展了绩效目标管理，共编制绩效目标</w:t>
      </w:r>
      <w:r>
        <w:rPr>
          <w:rStyle w:val="NormalCharacter"/>
          <w:rFonts w:ascii="仿宋_GB2312" w:eastAsia="仿宋_GB2312" w:hint="eastAsia"/>
          <w:color w:val="000000"/>
          <w:sz w:val="32"/>
          <w:szCs w:val="32"/>
        </w:rPr>
        <w:t>2</w:t>
      </w:r>
      <w:r>
        <w:rPr>
          <w:rStyle w:val="NormalCharacter"/>
          <w:rFonts w:ascii="仿宋_GB2312" w:eastAsia="仿宋_GB2312"/>
          <w:color w:val="000000"/>
          <w:sz w:val="32"/>
          <w:szCs w:val="32"/>
        </w:rPr>
        <w:t>个，涉及财政资金</w:t>
      </w:r>
      <w:r>
        <w:rPr>
          <w:rStyle w:val="NormalCharacter"/>
          <w:rFonts w:ascii="仿宋_GB2312" w:eastAsia="仿宋_GB2312" w:hint="eastAsia"/>
          <w:color w:val="000000"/>
          <w:sz w:val="32"/>
          <w:szCs w:val="32"/>
        </w:rPr>
        <w:t>80.41</w:t>
      </w:r>
      <w:r>
        <w:rPr>
          <w:rStyle w:val="NormalCharacter"/>
          <w:rFonts w:ascii="仿宋_GB2312" w:eastAsia="仿宋_GB2312"/>
          <w:color w:val="000000"/>
          <w:sz w:val="32"/>
          <w:szCs w:val="32"/>
        </w:rPr>
        <w:t>万元</w:t>
      </w:r>
      <w:r>
        <w:rPr>
          <w:rStyle w:val="NormalCharacter"/>
          <w:rFonts w:ascii="仿宋_GB2312" w:eastAsia="仿宋_GB2312" w:hint="eastAsia"/>
          <w:color w:val="000000"/>
          <w:sz w:val="32"/>
          <w:szCs w:val="32"/>
        </w:rPr>
        <w:t>。</w:t>
      </w:r>
    </w:p>
    <w:p w:rsidR="00B168A0" w:rsidRDefault="004808F4">
      <w:pPr>
        <w:spacing w:line="600" w:lineRule="atLeast"/>
        <w:ind w:firstLineChars="200" w:firstLine="640"/>
        <w:textAlignment w:val="baseline"/>
        <w:rPr>
          <w:rStyle w:val="NormalCharacter"/>
          <w:rFonts w:ascii="仿宋_GB2312" w:eastAsia="仿宋_GB2312"/>
          <w:color w:val="000000"/>
          <w:sz w:val="32"/>
          <w:szCs w:val="32"/>
        </w:rPr>
      </w:pPr>
      <w:r>
        <w:rPr>
          <w:rStyle w:val="NormalCharacter"/>
          <w:rFonts w:ascii="仿宋_GB2312" w:eastAsia="仿宋_GB2312"/>
          <w:color w:val="000000"/>
          <w:sz w:val="32"/>
          <w:szCs w:val="32"/>
        </w:rPr>
        <w:t>2、单位整体支出绩效自评开展情况。</w:t>
      </w:r>
    </w:p>
    <w:p w:rsidR="00B168A0" w:rsidRDefault="004808F4">
      <w:pPr>
        <w:spacing w:line="600" w:lineRule="atLeast"/>
        <w:ind w:firstLineChars="200" w:firstLine="640"/>
        <w:textAlignment w:val="baseline"/>
        <w:rPr>
          <w:rStyle w:val="NormalCharacter"/>
          <w:rFonts w:ascii="仿宋_GB2312" w:eastAsia="仿宋_GB2312"/>
          <w:color w:val="000000"/>
          <w:sz w:val="32"/>
          <w:szCs w:val="32"/>
        </w:rPr>
      </w:pPr>
      <w:r>
        <w:rPr>
          <w:rStyle w:val="NormalCharacter"/>
          <w:rFonts w:ascii="仿宋_GB2312" w:eastAsia="仿宋_GB2312" w:hAnsi="仿宋_GB2312"/>
          <w:sz w:val="32"/>
          <w:szCs w:val="32"/>
        </w:rPr>
        <w:t>本单位按要求对202</w:t>
      </w:r>
      <w:r>
        <w:rPr>
          <w:rStyle w:val="NormalCharacter"/>
          <w:rFonts w:ascii="仿宋_GB2312" w:eastAsia="仿宋_GB2312" w:hAnsi="仿宋_GB2312" w:hint="eastAsia"/>
          <w:sz w:val="32"/>
          <w:szCs w:val="32"/>
        </w:rPr>
        <w:t>1</w:t>
      </w:r>
      <w:r>
        <w:rPr>
          <w:rStyle w:val="NormalCharacter"/>
          <w:rFonts w:ascii="仿宋_GB2312" w:eastAsia="仿宋_GB2312" w:hAnsi="仿宋_GB2312"/>
          <w:sz w:val="32"/>
          <w:szCs w:val="32"/>
        </w:rPr>
        <w:t>年单位整体支出开展绩效自评，</w:t>
      </w:r>
      <w:r>
        <w:rPr>
          <w:rStyle w:val="NormalCharacter"/>
          <w:rFonts w:ascii="仿宋_GB2312" w:eastAsia="仿宋_GB2312"/>
          <w:color w:val="000000"/>
          <w:sz w:val="32"/>
          <w:szCs w:val="32"/>
        </w:rPr>
        <w:t>从评价情况来看未发现虚列支出，所有财政资金支出均履行了严格审批手续，未发现挤占、挪用、转移财政资金行为。基本支出严格执行国家有关政策及规定，项目支出均按照批准的项目和用途以及项目实施方案执行，无自行改变项目内容，扩大支出范围现象。无自行调整项目支出预算问题，所有项目支出均合理合规。未发现利用财政或自有资金对外借、贷款问题。本</w:t>
      </w:r>
      <w:r>
        <w:rPr>
          <w:rStyle w:val="NormalCharacter"/>
          <w:rFonts w:ascii="仿宋_GB2312" w:eastAsia="仿宋_GB2312" w:hint="eastAsia"/>
          <w:color w:val="000000"/>
          <w:sz w:val="32"/>
          <w:szCs w:val="32"/>
        </w:rPr>
        <w:t>单位</w:t>
      </w:r>
      <w:r>
        <w:rPr>
          <w:rStyle w:val="NormalCharacter"/>
          <w:rFonts w:ascii="仿宋_GB2312" w:eastAsia="仿宋_GB2312"/>
          <w:color w:val="000000"/>
          <w:sz w:val="32"/>
          <w:szCs w:val="32"/>
        </w:rPr>
        <w:t>还自行组织了项目绩效评价，从评价情况来看我</w:t>
      </w:r>
      <w:r>
        <w:rPr>
          <w:rStyle w:val="NormalCharacter"/>
          <w:rFonts w:ascii="仿宋_GB2312" w:eastAsia="仿宋_GB2312" w:hint="eastAsia"/>
          <w:color w:val="000000"/>
          <w:sz w:val="32"/>
          <w:szCs w:val="32"/>
        </w:rPr>
        <w:t>单位</w:t>
      </w:r>
      <w:r>
        <w:rPr>
          <w:rStyle w:val="NormalCharacter"/>
          <w:rFonts w:ascii="仿宋_GB2312" w:eastAsia="仿宋_GB2312"/>
          <w:color w:val="000000"/>
          <w:sz w:val="32"/>
          <w:szCs w:val="32"/>
        </w:rPr>
        <w:t>对项目资金加强使用管理，明确了项目内容、目标任务及工作措施。在实施过程中，经常召开专项会议，及时调度项目进度，研究解决项目工作中的具体问题，并根据专项资金文件规定的申报、审核、支付、管理流程，基本按</w:t>
      </w:r>
      <w:r>
        <w:rPr>
          <w:rStyle w:val="NormalCharacter"/>
          <w:rFonts w:ascii="仿宋_GB2312" w:eastAsia="仿宋_GB2312"/>
          <w:color w:val="000000"/>
          <w:sz w:val="32"/>
          <w:szCs w:val="32"/>
        </w:rPr>
        <w:lastRenderedPageBreak/>
        <w:t>照相关文件的规定审核支付资金，资金的支付范围、支付标准基本合规合法，支付依据充分，做到了专款专用。</w:t>
      </w:r>
    </w:p>
    <w:p w:rsidR="00B168A0" w:rsidRPr="00DB0005" w:rsidRDefault="004808F4" w:rsidP="00DB0005">
      <w:pPr>
        <w:pStyle w:val="BodyText1I2"/>
        <w:widowControl/>
        <w:ind w:firstLine="640"/>
        <w:textAlignment w:val="baseline"/>
        <w:rPr>
          <w:rStyle w:val="NormalCharacter"/>
          <w:rFonts w:ascii="仿宋_GB2312" w:eastAsia="仿宋_GB2312" w:cstheme="minorBidi"/>
          <w:b w:val="0"/>
          <w:sz w:val="32"/>
          <w:szCs w:val="32"/>
        </w:rPr>
      </w:pPr>
      <w:r>
        <w:rPr>
          <w:rStyle w:val="NormalCharacter"/>
          <w:rFonts w:ascii="仿宋_GB2312" w:eastAsia="仿宋_GB2312" w:cstheme="minorBidi"/>
          <w:b w:val="0"/>
          <w:sz w:val="32"/>
          <w:szCs w:val="32"/>
        </w:rPr>
        <w:t>3.单位自行组织绩效评价开展情况</w:t>
      </w:r>
      <w:r>
        <w:rPr>
          <w:rStyle w:val="NormalCharacter"/>
          <w:rFonts w:ascii="仿宋_GB2312" w:eastAsia="仿宋_GB2312" w:hAnsi="仿宋_GB2312"/>
          <w:sz w:val="32"/>
          <w:szCs w:val="32"/>
        </w:rPr>
        <w:t xml:space="preserve"> </w:t>
      </w:r>
    </w:p>
    <w:p w:rsidR="00B168A0" w:rsidRDefault="004808F4">
      <w:pPr>
        <w:spacing w:line="580" w:lineRule="exact"/>
        <w:ind w:firstLineChars="100" w:firstLine="320"/>
        <w:textAlignment w:val="baseline"/>
        <w:rPr>
          <w:rStyle w:val="NormalCharacter"/>
          <w:rFonts w:ascii="仿宋_GB2312" w:eastAsia="仿宋_GB2312" w:hAnsi="仿宋_GB2312"/>
          <w:sz w:val="32"/>
          <w:szCs w:val="32"/>
        </w:rPr>
      </w:pPr>
      <w:r>
        <w:rPr>
          <w:rStyle w:val="NormalCharacter"/>
          <w:rFonts w:ascii="仿宋_GB2312" w:eastAsia="仿宋_GB2312" w:hAnsi="仿宋_GB2312"/>
          <w:sz w:val="32"/>
          <w:szCs w:val="32"/>
        </w:rPr>
        <w:t>基本公共卫生项目绩效目标完成情况综述。项目全年预算数</w:t>
      </w:r>
      <w:r>
        <w:rPr>
          <w:rStyle w:val="NormalCharacter"/>
          <w:rFonts w:ascii="仿宋_GB2312" w:eastAsia="仿宋_GB2312" w:hAnsi="仿宋_GB2312" w:hint="eastAsia"/>
          <w:sz w:val="32"/>
          <w:szCs w:val="32"/>
        </w:rPr>
        <w:t>58.67</w:t>
      </w:r>
      <w:r>
        <w:rPr>
          <w:rStyle w:val="NormalCharacter"/>
          <w:rFonts w:ascii="仿宋_GB2312" w:eastAsia="仿宋_GB2312" w:hAnsi="仿宋_GB2312"/>
          <w:sz w:val="32"/>
          <w:szCs w:val="32"/>
        </w:rPr>
        <w:t>万元，执行数为</w:t>
      </w:r>
      <w:r>
        <w:rPr>
          <w:rStyle w:val="NormalCharacter"/>
          <w:rFonts w:ascii="仿宋_GB2312" w:eastAsia="仿宋_GB2312" w:hAnsi="仿宋_GB2312" w:hint="eastAsia"/>
          <w:sz w:val="32"/>
          <w:szCs w:val="32"/>
        </w:rPr>
        <w:t>58.67</w:t>
      </w:r>
      <w:r>
        <w:rPr>
          <w:rStyle w:val="NormalCharacter"/>
          <w:rFonts w:ascii="仿宋_GB2312" w:eastAsia="仿宋_GB2312" w:hAnsi="仿宋_GB2312"/>
          <w:sz w:val="32"/>
          <w:szCs w:val="32"/>
        </w:rPr>
        <w:t>万元，完成预算的100%。</w:t>
      </w:r>
    </w:p>
    <w:p w:rsidR="00B168A0" w:rsidRDefault="004808F4">
      <w:pPr>
        <w:spacing w:line="580" w:lineRule="exact"/>
        <w:ind w:firstLineChars="100" w:firstLine="320"/>
        <w:textAlignment w:val="baseline"/>
      </w:pPr>
      <w:r>
        <w:rPr>
          <w:rStyle w:val="NormalCharacter"/>
          <w:rFonts w:ascii="仿宋_GB2312" w:eastAsia="仿宋_GB2312" w:hAnsi="仿宋_GB2312" w:hint="eastAsia"/>
          <w:sz w:val="32"/>
          <w:szCs w:val="32"/>
        </w:rPr>
        <w:t>基本药物制度</w:t>
      </w:r>
      <w:r>
        <w:rPr>
          <w:rStyle w:val="NormalCharacter"/>
          <w:rFonts w:ascii="仿宋_GB2312" w:eastAsia="仿宋_GB2312" w:hAnsi="仿宋_GB2312"/>
          <w:sz w:val="32"/>
          <w:szCs w:val="32"/>
        </w:rPr>
        <w:t>目标完成情况综述。项目全年预算数</w:t>
      </w:r>
      <w:r>
        <w:rPr>
          <w:rStyle w:val="NormalCharacter"/>
          <w:rFonts w:ascii="仿宋_GB2312" w:eastAsia="仿宋_GB2312" w:hAnsi="仿宋_GB2312" w:hint="eastAsia"/>
          <w:sz w:val="32"/>
          <w:szCs w:val="32"/>
        </w:rPr>
        <w:t>21.74</w:t>
      </w:r>
      <w:r>
        <w:rPr>
          <w:rStyle w:val="NormalCharacter"/>
          <w:rFonts w:ascii="仿宋_GB2312" w:eastAsia="仿宋_GB2312" w:hAnsi="仿宋_GB2312"/>
          <w:sz w:val="32"/>
          <w:szCs w:val="32"/>
        </w:rPr>
        <w:t>万元，执行数为</w:t>
      </w:r>
      <w:r>
        <w:rPr>
          <w:rStyle w:val="NormalCharacter"/>
          <w:rFonts w:ascii="仿宋_GB2312" w:eastAsia="仿宋_GB2312" w:hAnsi="仿宋_GB2312" w:hint="eastAsia"/>
          <w:sz w:val="32"/>
          <w:szCs w:val="32"/>
        </w:rPr>
        <w:t>21.74</w:t>
      </w:r>
      <w:r>
        <w:rPr>
          <w:rStyle w:val="NormalCharacter"/>
          <w:rFonts w:ascii="仿宋_GB2312" w:eastAsia="仿宋_GB2312" w:hAnsi="仿宋_GB2312"/>
          <w:sz w:val="32"/>
          <w:szCs w:val="32"/>
        </w:rPr>
        <w:t>万元，完成预算的100%。</w:t>
      </w:r>
    </w:p>
    <w:p w:rsidR="00B168A0" w:rsidRDefault="004808F4">
      <w:pPr>
        <w:spacing w:line="580" w:lineRule="exact"/>
        <w:ind w:firstLineChars="100" w:firstLine="320"/>
        <w:textAlignment w:val="baseline"/>
        <w:rPr>
          <w:rStyle w:val="NormalCharacter"/>
          <w:rFonts w:ascii="仿宋_GB2312" w:eastAsia="仿宋_GB2312" w:hAnsi="仿宋_GB2312"/>
          <w:sz w:val="32"/>
          <w:szCs w:val="32"/>
        </w:rPr>
      </w:pPr>
      <w:r>
        <w:rPr>
          <w:rStyle w:val="NormalCharacter"/>
          <w:rFonts w:ascii="仿宋_GB2312" w:eastAsia="仿宋_GB2312" w:hAnsi="仿宋_GB2312"/>
          <w:sz w:val="32"/>
          <w:szCs w:val="32"/>
        </w:rPr>
        <w:t>202</w:t>
      </w:r>
      <w:r>
        <w:rPr>
          <w:rStyle w:val="NormalCharacter"/>
          <w:rFonts w:ascii="仿宋_GB2312" w:eastAsia="仿宋_GB2312" w:hAnsi="仿宋_GB2312" w:hint="eastAsia"/>
          <w:sz w:val="32"/>
          <w:szCs w:val="32"/>
        </w:rPr>
        <w:t>1</w:t>
      </w:r>
      <w:r>
        <w:rPr>
          <w:rStyle w:val="NormalCharacter"/>
          <w:rFonts w:ascii="仿宋_GB2312" w:eastAsia="仿宋_GB2312" w:hAnsi="仿宋_GB2312"/>
          <w:sz w:val="32"/>
          <w:szCs w:val="32"/>
        </w:rPr>
        <w:t>年，我院公共卫生科严格执行国家基本公共卫生服务规范以及上级部门各类文件精神，严抓基本公共卫生服务项目工作</w:t>
      </w:r>
    </w:p>
    <w:p w:rsidR="00B168A0" w:rsidRDefault="004808F4">
      <w:pPr>
        <w:spacing w:line="580" w:lineRule="exact"/>
        <w:ind w:firstLineChars="200" w:firstLine="640"/>
        <w:textAlignment w:val="baseline"/>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　</w:t>
      </w:r>
      <w:r>
        <w:rPr>
          <w:rStyle w:val="NormalCharacter"/>
          <w:rFonts w:ascii="仿宋_GB2312" w:eastAsia="仿宋_GB2312" w:hAnsi="仿宋_GB2312" w:hint="eastAsia"/>
          <w:sz w:val="32"/>
          <w:szCs w:val="32"/>
        </w:rPr>
        <w:t>（1）</w:t>
      </w:r>
      <w:r>
        <w:rPr>
          <w:rStyle w:val="NormalCharacter"/>
          <w:rFonts w:ascii="仿宋_GB2312" w:eastAsia="仿宋_GB2312" w:hAnsi="仿宋_GB2312"/>
          <w:sz w:val="32"/>
          <w:szCs w:val="32"/>
        </w:rPr>
        <w:t>健康教育：在爱牙日、高血压日、艾滋病日、糖尿病日、脑卒中日等卫生宣传日进行各类健康知识的讲座并开展宣传活动。定期督导村卫生室开展健康教育咨询活动，提供宣传材料，积极宣传预防高血压和糖尿病等慢性病的健康生活方式，提高居民的健康意识，做到合理膳食、适量运动、戒烟限酒、心理平衡，减少和控制慢性病的发生及并发症的出现。提高慢病患者自我管理水平，提高了慢病的控制率。</w:t>
      </w:r>
      <w:r>
        <w:rPr>
          <w:rStyle w:val="NormalCharacter"/>
          <w:rFonts w:ascii="仿宋_GB2312" w:eastAsia="仿宋_GB2312" w:hAnsi="仿宋_GB2312"/>
          <w:sz w:val="32"/>
          <w:szCs w:val="32"/>
        </w:rPr>
        <w:br/>
        <w:t xml:space="preserve"> 　</w:t>
      </w:r>
      <w:r>
        <w:rPr>
          <w:rStyle w:val="NormalCharacter"/>
          <w:rFonts w:ascii="仿宋_GB2312" w:eastAsia="仿宋_GB2312" w:hAnsi="仿宋_GB2312" w:hint="eastAsia"/>
          <w:sz w:val="32"/>
          <w:szCs w:val="32"/>
        </w:rPr>
        <w:t>（2）</w:t>
      </w:r>
      <w:r>
        <w:rPr>
          <w:rStyle w:val="NormalCharacter"/>
          <w:rFonts w:ascii="仿宋_GB2312" w:eastAsia="仿宋_GB2312" w:hAnsi="仿宋_GB2312"/>
          <w:sz w:val="32"/>
          <w:szCs w:val="32"/>
        </w:rPr>
        <w:t>重点疾病管理：对35周岁以上测血压，测压率97%。高血压管理数</w:t>
      </w:r>
      <w:r>
        <w:rPr>
          <w:rStyle w:val="NormalCharacter"/>
          <w:rFonts w:ascii="仿宋_GB2312" w:eastAsia="仿宋_GB2312" w:hAnsi="仿宋_GB2312" w:hint="eastAsia"/>
          <w:sz w:val="32"/>
          <w:szCs w:val="32"/>
        </w:rPr>
        <w:t>508</w:t>
      </w:r>
      <w:r>
        <w:rPr>
          <w:rStyle w:val="NormalCharacter"/>
          <w:rFonts w:ascii="仿宋_GB2312" w:eastAsia="仿宋_GB2312" w:hAnsi="仿宋_GB2312"/>
          <w:sz w:val="32"/>
          <w:szCs w:val="32"/>
        </w:rPr>
        <w:t>⼈，管理率90.0%，其中规范管理</w:t>
      </w:r>
      <w:r>
        <w:rPr>
          <w:rStyle w:val="NormalCharacter"/>
          <w:rFonts w:ascii="仿宋_GB2312" w:eastAsia="仿宋_GB2312" w:hAnsi="仿宋_GB2312" w:hint="eastAsia"/>
          <w:sz w:val="32"/>
          <w:szCs w:val="32"/>
        </w:rPr>
        <w:t>489</w:t>
      </w:r>
      <w:r>
        <w:rPr>
          <w:rStyle w:val="NormalCharacter"/>
          <w:rFonts w:ascii="仿宋_GB2312" w:eastAsia="仿宋_GB2312" w:hAnsi="仿宋_GB2312"/>
          <w:sz w:val="32"/>
          <w:szCs w:val="32"/>
        </w:rPr>
        <w:t>⼈，规范管理率90.0%。开展35—60周岁常住人口免费测空腹血糖共</w:t>
      </w:r>
      <w:r>
        <w:rPr>
          <w:rStyle w:val="NormalCharacter"/>
          <w:rFonts w:ascii="仿宋_GB2312" w:eastAsia="仿宋_GB2312" w:hAnsi="仿宋_GB2312" w:hint="eastAsia"/>
          <w:sz w:val="32"/>
          <w:szCs w:val="32"/>
        </w:rPr>
        <w:t>102</w:t>
      </w:r>
      <w:r>
        <w:rPr>
          <w:rStyle w:val="NormalCharacter"/>
          <w:rFonts w:ascii="仿宋_GB2312" w:eastAsia="仿宋_GB2312" w:hAnsi="仿宋_GB2312"/>
          <w:sz w:val="32"/>
          <w:szCs w:val="32"/>
        </w:rPr>
        <w:t>次，糖尿病管理</w:t>
      </w:r>
      <w:r>
        <w:rPr>
          <w:rStyle w:val="NormalCharacter"/>
          <w:rFonts w:ascii="仿宋_GB2312" w:eastAsia="仿宋_GB2312" w:hAnsi="仿宋_GB2312" w:hint="eastAsia"/>
          <w:sz w:val="32"/>
          <w:szCs w:val="32"/>
        </w:rPr>
        <w:t>108</w:t>
      </w:r>
      <w:r>
        <w:rPr>
          <w:rStyle w:val="NormalCharacter"/>
          <w:rFonts w:ascii="仿宋_GB2312" w:eastAsia="仿宋_GB2312" w:hAnsi="仿宋_GB2312"/>
          <w:sz w:val="32"/>
          <w:szCs w:val="32"/>
        </w:rPr>
        <w:t>⼈，规范管理率</w:t>
      </w:r>
      <w:r>
        <w:rPr>
          <w:rStyle w:val="NormalCharacter"/>
          <w:rFonts w:ascii="仿宋_GB2312" w:eastAsia="仿宋_GB2312" w:hAnsi="仿宋_GB2312" w:hint="eastAsia"/>
          <w:sz w:val="32"/>
          <w:szCs w:val="32"/>
        </w:rPr>
        <w:t>90</w:t>
      </w:r>
      <w:r>
        <w:rPr>
          <w:rStyle w:val="NormalCharacter"/>
          <w:rFonts w:ascii="仿宋_GB2312" w:eastAsia="仿宋_GB2312" w:hAnsi="仿宋_GB2312"/>
          <w:sz w:val="32"/>
          <w:szCs w:val="32"/>
        </w:rPr>
        <w:t>%，血糖控制数</w:t>
      </w:r>
      <w:r>
        <w:rPr>
          <w:rStyle w:val="NormalCharacter"/>
          <w:rFonts w:ascii="仿宋_GB2312" w:eastAsia="仿宋_GB2312" w:hAnsi="仿宋_GB2312" w:hint="eastAsia"/>
          <w:sz w:val="32"/>
          <w:szCs w:val="32"/>
        </w:rPr>
        <w:t>89</w:t>
      </w:r>
      <w:r>
        <w:rPr>
          <w:rStyle w:val="NormalCharacter"/>
          <w:rFonts w:ascii="仿宋_GB2312" w:eastAsia="仿宋_GB2312" w:hAnsi="仿宋_GB2312"/>
          <w:sz w:val="32"/>
          <w:szCs w:val="32"/>
        </w:rPr>
        <w:t>⼈，控制率</w:t>
      </w:r>
      <w:r>
        <w:rPr>
          <w:rStyle w:val="NormalCharacter"/>
          <w:rFonts w:ascii="仿宋_GB2312" w:eastAsia="仿宋_GB2312" w:hAnsi="仿宋_GB2312" w:hint="eastAsia"/>
          <w:sz w:val="32"/>
          <w:szCs w:val="32"/>
        </w:rPr>
        <w:t>86</w:t>
      </w:r>
      <w:r>
        <w:rPr>
          <w:rStyle w:val="NormalCharacter"/>
          <w:rFonts w:ascii="仿宋_GB2312" w:eastAsia="仿宋_GB2312" w:hAnsi="仿宋_GB2312"/>
          <w:sz w:val="32"/>
          <w:szCs w:val="32"/>
        </w:rPr>
        <w:t>%。</w:t>
      </w:r>
      <w:r>
        <w:rPr>
          <w:rStyle w:val="NormalCharacter"/>
          <w:rFonts w:ascii="仿宋_GB2312" w:eastAsia="仿宋_GB2312" w:hAnsi="仿宋_GB2312"/>
          <w:sz w:val="32"/>
          <w:szCs w:val="32"/>
        </w:rPr>
        <w:br/>
      </w:r>
      <w:r>
        <w:rPr>
          <w:rStyle w:val="NormalCharacter"/>
          <w:rFonts w:ascii="仿宋_GB2312" w:eastAsia="仿宋_GB2312" w:hAnsi="仿宋_GB2312"/>
          <w:sz w:val="32"/>
          <w:szCs w:val="32"/>
        </w:rPr>
        <w:lastRenderedPageBreak/>
        <w:t xml:space="preserve">　　</w:t>
      </w:r>
      <w:r>
        <w:rPr>
          <w:rStyle w:val="NormalCharacter"/>
          <w:rFonts w:ascii="仿宋_GB2312" w:eastAsia="仿宋_GB2312" w:hAnsi="仿宋_GB2312" w:hint="eastAsia"/>
          <w:sz w:val="32"/>
          <w:szCs w:val="32"/>
        </w:rPr>
        <w:t>（3）</w:t>
      </w:r>
      <w:r>
        <w:rPr>
          <w:rStyle w:val="NormalCharacter"/>
          <w:rFonts w:ascii="仿宋_GB2312" w:eastAsia="仿宋_GB2312" w:hAnsi="仿宋_GB2312"/>
          <w:sz w:val="32"/>
          <w:szCs w:val="32"/>
        </w:rPr>
        <w:t>妇女儿童保健：加强孕产妇及新生儿健康管理，孕产妇建卡率达</w:t>
      </w:r>
      <w:r>
        <w:rPr>
          <w:rStyle w:val="NormalCharacter"/>
          <w:rFonts w:ascii="仿宋_GB2312" w:eastAsia="仿宋_GB2312" w:hAnsi="仿宋_GB2312" w:hint="eastAsia"/>
          <w:sz w:val="32"/>
          <w:szCs w:val="32"/>
        </w:rPr>
        <w:t>95</w:t>
      </w:r>
      <w:r>
        <w:rPr>
          <w:rStyle w:val="NormalCharacter"/>
          <w:rFonts w:ascii="仿宋_GB2312" w:eastAsia="仿宋_GB2312" w:hAnsi="仿宋_GB2312"/>
          <w:sz w:val="32"/>
          <w:szCs w:val="32"/>
        </w:rPr>
        <w:t>%，儿童系统管理率达到</w:t>
      </w:r>
      <w:r>
        <w:rPr>
          <w:rStyle w:val="NormalCharacter"/>
          <w:rFonts w:ascii="仿宋_GB2312" w:eastAsia="仿宋_GB2312" w:hAnsi="仿宋_GB2312" w:hint="eastAsia"/>
          <w:sz w:val="32"/>
          <w:szCs w:val="32"/>
        </w:rPr>
        <w:t>98</w:t>
      </w:r>
      <w:r>
        <w:rPr>
          <w:rStyle w:val="NormalCharacter"/>
          <w:rFonts w:ascii="仿宋_GB2312" w:eastAsia="仿宋_GB2312" w:hAnsi="仿宋_GB2312"/>
          <w:sz w:val="32"/>
          <w:szCs w:val="32"/>
        </w:rPr>
        <w:t>%，高危妊娠管理率100%，高危妊娠住院分娩率100%。积极开展了“两癌筛查”诊治工作，未发现宫颈癌和乳腺癌患者。对张家乡一所托幼机构儿童进行了⼀次健康体检，体检率100%。</w:t>
      </w:r>
      <w:r>
        <w:rPr>
          <w:rStyle w:val="NormalCharacter"/>
          <w:rFonts w:ascii="仿宋_GB2312" w:eastAsia="仿宋_GB2312" w:hAnsi="仿宋_GB2312"/>
          <w:sz w:val="32"/>
          <w:szCs w:val="32"/>
        </w:rPr>
        <w:br/>
        <w:t xml:space="preserve">　　</w:t>
      </w:r>
      <w:r>
        <w:rPr>
          <w:rStyle w:val="NormalCharacter"/>
          <w:rFonts w:ascii="仿宋_GB2312" w:eastAsia="仿宋_GB2312" w:hAnsi="仿宋_GB2312" w:hint="eastAsia"/>
          <w:sz w:val="32"/>
          <w:szCs w:val="32"/>
        </w:rPr>
        <w:t>（4）</w:t>
      </w:r>
      <w:r>
        <w:rPr>
          <w:rStyle w:val="NormalCharacter"/>
          <w:rFonts w:ascii="仿宋_GB2312" w:eastAsia="仿宋_GB2312" w:hAnsi="仿宋_GB2312"/>
          <w:sz w:val="32"/>
          <w:szCs w:val="32"/>
        </w:rPr>
        <w:t>老年人保健：根据要求，每年对65岁老年人及贫困人口进行一次免费体检。张家乡共11个村，今年共体检了</w:t>
      </w:r>
      <w:r>
        <w:rPr>
          <w:rStyle w:val="NormalCharacter"/>
          <w:rFonts w:ascii="仿宋_GB2312" w:eastAsia="仿宋_GB2312" w:hAnsi="仿宋_GB2312" w:hint="eastAsia"/>
          <w:sz w:val="32"/>
          <w:szCs w:val="32"/>
        </w:rPr>
        <w:t>568</w:t>
      </w:r>
      <w:r>
        <w:rPr>
          <w:rStyle w:val="NormalCharacter"/>
          <w:rFonts w:ascii="仿宋_GB2312" w:eastAsia="仿宋_GB2312" w:hAnsi="仿宋_GB2312"/>
          <w:sz w:val="32"/>
          <w:szCs w:val="32"/>
        </w:rPr>
        <w:t>余人，对于活动不便的老人和病人，我们实行上门服务，走访群众百余户，对待居民热情，服务周到，随时解答问题，积极宣传健康生活方式。</w:t>
      </w:r>
    </w:p>
    <w:p w:rsidR="00B168A0" w:rsidRDefault="004808F4">
      <w:pPr>
        <w:spacing w:line="580" w:lineRule="exact"/>
        <w:ind w:firstLineChars="200" w:firstLine="640"/>
        <w:textAlignment w:val="baseline"/>
        <w:rPr>
          <w:rStyle w:val="NormalCharacter"/>
        </w:rPr>
      </w:pPr>
      <w:r>
        <w:rPr>
          <w:rStyle w:val="NormalCharacter"/>
          <w:rFonts w:ascii="仿宋_GB2312" w:eastAsia="仿宋_GB2312" w:hAnsi="仿宋_GB2312" w:hint="eastAsia"/>
          <w:sz w:val="32"/>
          <w:szCs w:val="32"/>
        </w:rPr>
        <w:t>（5）</w:t>
      </w:r>
      <w:r>
        <w:rPr>
          <w:rStyle w:val="NormalCharacter"/>
          <w:rFonts w:ascii="仿宋_GB2312" w:eastAsia="仿宋_GB2312" w:hAnsi="仿宋_GB2312"/>
          <w:sz w:val="32"/>
          <w:szCs w:val="32"/>
        </w:rPr>
        <w:t>完成疾控目标任务：传染病规范管理，突发公共卫生事件及时报告率100%，国家免疫规划疫苗接种率9</w:t>
      </w:r>
      <w:r>
        <w:rPr>
          <w:rStyle w:val="NormalCharacter"/>
          <w:rFonts w:ascii="仿宋_GB2312" w:eastAsia="仿宋_GB2312" w:hAnsi="仿宋_GB2312" w:hint="eastAsia"/>
          <w:sz w:val="32"/>
          <w:szCs w:val="32"/>
        </w:rPr>
        <w:t>8</w:t>
      </w:r>
      <w:r>
        <w:rPr>
          <w:rStyle w:val="NormalCharacter"/>
          <w:rFonts w:ascii="仿宋_GB2312" w:eastAsia="仿宋_GB2312" w:hAnsi="仿宋_GB2312"/>
          <w:sz w:val="32"/>
          <w:szCs w:val="32"/>
        </w:rPr>
        <w:t>%以上，完成结核、艾滋病筛查项目，各类资料填写完整。</w:t>
      </w:r>
      <w:r>
        <w:rPr>
          <w:rStyle w:val="NormalCharacter"/>
          <w:rFonts w:ascii="仿宋_GB2312" w:eastAsia="仿宋_GB2312" w:hAnsi="仿宋_GB2312"/>
          <w:sz w:val="32"/>
          <w:szCs w:val="32"/>
        </w:rPr>
        <w:br/>
        <w:t xml:space="preserve">　　</w:t>
      </w:r>
      <w:r>
        <w:rPr>
          <w:rStyle w:val="NormalCharacter"/>
          <w:rFonts w:ascii="仿宋_GB2312" w:eastAsia="仿宋_GB2312" w:hAnsi="仿宋_GB2312" w:hint="eastAsia"/>
          <w:sz w:val="32"/>
          <w:szCs w:val="32"/>
        </w:rPr>
        <w:t>（6）</w:t>
      </w:r>
      <w:r>
        <w:rPr>
          <w:rStyle w:val="NormalCharacter"/>
          <w:rFonts w:ascii="仿宋_GB2312" w:eastAsia="仿宋_GB2312" w:hAnsi="仿宋_GB2312"/>
          <w:sz w:val="32"/>
          <w:szCs w:val="32"/>
        </w:rPr>
        <w:t>卫生监督协管：对辖区学校、药店、餐馆等按时检查，并进行相关的指导⼯作。</w:t>
      </w:r>
    </w:p>
    <w:p w:rsidR="00B168A0" w:rsidRDefault="004808F4">
      <w:pPr>
        <w:spacing w:line="580" w:lineRule="exact"/>
        <w:ind w:firstLineChars="200" w:firstLine="640"/>
        <w:textAlignment w:val="baseline"/>
        <w:rPr>
          <w:rStyle w:val="NormalCharacter"/>
          <w:rFonts w:ascii="仿宋_GB2312" w:eastAsia="仿宋_GB2312" w:hAnsi="仿宋_GB2312"/>
          <w:sz w:val="32"/>
          <w:szCs w:val="32"/>
        </w:rPr>
      </w:pPr>
      <w:r>
        <w:rPr>
          <w:rStyle w:val="NormalCharacter"/>
          <w:rFonts w:ascii="楷体_GB2312" w:eastAsia="楷体_GB2312" w:hAnsi="楷体_GB2312"/>
          <w:sz w:val="32"/>
          <w:szCs w:val="32"/>
        </w:rPr>
        <w:t>4.</w:t>
      </w:r>
      <w:r>
        <w:rPr>
          <w:rStyle w:val="NormalCharacter"/>
          <w:rFonts w:ascii="楷体_GB2312" w:eastAsia="楷体_GB2312" w:hAnsi="楷体_GB2312" w:hint="eastAsia"/>
          <w:sz w:val="32"/>
          <w:szCs w:val="32"/>
        </w:rPr>
        <w:t>单位</w:t>
      </w:r>
      <w:r>
        <w:rPr>
          <w:rStyle w:val="NormalCharacter"/>
          <w:rFonts w:ascii="楷体_GB2312" w:eastAsia="楷体_GB2312" w:hAnsi="楷体_GB2312"/>
          <w:sz w:val="32"/>
          <w:szCs w:val="32"/>
        </w:rPr>
        <w:t>绩效评价结果。</w:t>
      </w:r>
    </w:p>
    <w:p w:rsidR="00B168A0" w:rsidRDefault="004808F4">
      <w:pPr>
        <w:snapToGrid w:val="0"/>
        <w:spacing w:line="360" w:lineRule="auto"/>
        <w:ind w:firstLineChars="200" w:firstLine="640"/>
        <w:textAlignment w:val="baseline"/>
      </w:pPr>
      <w:r>
        <w:rPr>
          <w:rStyle w:val="NormalCharacter"/>
          <w:rFonts w:ascii="仿宋" w:eastAsia="仿宋" w:hAnsi="仿宋"/>
          <w:sz w:val="32"/>
          <w:szCs w:val="32"/>
        </w:rPr>
        <w:t>通过项目实施，让更多老百姓得到了帮助，促进居民健康意识的提高和不良生活方式的改变，逐步树立起自我健康管理的理念；减少主要健康危险因素，预防和控制传染病及慢性病的发生和流行；提高公共卫生服务和突发公共卫生服务应急处置能力，建立了维护居民健康的第一道屏障，对于提高居民健康素质有重要促进作用。同时有力地提升了政府对扶贫工作的社会认知度，有利于构建和谐社会，有利于全</w:t>
      </w:r>
      <w:r>
        <w:rPr>
          <w:rStyle w:val="NormalCharacter"/>
          <w:rFonts w:ascii="仿宋" w:eastAsia="仿宋" w:hAnsi="仿宋"/>
          <w:sz w:val="32"/>
          <w:szCs w:val="32"/>
        </w:rPr>
        <w:lastRenderedPageBreak/>
        <w:t>区经济可持续发展。</w:t>
      </w:r>
    </w:p>
    <w:p w:rsidR="00B168A0" w:rsidRDefault="004808F4">
      <w:pPr>
        <w:spacing w:line="600" w:lineRule="exact"/>
        <w:ind w:firstLine="640"/>
        <w:rPr>
          <w:rStyle w:val="2Char"/>
          <w:rFonts w:ascii="黑体" w:eastAsia="黑体" w:hAnsi="黑体"/>
          <w:b w:val="0"/>
        </w:rPr>
      </w:pPr>
      <w:r>
        <w:rPr>
          <w:rStyle w:val="2Char"/>
          <w:rFonts w:ascii="黑体" w:eastAsia="黑体" w:hAnsi="黑体" w:hint="eastAsia"/>
          <w:b w:val="0"/>
        </w:rPr>
        <w:t>十一其他重要事项的情况说明</w:t>
      </w:r>
      <w:bookmarkEnd w:id="60"/>
      <w:bookmarkEnd w:id="61"/>
      <w:bookmarkEnd w:id="62"/>
    </w:p>
    <w:p w:rsidR="00B168A0" w:rsidRDefault="004808F4">
      <w:pPr>
        <w:numPr>
          <w:ilvl w:val="0"/>
          <w:numId w:val="4"/>
        </w:numPr>
        <w:spacing w:line="600" w:lineRule="exact"/>
        <w:ind w:firstLineChars="200" w:firstLine="643"/>
        <w:outlineLvl w:val="2"/>
        <w:rPr>
          <w:rFonts w:ascii="仿宋" w:eastAsia="仿宋" w:hAnsi="仿宋"/>
          <w:b/>
          <w:sz w:val="32"/>
          <w:szCs w:val="32"/>
        </w:rPr>
      </w:pPr>
      <w:bookmarkStart w:id="63" w:name="_Toc15377222"/>
      <w:r>
        <w:rPr>
          <w:rFonts w:ascii="仿宋" w:eastAsia="仿宋" w:hAnsi="仿宋" w:hint="eastAsia"/>
          <w:b/>
          <w:sz w:val="32"/>
          <w:szCs w:val="32"/>
        </w:rPr>
        <w:t>机关运行经费支出情况</w:t>
      </w:r>
      <w:bookmarkEnd w:id="63"/>
    </w:p>
    <w:p w:rsidR="00B168A0" w:rsidRDefault="004808F4">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本单位为事业单位，无机关运行经费</w:t>
      </w:r>
    </w:p>
    <w:p w:rsidR="00B168A0" w:rsidRDefault="004808F4">
      <w:pPr>
        <w:autoSpaceDE w:val="0"/>
        <w:autoSpaceDN w:val="0"/>
        <w:adjustRightInd w:val="0"/>
        <w:spacing w:line="600" w:lineRule="exact"/>
        <w:ind w:firstLineChars="200" w:firstLine="643"/>
        <w:jc w:val="left"/>
        <w:outlineLvl w:val="2"/>
        <w:rPr>
          <w:rFonts w:ascii="仿宋" w:eastAsia="仿宋" w:hAnsi="仿宋"/>
          <w:b/>
          <w:sz w:val="32"/>
          <w:szCs w:val="32"/>
        </w:rPr>
      </w:pPr>
      <w:bookmarkStart w:id="64" w:name="_Toc15377223"/>
      <w:r>
        <w:rPr>
          <w:rFonts w:ascii="仿宋" w:eastAsia="仿宋" w:hAnsi="仿宋" w:hint="eastAsia"/>
          <w:b/>
          <w:sz w:val="32"/>
          <w:szCs w:val="32"/>
        </w:rPr>
        <w:t>（二）政府采购支出情况</w:t>
      </w:r>
      <w:bookmarkEnd w:id="64"/>
    </w:p>
    <w:p w:rsidR="00B168A0" w:rsidRDefault="004808F4">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21年四川省广元市昭化区太公镇中心卫生院政府采购支出总额0万元。</w:t>
      </w:r>
    </w:p>
    <w:p w:rsidR="00B168A0" w:rsidRDefault="004808F4">
      <w:pPr>
        <w:autoSpaceDE w:val="0"/>
        <w:autoSpaceDN w:val="0"/>
        <w:adjustRightInd w:val="0"/>
        <w:spacing w:line="600" w:lineRule="exact"/>
        <w:ind w:firstLineChars="200" w:firstLine="643"/>
        <w:jc w:val="left"/>
        <w:outlineLvl w:val="2"/>
        <w:rPr>
          <w:rFonts w:ascii="仿宋" w:eastAsia="仿宋" w:hAnsi="仿宋"/>
          <w:b/>
          <w:sz w:val="32"/>
          <w:szCs w:val="32"/>
        </w:rPr>
      </w:pPr>
      <w:bookmarkStart w:id="65" w:name="_Toc15377224"/>
      <w:r>
        <w:rPr>
          <w:rFonts w:ascii="仿宋" w:eastAsia="仿宋" w:hAnsi="仿宋" w:hint="eastAsia"/>
          <w:b/>
          <w:sz w:val="32"/>
          <w:szCs w:val="32"/>
        </w:rPr>
        <w:t>（三）国有资产占有使用情况</w:t>
      </w:r>
      <w:bookmarkEnd w:id="65"/>
    </w:p>
    <w:p w:rsidR="00B168A0" w:rsidRDefault="004808F4">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日，四川省广元市昭化区太公镇中心卫生院共有救护车辆1辆，</w:t>
      </w:r>
      <w:r>
        <w:rPr>
          <w:rFonts w:ascii="仿宋_GB2312" w:eastAsia="仿宋_GB2312" w:hAnsi="仿宋_GB2312" w:cs="仿宋_GB2312" w:hint="eastAsia"/>
          <w:sz w:val="32"/>
          <w:szCs w:val="32"/>
        </w:rPr>
        <w:t>主要用于急诊、急救及危重病人的转运，</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万元以上通用设备0台（套），单价</w:t>
      </w:r>
      <w:r>
        <w:rPr>
          <w:rFonts w:ascii="仿宋_GB2312" w:eastAsia="仿宋_GB2312"/>
          <w:sz w:val="32"/>
          <w:szCs w:val="32"/>
        </w:rPr>
        <w:t>100</w:t>
      </w:r>
      <w:r>
        <w:rPr>
          <w:rFonts w:ascii="仿宋_GB2312" w:eastAsia="仿宋_GB2312" w:hint="eastAsia"/>
          <w:sz w:val="32"/>
          <w:szCs w:val="32"/>
        </w:rPr>
        <w:t>万元以上专用设备0台（套）。</w:t>
      </w:r>
    </w:p>
    <w:p w:rsidR="00B168A0" w:rsidRDefault="00B168A0">
      <w:pPr>
        <w:autoSpaceDE w:val="0"/>
        <w:autoSpaceDN w:val="0"/>
        <w:adjustRightInd w:val="0"/>
        <w:spacing w:line="600" w:lineRule="exact"/>
        <w:ind w:firstLineChars="200" w:firstLine="643"/>
        <w:jc w:val="left"/>
        <w:rPr>
          <w:rFonts w:ascii="仿宋" w:eastAsia="仿宋" w:hAnsi="仿宋"/>
          <w:b/>
          <w:sz w:val="32"/>
          <w:szCs w:val="32"/>
        </w:rPr>
      </w:pPr>
    </w:p>
    <w:p w:rsidR="00B168A0" w:rsidRDefault="00B168A0" w:rsidP="00C67A8A">
      <w:pPr>
        <w:pStyle w:val="a0"/>
        <w:spacing w:before="93"/>
        <w:rPr>
          <w:highlight w:val="yellow"/>
        </w:rPr>
      </w:pPr>
    </w:p>
    <w:p w:rsidR="00B168A0" w:rsidRDefault="004808F4">
      <w:pPr>
        <w:widowControl/>
        <w:jc w:val="left"/>
        <w:rPr>
          <w:rFonts w:ascii="仿宋_GB2312" w:eastAsia="仿宋_GB2312"/>
          <w:b/>
          <w:sz w:val="32"/>
          <w:szCs w:val="32"/>
        </w:rPr>
      </w:pPr>
      <w:r>
        <w:rPr>
          <w:rFonts w:ascii="仿宋_GB2312" w:eastAsia="仿宋_GB2312"/>
          <w:b/>
          <w:sz w:val="32"/>
          <w:szCs w:val="32"/>
        </w:rPr>
        <w:br w:type="page"/>
      </w:r>
    </w:p>
    <w:p w:rsidR="00B168A0" w:rsidRDefault="004808F4">
      <w:pPr>
        <w:numPr>
          <w:ilvl w:val="0"/>
          <w:numId w:val="5"/>
        </w:numPr>
        <w:spacing w:line="600" w:lineRule="exact"/>
        <w:ind w:firstLineChars="150" w:firstLine="660"/>
        <w:jc w:val="center"/>
        <w:outlineLvl w:val="0"/>
        <w:rPr>
          <w:rStyle w:val="1Char"/>
          <w:rFonts w:ascii="黑体" w:eastAsia="黑体" w:hAnsi="黑体"/>
          <w:b w:val="0"/>
        </w:rPr>
      </w:pPr>
      <w:bookmarkStart w:id="66" w:name="_Toc15396613"/>
      <w:bookmarkStart w:id="67" w:name="_Toc15377225"/>
      <w:bookmarkStart w:id="68" w:name="_Toc19437"/>
      <w:r>
        <w:rPr>
          <w:rFonts w:ascii="黑体" w:eastAsia="黑体" w:hAnsi="黑体" w:hint="eastAsia"/>
          <w:sz w:val="44"/>
          <w:szCs w:val="44"/>
        </w:rPr>
        <w:lastRenderedPageBreak/>
        <w:t>名</w:t>
      </w:r>
      <w:r>
        <w:rPr>
          <w:rStyle w:val="1Char"/>
          <w:rFonts w:ascii="黑体" w:eastAsia="黑体" w:hAnsi="黑体" w:hint="eastAsia"/>
          <w:b w:val="0"/>
        </w:rPr>
        <w:t>词解释</w:t>
      </w:r>
      <w:bookmarkEnd w:id="66"/>
      <w:bookmarkEnd w:id="67"/>
      <w:bookmarkEnd w:id="68"/>
    </w:p>
    <w:p w:rsidR="00B168A0" w:rsidRDefault="00B168A0">
      <w:pPr>
        <w:spacing w:line="600" w:lineRule="exact"/>
        <w:jc w:val="left"/>
        <w:rPr>
          <w:rFonts w:ascii="宋体"/>
          <w:b/>
          <w:sz w:val="44"/>
          <w:szCs w:val="44"/>
        </w:rPr>
      </w:pPr>
    </w:p>
    <w:p w:rsidR="00B168A0" w:rsidRDefault="004808F4">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B168A0" w:rsidRDefault="004808F4">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事业收入：指事业单位开展专业业务活动及辅助活动取得的收入。如区人民医院、妇幼保健计划生育服务中心、区中医医院、乡镇卫生院医疗收入等。</w:t>
      </w:r>
    </w:p>
    <w:p w:rsidR="00B168A0" w:rsidRDefault="004808F4">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经营收入：指事业单位在专业业务活动及其辅助活动之外开展非独立核算经营活动取得的收入。如房屋租金等。</w:t>
      </w:r>
    </w:p>
    <w:p w:rsidR="00B168A0" w:rsidRDefault="004808F4">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其他收入：指单位取得的除上述收入以外的各项收入。主要是利息收入等。</w:t>
      </w:r>
      <w:r>
        <w:rPr>
          <w:rFonts w:ascii="仿宋_GB2312" w:eastAsia="仿宋_GB2312"/>
          <w:color w:val="auto"/>
          <w:sz w:val="32"/>
          <w:szCs w:val="32"/>
        </w:rPr>
        <w:t xml:space="preserve"> </w:t>
      </w:r>
    </w:p>
    <w:p w:rsidR="00B168A0" w:rsidRDefault="004808F4">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rsidR="00B168A0" w:rsidRDefault="004808F4">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B168A0" w:rsidRDefault="004808F4">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B168A0" w:rsidRDefault="004808F4">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rsidR="00B168A0" w:rsidRDefault="004808F4">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 w:eastAsia="仿宋" w:hAnsi="仿宋" w:hint="eastAsia"/>
          <w:color w:val="000000"/>
          <w:sz w:val="32"/>
          <w:szCs w:val="32"/>
        </w:rPr>
        <w:t>卫生健康支出</w:t>
      </w:r>
      <w:r>
        <w:rPr>
          <w:rFonts w:ascii="仿宋_GB2312" w:eastAsia="仿宋_GB2312" w:hint="eastAsia"/>
          <w:color w:val="000000"/>
          <w:sz w:val="32"/>
          <w:szCs w:val="32"/>
        </w:rPr>
        <w:t>（类）基层医疗卫生机构（款）</w:t>
      </w:r>
      <w:r>
        <w:rPr>
          <w:rStyle w:val="a9"/>
          <w:rFonts w:ascii="仿宋_GB2312" w:eastAsia="仿宋_GB2312" w:hint="eastAsia"/>
          <w:b w:val="0"/>
          <w:color w:val="000000"/>
          <w:sz w:val="32"/>
          <w:szCs w:val="32"/>
        </w:rPr>
        <w:t>乡镇卫生院（项）</w:t>
      </w:r>
      <w:r>
        <w:rPr>
          <w:rFonts w:ascii="仿宋_GB2312" w:eastAsia="仿宋_GB2312" w:hint="eastAsia"/>
          <w:color w:val="000000"/>
          <w:sz w:val="32"/>
          <w:szCs w:val="32"/>
        </w:rPr>
        <w:t>：反映乡镇卫生院的支出。</w:t>
      </w:r>
    </w:p>
    <w:p w:rsidR="00B168A0" w:rsidRDefault="004808F4">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Style w:val="a9"/>
          <w:rFonts w:ascii="仿宋_GB2312" w:eastAsia="仿宋_GB2312" w:hint="eastAsia"/>
          <w:b w:val="0"/>
          <w:color w:val="000000"/>
          <w:sz w:val="32"/>
          <w:szCs w:val="32"/>
        </w:rPr>
        <w:t>卫生健康支出（类）公共卫生（款）基本公共卫生服务（项）</w:t>
      </w:r>
      <w:r>
        <w:rPr>
          <w:rFonts w:ascii="仿宋_GB2312" w:eastAsia="仿宋_GB2312" w:hint="eastAsia"/>
          <w:color w:val="000000"/>
          <w:sz w:val="32"/>
          <w:szCs w:val="32"/>
        </w:rPr>
        <w:t>：反映乡镇卫生院、社区卫生机构开展基本公共卫生服务的支出。</w:t>
      </w:r>
    </w:p>
    <w:p w:rsidR="00B168A0" w:rsidRDefault="004808F4">
      <w:pPr>
        <w:ind w:firstLineChars="200" w:firstLine="640"/>
        <w:rPr>
          <w:rFonts w:ascii="仿宋_GB2312" w:eastAsia="仿宋_GB2312"/>
          <w:color w:val="000000"/>
          <w:sz w:val="32"/>
          <w:szCs w:val="32"/>
        </w:rPr>
      </w:pPr>
      <w:r>
        <w:rPr>
          <w:rFonts w:ascii="仿宋_GB2312" w:eastAsia="仿宋_GB2312" w:hint="eastAsia"/>
          <w:bCs/>
          <w:color w:val="000000"/>
          <w:sz w:val="32"/>
          <w:szCs w:val="32"/>
        </w:rPr>
        <w:lastRenderedPageBreak/>
        <w:t>11.卫生健康支出（类）中医药（款）中医药专项（项）</w:t>
      </w:r>
      <w:r>
        <w:rPr>
          <w:rFonts w:ascii="仿宋_GB2312" w:eastAsia="仿宋_GB2312" w:hint="eastAsia"/>
          <w:color w:val="000000"/>
          <w:sz w:val="32"/>
          <w:szCs w:val="32"/>
        </w:rPr>
        <w:t>:主要用于中医专项支出。</w:t>
      </w:r>
    </w:p>
    <w:p w:rsidR="00B168A0" w:rsidRDefault="004808F4">
      <w:pPr>
        <w:ind w:firstLineChars="200" w:firstLine="640"/>
        <w:rPr>
          <w:rStyle w:val="a9"/>
          <w:rFonts w:ascii="仿宋_GB2312" w:eastAsia="仿宋_GB2312"/>
          <w:b w:val="0"/>
          <w:color w:val="000000"/>
          <w:sz w:val="32"/>
          <w:szCs w:val="32"/>
        </w:rPr>
      </w:pPr>
      <w:r>
        <w:rPr>
          <w:rStyle w:val="a9"/>
          <w:rFonts w:ascii="仿宋_GB2312" w:eastAsia="仿宋_GB2312" w:hint="eastAsia"/>
          <w:b w:val="0"/>
          <w:color w:val="000000"/>
          <w:sz w:val="32"/>
          <w:szCs w:val="32"/>
        </w:rPr>
        <w:t>12.卫生健康支出</w:t>
      </w:r>
      <w:r>
        <w:rPr>
          <w:rFonts w:ascii="仿宋_GB2312" w:eastAsia="仿宋_GB2312" w:hint="eastAsia"/>
          <w:color w:val="000000"/>
          <w:sz w:val="32"/>
          <w:szCs w:val="32"/>
        </w:rPr>
        <w:t>（类）基层医疗卫生机构（款）其他基层医疗卫生机构支出（项）</w:t>
      </w:r>
      <w:r>
        <w:rPr>
          <w:rStyle w:val="a9"/>
          <w:rFonts w:ascii="仿宋_GB2312" w:eastAsia="仿宋_GB2312" w:hint="eastAsia"/>
          <w:b w:val="0"/>
          <w:color w:val="000000"/>
          <w:sz w:val="32"/>
          <w:szCs w:val="32"/>
        </w:rPr>
        <w:t>：反映除乡镇卫生院、城市社区卫生机构以外的其他用于基层医疗卫生机构的支出。</w:t>
      </w:r>
    </w:p>
    <w:p w:rsidR="00B168A0" w:rsidRDefault="004808F4">
      <w:pPr>
        <w:ind w:firstLineChars="200" w:firstLine="640"/>
        <w:rPr>
          <w:rStyle w:val="a9"/>
          <w:rFonts w:ascii="仿宋_GB2312" w:eastAsia="仿宋_GB2312"/>
          <w:b w:val="0"/>
          <w:color w:val="000000"/>
          <w:sz w:val="32"/>
          <w:szCs w:val="32"/>
        </w:rPr>
      </w:pPr>
      <w:r>
        <w:rPr>
          <w:rStyle w:val="a9"/>
          <w:rFonts w:ascii="仿宋_GB2312" w:eastAsia="仿宋_GB2312" w:hint="eastAsia"/>
          <w:b w:val="0"/>
          <w:color w:val="000000"/>
          <w:sz w:val="32"/>
          <w:szCs w:val="32"/>
        </w:rPr>
        <w:t>13.卫生健康支出（类）行政事业单位医疗</w:t>
      </w:r>
      <w:r>
        <w:rPr>
          <w:rFonts w:ascii="仿宋_GB2312" w:eastAsia="仿宋_GB2312" w:hint="eastAsia"/>
          <w:color w:val="000000"/>
          <w:sz w:val="32"/>
          <w:szCs w:val="32"/>
        </w:rPr>
        <w:t>（款）事业单位医疗（项）</w:t>
      </w:r>
      <w:r>
        <w:rPr>
          <w:rStyle w:val="a9"/>
          <w:rFonts w:ascii="仿宋_GB2312" w:eastAsia="仿宋_GB2312" w:hint="eastAsia"/>
          <w:b w:val="0"/>
          <w:color w:val="000000"/>
          <w:sz w:val="32"/>
          <w:szCs w:val="32"/>
        </w:rPr>
        <w:t>:</w:t>
      </w:r>
      <w:r>
        <w:rPr>
          <w:rStyle w:val="a9"/>
          <w:rFonts w:ascii="仿宋_GB2312" w:eastAsia="仿宋_GB2312" w:hint="eastAsia"/>
          <w:b w:val="0"/>
          <w:sz w:val="32"/>
          <w:szCs w:val="32"/>
        </w:rPr>
        <w:t>反映</w:t>
      </w:r>
      <w:r>
        <w:rPr>
          <w:rStyle w:val="a9"/>
          <w:rFonts w:ascii="仿宋_GB2312" w:eastAsia="仿宋_GB2312" w:hint="eastAsia"/>
          <w:b w:val="0"/>
          <w:color w:val="000000"/>
          <w:sz w:val="32"/>
          <w:szCs w:val="32"/>
        </w:rPr>
        <w:t>卫生健康支出中的在职人员医疗保险。</w:t>
      </w:r>
    </w:p>
    <w:p w:rsidR="00B168A0" w:rsidRDefault="004808F4" w:rsidP="00C67A8A">
      <w:pPr>
        <w:pStyle w:val="20"/>
        <w:ind w:firstLine="640"/>
        <w:rPr>
          <w:rFonts w:ascii="仿宋_GB2312"/>
          <w:b w:val="0"/>
          <w:bCs/>
          <w:szCs w:val="32"/>
        </w:rPr>
      </w:pPr>
      <w:r>
        <w:rPr>
          <w:rFonts w:ascii="仿宋_GB2312" w:hAnsi="Calibri" w:cs="仿宋" w:hint="eastAsia"/>
          <w:b w:val="0"/>
          <w:bCs/>
          <w:color w:val="auto"/>
          <w:szCs w:val="32"/>
        </w:rPr>
        <w:t xml:space="preserve">14.社会保障和就业（类）行政事业单位养老支出（款）机关事业单位基本养老保险缴费支出（项）: </w:t>
      </w:r>
      <w:r>
        <w:rPr>
          <w:rFonts w:ascii="仿宋_GB2312" w:hint="eastAsia"/>
          <w:b w:val="0"/>
          <w:bCs/>
          <w:szCs w:val="32"/>
        </w:rPr>
        <w:t>主要用于在职在编人员基本养老保险支出。</w:t>
      </w:r>
    </w:p>
    <w:p w:rsidR="00B168A0" w:rsidRDefault="004808F4" w:rsidP="00C67A8A">
      <w:pPr>
        <w:pStyle w:val="20"/>
        <w:ind w:firstLine="640"/>
      </w:pPr>
      <w:r>
        <w:rPr>
          <w:rFonts w:ascii="仿宋_GB2312" w:hAnsi="Calibri" w:cs="仿宋" w:hint="eastAsia"/>
          <w:b w:val="0"/>
          <w:bCs/>
          <w:color w:val="auto"/>
          <w:szCs w:val="32"/>
        </w:rPr>
        <w:t xml:space="preserve">15.社会保障和就业（类）行政事业单位养老支出（款）机关事业单位职业年金缴费支出（项）: </w:t>
      </w:r>
      <w:r>
        <w:rPr>
          <w:rFonts w:ascii="仿宋_GB2312" w:hint="eastAsia"/>
          <w:b w:val="0"/>
          <w:bCs/>
          <w:szCs w:val="32"/>
        </w:rPr>
        <w:t>主要用于在职在编人员职业年金支出</w:t>
      </w:r>
      <w:r>
        <w:rPr>
          <w:rFonts w:ascii="仿宋_GB2312" w:hAnsi="Calibri" w:cs="仿宋" w:hint="eastAsia"/>
          <w:b w:val="0"/>
          <w:bCs/>
          <w:color w:val="auto"/>
          <w:szCs w:val="32"/>
        </w:rPr>
        <w:t>。</w:t>
      </w:r>
    </w:p>
    <w:p w:rsidR="00B168A0" w:rsidRDefault="004808F4">
      <w:pPr>
        <w:ind w:firstLineChars="200" w:firstLine="640"/>
        <w:rPr>
          <w:rFonts w:ascii="仿宋" w:eastAsia="仿宋" w:hAnsi="仿宋" w:cs="仿宋"/>
          <w:sz w:val="32"/>
          <w:szCs w:val="32"/>
        </w:rPr>
      </w:pPr>
      <w:r>
        <w:rPr>
          <w:rFonts w:ascii="仿宋" w:eastAsia="仿宋" w:hAnsi="仿宋" w:cs="仿宋" w:hint="eastAsia"/>
          <w:sz w:val="32"/>
          <w:szCs w:val="32"/>
        </w:rPr>
        <w:t>16.</w:t>
      </w:r>
      <w:r>
        <w:rPr>
          <w:rFonts w:ascii="仿宋_GB2312" w:eastAsia="仿宋_GB2312" w:hAnsi="Calibri" w:cs="仿宋" w:hint="eastAsia"/>
          <w:bCs/>
          <w:sz w:val="32"/>
          <w:szCs w:val="32"/>
        </w:rPr>
        <w:t>住房保障（类）住房改革支出（款）住房公积金（项）</w:t>
      </w:r>
      <w:r>
        <w:rPr>
          <w:rFonts w:ascii="仿宋" w:eastAsia="仿宋" w:hAnsi="仿宋" w:cs="仿宋" w:hint="eastAsia"/>
          <w:sz w:val="32"/>
          <w:szCs w:val="32"/>
        </w:rPr>
        <w:t>：反映行政事业单位按人力资源和社会保障部、财政部规定的基本工资和津贴补贴以及规定比例为职工缴纳的住房公积金。</w:t>
      </w:r>
    </w:p>
    <w:p w:rsidR="00B168A0" w:rsidRDefault="004808F4">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7.</w:t>
      </w:r>
      <w:r>
        <w:rPr>
          <w:rFonts w:ascii="仿宋_GB2312" w:eastAsia="仿宋_GB2312" w:hint="eastAsia"/>
          <w:sz w:val="32"/>
          <w:szCs w:val="32"/>
        </w:rPr>
        <w:t>基本支出：指为保障机构正常运转、完成日常工作任务而发生的人员支出和公用支出。</w:t>
      </w:r>
    </w:p>
    <w:p w:rsidR="00B168A0" w:rsidRDefault="004808F4">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8.</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B168A0" w:rsidRDefault="004808F4">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9.</w:t>
      </w:r>
      <w:r>
        <w:rPr>
          <w:rFonts w:ascii="仿宋_GB2312" w:eastAsia="仿宋_GB2312" w:hint="eastAsia"/>
          <w:sz w:val="32"/>
          <w:szCs w:val="32"/>
        </w:rPr>
        <w:t>经营支出：指事业单位在专业业务活动及其辅助活</w:t>
      </w:r>
      <w:r>
        <w:rPr>
          <w:rFonts w:ascii="仿宋_GB2312" w:eastAsia="仿宋_GB2312" w:hint="eastAsia"/>
          <w:sz w:val="32"/>
          <w:szCs w:val="32"/>
        </w:rPr>
        <w:lastRenderedPageBreak/>
        <w:t>动之外开展非独立核算经营活动发生的支出。</w:t>
      </w:r>
    </w:p>
    <w:p w:rsidR="00B168A0" w:rsidRDefault="004808F4">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Pr>
          <w:rFonts w:ascii="仿宋_GB2312" w:eastAsia="仿宋_GB2312"/>
          <w:color w:val="auto"/>
          <w:sz w:val="32"/>
          <w:szCs w:val="32"/>
        </w:rPr>
        <w:t>0.</w:t>
      </w:r>
      <w:r>
        <w:rPr>
          <w:rFonts w:ascii="仿宋_GB2312" w:eastAsia="仿宋_GB2312"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B168A0" w:rsidRDefault="004808F4">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Pr>
          <w:rFonts w:ascii="仿宋_GB2312" w:eastAsia="仿宋_GB2312"/>
          <w:color w:val="auto"/>
          <w:sz w:val="32"/>
          <w:szCs w:val="32"/>
        </w:rPr>
        <w:t>1.</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tbl>
      <w:tblPr>
        <w:tblpPr w:leftFromText="180" w:rightFromText="180" w:vertAnchor="text" w:horzAnchor="page" w:tblpXSpec="center" w:tblpY="423"/>
        <w:tblOverlap w:val="never"/>
        <w:tblW w:w="9604" w:type="dxa"/>
        <w:tblInd w:w="-15" w:type="dxa"/>
        <w:tblLayout w:type="fixed"/>
        <w:tblCellMar>
          <w:left w:w="0" w:type="dxa"/>
          <w:right w:w="0" w:type="dxa"/>
        </w:tblCellMar>
        <w:tblLook w:val="04A0"/>
      </w:tblPr>
      <w:tblGrid>
        <w:gridCol w:w="390"/>
        <w:gridCol w:w="1425"/>
        <w:gridCol w:w="1073"/>
        <w:gridCol w:w="2286"/>
        <w:gridCol w:w="2036"/>
        <w:gridCol w:w="2394"/>
      </w:tblGrid>
      <w:tr w:rsidR="00B168A0">
        <w:trPr>
          <w:trHeight w:val="1034"/>
        </w:trPr>
        <w:tc>
          <w:tcPr>
            <w:tcW w:w="9604" w:type="dxa"/>
            <w:gridSpan w:val="6"/>
            <w:vAlign w:val="center"/>
          </w:tcPr>
          <w:p w:rsidR="00B168A0" w:rsidRDefault="004808F4">
            <w:pPr>
              <w:spacing w:line="600" w:lineRule="exact"/>
              <w:jc w:val="center"/>
              <w:outlineLvl w:val="0"/>
              <w:rPr>
                <w:rStyle w:val="1Char"/>
                <w:rFonts w:ascii="黑体" w:eastAsia="黑体" w:hAnsi="黑体"/>
                <w:b w:val="0"/>
              </w:rPr>
            </w:pPr>
            <w:bookmarkStart w:id="69" w:name="_Toc27339"/>
            <w:r>
              <w:rPr>
                <w:rFonts w:ascii="黑体" w:eastAsia="黑体" w:hAnsi="黑体" w:hint="eastAsia"/>
                <w:sz w:val="44"/>
                <w:szCs w:val="44"/>
              </w:rPr>
              <w:t>第</w:t>
            </w:r>
            <w:r>
              <w:rPr>
                <w:rStyle w:val="1Char"/>
                <w:rFonts w:ascii="黑体" w:eastAsia="黑体" w:hAnsi="黑体" w:hint="eastAsia"/>
                <w:b w:val="0"/>
              </w:rPr>
              <w:t>四部分 附件</w:t>
            </w:r>
            <w:bookmarkEnd w:id="69"/>
          </w:p>
          <w:p w:rsidR="00B168A0" w:rsidRDefault="004808F4" w:rsidP="00C67A8A">
            <w:pPr>
              <w:pStyle w:val="a0"/>
              <w:spacing w:before="93"/>
              <w:rPr>
                <w:lang w:val="zh-CN"/>
              </w:rPr>
            </w:pPr>
            <w:r>
              <w:rPr>
                <w:rFonts w:ascii="黑体" w:eastAsia="黑体" w:hAnsi="黑体" w:cs="黑体" w:hint="eastAsia"/>
                <w:sz w:val="32"/>
                <w:szCs w:val="32"/>
              </w:rPr>
              <w:t>附件</w:t>
            </w:r>
          </w:p>
          <w:p w:rsidR="00B168A0" w:rsidRDefault="004808F4">
            <w:pPr>
              <w:pStyle w:val="UserStyle12"/>
              <w:widowControl/>
              <w:ind w:firstLineChars="0"/>
              <w:jc w:val="center"/>
              <w:textAlignment w:val="center"/>
              <w:rPr>
                <w:rStyle w:val="NormalCharacter"/>
                <w:rFonts w:ascii="宋体" w:hAnsi="宋体"/>
                <w:sz w:val="36"/>
                <w:szCs w:val="36"/>
              </w:rPr>
            </w:pPr>
            <w:r>
              <w:rPr>
                <w:rStyle w:val="NormalCharacter"/>
                <w:rFonts w:ascii="黑体" w:eastAsia="黑体" w:hAnsi="黑体" w:cs="宋体"/>
                <w:bCs/>
                <w:kern w:val="0"/>
                <w:sz w:val="36"/>
                <w:szCs w:val="36"/>
              </w:rPr>
              <w:t>项目支出绩效目标完成情况表</w:t>
            </w:r>
            <w:r>
              <w:rPr>
                <w:rStyle w:val="NormalCharacter"/>
                <w:rFonts w:ascii="宋体" w:hAnsi="宋体" w:cs="宋体"/>
                <w:b/>
                <w:bCs/>
                <w:kern w:val="0"/>
                <w:sz w:val="36"/>
                <w:szCs w:val="36"/>
              </w:rPr>
              <w:br/>
            </w:r>
            <w:r>
              <w:rPr>
                <w:rStyle w:val="NormalCharacter"/>
                <w:rFonts w:ascii="宋体" w:hAnsi="宋体"/>
                <w:kern w:val="0"/>
                <w:sz w:val="36"/>
                <w:szCs w:val="36"/>
              </w:rPr>
              <w:t>(202</w:t>
            </w:r>
            <w:r>
              <w:rPr>
                <w:rStyle w:val="NormalCharacter"/>
                <w:rFonts w:ascii="宋体" w:hAnsi="宋体" w:hint="eastAsia"/>
                <w:kern w:val="0"/>
                <w:sz w:val="36"/>
                <w:szCs w:val="36"/>
              </w:rPr>
              <w:t>1</w:t>
            </w:r>
            <w:r>
              <w:rPr>
                <w:rStyle w:val="NormalCharacter"/>
                <w:rFonts w:ascii="宋体" w:hAnsi="宋体"/>
                <w:kern w:val="0"/>
                <w:sz w:val="36"/>
                <w:szCs w:val="36"/>
              </w:rPr>
              <w:t>年度)</w:t>
            </w:r>
          </w:p>
        </w:tc>
      </w:tr>
      <w:tr w:rsidR="00B168A0">
        <w:trPr>
          <w:trHeight w:val="276"/>
        </w:trPr>
        <w:tc>
          <w:tcPr>
            <w:tcW w:w="2888" w:type="dxa"/>
            <w:gridSpan w:val="3"/>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项目名称</w:t>
            </w:r>
          </w:p>
        </w:tc>
        <w:tc>
          <w:tcPr>
            <w:tcW w:w="6716" w:type="dxa"/>
            <w:gridSpan w:val="3"/>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国家基本公共卫生免费服务项目</w:t>
            </w:r>
          </w:p>
        </w:tc>
      </w:tr>
      <w:tr w:rsidR="00B168A0">
        <w:trPr>
          <w:trHeight w:val="276"/>
        </w:trPr>
        <w:tc>
          <w:tcPr>
            <w:tcW w:w="2888" w:type="dxa"/>
            <w:gridSpan w:val="3"/>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预算单位</w:t>
            </w:r>
          </w:p>
        </w:tc>
        <w:tc>
          <w:tcPr>
            <w:tcW w:w="6716" w:type="dxa"/>
            <w:gridSpan w:val="3"/>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广元市昭化区</w:t>
            </w:r>
            <w:r>
              <w:rPr>
                <w:rStyle w:val="NormalCharacter"/>
                <w:rFonts w:ascii="宋体" w:hAnsi="宋体" w:hint="eastAsia"/>
                <w:sz w:val="24"/>
              </w:rPr>
              <w:t>太公中心卫生院</w:t>
            </w:r>
          </w:p>
        </w:tc>
      </w:tr>
      <w:tr w:rsidR="00B168A0">
        <w:trPr>
          <w:trHeight w:val="276"/>
        </w:trPr>
        <w:tc>
          <w:tcPr>
            <w:tcW w:w="390" w:type="dxa"/>
            <w:vMerge w:val="restart"/>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预算执行情</w:t>
            </w:r>
            <w:r>
              <w:rPr>
                <w:rStyle w:val="NormalCharacter"/>
                <w:rFonts w:ascii="宋体" w:hAnsi="宋体"/>
                <w:kern w:val="0"/>
                <w:sz w:val="24"/>
              </w:rPr>
              <w:lastRenderedPageBreak/>
              <w:t>况(万元)</w:t>
            </w:r>
          </w:p>
        </w:tc>
        <w:tc>
          <w:tcPr>
            <w:tcW w:w="2498" w:type="dxa"/>
            <w:gridSpan w:val="2"/>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lastRenderedPageBreak/>
              <w:t>预算数:</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hint="eastAsia"/>
                <w:sz w:val="24"/>
              </w:rPr>
              <w:t>58.67</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执行数:</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hint="eastAsia"/>
                <w:sz w:val="24"/>
              </w:rPr>
              <w:t>58.67</w:t>
            </w:r>
          </w:p>
        </w:tc>
      </w:tr>
      <w:tr w:rsidR="00B168A0">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2498" w:type="dxa"/>
            <w:gridSpan w:val="2"/>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其中-财政拨款:</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hint="eastAsia"/>
                <w:sz w:val="24"/>
              </w:rPr>
              <w:t>58.67</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其中-财政拨款:</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hint="eastAsia"/>
                <w:sz w:val="24"/>
              </w:rPr>
              <w:t>58.67</w:t>
            </w:r>
          </w:p>
        </w:tc>
      </w:tr>
      <w:tr w:rsidR="00B168A0">
        <w:trPr>
          <w:trHeight w:val="979"/>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2498" w:type="dxa"/>
            <w:gridSpan w:val="2"/>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其他资金:</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center"/>
              <w:textAlignment w:val="center"/>
              <w:rPr>
                <w:rStyle w:val="NormalCharacter"/>
                <w:rFonts w:ascii="宋体" w:hAnsi="宋体"/>
                <w:sz w:val="24"/>
              </w:rPr>
            </w:pP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其他资金:</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center"/>
              <w:textAlignment w:val="center"/>
              <w:rPr>
                <w:rStyle w:val="NormalCharacter"/>
                <w:rFonts w:ascii="宋体" w:hAnsi="宋体"/>
                <w:sz w:val="24"/>
              </w:rPr>
            </w:pPr>
          </w:p>
        </w:tc>
      </w:tr>
      <w:tr w:rsidR="00B168A0">
        <w:trPr>
          <w:trHeight w:val="276"/>
        </w:trPr>
        <w:tc>
          <w:tcPr>
            <w:tcW w:w="390" w:type="dxa"/>
            <w:vMerge w:val="restart"/>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预期目标</w:t>
            </w:r>
          </w:p>
        </w:tc>
        <w:tc>
          <w:tcPr>
            <w:tcW w:w="4430" w:type="dxa"/>
            <w:gridSpan w:val="2"/>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实际完成目标</w:t>
            </w:r>
          </w:p>
        </w:tc>
      </w:tr>
      <w:tr w:rsidR="00B168A0">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4784" w:type="dxa"/>
            <w:gridSpan w:val="3"/>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提高基本公共卫生服务项目均等化水平，规范公共卫生服务行为，推进基本公共卫生服务项目开展，加强孕产妇健康管理和儿童健康管理，全面完成2018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4430" w:type="dxa"/>
            <w:gridSpan w:val="2"/>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sz w:val="24"/>
              </w:rPr>
              <w:t>居民健康意识地有所提高和不良生活方式的有所改变，逐步树立起自我健康管理的理念；有效地预防和控制传染病及慢性病的发生和流行；提高了公共卫生服务和突发公共卫生服务应急处置能力，提高了居民健康素质。</w:t>
            </w:r>
          </w:p>
        </w:tc>
      </w:tr>
      <w:tr w:rsidR="00B168A0">
        <w:trPr>
          <w:trHeight w:val="1042"/>
        </w:trPr>
        <w:tc>
          <w:tcPr>
            <w:tcW w:w="390" w:type="dxa"/>
            <w:vMerge w:val="restart"/>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绩效指标完成情况</w:t>
            </w: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一级指标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二级指标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三级指标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预期指标值(包含数字及文字描述)</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实际完成指标值(包含数字及文字描述)</w:t>
            </w:r>
          </w:p>
        </w:tc>
      </w:tr>
      <w:tr w:rsidR="00B168A0">
        <w:trPr>
          <w:trHeight w:val="779"/>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适龄人群国家免疫规划疫苗接种率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≥90%以上</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92%，完成指标</w:t>
            </w:r>
          </w:p>
        </w:tc>
      </w:tr>
      <w:tr w:rsidR="00B168A0">
        <w:trPr>
          <w:trHeight w:val="710"/>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65岁以上老年人健康管理率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≥70%以上</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75.65%，完成指标</w:t>
            </w:r>
          </w:p>
        </w:tc>
      </w:tr>
      <w:tr w:rsidR="00B168A0">
        <w:trPr>
          <w:trHeight w:val="923"/>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中医药健康管理服务目标人群覆盖率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≥45%</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textAlignment w:val="center"/>
              <w:rPr>
                <w:rStyle w:val="NormalCharacter"/>
                <w:rFonts w:ascii="宋体" w:hAnsi="宋体"/>
                <w:sz w:val="24"/>
              </w:rPr>
            </w:pPr>
            <w:r>
              <w:rPr>
                <w:rStyle w:val="NormalCharacter"/>
                <w:rFonts w:ascii="宋体" w:hAnsi="宋体"/>
                <w:sz w:val="24"/>
              </w:rPr>
              <w:t>老年人：65.97%；0-36个月儿童：68.72%，</w:t>
            </w:r>
          </w:p>
          <w:p w:rsidR="00B168A0" w:rsidRDefault="004808F4">
            <w:pPr>
              <w:widowControl/>
              <w:jc w:val="center"/>
              <w:textAlignment w:val="center"/>
              <w:rPr>
                <w:rStyle w:val="NormalCharacter"/>
                <w:rFonts w:ascii="宋体" w:hAnsi="宋体"/>
                <w:sz w:val="24"/>
              </w:rPr>
            </w:pPr>
            <w:r>
              <w:rPr>
                <w:rStyle w:val="NormalCharacter"/>
                <w:rFonts w:ascii="宋体" w:hAnsi="宋体"/>
                <w:sz w:val="24"/>
              </w:rPr>
              <w:t>完成指标</w:t>
            </w:r>
          </w:p>
        </w:tc>
      </w:tr>
      <w:tr w:rsidR="00B168A0">
        <w:trPr>
          <w:trHeight w:val="634"/>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预防接种管理率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≥90%以上</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92%，完成指标</w:t>
            </w:r>
          </w:p>
        </w:tc>
      </w:tr>
      <w:tr w:rsidR="00B168A0">
        <w:trPr>
          <w:trHeight w:val="758"/>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高血压患者健康管理率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≥70%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hint="eastAsia"/>
                <w:sz w:val="24"/>
              </w:rPr>
              <w:t>90</w:t>
            </w:r>
            <w:r>
              <w:rPr>
                <w:rStyle w:val="NormalCharacter"/>
                <w:rFonts w:ascii="宋体" w:hAnsi="宋体"/>
                <w:sz w:val="24"/>
              </w:rPr>
              <w:t>%，完成指标</w:t>
            </w:r>
          </w:p>
        </w:tc>
      </w:tr>
      <w:tr w:rsidR="00B168A0">
        <w:trPr>
          <w:trHeight w:val="634"/>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高血压患者健康管理人数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hint="eastAsia"/>
                <w:sz w:val="24"/>
              </w:rPr>
              <w:t>508</w:t>
            </w:r>
            <w:r>
              <w:rPr>
                <w:rStyle w:val="NormalCharacter"/>
                <w:rFonts w:ascii="宋体" w:hAnsi="宋体"/>
                <w:sz w:val="24"/>
              </w:rPr>
              <w:t>人</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hint="eastAsia"/>
                <w:sz w:val="24"/>
              </w:rPr>
              <w:t>457</w:t>
            </w:r>
            <w:r>
              <w:rPr>
                <w:rStyle w:val="NormalCharacter"/>
                <w:rFonts w:ascii="宋体" w:hAnsi="宋体"/>
                <w:sz w:val="24"/>
              </w:rPr>
              <w:t>人</w:t>
            </w:r>
          </w:p>
        </w:tc>
      </w:tr>
      <w:tr w:rsidR="00B168A0">
        <w:trPr>
          <w:trHeight w:val="516"/>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糖尿病患者健康管理率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≥60%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hint="eastAsia"/>
                <w:sz w:val="24"/>
              </w:rPr>
              <w:t>90</w:t>
            </w:r>
            <w:r>
              <w:rPr>
                <w:rStyle w:val="NormalCharacter"/>
                <w:rFonts w:ascii="宋体" w:hAnsi="宋体"/>
                <w:sz w:val="24"/>
              </w:rPr>
              <w:t>%,完成指标</w:t>
            </w:r>
          </w:p>
        </w:tc>
      </w:tr>
      <w:tr w:rsidR="00B168A0">
        <w:trPr>
          <w:trHeight w:val="455"/>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糖尿病患者健康管理人数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hint="eastAsia"/>
                <w:sz w:val="24"/>
              </w:rPr>
              <w:t>108</w:t>
            </w:r>
            <w:r>
              <w:rPr>
                <w:rStyle w:val="NormalCharacter"/>
                <w:rFonts w:ascii="宋体" w:hAnsi="宋体"/>
                <w:sz w:val="24"/>
              </w:rPr>
              <w:t>人</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hint="eastAsia"/>
                <w:sz w:val="24"/>
              </w:rPr>
              <w:t>97</w:t>
            </w:r>
            <w:r>
              <w:rPr>
                <w:rStyle w:val="NormalCharacter"/>
                <w:rFonts w:ascii="宋体" w:hAnsi="宋体"/>
                <w:sz w:val="24"/>
              </w:rPr>
              <w:t>人</w:t>
            </w:r>
          </w:p>
        </w:tc>
      </w:tr>
      <w:tr w:rsidR="00B168A0">
        <w:trPr>
          <w:trHeight w:val="533"/>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严重精神障碍患者管理率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≥80%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83%，完成指标</w:t>
            </w:r>
          </w:p>
        </w:tc>
      </w:tr>
      <w:tr w:rsidR="00B168A0">
        <w:trPr>
          <w:trHeight w:val="566"/>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严重精神障碍患者健康管理人数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12人</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10人</w:t>
            </w:r>
          </w:p>
        </w:tc>
      </w:tr>
      <w:tr w:rsidR="00B168A0">
        <w:trPr>
          <w:trHeight w:val="689"/>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居民健康档案规范化电子建档率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≥93%</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98.59%，完成指标</w:t>
            </w:r>
          </w:p>
        </w:tc>
      </w:tr>
      <w:tr w:rsidR="00B168A0">
        <w:trPr>
          <w:trHeight w:val="510"/>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儿童健康管理率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≥85%</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86.34%，完成指标</w:t>
            </w:r>
          </w:p>
        </w:tc>
      </w:tr>
      <w:tr w:rsidR="00B168A0">
        <w:trPr>
          <w:trHeight w:val="579"/>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孕产妇健康管理率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≥85%</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85.95%，完成指标</w:t>
            </w:r>
          </w:p>
        </w:tc>
      </w:tr>
      <w:tr w:rsidR="00B168A0">
        <w:trPr>
          <w:trHeight w:val="579"/>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传染病及突发公共卫生事件报告和处理率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100%，完成指标</w:t>
            </w:r>
          </w:p>
        </w:tc>
      </w:tr>
      <w:tr w:rsidR="00B168A0">
        <w:trPr>
          <w:trHeight w:val="474"/>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结核病患者健康管理率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≥90%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100%，完成指标</w:t>
            </w:r>
          </w:p>
        </w:tc>
      </w:tr>
      <w:tr w:rsidR="00B168A0">
        <w:trPr>
          <w:trHeight w:val="538"/>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慢性病患者提供规范随访次数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≥4次</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4次及以上，完成指标</w:t>
            </w:r>
          </w:p>
        </w:tc>
      </w:tr>
      <w:tr w:rsidR="00B168A0">
        <w:trPr>
          <w:trHeight w:val="593"/>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慢性病患者提供健康体检次数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≥1次</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完成指标</w:t>
            </w:r>
          </w:p>
        </w:tc>
      </w:tr>
      <w:tr w:rsidR="00B168A0">
        <w:trPr>
          <w:trHeight w:val="721"/>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严重精神障碍患者提供规范随访次数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≥4次</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4次及以上，完成指标</w:t>
            </w:r>
          </w:p>
        </w:tc>
      </w:tr>
      <w:tr w:rsidR="00B168A0">
        <w:trPr>
          <w:trHeight w:val="820"/>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严重精神障碍患者提供健康体检次数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≥1次</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完成指标</w:t>
            </w:r>
          </w:p>
        </w:tc>
      </w:tr>
      <w:tr w:rsidR="00B168A0">
        <w:trPr>
          <w:trHeight w:val="655"/>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卫生监督协管信息报告率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100%，完成指标</w:t>
            </w:r>
          </w:p>
        </w:tc>
      </w:tr>
      <w:tr w:rsidR="00B168A0">
        <w:trPr>
          <w:trHeight w:val="642"/>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卫生监督协管巡查次数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textAlignment w:val="center"/>
              <w:rPr>
                <w:rStyle w:val="NormalCharacter"/>
                <w:rFonts w:ascii="宋体" w:hAnsi="宋体"/>
                <w:sz w:val="24"/>
              </w:rPr>
            </w:pPr>
            <w:r>
              <w:rPr>
                <w:rStyle w:val="NormalCharacter"/>
                <w:rFonts w:ascii="宋体" w:hAnsi="宋体"/>
                <w:sz w:val="24"/>
              </w:rPr>
              <w:t xml:space="preserve">       ≥4</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完成指标</w:t>
            </w:r>
          </w:p>
        </w:tc>
      </w:tr>
      <w:tr w:rsidR="00B168A0">
        <w:trPr>
          <w:trHeight w:val="655"/>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孕产妇孕期保健次数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≥5次</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完成指标</w:t>
            </w:r>
          </w:p>
        </w:tc>
      </w:tr>
      <w:tr w:rsidR="00B168A0">
        <w:trPr>
          <w:trHeight w:val="632"/>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数量指标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产后访视次数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2次</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完成指标</w:t>
            </w:r>
          </w:p>
        </w:tc>
      </w:tr>
      <w:tr w:rsidR="00B168A0">
        <w:trPr>
          <w:trHeight w:val="591"/>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高血压患者规范管理率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≥60%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72.47%，完成指标</w:t>
            </w:r>
          </w:p>
        </w:tc>
      </w:tr>
      <w:tr w:rsidR="00B168A0">
        <w:trPr>
          <w:trHeight w:val="579"/>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糖尿病患者规范管理率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≥60%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66.65%，完成指标</w:t>
            </w:r>
          </w:p>
        </w:tc>
      </w:tr>
      <w:tr w:rsidR="00B168A0">
        <w:trPr>
          <w:trHeight w:val="573"/>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老年人健康管理率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≥67%</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75.65%，完成指标</w:t>
            </w:r>
          </w:p>
        </w:tc>
      </w:tr>
      <w:tr w:rsidR="00B168A0">
        <w:trPr>
          <w:trHeight w:val="519"/>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高血压患者健康管理率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≥70%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72.47%，完成指标</w:t>
            </w:r>
          </w:p>
        </w:tc>
      </w:tr>
      <w:tr w:rsidR="00B168A0">
        <w:trPr>
          <w:trHeight w:val="367"/>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糖尿病患者健康管理率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≥60%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66.65%,完成指标</w:t>
            </w:r>
          </w:p>
        </w:tc>
      </w:tr>
      <w:tr w:rsidR="00B168A0">
        <w:trPr>
          <w:trHeight w:val="559"/>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严重精神障碍患者管理率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≥80%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84.11%，完成指标</w:t>
            </w:r>
          </w:p>
        </w:tc>
      </w:tr>
      <w:tr w:rsidR="00B168A0">
        <w:trPr>
          <w:trHeight w:val="380"/>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传染病及突发公共卫生事件报告和处理率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100%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100%，完成指标</w:t>
            </w:r>
          </w:p>
        </w:tc>
      </w:tr>
      <w:tr w:rsidR="00B168A0">
        <w:trPr>
          <w:trHeight w:val="463"/>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结核病患者健康管理率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≥90%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100%，完成指标</w:t>
            </w:r>
          </w:p>
        </w:tc>
      </w:tr>
      <w:tr w:rsidR="00B168A0">
        <w:trPr>
          <w:trHeight w:val="601"/>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建档立卡贫困人口家庭医生签约率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100%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100%，完成指标</w:t>
            </w:r>
          </w:p>
        </w:tc>
      </w:tr>
      <w:tr w:rsidR="00B168A0">
        <w:trPr>
          <w:trHeight w:val="546"/>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居民健康档案规范化电子建档率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≥93%</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98.59%，完成指标</w:t>
            </w:r>
          </w:p>
        </w:tc>
      </w:tr>
      <w:tr w:rsidR="00B168A0">
        <w:trPr>
          <w:trHeight w:val="518"/>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儿童健康管理率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≥85%</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86.34%，完成指标</w:t>
            </w:r>
          </w:p>
        </w:tc>
      </w:tr>
      <w:tr w:rsidR="00B168A0">
        <w:trPr>
          <w:trHeight w:val="468"/>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孕产妇健康管理率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≥85%</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85.95%，完成指标</w:t>
            </w:r>
          </w:p>
        </w:tc>
      </w:tr>
      <w:tr w:rsidR="00B168A0">
        <w:trPr>
          <w:trHeight w:val="546"/>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新生儿访视率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≥85%</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86.05%，完成指标</w:t>
            </w:r>
          </w:p>
        </w:tc>
      </w:tr>
      <w:tr w:rsidR="00B168A0">
        <w:trPr>
          <w:trHeight w:val="504"/>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0-6岁儿童健康管理率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≥85%</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86.34%，完成指标</w:t>
            </w:r>
          </w:p>
        </w:tc>
      </w:tr>
      <w:tr w:rsidR="00B168A0">
        <w:trPr>
          <w:trHeight w:val="436"/>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产后访视率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≥85%</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85.95%，完成指标</w:t>
            </w:r>
          </w:p>
        </w:tc>
      </w:tr>
      <w:tr w:rsidR="00B168A0">
        <w:trPr>
          <w:trHeight w:val="1050"/>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开展卫生监督协管工作年度内报告的有关事件或线索的次数</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100%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100%，完成指标</w:t>
            </w:r>
          </w:p>
        </w:tc>
      </w:tr>
      <w:tr w:rsidR="00B168A0">
        <w:trPr>
          <w:trHeight w:val="1050"/>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产出指标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质量指标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年度内开展生活饮用水卫生、学校卫生、非法行医、计划生育、非法采供血实地巡查和信息报告工作</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100%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100%，完成指标</w:t>
            </w:r>
          </w:p>
        </w:tc>
      </w:tr>
      <w:tr w:rsidR="00B168A0">
        <w:trPr>
          <w:trHeight w:val="1050"/>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效益指标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实效指标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4"/>
              </w:rPr>
              <w:t>甲类传染病、乙类传染病中的肺炭疽、非典型肺炎疫情报告时限</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2小时内</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完成指标</w:t>
            </w:r>
          </w:p>
        </w:tc>
      </w:tr>
      <w:tr w:rsidR="00B168A0">
        <w:trPr>
          <w:trHeight w:val="505"/>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效益指标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实效指标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乙类传染病和丙类传染病疫情报告时限</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24小时内</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完成指标</w:t>
            </w:r>
          </w:p>
        </w:tc>
      </w:tr>
      <w:tr w:rsidR="00B168A0">
        <w:trPr>
          <w:trHeight w:val="601"/>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效益指标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实效指标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卫生监督信息上报时效</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5个工作日内</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完成指标</w:t>
            </w:r>
          </w:p>
        </w:tc>
      </w:tr>
      <w:tr w:rsidR="00B168A0">
        <w:trPr>
          <w:trHeight w:val="931"/>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效益指标</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社会效益指标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病原学阳性肺结核患者治愈率和病原学阴性肺结核治疗成功率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≥90%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91%，完成指标</w:t>
            </w:r>
          </w:p>
        </w:tc>
      </w:tr>
      <w:tr w:rsidR="00B168A0">
        <w:trPr>
          <w:trHeight w:val="642"/>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效益指标</w:t>
            </w: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jc w:val="center"/>
              <w:textAlignment w:val="baseline"/>
              <w:rPr>
                <w:rStyle w:val="NormalCharacter"/>
                <w:rFonts w:ascii="宋体" w:hAnsi="宋体"/>
                <w:sz w:val="24"/>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居民健康保健意识和健康知识知晓率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逐步提高</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75%，完成指标</w:t>
            </w:r>
          </w:p>
        </w:tc>
      </w:tr>
      <w:tr w:rsidR="00B168A0">
        <w:trPr>
          <w:trHeight w:val="711"/>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效益指标</w:t>
            </w: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jc w:val="center"/>
              <w:textAlignment w:val="baseline"/>
              <w:rPr>
                <w:rStyle w:val="NormalCharacter"/>
                <w:rFonts w:ascii="宋体" w:hAnsi="宋体"/>
                <w:sz w:val="24"/>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建档立卡贫困人口健康保健意识和健康知识知晓率</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4"/>
              </w:rPr>
              <w:t>大幅度提高</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85%，完成指标</w:t>
            </w:r>
          </w:p>
        </w:tc>
      </w:tr>
      <w:tr w:rsidR="00B168A0">
        <w:trPr>
          <w:trHeight w:val="518"/>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效益指标</w:t>
            </w: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jc w:val="center"/>
              <w:textAlignment w:val="baseline"/>
              <w:rPr>
                <w:rStyle w:val="NormalCharacter"/>
                <w:rFonts w:ascii="宋体" w:hAnsi="宋体"/>
                <w:sz w:val="24"/>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建立全县各乡镇卫生监督协管站</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28个</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28个，完成指标</w:t>
            </w:r>
          </w:p>
        </w:tc>
      </w:tr>
      <w:tr w:rsidR="00B168A0">
        <w:trPr>
          <w:trHeight w:val="408"/>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效益指标</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可持续影响指标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居民健康水平提高</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中长期</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逐步提高</w:t>
            </w:r>
          </w:p>
        </w:tc>
      </w:tr>
      <w:tr w:rsidR="00B168A0">
        <w:trPr>
          <w:trHeight w:val="450"/>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效益指标</w:t>
            </w: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jc w:val="center"/>
              <w:textAlignment w:val="baseline"/>
              <w:rPr>
                <w:rStyle w:val="NormalCharacter"/>
                <w:rFonts w:ascii="宋体" w:hAnsi="宋体"/>
                <w:sz w:val="24"/>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公共卫生均等化水平提高</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中长期</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逐步提高</w:t>
            </w:r>
          </w:p>
        </w:tc>
      </w:tr>
      <w:tr w:rsidR="00B168A0">
        <w:trPr>
          <w:trHeight w:val="1050"/>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效益指标</w:t>
            </w: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pPr>
              <w:jc w:val="center"/>
              <w:textAlignment w:val="baseline"/>
              <w:rPr>
                <w:rStyle w:val="NormalCharacter"/>
                <w:rFonts w:ascii="宋体" w:hAnsi="宋体"/>
                <w:sz w:val="24"/>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建立健全“责权明晰、任务明确、工作规范、上下联动、运转高效”的卫生监督体系，为广大群众提供公共卫生安全保障</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长期</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逐步提高</w:t>
            </w:r>
          </w:p>
        </w:tc>
      </w:tr>
      <w:tr w:rsidR="00B168A0">
        <w:trPr>
          <w:trHeight w:val="583"/>
        </w:trPr>
        <w:tc>
          <w:tcPr>
            <w:tcW w:w="390" w:type="dxa"/>
            <w:tcBorders>
              <w:top w:val="single" w:sz="4" w:space="0" w:color="000000"/>
              <w:left w:val="single" w:sz="4" w:space="0" w:color="000000"/>
              <w:bottom w:val="single" w:sz="4" w:space="0" w:color="000000"/>
              <w:right w:val="single" w:sz="4" w:space="0" w:color="000000"/>
            </w:tcBorders>
            <w:vAlign w:val="center"/>
          </w:tcPr>
          <w:p w:rsidR="00B168A0" w:rsidRDefault="00B168A0">
            <w:pPr>
              <w:widowControl/>
              <w:jc w:val="left"/>
              <w:textAlignment w:val="baseline"/>
              <w:rPr>
                <w:rStyle w:val="NormalCharacter"/>
                <w:rFonts w:ascii="宋体" w:hAnsi="宋体"/>
                <w:sz w:val="24"/>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kern w:val="0"/>
                <w:sz w:val="24"/>
              </w:rPr>
            </w:pPr>
            <w:r>
              <w:rPr>
                <w:rStyle w:val="NormalCharacter"/>
                <w:rFonts w:ascii="宋体" w:hAnsi="宋体"/>
                <w:kern w:val="0"/>
                <w:sz w:val="24"/>
              </w:rPr>
              <w:t>满意度指标</w:t>
            </w:r>
          </w:p>
        </w:tc>
        <w:tc>
          <w:tcPr>
            <w:tcW w:w="1073"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服务对象</w:t>
            </w:r>
            <w:r>
              <w:rPr>
                <w:rStyle w:val="NormalCharacter"/>
                <w:rFonts w:ascii="宋体" w:hAnsi="宋体"/>
                <w:kern w:val="0"/>
                <w:sz w:val="20"/>
                <w:szCs w:val="20"/>
              </w:rPr>
              <w:br/>
              <w:t>满意度指标</w:t>
            </w:r>
          </w:p>
        </w:tc>
        <w:tc>
          <w:tcPr>
            <w:tcW w:w="228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left"/>
              <w:textAlignment w:val="center"/>
              <w:rPr>
                <w:rStyle w:val="NormalCharacter"/>
                <w:rFonts w:ascii="宋体" w:hAnsi="宋体"/>
                <w:sz w:val="24"/>
              </w:rPr>
            </w:pPr>
            <w:r>
              <w:rPr>
                <w:rStyle w:val="NormalCharacter"/>
                <w:rFonts w:ascii="宋体" w:hAnsi="宋体"/>
                <w:kern w:val="0"/>
                <w:sz w:val="20"/>
                <w:szCs w:val="20"/>
              </w:rPr>
              <w:t>居民满意度、建档立卡贫困户满意度。</w:t>
            </w:r>
          </w:p>
        </w:tc>
        <w:tc>
          <w:tcPr>
            <w:tcW w:w="2036"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kern w:val="0"/>
                <w:sz w:val="20"/>
                <w:szCs w:val="20"/>
              </w:rPr>
              <w:t>≥90%</w:t>
            </w:r>
          </w:p>
        </w:tc>
        <w:tc>
          <w:tcPr>
            <w:tcW w:w="2394" w:type="dxa"/>
            <w:tcBorders>
              <w:top w:val="single" w:sz="4" w:space="0" w:color="000000"/>
              <w:left w:val="single" w:sz="4" w:space="0" w:color="000000"/>
              <w:bottom w:val="single" w:sz="4" w:space="0" w:color="000000"/>
              <w:right w:val="single" w:sz="4" w:space="0" w:color="000000"/>
            </w:tcBorders>
            <w:vAlign w:val="center"/>
          </w:tcPr>
          <w:p w:rsidR="00B168A0" w:rsidRDefault="004808F4">
            <w:pPr>
              <w:widowControl/>
              <w:jc w:val="center"/>
              <w:textAlignment w:val="center"/>
              <w:rPr>
                <w:rStyle w:val="NormalCharacter"/>
                <w:rFonts w:ascii="宋体" w:hAnsi="宋体"/>
                <w:sz w:val="24"/>
              </w:rPr>
            </w:pPr>
            <w:r>
              <w:rPr>
                <w:rStyle w:val="NormalCharacter"/>
                <w:rFonts w:ascii="宋体" w:hAnsi="宋体"/>
                <w:sz w:val="24"/>
              </w:rPr>
              <w:t>90%</w:t>
            </w:r>
          </w:p>
        </w:tc>
      </w:tr>
    </w:tbl>
    <w:p w:rsidR="00B168A0" w:rsidRDefault="00B168A0">
      <w:pPr>
        <w:pStyle w:val="BodyText1I2"/>
        <w:widowControl/>
        <w:textAlignment w:val="baseline"/>
        <w:rPr>
          <w:rStyle w:val="NormalCharacter"/>
          <w:b w:val="0"/>
        </w:rPr>
      </w:pPr>
    </w:p>
    <w:p w:rsidR="00B168A0" w:rsidRDefault="00B168A0">
      <w:pPr>
        <w:pStyle w:val="Default"/>
        <w:spacing w:line="560" w:lineRule="exact"/>
        <w:ind w:firstLineChars="200" w:firstLine="640"/>
        <w:rPr>
          <w:rFonts w:ascii="仿宋_GB2312" w:eastAsia="仿宋_GB2312" w:cs="黑体"/>
          <w:color w:val="auto"/>
          <w:sz w:val="32"/>
          <w:szCs w:val="32"/>
        </w:rPr>
      </w:pPr>
    </w:p>
    <w:p w:rsidR="00B168A0" w:rsidRDefault="00B168A0">
      <w:pPr>
        <w:pStyle w:val="Default"/>
        <w:spacing w:line="560" w:lineRule="exact"/>
        <w:ind w:firstLineChars="200" w:firstLine="640"/>
        <w:rPr>
          <w:rFonts w:ascii="仿宋_GB2312" w:eastAsia="仿宋_GB2312" w:cs="黑体"/>
          <w:color w:val="auto"/>
          <w:sz w:val="32"/>
          <w:szCs w:val="32"/>
        </w:rPr>
      </w:pPr>
    </w:p>
    <w:p w:rsidR="00B168A0" w:rsidRDefault="00B168A0">
      <w:pPr>
        <w:pStyle w:val="Default"/>
        <w:spacing w:line="560" w:lineRule="exact"/>
        <w:ind w:firstLineChars="200" w:firstLine="640"/>
        <w:rPr>
          <w:rFonts w:ascii="仿宋_GB2312" w:eastAsia="仿宋_GB2312" w:cs="黑体"/>
          <w:color w:val="auto"/>
          <w:sz w:val="32"/>
          <w:szCs w:val="32"/>
        </w:rPr>
      </w:pPr>
    </w:p>
    <w:tbl>
      <w:tblPr>
        <w:tblpPr w:leftFromText="180" w:rightFromText="180" w:vertAnchor="text" w:horzAnchor="page" w:tblpXSpec="center" w:tblpY="423"/>
        <w:tblOverlap w:val="never"/>
        <w:tblW w:w="9960" w:type="dxa"/>
        <w:tblInd w:w="5" w:type="dxa"/>
        <w:tblLayout w:type="fixed"/>
        <w:tblCellMar>
          <w:left w:w="0" w:type="dxa"/>
          <w:right w:w="0" w:type="dxa"/>
        </w:tblCellMar>
        <w:tblLook w:val="04A0"/>
      </w:tblPr>
      <w:tblGrid>
        <w:gridCol w:w="390"/>
        <w:gridCol w:w="1367"/>
        <w:gridCol w:w="1025"/>
        <w:gridCol w:w="2392"/>
        <w:gridCol w:w="2394"/>
        <w:gridCol w:w="2392"/>
      </w:tblGrid>
      <w:tr w:rsidR="00B168A0">
        <w:trPr>
          <w:trHeight w:val="1034"/>
        </w:trPr>
        <w:tc>
          <w:tcPr>
            <w:tcW w:w="9960" w:type="dxa"/>
            <w:gridSpan w:val="6"/>
            <w:tcBorders>
              <w:top w:val="nil"/>
              <w:left w:val="nil"/>
              <w:bottom w:val="nil"/>
              <w:right w:val="nil"/>
            </w:tcBorders>
            <w:tcMar>
              <w:top w:w="15" w:type="dxa"/>
              <w:left w:w="15" w:type="dxa"/>
              <w:right w:w="15" w:type="dxa"/>
            </w:tcMar>
            <w:vAlign w:val="center"/>
          </w:tcPr>
          <w:p w:rsidR="00B168A0" w:rsidRDefault="004808F4">
            <w:pPr>
              <w:pStyle w:val="ab"/>
              <w:widowControl/>
              <w:ind w:leftChars="1310" w:left="4173" w:hangingChars="395" w:hanging="1422"/>
              <w:textAlignment w:val="center"/>
              <w:rPr>
                <w:rFonts w:ascii="宋体" w:cs="宋体"/>
                <w:sz w:val="36"/>
                <w:szCs w:val="36"/>
              </w:rPr>
            </w:pPr>
            <w:r>
              <w:rPr>
                <w:rFonts w:ascii="黑体" w:eastAsia="黑体" w:cs="宋体" w:hint="eastAsia"/>
                <w:bCs/>
                <w:kern w:val="0"/>
                <w:sz w:val="36"/>
                <w:szCs w:val="36"/>
              </w:rPr>
              <w:t>项目支出绩效目标完成情况表</w:t>
            </w:r>
            <w:r>
              <w:rPr>
                <w:rFonts w:ascii="宋体" w:cs="宋体" w:hint="eastAsia"/>
                <w:b/>
                <w:bCs/>
                <w:kern w:val="0"/>
                <w:sz w:val="36"/>
                <w:szCs w:val="36"/>
              </w:rPr>
              <w:br/>
            </w:r>
            <w:r>
              <w:rPr>
                <w:rFonts w:ascii="宋体" w:cs="宋体" w:hint="eastAsia"/>
                <w:kern w:val="0"/>
                <w:sz w:val="36"/>
                <w:szCs w:val="36"/>
              </w:rPr>
              <w:t>(2021 年度)</w:t>
            </w:r>
          </w:p>
        </w:tc>
      </w:tr>
      <w:tr w:rsidR="00B168A0">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村卫生站基本药物制度</w:t>
            </w:r>
          </w:p>
        </w:tc>
      </w:tr>
      <w:tr w:rsidR="00B168A0">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太公中心卫生院</w:t>
            </w:r>
          </w:p>
        </w:tc>
      </w:tr>
      <w:tr w:rsidR="00B168A0">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21.74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21.74</w:t>
            </w:r>
          </w:p>
        </w:tc>
      </w:tr>
      <w:tr w:rsidR="00B168A0">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21.74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21.74</w:t>
            </w:r>
          </w:p>
        </w:tc>
      </w:tr>
      <w:tr w:rsidR="00B168A0">
        <w:trPr>
          <w:trHeight w:val="1271"/>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jc w:val="center"/>
              <w:rPr>
                <w:rFonts w:ascii="宋体" w:cs="宋体"/>
                <w:sz w:val="24"/>
              </w:rPr>
            </w:pPr>
            <w:r>
              <w:rPr>
                <w:rFonts w:ascii="宋体" w:cs="宋体" w:hint="eastAsia"/>
                <w:sz w:val="24"/>
              </w:rPr>
              <w:t>0</w:t>
            </w:r>
          </w:p>
        </w:tc>
      </w:tr>
      <w:tr w:rsidR="00B168A0">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实际完成目标</w:t>
            </w:r>
          </w:p>
        </w:tc>
      </w:tr>
      <w:tr w:rsidR="00B168A0">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乡村卫生室全面落实基本药物制度，药品实施零加成，规范药品采购程序。</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left"/>
              <w:textAlignment w:val="center"/>
              <w:rPr>
                <w:rFonts w:ascii="宋体" w:cs="宋体"/>
                <w:sz w:val="24"/>
              </w:rPr>
            </w:pPr>
            <w:r>
              <w:rPr>
                <w:rFonts w:ascii="宋体" w:cs="宋体" w:hint="eastAsia"/>
                <w:sz w:val="24"/>
              </w:rPr>
              <w:t>所有村卫生室100%落实了基本药物制度，100%基本药物实行零加成。</w:t>
            </w:r>
          </w:p>
        </w:tc>
      </w:tr>
      <w:tr w:rsidR="00B168A0">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实际完成指标值(包含数字及文字描述)</w:t>
            </w:r>
          </w:p>
        </w:tc>
      </w:tr>
      <w:tr w:rsidR="00B168A0">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所有村卫生站实施基本药物制度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村卫生室全部基药实施零加成，基药补助100%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落实了基本药物零加成制度，1-8月基药补助到位68.9%</w:t>
            </w:r>
          </w:p>
        </w:tc>
      </w:tr>
      <w:tr w:rsidR="00B168A0">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药品零加成，群众就医获得感加强，就近就医明显增加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群众获得感明显加强，就近就医率明显提升。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门诊人次上升5%</w:t>
            </w:r>
          </w:p>
        </w:tc>
      </w:tr>
      <w:tr w:rsidR="00B168A0">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可持续影响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全面落实基本药物零加成制度，减轻群众就医负担</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群众就医负担明显减轻，就医成本明显下降。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均次费用下降5元</w:t>
            </w:r>
          </w:p>
        </w:tc>
      </w:tr>
      <w:tr w:rsidR="00B168A0">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B168A0" w:rsidRDefault="00B168A0"/>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群众满意度指标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群众满意度提升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90%以上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68A0" w:rsidRDefault="004808F4">
            <w:pPr>
              <w:widowControl/>
              <w:jc w:val="center"/>
              <w:textAlignment w:val="center"/>
              <w:rPr>
                <w:rFonts w:ascii="宋体" w:cs="宋体"/>
                <w:sz w:val="24"/>
              </w:rPr>
            </w:pPr>
            <w:r>
              <w:rPr>
                <w:rFonts w:ascii="宋体" w:cs="宋体" w:hint="eastAsia"/>
                <w:sz w:val="24"/>
              </w:rPr>
              <w:t>92%</w:t>
            </w:r>
          </w:p>
        </w:tc>
      </w:tr>
    </w:tbl>
    <w:p w:rsidR="00B168A0" w:rsidRDefault="00B168A0">
      <w:pPr>
        <w:rPr>
          <w:rFonts w:ascii="Calibri" w:hAnsi="Calibri"/>
          <w:color w:val="0000FF"/>
        </w:rPr>
      </w:pPr>
    </w:p>
    <w:p w:rsidR="00B168A0" w:rsidRDefault="004808F4">
      <w:pPr>
        <w:pStyle w:val="Default"/>
        <w:spacing w:line="560" w:lineRule="exact"/>
        <w:ind w:firstLineChars="200" w:firstLine="880"/>
        <w:rPr>
          <w:rFonts w:ascii="仿宋_GB2312" w:eastAsia="仿宋_GB2312" w:cs="黑体"/>
          <w:color w:val="auto"/>
          <w:sz w:val="32"/>
          <w:szCs w:val="32"/>
        </w:rPr>
      </w:pPr>
      <w:r>
        <w:rPr>
          <w:rStyle w:val="1Char1"/>
          <w:rFonts w:ascii="黑体" w:eastAsia="黑体" w:hAnsi="黑体"/>
          <w:b w:val="0"/>
        </w:rPr>
        <w:br w:type="page"/>
      </w:r>
    </w:p>
    <w:p w:rsidR="00B168A0" w:rsidRDefault="00B168A0">
      <w:pPr>
        <w:pStyle w:val="Default"/>
        <w:spacing w:line="560" w:lineRule="exact"/>
        <w:ind w:firstLineChars="200" w:firstLine="640"/>
        <w:rPr>
          <w:rFonts w:ascii="仿宋_GB2312" w:eastAsia="仿宋_GB2312" w:cs="黑体"/>
          <w:color w:val="auto"/>
          <w:sz w:val="32"/>
          <w:szCs w:val="32"/>
        </w:rPr>
      </w:pPr>
    </w:p>
    <w:p w:rsidR="00B168A0" w:rsidRDefault="00B168A0">
      <w:pPr>
        <w:pStyle w:val="Default"/>
        <w:spacing w:line="560" w:lineRule="exact"/>
        <w:ind w:firstLineChars="200" w:firstLine="640"/>
        <w:rPr>
          <w:rFonts w:ascii="仿宋_GB2312" w:eastAsia="仿宋_GB2312" w:cs="黑体"/>
          <w:color w:val="auto"/>
          <w:sz w:val="32"/>
          <w:szCs w:val="32"/>
        </w:rPr>
      </w:pPr>
    </w:p>
    <w:p w:rsidR="00B168A0" w:rsidRDefault="00B168A0">
      <w:pPr>
        <w:pStyle w:val="Default"/>
        <w:spacing w:line="560" w:lineRule="exact"/>
        <w:ind w:firstLineChars="200" w:firstLine="640"/>
        <w:rPr>
          <w:rFonts w:ascii="仿宋_GB2312" w:eastAsia="仿宋_GB2312" w:cs="黑体"/>
          <w:color w:val="auto"/>
          <w:sz w:val="32"/>
          <w:szCs w:val="32"/>
        </w:rPr>
      </w:pPr>
    </w:p>
    <w:p w:rsidR="00B168A0" w:rsidRDefault="00B168A0">
      <w:pPr>
        <w:pStyle w:val="Default"/>
        <w:spacing w:line="560" w:lineRule="exact"/>
        <w:ind w:firstLineChars="200" w:firstLine="640"/>
        <w:rPr>
          <w:rFonts w:ascii="仿宋_GB2312" w:eastAsia="仿宋_GB2312" w:cs="黑体"/>
          <w:color w:val="auto"/>
          <w:sz w:val="32"/>
          <w:szCs w:val="32"/>
        </w:rPr>
      </w:pPr>
    </w:p>
    <w:p w:rsidR="00B168A0" w:rsidRDefault="00B168A0">
      <w:pPr>
        <w:spacing w:line="600" w:lineRule="exact"/>
        <w:jc w:val="center"/>
        <w:rPr>
          <w:rFonts w:ascii="黑体" w:eastAsia="黑体" w:hAnsi="黑体"/>
          <w:sz w:val="44"/>
          <w:szCs w:val="44"/>
        </w:rPr>
      </w:pPr>
      <w:bookmarkStart w:id="70" w:name="_Toc15377226"/>
      <w:bookmarkStart w:id="71" w:name="_Toc15396618"/>
    </w:p>
    <w:p w:rsidR="00B168A0" w:rsidRDefault="00B168A0">
      <w:pPr>
        <w:spacing w:line="600" w:lineRule="exact"/>
        <w:jc w:val="center"/>
        <w:rPr>
          <w:rFonts w:ascii="黑体" w:eastAsia="黑体" w:hAnsi="黑体"/>
          <w:sz w:val="44"/>
          <w:szCs w:val="44"/>
        </w:rPr>
      </w:pPr>
    </w:p>
    <w:p w:rsidR="00B168A0" w:rsidRDefault="004808F4">
      <w:pPr>
        <w:spacing w:line="600" w:lineRule="exact"/>
        <w:jc w:val="center"/>
        <w:outlineLvl w:val="0"/>
        <w:rPr>
          <w:rFonts w:ascii="仿宋" w:eastAsia="仿宋" w:hAnsi="仿宋"/>
        </w:rPr>
      </w:pPr>
      <w:bookmarkStart w:id="72" w:name="_Toc24207"/>
      <w:r>
        <w:rPr>
          <w:rFonts w:ascii="黑体" w:eastAsia="黑体" w:hAnsi="黑体" w:hint="eastAsia"/>
          <w:sz w:val="44"/>
          <w:szCs w:val="44"/>
        </w:rPr>
        <w:t>第五</w:t>
      </w:r>
      <w:r>
        <w:rPr>
          <w:rStyle w:val="1Char"/>
          <w:rFonts w:ascii="黑体" w:eastAsia="黑体" w:hAnsi="黑体" w:hint="eastAsia"/>
          <w:b w:val="0"/>
        </w:rPr>
        <w:t>部分 附表</w:t>
      </w:r>
      <w:bookmarkStart w:id="73" w:name="_Toc15396619"/>
      <w:bookmarkEnd w:id="70"/>
      <w:bookmarkEnd w:id="71"/>
      <w:bookmarkEnd w:id="72"/>
    </w:p>
    <w:p w:rsidR="00B168A0" w:rsidRDefault="004808F4">
      <w:pPr>
        <w:pStyle w:val="2"/>
        <w:rPr>
          <w:rFonts w:ascii="仿宋" w:eastAsia="仿宋" w:hAnsi="仿宋"/>
        </w:rPr>
      </w:pPr>
      <w:bookmarkStart w:id="74" w:name="_Toc15643"/>
      <w:r>
        <w:rPr>
          <w:rFonts w:ascii="仿宋" w:eastAsia="仿宋" w:hAnsi="仿宋" w:hint="eastAsia"/>
          <w:b w:val="0"/>
        </w:rPr>
        <w:lastRenderedPageBreak/>
        <w:t>一、收</w:t>
      </w:r>
      <w:r>
        <w:rPr>
          <w:rStyle w:val="2Char"/>
          <w:rFonts w:ascii="仿宋" w:eastAsia="仿宋" w:hAnsi="仿宋" w:hint="eastAsia"/>
        </w:rPr>
        <w:t>入支出决算总表</w:t>
      </w:r>
      <w:bookmarkEnd w:id="73"/>
      <w:bookmarkEnd w:id="74"/>
    </w:p>
    <w:p w:rsidR="00B168A0" w:rsidRDefault="004808F4">
      <w:pPr>
        <w:pStyle w:val="2"/>
        <w:rPr>
          <w:rFonts w:ascii="仿宋" w:eastAsia="仿宋" w:hAnsi="仿宋"/>
        </w:rPr>
      </w:pPr>
      <w:bookmarkStart w:id="75" w:name="_Toc15396620"/>
      <w:bookmarkStart w:id="76" w:name="_Toc11947"/>
      <w:r>
        <w:rPr>
          <w:rFonts w:ascii="仿宋" w:eastAsia="仿宋" w:hAnsi="仿宋" w:hint="eastAsia"/>
          <w:b w:val="0"/>
        </w:rPr>
        <w:t>二、收</w:t>
      </w:r>
      <w:r>
        <w:rPr>
          <w:rStyle w:val="2Char"/>
          <w:rFonts w:ascii="仿宋" w:eastAsia="仿宋" w:hAnsi="仿宋" w:hint="eastAsia"/>
        </w:rPr>
        <w:t>入决算表</w:t>
      </w:r>
      <w:bookmarkEnd w:id="75"/>
      <w:bookmarkEnd w:id="76"/>
    </w:p>
    <w:p w:rsidR="00B168A0" w:rsidRDefault="004808F4">
      <w:pPr>
        <w:pStyle w:val="2"/>
        <w:rPr>
          <w:rFonts w:ascii="仿宋" w:eastAsia="仿宋" w:hAnsi="仿宋"/>
        </w:rPr>
      </w:pPr>
      <w:bookmarkStart w:id="77" w:name="_Toc15396621"/>
      <w:bookmarkStart w:id="78" w:name="_Toc5968"/>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77"/>
      <w:bookmarkEnd w:id="78"/>
    </w:p>
    <w:p w:rsidR="00B168A0" w:rsidRDefault="004808F4">
      <w:pPr>
        <w:pStyle w:val="2"/>
        <w:rPr>
          <w:rFonts w:ascii="仿宋" w:eastAsia="仿宋" w:hAnsi="仿宋"/>
          <w:b w:val="0"/>
        </w:rPr>
      </w:pPr>
      <w:bookmarkStart w:id="79" w:name="_Toc15396622"/>
      <w:bookmarkStart w:id="80" w:name="_Toc13977"/>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79"/>
      <w:bookmarkEnd w:id="80"/>
    </w:p>
    <w:p w:rsidR="00B168A0" w:rsidRDefault="004808F4">
      <w:pPr>
        <w:pStyle w:val="2"/>
        <w:rPr>
          <w:rStyle w:val="2Char"/>
          <w:rFonts w:ascii="仿宋" w:eastAsia="仿宋" w:hAnsi="仿宋"/>
        </w:rPr>
      </w:pPr>
      <w:bookmarkStart w:id="81" w:name="_Toc15396623"/>
      <w:bookmarkStart w:id="82" w:name="_Toc22915"/>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83" w:name="_Toc15396624"/>
      <w:bookmarkEnd w:id="81"/>
      <w:bookmarkEnd w:id="82"/>
    </w:p>
    <w:p w:rsidR="00B168A0" w:rsidRDefault="004808F4">
      <w:pPr>
        <w:pStyle w:val="2"/>
        <w:rPr>
          <w:rFonts w:ascii="仿宋" w:eastAsia="仿宋" w:hAnsi="仿宋"/>
        </w:rPr>
      </w:pPr>
      <w:bookmarkStart w:id="84" w:name="_Toc2338"/>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83"/>
      <w:bookmarkEnd w:id="84"/>
    </w:p>
    <w:p w:rsidR="00B168A0" w:rsidRDefault="004808F4">
      <w:pPr>
        <w:pStyle w:val="2"/>
        <w:rPr>
          <w:rFonts w:ascii="仿宋" w:eastAsia="仿宋" w:hAnsi="仿宋"/>
        </w:rPr>
      </w:pPr>
      <w:bookmarkStart w:id="85" w:name="_Toc15396625"/>
      <w:bookmarkStart w:id="86" w:name="_Toc8484"/>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85"/>
      <w:bookmarkEnd w:id="86"/>
    </w:p>
    <w:p w:rsidR="00B168A0" w:rsidRDefault="004808F4">
      <w:pPr>
        <w:pStyle w:val="2"/>
        <w:rPr>
          <w:rFonts w:ascii="仿宋" w:eastAsia="仿宋" w:hAnsi="仿宋"/>
        </w:rPr>
      </w:pPr>
      <w:bookmarkStart w:id="87" w:name="_Toc15396626"/>
      <w:bookmarkStart w:id="88" w:name="_Toc21682"/>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87"/>
      <w:bookmarkEnd w:id="88"/>
    </w:p>
    <w:p w:rsidR="00B168A0" w:rsidRDefault="004808F4">
      <w:pPr>
        <w:pStyle w:val="2"/>
        <w:rPr>
          <w:rFonts w:ascii="仿宋" w:eastAsia="仿宋" w:hAnsi="仿宋"/>
        </w:rPr>
      </w:pPr>
      <w:bookmarkStart w:id="89" w:name="_Toc14008"/>
      <w:bookmarkStart w:id="90"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89"/>
      <w:bookmarkEnd w:id="90"/>
    </w:p>
    <w:p w:rsidR="00B168A0" w:rsidRDefault="004808F4">
      <w:pPr>
        <w:pStyle w:val="2"/>
        <w:rPr>
          <w:rFonts w:ascii="仿宋" w:eastAsia="仿宋" w:hAnsi="仿宋"/>
        </w:rPr>
      </w:pPr>
      <w:bookmarkStart w:id="91" w:name="_Toc15396628"/>
      <w:bookmarkStart w:id="92" w:name="_Toc3140"/>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91"/>
      <w:bookmarkEnd w:id="92"/>
    </w:p>
    <w:p w:rsidR="00B168A0" w:rsidRDefault="004808F4">
      <w:pPr>
        <w:pStyle w:val="2"/>
        <w:rPr>
          <w:rFonts w:ascii="仿宋" w:eastAsia="仿宋" w:hAnsi="仿宋"/>
        </w:rPr>
      </w:pPr>
      <w:bookmarkStart w:id="93" w:name="_Toc15396629"/>
      <w:bookmarkStart w:id="94" w:name="_Toc950"/>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93"/>
      <w:bookmarkEnd w:id="94"/>
    </w:p>
    <w:p w:rsidR="00B168A0" w:rsidRDefault="004808F4">
      <w:pPr>
        <w:pStyle w:val="2"/>
        <w:rPr>
          <w:rFonts w:ascii="仿宋" w:eastAsia="仿宋" w:hAnsi="仿宋"/>
        </w:rPr>
      </w:pPr>
      <w:bookmarkStart w:id="95" w:name="_Toc13390"/>
      <w:bookmarkStart w:id="96"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95"/>
      <w:bookmarkEnd w:id="96"/>
    </w:p>
    <w:p w:rsidR="00B168A0" w:rsidRDefault="004808F4">
      <w:pPr>
        <w:pStyle w:val="2"/>
        <w:rPr>
          <w:rStyle w:val="2Char"/>
          <w:rFonts w:ascii="仿宋" w:eastAsia="仿宋" w:hAnsi="仿宋"/>
        </w:rPr>
      </w:pPr>
      <w:bookmarkStart w:id="97" w:name="_Toc15396631"/>
      <w:bookmarkStart w:id="98" w:name="_Toc8235"/>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97"/>
      <w:bookmarkEnd w:id="98"/>
    </w:p>
    <w:p w:rsidR="00B168A0" w:rsidRDefault="004808F4">
      <w:pPr>
        <w:rPr>
          <w:rFonts w:eastAsia="仿宋"/>
        </w:rPr>
      </w:pPr>
      <w:bookmarkStart w:id="99" w:name="_Toc23633"/>
      <w:r>
        <w:rPr>
          <w:rStyle w:val="2Char"/>
          <w:rFonts w:ascii="仿宋" w:eastAsia="仿宋" w:hAnsi="仿宋" w:hint="eastAsia"/>
          <w:b w:val="0"/>
          <w:bCs w:val="0"/>
        </w:rPr>
        <w:t>十四、国有资本经营预算财政拨款支出决算表</w:t>
      </w:r>
      <w:bookmarkEnd w:id="99"/>
    </w:p>
    <w:sectPr w:rsidR="00B168A0" w:rsidSect="00B168A0">
      <w:headerReference w:type="default" r:id="rId13"/>
      <w:footerReference w:type="default" r:id="rId14"/>
      <w:headerReference w:type="firs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DFA" w:rsidRDefault="00812DFA" w:rsidP="00B168A0">
      <w:r>
        <w:separator/>
      </w:r>
    </w:p>
  </w:endnote>
  <w:endnote w:type="continuationSeparator" w:id="0">
    <w:p w:rsidR="00812DFA" w:rsidRDefault="00812DFA" w:rsidP="00B16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楷体_GB2312">
    <w:altName w:val="楷体"/>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B168A0" w:rsidRDefault="00B649E9">
        <w:pPr>
          <w:pStyle w:val="a6"/>
          <w:jc w:val="center"/>
        </w:pPr>
        <w:r>
          <w:fldChar w:fldCharType="begin"/>
        </w:r>
        <w:r w:rsidR="004808F4">
          <w:instrText>PAGE   \* MERGEFORMAT</w:instrText>
        </w:r>
        <w:r>
          <w:fldChar w:fldCharType="separate"/>
        </w:r>
        <w:r w:rsidR="00DB0005" w:rsidRPr="00DB0005">
          <w:rPr>
            <w:noProof/>
            <w:lang w:val="zh-CN"/>
          </w:rPr>
          <w:t>24</w:t>
        </w:r>
        <w:r>
          <w:fldChar w:fldCharType="end"/>
        </w:r>
      </w:p>
    </w:sdtContent>
  </w:sdt>
  <w:p w:rsidR="00B168A0" w:rsidRDefault="00B168A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DFA" w:rsidRDefault="00812DFA" w:rsidP="00B168A0">
      <w:r>
        <w:separator/>
      </w:r>
    </w:p>
  </w:footnote>
  <w:footnote w:type="continuationSeparator" w:id="0">
    <w:p w:rsidR="00812DFA" w:rsidRDefault="00812DFA" w:rsidP="00B16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8A0" w:rsidRDefault="00B168A0">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8A0" w:rsidRDefault="00B168A0">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DFBAE0"/>
    <w:multiLevelType w:val="singleLevel"/>
    <w:tmpl w:val="BDDFBAE0"/>
    <w:lvl w:ilvl="0">
      <w:start w:val="1"/>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nsid w:val="0389F9B1"/>
    <w:multiLevelType w:val="singleLevel"/>
    <w:tmpl w:val="0389F9B1"/>
    <w:lvl w:ilvl="0">
      <w:start w:val="1"/>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AzYTQzOGRjYzVjOGZiYTk4YTIyZDYxOTk3YTcxMjkifQ=="/>
  </w:docVars>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08F4"/>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2DFA"/>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168A0"/>
    <w:rsid w:val="00B2048C"/>
    <w:rsid w:val="00B310B9"/>
    <w:rsid w:val="00B35F3F"/>
    <w:rsid w:val="00B36CBB"/>
    <w:rsid w:val="00B425E0"/>
    <w:rsid w:val="00B440AA"/>
    <w:rsid w:val="00B44B70"/>
    <w:rsid w:val="00B53C56"/>
    <w:rsid w:val="00B57DAF"/>
    <w:rsid w:val="00B649E9"/>
    <w:rsid w:val="00B77EA6"/>
    <w:rsid w:val="00B81598"/>
    <w:rsid w:val="00B841F1"/>
    <w:rsid w:val="00B9157A"/>
    <w:rsid w:val="00B944D6"/>
    <w:rsid w:val="00BB0A3A"/>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7A8A"/>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6ACA"/>
    <w:rsid w:val="00D7035F"/>
    <w:rsid w:val="00DA634F"/>
    <w:rsid w:val="00DA65AC"/>
    <w:rsid w:val="00DB0005"/>
    <w:rsid w:val="00DB1913"/>
    <w:rsid w:val="00DB6F1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6B459A"/>
    <w:rsid w:val="0A2032A3"/>
    <w:rsid w:val="0AFB4674"/>
    <w:rsid w:val="0B8A37D8"/>
    <w:rsid w:val="0D7761A3"/>
    <w:rsid w:val="102962AF"/>
    <w:rsid w:val="10C055FF"/>
    <w:rsid w:val="118107EC"/>
    <w:rsid w:val="11DD6519"/>
    <w:rsid w:val="16BB723D"/>
    <w:rsid w:val="18015F3F"/>
    <w:rsid w:val="1BE8440E"/>
    <w:rsid w:val="1D155CEE"/>
    <w:rsid w:val="1F8A441C"/>
    <w:rsid w:val="20F57F95"/>
    <w:rsid w:val="22497836"/>
    <w:rsid w:val="240371BF"/>
    <w:rsid w:val="25C741E6"/>
    <w:rsid w:val="267A65F4"/>
    <w:rsid w:val="27842671"/>
    <w:rsid w:val="29FD04D3"/>
    <w:rsid w:val="2ABE7A3E"/>
    <w:rsid w:val="2C5E7F8B"/>
    <w:rsid w:val="2D943FBD"/>
    <w:rsid w:val="2EFA178C"/>
    <w:rsid w:val="30B46D73"/>
    <w:rsid w:val="319F7F4E"/>
    <w:rsid w:val="36E70C3C"/>
    <w:rsid w:val="39AE70AB"/>
    <w:rsid w:val="3A023DFB"/>
    <w:rsid w:val="3C0C0783"/>
    <w:rsid w:val="3F795B0E"/>
    <w:rsid w:val="3F9F3A96"/>
    <w:rsid w:val="43D3341C"/>
    <w:rsid w:val="45654E86"/>
    <w:rsid w:val="493C27E9"/>
    <w:rsid w:val="496F39ED"/>
    <w:rsid w:val="49FF41D3"/>
    <w:rsid w:val="4A185DC8"/>
    <w:rsid w:val="4B054114"/>
    <w:rsid w:val="4BE068DB"/>
    <w:rsid w:val="4BF6002B"/>
    <w:rsid w:val="4ECE2238"/>
    <w:rsid w:val="51D46EFC"/>
    <w:rsid w:val="51DB4B86"/>
    <w:rsid w:val="52756B57"/>
    <w:rsid w:val="55333C3E"/>
    <w:rsid w:val="58690A04"/>
    <w:rsid w:val="5FAD7930"/>
    <w:rsid w:val="64CA39A1"/>
    <w:rsid w:val="67E04BD6"/>
    <w:rsid w:val="6C4A05C8"/>
    <w:rsid w:val="6F464913"/>
    <w:rsid w:val="70AA09CF"/>
    <w:rsid w:val="711810AC"/>
    <w:rsid w:val="72734D90"/>
    <w:rsid w:val="74E366CA"/>
    <w:rsid w:val="750825ED"/>
    <w:rsid w:val="79585F51"/>
    <w:rsid w:val="79E7B28D"/>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link w:val="NormalCharacter"/>
    <w:qFormat/>
    <w:rsid w:val="00B168A0"/>
    <w:pPr>
      <w:widowControl w:val="0"/>
      <w:jc w:val="both"/>
    </w:pPr>
    <w:rPr>
      <w:rFonts w:ascii="Times New Roman" w:hAnsi="Times New Roman"/>
      <w:kern w:val="2"/>
      <w:sz w:val="21"/>
      <w:szCs w:val="24"/>
    </w:rPr>
  </w:style>
  <w:style w:type="paragraph" w:styleId="1">
    <w:name w:val="heading 1"/>
    <w:basedOn w:val="a"/>
    <w:next w:val="a"/>
    <w:link w:val="1Char1"/>
    <w:uiPriority w:val="9"/>
    <w:qFormat/>
    <w:rsid w:val="00B168A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168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168A0"/>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B168A0"/>
    <w:pPr>
      <w:spacing w:beforeLines="30"/>
    </w:pPr>
    <w:rPr>
      <w:rFonts w:ascii="仿宋_GB2312" w:eastAsia="仿宋_GB2312"/>
      <w:kern w:val="0"/>
      <w:sz w:val="30"/>
    </w:rPr>
  </w:style>
  <w:style w:type="paragraph" w:styleId="a4">
    <w:name w:val="Body Text Indent"/>
    <w:basedOn w:val="a"/>
    <w:next w:val="20"/>
    <w:qFormat/>
    <w:rsid w:val="00B168A0"/>
    <w:pPr>
      <w:ind w:firstLine="643"/>
    </w:pPr>
    <w:rPr>
      <w:rFonts w:eastAsia="仿宋_GB2312" w:cs="宋体"/>
      <w:b/>
      <w:color w:val="000000"/>
      <w:sz w:val="32"/>
    </w:rPr>
  </w:style>
  <w:style w:type="paragraph" w:styleId="20">
    <w:name w:val="Body Text First Indent 2"/>
    <w:basedOn w:val="a4"/>
    <w:next w:val="a"/>
    <w:qFormat/>
    <w:rsid w:val="00B168A0"/>
    <w:pPr>
      <w:ind w:firstLineChars="200" w:firstLine="420"/>
    </w:pPr>
  </w:style>
  <w:style w:type="paragraph" w:styleId="30">
    <w:name w:val="toc 3"/>
    <w:basedOn w:val="a"/>
    <w:next w:val="a"/>
    <w:uiPriority w:val="39"/>
    <w:unhideWhenUsed/>
    <w:qFormat/>
    <w:rsid w:val="00B168A0"/>
    <w:pPr>
      <w:tabs>
        <w:tab w:val="right" w:leader="dot" w:pos="8296"/>
      </w:tabs>
      <w:ind w:leftChars="400" w:left="840"/>
    </w:pPr>
  </w:style>
  <w:style w:type="paragraph" w:styleId="a5">
    <w:name w:val="Balloon Text"/>
    <w:basedOn w:val="a"/>
    <w:link w:val="Char0"/>
    <w:uiPriority w:val="99"/>
    <w:semiHidden/>
    <w:unhideWhenUsed/>
    <w:qFormat/>
    <w:rsid w:val="00B168A0"/>
    <w:rPr>
      <w:sz w:val="18"/>
      <w:szCs w:val="18"/>
    </w:rPr>
  </w:style>
  <w:style w:type="paragraph" w:styleId="a6">
    <w:name w:val="footer"/>
    <w:basedOn w:val="a"/>
    <w:link w:val="Char1"/>
    <w:uiPriority w:val="99"/>
    <w:qFormat/>
    <w:rsid w:val="00B168A0"/>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B168A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B168A0"/>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B168A0"/>
    <w:pPr>
      <w:tabs>
        <w:tab w:val="right" w:leader="dot" w:pos="8296"/>
      </w:tabs>
      <w:ind w:leftChars="200" w:left="420"/>
    </w:pPr>
  </w:style>
  <w:style w:type="paragraph" w:styleId="a8">
    <w:name w:val="Normal (Web)"/>
    <w:basedOn w:val="a"/>
    <w:qFormat/>
    <w:rsid w:val="00B168A0"/>
    <w:pPr>
      <w:suppressAutoHyphens/>
    </w:pPr>
    <w:rPr>
      <w:rFonts w:ascii="Calibri" w:hAnsi="Calibri"/>
      <w:sz w:val="24"/>
    </w:rPr>
  </w:style>
  <w:style w:type="character" w:styleId="a9">
    <w:name w:val="Strong"/>
    <w:basedOn w:val="a1"/>
    <w:uiPriority w:val="99"/>
    <w:qFormat/>
    <w:rsid w:val="00B168A0"/>
    <w:rPr>
      <w:b/>
    </w:rPr>
  </w:style>
  <w:style w:type="character" w:styleId="aa">
    <w:name w:val="Hyperlink"/>
    <w:basedOn w:val="a1"/>
    <w:uiPriority w:val="99"/>
    <w:unhideWhenUsed/>
    <w:qFormat/>
    <w:rsid w:val="00B168A0"/>
    <w:rPr>
      <w:color w:val="0000FF" w:themeColor="hyperlink"/>
      <w:u w:val="single"/>
    </w:rPr>
  </w:style>
  <w:style w:type="paragraph" w:customStyle="1" w:styleId="UserStyle0">
    <w:name w:val="UserStyle_0"/>
    <w:basedOn w:val="a"/>
    <w:next w:val="a"/>
    <w:qFormat/>
    <w:rsid w:val="00B168A0"/>
    <w:pPr>
      <w:ind w:leftChars="200" w:left="200" w:hangingChars="200" w:hanging="200"/>
      <w:textAlignment w:val="baseline"/>
    </w:pPr>
  </w:style>
  <w:style w:type="character" w:customStyle="1" w:styleId="HeaderChar">
    <w:name w:val="Header Char"/>
    <w:basedOn w:val="a1"/>
    <w:uiPriority w:val="99"/>
    <w:semiHidden/>
    <w:qFormat/>
    <w:rsid w:val="00B168A0"/>
    <w:rPr>
      <w:rFonts w:ascii="Times New Roman" w:hAnsi="Times New Roman"/>
      <w:sz w:val="18"/>
      <w:szCs w:val="18"/>
    </w:rPr>
  </w:style>
  <w:style w:type="character" w:customStyle="1" w:styleId="Char2">
    <w:name w:val="页眉 Char"/>
    <w:link w:val="a7"/>
    <w:uiPriority w:val="99"/>
    <w:semiHidden/>
    <w:qFormat/>
    <w:locked/>
    <w:rsid w:val="00B168A0"/>
    <w:rPr>
      <w:sz w:val="18"/>
    </w:rPr>
  </w:style>
  <w:style w:type="character" w:customStyle="1" w:styleId="FooterChar">
    <w:name w:val="Footer Char"/>
    <w:basedOn w:val="a1"/>
    <w:uiPriority w:val="99"/>
    <w:semiHidden/>
    <w:qFormat/>
    <w:rsid w:val="00B168A0"/>
    <w:rPr>
      <w:rFonts w:ascii="Times New Roman" w:hAnsi="Times New Roman"/>
      <w:sz w:val="18"/>
      <w:szCs w:val="18"/>
    </w:rPr>
  </w:style>
  <w:style w:type="character" w:customStyle="1" w:styleId="Char1">
    <w:name w:val="页脚 Char"/>
    <w:link w:val="a6"/>
    <w:uiPriority w:val="99"/>
    <w:qFormat/>
    <w:locked/>
    <w:rsid w:val="00B168A0"/>
    <w:rPr>
      <w:sz w:val="18"/>
    </w:rPr>
  </w:style>
  <w:style w:type="character" w:customStyle="1" w:styleId="BodyTextChar">
    <w:name w:val="Body Text Char"/>
    <w:basedOn w:val="a1"/>
    <w:uiPriority w:val="99"/>
    <w:semiHidden/>
    <w:qFormat/>
    <w:rsid w:val="00B168A0"/>
    <w:rPr>
      <w:rFonts w:ascii="Times New Roman" w:hAnsi="Times New Roman"/>
      <w:szCs w:val="24"/>
    </w:rPr>
  </w:style>
  <w:style w:type="character" w:customStyle="1" w:styleId="Char">
    <w:name w:val="正文文本 Char"/>
    <w:link w:val="a0"/>
    <w:uiPriority w:val="99"/>
    <w:qFormat/>
    <w:locked/>
    <w:rsid w:val="00B168A0"/>
    <w:rPr>
      <w:rFonts w:ascii="仿宋_GB2312" w:eastAsia="仿宋_GB2312" w:hAnsi="Times New Roman"/>
      <w:sz w:val="24"/>
    </w:rPr>
  </w:style>
  <w:style w:type="paragraph" w:customStyle="1" w:styleId="Default">
    <w:name w:val="Default"/>
    <w:uiPriority w:val="99"/>
    <w:qFormat/>
    <w:rsid w:val="00B168A0"/>
    <w:pPr>
      <w:widowControl w:val="0"/>
      <w:autoSpaceDE w:val="0"/>
      <w:autoSpaceDN w:val="0"/>
      <w:adjustRightInd w:val="0"/>
    </w:pPr>
    <w:rPr>
      <w:rFonts w:ascii="仿宋" w:eastAsia="仿宋" w:cs="仿宋"/>
      <w:color w:val="000000"/>
      <w:sz w:val="24"/>
      <w:szCs w:val="24"/>
    </w:rPr>
  </w:style>
  <w:style w:type="paragraph" w:styleId="ab">
    <w:name w:val="List Paragraph"/>
    <w:basedOn w:val="a"/>
    <w:uiPriority w:val="34"/>
    <w:qFormat/>
    <w:rsid w:val="00B168A0"/>
    <w:pPr>
      <w:ind w:firstLineChars="200" w:firstLine="420"/>
    </w:pPr>
  </w:style>
  <w:style w:type="character" w:customStyle="1" w:styleId="1Char">
    <w:name w:val="标题 1 Char"/>
    <w:basedOn w:val="a1"/>
    <w:link w:val="1"/>
    <w:uiPriority w:val="9"/>
    <w:qFormat/>
    <w:rsid w:val="00B168A0"/>
    <w:rPr>
      <w:rFonts w:ascii="Times New Roman" w:hAnsi="Times New Roman"/>
      <w:b/>
      <w:bCs/>
      <w:kern w:val="44"/>
      <w:sz w:val="44"/>
      <w:szCs w:val="44"/>
    </w:rPr>
  </w:style>
  <w:style w:type="character" w:customStyle="1" w:styleId="2Char">
    <w:name w:val="标题 2 Char"/>
    <w:basedOn w:val="a1"/>
    <w:link w:val="2"/>
    <w:uiPriority w:val="9"/>
    <w:qFormat/>
    <w:rsid w:val="00B168A0"/>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B168A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B168A0"/>
    <w:rPr>
      <w:rFonts w:ascii="Times New Roman" w:hAnsi="Times New Roman"/>
      <w:kern w:val="2"/>
      <w:sz w:val="18"/>
      <w:szCs w:val="18"/>
    </w:rPr>
  </w:style>
  <w:style w:type="character" w:customStyle="1" w:styleId="3Char">
    <w:name w:val="标题 3 Char"/>
    <w:basedOn w:val="a1"/>
    <w:link w:val="3"/>
    <w:uiPriority w:val="9"/>
    <w:qFormat/>
    <w:rsid w:val="00B168A0"/>
    <w:rPr>
      <w:rFonts w:ascii="Times New Roman" w:hAnsi="Times New Roman"/>
      <w:b/>
      <w:bCs/>
      <w:kern w:val="2"/>
      <w:sz w:val="32"/>
      <w:szCs w:val="32"/>
    </w:rPr>
  </w:style>
  <w:style w:type="paragraph" w:customStyle="1" w:styleId="TOC2">
    <w:name w:val="TOC 标题2"/>
    <w:basedOn w:val="1"/>
    <w:next w:val="a"/>
    <w:uiPriority w:val="39"/>
    <w:unhideWhenUsed/>
    <w:qFormat/>
    <w:rsid w:val="00B168A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rsid w:val="00B168A0"/>
    <w:rPr>
      <w:rFonts w:ascii="Times New Roman" w:hAnsi="Times New Roman"/>
    </w:rPr>
  </w:style>
  <w:style w:type="paragraph" w:customStyle="1" w:styleId="WPSOffice2">
    <w:name w:val="WPSOffice手动目录 2"/>
    <w:qFormat/>
    <w:rsid w:val="00B168A0"/>
    <w:pPr>
      <w:ind w:leftChars="200" w:left="200"/>
    </w:pPr>
    <w:rPr>
      <w:rFonts w:ascii="Times New Roman" w:hAnsi="Times New Roman"/>
    </w:rPr>
  </w:style>
  <w:style w:type="character" w:customStyle="1" w:styleId="NormalCharacter">
    <w:name w:val="NormalCharacter"/>
    <w:qFormat/>
    <w:rsid w:val="00B168A0"/>
    <w:rPr>
      <w:rFonts w:ascii="Times New Roman" w:eastAsia="宋体" w:hAnsi="Times New Roman" w:cs="Times New Roman"/>
      <w:kern w:val="2"/>
      <w:sz w:val="21"/>
      <w:szCs w:val="24"/>
      <w:lang w:val="en-US" w:eastAsia="zh-CN" w:bidi="ar-SA"/>
    </w:rPr>
  </w:style>
  <w:style w:type="paragraph" w:customStyle="1" w:styleId="BodyText1I2">
    <w:name w:val="BodyText1I2"/>
    <w:basedOn w:val="BodyTextIndent"/>
    <w:next w:val="a"/>
    <w:qFormat/>
    <w:rsid w:val="00B168A0"/>
    <w:pPr>
      <w:ind w:firstLineChars="200" w:firstLine="420"/>
    </w:pPr>
  </w:style>
  <w:style w:type="paragraph" w:customStyle="1" w:styleId="BodyTextIndent">
    <w:name w:val="BodyTextIndent"/>
    <w:basedOn w:val="a"/>
    <w:next w:val="BodyText1I2"/>
    <w:qFormat/>
    <w:rsid w:val="00B168A0"/>
    <w:pPr>
      <w:ind w:firstLine="643"/>
    </w:pPr>
    <w:rPr>
      <w:rFonts w:eastAsia="仿宋_GB2312"/>
      <w:b/>
      <w:color w:val="000000"/>
      <w:sz w:val="32"/>
    </w:rPr>
  </w:style>
  <w:style w:type="paragraph" w:customStyle="1" w:styleId="UserStyle12">
    <w:name w:val="UserStyle_12"/>
    <w:basedOn w:val="a"/>
    <w:qFormat/>
    <w:rsid w:val="00B168A0"/>
    <w:pPr>
      <w:ind w:firstLineChars="200" w:firstLine="420"/>
      <w:textAlignment w:val="baseline"/>
    </w:pPr>
  </w:style>
  <w:style w:type="character" w:customStyle="1" w:styleId="1Char1">
    <w:name w:val="标题 1 Char1"/>
    <w:basedOn w:val="a1"/>
    <w:link w:val="1"/>
    <w:uiPriority w:val="9"/>
    <w:qFormat/>
    <w:locked/>
    <w:rsid w:val="00B168A0"/>
    <w:rPr>
      <w:rFonts w:ascii="Times New Roman"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1826532792138417"/>
          <c:y val="6.5476190476190521E-2"/>
          <c:w val="0.83794061098056094"/>
          <c:h val="0.6557738095238117"/>
        </c:manualLayout>
      </c:layout>
      <c:barChart>
        <c:barDir val="col"/>
        <c:grouping val="clustered"/>
        <c:ser>
          <c:idx val="0"/>
          <c:order val="0"/>
          <c:tx>
            <c:strRef>
              <c:f>'[新建 XLS 工作表.xls]Sheet1'!$G$7</c:f>
              <c:strCache>
                <c:ptCount val="1"/>
                <c:pt idx="0">
                  <c:v>2020年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 XLS 工作表.xls]Sheet1'!$H$6:$I$6</c:f>
              <c:strCache>
                <c:ptCount val="2"/>
                <c:pt idx="0">
                  <c:v>收入</c:v>
                </c:pt>
                <c:pt idx="1">
                  <c:v>支出</c:v>
                </c:pt>
              </c:strCache>
            </c:strRef>
          </c:cat>
          <c:val>
            <c:numRef>
              <c:f>'[新建 XLS 工作表.xls]Sheet1'!$H$7:$I$7</c:f>
              <c:numCache>
                <c:formatCode>General</c:formatCode>
                <c:ptCount val="2"/>
                <c:pt idx="0">
                  <c:v>635.59</c:v>
                </c:pt>
                <c:pt idx="1">
                  <c:v>635.59</c:v>
                </c:pt>
              </c:numCache>
            </c:numRef>
          </c:val>
        </c:ser>
        <c:ser>
          <c:idx val="1"/>
          <c:order val="1"/>
          <c:tx>
            <c:strRef>
              <c:f>'[新建 XLS 工作表.xls]Sheet1'!$G$8</c:f>
              <c:strCache>
                <c:ptCount val="1"/>
                <c:pt idx="0">
                  <c:v>2021年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 XLS 工作表.xls]Sheet1'!$H$6:$I$6</c:f>
              <c:strCache>
                <c:ptCount val="2"/>
                <c:pt idx="0">
                  <c:v>收入</c:v>
                </c:pt>
                <c:pt idx="1">
                  <c:v>支出</c:v>
                </c:pt>
              </c:strCache>
            </c:strRef>
          </c:cat>
          <c:val>
            <c:numRef>
              <c:f>'[新建 XLS 工作表.xls]Sheet1'!$H$8:$I$8</c:f>
              <c:numCache>
                <c:formatCode>General</c:formatCode>
                <c:ptCount val="2"/>
                <c:pt idx="0">
                  <c:v>617.71</c:v>
                </c:pt>
                <c:pt idx="1">
                  <c:v>617.71</c:v>
                </c:pt>
              </c:numCache>
            </c:numRef>
          </c:val>
        </c:ser>
        <c:gapWidth val="219"/>
        <c:overlap val="-27"/>
        <c:axId val="59807616"/>
        <c:axId val="72798592"/>
      </c:barChart>
      <c:catAx>
        <c:axId val="59807616"/>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2798592"/>
        <c:crosses val="autoZero"/>
        <c:auto val="1"/>
        <c:lblAlgn val="ctr"/>
        <c:lblOffset val="100"/>
      </c:catAx>
      <c:valAx>
        <c:axId val="72798592"/>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807616"/>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inEnd"/>
            <c:showVal val="1"/>
            <c:showCatName val="1"/>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XLS 工作表.xls]Sheet1'!$A$18:$A$19</c:f>
              <c:strCache>
                <c:ptCount val="2"/>
                <c:pt idx="0">
                  <c:v>财政拨款收入</c:v>
                </c:pt>
                <c:pt idx="1">
                  <c:v>事业收入</c:v>
                </c:pt>
              </c:strCache>
            </c:strRef>
          </c:cat>
          <c:val>
            <c:numRef>
              <c:f>'[新建 XLS 工作表.xls]Sheet1'!$B$18:$B$20</c:f>
              <c:numCache>
                <c:formatCode>General</c:formatCode>
                <c:ptCount val="3"/>
                <c:pt idx="0">
                  <c:v>317.55</c:v>
                </c:pt>
                <c:pt idx="1">
                  <c:v>300.16000000000008</c:v>
                </c:pt>
              </c:numCache>
            </c:numRef>
          </c:val>
        </c:ser>
        <c:firstSliceAng val="0"/>
      </c:pieChart>
      <c:spPr>
        <a:noFill/>
        <a:ln>
          <a:noFill/>
        </a:ln>
        <a:effectLst/>
      </c:spPr>
    </c:plotArea>
    <c:plotVisOnly val="1"/>
    <c:dispBlanksAs val="zero"/>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CatName val="1"/>
            <c:showPercent val="1"/>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工作表.xls]Sheet1'!$A$3:$A$4</c:f>
              <c:strCache>
                <c:ptCount val="2"/>
                <c:pt idx="0">
                  <c:v>基本支出</c:v>
                </c:pt>
                <c:pt idx="1">
                  <c:v>项目支出</c:v>
                </c:pt>
              </c:strCache>
            </c:strRef>
          </c:cat>
          <c:val>
            <c:numRef>
              <c:f>'[新建 XLS 工作表.xls]Sheet1'!$B$3:$B$4</c:f>
              <c:numCache>
                <c:formatCode>General</c:formatCode>
                <c:ptCount val="2"/>
                <c:pt idx="0">
                  <c:v>537.29999999999995</c:v>
                </c:pt>
                <c:pt idx="1">
                  <c:v>80.410000000000025</c:v>
                </c:pt>
              </c:numCache>
            </c:numRef>
          </c:val>
        </c:ser>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'[新建 XLS 工作表.xls]Sheet1'!$A$41</c:f>
              <c:strCache>
                <c:ptCount val="1"/>
                <c:pt idx="0">
                  <c:v>财政拨款收入</c:v>
                </c:pt>
              </c:strCache>
            </c:strRef>
          </c:tx>
          <c:spPr>
            <a:solidFill>
              <a:schemeClr val="accent1"/>
            </a:solidFill>
            <a:ln>
              <a:noFill/>
            </a:ln>
            <a:effectLst/>
          </c:spPr>
          <c:dLbls>
            <c:dLbl>
              <c:idx val="0"/>
              <c:dLblPos val="outEnd"/>
              <c:showVal val="1"/>
              <c:extLst>
                <c:ext xmlns:c15="http://schemas.microsoft.com/office/drawing/2012/chart" uri="{CE6537A1-D6FC-4f65-9D91-7224C49458BB}"/>
              </c:extLst>
            </c:dLbl>
            <c:dLbl>
              <c:idx val="1"/>
              <c:dLblPos val="outEnd"/>
              <c:showVal val="1"/>
              <c:extLst>
                <c:ext xmlns:c15="http://schemas.microsoft.com/office/drawing/2012/chart" uri="{CE6537A1-D6FC-4f65-9D91-7224C49458BB}"/>
              </c:extLst>
            </c:dLbl>
            <c:delete val="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工作表.xls]Sheet1'!$B$42:$C$42</c:f>
              <c:numCache>
                <c:formatCode>General</c:formatCode>
                <c:ptCount val="2"/>
                <c:pt idx="0">
                  <c:v>336.57</c:v>
                </c:pt>
                <c:pt idx="1">
                  <c:v>317.55</c:v>
                </c:pt>
              </c:numCache>
            </c:numRef>
          </c:val>
        </c:ser>
        <c:ser>
          <c:idx val="1"/>
          <c:order val="1"/>
          <c:tx>
            <c:strRef>
              <c:f>'[新建 XLS 工作表.xls]Sheet1'!$A$42</c:f>
              <c:strCache>
                <c:ptCount val="1"/>
                <c:pt idx="0">
                  <c:v>财政拨款支出</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工作表.xls]Sheet1'!$B$43:$C$43</c:f>
              <c:numCache>
                <c:formatCode>General</c:formatCode>
                <c:ptCount val="2"/>
                <c:pt idx="0">
                  <c:v>336.57</c:v>
                </c:pt>
                <c:pt idx="1">
                  <c:v>317.55</c:v>
                </c:pt>
              </c:numCache>
            </c:numRef>
          </c:val>
        </c:ser>
        <c:gapWidth val="75"/>
        <c:overlap val="40"/>
        <c:axId val="79678464"/>
        <c:axId val="99123968"/>
      </c:barChart>
      <c:catAx>
        <c:axId val="79678464"/>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9123968"/>
        <c:crosses val="autoZero"/>
        <c:auto val="1"/>
        <c:lblAlgn val="ctr"/>
        <c:lblOffset val="100"/>
      </c:catAx>
      <c:valAx>
        <c:axId val="99123968"/>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9678464"/>
        <c:crosses val="autoZero"/>
        <c:crossBetween val="between"/>
      </c:valAx>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'[新建 XLS 工作表.xls]Sheet1'!$A$54</c:f>
              <c:strCache>
                <c:ptCount val="1"/>
                <c:pt idx="0">
                  <c:v>一般公共预算财政拨款支出</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extLst>
              <c:ext xmlns:c15="http://schemas.microsoft.com/office/drawing/2012/chart" uri="{CE6537A1-D6FC-4f65-9D91-7224C49458BB}">
                <c15:layout/>
                <c15:showLeaderLines val="0"/>
                <c15:leaderLines/>
              </c:ext>
            </c:extLst>
          </c:dLbls>
          <c:cat>
            <c:strRef>
              <c:f>'[新建 XLS 工作表.xls]Sheet1'!$B$54:$C$54</c:f>
              <c:strCache>
                <c:ptCount val="2"/>
                <c:pt idx="0">
                  <c:v>2020年</c:v>
                </c:pt>
                <c:pt idx="1">
                  <c:v>2021年</c:v>
                </c:pt>
              </c:strCache>
            </c:strRef>
          </c:cat>
          <c:val>
            <c:numRef>
              <c:f>'[新建 XLS 工作表.xls]Sheet1'!$B$55:$C$55</c:f>
              <c:numCache>
                <c:formatCode>General</c:formatCode>
                <c:ptCount val="2"/>
                <c:pt idx="0">
                  <c:v>306.57</c:v>
                </c:pt>
                <c:pt idx="1">
                  <c:v>317.55</c:v>
                </c:pt>
              </c:numCache>
            </c:numRef>
          </c:val>
        </c:ser>
        <c:gapWidth val="75"/>
        <c:overlap val="40"/>
        <c:axId val="99222656"/>
        <c:axId val="99224192"/>
      </c:barChart>
      <c:catAx>
        <c:axId val="99222656"/>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9224192"/>
        <c:crosses val="autoZero"/>
        <c:auto val="1"/>
        <c:lblAlgn val="ctr"/>
        <c:lblOffset val="100"/>
      </c:catAx>
      <c:valAx>
        <c:axId val="99224192"/>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9222656"/>
        <c:crosses val="autoZero"/>
        <c:crossBetween val="between"/>
      </c:valAx>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工作表.xls]Sheet1'!$F$52:$F$54</c:f>
              <c:strCache>
                <c:ptCount val="3"/>
                <c:pt idx="0">
                  <c:v>社会保障和就业支出</c:v>
                </c:pt>
                <c:pt idx="1">
                  <c:v>卫生健康支出</c:v>
                </c:pt>
                <c:pt idx="2">
                  <c:v>住房保障支出</c:v>
                </c:pt>
              </c:strCache>
            </c:strRef>
          </c:cat>
          <c:val>
            <c:numRef>
              <c:f>'[新建 XLS 工作表.xls]Sheet1'!$G$52:$G$54</c:f>
              <c:numCache>
                <c:formatCode>General</c:formatCode>
                <c:ptCount val="3"/>
                <c:pt idx="0">
                  <c:v>32.11</c:v>
                </c:pt>
                <c:pt idx="1">
                  <c:v>263.13</c:v>
                </c:pt>
                <c:pt idx="2">
                  <c:v>20.330000000000005</c:v>
                </c:pt>
              </c:numCache>
            </c:numRef>
          </c:val>
        </c:ser>
        <c:firstSliceAng val="0"/>
      </c:pieChart>
      <c:spPr>
        <a:noFill/>
        <a:ln>
          <a:noFill/>
        </a:ln>
        <a:effectLst/>
      </c:spPr>
    </c:plotArea>
    <c:legend>
      <c:legendPos val="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1799</Words>
  <Characters>10257</Characters>
  <Application>Microsoft Office Word</Application>
  <DocSecurity>0</DocSecurity>
  <Lines>85</Lines>
  <Paragraphs>24</Paragraphs>
  <ScaleCrop>false</ScaleCrop>
  <Company>四川省财政厅</Company>
  <LinksUpToDate>false</LinksUpToDate>
  <CharactersWithSpaces>12032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36</cp:revision>
  <cp:lastPrinted>2022-08-06T02:23:00Z</cp:lastPrinted>
  <dcterms:created xsi:type="dcterms:W3CDTF">2020-08-05T01:49:00Z</dcterms:created>
  <dcterms:modified xsi:type="dcterms:W3CDTF">2022-10-08T13:47:00Z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18C4299B72334D3095585539B3212D20</vt:lpwstr>
  </property>
</Properties>
</file>