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B5960">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14:paraId="225266A8">
      <w:pPr>
        <w:spacing w:line="600" w:lineRule="exact"/>
        <w:jc w:val="center"/>
        <w:outlineLvl w:val="0"/>
        <w:rPr>
          <w:rFonts w:ascii="方正小标宋简体" w:hAnsi="宋体" w:eastAsia="方正小标宋简体"/>
          <w:color w:val="auto"/>
          <w:sz w:val="72"/>
          <w:szCs w:val="72"/>
          <w:highlight w:val="none"/>
        </w:rPr>
      </w:pPr>
    </w:p>
    <w:p w14:paraId="585155E9">
      <w:pPr>
        <w:spacing w:line="600" w:lineRule="exact"/>
        <w:jc w:val="center"/>
        <w:outlineLvl w:val="0"/>
        <w:rPr>
          <w:rFonts w:ascii="方正小标宋简体" w:hAnsi="宋体" w:eastAsia="方正小标宋简体"/>
          <w:color w:val="auto"/>
          <w:sz w:val="72"/>
          <w:szCs w:val="72"/>
          <w:highlight w:val="none"/>
        </w:rPr>
      </w:pPr>
    </w:p>
    <w:p w14:paraId="46A75E70">
      <w:pPr>
        <w:spacing w:line="600" w:lineRule="exact"/>
        <w:jc w:val="center"/>
        <w:outlineLvl w:val="0"/>
        <w:rPr>
          <w:rFonts w:ascii="方正小标宋简体" w:hAnsi="宋体" w:eastAsia="方正小标宋简体"/>
          <w:color w:val="auto"/>
          <w:sz w:val="72"/>
          <w:szCs w:val="72"/>
          <w:highlight w:val="none"/>
        </w:rPr>
      </w:pPr>
    </w:p>
    <w:p w14:paraId="77AD3090">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96597"/>
      <w:bookmarkStart w:id="2" w:name="_Toc15378441"/>
      <w:bookmarkStart w:id="3" w:name="_Toc15396475"/>
      <w:bookmarkStart w:id="4" w:name="_Toc15377425"/>
      <w:bookmarkStart w:id="5" w:name="_Toc15377193"/>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bookmarkEnd w:id="0"/>
    <w:p w14:paraId="3770B97D">
      <w:pPr>
        <w:adjustRightInd w:val="0"/>
        <w:snapToGrid w:val="0"/>
        <w:spacing w:line="360" w:lineRule="auto"/>
        <w:jc w:val="center"/>
        <w:outlineLvl w:val="0"/>
        <w:rPr>
          <w:rFonts w:hint="eastAsia" w:ascii="方正小标宋简体" w:hAnsi="宋体" w:eastAsia="方正小标宋简体"/>
          <w:b w:val="0"/>
          <w:bCs w:val="0"/>
          <w:color w:val="000000"/>
          <w:sz w:val="56"/>
          <w:szCs w:val="56"/>
          <w:lang w:eastAsia="zh-CN"/>
        </w:rPr>
      </w:pPr>
      <w:r>
        <w:rPr>
          <w:rFonts w:hint="eastAsia" w:ascii="方正小标宋简体" w:hAnsi="宋体" w:eastAsia="方正小标宋简体"/>
          <w:b w:val="0"/>
          <w:bCs w:val="0"/>
          <w:color w:val="000000"/>
          <w:sz w:val="56"/>
          <w:szCs w:val="56"/>
          <w:lang w:eastAsia="zh-CN"/>
        </w:rPr>
        <w:t>中共广元市昭化区委政法委员会</w:t>
      </w:r>
    </w:p>
    <w:p w14:paraId="1553B133">
      <w:pPr>
        <w:adjustRightInd w:val="0"/>
        <w:snapToGrid w:val="0"/>
        <w:spacing w:line="360" w:lineRule="auto"/>
        <w:jc w:val="center"/>
        <w:outlineLvl w:val="0"/>
        <w:rPr>
          <w:rFonts w:ascii="方正小标宋简体" w:hAnsi="宋体" w:eastAsia="方正小标宋简体"/>
          <w:b w:val="0"/>
          <w:bCs w:val="0"/>
          <w:color w:val="000000"/>
          <w:sz w:val="72"/>
          <w:szCs w:val="72"/>
        </w:rPr>
      </w:pPr>
      <w:bookmarkStart w:id="6" w:name="_Toc15377426"/>
      <w:bookmarkStart w:id="7" w:name="_Toc15396476"/>
      <w:bookmarkStart w:id="8" w:name="_Toc15306268"/>
      <w:bookmarkStart w:id="9" w:name="_Toc15396598"/>
      <w:bookmarkStart w:id="10" w:name="_Toc15377194"/>
      <w:bookmarkStart w:id="11" w:name="_Toc15378442"/>
      <w:r>
        <w:rPr>
          <w:rFonts w:hint="eastAsia" w:ascii="方正小标宋简体" w:hAnsi="宋体" w:eastAsia="方正小标宋简体"/>
          <w:b w:val="0"/>
          <w:bCs w:val="0"/>
          <w:color w:val="000000"/>
          <w:sz w:val="72"/>
          <w:szCs w:val="72"/>
        </w:rPr>
        <w:t>部门决算</w:t>
      </w:r>
      <w:bookmarkEnd w:id="6"/>
      <w:bookmarkEnd w:id="7"/>
      <w:bookmarkEnd w:id="8"/>
      <w:bookmarkEnd w:id="9"/>
      <w:bookmarkEnd w:id="10"/>
      <w:bookmarkEnd w:id="11"/>
    </w:p>
    <w:p w14:paraId="04D3BB2B">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5DDB1B6F">
      <w:pPr>
        <w:rPr>
          <w:color w:val="auto"/>
          <w:highlight w:val="none"/>
        </w:rPr>
      </w:pPr>
    </w:p>
    <w:p w14:paraId="742D9DC0">
      <w:pPr>
        <w:pStyle w:val="11"/>
        <w:adjustRightInd w:val="0"/>
        <w:snapToGrid w:val="0"/>
        <w:spacing w:before="0" w:line="440" w:lineRule="exact"/>
        <w:jc w:val="left"/>
        <w:rPr>
          <w:rFonts w:hint="default" w:cs="Times New Roman"/>
          <w:color w:val="auto"/>
          <w:sz w:val="24"/>
          <w:highlight w:val="none"/>
          <w:lang w:val="en-US"/>
        </w:rPr>
      </w:pPr>
      <w:r>
        <w:rPr>
          <w:rFonts w:hint="eastAsia" w:cs="Times New Roman"/>
          <w:color w:val="auto"/>
          <w:sz w:val="24"/>
          <w:highlight w:val="none"/>
        </w:rPr>
        <w:t xml:space="preserve">第一部分 </w:t>
      </w:r>
      <w:r>
        <w:rPr>
          <w:rFonts w:hint="eastAsia" w:cs="Times New Roman"/>
          <w:color w:val="auto"/>
          <w:sz w:val="24"/>
          <w:highlight w:val="none"/>
          <w:lang w:eastAsia="zh-CN"/>
        </w:rPr>
        <w:t>单位</w:t>
      </w:r>
      <w:r>
        <w:rPr>
          <w:rFonts w:hint="eastAsia" w:cs="Times New Roman"/>
          <w:color w:val="auto"/>
          <w:sz w:val="24"/>
          <w:highlight w:val="none"/>
        </w:rPr>
        <w:t>概况</w:t>
      </w:r>
      <w:r>
        <w:rPr>
          <w:rFonts w:hint="eastAsia" w:cs="Times New Roman"/>
          <w:color w:val="auto"/>
          <w:sz w:val="24"/>
          <w:highlight w:val="none"/>
          <w:lang w:val="en-US" w:eastAsia="zh-CN"/>
        </w:rPr>
        <w:t>………………………………………………4</w:t>
      </w:r>
    </w:p>
    <w:p w14:paraId="0C460D33">
      <w:pPr>
        <w:pStyle w:val="12"/>
        <w:adjustRightInd w:val="0"/>
        <w:snapToGrid w:val="0"/>
        <w:spacing w:line="440" w:lineRule="exact"/>
        <w:jc w:val="lef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rPr>
        <w:t>一、职能</w:t>
      </w:r>
      <w:r>
        <w:rPr>
          <w:rFonts w:hint="eastAsia" w:ascii="Times New Roman" w:hAnsi="Times New Roman" w:cs="Times New Roman"/>
          <w:color w:val="auto"/>
          <w:sz w:val="24"/>
          <w:highlight w:val="none"/>
          <w:lang w:eastAsia="zh-CN"/>
        </w:rPr>
        <w:t>简介</w:t>
      </w:r>
      <w:r>
        <w:rPr>
          <w:rFonts w:hint="eastAsia" w:ascii="Times New Roman" w:hAnsi="Times New Roman" w:cs="Times New Roman"/>
          <w:color w:val="auto"/>
          <w:sz w:val="24"/>
          <w:highlight w:val="none"/>
          <w:lang w:val="en-US" w:eastAsia="zh-CN"/>
        </w:rPr>
        <w:t>…………………………………………………4</w:t>
      </w:r>
    </w:p>
    <w:p w14:paraId="04487E95">
      <w:pPr>
        <w:pStyle w:val="12"/>
        <w:adjustRightInd w:val="0"/>
        <w:snapToGrid w:val="0"/>
        <w:spacing w:line="440" w:lineRule="exact"/>
        <w:jc w:val="left"/>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二、机构设置情况</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6</w:t>
      </w:r>
    </w:p>
    <w:p w14:paraId="124EFA31">
      <w:pPr>
        <w:pStyle w:val="12"/>
        <w:adjustRightInd w:val="0"/>
        <w:snapToGrid w:val="0"/>
        <w:spacing w:line="440" w:lineRule="exact"/>
        <w:jc w:val="left"/>
        <w:rPr>
          <w:rFonts w:hint="eastAsia" w:ascii="Times New Roman" w:hAnsi="Times New Roman" w:cs="Times New Roman"/>
          <w:color w:val="auto"/>
          <w:sz w:val="24"/>
          <w:highlight w:val="none"/>
          <w:lang w:eastAsia="zh-CN"/>
        </w:rPr>
      </w:pPr>
      <w:r>
        <w:rPr>
          <w:rFonts w:hint="eastAsia" w:cs="Times New Roman"/>
          <w:color w:val="auto"/>
          <w:sz w:val="24"/>
          <w:highlight w:val="none"/>
          <w:lang w:eastAsia="zh-CN"/>
        </w:rPr>
        <w:t>三</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2021年重点</w:t>
      </w:r>
      <w:r>
        <w:rPr>
          <w:rFonts w:hint="eastAsia" w:ascii="Times New Roman" w:hAnsi="Times New Roman" w:cs="Times New Roman"/>
          <w:color w:val="auto"/>
          <w:sz w:val="24"/>
          <w:highlight w:val="none"/>
        </w:rPr>
        <w:t>工作</w:t>
      </w:r>
      <w:r>
        <w:rPr>
          <w:rFonts w:hint="eastAsia" w:ascii="Times New Roman" w:hAnsi="Times New Roman" w:cs="Times New Roman"/>
          <w:color w:val="auto"/>
          <w:sz w:val="24"/>
          <w:highlight w:val="none"/>
          <w:lang w:eastAsia="zh-CN"/>
        </w:rPr>
        <w:t>完成情况</w:t>
      </w:r>
      <w:r>
        <w:rPr>
          <w:rFonts w:hint="eastAsia" w:ascii="Times New Roman" w:hAnsi="Times New Roman" w:cs="Times New Roman"/>
          <w:color w:val="auto"/>
          <w:sz w:val="24"/>
          <w:highlight w:val="none"/>
          <w:lang w:val="en-US" w:eastAsia="zh-CN"/>
        </w:rPr>
        <w:t>………………………………6</w:t>
      </w:r>
    </w:p>
    <w:p w14:paraId="2D60D081">
      <w:pPr>
        <w:pStyle w:val="11"/>
        <w:adjustRightInd w:val="0"/>
        <w:snapToGrid w:val="0"/>
        <w:spacing w:before="0" w:line="440" w:lineRule="exact"/>
        <w:jc w:val="left"/>
        <w:rPr>
          <w:rFonts w:hint="default" w:cs="Times New Roman"/>
          <w:color w:val="auto"/>
          <w:sz w:val="24"/>
          <w:highlight w:val="none"/>
          <w:lang w:val="en-US"/>
        </w:rPr>
      </w:pPr>
      <w:r>
        <w:rPr>
          <w:rFonts w:hint="eastAsia" w:cs="Times New Roman"/>
          <w:color w:val="auto"/>
          <w:sz w:val="24"/>
          <w:highlight w:val="none"/>
        </w:rPr>
        <w:t>第二部分</w:t>
      </w:r>
      <w:r>
        <w:rPr>
          <w:rFonts w:hint="eastAsia" w:cs="Times New Roman"/>
          <w:color w:val="auto"/>
          <w:sz w:val="24"/>
          <w:highlight w:val="none"/>
          <w:lang w:val="en-US" w:eastAsia="zh-CN"/>
        </w:rPr>
        <w:t xml:space="preserve"> 2021年度</w:t>
      </w:r>
      <w:r>
        <w:rPr>
          <w:rFonts w:hint="eastAsia" w:cs="Times New Roman"/>
          <w:color w:val="auto"/>
          <w:sz w:val="24"/>
          <w:highlight w:val="none"/>
          <w:lang w:eastAsia="zh-CN"/>
        </w:rPr>
        <w:t>单位</w:t>
      </w:r>
      <w:r>
        <w:rPr>
          <w:rFonts w:hint="eastAsia" w:cs="Times New Roman"/>
          <w:color w:val="auto"/>
          <w:sz w:val="24"/>
          <w:highlight w:val="none"/>
        </w:rPr>
        <w:t>决算情况说明</w:t>
      </w:r>
      <w:r>
        <w:rPr>
          <w:rFonts w:hint="eastAsia" w:cs="Times New Roman"/>
          <w:color w:val="auto"/>
          <w:sz w:val="24"/>
          <w:highlight w:val="none"/>
          <w:lang w:val="en-US" w:eastAsia="zh-CN"/>
        </w:rPr>
        <w:t>…………………………14</w:t>
      </w:r>
    </w:p>
    <w:p w14:paraId="216813BE">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一</w:t>
      </w:r>
      <w:r>
        <w:rPr>
          <w:rFonts w:hint="eastAsia" w:ascii="Times New Roman" w:hAnsi="Times New Roman" w:cs="Times New Roman"/>
          <w:color w:val="auto"/>
          <w:sz w:val="24"/>
          <w:highlight w:val="none"/>
        </w:rPr>
        <w:t>、收入支出决算总体情况说明</w:t>
      </w:r>
      <w:r>
        <w:rPr>
          <w:rFonts w:hint="eastAsia" w:ascii="Times New Roman" w:hAnsi="Times New Roman" w:cs="Times New Roman"/>
          <w:color w:val="auto"/>
          <w:sz w:val="24"/>
          <w:highlight w:val="none"/>
          <w:lang w:val="en-US" w:eastAsia="zh-CN"/>
        </w:rPr>
        <w:t>……………………………14</w:t>
      </w:r>
    </w:p>
    <w:p w14:paraId="7FDD6DAD">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二</w:t>
      </w:r>
      <w:r>
        <w:rPr>
          <w:rFonts w:hint="eastAsia" w:ascii="Times New Roman" w:hAnsi="Times New Roman" w:cs="Times New Roman"/>
          <w:color w:val="auto"/>
          <w:sz w:val="24"/>
          <w:highlight w:val="none"/>
        </w:rPr>
        <w:t>、收入决算情况说明</w:t>
      </w:r>
      <w:r>
        <w:rPr>
          <w:rFonts w:hint="eastAsia" w:ascii="Times New Roman" w:hAnsi="Times New Roman" w:cs="Times New Roman"/>
          <w:color w:val="auto"/>
          <w:sz w:val="24"/>
          <w:highlight w:val="none"/>
          <w:lang w:val="en-US" w:eastAsia="zh-CN"/>
        </w:rPr>
        <w:t>………………………………………14</w:t>
      </w:r>
    </w:p>
    <w:p w14:paraId="2CCE0BBF">
      <w:pPr>
        <w:pStyle w:val="12"/>
        <w:adjustRightInd w:val="0"/>
        <w:snapToGrid w:val="0"/>
        <w:spacing w:line="440" w:lineRule="exact"/>
        <w:jc w:val="left"/>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eastAsia="zh-CN"/>
        </w:rPr>
        <w:t>三</w:t>
      </w:r>
      <w:r>
        <w:rPr>
          <w:rFonts w:hint="eastAsia" w:ascii="Times New Roman" w:hAnsi="Times New Roman" w:cs="Times New Roman"/>
          <w:color w:val="auto"/>
          <w:sz w:val="24"/>
          <w:highlight w:val="none"/>
        </w:rPr>
        <w:t>、支出决算情况说明</w:t>
      </w:r>
      <w:r>
        <w:rPr>
          <w:rFonts w:hint="eastAsia" w:ascii="Times New Roman" w:hAnsi="Times New Roman" w:cs="Times New Roman"/>
          <w:color w:val="auto"/>
          <w:sz w:val="24"/>
          <w:highlight w:val="none"/>
          <w:lang w:val="en-US" w:eastAsia="zh-CN"/>
        </w:rPr>
        <w:t>………………………………………15</w:t>
      </w:r>
    </w:p>
    <w:p w14:paraId="2D495212">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四</w:t>
      </w:r>
      <w:r>
        <w:rPr>
          <w:rFonts w:hint="eastAsia" w:ascii="Times New Roman" w:hAnsi="Times New Roman" w:cs="Times New Roman"/>
          <w:color w:val="auto"/>
          <w:sz w:val="24"/>
          <w:highlight w:val="none"/>
        </w:rPr>
        <w:t>、财政拨款收入支出决算总体情况说明</w:t>
      </w:r>
      <w:r>
        <w:rPr>
          <w:rFonts w:hint="eastAsia" w:ascii="Times New Roman" w:hAnsi="Times New Roman" w:cs="Times New Roman"/>
          <w:color w:val="auto"/>
          <w:sz w:val="24"/>
          <w:highlight w:val="none"/>
          <w:lang w:val="en-US" w:eastAsia="zh-CN"/>
        </w:rPr>
        <w:t>…………………15</w:t>
      </w:r>
    </w:p>
    <w:p w14:paraId="45AF9903">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五</w:t>
      </w:r>
      <w:r>
        <w:rPr>
          <w:rFonts w:hint="eastAsia" w:ascii="Times New Roman" w:hAnsi="Times New Roman" w:cs="Times New Roman"/>
          <w:color w:val="auto"/>
          <w:sz w:val="24"/>
          <w:highlight w:val="none"/>
        </w:rPr>
        <w:t>、一般公共预算财政拨款支出决算情况说明</w:t>
      </w:r>
      <w:r>
        <w:rPr>
          <w:rFonts w:hint="eastAsia" w:ascii="Times New Roman" w:hAnsi="Times New Roman" w:cs="Times New Roman"/>
          <w:color w:val="auto"/>
          <w:sz w:val="24"/>
          <w:highlight w:val="none"/>
          <w:lang w:val="en-US" w:eastAsia="zh-CN"/>
        </w:rPr>
        <w:t>……………16</w:t>
      </w:r>
    </w:p>
    <w:p w14:paraId="3D95591B">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六</w:t>
      </w:r>
      <w:r>
        <w:rPr>
          <w:rFonts w:hint="eastAsia" w:ascii="Times New Roman" w:hAnsi="Times New Roman" w:cs="Times New Roman"/>
          <w:color w:val="auto"/>
          <w:sz w:val="24"/>
          <w:highlight w:val="none"/>
        </w:rPr>
        <w:t>、一般公共预算财政拨款基本支出决算情况说明</w:t>
      </w:r>
      <w:r>
        <w:rPr>
          <w:rFonts w:hint="eastAsia" w:ascii="Times New Roman" w:hAnsi="Times New Roman" w:cs="Times New Roman"/>
          <w:color w:val="auto"/>
          <w:sz w:val="24"/>
          <w:highlight w:val="none"/>
          <w:lang w:val="en-US" w:eastAsia="zh-CN"/>
        </w:rPr>
        <w:t>………18</w:t>
      </w:r>
    </w:p>
    <w:p w14:paraId="6D630806">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七</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三公”经费财政拨款支出决算情况说明</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8</w:t>
      </w:r>
    </w:p>
    <w:p w14:paraId="6FDCA1BE">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八</w:t>
      </w:r>
      <w:r>
        <w:rPr>
          <w:rFonts w:hint="eastAsia" w:ascii="Times New Roman" w:hAnsi="Times New Roman" w:cs="Times New Roman"/>
          <w:color w:val="auto"/>
          <w:sz w:val="24"/>
          <w:highlight w:val="none"/>
        </w:rPr>
        <w:t>、政府性基金预算支出决算情况说明</w:t>
      </w:r>
      <w:r>
        <w:rPr>
          <w:rFonts w:hint="eastAsia" w:ascii="Times New Roman" w:hAnsi="Times New Roman" w:cs="Times New Roman"/>
          <w:color w:val="auto"/>
          <w:sz w:val="24"/>
          <w:highlight w:val="none"/>
          <w:lang w:val="en-US" w:eastAsia="zh-CN"/>
        </w:rPr>
        <w:t>……………………20</w:t>
      </w:r>
    </w:p>
    <w:p w14:paraId="4AC17ABF">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cs="Times New Roman"/>
          <w:color w:val="auto"/>
          <w:sz w:val="24"/>
          <w:highlight w:val="none"/>
          <w:lang w:eastAsia="zh-CN"/>
        </w:rPr>
        <w:t>九</w:t>
      </w:r>
      <w:r>
        <w:rPr>
          <w:rFonts w:hint="eastAsia" w:ascii="Times New Roman" w:hAnsi="Times New Roman" w:cs="Times New Roman"/>
          <w:color w:val="auto"/>
          <w:sz w:val="24"/>
          <w:highlight w:val="none"/>
        </w:rPr>
        <w:t>、国有资本经营预算支出决算情况说明</w:t>
      </w:r>
      <w:r>
        <w:rPr>
          <w:rFonts w:hint="eastAsia" w:ascii="Times New Roman" w:hAnsi="Times New Roman" w:cs="Times New Roman"/>
          <w:color w:val="auto"/>
          <w:sz w:val="24"/>
          <w:highlight w:val="none"/>
          <w:lang w:val="en-US" w:eastAsia="zh-CN"/>
        </w:rPr>
        <w:t>…………………20</w:t>
      </w:r>
    </w:p>
    <w:p w14:paraId="6F6BDBE1">
      <w:pPr>
        <w:pStyle w:val="12"/>
        <w:adjustRightInd w:val="0"/>
        <w:snapToGrid w:val="0"/>
        <w:spacing w:line="440" w:lineRule="exact"/>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rPr>
        <w:t>十、</w:t>
      </w:r>
      <w:r>
        <w:rPr>
          <w:rFonts w:hint="eastAsia" w:ascii="Times New Roman" w:hAnsi="Times New Roman" w:cs="Times New Roman"/>
          <w:color w:val="auto"/>
          <w:sz w:val="24"/>
          <w:highlight w:val="none"/>
          <w:lang w:val="en-US" w:eastAsia="zh-CN"/>
        </w:rPr>
        <w:t>预算绩效管理情况………………………………………20</w:t>
      </w:r>
    </w:p>
    <w:p w14:paraId="13F7C80E">
      <w:pPr>
        <w:pStyle w:val="12"/>
        <w:adjustRightInd w:val="0"/>
        <w:snapToGrid w:val="0"/>
        <w:spacing w:line="440" w:lineRule="exact"/>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十</w:t>
      </w:r>
      <w:r>
        <w:rPr>
          <w:rFonts w:hint="eastAsia" w:cs="Times New Roman"/>
          <w:color w:val="auto"/>
          <w:sz w:val="24"/>
          <w:highlight w:val="none"/>
          <w:lang w:val="en-US" w:eastAsia="zh-CN"/>
        </w:rPr>
        <w:t>一</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其他重要事项的情况说明</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0</w:t>
      </w:r>
    </w:p>
    <w:p w14:paraId="497DDC7B">
      <w:pPr>
        <w:pStyle w:val="11"/>
        <w:adjustRightInd w:val="0"/>
        <w:snapToGrid w:val="0"/>
        <w:spacing w:before="0" w:line="440" w:lineRule="exact"/>
        <w:jc w:val="left"/>
        <w:rPr>
          <w:rFonts w:hint="default" w:cs="Times New Roman"/>
          <w:color w:val="auto"/>
          <w:sz w:val="24"/>
          <w:highlight w:val="none"/>
          <w:lang w:val="en-US"/>
        </w:rPr>
      </w:pPr>
      <w:r>
        <w:rPr>
          <w:rFonts w:hint="eastAsia" w:cs="Times New Roman"/>
          <w:color w:val="auto"/>
          <w:sz w:val="24"/>
          <w:highlight w:val="none"/>
        </w:rPr>
        <w:t>第三部分 名词解释</w:t>
      </w:r>
      <w:r>
        <w:rPr>
          <w:rFonts w:hint="eastAsia" w:cs="Times New Roman"/>
          <w:color w:val="auto"/>
          <w:sz w:val="24"/>
          <w:highlight w:val="none"/>
          <w:lang w:val="en-US" w:eastAsia="zh-CN"/>
        </w:rPr>
        <w:t>………………………………………………23</w:t>
      </w:r>
    </w:p>
    <w:p w14:paraId="3D64BE59">
      <w:pPr>
        <w:pStyle w:val="11"/>
        <w:adjustRightInd w:val="0"/>
        <w:snapToGrid w:val="0"/>
        <w:spacing w:before="0" w:line="440" w:lineRule="exact"/>
        <w:jc w:val="left"/>
        <w:rPr>
          <w:rFonts w:hint="default" w:cs="Times New Roman"/>
          <w:color w:val="auto"/>
          <w:sz w:val="24"/>
          <w:highlight w:val="none"/>
          <w:lang w:val="en-US"/>
        </w:rPr>
      </w:pPr>
      <w:r>
        <w:rPr>
          <w:rFonts w:hint="eastAsia" w:cs="Times New Roman"/>
          <w:color w:val="auto"/>
          <w:sz w:val="24"/>
          <w:highlight w:val="none"/>
        </w:rPr>
        <w:t>第四部分 附件</w:t>
      </w:r>
      <w:r>
        <w:rPr>
          <w:rFonts w:hint="eastAsia" w:cs="Times New Roman"/>
          <w:color w:val="auto"/>
          <w:sz w:val="24"/>
          <w:highlight w:val="none"/>
          <w:lang w:val="en-US" w:eastAsia="zh-CN"/>
        </w:rPr>
        <w:t>……………………………………………………24-28</w:t>
      </w:r>
    </w:p>
    <w:p w14:paraId="4717AD2A">
      <w:pPr>
        <w:pStyle w:val="11"/>
        <w:adjustRightInd w:val="0"/>
        <w:snapToGrid w:val="0"/>
        <w:spacing w:before="0" w:line="440" w:lineRule="exact"/>
        <w:jc w:val="left"/>
        <w:rPr>
          <w:rFonts w:hint="default" w:cs="Times New Roman"/>
          <w:color w:val="auto"/>
          <w:sz w:val="24"/>
          <w:highlight w:val="none"/>
          <w:lang w:val="en-US"/>
        </w:rPr>
      </w:pPr>
      <w:r>
        <w:rPr>
          <w:rFonts w:hint="eastAsia" w:cs="Times New Roman"/>
          <w:color w:val="auto"/>
          <w:sz w:val="24"/>
          <w:highlight w:val="none"/>
        </w:rPr>
        <w:t>第五部分 附表</w:t>
      </w:r>
      <w:r>
        <w:rPr>
          <w:rFonts w:hint="eastAsia" w:cs="Times New Roman"/>
          <w:color w:val="auto"/>
          <w:sz w:val="24"/>
          <w:highlight w:val="none"/>
          <w:lang w:val="en-US" w:eastAsia="zh-CN"/>
        </w:rPr>
        <w:t>……………………………………………………29</w:t>
      </w:r>
    </w:p>
    <w:p w14:paraId="31FD4ACB">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一、收入支出决算总表</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29</w:t>
      </w:r>
    </w:p>
    <w:p w14:paraId="54FC4E6A">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二、收入决算表</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29</w:t>
      </w:r>
    </w:p>
    <w:p w14:paraId="70B5F3AC">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三、支出决算表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138668A1">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四、财政拨款收入支出决算总表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5CCFB48C">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五、财政拨款支出决算明细表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29B427A1">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六、一般公共预算财政拨款支出决算表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3F605211">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七、一般公共预算财政拨款支出决算明细表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567EDEA2">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八、一般公共预算财政拨款基本支出决算表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541B3712">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九、一般公共预算财政拨款项目支出决算表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556E31AF">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十、一般公共预算财政拨款“三公”经费支出决算表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4C41B95E">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十一、政府性基金预算财政拨款收入支出决算表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7A3A4FEA">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十二、政府性基金预算财政拨款“三公”经费支出决算表</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674B4716">
      <w:pPr>
        <w:pStyle w:val="12"/>
        <w:adjustRightInd w:val="0"/>
        <w:snapToGrid w:val="0"/>
        <w:spacing w:line="440" w:lineRule="exact"/>
        <w:jc w:val="left"/>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rPr>
        <w:t>十三、国有资本经营预算</w:t>
      </w:r>
      <w:r>
        <w:rPr>
          <w:rFonts w:hint="eastAsia" w:ascii="Times New Roman" w:hAnsi="Times New Roman" w:cs="Times New Roman"/>
          <w:color w:val="auto"/>
          <w:sz w:val="24"/>
          <w:highlight w:val="none"/>
          <w:lang w:eastAsia="zh-CN"/>
        </w:rPr>
        <w:t>财政拨款收入</w:t>
      </w:r>
      <w:r>
        <w:rPr>
          <w:rFonts w:hint="eastAsia" w:ascii="Times New Roman" w:hAnsi="Times New Roman" w:cs="Times New Roman"/>
          <w:color w:val="auto"/>
          <w:sz w:val="24"/>
          <w:highlight w:val="none"/>
        </w:rPr>
        <w:t>支出决算表</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42852828">
      <w:pPr>
        <w:pStyle w:val="12"/>
        <w:adjustRightInd w:val="0"/>
        <w:snapToGrid w:val="0"/>
        <w:spacing w:line="440" w:lineRule="exact"/>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十四、国有资本经营预算财政拨款支出决算表……</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p>
    <w:p w14:paraId="1F0D06AA">
      <w:pPr>
        <w:keepNext w:val="0"/>
        <w:keepLines w:val="0"/>
        <w:pageBreakBefore w:val="0"/>
        <w:widowControl/>
        <w:kinsoku/>
        <w:wordWrap/>
        <w:overflowPunct/>
        <w:topLinePunct w:val="0"/>
        <w:autoSpaceDE/>
        <w:autoSpaceDN/>
        <w:bidi w:val="0"/>
        <w:spacing w:line="576" w:lineRule="exact"/>
        <w:ind w:left="0" w:leftChars="0"/>
        <w:jc w:val="distribute"/>
        <w:textAlignment w:val="auto"/>
        <w:rPr>
          <w:rFonts w:hint="eastAsia" w:ascii="楷体_GB2312" w:hAnsi="楷体_GB2312" w:eastAsia="楷体_GB2312" w:cs="楷体_GB2312"/>
          <w:bCs/>
          <w:color w:val="auto"/>
          <w:kern w:val="44"/>
          <w:sz w:val="32"/>
          <w:szCs w:val="32"/>
          <w:highlight w:val="none"/>
        </w:rPr>
      </w:pPr>
      <w:bookmarkStart w:id="12" w:name="_Toc15377196"/>
      <w:bookmarkStart w:id="13" w:name="_Toc15396599"/>
      <w:r>
        <w:rPr>
          <w:rFonts w:hint="eastAsia" w:ascii="楷体_GB2312" w:hAnsi="楷体_GB2312" w:eastAsia="楷体_GB2312" w:cs="楷体_GB2312"/>
          <w:b/>
          <w:color w:val="auto"/>
          <w:sz w:val="32"/>
          <w:szCs w:val="32"/>
          <w:highlight w:val="none"/>
        </w:rPr>
        <w:br w:type="page"/>
      </w:r>
    </w:p>
    <w:p w14:paraId="41768F66">
      <w:pPr>
        <w:pStyle w:val="3"/>
        <w:jc w:val="center"/>
        <w:rPr>
          <w:rStyle w:val="29"/>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29"/>
          <w:rFonts w:hint="eastAsia" w:ascii="黑体" w:hAnsi="黑体" w:eastAsia="黑体"/>
          <w:b w:val="0"/>
          <w:bCs w:val="0"/>
          <w:color w:val="auto"/>
          <w:highlight w:val="none"/>
        </w:rPr>
        <w:t>概况</w:t>
      </w:r>
      <w:bookmarkEnd w:id="12"/>
      <w:bookmarkEnd w:id="13"/>
    </w:p>
    <w:p w14:paraId="05305DC8">
      <w:pPr>
        <w:widowControl/>
        <w:jc w:val="left"/>
        <w:rPr>
          <w:rFonts w:ascii="黑体" w:eastAsia="黑体"/>
          <w:color w:val="auto"/>
          <w:sz w:val="32"/>
          <w:szCs w:val="32"/>
          <w:highlight w:val="none"/>
        </w:rPr>
      </w:pPr>
    </w:p>
    <w:p w14:paraId="0A02558F">
      <w:pPr>
        <w:pStyle w:val="4"/>
        <w:numPr>
          <w:ilvl w:val="0"/>
          <w:numId w:val="1"/>
        </w:numPr>
        <w:rPr>
          <w:rFonts w:hint="eastAsia"/>
        </w:rPr>
      </w:pPr>
      <w:bookmarkStart w:id="14" w:name="_Toc15396600"/>
      <w:bookmarkStart w:id="15" w:name="_Toc15377197"/>
      <w:r>
        <w:rPr>
          <w:rStyle w:val="30"/>
          <w:rFonts w:hint="eastAsia" w:ascii="黑体" w:hAnsi="黑体" w:eastAsia="黑体"/>
          <w:b w:val="0"/>
          <w:bCs w:val="0"/>
          <w:color w:val="auto"/>
          <w:highlight w:val="none"/>
        </w:rPr>
        <w:t>职能</w:t>
      </w:r>
      <w:r>
        <w:rPr>
          <w:rStyle w:val="30"/>
          <w:rFonts w:hint="eastAsia" w:ascii="黑体" w:hAnsi="黑体" w:eastAsia="黑体"/>
          <w:b w:val="0"/>
          <w:bCs w:val="0"/>
          <w:color w:val="auto"/>
          <w:highlight w:val="none"/>
          <w:lang w:eastAsia="zh-CN"/>
        </w:rPr>
        <w:t>简介</w:t>
      </w:r>
    </w:p>
    <w:p w14:paraId="29AC6B37">
      <w:pPr>
        <w:spacing w:line="600" w:lineRule="exact"/>
        <w:ind w:firstLine="640" w:firstLineChars="200"/>
        <w:rPr>
          <w:rFonts w:hint="eastAsia" w:ascii="仿宋_GB2312" w:eastAsia="仿宋_GB2312"/>
          <w:b w:val="0"/>
          <w:bCs w:val="0"/>
          <w:color w:val="000000"/>
          <w:sz w:val="32"/>
          <w:szCs w:val="32"/>
        </w:rPr>
      </w:pPr>
      <w:r>
        <w:rPr>
          <w:rFonts w:hint="eastAsia" w:eastAsia="仿宋_GB2312"/>
          <w:b w:val="0"/>
          <w:bCs w:val="0"/>
          <w:color w:val="000000"/>
          <w:sz w:val="32"/>
          <w:szCs w:val="32"/>
          <w:lang w:eastAsia="zh-CN"/>
        </w:rPr>
        <w:t>（一）</w:t>
      </w:r>
      <w:r>
        <w:rPr>
          <w:rFonts w:hint="eastAsia" w:ascii="仿宋_GB2312" w:eastAsia="仿宋_GB2312"/>
          <w:b w:val="0"/>
          <w:bCs w:val="0"/>
          <w:color w:val="000000"/>
          <w:sz w:val="32"/>
          <w:szCs w:val="32"/>
        </w:rPr>
        <w:t>深入贯彻执行党的路线方针政策和决策部署，统一政法单位思想和行动，坚持党对政法工作的绝对领导，坚决维护党中央权威和集中统一领导。</w:t>
      </w:r>
    </w:p>
    <w:p w14:paraId="2BE00489">
      <w:pPr>
        <w:spacing w:line="600" w:lineRule="exact"/>
        <w:ind w:firstLine="640" w:firstLineChars="200"/>
        <w:rPr>
          <w:rFonts w:hint="eastAsia" w:eastAsia="仿宋_GB2312"/>
          <w:b w:val="0"/>
          <w:bCs w:val="0"/>
          <w:color w:val="000000"/>
          <w:sz w:val="32"/>
          <w:szCs w:val="32"/>
        </w:rPr>
      </w:pPr>
      <w:r>
        <w:rPr>
          <w:rFonts w:hint="eastAsia" w:eastAsia="仿宋_GB2312"/>
          <w:b w:val="0"/>
          <w:bCs w:val="0"/>
          <w:color w:val="000000"/>
          <w:sz w:val="32"/>
          <w:szCs w:val="32"/>
          <w:lang w:eastAsia="zh-CN"/>
        </w:rPr>
        <w:t>（二）</w:t>
      </w:r>
      <w:r>
        <w:rPr>
          <w:rFonts w:eastAsia="仿宋_GB2312"/>
          <w:b w:val="0"/>
          <w:bCs w:val="0"/>
          <w:color w:val="000000"/>
          <w:sz w:val="32"/>
          <w:szCs w:val="32"/>
        </w:rPr>
        <w:t>深入贯彻党中央、省委、市委和区委决定，对政法工作研究提出全局性部署，推进平安昭化、法治昭化建设，加强过硬队伍建设，深化智能化建设，坚决维护国家政治安全、确保社会大局稳定、促进社会公平正义、保障人民安居乐业、护航经济社会发展。完善和落实政治督察、执法监督、纪律作风督查等工作制度机制。</w:t>
      </w:r>
    </w:p>
    <w:p w14:paraId="055D810C">
      <w:pPr>
        <w:spacing w:line="600" w:lineRule="exact"/>
        <w:ind w:firstLine="640" w:firstLineChars="200"/>
        <w:rPr>
          <w:rFonts w:eastAsia="仿宋_GB2312"/>
          <w:b w:val="0"/>
          <w:bCs w:val="0"/>
          <w:color w:val="000000"/>
          <w:sz w:val="32"/>
          <w:szCs w:val="32"/>
        </w:rPr>
      </w:pPr>
      <w:r>
        <w:rPr>
          <w:rFonts w:hint="eastAsia" w:eastAsia="仿宋_GB2312"/>
          <w:b w:val="0"/>
          <w:bCs w:val="0"/>
          <w:color w:val="000000"/>
          <w:sz w:val="32"/>
          <w:szCs w:val="32"/>
          <w:lang w:eastAsia="zh-CN"/>
        </w:rPr>
        <w:t>（三）</w:t>
      </w:r>
      <w:r>
        <w:rPr>
          <w:rFonts w:eastAsia="仿宋_GB2312"/>
          <w:b w:val="0"/>
          <w:bCs w:val="0"/>
          <w:color w:val="000000"/>
          <w:sz w:val="32"/>
          <w:szCs w:val="32"/>
        </w:rPr>
        <w:t>了解掌握和分析研判全区政治安全、反邪教形势动态，协调和指导政法单位、相关部门和乡镇（街道）做好政治安全、反邪教工作。</w:t>
      </w:r>
    </w:p>
    <w:p w14:paraId="29F9D75B">
      <w:pPr>
        <w:spacing w:line="600" w:lineRule="exact"/>
        <w:ind w:firstLine="640" w:firstLineChars="200"/>
        <w:rPr>
          <w:rFonts w:hint="eastAsia" w:eastAsia="仿宋_GB2312"/>
          <w:b w:val="0"/>
          <w:bCs w:val="0"/>
          <w:color w:val="000000"/>
          <w:sz w:val="32"/>
          <w:szCs w:val="32"/>
        </w:rPr>
      </w:pPr>
      <w:r>
        <w:rPr>
          <w:rFonts w:hint="eastAsia" w:eastAsia="仿宋_GB2312"/>
          <w:b w:val="0"/>
          <w:bCs w:val="0"/>
          <w:color w:val="000000"/>
          <w:sz w:val="32"/>
          <w:szCs w:val="32"/>
          <w:lang w:eastAsia="zh-CN"/>
        </w:rPr>
        <w:t>（四）</w:t>
      </w:r>
      <w:r>
        <w:rPr>
          <w:rFonts w:eastAsia="仿宋_GB2312"/>
          <w:b w:val="0"/>
          <w:bCs w:val="0"/>
          <w:color w:val="000000"/>
          <w:sz w:val="32"/>
          <w:szCs w:val="32"/>
        </w:rPr>
        <w:t>了解掌握和分析研判全区社会稳定形势，协调指导政法单位、相关部门和乡镇（街道）开展社会稳定风险评估，协调推动预防、化解影响稳定</w:t>
      </w:r>
      <w:r>
        <w:rPr>
          <w:rFonts w:hint="eastAsia" w:eastAsia="仿宋_GB2312"/>
          <w:b w:val="0"/>
          <w:bCs w:val="0"/>
          <w:color w:val="000000"/>
          <w:sz w:val="32"/>
          <w:szCs w:val="32"/>
        </w:rPr>
        <w:t>的</w:t>
      </w:r>
      <w:r>
        <w:rPr>
          <w:rFonts w:eastAsia="仿宋_GB2312"/>
          <w:b w:val="0"/>
          <w:bCs w:val="0"/>
          <w:color w:val="000000"/>
          <w:sz w:val="32"/>
          <w:szCs w:val="32"/>
        </w:rPr>
        <w:t>各类风险，协调应对和完善处置重大突发事件。</w:t>
      </w:r>
    </w:p>
    <w:p w14:paraId="13A31492">
      <w:pPr>
        <w:spacing w:line="600" w:lineRule="exact"/>
        <w:ind w:firstLine="640" w:firstLineChars="200"/>
        <w:rPr>
          <w:rFonts w:eastAsia="仿宋_GB2312"/>
          <w:b w:val="0"/>
          <w:bCs w:val="0"/>
          <w:color w:val="000000"/>
          <w:sz w:val="32"/>
          <w:szCs w:val="32"/>
        </w:rPr>
      </w:pPr>
      <w:r>
        <w:rPr>
          <w:rFonts w:hint="eastAsia" w:eastAsia="仿宋_GB2312"/>
          <w:b w:val="0"/>
          <w:bCs w:val="0"/>
          <w:color w:val="000000"/>
          <w:sz w:val="32"/>
          <w:szCs w:val="32"/>
          <w:lang w:eastAsia="zh-CN"/>
        </w:rPr>
        <w:t>（五）</w:t>
      </w:r>
      <w:r>
        <w:rPr>
          <w:rFonts w:eastAsia="仿宋_GB2312"/>
          <w:b w:val="0"/>
          <w:bCs w:val="0"/>
          <w:color w:val="000000"/>
          <w:sz w:val="32"/>
          <w:szCs w:val="32"/>
        </w:rPr>
        <w:t>了解掌握和分析研判全区社会治安形势、社会治理情况动态，创新完善多部门参与平安建设工作机制，推动开展基层平安创建、基层社会治理和网格化服务管理工作，统筹指导区、乡镇（街道）、村（社区）三级综治中心建设；构建矛盾纠纷多元化解体系和机制，指导推动预防、化解各类社会矛盾；负责见义勇为宣传、表彰、奖励等工作；负责指导辖区内铁路护路联防工作。</w:t>
      </w:r>
    </w:p>
    <w:p w14:paraId="5C29D238">
      <w:pPr>
        <w:spacing w:line="600" w:lineRule="exact"/>
        <w:ind w:firstLine="640" w:firstLineChars="200"/>
        <w:rPr>
          <w:rFonts w:hint="eastAsia" w:ascii="仿宋_GB2312" w:eastAsia="仿宋_GB2312"/>
          <w:b w:val="0"/>
          <w:bCs w:val="0"/>
          <w:color w:val="000000"/>
          <w:sz w:val="32"/>
          <w:szCs w:val="32"/>
        </w:rPr>
      </w:pPr>
      <w:r>
        <w:rPr>
          <w:rFonts w:hint="eastAsia" w:eastAsia="仿宋_GB2312"/>
          <w:b w:val="0"/>
          <w:bCs w:val="0"/>
          <w:color w:val="000000"/>
          <w:sz w:val="32"/>
          <w:szCs w:val="32"/>
          <w:lang w:eastAsia="zh-CN"/>
        </w:rPr>
        <w:t>（六）</w:t>
      </w:r>
      <w:r>
        <w:rPr>
          <w:rFonts w:hint="eastAsia" w:ascii="仿宋_GB2312" w:eastAsia="仿宋_GB2312"/>
          <w:b w:val="0"/>
          <w:bCs w:val="0"/>
          <w:color w:val="000000"/>
          <w:sz w:val="32"/>
          <w:szCs w:val="32"/>
        </w:rPr>
        <w:t>加强对政法工作的督查，统筹协调全区维护政治安全、社会治安综合治理、维护社会稳定、反邪教有关法律法规政策的实施工作。</w:t>
      </w:r>
    </w:p>
    <w:p w14:paraId="02C13109">
      <w:pPr>
        <w:spacing w:line="600" w:lineRule="exact"/>
        <w:ind w:firstLine="640" w:firstLineChars="200"/>
        <w:rPr>
          <w:rFonts w:hint="eastAsia" w:ascii="仿宋_GB2312" w:eastAsia="仿宋_GB2312"/>
          <w:b w:val="0"/>
          <w:bCs w:val="0"/>
          <w:color w:val="000000"/>
          <w:sz w:val="32"/>
          <w:szCs w:val="32"/>
        </w:rPr>
      </w:pPr>
      <w:r>
        <w:rPr>
          <w:rFonts w:hint="eastAsia" w:ascii="仿宋_GB2312" w:eastAsia="仿宋_GB2312"/>
          <w:b w:val="0"/>
          <w:bCs w:val="0"/>
          <w:color w:val="000000"/>
          <w:sz w:val="32"/>
          <w:szCs w:val="32"/>
          <w:lang w:eastAsia="zh-CN"/>
        </w:rPr>
        <w:t>（七）</w:t>
      </w:r>
      <w:r>
        <w:rPr>
          <w:rFonts w:hint="eastAsia" w:ascii="仿宋_GB2312" w:eastAsia="仿宋_GB2312"/>
          <w:b w:val="0"/>
          <w:bCs w:val="0"/>
          <w:color w:val="000000"/>
          <w:sz w:val="32"/>
          <w:szCs w:val="32"/>
        </w:rPr>
        <w:t>支持和监督政法单位依法行使职权，检查政法单位执行党的路线方针政策、重大决策部署等情况，指导和协调政法单位密切配合，研究和协调重大、疑难案件，完善与纪检监察机关工作衔接和协作配合机制，推进严格执法、公正司法。</w:t>
      </w:r>
    </w:p>
    <w:p w14:paraId="577B7B9F">
      <w:pPr>
        <w:spacing w:line="600" w:lineRule="exact"/>
        <w:ind w:firstLine="640" w:firstLineChars="200"/>
        <w:rPr>
          <w:rFonts w:hint="eastAsia" w:eastAsia="仿宋_GB2312"/>
          <w:b w:val="0"/>
          <w:bCs w:val="0"/>
          <w:color w:val="000000"/>
          <w:sz w:val="32"/>
          <w:szCs w:val="32"/>
        </w:rPr>
      </w:pPr>
      <w:r>
        <w:rPr>
          <w:rFonts w:hint="eastAsia" w:eastAsia="仿宋_GB2312"/>
          <w:b w:val="0"/>
          <w:bCs w:val="0"/>
          <w:color w:val="000000"/>
          <w:sz w:val="32"/>
          <w:szCs w:val="32"/>
          <w:lang w:eastAsia="zh-CN"/>
        </w:rPr>
        <w:t>（八）</w:t>
      </w:r>
      <w:r>
        <w:rPr>
          <w:rFonts w:eastAsia="仿宋_GB2312"/>
          <w:b w:val="0"/>
          <w:bCs w:val="0"/>
          <w:color w:val="000000"/>
          <w:sz w:val="32"/>
          <w:szCs w:val="32"/>
        </w:rPr>
        <w:t>掌握分析政法舆情动态，指导协调政法单位媒体网络宣传工作，指导政法单位做好涉及政法工作的重大宣传和舆论引导工作，指导政法单位网络安全和智能化建设工作，统筹政法宣传和舆情引导工作。</w:t>
      </w:r>
    </w:p>
    <w:p w14:paraId="7E715C26">
      <w:pPr>
        <w:spacing w:line="600" w:lineRule="exact"/>
        <w:ind w:firstLine="640" w:firstLineChars="200"/>
        <w:rPr>
          <w:rFonts w:hint="eastAsia" w:ascii="仿宋_GB2312" w:eastAsia="仿宋_GB2312"/>
          <w:b w:val="0"/>
          <w:bCs w:val="0"/>
          <w:color w:val="000000"/>
          <w:sz w:val="32"/>
          <w:szCs w:val="32"/>
        </w:rPr>
      </w:pPr>
      <w:r>
        <w:rPr>
          <w:rFonts w:hint="eastAsia" w:ascii="仿宋_GB2312" w:eastAsia="仿宋_GB2312"/>
          <w:b w:val="0"/>
          <w:bCs w:val="0"/>
          <w:color w:val="000000"/>
          <w:sz w:val="32"/>
          <w:szCs w:val="32"/>
          <w:lang w:eastAsia="zh-CN"/>
        </w:rPr>
        <w:t>（九）</w:t>
      </w:r>
      <w:r>
        <w:rPr>
          <w:rFonts w:hint="eastAsia" w:ascii="仿宋_GB2312" w:eastAsia="仿宋_GB2312"/>
          <w:b w:val="0"/>
          <w:bCs w:val="0"/>
          <w:color w:val="000000"/>
          <w:sz w:val="32"/>
          <w:szCs w:val="32"/>
        </w:rPr>
        <w:t>组织开展政法领域调查研究，研究拟定全区政法工作的政策措施，及时向区委提出建议；组织研究政法改革中带有方向性、倾向性和普遍性的重大问题，深化政法改革。</w:t>
      </w:r>
    </w:p>
    <w:p w14:paraId="466BAE94">
      <w:pPr>
        <w:spacing w:line="600" w:lineRule="exact"/>
        <w:ind w:firstLine="640" w:firstLineChars="200"/>
        <w:rPr>
          <w:rFonts w:hint="eastAsia" w:eastAsia="仿宋_GB2312"/>
          <w:b w:val="0"/>
          <w:bCs w:val="0"/>
          <w:color w:val="000000"/>
          <w:sz w:val="32"/>
          <w:szCs w:val="32"/>
        </w:rPr>
      </w:pPr>
      <w:r>
        <w:rPr>
          <w:rFonts w:hint="eastAsia" w:eastAsia="仿宋_GB2312"/>
          <w:b w:val="0"/>
          <w:bCs w:val="0"/>
          <w:color w:val="000000"/>
          <w:sz w:val="32"/>
          <w:szCs w:val="32"/>
          <w:lang w:eastAsia="zh-CN"/>
        </w:rPr>
        <w:t>（十）</w:t>
      </w:r>
      <w:r>
        <w:rPr>
          <w:rFonts w:eastAsia="仿宋_GB2312"/>
          <w:b w:val="0"/>
          <w:bCs w:val="0"/>
          <w:color w:val="000000"/>
          <w:sz w:val="32"/>
          <w:szCs w:val="32"/>
        </w:rPr>
        <w:t>指导推动政法</w:t>
      </w:r>
      <w:r>
        <w:rPr>
          <w:rFonts w:hint="eastAsia" w:eastAsia="仿宋_GB2312"/>
          <w:b w:val="0"/>
          <w:bCs w:val="0"/>
          <w:color w:val="000000"/>
          <w:sz w:val="32"/>
          <w:szCs w:val="32"/>
        </w:rPr>
        <w:t>系统</w:t>
      </w:r>
      <w:r>
        <w:rPr>
          <w:rFonts w:eastAsia="仿宋_GB2312"/>
          <w:b w:val="0"/>
          <w:bCs w:val="0"/>
          <w:color w:val="000000"/>
          <w:sz w:val="32"/>
          <w:szCs w:val="32"/>
        </w:rPr>
        <w:t>党的建设和政法队伍建设，协助</w:t>
      </w:r>
      <w:r>
        <w:rPr>
          <w:rFonts w:hint="eastAsia" w:eastAsia="仿宋_GB2312"/>
          <w:b w:val="0"/>
          <w:bCs w:val="0"/>
          <w:color w:val="000000"/>
          <w:sz w:val="32"/>
          <w:szCs w:val="32"/>
        </w:rPr>
        <w:t>区级</w:t>
      </w:r>
      <w:r>
        <w:rPr>
          <w:rFonts w:eastAsia="仿宋_GB2312"/>
          <w:b w:val="0"/>
          <w:bCs w:val="0"/>
          <w:color w:val="000000"/>
          <w:sz w:val="32"/>
          <w:szCs w:val="32"/>
        </w:rPr>
        <w:t>有关职能部门</w:t>
      </w:r>
      <w:r>
        <w:rPr>
          <w:rFonts w:hint="eastAsia" w:eastAsia="仿宋_GB2312"/>
          <w:b w:val="0"/>
          <w:bCs w:val="0"/>
          <w:color w:val="000000"/>
          <w:sz w:val="32"/>
          <w:szCs w:val="32"/>
        </w:rPr>
        <w:t>管理监督政法领导干部，</w:t>
      </w:r>
      <w:r>
        <w:rPr>
          <w:rFonts w:eastAsia="仿宋_GB2312"/>
          <w:b w:val="0"/>
          <w:bCs w:val="0"/>
          <w:color w:val="000000"/>
          <w:sz w:val="32"/>
          <w:szCs w:val="32"/>
        </w:rPr>
        <w:t>代管广元市昭化区法学会。</w:t>
      </w:r>
    </w:p>
    <w:p w14:paraId="6D33C348">
      <w:pPr>
        <w:spacing w:line="600" w:lineRule="exact"/>
        <w:ind w:firstLine="640" w:firstLineChars="200"/>
        <w:rPr>
          <w:rFonts w:hint="eastAsia" w:ascii="仿宋_GB2312" w:eastAsia="仿宋_GB2312"/>
          <w:b w:val="0"/>
          <w:bCs w:val="0"/>
          <w:color w:val="000000"/>
          <w:sz w:val="32"/>
          <w:szCs w:val="32"/>
        </w:rPr>
      </w:pPr>
      <w:r>
        <w:rPr>
          <w:rFonts w:hint="eastAsia" w:ascii="仿宋_GB2312" w:eastAsia="仿宋_GB2312"/>
          <w:b w:val="0"/>
          <w:bCs w:val="0"/>
          <w:color w:val="000000"/>
          <w:sz w:val="32"/>
          <w:szCs w:val="32"/>
          <w:lang w:eastAsia="zh-CN"/>
        </w:rPr>
        <w:t>（十一）</w:t>
      </w:r>
      <w:r>
        <w:rPr>
          <w:rFonts w:hint="eastAsia" w:ascii="仿宋_GB2312" w:eastAsia="仿宋_GB2312"/>
          <w:b w:val="0"/>
          <w:bCs w:val="0"/>
          <w:color w:val="000000"/>
          <w:sz w:val="32"/>
          <w:szCs w:val="32"/>
        </w:rPr>
        <w:t>完成区委交办的其他任务。</w:t>
      </w:r>
    </w:p>
    <w:p w14:paraId="4D90453D">
      <w:pPr>
        <w:pStyle w:val="4"/>
        <w:numPr>
          <w:ilvl w:val="0"/>
          <w:numId w:val="0"/>
        </w:numPr>
        <w:ind w:firstLine="640" w:firstLineChars="200"/>
        <w:rPr>
          <w:rFonts w:hint="eastAsia" w:ascii="黑体" w:hAnsi="黑体" w:eastAsia="黑体"/>
          <w:b w:val="0"/>
          <w:color w:val="auto"/>
          <w:highlight w:val="none"/>
          <w:lang w:val="en-US" w:eastAsia="zh-CN"/>
        </w:rPr>
      </w:pPr>
      <w:r>
        <w:rPr>
          <w:rFonts w:hint="eastAsia" w:ascii="黑体" w:hAnsi="黑体" w:eastAsia="黑体"/>
          <w:b w:val="0"/>
          <w:color w:val="auto"/>
          <w:highlight w:val="none"/>
          <w:lang w:val="en-US" w:eastAsia="zh-CN"/>
        </w:rPr>
        <w:t>二、机构设置情况</w:t>
      </w:r>
    </w:p>
    <w:p w14:paraId="23120627">
      <w:pPr>
        <w:pStyle w:val="4"/>
        <w:numPr>
          <w:ilvl w:val="0"/>
          <w:numId w:val="0"/>
        </w:numPr>
        <w:ind w:firstLine="640" w:firstLineChars="200"/>
        <w:rPr>
          <w:rFonts w:hint="default"/>
          <w:lang w:val="en-US" w:eastAsia="zh-CN"/>
        </w:rPr>
      </w:pPr>
      <w:r>
        <w:rPr>
          <w:rFonts w:hint="eastAsia" w:ascii="仿宋_GB2312" w:hAnsi="Times New Roman" w:eastAsia="仿宋_GB2312" w:cs="Times New Roman"/>
          <w:b w:val="0"/>
          <w:bCs w:val="0"/>
          <w:color w:val="000000"/>
          <w:kern w:val="2"/>
          <w:sz w:val="32"/>
          <w:szCs w:val="32"/>
          <w:lang w:val="en-US" w:eastAsia="zh-CN" w:bidi="ar-SA"/>
        </w:rPr>
        <w:t>区委政法委内设机构有办公室（统筹督导股）、政治安全维稳和反邪教指导股、综治督导股。设立有政法宣传指导中心、综治中心、政治处，综治督导股加挂区矛盾纠纷多元化解协调中心，</w:t>
      </w:r>
      <w:r>
        <w:rPr>
          <w:rFonts w:hint="eastAsia" w:ascii="仿宋_GB2312" w:eastAsia="仿宋_GB2312" w:cs="Times New Roman"/>
          <w:b w:val="0"/>
          <w:bCs w:val="0"/>
          <w:color w:val="000000"/>
          <w:kern w:val="2"/>
          <w:sz w:val="32"/>
          <w:szCs w:val="32"/>
          <w:lang w:val="en-US" w:eastAsia="zh-CN" w:bidi="ar-SA"/>
        </w:rPr>
        <w:t>无下属二级预算单位。</w:t>
      </w:r>
    </w:p>
    <w:p w14:paraId="59D06872">
      <w:pPr>
        <w:pStyle w:val="4"/>
        <w:numPr>
          <w:ilvl w:val="0"/>
          <w:numId w:val="0"/>
        </w:numPr>
        <w:ind w:firstLine="640" w:firstLineChars="200"/>
        <w:rPr>
          <w:rFonts w:hint="eastAsia" w:ascii="黑体" w:hAnsi="黑体" w:eastAsia="黑体"/>
          <w:b w:val="0"/>
          <w:color w:val="auto"/>
          <w:highlight w:val="none"/>
        </w:rPr>
      </w:pPr>
      <w:r>
        <w:rPr>
          <w:rFonts w:hint="eastAsia" w:ascii="黑体" w:hAnsi="黑体" w:eastAsia="黑体"/>
          <w:b w:val="0"/>
          <w:color w:val="auto"/>
          <w:highlight w:val="none"/>
          <w:lang w:val="en-US" w:eastAsia="zh-CN"/>
        </w:rPr>
        <w:t>三、2021年重点</w:t>
      </w:r>
      <w:r>
        <w:rPr>
          <w:rFonts w:hint="eastAsia" w:ascii="黑体" w:hAnsi="黑体" w:eastAsia="黑体"/>
          <w:b w:val="0"/>
          <w:color w:val="auto"/>
          <w:highlight w:val="none"/>
        </w:rPr>
        <w:t>工作</w:t>
      </w:r>
      <w:bookmarkEnd w:id="14"/>
      <w:bookmarkEnd w:id="15"/>
      <w:r>
        <w:rPr>
          <w:rFonts w:hint="eastAsia" w:ascii="黑体" w:hAnsi="黑体" w:eastAsia="黑体"/>
          <w:b w:val="0"/>
          <w:color w:val="auto"/>
          <w:highlight w:val="none"/>
          <w:lang w:eastAsia="zh-CN"/>
        </w:rPr>
        <w:t>完成情况</w:t>
      </w:r>
    </w:p>
    <w:p w14:paraId="3A780495">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ascii="Times New Roman" w:hAnsi="Times New Roman"/>
        </w:rPr>
      </w:pP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1</w:t>
      </w:r>
      <w:r>
        <w:rPr>
          <w:rFonts w:ascii="Times New Roman" w:hAnsi="仿宋_GB2312" w:eastAsia="仿宋_GB2312"/>
          <w:sz w:val="32"/>
          <w:szCs w:val="32"/>
        </w:rPr>
        <w:t>年</w:t>
      </w:r>
      <w:r>
        <w:rPr>
          <w:rFonts w:hint="eastAsia" w:ascii="Times New Roman" w:hAnsi="仿宋_GB2312" w:eastAsia="仿宋_GB2312"/>
          <w:sz w:val="32"/>
          <w:szCs w:val="32"/>
        </w:rPr>
        <w:t>，昭化区政法工作坚持以</w:t>
      </w:r>
      <w:r>
        <w:rPr>
          <w:rFonts w:ascii="Times New Roman" w:hAnsi="仿宋_GB2312" w:eastAsia="仿宋_GB2312"/>
          <w:sz w:val="32"/>
          <w:szCs w:val="32"/>
        </w:rPr>
        <w:t>习近平新时代中国特色社会主义思想和</w:t>
      </w:r>
      <w:r>
        <w:rPr>
          <w:rFonts w:hint="eastAsia" w:ascii="Times New Roman" w:hAnsi="仿宋_GB2312" w:eastAsia="仿宋_GB2312"/>
          <w:sz w:val="32"/>
          <w:szCs w:val="32"/>
        </w:rPr>
        <w:t>党的十九届五中</w:t>
      </w:r>
      <w:r>
        <w:rPr>
          <w:rFonts w:hint="eastAsia" w:ascii="Times New Roman" w:hAnsi="仿宋_GB2312" w:eastAsia="仿宋_GB2312"/>
          <w:sz w:val="32"/>
          <w:szCs w:val="32"/>
          <w:lang w:eastAsia="zh-CN"/>
        </w:rPr>
        <w:t>、</w:t>
      </w:r>
      <w:r>
        <w:rPr>
          <w:rFonts w:hint="eastAsia" w:ascii="Times New Roman" w:hAnsi="仿宋_GB2312" w:eastAsia="仿宋_GB2312"/>
          <w:sz w:val="32"/>
          <w:szCs w:val="32"/>
          <w:lang w:val="en-US" w:eastAsia="zh-CN"/>
        </w:rPr>
        <w:t>六中</w:t>
      </w:r>
      <w:r>
        <w:rPr>
          <w:rFonts w:hint="eastAsia" w:ascii="Times New Roman" w:hAnsi="仿宋_GB2312" w:eastAsia="仿宋_GB2312"/>
          <w:sz w:val="32"/>
          <w:szCs w:val="32"/>
        </w:rPr>
        <w:t>全会精神为指引，</w:t>
      </w:r>
      <w:r>
        <w:rPr>
          <w:rFonts w:ascii="Times New Roman" w:hAnsi="仿宋_GB2312" w:eastAsia="仿宋_GB2312"/>
          <w:sz w:val="32"/>
          <w:szCs w:val="32"/>
        </w:rPr>
        <w:t>深入贯彻落实《中国共产党政法工作条例》</w:t>
      </w:r>
      <w:r>
        <w:rPr>
          <w:rFonts w:hint="eastAsia" w:ascii="Times New Roman" w:hAnsi="仿宋_GB2312" w:eastAsia="仿宋_GB2312"/>
          <w:sz w:val="32"/>
          <w:szCs w:val="32"/>
          <w:lang w:val="en-US" w:eastAsia="zh-CN"/>
        </w:rPr>
        <w:t>及</w:t>
      </w:r>
      <w:r>
        <w:rPr>
          <w:rFonts w:ascii="Times New Roman" w:hAnsi="仿宋_GB2312" w:eastAsia="仿宋_GB2312"/>
          <w:sz w:val="32"/>
          <w:szCs w:val="32"/>
        </w:rPr>
        <w:t>四川省实施细则，</w:t>
      </w:r>
      <w:r>
        <w:rPr>
          <w:rFonts w:hint="eastAsia" w:ascii="Times New Roman" w:hAnsi="仿宋_GB2312" w:eastAsia="仿宋_GB2312"/>
          <w:sz w:val="32"/>
          <w:szCs w:val="32"/>
          <w:lang w:val="en-US" w:eastAsia="zh-CN"/>
        </w:rPr>
        <w:t>围绕</w:t>
      </w:r>
      <w:r>
        <w:rPr>
          <w:rFonts w:ascii="Times New Roman" w:hAnsi="仿宋_GB2312" w:eastAsia="仿宋_GB2312"/>
          <w:sz w:val="32"/>
          <w:szCs w:val="32"/>
        </w:rPr>
        <w:t>上级政法</w:t>
      </w:r>
      <w:r>
        <w:rPr>
          <w:rFonts w:hint="eastAsia" w:ascii="Times New Roman" w:hAnsi="仿宋_GB2312" w:eastAsia="仿宋_GB2312"/>
          <w:sz w:val="32"/>
          <w:szCs w:val="32"/>
        </w:rPr>
        <w:t>机关与区委、区政府工作</w:t>
      </w:r>
      <w:r>
        <w:rPr>
          <w:rFonts w:hint="eastAsia" w:ascii="Times New Roman" w:hAnsi="仿宋_GB2312" w:eastAsia="仿宋_GB2312"/>
          <w:sz w:val="32"/>
          <w:szCs w:val="32"/>
          <w:lang w:val="en-US" w:eastAsia="zh-CN"/>
        </w:rPr>
        <w:t>大局</w:t>
      </w:r>
      <w:r>
        <w:rPr>
          <w:rFonts w:ascii="Times New Roman" w:hAnsi="仿宋_GB2312" w:eastAsia="仿宋_GB2312"/>
          <w:sz w:val="32"/>
          <w:szCs w:val="32"/>
        </w:rPr>
        <w:t>，</w:t>
      </w:r>
      <w:r>
        <w:rPr>
          <w:rFonts w:hint="eastAsia" w:eastAsia="仿宋_GB2312"/>
          <w:sz w:val="32"/>
          <w:szCs w:val="32"/>
          <w:lang w:val="en-US" w:eastAsia="zh-CN"/>
        </w:rPr>
        <w:t>忠诚履行</w:t>
      </w:r>
      <w:r>
        <w:rPr>
          <w:rFonts w:eastAsia="仿宋_GB2312"/>
          <w:sz w:val="32"/>
          <w:szCs w:val="32"/>
        </w:rPr>
        <w:t>维护国家政治安全、确保社会大局稳定、促进社会公平正义、保障人民安居乐业</w:t>
      </w:r>
      <w:r>
        <w:rPr>
          <w:rFonts w:hint="eastAsia" w:eastAsia="仿宋_GB2312"/>
          <w:sz w:val="32"/>
          <w:szCs w:val="32"/>
          <w:lang w:eastAsia="zh-CN"/>
        </w:rPr>
        <w:t>、</w:t>
      </w:r>
      <w:r>
        <w:rPr>
          <w:rFonts w:hint="eastAsia" w:eastAsia="仿宋_GB2312"/>
          <w:sz w:val="32"/>
          <w:szCs w:val="32"/>
          <w:lang w:val="en-US" w:eastAsia="zh-CN"/>
        </w:rPr>
        <w:t>护航经济社会发展</w:t>
      </w:r>
      <w:r>
        <w:rPr>
          <w:rFonts w:eastAsia="仿宋_GB2312"/>
          <w:sz w:val="32"/>
          <w:szCs w:val="32"/>
        </w:rPr>
        <w:t>职</w:t>
      </w:r>
      <w:r>
        <w:rPr>
          <w:rFonts w:hint="eastAsia" w:eastAsia="仿宋_GB2312"/>
          <w:sz w:val="32"/>
          <w:szCs w:val="32"/>
          <w:lang w:val="en-US" w:eastAsia="zh-CN"/>
        </w:rPr>
        <w:t>责</w:t>
      </w:r>
      <w:r>
        <w:rPr>
          <w:rFonts w:eastAsia="仿宋_GB2312"/>
          <w:sz w:val="32"/>
          <w:szCs w:val="32"/>
        </w:rPr>
        <w:t>，</w:t>
      </w:r>
      <w:r>
        <w:rPr>
          <w:rFonts w:hint="eastAsia" w:eastAsia="仿宋_GB2312"/>
          <w:sz w:val="32"/>
          <w:szCs w:val="32"/>
          <w:lang w:val="en-US" w:eastAsia="zh-CN"/>
        </w:rPr>
        <w:t>取</w:t>
      </w:r>
      <w:r>
        <w:rPr>
          <w:rFonts w:hint="eastAsia" w:eastAsia="仿宋_GB2312"/>
          <w:sz w:val="32"/>
          <w:szCs w:val="32"/>
          <w:u w:val="none"/>
          <w:lang w:val="en-US" w:eastAsia="zh-CN"/>
        </w:rPr>
        <w:t>得显著成绩。昭化区荣获</w:t>
      </w:r>
      <w:r>
        <w:rPr>
          <w:rFonts w:hint="default" w:eastAsia="仿宋_GB2312"/>
          <w:sz w:val="32"/>
          <w:szCs w:val="32"/>
          <w:u w:val="none"/>
          <w:lang w:val="en-US" w:eastAsia="zh-CN"/>
        </w:rPr>
        <w:t>平安</w:t>
      </w:r>
      <w:r>
        <w:rPr>
          <w:rFonts w:hint="eastAsia" w:eastAsia="仿宋_GB2312"/>
          <w:sz w:val="32"/>
          <w:szCs w:val="32"/>
          <w:u w:val="none"/>
          <w:lang w:val="en-US" w:eastAsia="zh-CN"/>
        </w:rPr>
        <w:t>中国</w:t>
      </w:r>
      <w:r>
        <w:rPr>
          <w:rFonts w:hint="default" w:eastAsia="仿宋_GB2312"/>
          <w:sz w:val="32"/>
          <w:szCs w:val="32"/>
          <w:u w:val="none"/>
          <w:lang w:val="en-US" w:eastAsia="zh-CN"/>
        </w:rPr>
        <w:t>建设</w:t>
      </w:r>
      <w:r>
        <w:rPr>
          <w:rFonts w:hint="eastAsia" w:eastAsia="仿宋_GB2312"/>
          <w:sz w:val="32"/>
          <w:szCs w:val="32"/>
          <w:u w:val="none"/>
          <w:lang w:val="en-US" w:eastAsia="zh-CN"/>
        </w:rPr>
        <w:t>示范县，</w:t>
      </w:r>
      <w:r>
        <w:rPr>
          <w:rFonts w:hint="eastAsia" w:eastAsia="仿宋_GB2312"/>
          <w:sz w:val="32"/>
          <w:szCs w:val="32"/>
          <w:lang w:val="en-US" w:eastAsia="zh-CN"/>
        </w:rPr>
        <w:t>被市委、市政府表扬为扫黑除恶专项斗争先进县区。</w:t>
      </w:r>
    </w:p>
    <w:p w14:paraId="60B3CBA4">
      <w:pPr>
        <w:keepNext w:val="0"/>
        <w:keepLines w:val="0"/>
        <w:pageBreakBefore w:val="0"/>
        <w:widowControl/>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（一）强化政治建设，始终保持党对政法工作的绝对领导</w:t>
      </w:r>
    </w:p>
    <w:p w14:paraId="77D3977E">
      <w:pPr>
        <w:pStyle w:val="35"/>
        <w:keepNext w:val="0"/>
        <w:keepLines w:val="0"/>
        <w:pageBreakBefore w:val="0"/>
        <w:widowControl w:val="0"/>
        <w:tabs>
          <w:tab w:val="left" w:pos="5460"/>
        </w:tabs>
        <w:kinsoku/>
        <w:wordWrap/>
        <w:overflowPunct/>
        <w:topLinePunct w:val="0"/>
        <w:autoSpaceDE/>
        <w:autoSpaceDN/>
        <w:bidi w:val="0"/>
        <w:adjustRightInd/>
        <w:snapToGrid/>
        <w:spacing w:beforeAutospacing="0" w:afterAutospacing="0" w:line="576" w:lineRule="exact"/>
        <w:ind w:left="0" w:leftChars="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sz w:val="32"/>
          <w:szCs w:val="32"/>
          <w:lang w:val="en-US" w:eastAsia="zh-CN"/>
        </w:rPr>
        <w:t>1.持续提升理论武装。</w:t>
      </w:r>
      <w:r>
        <w:rPr>
          <w:rFonts w:hint="eastAsia" w:ascii="仿宋_GB2312" w:hAnsi="仿宋_GB2312" w:eastAsia="仿宋_GB2312" w:cs="仿宋_GB2312"/>
          <w:color w:val="auto"/>
          <w:sz w:val="32"/>
          <w:szCs w:val="32"/>
          <w:lang w:val="en-US" w:eastAsia="zh-CN"/>
        </w:rPr>
        <w:t>始终把思想政治建设摆在首位，将学习贯彻习近平新时代中国特色社会主义思想作为首要党课和终身必修课，深入开展习近平法治思想学习宣传研讨实践活动。以党史学习教育为牵引，跟进学习新中国史、改革开放史、社会主义发展史，不断增强“四个意识”、坚定“四个自信”、做到“两个维护”。在政法系统全覆盖开展党的十九届六中全会精神和全市、全区第八次党代会精神学习宣讲，政法单位党组（党委）理论学习中心组开展集中学习研讨20余次，通过“昭化大讲坛”邀请专家集中授课6次，全面提升政法干警思想政治素养，自觉用党的创新理论武装头脑、指导实践、推动工作。</w:t>
      </w:r>
    </w:p>
    <w:p w14:paraId="6E310532">
      <w:pPr>
        <w:pStyle w:val="35"/>
        <w:keepNext w:val="0"/>
        <w:keepLines w:val="0"/>
        <w:pageBreakBefore w:val="0"/>
        <w:widowControl w:val="0"/>
        <w:tabs>
          <w:tab w:val="left" w:pos="5460"/>
        </w:tabs>
        <w:kinsoku/>
        <w:wordWrap/>
        <w:overflowPunct/>
        <w:topLinePunct w:val="0"/>
        <w:autoSpaceDE/>
        <w:autoSpaceDN/>
        <w:bidi w:val="0"/>
        <w:adjustRightInd/>
        <w:snapToGrid/>
        <w:spacing w:beforeAutospacing="0" w:afterAutospacing="0" w:line="576" w:lineRule="exact"/>
        <w:ind w:left="0" w:leftChars="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2.从严抓好制度执行。</w:t>
      </w:r>
      <w:r>
        <w:rPr>
          <w:rFonts w:hint="eastAsia" w:ascii="仿宋_GB2312" w:hAnsi="仿宋_GB2312" w:eastAsia="仿宋_GB2312" w:cs="仿宋_GB2312"/>
          <w:sz w:val="32"/>
          <w:szCs w:val="32"/>
          <w:lang w:val="en-US" w:eastAsia="zh-CN"/>
        </w:rPr>
        <w:t>深入贯彻落实《中国共产党政法工作条例》和四川省实施细则，组织政法单位领导干部系统学习《中共广元市委政法委员会议事工作规则》《关于向市委政法委请示报告重大事项的规定》等内容，细化制定我区工作制度，自觉做到始终在区委领导和市委政法委的指导下开展工作。逗硬执行政治巡察、综治督导、执法监督、政法单位联挂镇政法工作等制度，坚决把党的绝对领导贯彻到政法工作全过程各方面，落实到决策、执行、监督等各环节，保证了昭化政法工作始终沿着正确方向前进。</w:t>
      </w:r>
    </w:p>
    <w:p w14:paraId="1E72A74F">
      <w:pPr>
        <w:keepNext w:val="0"/>
        <w:keepLines w:val="0"/>
        <w:pageBreakBefore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3.加强意识形态引领。</w:t>
      </w:r>
      <w:r>
        <w:rPr>
          <w:rFonts w:hint="eastAsia" w:ascii="仿宋_GB2312" w:hAnsi="仿宋_GB2312" w:eastAsia="仿宋_GB2312" w:cs="仿宋_GB2312"/>
          <w:sz w:val="32"/>
          <w:szCs w:val="32"/>
          <w:lang w:val="en-US" w:eastAsia="zh-CN"/>
        </w:rPr>
        <w:t>坚持把落实习近平总书记对政法工作的重要指示精神作为检验“两个维护”的根本标尺，认真学习践行训词精神和习近平总书记在庆祝中国共产党成立100周年大会上的重要讲话精神，引领政法干警不断提高政治判断力、政治领悟力、政治执行力。</w:t>
      </w:r>
      <w:r>
        <w:rPr>
          <w:rFonts w:hint="eastAsia" w:ascii="Times New Roman" w:hAnsi="Times New Roman" w:eastAsia="仿宋_GB2312"/>
          <w:sz w:val="32"/>
          <w:szCs w:val="32"/>
        </w:rPr>
        <w:t>健全政法系统宣传通联体系，</w:t>
      </w:r>
      <w:r>
        <w:rPr>
          <w:rFonts w:hint="eastAsia" w:ascii="Times New Roman" w:hAnsi="Times New Roman" w:eastAsia="仿宋_GB2312"/>
          <w:sz w:val="32"/>
          <w:szCs w:val="32"/>
          <w:lang w:val="en-US" w:eastAsia="zh-CN"/>
        </w:rPr>
        <w:t>昭化长安网、昭化政法微信公众号等累计转发更新信息1500余条，组织开展政法网军拉练10余次，</w:t>
      </w:r>
      <w:r>
        <w:rPr>
          <w:rFonts w:ascii="Times New Roman" w:hAnsi="华文仿宋" w:eastAsia="华文仿宋"/>
          <w:sz w:val="32"/>
          <w:szCs w:val="32"/>
        </w:rPr>
        <w:t>将</w:t>
      </w:r>
      <w:r>
        <w:rPr>
          <w:rFonts w:ascii="Times New Roman" w:hAnsi="Times New Roman" w:eastAsia="华文仿宋"/>
          <w:sz w:val="32"/>
          <w:szCs w:val="32"/>
        </w:rPr>
        <w:t>“</w:t>
      </w:r>
      <w:r>
        <w:rPr>
          <w:rFonts w:ascii="Times New Roman" w:hAnsi="华文仿宋" w:eastAsia="华文仿宋"/>
          <w:sz w:val="32"/>
          <w:szCs w:val="32"/>
        </w:rPr>
        <w:t>三同步</w:t>
      </w:r>
      <w:r>
        <w:rPr>
          <w:rFonts w:ascii="Times New Roman" w:hAnsi="Times New Roman" w:eastAsia="华文仿宋"/>
          <w:sz w:val="32"/>
          <w:szCs w:val="32"/>
        </w:rPr>
        <w:t>”</w:t>
      </w:r>
      <w:r>
        <w:rPr>
          <w:rFonts w:ascii="Times New Roman" w:hAnsi="华文仿宋" w:eastAsia="华文仿宋"/>
          <w:sz w:val="32"/>
          <w:szCs w:val="32"/>
        </w:rPr>
        <w:t>原则贯穿政法工作全过程，有效引导社会舆论，</w:t>
      </w:r>
      <w:r>
        <w:rPr>
          <w:rFonts w:ascii="Times New Roman" w:hAnsi="Times New Roman" w:eastAsia="仿宋_GB2312"/>
          <w:sz w:val="32"/>
          <w:szCs w:val="32"/>
        </w:rPr>
        <w:t>弘扬</w:t>
      </w:r>
      <w:r>
        <w:rPr>
          <w:rFonts w:hint="eastAsia" w:ascii="Times New Roman" w:hAnsi="Times New Roman" w:eastAsia="仿宋_GB2312"/>
          <w:sz w:val="32"/>
          <w:szCs w:val="32"/>
          <w:lang w:val="en-US" w:eastAsia="zh-CN"/>
        </w:rPr>
        <w:t>社会</w:t>
      </w:r>
      <w:r>
        <w:rPr>
          <w:rFonts w:ascii="Times New Roman" w:hAnsi="Times New Roman" w:eastAsia="仿宋_GB2312"/>
          <w:sz w:val="32"/>
          <w:szCs w:val="32"/>
        </w:rPr>
        <w:t>正能量，传播政法好声音</w:t>
      </w:r>
      <w:r>
        <w:rPr>
          <w:rFonts w:ascii="Times New Roman" w:hAnsi="华文仿宋" w:eastAsia="华文仿宋"/>
          <w:sz w:val="32"/>
          <w:szCs w:val="32"/>
        </w:rPr>
        <w:t>。</w:t>
      </w:r>
    </w:p>
    <w:p w14:paraId="16102237">
      <w:pPr>
        <w:keepNext w:val="0"/>
        <w:keepLines w:val="0"/>
        <w:pageBreakBefore w:val="0"/>
        <w:widowControl/>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（二）聚焦风险防范，政治安全和社会大局持续稳定</w:t>
      </w:r>
    </w:p>
    <w:p w14:paraId="43E3A26F">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color w:val="000000"/>
          <w:sz w:val="32"/>
          <w:lang w:eastAsia="zh-CN"/>
        </w:rPr>
      </w:pPr>
      <w:r>
        <w:rPr>
          <w:rFonts w:hint="eastAsia" w:ascii="楷体_GB2312" w:hAnsi="楷体_GB2312" w:eastAsia="楷体_GB2312" w:cs="楷体_GB2312"/>
          <w:sz w:val="32"/>
          <w:lang w:val="en-US" w:eastAsia="zh-CN"/>
        </w:rPr>
        <w:t>1.主动打好政治安全整体战。</w:t>
      </w:r>
      <w:r>
        <w:rPr>
          <w:rFonts w:hint="eastAsia" w:ascii="仿宋_GB2312" w:hAnsi="仿宋_GB2312" w:eastAsia="仿宋_GB2312" w:cs="仿宋_GB2312"/>
          <w:sz w:val="32"/>
        </w:rPr>
        <w:t>牢固树立总体国家安全观，</w:t>
      </w:r>
      <w:r>
        <w:rPr>
          <w:rFonts w:hint="eastAsia" w:ascii="仿宋_GB2312" w:hAnsi="仿宋_GB2312" w:eastAsia="仿宋_GB2312" w:cs="仿宋_GB2312"/>
          <w:sz w:val="32"/>
          <w:szCs w:val="32"/>
          <w:lang w:val="en-US" w:eastAsia="zh-CN"/>
        </w:rPr>
        <w:t>深入做好“4.15”“11.01”等重要节点国家安全知识宣传，调整国家安全人民防线建设小组65个，开展基础调研5次，将维护国家政治安全的触角延伸到社会生活的方方面面。严厉打击邪教犯罪，</w:t>
      </w:r>
      <w:r>
        <w:rPr>
          <w:rFonts w:hint="eastAsia" w:ascii="仿宋_GB2312" w:hAnsi="仿宋_GB2312" w:eastAsia="仿宋_GB2312" w:cs="仿宋_GB2312"/>
          <w:color w:val="000000"/>
          <w:sz w:val="32"/>
        </w:rPr>
        <w:t>端掉跨省“全能神”邪教窝点1个，取缔</w:t>
      </w:r>
      <w:r>
        <w:rPr>
          <w:rFonts w:hint="eastAsia" w:ascii="仿宋_GB2312" w:hAnsi="仿宋_GB2312" w:eastAsia="仿宋_GB2312" w:cs="仿宋_GB2312"/>
          <w:color w:val="000000"/>
          <w:sz w:val="32"/>
          <w:lang w:eastAsia="zh-CN"/>
        </w:rPr>
        <w:t>精神传销有害培训</w:t>
      </w:r>
      <w:r>
        <w:rPr>
          <w:rFonts w:hint="eastAsia" w:ascii="仿宋_GB2312" w:hAnsi="仿宋_GB2312" w:eastAsia="仿宋_GB2312" w:cs="仿宋_GB2312"/>
          <w:color w:val="000000"/>
          <w:sz w:val="32"/>
        </w:rPr>
        <w:t>组织1个</w:t>
      </w:r>
      <w:r>
        <w:rPr>
          <w:rFonts w:hint="eastAsia" w:ascii="仿宋_GB2312" w:hAnsi="仿宋_GB2312" w:eastAsia="仿宋_GB2312" w:cs="仿宋_GB2312"/>
          <w:color w:val="000000"/>
          <w:sz w:val="32"/>
          <w:lang w:eastAsia="zh-CN"/>
        </w:rPr>
        <w:t>。</w:t>
      </w:r>
    </w:p>
    <w:p w14:paraId="6984DD97">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2.全力维护社会大局和谐稳定。</w:t>
      </w:r>
      <w:r>
        <w:rPr>
          <w:rFonts w:hint="eastAsia" w:ascii="仿宋_GB2312" w:hAnsi="仿宋_GB2312" w:eastAsia="仿宋_GB2312" w:cs="仿宋_GB2312"/>
          <w:sz w:val="32"/>
          <w:szCs w:val="32"/>
          <w:lang w:val="en-US" w:eastAsia="zh-CN"/>
        </w:rPr>
        <w:t>以庆祝</w:t>
      </w:r>
      <w:r>
        <w:rPr>
          <w:rFonts w:hint="eastAsia" w:ascii="仿宋_GB2312" w:hAnsi="仿宋_GB2312" w:eastAsia="仿宋_GB2312" w:cs="仿宋_GB2312"/>
          <w:sz w:val="32"/>
          <w:lang w:val="en-US" w:eastAsia="zh-CN"/>
        </w:rPr>
        <w:t>中国共产党成立</w:t>
      </w:r>
      <w:r>
        <w:rPr>
          <w:rFonts w:hint="eastAsia" w:ascii="仿宋_GB2312" w:hAnsi="仿宋_GB2312" w:eastAsia="仿宋_GB2312" w:cs="仿宋_GB2312"/>
          <w:sz w:val="32"/>
        </w:rPr>
        <w:t>100周年</w:t>
      </w:r>
      <w:r>
        <w:rPr>
          <w:rFonts w:hint="eastAsia" w:ascii="仿宋_GB2312" w:hAnsi="仿宋_GB2312" w:eastAsia="仿宋_GB2312" w:cs="仿宋_GB2312"/>
          <w:sz w:val="32"/>
          <w:lang w:val="en-US" w:eastAsia="zh-CN"/>
        </w:rPr>
        <w:t>系列活动</w:t>
      </w:r>
      <w:r>
        <w:rPr>
          <w:rFonts w:hint="eastAsia" w:ascii="仿宋_GB2312" w:hAnsi="仿宋_GB2312" w:eastAsia="仿宋_GB2312" w:cs="仿宋_GB2312"/>
          <w:sz w:val="32"/>
          <w:szCs w:val="32"/>
          <w:lang w:val="en-US" w:eastAsia="zh-CN"/>
        </w:rPr>
        <w:t>安全稳定为主线</w:t>
      </w:r>
      <w:r>
        <w:rPr>
          <w:rFonts w:hint="eastAsia" w:ascii="仿宋_GB2312" w:hAnsi="仿宋_GB2312" w:eastAsia="仿宋_GB2312" w:cs="仿宋_GB2312"/>
          <w:sz w:val="32"/>
          <w:szCs w:val="32"/>
        </w:rPr>
        <w:t>，扎实</w:t>
      </w:r>
      <w:r>
        <w:rPr>
          <w:rFonts w:hint="eastAsia" w:ascii="仿宋_GB2312" w:hAnsi="仿宋_GB2312" w:eastAsia="仿宋_GB2312" w:cs="仿宋_GB2312"/>
          <w:sz w:val="32"/>
          <w:szCs w:val="32"/>
          <w:lang w:val="en-US" w:eastAsia="zh-CN"/>
        </w:rPr>
        <w:t>推进</w:t>
      </w:r>
      <w:r>
        <w:rPr>
          <w:rFonts w:hint="eastAsia" w:ascii="仿宋_GB2312" w:hAnsi="仿宋_GB2312" w:eastAsia="仿宋_GB2312" w:cs="仿宋_GB2312"/>
          <w:sz w:val="32"/>
          <w:szCs w:val="32"/>
        </w:rPr>
        <w:t>“防风险，保安全，护稳定”各项工作。</w:t>
      </w:r>
      <w:r>
        <w:rPr>
          <w:rFonts w:hint="eastAsia" w:ascii="仿宋_GB2312" w:hAnsi="仿宋_GB2312" w:eastAsia="仿宋_GB2312" w:cs="仿宋_GB2312"/>
          <w:sz w:val="32"/>
          <w:szCs w:val="32"/>
          <w:lang w:val="en-US" w:eastAsia="zh-CN"/>
        </w:rPr>
        <w:t>有效开展社会稳定风险评估，完成</w:t>
      </w:r>
      <w:r>
        <w:rPr>
          <w:rFonts w:hint="eastAsia" w:ascii="仿宋_GB2312" w:hAnsi="仿宋_GB2312" w:eastAsia="仿宋_GB2312" w:cs="仿宋_GB2312"/>
          <w:sz w:val="32"/>
          <w:szCs w:val="32"/>
          <w:lang w:eastAsia="zh-CN"/>
        </w:rPr>
        <w:t>广元昭化白果二三四期风电项目、昭化区卫子镇等</w:t>
      </w:r>
      <w:r>
        <w:rPr>
          <w:rFonts w:hint="eastAsia" w:ascii="仿宋_GB2312" w:hAnsi="仿宋_GB2312" w:eastAsia="仿宋_GB2312" w:cs="仿宋_GB2312"/>
          <w:sz w:val="32"/>
          <w:szCs w:val="32"/>
          <w:lang w:val="en-US" w:eastAsia="zh-CN"/>
        </w:rPr>
        <w:t>6个镇城乡建设用地增减挂钩项目等重大事项</w:t>
      </w:r>
      <w:r>
        <w:rPr>
          <w:rFonts w:hint="eastAsia" w:ascii="仿宋_GB2312" w:hAnsi="仿宋_GB2312" w:eastAsia="仿宋_GB2312" w:cs="仿宋_GB2312"/>
          <w:sz w:val="32"/>
          <w:szCs w:val="32"/>
        </w:rPr>
        <w:t>社会稳定风险评估</w:t>
      </w:r>
      <w:r>
        <w:rPr>
          <w:rFonts w:hint="eastAsia" w:ascii="仿宋_GB2312" w:hAnsi="仿宋_GB2312" w:eastAsia="仿宋_GB2312" w:cs="仿宋_GB2312"/>
          <w:sz w:val="32"/>
          <w:szCs w:val="32"/>
          <w:lang w:val="en-US" w:eastAsia="zh-CN"/>
        </w:rPr>
        <w:t>115</w:t>
      </w:r>
      <w:r>
        <w:rPr>
          <w:rFonts w:hint="eastAsia" w:ascii="仿宋_GB2312" w:hAnsi="仿宋_GB2312" w:eastAsia="仿宋_GB2312" w:cs="仿宋_GB2312"/>
          <w:sz w:val="32"/>
          <w:szCs w:val="32"/>
        </w:rPr>
        <w:t>件，通过评估的重大事项未发生一起群访和群体性事件</w:t>
      </w:r>
      <w:r>
        <w:rPr>
          <w:rFonts w:hint="eastAsia" w:ascii="仿宋_GB2312" w:hAnsi="仿宋_GB2312" w:eastAsia="仿宋_GB2312" w:cs="仿宋_GB2312"/>
          <w:sz w:val="32"/>
          <w:szCs w:val="32"/>
          <w:lang w:val="en-US" w:eastAsia="zh-CN"/>
        </w:rPr>
        <w:t>。紧盯重点领域和涉稳风险，常态化落实排查化解与重点管控，对102名重点关注人员，落实领导包案和“一案一策”化解机制，建强工作专班，推进化解稳控。加强569名社区五类重点人员管理服务，完善工作预案，没有发生个人极端案事件。</w:t>
      </w:r>
    </w:p>
    <w:p w14:paraId="5DBABB0D">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3.用心解决群众来信来访。</w:t>
      </w:r>
      <w:r>
        <w:rPr>
          <w:rFonts w:hint="eastAsia" w:ascii="仿宋_GB2312" w:hAnsi="仿宋_GB2312" w:eastAsia="仿宋_GB2312" w:cs="仿宋_GB2312"/>
          <w:sz w:val="32"/>
          <w:szCs w:val="32"/>
          <w:lang w:val="en-US" w:eastAsia="zh-CN"/>
        </w:rPr>
        <w:t>统筹</w:t>
      </w:r>
      <w:r>
        <w:rPr>
          <w:rFonts w:hint="eastAsia" w:ascii="仿宋_GB2312" w:hAnsi="仿宋_GB2312" w:eastAsia="仿宋_GB2312" w:cs="仿宋_GB2312"/>
          <w:b w:val="0"/>
          <w:bCs w:val="0"/>
          <w:i w:val="0"/>
          <w:caps w:val="0"/>
          <w:color w:val="000000"/>
          <w:spacing w:val="0"/>
          <w:w w:val="100"/>
          <w:sz w:val="32"/>
          <w:szCs w:val="32"/>
          <w:lang w:val="en-US" w:eastAsia="zh-CN"/>
        </w:rPr>
        <w:t>协调解决群众信访工作，</w:t>
      </w:r>
      <w:r>
        <w:rPr>
          <w:rFonts w:hint="eastAsia" w:ascii="Times New Roman" w:hAnsi="Times New Roman" w:eastAsia="仿宋_GB2312" w:cs="Times New Roman"/>
          <w:b w:val="0"/>
          <w:bCs/>
          <w:color w:val="000000"/>
          <w:sz w:val="32"/>
          <w:szCs w:val="32"/>
          <w:lang w:val="en-US" w:eastAsia="zh-CN"/>
        </w:rPr>
        <w:t>累计</w:t>
      </w:r>
      <w:r>
        <w:rPr>
          <w:rFonts w:hint="default" w:ascii="Times New Roman" w:hAnsi="Times New Roman" w:eastAsia="仿宋_GB2312" w:cs="Times New Roman"/>
          <w:b w:val="0"/>
          <w:bCs/>
          <w:color w:val="000000"/>
          <w:sz w:val="32"/>
          <w:szCs w:val="32"/>
          <w:lang w:val="en-US" w:eastAsia="zh-CN"/>
        </w:rPr>
        <w:t>接待来访群众263批次487人次</w:t>
      </w:r>
      <w:r>
        <w:rPr>
          <w:rFonts w:hint="eastAsia" w:ascii="Times New Roman" w:hAnsi="Times New Roman" w:eastAsia="仿宋_GB2312" w:cs="Times New Roman"/>
          <w:b w:val="0"/>
          <w:bCs/>
          <w:color w:val="000000"/>
          <w:sz w:val="32"/>
          <w:szCs w:val="32"/>
          <w:lang w:val="en-US" w:eastAsia="zh-CN"/>
        </w:rPr>
        <w:t>，办理网上</w:t>
      </w:r>
      <w:r>
        <w:rPr>
          <w:rFonts w:hint="default" w:ascii="Times New Roman" w:hAnsi="仿宋" w:eastAsia="仿宋_GB2312" w:cs="Times New Roman"/>
          <w:color w:val="auto"/>
          <w:position w:val="0"/>
          <w:sz w:val="32"/>
          <w:szCs w:val="32"/>
        </w:rPr>
        <w:t>信访</w:t>
      </w:r>
      <w:r>
        <w:rPr>
          <w:rFonts w:hint="eastAsia" w:ascii="Times New Roman" w:hAnsi="仿宋" w:eastAsia="仿宋_GB2312" w:cs="Times New Roman"/>
          <w:color w:val="auto"/>
          <w:position w:val="0"/>
          <w:sz w:val="32"/>
          <w:szCs w:val="32"/>
          <w:lang w:val="en-US" w:eastAsia="zh-CN"/>
        </w:rPr>
        <w:t>331</w:t>
      </w:r>
      <w:r>
        <w:rPr>
          <w:rFonts w:hint="default" w:ascii="Times New Roman" w:hAnsi="仿宋" w:eastAsia="仿宋_GB2312" w:cs="Times New Roman"/>
          <w:color w:val="auto"/>
          <w:position w:val="0"/>
          <w:sz w:val="32"/>
          <w:szCs w:val="32"/>
        </w:rPr>
        <w:t>件次</w:t>
      </w:r>
      <w:r>
        <w:rPr>
          <w:rFonts w:hint="eastAsia" w:ascii="Times New Roman" w:hAnsi="Times New Roman" w:eastAsia="仿宋_GB2312" w:cs="Times New Roman"/>
          <w:b w:val="0"/>
          <w:bCs/>
          <w:color w:val="000000"/>
          <w:sz w:val="32"/>
          <w:szCs w:val="32"/>
          <w:lang w:val="en-US" w:eastAsia="zh-CN"/>
        </w:rPr>
        <w:t>，</w:t>
      </w:r>
      <w:r>
        <w:rPr>
          <w:rFonts w:hint="default" w:ascii="Times New Roman" w:hAnsi="Times New Roman" w:eastAsia="仿宋_GB2312" w:cs="Times New Roman"/>
          <w:b w:val="0"/>
          <w:bCs w:val="0"/>
          <w:color w:val="000000"/>
          <w:sz w:val="32"/>
          <w:szCs w:val="32"/>
          <w:u w:val="none"/>
          <w:lang w:val="en-US" w:eastAsia="zh-CN"/>
        </w:rPr>
        <w:t>信访事项及时受理率、按期办结率、群众满意率均达100%</w:t>
      </w:r>
      <w:r>
        <w:rPr>
          <w:rFonts w:hint="eastAsia" w:ascii="Times New Roman" w:hAnsi="Times New Roman" w:eastAsia="仿宋_GB2312" w:cs="Times New Roman"/>
          <w:b w:val="0"/>
          <w:bCs w:val="0"/>
          <w:color w:val="000000"/>
          <w:sz w:val="32"/>
          <w:szCs w:val="32"/>
          <w:u w:val="none"/>
          <w:lang w:val="en-US" w:eastAsia="zh-CN"/>
        </w:rPr>
        <w:t>，</w:t>
      </w:r>
      <w:r>
        <w:rPr>
          <w:rFonts w:hint="default" w:ascii="Times New Roman" w:hAnsi="Times New Roman" w:eastAsia="仿宋_GB2312" w:cs="Times New Roman"/>
          <w:b w:val="0"/>
          <w:bCs w:val="0"/>
          <w:color w:val="000000"/>
          <w:sz w:val="32"/>
          <w:szCs w:val="32"/>
          <w:u w:val="none"/>
          <w:lang w:val="en-US" w:eastAsia="zh-CN"/>
        </w:rPr>
        <w:t>初访初信转重率下降至10%以下。</w:t>
      </w:r>
      <w:r>
        <w:rPr>
          <w:rFonts w:hint="eastAsia" w:ascii="仿宋_GB2312" w:hAnsi="仿宋_GB2312" w:eastAsia="仿宋_GB2312" w:cs="仿宋_GB2312"/>
          <w:sz w:val="32"/>
          <w:szCs w:val="32"/>
          <w:lang w:val="en-US" w:eastAsia="zh-CN"/>
        </w:rPr>
        <w:t>全力推进</w:t>
      </w:r>
      <w:r>
        <w:rPr>
          <w:rFonts w:hint="eastAsia" w:ascii="仿宋_GB2312" w:hAnsi="仿宋_GB2312" w:eastAsia="仿宋_GB2312" w:cs="仿宋_GB2312"/>
          <w:b w:val="0"/>
          <w:i w:val="0"/>
          <w:caps w:val="0"/>
          <w:color w:val="000000"/>
          <w:spacing w:val="0"/>
          <w:w w:val="100"/>
          <w:sz w:val="32"/>
          <w:szCs w:val="32"/>
          <w:lang w:val="en-US" w:eastAsia="zh-CN"/>
        </w:rPr>
        <w:t>涉法涉诉信访“治重化积”专项</w:t>
      </w:r>
      <w:r>
        <w:rPr>
          <w:rFonts w:hint="eastAsia" w:ascii="仿宋_GB2312" w:hAnsi="仿宋_GB2312" w:eastAsia="仿宋_GB2312" w:cs="仿宋_GB2312"/>
          <w:b w:val="0"/>
          <w:i w:val="0"/>
          <w:caps w:val="0"/>
          <w:spacing w:val="0"/>
          <w:w w:val="100"/>
          <w:sz w:val="32"/>
          <w:szCs w:val="32"/>
        </w:rPr>
        <w:t>工作</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sz w:val="32"/>
          <w:szCs w:val="32"/>
        </w:rPr>
        <w:t>组织</w:t>
      </w:r>
      <w:r>
        <w:rPr>
          <w:rFonts w:hint="eastAsia" w:ascii="仿宋_GB2312" w:hAnsi="仿宋_GB2312" w:eastAsia="仿宋_GB2312" w:cs="仿宋_GB2312"/>
          <w:sz w:val="32"/>
          <w:szCs w:val="32"/>
          <w:lang w:val="en-US" w:eastAsia="zh-CN"/>
        </w:rPr>
        <w:t>召开专项</w:t>
      </w:r>
      <w:r>
        <w:rPr>
          <w:rFonts w:hint="eastAsia" w:ascii="仿宋_GB2312" w:hAnsi="仿宋_GB2312" w:eastAsia="仿宋_GB2312" w:cs="仿宋_GB2312"/>
          <w:sz w:val="32"/>
          <w:szCs w:val="32"/>
        </w:rPr>
        <w:t>案件评查</w:t>
      </w:r>
      <w:r>
        <w:rPr>
          <w:rFonts w:hint="eastAsia" w:ascii="仿宋_GB2312" w:hAnsi="仿宋_GB2312" w:eastAsia="仿宋_GB2312" w:cs="仿宋_GB2312"/>
          <w:sz w:val="32"/>
          <w:szCs w:val="32"/>
          <w:lang w:val="en-US" w:eastAsia="zh-CN"/>
        </w:rPr>
        <w:t>1次、</w:t>
      </w:r>
      <w:r>
        <w:rPr>
          <w:rFonts w:hint="eastAsia" w:ascii="仿宋_GB2312" w:hAnsi="仿宋_GB2312" w:eastAsia="仿宋_GB2312" w:cs="仿宋_GB2312"/>
          <w:sz w:val="32"/>
          <w:szCs w:val="32"/>
          <w:lang w:eastAsia="zh-CN"/>
        </w:rPr>
        <w:t>会商研判联席</w:t>
      </w:r>
      <w:r>
        <w:rPr>
          <w:rFonts w:hint="eastAsia" w:ascii="仿宋_GB2312" w:hAnsi="仿宋_GB2312" w:eastAsia="仿宋_GB2312" w:cs="仿宋_GB2312"/>
          <w:sz w:val="32"/>
          <w:szCs w:val="32"/>
          <w:lang w:val="en-US" w:eastAsia="zh-CN"/>
        </w:rPr>
        <w:t>会议6次、推进</w:t>
      </w:r>
      <w:r>
        <w:rPr>
          <w:rFonts w:hint="eastAsia" w:ascii="仿宋_GB2312" w:hAnsi="仿宋_GB2312" w:eastAsia="仿宋_GB2312" w:cs="仿宋_GB2312"/>
          <w:sz w:val="32"/>
          <w:szCs w:val="32"/>
          <w:lang w:eastAsia="zh-CN"/>
        </w:rPr>
        <w:t>会议</w:t>
      </w:r>
      <w:r>
        <w:rPr>
          <w:rFonts w:hint="eastAsia" w:ascii="仿宋_GB2312" w:hAnsi="仿宋_GB2312" w:eastAsia="仿宋_GB2312" w:cs="仿宋_GB2312"/>
          <w:sz w:val="32"/>
          <w:szCs w:val="32"/>
          <w:lang w:val="en-US" w:eastAsia="zh-CN"/>
        </w:rPr>
        <w:t>4次</w:t>
      </w:r>
      <w:r>
        <w:rPr>
          <w:rFonts w:hint="eastAsia" w:ascii="仿宋_GB2312" w:hAnsi="仿宋_GB2312" w:eastAsia="仿宋_GB2312" w:cs="仿宋_GB2312"/>
          <w:sz w:val="32"/>
          <w:szCs w:val="32"/>
        </w:rPr>
        <w:t>，</w:t>
      </w:r>
      <w:r>
        <w:rPr>
          <w:rFonts w:hint="eastAsia" w:ascii="仿宋_GB2312" w:hAnsi="仿宋_GB2312" w:eastAsia="仿宋_GB2312" w:cs="仿宋_GB2312"/>
          <w:b w:val="0"/>
          <w:i w:val="0"/>
          <w:caps w:val="0"/>
          <w:spacing w:val="0"/>
          <w:w w:val="100"/>
          <w:sz w:val="32"/>
          <w:szCs w:val="32"/>
          <w:lang w:val="en-US" w:eastAsia="zh-CN"/>
        </w:rPr>
        <w:t>压实</w:t>
      </w:r>
      <w:r>
        <w:rPr>
          <w:rFonts w:hint="eastAsia" w:ascii="仿宋_GB2312" w:hAnsi="仿宋_GB2312" w:eastAsia="仿宋_GB2312" w:cs="仿宋_GB2312"/>
          <w:b w:val="0"/>
          <w:i w:val="0"/>
          <w:caps w:val="0"/>
          <w:color w:val="000000"/>
          <w:spacing w:val="6"/>
          <w:w w:val="100"/>
          <w:sz w:val="32"/>
          <w:szCs w:val="32"/>
          <w:lang w:eastAsia="zh-CN"/>
        </w:rPr>
        <w:t>包案领导</w:t>
      </w:r>
      <w:r>
        <w:rPr>
          <w:rFonts w:hint="eastAsia" w:ascii="仿宋_GB2312" w:hAnsi="仿宋_GB2312" w:eastAsia="仿宋_GB2312" w:cs="仿宋_GB2312"/>
          <w:b w:val="0"/>
          <w:i w:val="0"/>
          <w:caps w:val="0"/>
          <w:color w:val="000000"/>
          <w:spacing w:val="6"/>
          <w:w w:val="100"/>
          <w:sz w:val="32"/>
          <w:szCs w:val="32"/>
          <w:lang w:val="en-US" w:eastAsia="zh-CN"/>
        </w:rPr>
        <w:t>及责任人责任</w:t>
      </w:r>
      <w:r>
        <w:rPr>
          <w:rFonts w:hint="eastAsia" w:ascii="仿宋_GB2312" w:hAnsi="仿宋_GB2312" w:eastAsia="仿宋_GB2312" w:cs="仿宋_GB2312"/>
          <w:b w:val="0"/>
          <w:i w:val="0"/>
          <w:caps w:val="0"/>
          <w:color w:val="000000"/>
          <w:spacing w:val="6"/>
          <w:w w:val="100"/>
          <w:sz w:val="32"/>
          <w:szCs w:val="32"/>
          <w:lang w:eastAsia="zh-CN"/>
        </w:rPr>
        <w:t>，强化督促检查，</w:t>
      </w:r>
      <w:r>
        <w:rPr>
          <w:rFonts w:hint="eastAsia" w:ascii="仿宋_GB2312" w:hAnsi="仿宋_GB2312" w:eastAsia="仿宋_GB2312" w:cs="仿宋_GB2312"/>
          <w:b w:val="0"/>
          <w:i w:val="0"/>
          <w:caps w:val="0"/>
          <w:color w:val="000000"/>
          <w:spacing w:val="6"/>
          <w:w w:val="100"/>
          <w:sz w:val="32"/>
          <w:szCs w:val="32"/>
          <w:lang w:val="en-US" w:eastAsia="zh-CN"/>
        </w:rPr>
        <w:t>12件案件</w:t>
      </w:r>
      <w:r>
        <w:rPr>
          <w:rFonts w:hint="eastAsia" w:ascii="仿宋_GB2312" w:hAnsi="仿宋_GB2312" w:eastAsia="仿宋_GB2312" w:cs="仿宋_GB2312"/>
          <w:b w:val="0"/>
          <w:i w:val="0"/>
          <w:caps w:val="0"/>
          <w:color w:val="000000"/>
          <w:spacing w:val="6"/>
          <w:w w:val="100"/>
          <w:sz w:val="32"/>
          <w:szCs w:val="32"/>
          <w:lang w:eastAsia="zh-CN"/>
        </w:rPr>
        <w:t>全部化解，</w:t>
      </w:r>
      <w:r>
        <w:rPr>
          <w:rFonts w:hint="eastAsia" w:ascii="仿宋_GB2312" w:hAnsi="仿宋_GB2312" w:eastAsia="仿宋_GB2312" w:cs="仿宋_GB2312"/>
          <w:b w:val="0"/>
          <w:i w:val="0"/>
          <w:caps w:val="0"/>
          <w:color w:val="000000"/>
          <w:spacing w:val="6"/>
          <w:w w:val="100"/>
          <w:sz w:val="32"/>
          <w:szCs w:val="32"/>
          <w:lang w:val="en-US" w:eastAsia="zh-CN"/>
        </w:rPr>
        <w:t>未出现重复访和进京访。</w:t>
      </w:r>
      <w:r>
        <w:rPr>
          <w:rFonts w:hint="eastAsia" w:ascii="仿宋_GB2312" w:hAnsi="仿宋_GB2312" w:eastAsia="仿宋_GB2312" w:cs="仿宋_GB2312"/>
          <w:sz w:val="32"/>
          <w:szCs w:val="32"/>
          <w:lang w:eastAsia="zh-CN"/>
        </w:rPr>
        <w:t>将</w:t>
      </w:r>
      <w:r>
        <w:rPr>
          <w:rFonts w:hint="eastAsia" w:ascii="仿宋_GB2312" w:hAnsi="仿宋_GB2312" w:eastAsia="仿宋_GB2312" w:cs="仿宋_GB2312"/>
          <w:sz w:val="32"/>
          <w:szCs w:val="32"/>
        </w:rPr>
        <w:t>司法救助机制和</w:t>
      </w:r>
      <w:r>
        <w:rPr>
          <w:rFonts w:hint="eastAsia" w:ascii="仿宋_GB2312" w:hAnsi="仿宋_GB2312" w:eastAsia="仿宋_GB2312" w:cs="仿宋_GB2312"/>
          <w:sz w:val="32"/>
          <w:szCs w:val="32"/>
          <w:lang w:eastAsia="zh-CN"/>
        </w:rPr>
        <w:t>涉法涉诉</w:t>
      </w:r>
      <w:r>
        <w:rPr>
          <w:rFonts w:hint="eastAsia" w:ascii="仿宋_GB2312" w:hAnsi="仿宋_GB2312" w:eastAsia="仿宋_GB2312" w:cs="仿宋_GB2312"/>
          <w:sz w:val="32"/>
          <w:szCs w:val="32"/>
        </w:rPr>
        <w:t>信访问题处理机制有机结合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年度实施</w:t>
      </w:r>
      <w:r>
        <w:rPr>
          <w:rFonts w:hint="eastAsia" w:ascii="仿宋_GB2312" w:hAnsi="仿宋_GB2312" w:eastAsia="仿宋_GB2312" w:cs="仿宋_GB2312"/>
          <w:sz w:val="32"/>
          <w:szCs w:val="32"/>
        </w:rPr>
        <w:t>国家司法救助案件</w:t>
      </w:r>
      <w:r>
        <w:rPr>
          <w:rFonts w:hint="eastAsia" w:ascii="仿宋_GB2312" w:hAnsi="仿宋_GB2312" w:eastAsia="仿宋_GB2312" w:cs="仿宋_GB2312"/>
          <w:sz w:val="32"/>
          <w:szCs w:val="32"/>
          <w:lang w:val="en-US" w:eastAsia="zh-CN"/>
        </w:rPr>
        <w:t xml:space="preserve">26 </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US" w:eastAsia="zh-CN"/>
        </w:rPr>
        <w:t xml:space="preserve"> 41</w:t>
      </w:r>
      <w:r>
        <w:rPr>
          <w:rFonts w:hint="eastAsia" w:ascii="仿宋_GB2312" w:hAnsi="仿宋_GB2312" w:eastAsia="仿宋_GB2312" w:cs="仿宋_GB2312"/>
          <w:sz w:val="32"/>
          <w:szCs w:val="32"/>
        </w:rPr>
        <w:t>人，发放国家司法救助金</w:t>
      </w:r>
      <w:r>
        <w:rPr>
          <w:rFonts w:hint="eastAsia" w:ascii="仿宋_GB2312" w:hAnsi="仿宋_GB2312" w:eastAsia="仿宋_GB2312" w:cs="仿宋_GB2312"/>
          <w:sz w:val="32"/>
          <w:szCs w:val="32"/>
          <w:lang w:val="en-US" w:eastAsia="zh-CN"/>
        </w:rPr>
        <w:t>26.0319</w:t>
      </w:r>
      <w:r>
        <w:rPr>
          <w:rFonts w:hint="eastAsia" w:ascii="仿宋_GB2312" w:hAnsi="仿宋_GB2312" w:eastAsia="仿宋_GB2312" w:cs="仿宋_GB2312"/>
          <w:sz w:val="32"/>
          <w:szCs w:val="32"/>
        </w:rPr>
        <w:t>万</w:t>
      </w:r>
      <w:r>
        <w:rPr>
          <w:rFonts w:hint="eastAsia" w:ascii="仿宋_GB2312" w:hAnsi="仿宋_GB2312" w:eastAsia="仿宋_GB2312" w:cs="仿宋_GB2312"/>
          <w:sz w:val="32"/>
          <w:szCs w:val="32"/>
          <w:lang w:eastAsia="zh-CN"/>
        </w:rPr>
        <w:t>元。</w:t>
      </w:r>
    </w:p>
    <w:p w14:paraId="525959FE">
      <w:pPr>
        <w:pStyle w:val="2"/>
        <w:keepNext w:val="0"/>
        <w:keepLines w:val="0"/>
        <w:pageBreakBefore w:val="0"/>
        <w:kinsoku/>
        <w:wordWrap/>
        <w:overflowPunct/>
        <w:topLinePunct w:val="0"/>
        <w:autoSpaceDE/>
        <w:autoSpaceDN/>
        <w:bidi w:val="0"/>
        <w:adjustRightInd/>
        <w:snapToGrid/>
        <w:spacing w:beforeAutospacing="0" w:after="0" w:afterLines="0" w:afterAutospacing="0" w:line="576" w:lineRule="exact"/>
        <w:ind w:left="0" w:leftChars="0"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（三）做实系统治理，平安建设暨市域社会治理取得新成效</w:t>
      </w:r>
    </w:p>
    <w:p w14:paraId="67B9F095">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8"/>
        <w:jc w:val="left"/>
        <w:textAlignment w:val="auto"/>
        <w:rPr>
          <w:rFonts w:hint="eastAsia" w:ascii="仿宋_GB2312" w:eastAsia="仿宋_GB2312" w:cs="仿宋_GB2312"/>
          <w:kern w:val="2"/>
          <w:sz w:val="32"/>
          <w:szCs w:val="32"/>
          <w:lang w:val="en-US" w:eastAsia="zh-CN"/>
        </w:rPr>
      </w:pPr>
      <w:r>
        <w:rPr>
          <w:rFonts w:hint="eastAsia" w:ascii="楷体_GB2312" w:hAnsi="楷体_GB2312" w:eastAsia="楷体_GB2312" w:cs="楷体_GB2312"/>
          <w:b w:val="0"/>
          <w:bCs w:val="0"/>
          <w:kern w:val="2"/>
          <w:sz w:val="32"/>
          <w:szCs w:val="32"/>
          <w:lang w:val="en-US" w:eastAsia="zh-CN" w:bidi="ar-SA"/>
        </w:rPr>
        <w:t>1.治理基础夯实稳固。</w:t>
      </w:r>
      <w:r>
        <w:rPr>
          <w:rFonts w:hint="eastAsia" w:ascii="仿宋_GB2312" w:hAnsi="仿宋_GB2312" w:eastAsia="仿宋_GB2312" w:cs="仿宋_GB2312"/>
          <w:b w:val="0"/>
          <w:bCs w:val="0"/>
          <w:kern w:val="2"/>
          <w:sz w:val="32"/>
          <w:szCs w:val="32"/>
          <w:lang w:val="en-US" w:eastAsia="zh-CN" w:bidi="ar-SA"/>
        </w:rPr>
        <w:t>结合区镇换届，同步完成12个镇政法委员调整，基层法庭庭长、</w:t>
      </w:r>
      <w:r>
        <w:rPr>
          <w:rFonts w:hint="eastAsia" w:ascii="仿宋_GB2312" w:hAnsi="仿宋_GB2312" w:eastAsia="仿宋_GB2312" w:cs="仿宋_GB2312"/>
          <w:b w:val="0"/>
          <w:bCs w:val="0"/>
          <w:kern w:val="2"/>
          <w:sz w:val="32"/>
          <w:szCs w:val="32"/>
          <w:highlight w:val="none"/>
          <w:lang w:val="en-US" w:eastAsia="zh-CN" w:bidi="ar-SA"/>
        </w:rPr>
        <w:t>派出所所长</w:t>
      </w:r>
      <w:r>
        <w:rPr>
          <w:rFonts w:hint="eastAsia" w:ascii="仿宋_GB2312" w:hAnsi="仿宋_GB2312" w:eastAsia="仿宋_GB2312" w:cs="仿宋_GB2312"/>
          <w:b w:val="0"/>
          <w:bCs w:val="0"/>
          <w:kern w:val="2"/>
          <w:sz w:val="32"/>
          <w:szCs w:val="32"/>
          <w:lang w:val="en-US" w:eastAsia="zh-CN" w:bidi="ar-SA"/>
        </w:rPr>
        <w:t>、司法所所长调整有序推进。强化三级综治中心规范化运行，镇政法委员、村支部书记分别兼任镇、村综治中心主任，赋予推动多元化解、网格化服务、特殊人群管理、护路联防及“雪亮”应用等职责，实现了跨部门、跨层级协同“一体化”治理新格局。统筹推进全科网格建设，保持181名网格员队伍相对稳定，将党建、综治、公安、消防、市场监管、医疗、社保、法院协执等事项纳入网格化管理，实现“人在网上走，事在网中办”。持续强化护路队员、人民调解员、治安巡逻员队伍建设，发挥乡贤五老、红白理事会作用，鼓励和引导社会组织、企事业单位、人民群众积极参与群防群治，实现上下联动、良性互动、整体推动社会治理新格局。</w:t>
      </w:r>
    </w:p>
    <w:p w14:paraId="046C85FF">
      <w:pPr>
        <w:pStyle w:val="35"/>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textAlignment w:val="auto"/>
        <w:rPr>
          <w:rFonts w:hint="eastAsia" w:ascii="仿宋_GB2312" w:hAnsi="仿宋_GB2312" w:eastAsia="仿宋_GB2312" w:cs="仿宋_GB2312"/>
          <w:b w:val="0"/>
          <w:bCs w:val="0"/>
          <w:kern w:val="2"/>
          <w:sz w:val="32"/>
          <w:szCs w:val="32"/>
          <w:lang w:val="en-US" w:eastAsia="zh-CN" w:bidi="ar-SA"/>
        </w:rPr>
      </w:pPr>
      <w:r>
        <w:rPr>
          <w:rFonts w:hint="eastAsia" w:ascii="楷体_GB2312" w:hAnsi="楷体_GB2312" w:eastAsia="楷体_GB2312" w:cs="楷体_GB2312"/>
          <w:sz w:val="32"/>
          <w:szCs w:val="32"/>
          <w:lang w:val="en-US" w:eastAsia="zh-CN"/>
        </w:rPr>
        <w:t>2.矛盾纠纷化解有力有效。</w:t>
      </w:r>
      <w:r>
        <w:rPr>
          <w:rFonts w:hint="eastAsia" w:ascii="仿宋_GB2312" w:hAnsi="仿宋_GB2312" w:eastAsia="仿宋_GB2312" w:cs="仿宋_GB2312"/>
          <w:b w:val="0"/>
          <w:bCs w:val="0"/>
          <w:kern w:val="2"/>
          <w:sz w:val="32"/>
          <w:szCs w:val="32"/>
          <w:lang w:val="en-US" w:eastAsia="zh-CN" w:bidi="ar-SA"/>
        </w:rPr>
        <w:t>建立区、镇两级矛盾纠纷多元化解协调中心，分别由区委分管领导、镇党委书记兼任主任，投资300余万元规范打造的区矛盾纠纷联调中心即将投入运行。建立镇公共法律服务站12个，村（社区）公共法律服务室141个，法律顾问全覆盖。调整区、镇、村（社区）三级人民调解委员会，全面完成全区12个镇、150个村（社区）及24个专业性行业性调解组织换届，产生新一届调解员870余人；建立行政调解组织2个。健全“三调联动”机制，强化信调、公调、检调、仲调、诉非无缝衔接，对征拆补偿、医患纠纷、婚恋纠纷等疑难纷争，运用“摸排劝调引”五步工作法将矛盾纠纷化解在基层，实现“小事不出村、大事不出镇、矛盾不上交”，全年共排查矛盾纠纷3747件、成功调解3697件。</w:t>
      </w:r>
    </w:p>
    <w:p w14:paraId="7A242A3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楷体_GB2312" w:hAnsi="楷体_GB2312" w:eastAsia="楷体_GB2312" w:cs="楷体_GB2312"/>
          <w:b w:val="0"/>
          <w:bCs w:val="0"/>
          <w:sz w:val="32"/>
          <w:szCs w:val="32"/>
          <w:lang w:val="en-US" w:eastAsia="zh-CN"/>
        </w:rPr>
        <w:t>3.打防管控全面到位。</w:t>
      </w:r>
      <w:r>
        <w:rPr>
          <w:rFonts w:hint="eastAsia" w:ascii="仿宋_GB2312" w:hAnsi="仿宋_GB2312" w:eastAsia="仿宋_GB2312" w:cs="仿宋_GB2312"/>
          <w:b w:val="0"/>
          <w:bCs w:val="0"/>
          <w:kern w:val="2"/>
          <w:sz w:val="32"/>
          <w:szCs w:val="32"/>
          <w:lang w:val="en-US" w:eastAsia="zh-CN" w:bidi="ar-SA"/>
        </w:rPr>
        <w:t>规范“雪亮工程”运行，融合天网、行政、教育、医疗及农村“慧眼”、智慧小区等1.5万余路社会公共视频资源，协助公安机关侦破交通肇事逃逸案件15件、侵财类案件33件、人身伤害案件5件，全年刑事、治安案件同比下降33.3%、28.7%。依法严厉打击电信诈骗、传统侵财类行为，成功侦破部督“9·25”“7·07”特大电信网络诈骗案和黄兴彪等人非法买卖持有枪支案。强化易肇事肇祸精神病人、社区矫正人员、吸毒人员、刑释人员等特殊人群“一人一档一措施”帮教，全面兑现监护人“以奖代补”及三级以上精神障碍患者免费住院治疗政策，坚决筑牢命案防控底线。常态化开展扫黑除恶斗争，深化网络诈骗、交通运输、工程建设、自然资源等四大重点行业领域专项整治，</w:t>
      </w:r>
      <w:r>
        <w:rPr>
          <w:rFonts w:hint="default" w:ascii="仿宋_GB2312" w:hAnsi="仿宋_GB2312" w:eastAsia="仿宋_GB2312" w:cs="仿宋_GB2312"/>
          <w:b w:val="0"/>
          <w:bCs w:val="0"/>
          <w:kern w:val="2"/>
          <w:sz w:val="32"/>
          <w:szCs w:val="32"/>
          <w:lang w:val="en-US" w:eastAsia="zh-CN" w:bidi="ar-SA"/>
        </w:rPr>
        <w:t>持续防范和整治“村霸”等问题</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对已审结5件黑恶势力犯罪案件和涉及“保护伞”3条线索进行倒查梳理。</w:t>
      </w:r>
      <w:r>
        <w:rPr>
          <w:rFonts w:hint="eastAsia" w:ascii="仿宋_GB2312" w:hAnsi="仿宋_GB2312" w:eastAsia="仿宋_GB2312" w:cs="仿宋_GB2312"/>
          <w:b w:val="0"/>
          <w:bCs w:val="0"/>
          <w:kern w:val="2"/>
          <w:sz w:val="32"/>
          <w:szCs w:val="32"/>
          <w:lang w:val="en-US" w:eastAsia="zh-CN" w:bidi="ar-SA"/>
        </w:rPr>
        <w:t>巩固禁毒示范城市创建成果，区委政法委被表彰为四川省“全国禁毒示范城市创建工作先进集体”。积极开展平安村（社区）、平安校园、平安家庭等平安细胞建设，</w:t>
      </w:r>
      <w:r>
        <w:rPr>
          <w:rFonts w:hint="eastAsia" w:ascii="仿宋_GB2312" w:hAnsi="仿宋_GB2312" w:eastAsia="仿宋_GB2312" w:cs="仿宋_GB2312"/>
          <w:sz w:val="32"/>
          <w:szCs w:val="32"/>
          <w:lang w:val="en-US" w:eastAsia="zh-CN"/>
        </w:rPr>
        <w:t>昭化派出所被评为省级“枫桥式公安派出所”并入围第二批全国“枫桥式公安派出所”，</w:t>
      </w:r>
      <w:r>
        <w:rPr>
          <w:rFonts w:hint="eastAsia" w:ascii="仿宋_GB2312" w:eastAsia="仿宋_GB2312"/>
          <w:color w:val="000000"/>
          <w:spacing w:val="10"/>
          <w:sz w:val="32"/>
          <w:szCs w:val="32"/>
        </w:rPr>
        <w:t>虎跳等</w:t>
      </w:r>
      <w:r>
        <w:rPr>
          <w:rFonts w:hint="eastAsia" w:ascii="仿宋_GB2312" w:eastAsia="仿宋_GB2312"/>
          <w:color w:val="000000"/>
          <w:spacing w:val="10"/>
          <w:sz w:val="32"/>
          <w:szCs w:val="32"/>
          <w:lang w:val="en-US" w:eastAsia="zh-CN"/>
        </w:rPr>
        <w:t>4个</w:t>
      </w:r>
      <w:r>
        <w:rPr>
          <w:rFonts w:hint="eastAsia" w:ascii="仿宋_GB2312" w:eastAsia="仿宋_GB2312"/>
          <w:color w:val="000000"/>
          <w:spacing w:val="10"/>
          <w:sz w:val="32"/>
          <w:szCs w:val="32"/>
        </w:rPr>
        <w:t>司法所</w:t>
      </w:r>
      <w:r>
        <w:rPr>
          <w:rFonts w:hint="eastAsia" w:ascii="仿宋_GB2312" w:eastAsia="仿宋_GB2312"/>
          <w:color w:val="000000"/>
          <w:spacing w:val="10"/>
          <w:sz w:val="32"/>
          <w:szCs w:val="32"/>
          <w:lang w:val="en-US" w:eastAsia="zh-CN"/>
        </w:rPr>
        <w:t>被</w:t>
      </w:r>
      <w:r>
        <w:rPr>
          <w:rFonts w:hint="eastAsia" w:ascii="仿宋_GB2312" w:eastAsia="仿宋_GB2312"/>
          <w:color w:val="000000"/>
          <w:spacing w:val="10"/>
          <w:sz w:val="32"/>
          <w:szCs w:val="32"/>
        </w:rPr>
        <w:t>命名市级“枫桥式司法所”</w:t>
      </w:r>
      <w:r>
        <w:rPr>
          <w:rFonts w:hint="eastAsia" w:ascii="仿宋_GB2312" w:eastAsia="仿宋_GB2312"/>
          <w:color w:val="000000"/>
          <w:spacing w:val="10"/>
          <w:sz w:val="32"/>
          <w:szCs w:val="32"/>
          <w:lang w:eastAsia="zh-CN"/>
        </w:rPr>
        <w:t>。</w:t>
      </w:r>
      <w:r>
        <w:rPr>
          <w:rFonts w:hint="eastAsia" w:ascii="仿宋_GB2312" w:hAnsi="仿宋_GB2312" w:eastAsia="仿宋_GB2312" w:cs="仿宋_GB2312"/>
          <w:b w:val="0"/>
          <w:bCs w:val="0"/>
          <w:kern w:val="2"/>
          <w:sz w:val="32"/>
          <w:szCs w:val="32"/>
          <w:lang w:val="en-US" w:eastAsia="zh-CN" w:bidi="ar-SA"/>
        </w:rPr>
        <w:t>大力弘扬社会正气，杨均贤等3名同志获区级“见义勇为公民”荣誉称号。</w:t>
      </w:r>
    </w:p>
    <w:p w14:paraId="55AED553">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576" w:lineRule="exact"/>
        <w:ind w:left="0" w:leftChars="0"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（四）优化法治服务，保障发展能力水平有效提升</w:t>
      </w:r>
    </w:p>
    <w:p w14:paraId="55953824">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jc w:val="both"/>
        <w:textAlignment w:val="auto"/>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sz w:val="32"/>
          <w:szCs w:val="32"/>
          <w:lang w:val="en-US" w:eastAsia="zh-CN"/>
        </w:rPr>
        <w:t>1.法治创建协调推进。</w:t>
      </w:r>
      <w:r>
        <w:rPr>
          <w:rFonts w:hint="eastAsia" w:ascii="Times New Roman" w:hAnsi="Times New Roman" w:eastAsia="仿宋_GB2312" w:cs="Times New Roman"/>
          <w:color w:val="auto"/>
          <w:kern w:val="0"/>
          <w:sz w:val="32"/>
          <w:szCs w:val="20"/>
          <w:lang w:val="en-US" w:eastAsia="zh-CN" w:bidi="ar-SA"/>
        </w:rPr>
        <w:t>统筹依法治区示范试点与法治政府建设示范市创建协调推进。严格落实政府法律顾问制度，参与重大行政决策事项审查50余件次，参与行政复议与应诉案件18件次，参与涉法事务60余件次，提供行政决策法律建议200余条。建立合法性审查“四级联审”工作机制，</w:t>
      </w:r>
      <w:r>
        <w:rPr>
          <w:rFonts w:hint="eastAsia" w:ascii="仿宋_GB2312" w:hAnsi="仿宋_GB2312" w:eastAsia="仿宋_GB2312" w:cs="仿宋_GB2312"/>
          <w:color w:val="auto"/>
          <w:sz w:val="32"/>
          <w:szCs w:val="32"/>
          <w:lang w:val="en-US" w:eastAsia="zh-CN"/>
        </w:rPr>
        <w:t>提前介入会商</w:t>
      </w:r>
      <w:r>
        <w:rPr>
          <w:rFonts w:hint="eastAsia" w:ascii="Times New Roman" w:hAnsi="Times New Roman" w:eastAsia="仿宋_GB2312" w:cs="Times New Roman"/>
          <w:color w:val="auto"/>
          <w:kern w:val="0"/>
          <w:sz w:val="32"/>
          <w:szCs w:val="20"/>
          <w:lang w:val="en-US" w:eastAsia="zh-CN" w:bidi="ar-SA"/>
        </w:rPr>
        <w:t>重要招商引资、重大工程建设等合</w:t>
      </w:r>
      <w:r>
        <w:rPr>
          <w:rFonts w:hint="eastAsia" w:ascii="仿宋_GB2312" w:hAnsi="仿宋_GB2312" w:eastAsia="仿宋_GB2312" w:cs="仿宋_GB2312"/>
          <w:color w:val="auto"/>
          <w:sz w:val="32"/>
          <w:szCs w:val="32"/>
          <w:lang w:val="en-US" w:eastAsia="zh-CN"/>
        </w:rPr>
        <w:t>同（协议），降低政府决策法律风险。</w:t>
      </w:r>
      <w:r>
        <w:rPr>
          <w:rFonts w:hint="eastAsia" w:ascii="仿宋_GB2312" w:hAnsi="仿宋_GB2312" w:eastAsia="仿宋_GB2312" w:cs="仿宋_GB2312"/>
          <w:b w:val="0"/>
          <w:bCs w:val="0"/>
          <w:color w:val="auto"/>
          <w:sz w:val="32"/>
          <w:szCs w:val="32"/>
          <w:lang w:val="en-US" w:eastAsia="zh-CN"/>
        </w:rPr>
        <w:t>建立阳光复议、规范办案等11项制度机制，办结行政复议案件4件。</w:t>
      </w:r>
      <w:r>
        <w:rPr>
          <w:rFonts w:hint="eastAsia" w:ascii="Times New Roman" w:hAnsi="Times New Roman" w:eastAsia="仿宋_GB2312"/>
          <w:color w:val="auto"/>
          <w:sz w:val="32"/>
          <w:szCs w:val="32"/>
          <w:lang w:val="en-US" w:eastAsia="zh-CN"/>
        </w:rPr>
        <w:t>创新推出重点岗位依法行政“账图模式”，全覆盖汇集形成法治导图5124张、法治台账618本，切实推动岗位与法治融合。</w:t>
      </w:r>
      <w:r>
        <w:rPr>
          <w:rFonts w:hint="eastAsia" w:ascii="仿宋_GB2312" w:hAnsi="仿宋_GB2312" w:eastAsia="仿宋_GB2312" w:cs="仿宋_GB2312"/>
          <w:kern w:val="2"/>
          <w:sz w:val="32"/>
          <w:szCs w:val="32"/>
          <w:lang w:val="en-US" w:eastAsia="zh-CN" w:bidi="ar-SA"/>
        </w:rPr>
        <w:t>全面依法治区示范试点工作受到中央依法治国办组成人员、司法部副部长熊选国、省司法厅厅长刘志诚等领导充分肯定。</w:t>
      </w:r>
    </w:p>
    <w:p w14:paraId="3C8F00AA">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color w:val="auto"/>
          <w:sz w:val="32"/>
          <w:szCs w:val="32"/>
          <w:lang w:val="en-US" w:eastAsia="zh-CN"/>
        </w:rPr>
        <w:t>2.为民服务便捷高效。</w:t>
      </w:r>
      <w:r>
        <w:rPr>
          <w:rFonts w:hint="eastAsia" w:ascii="仿宋_GB2312" w:hAnsi="仿宋_GB2312" w:eastAsia="仿宋_GB2312" w:cs="仿宋_GB2312"/>
          <w:kern w:val="2"/>
          <w:sz w:val="32"/>
          <w:szCs w:val="32"/>
          <w:lang w:val="en-US" w:eastAsia="zh-CN" w:bidi="ar-SA"/>
        </w:rPr>
        <w:t>全面统筹律师、基层法律工作者等力量，深入开展“千所百处帮万企”、“万所联万会”及律师为重点项目提供法律服务“1+1”专项行动，深入企业、重点工程项目工地开展法治体检和法治宣传30余场次，发放法治宣传资料4000余份，审查法律文书和体检劳动合同2800余份，反馈法律相关问题15条，提供专业法律意见和建议21条。全面开展法律援助“零”审查、“零”推诿、“零”距离、“零”积压、“零”投诉的“五零”服务，持续深化上门服务、延时服务、预约服务等公证便民措施，今年以来，办理各类公证118件，其中“最多跑一次”公证60余件，减免费用8件，提供预约上门服务、延时服务等40余人次。</w:t>
      </w:r>
    </w:p>
    <w:p w14:paraId="40087E7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b w:val="0"/>
          <w:i w:val="0"/>
          <w:caps w:val="0"/>
          <w:spacing w:val="0"/>
          <w:w w:val="100"/>
          <w:sz w:val="32"/>
          <w:szCs w:val="32"/>
        </w:rPr>
      </w:pPr>
      <w:r>
        <w:rPr>
          <w:rFonts w:hint="eastAsia" w:ascii="楷体_GB2312" w:hAnsi="楷体_GB2312" w:eastAsia="楷体_GB2312" w:cs="楷体_GB2312"/>
          <w:color w:val="auto"/>
          <w:sz w:val="32"/>
          <w:szCs w:val="32"/>
          <w:lang w:val="en-US" w:eastAsia="zh-CN"/>
        </w:rPr>
        <w:t>3.执法监督公平公正。</w:t>
      </w:r>
      <w:r>
        <w:rPr>
          <w:rFonts w:hint="eastAsia" w:ascii="仿宋_GB2312" w:hAnsi="仿宋_GB2312" w:eastAsia="仿宋_GB2312" w:cs="仿宋_GB2312"/>
          <w:b w:val="0"/>
          <w:i w:val="0"/>
          <w:caps w:val="0"/>
          <w:color w:val="000000"/>
          <w:spacing w:val="0"/>
          <w:w w:val="100"/>
          <w:sz w:val="32"/>
          <w:szCs w:val="32"/>
          <w:lang w:val="en-US" w:eastAsia="zh-CN"/>
        </w:rPr>
        <w:t>组织开展</w:t>
      </w:r>
      <w:r>
        <w:rPr>
          <w:rFonts w:hint="eastAsia" w:ascii="仿宋_GB2312" w:hAnsi="仿宋_GB2312" w:eastAsia="仿宋_GB2312" w:cs="仿宋_GB2312"/>
          <w:b w:val="0"/>
          <w:i w:val="0"/>
          <w:caps w:val="0"/>
          <w:color w:val="000000"/>
          <w:spacing w:val="0"/>
          <w:w w:val="100"/>
          <w:sz w:val="32"/>
          <w:szCs w:val="32"/>
          <w:lang w:eastAsia="zh-CN"/>
        </w:rPr>
        <w:t>综合执法检查</w:t>
      </w:r>
      <w:r>
        <w:rPr>
          <w:rFonts w:hint="eastAsia" w:ascii="仿宋_GB2312" w:hAnsi="仿宋_GB2312" w:eastAsia="仿宋_GB2312" w:cs="仿宋_GB2312"/>
          <w:b w:val="0"/>
          <w:i w:val="0"/>
          <w:caps w:val="0"/>
          <w:color w:val="000000"/>
          <w:spacing w:val="0"/>
          <w:w w:val="100"/>
          <w:sz w:val="32"/>
          <w:szCs w:val="32"/>
          <w:lang w:val="en-US" w:eastAsia="zh-CN"/>
        </w:rPr>
        <w:t>4</w:t>
      </w:r>
      <w:r>
        <w:rPr>
          <w:rFonts w:hint="eastAsia" w:ascii="仿宋_GB2312" w:hAnsi="仿宋_GB2312" w:eastAsia="仿宋_GB2312" w:cs="仿宋_GB2312"/>
          <w:b w:val="0"/>
          <w:i w:val="0"/>
          <w:caps w:val="0"/>
          <w:color w:val="000000"/>
          <w:spacing w:val="0"/>
          <w:w w:val="100"/>
          <w:sz w:val="32"/>
          <w:szCs w:val="32"/>
          <w:lang w:eastAsia="zh-CN"/>
        </w:rPr>
        <w:t>次，组织政法部门自查</w:t>
      </w:r>
      <w:r>
        <w:rPr>
          <w:rFonts w:hint="eastAsia" w:ascii="仿宋_GB2312" w:hAnsi="仿宋_GB2312" w:eastAsia="仿宋_GB2312" w:cs="仿宋_GB2312"/>
          <w:b w:val="0"/>
          <w:i w:val="0"/>
          <w:caps w:val="0"/>
          <w:color w:val="000000"/>
          <w:spacing w:val="0"/>
          <w:w w:val="100"/>
          <w:sz w:val="32"/>
          <w:szCs w:val="32"/>
          <w:lang w:val="en-US" w:eastAsia="zh-CN"/>
        </w:rPr>
        <w:t>7</w:t>
      </w:r>
      <w:r>
        <w:rPr>
          <w:rFonts w:hint="eastAsia" w:ascii="仿宋_GB2312" w:hAnsi="仿宋_GB2312" w:eastAsia="仿宋_GB2312" w:cs="仿宋_GB2312"/>
          <w:b w:val="0"/>
          <w:i w:val="0"/>
          <w:caps w:val="0"/>
          <w:color w:val="000000"/>
          <w:spacing w:val="0"/>
          <w:w w:val="100"/>
          <w:sz w:val="32"/>
          <w:szCs w:val="32"/>
          <w:lang w:eastAsia="zh-CN"/>
        </w:rPr>
        <w:t>次，规范整治了执法中的突出问题</w:t>
      </w:r>
      <w:r>
        <w:rPr>
          <w:rFonts w:hint="eastAsia" w:ascii="仿宋_GB2312" w:hAnsi="仿宋_GB2312" w:eastAsia="仿宋_GB2312" w:cs="仿宋_GB2312"/>
          <w:b w:val="0"/>
          <w:i w:val="0"/>
          <w:caps w:val="0"/>
          <w:color w:val="000000"/>
          <w:spacing w:val="0"/>
          <w:w w:val="100"/>
          <w:sz w:val="32"/>
          <w:szCs w:val="32"/>
          <w:lang w:val="en-US" w:eastAsia="zh-CN"/>
        </w:rPr>
        <w:t>30余个。交叉评查重点案件55件，</w:t>
      </w:r>
      <w:r>
        <w:rPr>
          <w:rFonts w:hint="eastAsia" w:ascii="仿宋_GB2312" w:hAnsi="仿宋_GB2312" w:eastAsia="仿宋_GB2312" w:cs="仿宋_GB2312"/>
          <w:b w:val="0"/>
          <w:i w:val="0"/>
          <w:caps w:val="0"/>
          <w:color w:val="000000"/>
          <w:spacing w:val="0"/>
          <w:w w:val="100"/>
          <w:sz w:val="32"/>
          <w:szCs w:val="32"/>
          <w:lang w:eastAsia="zh-CN"/>
        </w:rPr>
        <w:t>合格案件</w:t>
      </w:r>
      <w:r>
        <w:rPr>
          <w:rFonts w:hint="eastAsia" w:ascii="仿宋_GB2312" w:hAnsi="仿宋_GB2312" w:eastAsia="仿宋_GB2312" w:cs="仿宋_GB2312"/>
          <w:b w:val="0"/>
          <w:i w:val="0"/>
          <w:caps w:val="0"/>
          <w:color w:val="000000"/>
          <w:spacing w:val="0"/>
          <w:w w:val="100"/>
          <w:sz w:val="32"/>
          <w:szCs w:val="32"/>
          <w:lang w:val="en-US" w:eastAsia="zh-CN"/>
        </w:rPr>
        <w:t>49</w:t>
      </w:r>
      <w:r>
        <w:rPr>
          <w:rFonts w:hint="eastAsia" w:ascii="仿宋_GB2312" w:hAnsi="仿宋_GB2312" w:eastAsia="仿宋_GB2312" w:cs="仿宋_GB2312"/>
          <w:b w:val="0"/>
          <w:i w:val="0"/>
          <w:caps w:val="0"/>
          <w:color w:val="000000"/>
          <w:spacing w:val="0"/>
          <w:w w:val="100"/>
          <w:sz w:val="32"/>
          <w:szCs w:val="32"/>
          <w:lang w:eastAsia="zh-CN"/>
        </w:rPr>
        <w:t>件、瑕疵案件</w:t>
      </w:r>
      <w:r>
        <w:rPr>
          <w:rFonts w:hint="eastAsia" w:ascii="仿宋_GB2312" w:hAnsi="仿宋_GB2312" w:eastAsia="仿宋_GB2312" w:cs="仿宋_GB2312"/>
          <w:b w:val="0"/>
          <w:i w:val="0"/>
          <w:caps w:val="0"/>
          <w:color w:val="000000"/>
          <w:spacing w:val="0"/>
          <w:w w:val="100"/>
          <w:sz w:val="32"/>
          <w:szCs w:val="32"/>
          <w:lang w:val="en-US" w:eastAsia="zh-CN"/>
        </w:rPr>
        <w:t>6</w:t>
      </w:r>
      <w:r>
        <w:rPr>
          <w:rFonts w:hint="eastAsia" w:ascii="仿宋_GB2312" w:hAnsi="仿宋_GB2312" w:eastAsia="仿宋_GB2312" w:cs="仿宋_GB2312"/>
          <w:b w:val="0"/>
          <w:i w:val="0"/>
          <w:caps w:val="0"/>
          <w:color w:val="000000"/>
          <w:spacing w:val="0"/>
          <w:w w:val="100"/>
          <w:sz w:val="32"/>
          <w:szCs w:val="32"/>
          <w:lang w:eastAsia="zh-CN"/>
        </w:rPr>
        <w:t>件，无不合格案件，</w:t>
      </w:r>
      <w:r>
        <w:rPr>
          <w:rFonts w:hint="eastAsia" w:ascii="仿宋_GB2312" w:hAnsi="仿宋_GB2312" w:eastAsia="仿宋_GB2312" w:cs="仿宋_GB2312"/>
          <w:b w:val="0"/>
          <w:i w:val="0"/>
          <w:caps w:val="0"/>
          <w:color w:val="000000"/>
          <w:spacing w:val="0"/>
          <w:w w:val="100"/>
          <w:sz w:val="32"/>
          <w:szCs w:val="32"/>
          <w:lang w:val="en-US" w:eastAsia="zh-CN"/>
        </w:rPr>
        <w:t>3</w:t>
      </w:r>
      <w:r>
        <w:rPr>
          <w:rFonts w:hint="eastAsia" w:ascii="仿宋_GB2312" w:hAnsi="仿宋_GB2312" w:eastAsia="仿宋_GB2312" w:cs="仿宋_GB2312"/>
          <w:b w:val="0"/>
          <w:i w:val="0"/>
          <w:caps w:val="0"/>
          <w:color w:val="000000"/>
          <w:spacing w:val="0"/>
          <w:w w:val="100"/>
          <w:sz w:val="32"/>
          <w:szCs w:val="32"/>
          <w:lang w:eastAsia="zh-CN"/>
        </w:rPr>
        <w:t>起问题案件线索和</w:t>
      </w:r>
      <w:r>
        <w:rPr>
          <w:rFonts w:hint="eastAsia" w:ascii="仿宋_GB2312" w:hAnsi="仿宋_GB2312" w:eastAsia="仿宋_GB2312" w:cs="仿宋_GB2312"/>
          <w:b w:val="0"/>
          <w:i w:val="0"/>
          <w:caps w:val="0"/>
          <w:color w:val="000000"/>
          <w:spacing w:val="0"/>
          <w:w w:val="100"/>
          <w:sz w:val="32"/>
          <w:szCs w:val="32"/>
          <w:lang w:val="en-US" w:eastAsia="zh-CN"/>
        </w:rPr>
        <w:t>6</w:t>
      </w:r>
      <w:r>
        <w:rPr>
          <w:rFonts w:hint="eastAsia" w:ascii="仿宋_GB2312" w:hAnsi="仿宋_GB2312" w:eastAsia="仿宋_GB2312" w:cs="仿宋_GB2312"/>
          <w:b w:val="0"/>
          <w:i w:val="0"/>
          <w:caps w:val="0"/>
          <w:color w:val="000000"/>
          <w:spacing w:val="0"/>
          <w:w w:val="100"/>
          <w:sz w:val="32"/>
          <w:szCs w:val="32"/>
          <w:lang w:eastAsia="zh-CN"/>
        </w:rPr>
        <w:t>件瑕疵案件均整改完毕并</w:t>
      </w:r>
      <w:r>
        <w:rPr>
          <w:rFonts w:hint="eastAsia" w:ascii="仿宋_GB2312" w:hAnsi="仿宋_GB2312" w:eastAsia="仿宋_GB2312" w:cs="仿宋_GB2312"/>
          <w:b w:val="0"/>
          <w:i w:val="0"/>
          <w:caps w:val="0"/>
          <w:color w:val="000000"/>
          <w:spacing w:val="0"/>
          <w:w w:val="100"/>
          <w:sz w:val="32"/>
          <w:szCs w:val="32"/>
          <w:lang w:val="en-US" w:eastAsia="zh-CN"/>
        </w:rPr>
        <w:t>追责</w:t>
      </w:r>
      <w:r>
        <w:rPr>
          <w:rFonts w:hint="eastAsia" w:ascii="仿宋_GB2312" w:hAnsi="仿宋_GB2312" w:eastAsia="仿宋_GB2312" w:cs="仿宋_GB2312"/>
          <w:b w:val="0"/>
          <w:i w:val="0"/>
          <w:caps w:val="0"/>
          <w:color w:val="00000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常规</w:t>
      </w:r>
      <w:r>
        <w:rPr>
          <w:rFonts w:hint="eastAsia" w:ascii="仿宋_GB2312" w:hAnsi="仿宋_GB2312" w:eastAsia="仿宋_GB2312" w:cs="仿宋_GB2312"/>
          <w:b w:val="0"/>
          <w:i w:val="0"/>
          <w:caps w:val="0"/>
          <w:spacing w:val="0"/>
          <w:w w:val="100"/>
          <w:sz w:val="32"/>
          <w:szCs w:val="32"/>
          <w:lang w:eastAsia="zh-CN"/>
        </w:rPr>
        <w:t>化评查</w:t>
      </w:r>
      <w:r>
        <w:rPr>
          <w:rFonts w:hint="eastAsia" w:ascii="仿宋_GB2312" w:hAnsi="仿宋_GB2312" w:eastAsia="仿宋_GB2312" w:cs="仿宋_GB2312"/>
          <w:b w:val="0"/>
          <w:i w:val="0"/>
          <w:caps w:val="0"/>
          <w:spacing w:val="0"/>
          <w:w w:val="100"/>
          <w:sz w:val="32"/>
          <w:szCs w:val="32"/>
        </w:rPr>
        <w:t>案件</w:t>
      </w:r>
      <w:r>
        <w:rPr>
          <w:rFonts w:hint="eastAsia" w:ascii="仿宋_GB2312" w:hAnsi="仿宋_GB2312" w:eastAsia="仿宋_GB2312" w:cs="仿宋_GB2312"/>
          <w:b w:val="0"/>
          <w:i w:val="0"/>
          <w:caps w:val="0"/>
          <w:spacing w:val="0"/>
          <w:w w:val="100"/>
          <w:sz w:val="32"/>
          <w:szCs w:val="32"/>
          <w:lang w:eastAsia="zh-CN"/>
        </w:rPr>
        <w:t>近</w:t>
      </w:r>
      <w:r>
        <w:rPr>
          <w:rFonts w:hint="eastAsia" w:ascii="仿宋_GB2312" w:hAnsi="仿宋_GB2312" w:eastAsia="仿宋_GB2312" w:cs="仿宋_GB2312"/>
          <w:b w:val="0"/>
          <w:i w:val="0"/>
          <w:caps w:val="0"/>
          <w:spacing w:val="0"/>
          <w:w w:val="100"/>
          <w:sz w:val="32"/>
          <w:szCs w:val="32"/>
          <w:lang w:val="en-US" w:eastAsia="zh-CN"/>
        </w:rPr>
        <w:t>2000</w:t>
      </w:r>
      <w:r>
        <w:rPr>
          <w:rFonts w:hint="eastAsia" w:ascii="仿宋_GB2312" w:hAnsi="仿宋_GB2312" w:eastAsia="仿宋_GB2312" w:cs="仿宋_GB2312"/>
          <w:b w:val="0"/>
          <w:i w:val="0"/>
          <w:caps w:val="0"/>
          <w:spacing w:val="0"/>
          <w:w w:val="100"/>
          <w:sz w:val="32"/>
          <w:szCs w:val="32"/>
        </w:rPr>
        <w:t>件，制发各类案件评查通报</w:t>
      </w:r>
      <w:r>
        <w:rPr>
          <w:rFonts w:hint="eastAsia" w:ascii="仿宋_GB2312" w:hAnsi="仿宋_GB2312" w:eastAsia="仿宋_GB2312" w:cs="仿宋_GB2312"/>
          <w:b w:val="0"/>
          <w:i w:val="0"/>
          <w:caps w:val="0"/>
          <w:spacing w:val="0"/>
          <w:w w:val="100"/>
          <w:sz w:val="32"/>
          <w:szCs w:val="32"/>
          <w:lang w:eastAsia="zh-CN"/>
        </w:rPr>
        <w:t>近</w:t>
      </w:r>
      <w:r>
        <w:rPr>
          <w:rFonts w:hint="eastAsia" w:ascii="仿宋_GB2312" w:hAnsi="仿宋_GB2312" w:eastAsia="仿宋_GB2312" w:cs="仿宋_GB2312"/>
          <w:b w:val="0"/>
          <w:i w:val="0"/>
          <w:caps w:val="0"/>
          <w:spacing w:val="0"/>
          <w:w w:val="100"/>
          <w:sz w:val="32"/>
          <w:szCs w:val="32"/>
          <w:lang w:val="en-US" w:eastAsia="zh-CN"/>
        </w:rPr>
        <w:t>30</w:t>
      </w:r>
      <w:r>
        <w:rPr>
          <w:rFonts w:hint="eastAsia" w:ascii="仿宋_GB2312" w:hAnsi="仿宋_GB2312" w:eastAsia="仿宋_GB2312" w:cs="仿宋_GB2312"/>
          <w:b w:val="0"/>
          <w:i w:val="0"/>
          <w:caps w:val="0"/>
          <w:spacing w:val="0"/>
          <w:w w:val="100"/>
          <w:sz w:val="32"/>
          <w:szCs w:val="32"/>
        </w:rPr>
        <w:t>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先后</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次组织政法单位全面摸底排查</w:t>
      </w:r>
      <w:r>
        <w:rPr>
          <w:rFonts w:hint="eastAsia" w:ascii="仿宋_GB2312" w:hAnsi="仿宋_GB2312" w:eastAsia="仿宋_GB2312" w:cs="仿宋_GB2312"/>
          <w:sz w:val="32"/>
          <w:szCs w:val="32"/>
          <w:lang w:eastAsia="zh-CN"/>
        </w:rPr>
        <w:t>清理涉法涉诉信访案件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自查</w:t>
      </w:r>
      <w:r>
        <w:rPr>
          <w:rFonts w:hint="eastAsia" w:eastAsia="仿宋_GB2312"/>
          <w:sz w:val="32"/>
          <w:szCs w:val="32"/>
          <w:lang w:eastAsia="zh-CN"/>
        </w:rPr>
        <w:t>违反防止干预</w:t>
      </w:r>
      <w:r>
        <w:rPr>
          <w:rFonts w:hint="eastAsia" w:ascii="仿宋_GB2312" w:hAnsi="仿宋_GB2312" w:eastAsia="仿宋_GB2312" w:cs="仿宋_GB2312"/>
          <w:b w:val="0"/>
          <w:i w:val="0"/>
          <w:caps w:val="0"/>
          <w:spacing w:val="0"/>
          <w:w w:val="100"/>
          <w:sz w:val="32"/>
          <w:szCs w:val="32"/>
          <w:lang w:eastAsia="zh-CN"/>
        </w:rPr>
        <w:t>司法“三个规定”插手具体案件处理</w:t>
      </w:r>
      <w:r>
        <w:rPr>
          <w:rFonts w:hint="eastAsia" w:ascii="仿宋_GB2312" w:hAnsi="仿宋_GB2312" w:eastAsia="仿宋_GB2312" w:cs="仿宋_GB2312"/>
          <w:b w:val="0"/>
          <w:i w:val="0"/>
          <w:caps w:val="0"/>
          <w:spacing w:val="0"/>
          <w:w w:val="100"/>
          <w:sz w:val="32"/>
          <w:szCs w:val="32"/>
          <w:lang w:val="en-US" w:eastAsia="zh-CN"/>
        </w:rPr>
        <w:t>38</w:t>
      </w:r>
      <w:r>
        <w:rPr>
          <w:rFonts w:hint="eastAsia" w:ascii="仿宋_GB2312" w:hAnsi="仿宋_GB2312" w:eastAsia="仿宋_GB2312" w:cs="仿宋_GB2312"/>
          <w:b w:val="0"/>
          <w:i w:val="0"/>
          <w:caps w:val="0"/>
          <w:spacing w:val="0"/>
          <w:w w:val="100"/>
          <w:sz w:val="32"/>
          <w:szCs w:val="32"/>
          <w:lang w:eastAsia="zh-CN"/>
        </w:rPr>
        <w:t>人</w:t>
      </w:r>
      <w:r>
        <w:rPr>
          <w:rFonts w:hint="eastAsia" w:ascii="仿宋_GB2312" w:hAnsi="仿宋_GB2312" w:eastAsia="仿宋_GB2312" w:cs="仿宋_GB2312"/>
          <w:b w:val="0"/>
          <w:i w:val="0"/>
          <w:caps w:val="0"/>
          <w:spacing w:val="0"/>
          <w:w w:val="100"/>
          <w:sz w:val="32"/>
          <w:szCs w:val="32"/>
          <w:lang w:val="en-US" w:eastAsia="zh-CN"/>
        </w:rPr>
        <w:t>40</w:t>
      </w:r>
      <w:r>
        <w:rPr>
          <w:rFonts w:hint="eastAsia" w:ascii="仿宋_GB2312" w:hAnsi="仿宋_GB2312" w:eastAsia="仿宋_GB2312" w:cs="仿宋_GB2312"/>
          <w:b w:val="0"/>
          <w:i w:val="0"/>
          <w:caps w:val="0"/>
          <w:spacing w:val="0"/>
          <w:w w:val="100"/>
          <w:sz w:val="32"/>
          <w:szCs w:val="32"/>
        </w:rPr>
        <w:t>项</w:t>
      </w:r>
      <w:r>
        <w:rPr>
          <w:rFonts w:hint="eastAsia" w:ascii="仿宋_GB2312" w:hAnsi="仿宋_GB2312" w:eastAsia="仿宋_GB2312" w:cs="仿宋_GB2312"/>
          <w:b w:val="0"/>
          <w:i w:val="0"/>
          <w:caps w:val="0"/>
          <w:spacing w:val="0"/>
          <w:w w:val="100"/>
          <w:sz w:val="32"/>
          <w:szCs w:val="32"/>
          <w:lang w:eastAsia="zh-CN"/>
        </w:rPr>
        <w:t>，统筹</w:t>
      </w:r>
      <w:r>
        <w:rPr>
          <w:rFonts w:hint="eastAsia" w:ascii="仿宋_GB2312" w:hAnsi="仿宋_GB2312" w:eastAsia="仿宋_GB2312" w:cs="仿宋_GB2312"/>
          <w:b w:val="0"/>
          <w:i w:val="0"/>
          <w:caps w:val="0"/>
          <w:spacing w:val="0"/>
          <w:w w:val="100"/>
          <w:sz w:val="32"/>
          <w:szCs w:val="32"/>
        </w:rPr>
        <w:t>协调重大疑难案件</w:t>
      </w:r>
      <w:r>
        <w:rPr>
          <w:rFonts w:hint="eastAsia" w:ascii="仿宋_GB2312" w:hAnsi="仿宋_GB2312" w:eastAsia="仿宋_GB2312" w:cs="仿宋_GB2312"/>
          <w:b w:val="0"/>
          <w:i w:val="0"/>
          <w:caps w:val="0"/>
          <w:spacing w:val="0"/>
          <w:w w:val="100"/>
          <w:sz w:val="32"/>
          <w:szCs w:val="32"/>
          <w:lang w:val="en-US" w:eastAsia="zh-CN"/>
        </w:rPr>
        <w:t>5</w:t>
      </w:r>
      <w:r>
        <w:rPr>
          <w:rFonts w:hint="eastAsia" w:ascii="仿宋_GB2312" w:hAnsi="仿宋_GB2312" w:eastAsia="仿宋_GB2312" w:cs="仿宋_GB2312"/>
          <w:b w:val="0"/>
          <w:i w:val="0"/>
          <w:caps w:val="0"/>
          <w:spacing w:val="0"/>
          <w:w w:val="100"/>
          <w:sz w:val="32"/>
          <w:szCs w:val="32"/>
        </w:rPr>
        <w:t>件</w:t>
      </w:r>
      <w:r>
        <w:rPr>
          <w:rFonts w:hint="eastAsia" w:ascii="仿宋_GB2312" w:hAnsi="仿宋_GB2312" w:eastAsia="仿宋_GB2312" w:cs="仿宋_GB2312"/>
          <w:b w:val="0"/>
          <w:i w:val="0"/>
          <w:caps w:val="0"/>
          <w:spacing w:val="0"/>
          <w:w w:val="100"/>
          <w:sz w:val="32"/>
          <w:szCs w:val="32"/>
          <w:lang w:val="en-US" w:eastAsia="zh-CN"/>
        </w:rPr>
        <w:t>。严格执行案件</w:t>
      </w:r>
      <w:r>
        <w:rPr>
          <w:rFonts w:hint="eastAsia" w:ascii="仿宋_GB2312" w:hAnsi="仿宋_GB2312" w:eastAsia="仿宋_GB2312" w:cs="仿宋_GB2312"/>
          <w:b w:val="0"/>
          <w:i w:val="0"/>
          <w:caps w:val="0"/>
          <w:spacing w:val="0"/>
          <w:w w:val="100"/>
          <w:sz w:val="32"/>
          <w:szCs w:val="32"/>
        </w:rPr>
        <w:t>报告备案</w:t>
      </w:r>
      <w:r>
        <w:rPr>
          <w:rFonts w:hint="eastAsia" w:ascii="仿宋_GB2312" w:hAnsi="仿宋_GB2312" w:eastAsia="仿宋_GB2312" w:cs="仿宋_GB2312"/>
          <w:b w:val="0"/>
          <w:i w:val="0"/>
          <w:caps w:val="0"/>
          <w:spacing w:val="0"/>
          <w:w w:val="100"/>
          <w:sz w:val="32"/>
          <w:szCs w:val="32"/>
          <w:lang w:val="en-US" w:eastAsia="zh-CN"/>
        </w:rPr>
        <w:t>制度，全年</w:t>
      </w:r>
      <w:r>
        <w:rPr>
          <w:rFonts w:hint="eastAsia" w:ascii="仿宋_GB2312" w:hAnsi="仿宋_GB2312" w:eastAsia="仿宋_GB2312" w:cs="仿宋_GB2312"/>
          <w:b w:val="0"/>
          <w:i w:val="0"/>
          <w:caps w:val="0"/>
          <w:spacing w:val="0"/>
          <w:w w:val="100"/>
          <w:sz w:val="32"/>
          <w:szCs w:val="32"/>
        </w:rPr>
        <w:t>报告备案</w:t>
      </w:r>
      <w:r>
        <w:rPr>
          <w:rFonts w:hint="eastAsia" w:ascii="仿宋_GB2312" w:hAnsi="仿宋_GB2312" w:eastAsia="仿宋_GB2312" w:cs="仿宋_GB2312"/>
          <w:b w:val="0"/>
          <w:i w:val="0"/>
          <w:caps w:val="0"/>
          <w:spacing w:val="0"/>
          <w:w w:val="100"/>
          <w:sz w:val="32"/>
          <w:szCs w:val="32"/>
          <w:lang w:val="en-US" w:eastAsia="zh-CN"/>
        </w:rPr>
        <w:t>90余件</w:t>
      </w:r>
      <w:r>
        <w:rPr>
          <w:rFonts w:hint="eastAsia" w:ascii="仿宋_GB2312" w:hAnsi="仿宋_GB2312" w:eastAsia="仿宋_GB2312" w:cs="仿宋_GB2312"/>
          <w:b w:val="0"/>
          <w:i w:val="0"/>
          <w:caps w:val="0"/>
          <w:spacing w:val="0"/>
          <w:w w:val="100"/>
          <w:sz w:val="32"/>
          <w:szCs w:val="32"/>
        </w:rPr>
        <w:t>。</w:t>
      </w:r>
    </w:p>
    <w:p w14:paraId="1155AA39">
      <w:pPr>
        <w:pStyle w:val="2"/>
        <w:keepNext w:val="0"/>
        <w:keepLines w:val="0"/>
        <w:pageBreakBefore w:val="0"/>
        <w:kinsoku/>
        <w:wordWrap/>
        <w:overflowPunct/>
        <w:topLinePunct w:val="0"/>
        <w:autoSpaceDE/>
        <w:autoSpaceDN/>
        <w:bidi w:val="0"/>
        <w:adjustRightInd/>
        <w:snapToGrid/>
        <w:spacing w:beforeAutospacing="0" w:after="0" w:afterLines="0" w:afterAutospacing="0" w:line="576" w:lineRule="exact"/>
        <w:ind w:left="0" w:leftChars="0"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（五）狠抓队伍建设，教育整顿成果不断巩固深化</w:t>
      </w:r>
    </w:p>
    <w:p w14:paraId="05240662">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b w:val="0"/>
          <w:i w:val="0"/>
          <w:caps w:val="0"/>
          <w:spacing w:val="0"/>
          <w:w w:val="100"/>
          <w:sz w:val="32"/>
          <w:szCs w:val="32"/>
          <w:lang w:val="en-US" w:eastAsia="zh-CN"/>
        </w:rPr>
      </w:pPr>
      <w:r>
        <w:rPr>
          <w:rFonts w:hint="eastAsia" w:eastAsia="楷体_GB2312"/>
          <w:b w:val="0"/>
          <w:bCs/>
          <w:sz w:val="32"/>
          <w:szCs w:val="32"/>
          <w:lang w:val="en-US" w:eastAsia="zh-CN"/>
        </w:rPr>
        <w:t>1.</w:t>
      </w:r>
      <w:r>
        <w:rPr>
          <w:rFonts w:eastAsia="楷体_GB2312"/>
          <w:b w:val="0"/>
          <w:bCs/>
          <w:sz w:val="32"/>
          <w:szCs w:val="32"/>
        </w:rPr>
        <w:t>学习教育走深走实。</w:t>
      </w:r>
      <w:r>
        <w:rPr>
          <w:rFonts w:hint="eastAsia" w:ascii="仿宋_GB2312" w:hAnsi="仿宋_GB2312" w:eastAsia="仿宋_GB2312" w:cs="仿宋_GB2312"/>
          <w:b w:val="0"/>
          <w:i w:val="0"/>
          <w:caps w:val="0"/>
          <w:spacing w:val="0"/>
          <w:w w:val="100"/>
          <w:sz w:val="32"/>
          <w:szCs w:val="32"/>
          <w:lang w:val="en-US" w:eastAsia="zh-CN"/>
        </w:rPr>
        <w:t>以政治教育纯洁思想、党史教育筑牢信仰、警示教育严守底线、英模教育激发担当为主线，统筹推进“四项教育”。制定“学习任务目录”，实行“清单式促学”，扎实开展“党史故事天天读”“学习强国天天学”等活动。聆听市委书记、区委书记主题党课报告和廉政报告，融合推进学习教育。按照“一专题、一研讨、一交流”的“三个一”模式，通过“周四夜校、周末集中学、视频讲学直播到庭所”等方式，分支部自主创新学，政法干警手写心得体会1600余篇。累计开展政治教育54次、党史教育130余次，警示教育37次，英模教育25次，选树政法英模3名，5名干警被评为全市优秀政法干警。</w:t>
      </w:r>
    </w:p>
    <w:p w14:paraId="0742F198">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sz w:val="32"/>
          <w:szCs w:val="32"/>
          <w:lang w:val="en-US" w:eastAsia="zh-CN"/>
        </w:rPr>
        <w:t>2.查纠整改动真碰硬。</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名</w:t>
      </w:r>
      <w:r>
        <w:rPr>
          <w:rFonts w:hint="eastAsia" w:ascii="仿宋_GB2312" w:hAnsi="仿宋_GB2312" w:eastAsia="仿宋_GB2312" w:cs="仿宋_GB2312"/>
          <w:sz w:val="32"/>
          <w:szCs w:val="32"/>
          <w:lang w:val="en-US" w:eastAsia="zh-CN"/>
        </w:rPr>
        <w:t>在编在册政法干警全员投身政法队伍教育整顿。开展三轮谈心谈话，填写三轮自查报告表，104名干警主动向组织说明问题。以案件评查、智能化排查、队伍巡查等为载体，排查认定违反干预司法“三个规定”问题40个；整改干警违规经商办企业问题5个、违规参股问题1个；整治有案不立、压</w:t>
      </w:r>
      <w:bookmarkStart w:id="67" w:name="_GoBack"/>
      <w:bookmarkEnd w:id="67"/>
      <w:r>
        <w:rPr>
          <w:rFonts w:hint="eastAsia" w:ascii="仿宋_GB2312" w:hAnsi="仿宋_GB2312" w:eastAsia="仿宋_GB2312" w:cs="仿宋_GB2312"/>
          <w:sz w:val="32"/>
          <w:szCs w:val="32"/>
          <w:lang w:val="en-US" w:eastAsia="zh-CN"/>
        </w:rPr>
        <w:t>案不查、有罪不究问题179个，整治处理离任法官违规兼职问题1个。运用“自查从宽”第一种形态处理93人，纪委监委立案查处违纪违法干警11人。</w:t>
      </w:r>
      <w:r>
        <w:rPr>
          <w:rFonts w:hint="eastAsia" w:ascii="仿宋_GB2312" w:hAnsi="仿宋_GB2312" w:eastAsia="仿宋_GB2312" w:cs="仿宋_GB2312"/>
          <w:sz w:val="32"/>
          <w:szCs w:val="32"/>
        </w:rPr>
        <w:t>政法单位全面梳理“6+N”问题，建立台账，制定持续整改方案</w:t>
      </w:r>
      <w:r>
        <w:rPr>
          <w:rFonts w:hint="eastAsia" w:ascii="仿宋_GB2312" w:hAnsi="仿宋_GB2312" w:eastAsia="仿宋_GB2312" w:cs="仿宋_GB2312"/>
          <w:sz w:val="32"/>
          <w:szCs w:val="32"/>
          <w:lang w:val="en-US" w:eastAsia="zh-CN"/>
        </w:rPr>
        <w:t>推动</w:t>
      </w:r>
      <w:r>
        <w:rPr>
          <w:rFonts w:hint="eastAsia" w:ascii="仿宋_GB2312" w:hAnsi="仿宋_GB2312" w:eastAsia="仿宋_GB2312" w:cs="仿宋_GB2312"/>
          <w:sz w:val="32"/>
          <w:szCs w:val="32"/>
        </w:rPr>
        <w:t>问题“清零”。法院、公安分局对中央督导组《建议函》全面对标整改到位。</w:t>
      </w:r>
    </w:p>
    <w:p w14:paraId="5E79766A">
      <w:pPr>
        <w:keepNext w:val="0"/>
        <w:keepLines w:val="0"/>
        <w:pageBreakBefore w:val="0"/>
        <w:kinsoku/>
        <w:wordWrap/>
        <w:overflowPunct/>
        <w:topLinePunct w:val="0"/>
        <w:autoSpaceDE/>
        <w:autoSpaceDN/>
        <w:bidi w:val="0"/>
        <w:adjustRightInd/>
        <w:snapToGrid/>
        <w:spacing w:beforeAutospacing="0" w:afterAutospacing="0" w:line="576" w:lineRule="exact"/>
        <w:ind w:left="0" w:leftChars="0" w:firstLine="723"/>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sz w:val="32"/>
          <w:szCs w:val="32"/>
          <w:lang w:val="en-US" w:eastAsia="zh-CN"/>
        </w:rPr>
        <w:t>3.</w:t>
      </w:r>
      <w:r>
        <w:rPr>
          <w:rFonts w:hint="eastAsia" w:ascii="楷体_GB2312" w:hAnsi="楷体_GB2312" w:eastAsia="楷体_GB2312" w:cs="楷体_GB2312"/>
          <w:b w:val="0"/>
          <w:bCs/>
          <w:sz w:val="32"/>
          <w:szCs w:val="32"/>
        </w:rPr>
        <w:t>为民服务彰显</w:t>
      </w:r>
      <w:r>
        <w:rPr>
          <w:rFonts w:hint="eastAsia" w:ascii="楷体_GB2312" w:hAnsi="楷体_GB2312" w:eastAsia="楷体_GB2312" w:cs="楷体_GB2312"/>
          <w:b w:val="0"/>
          <w:bCs/>
          <w:sz w:val="32"/>
          <w:szCs w:val="32"/>
          <w:lang w:val="en-US" w:eastAsia="zh-CN"/>
        </w:rPr>
        <w:t>担当</w:t>
      </w:r>
      <w:r>
        <w:rPr>
          <w:rFonts w:hint="eastAsia" w:ascii="楷体_GB2312" w:hAnsi="楷体_GB2312" w:eastAsia="楷体_GB2312" w:cs="楷体_GB2312"/>
          <w:b w:val="0"/>
          <w:bCs/>
          <w:sz w:val="32"/>
          <w:szCs w:val="32"/>
        </w:rPr>
        <w:t>。</w:t>
      </w:r>
      <w:r>
        <w:rPr>
          <w:rFonts w:hint="eastAsia" w:ascii="仿宋_GB2312" w:hAnsi="仿宋_GB2312" w:eastAsia="仿宋_GB2312" w:cs="仿宋_GB2312"/>
          <w:sz w:val="32"/>
          <w:szCs w:val="32"/>
        </w:rPr>
        <w:t>制定“政法工作十件重点实事”，做强一份两项改革 “后半篇”文章、解决司法服务“最后一公里”、公益诉讼护好一片“绿水青山”、做优一套“放管服”改革、做实一批“法律公共服务”，取得明显成效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成果在学习强国、四川法治报、四川农村日报、川观新闻等省级媒体刊播报道80余篇（次），省教整办采用信息7条、市教整办采用信息51条。坚持两手抓、两促进，把教育整顿与防风险、保安全、护稳定、促发展有机结合，彰显政法干警使命担当。</w:t>
      </w:r>
    </w:p>
    <w:p w14:paraId="5C772A72">
      <w:pPr>
        <w:rPr>
          <w:rFonts w:hint="eastAsia" w:ascii="黑体" w:hAnsi="黑体" w:eastAsia="黑体"/>
          <w:b w:val="0"/>
          <w:bCs/>
          <w:color w:val="auto"/>
          <w:highlight w:val="none"/>
        </w:rPr>
      </w:pPr>
      <w:bookmarkStart w:id="16" w:name="_Toc15396602"/>
      <w:bookmarkStart w:id="17" w:name="_Toc15377204"/>
      <w:r>
        <w:rPr>
          <w:rFonts w:hint="eastAsia" w:ascii="黑体" w:hAnsi="黑体" w:eastAsia="黑体"/>
          <w:b w:val="0"/>
          <w:bCs/>
          <w:color w:val="auto"/>
          <w:highlight w:val="none"/>
        </w:rPr>
        <w:br w:type="page"/>
      </w:r>
    </w:p>
    <w:p w14:paraId="7527A43F">
      <w:pPr>
        <w:pStyle w:val="3"/>
        <w:ind w:right="440"/>
        <w:jc w:val="center"/>
        <w:rPr>
          <w:rStyle w:val="29"/>
          <w:rFonts w:ascii="黑体" w:hAnsi="黑体" w:eastAsia="黑体"/>
          <w:b w:val="0"/>
          <w:bCs/>
          <w:color w:val="auto"/>
          <w:highlight w:val="none"/>
        </w:rPr>
      </w:pPr>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29"/>
          <w:rFonts w:hint="eastAsia" w:ascii="黑体" w:hAnsi="黑体" w:eastAsia="黑体"/>
          <w:b w:val="0"/>
          <w:bCs/>
          <w:color w:val="auto"/>
          <w:highlight w:val="none"/>
          <w:lang w:eastAsia="zh-CN"/>
        </w:rPr>
        <w:t>单位</w:t>
      </w:r>
      <w:r>
        <w:rPr>
          <w:rStyle w:val="29"/>
          <w:rFonts w:hint="eastAsia" w:ascii="黑体" w:hAnsi="黑体" w:eastAsia="黑体"/>
          <w:b w:val="0"/>
          <w:bCs/>
          <w:color w:val="auto"/>
          <w:highlight w:val="none"/>
        </w:rPr>
        <w:t>决算情况说明</w:t>
      </w:r>
      <w:bookmarkEnd w:id="16"/>
      <w:bookmarkEnd w:id="17"/>
    </w:p>
    <w:p w14:paraId="089B9A33">
      <w:pPr>
        <w:rPr>
          <w:color w:val="auto"/>
          <w:highlight w:val="none"/>
        </w:rPr>
      </w:pPr>
    </w:p>
    <w:p w14:paraId="3151A56F">
      <w:pPr>
        <w:pStyle w:val="28"/>
        <w:numPr>
          <w:ilvl w:val="0"/>
          <w:numId w:val="2"/>
        </w:numPr>
        <w:spacing w:line="600" w:lineRule="exact"/>
        <w:ind w:firstLineChars="0"/>
        <w:outlineLvl w:val="1"/>
        <w:rPr>
          <w:rStyle w:val="30"/>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30"/>
          <w:rFonts w:hint="eastAsia" w:ascii="黑体" w:hAnsi="黑体" w:eastAsia="黑体"/>
          <w:b w:val="0"/>
          <w:color w:val="auto"/>
          <w:highlight w:val="none"/>
        </w:rPr>
        <w:t>入支出决算总体情况说明</w:t>
      </w:r>
      <w:bookmarkEnd w:id="18"/>
      <w:bookmarkEnd w:id="19"/>
    </w:p>
    <w:p w14:paraId="7FEEBFDB">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年相比，收、支总计各减少</w:t>
      </w:r>
      <w:r>
        <w:rPr>
          <w:rFonts w:hint="eastAsia" w:ascii="仿宋_GB2312" w:hAnsi="仿宋" w:eastAsia="仿宋_GB2312" w:cs="仿宋"/>
          <w:color w:val="000000"/>
          <w:sz w:val="32"/>
          <w:szCs w:val="32"/>
          <w:lang w:val="en-US" w:eastAsia="zh-CN"/>
        </w:rPr>
        <w:t>154.89</w:t>
      </w:r>
      <w:r>
        <w:rPr>
          <w:rFonts w:hint="eastAsia" w:ascii="仿宋_GB2312" w:hAnsi="仿宋" w:eastAsia="仿宋_GB2312" w:cs="仿宋"/>
          <w:color w:val="000000"/>
          <w:sz w:val="32"/>
          <w:szCs w:val="32"/>
        </w:rPr>
        <w:t>万元</w:t>
      </w:r>
      <w:r>
        <w:rPr>
          <w:rFonts w:hint="eastAsia" w:ascii="仿宋" w:hAnsi="仿宋" w:eastAsia="仿宋"/>
          <w:color w:val="auto"/>
          <w:sz w:val="32"/>
          <w:szCs w:val="32"/>
          <w:highlight w:val="none"/>
        </w:rPr>
        <w:t>，下降</w:t>
      </w:r>
      <w:r>
        <w:rPr>
          <w:rFonts w:hint="eastAsia" w:ascii="仿宋_GB2312" w:hAnsi="仿宋" w:eastAsia="仿宋_GB2312" w:cs="仿宋"/>
          <w:color w:val="000000"/>
          <w:sz w:val="32"/>
          <w:szCs w:val="32"/>
          <w:lang w:val="en-US" w:eastAsia="zh-CN"/>
        </w:rPr>
        <w:t>21.14%</w:t>
      </w:r>
      <w:r>
        <w:rPr>
          <w:rFonts w:hint="eastAsia" w:ascii="仿宋" w:hAnsi="仿宋" w:eastAsia="仿宋"/>
          <w:color w:val="auto"/>
          <w:sz w:val="32"/>
          <w:szCs w:val="32"/>
          <w:highlight w:val="none"/>
        </w:rPr>
        <w:t>。主要变动原因</w:t>
      </w:r>
      <w:r>
        <w:rPr>
          <w:rFonts w:hint="eastAsia" w:ascii="仿宋_GB2312" w:hAnsi="仿宋" w:eastAsia="仿宋_GB2312" w:cs="仿宋"/>
          <w:color w:val="000000"/>
          <w:sz w:val="32"/>
          <w:szCs w:val="32"/>
          <w:lang w:val="en-US" w:eastAsia="zh-CN"/>
        </w:rPr>
        <w:t>是人员退休、人员调动和工作经费预算减少。</w:t>
      </w:r>
    </w:p>
    <w:p w14:paraId="4F680F03">
      <w:pPr>
        <w:spacing w:line="600" w:lineRule="exact"/>
        <w:jc w:val="left"/>
        <w:rPr>
          <w:rFonts w:hint="eastAsia" w:ascii="仿宋_GB2312" w:eastAsia="仿宋_GB2312"/>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273050</wp:posOffset>
            </wp:positionH>
            <wp:positionV relativeFrom="paragraph">
              <wp:posOffset>332105</wp:posOffset>
            </wp:positionV>
            <wp:extent cx="4602480" cy="2655570"/>
            <wp:effectExtent l="0" t="0" r="7620" b="11430"/>
            <wp:wrapSquare wrapText="bothSides"/>
            <wp:docPr id="6" name="图片 6" descr="mmexport16637502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663750241104"/>
                    <pic:cNvPicPr>
                      <a:picLocks noChangeAspect="1"/>
                    </pic:cNvPicPr>
                  </pic:nvPicPr>
                  <pic:blipFill>
                    <a:blip r:embed="rId8"/>
                    <a:stretch>
                      <a:fillRect/>
                    </a:stretch>
                  </pic:blipFill>
                  <pic:spPr>
                    <a:xfrm>
                      <a:off x="0" y="0"/>
                      <a:ext cx="4602480" cy="2655570"/>
                    </a:xfrm>
                    <a:prstGeom prst="rect">
                      <a:avLst/>
                    </a:prstGeom>
                  </pic:spPr>
                </pic:pic>
              </a:graphicData>
            </a:graphic>
          </wp:anchor>
        </w:drawing>
      </w:r>
    </w:p>
    <w:p w14:paraId="0B36295C">
      <w:pPr>
        <w:pStyle w:val="2"/>
        <w:rPr>
          <w:rFonts w:hint="eastAsia" w:ascii="仿宋_GB2312" w:eastAsia="仿宋_GB2312"/>
          <w:color w:val="auto"/>
          <w:sz w:val="32"/>
          <w:szCs w:val="32"/>
          <w:highlight w:val="none"/>
          <w:lang w:eastAsia="zh-CN"/>
        </w:rPr>
      </w:pPr>
    </w:p>
    <w:p w14:paraId="58ACFA2B">
      <w:pPr>
        <w:pStyle w:val="2"/>
        <w:rPr>
          <w:rFonts w:hint="eastAsia" w:ascii="仿宋_GB2312" w:eastAsia="仿宋_GB2312"/>
          <w:color w:val="auto"/>
          <w:sz w:val="32"/>
          <w:szCs w:val="32"/>
          <w:highlight w:val="none"/>
          <w:lang w:eastAsia="zh-CN"/>
        </w:rPr>
      </w:pPr>
    </w:p>
    <w:p w14:paraId="30F87EB0">
      <w:pPr>
        <w:pStyle w:val="2"/>
        <w:rPr>
          <w:rFonts w:hint="eastAsia" w:ascii="仿宋_GB2312" w:eastAsia="仿宋_GB2312"/>
          <w:color w:val="auto"/>
          <w:sz w:val="32"/>
          <w:szCs w:val="32"/>
          <w:highlight w:val="none"/>
          <w:lang w:eastAsia="zh-CN"/>
        </w:rPr>
      </w:pPr>
    </w:p>
    <w:p w14:paraId="3456AC7F">
      <w:pPr>
        <w:pStyle w:val="2"/>
        <w:rPr>
          <w:rFonts w:hint="eastAsia" w:ascii="仿宋_GB2312" w:eastAsia="仿宋_GB2312"/>
          <w:color w:val="auto"/>
          <w:sz w:val="32"/>
          <w:szCs w:val="32"/>
          <w:highlight w:val="none"/>
          <w:lang w:eastAsia="zh-CN"/>
        </w:rPr>
      </w:pPr>
    </w:p>
    <w:p w14:paraId="5BAB3DB1">
      <w:pPr>
        <w:pStyle w:val="2"/>
        <w:rPr>
          <w:rFonts w:hint="eastAsia" w:ascii="仿宋_GB2312" w:eastAsia="仿宋_GB2312"/>
          <w:color w:val="auto"/>
          <w:sz w:val="32"/>
          <w:szCs w:val="32"/>
          <w:highlight w:val="none"/>
          <w:lang w:eastAsia="zh-CN"/>
        </w:rPr>
      </w:pPr>
    </w:p>
    <w:p w14:paraId="4F0AD1A9">
      <w:pPr>
        <w:pStyle w:val="2"/>
        <w:rPr>
          <w:rFonts w:hint="eastAsia" w:ascii="仿宋_GB2312" w:eastAsia="仿宋_GB2312"/>
          <w:color w:val="auto"/>
          <w:sz w:val="32"/>
          <w:szCs w:val="32"/>
          <w:highlight w:val="none"/>
          <w:lang w:eastAsia="zh-CN"/>
        </w:rPr>
      </w:pPr>
    </w:p>
    <w:p w14:paraId="0B94B41A">
      <w:pPr>
        <w:spacing w:line="600" w:lineRule="exact"/>
        <w:ind w:firstLine="640" w:firstLineChars="200"/>
        <w:rPr>
          <w:rFonts w:hint="eastAsia" w:ascii="仿宋_GB2312" w:eastAsia="仿宋_GB2312"/>
          <w:color w:val="auto"/>
          <w:sz w:val="32"/>
          <w:szCs w:val="32"/>
          <w:highlight w:val="none"/>
          <w:lang w:eastAsia="zh-CN"/>
        </w:rPr>
      </w:pPr>
    </w:p>
    <w:p w14:paraId="32B7E612">
      <w:pPr>
        <w:pStyle w:val="28"/>
        <w:numPr>
          <w:ilvl w:val="0"/>
          <w:numId w:val="2"/>
        </w:numPr>
        <w:spacing w:line="600" w:lineRule="exact"/>
        <w:ind w:firstLineChars="0"/>
        <w:outlineLvl w:val="1"/>
        <w:rPr>
          <w:rStyle w:val="30"/>
          <w:rFonts w:ascii="黑体" w:hAnsi="黑体" w:eastAsia="黑体"/>
          <w:b w:val="0"/>
          <w:color w:val="auto"/>
          <w:highlight w:val="none"/>
        </w:rPr>
      </w:pPr>
      <w:bookmarkStart w:id="20" w:name="_Toc15396604"/>
      <w:bookmarkStart w:id="21" w:name="_Toc15377206"/>
      <w:r>
        <w:rPr>
          <w:rFonts w:hint="eastAsia" w:ascii="黑体" w:hAnsi="黑体" w:eastAsia="黑体"/>
          <w:color w:val="auto"/>
          <w:sz w:val="32"/>
          <w:szCs w:val="32"/>
          <w:highlight w:val="none"/>
        </w:rPr>
        <w:t>收</w:t>
      </w:r>
      <w:r>
        <w:rPr>
          <w:rStyle w:val="30"/>
          <w:rFonts w:hint="eastAsia" w:ascii="黑体" w:hAnsi="黑体" w:eastAsia="黑体"/>
          <w:b w:val="0"/>
          <w:color w:val="auto"/>
          <w:highlight w:val="none"/>
        </w:rPr>
        <w:t>入决算情况说明</w:t>
      </w:r>
      <w:bookmarkEnd w:id="20"/>
      <w:bookmarkEnd w:id="21"/>
    </w:p>
    <w:p w14:paraId="61EB448B">
      <w:pPr>
        <w:spacing w:line="600" w:lineRule="exact"/>
        <w:ind w:firstLine="640" w:firstLineChars="200"/>
        <w:outlineLvl w:val="1"/>
        <w:rPr>
          <w:rFonts w:ascii="仿宋_GB2312" w:eastAsia="仿宋_GB2312"/>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，其中：一般公共预算财政拨款收入</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12D34A89">
      <w:pPr>
        <w:pStyle w:val="2"/>
        <w:rPr>
          <w:rFonts w:hint="eastAsia" w:ascii="仿宋" w:hAnsi="仿宋" w:eastAsia="仿宋"/>
          <w:color w:val="auto"/>
          <w:sz w:val="32"/>
          <w:szCs w:val="32"/>
          <w:highlight w:val="none"/>
        </w:rPr>
      </w:pPr>
      <w:r>
        <w:rPr>
          <w:rFonts w:hint="eastAsia"/>
          <w:color w:val="auto"/>
          <w:sz w:val="32"/>
          <w:szCs w:val="32"/>
          <w:highlight w:val="none"/>
          <w:lang w:val="en-US" w:eastAsia="zh-CN"/>
        </w:rPr>
        <w:t xml:space="preserve">     </w:t>
      </w:r>
      <w:r>
        <w:rPr>
          <w:rFonts w:hint="eastAsia" w:ascii="仿宋_GB2312" w:eastAsia="仿宋_GB2312"/>
          <w:color w:val="auto"/>
          <w:sz w:val="32"/>
          <w:szCs w:val="32"/>
          <w:highlight w:val="none"/>
          <w:lang w:eastAsia="zh-CN"/>
        </w:rPr>
        <w:drawing>
          <wp:inline distT="0" distB="0" distL="114300" distR="114300">
            <wp:extent cx="4580890" cy="2618105"/>
            <wp:effectExtent l="0" t="0" r="10160" b="10795"/>
            <wp:docPr id="4" name="图片 4" descr="截图录屏_选择区域_202209221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录屏_选择区域_20220922105211"/>
                    <pic:cNvPicPr>
                      <a:picLocks noChangeAspect="1"/>
                    </pic:cNvPicPr>
                  </pic:nvPicPr>
                  <pic:blipFill>
                    <a:blip r:embed="rId9"/>
                    <a:srcRect t="2070" b="4140"/>
                    <a:stretch>
                      <a:fillRect/>
                    </a:stretch>
                  </pic:blipFill>
                  <pic:spPr>
                    <a:xfrm>
                      <a:off x="0" y="0"/>
                      <a:ext cx="4580890" cy="2618105"/>
                    </a:xfrm>
                    <a:prstGeom prst="rect">
                      <a:avLst/>
                    </a:prstGeom>
                  </pic:spPr>
                </pic:pic>
              </a:graphicData>
            </a:graphic>
          </wp:inline>
        </w:drawing>
      </w:r>
    </w:p>
    <w:p w14:paraId="7DB0E7ED">
      <w:pPr>
        <w:pStyle w:val="28"/>
        <w:numPr>
          <w:ilvl w:val="0"/>
          <w:numId w:val="0"/>
        </w:numPr>
        <w:spacing w:line="600" w:lineRule="exact"/>
        <w:ind w:firstLine="640" w:firstLineChars="200"/>
        <w:outlineLvl w:val="1"/>
        <w:rPr>
          <w:rStyle w:val="30"/>
          <w:rFonts w:ascii="黑体" w:hAnsi="黑体" w:eastAsia="黑体"/>
          <w:b w:val="0"/>
          <w:color w:val="auto"/>
          <w:highlight w:val="none"/>
        </w:rPr>
      </w:pPr>
      <w:bookmarkStart w:id="22" w:name="_Toc15377207"/>
      <w:bookmarkStart w:id="23" w:name="_Toc15396605"/>
      <w:r>
        <w:rPr>
          <w:rStyle w:val="30"/>
          <w:rFonts w:hint="eastAsia" w:ascii="黑体" w:hAnsi="黑体" w:eastAsia="黑体"/>
          <w:b w:val="0"/>
          <w:color w:val="auto"/>
          <w:highlight w:val="none"/>
          <w:lang w:eastAsia="zh-CN"/>
        </w:rPr>
        <w:t>三、</w:t>
      </w:r>
      <w:r>
        <w:rPr>
          <w:rStyle w:val="30"/>
          <w:rFonts w:hint="eastAsia" w:ascii="黑体" w:hAnsi="黑体" w:eastAsia="黑体"/>
          <w:b w:val="0"/>
          <w:color w:val="auto"/>
          <w:highlight w:val="none"/>
        </w:rPr>
        <w:t>支出决算情况说明</w:t>
      </w:r>
      <w:bookmarkEnd w:id="22"/>
      <w:bookmarkEnd w:id="23"/>
    </w:p>
    <w:p w14:paraId="351A849A">
      <w:pPr>
        <w:spacing w:line="600" w:lineRule="exact"/>
        <w:ind w:firstLine="640" w:firstLineChars="200"/>
        <w:outlineLvl w:val="1"/>
        <w:rPr>
          <w:rFonts w:ascii="仿宋_GB2312" w:eastAsia="仿宋_GB2312"/>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，其中：基本支出</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0160F8C2">
      <w:pPr>
        <w:pStyle w:val="2"/>
        <w:rPr>
          <w:rFonts w:ascii="仿宋_GB2312" w:eastAsia="仿宋_GB2312"/>
          <w:color w:val="auto"/>
          <w:sz w:val="32"/>
          <w:szCs w:val="32"/>
          <w:highlight w:val="none"/>
        </w:rPr>
      </w:pPr>
      <w:r>
        <w:rPr>
          <w:rFonts w:hint="eastAsia"/>
          <w:color w:val="auto"/>
          <w:sz w:val="32"/>
          <w:szCs w:val="32"/>
          <w:highlight w:val="none"/>
          <w:lang w:val="en-US" w:eastAsia="zh-CN"/>
        </w:rPr>
        <w:t xml:space="preserve">   </w:t>
      </w:r>
      <w:r>
        <w:rPr>
          <w:rFonts w:hint="eastAsia" w:ascii="仿宋_GB2312" w:eastAsia="仿宋_GB2312"/>
          <w:color w:val="auto"/>
          <w:sz w:val="32"/>
          <w:szCs w:val="32"/>
          <w:highlight w:val="none"/>
          <w:lang w:eastAsia="zh-CN"/>
        </w:rPr>
        <w:drawing>
          <wp:inline distT="0" distB="0" distL="114300" distR="114300">
            <wp:extent cx="4543425" cy="2651760"/>
            <wp:effectExtent l="0" t="0" r="9525" b="15240"/>
            <wp:docPr id="5" name="图片 5" descr="%%DHK~Q3ZHA]0%%1WJ1B[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HK~Q3ZHA]0%%1WJ1B[ZU"/>
                    <pic:cNvPicPr>
                      <a:picLocks noChangeAspect="1"/>
                    </pic:cNvPicPr>
                  </pic:nvPicPr>
                  <pic:blipFill>
                    <a:blip r:embed="rId10"/>
                    <a:srcRect b="3668"/>
                    <a:stretch>
                      <a:fillRect/>
                    </a:stretch>
                  </pic:blipFill>
                  <pic:spPr>
                    <a:xfrm>
                      <a:off x="0" y="0"/>
                      <a:ext cx="4543425" cy="2651760"/>
                    </a:xfrm>
                    <a:prstGeom prst="rect">
                      <a:avLst/>
                    </a:prstGeom>
                  </pic:spPr>
                </pic:pic>
              </a:graphicData>
            </a:graphic>
          </wp:inline>
        </w:drawing>
      </w:r>
    </w:p>
    <w:p w14:paraId="33D054FF">
      <w:pPr>
        <w:spacing w:line="600" w:lineRule="exact"/>
        <w:ind w:firstLine="640" w:firstLineChars="200"/>
        <w:outlineLvl w:val="1"/>
        <w:rPr>
          <w:rStyle w:val="30"/>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30"/>
          <w:rFonts w:hint="eastAsia" w:ascii="黑体" w:hAnsi="黑体" w:eastAsia="黑体"/>
          <w:b w:val="0"/>
          <w:color w:val="auto"/>
          <w:highlight w:val="none"/>
        </w:rPr>
        <w:t>政拨款收入支出决算总体情况说明</w:t>
      </w:r>
      <w:bookmarkEnd w:id="24"/>
      <w:bookmarkEnd w:id="25"/>
    </w:p>
    <w:p w14:paraId="51D53867">
      <w:pPr>
        <w:snapToGrid w:val="0"/>
        <w:spacing w:line="520" w:lineRule="exact"/>
        <w:ind w:firstLine="640"/>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年相比，财政拨款收、支总计各减少</w:t>
      </w:r>
      <w:r>
        <w:rPr>
          <w:rFonts w:hint="eastAsia" w:ascii="仿宋_GB2312" w:hAnsi="仿宋" w:eastAsia="仿宋_GB2312" w:cs="仿宋"/>
          <w:color w:val="000000"/>
          <w:sz w:val="32"/>
          <w:szCs w:val="32"/>
          <w:lang w:val="en-US" w:eastAsia="zh-CN"/>
        </w:rPr>
        <w:t>154.89</w:t>
      </w:r>
      <w:r>
        <w:rPr>
          <w:rFonts w:hint="eastAsia" w:ascii="仿宋_GB2312" w:hAnsi="仿宋" w:eastAsia="仿宋_GB2312" w:cs="仿宋"/>
          <w:color w:val="000000"/>
          <w:sz w:val="32"/>
          <w:szCs w:val="32"/>
        </w:rPr>
        <w:t>万元</w:t>
      </w:r>
      <w:r>
        <w:rPr>
          <w:rFonts w:hint="eastAsia" w:ascii="仿宋" w:hAnsi="仿宋" w:eastAsia="仿宋"/>
          <w:color w:val="auto"/>
          <w:sz w:val="32"/>
          <w:szCs w:val="32"/>
          <w:highlight w:val="none"/>
        </w:rPr>
        <w:t>，下降</w:t>
      </w:r>
      <w:r>
        <w:rPr>
          <w:rFonts w:hint="eastAsia" w:ascii="仿宋_GB2312" w:hAnsi="仿宋" w:eastAsia="仿宋_GB2312" w:cs="仿宋"/>
          <w:color w:val="000000"/>
          <w:sz w:val="32"/>
          <w:szCs w:val="32"/>
          <w:lang w:val="en-US" w:eastAsia="zh-CN"/>
        </w:rPr>
        <w:t>21.14%</w:t>
      </w:r>
      <w:r>
        <w:rPr>
          <w:rFonts w:hint="eastAsia" w:ascii="仿宋" w:hAnsi="仿宋" w:eastAsia="仿宋"/>
          <w:color w:val="auto"/>
          <w:sz w:val="32"/>
          <w:szCs w:val="32"/>
          <w:highlight w:val="none"/>
        </w:rPr>
        <w:t>。主要变动原因</w:t>
      </w:r>
      <w:r>
        <w:rPr>
          <w:rFonts w:hint="eastAsia" w:ascii="仿宋_GB2312" w:hAnsi="仿宋" w:eastAsia="仿宋_GB2312" w:cs="仿宋"/>
          <w:color w:val="000000"/>
          <w:sz w:val="32"/>
          <w:szCs w:val="32"/>
          <w:lang w:val="en-US" w:eastAsia="zh-CN"/>
        </w:rPr>
        <w:t>是人员退休、人员调动和工作经费预算减少</w:t>
      </w:r>
      <w:r>
        <w:rPr>
          <w:rFonts w:hint="eastAsia" w:ascii="仿宋_GB2312" w:eastAsia="仿宋_GB2312"/>
          <w:color w:val="000000"/>
          <w:sz w:val="32"/>
          <w:szCs w:val="32"/>
          <w:lang w:val="en-US" w:eastAsia="zh-CN"/>
        </w:rPr>
        <w:t>。</w:t>
      </w:r>
    </w:p>
    <w:p w14:paraId="66BB882F">
      <w:pPr>
        <w:pStyle w:val="2"/>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val="en-US" w:eastAsia="zh-CN"/>
        </w:rPr>
        <w:t xml:space="preserve">    </w:t>
      </w:r>
      <w:r>
        <w:rPr>
          <w:rFonts w:hint="eastAsia" w:ascii="仿宋" w:hAnsi="仿宋" w:eastAsia="仿宋"/>
          <w:b/>
          <w:color w:val="auto"/>
          <w:sz w:val="32"/>
          <w:szCs w:val="32"/>
          <w:highlight w:val="none"/>
          <w:lang w:eastAsia="zh-CN"/>
        </w:rPr>
        <w:drawing>
          <wp:inline distT="0" distB="0" distL="114300" distR="114300">
            <wp:extent cx="4533900" cy="2390140"/>
            <wp:effectExtent l="0" t="0" r="0" b="10160"/>
            <wp:docPr id="7" name="图片 7" descr="E45F4C49B345F1BBF6F00EE092F18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45F4C49B345F1BBF6F00EE092F18F6B"/>
                    <pic:cNvPicPr>
                      <a:picLocks noChangeAspect="1"/>
                    </pic:cNvPicPr>
                  </pic:nvPicPr>
                  <pic:blipFill>
                    <a:blip r:embed="rId11"/>
                    <a:srcRect b="4612"/>
                    <a:stretch>
                      <a:fillRect/>
                    </a:stretch>
                  </pic:blipFill>
                  <pic:spPr>
                    <a:xfrm>
                      <a:off x="0" y="0"/>
                      <a:ext cx="4533900" cy="2390140"/>
                    </a:xfrm>
                    <a:prstGeom prst="rect">
                      <a:avLst/>
                    </a:prstGeom>
                  </pic:spPr>
                </pic:pic>
              </a:graphicData>
            </a:graphic>
          </wp:inline>
        </w:drawing>
      </w:r>
    </w:p>
    <w:p w14:paraId="41BBAB5A">
      <w:pPr>
        <w:spacing w:line="600" w:lineRule="exact"/>
        <w:ind w:firstLine="640" w:firstLineChars="200"/>
        <w:outlineLvl w:val="1"/>
        <w:rPr>
          <w:rStyle w:val="30"/>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0"/>
          <w:rFonts w:hint="eastAsia" w:ascii="黑体" w:hAnsi="黑体" w:eastAsia="黑体"/>
          <w:b w:val="0"/>
          <w:color w:val="auto"/>
          <w:highlight w:val="none"/>
        </w:rPr>
        <w:t>般公共预算财政拨款支出决算情况说明</w:t>
      </w:r>
      <w:bookmarkEnd w:id="26"/>
      <w:bookmarkEnd w:id="27"/>
    </w:p>
    <w:p w14:paraId="2F217026">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1B59D221">
      <w:pPr>
        <w:spacing w:line="600" w:lineRule="exact"/>
        <w:ind w:firstLine="640" w:firstLineChars="200"/>
        <w:rPr>
          <w:rFonts w:hint="eastAsia" w:ascii="仿宋_GB2312" w:eastAsia="仿宋_GB2312"/>
          <w:color w:val="000000"/>
          <w:sz w:val="32"/>
          <w:szCs w:val="32"/>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_GB2312" w:eastAsia="仿宋_GB2312"/>
          <w:color w:val="000000"/>
          <w:sz w:val="32"/>
          <w:szCs w:val="32"/>
          <w:lang w:val="en-US" w:eastAsia="zh-CN"/>
        </w:rPr>
        <w:t>577.74</w:t>
      </w:r>
      <w:r>
        <w:rPr>
          <w:rFonts w:hint="eastAsia" w:ascii="仿宋_GB2312" w:eastAsia="仿宋_GB2312"/>
          <w:color w:val="000000"/>
          <w:sz w:val="32"/>
          <w:szCs w:val="32"/>
        </w:rPr>
        <w:t>万元</w:t>
      </w:r>
      <w:r>
        <w:rPr>
          <w:rFonts w:hint="eastAsia" w:ascii="仿宋" w:hAnsi="仿宋" w:eastAsia="仿宋"/>
          <w:color w:val="auto"/>
          <w:sz w:val="32"/>
          <w:szCs w:val="32"/>
          <w:highlight w:val="none"/>
        </w:rPr>
        <w:t>，占本年支出合计的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154.89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下降</w:t>
      </w:r>
      <w:r>
        <w:rPr>
          <w:rFonts w:hint="eastAsia" w:ascii="仿宋" w:hAnsi="仿宋" w:eastAsia="仿宋"/>
          <w:color w:val="auto"/>
          <w:sz w:val="32"/>
          <w:szCs w:val="32"/>
          <w:highlight w:val="none"/>
          <w:lang w:val="en-US" w:eastAsia="zh-CN"/>
        </w:rPr>
        <w:t>21.14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_GB2312" w:hAnsi="仿宋" w:eastAsia="仿宋_GB2312" w:cs="仿宋"/>
          <w:color w:val="000000"/>
          <w:sz w:val="32"/>
          <w:szCs w:val="32"/>
          <w:lang w:val="en-US" w:eastAsia="zh-CN"/>
        </w:rPr>
        <w:t>人员退休、人员调动和工作经费预算减少</w:t>
      </w:r>
      <w:r>
        <w:rPr>
          <w:rFonts w:hint="eastAsia" w:ascii="仿宋_GB2312" w:eastAsia="仿宋_GB2312"/>
          <w:color w:val="000000"/>
          <w:sz w:val="32"/>
          <w:szCs w:val="32"/>
          <w:lang w:val="en-US" w:eastAsia="zh-CN"/>
        </w:rPr>
        <w:t>。</w:t>
      </w:r>
    </w:p>
    <w:p w14:paraId="63C8E0C6">
      <w:pPr>
        <w:pStyle w:val="2"/>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drawing>
          <wp:inline distT="0" distB="0" distL="114300" distR="114300">
            <wp:extent cx="5300345" cy="2914650"/>
            <wp:effectExtent l="0" t="0" r="14605" b="0"/>
            <wp:docPr id="8" name="图片 8" descr="V(OJ1__MZRP~I9EOCP$Q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OJ1__MZRP~I9EOCP$QLNY"/>
                    <pic:cNvPicPr>
                      <a:picLocks noChangeAspect="1"/>
                    </pic:cNvPicPr>
                  </pic:nvPicPr>
                  <pic:blipFill>
                    <a:blip r:embed="rId12"/>
                    <a:srcRect t="2721" b="5442"/>
                    <a:stretch>
                      <a:fillRect/>
                    </a:stretch>
                  </pic:blipFill>
                  <pic:spPr>
                    <a:xfrm>
                      <a:off x="0" y="0"/>
                      <a:ext cx="5300345" cy="2914650"/>
                    </a:xfrm>
                    <a:prstGeom prst="rect">
                      <a:avLst/>
                    </a:prstGeom>
                  </pic:spPr>
                </pic:pic>
              </a:graphicData>
            </a:graphic>
          </wp:inline>
        </w:drawing>
      </w:r>
    </w:p>
    <w:p w14:paraId="05845FCE">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7808138E">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_GB2312" w:eastAsia="仿宋_GB2312"/>
          <w:color w:val="000000"/>
          <w:sz w:val="32"/>
          <w:szCs w:val="32"/>
          <w:lang w:val="en-US" w:eastAsia="zh-CN"/>
        </w:rPr>
        <w:t>577.74</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一般公共服务（类）</w:t>
      </w:r>
      <w:r>
        <w:rPr>
          <w:rFonts w:hint="eastAsia" w:ascii="仿宋" w:hAnsi="仿宋" w:eastAsia="仿宋"/>
          <w:color w:val="auto"/>
          <w:sz w:val="32"/>
          <w:szCs w:val="32"/>
          <w:highlight w:val="none"/>
        </w:rPr>
        <w:t>支出</w:t>
      </w:r>
      <w:r>
        <w:rPr>
          <w:rFonts w:hint="eastAsia" w:ascii="仿宋_GB2312" w:hAnsi="仿宋" w:eastAsia="仿宋_GB2312" w:cs="仿宋"/>
          <w:color w:val="000000"/>
          <w:sz w:val="32"/>
          <w:szCs w:val="32"/>
          <w:lang w:val="en-US" w:eastAsia="zh-CN"/>
        </w:rPr>
        <w:t>487.28</w:t>
      </w:r>
      <w:r>
        <w:rPr>
          <w:rFonts w:hint="eastAsia" w:ascii="仿宋_GB2312" w:hAnsi="仿宋" w:eastAsia="仿宋_GB2312" w:cs="仿宋"/>
          <w:color w:val="000000"/>
          <w:sz w:val="32"/>
          <w:szCs w:val="32"/>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84.34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color w:val="auto"/>
          <w:sz w:val="32"/>
          <w:szCs w:val="32"/>
          <w:highlight w:val="none"/>
        </w:rPr>
        <w:t>支出</w:t>
      </w:r>
      <w:r>
        <w:rPr>
          <w:rFonts w:hint="eastAsia" w:ascii="仿宋_GB2312" w:hAnsi="仿宋" w:eastAsia="仿宋_GB2312" w:cs="仿宋"/>
          <w:color w:val="000000"/>
          <w:sz w:val="32"/>
          <w:szCs w:val="32"/>
          <w:lang w:val="en-US" w:eastAsia="zh-CN"/>
        </w:rPr>
        <w:t>19.76</w:t>
      </w:r>
      <w:r>
        <w:rPr>
          <w:rFonts w:hint="eastAsia" w:ascii="仿宋_GB2312" w:hAnsi="仿宋" w:eastAsia="仿宋_GB2312" w:cs="仿宋"/>
          <w:color w:val="000000"/>
          <w:sz w:val="32"/>
          <w:szCs w:val="32"/>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3.42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_GB2312" w:hAnsi="仿宋" w:eastAsia="仿宋_GB2312" w:cs="仿宋"/>
          <w:color w:val="000000"/>
          <w:sz w:val="32"/>
          <w:szCs w:val="32"/>
          <w:lang w:val="en-US" w:eastAsia="zh-CN"/>
        </w:rPr>
        <w:t>9.70</w:t>
      </w:r>
      <w:r>
        <w:rPr>
          <w:rFonts w:hint="eastAsia" w:ascii="仿宋_GB2312" w:hAnsi="仿宋" w:eastAsia="仿宋_GB2312" w:cs="仿宋"/>
          <w:color w:val="000000"/>
          <w:sz w:val="32"/>
          <w:szCs w:val="32"/>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1.68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b/>
          <w:bCs/>
          <w:color w:val="auto"/>
          <w:sz w:val="32"/>
          <w:szCs w:val="32"/>
          <w:highlight w:val="none"/>
        </w:rPr>
        <w:t>住房保障</w:t>
      </w:r>
      <w:r>
        <w:rPr>
          <w:rFonts w:hint="eastAsia" w:ascii="仿宋" w:hAnsi="仿宋" w:eastAsia="仿宋"/>
          <w:b/>
          <w:color w:val="auto"/>
          <w:sz w:val="32"/>
          <w:szCs w:val="32"/>
          <w:highlight w:val="none"/>
        </w:rPr>
        <w:t>（类）</w:t>
      </w:r>
      <w:r>
        <w:rPr>
          <w:rFonts w:hint="eastAsia" w:ascii="仿宋" w:hAnsi="仿宋" w:eastAsia="仿宋" w:cs="Times New Roman"/>
          <w:b/>
          <w:bCs/>
          <w:color w:val="auto"/>
          <w:sz w:val="32"/>
          <w:szCs w:val="32"/>
          <w:highlight w:val="none"/>
        </w:rPr>
        <w:t>支</w:t>
      </w:r>
      <w:r>
        <w:rPr>
          <w:rFonts w:hint="eastAsia" w:ascii="仿宋" w:hAnsi="仿宋" w:eastAsia="仿宋"/>
          <w:color w:val="auto"/>
          <w:sz w:val="32"/>
          <w:szCs w:val="32"/>
          <w:highlight w:val="none"/>
        </w:rPr>
        <w:t>出</w:t>
      </w:r>
      <w:r>
        <w:rPr>
          <w:rFonts w:hint="eastAsia" w:ascii="仿宋_GB2312" w:hAnsi="仿宋" w:eastAsia="仿宋_GB2312" w:cs="仿宋"/>
          <w:color w:val="000000"/>
          <w:sz w:val="32"/>
          <w:szCs w:val="32"/>
          <w:lang w:val="en-US" w:eastAsia="zh-CN"/>
        </w:rPr>
        <w:t>19.12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3.31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b/>
          <w:bCs/>
          <w:color w:val="auto"/>
          <w:sz w:val="32"/>
          <w:szCs w:val="32"/>
          <w:highlight w:val="none"/>
        </w:rPr>
        <w:t>公共安全</w:t>
      </w:r>
      <w:r>
        <w:rPr>
          <w:rFonts w:hint="eastAsia" w:ascii="仿宋" w:hAnsi="仿宋" w:eastAsia="仿宋"/>
          <w:b/>
          <w:color w:val="auto"/>
          <w:sz w:val="32"/>
          <w:szCs w:val="32"/>
          <w:highlight w:val="none"/>
        </w:rPr>
        <w:t>（类）</w:t>
      </w:r>
      <w:r>
        <w:rPr>
          <w:rFonts w:hint="eastAsia" w:ascii="仿宋_GB2312" w:hAnsi="仿宋" w:eastAsia="仿宋_GB2312" w:cs="仿宋"/>
          <w:color w:val="000000"/>
          <w:sz w:val="32"/>
          <w:szCs w:val="32"/>
        </w:rPr>
        <w:t>支出</w:t>
      </w:r>
      <w:r>
        <w:rPr>
          <w:rFonts w:hint="eastAsia" w:ascii="仿宋_GB2312" w:hAnsi="仿宋" w:eastAsia="仿宋_GB2312" w:cs="仿宋"/>
          <w:color w:val="000000"/>
          <w:sz w:val="32"/>
          <w:szCs w:val="32"/>
          <w:lang w:val="en-US" w:eastAsia="zh-CN"/>
        </w:rPr>
        <w:t>41.87</w:t>
      </w:r>
      <w:r>
        <w:rPr>
          <w:rFonts w:hint="eastAsia" w:ascii="仿宋_GB2312" w:hAnsi="仿宋" w:eastAsia="仿宋_GB2312" w:cs="仿宋"/>
          <w:color w:val="000000"/>
          <w:sz w:val="32"/>
          <w:szCs w:val="32"/>
        </w:rPr>
        <w:t>万元，占</w:t>
      </w:r>
      <w:r>
        <w:rPr>
          <w:rFonts w:hint="eastAsia" w:ascii="仿宋_GB2312" w:hAnsi="仿宋" w:eastAsia="仿宋_GB2312" w:cs="仿宋"/>
          <w:color w:val="000000"/>
          <w:sz w:val="32"/>
          <w:szCs w:val="32"/>
          <w:lang w:val="en-US" w:eastAsia="zh-CN"/>
        </w:rPr>
        <w:t>7.25</w:t>
      </w:r>
      <w:r>
        <w:rPr>
          <w:rFonts w:hint="eastAsia" w:ascii="仿宋_GB2312" w:hAnsi="仿宋" w:eastAsia="仿宋_GB2312" w:cs="仿宋"/>
          <w:color w:val="000000"/>
          <w:sz w:val="32"/>
          <w:szCs w:val="32"/>
        </w:rPr>
        <w:t>%</w:t>
      </w:r>
      <w:r>
        <w:rPr>
          <w:rFonts w:hint="eastAsia" w:ascii="仿宋" w:hAnsi="仿宋" w:eastAsia="仿宋"/>
          <w:color w:val="auto"/>
          <w:sz w:val="32"/>
          <w:szCs w:val="32"/>
          <w:highlight w:val="none"/>
        </w:rPr>
        <w:t>。</w:t>
      </w:r>
    </w:p>
    <w:p w14:paraId="00CE66E6">
      <w:pPr>
        <w:pStyle w:val="2"/>
        <w:rPr>
          <w:rFonts w:hint="eastAsia"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lang w:eastAsia="zh-CN"/>
        </w:rPr>
        <w:drawing>
          <wp:inline distT="0" distB="0" distL="114300" distR="114300">
            <wp:extent cx="5270500" cy="3117850"/>
            <wp:effectExtent l="0" t="0" r="6350" b="6350"/>
            <wp:docPr id="9" name="图片 9" descr="OY%SO_EX@@SCMOKEV5R)Q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Y%SO_EX@@SCMOKEV5R)QDW"/>
                    <pic:cNvPicPr>
                      <a:picLocks noChangeAspect="1"/>
                    </pic:cNvPicPr>
                  </pic:nvPicPr>
                  <pic:blipFill>
                    <a:blip r:embed="rId13"/>
                    <a:stretch>
                      <a:fillRect/>
                    </a:stretch>
                  </pic:blipFill>
                  <pic:spPr>
                    <a:xfrm>
                      <a:off x="0" y="0"/>
                      <a:ext cx="5270500" cy="3117850"/>
                    </a:xfrm>
                    <a:prstGeom prst="rect">
                      <a:avLst/>
                    </a:prstGeom>
                  </pic:spPr>
                </pic:pic>
              </a:graphicData>
            </a:graphic>
          </wp:inline>
        </w:drawing>
      </w:r>
    </w:p>
    <w:p w14:paraId="7974DD4E">
      <w:pPr>
        <w:keepNext w:val="0"/>
        <w:keepLines w:val="0"/>
        <w:pageBreakBefore w:val="0"/>
        <w:kinsoku/>
        <w:wordWrap/>
        <w:overflowPunct/>
        <w:topLinePunct w:val="0"/>
        <w:autoSpaceDE/>
        <w:autoSpaceDN/>
        <w:bidi w:val="0"/>
        <w:adjustRightInd/>
        <w:snapToGrid/>
        <w:spacing w:line="576" w:lineRule="exact"/>
        <w:ind w:firstLine="643" w:firstLineChars="200"/>
        <w:textAlignment w:val="auto"/>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（三）一般公共预算财政拨款支出决算具体情况</w:t>
      </w:r>
      <w:bookmarkEnd w:id="30"/>
    </w:p>
    <w:p w14:paraId="6D6E4F03">
      <w:pPr>
        <w:keepNext w:val="0"/>
        <w:keepLines w:val="0"/>
        <w:pageBreakBefore w:val="0"/>
        <w:kinsoku/>
        <w:wordWrap/>
        <w:overflowPunct/>
        <w:topLinePunct w:val="0"/>
        <w:autoSpaceDE/>
        <w:autoSpaceDN/>
        <w:bidi w:val="0"/>
        <w:adjustRightInd/>
        <w:snapToGrid/>
        <w:spacing w:line="576" w:lineRule="exact"/>
        <w:ind w:firstLine="643" w:firstLineChars="200"/>
        <w:textAlignment w:val="auto"/>
        <w:outlineLvl w:val="2"/>
        <w:rPr>
          <w:rFonts w:ascii="仿宋" w:hAnsi="仿宋" w:eastAsia="仿宋"/>
          <w:color w:val="auto"/>
          <w:sz w:val="32"/>
          <w:szCs w:val="32"/>
          <w:highlight w:val="none"/>
        </w:rPr>
      </w:pPr>
      <w:bookmarkStart w:id="31" w:name="_Toc15377444"/>
      <w:bookmarkStart w:id="32" w:name="_Toc15377213"/>
      <w:bookmarkStart w:id="33"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_GB2312" w:eastAsia="仿宋_GB2312"/>
          <w:color w:val="000000"/>
          <w:sz w:val="32"/>
          <w:szCs w:val="32"/>
          <w:lang w:val="en-US" w:eastAsia="zh-CN"/>
        </w:rPr>
        <w:t>577.74</w:t>
      </w:r>
      <w:r>
        <w:rPr>
          <w:rFonts w:hint="eastAsia" w:ascii="仿宋" w:hAnsi="仿宋" w:eastAsia="仿宋"/>
          <w:color w:val="auto"/>
          <w:sz w:val="32"/>
          <w:szCs w:val="32"/>
          <w:highlight w:val="none"/>
        </w:rPr>
        <w:t>万元，</w:t>
      </w:r>
      <w:r>
        <w:rPr>
          <w:rStyle w:val="17"/>
          <w:rFonts w:hint="eastAsia" w:ascii="仿宋" w:hAnsi="仿宋" w:eastAsia="仿宋"/>
          <w:bCs/>
          <w:color w:val="auto"/>
          <w:sz w:val="32"/>
          <w:szCs w:val="32"/>
          <w:highlight w:val="none"/>
        </w:rPr>
        <w:t>完成预算</w:t>
      </w:r>
      <w:r>
        <w:rPr>
          <w:rStyle w:val="17"/>
          <w:rFonts w:hint="eastAsia" w:ascii="仿宋" w:hAnsi="仿宋" w:eastAsia="仿宋"/>
          <w:bCs/>
          <w:color w:val="auto"/>
          <w:sz w:val="32"/>
          <w:szCs w:val="32"/>
          <w:highlight w:val="none"/>
          <w:lang w:val="en-US" w:eastAsia="zh-CN"/>
        </w:rPr>
        <w:t>100</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。其中：</w:t>
      </w:r>
      <w:bookmarkEnd w:id="31"/>
      <w:bookmarkEnd w:id="32"/>
      <w:bookmarkEnd w:id="33"/>
    </w:p>
    <w:p w14:paraId="5BDDAC90">
      <w:pPr>
        <w:keepNext w:val="0"/>
        <w:keepLines w:val="0"/>
        <w:pageBreakBefore w:val="0"/>
        <w:numPr>
          <w:ilvl w:val="0"/>
          <w:numId w:val="3"/>
        </w:numPr>
        <w:kinsoku/>
        <w:wordWrap/>
        <w:overflowPunct/>
        <w:topLinePunct w:val="0"/>
        <w:autoSpaceDE/>
        <w:autoSpaceDN/>
        <w:bidi w:val="0"/>
        <w:adjustRightInd/>
        <w:snapToGrid/>
        <w:spacing w:line="576" w:lineRule="exact"/>
        <w:ind w:firstLine="643" w:firstLineChars="200"/>
        <w:textAlignment w:val="auto"/>
        <w:rPr>
          <w:rStyle w:val="17"/>
          <w:rFonts w:hint="eastAsia" w:ascii="仿宋" w:hAnsi="仿宋" w:eastAsia="仿宋"/>
          <w:b w:val="0"/>
          <w:bCs/>
          <w:color w:val="auto"/>
          <w:sz w:val="32"/>
          <w:szCs w:val="32"/>
          <w:highlight w:val="none"/>
          <w:lang w:eastAsia="zh-CN"/>
        </w:rPr>
      </w:pPr>
      <w:r>
        <w:rPr>
          <w:rStyle w:val="17"/>
          <w:rFonts w:hint="eastAsia" w:ascii="仿宋" w:hAnsi="仿宋" w:eastAsia="仿宋"/>
          <w:bCs/>
          <w:color w:val="auto"/>
          <w:sz w:val="32"/>
          <w:szCs w:val="32"/>
          <w:highlight w:val="none"/>
        </w:rPr>
        <w:t>一般公共服务</w:t>
      </w:r>
      <w:r>
        <w:rPr>
          <w:rStyle w:val="17"/>
          <w:rFonts w:hint="eastAsia" w:ascii="仿宋" w:hAnsi="仿宋" w:eastAsia="仿宋" w:cstheme="minorBidi"/>
          <w:bCs/>
          <w:color w:val="auto"/>
          <w:sz w:val="32"/>
          <w:szCs w:val="32"/>
          <w:highlight w:val="none"/>
        </w:rPr>
        <w:t>（类）</w:t>
      </w:r>
      <w:r>
        <w:rPr>
          <w:rStyle w:val="17"/>
          <w:rFonts w:hint="eastAsia" w:ascii="仿宋" w:hAnsi="仿宋" w:eastAsia="仿宋" w:cstheme="minorBidi"/>
          <w:bCs/>
          <w:color w:val="auto"/>
          <w:sz w:val="32"/>
          <w:szCs w:val="32"/>
          <w:highlight w:val="none"/>
          <w:lang w:eastAsia="zh-CN"/>
        </w:rPr>
        <w:t>党委办公厅（室）及相关机构事务</w:t>
      </w:r>
      <w:r>
        <w:rPr>
          <w:rStyle w:val="17"/>
          <w:rFonts w:hint="default" w:ascii="仿宋" w:hAnsi="仿宋" w:eastAsia="仿宋" w:cstheme="minorBidi"/>
          <w:bCs/>
          <w:color w:val="auto"/>
          <w:sz w:val="32"/>
          <w:szCs w:val="32"/>
          <w:highlight w:val="none"/>
        </w:rPr>
        <w:t>（款）</w:t>
      </w:r>
      <w:r>
        <w:rPr>
          <w:rStyle w:val="17"/>
          <w:rFonts w:hint="eastAsia" w:ascii="仿宋" w:hAnsi="仿宋" w:eastAsia="仿宋" w:cstheme="minorBidi"/>
          <w:bCs/>
          <w:color w:val="auto"/>
          <w:sz w:val="32"/>
          <w:szCs w:val="32"/>
          <w:highlight w:val="none"/>
          <w:lang w:eastAsia="zh-CN"/>
        </w:rPr>
        <w:t>事业</w:t>
      </w:r>
      <w:r>
        <w:rPr>
          <w:rStyle w:val="17"/>
          <w:rFonts w:hint="default" w:ascii="仿宋" w:hAnsi="仿宋" w:eastAsia="仿宋" w:cstheme="minorBidi"/>
          <w:bCs/>
          <w:color w:val="auto"/>
          <w:sz w:val="32"/>
          <w:szCs w:val="32"/>
          <w:highlight w:val="none"/>
        </w:rPr>
        <w:t>运行（项）</w:t>
      </w:r>
      <w:r>
        <w:rPr>
          <w:rStyle w:val="17"/>
          <w:rFonts w:hint="eastAsia" w:ascii="仿宋" w:hAnsi="仿宋" w:eastAsia="仿宋" w:cstheme="minorBidi"/>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487.28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A7DE501">
      <w:pPr>
        <w:keepNext w:val="0"/>
        <w:keepLines w:val="0"/>
        <w:pageBreakBefore w:val="0"/>
        <w:numPr>
          <w:ilvl w:val="0"/>
          <w:numId w:val="3"/>
        </w:numPr>
        <w:kinsoku/>
        <w:wordWrap/>
        <w:overflowPunct/>
        <w:topLinePunct w:val="0"/>
        <w:autoSpaceDE/>
        <w:autoSpaceDN/>
        <w:bidi w:val="0"/>
        <w:adjustRightInd/>
        <w:snapToGrid/>
        <w:spacing w:line="576" w:lineRule="exact"/>
        <w:ind w:left="0" w:leftChars="0" w:firstLine="643" w:firstLineChars="200"/>
        <w:textAlignment w:val="auto"/>
        <w:rPr>
          <w:rStyle w:val="17"/>
          <w:rFonts w:hint="eastAsia" w:ascii="仿宋" w:hAnsi="仿宋" w:eastAsia="仿宋"/>
          <w:b w:val="0"/>
          <w:bCs/>
          <w:color w:val="auto"/>
          <w:sz w:val="32"/>
          <w:szCs w:val="32"/>
          <w:highlight w:val="none"/>
          <w:lang w:eastAsia="zh-CN"/>
        </w:rPr>
      </w:pPr>
      <w:r>
        <w:rPr>
          <w:rStyle w:val="17"/>
          <w:rFonts w:hint="default" w:ascii="仿宋" w:hAnsi="仿宋" w:eastAsia="仿宋" w:cstheme="minorBidi"/>
          <w:bCs/>
          <w:color w:val="auto"/>
          <w:sz w:val="32"/>
          <w:szCs w:val="32"/>
          <w:highlight w:val="none"/>
        </w:rPr>
        <w:t>社会保障和就业</w:t>
      </w:r>
      <w:r>
        <w:rPr>
          <w:rStyle w:val="17"/>
          <w:rFonts w:hint="eastAsia" w:ascii="仿宋" w:hAnsi="仿宋" w:eastAsia="仿宋" w:cstheme="minorBidi"/>
          <w:bCs/>
          <w:color w:val="auto"/>
          <w:sz w:val="32"/>
          <w:szCs w:val="32"/>
          <w:highlight w:val="none"/>
          <w:lang w:eastAsia="zh-CN"/>
        </w:rPr>
        <w:t>支出</w:t>
      </w:r>
      <w:r>
        <w:rPr>
          <w:rStyle w:val="17"/>
          <w:rFonts w:hint="default" w:ascii="仿宋" w:hAnsi="仿宋" w:eastAsia="仿宋" w:cstheme="minorBidi"/>
          <w:bCs/>
          <w:color w:val="auto"/>
          <w:sz w:val="32"/>
          <w:szCs w:val="32"/>
          <w:highlight w:val="none"/>
        </w:rPr>
        <w:t>（类）行政事业单位</w:t>
      </w:r>
      <w:r>
        <w:rPr>
          <w:rStyle w:val="17"/>
          <w:rFonts w:hint="eastAsia" w:ascii="仿宋" w:hAnsi="仿宋" w:eastAsia="仿宋" w:cstheme="minorBidi"/>
          <w:bCs/>
          <w:color w:val="auto"/>
          <w:sz w:val="32"/>
          <w:szCs w:val="32"/>
          <w:highlight w:val="none"/>
          <w:lang w:eastAsia="zh-CN"/>
        </w:rPr>
        <w:t>养老支出</w:t>
      </w:r>
      <w:r>
        <w:rPr>
          <w:rStyle w:val="17"/>
          <w:rFonts w:hint="default" w:ascii="仿宋" w:hAnsi="仿宋" w:eastAsia="仿宋" w:cstheme="minorBidi"/>
          <w:bCs/>
          <w:color w:val="auto"/>
          <w:sz w:val="32"/>
          <w:szCs w:val="32"/>
          <w:highlight w:val="none"/>
        </w:rPr>
        <w:t>（款）机关事业单位基本养老保险缴费支出</w:t>
      </w:r>
      <w:r>
        <w:rPr>
          <w:rStyle w:val="17"/>
          <w:rFonts w:hint="eastAsia" w:ascii="仿宋" w:hAnsi="仿宋" w:eastAsia="仿宋" w:cstheme="minorBidi"/>
          <w:bCs/>
          <w:color w:val="auto"/>
          <w:sz w:val="32"/>
          <w:szCs w:val="32"/>
          <w:highlight w:val="none"/>
          <w:lang w:eastAsia="zh-CN"/>
        </w:rPr>
        <w:t>及其他社会保障和就业支出</w:t>
      </w:r>
      <w:r>
        <w:rPr>
          <w:rStyle w:val="17"/>
          <w:rFonts w:hint="default" w:ascii="仿宋" w:hAnsi="仿宋" w:eastAsia="仿宋" w:cstheme="minorBidi"/>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Fonts w:hint="eastAsia" w:ascii="仿宋_GB2312" w:hAnsi="仿宋" w:eastAsia="仿宋_GB2312" w:cs="仿宋"/>
          <w:color w:val="000000"/>
          <w:sz w:val="32"/>
          <w:szCs w:val="32"/>
          <w:lang w:val="en-US" w:eastAsia="zh-CN"/>
        </w:rPr>
        <w:t>19.76</w:t>
      </w:r>
      <w:r>
        <w:rPr>
          <w:rFonts w:hint="eastAsia" w:ascii="仿宋_GB2312" w:hAnsi="仿宋" w:eastAsia="仿宋_GB2312" w:cs="仿宋"/>
          <w:color w:val="000000"/>
          <w:sz w:val="32"/>
          <w:szCs w:val="32"/>
        </w:rPr>
        <w:t>万元</w:t>
      </w:r>
      <w:r>
        <w:rPr>
          <w:rStyle w:val="17"/>
          <w:rFonts w:hint="eastAsia" w:ascii="仿宋" w:hAnsi="仿宋" w:eastAsia="仿宋"/>
          <w:b w:val="0"/>
          <w:bCs/>
          <w:color w:val="auto"/>
          <w:sz w:val="32"/>
          <w:szCs w:val="32"/>
          <w:highlight w:val="none"/>
        </w:rPr>
        <w:t>，完成预</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914B5AA">
      <w:pPr>
        <w:keepNext w:val="0"/>
        <w:keepLines w:val="0"/>
        <w:pageBreakBefore w:val="0"/>
        <w:numPr>
          <w:ilvl w:val="0"/>
          <w:numId w:val="3"/>
        </w:numPr>
        <w:kinsoku/>
        <w:wordWrap/>
        <w:overflowPunct/>
        <w:topLinePunct w:val="0"/>
        <w:autoSpaceDE/>
        <w:autoSpaceDN/>
        <w:bidi w:val="0"/>
        <w:adjustRightInd/>
        <w:snapToGrid/>
        <w:spacing w:line="576" w:lineRule="exact"/>
        <w:ind w:left="0" w:leftChars="0" w:firstLine="643" w:firstLineChars="200"/>
        <w:textAlignment w:val="auto"/>
        <w:rPr>
          <w:rStyle w:val="17"/>
          <w:rFonts w:hint="eastAsia" w:ascii="仿宋" w:hAnsi="仿宋" w:eastAsia="仿宋"/>
          <w:b w:val="0"/>
          <w:bCs/>
          <w:color w:val="auto"/>
          <w:sz w:val="32"/>
          <w:szCs w:val="32"/>
          <w:highlight w:val="none"/>
          <w:lang w:eastAsia="zh-CN"/>
        </w:rPr>
      </w:pPr>
      <w:r>
        <w:rPr>
          <w:rFonts w:hint="eastAsia" w:ascii="仿宋" w:hAnsi="仿宋" w:eastAsia="仿宋"/>
          <w:b/>
          <w:bCs/>
          <w:color w:val="auto"/>
          <w:sz w:val="32"/>
          <w:szCs w:val="32"/>
          <w:highlight w:val="none"/>
        </w:rPr>
        <w:t>卫生健康</w:t>
      </w:r>
      <w:r>
        <w:rPr>
          <w:rStyle w:val="17"/>
          <w:rFonts w:hint="eastAsia" w:ascii="仿宋" w:hAnsi="仿宋" w:eastAsia="仿宋"/>
          <w:bCs/>
          <w:color w:val="auto"/>
          <w:sz w:val="32"/>
          <w:szCs w:val="32"/>
          <w:highlight w:val="none"/>
        </w:rPr>
        <w:t>（类）</w:t>
      </w:r>
      <w:r>
        <w:rPr>
          <w:rStyle w:val="17"/>
          <w:rFonts w:hint="default" w:ascii="仿宋" w:hAnsi="仿宋" w:eastAsia="仿宋" w:cstheme="minorBidi"/>
          <w:bCs/>
          <w:color w:val="auto"/>
          <w:sz w:val="32"/>
          <w:szCs w:val="32"/>
          <w:highlight w:val="none"/>
        </w:rPr>
        <w:t>行政事业单位医疗（款）行政</w:t>
      </w:r>
      <w:r>
        <w:rPr>
          <w:rStyle w:val="17"/>
          <w:rFonts w:hint="eastAsia" w:ascii="仿宋" w:hAnsi="仿宋" w:eastAsia="仿宋" w:cstheme="minorBidi"/>
          <w:bCs/>
          <w:color w:val="auto"/>
          <w:sz w:val="32"/>
          <w:szCs w:val="32"/>
          <w:highlight w:val="none"/>
          <w:lang w:eastAsia="zh-CN"/>
        </w:rPr>
        <w:t>行政</w:t>
      </w:r>
      <w:r>
        <w:rPr>
          <w:rStyle w:val="17"/>
          <w:rFonts w:hint="default" w:ascii="仿宋" w:hAnsi="仿宋" w:eastAsia="仿宋" w:cstheme="minorBidi"/>
          <w:bCs/>
          <w:color w:val="auto"/>
          <w:sz w:val="32"/>
          <w:szCs w:val="32"/>
          <w:highlight w:val="none"/>
        </w:rPr>
        <w:t>单位医疗（项）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Fonts w:hint="eastAsia" w:ascii="仿宋_GB2312" w:hAnsi="仿宋" w:eastAsia="仿宋_GB2312" w:cs="仿宋"/>
          <w:color w:val="000000"/>
          <w:sz w:val="32"/>
          <w:szCs w:val="32"/>
          <w:lang w:val="en-US" w:eastAsia="zh-CN"/>
        </w:rPr>
        <w:t>9.70</w:t>
      </w:r>
      <w:r>
        <w:rPr>
          <w:rFonts w:hint="eastAsia" w:ascii="仿宋_GB2312" w:hAnsi="仿宋" w:eastAsia="仿宋_GB2312" w:cs="仿宋"/>
          <w:color w:val="000000"/>
          <w:sz w:val="32"/>
          <w:szCs w:val="32"/>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5244833E">
      <w:pPr>
        <w:keepNext w:val="0"/>
        <w:keepLines w:val="0"/>
        <w:pageBreakBefore w:val="0"/>
        <w:numPr>
          <w:ilvl w:val="0"/>
          <w:numId w:val="3"/>
        </w:numPr>
        <w:kinsoku/>
        <w:wordWrap/>
        <w:overflowPunct/>
        <w:topLinePunct w:val="0"/>
        <w:autoSpaceDE/>
        <w:autoSpaceDN/>
        <w:bidi w:val="0"/>
        <w:adjustRightInd/>
        <w:snapToGrid/>
        <w:spacing w:line="576" w:lineRule="exact"/>
        <w:ind w:left="0" w:leftChars="0" w:firstLine="643" w:firstLineChars="200"/>
        <w:textAlignment w:val="auto"/>
        <w:rPr>
          <w:rStyle w:val="17"/>
          <w:rFonts w:hint="eastAsia" w:ascii="仿宋" w:hAnsi="仿宋" w:eastAsia="仿宋"/>
          <w:b w:val="0"/>
          <w:bCs/>
          <w:color w:val="auto"/>
          <w:sz w:val="32"/>
          <w:szCs w:val="32"/>
          <w:highlight w:val="none"/>
          <w:lang w:eastAsia="zh-CN"/>
        </w:rPr>
      </w:pPr>
      <w:r>
        <w:rPr>
          <w:rFonts w:hint="eastAsia" w:ascii="仿宋" w:hAnsi="仿宋" w:eastAsia="仿宋" w:cs="Times New Roman"/>
          <w:b/>
          <w:bCs/>
          <w:color w:val="auto"/>
          <w:sz w:val="32"/>
          <w:szCs w:val="32"/>
          <w:highlight w:val="none"/>
          <w:lang w:eastAsia="zh-CN"/>
        </w:rPr>
        <w:t>住房保障（类）</w:t>
      </w:r>
      <w:r>
        <w:rPr>
          <w:rFonts w:hint="default" w:ascii="仿宋" w:hAnsi="仿宋" w:eastAsia="仿宋" w:cs="Times New Roman"/>
          <w:b/>
          <w:bCs/>
          <w:color w:val="auto"/>
          <w:sz w:val="32"/>
          <w:szCs w:val="32"/>
          <w:highlight w:val="none"/>
          <w:lang w:eastAsia="zh-CN"/>
        </w:rPr>
        <w:t>住房改革支出（款）住房公积金（项）</w:t>
      </w:r>
      <w:r>
        <w:rPr>
          <w:rFonts w:hint="eastAsia" w:ascii="仿宋" w:hAnsi="仿宋" w:eastAsia="仿宋" w:cs="Times New Roman"/>
          <w:b/>
          <w:bCs/>
          <w:color w:val="auto"/>
          <w:sz w:val="32"/>
          <w:szCs w:val="32"/>
          <w:highlight w:val="none"/>
          <w:lang w:eastAsia="zh-CN"/>
        </w:rPr>
        <w:t>：</w:t>
      </w:r>
      <w:r>
        <w:rPr>
          <w:rStyle w:val="17"/>
          <w:rFonts w:hint="eastAsia" w:ascii="仿宋" w:hAnsi="仿宋" w:eastAsia="仿宋" w:cstheme="minorBidi"/>
          <w:b w:val="0"/>
          <w:bCs/>
          <w:color w:val="auto"/>
          <w:sz w:val="32"/>
          <w:szCs w:val="32"/>
          <w:highlight w:val="none"/>
          <w:lang w:eastAsia="zh-CN"/>
        </w:rPr>
        <w:t>支出决算数为</w:t>
      </w:r>
      <w:r>
        <w:rPr>
          <w:rStyle w:val="17"/>
          <w:rFonts w:hint="eastAsia" w:ascii="仿宋" w:hAnsi="仿宋" w:eastAsia="仿宋" w:cstheme="minorBidi"/>
          <w:b w:val="0"/>
          <w:bCs/>
          <w:color w:val="auto"/>
          <w:sz w:val="32"/>
          <w:szCs w:val="32"/>
          <w:highlight w:val="none"/>
          <w:lang w:val="en-US" w:eastAsia="zh-CN"/>
        </w:rPr>
        <w:t>19.12万元，</w:t>
      </w:r>
      <w:r>
        <w:rPr>
          <w:rStyle w:val="17"/>
          <w:rFonts w:hint="eastAsia" w:ascii="仿宋" w:hAnsi="仿宋" w:eastAsia="仿宋" w:cstheme="minorBidi"/>
          <w:b w:val="0"/>
          <w:bCs/>
          <w:color w:val="auto"/>
          <w:sz w:val="32"/>
          <w:szCs w:val="32"/>
          <w:highlight w:val="none"/>
        </w:rPr>
        <w:t>完成</w:t>
      </w:r>
      <w:r>
        <w:rPr>
          <w:rStyle w:val="17"/>
          <w:rFonts w:hint="eastAsia" w:ascii="仿宋" w:hAnsi="仿宋" w:eastAsia="仿宋"/>
          <w:b w:val="0"/>
          <w:bCs/>
          <w:color w:val="auto"/>
          <w:sz w:val="32"/>
          <w:szCs w:val="32"/>
          <w:highlight w:val="none"/>
        </w:rPr>
        <w:t>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AE4036E">
      <w:pPr>
        <w:keepNext w:val="0"/>
        <w:keepLines w:val="0"/>
        <w:pageBreakBefore w:val="0"/>
        <w:numPr>
          <w:ilvl w:val="0"/>
          <w:numId w:val="3"/>
        </w:numPr>
        <w:kinsoku/>
        <w:wordWrap/>
        <w:overflowPunct/>
        <w:topLinePunct w:val="0"/>
        <w:autoSpaceDE/>
        <w:autoSpaceDN/>
        <w:bidi w:val="0"/>
        <w:adjustRightInd/>
        <w:snapToGrid/>
        <w:spacing w:line="576" w:lineRule="exact"/>
        <w:ind w:left="0" w:leftChars="0" w:firstLine="643" w:firstLineChars="200"/>
        <w:textAlignment w:val="auto"/>
        <w:rPr>
          <w:rFonts w:hint="eastAsia"/>
          <w:lang w:eastAsia="zh-CN"/>
        </w:rPr>
      </w:pPr>
      <w:r>
        <w:rPr>
          <w:rFonts w:hint="eastAsia" w:ascii="仿宋" w:hAnsi="仿宋" w:eastAsia="仿宋" w:cs="Times New Roman"/>
          <w:b/>
          <w:bCs/>
          <w:color w:val="auto"/>
          <w:sz w:val="32"/>
          <w:szCs w:val="32"/>
          <w:highlight w:val="none"/>
        </w:rPr>
        <w:t>公共安全</w:t>
      </w:r>
      <w:r>
        <w:rPr>
          <w:rFonts w:hint="eastAsia" w:ascii="仿宋" w:hAnsi="仿宋" w:eastAsia="仿宋" w:cs="Times New Roman"/>
          <w:b/>
          <w:bCs/>
          <w:color w:val="auto"/>
          <w:sz w:val="32"/>
          <w:szCs w:val="32"/>
          <w:highlight w:val="none"/>
          <w:lang w:eastAsia="zh-CN"/>
        </w:rPr>
        <w:t>：</w:t>
      </w:r>
      <w:r>
        <w:rPr>
          <w:rFonts w:hint="eastAsia" w:ascii="仿宋_GB2312" w:hAnsi="仿宋" w:eastAsia="仿宋_GB2312" w:cs="仿宋"/>
          <w:color w:val="000000"/>
          <w:sz w:val="32"/>
          <w:szCs w:val="32"/>
        </w:rPr>
        <w:t>支出</w:t>
      </w:r>
      <w:r>
        <w:rPr>
          <w:rFonts w:hint="eastAsia" w:ascii="仿宋" w:hAnsi="仿宋" w:eastAsia="仿宋" w:cs="Times New Roman"/>
          <w:b/>
          <w:bCs/>
          <w:color w:val="auto"/>
          <w:sz w:val="32"/>
          <w:szCs w:val="32"/>
          <w:highlight w:val="none"/>
          <w:lang w:eastAsia="zh-CN"/>
        </w:rPr>
        <w:t>决算数为</w:t>
      </w:r>
      <w:r>
        <w:rPr>
          <w:rFonts w:hint="eastAsia" w:ascii="仿宋_GB2312" w:hAnsi="仿宋" w:eastAsia="仿宋_GB2312" w:cs="仿宋"/>
          <w:color w:val="000000"/>
          <w:sz w:val="32"/>
          <w:szCs w:val="32"/>
          <w:lang w:val="en-US" w:eastAsia="zh-CN"/>
        </w:rPr>
        <w:t>41.87</w:t>
      </w:r>
      <w:r>
        <w:rPr>
          <w:rFonts w:hint="eastAsia" w:ascii="仿宋_GB2312" w:hAnsi="仿宋" w:eastAsia="仿宋_GB2312" w:cs="仿宋"/>
          <w:color w:val="000000"/>
          <w:sz w:val="32"/>
          <w:szCs w:val="32"/>
        </w:rPr>
        <w:t>万元</w:t>
      </w:r>
      <w:r>
        <w:rPr>
          <w:rFonts w:hint="eastAsia" w:ascii="仿宋_GB2312" w:hAnsi="仿宋" w:cs="仿宋"/>
          <w:color w:val="000000"/>
          <w:sz w:val="32"/>
          <w:szCs w:val="32"/>
          <w:lang w:eastAsia="zh-CN"/>
        </w:rPr>
        <w:t>，</w:t>
      </w:r>
      <w:r>
        <w:rPr>
          <w:rFonts w:hint="eastAsia" w:ascii="仿宋" w:hAnsi="仿宋" w:eastAsia="仿宋" w:cs="Times New Roman"/>
          <w:b/>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9980FC9">
      <w:pPr>
        <w:keepNext w:val="0"/>
        <w:keepLines w:val="0"/>
        <w:pageBreakBefore w:val="0"/>
        <w:tabs>
          <w:tab w:val="right" w:pos="8306"/>
        </w:tabs>
        <w:kinsoku/>
        <w:wordWrap/>
        <w:overflowPunct/>
        <w:topLinePunct w:val="0"/>
        <w:autoSpaceDE/>
        <w:autoSpaceDN/>
        <w:bidi w:val="0"/>
        <w:adjustRightInd/>
        <w:snapToGrid/>
        <w:spacing w:line="576" w:lineRule="exact"/>
        <w:ind w:firstLine="640"/>
        <w:textAlignment w:val="auto"/>
        <w:outlineLvl w:val="1"/>
        <w:rPr>
          <w:rStyle w:val="30"/>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0"/>
          <w:rFonts w:hint="eastAsia" w:ascii="黑体" w:hAnsi="黑体" w:eastAsia="黑体"/>
          <w:b w:val="0"/>
          <w:color w:val="auto"/>
          <w:highlight w:val="none"/>
        </w:rPr>
        <w:t>般公共预算财政拨款基本支出决算情况说明</w:t>
      </w:r>
      <w:bookmarkEnd w:id="34"/>
      <w:bookmarkEnd w:id="35"/>
      <w:r>
        <w:rPr>
          <w:rStyle w:val="30"/>
          <w:rFonts w:ascii="黑体" w:hAnsi="黑体" w:eastAsia="黑体"/>
          <w:b w:val="0"/>
          <w:color w:val="auto"/>
          <w:highlight w:val="none"/>
        </w:rPr>
        <w:tab/>
      </w:r>
    </w:p>
    <w:p w14:paraId="3911F065">
      <w:pPr>
        <w:keepNext w:val="0"/>
        <w:keepLines w:val="0"/>
        <w:pageBreakBefore w:val="0"/>
        <w:kinsoku/>
        <w:wordWrap/>
        <w:overflowPunct/>
        <w:topLinePunct w:val="0"/>
        <w:autoSpaceDE/>
        <w:autoSpaceDN/>
        <w:bidi w:val="0"/>
        <w:adjustRightInd/>
        <w:snapToGrid/>
        <w:spacing w:line="576" w:lineRule="exact"/>
        <w:ind w:firstLine="645"/>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_GB2312" w:hAnsi="仿宋" w:eastAsia="仿宋_GB2312" w:cs="Times New Roman"/>
          <w:color w:val="000000"/>
          <w:sz w:val="32"/>
          <w:szCs w:val="32"/>
          <w:lang w:val="en-US" w:eastAsia="zh-CN"/>
        </w:rPr>
        <w:t>535.87</w:t>
      </w:r>
      <w:r>
        <w:rPr>
          <w:rFonts w:hint="eastAsia" w:ascii="仿宋_GB2312" w:hAnsi="仿宋" w:eastAsia="仿宋_GB2312" w:cs="Times New Roman"/>
          <w:color w:val="000000"/>
          <w:sz w:val="32"/>
          <w:szCs w:val="32"/>
        </w:rPr>
        <w:t>万元</w:t>
      </w:r>
      <w:r>
        <w:rPr>
          <w:rFonts w:hint="eastAsia" w:ascii="仿宋" w:hAnsi="仿宋" w:eastAsia="仿宋"/>
          <w:color w:val="auto"/>
          <w:sz w:val="32"/>
          <w:szCs w:val="32"/>
          <w:highlight w:val="none"/>
        </w:rPr>
        <w:t>，其中：</w:t>
      </w:r>
    </w:p>
    <w:p w14:paraId="02865DF2">
      <w:pPr>
        <w:keepNext w:val="0"/>
        <w:keepLines w:val="0"/>
        <w:pageBreakBefore w:val="0"/>
        <w:kinsoku/>
        <w:wordWrap/>
        <w:overflowPunct/>
        <w:topLinePunct w:val="0"/>
        <w:autoSpaceDE/>
        <w:autoSpaceDN/>
        <w:bidi w:val="0"/>
        <w:adjustRightInd/>
        <w:snapToGrid/>
        <w:spacing w:line="576" w:lineRule="exact"/>
        <w:ind w:firstLine="645"/>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198.53</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0E9CCB9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337.34</w:t>
      </w:r>
      <w:r>
        <w:rPr>
          <w:rFonts w:hint="eastAsia" w:ascii="仿宋" w:hAnsi="仿宋" w:eastAsia="仿宋"/>
          <w:color w:val="auto"/>
          <w:sz w:val="32"/>
          <w:szCs w:val="32"/>
          <w:highlight w:val="none"/>
        </w:rPr>
        <w:t>万元，主要包括：办公费、印刷费、咨询费、手续费、水费、电费、邮电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6B7A2052">
      <w:pPr>
        <w:keepNext w:val="0"/>
        <w:keepLines w:val="0"/>
        <w:pageBreakBefore w:val="0"/>
        <w:kinsoku/>
        <w:wordWrap/>
        <w:overflowPunct/>
        <w:topLinePunct w:val="0"/>
        <w:autoSpaceDE/>
        <w:autoSpaceDN/>
        <w:bidi w:val="0"/>
        <w:adjustRightInd/>
        <w:snapToGrid/>
        <w:spacing w:line="576" w:lineRule="exact"/>
        <w:ind w:firstLine="640"/>
        <w:textAlignment w:val="auto"/>
        <w:outlineLvl w:val="1"/>
        <w:rPr>
          <w:rStyle w:val="30"/>
          <w:rFonts w:ascii="黑体" w:hAnsi="黑体" w:eastAsia="黑体"/>
          <w:b w:val="0"/>
          <w:color w:val="auto"/>
          <w:highlight w:val="none"/>
        </w:rPr>
      </w:pPr>
      <w:bookmarkStart w:id="36" w:name="_Toc15377215"/>
      <w:bookmarkStart w:id="37" w:name="_Toc15396609"/>
      <w:r>
        <w:rPr>
          <w:rFonts w:hint="eastAsia" w:ascii="黑体" w:eastAsia="黑体"/>
          <w:color w:val="auto"/>
          <w:sz w:val="32"/>
          <w:szCs w:val="32"/>
          <w:highlight w:val="none"/>
        </w:rPr>
        <w:t>七、</w:t>
      </w:r>
      <w:r>
        <w:rPr>
          <w:rStyle w:val="30"/>
          <w:rFonts w:hint="eastAsia" w:ascii="黑体" w:hAnsi="黑体" w:eastAsia="黑体"/>
          <w:color w:val="auto"/>
          <w:highlight w:val="none"/>
        </w:rPr>
        <w:t>“</w:t>
      </w:r>
      <w:r>
        <w:rPr>
          <w:rStyle w:val="30"/>
          <w:rFonts w:hint="eastAsia" w:ascii="黑体" w:hAnsi="黑体" w:eastAsia="黑体"/>
          <w:b w:val="0"/>
          <w:color w:val="auto"/>
          <w:highlight w:val="none"/>
        </w:rPr>
        <w:t>三公”经费财政拨款支出决算情况说明</w:t>
      </w:r>
      <w:bookmarkEnd w:id="36"/>
      <w:bookmarkEnd w:id="37"/>
    </w:p>
    <w:p w14:paraId="36B7554D">
      <w:pPr>
        <w:keepNext w:val="0"/>
        <w:keepLines w:val="0"/>
        <w:pageBreakBefore w:val="0"/>
        <w:kinsoku/>
        <w:wordWrap/>
        <w:overflowPunct/>
        <w:topLinePunct w:val="0"/>
        <w:autoSpaceDE/>
        <w:autoSpaceDN/>
        <w:bidi w:val="0"/>
        <w:adjustRightInd/>
        <w:snapToGrid/>
        <w:spacing w:line="576" w:lineRule="exact"/>
        <w:ind w:firstLine="640"/>
        <w:textAlignment w:val="auto"/>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5D1BC2C6">
      <w:pPr>
        <w:pStyle w:val="1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right="0" w:firstLine="645"/>
        <w:jc w:val="both"/>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10.38</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80.47</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default" w:ascii="仿宋_GB2312" w:hAnsi="微软雅黑" w:eastAsia="仿宋_GB2312" w:cs="仿宋_GB2312"/>
          <w:color w:val="auto"/>
          <w:sz w:val="31"/>
          <w:szCs w:val="31"/>
        </w:rPr>
        <w:t>按照党中央、国务院关于过“紧日子”和坚持厉行节约反对浪费的要求，进一步减少公务接待费支出。</w:t>
      </w:r>
    </w:p>
    <w:p w14:paraId="03126CEA">
      <w:pPr>
        <w:keepNext w:val="0"/>
        <w:keepLines w:val="0"/>
        <w:pageBreakBefore w:val="0"/>
        <w:kinsoku/>
        <w:wordWrap/>
        <w:overflowPunct/>
        <w:topLinePunct w:val="0"/>
        <w:autoSpaceDE/>
        <w:autoSpaceDN/>
        <w:bidi w:val="0"/>
        <w:adjustRightInd/>
        <w:snapToGrid/>
        <w:spacing w:line="576" w:lineRule="exact"/>
        <w:ind w:firstLine="640"/>
        <w:textAlignment w:val="auto"/>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76521655">
      <w:pPr>
        <w:keepNext w:val="0"/>
        <w:keepLines w:val="0"/>
        <w:pageBreakBefore w:val="0"/>
        <w:kinsoku/>
        <w:wordWrap/>
        <w:overflowPunct/>
        <w:topLinePunct w:val="0"/>
        <w:autoSpaceDE/>
        <w:autoSpaceDN/>
        <w:bidi w:val="0"/>
        <w:adjustRightInd/>
        <w:snapToGrid/>
        <w:spacing w:line="576" w:lineRule="exact"/>
        <w:ind w:firstLine="64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10.38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6CF3650D">
      <w:pPr>
        <w:pStyle w:val="2"/>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4538980" cy="2615565"/>
            <wp:effectExtent l="0" t="0" r="13970" b="13335"/>
            <wp:docPr id="11" name="图片 11" descr="AJ6S6W6}4)GA574RE`Y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J6S6W6}4)GA574RE`YED[8"/>
                    <pic:cNvPicPr>
                      <a:picLocks noChangeAspect="1"/>
                    </pic:cNvPicPr>
                  </pic:nvPicPr>
                  <pic:blipFill>
                    <a:blip r:embed="rId14"/>
                    <a:srcRect b="1866"/>
                    <a:stretch>
                      <a:fillRect/>
                    </a:stretch>
                  </pic:blipFill>
                  <pic:spPr>
                    <a:xfrm>
                      <a:off x="0" y="0"/>
                      <a:ext cx="4538980" cy="2615565"/>
                    </a:xfrm>
                    <a:prstGeom prst="rect">
                      <a:avLst/>
                    </a:prstGeom>
                  </pic:spPr>
                </pic:pic>
              </a:graphicData>
            </a:graphic>
          </wp:inline>
        </w:drawing>
      </w:r>
    </w:p>
    <w:p w14:paraId="4C7B5BAB">
      <w:pPr>
        <w:pStyle w:val="2"/>
      </w:pPr>
    </w:p>
    <w:p w14:paraId="537CD2B0">
      <w:pPr>
        <w:numPr>
          <w:ilvl w:val="0"/>
          <w:numId w:val="4"/>
        </w:num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p>
    <w:p w14:paraId="3769D235">
      <w:pPr>
        <w:numPr>
          <w:ilvl w:val="0"/>
          <w:numId w:val="4"/>
        </w:numPr>
        <w:spacing w:line="600" w:lineRule="exact"/>
        <w:ind w:firstLine="640"/>
        <w:rPr>
          <w:rFonts w:hint="eastAsia" w:ascii="仿宋_GB2312" w:eastAsia="仿宋_GB2312"/>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p>
    <w:p w14:paraId="6A2799F9">
      <w:pPr>
        <w:pageBreakBefore w:val="0"/>
        <w:kinsoku/>
        <w:wordWrap/>
        <w:overflowPunct/>
        <w:topLinePunct w:val="0"/>
        <w:bidi w:val="0"/>
        <w:snapToGrid/>
        <w:spacing w:line="576" w:lineRule="exact"/>
        <w:ind w:firstLine="640" w:firstLineChars="200"/>
        <w:textAlignment w:val="auto"/>
        <w:rPr>
          <w:rFonts w:ascii="仿宋_GB2312" w:eastAsia="仿宋_GB2312"/>
          <w:b/>
          <w:color w:val="auto"/>
          <w:sz w:val="32"/>
          <w:szCs w:val="32"/>
          <w:highlight w:val="none"/>
        </w:rPr>
      </w:pPr>
      <w:r>
        <w:rPr>
          <w:rFonts w:hint="eastAsia" w:ascii="仿宋_GB2312" w:eastAsia="仿宋_GB2312"/>
          <w:color w:val="auto"/>
          <w:sz w:val="32"/>
          <w:szCs w:val="32"/>
          <w:highlight w:val="none"/>
          <w:lang w:val="en-US" w:eastAsia="zh-CN"/>
        </w:rPr>
        <w:t>在公务用车制度改革后，不允许单位购买公务用车。因公出差向机关事务局申请公务用车，公务用车有保障。</w:t>
      </w:r>
    </w:p>
    <w:p w14:paraId="3B5C2D14">
      <w:pPr>
        <w:spacing w:line="600" w:lineRule="exact"/>
        <w:ind w:firstLine="640"/>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553706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5"/>
        <w:jc w:val="both"/>
        <w:textAlignment w:val="auto"/>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10.38</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80.47</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0.3</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2.89</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default" w:ascii="仿宋_GB2312" w:hAnsi="微软雅黑" w:eastAsia="仿宋_GB2312" w:cs="仿宋_GB2312"/>
          <w:color w:val="auto"/>
          <w:sz w:val="31"/>
          <w:szCs w:val="31"/>
        </w:rPr>
        <w:t>按照党中央、国务院关于过“紧日子”和坚持厉行节约反对浪费的要求，进一步减少公务接待费支出</w:t>
      </w:r>
      <w:r>
        <w:rPr>
          <w:rFonts w:hint="eastAsia" w:ascii="仿宋" w:hAnsi="仿宋" w:eastAsia="仿宋"/>
          <w:color w:val="auto"/>
          <w:sz w:val="32"/>
          <w:szCs w:val="32"/>
          <w:highlight w:val="none"/>
        </w:rPr>
        <w:t>。</w:t>
      </w:r>
      <w:r>
        <w:rPr>
          <w:rFonts w:hint="eastAsia" w:ascii="仿宋_GB2312" w:eastAsia="仿宋_GB2312"/>
          <w:color w:val="auto"/>
          <w:sz w:val="32"/>
          <w:szCs w:val="32"/>
          <w:highlight w:val="none"/>
        </w:rPr>
        <w:t>其中：</w:t>
      </w:r>
    </w:p>
    <w:p w14:paraId="6F59DF84">
      <w:pPr>
        <w:spacing w:line="600" w:lineRule="exact"/>
        <w:ind w:firstLine="640"/>
        <w:rPr>
          <w:rFonts w:hint="eastAsia" w:ascii="仿宋_GB2312" w:eastAsia="仿宋_GB2312"/>
          <w:color w:val="auto"/>
          <w:sz w:val="32"/>
          <w:szCs w:val="32"/>
          <w:highlight w:val="none"/>
          <w:lang w:val="en-US" w:eastAsia="zh-CN"/>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10.38</w:t>
      </w:r>
      <w:r>
        <w:rPr>
          <w:rFonts w:hint="eastAsia" w:ascii="仿宋_GB2312" w:eastAsia="仿宋_GB2312"/>
          <w:color w:val="auto"/>
          <w:sz w:val="32"/>
          <w:szCs w:val="32"/>
          <w:highlight w:val="none"/>
        </w:rPr>
        <w:t>万元，</w:t>
      </w:r>
      <w:r>
        <w:rPr>
          <w:rFonts w:hint="eastAsia" w:ascii="仿宋_GB2312" w:hAnsi="仿宋" w:eastAsia="仿宋_GB2312" w:cs="仿宋"/>
          <w:color w:val="000000"/>
          <w:sz w:val="32"/>
          <w:szCs w:val="32"/>
        </w:rPr>
        <w:t>主要用于执行公务、开展业务活动开支的住宿费、用餐费等。国内公务接待2</w:t>
      </w:r>
      <w:r>
        <w:rPr>
          <w:rFonts w:hint="eastAsia" w:ascii="仿宋_GB2312" w:hAnsi="仿宋" w:eastAsia="仿宋_GB2312" w:cs="仿宋"/>
          <w:color w:val="000000"/>
          <w:sz w:val="32"/>
          <w:szCs w:val="32"/>
          <w:lang w:val="en-US" w:eastAsia="zh-CN"/>
        </w:rPr>
        <w:t>35</w:t>
      </w:r>
      <w:r>
        <w:rPr>
          <w:rFonts w:hint="eastAsia" w:ascii="仿宋_GB2312" w:hAnsi="仿宋" w:eastAsia="仿宋_GB2312" w:cs="仿宋"/>
          <w:color w:val="000000"/>
          <w:sz w:val="32"/>
          <w:szCs w:val="32"/>
        </w:rPr>
        <w:t>批次，1</w:t>
      </w:r>
      <w:r>
        <w:rPr>
          <w:rFonts w:hint="eastAsia" w:ascii="仿宋_GB2312" w:hAnsi="仿宋" w:eastAsia="仿宋_GB2312" w:cs="仿宋"/>
          <w:color w:val="000000"/>
          <w:sz w:val="32"/>
          <w:szCs w:val="32"/>
          <w:lang w:val="en-US" w:eastAsia="zh-CN"/>
        </w:rPr>
        <w:t>436</w:t>
      </w:r>
      <w:r>
        <w:rPr>
          <w:rFonts w:hint="eastAsia" w:ascii="仿宋_GB2312" w:hAnsi="仿宋" w:eastAsia="仿宋_GB2312" w:cs="仿宋"/>
          <w:color w:val="000000"/>
          <w:sz w:val="32"/>
          <w:szCs w:val="32"/>
        </w:rPr>
        <w:t>人次</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10.38</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w:t>
      </w:r>
    </w:p>
    <w:p w14:paraId="32E0197E">
      <w:pPr>
        <w:spacing w:line="600" w:lineRule="exact"/>
        <w:ind w:firstLine="640"/>
        <w:outlineLvl w:val="1"/>
        <w:rPr>
          <w:rFonts w:hint="eastAsia" w:ascii="仿宋_GB2312" w:eastAsia="仿宋_GB2312"/>
          <w:color w:val="auto"/>
          <w:sz w:val="32"/>
          <w:szCs w:val="32"/>
          <w:highlight w:val="none"/>
          <w:lang w:val="en-US" w:eastAsia="zh-CN"/>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bookmarkStart w:id="40" w:name="_Toc15396610"/>
      <w:bookmarkStart w:id="41" w:name="_Toc15377218"/>
      <w:r>
        <w:rPr>
          <w:rFonts w:hint="eastAsia" w:ascii="仿宋_GB2312" w:eastAsia="仿宋_GB2312"/>
          <w:color w:val="auto"/>
          <w:sz w:val="32"/>
          <w:szCs w:val="32"/>
          <w:highlight w:val="none"/>
          <w:lang w:val="en-US" w:eastAsia="zh-CN"/>
        </w:rPr>
        <w:t>.</w:t>
      </w:r>
    </w:p>
    <w:p w14:paraId="2AE1B8B1">
      <w:pPr>
        <w:spacing w:line="600" w:lineRule="exact"/>
        <w:ind w:firstLine="640"/>
        <w:outlineLvl w:val="1"/>
        <w:rPr>
          <w:rStyle w:val="30"/>
          <w:rFonts w:ascii="黑体" w:hAnsi="黑体" w:eastAsia="黑体"/>
          <w:color w:val="auto"/>
          <w:highlight w:val="none"/>
        </w:rPr>
      </w:pPr>
      <w:r>
        <w:rPr>
          <w:rFonts w:hint="eastAsia" w:ascii="黑体" w:eastAsia="黑体"/>
          <w:color w:val="auto"/>
          <w:sz w:val="32"/>
          <w:szCs w:val="32"/>
          <w:highlight w:val="none"/>
        </w:rPr>
        <w:t>八、</w:t>
      </w:r>
      <w:r>
        <w:rPr>
          <w:rStyle w:val="30"/>
          <w:rFonts w:hint="eastAsia" w:ascii="黑体" w:hAnsi="黑体" w:eastAsia="黑体"/>
          <w:b w:val="0"/>
          <w:color w:val="auto"/>
          <w:highlight w:val="none"/>
        </w:rPr>
        <w:t>政府性基金预算支出决算情况说明</w:t>
      </w:r>
      <w:bookmarkEnd w:id="40"/>
      <w:bookmarkEnd w:id="41"/>
    </w:p>
    <w:p w14:paraId="1110FC64">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4746363">
      <w:pPr>
        <w:numPr>
          <w:ilvl w:val="0"/>
          <w:numId w:val="5"/>
        </w:numPr>
        <w:spacing w:line="600" w:lineRule="exact"/>
        <w:ind w:firstLine="640"/>
        <w:outlineLvl w:val="1"/>
        <w:rPr>
          <w:rStyle w:val="30"/>
          <w:rFonts w:ascii="黑体" w:hAnsi="黑体" w:eastAsia="黑体"/>
          <w:b w:val="0"/>
          <w:color w:val="auto"/>
          <w:highlight w:val="none"/>
        </w:rPr>
      </w:pPr>
      <w:bookmarkStart w:id="42" w:name="_Toc15396611"/>
      <w:bookmarkStart w:id="43" w:name="_Toc15377219"/>
      <w:r>
        <w:rPr>
          <w:rStyle w:val="30"/>
          <w:rFonts w:hint="eastAsia" w:ascii="黑体" w:hAnsi="黑体" w:eastAsia="黑体"/>
          <w:b w:val="0"/>
          <w:color w:val="auto"/>
          <w:highlight w:val="none"/>
        </w:rPr>
        <w:t>国有资本经营预算支出决算情况说明</w:t>
      </w:r>
      <w:bookmarkEnd w:id="42"/>
      <w:bookmarkEnd w:id="43"/>
    </w:p>
    <w:p w14:paraId="5BDCCA51">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338B4D82">
      <w:pPr>
        <w:numPr>
          <w:ilvl w:val="0"/>
          <w:numId w:val="0"/>
        </w:numPr>
        <w:spacing w:line="600" w:lineRule="exact"/>
        <w:ind w:firstLine="640" w:firstLineChars="200"/>
        <w:outlineLvl w:val="1"/>
        <w:rPr>
          <w:rStyle w:val="30"/>
          <w:rFonts w:hint="eastAsia" w:ascii="黑体" w:hAnsi="黑体" w:eastAsia="黑体"/>
          <w:b w:val="0"/>
          <w:color w:val="auto"/>
          <w:highlight w:val="none"/>
        </w:rPr>
      </w:pPr>
      <w:bookmarkStart w:id="44" w:name="_Toc15396612"/>
      <w:bookmarkStart w:id="45" w:name="_Toc15377221"/>
      <w:r>
        <w:rPr>
          <w:rStyle w:val="30"/>
          <w:rFonts w:hint="eastAsia" w:ascii="黑体" w:hAnsi="黑体" w:eastAsia="黑体"/>
          <w:b w:val="0"/>
          <w:color w:val="auto"/>
          <w:highlight w:val="none"/>
          <w:lang w:val="en-US" w:eastAsia="zh-CN"/>
        </w:rPr>
        <w:t>十、预算绩效管理情况</w:t>
      </w:r>
    </w:p>
    <w:p w14:paraId="5332FA65">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eastAsia="zh-CN"/>
        </w:rPr>
        <w:t>平安昭化建设</w:t>
      </w:r>
      <w:r>
        <w:rPr>
          <w:rFonts w:hint="eastAsia" w:ascii="仿宋_GB2312" w:hAnsi="仿宋_GB2312" w:eastAsia="仿宋_GB2312" w:cs="仿宋_GB2312"/>
          <w:color w:val="auto"/>
          <w:sz w:val="32"/>
          <w:szCs w:val="32"/>
          <w:highlight w:val="none"/>
        </w:rPr>
        <w:t>项目（项目名称）</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14个项目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lang w:eastAsia="zh-CN"/>
        </w:rPr>
        <w:t>个</w:t>
      </w:r>
      <w:r>
        <w:rPr>
          <w:rFonts w:hint="eastAsia" w:ascii="仿宋_GB2312" w:hAnsi="仿宋_GB2312" w:eastAsia="仿宋_GB2312" w:cs="仿宋_GB2312"/>
          <w:color w:val="auto"/>
          <w:sz w:val="32"/>
          <w:szCs w:val="32"/>
          <w:highlight w:val="none"/>
        </w:rPr>
        <w:t>项目编制了绩效目标，预算执行过程中，选</w:t>
      </w:r>
      <w:r>
        <w:rPr>
          <w:rFonts w:hint="eastAsia" w:ascii="仿宋_GB2312" w:hAnsi="仿宋_GB2312" w:eastAsia="仿宋_GB2312" w:cs="仿宋_GB2312"/>
          <w:color w:val="auto"/>
          <w:sz w:val="32"/>
          <w:szCs w:val="32"/>
          <w:highlight w:val="none"/>
          <w:lang w:val="en-US" w:eastAsia="zh-CN"/>
        </w:rPr>
        <w:t>取两个项目开展绩效监控，年终执行完毕后，对铁路护路和网格化</w:t>
      </w:r>
      <w:r>
        <w:rPr>
          <w:rFonts w:hint="eastAsia" w:ascii="仿宋_GB2312" w:hAnsi="仿宋_GB2312" w:eastAsia="仿宋_GB2312" w:cs="仿宋_GB2312"/>
          <w:color w:val="auto"/>
          <w:sz w:val="32"/>
          <w:szCs w:val="32"/>
          <w:highlight w:val="none"/>
          <w:lang w:eastAsia="zh-CN"/>
        </w:rPr>
        <w:t>两</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2021年部门预算项目绩效目标自评表见附件（第四部分）</w:t>
      </w:r>
      <w:r>
        <w:rPr>
          <w:rFonts w:hint="eastAsia" w:ascii="仿宋_GB2312" w:hAnsi="仿宋_GB2312" w:eastAsia="仿宋_GB2312" w:cs="仿宋_GB2312"/>
          <w:color w:val="auto"/>
          <w:sz w:val="32"/>
          <w:szCs w:val="32"/>
          <w:highlight w:val="none"/>
        </w:rPr>
        <w:t>。</w:t>
      </w:r>
    </w:p>
    <w:p w14:paraId="2C43B44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0"/>
          <w:rFonts w:hint="eastAsia" w:ascii="黑体" w:hAnsi="黑体" w:eastAsia="黑体"/>
          <w:b w:val="0"/>
          <w:color w:val="auto"/>
          <w:highlight w:val="none"/>
        </w:rPr>
      </w:pPr>
      <w:r>
        <w:rPr>
          <w:rStyle w:val="30"/>
          <w:rFonts w:hint="eastAsia" w:ascii="黑体" w:hAnsi="黑体" w:eastAsia="黑体"/>
          <w:b w:val="0"/>
          <w:color w:val="auto"/>
          <w:highlight w:val="none"/>
          <w:lang w:eastAsia="zh-CN"/>
        </w:rPr>
        <w:t>十一、</w:t>
      </w:r>
      <w:r>
        <w:rPr>
          <w:rStyle w:val="30"/>
          <w:rFonts w:hint="eastAsia" w:ascii="黑体" w:hAnsi="黑体" w:eastAsia="黑体"/>
          <w:b w:val="0"/>
          <w:color w:val="auto"/>
          <w:highlight w:val="none"/>
        </w:rPr>
        <w:t>其他重要事项的情况说明</w:t>
      </w:r>
      <w:bookmarkEnd w:id="44"/>
      <w:bookmarkEnd w:id="45"/>
    </w:p>
    <w:p w14:paraId="5E4B66E5">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0C7CF114">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区委政法委</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487.28</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22.59</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4.43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w:t>
      </w:r>
      <w:r>
        <w:rPr>
          <w:rFonts w:hint="eastAsia" w:ascii="仿宋_GB2312" w:eastAsia="仿宋_GB2312"/>
          <w:color w:val="auto"/>
          <w:sz w:val="32"/>
          <w:szCs w:val="32"/>
          <w:highlight w:val="none"/>
          <w:lang w:eastAsia="zh-CN"/>
        </w:rPr>
        <w:t>因是财政预算减少。</w:t>
      </w:r>
    </w:p>
    <w:p w14:paraId="1E3EDA5D">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42476DB6">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1DD86633">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2FDBFC89">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6631BB07">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7279437E">
      <w:pPr>
        <w:numPr>
          <w:ilvl w:val="0"/>
          <w:numId w:val="6"/>
        </w:numPr>
        <w:spacing w:line="600" w:lineRule="exact"/>
        <w:ind w:firstLine="660" w:firstLineChars="150"/>
        <w:jc w:val="center"/>
        <w:outlineLvl w:val="0"/>
        <w:rPr>
          <w:rStyle w:val="29"/>
          <w:rFonts w:ascii="黑体" w:hAnsi="黑体" w:eastAsia="黑体"/>
          <w:b w:val="0"/>
          <w:color w:val="auto"/>
          <w:highlight w:val="none"/>
        </w:rPr>
      </w:pPr>
      <w:bookmarkStart w:id="49" w:name="_Toc15396613"/>
      <w:bookmarkStart w:id="50" w:name="_Toc15377225"/>
      <w:r>
        <w:rPr>
          <w:rFonts w:hint="eastAsia" w:ascii="黑体" w:hAnsi="黑体" w:eastAsia="黑体"/>
          <w:color w:val="auto"/>
          <w:sz w:val="44"/>
          <w:szCs w:val="44"/>
          <w:highlight w:val="none"/>
        </w:rPr>
        <w:t>名</w:t>
      </w:r>
      <w:r>
        <w:rPr>
          <w:rStyle w:val="29"/>
          <w:rFonts w:hint="eastAsia" w:ascii="黑体" w:hAnsi="黑体" w:eastAsia="黑体"/>
          <w:b w:val="0"/>
          <w:color w:val="auto"/>
          <w:highlight w:val="none"/>
        </w:rPr>
        <w:t>词解释</w:t>
      </w:r>
      <w:bookmarkEnd w:id="49"/>
      <w:bookmarkEnd w:id="50"/>
    </w:p>
    <w:p w14:paraId="181BCF96">
      <w:pPr>
        <w:spacing w:line="600" w:lineRule="exact"/>
        <w:jc w:val="left"/>
        <w:rPr>
          <w:rFonts w:ascii="宋体"/>
          <w:b/>
          <w:color w:val="auto"/>
          <w:sz w:val="44"/>
          <w:szCs w:val="44"/>
          <w:highlight w:val="none"/>
        </w:rPr>
      </w:pPr>
    </w:p>
    <w:p w14:paraId="13DEE8E3">
      <w:pPr>
        <w:pStyle w:val="27"/>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61DA13FE">
      <w:pPr>
        <w:pStyle w:val="27"/>
        <w:spacing w:line="560" w:lineRule="exact"/>
        <w:ind w:firstLine="640" w:firstLineChars="200"/>
        <w:rPr>
          <w:rFonts w:ascii="仿宋_GB2312" w:eastAsia="仿宋_GB2312"/>
          <w:color w:val="auto"/>
          <w:sz w:val="32"/>
          <w:szCs w:val="32"/>
          <w:highlight w:val="none"/>
        </w:rPr>
      </w:pPr>
    </w:p>
    <w:p w14:paraId="7C36F72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2.一般公共服务（类）党委办公厅（室）及相关机构事务</w:t>
      </w:r>
      <w:r>
        <w:rPr>
          <w:rFonts w:hint="default" w:ascii="仿宋_GB2312" w:hAnsi="Calibri" w:eastAsia="仿宋_GB2312" w:cs="仿宋"/>
          <w:color w:val="auto"/>
          <w:kern w:val="0"/>
          <w:sz w:val="32"/>
          <w:szCs w:val="32"/>
          <w:highlight w:val="none"/>
          <w:lang w:val="en-US" w:eastAsia="zh-CN" w:bidi="ar-SA"/>
        </w:rPr>
        <w:t>（款）</w:t>
      </w:r>
      <w:r>
        <w:rPr>
          <w:rFonts w:hint="eastAsia" w:ascii="仿宋_GB2312" w:hAnsi="Calibri" w:eastAsia="仿宋_GB2312" w:cs="仿宋"/>
          <w:color w:val="auto"/>
          <w:kern w:val="0"/>
          <w:sz w:val="32"/>
          <w:szCs w:val="32"/>
          <w:highlight w:val="none"/>
          <w:lang w:val="en-US" w:eastAsia="zh-CN" w:bidi="ar-SA"/>
        </w:rPr>
        <w:t>事业</w:t>
      </w:r>
      <w:r>
        <w:rPr>
          <w:rFonts w:hint="default" w:ascii="仿宋_GB2312" w:hAnsi="Calibri" w:eastAsia="仿宋_GB2312" w:cs="仿宋"/>
          <w:color w:val="auto"/>
          <w:kern w:val="0"/>
          <w:sz w:val="32"/>
          <w:szCs w:val="32"/>
          <w:highlight w:val="none"/>
          <w:lang w:val="en-US" w:eastAsia="zh-CN" w:bidi="ar-SA"/>
        </w:rPr>
        <w:t>运行（项）</w:t>
      </w:r>
      <w:r>
        <w:rPr>
          <w:rFonts w:hint="eastAsia" w:ascii="仿宋_GB2312" w:hAnsi="Calibri" w:eastAsia="仿宋_GB2312" w:cs="仿宋"/>
          <w:color w:val="auto"/>
          <w:kern w:val="0"/>
          <w:sz w:val="32"/>
          <w:szCs w:val="32"/>
          <w:highlight w:val="none"/>
          <w:lang w:val="en-US" w:eastAsia="zh-CN" w:bidi="ar-SA"/>
        </w:rPr>
        <w:t>：事业人员</w:t>
      </w:r>
      <w:r>
        <w:rPr>
          <w:rFonts w:hint="default" w:ascii="仿宋_GB2312" w:hAnsi="Calibri" w:eastAsia="仿宋_GB2312" w:cs="仿宋"/>
          <w:color w:val="auto"/>
          <w:kern w:val="0"/>
          <w:sz w:val="32"/>
          <w:szCs w:val="32"/>
          <w:highlight w:val="none"/>
          <w:lang w:val="en-US" w:eastAsia="zh-CN" w:bidi="ar-SA"/>
        </w:rPr>
        <w:t>基本工资、津贴补贴等人员经费。</w:t>
      </w:r>
    </w:p>
    <w:p w14:paraId="2AB424AA">
      <w:p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3.公共安全（类）公安（款）一般行政管理事务（项）</w:t>
      </w:r>
      <w:r>
        <w:rPr>
          <w:rFonts w:hint="default"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反映行政单位（包括实行公务员管理的事业单位）未单独设置项级科目的其他项目支出。</w:t>
      </w:r>
    </w:p>
    <w:p w14:paraId="3930BB9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w:t>
      </w:r>
      <w:r>
        <w:rPr>
          <w:rFonts w:hint="default" w:ascii="仿宋_GB2312" w:hAnsi="Calibri" w:eastAsia="仿宋_GB2312" w:cs="仿宋"/>
          <w:color w:val="auto"/>
          <w:kern w:val="0"/>
          <w:sz w:val="32"/>
          <w:szCs w:val="32"/>
          <w:highlight w:val="none"/>
          <w:lang w:val="en-US" w:eastAsia="zh-CN" w:bidi="ar-SA"/>
        </w:rPr>
        <w:t>社会保障和就业（类）行政事业单位养老支出（款）机关事业单位基本养老保险缴费支出（项）：指部门实施养老保险制度由单位缴纳的养老保险费的支出。</w:t>
      </w:r>
    </w:p>
    <w:p w14:paraId="1F0975D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5.</w:t>
      </w:r>
      <w:r>
        <w:rPr>
          <w:rFonts w:hint="default" w:ascii="仿宋_GB2312" w:hAnsi="Calibri" w:eastAsia="仿宋_GB2312" w:cs="仿宋"/>
          <w:color w:val="auto"/>
          <w:kern w:val="0"/>
          <w:sz w:val="32"/>
          <w:szCs w:val="32"/>
          <w:highlight w:val="none"/>
          <w:lang w:val="en-US" w:eastAsia="zh-CN" w:bidi="ar-SA"/>
        </w:rPr>
        <w:t>社会保障和就业</w:t>
      </w:r>
      <w:r>
        <w:rPr>
          <w:rFonts w:hint="eastAsia" w:ascii="仿宋_GB2312" w:hAnsi="Calibri" w:eastAsia="仿宋_GB2312" w:cs="仿宋"/>
          <w:color w:val="auto"/>
          <w:kern w:val="0"/>
          <w:sz w:val="32"/>
          <w:szCs w:val="32"/>
          <w:highlight w:val="none"/>
          <w:lang w:val="en-US" w:eastAsia="zh-CN" w:bidi="ar-SA"/>
        </w:rPr>
        <w:t>支出</w:t>
      </w:r>
      <w:r>
        <w:rPr>
          <w:rFonts w:hint="default" w:ascii="仿宋_GB2312" w:hAnsi="Calibri" w:eastAsia="仿宋_GB2312" w:cs="仿宋"/>
          <w:color w:val="auto"/>
          <w:kern w:val="0"/>
          <w:sz w:val="32"/>
          <w:szCs w:val="32"/>
          <w:highlight w:val="none"/>
          <w:lang w:val="en-US" w:eastAsia="zh-CN" w:bidi="ar-SA"/>
        </w:rPr>
        <w:t>（类）</w:t>
      </w:r>
      <w:r>
        <w:rPr>
          <w:rFonts w:hint="eastAsia" w:ascii="仿宋_GB2312" w:hAnsi="Calibri" w:eastAsia="仿宋_GB2312" w:cs="仿宋"/>
          <w:color w:val="auto"/>
          <w:kern w:val="0"/>
          <w:sz w:val="32"/>
          <w:szCs w:val="32"/>
          <w:highlight w:val="none"/>
          <w:lang w:val="en-US" w:eastAsia="zh-CN" w:bidi="ar-SA"/>
        </w:rPr>
        <w:t>其他社会保障和就业支出</w:t>
      </w:r>
      <w:r>
        <w:rPr>
          <w:rFonts w:hint="default" w:ascii="仿宋_GB2312" w:hAnsi="Calibri" w:eastAsia="仿宋_GB2312" w:cs="仿宋"/>
          <w:color w:val="auto"/>
          <w:kern w:val="0"/>
          <w:sz w:val="32"/>
          <w:szCs w:val="32"/>
          <w:highlight w:val="none"/>
          <w:lang w:val="en-US" w:eastAsia="zh-CN" w:bidi="ar-SA"/>
        </w:rPr>
        <w:t>（款）</w:t>
      </w:r>
      <w:r>
        <w:rPr>
          <w:rFonts w:hint="eastAsia" w:ascii="仿宋_GB2312" w:hAnsi="Calibri" w:eastAsia="仿宋_GB2312" w:cs="仿宋"/>
          <w:color w:val="auto"/>
          <w:kern w:val="0"/>
          <w:sz w:val="32"/>
          <w:szCs w:val="32"/>
          <w:highlight w:val="none"/>
          <w:lang w:val="en-US" w:eastAsia="zh-CN" w:bidi="ar-SA"/>
        </w:rPr>
        <w:t>其他社会保障和就业支出</w:t>
      </w:r>
      <w:r>
        <w:rPr>
          <w:rFonts w:hint="default" w:ascii="仿宋_GB2312" w:hAnsi="Calibri" w:eastAsia="仿宋_GB2312" w:cs="仿宋"/>
          <w:color w:val="auto"/>
          <w:kern w:val="0"/>
          <w:sz w:val="32"/>
          <w:szCs w:val="32"/>
          <w:highlight w:val="none"/>
          <w:lang w:val="en-US" w:eastAsia="zh-CN" w:bidi="ar-SA"/>
        </w:rPr>
        <w:t>（项）：行政事业单位</w:t>
      </w:r>
      <w:r>
        <w:rPr>
          <w:rFonts w:hint="eastAsia" w:ascii="仿宋_GB2312" w:hAnsi="Calibri" w:eastAsia="仿宋_GB2312" w:cs="仿宋"/>
          <w:color w:val="auto"/>
          <w:kern w:val="0"/>
          <w:sz w:val="32"/>
          <w:szCs w:val="32"/>
          <w:highlight w:val="none"/>
          <w:lang w:val="en-US" w:eastAsia="zh-CN" w:bidi="ar-SA"/>
        </w:rPr>
        <w:t>失业、工伤</w:t>
      </w:r>
      <w:r>
        <w:rPr>
          <w:rFonts w:hint="default" w:ascii="仿宋_GB2312" w:hAnsi="Calibri" w:eastAsia="仿宋_GB2312" w:cs="仿宋"/>
          <w:color w:val="auto"/>
          <w:kern w:val="0"/>
          <w:sz w:val="32"/>
          <w:szCs w:val="32"/>
          <w:highlight w:val="none"/>
          <w:lang w:val="en-US" w:eastAsia="zh-CN" w:bidi="ar-SA"/>
        </w:rPr>
        <w:t>等</w:t>
      </w:r>
      <w:r>
        <w:rPr>
          <w:rFonts w:hint="eastAsia" w:ascii="仿宋_GB2312" w:hAnsi="Calibri" w:eastAsia="仿宋_GB2312" w:cs="仿宋"/>
          <w:color w:val="auto"/>
          <w:kern w:val="0"/>
          <w:sz w:val="32"/>
          <w:szCs w:val="32"/>
          <w:highlight w:val="none"/>
          <w:lang w:val="en-US" w:eastAsia="zh-CN" w:bidi="ar-SA"/>
        </w:rPr>
        <w:t>保险</w:t>
      </w:r>
      <w:r>
        <w:rPr>
          <w:rFonts w:hint="default" w:ascii="仿宋_GB2312" w:hAnsi="Calibri" w:eastAsia="仿宋_GB2312" w:cs="仿宋"/>
          <w:color w:val="auto"/>
          <w:kern w:val="0"/>
          <w:sz w:val="32"/>
          <w:szCs w:val="32"/>
          <w:highlight w:val="none"/>
          <w:lang w:val="en-US" w:eastAsia="zh-CN" w:bidi="ar-SA"/>
        </w:rPr>
        <w:t>方面的支出</w:t>
      </w:r>
      <w:r>
        <w:rPr>
          <w:rFonts w:hint="eastAsia" w:ascii="仿宋_GB2312" w:hAnsi="Calibri" w:eastAsia="仿宋_GB2312" w:cs="仿宋"/>
          <w:color w:val="auto"/>
          <w:kern w:val="0"/>
          <w:sz w:val="32"/>
          <w:szCs w:val="32"/>
          <w:highlight w:val="none"/>
          <w:lang w:val="en-US" w:eastAsia="zh-CN" w:bidi="ar-SA"/>
        </w:rPr>
        <w:t>。</w:t>
      </w:r>
      <w:r>
        <w:rPr>
          <w:rFonts w:hint="default" w:ascii="仿宋_GB2312" w:hAnsi="Calibri" w:eastAsia="仿宋_GB2312" w:cs="仿宋"/>
          <w:color w:val="auto"/>
          <w:kern w:val="0"/>
          <w:sz w:val="32"/>
          <w:szCs w:val="32"/>
          <w:highlight w:val="none"/>
          <w:lang w:val="en-US" w:eastAsia="zh-CN" w:bidi="ar-SA"/>
        </w:rPr>
        <w:t>　</w:t>
      </w:r>
    </w:p>
    <w:p w14:paraId="0653013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6.</w:t>
      </w:r>
      <w:r>
        <w:rPr>
          <w:rFonts w:hint="default" w:ascii="仿宋_GB2312" w:hAnsi="Calibri" w:eastAsia="仿宋_GB2312" w:cs="仿宋"/>
          <w:color w:val="auto"/>
          <w:kern w:val="0"/>
          <w:sz w:val="32"/>
          <w:szCs w:val="32"/>
          <w:highlight w:val="none"/>
          <w:lang w:val="en-US" w:eastAsia="zh-CN" w:bidi="ar-SA"/>
        </w:rPr>
        <w:t>卫生健康支出（类）行政事业单位医疗（款）行政单位医疗（项）：</w:t>
      </w:r>
      <w:r>
        <w:rPr>
          <w:rFonts w:hint="eastAsia" w:ascii="仿宋_GB2312" w:hAnsi="Calibri" w:eastAsia="仿宋_GB2312" w:cs="仿宋"/>
          <w:color w:val="auto"/>
          <w:kern w:val="0"/>
          <w:sz w:val="32"/>
          <w:szCs w:val="32"/>
          <w:highlight w:val="none"/>
          <w:lang w:val="en-US" w:eastAsia="zh-CN" w:bidi="ar-SA"/>
        </w:rPr>
        <w:t>公务员</w:t>
      </w:r>
      <w:r>
        <w:rPr>
          <w:rFonts w:hint="default" w:ascii="仿宋_GB2312" w:hAnsi="Calibri" w:eastAsia="仿宋_GB2312" w:cs="仿宋"/>
          <w:color w:val="auto"/>
          <w:kern w:val="0"/>
          <w:sz w:val="32"/>
          <w:szCs w:val="32"/>
          <w:highlight w:val="none"/>
          <w:lang w:val="en-US" w:eastAsia="zh-CN" w:bidi="ar-SA"/>
        </w:rPr>
        <w:t>按规定由单位缴纳的基本医疗保险支出。</w:t>
      </w:r>
    </w:p>
    <w:p w14:paraId="14E9F62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7.</w:t>
      </w:r>
      <w:r>
        <w:rPr>
          <w:rFonts w:hint="default" w:ascii="仿宋_GB2312" w:hAnsi="Calibri" w:eastAsia="仿宋_GB2312" w:cs="仿宋"/>
          <w:color w:val="auto"/>
          <w:kern w:val="0"/>
          <w:sz w:val="32"/>
          <w:szCs w:val="32"/>
          <w:highlight w:val="none"/>
          <w:lang w:val="en-US" w:eastAsia="zh-CN" w:bidi="ar-SA"/>
        </w:rPr>
        <w:t>卫生健康支出（类）行政事业单位医疗（款）事业单位医疗（项）：</w:t>
      </w:r>
      <w:r>
        <w:rPr>
          <w:rFonts w:hint="eastAsia" w:ascii="仿宋_GB2312" w:hAnsi="Calibri" w:eastAsia="仿宋_GB2312" w:cs="仿宋"/>
          <w:color w:val="auto"/>
          <w:kern w:val="0"/>
          <w:sz w:val="32"/>
          <w:szCs w:val="32"/>
          <w:highlight w:val="none"/>
          <w:lang w:val="en-US" w:eastAsia="zh-CN" w:bidi="ar-SA"/>
        </w:rPr>
        <w:t>事业人员</w:t>
      </w:r>
      <w:r>
        <w:rPr>
          <w:rFonts w:hint="default" w:ascii="仿宋_GB2312" w:hAnsi="Calibri" w:eastAsia="仿宋_GB2312" w:cs="仿宋"/>
          <w:color w:val="auto"/>
          <w:kern w:val="0"/>
          <w:sz w:val="32"/>
          <w:szCs w:val="32"/>
          <w:highlight w:val="none"/>
          <w:lang w:val="en-US" w:eastAsia="zh-CN" w:bidi="ar-SA"/>
        </w:rPr>
        <w:t>按规定由单位缴纳的基本医疗保险支出。</w:t>
      </w:r>
    </w:p>
    <w:p w14:paraId="65AF11A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0"/>
        <w:jc w:val="both"/>
        <w:textAlignment w:val="auto"/>
        <w:rPr>
          <w:rFonts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8.</w:t>
      </w:r>
      <w:r>
        <w:rPr>
          <w:rFonts w:hint="default" w:ascii="仿宋_GB2312" w:hAnsi="Calibri" w:eastAsia="仿宋_GB2312" w:cs="仿宋"/>
          <w:color w:val="auto"/>
          <w:kern w:val="0"/>
          <w:sz w:val="32"/>
          <w:szCs w:val="32"/>
          <w:highlight w:val="none"/>
          <w:lang w:val="en-US" w:eastAsia="zh-CN" w:bidi="ar-SA"/>
        </w:rPr>
        <w:t>住房保障（类）住房改革支出（款）住房公积金（项）：部门按人力资源和社会保障部、财政部规定的基本工资和津贴补贴以及规定比例</w:t>
      </w:r>
      <w:r>
        <w:rPr>
          <w:rFonts w:hint="default" w:ascii="仿宋_GB2312" w:hAnsi="微软雅黑" w:eastAsia="仿宋_GB2312" w:cs="仿宋_GB2312"/>
          <w:color w:val="auto"/>
          <w:sz w:val="31"/>
          <w:szCs w:val="31"/>
        </w:rPr>
        <w:t>为职工缴纳的住房公积金支出。</w:t>
      </w:r>
      <w:r>
        <w:rPr>
          <w:rFonts w:hint="eastAsia" w:ascii="仿宋_GB2312" w:eastAsia="仿宋_GB2312"/>
          <w:color w:val="auto"/>
          <w:sz w:val="32"/>
          <w:szCs w:val="32"/>
          <w:highlight w:val="none"/>
          <w:lang w:val="en-US" w:eastAsia="zh-CN"/>
        </w:rPr>
        <w:t>14</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2E5E3975">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9</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38A99BEC">
      <w:pPr>
        <w:pStyle w:val="27"/>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B0BDA17">
      <w:pPr>
        <w:pStyle w:val="27"/>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11</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EE1B293">
      <w:pPr>
        <w:spacing w:line="600" w:lineRule="exact"/>
        <w:jc w:val="center"/>
        <w:outlineLvl w:val="0"/>
        <w:rPr>
          <w:rStyle w:val="29"/>
          <w:rFonts w:ascii="黑体" w:hAnsi="黑体" w:eastAsia="黑体"/>
          <w:b w:val="0"/>
          <w:color w:val="auto"/>
          <w:highlight w:val="none"/>
        </w:rPr>
      </w:pPr>
      <w:bookmarkStart w:id="51" w:name="_Toc15377226"/>
      <w:r>
        <w:rPr>
          <w:rFonts w:ascii="宋体"/>
          <w:b/>
          <w:color w:val="auto"/>
          <w:sz w:val="44"/>
          <w:szCs w:val="44"/>
          <w:highlight w:val="none"/>
        </w:rPr>
        <w:br w:type="page"/>
      </w:r>
      <w:bookmarkStart w:id="52" w:name="_Toc15396614"/>
      <w:r>
        <w:rPr>
          <w:rFonts w:hint="eastAsia" w:ascii="黑体" w:hAnsi="黑体" w:eastAsia="黑体"/>
          <w:color w:val="auto"/>
          <w:sz w:val="44"/>
          <w:szCs w:val="44"/>
          <w:highlight w:val="none"/>
        </w:rPr>
        <w:t>第</w:t>
      </w:r>
      <w:r>
        <w:rPr>
          <w:rStyle w:val="29"/>
          <w:rFonts w:hint="eastAsia" w:ascii="黑体" w:hAnsi="黑体" w:eastAsia="黑体"/>
          <w:b w:val="0"/>
          <w:color w:val="auto"/>
          <w:highlight w:val="none"/>
        </w:rPr>
        <w:t>四部分 附件</w:t>
      </w:r>
      <w:bookmarkEnd w:id="52"/>
    </w:p>
    <w:p w14:paraId="7DF8F4B1">
      <w:pPr>
        <w:keepNext w:val="0"/>
        <w:keepLines w:val="0"/>
        <w:pageBreakBefore w:val="0"/>
        <w:kinsoku/>
        <w:wordWrap/>
        <w:overflowPunct/>
        <w:topLinePunct w:val="0"/>
        <w:autoSpaceDE/>
        <w:autoSpaceDN/>
        <w:bidi w:val="0"/>
        <w:spacing w:line="572" w:lineRule="exact"/>
        <w:jc w:val="left"/>
        <w:textAlignment w:val="auto"/>
        <w:outlineLvl w:val="0"/>
        <w:rPr>
          <w:rFonts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附件</w:t>
      </w:r>
    </w:p>
    <w:tbl>
      <w:tblPr>
        <w:tblStyle w:val="15"/>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77"/>
        <w:gridCol w:w="1470"/>
        <w:gridCol w:w="1530"/>
        <w:gridCol w:w="1313"/>
        <w:gridCol w:w="2410"/>
      </w:tblGrid>
      <w:tr w14:paraId="57F14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78421797">
            <w:pPr>
              <w:keepNext w:val="0"/>
              <w:keepLines w:val="0"/>
              <w:widowControl/>
              <w:suppressLineNumbers w:val="0"/>
              <w:spacing w:beforeAutospacing="0"/>
              <w:ind w:firstLine="1928" w:firstLineChars="600"/>
              <w:jc w:val="both"/>
              <w:textAlignment w:val="center"/>
              <w:rPr>
                <w:rFonts w:hint="eastAsia" w:ascii="宋体" w:hAnsi="宋体" w:eastAsia="宋体" w:cs="宋体"/>
                <w:b/>
                <w:i w:val="0"/>
                <w:color w:val="auto"/>
                <w:sz w:val="32"/>
                <w:szCs w:val="32"/>
                <w:u w:val="none"/>
              </w:rPr>
            </w:pPr>
            <w:bookmarkStart w:id="53" w:name="_Toc15396618"/>
            <w:r>
              <w:rPr>
                <w:rFonts w:hint="eastAsia" w:ascii="宋体" w:hAnsi="宋体" w:eastAsia="宋体" w:cs="宋体"/>
                <w:b/>
                <w:i w:val="0"/>
                <w:color w:val="auto"/>
                <w:sz w:val="32"/>
                <w:szCs w:val="32"/>
                <w:highlight w:val="none"/>
                <w:u w:val="none"/>
                <w:lang w:val="en-US" w:eastAsia="zh-CN"/>
              </w:rPr>
              <w:t>2021年部门预算</w:t>
            </w:r>
            <w:r>
              <w:rPr>
                <w:rFonts w:hint="eastAsia" w:ascii="宋体" w:hAnsi="宋体" w:cs="宋体"/>
                <w:b/>
                <w:i w:val="0"/>
                <w:color w:val="auto"/>
                <w:sz w:val="32"/>
                <w:szCs w:val="32"/>
                <w:highlight w:val="none"/>
                <w:u w:val="none"/>
                <w:lang w:val="en-US" w:eastAsia="zh-CN"/>
              </w:rPr>
              <w:t>网格化</w:t>
            </w:r>
            <w:r>
              <w:rPr>
                <w:rFonts w:hint="eastAsia" w:ascii="宋体" w:hAnsi="宋体" w:eastAsia="宋体" w:cs="宋体"/>
                <w:b/>
                <w:i w:val="0"/>
                <w:color w:val="auto"/>
                <w:sz w:val="32"/>
                <w:szCs w:val="32"/>
                <w:highlight w:val="none"/>
                <w:u w:val="none"/>
                <w:lang w:val="en-US" w:eastAsia="zh-CN"/>
              </w:rPr>
              <w:t>项目绩效目标自评</w:t>
            </w:r>
          </w:p>
        </w:tc>
      </w:tr>
      <w:tr w14:paraId="035B4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28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625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CFE66">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市委政法委</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D4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17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区委政法委</w:t>
            </w:r>
          </w:p>
        </w:tc>
      </w:tr>
      <w:tr w14:paraId="7189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D06D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70D307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6DF720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1DE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442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162.13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850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21B1">
            <w:pPr>
              <w:keepNext w:val="0"/>
              <w:keepLines w:val="0"/>
              <w:pageBreakBefore w:val="0"/>
              <w:widowControl/>
              <w:suppressLineNumbers w:val="0"/>
              <w:kinsoku/>
              <w:wordWrap/>
              <w:overflowPunct/>
              <w:topLinePunct w:val="0"/>
              <w:autoSpaceDE/>
              <w:autoSpaceDN/>
              <w:bidi w:val="0"/>
              <w:adjustRightInd/>
              <w:snapToGrid/>
              <w:spacing w:line="320" w:lineRule="exact"/>
              <w:jc w:val="righ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162.13</w:t>
            </w:r>
          </w:p>
        </w:tc>
      </w:tr>
      <w:tr w14:paraId="2DE35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9766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BF2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7F32E06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43A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162.13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31F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1E5B15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3574">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162.13</w:t>
            </w:r>
          </w:p>
        </w:tc>
      </w:tr>
      <w:tr w14:paraId="23A5B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4EB9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224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BD2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DE7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8C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1D8E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32F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107757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6164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79C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3EC5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55A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39DE4F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iCs w:val="0"/>
                <w:color w:val="000000"/>
                <w:kern w:val="0"/>
                <w:sz w:val="20"/>
                <w:szCs w:val="20"/>
                <w:u w:val="none"/>
                <w:lang w:val="en-US" w:eastAsia="zh-CN" w:bidi="ar"/>
              </w:rPr>
              <w:t>网格化服务管理最终实现信息数据全面掌控、社情民意全面收集、安全隐患及时排查整治、矛盾纠纷及时排查化解、代办服务快捷高效，特殊人群全面管制，达到“人在格上走、事在网中办”“数据多路跑、群众少动步、事在家门口办”的效果。</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A33896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iCs w:val="0"/>
                <w:color w:val="000000"/>
                <w:kern w:val="0"/>
                <w:sz w:val="20"/>
                <w:szCs w:val="20"/>
                <w:u w:val="none"/>
                <w:lang w:val="en-US" w:eastAsia="zh-CN" w:bidi="ar"/>
              </w:rPr>
              <w:t>全区网格员共报送事件处理17338件，通过网格员办结17310件，办结率99.8%，网格员协助开展流动人口申报登记272次，特殊人群服务管理6754次，协助开展基层食安工作626次，将256名刑释人员、74名社区矫正人员、384名吸毒人员、204名严重精神病患者纳入特殊人群管理。</w:t>
            </w:r>
          </w:p>
        </w:tc>
      </w:tr>
      <w:tr w14:paraId="70CE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11AB18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020F58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00A2AA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3F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07AEB7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83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33447C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68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74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6474A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49722E0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5D4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7EEBAD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254E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75C0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排查各类安全隐患</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899A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200件</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4BE2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657件</w:t>
            </w:r>
          </w:p>
        </w:tc>
      </w:tr>
      <w:tr w14:paraId="32F38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725867B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4B5C73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0FCB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F0EF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特殊人群服务管理</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0093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6000人次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BDC9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6754人次</w:t>
            </w:r>
          </w:p>
        </w:tc>
      </w:tr>
      <w:tr w14:paraId="6E20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47323A3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36EB9C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A260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9A6B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专兼职网格员队伍</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57FC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181人</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602C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181人</w:t>
            </w:r>
          </w:p>
        </w:tc>
      </w:tr>
      <w:tr w14:paraId="63B7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67386A4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920C3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5B17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DA53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网格员办结率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8523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D40E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99.8%</w:t>
            </w:r>
          </w:p>
        </w:tc>
      </w:tr>
      <w:tr w14:paraId="079F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28A57ED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0B2572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2159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D79E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参与调解矛盾纠纷成功率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DF5E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49E4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100%</w:t>
            </w:r>
          </w:p>
        </w:tc>
      </w:tr>
      <w:tr w14:paraId="094F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789F8F1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C217B2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48C8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0A09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完成时限</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E481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5341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1年</w:t>
            </w:r>
          </w:p>
        </w:tc>
      </w:tr>
      <w:tr w14:paraId="0344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20D5B9B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896EA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B1C1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9E2F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网格员补助</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8275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≤95.4万元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2DB0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95.4万元</w:t>
            </w:r>
          </w:p>
        </w:tc>
      </w:tr>
      <w:tr w14:paraId="0813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977" w:type="dxa"/>
            <w:vMerge w:val="continue"/>
            <w:tcBorders>
              <w:left w:val="single" w:color="000000" w:sz="4" w:space="0"/>
              <w:right w:val="single" w:color="000000" w:sz="4" w:space="0"/>
            </w:tcBorders>
            <w:shd w:val="clear" w:color="auto" w:fill="auto"/>
            <w:vAlign w:val="center"/>
          </w:tcPr>
          <w:p w14:paraId="185D681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C71E">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仿宋_GB2312" w:hAnsi="仿宋_GB2312" w:eastAsia="仿宋_GB2312" w:cs="仿宋_GB2312"/>
                <w:i w:val="0"/>
                <w:color w:val="auto"/>
                <w:kern w:val="0"/>
                <w:sz w:val="28"/>
                <w:szCs w:val="28"/>
                <w:u w:val="none"/>
                <w:lang w:val="en-US" w:eastAsia="zh-CN" w:bidi="ar"/>
              </w:rPr>
            </w:pPr>
          </w:p>
          <w:p w14:paraId="1632EA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018800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right w:val="single" w:color="000000" w:sz="4" w:space="0"/>
            </w:tcBorders>
            <w:shd w:val="clear" w:color="auto" w:fill="auto"/>
            <w:vAlign w:val="bottom"/>
          </w:tcPr>
          <w:p w14:paraId="1FBBD2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社会效益指标</w:t>
            </w:r>
          </w:p>
        </w:tc>
        <w:tc>
          <w:tcPr>
            <w:tcW w:w="1530" w:type="dxa"/>
            <w:tcBorders>
              <w:top w:val="single" w:color="000000" w:sz="4" w:space="0"/>
              <w:left w:val="single" w:color="000000" w:sz="4" w:space="0"/>
              <w:right w:val="single" w:color="000000" w:sz="4" w:space="0"/>
            </w:tcBorders>
            <w:shd w:val="clear" w:color="auto" w:fill="auto"/>
            <w:vAlign w:val="bottom"/>
          </w:tcPr>
          <w:p w14:paraId="6B27F9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提升社会治理水平，社会和谐稳定</w:t>
            </w:r>
          </w:p>
        </w:tc>
        <w:tc>
          <w:tcPr>
            <w:tcW w:w="1313" w:type="dxa"/>
            <w:tcBorders>
              <w:top w:val="single" w:color="000000" w:sz="4" w:space="0"/>
              <w:left w:val="single" w:color="000000" w:sz="4" w:space="0"/>
              <w:right w:val="single" w:color="000000" w:sz="4" w:space="0"/>
            </w:tcBorders>
            <w:shd w:val="clear" w:color="auto" w:fill="auto"/>
            <w:vAlign w:val="bottom"/>
          </w:tcPr>
          <w:p w14:paraId="067658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A786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eastAsia="zh-CN"/>
              </w:rPr>
            </w:pPr>
            <w:r>
              <w:rPr>
                <w:rFonts w:hint="eastAsia" w:ascii="仿宋_GB2312" w:hAnsi="仿宋_GB2312" w:eastAsia="仿宋_GB2312" w:cs="仿宋_GB2312"/>
                <w:i w:val="0"/>
                <w:color w:val="auto"/>
                <w:sz w:val="28"/>
                <w:szCs w:val="28"/>
                <w:u w:val="none"/>
                <w:lang w:eastAsia="zh-CN"/>
              </w:rPr>
              <w:t>优</w:t>
            </w:r>
          </w:p>
        </w:tc>
      </w:tr>
      <w:tr w14:paraId="4113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6C58E62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AD09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2DB42D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E31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207646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8FCC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人民群众满意度指标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273D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≥80%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BE8A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r>
    </w:tbl>
    <w:p w14:paraId="760562F8">
      <w:pPr>
        <w:spacing w:line="600" w:lineRule="exact"/>
        <w:jc w:val="both"/>
        <w:outlineLvl w:val="0"/>
        <w:rPr>
          <w:rFonts w:hint="eastAsia" w:ascii="黑体" w:hAnsi="黑体" w:eastAsia="黑体"/>
          <w:color w:val="auto"/>
          <w:sz w:val="44"/>
          <w:szCs w:val="44"/>
          <w:highlight w:val="none"/>
        </w:rPr>
      </w:pPr>
    </w:p>
    <w:tbl>
      <w:tblPr>
        <w:tblStyle w:val="15"/>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77"/>
        <w:gridCol w:w="1470"/>
        <w:gridCol w:w="1530"/>
        <w:gridCol w:w="1313"/>
        <w:gridCol w:w="2410"/>
      </w:tblGrid>
      <w:tr w14:paraId="6CA24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6F60CAF6">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auto"/>
                <w:sz w:val="32"/>
                <w:szCs w:val="32"/>
                <w:highlight w:val="none"/>
                <w:u w:val="none"/>
                <w:lang w:val="en-US" w:eastAsia="zh-CN"/>
              </w:rPr>
              <w:t>2021年部门预算铁路护路项目经费项目绩效目标自评</w:t>
            </w:r>
          </w:p>
        </w:tc>
      </w:tr>
      <w:tr w14:paraId="10B72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28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452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5C320">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市委政法委</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83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A2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区委政法委</w:t>
            </w:r>
          </w:p>
        </w:tc>
      </w:tr>
      <w:tr w14:paraId="0A77A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8EB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4D0E19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214621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854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14F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21.87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583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8BB7">
            <w:pPr>
              <w:keepNext w:val="0"/>
              <w:keepLines w:val="0"/>
              <w:pageBreakBefore w:val="0"/>
              <w:widowControl/>
              <w:suppressLineNumbers w:val="0"/>
              <w:kinsoku/>
              <w:wordWrap/>
              <w:overflowPunct/>
              <w:topLinePunct w:val="0"/>
              <w:autoSpaceDE/>
              <w:autoSpaceDN/>
              <w:bidi w:val="0"/>
              <w:adjustRightInd/>
              <w:snapToGrid/>
              <w:spacing w:line="320" w:lineRule="exact"/>
              <w:jc w:val="righ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21.87</w:t>
            </w:r>
          </w:p>
        </w:tc>
      </w:tr>
      <w:tr w14:paraId="1E8DA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6378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DF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384EAD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C92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21.87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888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0E1CD12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07DD">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21.87</w:t>
            </w:r>
          </w:p>
        </w:tc>
      </w:tr>
      <w:tr w14:paraId="35D4A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7DC4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11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7E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1EF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0E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18B2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13F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57E658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EDCB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45F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15E63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EC7D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B81713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iCs w:val="0"/>
                <w:color w:val="000000"/>
                <w:kern w:val="0"/>
                <w:sz w:val="20"/>
                <w:szCs w:val="20"/>
                <w:u w:val="none"/>
                <w:lang w:val="en-US" w:eastAsia="zh-CN" w:bidi="ar"/>
              </w:rPr>
              <w:t>及时排查整治铁路沿线安全隐患，保障列车运行安全。</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9C04EE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iCs w:val="0"/>
                <w:color w:val="000000"/>
                <w:kern w:val="0"/>
                <w:sz w:val="20"/>
                <w:szCs w:val="20"/>
                <w:u w:val="none"/>
                <w:lang w:val="en-US" w:eastAsia="zh-CN" w:bidi="ar"/>
              </w:rPr>
              <w:t>选优配强护路联防队员13名，及时保障护路队员物资设备及护路经费，按时发放平安铁道线和“铁道小卫士”奖励经费。持续开展铁路沿线环境综合治理专项行动，整治太公火车站、西成客专沿线彩钢棚、非法过道、硬漂浮物、违规取土放水、违法乱搭乱建等安全隐患27处，协助治理西成客专、广达铁路沿线地质滑坡点3处。确保了铁路安全“零”事故。连续15年被全省评为“平安铁道线”。</w:t>
            </w:r>
          </w:p>
        </w:tc>
      </w:tr>
      <w:tr w14:paraId="4899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45CBDE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64AFDD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743DC0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EF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6C74C4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29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7BB9EE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3A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5E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6A473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24DA12B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A16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7D0880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48E3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7210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开展爱路护路宣传</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C34E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≥2</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997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2</w:t>
            </w:r>
          </w:p>
        </w:tc>
      </w:tr>
      <w:tr w14:paraId="355B5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3DD9E19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4E8D9C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49DA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045A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护路联防队员人数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78B2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03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13名</w:t>
            </w:r>
          </w:p>
        </w:tc>
      </w:tr>
      <w:tr w14:paraId="74D5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28BE833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6AB5DB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14AE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8E95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线路巡逻</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F0C2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1次/天</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E6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1次/天</w:t>
            </w:r>
          </w:p>
        </w:tc>
      </w:tr>
      <w:tr w14:paraId="30ED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3C71497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5555C7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8E16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6CCB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网格员办结率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994F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7973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99.8%</w:t>
            </w:r>
          </w:p>
        </w:tc>
      </w:tr>
      <w:tr w14:paraId="1747D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55FF1CC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BB2173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88A2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71A5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护路联防，保障铁路安全无事故</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B112">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0事故</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32FF">
            <w:pPr>
              <w:keepNext w:val="0"/>
              <w:keepLines w:val="0"/>
              <w:widowControl/>
              <w:suppressLineNumbers w:val="0"/>
              <w:jc w:val="center"/>
              <w:textAlignment w:val="center"/>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0事故</w:t>
            </w:r>
          </w:p>
        </w:tc>
      </w:tr>
      <w:tr w14:paraId="3F3BE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066480C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9A35D1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1BF8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C4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完成时限</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9A7B">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9649">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1年</w:t>
            </w:r>
          </w:p>
        </w:tc>
      </w:tr>
      <w:tr w14:paraId="395AF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537CEEE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FA06DB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6727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74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铁路护路联防队员误工补助</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4E45">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≤18.3709万元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7756">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18.3709万元</w:t>
            </w:r>
          </w:p>
        </w:tc>
      </w:tr>
      <w:tr w14:paraId="1644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977" w:type="dxa"/>
            <w:vMerge w:val="continue"/>
            <w:tcBorders>
              <w:left w:val="single" w:color="000000" w:sz="4" w:space="0"/>
              <w:right w:val="single" w:color="000000" w:sz="4" w:space="0"/>
            </w:tcBorders>
            <w:shd w:val="clear" w:color="auto" w:fill="auto"/>
            <w:vAlign w:val="center"/>
          </w:tcPr>
          <w:p w14:paraId="3F7CD31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6C12">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仿宋_GB2312" w:hAnsi="仿宋_GB2312" w:eastAsia="仿宋_GB2312" w:cs="仿宋_GB2312"/>
                <w:i w:val="0"/>
                <w:color w:val="auto"/>
                <w:kern w:val="0"/>
                <w:sz w:val="28"/>
                <w:szCs w:val="28"/>
                <w:u w:val="none"/>
                <w:lang w:val="en-US" w:eastAsia="zh-CN" w:bidi="ar"/>
              </w:rPr>
            </w:pPr>
          </w:p>
          <w:p w14:paraId="3F2748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3BB080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right w:val="single" w:color="000000" w:sz="4" w:space="0"/>
            </w:tcBorders>
            <w:shd w:val="clear" w:color="auto" w:fill="auto"/>
            <w:vAlign w:val="bottom"/>
          </w:tcPr>
          <w:p w14:paraId="0EFE3A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社会效益指标</w:t>
            </w:r>
          </w:p>
        </w:tc>
        <w:tc>
          <w:tcPr>
            <w:tcW w:w="1530" w:type="dxa"/>
            <w:tcBorders>
              <w:top w:val="single" w:color="000000" w:sz="4" w:space="0"/>
              <w:left w:val="single" w:color="000000" w:sz="4" w:space="0"/>
              <w:right w:val="single" w:color="000000" w:sz="4" w:space="0"/>
            </w:tcBorders>
            <w:shd w:val="clear" w:color="auto" w:fill="auto"/>
            <w:vAlign w:val="center"/>
          </w:tcPr>
          <w:p w14:paraId="529911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保障铁路线路安全，维护社会和谐稳定</w:t>
            </w:r>
          </w:p>
        </w:tc>
        <w:tc>
          <w:tcPr>
            <w:tcW w:w="1313" w:type="dxa"/>
            <w:tcBorders>
              <w:top w:val="single" w:color="000000" w:sz="4" w:space="0"/>
              <w:left w:val="single" w:color="000000" w:sz="4" w:space="0"/>
              <w:right w:val="single" w:color="000000" w:sz="4" w:space="0"/>
            </w:tcBorders>
            <w:shd w:val="clear" w:color="auto" w:fill="auto"/>
            <w:vAlign w:val="center"/>
          </w:tcPr>
          <w:p w14:paraId="73518975">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5340">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eastAsia="zh-CN"/>
              </w:rPr>
            </w:pPr>
            <w:r>
              <w:rPr>
                <w:rFonts w:hint="eastAsia" w:ascii="宋体" w:hAnsi="宋体" w:eastAsia="宋体" w:cs="宋体"/>
                <w:i w:val="0"/>
                <w:iCs w:val="0"/>
                <w:color w:val="000000"/>
                <w:kern w:val="0"/>
                <w:sz w:val="20"/>
                <w:szCs w:val="20"/>
                <w:u w:val="none"/>
                <w:lang w:val="en-US" w:eastAsia="zh-CN" w:bidi="ar"/>
              </w:rPr>
              <w:t>优</w:t>
            </w:r>
          </w:p>
        </w:tc>
      </w:tr>
      <w:tr w14:paraId="6B6F7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17AD704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DC24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62C9A1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9858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5E9B24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D01C">
            <w:pPr>
              <w:keepNext w:val="0"/>
              <w:keepLines w:val="0"/>
              <w:widowControl/>
              <w:suppressLineNumbers w:val="0"/>
              <w:jc w:val="left"/>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人民群众满意度指标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110">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≥80%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29AB">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90%</w:t>
            </w:r>
          </w:p>
        </w:tc>
      </w:tr>
    </w:tbl>
    <w:p w14:paraId="430E4842">
      <w:pPr>
        <w:pStyle w:val="2"/>
        <w:rPr>
          <w:rFonts w:hint="eastAsia" w:ascii="黑体" w:hAnsi="黑体" w:eastAsia="黑体"/>
          <w:color w:val="auto"/>
          <w:sz w:val="44"/>
          <w:szCs w:val="44"/>
          <w:highlight w:val="none"/>
        </w:rPr>
      </w:pPr>
    </w:p>
    <w:tbl>
      <w:tblPr>
        <w:tblStyle w:val="15"/>
        <w:tblpPr w:leftFromText="180" w:rightFromText="180" w:vertAnchor="text" w:horzAnchor="page" w:tblpX="1281" w:tblpY="660"/>
        <w:tblOverlap w:val="never"/>
        <w:tblW w:w="95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77"/>
        <w:gridCol w:w="1470"/>
        <w:gridCol w:w="1650"/>
        <w:gridCol w:w="1193"/>
        <w:gridCol w:w="2410"/>
      </w:tblGrid>
      <w:tr w14:paraId="070DB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62F684FB">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auto"/>
                <w:sz w:val="32"/>
                <w:szCs w:val="32"/>
                <w:highlight w:val="none"/>
                <w:u w:val="none"/>
                <w:lang w:val="en-US" w:eastAsia="zh-CN"/>
              </w:rPr>
              <w:t>2021年部门预算</w:t>
            </w:r>
            <w:r>
              <w:rPr>
                <w:rFonts w:hint="eastAsia" w:ascii="宋体" w:hAnsi="宋体" w:cs="宋体"/>
                <w:b/>
                <w:i w:val="0"/>
                <w:color w:val="auto"/>
                <w:sz w:val="32"/>
                <w:szCs w:val="32"/>
                <w:highlight w:val="none"/>
                <w:u w:val="none"/>
                <w:lang w:val="en-US" w:eastAsia="zh-CN"/>
              </w:rPr>
              <w:t>维稳工作</w:t>
            </w:r>
            <w:r>
              <w:rPr>
                <w:rFonts w:hint="eastAsia" w:ascii="宋体" w:hAnsi="宋体" w:eastAsia="宋体" w:cs="宋体"/>
                <w:b/>
                <w:i w:val="0"/>
                <w:color w:val="auto"/>
                <w:sz w:val="32"/>
                <w:szCs w:val="32"/>
                <w:highlight w:val="none"/>
                <w:u w:val="none"/>
                <w:lang w:val="en-US" w:eastAsia="zh-CN"/>
              </w:rPr>
              <w:t>项目绩效目标自评</w:t>
            </w:r>
          </w:p>
        </w:tc>
      </w:tr>
      <w:tr w14:paraId="03222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28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72D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2D926">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市委政法委</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78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2F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区委政法委</w:t>
            </w:r>
          </w:p>
        </w:tc>
      </w:tr>
      <w:tr w14:paraId="79A67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9B1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5824FA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4C3C6E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4D5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631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93F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FAE3">
            <w:pPr>
              <w:keepNext w:val="0"/>
              <w:keepLines w:val="0"/>
              <w:pageBreakBefore w:val="0"/>
              <w:widowControl/>
              <w:suppressLineNumbers w:val="0"/>
              <w:kinsoku/>
              <w:wordWrap/>
              <w:overflowPunct/>
              <w:topLinePunct w:val="0"/>
              <w:autoSpaceDE/>
              <w:autoSpaceDN/>
              <w:bidi w:val="0"/>
              <w:adjustRightInd/>
              <w:snapToGrid/>
              <w:spacing w:line="320" w:lineRule="exact"/>
              <w:jc w:val="righ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30.00</w:t>
            </w:r>
          </w:p>
        </w:tc>
      </w:tr>
      <w:tr w14:paraId="28D4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364F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6FA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177F27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706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E84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57EBAE0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A24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30.00</w:t>
            </w:r>
          </w:p>
        </w:tc>
      </w:tr>
      <w:tr w14:paraId="391C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EC6F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A8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2B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3FA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DE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7BBDC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CE0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7CF4B3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4DC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CC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08D2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7D04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9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E35E37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 xml:space="preserve">召开维稳研判会议、工作推进会12次，开呢社会稳定风险评估5件次以上，开展维稳培训4场次，培训达标率90%以上，提升预测预警预防能力，提升化解涉稳问题业务能力，确保重大活动、重要节点期间“六个不发生”，社会大局平安和谐稳定。 </w:t>
            </w:r>
          </w:p>
        </w:tc>
        <w:tc>
          <w:tcPr>
            <w:tcW w:w="360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3A13F2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严厉打击邪教犯罪，</w:t>
            </w:r>
            <w:r>
              <w:rPr>
                <w:rFonts w:hint="eastAsia" w:ascii="宋体" w:hAnsi="宋体" w:eastAsia="宋体" w:cs="宋体"/>
                <w:i w:val="0"/>
                <w:color w:val="auto"/>
                <w:sz w:val="24"/>
                <w:szCs w:val="24"/>
                <w:u w:val="none"/>
              </w:rPr>
              <w:t>端掉跨省“全能神”邪教窝点1个，取缔</w:t>
            </w:r>
            <w:r>
              <w:rPr>
                <w:rFonts w:hint="eastAsia" w:ascii="宋体" w:hAnsi="宋体" w:eastAsia="宋体" w:cs="宋体"/>
                <w:i w:val="0"/>
                <w:color w:val="auto"/>
                <w:sz w:val="24"/>
                <w:szCs w:val="24"/>
                <w:u w:val="none"/>
                <w:lang w:eastAsia="zh-CN"/>
              </w:rPr>
              <w:t>精神传销有害培训</w:t>
            </w:r>
            <w:r>
              <w:rPr>
                <w:rFonts w:hint="eastAsia" w:ascii="宋体" w:hAnsi="宋体" w:eastAsia="宋体" w:cs="宋体"/>
                <w:i w:val="0"/>
                <w:color w:val="auto"/>
                <w:sz w:val="24"/>
                <w:szCs w:val="24"/>
                <w:u w:val="none"/>
              </w:rPr>
              <w:t>组织1个</w:t>
            </w:r>
            <w:r>
              <w:rPr>
                <w:rFonts w:hint="eastAsia" w:ascii="宋体" w:hAnsi="宋体" w:eastAsia="宋体" w:cs="宋体"/>
                <w:i w:val="0"/>
                <w:color w:val="auto"/>
                <w:sz w:val="24"/>
                <w:szCs w:val="24"/>
                <w:u w:val="none"/>
                <w:lang w:eastAsia="zh-CN"/>
              </w:rPr>
              <w:t>。</w:t>
            </w:r>
            <w:r>
              <w:rPr>
                <w:rFonts w:hint="eastAsia" w:ascii="宋体" w:hAnsi="宋体" w:eastAsia="宋体" w:cs="宋体"/>
                <w:i w:val="0"/>
                <w:color w:val="auto"/>
                <w:sz w:val="24"/>
                <w:szCs w:val="24"/>
                <w:u w:val="none"/>
                <w:lang w:val="en-US" w:eastAsia="zh-CN"/>
              </w:rPr>
              <w:t>完成重大事项</w:t>
            </w:r>
            <w:r>
              <w:rPr>
                <w:rFonts w:hint="eastAsia" w:ascii="宋体" w:hAnsi="宋体" w:eastAsia="宋体" w:cs="宋体"/>
                <w:i w:val="0"/>
                <w:color w:val="auto"/>
                <w:sz w:val="24"/>
                <w:szCs w:val="24"/>
                <w:u w:val="none"/>
              </w:rPr>
              <w:t>社会稳定风险评估</w:t>
            </w:r>
            <w:r>
              <w:rPr>
                <w:rFonts w:hint="eastAsia" w:ascii="宋体" w:hAnsi="宋体" w:eastAsia="宋体" w:cs="宋体"/>
                <w:i w:val="0"/>
                <w:color w:val="auto"/>
                <w:sz w:val="24"/>
                <w:szCs w:val="24"/>
                <w:u w:val="none"/>
                <w:lang w:val="en-US" w:eastAsia="zh-CN"/>
              </w:rPr>
              <w:t>115</w:t>
            </w:r>
            <w:r>
              <w:rPr>
                <w:rFonts w:hint="eastAsia" w:ascii="宋体" w:hAnsi="宋体" w:eastAsia="宋体" w:cs="宋体"/>
                <w:i w:val="0"/>
                <w:color w:val="auto"/>
                <w:sz w:val="24"/>
                <w:szCs w:val="24"/>
                <w:u w:val="none"/>
              </w:rPr>
              <w:t>件，</w:t>
            </w:r>
            <w:r>
              <w:rPr>
                <w:rFonts w:hint="eastAsia" w:ascii="宋体" w:hAnsi="宋体" w:eastAsia="宋体" w:cs="宋体"/>
                <w:i w:val="0"/>
                <w:color w:val="auto"/>
                <w:sz w:val="24"/>
                <w:szCs w:val="24"/>
                <w:u w:val="none"/>
                <w:lang w:val="en-US" w:eastAsia="zh-CN"/>
              </w:rPr>
              <w:t>对102名重点关注人员，落实领导包案和“一案一策”化解机制，569名社区五类重点人员管理服务，没有发生个人极端案事件。</w:t>
            </w:r>
          </w:p>
        </w:tc>
      </w:tr>
      <w:tr w14:paraId="52350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664C35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0EE91B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63239B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FB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5C16D4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8D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3479F4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ED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50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3824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595ECD3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866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4E453C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A1B6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23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召开研判会、工作推进会</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E55C">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≥12次/年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766E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12次/年</w:t>
            </w:r>
          </w:p>
        </w:tc>
      </w:tr>
      <w:tr w14:paraId="4197E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52C729E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330242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0561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D6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开展维稳督导</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1C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C7F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12次/年</w:t>
            </w:r>
          </w:p>
        </w:tc>
      </w:tr>
      <w:tr w14:paraId="7567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25353BE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163EB5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6493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E1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开展防范化解社会稳定风险调研</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AAF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2848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4次/年</w:t>
            </w:r>
          </w:p>
        </w:tc>
      </w:tr>
      <w:tr w14:paraId="712D6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6E374C1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6F49B0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EF0E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89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年度不发生规模性聚集和群体性事件，进京到省非访越级访控制在指标范围内</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71A7">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≤1件/人</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35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0</w:t>
            </w:r>
          </w:p>
        </w:tc>
      </w:tr>
      <w:tr w14:paraId="4DAA7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0ED5C44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577D5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31FF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43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完成时限</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88CC">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764A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1年</w:t>
            </w:r>
          </w:p>
        </w:tc>
      </w:tr>
      <w:tr w14:paraId="451C6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0825B53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53AEE9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4DA4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43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特殊敏感、重大活动、重要会议时期维稳支出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D1E0">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 xml:space="preserve"> 30</w:t>
            </w:r>
            <w:r>
              <w:rPr>
                <w:rFonts w:hint="eastAsia" w:ascii="宋体" w:hAnsi="宋体" w:eastAsia="宋体" w:cs="宋体"/>
                <w:i w:val="0"/>
                <w:iCs w:val="0"/>
                <w:color w:val="000000"/>
                <w:kern w:val="0"/>
                <w:sz w:val="20"/>
                <w:szCs w:val="20"/>
                <w:u w:val="none"/>
                <w:lang w:val="en-US" w:eastAsia="zh-CN" w:bidi="ar"/>
              </w:rPr>
              <w:t>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B0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cs="宋体"/>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万元</w:t>
            </w:r>
          </w:p>
        </w:tc>
      </w:tr>
      <w:tr w14:paraId="05270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977" w:type="dxa"/>
            <w:vMerge w:val="continue"/>
            <w:tcBorders>
              <w:left w:val="single" w:color="000000" w:sz="4" w:space="0"/>
              <w:right w:val="single" w:color="000000" w:sz="4" w:space="0"/>
            </w:tcBorders>
            <w:shd w:val="clear" w:color="auto" w:fill="auto"/>
            <w:vAlign w:val="center"/>
          </w:tcPr>
          <w:p w14:paraId="14FD362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CDB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仿宋_GB2312" w:hAnsi="仿宋_GB2312" w:eastAsia="仿宋_GB2312" w:cs="仿宋_GB2312"/>
                <w:i w:val="0"/>
                <w:color w:val="auto"/>
                <w:kern w:val="0"/>
                <w:sz w:val="28"/>
                <w:szCs w:val="28"/>
                <w:u w:val="none"/>
                <w:lang w:val="en-US" w:eastAsia="zh-CN" w:bidi="ar"/>
              </w:rPr>
            </w:pPr>
          </w:p>
          <w:p w14:paraId="555F9E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646D93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right w:val="single" w:color="000000" w:sz="4" w:space="0"/>
            </w:tcBorders>
            <w:shd w:val="clear" w:color="auto" w:fill="auto"/>
            <w:vAlign w:val="bottom"/>
          </w:tcPr>
          <w:p w14:paraId="052BA2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社会效益指标</w:t>
            </w:r>
          </w:p>
        </w:tc>
        <w:tc>
          <w:tcPr>
            <w:tcW w:w="1650" w:type="dxa"/>
            <w:tcBorders>
              <w:top w:val="single" w:color="000000" w:sz="4" w:space="0"/>
              <w:left w:val="single" w:color="000000" w:sz="4" w:space="0"/>
              <w:right w:val="single" w:color="000000" w:sz="4" w:space="0"/>
            </w:tcBorders>
            <w:shd w:val="clear" w:color="auto" w:fill="auto"/>
            <w:vAlign w:val="center"/>
          </w:tcPr>
          <w:p w14:paraId="0FF8A70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维护社会和谐稳定，进一步增强人民群众获得感幸福感和安全感</w:t>
            </w:r>
          </w:p>
        </w:tc>
        <w:tc>
          <w:tcPr>
            <w:tcW w:w="1193" w:type="dxa"/>
            <w:tcBorders>
              <w:top w:val="single" w:color="000000" w:sz="4" w:space="0"/>
              <w:left w:val="single" w:color="000000" w:sz="4" w:space="0"/>
              <w:right w:val="single" w:color="000000" w:sz="4" w:space="0"/>
            </w:tcBorders>
            <w:shd w:val="clear" w:color="auto" w:fill="auto"/>
            <w:vAlign w:val="center"/>
          </w:tcPr>
          <w:p w14:paraId="2C1A84B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3A07">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eastAsia="zh-CN"/>
              </w:rPr>
            </w:pPr>
            <w:r>
              <w:rPr>
                <w:rFonts w:hint="eastAsia" w:ascii="宋体" w:hAnsi="宋体" w:eastAsia="宋体" w:cs="宋体"/>
                <w:i w:val="0"/>
                <w:iCs w:val="0"/>
                <w:color w:val="000000"/>
                <w:kern w:val="0"/>
                <w:sz w:val="20"/>
                <w:szCs w:val="20"/>
                <w:u w:val="none"/>
                <w:lang w:val="en-US" w:eastAsia="zh-CN" w:bidi="ar"/>
              </w:rPr>
              <w:t>优</w:t>
            </w:r>
          </w:p>
        </w:tc>
      </w:tr>
      <w:tr w14:paraId="6B6D4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0C12686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CD63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0877C8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9364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681945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290C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人民群众满意度指标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786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≥85%</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A4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cs="宋体"/>
                <w:i w:val="0"/>
                <w:iCs w:val="0"/>
                <w:color w:val="000000"/>
                <w:kern w:val="0"/>
                <w:sz w:val="20"/>
                <w:szCs w:val="20"/>
                <w:u w:val="none"/>
                <w:lang w:val="en-US" w:eastAsia="zh-CN" w:bidi="ar"/>
              </w:rPr>
              <w:t>86</w:t>
            </w:r>
            <w:r>
              <w:rPr>
                <w:rFonts w:hint="eastAsia" w:ascii="宋体" w:hAnsi="宋体" w:eastAsia="宋体" w:cs="宋体"/>
                <w:i w:val="0"/>
                <w:iCs w:val="0"/>
                <w:color w:val="000000"/>
                <w:kern w:val="0"/>
                <w:sz w:val="20"/>
                <w:szCs w:val="20"/>
                <w:u w:val="none"/>
                <w:lang w:val="en-US" w:eastAsia="zh-CN" w:bidi="ar"/>
              </w:rPr>
              <w:t>%</w:t>
            </w:r>
          </w:p>
        </w:tc>
      </w:tr>
      <w:tr w14:paraId="3BC03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751D3470">
            <w:pPr>
              <w:pStyle w:val="2"/>
              <w:rPr>
                <w:rFonts w:hint="eastAsia" w:ascii="宋体" w:hAnsi="宋体" w:eastAsia="宋体" w:cs="宋体"/>
                <w:b/>
                <w:i w:val="0"/>
                <w:color w:val="auto"/>
                <w:sz w:val="32"/>
                <w:szCs w:val="32"/>
                <w:highlight w:val="none"/>
                <w:u w:val="none"/>
                <w:lang w:val="en-US" w:eastAsia="zh-CN"/>
              </w:rPr>
            </w:pPr>
          </w:p>
          <w:p w14:paraId="7E267873">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auto"/>
                <w:sz w:val="32"/>
                <w:szCs w:val="32"/>
                <w:highlight w:val="none"/>
                <w:u w:val="none"/>
                <w:lang w:val="en-US" w:eastAsia="zh-CN"/>
              </w:rPr>
              <w:t>2021年部门预算</w:t>
            </w:r>
            <w:r>
              <w:rPr>
                <w:rFonts w:hint="eastAsia" w:ascii="宋体" w:hAnsi="宋体" w:cs="宋体"/>
                <w:b/>
                <w:i w:val="0"/>
                <w:color w:val="auto"/>
                <w:sz w:val="32"/>
                <w:szCs w:val="32"/>
                <w:highlight w:val="none"/>
                <w:u w:val="none"/>
                <w:lang w:val="en-US" w:eastAsia="zh-CN"/>
              </w:rPr>
              <w:t>矛盾纠纷多元化解</w:t>
            </w:r>
            <w:r>
              <w:rPr>
                <w:rFonts w:hint="eastAsia" w:ascii="宋体" w:hAnsi="宋体" w:eastAsia="宋体" w:cs="宋体"/>
                <w:b/>
                <w:i w:val="0"/>
                <w:color w:val="auto"/>
                <w:sz w:val="32"/>
                <w:szCs w:val="32"/>
                <w:highlight w:val="none"/>
                <w:u w:val="none"/>
                <w:lang w:val="en-US" w:eastAsia="zh-CN"/>
              </w:rPr>
              <w:t>项目绩效目标自评</w:t>
            </w:r>
          </w:p>
        </w:tc>
      </w:tr>
      <w:tr w14:paraId="5B920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28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FCD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64371">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市委政法委</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95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FA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区委政法委</w:t>
            </w:r>
          </w:p>
        </w:tc>
      </w:tr>
      <w:tr w14:paraId="23666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95A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490F55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1BF423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1F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93F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81F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9772">
            <w:pPr>
              <w:keepNext w:val="0"/>
              <w:keepLines w:val="0"/>
              <w:pageBreakBefore w:val="0"/>
              <w:widowControl/>
              <w:suppressLineNumbers w:val="0"/>
              <w:kinsoku/>
              <w:wordWrap/>
              <w:overflowPunct/>
              <w:topLinePunct w:val="0"/>
              <w:autoSpaceDE/>
              <w:autoSpaceDN/>
              <w:bidi w:val="0"/>
              <w:adjustRightInd/>
              <w:snapToGrid/>
              <w:spacing w:line="320" w:lineRule="exact"/>
              <w:jc w:val="righ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r>
      <w:tr w14:paraId="10C54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9E04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B97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2006FC8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156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0A5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5E37C4F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A833">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r>
      <w:tr w14:paraId="39136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A74C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0CD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64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89B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F6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34ECC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9A0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5147DA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42E5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63E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3250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8816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9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DA4E4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通过和解、调解、公证、仲裁、行政裁决、行政复议等多种矛盾纠纷化解方式，构建非诉讼与诉讼方式有机衔接、协调联动的矛盾纠纷化解机制，为当事人提供多样、高效、便捷的矛盾纠纷解决途径和服务，矛盾纠纷调处成功率在90%以上，民事纠纷诉讼率明显降低。</w:t>
            </w:r>
          </w:p>
        </w:tc>
        <w:tc>
          <w:tcPr>
            <w:tcW w:w="360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8E408D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建立镇公共法律服务站12个，村（社区）公共法律服务室141个，法律顾问全覆盖。调整区、镇、村（社区）三级人民调解委员会，全面完成全区12个镇、150个村（社区）</w:t>
            </w:r>
            <w:r>
              <w:rPr>
                <w:rFonts w:hint="eastAsia" w:ascii="宋体" w:hAnsi="宋体" w:cs="宋体"/>
                <w:i w:val="0"/>
                <w:color w:val="auto"/>
                <w:sz w:val="24"/>
                <w:szCs w:val="24"/>
                <w:u w:val="none"/>
                <w:lang w:val="en-US" w:eastAsia="zh-CN"/>
              </w:rPr>
              <w:t>。</w:t>
            </w:r>
          </w:p>
        </w:tc>
      </w:tr>
      <w:tr w14:paraId="31E10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65915F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76122B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3224FA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F8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4176F9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02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74849C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1D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FC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3BE1E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7D50F78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B0E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6FC401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D828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F48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调解纠纷数量</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641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≥500件</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E2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3697件</w:t>
            </w:r>
          </w:p>
        </w:tc>
      </w:tr>
      <w:tr w14:paraId="23C2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4AEB2C5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78CDA4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05D3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C9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多元化解工作督导、指导</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A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D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12次/年</w:t>
            </w:r>
          </w:p>
        </w:tc>
      </w:tr>
      <w:tr w14:paraId="2E20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6D096D0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5AC2CF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A018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354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召开工作协调会、工作推进会</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A5E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≥2场次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C7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2场次</w:t>
            </w:r>
          </w:p>
        </w:tc>
      </w:tr>
      <w:tr w14:paraId="7A2F5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6F94EF9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064266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92E3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24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调解成功率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FEAB">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08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w:t>
            </w:r>
          </w:p>
        </w:tc>
      </w:tr>
      <w:tr w14:paraId="2BC88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05FC445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B08783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7365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04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完成时限</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A0BE">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651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1年</w:t>
            </w:r>
          </w:p>
        </w:tc>
      </w:tr>
      <w:tr w14:paraId="5868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2D129F0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E76119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E778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F7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严控成本</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399A">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10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20万元</w:t>
            </w:r>
          </w:p>
        </w:tc>
      </w:tr>
      <w:tr w14:paraId="16D8C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977" w:type="dxa"/>
            <w:vMerge w:val="continue"/>
            <w:tcBorders>
              <w:left w:val="single" w:color="000000" w:sz="4" w:space="0"/>
              <w:right w:val="single" w:color="000000" w:sz="4" w:space="0"/>
            </w:tcBorders>
            <w:shd w:val="clear" w:color="auto" w:fill="auto"/>
            <w:vAlign w:val="center"/>
          </w:tcPr>
          <w:p w14:paraId="4D2B940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632E">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仿宋_GB2312" w:hAnsi="仿宋_GB2312" w:eastAsia="仿宋_GB2312" w:cs="仿宋_GB2312"/>
                <w:i w:val="0"/>
                <w:color w:val="auto"/>
                <w:kern w:val="0"/>
                <w:sz w:val="28"/>
                <w:szCs w:val="28"/>
                <w:u w:val="none"/>
                <w:lang w:val="en-US" w:eastAsia="zh-CN" w:bidi="ar"/>
              </w:rPr>
            </w:pPr>
          </w:p>
          <w:p w14:paraId="2B65BD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69F071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right w:val="single" w:color="000000" w:sz="4" w:space="0"/>
            </w:tcBorders>
            <w:shd w:val="clear" w:color="auto" w:fill="auto"/>
            <w:vAlign w:val="bottom"/>
          </w:tcPr>
          <w:p w14:paraId="13200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社会效益指标</w:t>
            </w:r>
          </w:p>
        </w:tc>
        <w:tc>
          <w:tcPr>
            <w:tcW w:w="1650" w:type="dxa"/>
            <w:tcBorders>
              <w:top w:val="single" w:color="000000" w:sz="4" w:space="0"/>
              <w:left w:val="single" w:color="000000" w:sz="4" w:space="0"/>
              <w:right w:val="single" w:color="000000" w:sz="4" w:space="0"/>
            </w:tcBorders>
            <w:shd w:val="clear" w:color="auto" w:fill="auto"/>
            <w:vAlign w:val="center"/>
          </w:tcPr>
          <w:p w14:paraId="4B0FA8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群众对当地社会认可，满意度幸福感增加</w:t>
            </w:r>
          </w:p>
        </w:tc>
        <w:tc>
          <w:tcPr>
            <w:tcW w:w="1193" w:type="dxa"/>
            <w:tcBorders>
              <w:top w:val="single" w:color="000000" w:sz="4" w:space="0"/>
              <w:left w:val="single" w:color="000000" w:sz="4" w:space="0"/>
              <w:right w:val="single" w:color="000000" w:sz="4" w:space="0"/>
            </w:tcBorders>
            <w:shd w:val="clear" w:color="auto" w:fill="auto"/>
            <w:vAlign w:val="center"/>
          </w:tcPr>
          <w:p w14:paraId="7BFF90B1">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898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eastAsia="zh-CN"/>
              </w:rPr>
            </w:pPr>
            <w:r>
              <w:rPr>
                <w:rFonts w:hint="eastAsia" w:ascii="宋体" w:hAnsi="宋体" w:eastAsia="宋体" w:cs="宋体"/>
                <w:i w:val="0"/>
                <w:iCs w:val="0"/>
                <w:color w:val="000000"/>
                <w:kern w:val="0"/>
                <w:sz w:val="20"/>
                <w:szCs w:val="20"/>
                <w:u w:val="none"/>
                <w:lang w:val="en-US" w:eastAsia="zh-CN" w:bidi="ar"/>
              </w:rPr>
              <w:t>优</w:t>
            </w:r>
          </w:p>
        </w:tc>
      </w:tr>
      <w:tr w14:paraId="206EB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5"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5E29129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6EF7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77A31C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6C0F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651E11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06C1">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EE7A">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20"/>
                <w:szCs w:val="20"/>
                <w:u w:val="none"/>
                <w:lang w:val="en-US" w:eastAsia="zh-CN" w:bidi="ar"/>
              </w:rPr>
              <w:t>≥85%</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13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20"/>
                <w:szCs w:val="20"/>
                <w:u w:val="none"/>
                <w:lang w:val="en-US" w:eastAsia="zh-CN" w:bidi="ar"/>
              </w:rPr>
              <w:t>≥85%</w:t>
            </w:r>
          </w:p>
        </w:tc>
      </w:tr>
    </w:tbl>
    <w:p w14:paraId="6B0C177F">
      <w:pPr>
        <w:pStyle w:val="2"/>
        <w:rPr>
          <w:rFonts w:hint="eastAsia" w:ascii="黑体" w:hAnsi="黑体" w:eastAsia="黑体"/>
          <w:color w:val="auto"/>
          <w:sz w:val="44"/>
          <w:szCs w:val="44"/>
          <w:highlight w:val="none"/>
        </w:rPr>
      </w:pPr>
    </w:p>
    <w:p w14:paraId="60E59908">
      <w:pPr>
        <w:pStyle w:val="2"/>
        <w:rPr>
          <w:rFonts w:hint="eastAsia" w:ascii="黑体" w:hAnsi="黑体" w:eastAsia="黑体"/>
          <w:color w:val="auto"/>
          <w:sz w:val="44"/>
          <w:szCs w:val="44"/>
          <w:highlight w:val="none"/>
        </w:rPr>
      </w:pPr>
    </w:p>
    <w:p w14:paraId="2789065A">
      <w:pPr>
        <w:pStyle w:val="2"/>
        <w:rPr>
          <w:rFonts w:hint="eastAsia" w:ascii="黑体" w:hAnsi="黑体" w:eastAsia="黑体"/>
          <w:color w:val="auto"/>
          <w:sz w:val="44"/>
          <w:szCs w:val="44"/>
          <w:highlight w:val="none"/>
        </w:rPr>
      </w:pPr>
    </w:p>
    <w:tbl>
      <w:tblPr>
        <w:tblStyle w:val="15"/>
        <w:tblpPr w:leftFromText="180" w:rightFromText="180" w:vertAnchor="text" w:horzAnchor="page" w:tblpX="1281" w:tblpY="660"/>
        <w:tblOverlap w:val="never"/>
        <w:tblW w:w="95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77"/>
        <w:gridCol w:w="1470"/>
        <w:gridCol w:w="1530"/>
        <w:gridCol w:w="1313"/>
        <w:gridCol w:w="2410"/>
      </w:tblGrid>
      <w:tr w14:paraId="3C8BD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08ECDEDF">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auto"/>
                <w:sz w:val="32"/>
                <w:szCs w:val="32"/>
                <w:highlight w:val="none"/>
                <w:u w:val="none"/>
                <w:lang w:val="en-US" w:eastAsia="zh-CN"/>
              </w:rPr>
              <w:t>2021年部门预算</w:t>
            </w:r>
            <w:r>
              <w:rPr>
                <w:rFonts w:hint="eastAsia" w:ascii="宋体" w:hAnsi="宋体" w:cs="宋体"/>
                <w:b/>
                <w:i w:val="0"/>
                <w:color w:val="auto"/>
                <w:sz w:val="32"/>
                <w:szCs w:val="32"/>
                <w:highlight w:val="none"/>
                <w:u w:val="none"/>
                <w:lang w:val="en-US" w:eastAsia="zh-CN"/>
              </w:rPr>
              <w:t>平安昭化建设</w:t>
            </w:r>
            <w:r>
              <w:rPr>
                <w:rFonts w:hint="eastAsia" w:ascii="宋体" w:hAnsi="宋体" w:eastAsia="宋体" w:cs="宋体"/>
                <w:b/>
                <w:i w:val="0"/>
                <w:color w:val="auto"/>
                <w:sz w:val="32"/>
                <w:szCs w:val="32"/>
                <w:highlight w:val="none"/>
                <w:u w:val="none"/>
                <w:lang w:val="en-US" w:eastAsia="zh-CN"/>
              </w:rPr>
              <w:t>项目绩效目标自评</w:t>
            </w:r>
          </w:p>
        </w:tc>
      </w:tr>
      <w:tr w14:paraId="5B10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28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1D9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E3751">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市委政法委</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75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20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lang w:eastAsia="zh-CN"/>
              </w:rPr>
            </w:pPr>
            <w:r>
              <w:rPr>
                <w:rFonts w:hint="eastAsia" w:ascii="宋体" w:hAnsi="宋体" w:cs="宋体"/>
                <w:i w:val="0"/>
                <w:color w:val="auto"/>
                <w:sz w:val="24"/>
                <w:szCs w:val="24"/>
                <w:u w:val="none"/>
                <w:lang w:eastAsia="zh-CN"/>
              </w:rPr>
              <w:t>区委政法委</w:t>
            </w:r>
          </w:p>
        </w:tc>
      </w:tr>
      <w:tr w14:paraId="57EB9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0B4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项目预算</w:t>
            </w:r>
          </w:p>
          <w:p w14:paraId="2E51B0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执行情况</w:t>
            </w:r>
          </w:p>
          <w:p w14:paraId="3D1958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BA3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794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1AA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1616">
            <w:pPr>
              <w:keepNext w:val="0"/>
              <w:keepLines w:val="0"/>
              <w:pageBreakBefore w:val="0"/>
              <w:widowControl/>
              <w:suppressLineNumbers w:val="0"/>
              <w:kinsoku/>
              <w:wordWrap/>
              <w:overflowPunct/>
              <w:topLinePunct w:val="0"/>
              <w:autoSpaceDE/>
              <w:autoSpaceDN/>
              <w:bidi w:val="0"/>
              <w:adjustRightInd/>
              <w:snapToGrid/>
              <w:spacing w:line="320" w:lineRule="exact"/>
              <w:jc w:val="righ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r>
      <w:tr w14:paraId="489D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B8C1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0B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21E2CCC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61C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29A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72486F2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E8A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20.00</w:t>
            </w:r>
          </w:p>
        </w:tc>
      </w:tr>
      <w:tr w14:paraId="06D73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1638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A1C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C1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DC0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0E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2E40F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089C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71794B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BFD8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829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0F73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DABC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87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237CF9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2"/>
                <w:szCs w:val="22"/>
                <w:u w:val="none"/>
              </w:rPr>
              <w:t>防范和化解影响我国现代化进程的各种风险，筑牢国家安全屏障，确保人民安居乐业、社会安定有序、国家长治久安。把专项治理和系统治理、综合治理、依法治理、源头治理结合起来，正确处理维权和维稳、秩序和活力等关系，全面提升平安中国建设科学化、社会化、法治化、智能化水平。</w:t>
            </w:r>
          </w:p>
        </w:tc>
        <w:tc>
          <w:tcPr>
            <w:tcW w:w="372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B5D107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持</w:t>
            </w:r>
            <w:r>
              <w:rPr>
                <w:rFonts w:hint="eastAsia" w:ascii="宋体" w:hAnsi="宋体" w:eastAsia="宋体" w:cs="宋体"/>
                <w:i w:val="0"/>
                <w:color w:val="auto"/>
                <w:sz w:val="22"/>
                <w:szCs w:val="22"/>
                <w:u w:val="none"/>
              </w:rPr>
              <w:t>续开展安全隐患排查整治不少于2次，继续深化危爆物品清理整顿2次，开展平安建设工作督导、指导不12次，开展“六无”平安村（社区）创建不4批次。形成问题联治、工作联动、平安联创的良好局面。不断增强人民群众获得感、幸福感、安全感。</w:t>
            </w:r>
          </w:p>
        </w:tc>
      </w:tr>
      <w:tr w14:paraId="50A0A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6D9CE1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2DF3FE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0455BB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09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3A7DAD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FA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0C249A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0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A2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1F30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3C5DC76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4B7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19F136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A895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DBD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平安建设工作督导、指导</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6E8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≥12次/年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BE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12次/年</w:t>
            </w:r>
          </w:p>
        </w:tc>
      </w:tr>
      <w:tr w14:paraId="287B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679D0B9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6B9A0E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AD57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460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持续开展安全隐患排查整治</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E8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≥2次/年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78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2次/年</w:t>
            </w:r>
          </w:p>
        </w:tc>
      </w:tr>
      <w:tr w14:paraId="57F1D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14521DF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left w:val="single" w:color="000000" w:sz="4" w:space="0"/>
              <w:right w:val="single" w:color="000000" w:sz="4" w:space="0"/>
            </w:tcBorders>
            <w:shd w:val="clear" w:color="auto" w:fill="auto"/>
            <w:vAlign w:val="center"/>
          </w:tcPr>
          <w:p w14:paraId="2871C5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970E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270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平安建设工作宣传</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AA2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≥4场次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52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4场次</w:t>
            </w:r>
          </w:p>
        </w:tc>
      </w:tr>
      <w:tr w14:paraId="3EF08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06D19C6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5EE35C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B0BD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65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深入基层开展平安创建，加强宣传引导和平安昭化建设</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CA83">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2F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eastAsia="zh-CN"/>
              </w:rPr>
            </w:pPr>
            <w:r>
              <w:rPr>
                <w:rFonts w:hint="eastAsia" w:ascii="宋体" w:hAnsi="宋体" w:eastAsia="宋体" w:cs="宋体"/>
                <w:i w:val="0"/>
                <w:iCs w:val="0"/>
                <w:color w:val="000000"/>
                <w:kern w:val="0"/>
                <w:sz w:val="19"/>
                <w:szCs w:val="19"/>
                <w:u w:val="none"/>
                <w:lang w:val="en-US" w:eastAsia="zh-CN" w:bidi="ar"/>
              </w:rPr>
              <w:t>优</w:t>
            </w:r>
          </w:p>
        </w:tc>
      </w:tr>
      <w:tr w14:paraId="5EFB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481372F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C1DE3C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E3E9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12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每年持续开展</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715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19"/>
                <w:szCs w:val="19"/>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AF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1年</w:t>
            </w:r>
          </w:p>
        </w:tc>
      </w:tr>
      <w:tr w14:paraId="313B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6CBBE46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B15EB1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D1B6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54E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严控成本</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170A">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≤20万元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1F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宋体" w:hAnsi="宋体" w:eastAsia="宋体" w:cs="宋体"/>
                <w:i w:val="0"/>
                <w:iCs w:val="0"/>
                <w:color w:val="000000"/>
                <w:kern w:val="0"/>
                <w:sz w:val="19"/>
                <w:szCs w:val="19"/>
                <w:u w:val="none"/>
                <w:lang w:val="en-US" w:eastAsia="zh-CN" w:bidi="ar"/>
              </w:rPr>
              <w:t>20万元</w:t>
            </w:r>
          </w:p>
        </w:tc>
      </w:tr>
      <w:tr w14:paraId="437DD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977" w:type="dxa"/>
            <w:vMerge w:val="continue"/>
            <w:tcBorders>
              <w:left w:val="single" w:color="000000" w:sz="4" w:space="0"/>
              <w:right w:val="single" w:color="000000" w:sz="4" w:space="0"/>
            </w:tcBorders>
            <w:shd w:val="clear" w:color="auto" w:fill="auto"/>
            <w:vAlign w:val="center"/>
          </w:tcPr>
          <w:p w14:paraId="0AFCE64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E7E7">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仿宋_GB2312" w:hAnsi="仿宋_GB2312" w:eastAsia="仿宋_GB2312" w:cs="仿宋_GB2312"/>
                <w:i w:val="0"/>
                <w:color w:val="auto"/>
                <w:kern w:val="0"/>
                <w:sz w:val="28"/>
                <w:szCs w:val="28"/>
                <w:u w:val="none"/>
                <w:lang w:val="en-US" w:eastAsia="zh-CN" w:bidi="ar"/>
              </w:rPr>
            </w:pPr>
          </w:p>
          <w:p w14:paraId="25A4B6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效益</w:t>
            </w:r>
          </w:p>
          <w:p w14:paraId="0374EC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470" w:type="dxa"/>
            <w:tcBorders>
              <w:top w:val="single" w:color="000000" w:sz="4" w:space="0"/>
              <w:left w:val="single" w:color="000000" w:sz="4" w:space="0"/>
              <w:right w:val="single" w:color="000000" w:sz="4" w:space="0"/>
            </w:tcBorders>
            <w:shd w:val="clear" w:color="auto" w:fill="auto"/>
            <w:vAlign w:val="bottom"/>
          </w:tcPr>
          <w:p w14:paraId="2BD7E1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社会效益指标</w:t>
            </w:r>
          </w:p>
        </w:tc>
        <w:tc>
          <w:tcPr>
            <w:tcW w:w="1530" w:type="dxa"/>
            <w:tcBorders>
              <w:top w:val="single" w:color="000000" w:sz="4" w:space="0"/>
              <w:left w:val="single" w:color="000000" w:sz="4" w:space="0"/>
              <w:right w:val="single" w:color="000000" w:sz="4" w:space="0"/>
            </w:tcBorders>
            <w:shd w:val="clear" w:color="auto" w:fill="auto"/>
            <w:vAlign w:val="center"/>
          </w:tcPr>
          <w:p w14:paraId="19A35EF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9"/>
                <w:szCs w:val="19"/>
                <w:u w:val="none"/>
                <w:lang w:val="en-US" w:eastAsia="zh-CN" w:bidi="ar"/>
              </w:rPr>
              <w:t>维护社会和谐稳定，护航经济发展，提升群众获得感幸福感和安全感</w:t>
            </w:r>
          </w:p>
        </w:tc>
        <w:tc>
          <w:tcPr>
            <w:tcW w:w="1313" w:type="dxa"/>
            <w:tcBorders>
              <w:top w:val="single" w:color="000000" w:sz="4" w:space="0"/>
              <w:left w:val="single" w:color="000000" w:sz="4" w:space="0"/>
              <w:right w:val="single" w:color="000000" w:sz="4" w:space="0"/>
            </w:tcBorders>
            <w:shd w:val="clear" w:color="auto" w:fill="auto"/>
            <w:vAlign w:val="center"/>
          </w:tcPr>
          <w:p w14:paraId="2B401FF3">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优良中差</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5C65">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lang w:eastAsia="zh-CN"/>
              </w:rPr>
            </w:pPr>
            <w:r>
              <w:rPr>
                <w:rFonts w:hint="eastAsia" w:ascii="宋体" w:hAnsi="宋体" w:eastAsia="宋体" w:cs="宋体"/>
                <w:i w:val="0"/>
                <w:iCs w:val="0"/>
                <w:color w:val="000000"/>
                <w:kern w:val="0"/>
                <w:sz w:val="19"/>
                <w:szCs w:val="19"/>
                <w:u w:val="none"/>
                <w:lang w:val="en-US" w:eastAsia="zh-CN" w:bidi="ar"/>
              </w:rPr>
              <w:t>优</w:t>
            </w:r>
          </w:p>
        </w:tc>
      </w:tr>
      <w:tr w14:paraId="56D5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7F31F2E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518A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w:t>
            </w:r>
          </w:p>
          <w:p w14:paraId="5D93F6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度指标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F2D9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6E7324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651B">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群众对当地社会治安满意度</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2743">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≥80%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66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eastAsia="宋体" w:cs="宋体"/>
                <w:i w:val="0"/>
                <w:iCs w:val="0"/>
                <w:color w:val="000000"/>
                <w:kern w:val="0"/>
                <w:sz w:val="19"/>
                <w:szCs w:val="19"/>
                <w:u w:val="none"/>
                <w:lang w:val="en-US" w:eastAsia="zh-CN" w:bidi="ar"/>
              </w:rPr>
              <w:t>8</w:t>
            </w:r>
            <w:r>
              <w:rPr>
                <w:rFonts w:hint="eastAsia" w:ascii="宋体" w:hAnsi="宋体" w:cs="宋体"/>
                <w:i w:val="0"/>
                <w:iCs w:val="0"/>
                <w:color w:val="000000"/>
                <w:kern w:val="0"/>
                <w:sz w:val="19"/>
                <w:szCs w:val="19"/>
                <w:u w:val="none"/>
                <w:lang w:val="en-US" w:eastAsia="zh-CN" w:bidi="ar"/>
              </w:rPr>
              <w:t>7</w:t>
            </w:r>
            <w:r>
              <w:rPr>
                <w:rFonts w:hint="eastAsia" w:ascii="宋体" w:hAnsi="宋体" w:eastAsia="宋体" w:cs="宋体"/>
                <w:i w:val="0"/>
                <w:iCs w:val="0"/>
                <w:color w:val="000000"/>
                <w:kern w:val="0"/>
                <w:sz w:val="19"/>
                <w:szCs w:val="19"/>
                <w:u w:val="none"/>
                <w:lang w:val="en-US" w:eastAsia="zh-CN" w:bidi="ar"/>
              </w:rPr>
              <w:t>%</w:t>
            </w:r>
          </w:p>
        </w:tc>
      </w:tr>
    </w:tbl>
    <w:p w14:paraId="5EED46F9">
      <w:pPr>
        <w:pStyle w:val="2"/>
        <w:rPr>
          <w:rFonts w:hint="eastAsia" w:ascii="黑体" w:hAnsi="黑体" w:eastAsia="黑体"/>
          <w:color w:val="auto"/>
          <w:sz w:val="44"/>
          <w:szCs w:val="44"/>
          <w:highlight w:val="none"/>
        </w:rPr>
      </w:pPr>
    </w:p>
    <w:p w14:paraId="11977F7E">
      <w:pPr>
        <w:pStyle w:val="2"/>
        <w:rPr>
          <w:rFonts w:hint="eastAsia" w:ascii="黑体" w:hAnsi="黑体" w:eastAsia="黑体"/>
          <w:color w:val="auto"/>
          <w:sz w:val="44"/>
          <w:szCs w:val="44"/>
          <w:highlight w:val="none"/>
        </w:rPr>
      </w:pPr>
    </w:p>
    <w:p w14:paraId="33CC142C">
      <w:pPr>
        <w:pStyle w:val="2"/>
        <w:rPr>
          <w:rFonts w:hint="eastAsia" w:ascii="黑体" w:hAnsi="黑体" w:eastAsia="黑体"/>
          <w:color w:val="auto"/>
          <w:sz w:val="44"/>
          <w:szCs w:val="44"/>
          <w:highlight w:val="none"/>
        </w:rPr>
      </w:pPr>
    </w:p>
    <w:p w14:paraId="72233B27">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29"/>
          <w:rFonts w:hint="eastAsia" w:ascii="黑体" w:hAnsi="黑体" w:eastAsia="黑体"/>
          <w:b w:val="0"/>
          <w:color w:val="auto"/>
          <w:highlight w:val="none"/>
        </w:rPr>
        <w:t>五部分 附表</w:t>
      </w:r>
      <w:bookmarkEnd w:id="51"/>
      <w:bookmarkEnd w:id="53"/>
      <w:bookmarkStart w:id="54" w:name="_Toc15396619"/>
    </w:p>
    <w:p w14:paraId="03BD339E">
      <w:pPr>
        <w:pStyle w:val="4"/>
        <w:rPr>
          <w:rFonts w:ascii="仿宋" w:hAnsi="仿宋" w:eastAsia="仿宋"/>
          <w:color w:val="auto"/>
          <w:highlight w:val="none"/>
        </w:rPr>
      </w:pPr>
      <w:r>
        <w:rPr>
          <w:rFonts w:hint="eastAsia" w:ascii="仿宋" w:hAnsi="仿宋" w:eastAsia="仿宋"/>
          <w:b w:val="0"/>
          <w:color w:val="auto"/>
          <w:highlight w:val="none"/>
        </w:rPr>
        <w:t>一、收</w:t>
      </w:r>
      <w:r>
        <w:rPr>
          <w:rStyle w:val="30"/>
          <w:rFonts w:hint="eastAsia" w:ascii="仿宋" w:hAnsi="仿宋" w:eastAsia="仿宋"/>
          <w:b w:val="0"/>
          <w:bCs w:val="0"/>
          <w:color w:val="auto"/>
          <w:highlight w:val="none"/>
        </w:rPr>
        <w:t>入支出决算总表</w:t>
      </w:r>
      <w:bookmarkEnd w:id="54"/>
    </w:p>
    <w:p w14:paraId="22660B58">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30"/>
          <w:rFonts w:hint="eastAsia" w:ascii="仿宋" w:hAnsi="仿宋" w:eastAsia="仿宋"/>
          <w:b w:val="0"/>
          <w:bCs w:val="0"/>
          <w:color w:val="auto"/>
          <w:highlight w:val="none"/>
        </w:rPr>
        <w:t>入决算表</w:t>
      </w:r>
      <w:bookmarkEnd w:id="55"/>
    </w:p>
    <w:p w14:paraId="4E6F4FAA">
      <w:pPr>
        <w:pStyle w:val="4"/>
        <w:rPr>
          <w:rFonts w:ascii="仿宋" w:hAnsi="仿宋" w:eastAsia="仿宋"/>
          <w:color w:val="auto"/>
          <w:highlight w:val="none"/>
        </w:rPr>
      </w:pPr>
      <w:bookmarkStart w:id="56" w:name="_Toc15396621"/>
      <w:r>
        <w:rPr>
          <w:rStyle w:val="30"/>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0"/>
          <w:rFonts w:hint="eastAsia" w:ascii="仿宋" w:hAnsi="仿宋" w:eastAsia="仿宋"/>
          <w:b w:val="0"/>
          <w:bCs w:val="0"/>
          <w:color w:val="auto"/>
          <w:highlight w:val="none"/>
        </w:rPr>
        <w:t>出决算表</w:t>
      </w:r>
      <w:bookmarkEnd w:id="56"/>
    </w:p>
    <w:p w14:paraId="2B92BBA6">
      <w:pPr>
        <w:pStyle w:val="4"/>
        <w:rPr>
          <w:rFonts w:ascii="仿宋" w:hAnsi="仿宋" w:eastAsia="仿宋"/>
          <w:b w:val="0"/>
          <w:color w:val="auto"/>
          <w:highlight w:val="none"/>
        </w:rPr>
      </w:pPr>
      <w:bookmarkStart w:id="57" w:name="_Toc15396622"/>
      <w:r>
        <w:rPr>
          <w:rStyle w:val="30"/>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0"/>
          <w:rFonts w:hint="eastAsia" w:ascii="仿宋" w:hAnsi="仿宋" w:eastAsia="仿宋"/>
          <w:b w:val="0"/>
          <w:bCs w:val="0"/>
          <w:color w:val="auto"/>
          <w:highlight w:val="none"/>
        </w:rPr>
        <w:t>政拨款收入支出决算总表</w:t>
      </w:r>
      <w:bookmarkEnd w:id="57"/>
    </w:p>
    <w:p w14:paraId="77D5BE04">
      <w:pPr>
        <w:pStyle w:val="4"/>
        <w:rPr>
          <w:rStyle w:val="30"/>
          <w:rFonts w:ascii="仿宋" w:hAnsi="仿宋" w:eastAsia="仿宋"/>
          <w:b w:val="0"/>
          <w:bCs w:val="0"/>
          <w:color w:val="auto"/>
          <w:highlight w:val="none"/>
        </w:rPr>
      </w:pPr>
      <w:bookmarkStart w:id="58" w:name="_Toc15396623"/>
      <w:r>
        <w:rPr>
          <w:rStyle w:val="30"/>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0"/>
          <w:rFonts w:hint="eastAsia" w:ascii="仿宋" w:hAnsi="仿宋" w:eastAsia="仿宋"/>
          <w:b w:val="0"/>
          <w:bCs w:val="0"/>
          <w:color w:val="auto"/>
          <w:highlight w:val="none"/>
        </w:rPr>
        <w:t>政拨款支出决算明细表</w:t>
      </w:r>
      <w:bookmarkEnd w:id="58"/>
      <w:bookmarkStart w:id="59" w:name="_Toc15396624"/>
    </w:p>
    <w:p w14:paraId="0B6FD6E5">
      <w:pPr>
        <w:pStyle w:val="4"/>
        <w:rPr>
          <w:rFonts w:ascii="仿宋" w:hAnsi="仿宋" w:eastAsia="仿宋"/>
          <w:color w:val="auto"/>
          <w:highlight w:val="none"/>
        </w:rPr>
      </w:pPr>
      <w:r>
        <w:rPr>
          <w:rStyle w:val="30"/>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般公共预算财政拨款支出决算表</w:t>
      </w:r>
      <w:bookmarkEnd w:id="59"/>
    </w:p>
    <w:p w14:paraId="198170C6">
      <w:pPr>
        <w:pStyle w:val="4"/>
        <w:rPr>
          <w:rFonts w:ascii="仿宋" w:hAnsi="仿宋" w:eastAsia="仿宋"/>
          <w:color w:val="auto"/>
          <w:highlight w:val="none"/>
        </w:rPr>
      </w:pPr>
      <w:bookmarkStart w:id="60" w:name="_Toc15396625"/>
      <w:r>
        <w:rPr>
          <w:rStyle w:val="30"/>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般公共预算财政拨款支出决算明细表</w:t>
      </w:r>
      <w:bookmarkEnd w:id="60"/>
    </w:p>
    <w:p w14:paraId="767712E7">
      <w:pPr>
        <w:pStyle w:val="4"/>
        <w:rPr>
          <w:rFonts w:ascii="仿宋" w:hAnsi="仿宋" w:eastAsia="仿宋"/>
          <w:color w:val="auto"/>
          <w:highlight w:val="none"/>
        </w:rPr>
      </w:pPr>
      <w:bookmarkStart w:id="61" w:name="_Toc15396626"/>
      <w:r>
        <w:rPr>
          <w:rStyle w:val="30"/>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般公共预算财政拨款基本支出决算表</w:t>
      </w:r>
      <w:bookmarkEnd w:id="61"/>
    </w:p>
    <w:p w14:paraId="10429829">
      <w:pPr>
        <w:pStyle w:val="4"/>
        <w:rPr>
          <w:rFonts w:ascii="仿宋" w:hAnsi="仿宋" w:eastAsia="仿宋"/>
          <w:color w:val="auto"/>
          <w:highlight w:val="none"/>
        </w:rPr>
      </w:pPr>
      <w:bookmarkStart w:id="62" w:name="_Toc15396627"/>
      <w:r>
        <w:rPr>
          <w:rStyle w:val="30"/>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般公共预算财政拨款项目支出决算表</w:t>
      </w:r>
      <w:bookmarkEnd w:id="62"/>
    </w:p>
    <w:p w14:paraId="16D8FCAC">
      <w:pPr>
        <w:pStyle w:val="4"/>
        <w:rPr>
          <w:rFonts w:ascii="仿宋" w:hAnsi="仿宋" w:eastAsia="仿宋"/>
          <w:color w:val="auto"/>
          <w:highlight w:val="none"/>
        </w:rPr>
      </w:pPr>
      <w:bookmarkStart w:id="63" w:name="_Toc15396628"/>
      <w:r>
        <w:rPr>
          <w:rStyle w:val="30"/>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般公共预算财政拨款“三公”经费支出决算表</w:t>
      </w:r>
      <w:bookmarkEnd w:id="63"/>
    </w:p>
    <w:p w14:paraId="4F3900AC">
      <w:pPr>
        <w:pStyle w:val="4"/>
        <w:rPr>
          <w:rFonts w:ascii="仿宋" w:hAnsi="仿宋" w:eastAsia="仿宋"/>
          <w:color w:val="auto"/>
          <w:highlight w:val="none"/>
        </w:rPr>
      </w:pPr>
      <w:bookmarkStart w:id="64" w:name="_Toc15396629"/>
      <w:r>
        <w:rPr>
          <w:rStyle w:val="30"/>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30"/>
          <w:rFonts w:hint="eastAsia" w:ascii="仿宋" w:hAnsi="仿宋" w:eastAsia="仿宋"/>
          <w:b w:val="0"/>
          <w:bCs w:val="0"/>
          <w:color w:val="auto"/>
          <w:highlight w:val="none"/>
        </w:rPr>
        <w:t>府性基金预算财政拨款收入支出决算表</w:t>
      </w:r>
      <w:bookmarkEnd w:id="64"/>
    </w:p>
    <w:p w14:paraId="7F8ED068">
      <w:pPr>
        <w:pStyle w:val="4"/>
        <w:rPr>
          <w:rFonts w:ascii="仿宋" w:hAnsi="仿宋" w:eastAsia="仿宋"/>
          <w:color w:val="auto"/>
          <w:highlight w:val="none"/>
        </w:rPr>
      </w:pPr>
      <w:bookmarkStart w:id="65" w:name="_Toc15396630"/>
      <w:r>
        <w:rPr>
          <w:rStyle w:val="30"/>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30"/>
          <w:rFonts w:hint="eastAsia" w:ascii="仿宋" w:hAnsi="仿宋" w:eastAsia="仿宋"/>
          <w:b w:val="0"/>
          <w:bCs w:val="0"/>
          <w:color w:val="auto"/>
          <w:highlight w:val="none"/>
        </w:rPr>
        <w:t>府性基金预算财政拨款“三公”经费支出决算表</w:t>
      </w:r>
      <w:bookmarkEnd w:id="65"/>
    </w:p>
    <w:p w14:paraId="53B296A2">
      <w:pPr>
        <w:pStyle w:val="4"/>
        <w:rPr>
          <w:rStyle w:val="30"/>
          <w:rFonts w:hint="eastAsia" w:ascii="仿宋" w:hAnsi="仿宋" w:eastAsia="仿宋"/>
          <w:b w:val="0"/>
          <w:bCs w:val="0"/>
          <w:color w:val="auto"/>
          <w:highlight w:val="none"/>
        </w:rPr>
      </w:pPr>
      <w:bookmarkStart w:id="66" w:name="_Toc15396631"/>
      <w:r>
        <w:rPr>
          <w:rStyle w:val="30"/>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30"/>
          <w:rFonts w:hint="eastAsia" w:ascii="仿宋" w:hAnsi="仿宋" w:eastAsia="仿宋"/>
          <w:b w:val="0"/>
          <w:bCs w:val="0"/>
          <w:color w:val="auto"/>
          <w:highlight w:val="none"/>
        </w:rPr>
        <w:t>有资本经营预算</w:t>
      </w:r>
      <w:r>
        <w:rPr>
          <w:rStyle w:val="30"/>
          <w:rFonts w:hint="eastAsia" w:ascii="仿宋" w:hAnsi="仿宋" w:eastAsia="仿宋"/>
          <w:b w:val="0"/>
          <w:bCs w:val="0"/>
          <w:color w:val="auto"/>
          <w:highlight w:val="none"/>
          <w:lang w:eastAsia="zh-CN"/>
        </w:rPr>
        <w:t>财政拨款收入</w:t>
      </w:r>
      <w:r>
        <w:rPr>
          <w:rStyle w:val="30"/>
          <w:rFonts w:hint="eastAsia" w:ascii="仿宋" w:hAnsi="仿宋" w:eastAsia="仿宋"/>
          <w:b w:val="0"/>
          <w:bCs w:val="0"/>
          <w:color w:val="auto"/>
          <w:highlight w:val="none"/>
        </w:rPr>
        <w:t>支出决算表</w:t>
      </w:r>
      <w:bookmarkEnd w:id="66"/>
    </w:p>
    <w:p w14:paraId="775D800A">
      <w:pPr>
        <w:rPr>
          <w:rFonts w:hint="eastAsia" w:eastAsia="仿宋"/>
          <w:color w:val="auto"/>
          <w:highlight w:val="none"/>
          <w:lang w:eastAsia="zh-CN"/>
        </w:rPr>
      </w:pPr>
      <w:r>
        <w:rPr>
          <w:rStyle w:val="30"/>
          <w:rFonts w:hint="eastAsia" w:ascii="仿宋" w:hAnsi="仿宋" w:eastAsia="仿宋"/>
          <w:b w:val="0"/>
          <w:bCs w:val="0"/>
          <w:color w:val="auto"/>
          <w:highlight w:val="none"/>
          <w:lang w:eastAsia="zh-CN"/>
        </w:rPr>
        <w:t>十四、国有资本经营预算财政拨款支出决算表</w:t>
      </w:r>
    </w:p>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AB461C-3AF4-4229-8B9F-D403DFA221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E1CDD36-03DA-4B31-95B9-CC31B3B50773}"/>
  </w:font>
  <w:font w:name="Cambria">
    <w:panose1 w:val="02040503050406030204"/>
    <w:charset w:val="00"/>
    <w:family w:val="roman"/>
    <w:pitch w:val="default"/>
    <w:sig w:usb0="E00006FF" w:usb1="420024FF" w:usb2="02000000" w:usb3="00000000" w:csb0="2000019F" w:csb1="00000000"/>
    <w:embedRegular r:id="rId3" w:fontKey="{3F333F53-F614-4351-974B-1E9A96FC520A}"/>
  </w:font>
  <w:font w:name="仿宋_GB2312">
    <w:altName w:val="仿宋"/>
    <w:panose1 w:val="02010609030101010101"/>
    <w:charset w:val="86"/>
    <w:family w:val="auto"/>
    <w:pitch w:val="default"/>
    <w:sig w:usb0="00000000" w:usb1="00000000" w:usb2="00000000" w:usb3="00000000" w:csb0="00040000" w:csb1="00000000"/>
    <w:embedRegular r:id="rId4" w:fontKey="{7B0858BE-5B77-437F-BBA7-1204C8A7A779}"/>
  </w:font>
  <w:font w:name="仿宋">
    <w:panose1 w:val="02010609060101010101"/>
    <w:charset w:val="86"/>
    <w:family w:val="auto"/>
    <w:pitch w:val="default"/>
    <w:sig w:usb0="800002BF" w:usb1="38CF7CFA" w:usb2="00000016" w:usb3="00000000" w:csb0="00040001" w:csb1="00000000"/>
    <w:embedRegular r:id="rId5" w:fontKey="{3E3BFA09-00F7-419F-89C3-E5CEDFEA5536}"/>
  </w:font>
  <w:font w:name="方正小标宋简体">
    <w:panose1 w:val="02000000000000000000"/>
    <w:charset w:val="86"/>
    <w:family w:val="script"/>
    <w:pitch w:val="default"/>
    <w:sig w:usb0="00000001" w:usb1="08000000" w:usb2="00000000" w:usb3="00000000" w:csb0="00040000" w:csb1="00000000"/>
    <w:embedRegular r:id="rId6" w:fontKey="{23740B97-D42B-467F-9036-E08D313061C7}"/>
  </w:font>
  <w:font w:name="楷体_GB2312">
    <w:panose1 w:val="02010609030101010101"/>
    <w:charset w:val="86"/>
    <w:family w:val="modern"/>
    <w:pitch w:val="default"/>
    <w:sig w:usb0="00000001" w:usb1="080E0000" w:usb2="00000000" w:usb3="00000000" w:csb0="00040000" w:csb1="00000000"/>
    <w:embedRegular r:id="rId7" w:fontKey="{5B0A9049-6EE7-41BC-994E-CA71A9ED6203}"/>
  </w:font>
  <w:font w:name="华文仿宋">
    <w:panose1 w:val="02010600040101010101"/>
    <w:charset w:val="86"/>
    <w:family w:val="auto"/>
    <w:pitch w:val="default"/>
    <w:sig w:usb0="00000287" w:usb1="080F0000" w:usb2="00000000" w:usb3="00000000" w:csb0="0004009F" w:csb1="DFD70000"/>
    <w:embedRegular r:id="rId8" w:fontKey="{E3C8E44F-711F-4B6F-94A3-3FE6D26F3253}"/>
  </w:font>
  <w:font w:name="微软雅黑">
    <w:panose1 w:val="020B0503020204020204"/>
    <w:charset w:val="86"/>
    <w:family w:val="auto"/>
    <w:pitch w:val="default"/>
    <w:sig w:usb0="80000287" w:usb1="2ACF3C50" w:usb2="00000016" w:usb3="00000000" w:csb0="0004001F" w:csb1="00000000"/>
    <w:embedRegular r:id="rId9" w:fontKey="{C531E41A-16E4-418B-AFCE-8413677BB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96E5">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42528">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F42528">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0AB4FBE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D1F4">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3038E">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63038E">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54BF">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6AF7">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3B38C"/>
    <w:multiLevelType w:val="singleLevel"/>
    <w:tmpl w:val="9323B38C"/>
    <w:lvl w:ilvl="0" w:tentative="0">
      <w:start w:val="1"/>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0AA573D0"/>
    <w:multiLevelType w:val="singleLevel"/>
    <w:tmpl w:val="0AA573D0"/>
    <w:lvl w:ilvl="0" w:tentative="0">
      <w:start w:val="1"/>
      <w:numFmt w:val="decimal"/>
      <w:lvlText w:val="%1."/>
      <w:lvlJc w:val="left"/>
      <w:pPr>
        <w:tabs>
          <w:tab w:val="left" w:pos="312"/>
        </w:tabs>
      </w:p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798C1C0F"/>
    <w:multiLevelType w:val="singleLevel"/>
    <w:tmpl w:val="798C1C0F"/>
    <w:lvl w:ilvl="0" w:tentative="0">
      <w:start w:val="1"/>
      <w:numFmt w:val="decimal"/>
      <w:lvlText w:val="%1."/>
      <w:lvlJc w:val="left"/>
      <w:pPr>
        <w:tabs>
          <w:tab w:val="left" w:pos="312"/>
        </w:tabs>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iZDRiYTRkOGRhZTkzOGI0MDE2YTRjNTNhOTUyN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2C75"/>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E5E88"/>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E7BD8"/>
    <w:rsid w:val="00FF1E02"/>
    <w:rsid w:val="00FF30B4"/>
    <w:rsid w:val="014C4DA3"/>
    <w:rsid w:val="017E027D"/>
    <w:rsid w:val="018856AF"/>
    <w:rsid w:val="01CF7782"/>
    <w:rsid w:val="01D54D98"/>
    <w:rsid w:val="01D8052F"/>
    <w:rsid w:val="01DB1C83"/>
    <w:rsid w:val="01FD5823"/>
    <w:rsid w:val="02377801"/>
    <w:rsid w:val="025D7143"/>
    <w:rsid w:val="0341667A"/>
    <w:rsid w:val="0384055B"/>
    <w:rsid w:val="03F72929"/>
    <w:rsid w:val="043627AD"/>
    <w:rsid w:val="043F6098"/>
    <w:rsid w:val="04637F4D"/>
    <w:rsid w:val="05B178CA"/>
    <w:rsid w:val="05B95763"/>
    <w:rsid w:val="065646ED"/>
    <w:rsid w:val="068E5516"/>
    <w:rsid w:val="06DE2083"/>
    <w:rsid w:val="071E2D3E"/>
    <w:rsid w:val="07700D75"/>
    <w:rsid w:val="078D7776"/>
    <w:rsid w:val="08870AF6"/>
    <w:rsid w:val="08955281"/>
    <w:rsid w:val="08C47BB7"/>
    <w:rsid w:val="08DA7138"/>
    <w:rsid w:val="091F2D9D"/>
    <w:rsid w:val="09B039F5"/>
    <w:rsid w:val="0A0972B8"/>
    <w:rsid w:val="0A132C02"/>
    <w:rsid w:val="0A2032A3"/>
    <w:rsid w:val="0A432C85"/>
    <w:rsid w:val="0A6F1270"/>
    <w:rsid w:val="0A90021D"/>
    <w:rsid w:val="0B8A37D8"/>
    <w:rsid w:val="0BA74D8F"/>
    <w:rsid w:val="0C700C3A"/>
    <w:rsid w:val="0CE73BD2"/>
    <w:rsid w:val="0D8727EA"/>
    <w:rsid w:val="0DC56970"/>
    <w:rsid w:val="0F0A1DF9"/>
    <w:rsid w:val="0F0C3167"/>
    <w:rsid w:val="0F4A3109"/>
    <w:rsid w:val="0FE64614"/>
    <w:rsid w:val="100144D1"/>
    <w:rsid w:val="10051A3A"/>
    <w:rsid w:val="106043C7"/>
    <w:rsid w:val="10C055FF"/>
    <w:rsid w:val="110E6757"/>
    <w:rsid w:val="113373E5"/>
    <w:rsid w:val="113A181F"/>
    <w:rsid w:val="118107EC"/>
    <w:rsid w:val="118539B9"/>
    <w:rsid w:val="11DD6519"/>
    <w:rsid w:val="11F0177A"/>
    <w:rsid w:val="11F03528"/>
    <w:rsid w:val="12641821"/>
    <w:rsid w:val="12747B4B"/>
    <w:rsid w:val="131A4BEF"/>
    <w:rsid w:val="13977163"/>
    <w:rsid w:val="139E3205"/>
    <w:rsid w:val="151C63E2"/>
    <w:rsid w:val="159D25E0"/>
    <w:rsid w:val="163559AE"/>
    <w:rsid w:val="163A6CA3"/>
    <w:rsid w:val="1656791B"/>
    <w:rsid w:val="16875503"/>
    <w:rsid w:val="16BB723D"/>
    <w:rsid w:val="175D4012"/>
    <w:rsid w:val="17A728DB"/>
    <w:rsid w:val="17EE050A"/>
    <w:rsid w:val="18015F3F"/>
    <w:rsid w:val="18A1732B"/>
    <w:rsid w:val="18A64941"/>
    <w:rsid w:val="18E37943"/>
    <w:rsid w:val="18FE652B"/>
    <w:rsid w:val="19266CBF"/>
    <w:rsid w:val="19793C95"/>
    <w:rsid w:val="19EB6681"/>
    <w:rsid w:val="1A202A12"/>
    <w:rsid w:val="1A46462D"/>
    <w:rsid w:val="1A8F2369"/>
    <w:rsid w:val="1B183D08"/>
    <w:rsid w:val="1B7427AD"/>
    <w:rsid w:val="1B987131"/>
    <w:rsid w:val="1BE8440E"/>
    <w:rsid w:val="1D003CA6"/>
    <w:rsid w:val="1D155CEE"/>
    <w:rsid w:val="1D156539"/>
    <w:rsid w:val="1D1D3E84"/>
    <w:rsid w:val="1D6D0AE6"/>
    <w:rsid w:val="1E2F52AD"/>
    <w:rsid w:val="1EB07441"/>
    <w:rsid w:val="1F0613A0"/>
    <w:rsid w:val="1F1B6BD0"/>
    <w:rsid w:val="1F2C0D12"/>
    <w:rsid w:val="1FF97C68"/>
    <w:rsid w:val="202952C2"/>
    <w:rsid w:val="20547A94"/>
    <w:rsid w:val="20C64363"/>
    <w:rsid w:val="20F52909"/>
    <w:rsid w:val="20F57F95"/>
    <w:rsid w:val="212343F7"/>
    <w:rsid w:val="214C3FE6"/>
    <w:rsid w:val="215B7C77"/>
    <w:rsid w:val="215F5FD5"/>
    <w:rsid w:val="21682E26"/>
    <w:rsid w:val="216B5207"/>
    <w:rsid w:val="218C669E"/>
    <w:rsid w:val="219A5EAA"/>
    <w:rsid w:val="21B207FA"/>
    <w:rsid w:val="223B5EDB"/>
    <w:rsid w:val="22800451"/>
    <w:rsid w:val="23646073"/>
    <w:rsid w:val="23A75107"/>
    <w:rsid w:val="23B16878"/>
    <w:rsid w:val="23D43D21"/>
    <w:rsid w:val="240371BF"/>
    <w:rsid w:val="243E6375"/>
    <w:rsid w:val="243F7320"/>
    <w:rsid w:val="247A6C69"/>
    <w:rsid w:val="24E94533"/>
    <w:rsid w:val="25327410"/>
    <w:rsid w:val="25727EC6"/>
    <w:rsid w:val="257F69FD"/>
    <w:rsid w:val="25C741E6"/>
    <w:rsid w:val="261C26E6"/>
    <w:rsid w:val="265C2AE3"/>
    <w:rsid w:val="268563C4"/>
    <w:rsid w:val="26D61C2F"/>
    <w:rsid w:val="26DD391D"/>
    <w:rsid w:val="270E54F5"/>
    <w:rsid w:val="2746618D"/>
    <w:rsid w:val="27842671"/>
    <w:rsid w:val="278A6B27"/>
    <w:rsid w:val="27FD6D5F"/>
    <w:rsid w:val="281806F1"/>
    <w:rsid w:val="287462E3"/>
    <w:rsid w:val="293F112D"/>
    <w:rsid w:val="299566CF"/>
    <w:rsid w:val="29CA2D09"/>
    <w:rsid w:val="29F05520"/>
    <w:rsid w:val="29FD04D3"/>
    <w:rsid w:val="2A063491"/>
    <w:rsid w:val="2ABE7A3E"/>
    <w:rsid w:val="2ACB6B5A"/>
    <w:rsid w:val="2C626979"/>
    <w:rsid w:val="2CAB02B0"/>
    <w:rsid w:val="2CBA651B"/>
    <w:rsid w:val="2CDF6992"/>
    <w:rsid w:val="2D586214"/>
    <w:rsid w:val="2EFA178C"/>
    <w:rsid w:val="2F127C9B"/>
    <w:rsid w:val="2F5E644E"/>
    <w:rsid w:val="2FCA605E"/>
    <w:rsid w:val="2FFC6134"/>
    <w:rsid w:val="30085A89"/>
    <w:rsid w:val="30B46D73"/>
    <w:rsid w:val="30C6676A"/>
    <w:rsid w:val="313D1CA2"/>
    <w:rsid w:val="31413001"/>
    <w:rsid w:val="319F7F4E"/>
    <w:rsid w:val="31DC0F7C"/>
    <w:rsid w:val="31F75DB5"/>
    <w:rsid w:val="31FD176B"/>
    <w:rsid w:val="32662F17"/>
    <w:rsid w:val="32932A27"/>
    <w:rsid w:val="32D700C1"/>
    <w:rsid w:val="3325122F"/>
    <w:rsid w:val="33BC1065"/>
    <w:rsid w:val="341449FD"/>
    <w:rsid w:val="34711E4F"/>
    <w:rsid w:val="34EB2A4D"/>
    <w:rsid w:val="35067FF6"/>
    <w:rsid w:val="35226149"/>
    <w:rsid w:val="35E40C44"/>
    <w:rsid w:val="35EF6AB5"/>
    <w:rsid w:val="36556D7F"/>
    <w:rsid w:val="366A0B09"/>
    <w:rsid w:val="36963DEF"/>
    <w:rsid w:val="36C6342D"/>
    <w:rsid w:val="378400EB"/>
    <w:rsid w:val="379A7F64"/>
    <w:rsid w:val="37B07132"/>
    <w:rsid w:val="37FD3B5B"/>
    <w:rsid w:val="38C858F4"/>
    <w:rsid w:val="393F076E"/>
    <w:rsid w:val="39AE70AB"/>
    <w:rsid w:val="3A2A00C1"/>
    <w:rsid w:val="3A500759"/>
    <w:rsid w:val="3A814B24"/>
    <w:rsid w:val="3ADE58CF"/>
    <w:rsid w:val="3AF9017E"/>
    <w:rsid w:val="3B182771"/>
    <w:rsid w:val="3C0C0783"/>
    <w:rsid w:val="3C177780"/>
    <w:rsid w:val="3C3814A4"/>
    <w:rsid w:val="3CE3221B"/>
    <w:rsid w:val="3E194B85"/>
    <w:rsid w:val="3F795B0E"/>
    <w:rsid w:val="3F9F3A96"/>
    <w:rsid w:val="40602D9E"/>
    <w:rsid w:val="408F77C2"/>
    <w:rsid w:val="409967FE"/>
    <w:rsid w:val="415944C1"/>
    <w:rsid w:val="415A7E88"/>
    <w:rsid w:val="41AE6B81"/>
    <w:rsid w:val="43056B91"/>
    <w:rsid w:val="438F47B6"/>
    <w:rsid w:val="43951580"/>
    <w:rsid w:val="43C4525A"/>
    <w:rsid w:val="447272B0"/>
    <w:rsid w:val="44BD51A3"/>
    <w:rsid w:val="44C204CB"/>
    <w:rsid w:val="45265819"/>
    <w:rsid w:val="45427EEF"/>
    <w:rsid w:val="45583241"/>
    <w:rsid w:val="45715C8C"/>
    <w:rsid w:val="45E97F7C"/>
    <w:rsid w:val="46103126"/>
    <w:rsid w:val="46703488"/>
    <w:rsid w:val="474D55EA"/>
    <w:rsid w:val="47D25BD3"/>
    <w:rsid w:val="480D7C89"/>
    <w:rsid w:val="481A4DA4"/>
    <w:rsid w:val="493C27E9"/>
    <w:rsid w:val="495D334B"/>
    <w:rsid w:val="496F39ED"/>
    <w:rsid w:val="49FF41D3"/>
    <w:rsid w:val="4A185DC8"/>
    <w:rsid w:val="4A9965B9"/>
    <w:rsid w:val="4B773D97"/>
    <w:rsid w:val="4BE068DB"/>
    <w:rsid w:val="4BF6002B"/>
    <w:rsid w:val="4C52210E"/>
    <w:rsid w:val="4D110309"/>
    <w:rsid w:val="4D4D3E1F"/>
    <w:rsid w:val="4D5064FC"/>
    <w:rsid w:val="4D8E7176"/>
    <w:rsid w:val="4DD06B99"/>
    <w:rsid w:val="4E0E190D"/>
    <w:rsid w:val="4E257ADB"/>
    <w:rsid w:val="4EA47A73"/>
    <w:rsid w:val="4ECE2238"/>
    <w:rsid w:val="4F434B9F"/>
    <w:rsid w:val="4F4F0F4A"/>
    <w:rsid w:val="4F5A605D"/>
    <w:rsid w:val="4FB32C07"/>
    <w:rsid w:val="4FD30759"/>
    <w:rsid w:val="501E4797"/>
    <w:rsid w:val="502D2C76"/>
    <w:rsid w:val="50827466"/>
    <w:rsid w:val="50B415EA"/>
    <w:rsid w:val="513E614A"/>
    <w:rsid w:val="51A523C1"/>
    <w:rsid w:val="51A52CE0"/>
    <w:rsid w:val="51DB4B86"/>
    <w:rsid w:val="51DF51A2"/>
    <w:rsid w:val="52D52008"/>
    <w:rsid w:val="535F6031"/>
    <w:rsid w:val="53A5346C"/>
    <w:rsid w:val="53DC3268"/>
    <w:rsid w:val="54FE4BE1"/>
    <w:rsid w:val="55333C3E"/>
    <w:rsid w:val="55523002"/>
    <w:rsid w:val="55E02539"/>
    <w:rsid w:val="55E83C2D"/>
    <w:rsid w:val="560B1CAC"/>
    <w:rsid w:val="56B20379"/>
    <w:rsid w:val="570203A7"/>
    <w:rsid w:val="57CD5FFC"/>
    <w:rsid w:val="58F447DB"/>
    <w:rsid w:val="59062F83"/>
    <w:rsid w:val="595F1064"/>
    <w:rsid w:val="599C6D35"/>
    <w:rsid w:val="5ADF54B5"/>
    <w:rsid w:val="5AFE6240"/>
    <w:rsid w:val="5B6D486F"/>
    <w:rsid w:val="5C0056E3"/>
    <w:rsid w:val="5C651EB1"/>
    <w:rsid w:val="5CF65041"/>
    <w:rsid w:val="5E1B0933"/>
    <w:rsid w:val="5E3239CA"/>
    <w:rsid w:val="5E9D190F"/>
    <w:rsid w:val="5F28567D"/>
    <w:rsid w:val="5FC41398"/>
    <w:rsid w:val="5FC5111D"/>
    <w:rsid w:val="5FFA069B"/>
    <w:rsid w:val="604F05EC"/>
    <w:rsid w:val="608B6453"/>
    <w:rsid w:val="613921C4"/>
    <w:rsid w:val="6168780F"/>
    <w:rsid w:val="6239194F"/>
    <w:rsid w:val="628A03FC"/>
    <w:rsid w:val="62A97B60"/>
    <w:rsid w:val="63181501"/>
    <w:rsid w:val="633C1428"/>
    <w:rsid w:val="63435BFE"/>
    <w:rsid w:val="63526E82"/>
    <w:rsid w:val="63901A42"/>
    <w:rsid w:val="639B1953"/>
    <w:rsid w:val="64CA39A1"/>
    <w:rsid w:val="65531CBD"/>
    <w:rsid w:val="659852BB"/>
    <w:rsid w:val="660A0CFF"/>
    <w:rsid w:val="662621EA"/>
    <w:rsid w:val="66692CE9"/>
    <w:rsid w:val="668B199B"/>
    <w:rsid w:val="66912F4E"/>
    <w:rsid w:val="66E16111"/>
    <w:rsid w:val="66EF5860"/>
    <w:rsid w:val="674566A0"/>
    <w:rsid w:val="6753700F"/>
    <w:rsid w:val="682C4391"/>
    <w:rsid w:val="688F6C5D"/>
    <w:rsid w:val="68C57817"/>
    <w:rsid w:val="699102C2"/>
    <w:rsid w:val="6A0F3E3A"/>
    <w:rsid w:val="6A130DDE"/>
    <w:rsid w:val="6A8D70F6"/>
    <w:rsid w:val="6A986382"/>
    <w:rsid w:val="6AA55DB5"/>
    <w:rsid w:val="6AAB0CF2"/>
    <w:rsid w:val="6B0D1266"/>
    <w:rsid w:val="6B95409A"/>
    <w:rsid w:val="6C123066"/>
    <w:rsid w:val="6C3B40C7"/>
    <w:rsid w:val="6C4A05C8"/>
    <w:rsid w:val="6C6003D6"/>
    <w:rsid w:val="6CB001A9"/>
    <w:rsid w:val="6CE22E3F"/>
    <w:rsid w:val="6CFF6CC3"/>
    <w:rsid w:val="6E0653B5"/>
    <w:rsid w:val="6E5F4919"/>
    <w:rsid w:val="6F28705A"/>
    <w:rsid w:val="6F8166E3"/>
    <w:rsid w:val="6F984159"/>
    <w:rsid w:val="70082960"/>
    <w:rsid w:val="701630F1"/>
    <w:rsid w:val="705C2011"/>
    <w:rsid w:val="717E737E"/>
    <w:rsid w:val="71E33685"/>
    <w:rsid w:val="725319FA"/>
    <w:rsid w:val="72734D90"/>
    <w:rsid w:val="737E6B4D"/>
    <w:rsid w:val="738B18DE"/>
    <w:rsid w:val="73B20D35"/>
    <w:rsid w:val="73D455CC"/>
    <w:rsid w:val="73DD2093"/>
    <w:rsid w:val="744503A4"/>
    <w:rsid w:val="745A1F8C"/>
    <w:rsid w:val="74E366CA"/>
    <w:rsid w:val="752C3307"/>
    <w:rsid w:val="760F4A49"/>
    <w:rsid w:val="762F0AE4"/>
    <w:rsid w:val="768851AE"/>
    <w:rsid w:val="76F803D6"/>
    <w:rsid w:val="77197ED4"/>
    <w:rsid w:val="778914F4"/>
    <w:rsid w:val="77B84C6C"/>
    <w:rsid w:val="781C51FB"/>
    <w:rsid w:val="7838284A"/>
    <w:rsid w:val="78B60C55"/>
    <w:rsid w:val="78CD30FF"/>
    <w:rsid w:val="790E7239"/>
    <w:rsid w:val="79632FA4"/>
    <w:rsid w:val="79E7B28D"/>
    <w:rsid w:val="7A3D6E1B"/>
    <w:rsid w:val="7A5C0085"/>
    <w:rsid w:val="7B07552E"/>
    <w:rsid w:val="7B1B5C3E"/>
    <w:rsid w:val="7B450F0D"/>
    <w:rsid w:val="7B892774"/>
    <w:rsid w:val="7BBD6F4E"/>
    <w:rsid w:val="7C8D4919"/>
    <w:rsid w:val="7CC80DF1"/>
    <w:rsid w:val="7CF341EB"/>
    <w:rsid w:val="7D9D6C2A"/>
    <w:rsid w:val="7DC425BD"/>
    <w:rsid w:val="7E0B6ACB"/>
    <w:rsid w:val="7E6873EC"/>
    <w:rsid w:val="7E851D4C"/>
    <w:rsid w:val="7EC115ED"/>
    <w:rsid w:val="7EF40C80"/>
    <w:rsid w:val="7F6F47AA"/>
    <w:rsid w:val="7F9F20EE"/>
    <w:rsid w:val="7FDC1E3F"/>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6"/>
    <w:qFormat/>
    <w:uiPriority w:val="99"/>
    <w:pPr>
      <w:spacing w:beforeLines="30"/>
    </w:pPr>
    <w:rPr>
      <w:rFonts w:ascii="仿宋_GB2312" w:eastAsia="仿宋_GB2312"/>
      <w:kern w:val="0"/>
      <w:sz w:val="30"/>
    </w:rPr>
  </w:style>
  <w:style w:type="paragraph" w:styleId="6">
    <w:name w:val="Body Text Indent"/>
    <w:basedOn w:val="1"/>
    <w:qFormat/>
    <w:uiPriority w:val="99"/>
    <w:pPr>
      <w:ind w:firstLine="630"/>
      <w:jc w:val="left"/>
    </w:pPr>
    <w:rPr>
      <w:rFonts w:eastAsia="黑体"/>
      <w:sz w:val="3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2"/>
    <w:semiHidden/>
    <w:unhideWhenUsed/>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styleId="14">
    <w:name w:val="Body Text First Indent 2"/>
    <w:basedOn w:val="6"/>
    <w:qFormat/>
    <w:uiPriority w:val="99"/>
    <w:pPr>
      <w:spacing w:after="120"/>
      <w:ind w:left="420" w:leftChars="200" w:firstLine="42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Body Text First Indent 21"/>
    <w:basedOn w:val="20"/>
    <w:next w:val="1"/>
    <w:qFormat/>
    <w:uiPriority w:val="0"/>
    <w:pPr>
      <w:ind w:firstLine="420" w:firstLineChars="200"/>
    </w:pPr>
  </w:style>
  <w:style w:type="paragraph" w:customStyle="1" w:styleId="20">
    <w:name w:val="Body Text Indent1"/>
    <w:basedOn w:val="1"/>
    <w:next w:val="19"/>
    <w:qFormat/>
    <w:uiPriority w:val="0"/>
    <w:pPr>
      <w:ind w:firstLine="643" w:firstLineChars="200"/>
    </w:pPr>
    <w:rPr>
      <w:rFonts w:ascii="Times New Roman" w:hAnsi="Times New Roman" w:eastAsia="仿宋_GB2312"/>
      <w:b/>
      <w:bCs/>
      <w:sz w:val="32"/>
    </w:rPr>
  </w:style>
  <w:style w:type="character" w:customStyle="1" w:styleId="21">
    <w:name w:val="Header Char"/>
    <w:basedOn w:val="16"/>
    <w:semiHidden/>
    <w:qFormat/>
    <w:uiPriority w:val="99"/>
    <w:rPr>
      <w:rFonts w:ascii="Times New Roman" w:hAnsi="Times New Roman"/>
      <w:sz w:val="18"/>
      <w:szCs w:val="18"/>
    </w:rPr>
  </w:style>
  <w:style w:type="character" w:customStyle="1" w:styleId="22">
    <w:name w:val="页眉 Char"/>
    <w:link w:val="10"/>
    <w:semiHidden/>
    <w:qFormat/>
    <w:locked/>
    <w:uiPriority w:val="99"/>
    <w:rPr>
      <w:sz w:val="18"/>
    </w:rPr>
  </w:style>
  <w:style w:type="character" w:customStyle="1" w:styleId="23">
    <w:name w:val="Footer Char"/>
    <w:basedOn w:val="16"/>
    <w:semiHidden/>
    <w:qFormat/>
    <w:uiPriority w:val="99"/>
    <w:rPr>
      <w:rFonts w:ascii="Times New Roman" w:hAnsi="Times New Roman"/>
      <w:sz w:val="18"/>
      <w:szCs w:val="18"/>
    </w:rPr>
  </w:style>
  <w:style w:type="character" w:customStyle="1" w:styleId="24">
    <w:name w:val="页脚 Char"/>
    <w:link w:val="9"/>
    <w:qFormat/>
    <w:locked/>
    <w:uiPriority w:val="99"/>
    <w:rPr>
      <w:sz w:val="18"/>
    </w:rPr>
  </w:style>
  <w:style w:type="character" w:customStyle="1" w:styleId="25">
    <w:name w:val="Body Text Char"/>
    <w:basedOn w:val="16"/>
    <w:semiHidden/>
    <w:qFormat/>
    <w:uiPriority w:val="99"/>
    <w:rPr>
      <w:rFonts w:ascii="Times New Roman" w:hAnsi="Times New Roman"/>
      <w:szCs w:val="24"/>
    </w:rPr>
  </w:style>
  <w:style w:type="character" w:customStyle="1" w:styleId="26">
    <w:name w:val="正文文本 Char"/>
    <w:link w:val="2"/>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6"/>
    <w:link w:val="3"/>
    <w:qFormat/>
    <w:uiPriority w:val="9"/>
    <w:rPr>
      <w:rFonts w:ascii="Times New Roman" w:hAnsi="Times New Roman"/>
      <w:b/>
      <w:bCs/>
      <w:kern w:val="44"/>
      <w:sz w:val="44"/>
      <w:szCs w:val="44"/>
    </w:rPr>
  </w:style>
  <w:style w:type="character" w:customStyle="1" w:styleId="30">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6"/>
    <w:link w:val="8"/>
    <w:semiHidden/>
    <w:qFormat/>
    <w:uiPriority w:val="99"/>
    <w:rPr>
      <w:rFonts w:ascii="Times New Roman" w:hAnsi="Times New Roman"/>
      <w:kern w:val="2"/>
      <w:sz w:val="18"/>
      <w:szCs w:val="18"/>
    </w:rPr>
  </w:style>
  <w:style w:type="character" w:customStyle="1" w:styleId="33">
    <w:name w:val="标题 3 Char"/>
    <w:basedOn w:val="16"/>
    <w:link w:val="5"/>
    <w:qFormat/>
    <w:uiPriority w:val="9"/>
    <w:rPr>
      <w:rFonts w:ascii="Times New Roman" w:hAnsi="Times New Roman"/>
      <w:b/>
      <w:bCs/>
      <w:kern w:val="2"/>
      <w:sz w:val="32"/>
      <w:szCs w:val="32"/>
    </w:r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常用样式（方正仿宋简）"/>
    <w:basedOn w:val="1"/>
    <w:qFormat/>
    <w:uiPriority w:val="99"/>
    <w:pPr>
      <w:spacing w:line="560" w:lineRule="exact"/>
      <w:ind w:firstLine="640" w:firstLineChars="200"/>
    </w:pPr>
    <w:rPr>
      <w:rFonts w:ascii="Calibri" w:hAnsi="Calibri"/>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29</Pages>
  <Words>12309</Words>
  <Characters>13080</Characters>
  <Lines>61</Lines>
  <Paragraphs>17</Paragraphs>
  <TotalTime>21</TotalTime>
  <ScaleCrop>false</ScaleCrop>
  <LinksUpToDate>false</LinksUpToDate>
  <CharactersWithSpaces>13121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2022-08-06T02:23:00Z</cp:lastPrinted>
  <dcterms:modified xsi:type="dcterms:W3CDTF">2024-12-23T09:32:42Z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18C4299B72334D3095585539B3212D20</vt:lpwstr>
  </property>
  <property fmtid="{D5CDD505-2E9C-101B-9397-08002B2CF9AE}" pid="4" name="KSOTemplateDocerSaveRecord">
    <vt:lpwstr>eyJoZGlkIjoiMGVhYTg4NGNkZWJkODFjNzcyZDRjM2M4Y2UzNjI5ZmUiLCJ1c2VySWQiOiI2MTE2MzEwMDYifQ==</vt:lpwstr>
  </property>
</Properties>
</file>