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4F7E6">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bookmarkStart w:id="0" w:name="_Toc15306267"/>
    </w:p>
    <w:p w14:paraId="07150AC7">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p>
    <w:p w14:paraId="03A1F9F6">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bookmarkStart w:id="115" w:name="_GoBack"/>
      <w:bookmarkEnd w:id="115"/>
    </w:p>
    <w:p w14:paraId="67E04FFF">
      <w:pPr>
        <w:wordWrap/>
        <w:snapToGrid/>
        <w:spacing w:line="240" w:lineRule="auto"/>
        <w:ind w:left="0" w:leftChars="0" w:right="0" w:firstLine="0" w:firstLineChars="0"/>
        <w:jc w:val="left"/>
        <w:outlineLvl w:val="9"/>
        <w:rPr>
          <w:rFonts w:ascii="方正小标宋简体" w:hAnsi="宋体" w:eastAsia="方正小标宋简体"/>
          <w:color w:val="000000"/>
          <w:sz w:val="144"/>
          <w:szCs w:val="144"/>
        </w:rPr>
      </w:pPr>
    </w:p>
    <w:p w14:paraId="16FBD751">
      <w:pPr>
        <w:wordWrap/>
        <w:adjustRightInd w:val="0"/>
        <w:snapToGrid/>
        <w:spacing w:line="240" w:lineRule="auto"/>
        <w:ind w:left="0" w:leftChars="0" w:right="0" w:firstLine="0" w:firstLineChars="0"/>
        <w:jc w:val="center"/>
        <w:outlineLvl w:val="9"/>
        <w:rPr>
          <w:rFonts w:hint="eastAsia" w:ascii="方正小标宋简体" w:hAnsi="方正小标宋简体" w:eastAsia="方正小标宋简体" w:cs="方正小标宋简体"/>
          <w:color w:val="000000"/>
          <w:sz w:val="56"/>
          <w:szCs w:val="56"/>
        </w:rPr>
      </w:pPr>
      <w:bookmarkStart w:id="1" w:name="_Toc15396597"/>
      <w:bookmarkStart w:id="2" w:name="_Toc15377193"/>
      <w:bookmarkStart w:id="3" w:name="_Toc15396475"/>
      <w:bookmarkStart w:id="4" w:name="_Toc15377425"/>
      <w:bookmarkStart w:id="5" w:name="_Toc15378441"/>
      <w:r>
        <w:rPr>
          <w:rFonts w:hint="eastAsia" w:ascii="方正小标宋简体" w:hAnsi="方正小标宋简体" w:eastAsia="方正小标宋简体" w:cs="方正小标宋简体"/>
          <w:color w:val="000000"/>
          <w:sz w:val="56"/>
          <w:szCs w:val="56"/>
          <w:lang w:eastAsia="zh-CN"/>
        </w:rPr>
        <w:t>2020</w:t>
      </w:r>
      <w:r>
        <w:rPr>
          <w:rFonts w:hint="eastAsia" w:ascii="方正小标宋简体" w:hAnsi="方正小标宋简体" w:eastAsia="方正小标宋简体" w:cs="方正小标宋简体"/>
          <w:color w:val="000000"/>
          <w:sz w:val="56"/>
          <w:szCs w:val="56"/>
        </w:rPr>
        <w:t>年度</w:t>
      </w:r>
      <w:bookmarkEnd w:id="1"/>
      <w:bookmarkEnd w:id="2"/>
      <w:bookmarkEnd w:id="3"/>
      <w:bookmarkEnd w:id="4"/>
      <w:bookmarkEnd w:id="5"/>
    </w:p>
    <w:bookmarkEnd w:id="0"/>
    <w:p w14:paraId="65D09C98">
      <w:pPr>
        <w:wordWrap/>
        <w:adjustRightInd w:val="0"/>
        <w:snapToGrid/>
        <w:spacing w:line="240" w:lineRule="auto"/>
        <w:ind w:left="0" w:leftChars="0" w:right="0" w:firstLine="0" w:firstLineChars="0"/>
        <w:jc w:val="center"/>
        <w:outlineLvl w:val="9"/>
        <w:rPr>
          <w:rFonts w:hint="eastAsia" w:ascii="方正小标宋简体" w:hAnsi="方正小标宋简体" w:eastAsia="方正小标宋简体" w:cs="方正小标宋简体"/>
          <w:color w:val="000000"/>
          <w:sz w:val="56"/>
          <w:szCs w:val="56"/>
        </w:rPr>
      </w:pPr>
      <w:bookmarkStart w:id="6" w:name="_Toc15396598"/>
      <w:bookmarkStart w:id="7" w:name="_Toc15378442"/>
      <w:bookmarkStart w:id="8" w:name="_Toc15377194"/>
      <w:bookmarkStart w:id="9" w:name="_Toc15377426"/>
      <w:bookmarkStart w:id="10" w:name="_Toc15396476"/>
      <w:bookmarkStart w:id="11" w:name="_Toc15306268"/>
      <w:r>
        <w:rPr>
          <w:rFonts w:hint="eastAsia" w:ascii="方正小标宋简体" w:hAnsi="方正小标宋简体" w:eastAsia="方正小标宋简体" w:cs="方正小标宋简体"/>
          <w:color w:val="000000"/>
          <w:sz w:val="56"/>
          <w:szCs w:val="56"/>
        </w:rPr>
        <w:t>中共广元市昭化区委宣传部</w:t>
      </w:r>
    </w:p>
    <w:p w14:paraId="64120157">
      <w:pPr>
        <w:wordWrap/>
        <w:adjustRightInd w:val="0"/>
        <w:snapToGrid/>
        <w:spacing w:line="240" w:lineRule="auto"/>
        <w:ind w:left="0" w:leftChars="0" w:right="0" w:firstLine="0" w:firstLineChars="0"/>
        <w:jc w:val="center"/>
        <w:outlineLvl w:val="9"/>
        <w:rPr>
          <w:rFonts w:hint="eastAsia" w:ascii="方正小标宋简体" w:hAnsi="方正小标宋简体" w:eastAsia="方正小标宋简体" w:cs="方正小标宋简体"/>
          <w:color w:val="000000"/>
          <w:sz w:val="56"/>
          <w:szCs w:val="56"/>
          <w:lang w:val="en-US" w:eastAsia="zh-CN"/>
        </w:rPr>
      </w:pPr>
      <w:r>
        <w:rPr>
          <w:rFonts w:hint="eastAsia" w:ascii="方正小标宋简体" w:hAnsi="方正小标宋简体" w:eastAsia="方正小标宋简体" w:cs="方正小标宋简体"/>
          <w:color w:val="000000"/>
          <w:sz w:val="56"/>
          <w:szCs w:val="56"/>
        </w:rPr>
        <w:t>部门决算</w:t>
      </w:r>
      <w:bookmarkEnd w:id="6"/>
      <w:bookmarkEnd w:id="7"/>
      <w:bookmarkEnd w:id="8"/>
      <w:bookmarkEnd w:id="9"/>
      <w:bookmarkEnd w:id="10"/>
      <w:bookmarkEnd w:id="11"/>
      <w:r>
        <w:rPr>
          <w:rFonts w:hint="eastAsia" w:ascii="方正小标宋简体" w:hAnsi="方正小标宋简体" w:eastAsia="方正小标宋简体" w:cs="方正小标宋简体"/>
          <w:color w:val="000000"/>
          <w:sz w:val="56"/>
          <w:szCs w:val="56"/>
          <w:lang w:val="en-US" w:eastAsia="zh-CN"/>
        </w:rPr>
        <w:t>公开</w:t>
      </w:r>
    </w:p>
    <w:p w14:paraId="3AC63D67">
      <w:pPr>
        <w:widowControl/>
        <w:wordWrap/>
        <w:snapToGrid/>
        <w:spacing w:line="240" w:lineRule="auto"/>
        <w:ind w:left="0" w:leftChars="0" w:right="0" w:firstLine="0" w:firstLineChars="0"/>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1FD4691B">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bookmarkStart w:id="12" w:name="_Toc15396599"/>
      <w:bookmarkStart w:id="13" w:name="_Toc15377196"/>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TOC \o "1-3" \h \u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_Toc23975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第一部分 部门概况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_Toc23975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62BA613F">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_Toc30806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一、基本职能及主要工作</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_Toc30806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5A2E2546">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_Toc31443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（一）主要职能。</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_Toc31443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68215018">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_Toc17196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w:t>
      </w:r>
      <w:r>
        <w:rPr>
          <w:rFonts w:hint="eastAsia" w:ascii="方正仿宋_GB2312" w:hAnsi="方正仿宋_GB2312" w:eastAsia="方正仿宋_GB2312" w:cs="方正仿宋_GB2312"/>
          <w:sz w:val="28"/>
          <w:szCs w:val="28"/>
          <w:lang w:eastAsia="zh-CN"/>
        </w:rPr>
        <w:t>2020</w:t>
      </w:r>
      <w:r>
        <w:rPr>
          <w:rFonts w:hint="eastAsia" w:ascii="方正仿宋_GB2312" w:hAnsi="方正仿宋_GB2312" w:eastAsia="方正仿宋_GB2312" w:cs="方正仿宋_GB2312"/>
          <w:sz w:val="28"/>
          <w:szCs w:val="28"/>
        </w:rPr>
        <w:t>年重点工作完成情况。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_Toc17196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326BC459">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_Toc25700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二、机构设置</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5</w:t>
      </w:r>
    </w:p>
    <w:p w14:paraId="6A7328E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_Toc5345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 xml:space="preserve">第二部分 </w:t>
      </w:r>
      <w:r>
        <w:rPr>
          <w:rFonts w:hint="eastAsia" w:ascii="方正仿宋_GB2312" w:hAnsi="方正仿宋_GB2312" w:eastAsia="方正仿宋_GB2312" w:cs="方正仿宋_GB2312"/>
          <w:sz w:val="28"/>
          <w:szCs w:val="28"/>
          <w:lang w:eastAsia="zh-CN"/>
        </w:rPr>
        <w:t>2020</w:t>
      </w:r>
      <w:r>
        <w:rPr>
          <w:rFonts w:hint="eastAsia" w:ascii="方正仿宋_GB2312" w:hAnsi="方正仿宋_GB2312" w:eastAsia="方正仿宋_GB2312" w:cs="方正仿宋_GB2312"/>
          <w:sz w:val="28"/>
          <w:szCs w:val="28"/>
        </w:rPr>
        <w:t>年度部门决算情况说明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6</w:t>
      </w:r>
    </w:p>
    <w:p w14:paraId="0EB5567A">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_Toc32302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 收入支出决算总体情况说明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6</w:t>
      </w:r>
    </w:p>
    <w:p w14:paraId="279D0BA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_Toc27754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 收入决算情况说明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6</w:t>
      </w:r>
    </w:p>
    <w:p w14:paraId="4ECA0E1C">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_Toc5113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三、 支出决算情况说明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7</w:t>
      </w:r>
    </w:p>
    <w:p w14:paraId="26BD7FE7">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_Toc13428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四、 财政拨款收入支出决算总体情况说明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7</w:t>
      </w:r>
    </w:p>
    <w:p w14:paraId="42BA5675">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_Toc957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五、 一般公共预算财政拨款支出决算情况说明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8</w:t>
      </w:r>
    </w:p>
    <w:p w14:paraId="2579B1E7">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_Toc24870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（一）一般公共预算财政拨款支出决算总体情况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8</w:t>
      </w:r>
    </w:p>
    <w:p w14:paraId="1172908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_Toc3786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（二）一般公共预算财政拨款支出决算结构情况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8</w:t>
      </w:r>
    </w:p>
    <w:p w14:paraId="540E5341">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_Toc32054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（三）一般公共预算财政拨款支出决算具体情况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9</w:t>
      </w:r>
    </w:p>
    <w:p w14:paraId="3F580A3C">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_Toc12572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六、 一般公共预算财政拨款基本支出决算情况说明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1</w:t>
      </w:r>
    </w:p>
    <w:p w14:paraId="64C82B07">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_Toc10333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七、 “三公”经费财政拨款支出决算情况说明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2</w:t>
      </w:r>
    </w:p>
    <w:p w14:paraId="4C16BFA5">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_Toc6255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（一）“三公”经费财政拨款支出决算总体情况说明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2</w:t>
      </w:r>
    </w:p>
    <w:p w14:paraId="30918364">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_Toc23211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（二）“三公”经费财政拨款支出决算具体情况说明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2</w:t>
      </w:r>
    </w:p>
    <w:p w14:paraId="6DEC3013">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_Toc24782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八、 政府性基金预算支出决算情况说明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3</w:t>
      </w:r>
    </w:p>
    <w:p w14:paraId="31DE9CAF">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_Toc6994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九、 国有资本经营预算支出决算情况说明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_Toc6994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lang w:val="en-US" w:eastAsia="zh-CN"/>
        </w:rPr>
        <w:t>23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58EED07A">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_Toc10925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十、 其他重要事项的情况说明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_Toc10925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78DA88F7">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_Toc3801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（一）机关运行经费支出情况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_Toc3801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379C046C">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_Toc32467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（二）政府采购支出情况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_Toc32467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05E2B2E8">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_Toc8150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（三）国有资产占有使用情况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_Toc8150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45CF1543">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_Toc22180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（四）预算绩效管理情况。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_Toc22180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37A5EC42">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_Toc24233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第三部分 名词解释</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_Toc24233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578311C7">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_Toc4989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第四部分 附件</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_Toc4989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val="en-US" w:eastAsia="zh-CN"/>
        </w:rPr>
        <w:t>9</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70EE620F">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_Toc22471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lang w:eastAsia="zh-CN"/>
        </w:rPr>
        <w:t>附件：1.2020年区委宣传部部门整体支出绩效评价报告</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_Toc22471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val="en-US" w:eastAsia="zh-CN"/>
        </w:rPr>
        <w:t>9</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34EB5397">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_Toc17993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附件</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2.2020年农村公益电影放映项目度绩效自评报告</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_Toc17993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4CE52E89">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_Toc23953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第五部分 附表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_Toc23953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6E4070D8">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_Toc28799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一、收入支出决算总表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_Toc28799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0474AE82">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_Toc27095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二、收入决算表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_Toc27095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2A6A3DF1">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_Toc29207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三、支出决算表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_Toc29207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574A82EB">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_Toc7280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四、财政拨款收入支出决算总表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_Toc7280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58D2344F">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_Toc13383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五、财政拨款支出决算明细表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_Toc13383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008235F9">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_Toc18318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六、一般公共预算财政拨款支出决算表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_Toc18318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0E331846">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_Toc24322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七、一般公共预算财政拨款支出决算明细表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_Toc24322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012CAC8E">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_Toc16313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八、一般公共预算财政拨款基本支出决算表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_Toc16313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02CDAE53">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_Toc6030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九、一般公共预算财政拨款项目支出决算表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_Toc6030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648EC73E">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_Toc5267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十、一般公共预算财政拨款“三公”经费支出决算表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_Toc5267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3CDC3F31">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_Toc30893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十一、政府性基金预算财政拨款收入支出决算表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_Toc30893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67CBFE03">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_Toc16596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十二、政府性基金预算财政拨款“三公”经费支出决算表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_Toc16596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1A7827A8">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lang w:val="en-US" w:eastAsia="zh-CN"/>
        </w:rPr>
        <w:t>十三、国有资本经营预算财政拨款收入支出决算表......................38</w:t>
      </w:r>
    </w:p>
    <w:p w14:paraId="17C1F9AB">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_Toc14637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十</w:t>
      </w:r>
      <w:r>
        <w:rPr>
          <w:rFonts w:hint="eastAsia" w:ascii="方正仿宋_GB2312" w:hAnsi="方正仿宋_GB2312" w:eastAsia="方正仿宋_GB2312" w:cs="方正仿宋_GB2312"/>
          <w:sz w:val="28"/>
          <w:szCs w:val="28"/>
          <w:lang w:val="en-US" w:eastAsia="zh-CN"/>
        </w:rPr>
        <w:t>四</w:t>
      </w:r>
      <w:r>
        <w:rPr>
          <w:rFonts w:hint="eastAsia" w:ascii="方正仿宋_GB2312" w:hAnsi="方正仿宋_GB2312" w:eastAsia="方正仿宋_GB2312" w:cs="方正仿宋_GB2312"/>
          <w:sz w:val="28"/>
          <w:szCs w:val="28"/>
        </w:rPr>
        <w:t>、国有资本经营预算支出决算表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_Toc14637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31D34591">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br w:type="page"/>
      </w:r>
    </w:p>
    <w:p w14:paraId="43AC4AA5">
      <w:pPr>
        <w:pStyle w:val="4"/>
        <w:wordWrap/>
        <w:snapToGrid/>
        <w:spacing w:before="0" w:after="0" w:line="240" w:lineRule="auto"/>
        <w:ind w:left="0" w:leftChars="0" w:right="0" w:firstLine="0" w:firstLineChars="0"/>
        <w:jc w:val="center"/>
        <w:outlineLvl w:val="0"/>
        <w:rPr>
          <w:rStyle w:val="36"/>
          <w:rFonts w:ascii="黑体" w:hAnsi="黑体" w:eastAsia="黑体"/>
          <w:b/>
          <w:bCs w:val="0"/>
        </w:rPr>
      </w:pPr>
      <w:bookmarkStart w:id="14" w:name="_Toc23975"/>
      <w:r>
        <w:rPr>
          <w:rFonts w:hint="eastAsia" w:ascii="黑体" w:hAnsi="黑体" w:eastAsia="黑体"/>
          <w:b w:val="0"/>
        </w:rPr>
        <w:t xml:space="preserve">第一部分 </w:t>
      </w:r>
      <w:r>
        <w:rPr>
          <w:rStyle w:val="36"/>
          <w:rFonts w:hint="eastAsia" w:ascii="黑体" w:hAnsi="黑体" w:eastAsia="黑体"/>
          <w:b w:val="0"/>
          <w:bCs w:val="0"/>
        </w:rPr>
        <w:t>部门概况</w:t>
      </w:r>
      <w:bookmarkEnd w:id="12"/>
      <w:bookmarkEnd w:id="13"/>
      <w:bookmarkEnd w:id="14"/>
    </w:p>
    <w:p w14:paraId="1149F6AA">
      <w:pPr>
        <w:pStyle w:val="5"/>
        <w:wordWrap/>
        <w:snapToGrid/>
        <w:spacing w:before="0" w:after="0" w:line="240" w:lineRule="auto"/>
        <w:ind w:left="0" w:leftChars="0" w:right="0" w:firstLine="640" w:firstLineChars="200"/>
        <w:jc w:val="both"/>
        <w:outlineLvl w:val="1"/>
        <w:rPr>
          <w:rStyle w:val="37"/>
          <w:rFonts w:ascii="仿宋" w:hAnsi="仿宋" w:eastAsia="仿宋"/>
          <w:b w:val="0"/>
          <w:bCs w:val="0"/>
        </w:rPr>
      </w:pPr>
      <w:bookmarkStart w:id="15" w:name="_Toc30806"/>
      <w:bookmarkStart w:id="16" w:name="_Toc15396600"/>
      <w:bookmarkStart w:id="17" w:name="_Toc15377197"/>
      <w:r>
        <w:rPr>
          <w:rFonts w:hint="eastAsia" w:ascii="黑体" w:hAnsi="黑体" w:eastAsia="黑体"/>
          <w:b w:val="0"/>
          <w:color w:val="000000"/>
        </w:rPr>
        <w:t>一、基</w:t>
      </w:r>
      <w:r>
        <w:rPr>
          <w:rStyle w:val="37"/>
          <w:rFonts w:hint="eastAsia" w:ascii="黑体" w:hAnsi="黑体" w:eastAsia="黑体"/>
          <w:b w:val="0"/>
          <w:bCs w:val="0"/>
        </w:rPr>
        <w:t>本职能及主要工作</w:t>
      </w:r>
      <w:bookmarkEnd w:id="15"/>
      <w:bookmarkEnd w:id="16"/>
      <w:bookmarkEnd w:id="17"/>
    </w:p>
    <w:p w14:paraId="2C49A5A7">
      <w:pPr>
        <w:pStyle w:val="9"/>
        <w:widowControl w:val="0"/>
        <w:wordWrap/>
        <w:adjustRightInd w:val="0"/>
        <w:snapToGrid/>
        <w:spacing w:beforeLines="0" w:line="240" w:lineRule="auto"/>
        <w:ind w:left="0" w:leftChars="0" w:right="0" w:firstLine="602" w:firstLineChars="200"/>
        <w:jc w:val="left"/>
        <w:textAlignment w:val="auto"/>
        <w:outlineLvl w:val="2"/>
        <w:rPr>
          <w:rFonts w:hint="eastAsia" w:ascii="仿宋_GB2312" w:hAnsi="仿宋_GB2312" w:eastAsia="仿宋_GB2312" w:cs="仿宋_GB2312"/>
          <w:b w:val="0"/>
          <w:bCs/>
          <w:color w:val="000000"/>
          <w:sz w:val="30"/>
          <w:szCs w:val="30"/>
        </w:rPr>
      </w:pPr>
      <w:bookmarkStart w:id="18" w:name="_Toc15378445"/>
      <w:bookmarkStart w:id="19" w:name="_Toc15377198"/>
      <w:bookmarkStart w:id="20" w:name="_Toc31443"/>
      <w:r>
        <w:rPr>
          <w:rFonts w:hint="eastAsia" w:ascii="仿宋_GB2312" w:hAnsi="仿宋_GB2312" w:eastAsia="仿宋_GB2312" w:cs="仿宋_GB2312"/>
          <w:b/>
          <w:bCs w:val="0"/>
          <w:color w:val="000000"/>
          <w:sz w:val="30"/>
          <w:szCs w:val="30"/>
        </w:rPr>
        <w:t>（一）主要职能。</w:t>
      </w:r>
      <w:bookmarkEnd w:id="18"/>
      <w:bookmarkEnd w:id="19"/>
      <w:bookmarkEnd w:id="20"/>
      <w:r>
        <w:rPr>
          <w:rFonts w:hint="eastAsia" w:ascii="仿宋_GB2312" w:hAnsi="仿宋_GB2312" w:eastAsia="仿宋_GB2312" w:cs="仿宋_GB2312"/>
          <w:b w:val="0"/>
          <w:bCs/>
          <w:color w:val="000000"/>
          <w:sz w:val="30"/>
          <w:szCs w:val="30"/>
        </w:rPr>
        <w:t xml:space="preserve"> </w:t>
      </w:r>
    </w:p>
    <w:p w14:paraId="5D646E6F">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hAnsi="仿宋_GB2312" w:cs="仿宋_GB2312"/>
          <w:b w:val="0"/>
          <w:bCs/>
          <w:color w:val="000000"/>
          <w:sz w:val="30"/>
          <w:szCs w:val="30"/>
          <w:lang w:val="en-US" w:eastAsia="zh-CN"/>
        </w:rPr>
        <w:t>1.</w:t>
      </w:r>
      <w:r>
        <w:rPr>
          <w:rFonts w:hint="eastAsia" w:ascii="仿宋_GB2312" w:hAnsi="仿宋_GB2312" w:eastAsia="仿宋_GB2312" w:cs="仿宋_GB2312"/>
          <w:b w:val="0"/>
          <w:bCs/>
          <w:color w:val="000000"/>
          <w:sz w:val="30"/>
          <w:szCs w:val="30"/>
        </w:rPr>
        <w:t>拟订全区宣传思想文化工作重大政策和事业产业发展总体规划，统筹协调推进宣传思想文化领域法治建设，按照区委统一部署，协调宣传思想文化系统各部门（单位）之间的工作。</w:t>
      </w:r>
    </w:p>
    <w:p w14:paraId="321155CE">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hAnsi="仿宋_GB2312" w:cs="仿宋_GB2312"/>
          <w:b w:val="0"/>
          <w:bCs/>
          <w:color w:val="000000"/>
          <w:sz w:val="30"/>
          <w:szCs w:val="30"/>
          <w:lang w:val="en-US" w:eastAsia="zh-CN"/>
        </w:rPr>
        <w:t>2.</w:t>
      </w:r>
      <w:r>
        <w:rPr>
          <w:rFonts w:hint="eastAsia" w:ascii="仿宋_GB2312" w:hAnsi="仿宋_GB2312" w:eastAsia="仿宋_GB2312" w:cs="仿宋_GB2312"/>
          <w:b w:val="0"/>
          <w:bCs/>
          <w:color w:val="000000"/>
          <w:sz w:val="30"/>
          <w:szCs w:val="30"/>
        </w:rPr>
        <w:t>统筹协调全区党的意识形态工作，贯彻落实党中央和省委、市委、区委的决策部署，组织协调意识形态工作责任制落实的日常监督检查，分析研判意识形态领域情况，配合巡视巡察工作开展专项检查。</w:t>
      </w:r>
    </w:p>
    <w:p w14:paraId="03FDB601">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hAnsi="仿宋_GB2312" w:cs="仿宋_GB2312"/>
          <w:b w:val="0"/>
          <w:bCs/>
          <w:color w:val="000000"/>
          <w:sz w:val="30"/>
          <w:szCs w:val="30"/>
          <w:lang w:val="en-US" w:eastAsia="zh-CN"/>
        </w:rPr>
        <w:t>3.</w:t>
      </w:r>
      <w:r>
        <w:rPr>
          <w:rFonts w:hint="eastAsia" w:ascii="仿宋_GB2312" w:hAnsi="仿宋_GB2312" w:eastAsia="仿宋_GB2312" w:cs="仿宋_GB2312"/>
          <w:b w:val="0"/>
          <w:bCs/>
          <w:color w:val="000000"/>
          <w:sz w:val="30"/>
          <w:szCs w:val="30"/>
        </w:rPr>
        <w:t>统筹指导全区理论研究、理论学习和理论宣传工作。</w:t>
      </w:r>
    </w:p>
    <w:p w14:paraId="1DE527F9">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hAnsi="仿宋_GB2312" w:cs="仿宋_GB2312"/>
          <w:b w:val="0"/>
          <w:bCs/>
          <w:color w:val="000000"/>
          <w:sz w:val="30"/>
          <w:szCs w:val="30"/>
          <w:lang w:val="en-US" w:eastAsia="zh-CN"/>
        </w:rPr>
        <w:t>4.</w:t>
      </w:r>
      <w:r>
        <w:rPr>
          <w:rFonts w:hint="eastAsia" w:ascii="仿宋_GB2312" w:hAnsi="仿宋_GB2312" w:eastAsia="仿宋_GB2312" w:cs="仿宋_GB2312"/>
          <w:b w:val="0"/>
          <w:bCs/>
          <w:color w:val="000000"/>
          <w:sz w:val="30"/>
          <w:szCs w:val="30"/>
        </w:rPr>
        <w:t>负责规划、部署全区性的思想政治工作任务，配合区委组织部做好党员教育工作，会同有关部门研究和改进群众思想教育工作。从宏观上指导全区各级各类学校的德育、政治理论课教学和思想政治工作。组织重大先进典型的学习和推广。</w:t>
      </w:r>
    </w:p>
    <w:p w14:paraId="65CDAEBF">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hAnsi="仿宋_GB2312" w:cs="仿宋_GB2312"/>
          <w:b w:val="0"/>
          <w:bCs/>
          <w:color w:val="000000"/>
          <w:sz w:val="30"/>
          <w:szCs w:val="30"/>
          <w:lang w:val="en-US" w:eastAsia="zh-CN"/>
        </w:rPr>
        <w:t>5.</w:t>
      </w:r>
      <w:r>
        <w:rPr>
          <w:rFonts w:hint="eastAsia" w:ascii="仿宋_GB2312" w:hAnsi="仿宋_GB2312" w:eastAsia="仿宋_GB2312" w:cs="仿宋_GB2312"/>
          <w:b w:val="0"/>
          <w:bCs/>
          <w:color w:val="000000"/>
          <w:sz w:val="30"/>
          <w:szCs w:val="30"/>
        </w:rPr>
        <w:t>受区委委托，会同区委组织部管理区级理论、新闻出版、文化体育、旅游、广播电视、电影、哲学和社会科学、互联网信息等区级部门的领导干部，指导宣传文化系统各单位工作。对全区宣传干部的任免提出意见和建议，制定全区宣传干部和有关宣传文化系统业务骨干的培训规划，并组织实施。配合有关部门做好理论、新闻、文化、文艺等方面优秀人才的选拔、培养工作。</w:t>
      </w:r>
    </w:p>
    <w:p w14:paraId="514D7D62">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hAnsi="仿宋_GB2312" w:cs="仿宋_GB2312"/>
          <w:b w:val="0"/>
          <w:bCs/>
          <w:color w:val="000000"/>
          <w:sz w:val="30"/>
          <w:szCs w:val="30"/>
          <w:lang w:val="en-US" w:eastAsia="zh-CN"/>
        </w:rPr>
        <w:t>6.</w:t>
      </w:r>
      <w:r>
        <w:rPr>
          <w:rFonts w:hint="eastAsia" w:ascii="仿宋_GB2312" w:hAnsi="仿宋_GB2312" w:eastAsia="仿宋_GB2312" w:cs="仿宋_GB2312"/>
          <w:b w:val="0"/>
          <w:bCs/>
          <w:color w:val="000000"/>
          <w:sz w:val="30"/>
          <w:szCs w:val="30"/>
        </w:rPr>
        <w:t>从宏观上指导精神文化产品的生产，协调组织中华优秀传统文化和昭化特色文化传承发展工作，指导协调推动群众性文化建设。</w:t>
      </w:r>
    </w:p>
    <w:p w14:paraId="6AD38607">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hAnsi="仿宋_GB2312" w:cs="仿宋_GB2312"/>
          <w:b w:val="0"/>
          <w:bCs/>
          <w:color w:val="000000"/>
          <w:sz w:val="30"/>
          <w:szCs w:val="30"/>
          <w:lang w:val="en-US" w:eastAsia="zh-CN"/>
        </w:rPr>
        <w:t>7.</w:t>
      </w:r>
      <w:r>
        <w:rPr>
          <w:rFonts w:hint="eastAsia" w:ascii="仿宋_GB2312" w:hAnsi="仿宋_GB2312" w:eastAsia="仿宋_GB2312" w:cs="仿宋_GB2312"/>
          <w:b w:val="0"/>
          <w:bCs/>
          <w:color w:val="000000"/>
          <w:sz w:val="30"/>
          <w:szCs w:val="30"/>
        </w:rPr>
        <w:t>统筹指导社会舆论引导。组织开展党和国家路线、方针、政策和经济社会发展等方面的宣传教育和形势教育，组织协调重大社会宣传活动。负责组织协调重大新闻宣传活动和重大突发公共事件应急新闻工作。</w:t>
      </w:r>
    </w:p>
    <w:p w14:paraId="6B61D015">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hAnsi="仿宋_GB2312" w:cs="仿宋_GB2312"/>
          <w:b w:val="0"/>
          <w:bCs/>
          <w:color w:val="000000"/>
          <w:sz w:val="30"/>
          <w:szCs w:val="30"/>
          <w:lang w:val="en-US" w:eastAsia="zh-CN"/>
        </w:rPr>
        <w:t>8.</w:t>
      </w:r>
      <w:r>
        <w:rPr>
          <w:rFonts w:hint="eastAsia" w:ascii="仿宋_GB2312" w:hAnsi="仿宋_GB2312" w:eastAsia="仿宋_GB2312" w:cs="仿宋_GB2312"/>
          <w:b w:val="0"/>
          <w:bCs/>
          <w:color w:val="000000"/>
          <w:sz w:val="30"/>
          <w:szCs w:val="30"/>
        </w:rPr>
        <w:t>统筹协调全区对外宣传工作，指导协调区级新闻单位工作和全区对外文化交流工作。会同上级部门做好境外</w:t>
      </w:r>
      <w:r>
        <w:rPr>
          <w:rFonts w:hint="eastAsia" w:ascii="仿宋_GB2312" w:hAnsi="仿宋_GB2312" w:eastAsia="仿宋_GB2312" w:cs="仿宋_GB2312"/>
          <w:b w:val="0"/>
          <w:bCs/>
          <w:color w:val="000000"/>
          <w:sz w:val="30"/>
          <w:szCs w:val="30"/>
          <w:highlight w:val="none"/>
        </w:rPr>
        <w:t>来昭</w:t>
      </w:r>
      <w:r>
        <w:rPr>
          <w:rFonts w:hint="eastAsia" w:ascii="仿宋_GB2312" w:hAnsi="仿宋_GB2312" w:eastAsia="仿宋_GB2312" w:cs="仿宋_GB2312"/>
          <w:b w:val="0"/>
          <w:bCs/>
          <w:color w:val="000000"/>
          <w:sz w:val="30"/>
          <w:szCs w:val="30"/>
        </w:rPr>
        <w:t>记者采访事务方面的工作。</w:t>
      </w:r>
    </w:p>
    <w:p w14:paraId="6E864411">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hAnsi="仿宋_GB2312" w:cs="仿宋_GB2312"/>
          <w:b w:val="0"/>
          <w:bCs/>
          <w:color w:val="000000"/>
          <w:sz w:val="30"/>
          <w:szCs w:val="30"/>
          <w:lang w:val="en-US" w:eastAsia="zh-CN"/>
        </w:rPr>
        <w:t>9.</w:t>
      </w:r>
      <w:r>
        <w:rPr>
          <w:rFonts w:hint="eastAsia" w:ascii="仿宋_GB2312" w:hAnsi="仿宋_GB2312" w:eastAsia="仿宋_GB2312" w:cs="仿宋_GB2312"/>
          <w:b w:val="0"/>
          <w:bCs/>
          <w:color w:val="000000"/>
          <w:sz w:val="30"/>
          <w:szCs w:val="30"/>
        </w:rPr>
        <w:t>负责管理新闻出版行政事务和所涉及的行政审批工作，监督管理出版物内容和质量，监督管理印刷业、管理著作权等。组织指导协调“扫黄打非”工作。负责区外媒体记者</w:t>
      </w:r>
      <w:r>
        <w:rPr>
          <w:rFonts w:hint="eastAsia" w:ascii="仿宋_GB2312" w:hAnsi="仿宋_GB2312" w:eastAsia="仿宋_GB2312" w:cs="仿宋_GB2312"/>
          <w:b w:val="0"/>
          <w:bCs/>
          <w:color w:val="000000"/>
          <w:sz w:val="30"/>
          <w:szCs w:val="30"/>
          <w:highlight w:val="none"/>
        </w:rPr>
        <w:t>来昭</w:t>
      </w:r>
      <w:r>
        <w:rPr>
          <w:rFonts w:hint="eastAsia" w:ascii="仿宋_GB2312" w:hAnsi="仿宋_GB2312" w:eastAsia="仿宋_GB2312" w:cs="仿宋_GB2312"/>
          <w:b w:val="0"/>
          <w:bCs/>
          <w:color w:val="000000"/>
          <w:sz w:val="30"/>
          <w:szCs w:val="30"/>
        </w:rPr>
        <w:t>工作的监督管理。</w:t>
      </w:r>
    </w:p>
    <w:p w14:paraId="0502FCA9">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hAnsi="仿宋_GB2312" w:cs="仿宋_GB2312"/>
          <w:b w:val="0"/>
          <w:bCs/>
          <w:color w:val="000000"/>
          <w:sz w:val="30"/>
          <w:szCs w:val="30"/>
          <w:lang w:val="en-US" w:eastAsia="zh-CN"/>
        </w:rPr>
        <w:t>10.</w:t>
      </w:r>
      <w:r>
        <w:rPr>
          <w:rFonts w:hint="eastAsia" w:ascii="仿宋_GB2312" w:hAnsi="仿宋_GB2312" w:eastAsia="仿宋_GB2312" w:cs="仿宋_GB2312"/>
          <w:b w:val="0"/>
          <w:bCs/>
          <w:color w:val="000000"/>
          <w:sz w:val="30"/>
          <w:szCs w:val="30"/>
        </w:rPr>
        <w:t>统筹协调全区网络安全和信息化工作，推进网络安全信息化、标准化建设。统筹协调网络意识形态工作，负责指导、督促、检查网络意识形态工作责任制的贯彻落实。负责新媒体的建设与管理，负责全区互联网内容管理、宣传管理和舆论引导。组织协调开展舆论信息收集分析研判工作，跟踪了解、研究掌握宣传舆情动态。</w:t>
      </w:r>
    </w:p>
    <w:p w14:paraId="450AD20A">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hAnsi="仿宋_GB2312" w:cs="仿宋_GB2312"/>
          <w:b w:val="0"/>
          <w:bCs/>
          <w:color w:val="000000"/>
          <w:sz w:val="30"/>
          <w:szCs w:val="30"/>
          <w:lang w:val="en-US" w:eastAsia="zh-CN"/>
        </w:rPr>
        <w:t>11.</w:t>
      </w:r>
      <w:r>
        <w:rPr>
          <w:rFonts w:hint="eastAsia" w:ascii="仿宋_GB2312" w:hAnsi="仿宋_GB2312" w:eastAsia="仿宋_GB2312" w:cs="仿宋_GB2312"/>
          <w:b w:val="0"/>
          <w:bCs/>
          <w:color w:val="000000"/>
          <w:sz w:val="30"/>
          <w:szCs w:val="30"/>
        </w:rPr>
        <w:t>负责管理电影行政事务和所涉及的行政审批工作，指导监管电影制片、发行、放映工作，组织对电影内容进行审查，指导协调全区性重大电影活动等。</w:t>
      </w:r>
    </w:p>
    <w:p w14:paraId="41BF8236">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hAnsi="仿宋_GB2312" w:cs="仿宋_GB2312"/>
          <w:b w:val="0"/>
          <w:bCs/>
          <w:color w:val="000000"/>
          <w:sz w:val="30"/>
          <w:szCs w:val="30"/>
          <w:lang w:val="en-US" w:eastAsia="zh-CN"/>
        </w:rPr>
        <w:t>12.</w:t>
      </w:r>
      <w:r>
        <w:rPr>
          <w:rFonts w:hint="eastAsia" w:ascii="仿宋_GB2312" w:hAnsi="仿宋_GB2312" w:eastAsia="仿宋_GB2312" w:cs="仿宋_GB2312"/>
          <w:b w:val="0"/>
          <w:bCs/>
          <w:color w:val="000000"/>
          <w:sz w:val="30"/>
          <w:szCs w:val="30"/>
        </w:rPr>
        <w:t>承担区精神文明建设委员会的日常工作。统筹组织协调全区精神文明建设工作，协调推动精神文明创建、公民思想道德建设和志愿服务工作。</w:t>
      </w:r>
    </w:p>
    <w:p w14:paraId="5D871709">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hAnsi="仿宋_GB2312" w:cs="仿宋_GB2312"/>
          <w:b w:val="0"/>
          <w:bCs/>
          <w:color w:val="000000"/>
          <w:sz w:val="30"/>
          <w:szCs w:val="30"/>
          <w:lang w:val="en-US" w:eastAsia="zh-CN"/>
        </w:rPr>
        <w:t>13.</w:t>
      </w:r>
      <w:r>
        <w:rPr>
          <w:rFonts w:hint="eastAsia" w:ascii="仿宋_GB2312" w:hAnsi="仿宋_GB2312" w:eastAsia="仿宋_GB2312" w:cs="仿宋_GB2312"/>
          <w:b w:val="0"/>
          <w:bCs/>
          <w:color w:val="000000"/>
          <w:sz w:val="30"/>
          <w:szCs w:val="30"/>
        </w:rPr>
        <w:t>对新闻出版、文化艺术、广播电视、电影和旅游业改革发展提出政策性建议，统筹指导推进文化体制改革和文化事业、文化产业及旅游业发展。</w:t>
      </w:r>
    </w:p>
    <w:p w14:paraId="26B3DD7B">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hAnsi="仿宋_GB2312" w:cs="仿宋_GB2312"/>
          <w:b w:val="0"/>
          <w:bCs/>
          <w:color w:val="000000"/>
          <w:sz w:val="30"/>
          <w:szCs w:val="30"/>
          <w:lang w:val="en-US" w:eastAsia="zh-CN"/>
        </w:rPr>
        <w:t>14.</w:t>
      </w:r>
      <w:r>
        <w:rPr>
          <w:rFonts w:hint="eastAsia" w:ascii="仿宋_GB2312" w:hAnsi="仿宋_GB2312" w:eastAsia="仿宋_GB2312" w:cs="仿宋_GB2312"/>
          <w:b w:val="0"/>
          <w:bCs/>
          <w:color w:val="000000"/>
          <w:sz w:val="30"/>
          <w:szCs w:val="30"/>
        </w:rPr>
        <w:t>归口领导区文化旅游和体育局、区广播电视局等宣传思想文化单位和旅游单位。受区委委托，代管区文联、区作协、区社科联。</w:t>
      </w:r>
    </w:p>
    <w:p w14:paraId="2F30C18B">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hAnsi="仿宋_GB2312" w:cs="仿宋_GB2312"/>
          <w:b w:val="0"/>
          <w:bCs/>
          <w:color w:val="000000"/>
          <w:sz w:val="30"/>
          <w:szCs w:val="30"/>
          <w:lang w:val="en-US" w:eastAsia="zh-CN"/>
        </w:rPr>
        <w:t>15.</w:t>
      </w:r>
      <w:r>
        <w:rPr>
          <w:rFonts w:hint="eastAsia" w:ascii="仿宋_GB2312" w:hAnsi="仿宋_GB2312" w:eastAsia="仿宋_GB2312" w:cs="仿宋_GB2312"/>
          <w:b w:val="0"/>
          <w:bCs/>
          <w:color w:val="000000"/>
          <w:sz w:val="30"/>
          <w:szCs w:val="30"/>
        </w:rPr>
        <w:t>负责组织协调重大新闻宣传报道活动，承担区委、区政府新闻发布相关组织协调工作，研究拟订我区重大问题宣传口径。</w:t>
      </w:r>
    </w:p>
    <w:p w14:paraId="740C0D8D">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hAnsi="仿宋_GB2312" w:cs="仿宋_GB2312"/>
          <w:b w:val="0"/>
          <w:bCs/>
          <w:color w:val="000000"/>
          <w:sz w:val="30"/>
          <w:szCs w:val="30"/>
          <w:lang w:val="en-US" w:eastAsia="zh-CN"/>
        </w:rPr>
        <w:t>16.</w:t>
      </w:r>
      <w:r>
        <w:rPr>
          <w:rFonts w:hint="eastAsia" w:ascii="仿宋_GB2312" w:hAnsi="仿宋_GB2312" w:eastAsia="仿宋_GB2312" w:cs="仿宋_GB2312"/>
          <w:b w:val="0"/>
          <w:bCs/>
          <w:color w:val="000000"/>
          <w:sz w:val="30"/>
          <w:szCs w:val="30"/>
        </w:rPr>
        <w:t>组织协调开展人权宣传和反邪教等方面对外宣传和舆论斗争工作。</w:t>
      </w:r>
    </w:p>
    <w:p w14:paraId="30CD49DD">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hAnsi="仿宋_GB2312" w:cs="仿宋_GB2312"/>
          <w:b w:val="0"/>
          <w:bCs/>
          <w:color w:val="000000"/>
          <w:sz w:val="30"/>
          <w:szCs w:val="30"/>
          <w:lang w:val="en-US" w:eastAsia="zh-CN"/>
        </w:rPr>
        <w:t>17.</w:t>
      </w:r>
      <w:r>
        <w:rPr>
          <w:rFonts w:hint="eastAsia" w:ascii="仿宋_GB2312" w:hAnsi="仿宋_GB2312" w:eastAsia="仿宋_GB2312" w:cs="仿宋_GB2312"/>
          <w:b w:val="0"/>
          <w:bCs/>
          <w:color w:val="000000"/>
          <w:sz w:val="30"/>
          <w:szCs w:val="30"/>
        </w:rPr>
        <w:t>完成区委交办的其他任务。</w:t>
      </w:r>
    </w:p>
    <w:p w14:paraId="5605CE70">
      <w:pPr>
        <w:pStyle w:val="9"/>
        <w:wordWrap/>
        <w:adjustRightInd w:val="0"/>
        <w:snapToGrid/>
        <w:spacing w:beforeLines="0" w:line="240" w:lineRule="auto"/>
        <w:ind w:left="0" w:leftChars="0" w:right="0" w:firstLine="602" w:firstLineChars="200"/>
        <w:jc w:val="left"/>
        <w:textAlignment w:val="auto"/>
        <w:outlineLvl w:val="2"/>
        <w:rPr>
          <w:rFonts w:hint="eastAsia" w:ascii="仿宋_GB2312" w:hAnsi="仿宋_GB2312" w:eastAsia="仿宋_GB2312" w:cs="仿宋_GB2312"/>
          <w:b/>
          <w:bCs w:val="0"/>
          <w:color w:val="000000"/>
          <w:sz w:val="30"/>
          <w:szCs w:val="30"/>
        </w:rPr>
      </w:pPr>
      <w:bookmarkStart w:id="21" w:name="_Toc17196"/>
      <w:bookmarkStart w:id="22" w:name="_Toc15377199"/>
      <w:bookmarkStart w:id="23" w:name="_Toc15378446"/>
      <w:r>
        <w:rPr>
          <w:rFonts w:hint="eastAsia" w:ascii="仿宋_GB2312" w:hAnsi="仿宋_GB2312" w:eastAsia="仿宋_GB2312" w:cs="仿宋_GB2312"/>
          <w:b/>
          <w:bCs w:val="0"/>
          <w:color w:val="000000"/>
          <w:sz w:val="30"/>
          <w:szCs w:val="30"/>
        </w:rPr>
        <w:t>（二）</w:t>
      </w:r>
      <w:r>
        <w:rPr>
          <w:rFonts w:hint="eastAsia" w:hAnsi="仿宋_GB2312" w:cs="仿宋_GB2312"/>
          <w:b/>
          <w:bCs w:val="0"/>
          <w:color w:val="000000"/>
          <w:sz w:val="30"/>
          <w:szCs w:val="30"/>
          <w:lang w:eastAsia="zh-CN"/>
        </w:rPr>
        <w:t>2020</w:t>
      </w:r>
      <w:r>
        <w:rPr>
          <w:rFonts w:hint="eastAsia" w:ascii="仿宋_GB2312" w:hAnsi="仿宋_GB2312" w:eastAsia="仿宋_GB2312" w:cs="仿宋_GB2312"/>
          <w:b/>
          <w:bCs w:val="0"/>
          <w:color w:val="000000"/>
          <w:sz w:val="30"/>
          <w:szCs w:val="30"/>
        </w:rPr>
        <w:t>年重点工作完成情况。</w:t>
      </w:r>
      <w:bookmarkEnd w:id="21"/>
      <w:bookmarkEnd w:id="22"/>
      <w:bookmarkEnd w:id="23"/>
    </w:p>
    <w:p w14:paraId="10635755">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jc w:val="both"/>
        <w:textAlignment w:val="auto"/>
        <w:rPr>
          <w:rFonts w:hint="eastAsia" w:ascii="仿宋" w:hAnsi="仿宋" w:eastAsia="仿宋" w:cs="仿宋"/>
          <w:b w:val="0"/>
          <w:bCs w:val="0"/>
          <w:color w:val="000000" w:themeColor="text1"/>
          <w:spacing w:val="0"/>
          <w:sz w:val="30"/>
          <w:szCs w:val="30"/>
          <w14:textFill>
            <w14:solidFill>
              <w14:schemeClr w14:val="tx1"/>
            </w14:solidFill>
          </w14:textFill>
        </w:rPr>
      </w:pPr>
      <w:r>
        <w:rPr>
          <w:rFonts w:hint="eastAsia" w:ascii="仿宋" w:hAnsi="仿宋" w:eastAsia="仿宋" w:cs="仿宋"/>
          <w:b w:val="0"/>
          <w:bCs w:val="0"/>
          <w:color w:val="000000" w:themeColor="text1"/>
          <w:spacing w:val="0"/>
          <w:kern w:val="0"/>
          <w:sz w:val="30"/>
          <w:szCs w:val="30"/>
          <w:lang w:val="en-US" w:eastAsia="zh-CN"/>
          <w14:textFill>
            <w14:solidFill>
              <w14:schemeClr w14:val="tx1"/>
            </w14:solidFill>
          </w14:textFill>
        </w:rPr>
        <w:t>大力</w:t>
      </w:r>
      <w:r>
        <w:rPr>
          <w:rFonts w:hint="eastAsia" w:ascii="仿宋" w:hAnsi="仿宋" w:eastAsia="仿宋" w:cs="仿宋"/>
          <w:b w:val="0"/>
          <w:bCs w:val="0"/>
          <w:color w:val="000000" w:themeColor="text1"/>
          <w:spacing w:val="0"/>
          <w:kern w:val="0"/>
          <w:sz w:val="30"/>
          <w:szCs w:val="30"/>
          <w14:textFill>
            <w14:solidFill>
              <w14:schemeClr w14:val="tx1"/>
            </w14:solidFill>
          </w14:textFill>
        </w:rPr>
        <w:t>实施理论武装强化工程，扎实推进理论武装再上新台阶。</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以“学习强国”在线学习为常态，以《习近平谈治国理政》系列丛书、《中国制度面对面》理论热点读物、</w:t>
      </w:r>
      <w:r>
        <w:rPr>
          <w:rFonts w:hint="eastAsia" w:ascii="仿宋" w:hAnsi="仿宋" w:eastAsia="仿宋" w:cs="仿宋"/>
          <w:b w:val="0"/>
          <w:bCs w:val="0"/>
          <w:color w:val="000000" w:themeColor="text1"/>
          <w:spacing w:val="0"/>
          <w:sz w:val="30"/>
          <w:szCs w:val="30"/>
          <w14:textFill>
            <w14:solidFill>
              <w14:schemeClr w14:val="tx1"/>
            </w14:solidFill>
          </w14:textFill>
        </w:rPr>
        <w:t>党报党刊</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等为重点，</w:t>
      </w:r>
      <w:r>
        <w:rPr>
          <w:rFonts w:hint="eastAsia" w:ascii="仿宋" w:hAnsi="仿宋" w:eastAsia="仿宋" w:cs="仿宋"/>
          <w:b w:val="0"/>
          <w:bCs w:val="0"/>
          <w:color w:val="000000" w:themeColor="text1"/>
          <w:spacing w:val="0"/>
          <w:sz w:val="30"/>
          <w:szCs w:val="30"/>
          <w14:textFill>
            <w14:solidFill>
              <w14:schemeClr w14:val="tx1"/>
            </w14:solidFill>
          </w14:textFill>
        </w:rPr>
        <w:t>坚定推动习近平新时代中国特色社会主义思想入脑入心</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举办区委理论学习中心组集体学习研讨</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7</w:t>
      </w:r>
      <w:r>
        <w:rPr>
          <w:rFonts w:hint="eastAsia" w:ascii="仿宋" w:hAnsi="仿宋" w:eastAsia="仿宋" w:cs="仿宋"/>
          <w:b w:val="0"/>
          <w:bCs w:val="0"/>
          <w:color w:val="000000" w:themeColor="text1"/>
          <w:spacing w:val="0"/>
          <w:sz w:val="30"/>
          <w:szCs w:val="30"/>
          <w14:textFill>
            <w14:solidFill>
              <w14:schemeClr w14:val="tx1"/>
            </w14:solidFill>
          </w14:textFill>
        </w:rPr>
        <w:t>次</w:t>
      </w:r>
      <w:r>
        <w:rPr>
          <w:rFonts w:hint="eastAsia" w:ascii="仿宋" w:hAnsi="仿宋" w:eastAsia="仿宋" w:cs="仿宋"/>
          <w:b w:val="0"/>
          <w:bCs w:val="0"/>
          <w:color w:val="000000" w:themeColor="text1"/>
          <w:spacing w:val="0"/>
          <w:w w:val="100"/>
          <w:sz w:val="30"/>
          <w:szCs w:val="30"/>
          <w:lang w:val="en-US" w:eastAsia="zh-CN"/>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其中区</w:t>
      </w:r>
      <w:r>
        <w:rPr>
          <w:rFonts w:hint="eastAsia" w:ascii="仿宋" w:hAnsi="仿宋" w:eastAsia="仿宋" w:cs="仿宋"/>
          <w:b w:val="0"/>
          <w:bCs w:val="0"/>
          <w:color w:val="000000" w:themeColor="text1"/>
          <w:spacing w:val="0"/>
          <w:w w:val="100"/>
          <w:sz w:val="30"/>
          <w:szCs w:val="30"/>
          <w:lang w:val="en-US" w:eastAsia="zh-CN"/>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四大班子</w:t>
      </w:r>
      <w:r>
        <w:rPr>
          <w:rFonts w:hint="eastAsia" w:ascii="仿宋" w:hAnsi="仿宋" w:eastAsia="仿宋" w:cs="仿宋"/>
          <w:b w:val="0"/>
          <w:bCs w:val="0"/>
          <w:color w:val="000000" w:themeColor="text1"/>
          <w:spacing w:val="0"/>
          <w:w w:val="100"/>
          <w:sz w:val="30"/>
          <w:szCs w:val="30"/>
          <w:lang w:val="en-US" w:eastAsia="zh-CN"/>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中心组联合开展中心组学习2次</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，及时向</w:t>
      </w:r>
      <w:r>
        <w:rPr>
          <w:rFonts w:hint="eastAsia" w:ascii="仿宋" w:hAnsi="仿宋" w:eastAsia="仿宋" w:cs="仿宋"/>
          <w:b w:val="0"/>
          <w:bCs w:val="0"/>
          <w:color w:val="000000" w:themeColor="text1"/>
          <w:spacing w:val="0"/>
          <w:w w:val="100"/>
          <w:sz w:val="30"/>
          <w:szCs w:val="30"/>
          <w:lang w:val="en-US" w:eastAsia="zh-CN"/>
          <w14:textFill>
            <w14:solidFill>
              <w14:schemeClr w14:val="tx1"/>
            </w14:solidFill>
          </w14:textFill>
        </w:rPr>
        <w:t>“学习强国”平台推送优质稿件。积极开展党的十九大、十九届三中、四中、五中全会精神宣讲工作，</w:t>
      </w:r>
      <w:r>
        <w:rPr>
          <w:rFonts w:hint="eastAsia" w:ascii="仿宋" w:hAnsi="仿宋" w:eastAsia="仿宋" w:cs="仿宋"/>
          <w:b w:val="0"/>
          <w:bCs w:val="0"/>
          <w:color w:val="000000" w:themeColor="text1"/>
          <w:spacing w:val="0"/>
          <w:sz w:val="30"/>
          <w:szCs w:val="30"/>
          <w14:textFill>
            <w14:solidFill>
              <w14:schemeClr w14:val="tx1"/>
            </w14:solidFill>
          </w14:textFill>
        </w:rPr>
        <w:t>宣讲普及</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中央</w:t>
      </w:r>
      <w:r>
        <w:rPr>
          <w:rFonts w:hint="eastAsia" w:ascii="仿宋" w:hAnsi="仿宋" w:eastAsia="仿宋" w:cs="仿宋"/>
          <w:b w:val="0"/>
          <w:bCs w:val="0"/>
          <w:color w:val="000000" w:themeColor="text1"/>
          <w:spacing w:val="0"/>
          <w:sz w:val="30"/>
          <w:szCs w:val="30"/>
          <w14:textFill>
            <w14:solidFill>
              <w14:schemeClr w14:val="tx1"/>
            </w14:solidFill>
          </w14:textFill>
        </w:rPr>
        <w:t>省委市委区委全会精神3</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2</w:t>
      </w:r>
      <w:r>
        <w:rPr>
          <w:rFonts w:hint="eastAsia" w:ascii="仿宋" w:hAnsi="仿宋" w:eastAsia="仿宋" w:cs="仿宋"/>
          <w:b w:val="0"/>
          <w:bCs w:val="0"/>
          <w:color w:val="000000" w:themeColor="text1"/>
          <w:spacing w:val="0"/>
          <w:sz w:val="30"/>
          <w:szCs w:val="30"/>
          <w14:textFill>
            <w14:solidFill>
              <w14:schemeClr w14:val="tx1"/>
            </w14:solidFill>
          </w14:textFill>
        </w:rPr>
        <w:t>0余场次</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创新实施知客宣讲，用接地气的方式让党的创新理论“飞入寻常百姓家”</w:t>
      </w:r>
      <w:r>
        <w:rPr>
          <w:rFonts w:hint="eastAsia" w:ascii="仿宋" w:hAnsi="仿宋" w:eastAsia="仿宋" w:cs="仿宋"/>
          <w:b w:val="0"/>
          <w:bCs w:val="0"/>
          <w:color w:val="000000" w:themeColor="text1"/>
          <w:spacing w:val="0"/>
          <w:sz w:val="30"/>
          <w:szCs w:val="30"/>
          <w14:textFill>
            <w14:solidFill>
              <w14:schemeClr w14:val="tx1"/>
            </w14:solidFill>
          </w14:textFill>
        </w:rPr>
        <w:t>。各级领导干部带头开展调查研究，形成调研成果</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区委中心组成员积极</w:t>
      </w:r>
      <w:r>
        <w:rPr>
          <w:rFonts w:hint="eastAsia" w:ascii="仿宋" w:hAnsi="仿宋" w:eastAsia="仿宋" w:cs="仿宋"/>
          <w:b w:val="0"/>
          <w:bCs w:val="0"/>
          <w:color w:val="000000" w:themeColor="text1"/>
          <w:spacing w:val="0"/>
          <w:sz w:val="30"/>
          <w:szCs w:val="30"/>
          <w14:textFill>
            <w14:solidFill>
              <w14:schemeClr w14:val="tx1"/>
            </w14:solidFill>
          </w14:textFill>
        </w:rPr>
        <w:t>在主流媒体</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及党委工作部门权威刊物</w:t>
      </w:r>
      <w:r>
        <w:rPr>
          <w:rFonts w:hint="eastAsia" w:ascii="仿宋" w:hAnsi="仿宋" w:eastAsia="仿宋" w:cs="仿宋"/>
          <w:b w:val="0"/>
          <w:bCs w:val="0"/>
          <w:color w:val="000000" w:themeColor="text1"/>
          <w:spacing w:val="0"/>
          <w:sz w:val="30"/>
          <w:szCs w:val="30"/>
          <w14:textFill>
            <w14:solidFill>
              <w14:schemeClr w14:val="tx1"/>
            </w14:solidFill>
          </w14:textFill>
        </w:rPr>
        <w:t>发表理论文章。实施区领导兼职特邀督学制度</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30余名</w:t>
      </w:r>
      <w:r>
        <w:rPr>
          <w:rFonts w:hint="eastAsia" w:ascii="仿宋" w:hAnsi="仿宋" w:eastAsia="仿宋" w:cs="仿宋"/>
          <w:b w:val="0"/>
          <w:bCs w:val="0"/>
          <w:color w:val="000000" w:themeColor="text1"/>
          <w:spacing w:val="0"/>
          <w:sz w:val="30"/>
          <w:szCs w:val="30"/>
          <w14:textFill>
            <w14:solidFill>
              <w14:schemeClr w14:val="tx1"/>
            </w14:solidFill>
          </w14:textFill>
        </w:rPr>
        <w:t>区领导带头讲思政课活动。</w:t>
      </w:r>
    </w:p>
    <w:p w14:paraId="3005768A">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jc w:val="both"/>
        <w:textAlignment w:val="auto"/>
        <w:rPr>
          <w:rFonts w:hint="eastAsia" w:ascii="仿宋" w:hAnsi="仿宋" w:eastAsia="仿宋" w:cs="仿宋"/>
          <w:b w:val="0"/>
          <w:bCs w:val="0"/>
          <w:color w:val="000000" w:themeColor="text1"/>
          <w:spacing w:val="0"/>
          <w:sz w:val="30"/>
          <w:szCs w:val="30"/>
          <w14:textFill>
            <w14:solidFill>
              <w14:schemeClr w14:val="tx1"/>
            </w14:solidFill>
          </w14:textFill>
        </w:rPr>
      </w:pPr>
      <w:r>
        <w:rPr>
          <w:rFonts w:hint="eastAsia" w:ascii="仿宋" w:hAnsi="仿宋" w:eastAsia="仿宋" w:cs="仿宋"/>
          <w:b w:val="0"/>
          <w:bCs w:val="0"/>
          <w:color w:val="000000" w:themeColor="text1"/>
          <w:spacing w:val="0"/>
          <w:kern w:val="0"/>
          <w:sz w:val="30"/>
          <w:szCs w:val="30"/>
          <w:lang w:val="en-US" w:eastAsia="zh-CN"/>
          <w14:textFill>
            <w14:solidFill>
              <w14:schemeClr w14:val="tx1"/>
            </w14:solidFill>
          </w14:textFill>
        </w:rPr>
        <w:t>大力</w:t>
      </w:r>
      <w:r>
        <w:rPr>
          <w:rFonts w:hint="eastAsia" w:ascii="仿宋" w:hAnsi="仿宋" w:eastAsia="仿宋" w:cs="仿宋"/>
          <w:b w:val="0"/>
          <w:bCs w:val="0"/>
          <w:color w:val="000000" w:themeColor="text1"/>
          <w:spacing w:val="0"/>
          <w:kern w:val="0"/>
          <w:sz w:val="30"/>
          <w:szCs w:val="30"/>
          <w14:textFill>
            <w14:solidFill>
              <w14:schemeClr w14:val="tx1"/>
            </w14:solidFill>
          </w14:textFill>
        </w:rPr>
        <w:t>实施阵地巩固工程</w:t>
      </w:r>
      <w:r>
        <w:rPr>
          <w:rFonts w:hint="eastAsia" w:ascii="仿宋" w:hAnsi="仿宋" w:eastAsia="仿宋" w:cs="仿宋"/>
          <w:b w:val="0"/>
          <w:bCs w:val="0"/>
          <w:color w:val="000000" w:themeColor="text1"/>
          <w:spacing w:val="0"/>
          <w:kern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牵头整改省委巡视昭化区意识形态工作</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任务全部如期完成并长期坚持，</w:t>
      </w:r>
      <w:r>
        <w:rPr>
          <w:rFonts w:hint="eastAsia" w:ascii="仿宋" w:hAnsi="仿宋" w:eastAsia="仿宋" w:cs="仿宋"/>
          <w:b w:val="0"/>
          <w:bCs w:val="0"/>
          <w:color w:val="000000" w:themeColor="text1"/>
          <w:spacing w:val="0"/>
          <w:sz w:val="30"/>
          <w:szCs w:val="30"/>
          <w14:textFill>
            <w14:solidFill>
              <w14:schemeClr w14:val="tx1"/>
            </w14:solidFill>
          </w14:textFill>
        </w:rPr>
        <w:t>举一反三，全面提升全区工作质效</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，完成</w:t>
      </w:r>
      <w:r>
        <w:rPr>
          <w:rFonts w:hint="eastAsia" w:ascii="仿宋" w:hAnsi="仿宋" w:eastAsia="仿宋" w:cs="仿宋"/>
          <w:b w:val="0"/>
          <w:bCs w:val="0"/>
          <w:color w:val="000000" w:themeColor="text1"/>
          <w:spacing w:val="0"/>
          <w:sz w:val="30"/>
          <w:szCs w:val="30"/>
          <w14:textFill>
            <w14:solidFill>
              <w14:schemeClr w14:val="tx1"/>
            </w14:solidFill>
          </w14:textFill>
        </w:rPr>
        <w:t>反馈</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意见整改</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1</w:t>
      </w:r>
      <w:r>
        <w:rPr>
          <w:rFonts w:hint="eastAsia" w:ascii="仿宋" w:hAnsi="仿宋" w:eastAsia="仿宋" w:cs="仿宋"/>
          <w:b w:val="0"/>
          <w:bCs w:val="0"/>
          <w:color w:val="000000" w:themeColor="text1"/>
          <w:spacing w:val="0"/>
          <w:sz w:val="30"/>
          <w:szCs w:val="30"/>
          <w14:textFill>
            <w14:solidFill>
              <w14:schemeClr w14:val="tx1"/>
            </w14:solidFill>
          </w14:textFill>
        </w:rPr>
        <w:t>4项。</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每月</w:t>
      </w:r>
      <w:r>
        <w:rPr>
          <w:rFonts w:hint="eastAsia" w:ascii="仿宋" w:hAnsi="仿宋" w:eastAsia="仿宋" w:cs="仿宋"/>
          <w:b w:val="0"/>
          <w:bCs w:val="0"/>
          <w:color w:val="000000" w:themeColor="text1"/>
          <w:spacing w:val="0"/>
          <w:sz w:val="30"/>
          <w:szCs w:val="30"/>
          <w14:textFill>
            <w14:solidFill>
              <w14:schemeClr w14:val="tx1"/>
            </w14:solidFill>
          </w14:textFill>
        </w:rPr>
        <w:t>短信提示</w:t>
      </w:r>
      <w:r>
        <w:rPr>
          <w:rFonts w:hint="eastAsia" w:ascii="仿宋" w:hAnsi="仿宋" w:eastAsia="仿宋" w:cs="仿宋"/>
          <w:b w:val="0"/>
          <w:bCs w:val="0"/>
          <w:i w:val="0"/>
          <w:caps w:val="0"/>
          <w:color w:val="000000" w:themeColor="text1"/>
          <w:spacing w:val="0"/>
          <w:sz w:val="30"/>
          <w:szCs w:val="30"/>
          <w:shd w:val="clear" w:color="080000" w:fill="auto"/>
          <w:lang w:val="en-US" w:eastAsia="zh-CN"/>
          <w14:textFill>
            <w14:solidFill>
              <w14:schemeClr w14:val="tx1"/>
            </w14:solidFill>
          </w14:textFill>
        </w:rPr>
        <w:t>12次，季度书面定期提示4次，</w:t>
      </w:r>
      <w:r>
        <w:rPr>
          <w:rFonts w:hint="eastAsia" w:ascii="仿宋" w:hAnsi="仿宋" w:eastAsia="仿宋" w:cs="仿宋"/>
          <w:b w:val="0"/>
          <w:bCs w:val="0"/>
          <w:color w:val="000000" w:themeColor="text1"/>
          <w:spacing w:val="0"/>
          <w:sz w:val="30"/>
          <w:szCs w:val="30"/>
          <w14:textFill>
            <w14:solidFill>
              <w14:schemeClr w14:val="tx1"/>
            </w14:solidFill>
          </w14:textFill>
        </w:rPr>
        <w:t>重点定点提示、过程管控提示</w:t>
      </w:r>
      <w:r>
        <w:rPr>
          <w:rFonts w:hint="eastAsia" w:ascii="仿宋" w:hAnsi="仿宋" w:eastAsia="仿宋" w:cs="仿宋"/>
          <w:b w:val="0"/>
          <w:bCs w:val="0"/>
          <w:i w:val="0"/>
          <w:caps w:val="0"/>
          <w:color w:val="000000" w:themeColor="text1"/>
          <w:spacing w:val="0"/>
          <w:sz w:val="30"/>
          <w:szCs w:val="30"/>
          <w:shd w:val="clear" w:color="080000" w:fill="auto"/>
          <w:lang w:val="en-US" w:eastAsia="zh-CN"/>
          <w14:textFill>
            <w14:solidFill>
              <w14:schemeClr w14:val="tx1"/>
            </w14:solidFill>
          </w14:textFill>
        </w:rPr>
        <w:t>40次。</w:t>
      </w:r>
      <w:r>
        <w:rPr>
          <w:rFonts w:hint="eastAsia" w:ascii="仿宋" w:hAnsi="仿宋" w:eastAsia="仿宋" w:cs="仿宋"/>
          <w:b w:val="0"/>
          <w:bCs w:val="0"/>
          <w:color w:val="000000" w:themeColor="text1"/>
          <w:spacing w:val="0"/>
          <w:w w:val="100"/>
          <w:sz w:val="30"/>
          <w:szCs w:val="30"/>
          <w:lang w:val="en-US" w:eastAsia="zh-CN"/>
          <w14:textFill>
            <w14:solidFill>
              <w14:schemeClr w14:val="tx1"/>
            </w14:solidFill>
          </w14:textFill>
        </w:rPr>
        <w:t>强化督促检查。</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逐步构建市区镇村（社区）四级联动网络管理体系。10个党组织创成第四批示范单位，优秀案例入选四川省委网信办主编的</w:t>
      </w:r>
      <w:r>
        <w:rPr>
          <w:rFonts w:hint="eastAsia" w:ascii="仿宋" w:hAnsi="仿宋" w:eastAsia="仿宋" w:cs="仿宋"/>
          <w:b w:val="0"/>
          <w:bCs w:val="0"/>
          <w:color w:val="000000" w:themeColor="text1"/>
          <w:spacing w:val="0"/>
          <w:sz w:val="30"/>
          <w:szCs w:val="30"/>
          <w:highlight w:val="none"/>
          <w:lang w:val="en-US" w:eastAsia="zh-CN"/>
          <w14:textFill>
            <w14:solidFill>
              <w14:schemeClr w14:val="tx1"/>
            </w14:solidFill>
          </w14:textFill>
        </w:rPr>
        <w:t>《</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以“网”兴川——四川省网信工作典型案例</w:t>
      </w:r>
      <w:r>
        <w:rPr>
          <w:rFonts w:hint="eastAsia" w:ascii="仿宋" w:hAnsi="仿宋" w:eastAsia="仿宋" w:cs="仿宋"/>
          <w:b w:val="0"/>
          <w:bCs w:val="0"/>
          <w:color w:val="000000" w:themeColor="text1"/>
          <w:spacing w:val="0"/>
          <w:sz w:val="30"/>
          <w:szCs w:val="30"/>
          <w:highlight w:val="none"/>
          <w:lang w:val="en-US" w:eastAsia="zh-CN"/>
          <w14:textFill>
            <w14:solidFill>
              <w14:schemeClr w14:val="tx1"/>
            </w14:solidFill>
          </w14:textFill>
        </w:rPr>
        <w:t>》</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一书。</w:t>
      </w:r>
      <w:r>
        <w:rPr>
          <w:rFonts w:hint="eastAsia" w:ascii="仿宋" w:hAnsi="仿宋" w:eastAsia="仿宋" w:cs="仿宋"/>
          <w:b w:val="0"/>
          <w:bCs w:val="0"/>
          <w:color w:val="000000" w:themeColor="text1"/>
          <w:spacing w:val="0"/>
          <w:sz w:val="30"/>
          <w:szCs w:val="30"/>
          <w14:textFill>
            <w14:solidFill>
              <w14:schemeClr w14:val="tx1"/>
            </w14:solidFill>
          </w14:textFill>
        </w:rPr>
        <w:t>依法依规管好阵地，营造良好的氛围</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扎实开展“扫黄打非”网格示范点整改提升，</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召开示范建设现场会1次，集中培训内部资料性出版物管理工作1次。</w:t>
      </w:r>
      <w:r>
        <w:rPr>
          <w:rFonts w:hint="eastAsia" w:ascii="仿宋" w:hAnsi="仿宋" w:eastAsia="仿宋" w:cs="仿宋"/>
          <w:b w:val="0"/>
          <w:bCs w:val="0"/>
          <w:color w:val="000000" w:themeColor="text1"/>
          <w:spacing w:val="0"/>
          <w:sz w:val="30"/>
          <w:szCs w:val="30"/>
          <w14:textFill>
            <w14:solidFill>
              <w14:schemeClr w14:val="tx1"/>
            </w14:solidFill>
          </w14:textFill>
        </w:rPr>
        <w:t>检查出版物经营场所、印刷企业</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323</w:t>
      </w:r>
      <w:r>
        <w:rPr>
          <w:rFonts w:hint="eastAsia" w:ascii="仿宋" w:hAnsi="仿宋" w:eastAsia="仿宋" w:cs="仿宋"/>
          <w:b w:val="0"/>
          <w:bCs w:val="0"/>
          <w:color w:val="000000" w:themeColor="text1"/>
          <w:spacing w:val="0"/>
          <w:sz w:val="30"/>
          <w:szCs w:val="30"/>
          <w14:textFill>
            <w14:solidFill>
              <w14:schemeClr w14:val="tx1"/>
            </w14:solidFill>
          </w14:textFill>
        </w:rPr>
        <w:t>家（次），对15个宗教场所开展检查4次，收缴销毁非法出版物</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174</w:t>
      </w:r>
      <w:r>
        <w:rPr>
          <w:rFonts w:hint="eastAsia" w:ascii="仿宋" w:hAnsi="仿宋" w:eastAsia="仿宋" w:cs="仿宋"/>
          <w:b w:val="0"/>
          <w:bCs w:val="0"/>
          <w:color w:val="000000" w:themeColor="text1"/>
          <w:spacing w:val="0"/>
          <w:sz w:val="30"/>
          <w:szCs w:val="30"/>
          <w14:textFill>
            <w14:solidFill>
              <w14:schemeClr w14:val="tx1"/>
            </w14:solidFill>
          </w14:textFill>
        </w:rPr>
        <w:t>册</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立案1件，涉案1人，涉案非法出版物20种31本（张、册）。</w:t>
      </w:r>
      <w:r>
        <w:rPr>
          <w:rFonts w:hint="eastAsia" w:ascii="仿宋" w:hAnsi="仿宋" w:eastAsia="仿宋" w:cs="仿宋"/>
          <w:b w:val="0"/>
          <w:bCs w:val="0"/>
          <w:color w:val="000000" w:themeColor="text1"/>
          <w:spacing w:val="0"/>
          <w:sz w:val="30"/>
          <w:szCs w:val="30"/>
          <w14:textFill>
            <w14:solidFill>
              <w14:schemeClr w14:val="tx1"/>
            </w14:solidFill>
          </w14:textFill>
        </w:rPr>
        <w:t>完成出版物零售企业年审16家</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新增出版物经营单位2家，其中网上书店1家</w:t>
      </w:r>
      <w:r>
        <w:rPr>
          <w:rFonts w:hint="eastAsia" w:ascii="仿宋" w:hAnsi="仿宋" w:eastAsia="仿宋" w:cs="仿宋"/>
          <w:b w:val="0"/>
          <w:bCs w:val="0"/>
          <w:color w:val="000000" w:themeColor="text1"/>
          <w:spacing w:val="0"/>
          <w:sz w:val="30"/>
          <w:szCs w:val="30"/>
          <w14:textFill>
            <w14:solidFill>
              <w14:schemeClr w14:val="tx1"/>
            </w14:solidFill>
          </w14:textFill>
        </w:rPr>
        <w:t>。加强</w:t>
      </w:r>
      <w:r>
        <w:rPr>
          <w:rFonts w:hint="eastAsia" w:ascii="仿宋" w:hAnsi="仿宋" w:eastAsia="仿宋" w:cs="仿宋"/>
          <w:b w:val="0"/>
          <w:bCs w:val="0"/>
          <w:color w:val="000000" w:themeColor="text1"/>
          <w:spacing w:val="0"/>
          <w:sz w:val="30"/>
          <w:szCs w:val="30"/>
          <w:highlight w:val="none"/>
          <w14:textFill>
            <w14:solidFill>
              <w14:schemeClr w14:val="tx1"/>
            </w14:solidFill>
          </w14:textFill>
        </w:rPr>
        <w:t>疫情期</w:t>
      </w:r>
      <w:r>
        <w:rPr>
          <w:rFonts w:hint="eastAsia" w:ascii="仿宋" w:hAnsi="仿宋" w:eastAsia="仿宋" w:cs="仿宋"/>
          <w:b w:val="0"/>
          <w:bCs w:val="0"/>
          <w:color w:val="000000" w:themeColor="text1"/>
          <w:spacing w:val="0"/>
          <w:sz w:val="30"/>
          <w:szCs w:val="30"/>
          <w:highlight w:val="none"/>
          <w:lang w:val="en-US" w:eastAsia="zh-CN"/>
          <w14:textFill>
            <w14:solidFill>
              <w14:schemeClr w14:val="tx1"/>
            </w14:solidFill>
          </w14:textFill>
        </w:rPr>
        <w:t>间</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出版印刷市场</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城市院线和农村公益电影放映管理，</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高质量完成农村公益电影放映2520场次，</w:t>
      </w:r>
      <w:r>
        <w:rPr>
          <w:rFonts w:hint="eastAsia" w:ascii="仿宋" w:hAnsi="仿宋" w:eastAsia="仿宋" w:cs="仿宋"/>
          <w:b w:val="0"/>
          <w:bCs w:val="0"/>
          <w:color w:val="000000" w:themeColor="text1"/>
          <w:spacing w:val="0"/>
          <w:sz w:val="30"/>
          <w:szCs w:val="30"/>
          <w14:textFill>
            <w14:solidFill>
              <w14:schemeClr w14:val="tx1"/>
            </w14:solidFill>
          </w14:textFill>
        </w:rPr>
        <w:t>落实老电影放映员包案化解责任，目前该群体稳定。</w:t>
      </w:r>
    </w:p>
    <w:p w14:paraId="487F3095">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jc w:val="both"/>
        <w:textAlignment w:val="auto"/>
        <w:rPr>
          <w:rFonts w:hint="eastAsia" w:ascii="仿宋" w:hAnsi="仿宋" w:eastAsia="仿宋" w:cs="仿宋"/>
          <w:b w:val="0"/>
          <w:bCs w:val="0"/>
          <w:color w:val="000000" w:themeColor="text1"/>
          <w:spacing w:val="0"/>
          <w:kern w:val="0"/>
          <w:sz w:val="30"/>
          <w:szCs w:val="30"/>
          <w:lang w:eastAsia="zh-CN"/>
          <w14:textFill>
            <w14:solidFill>
              <w14:schemeClr w14:val="tx1"/>
            </w14:solidFill>
          </w14:textFill>
        </w:rPr>
      </w:pPr>
      <w:r>
        <w:rPr>
          <w:rFonts w:hint="eastAsia" w:ascii="仿宋" w:hAnsi="仿宋" w:eastAsia="仿宋" w:cs="仿宋"/>
          <w:b w:val="0"/>
          <w:bCs w:val="0"/>
          <w:color w:val="000000" w:themeColor="text1"/>
          <w:spacing w:val="0"/>
          <w:kern w:val="0"/>
          <w:sz w:val="30"/>
          <w:szCs w:val="30"/>
          <w14:textFill>
            <w14:solidFill>
              <w14:schemeClr w14:val="tx1"/>
            </w14:solidFill>
          </w14:textFill>
        </w:rPr>
        <w:t>充分展示昭化奔康新形象。</w:t>
      </w:r>
      <w:r>
        <w:rPr>
          <w:rFonts w:hint="eastAsia" w:ascii="仿宋" w:hAnsi="仿宋" w:eastAsia="仿宋" w:cs="仿宋"/>
          <w:b w:val="0"/>
          <w:bCs w:val="0"/>
          <w:color w:val="000000" w:themeColor="text1"/>
          <w:spacing w:val="0"/>
          <w:sz w:val="30"/>
          <w:szCs w:val="30"/>
          <w14:textFill>
            <w14:solidFill>
              <w14:schemeClr w14:val="tx1"/>
            </w14:solidFill>
          </w14:textFill>
        </w:rPr>
        <w:t>主动谋划对外宣传</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工作</w:t>
      </w:r>
      <w:r>
        <w:rPr>
          <w:rFonts w:hint="eastAsia" w:ascii="仿宋" w:hAnsi="仿宋" w:eastAsia="仿宋" w:cs="仿宋"/>
          <w:b w:val="0"/>
          <w:bCs w:val="0"/>
          <w:color w:val="000000" w:themeColor="text1"/>
          <w:spacing w:val="0"/>
          <w:sz w:val="30"/>
          <w:szCs w:val="30"/>
          <w14:textFill>
            <w14:solidFill>
              <w14:schemeClr w14:val="tx1"/>
            </w14:solidFill>
          </w14:textFill>
        </w:rPr>
        <w:t>。主动策划“记住乡愁·央视媒体走进昭化古城”“五四奋斗的青春最美丽”等重大外宣活动。</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召开</w:t>
      </w:r>
      <w:r>
        <w:rPr>
          <w:rFonts w:hint="eastAsia" w:ascii="仿宋" w:hAnsi="仿宋" w:eastAsia="仿宋" w:cs="仿宋"/>
          <w:b w:val="0"/>
          <w:bCs w:val="0"/>
          <w:color w:val="000000" w:themeColor="text1"/>
          <w:spacing w:val="0"/>
          <w:sz w:val="30"/>
          <w:szCs w:val="30"/>
          <w14:textFill>
            <w14:solidFill>
              <w14:schemeClr w14:val="tx1"/>
            </w14:solidFill>
          </w14:textFill>
        </w:rPr>
        <w:t>新闻</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工作联席</w:t>
      </w:r>
      <w:r>
        <w:rPr>
          <w:rFonts w:hint="eastAsia" w:ascii="仿宋" w:hAnsi="仿宋" w:eastAsia="仿宋" w:cs="仿宋"/>
          <w:b w:val="0"/>
          <w:bCs w:val="0"/>
          <w:color w:val="000000" w:themeColor="text1"/>
          <w:spacing w:val="0"/>
          <w:sz w:val="30"/>
          <w:szCs w:val="30"/>
          <w14:textFill>
            <w14:solidFill>
              <w14:schemeClr w14:val="tx1"/>
            </w14:solidFill>
          </w14:textFill>
        </w:rPr>
        <w:t>会议</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4</w:t>
      </w:r>
      <w:r>
        <w:rPr>
          <w:rFonts w:hint="eastAsia" w:ascii="仿宋" w:hAnsi="仿宋" w:eastAsia="仿宋" w:cs="仿宋"/>
          <w:b w:val="0"/>
          <w:bCs w:val="0"/>
          <w:color w:val="000000" w:themeColor="text1"/>
          <w:spacing w:val="0"/>
          <w:sz w:val="30"/>
          <w:szCs w:val="30"/>
          <w14:textFill>
            <w14:solidFill>
              <w14:schemeClr w14:val="tx1"/>
            </w14:solidFill>
          </w14:textFill>
        </w:rPr>
        <w:t>次，邀请中央</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省</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市</w:t>
      </w:r>
      <w:r>
        <w:rPr>
          <w:rFonts w:hint="eastAsia" w:ascii="仿宋" w:hAnsi="仿宋" w:eastAsia="仿宋" w:cs="仿宋"/>
          <w:b w:val="0"/>
          <w:bCs w:val="0"/>
          <w:color w:val="000000" w:themeColor="text1"/>
          <w:spacing w:val="0"/>
          <w:sz w:val="30"/>
          <w:szCs w:val="30"/>
          <w14:textFill>
            <w14:solidFill>
              <w14:schemeClr w14:val="tx1"/>
            </w14:solidFill>
          </w14:textFill>
        </w:rPr>
        <w:t>级主流媒体</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6</w:t>
      </w:r>
      <w:r>
        <w:rPr>
          <w:rFonts w:hint="eastAsia" w:ascii="仿宋" w:hAnsi="仿宋" w:eastAsia="仿宋" w:cs="仿宋"/>
          <w:b w:val="0"/>
          <w:bCs w:val="0"/>
          <w:color w:val="000000" w:themeColor="text1"/>
          <w:spacing w:val="0"/>
          <w:sz w:val="30"/>
          <w:szCs w:val="30"/>
          <w14:textFill>
            <w14:solidFill>
              <w14:schemeClr w14:val="tx1"/>
            </w14:solidFill>
          </w14:textFill>
        </w:rPr>
        <w:t>0余家，推荐宣传主题10余个。</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在省级以上报刊和广电主流媒体发稿323条，其中：《人民日报》9条，头版1条，中央级其他报刊18条，《新闻联播》4条，中央电视台</w:t>
      </w:r>
      <w:r>
        <w:rPr>
          <w:rFonts w:hint="eastAsia" w:ascii="仿宋" w:hAnsi="仿宋" w:eastAsia="仿宋" w:cs="仿宋"/>
          <w:b w:val="0"/>
          <w:bCs w:val="0"/>
          <w:color w:val="000000" w:themeColor="text1"/>
          <w:spacing w:val="0"/>
          <w:sz w:val="30"/>
          <w:szCs w:val="30"/>
          <w:highlight w:val="none"/>
          <w:lang w:val="en-US" w:eastAsia="zh-CN"/>
          <w14:textFill>
            <w14:solidFill>
              <w14:schemeClr w14:val="tx1"/>
            </w14:solidFill>
          </w14:textFill>
        </w:rPr>
        <w:t>其他</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频道发稿35条，《四川日报》52条，头版7条，《四川电视台》发稿81条，《四川新闻》29条；省级以上网络媒体发稿1900余条。</w:t>
      </w:r>
      <w:r>
        <w:rPr>
          <w:rStyle w:val="20"/>
          <w:rFonts w:hint="eastAsia" w:ascii="仿宋" w:hAnsi="仿宋" w:eastAsia="仿宋" w:cs="仿宋"/>
          <w:b w:val="0"/>
          <w:bCs w:val="0"/>
          <w:i w:val="0"/>
          <w:caps w:val="0"/>
          <w:color w:val="000000" w:themeColor="text1"/>
          <w:spacing w:val="0"/>
          <w:sz w:val="30"/>
          <w:szCs w:val="30"/>
          <w:lang w:val="en-US" w:eastAsia="zh-CN"/>
          <w14:textFill>
            <w14:solidFill>
              <w14:schemeClr w14:val="tx1"/>
            </w14:solidFill>
          </w14:textFill>
        </w:rPr>
        <w:t>在区级“两微一端”开设“全力以赴 抗击疫情”等专栏，</w:t>
      </w:r>
      <w:r>
        <w:rPr>
          <w:rStyle w:val="20"/>
          <w:rFonts w:hint="eastAsia" w:ascii="仿宋" w:hAnsi="仿宋" w:eastAsia="仿宋" w:cs="仿宋"/>
          <w:b w:val="0"/>
          <w:bCs w:val="0"/>
          <w:color w:val="000000" w:themeColor="text1"/>
          <w:spacing w:val="0"/>
          <w:sz w:val="30"/>
          <w:szCs w:val="30"/>
          <w14:textFill>
            <w14:solidFill>
              <w14:schemeClr w14:val="tx1"/>
            </w14:solidFill>
          </w14:textFill>
        </w:rPr>
        <w:t>刊载习近平总书记重要指示精神</w:t>
      </w:r>
      <w:r>
        <w:rPr>
          <w:rStyle w:val="20"/>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Style w:val="20"/>
          <w:rFonts w:hint="eastAsia" w:ascii="仿宋" w:hAnsi="仿宋" w:eastAsia="仿宋" w:cs="仿宋"/>
          <w:b w:val="0"/>
          <w:bCs w:val="0"/>
          <w:color w:val="000000" w:themeColor="text1"/>
          <w:spacing w:val="0"/>
          <w:sz w:val="30"/>
          <w:szCs w:val="30"/>
          <w14:textFill>
            <w14:solidFill>
              <w14:schemeClr w14:val="tx1"/>
            </w14:solidFill>
          </w14:textFill>
        </w:rPr>
        <w:t>党中央和省</w:t>
      </w:r>
      <w:r>
        <w:rPr>
          <w:rStyle w:val="20"/>
          <w:rFonts w:hint="eastAsia" w:ascii="仿宋" w:hAnsi="仿宋" w:eastAsia="仿宋" w:cs="仿宋"/>
          <w:b w:val="0"/>
          <w:bCs w:val="0"/>
          <w:color w:val="000000" w:themeColor="text1"/>
          <w:spacing w:val="0"/>
          <w:sz w:val="30"/>
          <w:szCs w:val="30"/>
          <w:lang w:eastAsia="zh-CN"/>
          <w14:textFill>
            <w14:solidFill>
              <w14:schemeClr w14:val="tx1"/>
            </w14:solidFill>
          </w14:textFill>
        </w:rPr>
        <w:t>市</w:t>
      </w:r>
      <w:r>
        <w:rPr>
          <w:rStyle w:val="20"/>
          <w:rFonts w:hint="eastAsia" w:ascii="仿宋" w:hAnsi="仿宋" w:eastAsia="仿宋" w:cs="仿宋"/>
          <w:b w:val="0"/>
          <w:bCs w:val="0"/>
          <w:color w:val="000000" w:themeColor="text1"/>
          <w:spacing w:val="0"/>
          <w:sz w:val="30"/>
          <w:szCs w:val="30"/>
          <w14:textFill>
            <w14:solidFill>
              <w14:schemeClr w14:val="tx1"/>
            </w14:solidFill>
          </w14:textFill>
        </w:rPr>
        <w:t>的决策部署、防控手段、防控措施和成效等权威信息400余条，发布省、市应对新冠肺炎疫情应急指挥部公告</w:t>
      </w:r>
      <w:r>
        <w:rPr>
          <w:rStyle w:val="20"/>
          <w:rFonts w:hint="eastAsia" w:ascii="仿宋" w:hAnsi="仿宋" w:eastAsia="仿宋" w:cs="仿宋"/>
          <w:b w:val="0"/>
          <w:bCs w:val="0"/>
          <w:color w:val="000000" w:themeColor="text1"/>
          <w:spacing w:val="0"/>
          <w:sz w:val="30"/>
          <w:szCs w:val="30"/>
          <w:lang w:val="en-US" w:eastAsia="zh-CN"/>
          <w14:textFill>
            <w14:solidFill>
              <w14:schemeClr w14:val="tx1"/>
            </w14:solidFill>
          </w14:textFill>
        </w:rPr>
        <w:t>62</w:t>
      </w:r>
      <w:r>
        <w:rPr>
          <w:rStyle w:val="20"/>
          <w:rFonts w:hint="eastAsia" w:ascii="仿宋" w:hAnsi="仿宋" w:eastAsia="仿宋" w:cs="仿宋"/>
          <w:b w:val="0"/>
          <w:bCs w:val="0"/>
          <w:color w:val="000000" w:themeColor="text1"/>
          <w:spacing w:val="0"/>
          <w:sz w:val="30"/>
          <w:szCs w:val="30"/>
          <w14:textFill>
            <w14:solidFill>
              <w14:schemeClr w14:val="tx1"/>
            </w14:solidFill>
          </w14:textFill>
        </w:rPr>
        <w:t>条2</w:t>
      </w:r>
      <w:r>
        <w:rPr>
          <w:rStyle w:val="20"/>
          <w:rFonts w:hint="eastAsia" w:ascii="仿宋" w:hAnsi="仿宋" w:eastAsia="仿宋" w:cs="仿宋"/>
          <w:b w:val="0"/>
          <w:bCs w:val="0"/>
          <w:color w:val="000000" w:themeColor="text1"/>
          <w:spacing w:val="0"/>
          <w:sz w:val="30"/>
          <w:szCs w:val="30"/>
          <w:lang w:val="en-US" w:eastAsia="zh-CN"/>
          <w14:textFill>
            <w14:solidFill>
              <w14:schemeClr w14:val="tx1"/>
            </w14:solidFill>
          </w14:textFill>
        </w:rPr>
        <w:t>5</w:t>
      </w:r>
      <w:r>
        <w:rPr>
          <w:rStyle w:val="20"/>
          <w:rFonts w:hint="eastAsia" w:ascii="仿宋" w:hAnsi="仿宋" w:eastAsia="仿宋" w:cs="仿宋"/>
          <w:b w:val="0"/>
          <w:bCs w:val="0"/>
          <w:color w:val="000000" w:themeColor="text1"/>
          <w:spacing w:val="0"/>
          <w:sz w:val="30"/>
          <w:szCs w:val="30"/>
          <w14:textFill>
            <w14:solidFill>
              <w14:schemeClr w14:val="tx1"/>
            </w14:solidFill>
          </w14:textFill>
        </w:rPr>
        <w:t>0余次，刊播发各类新闻1</w:t>
      </w:r>
      <w:r>
        <w:rPr>
          <w:rStyle w:val="20"/>
          <w:rFonts w:hint="eastAsia" w:ascii="仿宋" w:hAnsi="仿宋" w:eastAsia="仿宋" w:cs="仿宋"/>
          <w:b w:val="0"/>
          <w:bCs w:val="0"/>
          <w:color w:val="000000" w:themeColor="text1"/>
          <w:spacing w:val="0"/>
          <w:sz w:val="30"/>
          <w:szCs w:val="30"/>
          <w:lang w:val="en-US" w:eastAsia="zh-CN"/>
          <w14:textFill>
            <w14:solidFill>
              <w14:schemeClr w14:val="tx1"/>
            </w14:solidFill>
          </w14:textFill>
        </w:rPr>
        <w:t>5</w:t>
      </w:r>
      <w:r>
        <w:rPr>
          <w:rStyle w:val="20"/>
          <w:rFonts w:hint="eastAsia" w:ascii="仿宋" w:hAnsi="仿宋" w:eastAsia="仿宋" w:cs="仿宋"/>
          <w:b w:val="0"/>
          <w:bCs w:val="0"/>
          <w:color w:val="000000" w:themeColor="text1"/>
          <w:spacing w:val="0"/>
          <w:sz w:val="30"/>
          <w:szCs w:val="30"/>
          <w14:textFill>
            <w14:solidFill>
              <w14:schemeClr w14:val="tx1"/>
            </w14:solidFill>
          </w14:textFill>
        </w:rPr>
        <w:t>00余条。</w:t>
      </w:r>
      <w:r>
        <w:rPr>
          <w:rFonts w:hint="eastAsia" w:ascii="仿宋" w:hAnsi="仿宋" w:eastAsia="仿宋" w:cs="仿宋"/>
          <w:b w:val="0"/>
          <w:bCs w:val="0"/>
          <w:color w:val="000000" w:themeColor="text1"/>
          <w:spacing w:val="0"/>
          <w:sz w:val="30"/>
          <w:szCs w:val="30"/>
          <w:shd w:val="clear" w:color="auto" w:fill="FFFFFF"/>
          <w14:textFill>
            <w14:solidFill>
              <w14:schemeClr w14:val="tx1"/>
            </w14:solidFill>
          </w14:textFill>
        </w:rPr>
        <w:t>统筹</w:t>
      </w:r>
      <w:r>
        <w:rPr>
          <w:rFonts w:hint="eastAsia" w:ascii="仿宋" w:hAnsi="仿宋" w:eastAsia="仿宋" w:cs="仿宋"/>
          <w:b w:val="0"/>
          <w:bCs w:val="0"/>
          <w:color w:val="000000" w:themeColor="text1"/>
          <w:spacing w:val="0"/>
          <w:sz w:val="30"/>
          <w:szCs w:val="30"/>
          <w14:textFill>
            <w14:solidFill>
              <w14:schemeClr w14:val="tx1"/>
            </w14:solidFill>
          </w14:textFill>
        </w:rPr>
        <w:t>各类平台</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载体等宣传手段，宣传中央省委决策部署和卫生健康知识，营造打赢疫情防控阻击战的良好社会氛围。创作诗歌</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、书画</w:t>
      </w:r>
      <w:r>
        <w:rPr>
          <w:rFonts w:hint="eastAsia" w:ascii="仿宋" w:hAnsi="仿宋" w:eastAsia="仿宋" w:cs="仿宋"/>
          <w:b w:val="0"/>
          <w:bCs w:val="0"/>
          <w:color w:val="000000" w:themeColor="text1"/>
          <w:spacing w:val="0"/>
          <w:sz w:val="30"/>
          <w:szCs w:val="30"/>
          <w14:textFill>
            <w14:solidFill>
              <w14:schemeClr w14:val="tx1"/>
            </w14:solidFill>
          </w14:textFill>
        </w:rPr>
        <w:t>等文学作品200余篇，抗“疫”歌曲《有你就好》播放</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量</w:t>
      </w:r>
      <w:r>
        <w:rPr>
          <w:rFonts w:hint="eastAsia" w:ascii="仿宋" w:hAnsi="仿宋" w:eastAsia="仿宋" w:cs="仿宋"/>
          <w:b w:val="0"/>
          <w:bCs w:val="0"/>
          <w:color w:val="000000" w:themeColor="text1"/>
          <w:spacing w:val="0"/>
          <w:sz w:val="30"/>
          <w:szCs w:val="30"/>
          <w14:textFill>
            <w14:solidFill>
              <w14:schemeClr w14:val="tx1"/>
            </w14:solidFill>
          </w14:textFill>
        </w:rPr>
        <w:t>超1</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5</w:t>
      </w:r>
      <w:r>
        <w:rPr>
          <w:rFonts w:hint="eastAsia" w:ascii="仿宋" w:hAnsi="仿宋" w:eastAsia="仿宋" w:cs="仿宋"/>
          <w:b w:val="0"/>
          <w:bCs w:val="0"/>
          <w:color w:val="000000" w:themeColor="text1"/>
          <w:spacing w:val="0"/>
          <w:sz w:val="30"/>
          <w:szCs w:val="30"/>
          <w14:textFill>
            <w14:solidFill>
              <w14:schemeClr w14:val="tx1"/>
            </w14:solidFill>
          </w14:textFill>
        </w:rPr>
        <w:t>万次</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《新闻联播》</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2</w:t>
      </w:r>
      <w:r>
        <w:rPr>
          <w:rFonts w:hint="eastAsia" w:ascii="仿宋" w:hAnsi="仿宋" w:eastAsia="仿宋" w:cs="仿宋"/>
          <w:b w:val="0"/>
          <w:bCs w:val="0"/>
          <w:color w:val="000000" w:themeColor="text1"/>
          <w:spacing w:val="0"/>
          <w:sz w:val="30"/>
          <w:szCs w:val="30"/>
          <w14:textFill>
            <w14:solidFill>
              <w14:schemeClr w14:val="tx1"/>
            </w14:solidFill>
          </w14:textFill>
        </w:rPr>
        <w:t>次报道我区中纺粮油抢先复工驰援武汉和农民工返岗“点对点”“门对门”专项行动等，被央视《新闻1+1》、央视国际频道《中国新闻》、人民网、新华网等10余家中央级媒体纷纷转载。“说一不二”的</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疫</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线村支书刘国强、湖北返乡优秀人才王周川、90后基层党员干部的李金蓬、土鸡产业发展大户王奕秀、环卫工人罗飞等先进典型人物事迹被《人民网》等媒体报道。</w:t>
      </w:r>
      <w:r>
        <w:rPr>
          <w:rStyle w:val="20"/>
          <w:rFonts w:hint="eastAsia" w:ascii="仿宋" w:hAnsi="仿宋" w:eastAsia="仿宋" w:cs="仿宋"/>
          <w:b w:val="0"/>
          <w:bCs w:val="0"/>
          <w:i w:val="0"/>
          <w:caps w:val="0"/>
          <w:color w:val="000000" w:themeColor="text1"/>
          <w:spacing w:val="0"/>
          <w:sz w:val="30"/>
          <w:szCs w:val="30"/>
          <w:lang w:val="en-US" w:eastAsia="zh-CN"/>
          <w14:textFill>
            <w14:solidFill>
              <w14:schemeClr w14:val="tx1"/>
            </w14:solidFill>
          </w14:textFill>
        </w:rPr>
        <w:t>在区级“两微一端”开设</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决胜全面小康、决战脱贫攻坚</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”专栏，</w:t>
      </w:r>
      <w:r>
        <w:rPr>
          <w:rFonts w:hint="eastAsia" w:ascii="仿宋" w:hAnsi="仿宋" w:eastAsia="仿宋" w:cs="仿宋"/>
          <w:b w:val="0"/>
          <w:bCs w:val="0"/>
          <w:color w:val="000000" w:themeColor="text1"/>
          <w:spacing w:val="0"/>
          <w:sz w:val="30"/>
          <w:szCs w:val="30"/>
          <w14:textFill>
            <w14:solidFill>
              <w14:schemeClr w14:val="tx1"/>
            </w14:solidFill>
          </w14:textFill>
        </w:rPr>
        <w:t>主动融入全市大外宣格局，瞄准“大主题”突出“大策划”，建立了“策划专班+定期会商”机制，集中向“</w:t>
      </w:r>
      <w:r>
        <w:rPr>
          <w:rFonts w:hint="eastAsia" w:ascii="仿宋" w:hAnsi="仿宋" w:eastAsia="仿宋" w:cs="仿宋"/>
          <w:b w:val="0"/>
          <w:bCs w:val="0"/>
          <w:color w:val="000000" w:themeColor="text1"/>
          <w:spacing w:val="0"/>
          <w:sz w:val="30"/>
          <w:szCs w:val="30"/>
          <w:highlight w:val="none"/>
          <w14:textFill>
            <w14:solidFill>
              <w14:schemeClr w14:val="tx1"/>
            </w14:solidFill>
          </w14:textFill>
        </w:rPr>
        <w:t>两报</w:t>
      </w:r>
      <w:r>
        <w:rPr>
          <w:rFonts w:hint="eastAsia" w:ascii="仿宋" w:hAnsi="仿宋" w:eastAsia="仿宋" w:cs="仿宋"/>
          <w:b w:val="0"/>
          <w:bCs w:val="0"/>
          <w:color w:val="000000" w:themeColor="text1"/>
          <w:spacing w:val="0"/>
          <w:sz w:val="30"/>
          <w:szCs w:val="30"/>
          <w14:textFill>
            <w14:solidFill>
              <w14:schemeClr w14:val="tx1"/>
            </w14:solidFill>
          </w14:textFill>
        </w:rPr>
        <w:t>、两台”推送。</w:t>
      </w:r>
      <w:r>
        <w:rPr>
          <w:rFonts w:hint="eastAsia" w:ascii="仿宋" w:hAnsi="仿宋" w:eastAsia="仿宋" w:cs="仿宋"/>
          <w:b w:val="0"/>
          <w:bCs w:val="0"/>
          <w:color w:val="000000" w:themeColor="text1"/>
          <w:spacing w:val="0"/>
          <w:sz w:val="30"/>
          <w:szCs w:val="30"/>
          <w:highlight w:val="none"/>
          <w:lang w:eastAsia="zh-CN"/>
          <w14:textFill>
            <w14:solidFill>
              <w14:schemeClr w14:val="tx1"/>
            </w14:solidFill>
          </w14:textFill>
        </w:rPr>
        <w:t>截至目前</w:t>
      </w:r>
      <w:r>
        <w:rPr>
          <w:rFonts w:hint="eastAsia" w:ascii="仿宋" w:hAnsi="仿宋" w:eastAsia="仿宋" w:cs="仿宋"/>
          <w:b w:val="0"/>
          <w:bCs w:val="0"/>
          <w:color w:val="000000" w:themeColor="text1"/>
          <w:spacing w:val="0"/>
          <w:sz w:val="30"/>
          <w:szCs w:val="30"/>
          <w14:textFill>
            <w14:solidFill>
              <w14:schemeClr w14:val="tx1"/>
            </w14:solidFill>
          </w14:textFill>
        </w:rPr>
        <w:t>，</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我区脱贫攻坚新闻作品《新闻联播》报道2次；《人民日报》报道3次，头版头条1次；《四川新闻》报道6次；《四川日报》报道10次，头版4次。宣传各类典型人物事迹38个昭化人物群像，被《农民日报》等媒体报道3次。</w:t>
      </w:r>
      <w:r>
        <w:rPr>
          <w:rFonts w:hint="eastAsia" w:ascii="仿宋" w:hAnsi="仿宋" w:eastAsia="仿宋" w:cs="仿宋"/>
          <w:b w:val="0"/>
          <w:bCs w:val="0"/>
          <w:color w:val="000000" w:themeColor="text1"/>
          <w:spacing w:val="0"/>
          <w:kern w:val="0"/>
          <w:sz w:val="30"/>
          <w:szCs w:val="30"/>
          <w14:textFill>
            <w14:solidFill>
              <w14:schemeClr w14:val="tx1"/>
            </w14:solidFill>
          </w14:textFill>
        </w:rPr>
        <w:t>大力打造“蜀道昭化”手机</w:t>
      </w:r>
      <w:r>
        <w:rPr>
          <w:rFonts w:hint="eastAsia" w:ascii="仿宋" w:hAnsi="仿宋" w:eastAsia="仿宋" w:cs="仿宋"/>
          <w:b w:val="0"/>
          <w:bCs w:val="0"/>
          <w:color w:val="000000" w:themeColor="text1"/>
          <w:spacing w:val="0"/>
          <w:kern w:val="0"/>
          <w:sz w:val="30"/>
          <w:szCs w:val="30"/>
          <w:highlight w:val="none"/>
          <w:lang w:eastAsia="zh-CN"/>
          <w14:textFill>
            <w14:solidFill>
              <w14:schemeClr w14:val="tx1"/>
            </w14:solidFill>
          </w14:textFill>
        </w:rPr>
        <w:t>App</w:t>
      </w:r>
      <w:r>
        <w:rPr>
          <w:rFonts w:hint="eastAsia" w:ascii="仿宋" w:hAnsi="仿宋" w:eastAsia="仿宋" w:cs="仿宋"/>
          <w:b w:val="0"/>
          <w:bCs w:val="0"/>
          <w:color w:val="000000" w:themeColor="text1"/>
          <w:spacing w:val="0"/>
          <w:kern w:val="0"/>
          <w:sz w:val="30"/>
          <w:szCs w:val="30"/>
          <w14:textFill>
            <w14:solidFill>
              <w14:schemeClr w14:val="tx1"/>
            </w14:solidFill>
          </w14:textFill>
        </w:rPr>
        <w:t>、</w:t>
      </w:r>
      <w:r>
        <w:rPr>
          <w:rFonts w:hint="eastAsia" w:ascii="仿宋" w:hAnsi="仿宋" w:eastAsia="仿宋" w:cs="仿宋"/>
          <w:b w:val="0"/>
          <w:bCs w:val="0"/>
          <w:color w:val="000000" w:themeColor="text1"/>
          <w:spacing w:val="0"/>
          <w:kern w:val="0"/>
          <w:sz w:val="30"/>
          <w:szCs w:val="30"/>
          <w:lang w:eastAsia="zh-CN"/>
          <w14:textFill>
            <w14:solidFill>
              <w14:schemeClr w14:val="tx1"/>
            </w14:solidFill>
          </w14:textFill>
        </w:rPr>
        <w:t>“蜀道昭化”抖音号，目前粉丝量近5万，作品最高点击量超1000万，</w:t>
      </w:r>
      <w:r>
        <w:rPr>
          <w:rFonts w:hint="eastAsia" w:ascii="仿宋" w:hAnsi="仿宋" w:eastAsia="仿宋" w:cs="仿宋"/>
          <w:b w:val="0"/>
          <w:bCs w:val="0"/>
          <w:color w:val="000000" w:themeColor="text1"/>
          <w:spacing w:val="0"/>
          <w:kern w:val="0"/>
          <w:sz w:val="30"/>
          <w:szCs w:val="30"/>
          <w14:textFill>
            <w14:solidFill>
              <w14:schemeClr w14:val="tx1"/>
            </w14:solidFill>
          </w14:textFill>
        </w:rPr>
        <w:t>作品《春风十里 昭化等你》在“两会观察 融媒先锋”—2020优秀融媒体产品征集评选活动中获得“最具影响力大奖”</w:t>
      </w:r>
      <w:r>
        <w:rPr>
          <w:rFonts w:hint="eastAsia" w:ascii="仿宋" w:hAnsi="仿宋" w:eastAsia="仿宋" w:cs="仿宋"/>
          <w:b w:val="0"/>
          <w:bCs w:val="0"/>
          <w:color w:val="000000" w:themeColor="text1"/>
          <w:spacing w:val="0"/>
          <w:kern w:val="0"/>
          <w:sz w:val="30"/>
          <w:szCs w:val="30"/>
          <w:lang w:eastAsia="zh-CN"/>
          <w14:textFill>
            <w14:solidFill>
              <w14:schemeClr w14:val="tx1"/>
            </w14:solidFill>
          </w14:textFill>
        </w:rPr>
        <w:t>，《昭化蜂蜜真甜蜜》、</w:t>
      </w:r>
      <w:r>
        <w:rPr>
          <w:rFonts w:hint="eastAsia" w:ascii="仿宋" w:hAnsi="仿宋" w:eastAsia="仿宋" w:cs="仿宋"/>
          <w:b w:val="0"/>
          <w:bCs w:val="0"/>
          <w:color w:val="000000" w:themeColor="text1"/>
          <w:spacing w:val="0"/>
          <w:kern w:val="0"/>
          <w:sz w:val="30"/>
          <w:szCs w:val="30"/>
          <w:highlight w:val="none"/>
          <w:lang w:eastAsia="zh-CN"/>
          <w14:textFill>
            <w14:solidFill>
              <w14:schemeClr w14:val="tx1"/>
            </w14:solidFill>
          </w14:textFill>
        </w:rPr>
        <w:t>《</w:t>
      </w:r>
      <w:r>
        <w:rPr>
          <w:rFonts w:hint="eastAsia" w:ascii="仿宋" w:hAnsi="仿宋" w:eastAsia="仿宋" w:cs="仿宋"/>
          <w:b w:val="0"/>
          <w:bCs w:val="0"/>
          <w:color w:val="000000" w:themeColor="text1"/>
          <w:spacing w:val="0"/>
          <w:kern w:val="0"/>
          <w:sz w:val="30"/>
          <w:szCs w:val="30"/>
          <w:lang w:eastAsia="zh-CN"/>
          <w14:textFill>
            <w14:solidFill>
              <w14:schemeClr w14:val="tx1"/>
            </w14:solidFill>
          </w14:textFill>
        </w:rPr>
        <w:t>昭化“鸡十条”为滞销土鸡送来“及时雨”</w:t>
      </w:r>
      <w:r>
        <w:rPr>
          <w:rFonts w:hint="eastAsia" w:ascii="仿宋" w:hAnsi="仿宋" w:eastAsia="仿宋" w:cs="仿宋"/>
          <w:b w:val="0"/>
          <w:bCs w:val="0"/>
          <w:color w:val="000000" w:themeColor="text1"/>
          <w:spacing w:val="0"/>
          <w:kern w:val="0"/>
          <w:sz w:val="30"/>
          <w:szCs w:val="30"/>
          <w:highlight w:val="none"/>
          <w:lang w:eastAsia="zh-CN"/>
          <w14:textFill>
            <w14:solidFill>
              <w14:schemeClr w14:val="tx1"/>
            </w14:solidFill>
          </w14:textFill>
        </w:rPr>
        <w:t>》</w:t>
      </w:r>
      <w:r>
        <w:rPr>
          <w:rFonts w:hint="eastAsia" w:ascii="仿宋" w:hAnsi="仿宋" w:eastAsia="仿宋" w:cs="仿宋"/>
          <w:b w:val="0"/>
          <w:bCs w:val="0"/>
          <w:color w:val="000000" w:themeColor="text1"/>
          <w:spacing w:val="0"/>
          <w:kern w:val="0"/>
          <w:sz w:val="30"/>
          <w:szCs w:val="30"/>
          <w:lang w:eastAsia="zh-CN"/>
          <w14:textFill>
            <w14:solidFill>
              <w14:schemeClr w14:val="tx1"/>
            </w14:solidFill>
          </w14:textFill>
        </w:rPr>
        <w:t>获川报观察四川市县新媒体2020优秀传播案例网络人气</w:t>
      </w:r>
      <w:r>
        <w:rPr>
          <w:rFonts w:hint="eastAsia" w:ascii="仿宋" w:hAnsi="仿宋" w:eastAsia="仿宋" w:cs="仿宋"/>
          <w:b w:val="0"/>
          <w:bCs w:val="0"/>
          <w:color w:val="000000" w:themeColor="text1"/>
          <w:spacing w:val="0"/>
          <w:kern w:val="0"/>
          <w:sz w:val="30"/>
          <w:szCs w:val="30"/>
          <w:lang w:val="en-US" w:eastAsia="zh-CN"/>
          <w14:textFill>
            <w14:solidFill>
              <w14:schemeClr w14:val="tx1"/>
            </w14:solidFill>
          </w14:textFill>
        </w:rPr>
        <w:t>奖。</w:t>
      </w:r>
      <w:r>
        <w:rPr>
          <w:rFonts w:hint="eastAsia" w:ascii="仿宋" w:hAnsi="仿宋" w:eastAsia="仿宋" w:cs="仿宋"/>
          <w:b w:val="0"/>
          <w:bCs w:val="0"/>
          <w:color w:val="000000" w:themeColor="text1"/>
          <w:spacing w:val="0"/>
          <w:kern w:val="0"/>
          <w:sz w:val="30"/>
          <w:szCs w:val="30"/>
          <w14:textFill>
            <w14:solidFill>
              <w14:schemeClr w14:val="tx1"/>
            </w14:solidFill>
          </w14:textFill>
        </w:rPr>
        <w:t>融媒体中心传播力居全省第6</w:t>
      </w:r>
      <w:r>
        <w:rPr>
          <w:rFonts w:hint="eastAsia" w:ascii="仿宋" w:hAnsi="仿宋" w:eastAsia="仿宋" w:cs="仿宋"/>
          <w:b w:val="0"/>
          <w:bCs w:val="0"/>
          <w:color w:val="000000" w:themeColor="text1"/>
          <w:spacing w:val="0"/>
          <w:kern w:val="0"/>
          <w:sz w:val="30"/>
          <w:szCs w:val="30"/>
          <w:lang w:eastAsia="zh-CN"/>
          <w14:textFill>
            <w14:solidFill>
              <w14:schemeClr w14:val="tx1"/>
            </w14:solidFill>
          </w14:textFill>
        </w:rPr>
        <w:t>位。</w:t>
      </w:r>
    </w:p>
    <w:p w14:paraId="37713DE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00" w:firstLineChars="200"/>
        <w:jc w:val="both"/>
        <w:textAlignment w:val="auto"/>
        <w:rPr>
          <w:rFonts w:hint="eastAsia" w:ascii="仿宋" w:hAnsi="仿宋" w:eastAsia="仿宋" w:cs="仿宋"/>
          <w:b w:val="0"/>
          <w:bCs w:val="0"/>
          <w:color w:val="000000" w:themeColor="text1"/>
          <w:spacing w:val="0"/>
          <w:sz w:val="30"/>
          <w:szCs w:val="30"/>
          <w14:textFill>
            <w14:solidFill>
              <w14:schemeClr w14:val="tx1"/>
            </w14:solidFill>
          </w14:textFill>
        </w:rPr>
      </w:pPr>
      <w:r>
        <w:rPr>
          <w:rFonts w:hint="eastAsia" w:ascii="仿宋" w:hAnsi="仿宋" w:eastAsia="仿宋" w:cs="仿宋"/>
          <w:b w:val="0"/>
          <w:bCs w:val="0"/>
          <w:color w:val="000000" w:themeColor="text1"/>
          <w:spacing w:val="0"/>
          <w:kern w:val="0"/>
          <w:sz w:val="30"/>
          <w:szCs w:val="30"/>
          <w:lang w:val="en-US" w:eastAsia="zh-CN" w:bidi="ar-SA"/>
          <w14:textFill>
            <w14:solidFill>
              <w14:schemeClr w14:val="tx1"/>
            </w14:solidFill>
          </w14:textFill>
        </w:rPr>
        <w:t>大力倡树社会主义核心价值观</w:t>
      </w:r>
      <w:r>
        <w:rPr>
          <w:rFonts w:hint="eastAsia" w:ascii="仿宋" w:hAnsi="仿宋" w:eastAsia="仿宋" w:cs="仿宋"/>
          <w:b w:val="0"/>
          <w:bCs w:val="0"/>
          <w:color w:val="000000" w:themeColor="text1"/>
          <w:spacing w:val="0"/>
          <w:kern w:val="0"/>
          <w:sz w:val="30"/>
          <w:szCs w:val="30"/>
          <w:highlight w:val="none"/>
          <w:lang w:val="en-US" w:eastAsia="zh-CN" w:bidi="ar-SA"/>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不断充实和壮大新闻发言人、宣传干部队伍。围绕欢度春节、依法治区、扫黑除恶、新冠肺炎疫情防控</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、脱贫攻坚</w:t>
      </w:r>
      <w:r>
        <w:rPr>
          <w:rFonts w:hint="eastAsia" w:ascii="仿宋" w:hAnsi="仿宋" w:eastAsia="仿宋" w:cs="仿宋"/>
          <w:b w:val="0"/>
          <w:bCs w:val="0"/>
          <w:color w:val="000000" w:themeColor="text1"/>
          <w:spacing w:val="0"/>
          <w:sz w:val="30"/>
          <w:szCs w:val="30"/>
          <w14:textFill>
            <w14:solidFill>
              <w14:schemeClr w14:val="tx1"/>
            </w14:solidFill>
          </w14:textFill>
        </w:rPr>
        <w:t>等重点工作，开展集中宣传</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8</w:t>
      </w:r>
      <w:r>
        <w:rPr>
          <w:rFonts w:hint="eastAsia" w:ascii="仿宋" w:hAnsi="仿宋" w:eastAsia="仿宋" w:cs="仿宋"/>
          <w:b w:val="0"/>
          <w:bCs w:val="0"/>
          <w:color w:val="000000" w:themeColor="text1"/>
          <w:spacing w:val="0"/>
          <w:sz w:val="30"/>
          <w:szCs w:val="30"/>
          <w14:textFill>
            <w14:solidFill>
              <w14:schemeClr w14:val="tx1"/>
            </w14:solidFill>
          </w14:textFill>
        </w:rPr>
        <w:t>0余场次，利用LED显示屏设置宣传标语2</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6</w:t>
      </w:r>
      <w:r>
        <w:rPr>
          <w:rFonts w:hint="eastAsia" w:ascii="仿宋" w:hAnsi="仿宋" w:eastAsia="仿宋" w:cs="仿宋"/>
          <w:b w:val="0"/>
          <w:bCs w:val="0"/>
          <w:color w:val="000000" w:themeColor="text1"/>
          <w:spacing w:val="0"/>
          <w:sz w:val="30"/>
          <w:szCs w:val="30"/>
          <w14:textFill>
            <w14:solidFill>
              <w14:schemeClr w14:val="tx1"/>
            </w14:solidFill>
          </w14:textFill>
        </w:rPr>
        <w:t>0余条。深化昭化古城、太公红军山、区档案馆等爱国主义教育基地建设</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kern w:val="2"/>
          <w:sz w:val="30"/>
          <w:szCs w:val="30"/>
          <w14:textFill>
            <w14:solidFill>
              <w14:schemeClr w14:val="tx1"/>
            </w14:solidFill>
          </w14:textFill>
        </w:rPr>
        <w:t>四川音乐学院大地艺术季首场活动走进省级爱教基地昭化古城，全区近3000名观众到现场接受艺术熏陶</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学习宣传、褒奖礼遇先进典型</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2020年推荐上报四川好人8人，广元市第五届农村“孝敬父母关爱子女”模范人物4人</w:t>
      </w:r>
      <w:r>
        <w:rPr>
          <w:rFonts w:hint="eastAsia" w:ascii="仿宋" w:hAnsi="仿宋" w:eastAsia="仿宋" w:cs="仿宋"/>
          <w:b w:val="0"/>
          <w:bCs w:val="0"/>
          <w:color w:val="000000" w:themeColor="text1"/>
          <w:spacing w:val="0"/>
          <w:sz w:val="30"/>
          <w:szCs w:val="30"/>
          <w14:textFill>
            <w14:solidFill>
              <w14:schemeClr w14:val="tx1"/>
            </w14:solidFill>
          </w14:textFill>
        </w:rPr>
        <w:t>。</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培育市级社会主义核心价值观示范点2个。</w:t>
      </w:r>
      <w:r>
        <w:rPr>
          <w:rFonts w:hint="eastAsia" w:ascii="仿宋" w:hAnsi="仿宋" w:eastAsia="仿宋" w:cs="仿宋"/>
          <w:b w:val="0"/>
          <w:bCs w:val="0"/>
          <w:i w:val="0"/>
          <w:caps w:val="0"/>
          <w:color w:val="000000" w:themeColor="text1"/>
          <w:spacing w:val="0"/>
          <w:sz w:val="30"/>
          <w:szCs w:val="30"/>
          <w14:textFill>
            <w14:solidFill>
              <w14:schemeClr w14:val="tx1"/>
            </w14:solidFill>
          </w14:textFill>
        </w:rPr>
        <w:t>扎实推进创建工作规范化制度化建设，</w:t>
      </w:r>
      <w:r>
        <w:rPr>
          <w:rFonts w:hint="eastAsia" w:ascii="仿宋" w:hAnsi="仿宋" w:eastAsia="仿宋" w:cs="仿宋"/>
          <w:b w:val="0"/>
          <w:bCs w:val="0"/>
          <w:color w:val="000000" w:themeColor="text1"/>
          <w:spacing w:val="0"/>
          <w:sz w:val="30"/>
          <w:szCs w:val="30"/>
          <w14:textFill>
            <w14:solidFill>
              <w14:schemeClr w14:val="tx1"/>
            </w14:solidFill>
          </w14:textFill>
        </w:rPr>
        <w:t>射箭镇、红岩镇红江村入选第五届四川省文明村镇；国网四川省电力公司昭化供电分公司入选第五届四川省文明单位；黄晓容家庭入选第二届四川省文明家庭；区委宣传部入选四川省未成年人思想道德建设工作先进单位。深入推进“扣好人生第一粒扣子”教育实践活动，</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举办心理健康专题讲座80余堂，开展心理健康活动120余次。</w:t>
      </w:r>
      <w:r>
        <w:rPr>
          <w:rFonts w:hint="eastAsia" w:ascii="仿宋" w:hAnsi="仿宋" w:eastAsia="仿宋" w:cs="仿宋"/>
          <w:b w:val="0"/>
          <w:bCs w:val="0"/>
          <w:color w:val="000000" w:themeColor="text1"/>
          <w:spacing w:val="0"/>
          <w:sz w:val="30"/>
          <w:szCs w:val="30"/>
          <w14:textFill>
            <w14:solidFill>
              <w14:schemeClr w14:val="tx1"/>
            </w14:solidFill>
          </w14:textFill>
        </w:rPr>
        <w:t>突出抓好乡村学校少年宫资金使用管理、规范建设运行、常态活动开展等重点工作，扎实推进16所中央乡村学校少年宫及2所省级乡村学校少年宫全面、健康发展。</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苗文静同学被评为市级新时代好少年。</w:t>
      </w:r>
      <w:r>
        <w:rPr>
          <w:rFonts w:hint="eastAsia" w:ascii="仿宋" w:hAnsi="仿宋" w:eastAsia="仿宋" w:cs="仿宋"/>
          <w:b w:val="0"/>
          <w:bCs w:val="0"/>
          <w:color w:val="000000" w:themeColor="text1"/>
          <w:spacing w:val="0"/>
          <w:kern w:val="2"/>
          <w:sz w:val="30"/>
          <w:szCs w:val="30"/>
          <w:shd w:val="clear" w:color="auto" w:fill="FFFFFF"/>
          <w:lang w:val="en-US" w:eastAsia="zh-CN"/>
          <w14:textFill>
            <w14:solidFill>
              <w14:schemeClr w14:val="tx1"/>
            </w14:solidFill>
          </w14:textFill>
        </w:rPr>
        <w:t>全区志愿者注册人数29541人，</w:t>
      </w:r>
      <w:r>
        <w:rPr>
          <w:rFonts w:hint="eastAsia" w:ascii="仿宋" w:hAnsi="仿宋" w:eastAsia="仿宋" w:cs="仿宋"/>
          <w:b w:val="0"/>
          <w:bCs w:val="0"/>
          <w:color w:val="000000" w:themeColor="text1"/>
          <w:spacing w:val="0"/>
          <w:sz w:val="30"/>
          <w:szCs w:val="30"/>
          <w:highlight w:val="none"/>
          <w14:textFill>
            <w14:solidFill>
              <w14:schemeClr w14:val="tx1"/>
            </w14:solidFill>
          </w14:textFill>
        </w:rPr>
        <w:t>疫情期间</w:t>
      </w:r>
      <w:r>
        <w:rPr>
          <w:rFonts w:hint="eastAsia" w:ascii="仿宋" w:hAnsi="仿宋" w:eastAsia="仿宋" w:cs="仿宋"/>
          <w:b w:val="0"/>
          <w:bCs w:val="0"/>
          <w:color w:val="000000" w:themeColor="text1"/>
          <w:spacing w:val="0"/>
          <w:sz w:val="30"/>
          <w:szCs w:val="30"/>
          <w14:textFill>
            <w14:solidFill>
              <w14:schemeClr w14:val="tx1"/>
            </w14:solidFill>
          </w14:textFill>
        </w:rPr>
        <w:t>组织发动1.2万余名共产党员开展新冠肺炎疫情防控阻击战。</w:t>
      </w:r>
      <w:r>
        <w:rPr>
          <w:rFonts w:hint="eastAsia" w:ascii="仿宋" w:hAnsi="仿宋" w:eastAsia="仿宋" w:cs="仿宋"/>
          <w:b w:val="0"/>
          <w:bCs w:val="0"/>
          <w:color w:val="000000" w:themeColor="text1"/>
          <w:spacing w:val="0"/>
          <w:kern w:val="2"/>
          <w:sz w:val="30"/>
          <w:szCs w:val="30"/>
          <w:shd w:val="clear" w:color="auto" w:fill="FFFFFF"/>
          <w:lang w:val="en-US" w:eastAsia="zh-CN"/>
          <w14:textFill>
            <w14:solidFill>
              <w14:schemeClr w14:val="tx1"/>
            </w14:solidFill>
          </w14:textFill>
        </w:rPr>
        <w:t>全年组织开展“疫情防控”、“红色星期五”、“文明劝导”、“119宣传月”、“广元市特殊学校亲子研学昭化行”等主题志愿服务活动60余次，组织开展“青春志愿”系列志愿活动17次，慰问困难妇女儿童80余名；开展法律知识讲座5场次。</w:t>
      </w:r>
      <w:r>
        <w:rPr>
          <w:rFonts w:hint="eastAsia" w:ascii="仿宋" w:hAnsi="仿宋" w:eastAsia="仿宋" w:cs="仿宋"/>
          <w:b w:val="0"/>
          <w:bCs w:val="0"/>
          <w:color w:val="000000" w:themeColor="text1"/>
          <w:spacing w:val="0"/>
          <w:sz w:val="30"/>
          <w:szCs w:val="30"/>
          <w14:textFill>
            <w14:solidFill>
              <w14:schemeClr w14:val="tx1"/>
            </w14:solidFill>
          </w14:textFill>
        </w:rPr>
        <w:t>“童伴计划”志愿服务项目被评为</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市级</w:t>
      </w:r>
      <w:r>
        <w:rPr>
          <w:rFonts w:hint="eastAsia" w:ascii="仿宋" w:hAnsi="仿宋" w:eastAsia="仿宋" w:cs="仿宋"/>
          <w:b w:val="0"/>
          <w:bCs w:val="0"/>
          <w:color w:val="000000" w:themeColor="text1"/>
          <w:spacing w:val="0"/>
          <w:sz w:val="30"/>
          <w:szCs w:val="30"/>
          <w14:textFill>
            <w14:solidFill>
              <w14:schemeClr w14:val="tx1"/>
            </w14:solidFill>
          </w14:textFill>
        </w:rPr>
        <w:t>优秀志愿服务项目；东山社区被评为“</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市级</w:t>
      </w:r>
      <w:r>
        <w:rPr>
          <w:rFonts w:hint="eastAsia" w:ascii="仿宋" w:hAnsi="仿宋" w:eastAsia="仿宋" w:cs="仿宋"/>
          <w:b w:val="0"/>
          <w:bCs w:val="0"/>
          <w:color w:val="000000" w:themeColor="text1"/>
          <w:spacing w:val="0"/>
          <w:sz w:val="30"/>
          <w:szCs w:val="30"/>
          <w14:textFill>
            <w14:solidFill>
              <w14:schemeClr w14:val="tx1"/>
            </w14:solidFill>
          </w14:textFill>
        </w:rPr>
        <w:t>优秀志愿服务先进社区；廖琳等4名同志被评为市</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级</w:t>
      </w:r>
      <w:r>
        <w:rPr>
          <w:rFonts w:hint="eastAsia" w:ascii="仿宋" w:hAnsi="仿宋" w:eastAsia="仿宋" w:cs="仿宋"/>
          <w:b w:val="0"/>
          <w:bCs w:val="0"/>
          <w:color w:val="000000" w:themeColor="text1"/>
          <w:spacing w:val="0"/>
          <w:sz w:val="30"/>
          <w:szCs w:val="30"/>
          <w14:textFill>
            <w14:solidFill>
              <w14:schemeClr w14:val="tx1"/>
            </w14:solidFill>
          </w14:textFill>
        </w:rPr>
        <w:t>优秀志愿者。积极构建实践“中心、所、站”区镇村三级组织体系，</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结合地域特点</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建成</w:t>
      </w:r>
      <w:r>
        <w:rPr>
          <w:rFonts w:hint="eastAsia" w:ascii="仿宋" w:hAnsi="仿宋" w:eastAsia="仿宋" w:cs="仿宋"/>
          <w:b w:val="0"/>
          <w:bCs w:val="0"/>
          <w:color w:val="000000" w:themeColor="text1"/>
          <w:spacing w:val="0"/>
          <w:sz w:val="30"/>
          <w:szCs w:val="30"/>
          <w14:textFill>
            <w14:solidFill>
              <w14:schemeClr w14:val="tx1"/>
            </w14:solidFill>
          </w14:textFill>
        </w:rPr>
        <w:t>区级文明实践中心和5</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个</w:t>
      </w:r>
      <w:r>
        <w:rPr>
          <w:rFonts w:hint="eastAsia" w:ascii="仿宋" w:hAnsi="仿宋" w:eastAsia="仿宋" w:cs="仿宋"/>
          <w:b w:val="0"/>
          <w:bCs w:val="0"/>
          <w:color w:val="000000" w:themeColor="text1"/>
          <w:spacing w:val="0"/>
          <w:sz w:val="30"/>
          <w:szCs w:val="30"/>
          <w14:textFill>
            <w14:solidFill>
              <w14:schemeClr w14:val="tx1"/>
            </w14:solidFill>
          </w14:textFill>
        </w:rPr>
        <w:t>实践所</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10个</w:t>
      </w:r>
      <w:r>
        <w:rPr>
          <w:rFonts w:hint="eastAsia" w:ascii="仿宋" w:hAnsi="仿宋" w:eastAsia="仿宋" w:cs="仿宋"/>
          <w:b w:val="0"/>
          <w:bCs w:val="0"/>
          <w:color w:val="000000" w:themeColor="text1"/>
          <w:spacing w:val="0"/>
          <w:sz w:val="30"/>
          <w:szCs w:val="30"/>
          <w14:textFill>
            <w14:solidFill>
              <w14:schemeClr w14:val="tx1"/>
            </w14:solidFill>
          </w14:textFill>
        </w:rPr>
        <w:t>实践站</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开展文化活动20场次，技能培训32场次，好人故事宣讲17场次</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八是深化农村精神文明建设工作。全覆盖开展文明新风积分评定活动，</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选树“孝老爱亲好儿媳”“好公婆”“致富带头人”70余人，评选文明新风积分先进户530余名</w:t>
      </w:r>
      <w:r>
        <w:rPr>
          <w:rFonts w:hint="eastAsia" w:ascii="仿宋" w:hAnsi="仿宋" w:eastAsia="仿宋" w:cs="仿宋"/>
          <w:b w:val="0"/>
          <w:bCs w:val="0"/>
          <w:color w:val="000000" w:themeColor="text1"/>
          <w:spacing w:val="0"/>
          <w:sz w:val="30"/>
          <w:szCs w:val="30"/>
          <w14:textFill>
            <w14:solidFill>
              <w14:schemeClr w14:val="tx1"/>
            </w14:solidFill>
          </w14:textFill>
        </w:rPr>
        <w:t>。继续抓实</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星级</w:t>
      </w:r>
      <w:r>
        <w:rPr>
          <w:rFonts w:hint="eastAsia" w:ascii="仿宋" w:hAnsi="仿宋" w:eastAsia="仿宋" w:cs="仿宋"/>
          <w:b w:val="0"/>
          <w:bCs w:val="0"/>
          <w:color w:val="000000" w:themeColor="text1"/>
          <w:spacing w:val="0"/>
          <w:sz w:val="30"/>
          <w:szCs w:val="30"/>
          <w14:textFill>
            <w14:solidFill>
              <w14:schemeClr w14:val="tx1"/>
            </w14:solidFill>
          </w14:textFill>
        </w:rPr>
        <w:t>文明健康示范村（户）评选，</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确保活动常态长效</w:t>
      </w:r>
      <w:r>
        <w:rPr>
          <w:rFonts w:hint="eastAsia" w:ascii="仿宋" w:hAnsi="仿宋" w:eastAsia="仿宋" w:cs="仿宋"/>
          <w:b w:val="0"/>
          <w:bCs w:val="0"/>
          <w:color w:val="000000" w:themeColor="text1"/>
          <w:spacing w:val="0"/>
          <w:sz w:val="30"/>
          <w:szCs w:val="30"/>
          <w14:textFill>
            <w14:solidFill>
              <w14:schemeClr w14:val="tx1"/>
            </w14:solidFill>
          </w14:textFill>
        </w:rPr>
        <w:t>。</w:t>
      </w:r>
    </w:p>
    <w:p w14:paraId="36B6DE34">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jc w:val="both"/>
        <w:textAlignment w:val="auto"/>
        <w:rPr>
          <w:rFonts w:hint="eastAsia" w:ascii="仿宋" w:hAnsi="仿宋" w:eastAsia="仿宋" w:cs="仿宋"/>
          <w:b w:val="0"/>
          <w:bCs w:val="0"/>
          <w:color w:val="000000" w:themeColor="text1"/>
          <w:spacing w:val="0"/>
          <w:sz w:val="30"/>
          <w:szCs w:val="30"/>
          <w:lang w:eastAsia="zh-CN"/>
          <w14:textFill>
            <w14:solidFill>
              <w14:schemeClr w14:val="tx1"/>
            </w14:solidFill>
          </w14:textFill>
        </w:rPr>
      </w:pPr>
      <w:r>
        <w:rPr>
          <w:rFonts w:hint="eastAsia" w:ascii="仿宋" w:hAnsi="仿宋" w:eastAsia="仿宋" w:cs="仿宋"/>
          <w:b w:val="0"/>
          <w:bCs w:val="0"/>
          <w:color w:val="000000" w:themeColor="text1"/>
          <w:spacing w:val="0"/>
          <w:kern w:val="0"/>
          <w:sz w:val="30"/>
          <w:szCs w:val="30"/>
          <w14:textFill>
            <w14:solidFill>
              <w14:schemeClr w14:val="tx1"/>
            </w14:solidFill>
          </w14:textFill>
        </w:rPr>
        <w:t>构建网络治理良好格局。</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召开区委网络安全和信息化委员会第二次会议。</w:t>
      </w:r>
      <w:r>
        <w:rPr>
          <w:rFonts w:hint="eastAsia" w:ascii="仿宋" w:hAnsi="仿宋" w:eastAsia="仿宋" w:cs="仿宋"/>
          <w:b w:val="0"/>
          <w:bCs w:val="0"/>
          <w:color w:val="000000" w:themeColor="text1"/>
          <w:spacing w:val="0"/>
          <w:sz w:val="30"/>
          <w:szCs w:val="30"/>
          <w14:textFill>
            <w14:solidFill>
              <w14:schemeClr w14:val="tx1"/>
            </w14:solidFill>
          </w14:textFill>
        </w:rPr>
        <w:t>印发《广元市昭化区网络综合治理体系建设实施意见》</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。加强对互联网行业党委的指导，省委网信办专题调研</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我区</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万农合创等互联网企业，</w:t>
      </w:r>
      <w:r>
        <w:rPr>
          <w:rFonts w:hint="eastAsia" w:ascii="仿宋" w:hAnsi="仿宋" w:eastAsia="仿宋" w:cs="仿宋"/>
          <w:b w:val="0"/>
          <w:bCs w:val="0"/>
          <w:color w:val="000000" w:themeColor="text1"/>
          <w:spacing w:val="0"/>
          <w:sz w:val="30"/>
          <w:szCs w:val="30"/>
          <w14:textFill>
            <w14:solidFill>
              <w14:schemeClr w14:val="tx1"/>
            </w14:solidFill>
          </w14:textFill>
        </w:rPr>
        <w:t>全面加强网信系统党的建设</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highlight w:val="none"/>
          <w14:textFill>
            <w14:solidFill>
              <w14:schemeClr w14:val="tx1"/>
            </w14:solidFill>
          </w14:textFill>
        </w:rPr>
        <w:t>将区</w:t>
      </w:r>
      <w:r>
        <w:rPr>
          <w:rFonts w:hint="eastAsia" w:ascii="仿宋" w:hAnsi="仿宋" w:eastAsia="仿宋" w:cs="仿宋"/>
          <w:b w:val="0"/>
          <w:bCs w:val="0"/>
          <w:color w:val="000000" w:themeColor="text1"/>
          <w:spacing w:val="0"/>
          <w:sz w:val="30"/>
          <w:szCs w:val="30"/>
          <w14:textFill>
            <w14:solidFill>
              <w14:schemeClr w14:val="tx1"/>
            </w14:solidFill>
          </w14:textFill>
        </w:rPr>
        <w:t>网信中心部分职能职责划归区融媒体中心，扎实管好用好区互联网协会</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不断</w:t>
      </w:r>
      <w:r>
        <w:rPr>
          <w:rFonts w:hint="eastAsia" w:ascii="仿宋" w:hAnsi="仿宋" w:eastAsia="仿宋" w:cs="仿宋"/>
          <w:b w:val="0"/>
          <w:bCs w:val="0"/>
          <w:color w:val="000000" w:themeColor="text1"/>
          <w:spacing w:val="0"/>
          <w:sz w:val="30"/>
          <w:szCs w:val="30"/>
          <w14:textFill>
            <w14:solidFill>
              <w14:schemeClr w14:val="tx1"/>
            </w14:solidFill>
          </w14:textFill>
        </w:rPr>
        <w:t>延伸网信工作体系。针对各重要节点成立网络专班</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5</w:t>
      </w:r>
      <w:r>
        <w:rPr>
          <w:rFonts w:hint="eastAsia" w:ascii="仿宋" w:hAnsi="仿宋" w:eastAsia="仿宋" w:cs="仿宋"/>
          <w:b w:val="0"/>
          <w:bCs w:val="0"/>
          <w:color w:val="000000" w:themeColor="text1"/>
          <w:spacing w:val="0"/>
          <w:sz w:val="30"/>
          <w:szCs w:val="30"/>
          <w14:textFill>
            <w14:solidFill>
              <w14:schemeClr w14:val="tx1"/>
            </w14:solidFill>
          </w14:textFill>
        </w:rPr>
        <w:t>个，制定应急预案</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11</w:t>
      </w:r>
      <w:r>
        <w:rPr>
          <w:rFonts w:hint="eastAsia" w:ascii="仿宋" w:hAnsi="仿宋" w:eastAsia="仿宋" w:cs="仿宋"/>
          <w:b w:val="0"/>
          <w:bCs w:val="0"/>
          <w:color w:val="000000" w:themeColor="text1"/>
          <w:spacing w:val="0"/>
          <w:sz w:val="30"/>
          <w:szCs w:val="30"/>
          <w14:textFill>
            <w14:solidFill>
              <w14:schemeClr w14:val="tx1"/>
            </w14:solidFill>
          </w14:textFill>
        </w:rPr>
        <w:t>个，共收到互联网</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信息</w:t>
      </w:r>
      <w:r>
        <w:rPr>
          <w:rFonts w:hint="eastAsia" w:ascii="仿宋" w:hAnsi="仿宋" w:eastAsia="仿宋" w:cs="仿宋"/>
          <w:b w:val="0"/>
          <w:bCs w:val="0"/>
          <w:color w:val="000000" w:themeColor="text1"/>
          <w:spacing w:val="0"/>
          <w:sz w:val="30"/>
          <w:szCs w:val="30"/>
          <w14:textFill>
            <w14:solidFill>
              <w14:schemeClr w14:val="tx1"/>
            </w14:solidFill>
          </w14:textFill>
        </w:rPr>
        <w:t>170件，回应率达98%。扎实开展专项行动</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加强对区内政务新媒体、自媒体及网络大V的运维管理，开展风险点和工作要求的相关重点定点提示30余次。累计转发宣传及新闻跟帖4000余条（次），政务新媒体转发相关信息500余条（次）</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通过集中学、行业学、自学等形式，认真学习贯彻《网络信息内容生态治理规定》。扎实开展2020国家网络安全宣传周活动，六大主题日活动</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和</w:t>
      </w:r>
      <w:r>
        <w:rPr>
          <w:rFonts w:hint="eastAsia" w:ascii="仿宋" w:hAnsi="仿宋" w:eastAsia="仿宋" w:cs="仿宋"/>
          <w:b w:val="0"/>
          <w:bCs w:val="0"/>
          <w:color w:val="000000" w:themeColor="text1"/>
          <w:spacing w:val="0"/>
          <w:sz w:val="30"/>
          <w:szCs w:val="30"/>
          <w14:textFill>
            <w14:solidFill>
              <w14:schemeClr w14:val="tx1"/>
            </w14:solidFill>
          </w14:textFill>
        </w:rPr>
        <w:t>网络安全七进活动丰富多彩。坚决打击互联网违法行为，开通有害信息举报入口。共梳理排查相关线索13条，全面清理并建立长效机制。深入实施网络扶贫行动计划</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，区委网信办统筹组织官方主流媒体及区内政务新媒体、商业媒体、自媒体平台搭建起网络扶贫营销宣传联盟，吸引甘肃、陕西、成都等多地采购商。</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积极</w:t>
      </w:r>
      <w:r>
        <w:rPr>
          <w:rFonts w:hint="eastAsia" w:ascii="仿宋" w:hAnsi="仿宋" w:eastAsia="仿宋" w:cs="仿宋"/>
          <w:b w:val="0"/>
          <w:bCs w:val="0"/>
          <w:color w:val="000000" w:themeColor="text1"/>
          <w:spacing w:val="0"/>
          <w:sz w:val="30"/>
          <w:szCs w:val="30"/>
          <w14:textFill>
            <w14:solidFill>
              <w14:schemeClr w14:val="tx1"/>
            </w14:solidFill>
          </w14:textFill>
        </w:rPr>
        <w:t>拓展网络扶贫各级队伍，村“两委”成员、第一书记、大学生村官、“三支一扶”人员、科技特派员、西部计划志愿者等纷纷当起卖货郎，通过朋友圈、微信群、微博、抖音等平台大力宣传推介，持续解决农特产品销售难题。搭建“线上+线下”平台，实施网络公益工程，织密直播营销网、电商直销网、线下促销网解决全区近百万只出栏土鸡滞销。</w:t>
      </w:r>
      <w:r>
        <w:rPr>
          <w:rFonts w:hint="eastAsia" w:ascii="仿宋" w:hAnsi="仿宋" w:eastAsia="仿宋" w:cs="仿宋"/>
          <w:b w:val="0"/>
          <w:bCs w:val="0"/>
          <w:color w:val="000000" w:themeColor="text1"/>
          <w:spacing w:val="0"/>
          <w:kern w:val="2"/>
          <w:sz w:val="30"/>
          <w:szCs w:val="30"/>
          <w:lang w:val="en-US" w:eastAsia="zh-CN" w:bidi="ar-SA"/>
          <w14:textFill>
            <w14:solidFill>
              <w14:schemeClr w14:val="tx1"/>
            </w14:solidFill>
          </w14:textFill>
        </w:rPr>
        <w:t>直播活动广受好评。</w:t>
      </w:r>
    </w:p>
    <w:p w14:paraId="1903493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jc w:val="both"/>
        <w:textAlignment w:val="auto"/>
        <w:rPr>
          <w:rFonts w:hint="eastAsia" w:ascii="仿宋" w:hAnsi="仿宋" w:eastAsia="仿宋" w:cs="仿宋"/>
          <w:b w:val="0"/>
          <w:bCs w:val="0"/>
          <w:color w:val="000000" w:themeColor="text1"/>
          <w:spacing w:val="0"/>
          <w:kern w:val="0"/>
          <w:sz w:val="30"/>
          <w:szCs w:val="30"/>
          <w:lang w:val="en-US" w:eastAsia="zh-CN"/>
          <w14:textFill>
            <w14:solidFill>
              <w14:schemeClr w14:val="tx1"/>
            </w14:solidFill>
          </w14:textFill>
        </w:rPr>
      </w:pPr>
      <w:r>
        <w:rPr>
          <w:rFonts w:hint="eastAsia" w:ascii="仿宋" w:hAnsi="仿宋" w:eastAsia="仿宋" w:cs="仿宋"/>
          <w:b w:val="0"/>
          <w:bCs w:val="0"/>
          <w:color w:val="000000" w:themeColor="text1"/>
          <w:spacing w:val="0"/>
          <w:kern w:val="0"/>
          <w:sz w:val="30"/>
          <w:szCs w:val="30"/>
          <w:lang w:val="en-US" w:eastAsia="zh-CN" w:bidi="ar-SA"/>
          <w14:textFill>
            <w14:solidFill>
              <w14:schemeClr w14:val="tx1"/>
            </w14:solidFill>
          </w14:textFill>
        </w:rPr>
        <w:t>高质量推进文化强区建设。</w:t>
      </w:r>
      <w:r>
        <w:rPr>
          <w:rFonts w:hint="eastAsia" w:ascii="仿宋" w:hAnsi="仿宋" w:eastAsia="仿宋" w:cs="仿宋"/>
          <w:b w:val="0"/>
          <w:bCs w:val="0"/>
          <w:color w:val="000000" w:themeColor="text1"/>
          <w:spacing w:val="0"/>
          <w:kern w:val="0"/>
          <w:sz w:val="30"/>
          <w:szCs w:val="30"/>
          <w:lang w:val="en-US" w:eastAsia="zh-CN"/>
          <w14:textFill>
            <w14:solidFill>
              <w14:schemeClr w14:val="tx1"/>
            </w14:solidFill>
          </w14:textFill>
        </w:rPr>
        <w:t>完成文化馆、图书馆、美术馆升级改造建设方案及文化馆评估定级网上填报工作；建立文化馆、图书馆智游天府账号，建设文化馆数字服务平台，加强了文化宣传推广</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；实现村级文化室标准化全覆盖，公共文化服务机构免费开放，</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完成12个镇应急广播村村响提升建设；全区63个贫困村均按省上要求</w:t>
      </w:r>
      <w:r>
        <w:rPr>
          <w:rFonts w:hint="eastAsia" w:ascii="仿宋" w:hAnsi="仿宋" w:eastAsia="仿宋" w:cs="仿宋"/>
          <w:b w:val="0"/>
          <w:bCs w:val="0"/>
          <w:color w:val="000000" w:themeColor="text1"/>
          <w:spacing w:val="0"/>
          <w:sz w:val="30"/>
          <w:szCs w:val="30"/>
          <w14:textFill>
            <w14:solidFill>
              <w14:schemeClr w14:val="tx1"/>
            </w14:solidFill>
          </w14:textFill>
        </w:rPr>
        <w:t>统一采购图书、乐器、电脑等相关设施设备，</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并</w:t>
      </w:r>
      <w:r>
        <w:rPr>
          <w:rFonts w:hint="eastAsia" w:ascii="仿宋" w:hAnsi="仿宋" w:eastAsia="仿宋" w:cs="仿宋"/>
          <w:b w:val="0"/>
          <w:bCs w:val="0"/>
          <w:color w:val="000000" w:themeColor="text1"/>
          <w:spacing w:val="0"/>
          <w:sz w:val="30"/>
          <w:szCs w:val="30"/>
          <w14:textFill>
            <w14:solidFill>
              <w14:schemeClr w14:val="tx1"/>
            </w14:solidFill>
          </w14:textFill>
        </w:rPr>
        <w:t>根据地域特色添置宣传栏、戏台、文化院坝、文化氛围等相关内容，</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147个非贫困村参照贫困村标准统一采购设施设备，全面完成标准化建设，高效</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实施乡村文化振兴“百千万”工程建设，高质量完成了文化扶贫目标任务。</w:t>
      </w:r>
      <w:r>
        <w:rPr>
          <w:rFonts w:hint="eastAsia" w:ascii="仿宋" w:hAnsi="仿宋" w:eastAsia="仿宋" w:cs="仿宋"/>
          <w:b w:val="0"/>
          <w:bCs w:val="0"/>
          <w:color w:val="000000" w:themeColor="text1"/>
          <w:spacing w:val="0"/>
          <w:kern w:val="0"/>
          <w:sz w:val="30"/>
          <w:szCs w:val="30"/>
          <w:lang w:val="en-US" w:eastAsia="zh-CN"/>
          <w14:textFill>
            <w14:solidFill>
              <w14:schemeClr w14:val="tx1"/>
            </w14:solidFill>
          </w14:textFill>
        </w:rPr>
        <w:t>编排群舞《我的祖国》，荣获“2020年四川省乡村艺术节”群众文化艺术作品比赛舞蹈类第三名；编排舞蹈《塔林呼恒》，荣获广元市第九届广场舞展演一等奖；脱贫攻坚纪实散文集《半亩原乡》荣获第七届《中国作家》剑门关文学奖；组织创作战“疫”歌曲《有你就好》《山茶花下》，并应邀在省文联、省音协网络平台上展播；创作方言快板《文明新风传万家》，在全市知客大赛颁奖晚会展演</w:t>
      </w:r>
      <w:r>
        <w:rPr>
          <w:rFonts w:hint="eastAsia" w:ascii="仿宋" w:hAnsi="仿宋" w:eastAsia="仿宋" w:cs="仿宋"/>
          <w:b w:val="0"/>
          <w:bCs w:val="0"/>
          <w:color w:val="000000" w:themeColor="text1"/>
          <w:spacing w:val="0"/>
          <w:sz w:val="30"/>
          <w:szCs w:val="30"/>
          <w14:textFill>
            <w14:solidFill>
              <w14:schemeClr w14:val="tx1"/>
            </w14:solidFill>
          </w14:textFill>
        </w:rPr>
        <w:t>。</w:t>
      </w:r>
      <w:r>
        <w:rPr>
          <w:rFonts w:hint="eastAsia" w:ascii="仿宋" w:hAnsi="仿宋" w:eastAsia="仿宋" w:cs="仿宋"/>
          <w:b w:val="0"/>
          <w:bCs w:val="0"/>
          <w:color w:val="000000" w:themeColor="text1"/>
          <w:spacing w:val="0"/>
          <w:kern w:val="0"/>
          <w:sz w:val="30"/>
          <w:szCs w:val="30"/>
          <w:lang w:val="en-US" w:eastAsia="zh-CN"/>
          <w14:textFill>
            <w14:solidFill>
              <w14:schemeClr w14:val="tx1"/>
            </w14:solidFill>
          </w14:textFill>
        </w:rPr>
        <w:t>召开“农民作家”王文江小小说集《时光如流》研讨会，编写书籍《昭化故事选》，出版《射箭提阳戏剧目集成》《山月归你你归我》等书籍，完成作品登记260余件。</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全区</w:t>
      </w:r>
      <w:r>
        <w:rPr>
          <w:rFonts w:hint="eastAsia" w:ascii="仿宋" w:hAnsi="仿宋" w:eastAsia="仿宋" w:cs="仿宋"/>
          <w:b w:val="0"/>
          <w:bCs w:val="0"/>
          <w:color w:val="000000" w:themeColor="text1"/>
          <w:spacing w:val="0"/>
          <w:sz w:val="30"/>
          <w:szCs w:val="30"/>
          <w14:textFill>
            <w14:solidFill>
              <w14:schemeClr w14:val="tx1"/>
            </w14:solidFill>
          </w14:textFill>
        </w:rPr>
        <w:t>每村建立1支民间演艺队伍，落实1名以上文化管家，构建1支民间文艺队伍，涌现出虎跳舞狮队、柏林沟金钱棍队等200余支民间演绎队伍。</w:t>
      </w:r>
      <w:r>
        <w:rPr>
          <w:rFonts w:hint="eastAsia" w:ascii="仿宋" w:hAnsi="仿宋" w:eastAsia="仿宋" w:cs="仿宋"/>
          <w:b w:val="0"/>
          <w:bCs w:val="0"/>
          <w:color w:val="000000" w:themeColor="text1"/>
          <w:spacing w:val="0"/>
          <w:kern w:val="0"/>
          <w:sz w:val="30"/>
          <w:szCs w:val="30"/>
          <w:lang w:val="en-US" w:eastAsia="zh-CN"/>
          <w14:textFill>
            <w14:solidFill>
              <w14:schemeClr w14:val="tx1"/>
            </w14:solidFill>
          </w14:textFill>
        </w:rPr>
        <w:t>组织开展“花开半夏  如意平乐”“紫云猕猴桃 生态好味道”“昭化古城文艺创作季”等文艺采风活动10余次，组织</w:t>
      </w:r>
      <w:r>
        <w:rPr>
          <w:rFonts w:hint="eastAsia" w:ascii="仿宋" w:hAnsi="仿宋" w:eastAsia="仿宋" w:cs="仿宋"/>
          <w:b w:val="0"/>
          <w:bCs w:val="0"/>
          <w:color w:val="000000" w:themeColor="text1"/>
          <w:spacing w:val="0"/>
          <w:sz w:val="30"/>
          <w:szCs w:val="30"/>
          <w:lang w:eastAsia="zh-CN"/>
          <w14:textFill>
            <w14:solidFill>
              <w14:schemeClr w14:val="tx1"/>
            </w14:solidFill>
          </w14:textFill>
        </w:rPr>
        <w:t>广场舞、柔力球、文艺活动及文化建设等培训</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236次，累计培训人员达12342人次。</w:t>
      </w:r>
      <w:r>
        <w:rPr>
          <w:rFonts w:hint="eastAsia" w:ascii="仿宋" w:hAnsi="仿宋" w:eastAsia="仿宋" w:cs="仿宋"/>
          <w:b w:val="0"/>
          <w:bCs w:val="0"/>
          <w:color w:val="000000" w:themeColor="text1"/>
          <w:spacing w:val="0"/>
          <w:kern w:val="0"/>
          <w:sz w:val="30"/>
          <w:szCs w:val="30"/>
          <w:lang w:val="en-US" w:eastAsia="zh-CN"/>
          <w14:textFill>
            <w14:solidFill>
              <w14:schemeClr w14:val="tx1"/>
            </w14:solidFill>
          </w14:textFill>
        </w:rPr>
        <w:t>组织开展乐楼《昭化古韵》常态化演出、西市《葭萌春秋》沉浸式演出、县衙情景剧表演、考棚模拟科举考试等系列主题文艺活动；举办第十届蜀道文化旅游节、第七届《中国作家》剑门关文学奖颁奖仪式、第五届“相约广元·情定昭化”万人相亲大会、第七届紫云猕猴桃采摘节、第十届荷花节、第三届农民丰收节、柏林古镇山歌比赛、樱花节、蓝莓采摘节等文艺演出活动；举办全区乡村知客大赛并参加全市知客大赛，开展十九届五中全会宣讲活动；开展文化惠民活动，送文化下乡80余场次，举办“万人赏月诵中秋”、“书香昭化邮传万家”等主题全民阅读活动，全年共计开展主题文艺活动100余场。</w:t>
      </w:r>
    </w:p>
    <w:p w14:paraId="65D22354">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jc w:val="both"/>
        <w:textAlignment w:val="auto"/>
        <w:rPr>
          <w:rFonts w:hint="eastAsia" w:ascii="仿宋" w:hAnsi="仿宋" w:eastAsia="仿宋" w:cs="仿宋"/>
          <w:b w:val="0"/>
          <w:bCs w:val="0"/>
          <w:color w:val="000000" w:themeColor="text1"/>
          <w:spacing w:val="0"/>
          <w:kern w:val="2"/>
          <w:sz w:val="30"/>
          <w:szCs w:val="30"/>
          <w14:textFill>
            <w14:solidFill>
              <w14:schemeClr w14:val="tx1"/>
            </w14:solidFill>
          </w14:textFill>
        </w:rPr>
      </w:pPr>
      <w:r>
        <w:rPr>
          <w:rFonts w:hint="eastAsia" w:ascii="仿宋" w:hAnsi="仿宋" w:eastAsia="仿宋" w:cs="仿宋"/>
          <w:b w:val="0"/>
          <w:bCs w:val="0"/>
          <w:color w:val="000000" w:themeColor="text1"/>
          <w:spacing w:val="0"/>
          <w:kern w:val="0"/>
          <w:sz w:val="30"/>
          <w:szCs w:val="30"/>
          <w:lang w:val="en-US" w:eastAsia="zh-CN"/>
          <w14:textFill>
            <w14:solidFill>
              <w14:schemeClr w14:val="tx1"/>
            </w14:solidFill>
          </w14:textFill>
        </w:rPr>
        <w:t>创新</w:t>
      </w:r>
      <w:r>
        <w:rPr>
          <w:rFonts w:hint="eastAsia" w:ascii="仿宋" w:hAnsi="仿宋" w:eastAsia="仿宋" w:cs="仿宋"/>
          <w:b w:val="0"/>
          <w:bCs w:val="0"/>
          <w:color w:val="000000" w:themeColor="text1"/>
          <w:spacing w:val="0"/>
          <w:kern w:val="0"/>
          <w:sz w:val="30"/>
          <w:szCs w:val="30"/>
          <w14:textFill>
            <w14:solidFill>
              <w14:schemeClr w14:val="tx1"/>
            </w14:solidFill>
          </w14:textFill>
        </w:rPr>
        <w:t>开展“理论调研深化年活动”。</w:t>
      </w:r>
      <w:r>
        <w:rPr>
          <w:rFonts w:hint="eastAsia" w:ascii="仿宋" w:hAnsi="仿宋" w:eastAsia="仿宋" w:cs="仿宋"/>
          <w:b w:val="0"/>
          <w:bCs w:val="0"/>
          <w:color w:val="000000" w:themeColor="text1"/>
          <w:spacing w:val="0"/>
          <w:kern w:val="2"/>
          <w:sz w:val="30"/>
          <w:szCs w:val="30"/>
          <w14:textFill>
            <w14:solidFill>
              <w14:schemeClr w14:val="tx1"/>
            </w14:solidFill>
          </w14:textFill>
        </w:rPr>
        <w:t>全区宣传思想文化系统干部在学懂弄通做实习近平新时代中国特色社会主义思想的道路上孜孜以求，在统筹推进新冠肺炎疫情防控和经济社会发展工作中求实创新，在决胜全面建成小康社会、决战脱贫攻坚战场上总结提炼，组织专题调研，组建工作专班，深化理论研究，将实践成效转化为理论成果。</w:t>
      </w:r>
    </w:p>
    <w:p w14:paraId="7104D38A">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jc w:val="both"/>
        <w:textAlignment w:val="auto"/>
        <w:rPr>
          <w:rFonts w:hint="eastAsia" w:ascii="仿宋" w:hAnsi="仿宋" w:eastAsia="仿宋" w:cs="仿宋"/>
          <w:b w:val="0"/>
          <w:bCs w:val="0"/>
          <w:color w:val="000000" w:themeColor="text1"/>
          <w:spacing w:val="0"/>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spacing w:val="0"/>
          <w:kern w:val="0"/>
          <w:sz w:val="30"/>
          <w:szCs w:val="30"/>
          <w14:textFill>
            <w14:solidFill>
              <w14:schemeClr w14:val="tx1"/>
            </w14:solidFill>
          </w14:textFill>
        </w:rPr>
        <w:t>创新探索“三位一体”思政育人模式。</w:t>
      </w:r>
      <w:r>
        <w:rPr>
          <w:rFonts w:hint="eastAsia" w:ascii="仿宋" w:hAnsi="仿宋" w:eastAsia="仿宋" w:cs="仿宋"/>
          <w:b w:val="0"/>
          <w:bCs w:val="0"/>
          <w:color w:val="000000" w:themeColor="text1"/>
          <w:spacing w:val="0"/>
          <w:kern w:val="2"/>
          <w:sz w:val="30"/>
          <w:szCs w:val="30"/>
          <w14:textFill>
            <w14:solidFill>
              <w14:schemeClr w14:val="tx1"/>
            </w14:solidFill>
          </w14:textFill>
        </w:rPr>
        <w:t>积极推动中小学校思政课改革创新，率先推行县级领导干部兼职教育特邀督学制度，印发《广元市昭化区县级领导上思政课三年规划》，31名县级领导干部深入全区中小学校开展思政讲学活动69场次，带动乡镇党委书记走进校园，宣讲脱贫攻坚成效、疫情防控成就、美丽乡村建设成果。初步形成“政治引领、课程创新、保障落实”三位一体思政育人模式，引导学生扣好人生第一粒扣子，落实立德树人根本任务。做法在省委宣传部《政工论坛》市委改革办《广元改革动态》等刊发。</w:t>
      </w:r>
    </w:p>
    <w:p w14:paraId="039B8A4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jc w:val="both"/>
        <w:textAlignment w:val="auto"/>
        <w:rPr>
          <w:rFonts w:hint="eastAsia" w:ascii="仿宋" w:hAnsi="仿宋" w:eastAsia="仿宋" w:cs="仿宋"/>
          <w:b w:val="0"/>
          <w:bCs w:val="0"/>
          <w:color w:val="000000" w:themeColor="text1"/>
          <w:spacing w:val="0"/>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spacing w:val="0"/>
          <w:kern w:val="0"/>
          <w:sz w:val="30"/>
          <w:szCs w:val="30"/>
          <w:lang w:val="en-US" w:eastAsia="zh-CN" w:bidi="ar-SA"/>
          <w14:textFill>
            <w14:solidFill>
              <w14:schemeClr w14:val="tx1"/>
            </w14:solidFill>
          </w14:textFill>
        </w:rPr>
        <w:t>创新推进“网络扶贫增效行动”。</w:t>
      </w:r>
      <w:r>
        <w:rPr>
          <w:rFonts w:hint="eastAsia" w:ascii="仿宋" w:hAnsi="仿宋" w:eastAsia="仿宋" w:cs="仿宋"/>
          <w:b w:val="0"/>
          <w:bCs w:val="0"/>
          <w:color w:val="000000" w:themeColor="text1"/>
          <w:spacing w:val="0"/>
          <w:sz w:val="30"/>
          <w:szCs w:val="30"/>
          <w:highlight w:val="none"/>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昭化电商实现“六路带贫”助增收</w:t>
      </w:r>
      <w:r>
        <w:rPr>
          <w:rFonts w:hint="eastAsia" w:ascii="仿宋" w:hAnsi="仿宋" w:eastAsia="仿宋" w:cs="仿宋"/>
          <w:b w:val="0"/>
          <w:bCs w:val="0"/>
          <w:color w:val="000000" w:themeColor="text1"/>
          <w:spacing w:val="0"/>
          <w:sz w:val="30"/>
          <w:szCs w:val="30"/>
          <w:highlight w:val="none"/>
          <w14:textFill>
            <w14:solidFill>
              <w14:schemeClr w14:val="tx1"/>
            </w14:solidFill>
          </w14:textFill>
        </w:rPr>
        <w:t>》</w:t>
      </w:r>
      <w:r>
        <w:rPr>
          <w:rFonts w:hint="eastAsia" w:ascii="仿宋" w:hAnsi="仿宋" w:eastAsia="仿宋" w:cs="仿宋"/>
          <w:b w:val="0"/>
          <w:bCs w:val="0"/>
          <w:color w:val="000000" w:themeColor="text1"/>
          <w:spacing w:val="0"/>
          <w:sz w:val="30"/>
          <w:szCs w:val="30"/>
          <w14:textFill>
            <w14:solidFill>
              <w14:schemeClr w14:val="tx1"/>
            </w14:solidFill>
          </w14:textFill>
        </w:rPr>
        <w:t>网络扶贫案例入选2020全国网络扶贫十大案例，成为四川省唯一上榜的十大案例。“昭化区电商带贫入选全国2020网络扶贫十大案例”和“昭化区与浙江龙泉持续深化电商扶贫协作”被《广元要情》刊载。</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电商扶贫案例《东西部扶贫协作助推农村电商》入选《中国样本 全国电商精准扶贫案例与点评》一书。</w:t>
      </w:r>
      <w:r>
        <w:rPr>
          <w:rFonts w:hint="eastAsia" w:ascii="仿宋" w:hAnsi="仿宋" w:eastAsia="仿宋" w:cs="仿宋"/>
          <w:b w:val="0"/>
          <w:bCs w:val="0"/>
          <w:color w:val="000000" w:themeColor="text1"/>
          <w:spacing w:val="0"/>
          <w:kern w:val="2"/>
          <w:sz w:val="30"/>
          <w:szCs w:val="30"/>
          <w:highlight w:val="none"/>
          <w:lang w:val="en-US" w:eastAsia="zh-CN" w:bidi="ar-SA"/>
          <w14:textFill>
            <w14:solidFill>
              <w14:schemeClr w14:val="tx1"/>
            </w14:solidFill>
          </w14:textFill>
        </w:rPr>
        <w:t>《</w:t>
      </w:r>
      <w:r>
        <w:rPr>
          <w:rFonts w:hint="eastAsia" w:ascii="仿宋" w:hAnsi="仿宋" w:eastAsia="仿宋" w:cs="仿宋"/>
          <w:b w:val="0"/>
          <w:bCs w:val="0"/>
          <w:color w:val="000000" w:themeColor="text1"/>
          <w:spacing w:val="0"/>
          <w:kern w:val="2"/>
          <w:sz w:val="30"/>
          <w:szCs w:val="30"/>
          <w:lang w:val="en-US" w:eastAsia="zh-CN" w:bidi="ar-SA"/>
          <w14:textFill>
            <w14:solidFill>
              <w14:schemeClr w14:val="tx1"/>
            </w14:solidFill>
          </w14:textFill>
        </w:rPr>
        <w:t>区长变“主播” 推销剑门关土</w:t>
      </w:r>
      <w:r>
        <w:rPr>
          <w:rFonts w:hint="eastAsia" w:ascii="仿宋" w:hAnsi="仿宋" w:eastAsia="仿宋" w:cs="仿宋"/>
          <w:b w:val="0"/>
          <w:bCs w:val="0"/>
          <w:color w:val="000000" w:themeColor="text1"/>
          <w:spacing w:val="0"/>
          <w:kern w:val="2"/>
          <w:sz w:val="30"/>
          <w:szCs w:val="30"/>
          <w:highlight w:val="none"/>
          <w:lang w:val="en-US" w:eastAsia="zh-CN" w:bidi="ar-SA"/>
          <w14:textFill>
            <w14:solidFill>
              <w14:schemeClr w14:val="tx1"/>
            </w14:solidFill>
          </w14:textFill>
        </w:rPr>
        <w:t>鸡</w:t>
      </w:r>
      <w:r>
        <w:rPr>
          <w:rFonts w:hint="eastAsia" w:ascii="仿宋" w:hAnsi="仿宋" w:eastAsia="仿宋" w:cs="仿宋"/>
          <w:b w:val="0"/>
          <w:bCs w:val="0"/>
          <w:color w:val="000000" w:themeColor="text1"/>
          <w:spacing w:val="0"/>
          <w:kern w:val="2"/>
          <w:sz w:val="30"/>
          <w:szCs w:val="30"/>
          <w:lang w:val="en-US" w:eastAsia="zh-CN" w:bidi="ar-SA"/>
          <w14:textFill>
            <w14:solidFill>
              <w14:schemeClr w14:val="tx1"/>
            </w14:solidFill>
          </w14:textFill>
        </w:rPr>
        <w:t>》在央视《新闻30分》播出，我区解决土鸡滞销模式获市政府邹自景市长的批示和肯定。</w:t>
      </w:r>
    </w:p>
    <w:p w14:paraId="5B49260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jc w:val="both"/>
        <w:textAlignment w:val="auto"/>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pPr>
      <w:r>
        <w:rPr>
          <w:rFonts w:hint="eastAsia" w:ascii="仿宋" w:hAnsi="仿宋" w:eastAsia="仿宋" w:cs="仿宋"/>
          <w:b w:val="0"/>
          <w:bCs w:val="0"/>
          <w:color w:val="000000" w:themeColor="text1"/>
          <w:spacing w:val="0"/>
          <w:kern w:val="0"/>
          <w:sz w:val="30"/>
          <w:szCs w:val="30"/>
          <w:lang w:val="en-US" w:eastAsia="zh-CN" w:bidi="ar-SA"/>
          <w14:textFill>
            <w14:solidFill>
              <w14:schemeClr w14:val="tx1"/>
            </w14:solidFill>
          </w14:textFill>
        </w:rPr>
        <w:t>创新开展“融媒体内融外延宣传”。</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坚持内部融合媒体载体内容，外部链接具有影响力的媒体平台，构建“昭化融媒+”全媒体矩阵。</w:t>
      </w:r>
      <w:r>
        <w:rPr>
          <w:rFonts w:hint="eastAsia" w:ascii="仿宋" w:hAnsi="仿宋" w:eastAsia="仿宋" w:cs="仿宋"/>
          <w:b w:val="0"/>
          <w:bCs w:val="0"/>
          <w:color w:val="000000" w:themeColor="text1"/>
          <w:spacing w:val="0"/>
          <w:sz w:val="30"/>
          <w:szCs w:val="30"/>
          <w:highlight w:val="none"/>
          <w:lang w:val="en-US" w:eastAsia="zh-CN"/>
          <w14:textFill>
            <w14:solidFill>
              <w14:schemeClr w14:val="tx1"/>
            </w14:solidFill>
          </w14:textFill>
        </w:rPr>
        <w:t>疫情期间</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昭化区融媒体中心助力解决草莓、土鸡等农特产品滞销，蜀道昭化</w:t>
      </w:r>
      <w:r>
        <w:rPr>
          <w:rFonts w:hint="eastAsia" w:ascii="仿宋" w:hAnsi="仿宋" w:eastAsia="仿宋" w:cs="仿宋"/>
          <w:b w:val="0"/>
          <w:bCs w:val="0"/>
          <w:color w:val="000000" w:themeColor="text1"/>
          <w:spacing w:val="0"/>
          <w:sz w:val="30"/>
          <w:szCs w:val="30"/>
          <w:highlight w:val="none"/>
          <w:lang w:val="en-US" w:eastAsia="zh-CN"/>
          <w14:textFill>
            <w14:solidFill>
              <w14:schemeClr w14:val="tx1"/>
            </w14:solidFill>
          </w14:textFill>
        </w:rPr>
        <w:t>App</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开设“昭化就业”，架起务工群众与本地、外地企业用工网上签约桥梁。开展大型活动、昭化古城慢直播，先后开展了女儿节、猕猴桃采摘节、相亲晚会、我晒我家乡现场抽奖等活动7次，直播观看总人次超过40万，观众留言互动信息超5000条，有力地增加了蜀道昭化</w:t>
      </w:r>
      <w:r>
        <w:rPr>
          <w:rFonts w:hint="eastAsia" w:ascii="仿宋" w:hAnsi="仿宋" w:eastAsia="仿宋" w:cs="仿宋"/>
          <w:b w:val="0"/>
          <w:bCs w:val="0"/>
          <w:color w:val="000000" w:themeColor="text1"/>
          <w:spacing w:val="0"/>
          <w:sz w:val="30"/>
          <w:szCs w:val="30"/>
          <w:highlight w:val="none"/>
          <w:lang w:val="en-US" w:eastAsia="zh-CN"/>
          <w14:textFill>
            <w14:solidFill>
              <w14:schemeClr w14:val="tx1"/>
            </w14:solidFill>
          </w14:textFill>
        </w:rPr>
        <w:t>App</w:t>
      </w:r>
      <w:r>
        <w:rPr>
          <w:rFonts w:hint="eastAsia" w:ascii="仿宋" w:hAnsi="仿宋" w:eastAsia="仿宋" w:cs="仿宋"/>
          <w:b w:val="0"/>
          <w:bCs w:val="0"/>
          <w:color w:val="000000" w:themeColor="text1"/>
          <w:spacing w:val="0"/>
          <w:sz w:val="30"/>
          <w:szCs w:val="30"/>
          <w:lang w:val="en-US" w:eastAsia="zh-CN"/>
          <w14:textFill>
            <w14:solidFill>
              <w14:schemeClr w14:val="tx1"/>
            </w14:solidFill>
          </w14:textFill>
        </w:rPr>
        <w:t>、抖音等平台的粉丝量，扩了昭化区的对外影响力。</w:t>
      </w:r>
    </w:p>
    <w:p w14:paraId="61D623F8">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jc w:val="both"/>
        <w:textAlignment w:val="auto"/>
        <w:rPr>
          <w:rFonts w:hint="eastAsia" w:ascii="仿宋" w:hAnsi="仿宋" w:eastAsia="仿宋" w:cs="仿宋"/>
          <w:b w:val="0"/>
          <w:bCs w:val="0"/>
          <w:color w:val="000000" w:themeColor="text1"/>
          <w:spacing w:val="0"/>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spacing w:val="0"/>
          <w:kern w:val="0"/>
          <w:sz w:val="30"/>
          <w:szCs w:val="30"/>
          <w:lang w:eastAsia="zh-CN"/>
          <w14:textFill>
            <w14:solidFill>
              <w14:schemeClr w14:val="tx1"/>
            </w14:solidFill>
          </w14:textFill>
        </w:rPr>
        <w:t>创新</w:t>
      </w:r>
      <w:r>
        <w:rPr>
          <w:rFonts w:hint="eastAsia" w:ascii="仿宋" w:hAnsi="仿宋" w:eastAsia="仿宋" w:cs="仿宋"/>
          <w:b w:val="0"/>
          <w:bCs w:val="0"/>
          <w:color w:val="000000" w:themeColor="text1"/>
          <w:spacing w:val="0"/>
          <w:kern w:val="0"/>
          <w:sz w:val="30"/>
          <w:szCs w:val="30"/>
          <w:lang w:val="en-US" w:eastAsia="zh-CN"/>
          <w14:textFill>
            <w14:solidFill>
              <w14:schemeClr w14:val="tx1"/>
            </w14:solidFill>
          </w14:textFill>
        </w:rPr>
        <w:t>丰富“新时代文明实践内容”。</w:t>
      </w:r>
      <w:r>
        <w:rPr>
          <w:rFonts w:hint="eastAsia" w:ascii="仿宋" w:hAnsi="仿宋" w:eastAsia="仿宋" w:cs="仿宋"/>
          <w:b w:val="0"/>
          <w:bCs w:val="0"/>
          <w:color w:val="000000" w:themeColor="text1"/>
          <w:spacing w:val="0"/>
          <w:kern w:val="2"/>
          <w:sz w:val="30"/>
          <w:szCs w:val="30"/>
          <w:lang w:val="en-US" w:eastAsia="zh-CN" w:bidi="ar-SA"/>
          <w14:textFill>
            <w14:solidFill>
              <w14:schemeClr w14:val="tx1"/>
            </w14:solidFill>
          </w14:textFill>
        </w:rPr>
        <w:t>坚持以志愿服务活动为基本形式和载体，持续推进新时代文明实践中心、所、站建设，广泛吸纳知客、乡贤、致富带头人、各级各类先进典型等，充实志愿者队伍服务力量。常态化开展小区形象提升、环境卫生整治、疫情防控、文明创建、扫黑除恶、脱贫攻坚等志愿服务活动。充分利用文化活动室、文化广场等阵地，精心组织送文化下乡、全民阅读等群众性文化实践活动，做实文明新风积分评定活动，推动自治、德治、法治相结合，助力文明乡风建设。《文明新风积分激励机制助推乡村振兴》被人民网报道。</w:t>
      </w:r>
    </w:p>
    <w:p w14:paraId="6A6B7A6C">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jc w:val="both"/>
        <w:textAlignment w:val="auto"/>
        <w:rPr>
          <w:rFonts w:hint="eastAsia" w:ascii="仿宋" w:hAnsi="仿宋" w:eastAsia="仿宋" w:cs="仿宋"/>
          <w:b w:val="0"/>
          <w:bCs w:val="0"/>
          <w:color w:val="000000" w:themeColor="text1"/>
          <w:spacing w:val="0"/>
          <w:kern w:val="2"/>
          <w:sz w:val="30"/>
          <w:szCs w:val="30"/>
          <w:lang w:val="en-US" w:eastAsia="zh-CN" w:bidi="ar-SA"/>
          <w14:textFill>
            <w14:solidFill>
              <w14:schemeClr w14:val="tx1"/>
            </w14:solidFill>
          </w14:textFill>
        </w:rPr>
      </w:pPr>
      <w:r>
        <w:rPr>
          <w:rFonts w:hint="eastAsia" w:ascii="仿宋" w:hAnsi="仿宋" w:eastAsia="仿宋" w:cs="仿宋"/>
          <w:b w:val="0"/>
          <w:bCs w:val="0"/>
          <w:color w:val="000000" w:themeColor="text1"/>
          <w:spacing w:val="0"/>
          <w:kern w:val="0"/>
          <w:sz w:val="30"/>
          <w:szCs w:val="30"/>
          <w:lang w:val="en-US" w:eastAsia="zh-CN"/>
          <w14:textFill>
            <w14:solidFill>
              <w14:schemeClr w14:val="tx1"/>
            </w14:solidFill>
          </w14:textFill>
        </w:rPr>
        <w:t>创新激发“乡村知客基层宣传动力”。</w:t>
      </w:r>
      <w:r>
        <w:rPr>
          <w:rFonts w:hint="eastAsia" w:ascii="仿宋" w:hAnsi="仿宋" w:eastAsia="仿宋" w:cs="仿宋"/>
          <w:b w:val="0"/>
          <w:bCs w:val="0"/>
          <w:color w:val="000000" w:themeColor="text1"/>
          <w:spacing w:val="0"/>
          <w:kern w:val="2"/>
          <w:sz w:val="30"/>
          <w:szCs w:val="30"/>
          <w:lang w:val="en-US" w:eastAsia="zh-CN" w:bidi="ar-SA"/>
          <w14:textFill>
            <w14:solidFill>
              <w14:schemeClr w14:val="tx1"/>
            </w14:solidFill>
          </w14:textFill>
        </w:rPr>
        <w:t>通过“积分+活动”的管理方式，评先出优秀的乡村知客，将农村公益电影放映、送文化下乡活动下放给优秀的乡村知客支配，充分调动乡村知客参与基层宣传思想积极性主动性，乡村知客在农村红白喜事上穿插农村公益电影放映、送文化下乡节目，将党的声音、电影、文艺节目带到寻常百姓家，打通基层宣传思想工作“最后一公里”。</w:t>
      </w:r>
    </w:p>
    <w:p w14:paraId="7618A9EE">
      <w:pPr>
        <w:pStyle w:val="5"/>
        <w:wordWrap/>
        <w:snapToGrid/>
        <w:spacing w:before="0" w:after="0" w:line="240" w:lineRule="auto"/>
        <w:ind w:left="0" w:leftChars="0" w:right="0" w:firstLine="640" w:firstLineChars="200"/>
        <w:jc w:val="both"/>
        <w:rPr>
          <w:rStyle w:val="37"/>
          <w:rFonts w:hint="eastAsia" w:ascii="黑体" w:hAnsi="黑体" w:eastAsia="黑体" w:cs="黑体"/>
          <w:b w:val="0"/>
          <w:bCs w:val="0"/>
        </w:rPr>
      </w:pPr>
      <w:bookmarkStart w:id="24" w:name="_Toc15396601"/>
      <w:bookmarkStart w:id="25" w:name="_Toc25700"/>
      <w:bookmarkStart w:id="26" w:name="_Toc15377200"/>
      <w:r>
        <w:rPr>
          <w:rFonts w:hint="eastAsia" w:ascii="黑体" w:hAnsi="黑体" w:eastAsia="黑体" w:cs="黑体"/>
          <w:b w:val="0"/>
          <w:bCs w:val="0"/>
          <w:color w:val="000000"/>
        </w:rPr>
        <w:t>二、机</w:t>
      </w:r>
      <w:r>
        <w:rPr>
          <w:rStyle w:val="37"/>
          <w:rFonts w:hint="eastAsia" w:ascii="黑体" w:hAnsi="黑体" w:eastAsia="黑体" w:cs="黑体"/>
          <w:b w:val="0"/>
          <w:bCs w:val="0"/>
        </w:rPr>
        <w:t>构设置</w:t>
      </w:r>
      <w:bookmarkEnd w:id="24"/>
      <w:bookmarkEnd w:id="25"/>
      <w:bookmarkEnd w:id="26"/>
    </w:p>
    <w:p w14:paraId="60742EC7">
      <w:pPr>
        <w:ind w:firstLine="600" w:firstLineChars="200"/>
        <w:rPr>
          <w:rFonts w:ascii="仿宋" w:hAnsi="仿宋" w:eastAsia="仿宋"/>
          <w:color w:val="000000"/>
          <w:kern w:val="0"/>
          <w:sz w:val="32"/>
          <w:szCs w:val="32"/>
        </w:rPr>
      </w:pPr>
      <w:r>
        <w:rPr>
          <w:rFonts w:hint="eastAsia" w:ascii="仿宋_GB2312" w:hAnsi="仿宋_GB2312" w:eastAsia="仿宋_GB2312" w:cs="仿宋_GB2312"/>
          <w:b w:val="0"/>
          <w:bCs/>
          <w:sz w:val="30"/>
          <w:szCs w:val="30"/>
        </w:rPr>
        <w:t>中国共产党广元市昭化区委员会宣传部</w:t>
      </w:r>
      <w:r>
        <w:rPr>
          <w:rFonts w:hint="eastAsia" w:ascii="仿宋_GB2312" w:hAnsi="仿宋_GB2312" w:eastAsia="仿宋_GB2312" w:cs="仿宋_GB2312"/>
          <w:b w:val="0"/>
          <w:bCs/>
          <w:sz w:val="30"/>
          <w:szCs w:val="30"/>
          <w:lang w:val="en-US" w:eastAsia="zh-CN"/>
        </w:rPr>
        <w:t>为正科级单位</w:t>
      </w:r>
      <w:r>
        <w:rPr>
          <w:rFonts w:hint="eastAsia" w:ascii="仿宋_GB2312" w:hAnsi="仿宋_GB2312" w:eastAsia="仿宋_GB2312" w:cs="仿宋_GB2312"/>
          <w:b w:val="0"/>
          <w:bCs/>
          <w:sz w:val="30"/>
          <w:szCs w:val="30"/>
        </w:rPr>
        <w:t>，其中行政单位</w:t>
      </w:r>
      <w:r>
        <w:rPr>
          <w:rFonts w:hint="eastAsia" w:ascii="仿宋_GB2312" w:hAnsi="仿宋_GB2312" w:eastAsia="仿宋_GB2312" w:cs="仿宋_GB2312"/>
          <w:b w:val="0"/>
          <w:bCs/>
          <w:sz w:val="30"/>
          <w:szCs w:val="30"/>
          <w:lang w:val="en-US" w:eastAsia="zh-CN"/>
        </w:rPr>
        <w:t>1</w:t>
      </w:r>
      <w:r>
        <w:rPr>
          <w:rFonts w:hint="eastAsia" w:ascii="仿宋_GB2312" w:hAnsi="仿宋_GB2312" w:eastAsia="仿宋_GB2312" w:cs="仿宋_GB2312"/>
          <w:b w:val="0"/>
          <w:bCs/>
          <w:sz w:val="30"/>
          <w:szCs w:val="30"/>
        </w:rPr>
        <w:t>个，参照公务员法管理的事业单位</w:t>
      </w:r>
      <w:r>
        <w:rPr>
          <w:rFonts w:hint="eastAsia" w:ascii="仿宋_GB2312" w:hAnsi="仿宋_GB2312" w:eastAsia="仿宋_GB2312" w:cs="仿宋_GB2312"/>
          <w:b w:val="0"/>
          <w:bCs/>
          <w:sz w:val="30"/>
          <w:szCs w:val="30"/>
          <w:lang w:val="en-US" w:eastAsia="zh-CN"/>
        </w:rPr>
        <w:t>1</w:t>
      </w:r>
      <w:r>
        <w:rPr>
          <w:rFonts w:hint="eastAsia" w:ascii="仿宋_GB2312" w:hAnsi="仿宋_GB2312" w:eastAsia="仿宋_GB2312" w:cs="仿宋_GB2312"/>
          <w:b w:val="0"/>
          <w:bCs/>
          <w:sz w:val="30"/>
          <w:szCs w:val="30"/>
        </w:rPr>
        <w:t>个，其他事业单位</w:t>
      </w:r>
      <w:r>
        <w:rPr>
          <w:rFonts w:hint="eastAsia" w:ascii="仿宋_GB2312" w:hAnsi="仿宋_GB2312" w:eastAsia="仿宋_GB2312" w:cs="仿宋_GB2312"/>
          <w:b w:val="0"/>
          <w:bCs/>
          <w:sz w:val="30"/>
          <w:szCs w:val="30"/>
          <w:lang w:val="en-US" w:eastAsia="zh-CN"/>
        </w:rPr>
        <w:t>3</w:t>
      </w:r>
      <w:r>
        <w:rPr>
          <w:rFonts w:hint="eastAsia" w:ascii="仿宋_GB2312" w:hAnsi="仿宋_GB2312" w:eastAsia="仿宋_GB2312" w:cs="仿宋_GB2312"/>
          <w:b w:val="0"/>
          <w:bCs/>
          <w:sz w:val="30"/>
          <w:szCs w:val="30"/>
        </w:rPr>
        <w:t>个。</w:t>
      </w:r>
      <w:r>
        <w:rPr>
          <w:rFonts w:hint="eastAsia" w:ascii="仿宋" w:hAnsi="仿宋" w:eastAsia="仿宋" w:cs="仿宋"/>
          <w:color w:val="000000"/>
          <w:sz w:val="32"/>
          <w:szCs w:val="32"/>
        </w:rPr>
        <w:t>纳入区</w:t>
      </w:r>
      <w:r>
        <w:rPr>
          <w:rFonts w:hint="eastAsia" w:ascii="仿宋" w:hAnsi="仿宋" w:eastAsia="仿宋" w:cs="仿宋"/>
          <w:color w:val="000000"/>
          <w:sz w:val="32"/>
          <w:szCs w:val="32"/>
          <w:lang w:val="en-US" w:eastAsia="zh-CN"/>
        </w:rPr>
        <w:t>委宣传部</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年度部门决算编制范围的二级预算单位0个。</w:t>
      </w:r>
    </w:p>
    <w:p w14:paraId="5637A541">
      <w:pPr>
        <w:widowControl/>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b w:val="0"/>
          <w:bCs/>
          <w:sz w:val="30"/>
          <w:szCs w:val="30"/>
        </w:rPr>
      </w:pPr>
    </w:p>
    <w:p w14:paraId="0177BB14">
      <w:pPr>
        <w:widowControl/>
        <w:wordWrap/>
        <w:snapToGrid/>
        <w:spacing w:line="240" w:lineRule="auto"/>
        <w:ind w:left="0" w:leftChars="0" w:right="0" w:firstLine="0" w:firstLineChars="0"/>
        <w:jc w:val="left"/>
        <w:rPr>
          <w:rFonts w:ascii="仿宋" w:hAnsi="仿宋" w:eastAsia="仿宋"/>
          <w:color w:val="000000"/>
          <w:kern w:val="0"/>
          <w:sz w:val="32"/>
          <w:szCs w:val="32"/>
        </w:rPr>
      </w:pPr>
      <w:r>
        <w:rPr>
          <w:rFonts w:ascii="仿宋" w:hAnsi="仿宋" w:eastAsia="仿宋"/>
          <w:color w:val="000000"/>
          <w:sz w:val="32"/>
          <w:szCs w:val="32"/>
        </w:rPr>
        <w:br w:type="page"/>
      </w:r>
    </w:p>
    <w:p w14:paraId="157A64DE">
      <w:pPr>
        <w:pStyle w:val="4"/>
        <w:wordWrap/>
        <w:snapToGrid/>
        <w:spacing w:before="0" w:after="0" w:line="240" w:lineRule="auto"/>
        <w:ind w:left="0" w:leftChars="0" w:right="0" w:firstLine="0" w:firstLineChars="0"/>
        <w:jc w:val="center"/>
        <w:rPr>
          <w:rStyle w:val="36"/>
          <w:rFonts w:ascii="黑体" w:hAnsi="黑体" w:eastAsia="黑体"/>
          <w:b w:val="0"/>
          <w:bCs w:val="0"/>
        </w:rPr>
      </w:pPr>
      <w:bookmarkStart w:id="27" w:name="_Toc15396602"/>
      <w:bookmarkStart w:id="28" w:name="_Toc15377204"/>
      <w:bookmarkStart w:id="29" w:name="_Toc5345"/>
      <w:r>
        <w:rPr>
          <w:rFonts w:hint="eastAsia" w:ascii="黑体" w:hAnsi="黑体" w:eastAsia="黑体"/>
          <w:b w:val="0"/>
          <w:color w:val="000000"/>
        </w:rPr>
        <w:t>第二部分</w:t>
      </w:r>
      <w:r>
        <w:rPr>
          <w:rFonts w:hint="eastAsia" w:ascii="黑体" w:hAnsi="黑体" w:eastAsia="黑体"/>
          <w:color w:val="000000"/>
        </w:rPr>
        <w:t xml:space="preserve"> </w:t>
      </w:r>
      <w:r>
        <w:rPr>
          <w:rStyle w:val="36"/>
          <w:rFonts w:hint="eastAsia" w:ascii="黑体" w:hAnsi="黑体" w:eastAsia="黑体"/>
          <w:b w:val="0"/>
          <w:bCs w:val="0"/>
          <w:lang w:eastAsia="zh-CN"/>
        </w:rPr>
        <w:t>2020</w:t>
      </w:r>
      <w:r>
        <w:rPr>
          <w:rStyle w:val="36"/>
          <w:rFonts w:hint="eastAsia" w:ascii="黑体" w:hAnsi="黑体" w:eastAsia="黑体"/>
          <w:b w:val="0"/>
          <w:bCs w:val="0"/>
        </w:rPr>
        <w:t>年度部门决算情况说明</w:t>
      </w:r>
      <w:bookmarkEnd w:id="27"/>
      <w:bookmarkEnd w:id="28"/>
      <w:bookmarkEnd w:id="29"/>
    </w:p>
    <w:p w14:paraId="0FE5B454">
      <w:pPr>
        <w:wordWrap/>
        <w:snapToGrid/>
        <w:spacing w:line="240" w:lineRule="auto"/>
        <w:ind w:left="0" w:leftChars="0" w:right="0" w:firstLine="0" w:firstLineChars="0"/>
        <w:jc w:val="left"/>
      </w:pPr>
    </w:p>
    <w:p w14:paraId="7C91754A">
      <w:pPr>
        <w:pStyle w:val="24"/>
        <w:widowControl w:val="0"/>
        <w:numPr>
          <w:ilvl w:val="0"/>
          <w:numId w:val="1"/>
        </w:numPr>
        <w:wordWrap/>
        <w:snapToGrid/>
        <w:spacing w:line="240" w:lineRule="auto"/>
        <w:ind w:left="0" w:leftChars="0" w:right="0" w:firstLine="600" w:firstLineChars="200"/>
        <w:jc w:val="left"/>
        <w:textAlignment w:val="auto"/>
        <w:outlineLvl w:val="1"/>
        <w:rPr>
          <w:rStyle w:val="37"/>
          <w:rFonts w:hint="eastAsia" w:ascii="黑体" w:hAnsi="黑体" w:eastAsia="黑体" w:cs="黑体"/>
          <w:b w:val="0"/>
          <w:bCs w:val="0"/>
          <w:sz w:val="30"/>
          <w:szCs w:val="30"/>
        </w:rPr>
      </w:pPr>
      <w:bookmarkStart w:id="30" w:name="_Toc32302"/>
      <w:bookmarkStart w:id="31" w:name="_Toc15377205"/>
      <w:bookmarkStart w:id="32" w:name="_Toc15396603"/>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入支出决算总体情况说明</w:t>
      </w:r>
      <w:bookmarkEnd w:id="30"/>
      <w:bookmarkEnd w:id="31"/>
      <w:bookmarkEnd w:id="32"/>
    </w:p>
    <w:p w14:paraId="1D305406">
      <w:pPr>
        <w:widowControl w:val="0"/>
        <w:wordWrap/>
        <w:snapToGrid/>
        <w:spacing w:line="240" w:lineRule="auto"/>
        <w:ind w:left="0" w:leftChars="0" w:right="0" w:firstLine="600" w:firstLineChars="20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年度收、支总计</w:t>
      </w:r>
      <w:r>
        <w:rPr>
          <w:rFonts w:hint="eastAsia" w:ascii="仿宋_GB2312" w:hAnsi="仿宋_GB2312" w:eastAsia="仿宋_GB2312" w:cs="仿宋_GB2312"/>
          <w:color w:val="000000"/>
          <w:sz w:val="30"/>
          <w:szCs w:val="30"/>
          <w:lang w:val="en-US" w:eastAsia="zh-CN"/>
        </w:rPr>
        <w:t>612.04</w:t>
      </w:r>
      <w:r>
        <w:rPr>
          <w:rFonts w:hint="eastAsia" w:ascii="仿宋_GB2312" w:hAnsi="仿宋_GB2312" w:eastAsia="仿宋_GB2312" w:cs="仿宋_GB2312"/>
          <w:color w:val="000000"/>
          <w:sz w:val="30"/>
          <w:szCs w:val="30"/>
        </w:rPr>
        <w:t>万元。与</w:t>
      </w:r>
      <w:r>
        <w:rPr>
          <w:rFonts w:hint="eastAsia" w:ascii="仿宋_GB2312" w:hAnsi="仿宋_GB2312" w:eastAsia="仿宋_GB2312" w:cs="仿宋_GB2312"/>
          <w:color w:val="000000"/>
          <w:sz w:val="30"/>
          <w:szCs w:val="30"/>
          <w:lang w:eastAsia="zh-CN"/>
        </w:rPr>
        <w:t>2019</w:t>
      </w:r>
      <w:r>
        <w:rPr>
          <w:rFonts w:hint="eastAsia" w:ascii="仿宋_GB2312" w:hAnsi="仿宋_GB2312" w:eastAsia="仿宋_GB2312" w:cs="仿宋_GB2312"/>
          <w:color w:val="000000"/>
          <w:sz w:val="30"/>
          <w:szCs w:val="30"/>
        </w:rPr>
        <w:t>年相比，收、支总计各</w:t>
      </w:r>
      <w:r>
        <w:rPr>
          <w:rFonts w:hint="eastAsia" w:ascii="仿宋_GB2312" w:hAnsi="仿宋_GB2312" w:eastAsia="仿宋_GB2312" w:cs="仿宋_GB2312"/>
          <w:color w:val="000000"/>
          <w:sz w:val="30"/>
          <w:szCs w:val="30"/>
          <w:lang w:val="en-US" w:eastAsia="zh-CN"/>
        </w:rPr>
        <w:t>增加145.9</w:t>
      </w:r>
      <w:r>
        <w:rPr>
          <w:rFonts w:hint="eastAsia" w:ascii="仿宋_GB2312" w:hAnsi="仿宋_GB2312" w:eastAsia="仿宋_GB2312" w:cs="仿宋_GB2312"/>
          <w:color w:val="000000"/>
          <w:sz w:val="30"/>
          <w:szCs w:val="30"/>
        </w:rPr>
        <w:t>万元，</w:t>
      </w:r>
      <w:r>
        <w:rPr>
          <w:rFonts w:hint="eastAsia" w:ascii="仿宋_GB2312" w:hAnsi="仿宋_GB2312" w:eastAsia="仿宋_GB2312" w:cs="仿宋_GB2312"/>
          <w:color w:val="000000"/>
          <w:sz w:val="30"/>
          <w:szCs w:val="30"/>
          <w:lang w:val="en-US" w:eastAsia="zh-CN"/>
        </w:rPr>
        <w:t>增加31.30</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变动的主要原因是</w:t>
      </w:r>
      <w:r>
        <w:rPr>
          <w:rFonts w:hint="eastAsia" w:ascii="仿宋_GB2312" w:hAnsi="仿宋_GB2312" w:eastAsia="仿宋_GB2312" w:cs="仿宋_GB2312"/>
          <w:color w:val="000000"/>
          <w:sz w:val="30"/>
          <w:szCs w:val="30"/>
          <w:lang w:val="en-US" w:eastAsia="zh-CN"/>
        </w:rPr>
        <w:t>机构改革，文化产业、版权、电影等工作划入我单位，增加基本支出、政务外网支出、农村公益电影放映、电影专项资金支出、绩效等导致</w:t>
      </w:r>
      <w:r>
        <w:rPr>
          <w:rFonts w:hint="eastAsia" w:ascii="仿宋_GB2312" w:hAnsi="仿宋_GB2312" w:eastAsia="仿宋_GB2312" w:cs="仿宋_GB2312"/>
          <w:color w:val="000000"/>
          <w:sz w:val="30"/>
          <w:szCs w:val="30"/>
          <w:lang w:eastAsia="zh-CN"/>
        </w:rPr>
        <w:t>。</w:t>
      </w:r>
    </w:p>
    <w:p w14:paraId="12E4F25C">
      <w:pPr>
        <w:pStyle w:val="9"/>
        <w:rPr>
          <w:rFonts w:hint="eastAsia"/>
        </w:rPr>
      </w:pPr>
      <w:r>
        <w:rPr>
          <w:rFonts w:hint="eastAsia"/>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B1E0386">
      <w:pPr>
        <w:pStyle w:val="24"/>
        <w:widowControl w:val="0"/>
        <w:numPr>
          <w:ilvl w:val="0"/>
          <w:numId w:val="1"/>
        </w:numPr>
        <w:wordWrap/>
        <w:snapToGrid/>
        <w:spacing w:line="240" w:lineRule="auto"/>
        <w:ind w:left="0" w:leftChars="0" w:right="0" w:firstLine="600" w:firstLineChars="200"/>
        <w:jc w:val="left"/>
        <w:textAlignment w:val="auto"/>
        <w:outlineLvl w:val="1"/>
        <w:rPr>
          <w:rStyle w:val="37"/>
          <w:rFonts w:hint="eastAsia" w:ascii="黑体" w:hAnsi="黑体" w:eastAsia="黑体" w:cs="黑体"/>
          <w:b w:val="0"/>
          <w:bCs w:val="0"/>
          <w:sz w:val="30"/>
          <w:szCs w:val="30"/>
        </w:rPr>
      </w:pPr>
      <w:bookmarkStart w:id="33" w:name="_Toc27754"/>
      <w:bookmarkStart w:id="34" w:name="_Toc15396604"/>
      <w:bookmarkStart w:id="35" w:name="_Toc15377206"/>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入决算情况说明</w:t>
      </w:r>
      <w:bookmarkEnd w:id="33"/>
      <w:bookmarkEnd w:id="34"/>
      <w:bookmarkEnd w:id="35"/>
    </w:p>
    <w:p w14:paraId="17441A3E">
      <w:pPr>
        <w:widowControl w:val="0"/>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年本年收入合计</w:t>
      </w:r>
      <w:r>
        <w:rPr>
          <w:rFonts w:hint="eastAsia" w:ascii="仿宋_GB2312" w:hAnsi="仿宋_GB2312" w:eastAsia="仿宋_GB2312" w:cs="仿宋_GB2312"/>
          <w:color w:val="000000"/>
          <w:sz w:val="30"/>
          <w:szCs w:val="30"/>
          <w:lang w:val="en-US" w:eastAsia="zh-CN"/>
        </w:rPr>
        <w:t>612.04</w:t>
      </w:r>
      <w:r>
        <w:rPr>
          <w:rFonts w:hint="eastAsia" w:ascii="仿宋_GB2312" w:hAnsi="仿宋_GB2312" w:eastAsia="仿宋_GB2312" w:cs="仿宋_GB2312"/>
          <w:color w:val="000000"/>
          <w:sz w:val="30"/>
          <w:szCs w:val="30"/>
        </w:rPr>
        <w:t>万元，其中：一般公共预算财政拨款收入</w:t>
      </w:r>
      <w:r>
        <w:rPr>
          <w:rFonts w:hint="eastAsia" w:ascii="仿宋_GB2312" w:hAnsi="仿宋_GB2312" w:eastAsia="仿宋_GB2312" w:cs="仿宋_GB2312"/>
          <w:color w:val="000000"/>
          <w:sz w:val="30"/>
          <w:szCs w:val="30"/>
          <w:lang w:val="en-US" w:eastAsia="zh-CN"/>
        </w:rPr>
        <w:t>608.72</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99.46</w:t>
      </w:r>
      <w:r>
        <w:rPr>
          <w:rFonts w:hint="eastAsia" w:ascii="仿宋_GB2312" w:hAnsi="仿宋_GB2312" w:eastAsia="仿宋_GB2312" w:cs="仿宋_GB2312"/>
          <w:color w:val="000000"/>
          <w:sz w:val="30"/>
          <w:szCs w:val="30"/>
        </w:rPr>
        <w:t>%；政府性基金预算财政拨款收入</w:t>
      </w:r>
      <w:r>
        <w:rPr>
          <w:rFonts w:hint="eastAsia" w:ascii="仿宋_GB2312" w:hAnsi="仿宋_GB2312" w:eastAsia="仿宋_GB2312" w:cs="仿宋_GB2312"/>
          <w:color w:val="000000"/>
          <w:sz w:val="30"/>
          <w:szCs w:val="30"/>
          <w:lang w:val="en-US" w:eastAsia="zh-CN"/>
        </w:rPr>
        <w:t>3.32</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0.54</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eastAsia="zh-CN"/>
        </w:rPr>
        <w:drawing>
          <wp:inline distT="0" distB="0" distL="114300" distR="114300">
            <wp:extent cx="5070475" cy="311531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6C6324">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36" w:name="_Toc15377207"/>
      <w:bookmarkStart w:id="37" w:name="_Toc5113"/>
      <w:bookmarkStart w:id="38" w:name="_Toc15396605"/>
      <w:r>
        <w:rPr>
          <w:rFonts w:hint="eastAsia" w:ascii="黑体" w:hAnsi="黑体" w:eastAsia="黑体" w:cs="黑体"/>
          <w:b w:val="0"/>
          <w:bCs w:val="0"/>
          <w:color w:val="000000"/>
          <w:sz w:val="30"/>
          <w:szCs w:val="30"/>
        </w:rPr>
        <w:t>支出决算情况说明</w:t>
      </w:r>
      <w:bookmarkEnd w:id="36"/>
      <w:bookmarkEnd w:id="37"/>
      <w:bookmarkEnd w:id="38"/>
      <w:bookmarkStart w:id="39" w:name="_Toc15396606"/>
      <w:bookmarkStart w:id="40" w:name="_Toc15377208"/>
    </w:p>
    <w:p w14:paraId="2313680A">
      <w:pPr>
        <w:widowControl w:val="0"/>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color w:val="auto"/>
          <w:sz w:val="30"/>
          <w:szCs w:val="30"/>
          <w:lang w:eastAsia="zh-CN"/>
        </w:rPr>
        <w:t>2020</w:t>
      </w:r>
      <w:r>
        <w:rPr>
          <w:rFonts w:hint="eastAsia" w:ascii="仿宋_GB2312" w:hAnsi="仿宋_GB2312" w:eastAsia="仿宋_GB2312" w:cs="仿宋_GB2312"/>
          <w:color w:val="auto"/>
          <w:sz w:val="30"/>
          <w:szCs w:val="30"/>
        </w:rPr>
        <w:t>年本年支出合计</w:t>
      </w:r>
      <w:r>
        <w:rPr>
          <w:rFonts w:hint="eastAsia" w:ascii="仿宋_GB2312" w:hAnsi="仿宋_GB2312" w:eastAsia="仿宋_GB2312" w:cs="仿宋_GB2312"/>
          <w:color w:val="auto"/>
          <w:sz w:val="30"/>
          <w:szCs w:val="30"/>
          <w:lang w:val="en-US" w:eastAsia="zh-CN"/>
        </w:rPr>
        <w:t>612.04</w:t>
      </w:r>
      <w:r>
        <w:rPr>
          <w:rFonts w:hint="eastAsia" w:ascii="仿宋_GB2312" w:hAnsi="仿宋_GB2312" w:eastAsia="仿宋_GB2312" w:cs="仿宋_GB2312"/>
          <w:color w:val="auto"/>
          <w:sz w:val="30"/>
          <w:szCs w:val="30"/>
        </w:rPr>
        <w:t>万元，其中：基本支出</w:t>
      </w:r>
      <w:r>
        <w:rPr>
          <w:rFonts w:hint="eastAsia" w:ascii="仿宋_GB2312" w:hAnsi="仿宋_GB2312" w:eastAsia="仿宋_GB2312" w:cs="仿宋_GB2312"/>
          <w:color w:val="auto"/>
          <w:sz w:val="30"/>
          <w:szCs w:val="30"/>
          <w:lang w:val="en-US" w:eastAsia="zh-CN"/>
        </w:rPr>
        <w:t>547.82</w:t>
      </w:r>
      <w:r>
        <w:rPr>
          <w:rFonts w:hint="eastAsia" w:ascii="仿宋_GB2312" w:hAnsi="仿宋_GB2312" w:eastAsia="仿宋_GB2312" w:cs="仿宋_GB2312"/>
          <w:color w:val="auto"/>
          <w:sz w:val="30"/>
          <w:szCs w:val="30"/>
        </w:rPr>
        <w:t>万元，占</w:t>
      </w:r>
      <w:r>
        <w:rPr>
          <w:rFonts w:hint="eastAsia" w:ascii="仿宋_GB2312" w:hAnsi="仿宋_GB2312" w:eastAsia="仿宋_GB2312" w:cs="仿宋_GB2312"/>
          <w:color w:val="auto"/>
          <w:sz w:val="30"/>
          <w:szCs w:val="30"/>
          <w:lang w:val="en-US" w:eastAsia="zh-CN"/>
        </w:rPr>
        <w:t>89.51</w:t>
      </w:r>
      <w:r>
        <w:rPr>
          <w:rFonts w:hint="eastAsia" w:ascii="仿宋_GB2312" w:hAnsi="仿宋_GB2312" w:eastAsia="仿宋_GB2312" w:cs="仿宋_GB2312"/>
          <w:color w:val="auto"/>
          <w:sz w:val="30"/>
          <w:szCs w:val="30"/>
        </w:rPr>
        <w:t>%；项目支出</w:t>
      </w:r>
      <w:r>
        <w:rPr>
          <w:rFonts w:hint="eastAsia" w:ascii="仿宋_GB2312" w:hAnsi="仿宋_GB2312" w:eastAsia="仿宋_GB2312" w:cs="仿宋_GB2312"/>
          <w:color w:val="auto"/>
          <w:sz w:val="30"/>
          <w:szCs w:val="30"/>
          <w:lang w:val="en-US" w:eastAsia="zh-CN"/>
        </w:rPr>
        <w:t>64.22</w:t>
      </w:r>
      <w:r>
        <w:rPr>
          <w:rFonts w:hint="eastAsia" w:ascii="仿宋_GB2312" w:hAnsi="仿宋_GB2312" w:eastAsia="仿宋_GB2312" w:cs="仿宋_GB2312"/>
          <w:color w:val="auto"/>
          <w:sz w:val="30"/>
          <w:szCs w:val="30"/>
        </w:rPr>
        <w:t>万元，占</w:t>
      </w:r>
      <w:r>
        <w:rPr>
          <w:rFonts w:hint="eastAsia" w:ascii="仿宋_GB2312" w:hAnsi="仿宋_GB2312" w:eastAsia="仿宋_GB2312" w:cs="仿宋_GB2312"/>
          <w:color w:val="auto"/>
          <w:sz w:val="30"/>
          <w:szCs w:val="30"/>
          <w:lang w:val="en-US" w:eastAsia="zh-CN"/>
        </w:rPr>
        <w:t>10.49</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w:t>
      </w:r>
    </w:p>
    <w:p w14:paraId="79770DE2">
      <w:pPr>
        <w:pStyle w:val="9"/>
        <w:rPr>
          <w:rFonts w:hint="eastAsia"/>
        </w:rPr>
      </w:pPr>
      <w:r>
        <w:rPr>
          <w:rFonts w:hint="eastAsia" w:ascii="仿宋_GB2312" w:hAnsi="仿宋_GB2312" w:eastAsia="仿宋_GB2312" w:cs="仿宋_GB2312"/>
          <w:color w:val="000000"/>
          <w:sz w:val="30"/>
          <w:szCs w:val="30"/>
          <w:lang w:eastAsia="zh-CN"/>
        </w:rPr>
        <w:drawing>
          <wp:inline distT="0" distB="0" distL="114300" distR="114300">
            <wp:extent cx="4527550" cy="281051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0B101C">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41" w:name="_Toc13428"/>
      <w:r>
        <w:rPr>
          <w:rFonts w:hint="eastAsia" w:ascii="黑体" w:hAnsi="黑体" w:eastAsia="黑体" w:cs="黑体"/>
          <w:b w:val="0"/>
          <w:bCs w:val="0"/>
          <w:color w:val="000000"/>
          <w:sz w:val="30"/>
          <w:szCs w:val="30"/>
        </w:rPr>
        <w:t>财政拨款收入支出决算总体情况说明</w:t>
      </w:r>
      <w:bookmarkEnd w:id="39"/>
      <w:bookmarkEnd w:id="40"/>
      <w:bookmarkEnd w:id="41"/>
      <w:bookmarkStart w:id="42" w:name="_Toc15377209"/>
      <w:bookmarkStart w:id="43" w:name="_Toc15396607"/>
    </w:p>
    <w:p w14:paraId="6EC4275F">
      <w:pPr>
        <w:widowControl w:val="0"/>
        <w:wordWrap/>
        <w:snapToGrid/>
        <w:spacing w:line="240" w:lineRule="auto"/>
        <w:ind w:left="0" w:leftChars="0" w:right="0" w:firstLine="600" w:firstLineChars="20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年财政拨款收、支总计</w:t>
      </w:r>
      <w:r>
        <w:rPr>
          <w:rFonts w:hint="eastAsia" w:ascii="仿宋_GB2312" w:hAnsi="仿宋_GB2312" w:eastAsia="仿宋_GB2312" w:cs="仿宋_GB2312"/>
          <w:color w:val="000000"/>
          <w:sz w:val="30"/>
          <w:szCs w:val="30"/>
          <w:lang w:val="en-US" w:eastAsia="zh-CN"/>
        </w:rPr>
        <w:t>612.04</w:t>
      </w:r>
      <w:r>
        <w:rPr>
          <w:rFonts w:hint="eastAsia" w:ascii="仿宋_GB2312" w:hAnsi="仿宋_GB2312" w:eastAsia="仿宋_GB2312" w:cs="仿宋_GB2312"/>
          <w:color w:val="000000"/>
          <w:sz w:val="30"/>
          <w:szCs w:val="30"/>
        </w:rPr>
        <w:t>万元。与</w:t>
      </w:r>
      <w:r>
        <w:rPr>
          <w:rFonts w:hint="eastAsia" w:ascii="仿宋_GB2312" w:hAnsi="仿宋_GB2312" w:eastAsia="仿宋_GB2312" w:cs="仿宋_GB2312"/>
          <w:color w:val="000000"/>
          <w:sz w:val="30"/>
          <w:szCs w:val="30"/>
          <w:lang w:eastAsia="zh-CN"/>
        </w:rPr>
        <w:t>2019</w:t>
      </w:r>
      <w:r>
        <w:rPr>
          <w:rFonts w:hint="eastAsia" w:ascii="仿宋_GB2312" w:hAnsi="仿宋_GB2312" w:eastAsia="仿宋_GB2312" w:cs="仿宋_GB2312"/>
          <w:color w:val="000000"/>
          <w:sz w:val="30"/>
          <w:szCs w:val="30"/>
        </w:rPr>
        <w:t>年相比，财政拨款收、支总计</w:t>
      </w:r>
      <w:r>
        <w:rPr>
          <w:rFonts w:hint="eastAsia" w:ascii="仿宋_GB2312" w:hAnsi="仿宋_GB2312" w:eastAsia="仿宋_GB2312" w:cs="仿宋_GB2312"/>
          <w:color w:val="000000"/>
          <w:sz w:val="30"/>
          <w:szCs w:val="30"/>
          <w:lang w:val="en-US" w:eastAsia="zh-CN"/>
        </w:rPr>
        <w:t>增加145.9</w:t>
      </w:r>
      <w:r>
        <w:rPr>
          <w:rFonts w:hint="eastAsia" w:ascii="仿宋_GB2312" w:hAnsi="仿宋_GB2312" w:eastAsia="仿宋_GB2312" w:cs="仿宋_GB2312"/>
          <w:color w:val="000000"/>
          <w:sz w:val="30"/>
          <w:szCs w:val="30"/>
        </w:rPr>
        <w:t>万元</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增加31.30</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变动的主要原因是</w:t>
      </w:r>
      <w:r>
        <w:rPr>
          <w:rFonts w:hint="eastAsia" w:ascii="仿宋_GB2312" w:hAnsi="仿宋_GB2312" w:eastAsia="仿宋_GB2312" w:cs="仿宋_GB2312"/>
          <w:color w:val="000000"/>
          <w:sz w:val="30"/>
          <w:szCs w:val="30"/>
          <w:lang w:val="en-US" w:eastAsia="zh-CN"/>
        </w:rPr>
        <w:t>机构改革，文化产业、版权、电影等工作划入我单位，增加基本支出、政务外网支出、农村公益电影放映、电影专项资金支出、绩效等导致</w:t>
      </w:r>
      <w:r>
        <w:rPr>
          <w:rFonts w:hint="eastAsia" w:ascii="仿宋_GB2312" w:hAnsi="仿宋_GB2312" w:eastAsia="仿宋_GB2312" w:cs="仿宋_GB2312"/>
          <w:color w:val="000000"/>
          <w:sz w:val="30"/>
          <w:szCs w:val="30"/>
          <w:lang w:eastAsia="zh-CN"/>
        </w:rPr>
        <w:t>。</w:t>
      </w:r>
    </w:p>
    <w:p w14:paraId="6534D431">
      <w:pPr>
        <w:pStyle w:val="9"/>
        <w:rPr>
          <w:rFonts w:hint="eastAsia"/>
        </w:rPr>
      </w:pPr>
      <w:r>
        <w:rPr>
          <w:rFonts w:hint="eastAsia"/>
        </w:rPr>
        <w:drawing>
          <wp:inline distT="0" distB="0" distL="114300" distR="114300">
            <wp:extent cx="4717415" cy="3095625"/>
            <wp:effectExtent l="4445" t="4445" r="2159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23D6E9">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44" w:name="_Toc957"/>
      <w:r>
        <w:rPr>
          <w:rFonts w:hint="eastAsia" w:ascii="黑体" w:hAnsi="黑体" w:eastAsia="黑体" w:cs="黑体"/>
          <w:b w:val="0"/>
          <w:bCs w:val="0"/>
          <w:color w:val="000000"/>
          <w:sz w:val="30"/>
          <w:szCs w:val="30"/>
        </w:rPr>
        <w:t>一般公共预算财政拨款支出决算情况说明</w:t>
      </w:r>
      <w:bookmarkEnd w:id="42"/>
      <w:bookmarkEnd w:id="43"/>
      <w:bookmarkEnd w:id="44"/>
      <w:bookmarkStart w:id="45" w:name="_Toc15377214"/>
      <w:bookmarkStart w:id="46" w:name="_Toc15396608"/>
    </w:p>
    <w:p w14:paraId="15B1E01D">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47" w:name="_Toc15377210"/>
      <w:bookmarkStart w:id="48" w:name="_Toc24870"/>
      <w:r>
        <w:rPr>
          <w:rFonts w:hint="eastAsia" w:ascii="仿宋_GB2312" w:hAnsi="仿宋_GB2312" w:eastAsia="仿宋_GB2312" w:cs="仿宋_GB2312"/>
          <w:b/>
          <w:color w:val="000000"/>
          <w:sz w:val="30"/>
          <w:szCs w:val="30"/>
        </w:rPr>
        <w:t>（一）一般公共预算财政拨款支出决算总体情况</w:t>
      </w:r>
      <w:bookmarkEnd w:id="47"/>
      <w:bookmarkEnd w:id="48"/>
    </w:p>
    <w:p w14:paraId="1AE05D6D">
      <w:pPr>
        <w:widowControl w:val="0"/>
        <w:wordWrap/>
        <w:snapToGrid/>
        <w:spacing w:line="240" w:lineRule="auto"/>
        <w:ind w:left="0" w:leftChars="0" w:right="0" w:firstLine="600" w:firstLineChars="200"/>
        <w:jc w:val="left"/>
        <w:textAlignment w:val="auto"/>
        <w:rPr>
          <w:rFonts w:hint="eastAsia" w:ascii="仿宋_GB2312" w:hAnsi="仿宋_GB2312" w:eastAsia="仿宋_GB2312" w:cs="仿宋_GB2312"/>
          <w:color w:val="0000FF"/>
          <w:sz w:val="30"/>
          <w:szCs w:val="30"/>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年一般公共预算财政拨款支出</w:t>
      </w:r>
      <w:r>
        <w:rPr>
          <w:rFonts w:hint="eastAsia" w:ascii="仿宋_GB2312" w:hAnsi="仿宋_GB2312" w:eastAsia="仿宋_GB2312" w:cs="仿宋_GB2312"/>
          <w:color w:val="000000"/>
          <w:sz w:val="30"/>
          <w:szCs w:val="30"/>
          <w:lang w:val="en-US" w:eastAsia="zh-CN"/>
        </w:rPr>
        <w:t>608.72</w:t>
      </w:r>
      <w:r>
        <w:rPr>
          <w:rFonts w:hint="eastAsia" w:ascii="仿宋_GB2312" w:hAnsi="仿宋_GB2312" w:eastAsia="仿宋_GB2312" w:cs="仿宋_GB2312"/>
          <w:color w:val="000000"/>
          <w:sz w:val="30"/>
          <w:szCs w:val="30"/>
        </w:rPr>
        <w:t>万元，占本年支出合计的</w:t>
      </w:r>
      <w:r>
        <w:rPr>
          <w:rFonts w:hint="eastAsia" w:ascii="仿宋_GB2312" w:hAnsi="仿宋_GB2312" w:eastAsia="仿宋_GB2312" w:cs="仿宋_GB2312"/>
          <w:color w:val="000000"/>
          <w:sz w:val="30"/>
          <w:szCs w:val="30"/>
          <w:lang w:val="en-US" w:eastAsia="zh-CN"/>
        </w:rPr>
        <w:t>99.45</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auto"/>
          <w:sz w:val="30"/>
          <w:szCs w:val="30"/>
        </w:rPr>
        <w:t>。与</w:t>
      </w:r>
      <w:r>
        <w:rPr>
          <w:rFonts w:hint="eastAsia" w:ascii="仿宋_GB2312" w:hAnsi="仿宋_GB2312" w:eastAsia="仿宋_GB2312" w:cs="仿宋_GB2312"/>
          <w:color w:val="auto"/>
          <w:sz w:val="30"/>
          <w:szCs w:val="30"/>
          <w:lang w:eastAsia="zh-CN"/>
        </w:rPr>
        <w:t>2019</w:t>
      </w:r>
      <w:r>
        <w:rPr>
          <w:rFonts w:hint="eastAsia" w:ascii="仿宋_GB2312" w:hAnsi="仿宋_GB2312" w:eastAsia="仿宋_GB2312" w:cs="仿宋_GB2312"/>
          <w:color w:val="auto"/>
          <w:sz w:val="30"/>
          <w:szCs w:val="30"/>
        </w:rPr>
        <w:t>年相比，一般公共预算财政拨款</w:t>
      </w:r>
      <w:r>
        <w:rPr>
          <w:rFonts w:hint="eastAsia" w:ascii="仿宋_GB2312" w:hAnsi="仿宋_GB2312" w:eastAsia="仿宋_GB2312" w:cs="仿宋_GB2312"/>
          <w:color w:val="auto"/>
          <w:sz w:val="30"/>
          <w:szCs w:val="30"/>
          <w:lang w:val="en-US" w:eastAsia="zh-CN"/>
        </w:rPr>
        <w:t>增加144.43</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val="en-US" w:eastAsia="zh-CN"/>
        </w:rPr>
        <w:t>增加31.11</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变动的</w:t>
      </w:r>
      <w:r>
        <w:rPr>
          <w:rFonts w:hint="eastAsia" w:ascii="仿宋_GB2312" w:hAnsi="仿宋_GB2312" w:eastAsia="仿宋_GB2312" w:cs="仿宋_GB2312"/>
          <w:color w:val="000000"/>
          <w:sz w:val="30"/>
          <w:szCs w:val="30"/>
          <w:lang w:eastAsia="zh-CN"/>
        </w:rPr>
        <w:t>主要原因是</w:t>
      </w:r>
      <w:r>
        <w:rPr>
          <w:rFonts w:hint="eastAsia" w:ascii="仿宋_GB2312" w:hAnsi="仿宋_GB2312" w:eastAsia="仿宋_GB2312" w:cs="仿宋_GB2312"/>
          <w:color w:val="000000"/>
          <w:sz w:val="30"/>
          <w:szCs w:val="30"/>
          <w:lang w:val="en-US" w:eastAsia="zh-CN"/>
        </w:rPr>
        <w:t>机构改革，文化产业、版权、电影等工作划入我单位，增加基本支出、政务外网支出、农村公益电影放映、电影专项资金支出、绩效等导致</w:t>
      </w:r>
      <w:r>
        <w:rPr>
          <w:rFonts w:hint="eastAsia" w:ascii="仿宋_GB2312" w:hAnsi="仿宋_GB2312" w:eastAsia="仿宋_GB2312" w:cs="仿宋_GB2312"/>
          <w:color w:val="000000"/>
          <w:sz w:val="30"/>
          <w:szCs w:val="30"/>
          <w:lang w:eastAsia="zh-CN"/>
        </w:rPr>
        <w:t>。</w:t>
      </w:r>
    </w:p>
    <w:p w14:paraId="551CB3A6">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49" w:name="_Toc3786"/>
      <w:bookmarkStart w:id="50" w:name="_Toc15377211"/>
      <w:r>
        <w:rPr>
          <w:rFonts w:hint="eastAsia" w:ascii="仿宋_GB2312" w:hAnsi="仿宋_GB2312" w:eastAsia="仿宋_GB2312" w:cs="仿宋_GB2312"/>
          <w:b/>
          <w:color w:val="000000"/>
          <w:sz w:val="30"/>
          <w:szCs w:val="30"/>
        </w:rPr>
        <w:t>（二）一般公共预算财政拨款支出决算结构情况</w:t>
      </w:r>
      <w:bookmarkEnd w:id="49"/>
      <w:bookmarkEnd w:id="50"/>
    </w:p>
    <w:p w14:paraId="452DC704">
      <w:pPr>
        <w:widowControl w:val="0"/>
        <w:wordWrap/>
        <w:snapToGrid/>
        <w:spacing w:line="240" w:lineRule="auto"/>
        <w:ind w:left="0" w:leftChars="0" w:right="0" w:firstLine="600" w:firstLineChars="200"/>
        <w:jc w:val="left"/>
        <w:textAlignment w:val="auto"/>
        <w:rPr>
          <w:rFonts w:hint="eastAsia" w:ascii="仿宋_GB2312" w:hAnsi="仿宋_GB2312" w:eastAsia="仿宋_GB2312" w:cs="仿宋_GB2312"/>
          <w:b w:val="0"/>
          <w:bCs w:val="0"/>
          <w:color w:val="000000"/>
          <w:sz w:val="30"/>
          <w:szCs w:val="30"/>
        </w:rPr>
      </w:pPr>
      <w:r>
        <w:rPr>
          <w:rFonts w:hint="eastAsia" w:ascii="仿宋_GB2312" w:hAnsi="仿宋_GB2312" w:eastAsia="仿宋_GB2312" w:cs="仿宋_GB2312"/>
          <w:b w:val="0"/>
          <w:bCs w:val="0"/>
          <w:color w:val="000000"/>
          <w:sz w:val="30"/>
          <w:szCs w:val="30"/>
          <w:lang w:eastAsia="zh-CN"/>
        </w:rPr>
        <w:t>2020</w:t>
      </w:r>
      <w:r>
        <w:rPr>
          <w:rFonts w:hint="eastAsia" w:ascii="仿宋_GB2312" w:hAnsi="仿宋_GB2312" w:eastAsia="仿宋_GB2312" w:cs="仿宋_GB2312"/>
          <w:b w:val="0"/>
          <w:bCs w:val="0"/>
          <w:color w:val="000000"/>
          <w:sz w:val="30"/>
          <w:szCs w:val="30"/>
        </w:rPr>
        <w:t>年一般公共预算财政拨款支出</w:t>
      </w:r>
      <w:r>
        <w:rPr>
          <w:rFonts w:hint="eastAsia" w:ascii="仿宋_GB2312" w:hAnsi="仿宋_GB2312" w:eastAsia="仿宋_GB2312" w:cs="仿宋_GB2312"/>
          <w:b w:val="0"/>
          <w:bCs w:val="0"/>
          <w:color w:val="000000"/>
          <w:sz w:val="30"/>
          <w:szCs w:val="30"/>
          <w:lang w:val="en-US" w:eastAsia="zh-CN"/>
        </w:rPr>
        <w:t>608.72</w:t>
      </w:r>
      <w:r>
        <w:rPr>
          <w:rFonts w:hint="eastAsia" w:ascii="仿宋_GB2312" w:hAnsi="仿宋_GB2312" w:eastAsia="仿宋_GB2312" w:cs="仿宋_GB2312"/>
          <w:b w:val="0"/>
          <w:bCs w:val="0"/>
          <w:color w:val="000000"/>
          <w:sz w:val="30"/>
          <w:szCs w:val="30"/>
        </w:rPr>
        <w:t>万元，主要用于以下方面:一般公共服务（类）支出</w:t>
      </w:r>
      <w:r>
        <w:rPr>
          <w:rFonts w:hint="eastAsia" w:ascii="仿宋_GB2312" w:hAnsi="仿宋_GB2312" w:eastAsia="仿宋_GB2312" w:cs="仿宋_GB2312"/>
          <w:b w:val="0"/>
          <w:bCs w:val="0"/>
          <w:color w:val="000000"/>
          <w:sz w:val="30"/>
          <w:szCs w:val="30"/>
          <w:lang w:val="en-US" w:eastAsia="zh-CN"/>
        </w:rPr>
        <w:t>485.454</w:t>
      </w:r>
      <w:r>
        <w:rPr>
          <w:rFonts w:hint="eastAsia" w:ascii="仿宋_GB2312" w:hAnsi="仿宋_GB2312" w:eastAsia="仿宋_GB2312" w:cs="仿宋_GB2312"/>
          <w:b w:val="0"/>
          <w:bCs w:val="0"/>
          <w:color w:val="000000"/>
          <w:sz w:val="30"/>
          <w:szCs w:val="30"/>
        </w:rPr>
        <w:t>万元，占</w:t>
      </w:r>
      <w:r>
        <w:rPr>
          <w:rFonts w:hint="eastAsia" w:ascii="仿宋_GB2312" w:hAnsi="仿宋_GB2312" w:eastAsia="仿宋_GB2312" w:cs="仿宋_GB2312"/>
          <w:b w:val="0"/>
          <w:bCs w:val="0"/>
          <w:color w:val="000000"/>
          <w:sz w:val="30"/>
          <w:szCs w:val="30"/>
          <w:lang w:val="en-US" w:eastAsia="zh-CN"/>
        </w:rPr>
        <w:t>79.32</w:t>
      </w:r>
      <w:r>
        <w:rPr>
          <w:rFonts w:hint="eastAsia" w:ascii="仿宋_GB2312" w:hAnsi="仿宋_GB2312" w:eastAsia="仿宋_GB2312" w:cs="仿宋_GB2312"/>
          <w:b w:val="0"/>
          <w:bCs w:val="0"/>
          <w:color w:val="000000"/>
          <w:sz w:val="30"/>
          <w:szCs w:val="30"/>
        </w:rPr>
        <w:t>%；文化旅游体育与传媒（类）支出</w:t>
      </w:r>
      <w:r>
        <w:rPr>
          <w:rFonts w:hint="eastAsia" w:ascii="仿宋_GB2312" w:hAnsi="仿宋_GB2312" w:eastAsia="仿宋_GB2312" w:cs="仿宋_GB2312"/>
          <w:b w:val="0"/>
          <w:bCs w:val="0"/>
          <w:color w:val="000000"/>
          <w:sz w:val="30"/>
          <w:szCs w:val="30"/>
          <w:lang w:val="en-US" w:eastAsia="zh-CN"/>
        </w:rPr>
        <w:t>67.22</w:t>
      </w:r>
      <w:r>
        <w:rPr>
          <w:rFonts w:hint="eastAsia" w:ascii="仿宋_GB2312" w:hAnsi="仿宋_GB2312" w:eastAsia="仿宋_GB2312" w:cs="仿宋_GB2312"/>
          <w:b w:val="0"/>
          <w:bCs w:val="0"/>
          <w:color w:val="000000"/>
          <w:sz w:val="30"/>
          <w:szCs w:val="30"/>
        </w:rPr>
        <w:t>万元，占</w:t>
      </w:r>
      <w:r>
        <w:rPr>
          <w:rFonts w:hint="eastAsia" w:ascii="仿宋_GB2312" w:hAnsi="仿宋_GB2312" w:eastAsia="仿宋_GB2312" w:cs="仿宋_GB2312"/>
          <w:b w:val="0"/>
          <w:bCs w:val="0"/>
          <w:color w:val="000000"/>
          <w:sz w:val="30"/>
          <w:szCs w:val="30"/>
          <w:lang w:val="en-US" w:eastAsia="zh-CN"/>
        </w:rPr>
        <w:t>10.98</w:t>
      </w:r>
      <w:r>
        <w:rPr>
          <w:rFonts w:hint="eastAsia" w:ascii="仿宋_GB2312" w:hAnsi="仿宋_GB2312" w:eastAsia="仿宋_GB2312" w:cs="仿宋_GB2312"/>
          <w:b w:val="0"/>
          <w:bCs w:val="0"/>
          <w:color w:val="000000"/>
          <w:sz w:val="30"/>
          <w:szCs w:val="30"/>
        </w:rPr>
        <w:t>%；社会保障和就业（类）支出25</w:t>
      </w:r>
      <w:r>
        <w:rPr>
          <w:rFonts w:hint="eastAsia" w:ascii="仿宋_GB2312" w:hAnsi="仿宋_GB2312" w:eastAsia="仿宋_GB2312" w:cs="仿宋_GB2312"/>
          <w:b w:val="0"/>
          <w:bCs w:val="0"/>
          <w:color w:val="000000"/>
          <w:sz w:val="30"/>
          <w:szCs w:val="30"/>
          <w:lang w:val="en-US" w:eastAsia="zh-CN"/>
        </w:rPr>
        <w:t>.01</w:t>
      </w:r>
      <w:r>
        <w:rPr>
          <w:rFonts w:hint="eastAsia" w:ascii="仿宋_GB2312" w:hAnsi="仿宋_GB2312" w:eastAsia="仿宋_GB2312" w:cs="仿宋_GB2312"/>
          <w:b w:val="0"/>
          <w:bCs w:val="0"/>
          <w:color w:val="000000"/>
          <w:sz w:val="30"/>
          <w:szCs w:val="30"/>
        </w:rPr>
        <w:t>万元，占</w:t>
      </w:r>
      <w:r>
        <w:rPr>
          <w:rFonts w:hint="eastAsia" w:ascii="仿宋_GB2312" w:hAnsi="仿宋_GB2312" w:eastAsia="仿宋_GB2312" w:cs="仿宋_GB2312"/>
          <w:b w:val="0"/>
          <w:bCs w:val="0"/>
          <w:color w:val="000000"/>
          <w:sz w:val="30"/>
          <w:szCs w:val="30"/>
          <w:lang w:val="en-US" w:eastAsia="zh-CN"/>
        </w:rPr>
        <w:t>4.08</w:t>
      </w:r>
      <w:r>
        <w:rPr>
          <w:rFonts w:hint="eastAsia" w:ascii="仿宋_GB2312" w:hAnsi="仿宋_GB2312" w:eastAsia="仿宋_GB2312" w:cs="仿宋_GB2312"/>
          <w:b w:val="0"/>
          <w:bCs w:val="0"/>
          <w:color w:val="000000"/>
          <w:sz w:val="30"/>
          <w:szCs w:val="30"/>
        </w:rPr>
        <w:t>%；卫生健康支出</w:t>
      </w:r>
      <w:r>
        <w:rPr>
          <w:rFonts w:hint="eastAsia" w:ascii="仿宋_GB2312" w:hAnsi="仿宋_GB2312" w:eastAsia="仿宋_GB2312" w:cs="仿宋_GB2312"/>
          <w:b w:val="0"/>
          <w:bCs w:val="0"/>
          <w:color w:val="000000"/>
          <w:sz w:val="30"/>
          <w:szCs w:val="30"/>
          <w:lang w:val="en-US" w:eastAsia="zh-CN"/>
        </w:rPr>
        <w:t>11.21</w:t>
      </w:r>
      <w:r>
        <w:rPr>
          <w:rFonts w:hint="eastAsia" w:ascii="仿宋_GB2312" w:hAnsi="仿宋_GB2312" w:eastAsia="仿宋_GB2312" w:cs="仿宋_GB2312"/>
          <w:b w:val="0"/>
          <w:bCs w:val="0"/>
          <w:color w:val="000000"/>
          <w:sz w:val="30"/>
          <w:szCs w:val="30"/>
        </w:rPr>
        <w:t>万元，占</w:t>
      </w:r>
      <w:r>
        <w:rPr>
          <w:rFonts w:hint="eastAsia" w:ascii="仿宋_GB2312" w:hAnsi="仿宋_GB2312" w:eastAsia="仿宋_GB2312" w:cs="仿宋_GB2312"/>
          <w:b w:val="0"/>
          <w:bCs w:val="0"/>
          <w:color w:val="000000"/>
          <w:sz w:val="30"/>
          <w:szCs w:val="30"/>
          <w:lang w:val="en-US" w:eastAsia="zh-CN"/>
        </w:rPr>
        <w:t>1.83</w:t>
      </w:r>
      <w:r>
        <w:rPr>
          <w:rFonts w:hint="eastAsia" w:ascii="仿宋_GB2312" w:hAnsi="仿宋_GB2312" w:eastAsia="仿宋_GB2312" w:cs="仿宋_GB2312"/>
          <w:b w:val="0"/>
          <w:bCs w:val="0"/>
          <w:color w:val="000000"/>
          <w:sz w:val="30"/>
          <w:szCs w:val="30"/>
        </w:rPr>
        <w:t>%；住房保障支出</w:t>
      </w:r>
      <w:r>
        <w:rPr>
          <w:rFonts w:hint="eastAsia" w:ascii="仿宋_GB2312" w:hAnsi="仿宋_GB2312" w:eastAsia="仿宋_GB2312" w:cs="仿宋_GB2312"/>
          <w:b w:val="0"/>
          <w:bCs w:val="0"/>
          <w:color w:val="000000"/>
          <w:sz w:val="30"/>
          <w:szCs w:val="30"/>
          <w:lang w:val="en-US" w:eastAsia="zh-CN"/>
        </w:rPr>
        <w:t>23.15</w:t>
      </w:r>
      <w:r>
        <w:rPr>
          <w:rFonts w:hint="eastAsia" w:ascii="仿宋_GB2312" w:hAnsi="仿宋_GB2312" w:eastAsia="仿宋_GB2312" w:cs="仿宋_GB2312"/>
          <w:b w:val="0"/>
          <w:bCs w:val="0"/>
          <w:color w:val="000000"/>
          <w:sz w:val="30"/>
          <w:szCs w:val="30"/>
        </w:rPr>
        <w:t>万元，占</w:t>
      </w:r>
      <w:r>
        <w:rPr>
          <w:rFonts w:hint="eastAsia" w:ascii="仿宋_GB2312" w:hAnsi="仿宋_GB2312" w:eastAsia="仿宋_GB2312" w:cs="仿宋_GB2312"/>
          <w:b w:val="0"/>
          <w:bCs w:val="0"/>
          <w:color w:val="000000"/>
          <w:sz w:val="30"/>
          <w:szCs w:val="30"/>
          <w:lang w:val="en-US" w:eastAsia="zh-CN"/>
        </w:rPr>
        <w:t>3.78</w:t>
      </w:r>
      <w:r>
        <w:rPr>
          <w:rFonts w:hint="eastAsia" w:ascii="仿宋_GB2312" w:hAnsi="仿宋_GB2312" w:eastAsia="仿宋_GB2312" w:cs="仿宋_GB2312"/>
          <w:b w:val="0"/>
          <w:bCs w:val="0"/>
          <w:color w:val="000000"/>
          <w:sz w:val="30"/>
          <w:szCs w:val="30"/>
        </w:rPr>
        <w:t>%。</w:t>
      </w:r>
    </w:p>
    <w:p w14:paraId="731BF4EF">
      <w:pPr>
        <w:pStyle w:val="9"/>
        <w:rPr>
          <w:rFonts w:hint="eastAsia"/>
        </w:rPr>
      </w:pPr>
      <w:r>
        <w:rPr>
          <w:rFonts w:hint="eastAsia" w:ascii="仿宋_GB2312" w:hAnsi="仿宋_GB2312" w:eastAsia="仿宋_GB2312" w:cs="仿宋_GB2312"/>
          <w:color w:val="000000"/>
          <w:sz w:val="30"/>
          <w:szCs w:val="30"/>
          <w:lang w:eastAsia="zh-CN"/>
        </w:rPr>
        <w:drawing>
          <wp:inline distT="0" distB="0" distL="114300" distR="114300">
            <wp:extent cx="5070475" cy="324612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BCCD06">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auto"/>
          <w:sz w:val="30"/>
          <w:szCs w:val="30"/>
        </w:rPr>
      </w:pPr>
      <w:bookmarkStart w:id="51" w:name="_Toc15377212"/>
      <w:bookmarkStart w:id="52" w:name="_Toc32054"/>
      <w:r>
        <w:rPr>
          <w:rFonts w:hint="eastAsia" w:ascii="仿宋_GB2312" w:hAnsi="仿宋_GB2312" w:eastAsia="仿宋_GB2312" w:cs="仿宋_GB2312"/>
          <w:b/>
          <w:color w:val="auto"/>
          <w:sz w:val="30"/>
          <w:szCs w:val="30"/>
          <w:lang w:eastAsia="zh-CN"/>
        </w:rPr>
        <w:t>（</w:t>
      </w:r>
      <w:r>
        <w:rPr>
          <w:rFonts w:hint="eastAsia" w:ascii="仿宋_GB2312" w:hAnsi="仿宋_GB2312" w:eastAsia="仿宋_GB2312" w:cs="仿宋_GB2312"/>
          <w:b/>
          <w:color w:val="auto"/>
          <w:sz w:val="30"/>
          <w:szCs w:val="30"/>
          <w:lang w:val="en-US" w:eastAsia="zh-CN"/>
        </w:rPr>
        <w:t>三</w:t>
      </w:r>
      <w:r>
        <w:rPr>
          <w:rFonts w:hint="eastAsia" w:ascii="仿宋_GB2312" w:hAnsi="仿宋_GB2312" w:eastAsia="仿宋_GB2312" w:cs="仿宋_GB2312"/>
          <w:b/>
          <w:color w:val="auto"/>
          <w:sz w:val="30"/>
          <w:szCs w:val="30"/>
          <w:lang w:eastAsia="zh-CN"/>
        </w:rPr>
        <w:t>）</w:t>
      </w:r>
      <w:r>
        <w:rPr>
          <w:rFonts w:hint="eastAsia" w:ascii="仿宋_GB2312" w:hAnsi="仿宋_GB2312" w:eastAsia="仿宋_GB2312" w:cs="仿宋_GB2312"/>
          <w:b/>
          <w:color w:val="auto"/>
          <w:sz w:val="30"/>
          <w:szCs w:val="30"/>
        </w:rPr>
        <w:t>一般公共预算财政拨款支出决算具体情况</w:t>
      </w:r>
      <w:bookmarkEnd w:id="51"/>
      <w:bookmarkEnd w:id="52"/>
    </w:p>
    <w:p w14:paraId="7C797939">
      <w:pPr>
        <w:widowControl w:val="0"/>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b w:val="0"/>
          <w:bCs/>
          <w:color w:val="auto"/>
          <w:sz w:val="30"/>
          <w:szCs w:val="30"/>
        </w:rPr>
      </w:pPr>
      <w:bookmarkStart w:id="53" w:name="_Toc15378460"/>
      <w:bookmarkStart w:id="54" w:name="_Toc15377213"/>
      <w:bookmarkStart w:id="55" w:name="_Toc15377444"/>
      <w:r>
        <w:rPr>
          <w:rFonts w:hint="eastAsia" w:ascii="仿宋_GB2312" w:hAnsi="仿宋_GB2312" w:eastAsia="仿宋_GB2312" w:cs="仿宋_GB2312"/>
          <w:b w:val="0"/>
          <w:bCs/>
          <w:color w:val="auto"/>
          <w:sz w:val="30"/>
          <w:szCs w:val="30"/>
          <w:lang w:eastAsia="zh-CN"/>
        </w:rPr>
        <w:t>2020</w:t>
      </w:r>
      <w:r>
        <w:rPr>
          <w:rFonts w:hint="eastAsia" w:ascii="仿宋_GB2312" w:hAnsi="仿宋_GB2312" w:eastAsia="仿宋_GB2312" w:cs="仿宋_GB2312"/>
          <w:b w:val="0"/>
          <w:bCs/>
          <w:color w:val="auto"/>
          <w:sz w:val="30"/>
          <w:szCs w:val="30"/>
        </w:rPr>
        <w:t>年般公共预算支出决算数为</w:t>
      </w:r>
      <w:r>
        <w:rPr>
          <w:rFonts w:hint="eastAsia" w:ascii="仿宋_GB2312" w:hAnsi="仿宋_GB2312" w:eastAsia="仿宋_GB2312" w:cs="仿宋_GB2312"/>
          <w:b w:val="0"/>
          <w:bCs/>
          <w:color w:val="auto"/>
          <w:sz w:val="30"/>
          <w:szCs w:val="30"/>
          <w:lang w:val="en-US" w:eastAsia="zh-CN"/>
        </w:rPr>
        <w:t>608.72</w:t>
      </w:r>
      <w:r>
        <w:rPr>
          <w:rFonts w:hint="eastAsia" w:ascii="仿宋_GB2312" w:hAnsi="仿宋_GB2312" w:eastAsia="仿宋_GB2312" w:cs="仿宋_GB2312"/>
          <w:b w:val="0"/>
          <w:bCs/>
          <w:color w:val="auto"/>
          <w:sz w:val="30"/>
          <w:szCs w:val="30"/>
        </w:rPr>
        <w:t>，</w:t>
      </w:r>
      <w:r>
        <w:rPr>
          <w:rStyle w:val="20"/>
          <w:rFonts w:hint="eastAsia" w:ascii="仿宋_GB2312" w:hAnsi="仿宋_GB2312" w:eastAsia="仿宋_GB2312" w:cs="仿宋_GB2312"/>
          <w:b w:val="0"/>
          <w:bCs/>
          <w:color w:val="auto"/>
          <w:sz w:val="30"/>
          <w:szCs w:val="30"/>
        </w:rPr>
        <w:t>完成预算</w:t>
      </w:r>
      <w:r>
        <w:rPr>
          <w:rStyle w:val="20"/>
          <w:rFonts w:hint="eastAsia" w:ascii="仿宋_GB2312" w:hAnsi="仿宋_GB2312" w:eastAsia="仿宋_GB2312" w:cs="仿宋_GB2312"/>
          <w:b w:val="0"/>
          <w:bCs/>
          <w:color w:val="auto"/>
          <w:sz w:val="30"/>
          <w:szCs w:val="30"/>
          <w:lang w:val="en-US" w:eastAsia="zh-CN"/>
        </w:rPr>
        <w:t>100</w:t>
      </w:r>
      <w:r>
        <w:rPr>
          <w:rStyle w:val="20"/>
          <w:rFonts w:hint="eastAsia" w:ascii="仿宋_GB2312" w:hAnsi="仿宋_GB2312" w:eastAsia="仿宋_GB2312" w:cs="仿宋_GB2312"/>
          <w:b w:val="0"/>
          <w:bCs/>
          <w:color w:val="auto"/>
          <w:sz w:val="30"/>
          <w:szCs w:val="30"/>
        </w:rPr>
        <w:t>%</w:t>
      </w:r>
      <w:r>
        <w:rPr>
          <w:rStyle w:val="20"/>
          <w:rFonts w:hint="eastAsia" w:ascii="仿宋_GB2312" w:hAnsi="仿宋_GB2312" w:eastAsia="仿宋_GB2312" w:cs="仿宋_GB2312"/>
          <w:b w:val="0"/>
          <w:bCs/>
          <w:color w:val="auto"/>
          <w:sz w:val="30"/>
          <w:szCs w:val="30"/>
          <w:lang w:eastAsia="zh-CN"/>
        </w:rPr>
        <w:t>，</w:t>
      </w:r>
      <w:r>
        <w:rPr>
          <w:rStyle w:val="20"/>
          <w:rFonts w:hint="eastAsia" w:ascii="仿宋_GB2312" w:hAnsi="仿宋_GB2312" w:eastAsia="仿宋_GB2312" w:cs="仿宋_GB2312"/>
          <w:b w:val="0"/>
          <w:bCs/>
          <w:color w:val="auto"/>
          <w:sz w:val="30"/>
          <w:szCs w:val="30"/>
          <w:lang w:val="en-US" w:eastAsia="zh-CN"/>
        </w:rPr>
        <w:t>预算数等于决算数</w:t>
      </w:r>
      <w:r>
        <w:rPr>
          <w:rStyle w:val="20"/>
          <w:rFonts w:hint="eastAsia" w:ascii="仿宋_GB2312" w:hAnsi="仿宋_GB2312" w:eastAsia="仿宋_GB2312" w:cs="仿宋_GB2312"/>
          <w:b w:val="0"/>
          <w:bCs/>
          <w:color w:val="auto"/>
          <w:sz w:val="30"/>
          <w:szCs w:val="30"/>
        </w:rPr>
        <w:t>。</w:t>
      </w:r>
      <w:r>
        <w:rPr>
          <w:rStyle w:val="20"/>
          <w:rFonts w:hint="eastAsia" w:ascii="仿宋_GB2312" w:hAnsi="仿宋_GB2312" w:eastAsia="仿宋_GB2312" w:cs="仿宋_GB2312"/>
          <w:b w:val="0"/>
          <w:bCs/>
          <w:color w:val="auto"/>
          <w:sz w:val="30"/>
          <w:szCs w:val="30"/>
          <w:lang w:val="en-US" w:eastAsia="zh-CN"/>
        </w:rPr>
        <w:t>其</w:t>
      </w:r>
      <w:r>
        <w:rPr>
          <w:rStyle w:val="20"/>
          <w:rFonts w:hint="eastAsia" w:ascii="仿宋_GB2312" w:hAnsi="仿宋_GB2312" w:eastAsia="仿宋_GB2312" w:cs="仿宋_GB2312"/>
          <w:b w:val="0"/>
          <w:bCs/>
          <w:color w:val="auto"/>
          <w:sz w:val="30"/>
          <w:szCs w:val="30"/>
        </w:rPr>
        <w:t>中：</w:t>
      </w:r>
      <w:bookmarkEnd w:id="53"/>
      <w:bookmarkEnd w:id="54"/>
      <w:bookmarkEnd w:id="55"/>
    </w:p>
    <w:p w14:paraId="4898426A">
      <w:pPr>
        <w:widowControl w:val="0"/>
        <w:numPr>
          <w:ilvl w:val="0"/>
          <w:numId w:val="0"/>
        </w:numPr>
        <w:wordWrap/>
        <w:snapToGrid/>
        <w:spacing w:line="240" w:lineRule="auto"/>
        <w:ind w:right="0" w:rightChars="0" w:firstLine="600" w:firstLineChars="200"/>
        <w:jc w:val="left"/>
        <w:textAlignment w:val="auto"/>
        <w:rPr>
          <w:rStyle w:val="20"/>
          <w:rFonts w:hint="default" w:ascii="仿宋_GB2312" w:hAnsi="仿宋_GB2312" w:eastAsia="仿宋_GB2312" w:cs="仿宋_GB2312"/>
          <w:b w:val="0"/>
          <w:bCs/>
          <w:color w:val="auto"/>
          <w:sz w:val="30"/>
          <w:szCs w:val="30"/>
          <w:lang w:val="en-US" w:eastAsia="zh-CN"/>
        </w:rPr>
      </w:pPr>
      <w:r>
        <w:rPr>
          <w:rStyle w:val="20"/>
          <w:rFonts w:hint="eastAsia" w:ascii="仿宋_GB2312" w:hAnsi="仿宋_GB2312" w:eastAsia="仿宋_GB2312" w:cs="仿宋_GB2312"/>
          <w:b w:val="0"/>
          <w:bCs/>
          <w:color w:val="auto"/>
          <w:sz w:val="30"/>
          <w:szCs w:val="30"/>
          <w:lang w:val="en-US" w:eastAsia="zh-CN"/>
        </w:rPr>
        <w:t>1.</w:t>
      </w:r>
      <w:r>
        <w:rPr>
          <w:rStyle w:val="20"/>
          <w:rFonts w:hint="eastAsia" w:ascii="仿宋_GB2312" w:hAnsi="仿宋_GB2312" w:eastAsia="仿宋_GB2312" w:cs="仿宋_GB2312"/>
          <w:b w:val="0"/>
          <w:bCs/>
          <w:color w:val="auto"/>
          <w:sz w:val="30"/>
          <w:szCs w:val="30"/>
        </w:rPr>
        <w:t>一般公共服务支出（类）宣传事务（款）行政运行（项）:支出决算为265.42万元，完成预算</w:t>
      </w:r>
      <w:r>
        <w:rPr>
          <w:rStyle w:val="20"/>
          <w:rFonts w:hint="eastAsia" w:ascii="仿宋_GB2312" w:hAnsi="仿宋_GB2312" w:eastAsia="仿宋_GB2312" w:cs="仿宋_GB2312"/>
          <w:b w:val="0"/>
          <w:bCs/>
          <w:color w:val="auto"/>
          <w:sz w:val="30"/>
          <w:szCs w:val="30"/>
          <w:lang w:val="en-US" w:eastAsia="zh-CN"/>
        </w:rPr>
        <w:t>100</w:t>
      </w:r>
      <w:r>
        <w:rPr>
          <w:rStyle w:val="20"/>
          <w:rFonts w:hint="eastAsia" w:ascii="仿宋_GB2312" w:hAnsi="仿宋_GB2312" w:eastAsia="仿宋_GB2312" w:cs="仿宋_GB2312"/>
          <w:b w:val="0"/>
          <w:bCs/>
          <w:color w:val="auto"/>
          <w:sz w:val="30"/>
          <w:szCs w:val="30"/>
        </w:rPr>
        <w:t>%</w:t>
      </w:r>
      <w:r>
        <w:rPr>
          <w:rStyle w:val="20"/>
          <w:rFonts w:hint="eastAsia" w:ascii="仿宋_GB2312" w:hAnsi="仿宋_GB2312" w:eastAsia="仿宋_GB2312" w:cs="仿宋_GB2312"/>
          <w:b w:val="0"/>
          <w:bCs/>
          <w:color w:val="auto"/>
          <w:sz w:val="30"/>
          <w:szCs w:val="30"/>
          <w:lang w:eastAsia="zh-CN"/>
        </w:rPr>
        <w:t>，</w:t>
      </w:r>
      <w:r>
        <w:rPr>
          <w:rStyle w:val="20"/>
          <w:rFonts w:hint="eastAsia" w:ascii="仿宋_GB2312" w:hAnsi="仿宋_GB2312" w:eastAsia="仿宋_GB2312" w:cs="仿宋_GB2312"/>
          <w:b w:val="0"/>
          <w:bCs/>
          <w:color w:val="auto"/>
          <w:sz w:val="30"/>
          <w:szCs w:val="30"/>
          <w:lang w:val="en-US" w:eastAsia="zh-CN"/>
        </w:rPr>
        <w:t>预算数等于决算数</w:t>
      </w:r>
    </w:p>
    <w:p w14:paraId="66AA7AC9">
      <w:pPr>
        <w:widowControl w:val="0"/>
        <w:numPr>
          <w:ilvl w:val="0"/>
          <w:numId w:val="0"/>
        </w:numPr>
        <w:wordWrap/>
        <w:snapToGrid/>
        <w:spacing w:line="240" w:lineRule="auto"/>
        <w:ind w:right="0" w:rightChars="0" w:firstLine="600" w:firstLineChars="200"/>
        <w:jc w:val="left"/>
        <w:textAlignment w:val="auto"/>
        <w:rPr>
          <w:rStyle w:val="20"/>
          <w:rFonts w:hint="eastAsia" w:ascii="仿宋_GB2312" w:hAnsi="仿宋_GB2312" w:eastAsia="仿宋_GB2312" w:cs="仿宋_GB2312"/>
          <w:b w:val="0"/>
          <w:bCs/>
          <w:color w:val="auto"/>
          <w:sz w:val="30"/>
          <w:szCs w:val="30"/>
          <w:lang w:val="en-US" w:eastAsia="zh-CN"/>
        </w:rPr>
      </w:pPr>
      <w:r>
        <w:rPr>
          <w:rStyle w:val="20"/>
          <w:rFonts w:hint="eastAsia" w:ascii="仿宋_GB2312" w:hAnsi="仿宋_GB2312" w:eastAsia="仿宋_GB2312" w:cs="仿宋_GB2312"/>
          <w:b w:val="0"/>
          <w:bCs/>
          <w:color w:val="auto"/>
          <w:sz w:val="30"/>
          <w:szCs w:val="30"/>
          <w:lang w:val="en-US" w:eastAsia="zh-CN"/>
        </w:rPr>
        <w:t>2.</w:t>
      </w:r>
      <w:r>
        <w:rPr>
          <w:rStyle w:val="20"/>
          <w:rFonts w:hint="eastAsia" w:ascii="仿宋_GB2312" w:hAnsi="仿宋_GB2312" w:eastAsia="仿宋_GB2312" w:cs="仿宋_GB2312"/>
          <w:b w:val="0"/>
          <w:bCs/>
          <w:color w:val="auto"/>
          <w:sz w:val="30"/>
          <w:szCs w:val="30"/>
        </w:rPr>
        <w:t>一般公共服务支出（类）宣传事务（款）一般行政管理事务（项）:支出决算为55</w:t>
      </w:r>
      <w:r>
        <w:rPr>
          <w:rStyle w:val="20"/>
          <w:rFonts w:hint="eastAsia" w:ascii="仿宋_GB2312" w:hAnsi="仿宋_GB2312" w:eastAsia="仿宋_GB2312" w:cs="仿宋_GB2312"/>
          <w:b w:val="0"/>
          <w:bCs/>
          <w:color w:val="auto"/>
          <w:sz w:val="30"/>
          <w:szCs w:val="30"/>
          <w:lang w:val="en-US" w:eastAsia="zh-CN"/>
        </w:rPr>
        <w:t>.00</w:t>
      </w:r>
      <w:r>
        <w:rPr>
          <w:rStyle w:val="20"/>
          <w:rFonts w:hint="eastAsia" w:ascii="仿宋_GB2312" w:hAnsi="仿宋_GB2312" w:eastAsia="仿宋_GB2312" w:cs="仿宋_GB2312"/>
          <w:b w:val="0"/>
          <w:bCs/>
          <w:color w:val="auto"/>
          <w:sz w:val="30"/>
          <w:szCs w:val="30"/>
        </w:rPr>
        <w:t>万元，完成预算</w:t>
      </w:r>
      <w:r>
        <w:rPr>
          <w:rStyle w:val="20"/>
          <w:rFonts w:hint="eastAsia" w:ascii="仿宋_GB2312" w:hAnsi="仿宋_GB2312" w:eastAsia="仿宋_GB2312" w:cs="仿宋_GB2312"/>
          <w:b w:val="0"/>
          <w:bCs/>
          <w:color w:val="auto"/>
          <w:sz w:val="30"/>
          <w:szCs w:val="30"/>
          <w:lang w:val="en-US" w:eastAsia="zh-CN"/>
        </w:rPr>
        <w:t>100</w:t>
      </w:r>
      <w:r>
        <w:rPr>
          <w:rStyle w:val="20"/>
          <w:rFonts w:hint="eastAsia" w:ascii="仿宋_GB2312" w:hAnsi="仿宋_GB2312" w:eastAsia="仿宋_GB2312" w:cs="仿宋_GB2312"/>
          <w:b w:val="0"/>
          <w:bCs/>
          <w:color w:val="auto"/>
          <w:sz w:val="30"/>
          <w:szCs w:val="30"/>
        </w:rPr>
        <w:t>%</w:t>
      </w:r>
      <w:r>
        <w:rPr>
          <w:rStyle w:val="20"/>
          <w:rFonts w:hint="eastAsia" w:ascii="仿宋_GB2312" w:hAnsi="仿宋_GB2312" w:eastAsia="仿宋_GB2312" w:cs="仿宋_GB2312"/>
          <w:b w:val="0"/>
          <w:bCs/>
          <w:color w:val="auto"/>
          <w:sz w:val="30"/>
          <w:szCs w:val="30"/>
          <w:lang w:eastAsia="zh-CN"/>
        </w:rPr>
        <w:t>，</w:t>
      </w:r>
      <w:r>
        <w:rPr>
          <w:rStyle w:val="20"/>
          <w:rFonts w:hint="eastAsia" w:ascii="仿宋_GB2312" w:hAnsi="仿宋_GB2312" w:eastAsia="仿宋_GB2312" w:cs="仿宋_GB2312"/>
          <w:b w:val="0"/>
          <w:bCs/>
          <w:color w:val="auto"/>
          <w:sz w:val="30"/>
          <w:szCs w:val="30"/>
          <w:lang w:val="en-US" w:eastAsia="zh-CN"/>
        </w:rPr>
        <w:t>预算数等于决算数。</w:t>
      </w:r>
    </w:p>
    <w:p w14:paraId="04A20E2A">
      <w:pPr>
        <w:widowControl w:val="0"/>
        <w:numPr>
          <w:ilvl w:val="0"/>
          <w:numId w:val="0"/>
        </w:numPr>
        <w:wordWrap/>
        <w:snapToGrid/>
        <w:spacing w:line="240" w:lineRule="auto"/>
        <w:ind w:right="0" w:rightChars="0" w:firstLine="600" w:firstLineChars="200"/>
        <w:jc w:val="left"/>
        <w:textAlignment w:val="auto"/>
        <w:rPr>
          <w:rStyle w:val="20"/>
          <w:rFonts w:hint="eastAsia" w:ascii="仿宋_GB2312" w:hAnsi="仿宋_GB2312" w:eastAsia="仿宋_GB2312" w:cs="仿宋_GB2312"/>
          <w:b w:val="0"/>
          <w:bCs/>
          <w:color w:val="auto"/>
          <w:sz w:val="30"/>
          <w:szCs w:val="30"/>
        </w:rPr>
      </w:pPr>
      <w:r>
        <w:rPr>
          <w:rStyle w:val="20"/>
          <w:rFonts w:hint="eastAsia" w:ascii="仿宋_GB2312" w:hAnsi="仿宋_GB2312" w:eastAsia="仿宋_GB2312" w:cs="仿宋_GB2312"/>
          <w:b w:val="0"/>
          <w:bCs/>
          <w:color w:val="auto"/>
          <w:sz w:val="30"/>
          <w:szCs w:val="30"/>
          <w:lang w:val="en-US" w:eastAsia="zh-CN"/>
        </w:rPr>
        <w:t>3.</w:t>
      </w:r>
      <w:r>
        <w:rPr>
          <w:rStyle w:val="20"/>
          <w:rFonts w:hint="eastAsia" w:ascii="仿宋_GB2312" w:hAnsi="仿宋_GB2312" w:eastAsia="仿宋_GB2312" w:cs="仿宋_GB2312"/>
          <w:b w:val="0"/>
          <w:bCs/>
          <w:color w:val="auto"/>
          <w:sz w:val="30"/>
          <w:szCs w:val="30"/>
        </w:rPr>
        <w:t>一般公共服务支出（类）宣传事务（款）事业运行（项）:支出决算为63.03万元，完成预算</w:t>
      </w:r>
      <w:r>
        <w:rPr>
          <w:rStyle w:val="20"/>
          <w:rFonts w:hint="eastAsia" w:ascii="仿宋_GB2312" w:hAnsi="仿宋_GB2312" w:eastAsia="仿宋_GB2312" w:cs="仿宋_GB2312"/>
          <w:b w:val="0"/>
          <w:bCs/>
          <w:color w:val="auto"/>
          <w:sz w:val="30"/>
          <w:szCs w:val="30"/>
          <w:lang w:val="en-US" w:eastAsia="zh-CN"/>
        </w:rPr>
        <w:t>100</w:t>
      </w:r>
      <w:r>
        <w:rPr>
          <w:rStyle w:val="20"/>
          <w:rFonts w:hint="eastAsia" w:ascii="仿宋_GB2312" w:hAnsi="仿宋_GB2312" w:eastAsia="仿宋_GB2312" w:cs="仿宋_GB2312"/>
          <w:b w:val="0"/>
          <w:bCs/>
          <w:color w:val="auto"/>
          <w:sz w:val="30"/>
          <w:szCs w:val="30"/>
        </w:rPr>
        <w:t>%</w:t>
      </w:r>
      <w:r>
        <w:rPr>
          <w:rStyle w:val="20"/>
          <w:rFonts w:hint="eastAsia" w:ascii="仿宋_GB2312" w:hAnsi="仿宋_GB2312" w:eastAsia="仿宋_GB2312" w:cs="仿宋_GB2312"/>
          <w:b w:val="0"/>
          <w:bCs/>
          <w:color w:val="auto"/>
          <w:sz w:val="30"/>
          <w:szCs w:val="30"/>
          <w:lang w:eastAsia="zh-CN"/>
        </w:rPr>
        <w:t>，</w:t>
      </w:r>
      <w:r>
        <w:rPr>
          <w:rStyle w:val="20"/>
          <w:rFonts w:hint="eastAsia" w:ascii="仿宋_GB2312" w:hAnsi="仿宋_GB2312" w:eastAsia="仿宋_GB2312" w:cs="仿宋_GB2312"/>
          <w:b w:val="0"/>
          <w:bCs/>
          <w:color w:val="auto"/>
          <w:sz w:val="30"/>
          <w:szCs w:val="30"/>
          <w:lang w:val="en-US" w:eastAsia="zh-CN"/>
        </w:rPr>
        <w:t>预算数等于决算数。</w:t>
      </w:r>
    </w:p>
    <w:p w14:paraId="78561216">
      <w:pPr>
        <w:widowControl w:val="0"/>
        <w:numPr>
          <w:ilvl w:val="0"/>
          <w:numId w:val="0"/>
        </w:numPr>
        <w:wordWrap/>
        <w:snapToGrid/>
        <w:spacing w:line="240" w:lineRule="auto"/>
        <w:ind w:right="0" w:rightChars="0" w:firstLine="600" w:firstLineChars="200"/>
        <w:jc w:val="left"/>
        <w:textAlignment w:val="auto"/>
        <w:rPr>
          <w:rStyle w:val="20"/>
          <w:rFonts w:hint="eastAsia" w:ascii="仿宋_GB2312" w:hAnsi="仿宋_GB2312" w:eastAsia="仿宋_GB2312" w:cs="仿宋_GB2312"/>
          <w:b w:val="0"/>
          <w:bCs/>
          <w:color w:val="auto"/>
          <w:sz w:val="30"/>
          <w:szCs w:val="30"/>
          <w:lang w:val="en-US" w:eastAsia="zh-CN"/>
        </w:rPr>
      </w:pPr>
      <w:r>
        <w:rPr>
          <w:rStyle w:val="20"/>
          <w:rFonts w:hint="eastAsia" w:ascii="仿宋_GB2312" w:hAnsi="仿宋_GB2312" w:eastAsia="仿宋_GB2312" w:cs="仿宋_GB2312"/>
          <w:b w:val="0"/>
          <w:bCs/>
          <w:color w:val="auto"/>
          <w:sz w:val="30"/>
          <w:szCs w:val="30"/>
          <w:lang w:val="en-US" w:eastAsia="zh-CN"/>
        </w:rPr>
        <w:t>4.</w:t>
      </w:r>
      <w:r>
        <w:rPr>
          <w:rStyle w:val="20"/>
          <w:rFonts w:hint="eastAsia" w:ascii="仿宋_GB2312" w:hAnsi="仿宋_GB2312" w:eastAsia="仿宋_GB2312" w:cs="仿宋_GB2312"/>
          <w:b w:val="0"/>
          <w:bCs/>
          <w:color w:val="auto"/>
          <w:sz w:val="30"/>
          <w:szCs w:val="30"/>
        </w:rPr>
        <w:t>一般公共服务支出（类）宣传事务（款）其他宣传事务支出（项）:支出决算为102</w:t>
      </w:r>
      <w:r>
        <w:rPr>
          <w:rStyle w:val="20"/>
          <w:rFonts w:hint="eastAsia" w:ascii="仿宋_GB2312" w:hAnsi="仿宋_GB2312" w:eastAsia="仿宋_GB2312" w:cs="仿宋_GB2312"/>
          <w:b w:val="0"/>
          <w:bCs/>
          <w:color w:val="auto"/>
          <w:sz w:val="30"/>
          <w:szCs w:val="30"/>
          <w:lang w:val="en-US" w:eastAsia="zh-CN"/>
        </w:rPr>
        <w:t>.00</w:t>
      </w:r>
      <w:r>
        <w:rPr>
          <w:rStyle w:val="20"/>
          <w:rFonts w:hint="eastAsia" w:ascii="仿宋_GB2312" w:hAnsi="仿宋_GB2312" w:eastAsia="仿宋_GB2312" w:cs="仿宋_GB2312"/>
          <w:b w:val="0"/>
          <w:bCs/>
          <w:color w:val="auto"/>
          <w:sz w:val="30"/>
          <w:szCs w:val="30"/>
        </w:rPr>
        <w:t>万元，完成预算</w:t>
      </w:r>
      <w:r>
        <w:rPr>
          <w:rStyle w:val="20"/>
          <w:rFonts w:hint="eastAsia" w:ascii="仿宋_GB2312" w:hAnsi="仿宋_GB2312" w:eastAsia="仿宋_GB2312" w:cs="仿宋_GB2312"/>
          <w:b w:val="0"/>
          <w:bCs/>
          <w:color w:val="auto"/>
          <w:sz w:val="30"/>
          <w:szCs w:val="30"/>
          <w:lang w:val="en-US" w:eastAsia="zh-CN"/>
        </w:rPr>
        <w:t>100</w:t>
      </w:r>
      <w:r>
        <w:rPr>
          <w:rStyle w:val="20"/>
          <w:rFonts w:hint="eastAsia" w:ascii="仿宋_GB2312" w:hAnsi="仿宋_GB2312" w:eastAsia="仿宋_GB2312" w:cs="仿宋_GB2312"/>
          <w:b w:val="0"/>
          <w:bCs/>
          <w:color w:val="auto"/>
          <w:sz w:val="30"/>
          <w:szCs w:val="30"/>
        </w:rPr>
        <w:t>%</w:t>
      </w:r>
      <w:r>
        <w:rPr>
          <w:rStyle w:val="20"/>
          <w:rFonts w:hint="eastAsia" w:ascii="仿宋_GB2312" w:hAnsi="仿宋_GB2312" w:eastAsia="仿宋_GB2312" w:cs="仿宋_GB2312"/>
          <w:b w:val="0"/>
          <w:bCs/>
          <w:color w:val="auto"/>
          <w:sz w:val="30"/>
          <w:szCs w:val="30"/>
          <w:lang w:eastAsia="zh-CN"/>
        </w:rPr>
        <w:t>，</w:t>
      </w:r>
      <w:r>
        <w:rPr>
          <w:rStyle w:val="20"/>
          <w:rFonts w:hint="eastAsia" w:ascii="仿宋_GB2312" w:hAnsi="仿宋_GB2312" w:eastAsia="仿宋_GB2312" w:cs="仿宋_GB2312"/>
          <w:b w:val="0"/>
          <w:bCs/>
          <w:color w:val="auto"/>
          <w:sz w:val="30"/>
          <w:szCs w:val="30"/>
          <w:lang w:val="en-US" w:eastAsia="zh-CN"/>
        </w:rPr>
        <w:t>预算数等于决算数。</w:t>
      </w:r>
    </w:p>
    <w:p w14:paraId="177EB97F">
      <w:pPr>
        <w:widowControl w:val="0"/>
        <w:numPr>
          <w:ilvl w:val="0"/>
          <w:numId w:val="0"/>
        </w:numPr>
        <w:wordWrap/>
        <w:snapToGrid/>
        <w:spacing w:line="240" w:lineRule="auto"/>
        <w:ind w:right="0" w:rightChars="0" w:firstLine="600" w:firstLineChars="200"/>
        <w:jc w:val="left"/>
        <w:textAlignment w:val="auto"/>
        <w:rPr>
          <w:rStyle w:val="20"/>
          <w:rFonts w:hint="eastAsia" w:ascii="仿宋_GB2312" w:hAnsi="仿宋_GB2312" w:eastAsia="仿宋_GB2312" w:cs="仿宋_GB2312"/>
          <w:b w:val="0"/>
          <w:bCs/>
          <w:color w:val="auto"/>
          <w:sz w:val="30"/>
          <w:szCs w:val="30"/>
        </w:rPr>
      </w:pPr>
      <w:r>
        <w:rPr>
          <w:rStyle w:val="20"/>
          <w:rFonts w:hint="eastAsia" w:ascii="仿宋_GB2312" w:hAnsi="仿宋_GB2312" w:eastAsia="仿宋_GB2312" w:cs="仿宋_GB2312"/>
          <w:b w:val="0"/>
          <w:bCs/>
          <w:color w:val="auto"/>
          <w:sz w:val="30"/>
          <w:szCs w:val="30"/>
          <w:lang w:val="en-US" w:eastAsia="zh-CN"/>
        </w:rPr>
        <w:t>5.</w:t>
      </w:r>
      <w:r>
        <w:rPr>
          <w:rStyle w:val="20"/>
          <w:rFonts w:hint="eastAsia" w:ascii="仿宋_GB2312" w:hAnsi="仿宋_GB2312" w:eastAsia="仿宋_GB2312" w:cs="仿宋_GB2312"/>
          <w:b w:val="0"/>
          <w:bCs/>
          <w:color w:val="auto"/>
          <w:sz w:val="30"/>
          <w:szCs w:val="30"/>
        </w:rPr>
        <w:t>文化旅游体育与传媒支出（类）文化和旅游（款）其他文化和旅游支出（项）:支出决算为46.37万元，完成预算</w:t>
      </w:r>
      <w:r>
        <w:rPr>
          <w:rStyle w:val="20"/>
          <w:rFonts w:hint="eastAsia" w:ascii="仿宋_GB2312" w:hAnsi="仿宋_GB2312" w:eastAsia="仿宋_GB2312" w:cs="仿宋_GB2312"/>
          <w:b w:val="0"/>
          <w:bCs/>
          <w:color w:val="auto"/>
          <w:sz w:val="30"/>
          <w:szCs w:val="30"/>
          <w:lang w:val="en-US" w:eastAsia="zh-CN"/>
        </w:rPr>
        <w:t>100</w:t>
      </w:r>
      <w:r>
        <w:rPr>
          <w:rStyle w:val="20"/>
          <w:rFonts w:hint="eastAsia" w:ascii="仿宋_GB2312" w:hAnsi="仿宋_GB2312" w:eastAsia="仿宋_GB2312" w:cs="仿宋_GB2312"/>
          <w:b w:val="0"/>
          <w:bCs/>
          <w:color w:val="auto"/>
          <w:sz w:val="30"/>
          <w:szCs w:val="30"/>
        </w:rPr>
        <w:t>%</w:t>
      </w:r>
      <w:r>
        <w:rPr>
          <w:rStyle w:val="20"/>
          <w:rFonts w:hint="eastAsia" w:ascii="仿宋_GB2312" w:hAnsi="仿宋_GB2312" w:eastAsia="仿宋_GB2312" w:cs="仿宋_GB2312"/>
          <w:b w:val="0"/>
          <w:bCs/>
          <w:color w:val="auto"/>
          <w:sz w:val="30"/>
          <w:szCs w:val="30"/>
          <w:lang w:eastAsia="zh-CN"/>
        </w:rPr>
        <w:t>，</w:t>
      </w:r>
      <w:r>
        <w:rPr>
          <w:rStyle w:val="20"/>
          <w:rFonts w:hint="eastAsia" w:ascii="仿宋_GB2312" w:hAnsi="仿宋_GB2312" w:eastAsia="仿宋_GB2312" w:cs="仿宋_GB2312"/>
          <w:b w:val="0"/>
          <w:bCs/>
          <w:color w:val="auto"/>
          <w:sz w:val="30"/>
          <w:szCs w:val="30"/>
          <w:lang w:val="en-US" w:eastAsia="zh-CN"/>
        </w:rPr>
        <w:t>预算数等于决算数</w:t>
      </w:r>
      <w:r>
        <w:rPr>
          <w:rStyle w:val="20"/>
          <w:rFonts w:hint="eastAsia" w:ascii="仿宋_GB2312" w:hAnsi="仿宋_GB2312" w:eastAsia="仿宋_GB2312" w:cs="仿宋_GB2312"/>
          <w:b w:val="0"/>
          <w:bCs/>
          <w:color w:val="auto"/>
          <w:sz w:val="30"/>
          <w:szCs w:val="30"/>
        </w:rPr>
        <w:t>。</w:t>
      </w:r>
    </w:p>
    <w:p w14:paraId="2512AA63">
      <w:pPr>
        <w:widowControl w:val="0"/>
        <w:numPr>
          <w:ilvl w:val="0"/>
          <w:numId w:val="0"/>
        </w:numPr>
        <w:wordWrap/>
        <w:snapToGrid/>
        <w:spacing w:line="240" w:lineRule="auto"/>
        <w:ind w:right="0" w:rightChars="0" w:firstLine="600" w:firstLineChars="200"/>
        <w:jc w:val="left"/>
        <w:textAlignment w:val="auto"/>
        <w:rPr>
          <w:rStyle w:val="20"/>
          <w:rFonts w:hint="eastAsia" w:ascii="仿宋_GB2312" w:hAnsi="仿宋_GB2312" w:eastAsia="仿宋_GB2312" w:cs="仿宋_GB2312"/>
          <w:b w:val="0"/>
          <w:bCs/>
          <w:color w:val="auto"/>
          <w:sz w:val="30"/>
          <w:szCs w:val="30"/>
        </w:rPr>
      </w:pPr>
      <w:r>
        <w:rPr>
          <w:rStyle w:val="20"/>
          <w:rFonts w:hint="eastAsia" w:ascii="仿宋_GB2312" w:hAnsi="仿宋_GB2312" w:eastAsia="仿宋_GB2312" w:cs="仿宋_GB2312"/>
          <w:b w:val="0"/>
          <w:bCs/>
          <w:color w:val="auto"/>
          <w:sz w:val="30"/>
          <w:szCs w:val="30"/>
          <w:lang w:val="en-US" w:eastAsia="zh-CN"/>
        </w:rPr>
        <w:t>6.</w:t>
      </w:r>
      <w:r>
        <w:rPr>
          <w:rStyle w:val="20"/>
          <w:rFonts w:hint="eastAsia" w:ascii="仿宋_GB2312" w:hAnsi="仿宋_GB2312" w:eastAsia="仿宋_GB2312" w:cs="仿宋_GB2312"/>
          <w:b w:val="0"/>
          <w:bCs/>
          <w:color w:val="auto"/>
          <w:sz w:val="30"/>
          <w:szCs w:val="30"/>
        </w:rPr>
        <w:t>文化旅游体育与传媒支出（类）新闻出版电影（款）电影（项）:支出决算为7.5</w:t>
      </w:r>
      <w:r>
        <w:rPr>
          <w:rStyle w:val="20"/>
          <w:rFonts w:hint="eastAsia" w:ascii="仿宋_GB2312" w:hAnsi="仿宋_GB2312" w:eastAsia="仿宋_GB2312" w:cs="仿宋_GB2312"/>
          <w:b w:val="0"/>
          <w:bCs/>
          <w:color w:val="auto"/>
          <w:sz w:val="30"/>
          <w:szCs w:val="30"/>
          <w:lang w:val="en-US" w:eastAsia="zh-CN"/>
        </w:rPr>
        <w:t>3</w:t>
      </w:r>
      <w:r>
        <w:rPr>
          <w:rStyle w:val="20"/>
          <w:rFonts w:hint="eastAsia" w:ascii="仿宋_GB2312" w:hAnsi="仿宋_GB2312" w:eastAsia="仿宋_GB2312" w:cs="仿宋_GB2312"/>
          <w:b w:val="0"/>
          <w:bCs/>
          <w:color w:val="auto"/>
          <w:sz w:val="30"/>
          <w:szCs w:val="30"/>
        </w:rPr>
        <w:t>万元，完成预算</w:t>
      </w:r>
      <w:r>
        <w:rPr>
          <w:rStyle w:val="20"/>
          <w:rFonts w:hint="eastAsia" w:ascii="仿宋_GB2312" w:hAnsi="仿宋_GB2312" w:eastAsia="仿宋_GB2312" w:cs="仿宋_GB2312"/>
          <w:b w:val="0"/>
          <w:bCs/>
          <w:color w:val="auto"/>
          <w:sz w:val="30"/>
          <w:szCs w:val="30"/>
          <w:lang w:val="en-US" w:eastAsia="zh-CN"/>
        </w:rPr>
        <w:t>100</w:t>
      </w:r>
      <w:r>
        <w:rPr>
          <w:rStyle w:val="20"/>
          <w:rFonts w:hint="eastAsia" w:ascii="仿宋_GB2312" w:hAnsi="仿宋_GB2312" w:eastAsia="仿宋_GB2312" w:cs="仿宋_GB2312"/>
          <w:b w:val="0"/>
          <w:bCs/>
          <w:color w:val="auto"/>
          <w:sz w:val="30"/>
          <w:szCs w:val="30"/>
        </w:rPr>
        <w:t>%</w:t>
      </w:r>
      <w:r>
        <w:rPr>
          <w:rStyle w:val="20"/>
          <w:rFonts w:hint="eastAsia" w:ascii="仿宋_GB2312" w:hAnsi="仿宋_GB2312" w:eastAsia="仿宋_GB2312" w:cs="仿宋_GB2312"/>
          <w:b w:val="0"/>
          <w:bCs/>
          <w:color w:val="auto"/>
          <w:sz w:val="30"/>
          <w:szCs w:val="30"/>
          <w:lang w:eastAsia="zh-CN"/>
        </w:rPr>
        <w:t>，</w:t>
      </w:r>
      <w:r>
        <w:rPr>
          <w:rStyle w:val="20"/>
          <w:rFonts w:hint="eastAsia" w:ascii="仿宋_GB2312" w:hAnsi="仿宋_GB2312" w:eastAsia="仿宋_GB2312" w:cs="仿宋_GB2312"/>
          <w:b w:val="0"/>
          <w:bCs/>
          <w:color w:val="auto"/>
          <w:sz w:val="30"/>
          <w:szCs w:val="30"/>
          <w:lang w:val="en-US" w:eastAsia="zh-CN"/>
        </w:rPr>
        <w:t>预算数等于决算数</w:t>
      </w:r>
      <w:r>
        <w:rPr>
          <w:rStyle w:val="20"/>
          <w:rFonts w:hint="eastAsia" w:ascii="仿宋_GB2312" w:hAnsi="仿宋_GB2312" w:eastAsia="仿宋_GB2312" w:cs="仿宋_GB2312"/>
          <w:b w:val="0"/>
          <w:bCs/>
          <w:color w:val="auto"/>
          <w:sz w:val="30"/>
          <w:szCs w:val="30"/>
        </w:rPr>
        <w:t>。</w:t>
      </w:r>
    </w:p>
    <w:p w14:paraId="36D58831">
      <w:pPr>
        <w:widowControl w:val="0"/>
        <w:numPr>
          <w:ilvl w:val="0"/>
          <w:numId w:val="0"/>
        </w:numPr>
        <w:wordWrap/>
        <w:snapToGrid/>
        <w:spacing w:line="240" w:lineRule="auto"/>
        <w:ind w:right="0" w:rightChars="0" w:firstLine="600" w:firstLineChars="200"/>
        <w:jc w:val="left"/>
        <w:textAlignment w:val="auto"/>
        <w:rPr>
          <w:rStyle w:val="20"/>
          <w:rFonts w:hint="eastAsia" w:ascii="仿宋_GB2312" w:hAnsi="仿宋_GB2312" w:eastAsia="仿宋_GB2312" w:cs="仿宋_GB2312"/>
          <w:b w:val="0"/>
          <w:bCs/>
          <w:color w:val="auto"/>
          <w:sz w:val="30"/>
          <w:szCs w:val="30"/>
        </w:rPr>
      </w:pPr>
      <w:r>
        <w:rPr>
          <w:rStyle w:val="20"/>
          <w:rFonts w:hint="eastAsia" w:ascii="仿宋_GB2312" w:hAnsi="仿宋_GB2312" w:eastAsia="仿宋_GB2312" w:cs="仿宋_GB2312"/>
          <w:b w:val="0"/>
          <w:bCs/>
          <w:color w:val="auto"/>
          <w:sz w:val="30"/>
          <w:szCs w:val="30"/>
          <w:lang w:val="en-US" w:eastAsia="zh-CN"/>
        </w:rPr>
        <w:t>7.</w:t>
      </w:r>
      <w:r>
        <w:rPr>
          <w:rStyle w:val="20"/>
          <w:rFonts w:hint="eastAsia" w:ascii="仿宋_GB2312" w:hAnsi="仿宋_GB2312" w:eastAsia="仿宋_GB2312" w:cs="仿宋_GB2312"/>
          <w:b w:val="0"/>
          <w:bCs/>
          <w:color w:val="auto"/>
          <w:sz w:val="30"/>
          <w:szCs w:val="30"/>
        </w:rPr>
        <w:t>文化旅游体育与传媒支出（类）新闻出版电影（款）其他新闻出版电影支出（项）:支出决算为5万元，完成预算</w:t>
      </w:r>
      <w:r>
        <w:rPr>
          <w:rStyle w:val="20"/>
          <w:rFonts w:hint="eastAsia" w:ascii="仿宋_GB2312" w:hAnsi="仿宋_GB2312" w:eastAsia="仿宋_GB2312" w:cs="仿宋_GB2312"/>
          <w:b w:val="0"/>
          <w:bCs/>
          <w:color w:val="auto"/>
          <w:sz w:val="30"/>
          <w:szCs w:val="30"/>
          <w:lang w:val="en-US" w:eastAsia="zh-CN"/>
        </w:rPr>
        <w:t>100</w:t>
      </w:r>
      <w:r>
        <w:rPr>
          <w:rStyle w:val="20"/>
          <w:rFonts w:hint="eastAsia" w:ascii="仿宋_GB2312" w:hAnsi="仿宋_GB2312" w:eastAsia="仿宋_GB2312" w:cs="仿宋_GB2312"/>
          <w:b w:val="0"/>
          <w:bCs/>
          <w:color w:val="auto"/>
          <w:sz w:val="30"/>
          <w:szCs w:val="30"/>
        </w:rPr>
        <w:t>%</w:t>
      </w:r>
      <w:r>
        <w:rPr>
          <w:rStyle w:val="20"/>
          <w:rFonts w:hint="eastAsia" w:ascii="仿宋_GB2312" w:hAnsi="仿宋_GB2312" w:eastAsia="仿宋_GB2312" w:cs="仿宋_GB2312"/>
          <w:b w:val="0"/>
          <w:bCs/>
          <w:color w:val="auto"/>
          <w:sz w:val="30"/>
          <w:szCs w:val="30"/>
          <w:lang w:eastAsia="zh-CN"/>
        </w:rPr>
        <w:t>，</w:t>
      </w:r>
      <w:r>
        <w:rPr>
          <w:rStyle w:val="20"/>
          <w:rFonts w:hint="eastAsia" w:ascii="仿宋_GB2312" w:hAnsi="仿宋_GB2312" w:eastAsia="仿宋_GB2312" w:cs="仿宋_GB2312"/>
          <w:b w:val="0"/>
          <w:bCs/>
          <w:color w:val="auto"/>
          <w:sz w:val="30"/>
          <w:szCs w:val="30"/>
          <w:lang w:val="en-US" w:eastAsia="zh-CN"/>
        </w:rPr>
        <w:t>预算数等于决算数</w:t>
      </w:r>
      <w:r>
        <w:rPr>
          <w:rStyle w:val="20"/>
          <w:rFonts w:hint="eastAsia" w:ascii="仿宋_GB2312" w:hAnsi="仿宋_GB2312" w:eastAsia="仿宋_GB2312" w:cs="仿宋_GB2312"/>
          <w:b w:val="0"/>
          <w:bCs/>
          <w:color w:val="auto"/>
          <w:sz w:val="30"/>
          <w:szCs w:val="30"/>
        </w:rPr>
        <w:t>。</w:t>
      </w:r>
    </w:p>
    <w:p w14:paraId="14311629">
      <w:pPr>
        <w:widowControl w:val="0"/>
        <w:numPr>
          <w:ilvl w:val="0"/>
          <w:numId w:val="0"/>
        </w:numPr>
        <w:wordWrap/>
        <w:snapToGrid/>
        <w:spacing w:line="240" w:lineRule="auto"/>
        <w:ind w:right="0" w:rightChars="0" w:firstLine="600" w:firstLineChars="200"/>
        <w:jc w:val="left"/>
        <w:textAlignment w:val="auto"/>
        <w:rPr>
          <w:rStyle w:val="20"/>
          <w:rFonts w:hint="eastAsia" w:ascii="仿宋_GB2312" w:hAnsi="仿宋_GB2312" w:eastAsia="仿宋_GB2312" w:cs="仿宋_GB2312"/>
          <w:b w:val="0"/>
          <w:bCs/>
          <w:color w:val="auto"/>
          <w:sz w:val="30"/>
          <w:szCs w:val="30"/>
        </w:rPr>
      </w:pPr>
      <w:r>
        <w:rPr>
          <w:rStyle w:val="20"/>
          <w:rFonts w:hint="eastAsia" w:ascii="仿宋_GB2312" w:hAnsi="仿宋_GB2312" w:eastAsia="仿宋_GB2312" w:cs="仿宋_GB2312"/>
          <w:b w:val="0"/>
          <w:bCs/>
          <w:color w:val="auto"/>
          <w:sz w:val="30"/>
          <w:szCs w:val="30"/>
          <w:lang w:val="en-US" w:eastAsia="zh-CN"/>
        </w:rPr>
        <w:t>8.</w:t>
      </w:r>
      <w:r>
        <w:rPr>
          <w:rStyle w:val="20"/>
          <w:rFonts w:hint="eastAsia" w:ascii="仿宋_GB2312" w:hAnsi="仿宋_GB2312" w:eastAsia="仿宋_GB2312" w:cs="仿宋_GB2312"/>
          <w:b w:val="0"/>
          <w:bCs/>
          <w:color w:val="auto"/>
          <w:sz w:val="30"/>
          <w:szCs w:val="30"/>
        </w:rPr>
        <w:t>文化旅游体育与传媒支出（类）国家电影事业发展专项资金安排的支出（款）其他国家电影事业发展专项资金支出（项）:支出决算为</w:t>
      </w:r>
      <w:r>
        <w:rPr>
          <w:rStyle w:val="20"/>
          <w:rFonts w:hint="eastAsia" w:ascii="仿宋_GB2312" w:hAnsi="仿宋_GB2312" w:eastAsia="仿宋_GB2312" w:cs="仿宋_GB2312"/>
          <w:b w:val="0"/>
          <w:bCs/>
          <w:color w:val="auto"/>
          <w:sz w:val="30"/>
          <w:szCs w:val="30"/>
          <w:lang w:val="en-US" w:eastAsia="zh-CN"/>
        </w:rPr>
        <w:t>3.32</w:t>
      </w:r>
      <w:r>
        <w:rPr>
          <w:rStyle w:val="20"/>
          <w:rFonts w:hint="eastAsia" w:ascii="仿宋_GB2312" w:hAnsi="仿宋_GB2312" w:eastAsia="仿宋_GB2312" w:cs="仿宋_GB2312"/>
          <w:b w:val="0"/>
          <w:bCs/>
          <w:color w:val="auto"/>
          <w:sz w:val="30"/>
          <w:szCs w:val="30"/>
        </w:rPr>
        <w:t>万元，完成预算</w:t>
      </w:r>
      <w:r>
        <w:rPr>
          <w:rStyle w:val="20"/>
          <w:rFonts w:hint="eastAsia" w:ascii="仿宋_GB2312" w:hAnsi="仿宋_GB2312" w:eastAsia="仿宋_GB2312" w:cs="仿宋_GB2312"/>
          <w:b w:val="0"/>
          <w:bCs/>
          <w:color w:val="auto"/>
          <w:sz w:val="30"/>
          <w:szCs w:val="30"/>
          <w:lang w:val="en-US" w:eastAsia="zh-CN"/>
        </w:rPr>
        <w:t>100</w:t>
      </w:r>
      <w:r>
        <w:rPr>
          <w:rStyle w:val="20"/>
          <w:rFonts w:hint="eastAsia" w:ascii="仿宋_GB2312" w:hAnsi="仿宋_GB2312" w:eastAsia="仿宋_GB2312" w:cs="仿宋_GB2312"/>
          <w:b w:val="0"/>
          <w:bCs/>
          <w:color w:val="auto"/>
          <w:sz w:val="30"/>
          <w:szCs w:val="30"/>
        </w:rPr>
        <w:t>%</w:t>
      </w:r>
      <w:r>
        <w:rPr>
          <w:rStyle w:val="20"/>
          <w:rFonts w:hint="eastAsia" w:ascii="仿宋_GB2312" w:hAnsi="仿宋_GB2312" w:eastAsia="仿宋_GB2312" w:cs="仿宋_GB2312"/>
          <w:b w:val="0"/>
          <w:bCs/>
          <w:color w:val="auto"/>
          <w:sz w:val="30"/>
          <w:szCs w:val="30"/>
          <w:lang w:eastAsia="zh-CN"/>
        </w:rPr>
        <w:t>，</w:t>
      </w:r>
      <w:r>
        <w:rPr>
          <w:rStyle w:val="20"/>
          <w:rFonts w:hint="eastAsia" w:ascii="仿宋_GB2312" w:hAnsi="仿宋_GB2312" w:eastAsia="仿宋_GB2312" w:cs="仿宋_GB2312"/>
          <w:b w:val="0"/>
          <w:bCs/>
          <w:color w:val="auto"/>
          <w:sz w:val="30"/>
          <w:szCs w:val="30"/>
          <w:lang w:val="en-US" w:eastAsia="zh-CN"/>
        </w:rPr>
        <w:t>预算数等于决算数</w:t>
      </w:r>
      <w:r>
        <w:rPr>
          <w:rStyle w:val="20"/>
          <w:rFonts w:hint="eastAsia" w:ascii="仿宋_GB2312" w:hAnsi="仿宋_GB2312" w:eastAsia="仿宋_GB2312" w:cs="仿宋_GB2312"/>
          <w:b w:val="0"/>
          <w:bCs/>
          <w:color w:val="auto"/>
          <w:sz w:val="30"/>
          <w:szCs w:val="30"/>
        </w:rPr>
        <w:t>。</w:t>
      </w:r>
    </w:p>
    <w:p w14:paraId="0A5E0553">
      <w:pPr>
        <w:widowControl w:val="0"/>
        <w:numPr>
          <w:ilvl w:val="0"/>
          <w:numId w:val="0"/>
        </w:numPr>
        <w:wordWrap/>
        <w:snapToGrid/>
        <w:spacing w:line="240" w:lineRule="auto"/>
        <w:ind w:right="0" w:rightChars="0" w:firstLine="600" w:firstLineChars="200"/>
        <w:jc w:val="left"/>
        <w:textAlignment w:val="auto"/>
        <w:rPr>
          <w:rStyle w:val="20"/>
          <w:rFonts w:hint="eastAsia" w:ascii="仿宋_GB2312" w:hAnsi="仿宋_GB2312" w:eastAsia="仿宋_GB2312" w:cs="仿宋_GB2312"/>
          <w:b w:val="0"/>
          <w:bCs/>
          <w:color w:val="auto"/>
          <w:sz w:val="30"/>
          <w:szCs w:val="30"/>
        </w:rPr>
      </w:pPr>
      <w:r>
        <w:rPr>
          <w:rStyle w:val="20"/>
          <w:rFonts w:hint="eastAsia" w:ascii="仿宋_GB2312" w:hAnsi="仿宋_GB2312" w:eastAsia="仿宋_GB2312" w:cs="仿宋_GB2312"/>
          <w:b w:val="0"/>
          <w:bCs/>
          <w:color w:val="auto"/>
          <w:sz w:val="30"/>
          <w:szCs w:val="30"/>
          <w:lang w:val="en-US" w:eastAsia="zh-CN"/>
        </w:rPr>
        <w:t>9.</w:t>
      </w:r>
      <w:r>
        <w:rPr>
          <w:rStyle w:val="20"/>
          <w:rFonts w:hint="eastAsia" w:ascii="仿宋_GB2312" w:hAnsi="仿宋_GB2312" w:eastAsia="仿宋_GB2312" w:cs="仿宋_GB2312"/>
          <w:b w:val="0"/>
          <w:bCs/>
          <w:color w:val="auto"/>
          <w:sz w:val="30"/>
          <w:szCs w:val="30"/>
        </w:rPr>
        <w:t>文化旅游体育与传媒支出（类）其他文化体育与传媒支出（款）宣传文化发展专项支出（项）:支出决算为5万元，完成预算100%</w:t>
      </w:r>
      <w:r>
        <w:rPr>
          <w:rStyle w:val="20"/>
          <w:rFonts w:hint="eastAsia" w:ascii="仿宋_GB2312" w:hAnsi="仿宋_GB2312" w:eastAsia="仿宋_GB2312" w:cs="仿宋_GB2312"/>
          <w:b w:val="0"/>
          <w:bCs/>
          <w:color w:val="auto"/>
          <w:sz w:val="30"/>
          <w:szCs w:val="30"/>
          <w:lang w:eastAsia="zh-CN"/>
        </w:rPr>
        <w:t>，</w:t>
      </w:r>
      <w:r>
        <w:rPr>
          <w:rStyle w:val="20"/>
          <w:rFonts w:hint="eastAsia" w:ascii="仿宋_GB2312" w:hAnsi="仿宋_GB2312" w:eastAsia="仿宋_GB2312" w:cs="仿宋_GB2312"/>
          <w:b w:val="0"/>
          <w:bCs/>
          <w:color w:val="auto"/>
          <w:sz w:val="30"/>
          <w:szCs w:val="30"/>
          <w:lang w:val="en-US" w:eastAsia="zh-CN"/>
        </w:rPr>
        <w:t>预算数等于决算数</w:t>
      </w:r>
      <w:r>
        <w:rPr>
          <w:rStyle w:val="20"/>
          <w:rFonts w:hint="eastAsia" w:ascii="仿宋_GB2312" w:hAnsi="仿宋_GB2312" w:eastAsia="仿宋_GB2312" w:cs="仿宋_GB2312"/>
          <w:b w:val="0"/>
          <w:bCs/>
          <w:color w:val="auto"/>
          <w:sz w:val="30"/>
          <w:szCs w:val="30"/>
        </w:rPr>
        <w:t>。</w:t>
      </w:r>
    </w:p>
    <w:p w14:paraId="62561F9E">
      <w:pPr>
        <w:widowControl w:val="0"/>
        <w:numPr>
          <w:ilvl w:val="0"/>
          <w:numId w:val="0"/>
        </w:numPr>
        <w:wordWrap/>
        <w:snapToGrid/>
        <w:spacing w:line="240" w:lineRule="auto"/>
        <w:ind w:right="0" w:rightChars="0" w:firstLine="600" w:firstLineChars="200"/>
        <w:jc w:val="left"/>
        <w:textAlignment w:val="auto"/>
        <w:rPr>
          <w:rStyle w:val="20"/>
          <w:rFonts w:hint="eastAsia" w:ascii="仿宋_GB2312" w:hAnsi="仿宋_GB2312" w:eastAsia="仿宋_GB2312" w:cs="仿宋_GB2312"/>
          <w:b w:val="0"/>
          <w:bCs/>
          <w:color w:val="auto"/>
          <w:sz w:val="30"/>
          <w:szCs w:val="30"/>
        </w:rPr>
      </w:pPr>
      <w:r>
        <w:rPr>
          <w:rStyle w:val="20"/>
          <w:rFonts w:hint="eastAsia" w:ascii="仿宋_GB2312" w:hAnsi="仿宋_GB2312" w:eastAsia="仿宋_GB2312" w:cs="仿宋_GB2312"/>
          <w:b w:val="0"/>
          <w:bCs/>
          <w:color w:val="auto"/>
          <w:sz w:val="30"/>
          <w:szCs w:val="30"/>
          <w:lang w:val="en-US" w:eastAsia="zh-CN"/>
        </w:rPr>
        <w:t>10.</w:t>
      </w:r>
      <w:r>
        <w:rPr>
          <w:rStyle w:val="20"/>
          <w:rFonts w:hint="eastAsia" w:ascii="仿宋_GB2312" w:hAnsi="仿宋_GB2312" w:eastAsia="仿宋_GB2312" w:cs="仿宋_GB2312"/>
          <w:b w:val="0"/>
          <w:bCs/>
          <w:color w:val="auto"/>
          <w:sz w:val="30"/>
          <w:szCs w:val="30"/>
        </w:rPr>
        <w:t>社会保障和就业支出（类）行政事业单位养老支出（款）机关事业单位基本养老保险缴费支出（项）:支出决算为</w:t>
      </w:r>
      <w:r>
        <w:rPr>
          <w:rStyle w:val="20"/>
          <w:rFonts w:hint="eastAsia" w:ascii="仿宋_GB2312" w:hAnsi="仿宋_GB2312" w:eastAsia="仿宋_GB2312" w:cs="仿宋_GB2312"/>
          <w:b w:val="0"/>
          <w:bCs/>
          <w:color w:val="auto"/>
          <w:sz w:val="30"/>
          <w:szCs w:val="30"/>
          <w:lang w:val="en-US" w:eastAsia="zh-CN"/>
        </w:rPr>
        <w:t>23.39</w:t>
      </w:r>
      <w:r>
        <w:rPr>
          <w:rStyle w:val="20"/>
          <w:rFonts w:hint="eastAsia" w:ascii="仿宋_GB2312" w:hAnsi="仿宋_GB2312" w:eastAsia="仿宋_GB2312" w:cs="仿宋_GB2312"/>
          <w:b w:val="0"/>
          <w:bCs/>
          <w:color w:val="auto"/>
          <w:sz w:val="30"/>
          <w:szCs w:val="30"/>
        </w:rPr>
        <w:t>万元，完成预算</w:t>
      </w:r>
      <w:r>
        <w:rPr>
          <w:rStyle w:val="20"/>
          <w:rFonts w:hint="eastAsia" w:ascii="仿宋_GB2312" w:hAnsi="仿宋_GB2312" w:eastAsia="仿宋_GB2312" w:cs="仿宋_GB2312"/>
          <w:b w:val="0"/>
          <w:bCs/>
          <w:color w:val="auto"/>
          <w:sz w:val="30"/>
          <w:szCs w:val="30"/>
          <w:lang w:val="en-US" w:eastAsia="zh-CN"/>
        </w:rPr>
        <w:t>100</w:t>
      </w:r>
      <w:r>
        <w:rPr>
          <w:rStyle w:val="20"/>
          <w:rFonts w:hint="eastAsia" w:ascii="仿宋_GB2312" w:hAnsi="仿宋_GB2312" w:eastAsia="仿宋_GB2312" w:cs="仿宋_GB2312"/>
          <w:b w:val="0"/>
          <w:bCs/>
          <w:color w:val="auto"/>
          <w:sz w:val="30"/>
          <w:szCs w:val="30"/>
        </w:rPr>
        <w:t>%</w:t>
      </w:r>
      <w:r>
        <w:rPr>
          <w:rStyle w:val="20"/>
          <w:rFonts w:hint="eastAsia" w:ascii="仿宋_GB2312" w:hAnsi="仿宋_GB2312" w:eastAsia="仿宋_GB2312" w:cs="仿宋_GB2312"/>
          <w:b w:val="0"/>
          <w:bCs/>
          <w:color w:val="auto"/>
          <w:sz w:val="30"/>
          <w:szCs w:val="30"/>
          <w:lang w:eastAsia="zh-CN"/>
        </w:rPr>
        <w:t>，</w:t>
      </w:r>
      <w:r>
        <w:rPr>
          <w:rStyle w:val="20"/>
          <w:rFonts w:hint="eastAsia" w:ascii="仿宋_GB2312" w:hAnsi="仿宋_GB2312" w:eastAsia="仿宋_GB2312" w:cs="仿宋_GB2312"/>
          <w:b w:val="0"/>
          <w:bCs/>
          <w:color w:val="auto"/>
          <w:sz w:val="30"/>
          <w:szCs w:val="30"/>
          <w:lang w:val="en-US" w:eastAsia="zh-CN"/>
        </w:rPr>
        <w:t>预算数等于决算数</w:t>
      </w:r>
      <w:r>
        <w:rPr>
          <w:rStyle w:val="20"/>
          <w:rFonts w:hint="eastAsia" w:ascii="仿宋_GB2312" w:hAnsi="仿宋_GB2312" w:eastAsia="仿宋_GB2312" w:cs="仿宋_GB2312"/>
          <w:b w:val="0"/>
          <w:bCs/>
          <w:color w:val="auto"/>
          <w:sz w:val="30"/>
          <w:szCs w:val="30"/>
        </w:rPr>
        <w:t>。</w:t>
      </w:r>
    </w:p>
    <w:p w14:paraId="7AF1D61D">
      <w:pPr>
        <w:widowControl w:val="0"/>
        <w:numPr>
          <w:ilvl w:val="0"/>
          <w:numId w:val="0"/>
        </w:numPr>
        <w:wordWrap/>
        <w:snapToGrid/>
        <w:spacing w:line="240" w:lineRule="auto"/>
        <w:ind w:right="0" w:rightChars="0" w:firstLine="600" w:firstLineChars="200"/>
        <w:jc w:val="left"/>
        <w:textAlignment w:val="auto"/>
        <w:rPr>
          <w:rStyle w:val="20"/>
          <w:rFonts w:hint="eastAsia" w:ascii="仿宋_GB2312" w:hAnsi="仿宋_GB2312" w:eastAsia="仿宋_GB2312" w:cs="仿宋_GB2312"/>
          <w:b w:val="0"/>
          <w:bCs/>
          <w:color w:val="auto"/>
          <w:sz w:val="30"/>
          <w:szCs w:val="30"/>
        </w:rPr>
      </w:pPr>
      <w:r>
        <w:rPr>
          <w:rStyle w:val="20"/>
          <w:rFonts w:hint="eastAsia" w:ascii="仿宋_GB2312" w:hAnsi="仿宋_GB2312" w:eastAsia="仿宋_GB2312" w:cs="仿宋_GB2312"/>
          <w:b w:val="0"/>
          <w:bCs/>
          <w:color w:val="auto"/>
          <w:sz w:val="30"/>
          <w:szCs w:val="30"/>
          <w:lang w:val="en-US" w:eastAsia="zh-CN"/>
        </w:rPr>
        <w:t>11.</w:t>
      </w:r>
      <w:r>
        <w:rPr>
          <w:rStyle w:val="20"/>
          <w:rFonts w:hint="eastAsia" w:ascii="仿宋_GB2312" w:hAnsi="仿宋_GB2312" w:eastAsia="仿宋_GB2312" w:cs="仿宋_GB2312"/>
          <w:b w:val="0"/>
          <w:bCs/>
          <w:color w:val="auto"/>
          <w:sz w:val="30"/>
          <w:szCs w:val="30"/>
        </w:rPr>
        <w:t>社会保障和就业支出（类）其他社会保障和就业支出（款）其他社会保障和就业支出（项）:支出决算为</w:t>
      </w:r>
      <w:r>
        <w:rPr>
          <w:rStyle w:val="20"/>
          <w:rFonts w:hint="eastAsia" w:ascii="仿宋_GB2312" w:hAnsi="仿宋_GB2312" w:eastAsia="仿宋_GB2312" w:cs="仿宋_GB2312"/>
          <w:b w:val="0"/>
          <w:bCs/>
          <w:color w:val="auto"/>
          <w:sz w:val="30"/>
          <w:szCs w:val="30"/>
          <w:lang w:val="en-US" w:eastAsia="zh-CN"/>
        </w:rPr>
        <w:t>1.62</w:t>
      </w:r>
      <w:r>
        <w:rPr>
          <w:rStyle w:val="20"/>
          <w:rFonts w:hint="eastAsia" w:ascii="仿宋_GB2312" w:hAnsi="仿宋_GB2312" w:eastAsia="仿宋_GB2312" w:cs="仿宋_GB2312"/>
          <w:b w:val="0"/>
          <w:bCs/>
          <w:color w:val="auto"/>
          <w:sz w:val="30"/>
          <w:szCs w:val="30"/>
        </w:rPr>
        <w:t>万元，完成预算</w:t>
      </w:r>
      <w:r>
        <w:rPr>
          <w:rStyle w:val="20"/>
          <w:rFonts w:hint="eastAsia" w:ascii="仿宋_GB2312" w:hAnsi="仿宋_GB2312" w:eastAsia="仿宋_GB2312" w:cs="仿宋_GB2312"/>
          <w:b w:val="0"/>
          <w:bCs/>
          <w:color w:val="auto"/>
          <w:sz w:val="30"/>
          <w:szCs w:val="30"/>
          <w:lang w:val="en-US" w:eastAsia="zh-CN"/>
        </w:rPr>
        <w:t>100</w:t>
      </w:r>
      <w:r>
        <w:rPr>
          <w:rStyle w:val="20"/>
          <w:rFonts w:hint="eastAsia" w:ascii="仿宋_GB2312" w:hAnsi="仿宋_GB2312" w:eastAsia="仿宋_GB2312" w:cs="仿宋_GB2312"/>
          <w:b w:val="0"/>
          <w:bCs/>
          <w:color w:val="auto"/>
          <w:sz w:val="30"/>
          <w:szCs w:val="30"/>
        </w:rPr>
        <w:t>%</w:t>
      </w:r>
      <w:r>
        <w:rPr>
          <w:rStyle w:val="20"/>
          <w:rFonts w:hint="eastAsia" w:ascii="仿宋_GB2312" w:hAnsi="仿宋_GB2312" w:eastAsia="仿宋_GB2312" w:cs="仿宋_GB2312"/>
          <w:b w:val="0"/>
          <w:bCs/>
          <w:color w:val="auto"/>
          <w:sz w:val="30"/>
          <w:szCs w:val="30"/>
          <w:lang w:eastAsia="zh-CN"/>
        </w:rPr>
        <w:t>，</w:t>
      </w:r>
      <w:r>
        <w:rPr>
          <w:rStyle w:val="20"/>
          <w:rFonts w:hint="eastAsia" w:ascii="仿宋_GB2312" w:hAnsi="仿宋_GB2312" w:eastAsia="仿宋_GB2312" w:cs="仿宋_GB2312"/>
          <w:b w:val="0"/>
          <w:bCs/>
          <w:color w:val="auto"/>
          <w:sz w:val="30"/>
          <w:szCs w:val="30"/>
          <w:lang w:val="en-US" w:eastAsia="zh-CN"/>
        </w:rPr>
        <w:t>预算数等于决算数</w:t>
      </w:r>
      <w:r>
        <w:rPr>
          <w:rStyle w:val="20"/>
          <w:rFonts w:hint="eastAsia" w:ascii="仿宋_GB2312" w:hAnsi="仿宋_GB2312" w:eastAsia="仿宋_GB2312" w:cs="仿宋_GB2312"/>
          <w:b w:val="0"/>
          <w:bCs/>
          <w:color w:val="auto"/>
          <w:sz w:val="30"/>
          <w:szCs w:val="30"/>
        </w:rPr>
        <w:t>。</w:t>
      </w:r>
    </w:p>
    <w:p w14:paraId="11E6AD59">
      <w:pPr>
        <w:widowControl w:val="0"/>
        <w:numPr>
          <w:ilvl w:val="0"/>
          <w:numId w:val="0"/>
        </w:numPr>
        <w:wordWrap/>
        <w:snapToGrid/>
        <w:spacing w:line="240" w:lineRule="auto"/>
        <w:ind w:right="0" w:rightChars="0" w:firstLine="600" w:firstLineChars="200"/>
        <w:jc w:val="left"/>
        <w:textAlignment w:val="auto"/>
        <w:rPr>
          <w:rStyle w:val="20"/>
          <w:rFonts w:hint="eastAsia" w:ascii="仿宋_GB2312" w:hAnsi="仿宋_GB2312" w:eastAsia="仿宋_GB2312" w:cs="仿宋_GB2312"/>
          <w:b w:val="0"/>
          <w:bCs/>
          <w:color w:val="auto"/>
          <w:sz w:val="30"/>
          <w:szCs w:val="30"/>
        </w:rPr>
      </w:pPr>
      <w:r>
        <w:rPr>
          <w:rStyle w:val="20"/>
          <w:rFonts w:hint="eastAsia" w:ascii="仿宋_GB2312" w:hAnsi="仿宋_GB2312" w:eastAsia="仿宋_GB2312" w:cs="仿宋_GB2312"/>
          <w:b w:val="0"/>
          <w:bCs/>
          <w:color w:val="auto"/>
          <w:sz w:val="30"/>
          <w:szCs w:val="30"/>
          <w:lang w:val="en-US" w:eastAsia="zh-CN"/>
        </w:rPr>
        <w:t>12.</w:t>
      </w:r>
      <w:r>
        <w:rPr>
          <w:rStyle w:val="20"/>
          <w:rFonts w:hint="eastAsia" w:ascii="仿宋_GB2312" w:hAnsi="仿宋_GB2312" w:eastAsia="仿宋_GB2312" w:cs="仿宋_GB2312"/>
          <w:b w:val="0"/>
          <w:bCs/>
          <w:color w:val="auto"/>
          <w:sz w:val="30"/>
          <w:szCs w:val="30"/>
        </w:rPr>
        <w:t>卫生健康支出（类）行政事业单位医疗（款）行政单位医疗（项）:支出决算为</w:t>
      </w:r>
      <w:r>
        <w:rPr>
          <w:rStyle w:val="20"/>
          <w:rFonts w:hint="eastAsia" w:ascii="仿宋_GB2312" w:hAnsi="仿宋_GB2312" w:eastAsia="仿宋_GB2312" w:cs="仿宋_GB2312"/>
          <w:b w:val="0"/>
          <w:bCs/>
          <w:color w:val="auto"/>
          <w:sz w:val="30"/>
          <w:szCs w:val="30"/>
          <w:lang w:val="en-US" w:eastAsia="zh-CN"/>
        </w:rPr>
        <w:t>5.96</w:t>
      </w:r>
      <w:r>
        <w:rPr>
          <w:rStyle w:val="20"/>
          <w:rFonts w:hint="eastAsia" w:ascii="仿宋_GB2312" w:hAnsi="仿宋_GB2312" w:eastAsia="仿宋_GB2312" w:cs="仿宋_GB2312"/>
          <w:b w:val="0"/>
          <w:bCs/>
          <w:color w:val="auto"/>
          <w:sz w:val="30"/>
          <w:szCs w:val="30"/>
        </w:rPr>
        <w:t>万元，完成预算</w:t>
      </w:r>
      <w:r>
        <w:rPr>
          <w:rStyle w:val="20"/>
          <w:rFonts w:hint="eastAsia" w:ascii="仿宋_GB2312" w:hAnsi="仿宋_GB2312" w:eastAsia="仿宋_GB2312" w:cs="仿宋_GB2312"/>
          <w:b w:val="0"/>
          <w:bCs/>
          <w:color w:val="auto"/>
          <w:sz w:val="30"/>
          <w:szCs w:val="30"/>
          <w:lang w:val="en-US" w:eastAsia="zh-CN"/>
        </w:rPr>
        <w:t>100</w:t>
      </w:r>
      <w:r>
        <w:rPr>
          <w:rStyle w:val="20"/>
          <w:rFonts w:hint="eastAsia" w:ascii="仿宋_GB2312" w:hAnsi="仿宋_GB2312" w:eastAsia="仿宋_GB2312" w:cs="仿宋_GB2312"/>
          <w:b w:val="0"/>
          <w:bCs/>
          <w:color w:val="auto"/>
          <w:sz w:val="30"/>
          <w:szCs w:val="30"/>
        </w:rPr>
        <w:t>%</w:t>
      </w:r>
      <w:r>
        <w:rPr>
          <w:rStyle w:val="20"/>
          <w:rFonts w:hint="eastAsia" w:ascii="仿宋_GB2312" w:hAnsi="仿宋_GB2312" w:eastAsia="仿宋_GB2312" w:cs="仿宋_GB2312"/>
          <w:b w:val="0"/>
          <w:bCs/>
          <w:color w:val="auto"/>
          <w:sz w:val="30"/>
          <w:szCs w:val="30"/>
          <w:lang w:eastAsia="zh-CN"/>
        </w:rPr>
        <w:t>，</w:t>
      </w:r>
      <w:r>
        <w:rPr>
          <w:rStyle w:val="20"/>
          <w:rFonts w:hint="eastAsia" w:ascii="仿宋_GB2312" w:hAnsi="仿宋_GB2312" w:eastAsia="仿宋_GB2312" w:cs="仿宋_GB2312"/>
          <w:b w:val="0"/>
          <w:bCs/>
          <w:color w:val="auto"/>
          <w:sz w:val="30"/>
          <w:szCs w:val="30"/>
          <w:lang w:val="en-US" w:eastAsia="zh-CN"/>
        </w:rPr>
        <w:t>预算数等于决算数</w:t>
      </w:r>
      <w:r>
        <w:rPr>
          <w:rStyle w:val="20"/>
          <w:rFonts w:hint="eastAsia" w:ascii="仿宋_GB2312" w:hAnsi="仿宋_GB2312" w:eastAsia="仿宋_GB2312" w:cs="仿宋_GB2312"/>
          <w:b w:val="0"/>
          <w:bCs/>
          <w:color w:val="auto"/>
          <w:sz w:val="30"/>
          <w:szCs w:val="30"/>
        </w:rPr>
        <w:t>。</w:t>
      </w:r>
    </w:p>
    <w:p w14:paraId="159EA598">
      <w:pPr>
        <w:widowControl w:val="0"/>
        <w:numPr>
          <w:ilvl w:val="0"/>
          <w:numId w:val="0"/>
        </w:numPr>
        <w:wordWrap/>
        <w:snapToGrid/>
        <w:spacing w:line="240" w:lineRule="auto"/>
        <w:ind w:right="0" w:rightChars="0" w:firstLine="600" w:firstLineChars="200"/>
        <w:jc w:val="left"/>
        <w:textAlignment w:val="auto"/>
        <w:rPr>
          <w:rStyle w:val="20"/>
          <w:rFonts w:hint="eastAsia" w:ascii="仿宋_GB2312" w:hAnsi="仿宋_GB2312" w:eastAsia="仿宋_GB2312" w:cs="仿宋_GB2312"/>
          <w:b w:val="0"/>
          <w:bCs/>
          <w:color w:val="auto"/>
          <w:sz w:val="30"/>
          <w:szCs w:val="30"/>
        </w:rPr>
      </w:pPr>
      <w:r>
        <w:rPr>
          <w:rStyle w:val="20"/>
          <w:rFonts w:hint="eastAsia" w:ascii="仿宋_GB2312" w:hAnsi="仿宋_GB2312" w:eastAsia="仿宋_GB2312" w:cs="仿宋_GB2312"/>
          <w:b w:val="0"/>
          <w:bCs/>
          <w:color w:val="auto"/>
          <w:sz w:val="30"/>
          <w:szCs w:val="30"/>
          <w:lang w:val="en-US" w:eastAsia="zh-CN"/>
        </w:rPr>
        <w:t>13.</w:t>
      </w:r>
      <w:r>
        <w:rPr>
          <w:rStyle w:val="20"/>
          <w:rFonts w:hint="eastAsia" w:ascii="仿宋_GB2312" w:hAnsi="仿宋_GB2312" w:eastAsia="仿宋_GB2312" w:cs="仿宋_GB2312"/>
          <w:b w:val="0"/>
          <w:bCs/>
          <w:color w:val="auto"/>
          <w:sz w:val="30"/>
          <w:szCs w:val="30"/>
        </w:rPr>
        <w:t>卫生健康支出（类）行政事业单位医疗（款）事业单位医疗（项）:支出决算为</w:t>
      </w:r>
      <w:r>
        <w:rPr>
          <w:rStyle w:val="20"/>
          <w:rFonts w:hint="eastAsia" w:ascii="仿宋_GB2312" w:hAnsi="仿宋_GB2312" w:eastAsia="仿宋_GB2312" w:cs="仿宋_GB2312"/>
          <w:b w:val="0"/>
          <w:bCs/>
          <w:color w:val="auto"/>
          <w:sz w:val="30"/>
          <w:szCs w:val="30"/>
          <w:lang w:val="en-US" w:eastAsia="zh-CN"/>
        </w:rPr>
        <w:t>5.25</w:t>
      </w:r>
      <w:r>
        <w:rPr>
          <w:rStyle w:val="20"/>
          <w:rFonts w:hint="eastAsia" w:ascii="仿宋_GB2312" w:hAnsi="仿宋_GB2312" w:eastAsia="仿宋_GB2312" w:cs="仿宋_GB2312"/>
          <w:b w:val="0"/>
          <w:bCs/>
          <w:color w:val="auto"/>
          <w:sz w:val="30"/>
          <w:szCs w:val="30"/>
        </w:rPr>
        <w:t>万元，完成预算</w:t>
      </w:r>
      <w:r>
        <w:rPr>
          <w:rStyle w:val="20"/>
          <w:rFonts w:hint="eastAsia" w:ascii="仿宋_GB2312" w:hAnsi="仿宋_GB2312" w:eastAsia="仿宋_GB2312" w:cs="仿宋_GB2312"/>
          <w:b w:val="0"/>
          <w:bCs/>
          <w:color w:val="auto"/>
          <w:sz w:val="30"/>
          <w:szCs w:val="30"/>
          <w:lang w:val="en-US" w:eastAsia="zh-CN"/>
        </w:rPr>
        <w:t>100</w:t>
      </w:r>
      <w:r>
        <w:rPr>
          <w:rStyle w:val="20"/>
          <w:rFonts w:hint="eastAsia" w:ascii="仿宋_GB2312" w:hAnsi="仿宋_GB2312" w:eastAsia="仿宋_GB2312" w:cs="仿宋_GB2312"/>
          <w:b w:val="0"/>
          <w:bCs/>
          <w:color w:val="auto"/>
          <w:sz w:val="30"/>
          <w:szCs w:val="30"/>
        </w:rPr>
        <w:t>%</w:t>
      </w:r>
      <w:r>
        <w:rPr>
          <w:rStyle w:val="20"/>
          <w:rFonts w:hint="eastAsia" w:ascii="仿宋_GB2312" w:hAnsi="仿宋_GB2312" w:eastAsia="仿宋_GB2312" w:cs="仿宋_GB2312"/>
          <w:b w:val="0"/>
          <w:bCs/>
          <w:color w:val="auto"/>
          <w:sz w:val="30"/>
          <w:szCs w:val="30"/>
          <w:lang w:eastAsia="zh-CN"/>
        </w:rPr>
        <w:t>，</w:t>
      </w:r>
      <w:r>
        <w:rPr>
          <w:rStyle w:val="20"/>
          <w:rFonts w:hint="eastAsia" w:ascii="仿宋_GB2312" w:hAnsi="仿宋_GB2312" w:eastAsia="仿宋_GB2312" w:cs="仿宋_GB2312"/>
          <w:b w:val="0"/>
          <w:bCs/>
          <w:color w:val="auto"/>
          <w:sz w:val="30"/>
          <w:szCs w:val="30"/>
          <w:lang w:val="en-US" w:eastAsia="zh-CN"/>
        </w:rPr>
        <w:t>预算数等于决算数</w:t>
      </w:r>
      <w:r>
        <w:rPr>
          <w:rStyle w:val="20"/>
          <w:rFonts w:hint="eastAsia" w:ascii="仿宋_GB2312" w:hAnsi="仿宋_GB2312" w:eastAsia="仿宋_GB2312" w:cs="仿宋_GB2312"/>
          <w:b w:val="0"/>
          <w:bCs/>
          <w:color w:val="auto"/>
          <w:sz w:val="30"/>
          <w:szCs w:val="30"/>
        </w:rPr>
        <w:t>。</w:t>
      </w:r>
    </w:p>
    <w:p w14:paraId="68825850">
      <w:pPr>
        <w:widowControl w:val="0"/>
        <w:numPr>
          <w:ilvl w:val="0"/>
          <w:numId w:val="0"/>
        </w:numPr>
        <w:wordWrap/>
        <w:snapToGrid/>
        <w:spacing w:line="240" w:lineRule="auto"/>
        <w:ind w:right="0" w:rightChars="0" w:firstLine="600" w:firstLineChars="200"/>
        <w:jc w:val="left"/>
        <w:textAlignment w:val="auto"/>
        <w:rPr>
          <w:rStyle w:val="20"/>
          <w:rFonts w:hint="eastAsia" w:ascii="仿宋_GB2312" w:hAnsi="仿宋_GB2312" w:eastAsia="仿宋_GB2312" w:cs="仿宋_GB2312"/>
          <w:b w:val="0"/>
          <w:bCs/>
          <w:color w:val="auto"/>
          <w:sz w:val="30"/>
          <w:szCs w:val="30"/>
        </w:rPr>
      </w:pPr>
      <w:r>
        <w:rPr>
          <w:rStyle w:val="20"/>
          <w:rFonts w:hint="eastAsia" w:ascii="仿宋_GB2312" w:hAnsi="仿宋_GB2312" w:eastAsia="仿宋_GB2312" w:cs="仿宋_GB2312"/>
          <w:b w:val="0"/>
          <w:bCs/>
          <w:color w:val="auto"/>
          <w:sz w:val="30"/>
          <w:szCs w:val="30"/>
          <w:lang w:val="en-US" w:eastAsia="zh-CN"/>
        </w:rPr>
        <w:t>14.</w:t>
      </w:r>
      <w:r>
        <w:rPr>
          <w:rStyle w:val="20"/>
          <w:rFonts w:hint="eastAsia" w:ascii="仿宋_GB2312" w:hAnsi="仿宋_GB2312" w:eastAsia="仿宋_GB2312" w:cs="仿宋_GB2312"/>
          <w:b w:val="0"/>
          <w:bCs/>
          <w:color w:val="auto"/>
          <w:sz w:val="30"/>
          <w:szCs w:val="30"/>
        </w:rPr>
        <w:t>住房保障支出（类）住房改革支出（款）住房公积金（项）:支出决算为</w:t>
      </w:r>
      <w:r>
        <w:rPr>
          <w:rStyle w:val="20"/>
          <w:rFonts w:hint="eastAsia" w:ascii="仿宋_GB2312" w:hAnsi="仿宋_GB2312" w:eastAsia="仿宋_GB2312" w:cs="仿宋_GB2312"/>
          <w:b w:val="0"/>
          <w:bCs/>
          <w:color w:val="auto"/>
          <w:sz w:val="30"/>
          <w:szCs w:val="30"/>
          <w:lang w:val="en-US" w:eastAsia="zh-CN"/>
        </w:rPr>
        <w:t>23.15</w:t>
      </w:r>
      <w:r>
        <w:rPr>
          <w:rStyle w:val="20"/>
          <w:rFonts w:hint="eastAsia" w:ascii="仿宋_GB2312" w:hAnsi="仿宋_GB2312" w:eastAsia="仿宋_GB2312" w:cs="仿宋_GB2312"/>
          <w:b w:val="0"/>
          <w:bCs/>
          <w:color w:val="auto"/>
          <w:sz w:val="30"/>
          <w:szCs w:val="30"/>
        </w:rPr>
        <w:t>万元，完成预算</w:t>
      </w:r>
      <w:r>
        <w:rPr>
          <w:rStyle w:val="20"/>
          <w:rFonts w:hint="eastAsia" w:ascii="仿宋_GB2312" w:hAnsi="仿宋_GB2312" w:eastAsia="仿宋_GB2312" w:cs="仿宋_GB2312"/>
          <w:b w:val="0"/>
          <w:bCs/>
          <w:color w:val="auto"/>
          <w:sz w:val="30"/>
          <w:szCs w:val="30"/>
          <w:lang w:val="en-US" w:eastAsia="zh-CN"/>
        </w:rPr>
        <w:t>100</w:t>
      </w:r>
      <w:r>
        <w:rPr>
          <w:rStyle w:val="20"/>
          <w:rFonts w:hint="eastAsia" w:ascii="仿宋_GB2312" w:hAnsi="仿宋_GB2312" w:eastAsia="仿宋_GB2312" w:cs="仿宋_GB2312"/>
          <w:b w:val="0"/>
          <w:bCs/>
          <w:color w:val="auto"/>
          <w:sz w:val="30"/>
          <w:szCs w:val="30"/>
        </w:rPr>
        <w:t>%</w:t>
      </w:r>
      <w:r>
        <w:rPr>
          <w:rStyle w:val="20"/>
          <w:rFonts w:hint="eastAsia" w:ascii="仿宋_GB2312" w:hAnsi="仿宋_GB2312" w:eastAsia="仿宋_GB2312" w:cs="仿宋_GB2312"/>
          <w:b w:val="0"/>
          <w:bCs/>
          <w:color w:val="auto"/>
          <w:sz w:val="30"/>
          <w:szCs w:val="30"/>
          <w:lang w:eastAsia="zh-CN"/>
        </w:rPr>
        <w:t>，</w:t>
      </w:r>
      <w:r>
        <w:rPr>
          <w:rStyle w:val="20"/>
          <w:rFonts w:hint="eastAsia" w:ascii="仿宋_GB2312" w:hAnsi="仿宋_GB2312" w:eastAsia="仿宋_GB2312" w:cs="仿宋_GB2312"/>
          <w:b w:val="0"/>
          <w:bCs/>
          <w:color w:val="auto"/>
          <w:sz w:val="30"/>
          <w:szCs w:val="30"/>
          <w:lang w:val="en-US" w:eastAsia="zh-CN"/>
        </w:rPr>
        <w:t>预算数等于决算数</w:t>
      </w:r>
      <w:r>
        <w:rPr>
          <w:rStyle w:val="20"/>
          <w:rFonts w:hint="eastAsia" w:ascii="仿宋_GB2312" w:hAnsi="仿宋_GB2312" w:eastAsia="仿宋_GB2312" w:cs="仿宋_GB2312"/>
          <w:b w:val="0"/>
          <w:bCs/>
          <w:color w:val="auto"/>
          <w:sz w:val="30"/>
          <w:szCs w:val="30"/>
        </w:rPr>
        <w:t>。</w:t>
      </w:r>
    </w:p>
    <w:p w14:paraId="1B8B2FCA">
      <w:pPr>
        <w:pStyle w:val="24"/>
        <w:widowControl w:val="0"/>
        <w:numPr>
          <w:ilvl w:val="0"/>
          <w:numId w:val="0"/>
        </w:numPr>
        <w:wordWrap/>
        <w:snapToGrid/>
        <w:spacing w:line="240" w:lineRule="auto"/>
        <w:ind w:leftChars="200" w:right="0" w:rightChars="0"/>
        <w:jc w:val="left"/>
        <w:textAlignment w:val="auto"/>
        <w:outlineLvl w:val="1"/>
        <w:rPr>
          <w:rStyle w:val="37"/>
          <w:rFonts w:hint="eastAsia" w:ascii="黑体" w:hAnsi="黑体" w:eastAsia="黑体" w:cs="黑体"/>
          <w:b w:val="0"/>
          <w:sz w:val="30"/>
          <w:szCs w:val="30"/>
        </w:rPr>
      </w:pPr>
      <w:bookmarkStart w:id="56" w:name="_Toc12572"/>
      <w:r>
        <w:rPr>
          <w:rFonts w:hint="eastAsia" w:ascii="黑体" w:hAnsi="黑体" w:eastAsia="黑体" w:cs="黑体"/>
          <w:b/>
          <w:color w:val="000000"/>
          <w:sz w:val="30"/>
          <w:szCs w:val="30"/>
          <w:lang w:val="en-US" w:eastAsia="zh-CN"/>
        </w:rPr>
        <w:t>六</w:t>
      </w:r>
      <w:r>
        <w:rPr>
          <w:rFonts w:hint="eastAsia" w:ascii="黑体" w:hAnsi="黑体" w:eastAsia="黑体" w:cs="黑体"/>
          <w:b w:val="0"/>
          <w:bCs w:val="0"/>
          <w:color w:val="000000"/>
          <w:sz w:val="30"/>
          <w:szCs w:val="30"/>
          <w:lang w:val="en-US" w:eastAsia="zh-CN"/>
        </w:rPr>
        <w:t>、</w:t>
      </w:r>
      <w:r>
        <w:rPr>
          <w:rFonts w:hint="eastAsia" w:ascii="黑体" w:hAnsi="黑体" w:eastAsia="黑体" w:cs="黑体"/>
          <w:b w:val="0"/>
          <w:bCs w:val="0"/>
          <w:color w:val="000000"/>
          <w:sz w:val="30"/>
          <w:szCs w:val="30"/>
        </w:rPr>
        <w:t>一般公共预算财政拨款基本支出决算情况说明</w:t>
      </w:r>
      <w:bookmarkEnd w:id="45"/>
      <w:bookmarkEnd w:id="46"/>
      <w:bookmarkEnd w:id="56"/>
      <w:r>
        <w:rPr>
          <w:rFonts w:hint="eastAsia" w:ascii="黑体" w:hAnsi="黑体" w:eastAsia="黑体" w:cs="黑体"/>
          <w:b w:val="0"/>
          <w:bCs w:val="0"/>
          <w:color w:val="000000"/>
          <w:sz w:val="30"/>
          <w:szCs w:val="30"/>
        </w:rPr>
        <w:tab/>
      </w:r>
      <w:bookmarkStart w:id="57" w:name="_Toc15377215"/>
      <w:bookmarkStart w:id="58" w:name="_Toc15396609"/>
    </w:p>
    <w:p w14:paraId="2CAEE9AC">
      <w:pPr>
        <w:widowControl w:val="0"/>
        <w:wordWrap/>
        <w:snapToGrid/>
        <w:spacing w:line="240" w:lineRule="auto"/>
        <w:ind w:left="0" w:leftChars="0" w:right="0" w:firstLine="600" w:firstLineChars="20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2020</w:t>
      </w:r>
      <w:r>
        <w:rPr>
          <w:rFonts w:hint="eastAsia" w:ascii="仿宋_GB2312" w:hAnsi="仿宋_GB2312" w:eastAsia="仿宋_GB2312" w:cs="仿宋_GB2312"/>
          <w:color w:val="auto"/>
          <w:sz w:val="30"/>
          <w:szCs w:val="30"/>
        </w:rPr>
        <w:t>年一般公共预算财政拨款基本支出547.82万元，其中：</w:t>
      </w:r>
    </w:p>
    <w:p w14:paraId="2531A858">
      <w:pPr>
        <w:widowControl w:val="0"/>
        <w:wordWrap/>
        <w:snapToGrid/>
        <w:spacing w:line="240" w:lineRule="auto"/>
        <w:ind w:right="0" w:firstLine="600" w:firstLineChars="20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人员经费</w:t>
      </w:r>
      <w:r>
        <w:rPr>
          <w:rFonts w:hint="eastAsia" w:ascii="仿宋_GB2312" w:hAnsi="仿宋_GB2312" w:eastAsia="仿宋_GB2312" w:cs="仿宋_GB2312"/>
          <w:color w:val="auto"/>
          <w:sz w:val="30"/>
          <w:szCs w:val="30"/>
          <w:lang w:val="en-US" w:eastAsia="zh-CN"/>
        </w:rPr>
        <w:t>272.41</w:t>
      </w:r>
      <w:r>
        <w:rPr>
          <w:rFonts w:hint="eastAsia" w:ascii="仿宋_GB2312" w:hAnsi="仿宋_GB2312" w:eastAsia="仿宋_GB2312" w:cs="仿宋_GB2312"/>
          <w:color w:val="auto"/>
          <w:sz w:val="30"/>
          <w:szCs w:val="30"/>
        </w:rPr>
        <w:t>万元，主要包括：基本工资</w:t>
      </w:r>
      <w:r>
        <w:rPr>
          <w:rFonts w:hint="eastAsia" w:ascii="仿宋_GB2312" w:hAnsi="仿宋_GB2312" w:eastAsia="仿宋_GB2312" w:cs="仿宋_GB2312"/>
          <w:color w:val="auto"/>
          <w:sz w:val="30"/>
          <w:szCs w:val="30"/>
          <w:lang w:val="en-US" w:eastAsia="zh-CN"/>
        </w:rPr>
        <w:t>80.19万元</w:t>
      </w:r>
      <w:r>
        <w:rPr>
          <w:rFonts w:hint="eastAsia" w:ascii="仿宋_GB2312" w:hAnsi="仿宋_GB2312" w:eastAsia="仿宋_GB2312" w:cs="仿宋_GB2312"/>
          <w:color w:val="auto"/>
          <w:sz w:val="30"/>
          <w:szCs w:val="30"/>
        </w:rPr>
        <w:t>、津贴补贴34.04</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、奖金4.19</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、绩效工资29.43</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、机关事业单位基本养老保险缴费23.39</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、职工基本医疗保险缴费11.22</w:t>
      </w:r>
      <w:r>
        <w:rPr>
          <w:rFonts w:hint="eastAsia" w:ascii="仿宋_GB2312" w:hAnsi="仿宋_GB2312" w:eastAsia="仿宋_GB2312" w:cs="仿宋_GB2312"/>
          <w:color w:val="auto"/>
          <w:sz w:val="30"/>
          <w:szCs w:val="30"/>
          <w:lang w:val="en-US" w:eastAsia="zh-CN"/>
        </w:rPr>
        <w:t>万元、其他社会保障缴费1.62万元、住房公积金23.15万元、</w:t>
      </w:r>
      <w:r>
        <w:rPr>
          <w:rFonts w:hint="eastAsia" w:ascii="仿宋_GB2312" w:hAnsi="仿宋_GB2312" w:eastAsia="仿宋_GB2312" w:cs="仿宋_GB2312"/>
          <w:color w:val="auto"/>
          <w:sz w:val="30"/>
          <w:szCs w:val="30"/>
        </w:rPr>
        <w:t>其他工资福利支出63.77</w:t>
      </w:r>
      <w:r>
        <w:rPr>
          <w:rFonts w:hint="eastAsia" w:ascii="仿宋_GB2312" w:hAnsi="仿宋_GB2312" w:eastAsia="仿宋_GB2312" w:cs="仿宋_GB2312"/>
          <w:color w:val="auto"/>
          <w:sz w:val="30"/>
          <w:szCs w:val="30"/>
          <w:lang w:val="en-US" w:eastAsia="zh-CN"/>
        </w:rPr>
        <w:t>万元、生活补助1.4万元、奖励金0.01万元</w:t>
      </w:r>
      <w:r>
        <w:rPr>
          <w:rFonts w:hint="eastAsia" w:ascii="仿宋_GB2312" w:hAnsi="仿宋_GB2312" w:eastAsia="仿宋_GB2312" w:cs="仿宋_GB2312"/>
          <w:color w:val="auto"/>
          <w:sz w:val="30"/>
          <w:szCs w:val="30"/>
        </w:rPr>
        <w:t>等。</w:t>
      </w:r>
    </w:p>
    <w:p w14:paraId="42C9C958">
      <w:pPr>
        <w:widowControl w:val="0"/>
        <w:wordWrap/>
        <w:snapToGrid/>
        <w:spacing w:line="240" w:lineRule="auto"/>
        <w:ind w:left="0" w:leftChars="0" w:right="0" w:firstLine="600" w:firstLineChars="200"/>
        <w:jc w:val="left"/>
        <w:textAlignment w:val="auto"/>
        <w:rPr>
          <w:rStyle w:val="37"/>
          <w:rFonts w:hint="eastAsia" w:ascii="黑体" w:hAnsi="黑体" w:eastAsia="黑体" w:cs="黑体"/>
          <w:b w:val="0"/>
          <w:color w:val="auto"/>
          <w:sz w:val="30"/>
          <w:szCs w:val="30"/>
        </w:rPr>
      </w:pPr>
      <w:r>
        <w:rPr>
          <w:rFonts w:hint="eastAsia" w:ascii="仿宋_GB2312" w:hAnsi="仿宋_GB2312" w:eastAsia="仿宋_GB2312" w:cs="仿宋_GB2312"/>
          <w:color w:val="auto"/>
          <w:sz w:val="30"/>
          <w:szCs w:val="30"/>
        </w:rPr>
        <w:t>日常公用经费</w:t>
      </w:r>
      <w:r>
        <w:rPr>
          <w:rFonts w:hint="eastAsia" w:ascii="仿宋_GB2312" w:hAnsi="仿宋_GB2312" w:eastAsia="仿宋_GB2312" w:cs="仿宋_GB2312"/>
          <w:color w:val="auto"/>
          <w:sz w:val="30"/>
          <w:szCs w:val="30"/>
          <w:lang w:val="en-US" w:eastAsia="zh-CN"/>
        </w:rPr>
        <w:t>275.41</w:t>
      </w:r>
      <w:r>
        <w:rPr>
          <w:rFonts w:hint="eastAsia" w:ascii="仿宋_GB2312" w:hAnsi="仿宋_GB2312" w:eastAsia="仿宋_GB2312" w:cs="仿宋_GB2312"/>
          <w:color w:val="auto"/>
          <w:sz w:val="30"/>
          <w:szCs w:val="30"/>
        </w:rPr>
        <w:t>万元，主要包括：办公费23.73</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、印刷费18.14</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、咨询费1</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、手续费</w:t>
      </w:r>
      <w:r>
        <w:rPr>
          <w:rFonts w:hint="eastAsia" w:ascii="仿宋_GB2312" w:hAnsi="仿宋_GB2312" w:eastAsia="仿宋_GB2312" w:cs="仿宋_GB2312"/>
          <w:color w:val="auto"/>
          <w:sz w:val="30"/>
          <w:szCs w:val="30"/>
          <w:lang w:val="en-US" w:eastAsia="zh-CN"/>
        </w:rPr>
        <w:t>0.17万元</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邮电费3.38</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、物业管理费</w:t>
      </w:r>
      <w:r>
        <w:rPr>
          <w:rFonts w:hint="eastAsia" w:ascii="仿宋_GB2312" w:hAnsi="仿宋_GB2312" w:eastAsia="仿宋_GB2312" w:cs="仿宋_GB2312"/>
          <w:color w:val="auto"/>
          <w:sz w:val="30"/>
          <w:szCs w:val="30"/>
          <w:lang w:val="en-US" w:eastAsia="zh-CN"/>
        </w:rPr>
        <w:t>0.61万元、</w:t>
      </w:r>
      <w:r>
        <w:rPr>
          <w:rFonts w:hint="eastAsia" w:ascii="仿宋_GB2312" w:hAnsi="仿宋_GB2312" w:eastAsia="仿宋_GB2312" w:cs="仿宋_GB2312"/>
          <w:color w:val="auto"/>
          <w:sz w:val="30"/>
          <w:szCs w:val="30"/>
        </w:rPr>
        <w:t>差旅费40.24</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、维修（护）费69.33</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、租赁费3.74</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、会议费1.61</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、培训费0.99</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、公务接待费8.48</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、劳务费17.71</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、委托业务费59.23</w:t>
      </w:r>
      <w:r>
        <w:rPr>
          <w:rFonts w:hint="eastAsia" w:ascii="仿宋_GB2312" w:hAnsi="仿宋_GB2312" w:eastAsia="仿宋_GB2312" w:cs="仿宋_GB2312"/>
          <w:color w:val="auto"/>
          <w:sz w:val="30"/>
          <w:szCs w:val="30"/>
          <w:lang w:val="en-US" w:eastAsia="zh-CN"/>
        </w:rPr>
        <w:t>万元、工会经费4.17万元、</w:t>
      </w:r>
      <w:r>
        <w:rPr>
          <w:rFonts w:hint="eastAsia" w:ascii="仿宋_GB2312" w:hAnsi="仿宋_GB2312" w:eastAsia="仿宋_GB2312" w:cs="仿宋_GB2312"/>
          <w:color w:val="auto"/>
          <w:sz w:val="30"/>
          <w:szCs w:val="30"/>
        </w:rPr>
        <w:t>其他交通费22.88</w:t>
      </w:r>
      <w:r>
        <w:rPr>
          <w:rFonts w:hint="eastAsia" w:ascii="仿宋_GB2312" w:hAnsi="仿宋_GB2312" w:eastAsia="仿宋_GB2312" w:cs="仿宋_GB2312"/>
          <w:color w:val="auto"/>
          <w:sz w:val="30"/>
          <w:szCs w:val="30"/>
          <w:lang w:val="en-US" w:eastAsia="zh-CN"/>
        </w:rPr>
        <w:t>万元</w:t>
      </w:r>
      <w:r>
        <w:rPr>
          <w:rFonts w:hint="eastAsia" w:ascii="仿宋_GB2312" w:hAnsi="仿宋_GB2312" w:eastAsia="仿宋_GB2312" w:cs="仿宋_GB2312"/>
          <w:color w:val="auto"/>
          <w:sz w:val="30"/>
          <w:szCs w:val="30"/>
        </w:rPr>
        <w:t>等。</w:t>
      </w:r>
    </w:p>
    <w:p w14:paraId="0588BCCF">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bookmarkStart w:id="59" w:name="_Toc10333"/>
      <w:r>
        <w:rPr>
          <w:rFonts w:hint="eastAsia" w:ascii="黑体" w:hAnsi="黑体" w:eastAsia="黑体" w:cs="黑体"/>
          <w:b w:val="0"/>
          <w:bCs w:val="0"/>
          <w:color w:val="000000"/>
          <w:sz w:val="30"/>
          <w:szCs w:val="30"/>
          <w:lang w:val="en-US" w:eastAsia="zh-CN"/>
        </w:rPr>
        <w:t>七、“三公”经费财政拨款支出决算情况说明</w:t>
      </w:r>
      <w:bookmarkEnd w:id="57"/>
      <w:bookmarkEnd w:id="58"/>
      <w:bookmarkEnd w:id="59"/>
      <w:bookmarkStart w:id="60" w:name="_Toc15377218"/>
      <w:bookmarkStart w:id="61" w:name="_Toc15396610"/>
    </w:p>
    <w:p w14:paraId="4C289DB3">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62" w:name="_Toc15377216"/>
      <w:bookmarkStart w:id="63" w:name="_Toc6255"/>
      <w:r>
        <w:rPr>
          <w:rFonts w:hint="eastAsia" w:ascii="仿宋_GB2312" w:hAnsi="仿宋_GB2312" w:eastAsia="仿宋_GB2312" w:cs="仿宋_GB2312"/>
          <w:b/>
          <w:color w:val="000000"/>
          <w:sz w:val="30"/>
          <w:szCs w:val="30"/>
        </w:rPr>
        <w:t>（一）“三公”经费财政拨款支出决算总体情况说明</w:t>
      </w:r>
      <w:bookmarkEnd w:id="62"/>
      <w:bookmarkEnd w:id="63"/>
    </w:p>
    <w:p w14:paraId="772A40DB">
      <w:pPr>
        <w:widowControl w:val="0"/>
        <w:wordWrap/>
        <w:snapToGrid/>
        <w:spacing w:line="240" w:lineRule="auto"/>
        <w:ind w:left="0" w:leftChars="0" w:right="0"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2020年“三公”经费财政拨款支出决算为8.48万元，完成预算98.26%，预算数为8.65万元。决算数小于预算数的主要原因是公务接待费严格控制标准、</w:t>
      </w:r>
      <w:r>
        <w:rPr>
          <w:rFonts w:hint="eastAsia" w:ascii="仿宋_GB2312" w:hAnsi="仿宋_GB2312" w:eastAsia="仿宋_GB2312" w:cs="仿宋_GB2312"/>
          <w:color w:val="000000"/>
          <w:sz w:val="30"/>
          <w:szCs w:val="30"/>
        </w:rPr>
        <w:t>严把“三公”经费支出审批关，杜绝超预算支出现象。</w:t>
      </w:r>
    </w:p>
    <w:p w14:paraId="6778B2A7">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64" w:name="_Toc23211"/>
      <w:bookmarkStart w:id="65" w:name="_Toc15377217"/>
      <w:r>
        <w:rPr>
          <w:rFonts w:hint="eastAsia" w:ascii="仿宋_GB2312" w:hAnsi="仿宋_GB2312" w:eastAsia="仿宋_GB2312" w:cs="仿宋_GB2312"/>
          <w:b/>
          <w:color w:val="000000"/>
          <w:sz w:val="30"/>
          <w:szCs w:val="30"/>
        </w:rPr>
        <w:t>（二）“三公”经费财政拨款支出决算具体情况说明</w:t>
      </w:r>
      <w:bookmarkEnd w:id="64"/>
      <w:bookmarkEnd w:id="65"/>
    </w:p>
    <w:p w14:paraId="07B654B4">
      <w:pPr>
        <w:pStyle w:val="7"/>
        <w:ind w:firstLine="600" w:firstLineChars="200"/>
        <w:rPr>
          <w:rFonts w:hint="default" w:eastAsia="宋体" w:cs="Times New Roman"/>
          <w:lang w:val="en-US" w:eastAsia="zh-CN"/>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年“三公”经费财政拨款支出决算中，</w:t>
      </w:r>
      <w:r>
        <w:rPr>
          <w:rFonts w:hint="eastAsia" w:ascii="仿宋_GB2312" w:hAnsi="仿宋_GB2312" w:eastAsia="仿宋_GB2312" w:cs="仿宋_GB2312"/>
          <w:color w:val="000000"/>
          <w:sz w:val="30"/>
          <w:szCs w:val="30"/>
          <w:lang w:val="en-US" w:eastAsia="zh-CN"/>
        </w:rPr>
        <w:t>本单位未发生因公出国（境）费和公务用车购置及运行维护费，当年未安排。</w:t>
      </w:r>
    </w:p>
    <w:p w14:paraId="3149351B">
      <w:pPr>
        <w:widowControl w:val="0"/>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公务接待费支出决算</w:t>
      </w:r>
      <w:r>
        <w:rPr>
          <w:rFonts w:hint="eastAsia" w:ascii="仿宋_GB2312" w:hAnsi="仿宋_GB2312" w:eastAsia="仿宋_GB2312" w:cs="仿宋_GB2312"/>
          <w:color w:val="auto"/>
          <w:sz w:val="30"/>
          <w:szCs w:val="30"/>
        </w:rPr>
        <w:t>8.48</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100</w:t>
      </w:r>
      <w:r>
        <w:rPr>
          <w:rFonts w:hint="eastAsia" w:ascii="仿宋_GB2312" w:hAnsi="仿宋_GB2312" w:eastAsia="仿宋_GB2312" w:cs="仿宋_GB2312"/>
          <w:color w:val="000000"/>
          <w:sz w:val="30"/>
          <w:szCs w:val="30"/>
        </w:rPr>
        <w:t>%。具体情况如下：</w:t>
      </w:r>
    </w:p>
    <w:p w14:paraId="78B42710">
      <w:pPr>
        <w:widowControl w:val="0"/>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1.因公出国（境）经费支出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w:t>
      </w:r>
      <w:r>
        <w:rPr>
          <w:rFonts w:hint="eastAsia" w:ascii="仿宋_GB2312" w:hAnsi="仿宋_GB2312" w:eastAsia="仿宋_GB2312" w:cs="仿宋_GB2312"/>
          <w:b w:val="0"/>
          <w:bCs/>
          <w:color w:val="000000"/>
          <w:sz w:val="30"/>
          <w:szCs w:val="30"/>
          <w:lang w:val="en-US" w:eastAsia="zh-CN"/>
        </w:rPr>
        <w:t>年初未安排预算，与上年持平</w:t>
      </w:r>
      <w:r>
        <w:rPr>
          <w:rStyle w:val="20"/>
          <w:rFonts w:hint="eastAsia" w:ascii="仿宋_GB2312" w:hAnsi="仿宋_GB2312" w:eastAsia="仿宋_GB2312" w:cs="仿宋_GB2312"/>
          <w:b w:val="0"/>
          <w:bCs/>
          <w:color w:val="000000"/>
          <w:sz w:val="30"/>
          <w:szCs w:val="30"/>
        </w:rPr>
        <w:t>。</w:t>
      </w:r>
    </w:p>
    <w:p w14:paraId="49B8B161">
      <w:pPr>
        <w:widowControl w:val="0"/>
        <w:wordWrap/>
        <w:snapToGrid/>
        <w:spacing w:line="240" w:lineRule="auto"/>
        <w:ind w:left="0" w:leftChars="0" w:right="0" w:firstLine="600" w:firstLineChars="200"/>
        <w:jc w:val="left"/>
        <w:textAlignment w:val="auto"/>
        <w:outlineLvl w:val="9"/>
        <w:rPr>
          <w:rStyle w:val="20"/>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rPr>
        <w:t>2.公务用车购置及运行维护费支出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w:t>
      </w:r>
      <w:r>
        <w:rPr>
          <w:rFonts w:hint="eastAsia" w:ascii="仿宋_GB2312" w:hAnsi="仿宋_GB2312" w:eastAsia="仿宋_GB2312" w:cs="仿宋_GB2312"/>
          <w:b w:val="0"/>
          <w:bCs/>
          <w:color w:val="000000"/>
          <w:sz w:val="30"/>
          <w:szCs w:val="30"/>
          <w:lang w:val="en-US" w:eastAsia="zh-CN"/>
        </w:rPr>
        <w:t>年初未安排预算</w:t>
      </w:r>
      <w:r>
        <w:rPr>
          <w:rStyle w:val="20"/>
          <w:rFonts w:hint="eastAsia" w:ascii="仿宋_GB2312" w:hAnsi="仿宋_GB2312" w:eastAsia="仿宋_GB2312" w:cs="仿宋_GB2312"/>
          <w:b w:val="0"/>
          <w:bCs/>
          <w:color w:val="000000"/>
          <w:sz w:val="30"/>
          <w:szCs w:val="30"/>
        </w:rPr>
        <w:t>。</w:t>
      </w:r>
      <w:r>
        <w:rPr>
          <w:rStyle w:val="20"/>
          <w:rFonts w:hint="eastAsia" w:ascii="仿宋_GB2312" w:hAnsi="仿宋_GB2312" w:eastAsia="仿宋_GB2312" w:cs="仿宋_GB2312"/>
          <w:b w:val="0"/>
          <w:bCs/>
          <w:color w:val="000000"/>
          <w:sz w:val="30"/>
          <w:szCs w:val="30"/>
          <w:lang w:val="en-US" w:eastAsia="zh-CN"/>
        </w:rPr>
        <w:t>公务用车购置及运行维护费支出决算与2019年持平。</w:t>
      </w:r>
    </w:p>
    <w:p w14:paraId="4CFC3790">
      <w:pPr>
        <w:pStyle w:val="2"/>
        <w:ind w:left="0" w:leftChars="0" w:firstLine="600" w:firstLineChars="200"/>
        <w:rPr>
          <w:rStyle w:val="20"/>
          <w:rFonts w:hint="eastAsia" w:ascii="仿宋_GB2312" w:hAnsi="仿宋_GB2312" w:eastAsia="仿宋_GB2312" w:cs="仿宋_GB2312"/>
          <w:b w:val="0"/>
          <w:bCs/>
          <w:color w:val="000000"/>
          <w:sz w:val="30"/>
          <w:szCs w:val="30"/>
          <w:lang w:val="en-US" w:eastAsia="zh-CN"/>
        </w:rPr>
      </w:pPr>
      <w:r>
        <w:rPr>
          <w:rStyle w:val="20"/>
          <w:rFonts w:hint="eastAsia" w:ascii="仿宋_GB2312" w:hAnsi="仿宋_GB2312" w:eastAsia="仿宋_GB2312" w:cs="仿宋_GB2312"/>
          <w:b w:val="0"/>
          <w:bCs/>
          <w:color w:val="000000"/>
          <w:sz w:val="30"/>
          <w:szCs w:val="30"/>
          <w:lang w:val="en-US" w:eastAsia="zh-CN"/>
        </w:rPr>
        <w:t>其中：公务用车购置支出0元。</w:t>
      </w:r>
    </w:p>
    <w:p w14:paraId="788F71AD">
      <w:pPr>
        <w:rPr>
          <w:rFonts w:hint="default"/>
          <w:lang w:val="en-US" w:eastAsia="zh-CN"/>
        </w:rPr>
      </w:pPr>
      <w:r>
        <w:rPr>
          <w:rStyle w:val="20"/>
          <w:rFonts w:hint="eastAsia" w:ascii="仿宋_GB2312" w:hAnsi="仿宋_GB2312" w:eastAsia="仿宋_GB2312" w:cs="仿宋_GB2312"/>
          <w:b w:val="0"/>
          <w:bCs/>
          <w:color w:val="000000"/>
          <w:sz w:val="30"/>
          <w:szCs w:val="30"/>
          <w:lang w:val="en-US" w:eastAsia="zh-CN"/>
        </w:rPr>
        <w:t xml:space="preserve">    公务用车运行维护费支出0元。</w:t>
      </w:r>
    </w:p>
    <w:p w14:paraId="08D0A5D6">
      <w:pPr>
        <w:widowControl w:val="0"/>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3.公务接待费支出8.48万元，完成预算</w:t>
      </w:r>
      <w:r>
        <w:rPr>
          <w:rFonts w:hint="eastAsia" w:ascii="仿宋_GB2312" w:hAnsi="仿宋_GB2312" w:eastAsia="仿宋_GB2312" w:cs="仿宋_GB2312"/>
          <w:b w:val="0"/>
          <w:bCs/>
          <w:color w:val="000000"/>
          <w:sz w:val="30"/>
          <w:szCs w:val="30"/>
          <w:lang w:val="en-US" w:eastAsia="zh-CN"/>
        </w:rPr>
        <w:t>94.22</w:t>
      </w:r>
      <w:r>
        <w:rPr>
          <w:rFonts w:hint="eastAsia" w:ascii="仿宋_GB2312" w:hAnsi="仿宋_GB2312" w:eastAsia="仿宋_GB2312" w:cs="仿宋_GB2312"/>
          <w:b w:val="0"/>
          <w:bCs/>
          <w:color w:val="000000"/>
          <w:sz w:val="30"/>
          <w:szCs w:val="30"/>
        </w:rPr>
        <w:t>%</w:t>
      </w:r>
      <w:r>
        <w:rPr>
          <w:rFonts w:hint="eastAsia" w:ascii="仿宋_GB2312" w:hAnsi="仿宋_GB2312" w:eastAsia="仿宋_GB2312" w:cs="仿宋_GB2312"/>
          <w:b w:val="0"/>
          <w:bCs/>
          <w:color w:val="000000"/>
          <w:sz w:val="30"/>
          <w:szCs w:val="30"/>
          <w:lang w:eastAsia="zh-CN"/>
        </w:rPr>
        <w:t>，</w:t>
      </w:r>
      <w:r>
        <w:rPr>
          <w:rFonts w:hint="eastAsia" w:ascii="仿宋_GB2312" w:hAnsi="仿宋_GB2312" w:eastAsia="仿宋_GB2312" w:cs="仿宋_GB2312"/>
          <w:b w:val="0"/>
          <w:bCs/>
          <w:color w:val="000000"/>
          <w:sz w:val="30"/>
          <w:szCs w:val="30"/>
          <w:lang w:val="en-US" w:eastAsia="zh-CN"/>
        </w:rPr>
        <w:t>预算数为9万元</w:t>
      </w:r>
      <w:r>
        <w:rPr>
          <w:rFonts w:hint="eastAsia" w:ascii="仿宋_GB2312" w:hAnsi="仿宋_GB2312" w:eastAsia="仿宋_GB2312" w:cs="仿宋_GB2312"/>
          <w:b w:val="0"/>
          <w:bCs/>
          <w:color w:val="000000"/>
          <w:sz w:val="30"/>
          <w:szCs w:val="30"/>
        </w:rPr>
        <w:t>。公务接待费支出决算比</w:t>
      </w:r>
      <w:r>
        <w:rPr>
          <w:rFonts w:hint="eastAsia" w:ascii="仿宋_GB2312" w:hAnsi="仿宋_GB2312" w:eastAsia="仿宋_GB2312" w:cs="仿宋_GB2312"/>
          <w:b w:val="0"/>
          <w:bCs/>
          <w:color w:val="000000"/>
          <w:sz w:val="30"/>
          <w:szCs w:val="30"/>
          <w:lang w:eastAsia="zh-CN"/>
        </w:rPr>
        <w:t>2019</w:t>
      </w:r>
      <w:r>
        <w:rPr>
          <w:rFonts w:hint="eastAsia" w:ascii="仿宋_GB2312" w:hAnsi="仿宋_GB2312" w:eastAsia="仿宋_GB2312" w:cs="仿宋_GB2312"/>
          <w:b w:val="0"/>
          <w:bCs/>
          <w:color w:val="000000"/>
          <w:sz w:val="30"/>
          <w:szCs w:val="30"/>
        </w:rPr>
        <w:t>年减少</w:t>
      </w:r>
      <w:r>
        <w:rPr>
          <w:rFonts w:hint="eastAsia" w:ascii="仿宋_GB2312" w:hAnsi="仿宋_GB2312" w:eastAsia="仿宋_GB2312" w:cs="仿宋_GB2312"/>
          <w:b w:val="0"/>
          <w:bCs/>
          <w:color w:val="000000"/>
          <w:sz w:val="30"/>
          <w:szCs w:val="30"/>
          <w:lang w:val="en-US" w:eastAsia="zh-CN"/>
        </w:rPr>
        <w:t>0.15</w:t>
      </w:r>
      <w:r>
        <w:rPr>
          <w:rFonts w:hint="eastAsia" w:ascii="仿宋_GB2312" w:hAnsi="仿宋_GB2312" w:eastAsia="仿宋_GB2312" w:cs="仿宋_GB2312"/>
          <w:b w:val="0"/>
          <w:bCs/>
          <w:color w:val="000000"/>
          <w:sz w:val="30"/>
          <w:szCs w:val="30"/>
        </w:rPr>
        <w:t>万元，下降</w:t>
      </w:r>
      <w:r>
        <w:rPr>
          <w:rFonts w:hint="eastAsia" w:ascii="仿宋_GB2312" w:hAnsi="仿宋_GB2312" w:eastAsia="仿宋_GB2312" w:cs="仿宋_GB2312"/>
          <w:b w:val="0"/>
          <w:bCs/>
          <w:color w:val="000000"/>
          <w:sz w:val="30"/>
          <w:szCs w:val="30"/>
          <w:lang w:val="en-US" w:eastAsia="zh-CN"/>
        </w:rPr>
        <w:t>1.74</w:t>
      </w:r>
      <w:r>
        <w:rPr>
          <w:rFonts w:hint="eastAsia" w:ascii="仿宋_GB2312" w:hAnsi="仿宋_GB2312" w:eastAsia="仿宋_GB2312" w:cs="仿宋_GB2312"/>
          <w:b w:val="0"/>
          <w:bCs/>
          <w:color w:val="000000"/>
          <w:sz w:val="30"/>
          <w:szCs w:val="30"/>
        </w:rPr>
        <w:t>%。主要原因是严格缩减一般性公务接待,严格压减支出</w:t>
      </w:r>
      <w:r>
        <w:rPr>
          <w:rFonts w:hint="eastAsia" w:ascii="仿宋_GB2312" w:hAnsi="仿宋_GB2312" w:eastAsia="仿宋_GB2312" w:cs="仿宋_GB2312"/>
          <w:b w:val="0"/>
          <w:bCs/>
          <w:color w:val="000000"/>
          <w:sz w:val="30"/>
          <w:szCs w:val="30"/>
          <w:lang w:eastAsia="zh-CN"/>
        </w:rPr>
        <w:t>，</w:t>
      </w:r>
      <w:r>
        <w:rPr>
          <w:rFonts w:hint="eastAsia" w:ascii="仿宋_GB2312" w:hAnsi="仿宋_GB2312" w:eastAsia="仿宋_GB2312" w:cs="仿宋_GB2312"/>
          <w:b w:val="0"/>
          <w:bCs/>
          <w:color w:val="000000"/>
          <w:sz w:val="30"/>
          <w:szCs w:val="30"/>
        </w:rPr>
        <w:t>控制接待标准。其中：</w:t>
      </w:r>
    </w:p>
    <w:p w14:paraId="10BD58DF">
      <w:pPr>
        <w:widowControl w:val="0"/>
        <w:wordWrap/>
        <w:snapToGrid/>
        <w:spacing w:line="240" w:lineRule="auto"/>
        <w:ind w:left="0" w:leftChars="0" w:right="0" w:firstLine="600" w:firstLineChars="200"/>
        <w:jc w:val="left"/>
        <w:textAlignment w:val="auto"/>
        <w:outlineLvl w:val="9"/>
        <w:rPr>
          <w:rStyle w:val="37"/>
          <w:rFonts w:hint="eastAsia" w:ascii="黑体" w:hAnsi="黑体" w:eastAsia="黑体" w:cs="黑体"/>
          <w:b w:val="0"/>
          <w:bCs/>
          <w:sz w:val="30"/>
          <w:szCs w:val="30"/>
        </w:rPr>
      </w:pPr>
      <w:r>
        <w:rPr>
          <w:rFonts w:hint="eastAsia" w:ascii="仿宋_GB2312" w:hAnsi="仿宋_GB2312" w:eastAsia="仿宋_GB2312" w:cs="仿宋_GB2312"/>
          <w:b w:val="0"/>
          <w:bCs/>
          <w:color w:val="000000"/>
          <w:sz w:val="30"/>
          <w:szCs w:val="30"/>
        </w:rPr>
        <w:t>国内公务接待支出</w:t>
      </w:r>
      <w:r>
        <w:rPr>
          <w:rFonts w:hint="eastAsia" w:ascii="仿宋_GB2312" w:hAnsi="仿宋_GB2312" w:eastAsia="仿宋_GB2312" w:cs="仿宋_GB2312"/>
          <w:color w:val="auto"/>
          <w:sz w:val="30"/>
          <w:szCs w:val="30"/>
        </w:rPr>
        <w:t>8.48</w:t>
      </w:r>
      <w:r>
        <w:rPr>
          <w:rFonts w:hint="eastAsia" w:ascii="仿宋_GB2312" w:hAnsi="仿宋_GB2312" w:eastAsia="仿宋_GB2312" w:cs="仿宋_GB2312"/>
          <w:b w:val="0"/>
          <w:bCs/>
          <w:color w:val="000000"/>
          <w:sz w:val="30"/>
          <w:szCs w:val="30"/>
        </w:rPr>
        <w:t>万元，主要用于中央、省、市领导调研，</w:t>
      </w:r>
      <w:r>
        <w:rPr>
          <w:rFonts w:hint="eastAsia" w:ascii="仿宋_GB2312" w:hAnsi="仿宋_GB2312" w:eastAsia="仿宋_GB2312" w:cs="仿宋_GB2312"/>
          <w:b w:val="0"/>
          <w:bCs/>
          <w:color w:val="000000"/>
          <w:sz w:val="30"/>
          <w:szCs w:val="30"/>
          <w:lang w:val="en-US" w:eastAsia="zh-CN"/>
        </w:rPr>
        <w:t>新闻记者采访和</w:t>
      </w:r>
      <w:r>
        <w:rPr>
          <w:rFonts w:hint="eastAsia" w:ascii="仿宋_GB2312" w:hAnsi="仿宋_GB2312" w:eastAsia="仿宋_GB2312" w:cs="仿宋_GB2312"/>
          <w:b w:val="0"/>
          <w:bCs/>
          <w:color w:val="000000"/>
          <w:sz w:val="30"/>
          <w:szCs w:val="30"/>
        </w:rPr>
        <w:t>上级对口部门考察</w:t>
      </w:r>
      <w:r>
        <w:rPr>
          <w:rFonts w:hint="eastAsia" w:ascii="仿宋_GB2312" w:hAnsi="仿宋_GB2312" w:eastAsia="仿宋_GB2312" w:cs="仿宋_GB2312"/>
          <w:b w:val="0"/>
          <w:bCs/>
          <w:color w:val="000000"/>
          <w:sz w:val="30"/>
          <w:szCs w:val="30"/>
          <w:lang w:eastAsia="zh-CN"/>
        </w:rPr>
        <w:t>调研产生的生活费</w:t>
      </w:r>
      <w:r>
        <w:rPr>
          <w:rFonts w:hint="eastAsia" w:ascii="仿宋_GB2312" w:hAnsi="仿宋_GB2312" w:eastAsia="仿宋_GB2312" w:cs="仿宋_GB2312"/>
          <w:b w:val="0"/>
          <w:bCs/>
          <w:color w:val="000000"/>
          <w:sz w:val="30"/>
          <w:szCs w:val="30"/>
        </w:rPr>
        <w:t>。国内公务接待</w:t>
      </w:r>
      <w:r>
        <w:rPr>
          <w:rFonts w:hint="eastAsia" w:ascii="仿宋_GB2312" w:hAnsi="仿宋_GB2312" w:eastAsia="仿宋_GB2312" w:cs="仿宋_GB2312"/>
          <w:b w:val="0"/>
          <w:bCs/>
          <w:color w:val="000000"/>
          <w:sz w:val="30"/>
          <w:szCs w:val="30"/>
          <w:lang w:val="en-US" w:eastAsia="zh-CN"/>
        </w:rPr>
        <w:t>164</w:t>
      </w:r>
      <w:r>
        <w:rPr>
          <w:rFonts w:hint="eastAsia" w:ascii="仿宋_GB2312" w:hAnsi="仿宋_GB2312" w:eastAsia="仿宋_GB2312" w:cs="仿宋_GB2312"/>
          <w:b w:val="0"/>
          <w:bCs/>
          <w:color w:val="000000"/>
          <w:sz w:val="30"/>
          <w:szCs w:val="30"/>
        </w:rPr>
        <w:t>批次，</w:t>
      </w:r>
      <w:r>
        <w:rPr>
          <w:rFonts w:hint="eastAsia" w:ascii="仿宋_GB2312" w:hAnsi="仿宋_GB2312" w:eastAsia="仿宋_GB2312" w:cs="仿宋_GB2312"/>
          <w:b w:val="0"/>
          <w:bCs/>
          <w:color w:val="000000"/>
          <w:sz w:val="30"/>
          <w:szCs w:val="30"/>
          <w:lang w:val="en-US" w:eastAsia="zh-CN"/>
        </w:rPr>
        <w:t>1450</w:t>
      </w:r>
      <w:r>
        <w:rPr>
          <w:rFonts w:hint="eastAsia" w:ascii="仿宋_GB2312" w:hAnsi="仿宋_GB2312" w:eastAsia="仿宋_GB2312" w:cs="仿宋_GB2312"/>
          <w:b w:val="0"/>
          <w:bCs/>
          <w:color w:val="000000"/>
          <w:sz w:val="30"/>
          <w:szCs w:val="30"/>
        </w:rPr>
        <w:t>人次，共计支出</w:t>
      </w:r>
      <w:r>
        <w:rPr>
          <w:rFonts w:hint="eastAsia" w:ascii="仿宋_GB2312" w:hAnsi="仿宋_GB2312" w:eastAsia="仿宋_GB2312" w:cs="仿宋_GB2312"/>
          <w:color w:val="auto"/>
          <w:sz w:val="30"/>
          <w:szCs w:val="30"/>
        </w:rPr>
        <w:t>8.48</w:t>
      </w:r>
      <w:r>
        <w:rPr>
          <w:rFonts w:hint="eastAsia" w:ascii="仿宋_GB2312" w:hAnsi="仿宋_GB2312" w:eastAsia="仿宋_GB2312" w:cs="仿宋_GB2312"/>
          <w:b w:val="0"/>
          <w:bCs/>
          <w:color w:val="000000"/>
          <w:sz w:val="30"/>
          <w:szCs w:val="30"/>
        </w:rPr>
        <w:t>万元</w:t>
      </w:r>
      <w:r>
        <w:rPr>
          <w:rFonts w:hint="eastAsia" w:ascii="仿宋_GB2312" w:hAnsi="仿宋_GB2312" w:eastAsia="仿宋_GB2312" w:cs="仿宋_GB2312"/>
          <w:b w:val="0"/>
          <w:bCs/>
          <w:color w:val="000000"/>
          <w:sz w:val="30"/>
          <w:szCs w:val="30"/>
          <w:lang w:eastAsia="zh-CN"/>
        </w:rPr>
        <w:t>。</w:t>
      </w:r>
      <w:r>
        <w:rPr>
          <w:rFonts w:hint="eastAsia" w:ascii="仿宋_GB2312" w:hAnsi="仿宋_GB2312" w:eastAsia="仿宋_GB2312" w:cs="仿宋_GB2312"/>
          <w:b w:val="0"/>
          <w:bCs/>
          <w:color w:val="auto"/>
          <w:sz w:val="30"/>
          <w:szCs w:val="30"/>
          <w:highlight w:val="none"/>
        </w:rPr>
        <w:t>具体内容包括：</w:t>
      </w:r>
      <w:r>
        <w:rPr>
          <w:rFonts w:hint="eastAsia" w:ascii="仿宋_GB2312" w:hAnsi="仿宋_GB2312" w:eastAsia="仿宋_GB2312" w:cs="仿宋_GB2312"/>
          <w:b w:val="0"/>
          <w:bCs/>
          <w:color w:val="auto"/>
          <w:sz w:val="30"/>
          <w:szCs w:val="30"/>
          <w:highlight w:val="none"/>
          <w:lang w:val="en-US" w:eastAsia="zh-CN"/>
        </w:rPr>
        <w:t>宣传</w:t>
      </w:r>
      <w:r>
        <w:rPr>
          <w:rFonts w:hint="eastAsia" w:ascii="仿宋_GB2312" w:hAnsi="仿宋_GB2312" w:eastAsia="仿宋_GB2312" w:cs="仿宋_GB2312"/>
          <w:b w:val="0"/>
          <w:bCs/>
          <w:color w:val="auto"/>
          <w:sz w:val="30"/>
          <w:szCs w:val="30"/>
          <w:highlight w:val="none"/>
          <w:lang w:eastAsia="zh-CN"/>
        </w:rPr>
        <w:t>工作</w:t>
      </w:r>
      <w:r>
        <w:rPr>
          <w:rFonts w:hint="eastAsia" w:ascii="仿宋_GB2312" w:hAnsi="仿宋_GB2312" w:eastAsia="仿宋_GB2312" w:cs="仿宋_GB2312"/>
          <w:b w:val="0"/>
          <w:bCs/>
          <w:color w:val="auto"/>
          <w:sz w:val="30"/>
          <w:szCs w:val="30"/>
          <w:highlight w:val="none"/>
          <w:lang w:val="en-US" w:eastAsia="zh-CN"/>
        </w:rPr>
        <w:t>5.83万元</w:t>
      </w:r>
      <w:r>
        <w:rPr>
          <w:rFonts w:hint="eastAsia" w:ascii="仿宋_GB2312" w:hAnsi="仿宋_GB2312" w:eastAsia="仿宋_GB2312" w:cs="仿宋_GB2312"/>
          <w:b w:val="0"/>
          <w:bCs/>
          <w:color w:val="auto"/>
          <w:sz w:val="30"/>
          <w:szCs w:val="30"/>
          <w:highlight w:val="none"/>
          <w:lang w:eastAsia="zh-CN"/>
        </w:rPr>
        <w:t>、</w:t>
      </w:r>
      <w:r>
        <w:rPr>
          <w:rFonts w:hint="eastAsia" w:ascii="仿宋_GB2312" w:hAnsi="仿宋_GB2312" w:eastAsia="仿宋_GB2312" w:cs="仿宋_GB2312"/>
          <w:b w:val="0"/>
          <w:bCs/>
          <w:color w:val="auto"/>
          <w:sz w:val="30"/>
          <w:szCs w:val="30"/>
          <w:highlight w:val="none"/>
          <w:lang w:val="en-US" w:eastAsia="zh-CN"/>
        </w:rPr>
        <w:t>文联作协工作1.61万元、精神文明工作1.01万元。</w:t>
      </w:r>
    </w:p>
    <w:p w14:paraId="53BD902F">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bookmarkStart w:id="66" w:name="_Toc24782"/>
      <w:r>
        <w:rPr>
          <w:rFonts w:hint="eastAsia" w:ascii="黑体" w:hAnsi="黑体" w:eastAsia="黑体" w:cs="黑体"/>
          <w:b w:val="0"/>
          <w:bCs w:val="0"/>
          <w:color w:val="000000"/>
          <w:sz w:val="30"/>
          <w:szCs w:val="30"/>
          <w:lang w:val="en-US" w:eastAsia="zh-CN"/>
        </w:rPr>
        <w:t>八、政府性基金预算支出决算情况说明</w:t>
      </w:r>
      <w:bookmarkEnd w:id="60"/>
      <w:bookmarkEnd w:id="61"/>
      <w:bookmarkEnd w:id="66"/>
      <w:bookmarkStart w:id="67" w:name="_Toc15377219"/>
      <w:bookmarkStart w:id="68" w:name="_Toc15396611"/>
    </w:p>
    <w:p w14:paraId="28411555">
      <w:pPr>
        <w:widowControl w:val="0"/>
        <w:wordWrap/>
        <w:snapToGrid/>
        <w:spacing w:line="240" w:lineRule="auto"/>
        <w:ind w:left="0" w:leftChars="0" w:right="0" w:firstLine="600" w:firstLineChars="200"/>
        <w:jc w:val="left"/>
        <w:textAlignment w:val="auto"/>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1.</w:t>
      </w:r>
      <w:r>
        <w:rPr>
          <w:rFonts w:hint="eastAsia" w:ascii="仿宋_GB2312" w:hAnsi="仿宋_GB2312" w:eastAsia="仿宋_GB2312" w:cs="仿宋_GB2312"/>
          <w:b w:val="0"/>
          <w:bCs/>
          <w:color w:val="000000"/>
          <w:sz w:val="30"/>
          <w:szCs w:val="30"/>
          <w:lang w:eastAsia="zh-CN"/>
        </w:rPr>
        <w:t>2020</w:t>
      </w:r>
      <w:r>
        <w:rPr>
          <w:rFonts w:hint="eastAsia" w:ascii="仿宋_GB2312" w:hAnsi="仿宋_GB2312" w:eastAsia="仿宋_GB2312" w:cs="仿宋_GB2312"/>
          <w:b w:val="0"/>
          <w:bCs/>
          <w:color w:val="000000"/>
          <w:sz w:val="30"/>
          <w:szCs w:val="30"/>
        </w:rPr>
        <w:t>年政府性基金预算拨款支出</w:t>
      </w:r>
      <w:r>
        <w:rPr>
          <w:rFonts w:hint="eastAsia" w:ascii="仿宋_GB2312" w:hAnsi="仿宋_GB2312" w:eastAsia="仿宋_GB2312" w:cs="仿宋_GB2312"/>
          <w:b w:val="0"/>
          <w:bCs/>
          <w:color w:val="000000"/>
          <w:sz w:val="30"/>
          <w:szCs w:val="30"/>
          <w:lang w:val="en-US" w:eastAsia="zh-CN"/>
        </w:rPr>
        <w:t>3.32</w:t>
      </w:r>
      <w:r>
        <w:rPr>
          <w:rFonts w:hint="eastAsia" w:ascii="仿宋_GB2312" w:hAnsi="仿宋_GB2312" w:eastAsia="仿宋_GB2312" w:cs="仿宋_GB2312"/>
          <w:b w:val="0"/>
          <w:bCs/>
          <w:color w:val="000000"/>
          <w:sz w:val="30"/>
          <w:szCs w:val="30"/>
        </w:rPr>
        <w:t>万元。</w:t>
      </w:r>
      <w:r>
        <w:rPr>
          <w:rFonts w:hint="eastAsia" w:ascii="仿宋_GB2312" w:hAnsi="仿宋_GB2312" w:eastAsia="仿宋_GB2312" w:cs="仿宋_GB2312"/>
          <w:b w:val="0"/>
          <w:bCs/>
          <w:color w:val="000000"/>
          <w:sz w:val="30"/>
          <w:szCs w:val="30"/>
          <w:lang w:val="en-US" w:eastAsia="zh-CN"/>
        </w:rPr>
        <w:t>主要是国家电影事业发展专项资金安排的支出3.32万元，其中资助国产影片放映0.32万元，其他国家电影事业发展专项资金支出的经营困难影院补助3万元。</w:t>
      </w:r>
    </w:p>
    <w:p w14:paraId="08A2FA93">
      <w:pPr>
        <w:spacing w:line="600" w:lineRule="exact"/>
        <w:ind w:firstLine="640"/>
        <w:rPr>
          <w:rStyle w:val="37"/>
          <w:rFonts w:hint="eastAsia" w:ascii="黑体" w:hAnsi="黑体" w:eastAsia="黑体" w:cs="黑体"/>
          <w:b w:val="0"/>
          <w:bCs/>
          <w:sz w:val="30"/>
          <w:szCs w:val="30"/>
        </w:rPr>
      </w:pPr>
      <w:r>
        <w:rPr>
          <w:rFonts w:hint="eastAsia" w:ascii="仿宋_GB2312" w:hAnsi="仿宋_GB2312" w:eastAsia="仿宋_GB2312" w:cs="仿宋_GB2312"/>
          <w:b w:val="0"/>
          <w:bCs/>
          <w:color w:val="000000"/>
          <w:sz w:val="30"/>
          <w:szCs w:val="30"/>
          <w:lang w:val="en-US" w:eastAsia="zh-CN"/>
        </w:rPr>
        <w:t>2.2020年本单位未在政府性基金预算拨款安排“三公”经费支出。</w:t>
      </w:r>
    </w:p>
    <w:p w14:paraId="77D15DA4">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bookmarkStart w:id="69" w:name="_Toc6994"/>
      <w:r>
        <w:rPr>
          <w:rFonts w:hint="eastAsia" w:ascii="黑体" w:hAnsi="黑体" w:eastAsia="黑体" w:cs="黑体"/>
          <w:b w:val="0"/>
          <w:bCs w:val="0"/>
          <w:color w:val="000000"/>
          <w:sz w:val="30"/>
          <w:szCs w:val="30"/>
          <w:lang w:val="en-US" w:eastAsia="zh-CN"/>
        </w:rPr>
        <w:t>九、国有资本经营预算支出决算情况说明</w:t>
      </w:r>
      <w:bookmarkEnd w:id="67"/>
      <w:bookmarkEnd w:id="68"/>
      <w:bookmarkEnd w:id="69"/>
      <w:bookmarkStart w:id="70" w:name="_Toc15396612"/>
      <w:bookmarkStart w:id="71" w:name="_Toc15377221"/>
    </w:p>
    <w:p w14:paraId="5FEE7671">
      <w:pPr>
        <w:widowControl w:val="0"/>
        <w:wordWrap/>
        <w:snapToGrid/>
        <w:spacing w:line="240" w:lineRule="auto"/>
        <w:ind w:left="0" w:leftChars="0" w:right="0" w:firstLine="600" w:firstLineChars="200"/>
        <w:jc w:val="left"/>
        <w:textAlignment w:val="auto"/>
        <w:outlineLvl w:val="9"/>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年国有资本经营预算拨款支出</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年初未安排预算。</w:t>
      </w:r>
    </w:p>
    <w:p w14:paraId="1F528000">
      <w:pPr>
        <w:pStyle w:val="24"/>
        <w:widowControl w:val="0"/>
        <w:numPr>
          <w:ilvl w:val="0"/>
          <w:numId w:val="0"/>
        </w:numPr>
        <w:wordWrap/>
        <w:snapToGrid/>
        <w:spacing w:line="240" w:lineRule="auto"/>
        <w:ind w:leftChars="200" w:right="0" w:rightChars="0"/>
        <w:jc w:val="left"/>
        <w:textAlignment w:val="auto"/>
        <w:outlineLvl w:val="1"/>
        <w:rPr>
          <w:rStyle w:val="37"/>
          <w:rFonts w:hint="eastAsia" w:ascii="黑体" w:hAnsi="黑体" w:eastAsia="黑体" w:cs="黑体"/>
          <w:sz w:val="30"/>
          <w:szCs w:val="30"/>
        </w:rPr>
      </w:pPr>
      <w:bookmarkStart w:id="72" w:name="_Toc10925"/>
      <w:r>
        <w:rPr>
          <w:rFonts w:hint="eastAsia" w:ascii="黑体" w:hAnsi="黑体" w:eastAsia="黑体" w:cs="黑体"/>
          <w:b w:val="0"/>
          <w:bCs w:val="0"/>
          <w:color w:val="000000"/>
          <w:sz w:val="30"/>
          <w:szCs w:val="30"/>
          <w:lang w:val="en-US" w:eastAsia="zh-CN"/>
        </w:rPr>
        <w:t>十、其他重要事项的情况说</w:t>
      </w:r>
      <w:r>
        <w:rPr>
          <w:rStyle w:val="37"/>
          <w:rFonts w:hint="eastAsia" w:ascii="黑体" w:hAnsi="黑体" w:eastAsia="黑体" w:cs="黑体"/>
          <w:b w:val="0"/>
          <w:sz w:val="30"/>
          <w:szCs w:val="30"/>
        </w:rPr>
        <w:t>明</w:t>
      </w:r>
      <w:bookmarkEnd w:id="70"/>
      <w:bookmarkEnd w:id="71"/>
      <w:bookmarkEnd w:id="72"/>
    </w:p>
    <w:p w14:paraId="41B5E292">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color w:val="000000"/>
          <w:sz w:val="30"/>
          <w:szCs w:val="30"/>
        </w:rPr>
      </w:pPr>
      <w:bookmarkStart w:id="73" w:name="_Toc15377222"/>
      <w:bookmarkStart w:id="74" w:name="_Toc3801"/>
      <w:r>
        <w:rPr>
          <w:rFonts w:hint="eastAsia" w:ascii="仿宋_GB2312" w:hAnsi="仿宋_GB2312" w:eastAsia="仿宋_GB2312" w:cs="仿宋_GB2312"/>
          <w:b/>
          <w:color w:val="000000"/>
          <w:sz w:val="30"/>
          <w:szCs w:val="30"/>
        </w:rPr>
        <w:t>（一）机关运行经费支出情况</w:t>
      </w:r>
      <w:bookmarkEnd w:id="73"/>
      <w:bookmarkEnd w:id="74"/>
    </w:p>
    <w:p w14:paraId="1B9589EF">
      <w:pPr>
        <w:widowControl w:val="0"/>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auto"/>
          <w:sz w:val="30"/>
          <w:szCs w:val="30"/>
          <w:highlight w:val="none"/>
          <w:lang w:eastAsia="zh-CN"/>
        </w:rPr>
        <w:t>区委宣传部机关</w:t>
      </w:r>
      <w:r>
        <w:rPr>
          <w:rFonts w:hint="eastAsia" w:ascii="仿宋_GB2312" w:hAnsi="仿宋_GB2312" w:eastAsia="仿宋_GB2312" w:cs="仿宋_GB2312"/>
          <w:color w:val="000000"/>
          <w:sz w:val="30"/>
          <w:szCs w:val="30"/>
        </w:rPr>
        <w:t>运行经费支出</w:t>
      </w:r>
      <w:r>
        <w:rPr>
          <w:rFonts w:hint="eastAsia" w:ascii="仿宋_GB2312" w:hAnsi="仿宋_GB2312" w:eastAsia="仿宋_GB2312" w:cs="仿宋_GB2312"/>
          <w:color w:val="000000"/>
          <w:sz w:val="30"/>
          <w:szCs w:val="30"/>
          <w:lang w:val="en-US" w:eastAsia="zh-CN"/>
        </w:rPr>
        <w:t>275.41</w:t>
      </w:r>
      <w:r>
        <w:rPr>
          <w:rFonts w:hint="eastAsia" w:ascii="仿宋_GB2312" w:hAnsi="仿宋_GB2312" w:eastAsia="仿宋_GB2312" w:cs="仿宋_GB2312"/>
          <w:color w:val="000000"/>
          <w:sz w:val="30"/>
          <w:szCs w:val="30"/>
        </w:rPr>
        <w:t>万元，比</w:t>
      </w:r>
      <w:r>
        <w:rPr>
          <w:rFonts w:hint="eastAsia" w:ascii="仿宋_GB2312" w:hAnsi="仿宋_GB2312" w:eastAsia="仿宋_GB2312" w:cs="仿宋_GB2312"/>
          <w:color w:val="000000"/>
          <w:sz w:val="30"/>
          <w:szCs w:val="30"/>
          <w:lang w:eastAsia="zh-CN"/>
        </w:rPr>
        <w:t>2019</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000000"/>
          <w:sz w:val="30"/>
          <w:szCs w:val="30"/>
          <w:lang w:val="en-US" w:eastAsia="zh-CN"/>
        </w:rPr>
        <w:t>增加79.96</w:t>
      </w:r>
      <w:r>
        <w:rPr>
          <w:rFonts w:hint="eastAsia" w:ascii="仿宋_GB2312" w:hAnsi="仿宋_GB2312" w:eastAsia="仿宋_GB2312" w:cs="仿宋_GB2312"/>
          <w:color w:val="000000"/>
          <w:sz w:val="30"/>
          <w:szCs w:val="30"/>
        </w:rPr>
        <w:t>万元，</w:t>
      </w:r>
      <w:r>
        <w:rPr>
          <w:rFonts w:hint="eastAsia" w:ascii="仿宋_GB2312" w:hAnsi="仿宋_GB2312" w:eastAsia="仿宋_GB2312" w:cs="仿宋_GB2312"/>
          <w:color w:val="000000"/>
          <w:sz w:val="30"/>
          <w:szCs w:val="30"/>
          <w:lang w:val="en-US" w:eastAsia="zh-CN"/>
        </w:rPr>
        <w:t>上升40.91</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auto"/>
          <w:sz w:val="30"/>
          <w:szCs w:val="30"/>
          <w:highlight w:val="none"/>
        </w:rPr>
        <w:t>主要原因是</w:t>
      </w:r>
      <w:r>
        <w:rPr>
          <w:rFonts w:hint="eastAsia" w:ascii="仿宋_GB2312" w:hAnsi="仿宋_GB2312" w:eastAsia="仿宋_GB2312" w:cs="仿宋_GB2312"/>
          <w:color w:val="000000"/>
          <w:sz w:val="30"/>
          <w:szCs w:val="30"/>
          <w:lang w:val="en-US" w:eastAsia="zh-CN"/>
        </w:rPr>
        <w:t>机构改革，文化产业、版权、电影等工作划入我单位，以及增加版权、电影、政务外网、绩效支出等导致</w:t>
      </w:r>
      <w:r>
        <w:rPr>
          <w:rFonts w:hint="eastAsia" w:ascii="仿宋_GB2312" w:hAnsi="仿宋_GB2312" w:eastAsia="仿宋_GB2312" w:cs="仿宋_GB2312"/>
          <w:color w:val="000000"/>
          <w:sz w:val="30"/>
          <w:szCs w:val="30"/>
          <w:lang w:eastAsia="zh-CN"/>
        </w:rPr>
        <w:t>。</w:t>
      </w:r>
    </w:p>
    <w:p w14:paraId="1B00CD00">
      <w:pPr>
        <w:widowControl w:val="0"/>
        <w:wordWrap/>
        <w:autoSpaceDE w:val="0"/>
        <w:autoSpaceDN w:val="0"/>
        <w:adjustRightInd w:val="0"/>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75" w:name="_Toc32467"/>
      <w:bookmarkStart w:id="76" w:name="_Toc15377223"/>
      <w:r>
        <w:rPr>
          <w:rFonts w:hint="eastAsia" w:ascii="仿宋_GB2312" w:hAnsi="仿宋_GB2312" w:eastAsia="仿宋_GB2312" w:cs="仿宋_GB2312"/>
          <w:b/>
          <w:color w:val="000000"/>
          <w:sz w:val="30"/>
          <w:szCs w:val="30"/>
        </w:rPr>
        <w:t>（二）政府采购支出情况</w:t>
      </w:r>
      <w:bookmarkEnd w:id="75"/>
      <w:bookmarkEnd w:id="76"/>
    </w:p>
    <w:p w14:paraId="6D7C45F2">
      <w:pPr>
        <w:widowControl w:val="0"/>
        <w:wordWrap/>
        <w:snapToGrid/>
        <w:spacing w:line="240" w:lineRule="auto"/>
        <w:ind w:left="0" w:leftChars="0" w:right="0" w:firstLine="600" w:firstLineChars="20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auto"/>
          <w:sz w:val="30"/>
          <w:szCs w:val="30"/>
          <w:highlight w:val="none"/>
          <w:lang w:eastAsia="zh-CN"/>
        </w:rPr>
        <w:t>区委宣传部</w:t>
      </w:r>
      <w:r>
        <w:rPr>
          <w:rFonts w:hint="eastAsia" w:ascii="仿宋_GB2312" w:hAnsi="仿宋_GB2312" w:eastAsia="仿宋_GB2312" w:cs="仿宋_GB2312"/>
          <w:color w:val="000000"/>
          <w:sz w:val="30"/>
          <w:szCs w:val="30"/>
        </w:rPr>
        <w:t>政府采购支出总额</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w:t>
      </w:r>
      <w:r>
        <w:rPr>
          <w:rFonts w:hint="eastAsia" w:ascii="仿宋_GB2312" w:hAnsi="仿宋_GB2312" w:eastAsia="仿宋_GB2312" w:cs="仿宋_GB2312"/>
          <w:color w:val="000000"/>
          <w:sz w:val="30"/>
          <w:szCs w:val="30"/>
          <w:lang w:eastAsia="zh-CN"/>
        </w:rPr>
        <w:t>。</w:t>
      </w:r>
    </w:p>
    <w:p w14:paraId="7D5B73E2">
      <w:pPr>
        <w:widowControl w:val="0"/>
        <w:wordWrap/>
        <w:autoSpaceDE w:val="0"/>
        <w:autoSpaceDN w:val="0"/>
        <w:adjustRightInd w:val="0"/>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77" w:name="_Toc8150"/>
      <w:bookmarkStart w:id="78" w:name="_Toc15377224"/>
      <w:r>
        <w:rPr>
          <w:rFonts w:hint="eastAsia" w:ascii="仿宋_GB2312" w:hAnsi="仿宋_GB2312" w:eastAsia="仿宋_GB2312" w:cs="仿宋_GB2312"/>
          <w:b/>
          <w:color w:val="000000"/>
          <w:sz w:val="30"/>
          <w:szCs w:val="30"/>
        </w:rPr>
        <w:t>（三）国有资产占有使用情况</w:t>
      </w:r>
      <w:bookmarkEnd w:id="77"/>
      <w:bookmarkEnd w:id="78"/>
    </w:p>
    <w:p w14:paraId="56EE2708">
      <w:pPr>
        <w:widowControl w:val="0"/>
        <w:wordWrap/>
        <w:autoSpaceDE w:val="0"/>
        <w:autoSpaceDN w:val="0"/>
        <w:adjustRightInd w:val="0"/>
        <w:snapToGrid/>
        <w:spacing w:line="240" w:lineRule="auto"/>
        <w:ind w:left="0" w:leftChars="0" w:right="0" w:firstLine="600" w:firstLineChars="200"/>
        <w:jc w:val="left"/>
        <w:textAlignment w:val="auto"/>
        <w:rPr>
          <w:rFonts w:hint="default" w:ascii="仿宋_GB2312" w:hAnsi="仿宋_GB2312" w:eastAsia="仿宋_GB2312" w:cs="仿宋_GB2312"/>
          <w:b/>
          <w:color w:val="FF0000"/>
          <w:sz w:val="30"/>
          <w:szCs w:val="30"/>
          <w:lang w:val="en-US" w:eastAsia="zh-CN"/>
        </w:rPr>
      </w:pPr>
      <w:r>
        <w:rPr>
          <w:rFonts w:hint="eastAsia" w:ascii="仿宋_GB2312" w:hAnsi="仿宋_GB2312" w:eastAsia="仿宋_GB2312" w:cs="仿宋_GB2312"/>
          <w:color w:val="000000"/>
          <w:sz w:val="30"/>
          <w:szCs w:val="30"/>
        </w:rPr>
        <w:t>截至</w:t>
      </w: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年12月31日，</w:t>
      </w:r>
      <w:r>
        <w:rPr>
          <w:rFonts w:hint="eastAsia" w:ascii="仿宋_GB2312" w:hAnsi="仿宋_GB2312" w:eastAsia="仿宋_GB2312" w:cs="仿宋_GB2312"/>
          <w:color w:val="auto"/>
          <w:sz w:val="30"/>
          <w:szCs w:val="30"/>
          <w:highlight w:val="none"/>
          <w:lang w:eastAsia="zh-CN"/>
        </w:rPr>
        <w:t>区委宣传部</w:t>
      </w:r>
      <w:r>
        <w:rPr>
          <w:rFonts w:hint="eastAsia" w:ascii="仿宋_GB2312" w:hAnsi="仿宋_GB2312" w:eastAsia="仿宋_GB2312" w:cs="仿宋_GB2312"/>
          <w:color w:val="000000"/>
          <w:sz w:val="30"/>
          <w:szCs w:val="30"/>
        </w:rPr>
        <w:t>共有车辆</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辆</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其中：主要领导干部用车0辆，机要通信用车0辆、应急保障用车0辆、其他用车0辆。单价100万元以上专用设备0台（套）。</w:t>
      </w:r>
    </w:p>
    <w:p w14:paraId="687691C3">
      <w:pPr>
        <w:widowControl w:val="0"/>
        <w:wordWrap/>
        <w:autoSpaceDE w:val="0"/>
        <w:autoSpaceDN w:val="0"/>
        <w:adjustRightInd w:val="0"/>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79" w:name="_Toc22180"/>
      <w:r>
        <w:rPr>
          <w:rFonts w:hint="eastAsia" w:ascii="仿宋_GB2312" w:hAnsi="仿宋_GB2312" w:eastAsia="仿宋_GB2312" w:cs="仿宋_GB2312"/>
          <w:b/>
          <w:color w:val="000000"/>
          <w:sz w:val="30"/>
          <w:szCs w:val="30"/>
        </w:rPr>
        <w:t>（四）预算绩效管理情况。</w:t>
      </w:r>
      <w:bookmarkEnd w:id="79"/>
    </w:p>
    <w:p w14:paraId="109419AD">
      <w:pPr>
        <w:widowControl w:val="0"/>
        <w:numPr>
          <w:ilvl w:val="0"/>
          <w:numId w:val="0"/>
        </w:numPr>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根据预算绩效管理要求，本部门年初预算编制阶段，组织对外宣工作</w:t>
      </w:r>
      <w:r>
        <w:rPr>
          <w:rFonts w:hint="eastAsia" w:ascii="仿宋_GB2312" w:hAnsi="仿宋_GB2312" w:eastAsia="仿宋_GB2312" w:cs="仿宋_GB2312"/>
          <w:color w:val="auto"/>
          <w:sz w:val="30"/>
          <w:szCs w:val="30"/>
          <w:lang w:val="en-US" w:eastAsia="zh-CN"/>
        </w:rPr>
        <w:t>项目</w:t>
      </w:r>
      <w:r>
        <w:rPr>
          <w:rFonts w:hint="eastAsia" w:ascii="仿宋_GB2312" w:hAnsi="仿宋_GB2312" w:eastAsia="仿宋_GB2312" w:cs="仿宋_GB2312"/>
          <w:color w:val="auto"/>
          <w:sz w:val="30"/>
          <w:szCs w:val="30"/>
        </w:rPr>
        <w:t>开展了预算事前绩效评估，对</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个项目编制了绩效目标，预算执行过程中，选取</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个项目开展绩效监控，年终执行完毕后，对</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个项目开展了绩效目标完成情况自评。</w:t>
      </w:r>
    </w:p>
    <w:p w14:paraId="5B7CE96D">
      <w:pPr>
        <w:widowControl w:val="0"/>
        <w:numPr>
          <w:ilvl w:val="0"/>
          <w:numId w:val="0"/>
        </w:numPr>
        <w:wordWrap/>
        <w:snapToGrid/>
        <w:spacing w:line="240" w:lineRule="auto"/>
        <w:ind w:left="0" w:leftChars="0" w:right="0" w:firstLine="600" w:firstLineChars="200"/>
        <w:jc w:val="left"/>
        <w:textAlignment w:val="auto"/>
        <w:outlineLvl w:val="9"/>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本部门在</w:t>
      </w:r>
      <w:r>
        <w:rPr>
          <w:rFonts w:hint="eastAsia" w:ascii="仿宋_GB2312" w:hAnsi="仿宋_GB2312" w:eastAsia="仿宋_GB2312" w:cs="仿宋_GB2312"/>
          <w:color w:val="auto"/>
          <w:sz w:val="30"/>
          <w:szCs w:val="30"/>
          <w:lang w:eastAsia="zh-CN"/>
        </w:rPr>
        <w:t>2020</w:t>
      </w:r>
      <w:r>
        <w:rPr>
          <w:rFonts w:hint="eastAsia" w:ascii="仿宋_GB2312" w:hAnsi="仿宋_GB2312" w:eastAsia="仿宋_GB2312" w:cs="仿宋_GB2312"/>
          <w:color w:val="auto"/>
          <w:sz w:val="30"/>
          <w:szCs w:val="30"/>
        </w:rPr>
        <w:t>年度部门决算中反映“外宣工作”</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个项目绩效目标实际完成情况。本部门</w:t>
      </w:r>
      <w:r>
        <w:rPr>
          <w:rFonts w:hint="eastAsia" w:ascii="仿宋_GB2312" w:hAnsi="仿宋_GB2312" w:eastAsia="仿宋_GB2312" w:cs="仿宋_GB2312"/>
          <w:color w:val="auto"/>
          <w:sz w:val="30"/>
          <w:szCs w:val="30"/>
          <w:lang w:val="en-US" w:eastAsia="zh-CN"/>
        </w:rPr>
        <w:t>还根据安排对2020年国家电影事业发展专项资金项目和农村公益电影放映2020年项目</w:t>
      </w:r>
      <w:r>
        <w:rPr>
          <w:rFonts w:hint="eastAsia" w:ascii="仿宋_GB2312" w:hAnsi="仿宋_GB2312" w:eastAsia="仿宋_GB2312" w:cs="仿宋_GB2312"/>
          <w:color w:val="auto"/>
          <w:sz w:val="30"/>
          <w:szCs w:val="30"/>
        </w:rPr>
        <w:t>自行组织项目绩效评价</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2"/>
          <w:szCs w:val="32"/>
        </w:rPr>
        <w:t>绩效评价</w:t>
      </w:r>
      <w:r>
        <w:rPr>
          <w:rFonts w:hint="eastAsia" w:ascii="仿宋_GB2312" w:hAnsi="仿宋_GB2312" w:eastAsia="仿宋_GB2312" w:cs="仿宋_GB2312"/>
          <w:color w:val="auto"/>
          <w:sz w:val="32"/>
          <w:szCs w:val="32"/>
          <w:lang w:val="en-US" w:eastAsia="zh-CN"/>
        </w:rPr>
        <w:t>报告见附件。</w:t>
      </w:r>
    </w:p>
    <w:p w14:paraId="6AD5C2DC">
      <w:pPr>
        <w:widowControl w:val="0"/>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b w:val="0"/>
          <w:bCs/>
          <w:color w:val="auto"/>
          <w:sz w:val="30"/>
          <w:szCs w:val="30"/>
          <w:lang w:eastAsia="zh-CN"/>
        </w:rPr>
      </w:pPr>
      <w:r>
        <w:rPr>
          <w:rFonts w:hint="eastAsia" w:ascii="仿宋_GB2312" w:hAnsi="仿宋_GB2312" w:eastAsia="仿宋_GB2312" w:cs="仿宋_GB2312"/>
          <w:color w:val="auto"/>
          <w:sz w:val="30"/>
          <w:szCs w:val="30"/>
          <w:lang w:val="en-US" w:eastAsia="zh-CN"/>
        </w:rPr>
        <w:t>（一）部门整体绩效评价。</w:t>
      </w:r>
      <w:r>
        <w:rPr>
          <w:rFonts w:hint="eastAsia" w:ascii="仿宋_GB2312" w:hAnsi="仿宋_GB2312" w:eastAsia="仿宋_GB2312" w:cs="仿宋_GB2312"/>
          <w:color w:val="auto"/>
          <w:sz w:val="30"/>
          <w:szCs w:val="30"/>
        </w:rPr>
        <w:t>本部门按要求对</w:t>
      </w:r>
      <w:r>
        <w:rPr>
          <w:rFonts w:hint="eastAsia" w:ascii="仿宋_GB2312" w:hAnsi="仿宋_GB2312" w:eastAsia="仿宋_GB2312" w:cs="仿宋_GB2312"/>
          <w:color w:val="auto"/>
          <w:sz w:val="30"/>
          <w:szCs w:val="30"/>
          <w:lang w:eastAsia="zh-CN"/>
        </w:rPr>
        <w:t>2020</w:t>
      </w:r>
      <w:r>
        <w:rPr>
          <w:rFonts w:hint="eastAsia" w:ascii="仿宋_GB2312" w:hAnsi="仿宋_GB2312" w:eastAsia="仿宋_GB2312" w:cs="仿宋_GB2312"/>
          <w:color w:val="auto"/>
          <w:sz w:val="30"/>
          <w:szCs w:val="30"/>
        </w:rPr>
        <w:t>年部门整体支出开展绩效自评，从评价情况来看</w:t>
      </w:r>
      <w:r>
        <w:rPr>
          <w:rFonts w:hint="eastAsia" w:ascii="仿宋_GB2312" w:hAnsi="仿宋_GB2312" w:eastAsia="仿宋_GB2312" w:cs="仿宋_GB2312"/>
          <w:color w:val="auto"/>
          <w:sz w:val="30"/>
          <w:szCs w:val="30"/>
          <w:lang w:eastAsia="zh-CN"/>
        </w:rPr>
        <w:t>，通过各项经费的使用，保障了干部职工的基本利益，提高了干部职工的工作积极性和责任心；保障了部门各项业务工作的</w:t>
      </w:r>
      <w:r>
        <w:rPr>
          <w:rFonts w:hint="eastAsia" w:ascii="仿宋_GB2312" w:hAnsi="仿宋_GB2312" w:eastAsia="仿宋_GB2312" w:cs="仿宋_GB2312"/>
          <w:color w:val="auto"/>
          <w:sz w:val="30"/>
          <w:szCs w:val="30"/>
          <w:lang w:val="en-US" w:eastAsia="zh-CN"/>
        </w:rPr>
        <w:t>正常开展</w:t>
      </w:r>
      <w:r>
        <w:rPr>
          <w:rFonts w:hint="eastAsia" w:ascii="仿宋_GB2312" w:hAnsi="仿宋_GB2312" w:eastAsia="仿宋_GB2312" w:cs="仿宋_GB2312"/>
          <w:color w:val="auto"/>
          <w:sz w:val="30"/>
          <w:szCs w:val="30"/>
          <w:lang w:eastAsia="zh-CN"/>
        </w:rPr>
        <w:t>，实现了年初制定的目标，通过建立一系列制度，从项目决策、项目管理、项目完成和项目效果来看，都较好地达到了预期的效果。实现了年初制定的目标，从项目决策、项目管理、项目完成和项目效果来看，都较好地达到</w:t>
      </w:r>
      <w:r>
        <w:rPr>
          <w:rFonts w:hint="eastAsia" w:ascii="仿宋_GB2312" w:hAnsi="仿宋_GB2312" w:eastAsia="仿宋_GB2312" w:cs="仿宋_GB2312"/>
          <w:b w:val="0"/>
          <w:bCs/>
          <w:color w:val="auto"/>
          <w:sz w:val="30"/>
          <w:szCs w:val="30"/>
          <w:lang w:eastAsia="zh-CN"/>
        </w:rPr>
        <w:t>了预期的效果。</w:t>
      </w:r>
    </w:p>
    <w:p w14:paraId="585DF728">
      <w:pPr>
        <w:widowControl w:val="0"/>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b w:val="0"/>
          <w:bCs/>
          <w:color w:val="FF0000"/>
          <w:sz w:val="30"/>
          <w:szCs w:val="30"/>
        </w:rPr>
      </w:pPr>
      <w:r>
        <w:rPr>
          <w:rFonts w:hint="eastAsia" w:ascii="仿宋_GB2312" w:hAnsi="仿宋_GB2312" w:eastAsia="仿宋_GB2312" w:cs="仿宋_GB2312"/>
          <w:b w:val="0"/>
          <w:bCs/>
          <w:color w:val="auto"/>
          <w:sz w:val="30"/>
          <w:szCs w:val="30"/>
          <w:lang w:eastAsia="zh-CN"/>
        </w:rPr>
        <w:t>（</w:t>
      </w:r>
      <w:r>
        <w:rPr>
          <w:rFonts w:hint="eastAsia" w:ascii="仿宋_GB2312" w:hAnsi="仿宋_GB2312" w:eastAsia="仿宋_GB2312" w:cs="仿宋_GB2312"/>
          <w:b w:val="0"/>
          <w:bCs/>
          <w:color w:val="auto"/>
          <w:sz w:val="30"/>
          <w:szCs w:val="30"/>
          <w:lang w:val="en-US" w:eastAsia="zh-CN"/>
        </w:rPr>
        <w:t>二</w:t>
      </w:r>
      <w:r>
        <w:rPr>
          <w:rFonts w:hint="eastAsia" w:ascii="仿宋_GB2312" w:hAnsi="仿宋_GB2312" w:eastAsia="仿宋_GB2312" w:cs="仿宋_GB2312"/>
          <w:b w:val="0"/>
          <w:bCs/>
          <w:color w:val="auto"/>
          <w:sz w:val="30"/>
          <w:szCs w:val="30"/>
          <w:lang w:eastAsia="zh-CN"/>
        </w:rPr>
        <w:t>）</w:t>
      </w:r>
      <w:r>
        <w:rPr>
          <w:rFonts w:hint="eastAsia" w:ascii="仿宋_GB2312" w:hAnsi="仿宋_GB2312" w:eastAsia="仿宋_GB2312" w:cs="仿宋_GB2312"/>
          <w:b w:val="0"/>
          <w:bCs/>
          <w:color w:val="auto"/>
          <w:sz w:val="30"/>
          <w:szCs w:val="30"/>
        </w:rPr>
        <w:t>昭化区农村公益电影</w:t>
      </w:r>
      <w:r>
        <w:rPr>
          <w:rFonts w:hint="eastAsia" w:ascii="仿宋_GB2312" w:hAnsi="仿宋_GB2312" w:eastAsia="仿宋_GB2312" w:cs="仿宋_GB2312"/>
          <w:b w:val="0"/>
          <w:bCs/>
          <w:color w:val="auto"/>
          <w:sz w:val="30"/>
          <w:szCs w:val="30"/>
          <w:lang w:val="en-US" w:eastAsia="zh-CN"/>
        </w:rPr>
        <w:t>放映项目</w:t>
      </w:r>
      <w:r>
        <w:rPr>
          <w:rFonts w:hint="eastAsia" w:ascii="仿宋_GB2312" w:hAnsi="仿宋_GB2312" w:eastAsia="仿宋_GB2312" w:cs="仿宋_GB2312"/>
          <w:b w:val="0"/>
          <w:bCs/>
          <w:color w:val="auto"/>
          <w:sz w:val="30"/>
          <w:szCs w:val="30"/>
          <w:lang w:eastAsia="zh-CN"/>
        </w:rPr>
        <w:t>2020</w:t>
      </w:r>
      <w:r>
        <w:rPr>
          <w:rFonts w:hint="eastAsia" w:ascii="仿宋_GB2312" w:hAnsi="仿宋_GB2312" w:eastAsia="仿宋_GB2312" w:cs="仿宋_GB2312"/>
          <w:b w:val="0"/>
          <w:bCs/>
          <w:color w:val="auto"/>
          <w:sz w:val="30"/>
          <w:szCs w:val="30"/>
        </w:rPr>
        <w:t>年度目标完成情况</w:t>
      </w:r>
      <w:r>
        <w:rPr>
          <w:rFonts w:hint="eastAsia" w:ascii="仿宋_GB2312" w:hAnsi="仿宋_GB2312" w:eastAsia="仿宋_GB2312" w:cs="仿宋_GB2312"/>
          <w:b w:val="0"/>
          <w:bCs/>
          <w:color w:val="auto"/>
          <w:sz w:val="30"/>
          <w:szCs w:val="30"/>
          <w:lang w:val="en-US" w:eastAsia="zh-CN"/>
        </w:rPr>
        <w:t>。</w:t>
      </w:r>
      <w:r>
        <w:rPr>
          <w:rFonts w:hint="eastAsia" w:ascii="仿宋_GB2312" w:hAnsi="仿宋_GB2312" w:eastAsia="仿宋_GB2312" w:cs="仿宋_GB2312"/>
          <w:b w:val="0"/>
          <w:bCs/>
          <w:color w:val="auto"/>
          <w:sz w:val="30"/>
          <w:szCs w:val="30"/>
        </w:rPr>
        <w:t>中、省、市、区四级资金均按时足额到位</w:t>
      </w:r>
      <w:r>
        <w:rPr>
          <w:rFonts w:hint="eastAsia" w:ascii="仿宋_GB2312" w:hAnsi="仿宋_GB2312" w:eastAsia="仿宋_GB2312" w:cs="仿宋_GB2312"/>
          <w:b w:val="0"/>
          <w:bCs/>
          <w:color w:val="auto"/>
          <w:sz w:val="30"/>
          <w:szCs w:val="30"/>
          <w:lang w:val="en-US" w:eastAsia="zh-CN"/>
        </w:rPr>
        <w:t>55.45</w:t>
      </w:r>
      <w:r>
        <w:rPr>
          <w:rFonts w:hint="eastAsia" w:ascii="仿宋_GB2312" w:hAnsi="仿宋_GB2312" w:eastAsia="仿宋_GB2312" w:cs="仿宋_GB2312"/>
          <w:b w:val="0"/>
          <w:bCs/>
          <w:color w:val="auto"/>
          <w:sz w:val="30"/>
          <w:szCs w:val="30"/>
        </w:rPr>
        <w:t>万元，到位率100%。项目资金由区财政安排到区委宣传部，再由区委宣传部拨专到全市统一确定的放映单位：广元市凤凰院线，资金使用率100%。该项目实施过程中，由区委宣传部对每一场放映质量进行技术监管核实，项目资金使用坚持专款专用，无挤占挪用现象，拨付采取财政直接支付，资金拨付提请了区政府常务会审定同意，资金管理安全。</w:t>
      </w:r>
      <w:r>
        <w:rPr>
          <w:rFonts w:hint="eastAsia" w:ascii="仿宋_GB2312" w:hAnsi="仿宋_GB2312" w:eastAsia="仿宋_GB2312" w:cs="仿宋_GB2312"/>
          <w:b w:val="0"/>
          <w:bCs/>
          <w:color w:val="auto"/>
          <w:sz w:val="30"/>
          <w:szCs w:val="30"/>
          <w:lang w:eastAsia="zh-CN"/>
        </w:rPr>
        <w:t>2020</w:t>
      </w:r>
      <w:r>
        <w:rPr>
          <w:rFonts w:hint="eastAsia" w:ascii="仿宋_GB2312" w:hAnsi="仿宋_GB2312" w:eastAsia="仿宋_GB2312" w:cs="仿宋_GB2312"/>
          <w:b w:val="0"/>
          <w:bCs/>
          <w:color w:val="auto"/>
          <w:sz w:val="30"/>
          <w:szCs w:val="30"/>
        </w:rPr>
        <w:t>年昭化区在210个行政村放映农村公益电影有效场次</w:t>
      </w:r>
      <w:r>
        <w:rPr>
          <w:rFonts w:hint="eastAsia" w:ascii="仿宋_GB2312" w:hAnsi="仿宋_GB2312" w:eastAsia="仿宋_GB2312" w:cs="仿宋_GB2312"/>
          <w:sz w:val="30"/>
          <w:szCs w:val="30"/>
          <w:lang w:val="en-US" w:eastAsia="zh-CN"/>
        </w:rPr>
        <w:t>2863</w:t>
      </w:r>
      <w:r>
        <w:rPr>
          <w:rFonts w:hint="eastAsia" w:ascii="仿宋_GB2312" w:hAnsi="仿宋_GB2312" w:eastAsia="仿宋_GB2312" w:cs="仿宋_GB2312"/>
          <w:b w:val="0"/>
          <w:bCs/>
          <w:color w:val="auto"/>
          <w:sz w:val="30"/>
          <w:szCs w:val="30"/>
        </w:rPr>
        <w:t>场，完成全年放映任务的</w:t>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b w:val="0"/>
          <w:bCs/>
          <w:color w:val="auto"/>
          <w:sz w:val="30"/>
          <w:szCs w:val="30"/>
        </w:rPr>
        <w:t>%，农村观影群众</w:t>
      </w:r>
      <w:r>
        <w:rPr>
          <w:rFonts w:hint="eastAsia" w:ascii="仿宋_GB2312" w:hAnsi="仿宋_GB2312" w:eastAsia="仿宋_GB2312" w:cs="仿宋_GB2312"/>
          <w:sz w:val="30"/>
          <w:szCs w:val="30"/>
          <w:lang w:val="en-US" w:eastAsia="zh-CN"/>
        </w:rPr>
        <w:t>42234</w:t>
      </w:r>
      <w:r>
        <w:rPr>
          <w:rFonts w:hint="eastAsia" w:ascii="仿宋_GB2312" w:hAnsi="仿宋_GB2312" w:eastAsia="仿宋_GB2312" w:cs="仿宋_GB2312"/>
          <w:b w:val="0"/>
          <w:bCs/>
          <w:color w:val="auto"/>
          <w:sz w:val="30"/>
          <w:szCs w:val="30"/>
        </w:rPr>
        <w:t>人次，放映质量好，社会效益明显增强，极大地丰富了农村留守群众的文化生活，特别是孝老爱亲、科技推广、爱国主义教育等题材非常受欢迎。我区</w:t>
      </w:r>
      <w:r>
        <w:rPr>
          <w:rFonts w:hint="eastAsia" w:ascii="仿宋_GB2312" w:hAnsi="仿宋_GB2312" w:eastAsia="仿宋_GB2312" w:cs="仿宋_GB2312"/>
          <w:b w:val="0"/>
          <w:bCs/>
          <w:color w:val="auto"/>
          <w:sz w:val="30"/>
          <w:szCs w:val="30"/>
          <w:lang w:val="en-US" w:eastAsia="zh-CN"/>
        </w:rPr>
        <w:t>还</w:t>
      </w:r>
      <w:r>
        <w:rPr>
          <w:rFonts w:hint="eastAsia" w:ascii="仿宋_GB2312" w:hAnsi="仿宋_GB2312" w:eastAsia="仿宋_GB2312" w:cs="仿宋_GB2312"/>
          <w:b w:val="0"/>
          <w:bCs/>
          <w:color w:val="auto"/>
          <w:sz w:val="30"/>
          <w:szCs w:val="30"/>
        </w:rPr>
        <w:t>与区知客协会联动，将农村公益电影与农村红事结合，在农村红白事期间播放农村公益电影，可增加观影人数，增加社会效益，确保农村公益电影持续影响力不断加强。</w:t>
      </w:r>
    </w:p>
    <w:p w14:paraId="48409A9A">
      <w:pPr>
        <w:pStyle w:val="8"/>
        <w:rPr>
          <w:rFonts w:hint="default"/>
          <w:lang w:val="en-US" w:eastAsia="zh-CN"/>
        </w:rPr>
      </w:pPr>
    </w:p>
    <w:p w14:paraId="0F623931">
      <w:pPr>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rPr>
        <w:br w:type="page"/>
      </w:r>
    </w:p>
    <w:p w14:paraId="66775A6D">
      <w:pPr>
        <w:numPr>
          <w:ilvl w:val="0"/>
          <w:numId w:val="2"/>
        </w:numPr>
        <w:wordWrap/>
        <w:snapToGrid/>
        <w:spacing w:line="240" w:lineRule="auto"/>
        <w:ind w:left="0" w:leftChars="0" w:right="0" w:firstLine="0" w:firstLineChars="0"/>
        <w:jc w:val="center"/>
        <w:outlineLvl w:val="0"/>
        <w:rPr>
          <w:rStyle w:val="36"/>
          <w:rFonts w:ascii="黑体" w:hAnsi="黑体" w:eastAsia="黑体"/>
          <w:b w:val="0"/>
        </w:rPr>
      </w:pPr>
      <w:bookmarkStart w:id="80" w:name="_Toc15377225"/>
      <w:bookmarkStart w:id="81" w:name="_Toc24233"/>
      <w:bookmarkStart w:id="82" w:name="_Toc15396613"/>
      <w:r>
        <w:rPr>
          <w:rFonts w:hint="eastAsia" w:ascii="黑体" w:hAnsi="黑体" w:eastAsia="黑体"/>
          <w:color w:val="000000"/>
          <w:sz w:val="44"/>
          <w:szCs w:val="44"/>
        </w:rPr>
        <w:t>名</w:t>
      </w:r>
      <w:r>
        <w:rPr>
          <w:rStyle w:val="36"/>
          <w:rFonts w:hint="eastAsia" w:ascii="黑体" w:hAnsi="黑体" w:eastAsia="黑体"/>
          <w:b w:val="0"/>
        </w:rPr>
        <w:t>词解释</w:t>
      </w:r>
      <w:bookmarkEnd w:id="80"/>
      <w:bookmarkEnd w:id="81"/>
      <w:bookmarkEnd w:id="82"/>
    </w:p>
    <w:p w14:paraId="7DB285D9">
      <w:pPr>
        <w:wordWrap/>
        <w:snapToGrid/>
        <w:spacing w:line="240" w:lineRule="auto"/>
        <w:ind w:left="0" w:leftChars="0" w:right="0" w:firstLine="0" w:firstLineChars="0"/>
        <w:jc w:val="left"/>
        <w:rPr>
          <w:rFonts w:ascii="宋体"/>
          <w:b/>
          <w:color w:val="000000"/>
          <w:sz w:val="44"/>
          <w:szCs w:val="44"/>
        </w:rPr>
      </w:pPr>
    </w:p>
    <w:p w14:paraId="0933F4E3">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财政拨款收入：指单位从同级财政部门取得的财政预算资金。</w:t>
      </w:r>
    </w:p>
    <w:p w14:paraId="0A25C385">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一般公共服务支出（类）宣传事务（款）行政运行（项）:</w:t>
      </w:r>
      <w:r>
        <w:rPr>
          <w:rFonts w:hint="eastAsia" w:ascii="仿宋_GB2312" w:hAnsi="仿宋_GB2312" w:eastAsia="仿宋_GB2312" w:cs="仿宋_GB2312"/>
          <w:sz w:val="30"/>
          <w:szCs w:val="30"/>
          <w:lang w:val="en-US" w:eastAsia="zh-CN"/>
        </w:rPr>
        <w:t>指本部门行政单位的基本支出</w:t>
      </w:r>
      <w:r>
        <w:rPr>
          <w:rFonts w:hint="eastAsia" w:ascii="仿宋_GB2312" w:hAnsi="仿宋_GB2312" w:eastAsia="仿宋_GB2312" w:cs="仿宋_GB2312"/>
          <w:sz w:val="30"/>
          <w:szCs w:val="30"/>
        </w:rPr>
        <w:t>。</w:t>
      </w:r>
    </w:p>
    <w:p w14:paraId="4F60C51A">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一般公共服务支出（类）宣传事务（款）一般行政管理事务（项）:</w:t>
      </w:r>
      <w:r>
        <w:rPr>
          <w:rFonts w:hint="eastAsia" w:ascii="仿宋_GB2312" w:hAnsi="仿宋_GB2312" w:eastAsia="仿宋_GB2312" w:cs="仿宋_GB2312"/>
          <w:sz w:val="30"/>
          <w:szCs w:val="30"/>
          <w:lang w:val="en-US" w:eastAsia="zh-CN"/>
        </w:rPr>
        <w:t>指本部门行政单位（包括实行公务员管理的事业单位）管理方面</w:t>
      </w:r>
      <w:r>
        <w:rPr>
          <w:rFonts w:hint="eastAsia" w:ascii="仿宋_GB2312" w:hAnsi="仿宋_GB2312" w:eastAsia="仿宋_GB2312" w:cs="仿宋_GB2312"/>
          <w:sz w:val="30"/>
          <w:szCs w:val="30"/>
          <w:highlight w:val="none"/>
          <w:lang w:val="en-US" w:eastAsia="zh-CN"/>
        </w:rPr>
        <w:t>的</w:t>
      </w:r>
      <w:r>
        <w:rPr>
          <w:rFonts w:hint="eastAsia" w:ascii="仿宋_GB2312" w:hAnsi="仿宋_GB2312" w:eastAsia="仿宋_GB2312" w:cs="仿宋_GB2312"/>
          <w:sz w:val="30"/>
          <w:szCs w:val="30"/>
          <w:lang w:val="en-US" w:eastAsia="zh-CN"/>
        </w:rPr>
        <w:t>基本支出</w:t>
      </w:r>
      <w:r>
        <w:rPr>
          <w:rFonts w:hint="eastAsia" w:ascii="仿宋_GB2312" w:hAnsi="仿宋_GB2312" w:eastAsia="仿宋_GB2312" w:cs="仿宋_GB2312"/>
          <w:sz w:val="30"/>
          <w:szCs w:val="30"/>
        </w:rPr>
        <w:t>。</w:t>
      </w:r>
    </w:p>
    <w:p w14:paraId="7905C41C">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一般公共服务支出（类）宣传事务（款）事业运行（项）:</w:t>
      </w:r>
      <w:r>
        <w:rPr>
          <w:rFonts w:hint="eastAsia" w:ascii="仿宋_GB2312" w:hAnsi="仿宋_GB2312" w:eastAsia="仿宋_GB2312" w:cs="仿宋_GB2312"/>
          <w:sz w:val="30"/>
          <w:szCs w:val="30"/>
          <w:lang w:val="en-US" w:eastAsia="zh-CN"/>
        </w:rPr>
        <w:t>指本部门事业单位的基本支出</w:t>
      </w:r>
      <w:r>
        <w:rPr>
          <w:rFonts w:hint="eastAsia" w:ascii="仿宋_GB2312" w:hAnsi="仿宋_GB2312" w:eastAsia="仿宋_GB2312" w:cs="仿宋_GB2312"/>
          <w:sz w:val="30"/>
          <w:szCs w:val="30"/>
        </w:rPr>
        <w:t>。</w:t>
      </w:r>
    </w:p>
    <w:p w14:paraId="34F785EC">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一般公共服务支出（类）宣传事务（款）其他宣传事务支出（项）</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指本部门行政单位（包括实行公务员管理的事业单位）的其他用于宣传事务的基本支出</w:t>
      </w:r>
      <w:r>
        <w:rPr>
          <w:rFonts w:hint="eastAsia" w:ascii="仿宋_GB2312" w:hAnsi="仿宋_GB2312" w:eastAsia="仿宋_GB2312" w:cs="仿宋_GB2312"/>
          <w:sz w:val="30"/>
          <w:szCs w:val="30"/>
        </w:rPr>
        <w:t>。</w:t>
      </w:r>
    </w:p>
    <w:p w14:paraId="04E9AC82">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600" w:firstLineChars="200"/>
        <w:jc w:val="left"/>
        <w:textAlignment w:val="auto"/>
        <w:rPr>
          <w:rFonts w:hint="eastAsia" w:ascii="仿宋_GB2312" w:hAnsi="仿宋_GB2312" w:eastAsia="仿宋_GB2312" w:cs="仿宋_GB2312"/>
          <w:sz w:val="30"/>
          <w:szCs w:val="30"/>
        </w:rPr>
      </w:pPr>
      <w:r>
        <w:rPr>
          <w:rStyle w:val="20"/>
          <w:rFonts w:hint="eastAsia" w:ascii="仿宋_GB2312" w:hAnsi="仿宋_GB2312" w:eastAsia="仿宋_GB2312" w:cs="仿宋_GB2312"/>
          <w:b w:val="0"/>
          <w:bCs/>
          <w:color w:val="auto"/>
          <w:sz w:val="30"/>
          <w:szCs w:val="30"/>
          <w:lang w:val="en-US" w:eastAsia="zh-CN"/>
        </w:rPr>
        <w:t>6.</w:t>
      </w:r>
      <w:r>
        <w:rPr>
          <w:rStyle w:val="20"/>
          <w:rFonts w:hint="eastAsia" w:ascii="仿宋_GB2312" w:hAnsi="仿宋_GB2312" w:eastAsia="仿宋_GB2312" w:cs="仿宋_GB2312"/>
          <w:b w:val="0"/>
          <w:bCs/>
          <w:color w:val="auto"/>
          <w:sz w:val="30"/>
          <w:szCs w:val="30"/>
        </w:rPr>
        <w:t>文化旅游体育与传媒支出（类）文化和旅游（款）其他文化和旅游支出（项）</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指用于</w:t>
      </w:r>
      <w:r>
        <w:rPr>
          <w:rStyle w:val="20"/>
          <w:rFonts w:hint="eastAsia" w:ascii="仿宋_GB2312" w:hAnsi="仿宋_GB2312" w:eastAsia="仿宋_GB2312" w:cs="仿宋_GB2312"/>
          <w:b w:val="0"/>
          <w:bCs/>
          <w:color w:val="auto"/>
          <w:sz w:val="30"/>
          <w:szCs w:val="30"/>
        </w:rPr>
        <w:t>其他文化和旅游</w:t>
      </w:r>
      <w:r>
        <w:rPr>
          <w:rStyle w:val="20"/>
          <w:rFonts w:hint="eastAsia" w:ascii="仿宋_GB2312" w:hAnsi="仿宋_GB2312" w:eastAsia="仿宋_GB2312" w:cs="仿宋_GB2312"/>
          <w:b w:val="0"/>
          <w:bCs/>
          <w:color w:val="auto"/>
          <w:sz w:val="30"/>
          <w:szCs w:val="30"/>
          <w:lang w:val="en-US" w:eastAsia="zh-CN"/>
        </w:rPr>
        <w:t>方面的</w:t>
      </w:r>
      <w:r>
        <w:rPr>
          <w:rFonts w:hint="eastAsia" w:ascii="仿宋_GB2312" w:hAnsi="仿宋_GB2312" w:eastAsia="仿宋_GB2312" w:cs="仿宋_GB2312"/>
          <w:sz w:val="30"/>
          <w:szCs w:val="30"/>
          <w:lang w:val="en-US" w:eastAsia="zh-CN"/>
        </w:rPr>
        <w:t>支出，主要是农村公益电影支出</w:t>
      </w:r>
      <w:r>
        <w:rPr>
          <w:rFonts w:hint="eastAsia" w:ascii="仿宋_GB2312" w:hAnsi="仿宋_GB2312" w:eastAsia="仿宋_GB2312" w:cs="仿宋_GB2312"/>
          <w:sz w:val="30"/>
          <w:szCs w:val="30"/>
        </w:rPr>
        <w:t>。</w:t>
      </w:r>
    </w:p>
    <w:p w14:paraId="534D69C5">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600" w:firstLineChars="200"/>
        <w:jc w:val="left"/>
        <w:textAlignment w:val="auto"/>
        <w:rPr>
          <w:rFonts w:hint="eastAsia" w:ascii="仿宋_GB2312" w:hAnsi="仿宋_GB2312" w:eastAsia="仿宋_GB2312" w:cs="仿宋_GB2312"/>
          <w:sz w:val="30"/>
          <w:szCs w:val="30"/>
        </w:rPr>
      </w:pPr>
      <w:r>
        <w:rPr>
          <w:rStyle w:val="20"/>
          <w:rFonts w:hint="eastAsia" w:ascii="仿宋_GB2312" w:hAnsi="仿宋_GB2312" w:eastAsia="仿宋_GB2312" w:cs="仿宋_GB2312"/>
          <w:b w:val="0"/>
          <w:bCs/>
          <w:color w:val="auto"/>
          <w:sz w:val="30"/>
          <w:szCs w:val="30"/>
          <w:lang w:val="en-US" w:eastAsia="zh-CN"/>
        </w:rPr>
        <w:t>7.</w:t>
      </w:r>
      <w:r>
        <w:rPr>
          <w:rStyle w:val="20"/>
          <w:rFonts w:hint="eastAsia" w:ascii="仿宋_GB2312" w:hAnsi="仿宋_GB2312" w:eastAsia="仿宋_GB2312" w:cs="仿宋_GB2312"/>
          <w:b w:val="0"/>
          <w:bCs/>
          <w:color w:val="auto"/>
          <w:sz w:val="30"/>
          <w:szCs w:val="30"/>
        </w:rPr>
        <w:t>文化旅游体育与传媒支出（类）新闻出版电影（款）电影（项）</w:t>
      </w:r>
      <w:r>
        <w:rPr>
          <w:rFonts w:hint="eastAsia" w:ascii="仿宋_GB2312" w:hAnsi="仿宋_GB2312" w:eastAsia="仿宋_GB2312" w:cs="仿宋_GB2312"/>
          <w:sz w:val="30"/>
          <w:szCs w:val="30"/>
          <w:lang w:val="en-US" w:eastAsia="zh-CN"/>
        </w:rPr>
        <w:t>指反映电影制片、发行、放映等方面的支出</w:t>
      </w:r>
      <w:r>
        <w:rPr>
          <w:rFonts w:hint="eastAsia" w:ascii="仿宋_GB2312" w:hAnsi="仿宋_GB2312" w:eastAsia="仿宋_GB2312" w:cs="仿宋_GB2312"/>
          <w:sz w:val="30"/>
          <w:szCs w:val="30"/>
        </w:rPr>
        <w:t>。</w:t>
      </w:r>
    </w:p>
    <w:p w14:paraId="575A4EA9">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600" w:firstLineChars="200"/>
        <w:jc w:val="left"/>
        <w:textAlignment w:val="auto"/>
        <w:rPr>
          <w:rFonts w:hint="eastAsia" w:ascii="仿宋_GB2312" w:hAnsi="仿宋_GB2312" w:eastAsia="仿宋_GB2312" w:cs="仿宋_GB2312"/>
          <w:sz w:val="30"/>
          <w:szCs w:val="30"/>
        </w:rPr>
      </w:pPr>
      <w:r>
        <w:rPr>
          <w:rStyle w:val="20"/>
          <w:rFonts w:hint="eastAsia" w:ascii="仿宋_GB2312" w:hAnsi="仿宋_GB2312" w:eastAsia="仿宋_GB2312" w:cs="仿宋_GB2312"/>
          <w:b w:val="0"/>
          <w:bCs/>
          <w:color w:val="auto"/>
          <w:sz w:val="30"/>
          <w:szCs w:val="30"/>
          <w:lang w:val="en-US" w:eastAsia="zh-CN"/>
        </w:rPr>
        <w:t>8.</w:t>
      </w:r>
      <w:r>
        <w:rPr>
          <w:rStyle w:val="20"/>
          <w:rFonts w:hint="eastAsia" w:ascii="仿宋_GB2312" w:hAnsi="仿宋_GB2312" w:eastAsia="仿宋_GB2312" w:cs="仿宋_GB2312"/>
          <w:b w:val="0"/>
          <w:bCs/>
          <w:color w:val="auto"/>
          <w:sz w:val="30"/>
          <w:szCs w:val="30"/>
        </w:rPr>
        <w:t>文化旅游体育与传媒支出（类）新闻出版电影（款）其他新闻出版电影支出（项）</w:t>
      </w:r>
      <w:r>
        <w:rPr>
          <w:rStyle w:val="20"/>
          <w:rFonts w:hint="eastAsia" w:ascii="仿宋_GB2312" w:hAnsi="仿宋_GB2312" w:eastAsia="仿宋_GB2312" w:cs="仿宋_GB2312"/>
          <w:b w:val="0"/>
          <w:bCs/>
          <w:color w:val="auto"/>
          <w:sz w:val="30"/>
          <w:szCs w:val="30"/>
          <w:lang w:eastAsia="zh-CN"/>
        </w:rPr>
        <w:t>；</w:t>
      </w:r>
      <w:r>
        <w:rPr>
          <w:rFonts w:hint="eastAsia" w:ascii="仿宋_GB2312" w:hAnsi="仿宋_GB2312" w:eastAsia="仿宋_GB2312" w:cs="仿宋_GB2312"/>
          <w:sz w:val="30"/>
          <w:szCs w:val="30"/>
          <w:lang w:val="en-US" w:eastAsia="zh-CN"/>
        </w:rPr>
        <w:t>指用于新闻出版电影方面的其他支出。</w:t>
      </w:r>
    </w:p>
    <w:p w14:paraId="003747B3">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600" w:firstLineChars="200"/>
        <w:jc w:val="left"/>
        <w:textAlignment w:val="auto"/>
        <w:rPr>
          <w:rFonts w:hint="eastAsia" w:ascii="仿宋_GB2312" w:hAnsi="仿宋_GB2312" w:eastAsia="仿宋_GB2312" w:cs="仿宋_GB2312"/>
          <w:sz w:val="30"/>
          <w:szCs w:val="30"/>
        </w:rPr>
      </w:pPr>
      <w:r>
        <w:rPr>
          <w:rStyle w:val="20"/>
          <w:rFonts w:hint="eastAsia" w:ascii="仿宋_GB2312" w:hAnsi="仿宋_GB2312" w:eastAsia="仿宋_GB2312" w:cs="仿宋_GB2312"/>
          <w:b w:val="0"/>
          <w:bCs/>
          <w:color w:val="auto"/>
          <w:sz w:val="30"/>
          <w:szCs w:val="30"/>
          <w:lang w:val="en-US" w:eastAsia="zh-CN"/>
        </w:rPr>
        <w:t>9.</w:t>
      </w:r>
      <w:r>
        <w:rPr>
          <w:rStyle w:val="20"/>
          <w:rFonts w:hint="eastAsia" w:ascii="仿宋_GB2312" w:hAnsi="仿宋_GB2312" w:eastAsia="仿宋_GB2312" w:cs="仿宋_GB2312"/>
          <w:b w:val="0"/>
          <w:bCs/>
          <w:color w:val="auto"/>
          <w:sz w:val="30"/>
          <w:szCs w:val="30"/>
        </w:rPr>
        <w:t>文化旅游体育与传媒支出（类）国家电影事业发展专项资金安排的支出（款）其他国家电影事业发展专项资金支出（项）:</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指用于其他</w:t>
      </w:r>
      <w:r>
        <w:rPr>
          <w:rStyle w:val="20"/>
          <w:rFonts w:hint="eastAsia" w:ascii="仿宋_GB2312" w:hAnsi="仿宋_GB2312" w:eastAsia="仿宋_GB2312" w:cs="仿宋_GB2312"/>
          <w:b w:val="0"/>
          <w:bCs/>
          <w:color w:val="auto"/>
          <w:sz w:val="30"/>
          <w:szCs w:val="30"/>
        </w:rPr>
        <w:t>国家电影事业发展专项资金</w:t>
      </w:r>
      <w:r>
        <w:rPr>
          <w:rFonts w:hint="eastAsia" w:ascii="仿宋_GB2312" w:hAnsi="仿宋_GB2312" w:eastAsia="仿宋_GB2312" w:cs="仿宋_GB2312"/>
          <w:sz w:val="30"/>
          <w:szCs w:val="30"/>
          <w:lang w:val="en-US" w:eastAsia="zh-CN"/>
        </w:rPr>
        <w:t>的支出</w:t>
      </w:r>
      <w:r>
        <w:rPr>
          <w:rFonts w:hint="eastAsia" w:ascii="仿宋_GB2312" w:hAnsi="仿宋_GB2312" w:eastAsia="仿宋_GB2312" w:cs="仿宋_GB2312"/>
          <w:sz w:val="30"/>
          <w:szCs w:val="30"/>
        </w:rPr>
        <w:t>。</w:t>
      </w:r>
    </w:p>
    <w:p w14:paraId="728F7528">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right="0" w:rightChars="0" w:firstLine="600" w:firstLineChars="200"/>
        <w:jc w:val="left"/>
        <w:textAlignment w:val="auto"/>
        <w:rPr>
          <w:rFonts w:hint="eastAsia" w:ascii="仿宋_GB2312" w:hAnsi="仿宋_GB2312" w:eastAsia="仿宋_GB2312" w:cs="仿宋_GB2312"/>
          <w:sz w:val="30"/>
          <w:szCs w:val="30"/>
        </w:rPr>
      </w:pPr>
      <w:r>
        <w:rPr>
          <w:rStyle w:val="20"/>
          <w:rFonts w:hint="eastAsia" w:ascii="仿宋_GB2312" w:hAnsi="仿宋_GB2312" w:eastAsia="仿宋_GB2312" w:cs="仿宋_GB2312"/>
          <w:b w:val="0"/>
          <w:bCs/>
          <w:color w:val="auto"/>
          <w:sz w:val="30"/>
          <w:szCs w:val="30"/>
          <w:lang w:val="en-US" w:eastAsia="zh-CN"/>
        </w:rPr>
        <w:t>10.</w:t>
      </w:r>
      <w:r>
        <w:rPr>
          <w:rStyle w:val="20"/>
          <w:rFonts w:hint="eastAsia" w:ascii="仿宋_GB2312" w:hAnsi="仿宋_GB2312" w:eastAsia="仿宋_GB2312" w:cs="仿宋_GB2312"/>
          <w:b w:val="0"/>
          <w:bCs/>
          <w:color w:val="auto"/>
          <w:sz w:val="30"/>
          <w:szCs w:val="30"/>
        </w:rPr>
        <w:t>文化旅游体育与传媒支出（类）其他文化体育与传媒支出（款）宣传文化发展专项支出（项）</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指用于</w:t>
      </w:r>
      <w:r>
        <w:rPr>
          <w:rStyle w:val="20"/>
          <w:rFonts w:hint="eastAsia" w:ascii="仿宋_GB2312" w:hAnsi="仿宋_GB2312" w:eastAsia="仿宋_GB2312" w:cs="仿宋_GB2312"/>
          <w:b w:val="0"/>
          <w:bCs/>
          <w:color w:val="auto"/>
          <w:sz w:val="30"/>
          <w:szCs w:val="30"/>
        </w:rPr>
        <w:t>宣传文化发展专项</w:t>
      </w:r>
      <w:r>
        <w:rPr>
          <w:rFonts w:hint="eastAsia" w:ascii="仿宋_GB2312" w:hAnsi="仿宋_GB2312" w:eastAsia="仿宋_GB2312" w:cs="仿宋_GB2312"/>
          <w:sz w:val="30"/>
          <w:szCs w:val="30"/>
          <w:lang w:val="en-US" w:eastAsia="zh-CN"/>
        </w:rPr>
        <w:t>方面的支出</w:t>
      </w:r>
      <w:r>
        <w:rPr>
          <w:rFonts w:hint="eastAsia" w:ascii="仿宋_GB2312" w:hAnsi="仿宋_GB2312" w:eastAsia="仿宋_GB2312" w:cs="仿宋_GB2312"/>
          <w:sz w:val="30"/>
          <w:szCs w:val="30"/>
        </w:rPr>
        <w:t>。</w:t>
      </w:r>
    </w:p>
    <w:p w14:paraId="71178B08">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right="0" w:rightChars="0" w:firstLine="600" w:firstLineChars="200"/>
        <w:jc w:val="left"/>
        <w:textAlignment w:val="auto"/>
        <w:rPr>
          <w:rFonts w:hint="eastAsia" w:ascii="仿宋_GB2312" w:hAnsi="仿宋_GB2312" w:eastAsia="仿宋_GB2312" w:cs="仿宋_GB2312"/>
          <w:sz w:val="30"/>
          <w:szCs w:val="30"/>
        </w:rPr>
      </w:pPr>
      <w:r>
        <w:rPr>
          <w:rStyle w:val="20"/>
          <w:rFonts w:hint="eastAsia" w:ascii="仿宋_GB2312" w:hAnsi="仿宋_GB2312" w:eastAsia="仿宋_GB2312" w:cs="仿宋_GB2312"/>
          <w:b w:val="0"/>
          <w:bCs/>
          <w:color w:val="auto"/>
          <w:sz w:val="30"/>
          <w:szCs w:val="30"/>
          <w:lang w:val="en-US" w:eastAsia="zh-CN"/>
        </w:rPr>
        <w:t>11.</w:t>
      </w:r>
      <w:r>
        <w:rPr>
          <w:rStyle w:val="20"/>
          <w:rFonts w:hint="eastAsia" w:ascii="仿宋_GB2312" w:hAnsi="仿宋_GB2312" w:eastAsia="仿宋_GB2312" w:cs="仿宋_GB2312"/>
          <w:b w:val="0"/>
          <w:bCs/>
          <w:color w:val="auto"/>
          <w:sz w:val="30"/>
          <w:szCs w:val="30"/>
        </w:rPr>
        <w:t>社会保障和就业支出（类）行政事业单位养老支出（款）机关事业单位基本养老保险缴费支出（项）</w:t>
      </w:r>
      <w:r>
        <w:rPr>
          <w:rFonts w:hint="eastAsia" w:ascii="仿宋_GB2312" w:hAnsi="仿宋_GB2312" w:eastAsia="仿宋_GB2312" w:cs="仿宋_GB2312"/>
          <w:sz w:val="30"/>
          <w:szCs w:val="30"/>
        </w:rPr>
        <w:t>:指</w:t>
      </w:r>
      <w:r>
        <w:rPr>
          <w:rFonts w:hint="eastAsia" w:ascii="仿宋_GB2312" w:hAnsi="仿宋_GB2312" w:eastAsia="仿宋_GB2312" w:cs="仿宋_GB2312"/>
          <w:sz w:val="30"/>
          <w:szCs w:val="30"/>
          <w:lang w:eastAsia="zh-CN"/>
        </w:rPr>
        <w:t>机关事业单位实施养老保险制度由单位缴纳的基本养老保险费支出。</w:t>
      </w:r>
    </w:p>
    <w:p w14:paraId="111768E9">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right="0" w:rightChars="0" w:firstLine="600" w:firstLineChars="200"/>
        <w:jc w:val="left"/>
        <w:textAlignment w:val="auto"/>
        <w:rPr>
          <w:rFonts w:hint="eastAsia" w:ascii="仿宋_GB2312" w:hAnsi="仿宋_GB2312" w:eastAsia="仿宋_GB2312" w:cs="仿宋_GB2312"/>
          <w:b/>
          <w:color w:val="000000"/>
          <w:sz w:val="30"/>
          <w:szCs w:val="30"/>
        </w:rPr>
      </w:pPr>
      <w:r>
        <w:rPr>
          <w:rStyle w:val="20"/>
          <w:rFonts w:hint="eastAsia" w:ascii="仿宋_GB2312" w:hAnsi="仿宋_GB2312" w:eastAsia="仿宋_GB2312" w:cs="仿宋_GB2312"/>
          <w:b w:val="0"/>
          <w:bCs/>
          <w:color w:val="auto"/>
          <w:sz w:val="30"/>
          <w:szCs w:val="30"/>
          <w:lang w:val="en-US" w:eastAsia="zh-CN"/>
        </w:rPr>
        <w:t>12.</w:t>
      </w:r>
      <w:r>
        <w:rPr>
          <w:rStyle w:val="20"/>
          <w:rFonts w:hint="eastAsia" w:ascii="仿宋_GB2312" w:hAnsi="仿宋_GB2312" w:eastAsia="仿宋_GB2312" w:cs="仿宋_GB2312"/>
          <w:b w:val="0"/>
          <w:bCs/>
          <w:color w:val="auto"/>
          <w:sz w:val="30"/>
          <w:szCs w:val="30"/>
        </w:rPr>
        <w:t>社会保障和就业支出（类）其他社会保障和就业支出（款）其他社会保障和就业支出（项）</w:t>
      </w:r>
      <w:r>
        <w:rPr>
          <w:rFonts w:hint="eastAsia" w:ascii="仿宋_GB2312" w:hAnsi="仿宋_GB2312" w:eastAsia="仿宋_GB2312" w:cs="仿宋_GB2312"/>
          <w:sz w:val="30"/>
          <w:szCs w:val="30"/>
        </w:rPr>
        <w:t>:指</w:t>
      </w:r>
      <w:r>
        <w:rPr>
          <w:rFonts w:hint="eastAsia" w:ascii="仿宋_GB2312" w:hAnsi="仿宋_GB2312" w:eastAsia="仿宋_GB2312" w:cs="仿宋_GB2312"/>
          <w:sz w:val="30"/>
          <w:szCs w:val="30"/>
          <w:lang w:eastAsia="zh-CN"/>
        </w:rPr>
        <w:t>机关事业单位</w:t>
      </w:r>
      <w:r>
        <w:rPr>
          <w:rFonts w:hint="eastAsia" w:ascii="仿宋_GB2312" w:hAnsi="仿宋_GB2312" w:eastAsia="仿宋_GB2312" w:cs="仿宋_GB2312"/>
          <w:sz w:val="30"/>
          <w:szCs w:val="30"/>
          <w:lang w:val="en-US" w:eastAsia="zh-CN"/>
        </w:rPr>
        <w:t>用于退休人员</w:t>
      </w:r>
      <w:r>
        <w:rPr>
          <w:rFonts w:hint="eastAsia" w:ascii="仿宋_GB2312" w:hAnsi="仿宋_GB2312" w:eastAsia="仿宋_GB2312" w:cs="仿宋_GB2312"/>
          <w:sz w:val="30"/>
          <w:szCs w:val="30"/>
          <w:highlight w:val="none"/>
          <w:lang w:val="en-US" w:eastAsia="zh-CN"/>
        </w:rPr>
        <w:t>的</w:t>
      </w:r>
      <w:r>
        <w:rPr>
          <w:rFonts w:hint="eastAsia" w:ascii="仿宋_GB2312" w:hAnsi="仿宋_GB2312" w:eastAsia="仿宋_GB2312" w:cs="仿宋_GB2312"/>
          <w:sz w:val="30"/>
          <w:szCs w:val="30"/>
          <w:lang w:eastAsia="zh-CN"/>
        </w:rPr>
        <w:t>支出。</w:t>
      </w:r>
    </w:p>
    <w:p w14:paraId="4168B6AD">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bCs/>
          <w:color w:val="auto"/>
          <w:sz w:val="30"/>
          <w:szCs w:val="30"/>
          <w:lang w:val="en-US" w:eastAsia="zh-CN"/>
        </w:rPr>
        <w:t>13.</w:t>
      </w:r>
      <w:r>
        <w:rPr>
          <w:rFonts w:hint="eastAsia" w:ascii="仿宋_GB2312" w:hAnsi="仿宋_GB2312" w:eastAsia="仿宋_GB2312" w:cs="仿宋_GB2312"/>
          <w:b w:val="0"/>
          <w:bCs/>
          <w:color w:val="auto"/>
          <w:sz w:val="30"/>
          <w:szCs w:val="30"/>
        </w:rPr>
        <w:t>卫生健康支出</w:t>
      </w:r>
      <w:r>
        <w:rPr>
          <w:rStyle w:val="20"/>
          <w:rFonts w:hint="eastAsia" w:ascii="仿宋_GB2312" w:hAnsi="仿宋_GB2312" w:eastAsia="仿宋_GB2312" w:cs="仿宋_GB2312"/>
          <w:b w:val="0"/>
          <w:bCs/>
          <w:color w:val="auto"/>
          <w:sz w:val="30"/>
          <w:szCs w:val="30"/>
        </w:rPr>
        <w:t>（类）行政事业单位医疗（款）行政单位医疗（项）</w:t>
      </w:r>
      <w:r>
        <w:rPr>
          <w:rFonts w:hint="eastAsia" w:ascii="仿宋_GB2312" w:hAnsi="仿宋_GB2312" w:eastAsia="仿宋_GB2312" w:cs="仿宋_GB2312"/>
          <w:sz w:val="30"/>
          <w:szCs w:val="30"/>
        </w:rPr>
        <w:t>:指</w:t>
      </w:r>
      <w:r>
        <w:rPr>
          <w:rFonts w:hint="eastAsia" w:ascii="仿宋_GB2312" w:hAnsi="仿宋_GB2312" w:eastAsia="仿宋_GB2312" w:cs="仿宋_GB2312"/>
          <w:sz w:val="30"/>
          <w:szCs w:val="30"/>
          <w:lang w:eastAsia="zh-CN"/>
        </w:rPr>
        <w:t>财政部门安排的行政单位基本医疗保险缴</w:t>
      </w:r>
      <w:r>
        <w:rPr>
          <w:rFonts w:hint="eastAsia" w:ascii="仿宋_GB2312" w:hAnsi="仿宋_GB2312" w:eastAsia="仿宋_GB2312" w:cs="仿宋_GB2312"/>
          <w:color w:val="000000"/>
          <w:sz w:val="30"/>
          <w:szCs w:val="30"/>
          <w:lang w:eastAsia="zh-CN"/>
        </w:rPr>
        <w:t>费经费，未参加医疗保险的行政单位的公费医疗经费，按国家规定享受离休人员、红军老战士待遇人员的医疗经费</w:t>
      </w:r>
      <w:r>
        <w:rPr>
          <w:rFonts w:hint="eastAsia" w:ascii="仿宋_GB2312" w:hAnsi="仿宋_GB2312" w:eastAsia="仿宋_GB2312" w:cs="仿宋_GB2312"/>
          <w:color w:val="000000"/>
          <w:sz w:val="30"/>
          <w:szCs w:val="30"/>
        </w:rPr>
        <w:t>。</w:t>
      </w:r>
    </w:p>
    <w:p w14:paraId="5835DA7A">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right="0" w:rightChars="0" w:firstLine="600" w:firstLineChars="200"/>
        <w:jc w:val="left"/>
        <w:textAlignment w:val="auto"/>
        <w:rPr>
          <w:rFonts w:hint="eastAsia" w:ascii="仿宋_GB2312" w:hAnsi="仿宋_GB2312" w:eastAsia="仿宋_GB2312" w:cs="仿宋_GB2312"/>
          <w:b/>
          <w:color w:val="000000"/>
          <w:sz w:val="30"/>
          <w:szCs w:val="30"/>
        </w:rPr>
      </w:pPr>
      <w:r>
        <w:rPr>
          <w:rFonts w:hint="eastAsia" w:ascii="仿宋_GB2312" w:hAnsi="仿宋_GB2312" w:eastAsia="仿宋_GB2312" w:cs="仿宋_GB2312"/>
          <w:b w:val="0"/>
          <w:bCs/>
          <w:color w:val="auto"/>
          <w:sz w:val="30"/>
          <w:szCs w:val="30"/>
          <w:lang w:val="en-US" w:eastAsia="zh-CN"/>
        </w:rPr>
        <w:t>14.</w:t>
      </w:r>
      <w:r>
        <w:rPr>
          <w:rFonts w:hint="eastAsia" w:ascii="仿宋_GB2312" w:hAnsi="仿宋_GB2312" w:eastAsia="仿宋_GB2312" w:cs="仿宋_GB2312"/>
          <w:b w:val="0"/>
          <w:bCs/>
          <w:color w:val="auto"/>
          <w:sz w:val="30"/>
          <w:szCs w:val="30"/>
        </w:rPr>
        <w:t>卫生健康支出</w:t>
      </w:r>
      <w:r>
        <w:rPr>
          <w:rStyle w:val="20"/>
          <w:rFonts w:hint="eastAsia" w:ascii="仿宋_GB2312" w:hAnsi="仿宋_GB2312" w:eastAsia="仿宋_GB2312" w:cs="仿宋_GB2312"/>
          <w:b w:val="0"/>
          <w:bCs/>
          <w:color w:val="auto"/>
          <w:sz w:val="30"/>
          <w:szCs w:val="30"/>
        </w:rPr>
        <w:t>（类）行政事业单位医疗（款）事业单位医疗（项）</w:t>
      </w:r>
      <w:r>
        <w:rPr>
          <w:rFonts w:hint="eastAsia" w:ascii="仿宋_GB2312" w:hAnsi="仿宋_GB2312" w:eastAsia="仿宋_GB2312" w:cs="仿宋_GB2312"/>
          <w:sz w:val="30"/>
          <w:szCs w:val="30"/>
        </w:rPr>
        <w:t>:指</w:t>
      </w:r>
      <w:r>
        <w:rPr>
          <w:rFonts w:hint="eastAsia" w:ascii="仿宋_GB2312" w:hAnsi="仿宋_GB2312" w:eastAsia="仿宋_GB2312" w:cs="仿宋_GB2312"/>
          <w:sz w:val="30"/>
          <w:szCs w:val="30"/>
          <w:lang w:eastAsia="zh-CN"/>
        </w:rPr>
        <w:t>财政部门安排的</w:t>
      </w:r>
      <w:r>
        <w:rPr>
          <w:rStyle w:val="20"/>
          <w:rFonts w:hint="eastAsia" w:ascii="仿宋_GB2312" w:hAnsi="仿宋_GB2312" w:eastAsia="仿宋_GB2312" w:cs="仿宋_GB2312"/>
          <w:b w:val="0"/>
          <w:bCs/>
          <w:color w:val="auto"/>
          <w:sz w:val="30"/>
          <w:szCs w:val="30"/>
        </w:rPr>
        <w:t>事业单位</w:t>
      </w:r>
      <w:r>
        <w:rPr>
          <w:rFonts w:hint="eastAsia" w:ascii="仿宋_GB2312" w:hAnsi="仿宋_GB2312" w:eastAsia="仿宋_GB2312" w:cs="仿宋_GB2312"/>
          <w:sz w:val="30"/>
          <w:szCs w:val="30"/>
          <w:lang w:eastAsia="zh-CN"/>
        </w:rPr>
        <w:t>基本医疗保险缴</w:t>
      </w:r>
      <w:r>
        <w:rPr>
          <w:rFonts w:hint="eastAsia" w:ascii="仿宋_GB2312" w:hAnsi="仿宋_GB2312" w:eastAsia="仿宋_GB2312" w:cs="仿宋_GB2312"/>
          <w:color w:val="000000"/>
          <w:sz w:val="30"/>
          <w:szCs w:val="30"/>
          <w:lang w:eastAsia="zh-CN"/>
        </w:rPr>
        <w:t>费经费，未参加医疗保险的行政单位的公费医疗经费，按国家规定享受离休人员、红军老战士待遇人员的医疗经费</w:t>
      </w:r>
      <w:r>
        <w:rPr>
          <w:rFonts w:hint="eastAsia" w:ascii="仿宋_GB2312" w:hAnsi="仿宋_GB2312" w:eastAsia="仿宋_GB2312" w:cs="仿宋_GB2312"/>
          <w:color w:val="000000"/>
          <w:sz w:val="30"/>
          <w:szCs w:val="30"/>
        </w:rPr>
        <w:t>。</w:t>
      </w:r>
    </w:p>
    <w:p w14:paraId="1F042348">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right="0" w:rightChars="0" w:firstLine="600" w:firstLineChars="200"/>
        <w:jc w:val="left"/>
        <w:textAlignment w:val="auto"/>
        <w:rPr>
          <w:rFonts w:hint="eastAsia" w:ascii="仿宋_GB2312" w:hAnsi="仿宋_GB2312" w:eastAsia="仿宋_GB2312" w:cs="仿宋_GB2312"/>
          <w:b w:val="0"/>
          <w:bCs w:val="0"/>
          <w:color w:val="000000"/>
          <w:sz w:val="30"/>
          <w:szCs w:val="30"/>
        </w:rPr>
      </w:pPr>
      <w:r>
        <w:rPr>
          <w:rFonts w:hint="eastAsia" w:ascii="仿宋_GB2312" w:hAnsi="仿宋_GB2312" w:eastAsia="仿宋_GB2312" w:cs="仿宋_GB2312"/>
          <w:b w:val="0"/>
          <w:bCs/>
          <w:color w:val="auto"/>
          <w:sz w:val="30"/>
          <w:szCs w:val="30"/>
          <w:lang w:val="en-US" w:eastAsia="zh-CN"/>
        </w:rPr>
        <w:t>15.</w:t>
      </w:r>
      <w:r>
        <w:rPr>
          <w:rFonts w:hint="eastAsia" w:ascii="仿宋_GB2312" w:hAnsi="仿宋_GB2312" w:eastAsia="仿宋_GB2312" w:cs="仿宋_GB2312"/>
          <w:b w:val="0"/>
          <w:bCs/>
          <w:color w:val="auto"/>
          <w:sz w:val="30"/>
          <w:szCs w:val="30"/>
        </w:rPr>
        <w:t>住房保障支出</w:t>
      </w:r>
      <w:r>
        <w:rPr>
          <w:rStyle w:val="20"/>
          <w:rFonts w:hint="eastAsia" w:ascii="仿宋_GB2312" w:hAnsi="仿宋_GB2312" w:eastAsia="仿宋_GB2312" w:cs="仿宋_GB2312"/>
          <w:b w:val="0"/>
          <w:bCs/>
          <w:color w:val="auto"/>
          <w:sz w:val="30"/>
          <w:szCs w:val="30"/>
        </w:rPr>
        <w:t>（类）住房改革支出（款）住房公积金（项）</w:t>
      </w:r>
      <w:r>
        <w:rPr>
          <w:rFonts w:hint="eastAsia" w:ascii="仿宋_GB2312" w:hAnsi="仿宋_GB2312" w:eastAsia="仿宋_GB2312" w:cs="仿宋_GB2312"/>
          <w:b w:val="0"/>
          <w:bCs w:val="0"/>
          <w:color w:val="000000"/>
          <w:sz w:val="30"/>
          <w:szCs w:val="30"/>
        </w:rPr>
        <w:t>指</w:t>
      </w:r>
      <w:r>
        <w:rPr>
          <w:rFonts w:hint="eastAsia" w:ascii="仿宋_GB2312" w:hAnsi="仿宋_GB2312" w:eastAsia="仿宋_GB2312" w:cs="仿宋_GB2312"/>
          <w:b w:val="0"/>
          <w:bCs w:val="0"/>
          <w:color w:val="000000"/>
          <w:sz w:val="30"/>
          <w:szCs w:val="30"/>
          <w:lang w:eastAsia="zh-CN"/>
        </w:rPr>
        <w:t>反映行政事业单位按人力资源和社会保障部、财政部规定的基本工资和津贴补贴以及规定比例为职工缴纳的住房公积金</w:t>
      </w:r>
      <w:r>
        <w:rPr>
          <w:rFonts w:hint="eastAsia" w:ascii="仿宋_GB2312" w:hAnsi="仿宋_GB2312" w:eastAsia="仿宋_GB2312" w:cs="仿宋_GB2312"/>
          <w:b w:val="0"/>
          <w:bCs w:val="0"/>
          <w:color w:val="000000"/>
          <w:sz w:val="30"/>
          <w:szCs w:val="30"/>
        </w:rPr>
        <w:t>。</w:t>
      </w:r>
    </w:p>
    <w:p w14:paraId="28AB76F9">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right="0" w:rightChars="0"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16.</w:t>
      </w:r>
      <w:r>
        <w:rPr>
          <w:rFonts w:hint="eastAsia" w:ascii="仿宋_GB2312" w:hAnsi="仿宋_GB2312" w:eastAsia="仿宋_GB2312" w:cs="仿宋_GB2312"/>
          <w:color w:val="000000"/>
          <w:sz w:val="30"/>
          <w:szCs w:val="30"/>
        </w:rPr>
        <w:t>基本支出：指为保障机构正常运转、完成日常工作任务而发生的人员支出和公用支出。</w:t>
      </w:r>
    </w:p>
    <w:p w14:paraId="1BC70E98">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right="0" w:rightChars="0"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17.</w:t>
      </w:r>
      <w:r>
        <w:rPr>
          <w:rFonts w:hint="eastAsia" w:ascii="仿宋_GB2312" w:hAnsi="仿宋_GB2312" w:eastAsia="仿宋_GB2312" w:cs="仿宋_GB2312"/>
          <w:color w:val="000000"/>
          <w:sz w:val="30"/>
          <w:szCs w:val="30"/>
        </w:rPr>
        <w:t>项目支出：指在基本支出之外为完成特定行政任务和事业发展目标所发生的支出。</w:t>
      </w:r>
    </w:p>
    <w:p w14:paraId="679484AA">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lang w:val="en-US" w:eastAsia="zh-CN"/>
        </w:rPr>
        <w:t>18.</w:t>
      </w:r>
      <w:r>
        <w:rPr>
          <w:rFonts w:hint="eastAsia" w:ascii="仿宋_GB2312" w:hAnsi="仿宋_GB2312" w:eastAsia="仿宋_GB2312" w:cs="仿宋_GB2312"/>
          <w:color w:val="000000"/>
          <w:sz w:val="30"/>
          <w:szCs w:val="30"/>
        </w:rPr>
        <w:t>经营支出：指事业单位在专业业务活动及其辅助活动之外开展非独立核算经营活动发生的支出。</w:t>
      </w:r>
    </w:p>
    <w:p w14:paraId="23B76835">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19.</w:t>
      </w:r>
      <w:r>
        <w:rPr>
          <w:rFonts w:hint="eastAsia" w:ascii="仿宋_GB2312" w:hAnsi="仿宋_GB2312" w:eastAsia="仿宋_GB2312" w:cs="仿宋_GB2312"/>
          <w:sz w:val="30"/>
          <w:szCs w:val="30"/>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D97DBA0">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right="0" w:righ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9FB8884">
      <w:pPr>
        <w:wordWrap/>
        <w:snapToGrid/>
        <w:spacing w:line="240" w:lineRule="auto"/>
        <w:ind w:left="0" w:leftChars="0" w:right="0" w:firstLine="0" w:firstLineChars="0"/>
        <w:jc w:val="center"/>
        <w:outlineLvl w:val="0"/>
        <w:rPr>
          <w:rStyle w:val="36"/>
          <w:rFonts w:ascii="黑体" w:hAnsi="黑体" w:eastAsia="黑体"/>
          <w:b w:val="0"/>
        </w:rPr>
      </w:pPr>
      <w:bookmarkStart w:id="83" w:name="_Toc15377226"/>
      <w:r>
        <w:rPr>
          <w:rFonts w:ascii="宋体"/>
          <w:b/>
          <w:color w:val="000000"/>
          <w:sz w:val="44"/>
          <w:szCs w:val="44"/>
        </w:rPr>
        <w:br w:type="page"/>
      </w:r>
      <w:bookmarkStart w:id="84" w:name="_Toc15396614"/>
      <w:bookmarkStart w:id="85" w:name="_Toc4989"/>
      <w:r>
        <w:rPr>
          <w:rFonts w:hint="eastAsia" w:ascii="黑体" w:hAnsi="黑体" w:eastAsia="黑体"/>
          <w:color w:val="000000"/>
          <w:sz w:val="44"/>
          <w:szCs w:val="44"/>
        </w:rPr>
        <w:t>第</w:t>
      </w:r>
      <w:r>
        <w:rPr>
          <w:rStyle w:val="36"/>
          <w:rFonts w:hint="eastAsia" w:ascii="黑体" w:hAnsi="黑体" w:eastAsia="黑体"/>
          <w:b w:val="0"/>
        </w:rPr>
        <w:t>四部分 附件</w:t>
      </w:r>
      <w:bookmarkEnd w:id="84"/>
      <w:bookmarkEnd w:id="85"/>
    </w:p>
    <w:p w14:paraId="7B922374">
      <w:pPr>
        <w:pStyle w:val="8"/>
        <w:rPr>
          <w:rFonts w:hint="eastAsia"/>
          <w:lang w:eastAsia="zh-CN"/>
        </w:rPr>
      </w:pPr>
    </w:p>
    <w:p w14:paraId="5F3035AE">
      <w:pPr>
        <w:wordWrap/>
        <w:snapToGrid/>
        <w:spacing w:line="240" w:lineRule="auto"/>
        <w:ind w:left="0" w:leftChars="0" w:right="0" w:firstLine="0" w:firstLineChars="0"/>
        <w:jc w:val="both"/>
        <w:outlineLvl w:val="9"/>
        <w:rPr>
          <w:rFonts w:hint="default" w:ascii="方正小标宋简体" w:hAnsi="宋体" w:eastAsia="方正小标宋简体"/>
          <w:color w:val="000000"/>
          <w:kern w:val="0"/>
          <w:sz w:val="32"/>
          <w:szCs w:val="36"/>
          <w:lang w:val="en-US" w:eastAsia="zh-CN"/>
        </w:rPr>
      </w:pPr>
      <w:r>
        <w:rPr>
          <w:rFonts w:hint="eastAsia" w:ascii="方正小标宋简体" w:hAnsi="宋体" w:eastAsia="方正小标宋简体"/>
          <w:color w:val="000000"/>
          <w:kern w:val="0"/>
          <w:sz w:val="32"/>
          <w:szCs w:val="36"/>
          <w:lang w:val="en-US" w:eastAsia="zh-CN"/>
        </w:rPr>
        <w:t>附件1：</w:t>
      </w:r>
    </w:p>
    <w:p w14:paraId="55BEC3DB">
      <w:pPr>
        <w:wordWrap/>
        <w:snapToGrid/>
        <w:spacing w:line="240" w:lineRule="auto"/>
        <w:ind w:left="0" w:leftChars="0" w:right="0" w:firstLine="0" w:firstLineChars="0"/>
        <w:jc w:val="center"/>
        <w:outlineLvl w:val="9"/>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2020</w:t>
      </w:r>
      <w:r>
        <w:rPr>
          <w:rFonts w:ascii="方正小标宋简体" w:hAnsi="宋体" w:eastAsia="方正小标宋简体"/>
          <w:color w:val="000000"/>
          <w:kern w:val="0"/>
          <w:sz w:val="40"/>
          <w:szCs w:val="44"/>
        </w:rPr>
        <w:t>年</w:t>
      </w:r>
      <w:r>
        <w:rPr>
          <w:rFonts w:hint="eastAsia" w:ascii="方正小标宋简体" w:hAnsi="宋体" w:eastAsia="方正小标宋简体"/>
          <w:color w:val="000000"/>
          <w:kern w:val="0"/>
          <w:sz w:val="40"/>
          <w:szCs w:val="44"/>
          <w:lang w:val="en-US" w:eastAsia="zh-CN"/>
        </w:rPr>
        <w:t>区委宣传部</w:t>
      </w:r>
      <w:r>
        <w:rPr>
          <w:rFonts w:ascii="方正小标宋简体" w:hAnsi="宋体" w:eastAsia="方正小标宋简体"/>
          <w:color w:val="000000"/>
          <w:kern w:val="0"/>
          <w:sz w:val="40"/>
          <w:szCs w:val="44"/>
        </w:rPr>
        <w:t>部门</w:t>
      </w:r>
      <w:r>
        <w:rPr>
          <w:rFonts w:hint="eastAsia" w:ascii="方正小标宋简体" w:hAnsi="宋体" w:eastAsia="方正小标宋简体"/>
          <w:color w:val="000000"/>
          <w:kern w:val="0"/>
          <w:sz w:val="40"/>
          <w:szCs w:val="44"/>
          <w:lang w:val="zh-CN"/>
        </w:rPr>
        <w:t>整体支出绩效评价报告</w:t>
      </w:r>
    </w:p>
    <w:p w14:paraId="10E0487E">
      <w:pPr>
        <w:widowControl/>
        <w:wordWrap/>
        <w:adjustRightInd w:val="0"/>
        <w:snapToGrid/>
        <w:spacing w:line="240" w:lineRule="auto"/>
        <w:ind w:left="0" w:leftChars="0" w:right="0" w:firstLine="0" w:firstLineChars="0"/>
        <w:contextualSpacing/>
        <w:jc w:val="left"/>
        <w:rPr>
          <w:rFonts w:ascii="黑体" w:hAnsi="宋体" w:eastAsia="黑体" w:cs="宋体"/>
          <w:color w:val="000000"/>
          <w:kern w:val="0"/>
          <w:sz w:val="24"/>
          <w:szCs w:val="32"/>
          <w:shd w:val="clear" w:color="auto" w:fill="FFFFFF"/>
        </w:rPr>
      </w:pPr>
    </w:p>
    <w:p w14:paraId="3B2EA98D">
      <w:pPr>
        <w:widowControl/>
        <w:wordWrap/>
        <w:adjustRightInd w:val="0"/>
        <w:snapToGrid/>
        <w:spacing w:line="240" w:lineRule="auto"/>
        <w:ind w:left="0" w:leftChars="0" w:right="0" w:firstLine="0" w:firstLineChars="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4750512B">
      <w:pPr>
        <w:widowControl/>
        <w:wordWrap/>
        <w:adjustRightInd w:val="0"/>
        <w:snapToGrid/>
        <w:spacing w:line="240" w:lineRule="auto"/>
        <w:ind w:left="0" w:leftChars="0" w:right="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40E36A74">
      <w:pPr>
        <w:widowControl/>
        <w:wordWrap/>
        <w:adjustRightInd w:val="0"/>
        <w:snapToGrid/>
        <w:spacing w:line="240" w:lineRule="auto"/>
        <w:ind w:left="0" w:leftChars="0" w:right="0" w:firstLine="600" w:firstLineChars="200"/>
        <w:contextualSpacing/>
        <w:jc w:val="left"/>
        <w:rPr>
          <w:rFonts w:hint="eastAsia" w:ascii="仿宋" w:hAnsi="仿宋" w:eastAsia="仿宋" w:cs="仿宋"/>
          <w:i w:val="0"/>
          <w:iCs w:val="0"/>
          <w:caps w:val="0"/>
          <w:color w:val="000000"/>
          <w:spacing w:val="0"/>
          <w:sz w:val="30"/>
          <w:szCs w:val="30"/>
        </w:rPr>
      </w:pPr>
      <w:r>
        <w:rPr>
          <w:rFonts w:hint="eastAsia" w:ascii="仿宋_GB2312" w:hAnsi="仿宋_GB2312" w:eastAsia="仿宋_GB2312" w:cs="仿宋_GB2312"/>
          <w:b w:val="0"/>
          <w:bCs/>
          <w:sz w:val="30"/>
          <w:szCs w:val="30"/>
        </w:rPr>
        <w:t>中国共产党广元市昭化区委员会宣传部</w:t>
      </w:r>
      <w:r>
        <w:rPr>
          <w:rFonts w:hint="eastAsia" w:ascii="仿宋" w:hAnsi="仿宋" w:eastAsia="仿宋"/>
          <w:sz w:val="32"/>
          <w:szCs w:val="32"/>
          <w:lang w:eastAsia="zh-CN"/>
        </w:rPr>
        <w:t>组织部</w:t>
      </w:r>
      <w:r>
        <w:rPr>
          <w:rFonts w:hint="eastAsia" w:ascii="仿宋" w:hAnsi="仿宋" w:eastAsia="仿宋"/>
          <w:sz w:val="32"/>
          <w:szCs w:val="32"/>
        </w:rPr>
        <w:t>下属二级单位</w:t>
      </w:r>
      <w:r>
        <w:rPr>
          <w:rFonts w:hint="eastAsia" w:ascii="仿宋" w:hAnsi="仿宋" w:eastAsia="仿宋"/>
          <w:sz w:val="32"/>
          <w:szCs w:val="32"/>
          <w:lang w:val="en-US" w:eastAsia="zh-CN"/>
        </w:rPr>
        <w:t>4</w:t>
      </w:r>
      <w:r>
        <w:rPr>
          <w:rFonts w:hint="eastAsia" w:ascii="仿宋" w:hAnsi="仿宋" w:eastAsia="仿宋"/>
          <w:sz w:val="32"/>
          <w:szCs w:val="32"/>
        </w:rPr>
        <w:t>个，</w:t>
      </w:r>
      <w:r>
        <w:rPr>
          <w:rFonts w:hint="eastAsia" w:ascii="仿宋" w:hAnsi="仿宋" w:eastAsia="仿宋"/>
          <w:sz w:val="32"/>
          <w:szCs w:val="32"/>
          <w:lang w:eastAsia="zh-CN"/>
        </w:rPr>
        <w:t>其中：</w:t>
      </w:r>
      <w:r>
        <w:rPr>
          <w:rFonts w:hint="eastAsia" w:ascii="仿宋" w:hAnsi="仿宋" w:eastAsia="仿宋"/>
          <w:sz w:val="32"/>
          <w:szCs w:val="32"/>
        </w:rPr>
        <w:t>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3</w:t>
      </w:r>
      <w:r>
        <w:rPr>
          <w:rFonts w:hint="eastAsia" w:ascii="仿宋" w:hAnsi="仿宋" w:eastAsia="仿宋"/>
          <w:sz w:val="32"/>
          <w:szCs w:val="32"/>
        </w:rPr>
        <w:t>个。</w:t>
      </w:r>
    </w:p>
    <w:p w14:paraId="43DF597C">
      <w:pPr>
        <w:widowControl/>
        <w:wordWrap/>
        <w:adjustRightInd w:val="0"/>
        <w:snapToGrid/>
        <w:spacing w:line="240" w:lineRule="auto"/>
        <w:ind w:left="0" w:leftChars="0" w:right="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14:paraId="0832820E">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拟订全区宣传思想文化工作重大政策和事业产业发展总体规划，统筹协调推进宣传思想文化领域法治建设，按照区委统一部署，协调宣传思想文化系统各部门（单位）之间的工作。</w:t>
      </w:r>
    </w:p>
    <w:p w14:paraId="3DFF4276">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统筹协调全区党的意识形态工作，贯彻落实党中央和省委、市委、区委的决策部署，组织协调意识形态工作责任制落实的日常监督检查，分析研判意识形态领域情况，配合巡视巡察工作开展专项检查。</w:t>
      </w:r>
    </w:p>
    <w:p w14:paraId="4B5A9542">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统筹指导全区理论研究、理论学习和理论宣传工作。</w:t>
      </w:r>
    </w:p>
    <w:p w14:paraId="0B0BA9E0">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负责规划、部署全区性的思想政治工作任务，配合区委组织部做好党员教育工作，会同有关部门研究和改进群众思想教育工作。从宏观上指导全区各级各类学校的德育、政治理论课教学和思想政治工作。组织重大先进典型的学习和推广。</w:t>
      </w:r>
    </w:p>
    <w:p w14:paraId="648DAD8A">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受区委委托，会同区委组织部管理区级理论、新闻出版、文化体育、旅游、广播电视、电影、哲学和社会科学、互联网信息等区级部门的领导干部，指导宣传文化系统各单位工作。对全区宣传干部的任免提出意见和建议，制定全区宣传干部和有关宣传文化系统业务骨干的培训规划，并组织实施。配合有关部门做好理论、新闻、文化、文艺等方面优秀人才的选拔、培养工作。</w:t>
      </w:r>
    </w:p>
    <w:p w14:paraId="0B73316B">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从宏观上指导精神文化产品的生产，协调组织中华优秀传统文化和昭化特色文化传承发展工作，指导协调推动群众性文化建设。</w:t>
      </w:r>
    </w:p>
    <w:p w14:paraId="2E0DDF34">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统筹指导社会舆论引导。组织开展党和国家路线、方针、政策和经济社会发展等方面的宣传教育和形势教育，组织协调重大社会宣传活动。负责组织协调重大新闻宣传活动和重大突发公共事件应急新闻工作。</w:t>
      </w:r>
    </w:p>
    <w:p w14:paraId="22ABC5E4">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统筹协调全区对外宣传工作，指导协调区级新闻单位工作和全区对外文化交流工作。会同上级部门做好境外</w:t>
      </w:r>
      <w:r>
        <w:rPr>
          <w:rFonts w:hint="eastAsia" w:ascii="仿宋_GB2312" w:hAnsi="仿宋_GB2312" w:eastAsia="仿宋_GB2312" w:cs="仿宋_GB2312"/>
          <w:b w:val="0"/>
          <w:bCs/>
          <w:color w:val="000000"/>
          <w:sz w:val="30"/>
          <w:szCs w:val="30"/>
          <w:highlight w:val="none"/>
        </w:rPr>
        <w:t>来昭</w:t>
      </w:r>
      <w:r>
        <w:rPr>
          <w:rFonts w:hint="eastAsia" w:ascii="仿宋_GB2312" w:hAnsi="仿宋_GB2312" w:eastAsia="仿宋_GB2312" w:cs="仿宋_GB2312"/>
          <w:b w:val="0"/>
          <w:bCs/>
          <w:color w:val="000000"/>
          <w:sz w:val="30"/>
          <w:szCs w:val="30"/>
        </w:rPr>
        <w:t>记者采访事务方面的工作。</w:t>
      </w:r>
    </w:p>
    <w:p w14:paraId="2AE68198">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负责管理新闻出版行政事务和所涉及的行政审批工作，监督管理出版物内容和质量，监督管理印刷业、管理著作权等。组织指导协调“扫黄打非”工作。负责区外媒体记者</w:t>
      </w:r>
      <w:r>
        <w:rPr>
          <w:rFonts w:hint="eastAsia" w:ascii="仿宋_GB2312" w:hAnsi="仿宋_GB2312" w:eastAsia="仿宋_GB2312" w:cs="仿宋_GB2312"/>
          <w:b w:val="0"/>
          <w:bCs/>
          <w:color w:val="000000"/>
          <w:sz w:val="30"/>
          <w:szCs w:val="30"/>
          <w:highlight w:val="none"/>
        </w:rPr>
        <w:t>来昭</w:t>
      </w:r>
      <w:r>
        <w:rPr>
          <w:rFonts w:hint="eastAsia" w:ascii="仿宋_GB2312" w:hAnsi="仿宋_GB2312" w:eastAsia="仿宋_GB2312" w:cs="仿宋_GB2312"/>
          <w:b w:val="0"/>
          <w:bCs/>
          <w:color w:val="000000"/>
          <w:sz w:val="30"/>
          <w:szCs w:val="30"/>
        </w:rPr>
        <w:t>工作的监督管理。</w:t>
      </w:r>
    </w:p>
    <w:p w14:paraId="11DABEAD">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统筹协调全区网络安全和信息化工作，推进网络安全信息化、标准化建设。统筹协调网络意识形态工作，负责指导、督促、检查网络意识形态工作责任制的贯彻落实。负责新媒体的建设与管理，负责全区互联网内容管理、宣传管理和舆论引导。组织协调开展舆论信息收集分析研判工作，跟踪了解、研究掌握宣传舆情动态。</w:t>
      </w:r>
    </w:p>
    <w:p w14:paraId="2AA4CA53">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负责管理电影行政事务和所涉及的行政审批工作，指导监管电影制片、发行、放映工作，组织对电影内容进行审查，指导协调全区性重大电影活动等。</w:t>
      </w:r>
    </w:p>
    <w:p w14:paraId="3C76335A">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承担区精神文明建设委员会的日常工作。统筹组织协调全区精神文明建设工作，协调推动精神文明创建、公民思想道德建设和志愿服务工作。</w:t>
      </w:r>
    </w:p>
    <w:p w14:paraId="2A31CF55">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对新闻出版、文化艺术、广播电视、电影和旅游业改革发展提出政策性建议，统筹指导推进文化体制改革和文化事业、文化产业及旅游业发展。</w:t>
      </w:r>
    </w:p>
    <w:p w14:paraId="048F0A35">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归口领导区文化旅游和体育局、区广播电视局等宣传思想文化单位和旅游单位。受区委委托，代管区文联、区作协、区社科联。</w:t>
      </w:r>
    </w:p>
    <w:p w14:paraId="434F4D37">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负责组织协调重大新闻宣传报道活动，承担区委、区政府新闻发布相关组织协调工作，研究拟订我区重大问题宣传口径。</w:t>
      </w:r>
    </w:p>
    <w:p w14:paraId="0CEA6BAB">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组织协调开展人权宣传和反邪教等方面对外宣传和舆论斗争工作。</w:t>
      </w:r>
    </w:p>
    <w:p w14:paraId="45C359C1">
      <w:pPr>
        <w:pStyle w:val="9"/>
        <w:widowControl w:val="0"/>
        <w:wordWrap/>
        <w:adjustRightInd w:val="0"/>
        <w:snapToGrid/>
        <w:spacing w:beforeLines="0"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完成区委交办的其他任务。</w:t>
      </w:r>
    </w:p>
    <w:p w14:paraId="3A2D90B3">
      <w:pPr>
        <w:pStyle w:val="9"/>
        <w:widowControl w:val="0"/>
        <w:wordWrap/>
        <w:adjustRightInd w:val="0"/>
        <w:snapToGrid/>
        <w:spacing w:beforeLines="0" w:line="240" w:lineRule="auto"/>
        <w:ind w:left="0" w:leftChars="0" w:right="0" w:firstLine="640" w:firstLineChars="200"/>
        <w:jc w:val="left"/>
        <w:textAlignment w:val="auto"/>
        <w:outlineLvl w:val="9"/>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rPr>
        <w:t>（三）人员概况。</w:t>
      </w:r>
      <w:r>
        <w:rPr>
          <w:rFonts w:hint="eastAsia"/>
          <w:sz w:val="32"/>
          <w:szCs w:val="32"/>
          <w:lang w:eastAsia="zh-CN"/>
        </w:rPr>
        <w:t>2020</w:t>
      </w:r>
      <w:r>
        <w:rPr>
          <w:rFonts w:hint="eastAsia" w:ascii="仿宋_GB2312" w:eastAsia="仿宋_GB2312"/>
          <w:sz w:val="32"/>
          <w:szCs w:val="32"/>
        </w:rPr>
        <w:t>年实有在职人员</w:t>
      </w:r>
      <w:r>
        <w:rPr>
          <w:rFonts w:hint="eastAsia"/>
          <w:sz w:val="32"/>
          <w:szCs w:val="32"/>
          <w:lang w:val="en-US" w:eastAsia="zh-CN"/>
        </w:rPr>
        <w:t>20</w:t>
      </w:r>
      <w:r>
        <w:rPr>
          <w:rFonts w:hint="eastAsia" w:ascii="仿宋_GB2312" w:eastAsia="仿宋_GB2312"/>
          <w:sz w:val="32"/>
          <w:szCs w:val="32"/>
        </w:rPr>
        <w:t>人，较去年</w:t>
      </w:r>
      <w:r>
        <w:rPr>
          <w:rFonts w:hint="eastAsia"/>
          <w:sz w:val="32"/>
          <w:szCs w:val="32"/>
          <w:lang w:val="en-US" w:eastAsia="zh-CN"/>
        </w:rPr>
        <w:t>减少2人</w:t>
      </w:r>
      <w:r>
        <w:rPr>
          <w:rFonts w:hint="eastAsia" w:ascii="仿宋_GB2312" w:eastAsia="仿宋_GB2312"/>
          <w:sz w:val="32"/>
          <w:szCs w:val="32"/>
        </w:rPr>
        <w:t>。其中行政人员</w:t>
      </w:r>
      <w:r>
        <w:rPr>
          <w:rFonts w:hint="eastAsia"/>
          <w:sz w:val="32"/>
          <w:szCs w:val="32"/>
          <w:lang w:val="en-US" w:eastAsia="zh-CN"/>
        </w:rPr>
        <w:t>10</w:t>
      </w:r>
      <w:r>
        <w:rPr>
          <w:rFonts w:hint="eastAsia" w:ascii="仿宋_GB2312" w:eastAsia="仿宋_GB2312"/>
          <w:sz w:val="32"/>
          <w:szCs w:val="32"/>
        </w:rPr>
        <w:t>人</w:t>
      </w:r>
      <w:r>
        <w:rPr>
          <w:rFonts w:hint="eastAsia"/>
          <w:sz w:val="32"/>
          <w:szCs w:val="32"/>
          <w:lang w:eastAsia="zh-CN"/>
        </w:rPr>
        <w:t>，</w:t>
      </w:r>
      <w:r>
        <w:rPr>
          <w:rFonts w:hint="eastAsia"/>
          <w:sz w:val="32"/>
          <w:szCs w:val="32"/>
          <w:lang w:val="en-US" w:eastAsia="zh-CN"/>
        </w:rPr>
        <w:t>事业人员9人，工勤1人</w:t>
      </w:r>
      <w:r>
        <w:rPr>
          <w:rFonts w:hint="eastAsia" w:ascii="仿宋_GB2312" w:eastAsia="仿宋_GB2312"/>
          <w:sz w:val="32"/>
          <w:szCs w:val="32"/>
        </w:rPr>
        <w:t>。</w:t>
      </w:r>
    </w:p>
    <w:p w14:paraId="6AB82287">
      <w:pPr>
        <w:widowControl/>
        <w:wordWrap/>
        <w:adjustRightInd w:val="0"/>
        <w:snapToGrid/>
        <w:spacing w:line="240" w:lineRule="auto"/>
        <w:ind w:left="0" w:leftChars="0" w:right="0"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77884CFA">
      <w:pPr>
        <w:widowControl/>
        <w:wordWrap/>
        <w:adjustRightInd w:val="0"/>
        <w:snapToGrid/>
        <w:spacing w:line="240" w:lineRule="auto"/>
        <w:ind w:left="0" w:leftChars="0" w:right="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2D89B002">
      <w:pPr>
        <w:widowControl w:val="0"/>
        <w:wordWrap/>
        <w:snapToGrid/>
        <w:spacing w:line="240" w:lineRule="auto"/>
        <w:ind w:left="0" w:leftChars="0" w:right="0" w:firstLine="600" w:firstLineChars="200"/>
        <w:jc w:val="left"/>
        <w:textAlignment w:val="auto"/>
        <w:outlineLvl w:val="9"/>
        <w:rPr>
          <w:rFonts w:hint="eastAsia" w:eastAsia="仿宋_GB2312"/>
          <w:lang w:val="zh-CN" w:eastAsia="zh-CN"/>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年本年收入合计</w:t>
      </w:r>
      <w:r>
        <w:rPr>
          <w:rFonts w:hint="eastAsia" w:ascii="仿宋_GB2312" w:hAnsi="仿宋_GB2312" w:eastAsia="仿宋_GB2312" w:cs="仿宋_GB2312"/>
          <w:color w:val="000000"/>
          <w:sz w:val="30"/>
          <w:szCs w:val="30"/>
          <w:lang w:val="en-US" w:eastAsia="zh-CN"/>
        </w:rPr>
        <w:t>612.04</w:t>
      </w:r>
      <w:r>
        <w:rPr>
          <w:rFonts w:hint="eastAsia" w:ascii="仿宋_GB2312" w:hAnsi="仿宋_GB2312" w:eastAsia="仿宋_GB2312" w:cs="仿宋_GB2312"/>
          <w:color w:val="000000"/>
          <w:sz w:val="30"/>
          <w:szCs w:val="30"/>
        </w:rPr>
        <w:t>万元，其中：一般公共预算财政拨款收入</w:t>
      </w:r>
      <w:r>
        <w:rPr>
          <w:rFonts w:hint="eastAsia" w:ascii="仿宋_GB2312" w:hAnsi="仿宋_GB2312" w:eastAsia="仿宋_GB2312" w:cs="仿宋_GB2312"/>
          <w:color w:val="000000"/>
          <w:sz w:val="30"/>
          <w:szCs w:val="30"/>
          <w:lang w:val="en-US" w:eastAsia="zh-CN"/>
        </w:rPr>
        <w:t>608.72</w:t>
      </w:r>
      <w:r>
        <w:rPr>
          <w:rFonts w:hint="eastAsia" w:ascii="仿宋_GB2312" w:hAnsi="仿宋_GB2312" w:eastAsia="仿宋_GB2312" w:cs="仿宋_GB2312"/>
          <w:color w:val="000000"/>
          <w:sz w:val="30"/>
          <w:szCs w:val="30"/>
        </w:rPr>
        <w:t>元，占</w:t>
      </w:r>
      <w:r>
        <w:rPr>
          <w:rFonts w:hint="eastAsia" w:ascii="仿宋_GB2312" w:hAnsi="仿宋_GB2312" w:eastAsia="仿宋_GB2312" w:cs="仿宋_GB2312"/>
          <w:color w:val="000000"/>
          <w:sz w:val="30"/>
          <w:szCs w:val="30"/>
          <w:lang w:val="en-US" w:eastAsia="zh-CN"/>
        </w:rPr>
        <w:t>99.46</w:t>
      </w:r>
      <w:r>
        <w:rPr>
          <w:rFonts w:hint="eastAsia" w:ascii="仿宋_GB2312" w:hAnsi="仿宋_GB2312" w:eastAsia="仿宋_GB2312" w:cs="仿宋_GB2312"/>
          <w:color w:val="000000"/>
          <w:sz w:val="30"/>
          <w:szCs w:val="30"/>
        </w:rPr>
        <w:t>%；政府性基金预算财政拨款收入</w:t>
      </w:r>
      <w:r>
        <w:rPr>
          <w:rFonts w:hint="eastAsia" w:ascii="仿宋_GB2312" w:hAnsi="仿宋_GB2312" w:eastAsia="仿宋_GB2312" w:cs="仿宋_GB2312"/>
          <w:color w:val="000000"/>
          <w:sz w:val="30"/>
          <w:szCs w:val="30"/>
          <w:lang w:val="en-US" w:eastAsia="zh-CN"/>
        </w:rPr>
        <w:t>3.32</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0.54</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w:t>
      </w:r>
    </w:p>
    <w:p w14:paraId="51E1EC33">
      <w:pPr>
        <w:widowControl/>
        <w:wordWrap/>
        <w:adjustRightInd w:val="0"/>
        <w:snapToGrid/>
        <w:spacing w:line="240" w:lineRule="auto"/>
        <w:ind w:left="0" w:leftChars="0" w:right="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14:paraId="6B2A0A98">
      <w:pPr>
        <w:pStyle w:val="8"/>
        <w:ind w:firstLine="600" w:firstLineChars="200"/>
        <w:rPr>
          <w:rFonts w:hint="eastAsia" w:ascii="仿宋_GB2312" w:hAnsi="仿宋_GB2312" w:eastAsia="仿宋_GB2312" w:cs="仿宋_GB2312"/>
          <w:color w:val="000000"/>
          <w:kern w:val="2"/>
          <w:sz w:val="30"/>
          <w:szCs w:val="30"/>
          <w:lang w:val="zh-CN" w:eastAsia="zh-CN" w:bidi="ar-SA"/>
        </w:rPr>
      </w:pPr>
      <w:r>
        <w:rPr>
          <w:rFonts w:hint="eastAsia" w:ascii="仿宋_GB2312" w:hAnsi="仿宋_GB2312" w:eastAsia="仿宋_GB2312" w:cs="仿宋_GB2312"/>
          <w:color w:val="000000"/>
          <w:kern w:val="2"/>
          <w:sz w:val="30"/>
          <w:szCs w:val="30"/>
          <w:lang w:val="zh-CN" w:eastAsia="zh-CN" w:bidi="ar-SA"/>
        </w:rPr>
        <w:t>2020年本年支出合计</w:t>
      </w:r>
      <w:r>
        <w:rPr>
          <w:rFonts w:hint="eastAsia" w:ascii="仿宋_GB2312" w:hAnsi="仿宋_GB2312" w:eastAsia="仿宋_GB2312" w:cs="仿宋_GB2312"/>
          <w:color w:val="000000"/>
          <w:sz w:val="30"/>
          <w:szCs w:val="30"/>
          <w:lang w:val="en-US" w:eastAsia="zh-CN"/>
        </w:rPr>
        <w:t>612.04</w:t>
      </w:r>
      <w:r>
        <w:rPr>
          <w:rFonts w:hint="eastAsia" w:ascii="仿宋_GB2312" w:hAnsi="仿宋_GB2312" w:eastAsia="仿宋_GB2312" w:cs="仿宋_GB2312"/>
          <w:color w:val="000000"/>
          <w:kern w:val="2"/>
          <w:sz w:val="30"/>
          <w:szCs w:val="30"/>
          <w:lang w:val="zh-CN" w:eastAsia="zh-CN" w:bidi="ar-SA"/>
        </w:rPr>
        <w:t>万元，其中：基本支出547.82万元，占</w:t>
      </w:r>
      <w:r>
        <w:rPr>
          <w:rFonts w:hint="eastAsia" w:ascii="仿宋_GB2312" w:hAnsi="仿宋_GB2312" w:eastAsia="仿宋_GB2312" w:cs="仿宋_GB2312"/>
          <w:color w:val="000000"/>
          <w:kern w:val="2"/>
          <w:sz w:val="30"/>
          <w:szCs w:val="30"/>
          <w:lang w:val="en-US" w:eastAsia="zh-CN" w:bidi="ar-SA"/>
        </w:rPr>
        <w:t>89.51</w:t>
      </w:r>
      <w:r>
        <w:rPr>
          <w:rFonts w:hint="eastAsia" w:ascii="仿宋_GB2312" w:hAnsi="仿宋_GB2312" w:eastAsia="仿宋_GB2312" w:cs="仿宋_GB2312"/>
          <w:color w:val="000000"/>
          <w:kern w:val="2"/>
          <w:sz w:val="30"/>
          <w:szCs w:val="30"/>
          <w:lang w:val="zh-CN" w:eastAsia="zh-CN" w:bidi="ar-SA"/>
        </w:rPr>
        <w:t>%；项目支出64.22万元，占</w:t>
      </w:r>
      <w:r>
        <w:rPr>
          <w:rFonts w:hint="eastAsia" w:ascii="仿宋_GB2312" w:hAnsi="仿宋_GB2312" w:eastAsia="仿宋_GB2312" w:cs="仿宋_GB2312"/>
          <w:color w:val="000000"/>
          <w:kern w:val="2"/>
          <w:sz w:val="30"/>
          <w:szCs w:val="30"/>
          <w:lang w:val="en-US" w:eastAsia="zh-CN" w:bidi="ar-SA"/>
        </w:rPr>
        <w:t>10.49</w:t>
      </w:r>
      <w:r>
        <w:rPr>
          <w:rFonts w:hint="eastAsia" w:ascii="仿宋_GB2312" w:hAnsi="仿宋_GB2312" w:eastAsia="仿宋_GB2312" w:cs="仿宋_GB2312"/>
          <w:color w:val="000000"/>
          <w:kern w:val="2"/>
          <w:sz w:val="30"/>
          <w:szCs w:val="30"/>
          <w:lang w:val="zh-CN" w:eastAsia="zh-CN" w:bidi="ar-SA"/>
        </w:rPr>
        <w:t>%。</w:t>
      </w:r>
    </w:p>
    <w:p w14:paraId="512A4B2A">
      <w:pPr>
        <w:widowControl/>
        <w:wordWrap/>
        <w:adjustRightInd w:val="0"/>
        <w:snapToGrid/>
        <w:spacing w:line="240" w:lineRule="auto"/>
        <w:ind w:left="0" w:leftChars="0" w:right="0"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240B2E5B">
      <w:pPr>
        <w:widowControl/>
        <w:wordWrap/>
        <w:adjustRightInd w:val="0"/>
        <w:snapToGrid/>
        <w:spacing w:line="240" w:lineRule="auto"/>
        <w:ind w:left="0" w:leftChars="0" w:right="0" w:firstLine="600" w:firstLineChars="200"/>
        <w:contextualSpacing/>
        <w:jc w:val="left"/>
        <w:rPr>
          <w:rFonts w:hint="eastAsia" w:ascii="仿宋_GB2312" w:hAnsi="仿宋_GB2312" w:eastAsia="仿宋_GB2312" w:cs="仿宋_GB2312"/>
          <w:color w:val="000000"/>
          <w:kern w:val="2"/>
          <w:sz w:val="30"/>
          <w:szCs w:val="30"/>
          <w:lang w:val="zh-CN" w:eastAsia="zh-CN" w:bidi="ar-SA"/>
        </w:rPr>
      </w:pPr>
      <w:r>
        <w:rPr>
          <w:rFonts w:hint="eastAsia" w:ascii="仿宋_GB2312" w:hAnsi="仿宋_GB2312" w:eastAsia="仿宋_GB2312" w:cs="仿宋_GB2312"/>
          <w:color w:val="000000"/>
          <w:kern w:val="2"/>
          <w:sz w:val="30"/>
          <w:szCs w:val="30"/>
          <w:lang w:val="zh-CN" w:eastAsia="zh-CN" w:bidi="ar-SA"/>
        </w:rPr>
        <w:t>（一）部门预算管理。</w:t>
      </w:r>
    </w:p>
    <w:p w14:paraId="5AD35360">
      <w:pPr>
        <w:widowControl/>
        <w:wordWrap/>
        <w:adjustRightInd w:val="0"/>
        <w:snapToGrid/>
        <w:spacing w:line="240" w:lineRule="auto"/>
        <w:ind w:right="0" w:firstLine="600" w:firstLineChars="200"/>
        <w:contextualSpacing/>
        <w:jc w:val="left"/>
        <w:rPr>
          <w:rFonts w:hint="eastAsia" w:ascii="仿宋_GB2312" w:hAnsi="仿宋_GB2312" w:eastAsia="仿宋_GB2312" w:cs="仿宋_GB2312"/>
          <w:color w:val="000000"/>
          <w:kern w:val="2"/>
          <w:sz w:val="30"/>
          <w:szCs w:val="30"/>
          <w:lang w:val="zh-CN" w:eastAsia="zh-CN" w:bidi="ar-SA"/>
        </w:rPr>
      </w:pPr>
      <w:r>
        <w:rPr>
          <w:rFonts w:hint="eastAsia" w:ascii="仿宋_GB2312" w:hAnsi="仿宋_GB2312" w:eastAsia="仿宋_GB2312" w:cs="仿宋_GB2312"/>
          <w:color w:val="000000"/>
          <w:kern w:val="2"/>
          <w:sz w:val="30"/>
          <w:szCs w:val="30"/>
          <w:lang w:val="zh-CN" w:eastAsia="zh-CN" w:bidi="ar-SA"/>
        </w:rPr>
        <w:t>2020年</w:t>
      </w:r>
      <w:r>
        <w:rPr>
          <w:rFonts w:hint="eastAsia" w:ascii="仿宋_GB2312" w:hAnsi="仿宋_GB2312" w:eastAsia="仿宋_GB2312" w:cs="仿宋_GB2312"/>
          <w:color w:val="000000"/>
          <w:kern w:val="2"/>
          <w:sz w:val="30"/>
          <w:szCs w:val="30"/>
          <w:lang w:val="en-US" w:eastAsia="zh-CN" w:bidi="ar-SA"/>
        </w:rPr>
        <w:t>我部门</w:t>
      </w:r>
      <w:r>
        <w:rPr>
          <w:rFonts w:hint="eastAsia" w:ascii="仿宋_GB2312" w:hAnsi="仿宋_GB2312" w:eastAsia="仿宋_GB2312" w:cs="仿宋_GB2312"/>
          <w:color w:val="000000"/>
          <w:kern w:val="2"/>
          <w:sz w:val="30"/>
          <w:szCs w:val="30"/>
          <w:lang w:val="zh-CN" w:eastAsia="zh-CN" w:bidi="ar-SA"/>
        </w:rPr>
        <w:t>严格结合单位实际工作开展情况和上年决算情况编制部门预算。围绕中心工作任务，严格按照预算编制要求，完成部门预算基础库更新，分项分解预算目标任务，预算编制准确。年初制定支出计划，每月按照支出计划列支支出。严格按照单位规章制度列支，最大发挥财政资金使用效益。</w:t>
      </w:r>
    </w:p>
    <w:p w14:paraId="6542A351">
      <w:pPr>
        <w:widowControl/>
        <w:wordWrap/>
        <w:adjustRightInd w:val="0"/>
        <w:snapToGrid/>
        <w:spacing w:line="240" w:lineRule="auto"/>
        <w:ind w:right="0" w:firstLine="600" w:firstLineChars="200"/>
        <w:contextualSpacing/>
        <w:jc w:val="left"/>
        <w:rPr>
          <w:rFonts w:hint="eastAsia" w:ascii="仿宋_GB2312" w:hAnsi="仿宋_GB2312" w:eastAsia="仿宋_GB2312" w:cs="仿宋_GB2312"/>
          <w:color w:val="000000"/>
          <w:kern w:val="2"/>
          <w:sz w:val="30"/>
          <w:szCs w:val="30"/>
          <w:lang w:val="zh-CN" w:eastAsia="zh-CN" w:bidi="ar-SA"/>
        </w:rPr>
      </w:pPr>
      <w:r>
        <w:rPr>
          <w:rFonts w:hint="eastAsia" w:ascii="仿宋_GB2312" w:hAnsi="仿宋_GB2312" w:eastAsia="仿宋_GB2312" w:cs="仿宋_GB2312"/>
          <w:color w:val="000000"/>
          <w:kern w:val="2"/>
          <w:sz w:val="30"/>
          <w:szCs w:val="30"/>
          <w:lang w:val="zh-CN" w:eastAsia="zh-CN" w:bidi="ar-SA"/>
        </w:rPr>
        <w:t>（二）结果应用情况。</w:t>
      </w:r>
    </w:p>
    <w:p w14:paraId="0D5C2C64">
      <w:pPr>
        <w:spacing w:line="580" w:lineRule="exact"/>
        <w:ind w:firstLine="600" w:firstLineChars="200"/>
        <w:outlineLvl w:val="9"/>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en-US" w:eastAsia="zh-CN" w:bidi="ar-SA"/>
        </w:rPr>
        <w:t>我单位</w:t>
      </w:r>
      <w:r>
        <w:rPr>
          <w:rFonts w:hint="eastAsia" w:ascii="仿宋_GB2312" w:hAnsi="仿宋_GB2312" w:eastAsia="仿宋_GB2312" w:cs="仿宋_GB2312"/>
          <w:color w:val="auto"/>
          <w:kern w:val="2"/>
          <w:sz w:val="30"/>
          <w:szCs w:val="30"/>
          <w:lang w:val="zh-CN" w:eastAsia="zh-CN" w:bidi="ar-SA"/>
        </w:rPr>
        <w:t>结合决算支出情况开展了</w:t>
      </w:r>
      <w:r>
        <w:rPr>
          <w:rFonts w:hint="eastAsia" w:ascii="仿宋_GB2312" w:hAnsi="仿宋_GB2312" w:eastAsia="仿宋_GB2312" w:cs="仿宋_GB2312"/>
          <w:color w:val="auto"/>
          <w:kern w:val="2"/>
          <w:sz w:val="30"/>
          <w:szCs w:val="30"/>
          <w:lang w:val="en-US" w:eastAsia="zh-CN" w:bidi="ar-SA"/>
        </w:rPr>
        <w:t>部门整体</w:t>
      </w:r>
      <w:r>
        <w:rPr>
          <w:rFonts w:hint="eastAsia" w:ascii="仿宋_GB2312" w:hAnsi="仿宋_GB2312" w:eastAsia="仿宋_GB2312" w:cs="仿宋_GB2312"/>
          <w:color w:val="auto"/>
          <w:kern w:val="2"/>
          <w:sz w:val="30"/>
          <w:szCs w:val="30"/>
          <w:lang w:val="zh-CN" w:eastAsia="zh-CN" w:bidi="ar-SA"/>
        </w:rPr>
        <w:t>绩效自评，针对</w:t>
      </w:r>
      <w:r>
        <w:rPr>
          <w:rFonts w:hint="eastAsia" w:ascii="仿宋_GB2312" w:hAnsi="仿宋_GB2312" w:eastAsia="仿宋_GB2312" w:cs="仿宋_GB2312"/>
          <w:color w:val="auto"/>
          <w:kern w:val="2"/>
          <w:sz w:val="30"/>
          <w:szCs w:val="30"/>
          <w:lang w:val="en-US" w:eastAsia="zh-CN" w:bidi="ar-SA"/>
        </w:rPr>
        <w:t>1个项目</w:t>
      </w:r>
      <w:r>
        <w:rPr>
          <w:rFonts w:hint="eastAsia" w:ascii="仿宋_GB2312" w:hAnsi="仿宋_GB2312" w:eastAsia="仿宋_GB2312" w:cs="仿宋_GB2312"/>
          <w:color w:val="auto"/>
          <w:kern w:val="2"/>
          <w:sz w:val="30"/>
          <w:szCs w:val="30"/>
          <w:lang w:val="zh-CN" w:eastAsia="zh-CN" w:bidi="ar-SA"/>
        </w:rPr>
        <w:t>开展了详细的支出评估，按要求公开本部门的预算、决算、</w:t>
      </w:r>
      <w:r>
        <w:rPr>
          <w:rFonts w:hint="eastAsia" w:ascii="仿宋_GB2312" w:hAnsi="仿宋_GB2312" w:eastAsia="仿宋_GB2312" w:cs="仿宋_GB2312"/>
          <w:color w:val="auto"/>
          <w:kern w:val="2"/>
          <w:sz w:val="30"/>
          <w:szCs w:val="30"/>
          <w:lang w:val="en-US" w:eastAsia="zh-CN" w:bidi="ar-SA"/>
        </w:rPr>
        <w:t>绩效等</w:t>
      </w:r>
      <w:r>
        <w:rPr>
          <w:rFonts w:hint="eastAsia" w:ascii="仿宋_GB2312" w:hAnsi="仿宋_GB2312" w:eastAsia="仿宋_GB2312" w:cs="仿宋_GB2312"/>
          <w:color w:val="auto"/>
          <w:kern w:val="2"/>
          <w:sz w:val="30"/>
          <w:szCs w:val="30"/>
          <w:lang w:val="zh-CN" w:eastAsia="zh-CN" w:bidi="ar-SA"/>
        </w:rPr>
        <w:t>。</w:t>
      </w:r>
      <w:r>
        <w:rPr>
          <w:rFonts w:hint="eastAsia" w:ascii="仿宋_GB2312" w:hAnsi="仿宋_GB2312" w:eastAsia="仿宋_GB2312" w:cs="仿宋_GB2312"/>
          <w:color w:val="auto"/>
          <w:kern w:val="2"/>
          <w:sz w:val="30"/>
          <w:szCs w:val="30"/>
          <w:lang w:val="en-US" w:eastAsia="zh-CN" w:bidi="ar-SA"/>
        </w:rPr>
        <w:t>提高了预算编制精度</w:t>
      </w:r>
      <w:r>
        <w:rPr>
          <w:rFonts w:hint="eastAsia" w:ascii="仿宋_GB2312" w:hAnsi="仿宋_GB2312" w:eastAsia="仿宋_GB2312" w:cs="仿宋_GB2312"/>
          <w:color w:val="auto"/>
          <w:kern w:val="2"/>
          <w:sz w:val="30"/>
          <w:szCs w:val="30"/>
          <w:lang w:val="zh-CN" w:eastAsia="zh-CN" w:bidi="ar-SA"/>
        </w:rPr>
        <w:t>。</w:t>
      </w:r>
    </w:p>
    <w:p w14:paraId="332C8063">
      <w:pPr>
        <w:widowControl/>
        <w:wordWrap/>
        <w:adjustRightInd w:val="0"/>
        <w:snapToGrid/>
        <w:spacing w:line="240" w:lineRule="auto"/>
        <w:ind w:left="0" w:leftChars="0" w:right="0"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3D245B71">
      <w:pPr>
        <w:widowControl/>
        <w:wordWrap/>
        <w:adjustRightInd w:val="0"/>
        <w:snapToGrid/>
        <w:spacing w:line="240" w:lineRule="auto"/>
        <w:ind w:left="0" w:leftChars="0" w:right="0" w:firstLine="600" w:firstLineChars="200"/>
        <w:contextualSpacing/>
        <w:jc w:val="left"/>
        <w:rPr>
          <w:rFonts w:hint="eastAsia" w:ascii="仿宋_GB2312" w:hAnsi="宋体" w:eastAsia="仿宋_GB2312" w:cs="宋体"/>
          <w:color w:val="000000"/>
          <w:kern w:val="0"/>
          <w:sz w:val="30"/>
          <w:szCs w:val="30"/>
          <w:shd w:val="clear" w:color="auto" w:fill="FFFFFF"/>
          <w:lang w:val="zh-CN"/>
        </w:rPr>
      </w:pPr>
      <w:r>
        <w:rPr>
          <w:rFonts w:hint="eastAsia" w:ascii="仿宋_GB2312" w:hAnsi="宋体" w:eastAsia="仿宋_GB2312" w:cs="宋体"/>
          <w:color w:val="000000"/>
          <w:kern w:val="0"/>
          <w:sz w:val="30"/>
          <w:szCs w:val="30"/>
          <w:shd w:val="clear" w:color="auto" w:fill="FFFFFF"/>
          <w:lang w:val="zh-CN"/>
        </w:rPr>
        <w:t>（一）评价结论。</w:t>
      </w:r>
    </w:p>
    <w:p w14:paraId="465ABD5F">
      <w:pPr>
        <w:pStyle w:val="16"/>
        <w:widowControl w:val="0"/>
        <w:wordWrap/>
        <w:adjustRightInd/>
        <w:snapToGrid/>
        <w:spacing w:before="0" w:beforeAutospacing="0" w:after="0" w:afterAutospacing="0" w:line="576" w:lineRule="exact"/>
        <w:ind w:left="0" w:leftChars="0" w:firstLine="600" w:firstLineChars="200"/>
        <w:textAlignment w:val="auto"/>
        <w:rPr>
          <w:sz w:val="30"/>
          <w:szCs w:val="30"/>
          <w:lang w:val="zh-CN"/>
        </w:rPr>
      </w:pPr>
      <w:r>
        <w:rPr>
          <w:rFonts w:hint="eastAsia" w:ascii="仿宋_GB2312" w:hAnsi="仿宋_GB2312" w:eastAsia="仿宋_GB2312" w:cs="仿宋_GB2312"/>
          <w:color w:val="000000"/>
          <w:sz w:val="30"/>
          <w:szCs w:val="30"/>
          <w:lang w:val="en-US" w:eastAsia="zh-CN"/>
        </w:rPr>
        <w:t>我单位</w:t>
      </w:r>
      <w:r>
        <w:rPr>
          <w:rFonts w:hint="eastAsia" w:ascii="仿宋_GB2312" w:hAnsi="仿宋_GB2312" w:eastAsia="仿宋_GB2312" w:cs="仿宋_GB2312"/>
          <w:color w:val="000000"/>
          <w:sz w:val="30"/>
          <w:szCs w:val="30"/>
        </w:rPr>
        <w:t>预决算编制较为准确，预算执行良好；支出管理规范，内控制度不断完善，基本支出保证了机关的正常运转及日常工作顺利开展，项目经费保障了重点工作的开展，达到了预期的绩效目标</w:t>
      </w:r>
      <w:r>
        <w:rPr>
          <w:rFonts w:hint="eastAsia" w:ascii="仿宋_GB2312" w:hAnsi="宋体" w:eastAsia="仿宋_GB2312" w:cs="宋体"/>
          <w:color w:val="000000"/>
          <w:kern w:val="0"/>
          <w:sz w:val="30"/>
          <w:szCs w:val="30"/>
          <w:shd w:val="clear" w:color="auto" w:fill="FFFFFF"/>
          <w:lang w:val="zh-CN"/>
        </w:rPr>
        <w:t>。</w:t>
      </w:r>
    </w:p>
    <w:p w14:paraId="5E41878F">
      <w:pPr>
        <w:widowControl/>
        <w:numPr>
          <w:ilvl w:val="0"/>
          <w:numId w:val="3"/>
        </w:numPr>
        <w:wordWrap/>
        <w:adjustRightInd w:val="0"/>
        <w:snapToGrid/>
        <w:spacing w:line="240" w:lineRule="auto"/>
        <w:ind w:left="0" w:leftChars="0" w:right="0" w:firstLine="600" w:firstLineChars="200"/>
        <w:contextualSpacing/>
        <w:jc w:val="left"/>
        <w:rPr>
          <w:rFonts w:hint="eastAsia" w:ascii="仿宋_GB2312" w:hAnsi="宋体" w:eastAsia="仿宋_GB2312" w:cs="宋体"/>
          <w:color w:val="000000"/>
          <w:kern w:val="0"/>
          <w:sz w:val="30"/>
          <w:szCs w:val="30"/>
          <w:shd w:val="clear" w:color="auto" w:fill="FFFFFF"/>
          <w:lang w:val="zh-CN"/>
        </w:rPr>
      </w:pPr>
      <w:r>
        <w:rPr>
          <w:rFonts w:hint="eastAsia" w:ascii="仿宋_GB2312" w:hAnsi="宋体" w:eastAsia="仿宋_GB2312" w:cs="宋体"/>
          <w:color w:val="000000"/>
          <w:kern w:val="0"/>
          <w:sz w:val="30"/>
          <w:szCs w:val="30"/>
          <w:shd w:val="clear" w:color="auto" w:fill="FFFFFF"/>
          <w:lang w:val="zh-CN"/>
        </w:rPr>
        <w:t>存在问题。</w:t>
      </w:r>
    </w:p>
    <w:p w14:paraId="3499D29A">
      <w:pPr>
        <w:pStyle w:val="9"/>
        <w:numPr>
          <w:ilvl w:val="0"/>
          <w:numId w:val="0"/>
        </w:numPr>
        <w:ind w:firstLine="600" w:firstLineChars="200"/>
        <w:rPr>
          <w:sz w:val="30"/>
          <w:szCs w:val="30"/>
          <w:lang w:val="zh-CN"/>
        </w:rPr>
      </w:pPr>
      <w:r>
        <w:rPr>
          <w:rFonts w:hint="eastAsia" w:hAnsi="宋体" w:cs="宋体"/>
          <w:color w:val="000000"/>
          <w:kern w:val="0"/>
          <w:sz w:val="30"/>
          <w:szCs w:val="30"/>
          <w:shd w:val="clear" w:color="auto" w:fill="FFFFFF"/>
          <w:lang w:val="en-US" w:eastAsia="zh-CN"/>
        </w:rPr>
        <w:t>人员经费预算偏差较大，主要是人员变化较大导致。</w:t>
      </w:r>
      <w:r>
        <w:rPr>
          <w:rFonts w:hint="eastAsia" w:ascii="仿宋_GB2312" w:hAnsi="宋体" w:eastAsia="仿宋_GB2312" w:cs="宋体"/>
          <w:color w:val="000000"/>
          <w:kern w:val="0"/>
          <w:sz w:val="30"/>
          <w:szCs w:val="30"/>
          <w:shd w:val="clear" w:color="auto" w:fill="FFFFFF"/>
          <w:lang w:val="zh-CN"/>
        </w:rPr>
        <w:t>采用公务卡支出结算率</w:t>
      </w:r>
      <w:r>
        <w:rPr>
          <w:rFonts w:hint="eastAsia" w:hAnsi="宋体" w:cs="宋体"/>
          <w:color w:val="000000"/>
          <w:kern w:val="0"/>
          <w:sz w:val="30"/>
          <w:szCs w:val="30"/>
          <w:shd w:val="clear" w:color="auto" w:fill="FFFFFF"/>
          <w:lang w:val="en-US" w:eastAsia="zh-CN"/>
        </w:rPr>
        <w:t>任需继续提高</w:t>
      </w:r>
      <w:r>
        <w:rPr>
          <w:rFonts w:hint="eastAsia" w:ascii="仿宋_GB2312" w:hAnsi="宋体" w:eastAsia="仿宋_GB2312" w:cs="宋体"/>
          <w:color w:val="000000"/>
          <w:kern w:val="0"/>
          <w:sz w:val="30"/>
          <w:szCs w:val="30"/>
          <w:shd w:val="clear" w:color="auto" w:fill="FFFFFF"/>
          <w:lang w:val="zh-CN"/>
        </w:rPr>
        <w:t>。</w:t>
      </w:r>
    </w:p>
    <w:p w14:paraId="4B7E393C">
      <w:pPr>
        <w:widowControl/>
        <w:wordWrap/>
        <w:adjustRightInd w:val="0"/>
        <w:snapToGrid/>
        <w:spacing w:line="240" w:lineRule="auto"/>
        <w:ind w:left="0" w:leftChars="0" w:right="0" w:firstLine="600" w:firstLineChars="200"/>
        <w:contextualSpacing/>
        <w:jc w:val="left"/>
        <w:rPr>
          <w:rFonts w:hint="eastAsia" w:ascii="仿宋_GB2312" w:hAnsi="宋体" w:eastAsia="仿宋_GB2312" w:cs="宋体"/>
          <w:color w:val="000000"/>
          <w:kern w:val="0"/>
          <w:sz w:val="30"/>
          <w:szCs w:val="30"/>
          <w:shd w:val="clear" w:color="auto" w:fill="FFFFFF"/>
          <w:lang w:val="zh-CN"/>
        </w:rPr>
      </w:pPr>
      <w:r>
        <w:rPr>
          <w:rFonts w:hint="eastAsia" w:ascii="仿宋_GB2312" w:hAnsi="宋体" w:eastAsia="仿宋_GB2312" w:cs="宋体"/>
          <w:color w:val="000000"/>
          <w:kern w:val="0"/>
          <w:sz w:val="30"/>
          <w:szCs w:val="30"/>
          <w:shd w:val="clear" w:color="auto" w:fill="FFFFFF"/>
          <w:lang w:val="zh-CN"/>
        </w:rPr>
        <w:t>（三）改进建议。</w:t>
      </w:r>
    </w:p>
    <w:p w14:paraId="40F1800E">
      <w:pPr>
        <w:pStyle w:val="23"/>
        <w:wordWrap/>
        <w:snapToGrid/>
        <w:spacing w:line="240" w:lineRule="auto"/>
        <w:ind w:left="0" w:leftChars="0" w:right="0" w:firstLine="0" w:firstLineChars="0"/>
        <w:jc w:val="left"/>
        <w:rPr>
          <w:sz w:val="30"/>
          <w:szCs w:val="30"/>
        </w:rPr>
      </w:pPr>
      <w:r>
        <w:rPr>
          <w:rFonts w:hint="eastAsia" w:ascii="仿宋_GB2312" w:hAnsi="仿宋_GB2312" w:eastAsia="仿宋_GB2312" w:cs="仿宋_GB2312"/>
          <w:color w:val="000000"/>
          <w:sz w:val="30"/>
          <w:szCs w:val="30"/>
        </w:rPr>
        <w:t>一是提高</w:t>
      </w:r>
      <w:r>
        <w:rPr>
          <w:rFonts w:hint="eastAsia" w:ascii="仿宋_GB2312" w:hAnsi="仿宋_GB2312" w:eastAsia="仿宋_GB2312" w:cs="仿宋_GB2312"/>
          <w:color w:val="000000"/>
          <w:sz w:val="30"/>
          <w:szCs w:val="30"/>
          <w:lang w:val="en-US" w:eastAsia="zh-CN"/>
        </w:rPr>
        <w:t>人员经费</w:t>
      </w:r>
      <w:r>
        <w:rPr>
          <w:rFonts w:hint="eastAsia" w:ascii="仿宋_GB2312" w:hAnsi="仿宋_GB2312" w:eastAsia="仿宋_GB2312" w:cs="仿宋_GB2312"/>
          <w:color w:val="000000"/>
          <w:sz w:val="30"/>
          <w:szCs w:val="30"/>
        </w:rPr>
        <w:t>预算编制的准确性。二是</w:t>
      </w:r>
      <w:r>
        <w:rPr>
          <w:rFonts w:hint="eastAsia" w:ascii="仿宋_GB2312" w:hAnsi="宋体" w:eastAsia="仿宋_GB2312" w:cs="宋体"/>
          <w:color w:val="000000"/>
          <w:kern w:val="0"/>
          <w:sz w:val="30"/>
          <w:szCs w:val="30"/>
          <w:shd w:val="clear" w:color="auto" w:fill="FFFFFF"/>
          <w:lang w:val="zh-CN"/>
        </w:rPr>
        <w:t>进一步提高公务卡结算率，强化内部控制管理。</w:t>
      </w:r>
    </w:p>
    <w:p w14:paraId="5ED6E021">
      <w:pPr>
        <w:rPr>
          <w:rFonts w:ascii="黑体" w:hAnsi="宋体" w:eastAsia="黑体" w:cs="宋体"/>
          <w:color w:val="000000"/>
          <w:kern w:val="0"/>
          <w:sz w:val="24"/>
          <w:szCs w:val="32"/>
          <w:shd w:val="clear" w:color="auto" w:fill="FFFFFF"/>
        </w:rPr>
      </w:pPr>
      <w:r>
        <w:rPr>
          <w:rFonts w:ascii="黑体" w:hAnsi="宋体" w:eastAsia="黑体" w:cs="宋体"/>
          <w:color w:val="000000"/>
          <w:kern w:val="0"/>
          <w:sz w:val="24"/>
          <w:szCs w:val="32"/>
          <w:shd w:val="clear" w:color="auto" w:fill="FFFFFF"/>
        </w:rPr>
        <w:br w:type="page"/>
      </w:r>
    </w:p>
    <w:p w14:paraId="75A554E7">
      <w:pPr>
        <w:rPr>
          <w:rFonts w:hint="default" w:ascii="黑体" w:hAnsi="黑体" w:eastAsia="黑体" w:cs="黑体"/>
          <w:b/>
          <w:bCs/>
          <w:sz w:val="36"/>
          <w:szCs w:val="36"/>
          <w:lang w:val="en-US" w:eastAsia="zh-CN"/>
        </w:rPr>
      </w:pPr>
      <w:bookmarkStart w:id="86" w:name="_Toc17993"/>
      <w:r>
        <w:rPr>
          <w:rFonts w:hint="eastAsia" w:ascii="黑体" w:hAnsi="黑体" w:eastAsia="黑体" w:cs="黑体"/>
          <w:sz w:val="30"/>
          <w:szCs w:val="30"/>
        </w:rPr>
        <w:t>附件</w:t>
      </w:r>
      <w:bookmarkEnd w:id="86"/>
      <w:r>
        <w:rPr>
          <w:rFonts w:hint="eastAsia" w:ascii="黑体" w:hAnsi="黑体" w:eastAsia="黑体" w:cs="黑体"/>
          <w:sz w:val="30"/>
          <w:szCs w:val="30"/>
          <w:lang w:val="en-US" w:eastAsia="zh-CN"/>
        </w:rPr>
        <w:t>2：:</w:t>
      </w:r>
    </w:p>
    <w:p w14:paraId="14C597D1">
      <w:pPr>
        <w:wordWrap/>
        <w:snapToGrid/>
        <w:spacing w:line="240" w:lineRule="auto"/>
        <w:ind w:left="0" w:leftChars="0" w:right="0" w:firstLine="0" w:firstLineChars="0"/>
        <w:jc w:val="center"/>
        <w:outlineLvl w:val="9"/>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rPr>
        <w:t>20</w:t>
      </w:r>
      <w:r>
        <w:rPr>
          <w:rFonts w:hint="eastAsia" w:ascii="黑体" w:hAnsi="黑体" w:eastAsia="黑体" w:cs="黑体"/>
          <w:b w:val="0"/>
          <w:bCs w:val="0"/>
          <w:sz w:val="36"/>
          <w:szCs w:val="36"/>
          <w:lang w:val="en-US" w:eastAsia="zh-CN"/>
        </w:rPr>
        <w:t>20</w:t>
      </w:r>
      <w:r>
        <w:rPr>
          <w:rFonts w:hint="eastAsia" w:ascii="黑体" w:hAnsi="黑体" w:eastAsia="黑体" w:cs="黑体"/>
          <w:b w:val="0"/>
          <w:bCs w:val="0"/>
          <w:sz w:val="36"/>
          <w:szCs w:val="36"/>
        </w:rPr>
        <w:t>年四川省广元市昭化区农村公益电影</w:t>
      </w:r>
      <w:r>
        <w:rPr>
          <w:rFonts w:hint="eastAsia" w:ascii="黑体" w:hAnsi="黑体" w:eastAsia="黑体" w:cs="黑体"/>
          <w:b w:val="0"/>
          <w:bCs w:val="0"/>
          <w:sz w:val="36"/>
          <w:szCs w:val="36"/>
          <w:lang w:val="en-US" w:eastAsia="zh-CN"/>
        </w:rPr>
        <w:t>放映项目</w:t>
      </w:r>
    </w:p>
    <w:p w14:paraId="4A1939A7">
      <w:pPr>
        <w:wordWrap/>
        <w:snapToGrid/>
        <w:spacing w:line="240" w:lineRule="auto"/>
        <w:ind w:left="0" w:leftChars="0" w:right="0" w:firstLine="0" w:firstLineChars="0"/>
        <w:jc w:val="center"/>
        <w:outlineLvl w:val="9"/>
        <w:rPr>
          <w:rFonts w:hint="eastAsia" w:ascii="黑体" w:hAnsi="黑体" w:eastAsia="黑体" w:cs="黑体"/>
          <w:b w:val="0"/>
          <w:bCs w:val="0"/>
          <w:sz w:val="36"/>
          <w:szCs w:val="36"/>
        </w:rPr>
      </w:pPr>
      <w:r>
        <w:rPr>
          <w:rFonts w:hint="eastAsia" w:ascii="黑体" w:hAnsi="黑体" w:eastAsia="黑体" w:cs="黑体"/>
          <w:b w:val="0"/>
          <w:bCs w:val="0"/>
          <w:sz w:val="36"/>
          <w:szCs w:val="36"/>
        </w:rPr>
        <w:t>绩效自评报告</w:t>
      </w:r>
    </w:p>
    <w:p w14:paraId="6D354FFD">
      <w:pPr>
        <w:widowControl w:val="0"/>
        <w:wordWrap/>
        <w:adjustRightInd/>
        <w:snapToGrid/>
        <w:spacing w:line="240" w:lineRule="auto"/>
        <w:ind w:left="0" w:leftChars="0" w:right="0"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一、绩效目标分解下达情况</w:t>
      </w:r>
    </w:p>
    <w:p w14:paraId="0602C18A">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（一）20</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年根据《关于下达20</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年中央和省公共文化服务体系建设专项资金预算的通知》（广财教〔20</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47</w:t>
      </w:r>
      <w:r>
        <w:rPr>
          <w:rFonts w:hint="eastAsia" w:ascii="仿宋_GB2312" w:hAnsi="仿宋_GB2312" w:eastAsia="仿宋_GB2312" w:cs="仿宋_GB2312"/>
          <w:sz w:val="30"/>
          <w:szCs w:val="30"/>
        </w:rPr>
        <w:t>号），下达了下达中央补助地方公共文化服务体系建设专项资金（农村公益电影放映）4</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万元，20</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年实际到位4</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万元，实际使用资金4</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万元。</w:t>
      </w:r>
    </w:p>
    <w:p w14:paraId="7CE81FC2">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（二）根据省财政厅、省电影局（原新闻出版局广电局）《关于印发</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rPr>
        <w:t>四川省农村电影公益放映场地补贴专项资金管理办法</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rPr>
        <w:t>的通知》（川财教〔2014〕270号）文件，广元市级财政配套资金4.54万元，区本级配套资金4.54万元，均于20</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年内全部到位并用于专项支出。</w:t>
      </w:r>
    </w:p>
    <w:p w14:paraId="534BD733">
      <w:pPr>
        <w:widowControl w:val="0"/>
        <w:wordWrap/>
        <w:adjustRightInd/>
        <w:snapToGrid/>
        <w:spacing w:line="240" w:lineRule="auto"/>
        <w:ind w:left="0" w:leftChars="0" w:right="0"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二、绩效目标完成情况分析</w:t>
      </w:r>
    </w:p>
    <w:p w14:paraId="5AA4B58D">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（一）资金投入情况分析。</w:t>
      </w:r>
    </w:p>
    <w:p w14:paraId="071A98DC">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1.中、省、市、区四级资金均按时足额到位</w:t>
      </w:r>
      <w:r>
        <w:rPr>
          <w:rFonts w:hint="eastAsia" w:ascii="仿宋_GB2312" w:hAnsi="仿宋_GB2312" w:eastAsia="仿宋_GB2312" w:cs="仿宋_GB2312"/>
          <w:sz w:val="30"/>
          <w:szCs w:val="30"/>
          <w:lang w:val="en-US" w:eastAsia="zh-CN"/>
        </w:rPr>
        <w:t>55</w:t>
      </w: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万元，到位率100%。</w:t>
      </w:r>
    </w:p>
    <w:p w14:paraId="6B3ABE32">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2.项目资金由区财政安排到区委宣传部，再由区委宣传部拨专到全市统一确定的放映单位：广元市凤凰院线，资金使用率100%。</w:t>
      </w:r>
    </w:p>
    <w:p w14:paraId="43E26B26">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3.该项目实施过程中，由区委宣传部对每一场放映质量进行技术监管核实，项目资金使用坚持专款专用，无挤占挪用现象，拨付采取财政直接支付，资金拨付提请了区政府常务会审定同意，资金管理安全。</w:t>
      </w:r>
    </w:p>
    <w:p w14:paraId="280C2079">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（二）总体绩效目标完成情况    </w:t>
      </w:r>
    </w:p>
    <w:p w14:paraId="2EC2E515">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年昭化区在210个行政村放映农村公益电影</w:t>
      </w:r>
      <w:r>
        <w:rPr>
          <w:rFonts w:hint="eastAsia" w:ascii="仿宋_GB2312" w:hAnsi="仿宋_GB2312" w:eastAsia="仿宋_GB2312" w:cs="仿宋_GB2312"/>
          <w:sz w:val="30"/>
          <w:szCs w:val="30"/>
          <w:lang w:val="en-US" w:eastAsia="zh-CN"/>
        </w:rPr>
        <w:t>3001</w:t>
      </w:r>
      <w:r>
        <w:rPr>
          <w:rFonts w:hint="eastAsia" w:ascii="仿宋_GB2312" w:hAnsi="仿宋_GB2312" w:eastAsia="仿宋_GB2312" w:cs="仿宋_GB2312"/>
          <w:sz w:val="30"/>
          <w:szCs w:val="30"/>
        </w:rPr>
        <w:t>场，其中有效场次</w:t>
      </w:r>
      <w:r>
        <w:rPr>
          <w:rFonts w:hint="eastAsia" w:ascii="仿宋_GB2312" w:hAnsi="仿宋_GB2312" w:eastAsia="仿宋_GB2312" w:cs="仿宋_GB2312"/>
          <w:sz w:val="30"/>
          <w:szCs w:val="30"/>
          <w:lang w:val="en-US" w:eastAsia="zh-CN"/>
        </w:rPr>
        <w:t>2863</w:t>
      </w:r>
      <w:r>
        <w:rPr>
          <w:rFonts w:hint="eastAsia" w:ascii="仿宋_GB2312" w:hAnsi="仿宋_GB2312" w:eastAsia="仿宋_GB2312" w:cs="仿宋_GB2312"/>
          <w:sz w:val="30"/>
          <w:szCs w:val="30"/>
        </w:rPr>
        <w:t>场，完成全年放映任务的1</w:t>
      </w: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%，全年农村公益电影观影总人次达</w:t>
      </w:r>
      <w:r>
        <w:rPr>
          <w:rFonts w:hint="eastAsia" w:ascii="仿宋_GB2312" w:hAnsi="仿宋_GB2312" w:eastAsia="仿宋_GB2312" w:cs="仿宋_GB2312"/>
          <w:sz w:val="30"/>
          <w:szCs w:val="30"/>
          <w:lang w:val="en-US" w:eastAsia="zh-CN"/>
        </w:rPr>
        <w:t>42234</w:t>
      </w:r>
      <w:r>
        <w:rPr>
          <w:rFonts w:hint="eastAsia" w:ascii="仿宋_GB2312" w:hAnsi="仿宋_GB2312" w:eastAsia="仿宋_GB2312" w:cs="仿宋_GB2312"/>
          <w:sz w:val="30"/>
          <w:szCs w:val="30"/>
        </w:rPr>
        <w:t>人</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放映质量好，社会效益明显增强。</w:t>
      </w:r>
    </w:p>
    <w:p w14:paraId="73D69148">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（三）绩效指标完成情况分析。</w:t>
      </w:r>
    </w:p>
    <w:p w14:paraId="73DCDE60">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1.产出指标完成情况分析。</w:t>
      </w:r>
    </w:p>
    <w:p w14:paraId="79078273">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（1）数量指标。完成农村公益电影放映2520场，完成率100%。</w:t>
      </w:r>
    </w:p>
    <w:p w14:paraId="0DA43960">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（2）质量指标。通过技术监管，2520场电影的每场放映质量均达到良好，良好率100%。</w:t>
      </w:r>
    </w:p>
    <w:p w14:paraId="2560C73A">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（3）时效指标。所有放映场次均在20</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年12月19日前完成，</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sz w:val="30"/>
          <w:szCs w:val="30"/>
        </w:rPr>
        <w:t>效率100%。</w:t>
      </w:r>
    </w:p>
    <w:p w14:paraId="72534F3B">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（4）成本指标。2520场次农村公益电影资金总额5</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万元，与上年度持平，场均放映</w:t>
      </w:r>
      <w:r>
        <w:rPr>
          <w:rFonts w:hint="eastAsia" w:ascii="仿宋_GB2312" w:hAnsi="仿宋_GB2312" w:eastAsia="仿宋_GB2312" w:cs="仿宋_GB2312"/>
          <w:sz w:val="30"/>
          <w:szCs w:val="30"/>
          <w:lang w:eastAsia="zh-CN"/>
        </w:rPr>
        <w:t>成本</w:t>
      </w:r>
      <w:r>
        <w:rPr>
          <w:rFonts w:hint="eastAsia" w:ascii="仿宋_GB2312" w:hAnsi="仿宋_GB2312" w:eastAsia="仿宋_GB2312" w:cs="仿宋_GB2312"/>
          <w:sz w:val="30"/>
          <w:szCs w:val="30"/>
        </w:rPr>
        <w:t>约</w:t>
      </w:r>
      <w:r>
        <w:rPr>
          <w:rFonts w:hint="eastAsia" w:ascii="仿宋_GB2312" w:hAnsi="仿宋_GB2312" w:eastAsia="仿宋_GB2312" w:cs="仿宋_GB2312"/>
          <w:sz w:val="30"/>
          <w:szCs w:val="30"/>
          <w:lang w:val="en-US" w:eastAsia="zh-CN"/>
        </w:rPr>
        <w:t>220</w:t>
      </w:r>
      <w:r>
        <w:rPr>
          <w:rFonts w:hint="eastAsia" w:ascii="仿宋_GB2312" w:hAnsi="仿宋_GB2312" w:eastAsia="仿宋_GB2312" w:cs="仿宋_GB2312"/>
          <w:sz w:val="30"/>
          <w:szCs w:val="30"/>
        </w:rPr>
        <w:t>元。</w:t>
      </w:r>
    </w:p>
    <w:p w14:paraId="72DACD23">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2.效益指标完成情况分析。</w:t>
      </w:r>
    </w:p>
    <w:p w14:paraId="0F74B444">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（1）社会效益。全年农村公益电影观影总人次达</w:t>
      </w:r>
      <w:r>
        <w:rPr>
          <w:rFonts w:hint="eastAsia" w:ascii="仿宋_GB2312" w:hAnsi="仿宋_GB2312" w:eastAsia="仿宋_GB2312" w:cs="仿宋_GB2312"/>
          <w:sz w:val="30"/>
          <w:szCs w:val="30"/>
          <w:lang w:val="en-US" w:eastAsia="zh-CN"/>
        </w:rPr>
        <w:t>42234</w:t>
      </w:r>
      <w:r>
        <w:rPr>
          <w:rFonts w:hint="eastAsia" w:ascii="仿宋_GB2312" w:hAnsi="仿宋_GB2312" w:eastAsia="仿宋_GB2312" w:cs="仿宋_GB2312"/>
          <w:sz w:val="30"/>
          <w:szCs w:val="30"/>
        </w:rPr>
        <w:t>人，主要受众为留守老人和儿童，极大地丰富了农村留守群众的文化生活，特别是孝老爱亲、科技推广、爱国主义教育等题材非常受欢迎。</w:t>
      </w:r>
    </w:p>
    <w:p w14:paraId="4C737197">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（2）可持续影响。</w:t>
      </w:r>
    </w:p>
    <w:p w14:paraId="027E1BA2">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留守老人和留守儿童依然是我区农村常住人口的特点，随着劳动力创业就业的回流，青壮年数量也在一定程度增加，农村公益电影受众依然广泛，形式依然必要。</w:t>
      </w:r>
    </w:p>
    <w:p w14:paraId="17EAA395">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3.满意度指标完成情况分析。</w:t>
      </w:r>
    </w:p>
    <w:p w14:paraId="71B04CA8">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农村居民较喜欢对孝老爱亲、科学技术推广题材影，对农村公益电影放映非常认可，满意度达到9</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w:t>
      </w:r>
    </w:p>
    <w:p w14:paraId="0B9B99DF">
      <w:pPr>
        <w:widowControl w:val="0"/>
        <w:wordWrap/>
        <w:adjustRightInd/>
        <w:snapToGrid/>
        <w:spacing w:line="240" w:lineRule="auto"/>
        <w:ind w:left="0" w:leftChars="0" w:right="0"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三、偏离绩效目标的原因和下一步改进措施</w:t>
      </w:r>
    </w:p>
    <w:p w14:paraId="435D4ACE">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根据绩效自评，绩效目标基本无偏差，下一步，我单位将继续加大监管力度，提高满意度，不增加放映成本。</w:t>
      </w:r>
    </w:p>
    <w:p w14:paraId="5A816FE5">
      <w:pPr>
        <w:widowControl w:val="0"/>
        <w:wordWrap/>
        <w:adjustRightInd/>
        <w:snapToGrid/>
        <w:spacing w:line="240" w:lineRule="auto"/>
        <w:ind w:left="0" w:leftChars="0" w:right="0"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四、绩效自评结果拟应用和公开情况</w:t>
      </w:r>
    </w:p>
    <w:p w14:paraId="6B083FCD">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通过绩效自评，我单位发现观影人数有待提高，我区经过研究决定，与区知客协会联动，将农村公益电影与农村红事结合，在农村红白事期间播放农村公益电影，可增加观影人数，增加社会效益，确保农村公益电影持续影响力不断加强。</w:t>
      </w:r>
    </w:p>
    <w:p w14:paraId="3FB4ECCE">
      <w:pPr>
        <w:widowControl w:val="0"/>
        <w:wordWrap/>
        <w:adjustRightInd/>
        <w:snapToGrid/>
        <w:spacing w:line="240" w:lineRule="auto"/>
        <w:ind w:left="0" w:leftChars="0" w:right="0"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五、其他需要说明的问题</w:t>
      </w:r>
    </w:p>
    <w:p w14:paraId="0817DFB0">
      <w:pPr>
        <w:widowControl w:val="0"/>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无其他说明的问题。</w:t>
      </w:r>
    </w:p>
    <w:p w14:paraId="131E9DB4">
      <w:pPr>
        <w:wordWrap/>
        <w:snapToGrid/>
        <w:spacing w:line="240" w:lineRule="auto"/>
        <w:ind w:left="0" w:leftChars="0" w:right="0" w:firstLine="0" w:firstLineChars="0"/>
        <w:jc w:val="left"/>
      </w:pPr>
    </w:p>
    <w:p w14:paraId="40EFF989">
      <w:r>
        <w:br w:type="page"/>
      </w:r>
    </w:p>
    <w:tbl>
      <w:tblPr>
        <w:tblStyle w:val="18"/>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908"/>
        <w:gridCol w:w="1245"/>
        <w:gridCol w:w="1215"/>
        <w:gridCol w:w="1806"/>
        <w:gridCol w:w="2394"/>
        <w:gridCol w:w="2392"/>
      </w:tblGrid>
      <w:tr w14:paraId="3220AD89">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14:paraId="591BEC0B">
            <w:pPr>
              <w:widowControl/>
              <w:jc w:val="center"/>
              <w:textAlignment w:val="center"/>
              <w:rPr>
                <w:rFonts w:hint="eastAsia" w:ascii="宋体" w:hAnsi="宋体" w:cs="宋体"/>
                <w:b/>
                <w:bCs/>
                <w:color w:val="000000"/>
                <w:kern w:val="0"/>
                <w:sz w:val="36"/>
                <w:szCs w:val="36"/>
                <w:lang w:bidi="ar"/>
              </w:rPr>
            </w:pPr>
            <w:r>
              <w:rPr>
                <w:rFonts w:hint="eastAsia" w:ascii="宋体" w:hAnsi="宋体" w:cs="宋体"/>
                <w:b/>
                <w:bCs/>
                <w:color w:val="000000"/>
                <w:kern w:val="0"/>
                <w:sz w:val="36"/>
                <w:szCs w:val="36"/>
                <w:lang w:bidi="ar"/>
              </w:rPr>
              <w:t>四川省广元市昭化区农村公益电影放映</w:t>
            </w:r>
          </w:p>
          <w:p w14:paraId="7718CFF8">
            <w:pPr>
              <w:widowControl/>
              <w:jc w:val="center"/>
              <w:textAlignment w:val="center"/>
              <w:rPr>
                <w:rFonts w:hint="eastAsia" w:ascii="宋体" w:hAnsi="宋体" w:eastAsia="宋体" w:cs="宋体"/>
                <w:b/>
                <w:bCs/>
                <w:color w:val="000000"/>
                <w:kern w:val="0"/>
                <w:sz w:val="36"/>
                <w:szCs w:val="36"/>
                <w:lang w:eastAsia="zh-CN" w:bidi="ar"/>
              </w:rPr>
            </w:pPr>
            <w:r>
              <w:rPr>
                <w:rFonts w:hint="eastAsia" w:ascii="宋体" w:hAnsi="宋体" w:cs="宋体"/>
                <w:b/>
                <w:bCs/>
                <w:color w:val="000000"/>
                <w:kern w:val="0"/>
                <w:sz w:val="36"/>
                <w:szCs w:val="36"/>
                <w:lang w:bidi="ar"/>
              </w:rPr>
              <w:t>项目绩效目标完成情况表</w:t>
            </w:r>
          </w:p>
          <w:p w14:paraId="16ECA794">
            <w:pPr>
              <w:widowControl/>
              <w:jc w:val="center"/>
              <w:textAlignment w:val="center"/>
              <w:rPr>
                <w:rFonts w:hint="eastAsia" w:ascii="宋体" w:eastAsia="宋体" w:cs="宋体"/>
                <w:color w:val="000000"/>
                <w:sz w:val="36"/>
                <w:szCs w:val="36"/>
                <w:lang w:eastAsia="zh-CN"/>
              </w:rPr>
            </w:pPr>
            <w:r>
              <w:rPr>
                <w:rFonts w:hint="eastAsia" w:ascii="宋体" w:hAnsi="宋体" w:cs="宋体"/>
                <w:color w:val="000000"/>
                <w:kern w:val="0"/>
                <w:sz w:val="36"/>
                <w:szCs w:val="36"/>
                <w:highlight w:val="none"/>
                <w:lang w:eastAsia="zh-CN" w:bidi="ar"/>
              </w:rPr>
              <w:t>（</w:t>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hint="eastAsia" w:ascii="宋体" w:hAnsi="宋体" w:cs="宋体"/>
                <w:color w:val="000000"/>
                <w:kern w:val="0"/>
                <w:sz w:val="36"/>
                <w:szCs w:val="36"/>
                <w:highlight w:val="none"/>
                <w:lang w:eastAsia="zh-CN" w:bidi="ar"/>
              </w:rPr>
              <w:t>）</w:t>
            </w:r>
          </w:p>
        </w:tc>
      </w:tr>
      <w:tr w14:paraId="5EC4B72E">
        <w:tblPrEx>
          <w:tblCellMar>
            <w:top w:w="0" w:type="dxa"/>
            <w:left w:w="0" w:type="dxa"/>
            <w:bottom w:w="0" w:type="dxa"/>
            <w:right w:w="0" w:type="dxa"/>
          </w:tblCellMar>
        </w:tblPrEx>
        <w:trPr>
          <w:trHeight w:val="276" w:hRule="atLeast"/>
          <w:jc w:val="center"/>
        </w:trPr>
        <w:tc>
          <w:tcPr>
            <w:tcW w:w="33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6F72E">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659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8D90C">
            <w:pPr>
              <w:widowControl/>
              <w:wordWrap/>
              <w:snapToGrid/>
              <w:spacing w:line="240" w:lineRule="auto"/>
              <w:ind w:left="0" w:leftChars="0" w:right="0" w:firstLine="0" w:firstLineChars="0"/>
              <w:jc w:val="center"/>
              <w:textAlignment w:val="center"/>
              <w:rPr>
                <w:rFonts w:hint="eastAsia"/>
                <w:lang w:val="en-US" w:eastAsia="zh-CN"/>
              </w:rPr>
            </w:pPr>
            <w:r>
              <w:rPr>
                <w:rFonts w:hint="eastAsia"/>
                <w:lang w:val="en-US" w:eastAsia="zh-CN"/>
              </w:rPr>
              <w:t>四川省广元市昭化区农村公益电影放映项目绩效目标自评表</w:t>
            </w:r>
          </w:p>
          <w:p w14:paraId="3D409673">
            <w:pPr>
              <w:widowControl/>
              <w:jc w:val="center"/>
              <w:textAlignment w:val="center"/>
              <w:rPr>
                <w:rFonts w:ascii="宋体" w:cs="宋体"/>
                <w:color w:val="000000"/>
                <w:sz w:val="24"/>
              </w:rPr>
            </w:pPr>
            <w:r>
              <w:rPr>
                <w:rFonts w:hint="eastAsia" w:ascii="宋体" w:hAnsi="宋体" w:eastAsia="宋体" w:cs="宋体"/>
                <w:i w:val="0"/>
                <w:color w:val="000000"/>
                <w:kern w:val="0"/>
                <w:sz w:val="22"/>
                <w:szCs w:val="22"/>
                <w:u w:val="none"/>
                <w:lang w:val="en-US" w:eastAsia="zh-CN"/>
              </w:rPr>
              <w:t>（20</w:t>
            </w:r>
            <w:r>
              <w:rPr>
                <w:rFonts w:hint="eastAsia" w:ascii="宋体" w:hAnsi="宋体" w:cs="宋体"/>
                <w:i w:val="0"/>
                <w:color w:val="000000"/>
                <w:kern w:val="0"/>
                <w:sz w:val="22"/>
                <w:szCs w:val="22"/>
                <w:u w:val="none"/>
                <w:lang w:val="en-US" w:eastAsia="zh-CN"/>
              </w:rPr>
              <w:t>20</w:t>
            </w:r>
            <w:r>
              <w:rPr>
                <w:rFonts w:hint="eastAsia" w:ascii="宋体" w:hAnsi="宋体" w:eastAsia="宋体" w:cs="宋体"/>
                <w:i w:val="0"/>
                <w:color w:val="000000"/>
                <w:kern w:val="0"/>
                <w:sz w:val="22"/>
                <w:szCs w:val="22"/>
                <w:u w:val="none"/>
                <w:lang w:val="en-US" w:eastAsia="zh-CN"/>
              </w:rPr>
              <w:t>年度）</w:t>
            </w:r>
          </w:p>
        </w:tc>
      </w:tr>
      <w:tr w14:paraId="3BD76AC7">
        <w:tblPrEx>
          <w:tblCellMar>
            <w:top w:w="0" w:type="dxa"/>
            <w:left w:w="0" w:type="dxa"/>
            <w:bottom w:w="0" w:type="dxa"/>
            <w:right w:w="0" w:type="dxa"/>
          </w:tblCellMar>
        </w:tblPrEx>
        <w:trPr>
          <w:trHeight w:val="276" w:hRule="atLeast"/>
          <w:jc w:val="center"/>
        </w:trPr>
        <w:tc>
          <w:tcPr>
            <w:tcW w:w="33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3521C">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659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9CF27">
            <w:pPr>
              <w:widowControl/>
              <w:jc w:val="center"/>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昭化区委宣传部</w:t>
            </w:r>
          </w:p>
        </w:tc>
      </w:tr>
      <w:tr w14:paraId="7F978F46">
        <w:tblPrEx>
          <w:tblCellMar>
            <w:top w:w="0" w:type="dxa"/>
            <w:left w:w="0" w:type="dxa"/>
            <w:bottom w:w="0" w:type="dxa"/>
            <w:right w:w="0" w:type="dxa"/>
          </w:tblCellMar>
        </w:tblPrEx>
        <w:trPr>
          <w:trHeight w:val="276" w:hRule="atLeast"/>
          <w:jc w:val="center"/>
        </w:trPr>
        <w:tc>
          <w:tcPr>
            <w:tcW w:w="9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31138">
            <w:pPr>
              <w:widowControl/>
              <w:jc w:val="center"/>
              <w:textAlignment w:val="center"/>
              <w:rPr>
                <w:rFonts w:hint="eastAsia" w:ascii="宋体" w:eastAsia="宋体" w:cs="宋体"/>
                <w:color w:val="000000"/>
                <w:sz w:val="24"/>
                <w:lang w:eastAsia="zh-CN"/>
              </w:rPr>
            </w:pPr>
            <w:r>
              <w:rPr>
                <w:rFonts w:hint="eastAsia" w:ascii="宋体" w:hAnsi="宋体" w:cs="宋体"/>
                <w:color w:val="000000"/>
                <w:kern w:val="0"/>
                <w:sz w:val="24"/>
                <w:lang w:bidi="ar"/>
              </w:rPr>
              <w:t>预算执行情况</w:t>
            </w:r>
            <w:r>
              <w:rPr>
                <w:rFonts w:hint="eastAsia" w:ascii="宋体" w:hAnsi="宋体" w:cs="宋体"/>
                <w:color w:val="000000"/>
                <w:kern w:val="0"/>
                <w:sz w:val="24"/>
                <w:highlight w:val="none"/>
                <w:lang w:eastAsia="zh-CN" w:bidi="ar"/>
              </w:rPr>
              <w:t>（</w:t>
            </w:r>
            <w:r>
              <w:rPr>
                <w:rFonts w:hint="eastAsia" w:ascii="宋体" w:hAnsi="宋体" w:cs="宋体"/>
                <w:color w:val="000000"/>
                <w:kern w:val="0"/>
                <w:sz w:val="24"/>
                <w:lang w:bidi="ar"/>
              </w:rPr>
              <w:t>万元</w:t>
            </w:r>
            <w:r>
              <w:rPr>
                <w:rFonts w:hint="eastAsia" w:ascii="宋体" w:hAnsi="宋体" w:cs="宋体"/>
                <w:color w:val="000000"/>
                <w:kern w:val="0"/>
                <w:sz w:val="24"/>
                <w:highlight w:val="none"/>
                <w:lang w:eastAsia="zh-CN" w:bidi="ar"/>
              </w:rPr>
              <w:t>）</w:t>
            </w: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93E53">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1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AF01B">
            <w:pPr>
              <w:widowControl/>
              <w:jc w:val="center"/>
              <w:textAlignment w:val="center"/>
              <w:rPr>
                <w:rFonts w:ascii="宋体" w:cs="宋体"/>
                <w:color w:val="000000"/>
                <w:sz w:val="24"/>
              </w:rPr>
            </w:pPr>
            <w:r>
              <w:rPr>
                <w:rFonts w:hint="eastAsia" w:ascii="宋体" w:hAnsi="宋体" w:cs="宋体"/>
                <w:i w:val="0"/>
                <w:color w:val="000000"/>
                <w:kern w:val="0"/>
                <w:sz w:val="20"/>
                <w:szCs w:val="20"/>
                <w:u w:val="none"/>
                <w:lang w:val="en-US" w:eastAsia="zh-CN"/>
              </w:rPr>
              <w:t>55.44</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941CA">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51326">
            <w:pPr>
              <w:widowControl/>
              <w:jc w:val="center"/>
              <w:textAlignment w:val="center"/>
              <w:rPr>
                <w:rFonts w:ascii="宋体" w:cs="宋体"/>
                <w:color w:val="000000"/>
                <w:sz w:val="24"/>
              </w:rPr>
            </w:pPr>
            <w:r>
              <w:rPr>
                <w:rFonts w:hint="eastAsia" w:ascii="宋体" w:hAnsi="宋体" w:cs="宋体"/>
                <w:i w:val="0"/>
                <w:color w:val="000000"/>
                <w:kern w:val="0"/>
                <w:sz w:val="20"/>
                <w:szCs w:val="20"/>
                <w:u w:val="none"/>
                <w:lang w:val="en-US" w:eastAsia="zh-CN"/>
              </w:rPr>
              <w:t>55.44</w:t>
            </w:r>
          </w:p>
        </w:tc>
      </w:tr>
      <w:tr w14:paraId="45F2F531">
        <w:tblPrEx>
          <w:tblCellMar>
            <w:top w:w="0" w:type="dxa"/>
            <w:left w:w="0" w:type="dxa"/>
            <w:bottom w:w="0" w:type="dxa"/>
            <w:right w:w="0" w:type="dxa"/>
          </w:tblCellMar>
        </w:tblPrEx>
        <w:trPr>
          <w:trHeight w:val="276"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D1DE3">
            <w:pPr>
              <w:jc w:val="center"/>
              <w:rPr>
                <w:rFonts w:ascii="宋体" w:cs="宋体"/>
                <w:color w:val="000000"/>
                <w:sz w:val="24"/>
              </w:rPr>
            </w:pP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7783F">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1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1098B">
            <w:pPr>
              <w:widowControl/>
              <w:jc w:val="center"/>
              <w:textAlignment w:val="center"/>
              <w:rPr>
                <w:rFonts w:ascii="宋体" w:cs="宋体"/>
                <w:color w:val="000000"/>
                <w:sz w:val="24"/>
              </w:rPr>
            </w:pPr>
            <w:r>
              <w:rPr>
                <w:rFonts w:hint="eastAsia" w:ascii="宋体" w:hAnsi="宋体" w:cs="宋体"/>
                <w:i w:val="0"/>
                <w:color w:val="000000"/>
                <w:kern w:val="0"/>
                <w:sz w:val="20"/>
                <w:szCs w:val="20"/>
                <w:u w:val="none"/>
                <w:lang w:val="en-US" w:eastAsia="zh-CN"/>
              </w:rPr>
              <w:t>55.44</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29BF5">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3A6DC">
            <w:pPr>
              <w:widowControl/>
              <w:jc w:val="center"/>
              <w:textAlignment w:val="center"/>
              <w:rPr>
                <w:rFonts w:ascii="宋体" w:cs="宋体"/>
                <w:color w:val="000000"/>
                <w:sz w:val="24"/>
              </w:rPr>
            </w:pPr>
            <w:r>
              <w:rPr>
                <w:rFonts w:hint="eastAsia" w:ascii="宋体" w:hAnsi="宋体" w:cs="宋体"/>
                <w:i w:val="0"/>
                <w:color w:val="000000"/>
                <w:kern w:val="0"/>
                <w:sz w:val="20"/>
                <w:szCs w:val="20"/>
                <w:u w:val="none"/>
                <w:lang w:val="en-US" w:eastAsia="zh-CN"/>
              </w:rPr>
              <w:t>55.44</w:t>
            </w:r>
          </w:p>
        </w:tc>
      </w:tr>
      <w:tr w14:paraId="5A321A86">
        <w:tblPrEx>
          <w:tblCellMar>
            <w:top w:w="0" w:type="dxa"/>
            <w:left w:w="0" w:type="dxa"/>
            <w:bottom w:w="0" w:type="dxa"/>
            <w:right w:w="0" w:type="dxa"/>
          </w:tblCellMar>
        </w:tblPrEx>
        <w:trPr>
          <w:trHeight w:val="497"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95A6B">
            <w:pPr>
              <w:jc w:val="center"/>
              <w:rPr>
                <w:rFonts w:ascii="宋体" w:cs="宋体"/>
                <w:color w:val="000000"/>
                <w:sz w:val="24"/>
              </w:rPr>
            </w:pP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8AE7F">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其它资金</w:t>
            </w:r>
            <w:r>
              <w:rPr>
                <w:rFonts w:ascii="宋体" w:hAnsi="宋体" w:cs="宋体"/>
                <w:color w:val="000000"/>
                <w:kern w:val="0"/>
                <w:sz w:val="24"/>
                <w:highlight w:val="none"/>
                <w:lang w:bidi="ar"/>
              </w:rPr>
              <w:t>:</w:t>
            </w:r>
          </w:p>
        </w:tc>
        <w:tc>
          <w:tcPr>
            <w:tcW w:w="1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15959">
            <w:pPr>
              <w:widowControl/>
              <w:jc w:val="center"/>
              <w:textAlignment w:val="center"/>
              <w:rPr>
                <w:rFonts w:ascii="宋体" w:cs="宋体"/>
                <w:color w:val="000000"/>
                <w:sz w:val="24"/>
                <w:highlight w:val="none"/>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96C26">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其它资金</w:t>
            </w:r>
            <w:r>
              <w:rPr>
                <w:rFonts w:ascii="宋体" w:hAnsi="宋体" w:cs="宋体"/>
                <w:color w:val="000000"/>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137F7">
            <w:pPr>
              <w:jc w:val="center"/>
              <w:rPr>
                <w:rFonts w:ascii="宋体" w:cs="宋体"/>
                <w:color w:val="000000"/>
                <w:sz w:val="24"/>
              </w:rPr>
            </w:pPr>
          </w:p>
        </w:tc>
      </w:tr>
      <w:tr w14:paraId="3FEE4F83">
        <w:tblPrEx>
          <w:tblCellMar>
            <w:top w:w="0" w:type="dxa"/>
            <w:left w:w="0" w:type="dxa"/>
            <w:bottom w:w="0" w:type="dxa"/>
            <w:right w:w="0" w:type="dxa"/>
          </w:tblCellMar>
        </w:tblPrEx>
        <w:trPr>
          <w:trHeight w:val="276" w:hRule="atLeast"/>
          <w:jc w:val="center"/>
        </w:trPr>
        <w:tc>
          <w:tcPr>
            <w:tcW w:w="9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42A88">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2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6AEDF">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6F2C0">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14:paraId="690C1F41">
        <w:tblPrEx>
          <w:tblCellMar>
            <w:top w:w="0" w:type="dxa"/>
            <w:left w:w="0" w:type="dxa"/>
            <w:bottom w:w="0" w:type="dxa"/>
            <w:right w:w="0" w:type="dxa"/>
          </w:tblCellMar>
        </w:tblPrEx>
        <w:trPr>
          <w:trHeight w:val="1159"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46655">
            <w:pPr>
              <w:jc w:val="center"/>
              <w:rPr>
                <w:rFonts w:ascii="宋体" w:cs="宋体"/>
                <w:color w:val="000000"/>
                <w:sz w:val="24"/>
              </w:rPr>
            </w:pPr>
          </w:p>
        </w:tc>
        <w:tc>
          <w:tcPr>
            <w:tcW w:w="42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489D4">
            <w:pPr>
              <w:widowControl/>
              <w:jc w:val="center"/>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210个行政村全年放映农村公益电影2520场次</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B5F3F">
            <w:pPr>
              <w:widowControl/>
              <w:jc w:val="center"/>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210个行政村全年放映农村公益电影2</w:t>
            </w:r>
            <w:r>
              <w:rPr>
                <w:rFonts w:hint="eastAsia" w:ascii="宋体" w:hAnsi="宋体" w:cs="宋体"/>
                <w:i w:val="0"/>
                <w:color w:val="000000"/>
                <w:kern w:val="0"/>
                <w:sz w:val="20"/>
                <w:szCs w:val="20"/>
                <w:u w:val="none"/>
                <w:lang w:val="en-US" w:eastAsia="zh-CN"/>
              </w:rPr>
              <w:t>863</w:t>
            </w:r>
            <w:r>
              <w:rPr>
                <w:rFonts w:hint="eastAsia" w:ascii="宋体" w:hAnsi="宋体" w:eastAsia="宋体" w:cs="宋体"/>
                <w:i w:val="0"/>
                <w:color w:val="000000"/>
                <w:kern w:val="0"/>
                <w:sz w:val="20"/>
                <w:szCs w:val="20"/>
                <w:u w:val="none"/>
                <w:lang w:val="en-US" w:eastAsia="zh-CN"/>
              </w:rPr>
              <w:t>场次</w:t>
            </w:r>
          </w:p>
        </w:tc>
      </w:tr>
      <w:tr w14:paraId="34D1A93A">
        <w:tblPrEx>
          <w:tblCellMar>
            <w:top w:w="0" w:type="dxa"/>
            <w:left w:w="0" w:type="dxa"/>
            <w:bottom w:w="0" w:type="dxa"/>
            <w:right w:w="0" w:type="dxa"/>
          </w:tblCellMar>
        </w:tblPrEx>
        <w:trPr>
          <w:trHeight w:val="532" w:hRule="atLeast"/>
          <w:jc w:val="center"/>
        </w:trPr>
        <w:tc>
          <w:tcPr>
            <w:tcW w:w="90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E192F5C">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412CC">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0BEF0">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1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351F8">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733E2">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1E7CC">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p>
        </w:tc>
      </w:tr>
      <w:tr w14:paraId="260BA8B0">
        <w:tblPrEx>
          <w:tblCellMar>
            <w:top w:w="0" w:type="dxa"/>
            <w:left w:w="0" w:type="dxa"/>
            <w:bottom w:w="0" w:type="dxa"/>
            <w:right w:w="0" w:type="dxa"/>
          </w:tblCellMar>
        </w:tblPrEx>
        <w:trPr>
          <w:trHeight w:val="977" w:hRule="atLeast"/>
          <w:jc w:val="center"/>
        </w:trPr>
        <w:tc>
          <w:tcPr>
            <w:tcW w:w="908" w:type="dxa"/>
            <w:vMerge w:val="continue"/>
            <w:tcBorders>
              <w:left w:val="single" w:color="000000" w:sz="4" w:space="0"/>
              <w:right w:val="single" w:color="000000" w:sz="4" w:space="0"/>
            </w:tcBorders>
            <w:noWrap w:val="0"/>
            <w:tcMar>
              <w:top w:w="15" w:type="dxa"/>
              <w:left w:w="15" w:type="dxa"/>
              <w:right w:w="15" w:type="dxa"/>
            </w:tcMar>
            <w:vAlign w:val="center"/>
          </w:tcPr>
          <w:p w14:paraId="62AF89CC">
            <w:pPr>
              <w:widowControl/>
              <w:jc w:val="center"/>
              <w:textAlignment w:val="center"/>
              <w:rPr>
                <w:rFonts w:ascii="宋体" w:cs="宋体"/>
                <w:color w:val="000000"/>
                <w:sz w:val="24"/>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2D699">
            <w:pPr>
              <w:widowControl/>
              <w:wordWrap/>
              <w:snapToGrid/>
              <w:spacing w:line="240" w:lineRule="auto"/>
              <w:ind w:left="0" w:leftChars="0" w:right="0" w:rightChars="0" w:firstLine="0" w:firstLineChars="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产</w:t>
            </w:r>
          </w:p>
          <w:p w14:paraId="5511710B">
            <w:pPr>
              <w:widowControl/>
              <w:wordWrap/>
              <w:snapToGrid/>
              <w:spacing w:line="240" w:lineRule="auto"/>
              <w:ind w:left="0" w:leftChars="0" w:right="0" w:rightChars="0" w:firstLine="0" w:firstLineChars="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出</w:t>
            </w:r>
          </w:p>
          <w:p w14:paraId="008E4070">
            <w:pPr>
              <w:widowControl/>
              <w:wordWrap/>
              <w:snapToGrid/>
              <w:spacing w:line="240" w:lineRule="auto"/>
              <w:ind w:left="0" w:leftChars="0" w:right="0" w:rightChars="0" w:firstLine="0" w:firstLineChars="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指</w:t>
            </w:r>
          </w:p>
          <w:p w14:paraId="178604FD">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标</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165D3">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数量指标</w:t>
            </w:r>
          </w:p>
        </w:tc>
        <w:tc>
          <w:tcPr>
            <w:tcW w:w="1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BDE41">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完成农村公益电影放映上</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5D05C">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2520场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F5AAE">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2</w:t>
            </w:r>
            <w:r>
              <w:rPr>
                <w:rFonts w:hint="eastAsia" w:ascii="宋体" w:hAnsi="宋体" w:cs="宋体"/>
                <w:i w:val="0"/>
                <w:color w:val="000000"/>
                <w:kern w:val="0"/>
                <w:sz w:val="20"/>
                <w:szCs w:val="20"/>
                <w:u w:val="none"/>
                <w:lang w:val="en-US" w:eastAsia="zh-CN"/>
              </w:rPr>
              <w:t>863</w:t>
            </w:r>
            <w:r>
              <w:rPr>
                <w:rFonts w:hint="eastAsia" w:ascii="宋体" w:hAnsi="宋体" w:eastAsia="宋体" w:cs="宋体"/>
                <w:i w:val="0"/>
                <w:color w:val="000000"/>
                <w:kern w:val="0"/>
                <w:sz w:val="20"/>
                <w:szCs w:val="20"/>
                <w:u w:val="none"/>
                <w:lang w:val="en-US" w:eastAsia="zh-CN"/>
              </w:rPr>
              <w:t>场</w:t>
            </w:r>
          </w:p>
        </w:tc>
      </w:tr>
      <w:tr w14:paraId="346C77C3">
        <w:tblPrEx>
          <w:tblCellMar>
            <w:top w:w="0" w:type="dxa"/>
            <w:left w:w="0" w:type="dxa"/>
            <w:bottom w:w="0" w:type="dxa"/>
            <w:right w:w="0" w:type="dxa"/>
          </w:tblCellMar>
        </w:tblPrEx>
        <w:trPr>
          <w:trHeight w:val="737" w:hRule="atLeast"/>
          <w:jc w:val="center"/>
        </w:trPr>
        <w:tc>
          <w:tcPr>
            <w:tcW w:w="908" w:type="dxa"/>
            <w:vMerge w:val="continue"/>
            <w:tcBorders>
              <w:left w:val="single" w:color="000000" w:sz="4" w:space="0"/>
              <w:right w:val="single" w:color="000000" w:sz="4" w:space="0"/>
            </w:tcBorders>
            <w:noWrap w:val="0"/>
            <w:tcMar>
              <w:top w:w="15" w:type="dxa"/>
              <w:left w:w="15" w:type="dxa"/>
              <w:right w:w="15" w:type="dxa"/>
            </w:tcMar>
            <w:vAlign w:val="center"/>
          </w:tcPr>
          <w:p w14:paraId="32152C1F">
            <w:pPr>
              <w:widowControl/>
              <w:jc w:val="center"/>
              <w:textAlignment w:val="center"/>
              <w:rPr>
                <w:rFonts w:ascii="宋体" w:cs="宋体"/>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1E4DE">
            <w:pPr>
              <w:wordWrap/>
              <w:snapToGrid/>
              <w:spacing w:before="0" w:beforeLines="0" w:after="0" w:afterLines="0" w:line="240" w:lineRule="auto"/>
              <w:ind w:left="0" w:leftChars="0" w:right="0" w:rightChars="0" w:firstLine="0" w:firstLineChars="0"/>
              <w:jc w:val="left"/>
              <w:rPr>
                <w:rFonts w:ascii="宋体" w:cs="宋体"/>
                <w:color w:val="000000"/>
                <w:sz w:val="24"/>
              </w:rPr>
            </w:pPr>
          </w:p>
        </w:tc>
        <w:tc>
          <w:tcPr>
            <w:tcW w:w="1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6D6B9">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质量指标</w:t>
            </w:r>
          </w:p>
        </w:tc>
        <w:tc>
          <w:tcPr>
            <w:tcW w:w="1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77E19">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放映质量优良率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755AE">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7217B">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100%</w:t>
            </w:r>
          </w:p>
        </w:tc>
      </w:tr>
      <w:tr w14:paraId="06E33493">
        <w:tblPrEx>
          <w:tblCellMar>
            <w:top w:w="0" w:type="dxa"/>
            <w:left w:w="0" w:type="dxa"/>
            <w:bottom w:w="0" w:type="dxa"/>
            <w:right w:w="0" w:type="dxa"/>
          </w:tblCellMar>
        </w:tblPrEx>
        <w:trPr>
          <w:trHeight w:val="212" w:hRule="atLeast"/>
          <w:jc w:val="center"/>
        </w:trPr>
        <w:tc>
          <w:tcPr>
            <w:tcW w:w="908" w:type="dxa"/>
            <w:vMerge w:val="continue"/>
            <w:tcBorders>
              <w:left w:val="single" w:color="000000" w:sz="4" w:space="0"/>
              <w:right w:val="single" w:color="000000" w:sz="4" w:space="0"/>
            </w:tcBorders>
            <w:noWrap w:val="0"/>
            <w:tcMar>
              <w:top w:w="15" w:type="dxa"/>
              <w:left w:w="15" w:type="dxa"/>
              <w:right w:w="15" w:type="dxa"/>
            </w:tcMar>
            <w:vAlign w:val="center"/>
          </w:tcPr>
          <w:p w14:paraId="2DF6062F">
            <w:pPr>
              <w:widowControl/>
              <w:jc w:val="center"/>
              <w:textAlignment w:val="center"/>
              <w:rPr>
                <w:rFonts w:ascii="宋体" w:cs="宋体"/>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04D53">
            <w:pPr>
              <w:wordWrap/>
              <w:snapToGrid/>
              <w:spacing w:before="0" w:beforeLines="0" w:after="0" w:afterLines="0" w:line="240" w:lineRule="auto"/>
              <w:ind w:left="0" w:leftChars="0" w:right="0" w:rightChars="0" w:firstLine="0" w:firstLineChars="0"/>
              <w:jc w:val="left"/>
              <w:rPr>
                <w:rFonts w:ascii="宋体" w:cs="宋体"/>
                <w:color w:val="000000"/>
                <w:kern w:val="0"/>
                <w:sz w:val="24"/>
                <w:lang w:bidi="ar"/>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C4842">
            <w:pPr>
              <w:wordWrap/>
              <w:snapToGrid/>
              <w:spacing w:before="0" w:beforeLines="0" w:after="0" w:afterLines="0" w:line="240" w:lineRule="auto"/>
              <w:ind w:left="0" w:leftChars="0" w:right="0" w:rightChars="0" w:firstLine="0" w:firstLineChars="0"/>
              <w:jc w:val="left"/>
              <w:rPr>
                <w:rFonts w:ascii="宋体" w:cs="宋体"/>
                <w:color w:val="000000"/>
                <w:sz w:val="24"/>
              </w:rPr>
            </w:pPr>
          </w:p>
        </w:tc>
        <w:tc>
          <w:tcPr>
            <w:tcW w:w="1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18A0F">
            <w:pPr>
              <w:wordWrap/>
              <w:snapToGrid/>
              <w:spacing w:before="0" w:beforeLines="0" w:after="0" w:afterLines="0" w:line="240" w:lineRule="auto"/>
              <w:ind w:left="0" w:leftChars="0" w:right="0" w:rightChars="0" w:firstLine="0" w:firstLineChars="0"/>
              <w:jc w:val="left"/>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59AE9">
            <w:pPr>
              <w:wordWrap/>
              <w:snapToGrid/>
              <w:spacing w:before="0" w:beforeLines="0" w:after="0" w:afterLines="0" w:line="240" w:lineRule="auto"/>
              <w:ind w:left="0" w:leftChars="0" w:right="0" w:rightChars="0" w:firstLine="0" w:firstLineChars="0"/>
              <w:jc w:val="left"/>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89ED5">
            <w:pPr>
              <w:wordWrap/>
              <w:snapToGrid/>
              <w:spacing w:before="0" w:beforeLines="0" w:after="0" w:afterLines="0" w:line="240" w:lineRule="auto"/>
              <w:ind w:left="0" w:leftChars="0" w:right="0" w:rightChars="0" w:firstLine="0" w:firstLineChars="0"/>
              <w:jc w:val="left"/>
              <w:rPr>
                <w:rFonts w:ascii="宋体" w:cs="宋体"/>
                <w:color w:val="000000"/>
                <w:sz w:val="24"/>
              </w:rPr>
            </w:pPr>
          </w:p>
        </w:tc>
      </w:tr>
      <w:tr w14:paraId="6764888E">
        <w:tblPrEx>
          <w:tblCellMar>
            <w:top w:w="0" w:type="dxa"/>
            <w:left w:w="0" w:type="dxa"/>
            <w:bottom w:w="0" w:type="dxa"/>
            <w:right w:w="0" w:type="dxa"/>
          </w:tblCellMar>
        </w:tblPrEx>
        <w:trPr>
          <w:trHeight w:val="347" w:hRule="atLeast"/>
          <w:jc w:val="center"/>
        </w:trPr>
        <w:tc>
          <w:tcPr>
            <w:tcW w:w="908" w:type="dxa"/>
            <w:vMerge w:val="continue"/>
            <w:tcBorders>
              <w:left w:val="single" w:color="000000" w:sz="4" w:space="0"/>
              <w:right w:val="single" w:color="000000" w:sz="4" w:space="0"/>
            </w:tcBorders>
            <w:noWrap w:val="0"/>
            <w:tcMar>
              <w:top w:w="15" w:type="dxa"/>
              <w:left w:w="15" w:type="dxa"/>
              <w:right w:w="15" w:type="dxa"/>
            </w:tcMar>
            <w:vAlign w:val="center"/>
          </w:tcPr>
          <w:p w14:paraId="67007299">
            <w:pPr>
              <w:widowControl/>
              <w:jc w:val="center"/>
              <w:textAlignment w:val="center"/>
              <w:rPr>
                <w:rFonts w:ascii="宋体" w:cs="宋体"/>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C71E0">
            <w:pPr>
              <w:wordWrap/>
              <w:snapToGrid/>
              <w:spacing w:before="0" w:beforeLines="0" w:after="0" w:afterLines="0" w:line="240" w:lineRule="auto"/>
              <w:ind w:left="0" w:leftChars="0" w:right="0" w:rightChars="0" w:firstLine="0" w:firstLineChars="0"/>
              <w:jc w:val="left"/>
              <w:rPr>
                <w:rFonts w:ascii="宋体" w:cs="宋体"/>
                <w:color w:val="000000"/>
                <w:sz w:val="24"/>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C71C5">
            <w:pPr>
              <w:wordWrap/>
              <w:snapToGrid/>
              <w:spacing w:before="0" w:beforeLines="0" w:after="0" w:afterLines="0" w:line="240" w:lineRule="auto"/>
              <w:ind w:left="0" w:leftChars="0" w:right="0" w:rightChars="0" w:firstLine="0" w:firstLineChars="0"/>
              <w:jc w:val="left"/>
              <w:rPr>
                <w:rFonts w:ascii="宋体" w:cs="宋体"/>
                <w:color w:val="000000"/>
                <w:sz w:val="24"/>
              </w:rPr>
            </w:pPr>
          </w:p>
        </w:tc>
        <w:tc>
          <w:tcPr>
            <w:tcW w:w="1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A4B32">
            <w:pPr>
              <w:wordWrap/>
              <w:snapToGrid/>
              <w:spacing w:before="0" w:beforeLines="0" w:after="0" w:afterLines="0" w:line="240" w:lineRule="auto"/>
              <w:ind w:left="0" w:leftChars="0" w:right="0" w:rightChars="0" w:firstLine="0" w:firstLineChars="0"/>
              <w:jc w:val="left"/>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72CDA">
            <w:pPr>
              <w:wordWrap/>
              <w:snapToGrid/>
              <w:spacing w:before="0" w:beforeLines="0" w:after="0" w:afterLines="0" w:line="240" w:lineRule="auto"/>
              <w:ind w:left="0" w:leftChars="0" w:right="0" w:rightChars="0" w:firstLine="0" w:firstLineChars="0"/>
              <w:jc w:val="left"/>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225E7">
            <w:pPr>
              <w:wordWrap/>
              <w:snapToGrid/>
              <w:spacing w:before="0" w:beforeLines="0" w:after="0" w:afterLines="0" w:line="240" w:lineRule="auto"/>
              <w:ind w:left="0" w:leftChars="0" w:right="0" w:rightChars="0" w:firstLine="0" w:firstLineChars="0"/>
              <w:jc w:val="left"/>
              <w:rPr>
                <w:rFonts w:ascii="宋体" w:cs="宋体"/>
                <w:color w:val="000000"/>
                <w:sz w:val="24"/>
              </w:rPr>
            </w:pPr>
          </w:p>
        </w:tc>
      </w:tr>
      <w:tr w14:paraId="6F02BC3E">
        <w:tblPrEx>
          <w:tblCellMar>
            <w:top w:w="0" w:type="dxa"/>
            <w:left w:w="0" w:type="dxa"/>
            <w:bottom w:w="0" w:type="dxa"/>
            <w:right w:w="0" w:type="dxa"/>
          </w:tblCellMar>
        </w:tblPrEx>
        <w:trPr>
          <w:trHeight w:val="767" w:hRule="atLeast"/>
          <w:jc w:val="center"/>
        </w:trPr>
        <w:tc>
          <w:tcPr>
            <w:tcW w:w="908" w:type="dxa"/>
            <w:vMerge w:val="continue"/>
            <w:tcBorders>
              <w:left w:val="single" w:color="000000" w:sz="4" w:space="0"/>
              <w:right w:val="single" w:color="000000" w:sz="4" w:space="0"/>
            </w:tcBorders>
            <w:noWrap w:val="0"/>
            <w:tcMar>
              <w:top w:w="15" w:type="dxa"/>
              <w:left w:w="15" w:type="dxa"/>
              <w:right w:w="15" w:type="dxa"/>
            </w:tcMar>
            <w:vAlign w:val="center"/>
          </w:tcPr>
          <w:p w14:paraId="41C3FD63">
            <w:pPr>
              <w:widowControl/>
              <w:jc w:val="center"/>
              <w:textAlignment w:val="center"/>
              <w:rPr>
                <w:rFonts w:ascii="宋体" w:cs="宋体"/>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697EB">
            <w:pPr>
              <w:wordWrap/>
              <w:snapToGrid/>
              <w:spacing w:before="0" w:beforeLines="0" w:after="0" w:afterLines="0" w:line="240" w:lineRule="auto"/>
              <w:ind w:left="0" w:leftChars="0" w:right="0" w:rightChars="0" w:firstLine="0" w:firstLineChars="0"/>
              <w:jc w:val="left"/>
              <w:rPr>
                <w:rFonts w:ascii="宋体" w:cs="宋体"/>
                <w:color w:val="000000"/>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65DC3">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时效指标</w:t>
            </w:r>
          </w:p>
        </w:tc>
        <w:tc>
          <w:tcPr>
            <w:tcW w:w="1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E468F">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所有放映场次完成时间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363A8">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20</w:t>
            </w:r>
            <w:r>
              <w:rPr>
                <w:rFonts w:hint="eastAsia" w:ascii="宋体" w:hAnsi="宋体" w:cs="宋体"/>
                <w:i w:val="0"/>
                <w:color w:val="000000"/>
                <w:kern w:val="0"/>
                <w:sz w:val="20"/>
                <w:szCs w:val="20"/>
                <w:u w:val="none"/>
                <w:lang w:val="en-US" w:eastAsia="zh-CN"/>
              </w:rPr>
              <w:t>20</w:t>
            </w:r>
            <w:r>
              <w:rPr>
                <w:rFonts w:hint="eastAsia" w:ascii="宋体" w:hAnsi="宋体" w:eastAsia="宋体" w:cs="宋体"/>
                <w:i w:val="0"/>
                <w:color w:val="000000"/>
                <w:kern w:val="0"/>
                <w:sz w:val="20"/>
                <w:szCs w:val="20"/>
                <w:u w:val="none"/>
                <w:lang w:val="en-US" w:eastAsia="zh-CN"/>
              </w:rPr>
              <w:t>年12月30日</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FCAD8">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20</w:t>
            </w:r>
            <w:r>
              <w:rPr>
                <w:rFonts w:hint="eastAsia" w:ascii="宋体" w:hAnsi="宋体" w:cs="宋体"/>
                <w:i w:val="0"/>
                <w:color w:val="000000"/>
                <w:kern w:val="0"/>
                <w:sz w:val="20"/>
                <w:szCs w:val="20"/>
                <w:u w:val="none"/>
                <w:lang w:val="en-US" w:eastAsia="zh-CN"/>
              </w:rPr>
              <w:t>20</w:t>
            </w:r>
            <w:r>
              <w:rPr>
                <w:rFonts w:hint="eastAsia" w:ascii="宋体" w:hAnsi="宋体" w:eastAsia="宋体" w:cs="宋体"/>
                <w:i w:val="0"/>
                <w:color w:val="000000"/>
                <w:kern w:val="0"/>
                <w:sz w:val="20"/>
                <w:szCs w:val="20"/>
                <w:u w:val="none"/>
                <w:lang w:val="en-US" w:eastAsia="zh-CN"/>
              </w:rPr>
              <w:t>年12月</w:t>
            </w:r>
            <w:r>
              <w:rPr>
                <w:rFonts w:hint="eastAsia" w:ascii="宋体" w:hAnsi="宋体" w:cs="宋体"/>
                <w:i w:val="0"/>
                <w:color w:val="000000"/>
                <w:kern w:val="0"/>
                <w:sz w:val="20"/>
                <w:szCs w:val="20"/>
                <w:u w:val="none"/>
                <w:lang w:val="en-US" w:eastAsia="zh-CN"/>
              </w:rPr>
              <w:t>30</w:t>
            </w:r>
            <w:r>
              <w:rPr>
                <w:rFonts w:hint="eastAsia" w:ascii="宋体" w:hAnsi="宋体" w:eastAsia="宋体" w:cs="宋体"/>
                <w:i w:val="0"/>
                <w:color w:val="000000"/>
                <w:kern w:val="0"/>
                <w:sz w:val="20"/>
                <w:szCs w:val="20"/>
                <w:u w:val="none"/>
                <w:lang w:val="en-US" w:eastAsia="zh-CN"/>
              </w:rPr>
              <w:t>日</w:t>
            </w:r>
          </w:p>
        </w:tc>
      </w:tr>
      <w:tr w14:paraId="08096474">
        <w:tblPrEx>
          <w:tblCellMar>
            <w:top w:w="0" w:type="dxa"/>
            <w:left w:w="0" w:type="dxa"/>
            <w:bottom w:w="0" w:type="dxa"/>
            <w:right w:w="0" w:type="dxa"/>
          </w:tblCellMar>
        </w:tblPrEx>
        <w:trPr>
          <w:trHeight w:val="722" w:hRule="atLeast"/>
          <w:jc w:val="center"/>
        </w:trPr>
        <w:tc>
          <w:tcPr>
            <w:tcW w:w="908" w:type="dxa"/>
            <w:vMerge w:val="continue"/>
            <w:tcBorders>
              <w:left w:val="single" w:color="000000" w:sz="4" w:space="0"/>
              <w:right w:val="single" w:color="000000" w:sz="4" w:space="0"/>
            </w:tcBorders>
            <w:noWrap w:val="0"/>
            <w:tcMar>
              <w:top w:w="15" w:type="dxa"/>
              <w:left w:w="15" w:type="dxa"/>
              <w:right w:w="15" w:type="dxa"/>
            </w:tcMar>
            <w:vAlign w:val="center"/>
          </w:tcPr>
          <w:p w14:paraId="5A8F8E29">
            <w:pPr>
              <w:widowControl/>
              <w:jc w:val="center"/>
              <w:textAlignment w:val="center"/>
              <w:rPr>
                <w:rFonts w:ascii="宋体" w:cs="宋体"/>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626F7">
            <w:pPr>
              <w:wordWrap/>
              <w:snapToGrid/>
              <w:spacing w:before="0" w:beforeLines="0" w:after="0" w:afterLines="0" w:line="240" w:lineRule="auto"/>
              <w:ind w:left="0" w:leftChars="0" w:right="0" w:rightChars="0" w:firstLine="0" w:firstLineChars="0"/>
              <w:jc w:val="left"/>
              <w:rPr>
                <w:rFonts w:ascii="宋体" w:cs="宋体"/>
                <w:color w:val="000000"/>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81DC6">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成本指标</w:t>
            </w:r>
          </w:p>
        </w:tc>
        <w:tc>
          <w:tcPr>
            <w:tcW w:w="1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C0869">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场均放映成本不超过</w:t>
            </w:r>
            <w:r>
              <w:rPr>
                <w:rFonts w:hint="eastAsia" w:ascii="宋体" w:hAnsi="宋体" w:cs="宋体"/>
                <w:i w:val="0"/>
                <w:color w:val="000000"/>
                <w:kern w:val="0"/>
                <w:sz w:val="20"/>
                <w:szCs w:val="20"/>
                <w:u w:val="none"/>
                <w:lang w:val="en-US" w:eastAsia="zh-CN"/>
              </w:rPr>
              <w:t>220</w:t>
            </w:r>
            <w:r>
              <w:rPr>
                <w:rFonts w:hint="eastAsia" w:ascii="宋体" w:hAnsi="宋体" w:eastAsia="宋体" w:cs="宋体"/>
                <w:i w:val="0"/>
                <w:color w:val="000000"/>
                <w:kern w:val="0"/>
                <w:sz w:val="20"/>
                <w:szCs w:val="20"/>
                <w:u w:val="none"/>
                <w:lang w:val="en-US" w:eastAsia="zh-CN"/>
              </w:rPr>
              <w:t>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CC8D4">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cs="宋体"/>
                <w:i w:val="0"/>
                <w:color w:val="000000"/>
                <w:kern w:val="0"/>
                <w:sz w:val="20"/>
                <w:szCs w:val="20"/>
                <w:u w:val="none"/>
                <w:lang w:val="en-US" w:eastAsia="zh-CN"/>
              </w:rPr>
              <w:t>220</w:t>
            </w:r>
            <w:r>
              <w:rPr>
                <w:rFonts w:hint="eastAsia" w:ascii="宋体" w:hAnsi="宋体" w:eastAsia="宋体" w:cs="宋体"/>
                <w:i w:val="0"/>
                <w:color w:val="000000"/>
                <w:kern w:val="0"/>
                <w:sz w:val="20"/>
                <w:szCs w:val="20"/>
                <w:u w:val="none"/>
                <w:lang w:val="en-US" w:eastAsia="zh-CN"/>
              </w:rPr>
              <w:t>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CDF63">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cs="宋体"/>
                <w:i w:val="0"/>
                <w:color w:val="000000"/>
                <w:kern w:val="0"/>
                <w:sz w:val="20"/>
                <w:szCs w:val="20"/>
                <w:u w:val="none"/>
                <w:lang w:val="en-US" w:eastAsia="zh-CN"/>
              </w:rPr>
              <w:t>220</w:t>
            </w:r>
            <w:r>
              <w:rPr>
                <w:rFonts w:hint="eastAsia" w:ascii="宋体" w:hAnsi="宋体" w:eastAsia="宋体" w:cs="宋体"/>
                <w:i w:val="0"/>
                <w:color w:val="000000"/>
                <w:kern w:val="0"/>
                <w:sz w:val="20"/>
                <w:szCs w:val="20"/>
                <w:u w:val="none"/>
                <w:lang w:val="en-US" w:eastAsia="zh-CN"/>
              </w:rPr>
              <w:t>元</w:t>
            </w:r>
          </w:p>
        </w:tc>
      </w:tr>
      <w:tr w14:paraId="7FDC2DF6">
        <w:tblPrEx>
          <w:tblCellMar>
            <w:top w:w="0" w:type="dxa"/>
            <w:left w:w="0" w:type="dxa"/>
            <w:bottom w:w="0" w:type="dxa"/>
            <w:right w:w="0" w:type="dxa"/>
          </w:tblCellMar>
        </w:tblPrEx>
        <w:trPr>
          <w:trHeight w:val="722" w:hRule="atLeast"/>
          <w:jc w:val="center"/>
        </w:trPr>
        <w:tc>
          <w:tcPr>
            <w:tcW w:w="908" w:type="dxa"/>
            <w:vMerge w:val="continue"/>
            <w:tcBorders>
              <w:left w:val="single" w:color="000000" w:sz="4" w:space="0"/>
              <w:right w:val="single" w:color="000000" w:sz="4" w:space="0"/>
            </w:tcBorders>
            <w:noWrap w:val="0"/>
            <w:tcMar>
              <w:top w:w="15" w:type="dxa"/>
              <w:left w:w="15" w:type="dxa"/>
              <w:right w:w="15" w:type="dxa"/>
            </w:tcMar>
            <w:vAlign w:val="center"/>
          </w:tcPr>
          <w:p w14:paraId="59DEA24A">
            <w:pPr>
              <w:widowControl/>
              <w:jc w:val="center"/>
              <w:textAlignment w:val="center"/>
              <w:rPr>
                <w:rFonts w:ascii="宋体" w:cs="宋体"/>
                <w:color w:val="000000"/>
                <w:sz w:val="24"/>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150F1">
            <w:pPr>
              <w:widowControl/>
              <w:wordWrap/>
              <w:snapToGrid/>
              <w:spacing w:line="240" w:lineRule="auto"/>
              <w:ind w:left="0" w:leftChars="0" w:right="0" w:rightChars="0" w:firstLine="0" w:firstLineChars="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效</w:t>
            </w:r>
          </w:p>
          <w:p w14:paraId="6243177C">
            <w:pPr>
              <w:widowControl/>
              <w:wordWrap/>
              <w:snapToGrid/>
              <w:spacing w:line="240" w:lineRule="auto"/>
              <w:ind w:left="0" w:leftChars="0" w:right="0" w:rightChars="0" w:firstLine="0" w:firstLineChars="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益</w:t>
            </w:r>
          </w:p>
          <w:p w14:paraId="206CC428">
            <w:pPr>
              <w:widowControl/>
              <w:wordWrap/>
              <w:snapToGrid/>
              <w:spacing w:line="240" w:lineRule="auto"/>
              <w:ind w:left="0" w:leftChars="0" w:right="0" w:rightChars="0" w:firstLine="0" w:firstLineChars="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指</w:t>
            </w:r>
          </w:p>
          <w:p w14:paraId="2713FD0F">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标</w:t>
            </w:r>
          </w:p>
        </w:tc>
        <w:tc>
          <w:tcPr>
            <w:tcW w:w="1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DB614">
            <w:pPr>
              <w:widowControl/>
              <w:wordWrap/>
              <w:snapToGrid/>
              <w:spacing w:line="240" w:lineRule="auto"/>
              <w:ind w:left="0" w:leftChars="0" w:right="0" w:rightChars="0" w:firstLine="0" w:firstLineChars="0"/>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社会效益</w:t>
            </w:r>
          </w:p>
          <w:p w14:paraId="5EFA7349">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指标</w:t>
            </w:r>
          </w:p>
        </w:tc>
        <w:tc>
          <w:tcPr>
            <w:tcW w:w="1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E92D4">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年农村公益电影观影总人次</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9B7EC">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eastAsia="宋体" w:cs="宋体"/>
                <w:i w:val="0"/>
                <w:color w:val="000000"/>
                <w:kern w:val="0"/>
                <w:sz w:val="20"/>
                <w:szCs w:val="20"/>
                <w:u w:val="none"/>
                <w:lang w:val="en-US" w:eastAsia="zh-CN"/>
              </w:rPr>
              <w:t>37800人次</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856BE">
            <w:pPr>
              <w:widowControl/>
              <w:wordWrap/>
              <w:snapToGrid/>
              <w:spacing w:line="240" w:lineRule="auto"/>
              <w:ind w:left="0" w:leftChars="0" w:right="0" w:rightChars="0" w:firstLine="0" w:firstLineChars="0"/>
              <w:jc w:val="left"/>
              <w:textAlignment w:val="center"/>
              <w:rPr>
                <w:rFonts w:ascii="宋体" w:cs="宋体"/>
                <w:color w:val="000000"/>
                <w:sz w:val="24"/>
              </w:rPr>
            </w:pPr>
            <w:r>
              <w:rPr>
                <w:rFonts w:hint="eastAsia" w:ascii="宋体" w:hAnsi="宋体" w:cs="宋体"/>
                <w:i w:val="0"/>
                <w:color w:val="000000"/>
                <w:kern w:val="0"/>
                <w:sz w:val="20"/>
                <w:szCs w:val="20"/>
                <w:u w:val="none"/>
                <w:lang w:val="en-US" w:eastAsia="zh-CN"/>
              </w:rPr>
              <w:t>42234</w:t>
            </w:r>
            <w:r>
              <w:rPr>
                <w:rFonts w:hint="eastAsia" w:ascii="宋体" w:hAnsi="宋体" w:eastAsia="宋体" w:cs="宋体"/>
                <w:i w:val="0"/>
                <w:color w:val="000000"/>
                <w:kern w:val="0"/>
                <w:sz w:val="20"/>
                <w:szCs w:val="20"/>
                <w:u w:val="none"/>
                <w:lang w:val="en-US" w:eastAsia="zh-CN"/>
              </w:rPr>
              <w:t>人次</w:t>
            </w:r>
          </w:p>
        </w:tc>
      </w:tr>
      <w:tr w14:paraId="1CCF77FB">
        <w:tblPrEx>
          <w:tblCellMar>
            <w:top w:w="0" w:type="dxa"/>
            <w:left w:w="0" w:type="dxa"/>
            <w:bottom w:w="0" w:type="dxa"/>
            <w:right w:w="0" w:type="dxa"/>
          </w:tblCellMar>
        </w:tblPrEx>
        <w:trPr>
          <w:trHeight w:val="437" w:hRule="atLeast"/>
          <w:jc w:val="center"/>
        </w:trPr>
        <w:tc>
          <w:tcPr>
            <w:tcW w:w="908" w:type="dxa"/>
            <w:vMerge w:val="continue"/>
            <w:tcBorders>
              <w:left w:val="single" w:color="000000" w:sz="4" w:space="0"/>
              <w:right w:val="single" w:color="000000" w:sz="4" w:space="0"/>
            </w:tcBorders>
            <w:noWrap w:val="0"/>
            <w:tcMar>
              <w:top w:w="15" w:type="dxa"/>
              <w:left w:w="15" w:type="dxa"/>
              <w:right w:w="15" w:type="dxa"/>
            </w:tcMar>
            <w:vAlign w:val="center"/>
          </w:tcPr>
          <w:p w14:paraId="6BE451C1">
            <w:pPr>
              <w:widowControl/>
              <w:jc w:val="center"/>
              <w:textAlignment w:val="center"/>
              <w:rPr>
                <w:rFonts w:ascii="宋体" w:cs="宋体"/>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F3826">
            <w:pPr>
              <w:wordWrap/>
              <w:snapToGrid/>
              <w:spacing w:before="0" w:beforeLines="0" w:after="0" w:afterLines="0" w:line="240" w:lineRule="auto"/>
              <w:ind w:left="0" w:leftChars="0" w:right="0" w:rightChars="0" w:firstLine="0" w:firstLineChars="0"/>
              <w:jc w:val="left"/>
              <w:rPr>
                <w:rFonts w:ascii="宋体" w:cs="宋体"/>
                <w:color w:val="000000"/>
                <w:kern w:val="0"/>
                <w:sz w:val="24"/>
                <w:lang w:bidi="ar"/>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EE368">
            <w:pPr>
              <w:wordWrap/>
              <w:snapToGrid/>
              <w:spacing w:before="0" w:beforeLines="0" w:after="0" w:afterLines="0" w:line="240" w:lineRule="auto"/>
              <w:ind w:left="0" w:leftChars="0" w:right="0" w:rightChars="0" w:firstLine="0" w:firstLineChars="0"/>
              <w:jc w:val="left"/>
              <w:rPr>
                <w:rFonts w:ascii="宋体" w:cs="宋体"/>
                <w:color w:val="000000"/>
                <w:sz w:val="24"/>
              </w:rPr>
            </w:pPr>
          </w:p>
        </w:tc>
        <w:tc>
          <w:tcPr>
            <w:tcW w:w="1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681AA">
            <w:pPr>
              <w:wordWrap/>
              <w:snapToGrid/>
              <w:spacing w:before="0" w:beforeLines="0" w:after="0" w:afterLines="0" w:line="240" w:lineRule="auto"/>
              <w:ind w:left="0" w:leftChars="0" w:right="0" w:rightChars="0" w:firstLine="0" w:firstLineChars="0"/>
              <w:jc w:val="left"/>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5EAD3">
            <w:pPr>
              <w:wordWrap/>
              <w:snapToGrid/>
              <w:spacing w:before="0" w:beforeLines="0" w:after="0" w:afterLines="0" w:line="240" w:lineRule="auto"/>
              <w:ind w:left="0" w:leftChars="0" w:right="0" w:rightChars="0" w:firstLine="0" w:firstLineChars="0"/>
              <w:jc w:val="left"/>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96759">
            <w:pPr>
              <w:wordWrap/>
              <w:snapToGrid/>
              <w:spacing w:before="0" w:beforeLines="0" w:after="0" w:afterLines="0" w:line="240" w:lineRule="auto"/>
              <w:ind w:left="0" w:leftChars="0" w:right="0" w:rightChars="0" w:firstLine="0" w:firstLineChars="0"/>
              <w:jc w:val="left"/>
              <w:rPr>
                <w:rFonts w:ascii="宋体" w:cs="宋体"/>
                <w:color w:val="000000"/>
                <w:sz w:val="24"/>
              </w:rPr>
            </w:pPr>
          </w:p>
        </w:tc>
      </w:tr>
      <w:tr w14:paraId="160970E1">
        <w:tblPrEx>
          <w:tblCellMar>
            <w:top w:w="0" w:type="dxa"/>
            <w:left w:w="0" w:type="dxa"/>
            <w:bottom w:w="0" w:type="dxa"/>
            <w:right w:w="0" w:type="dxa"/>
          </w:tblCellMar>
        </w:tblPrEx>
        <w:trPr>
          <w:trHeight w:val="220" w:hRule="atLeast"/>
          <w:jc w:val="center"/>
        </w:trPr>
        <w:tc>
          <w:tcPr>
            <w:tcW w:w="90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DE5AF5E">
            <w:pPr>
              <w:widowControl/>
              <w:jc w:val="center"/>
              <w:textAlignment w:val="center"/>
              <w:rPr>
                <w:rFonts w:ascii="宋体" w:cs="宋体"/>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2A079">
            <w:pPr>
              <w:wordWrap/>
              <w:snapToGrid/>
              <w:spacing w:before="0" w:beforeLines="0" w:after="0" w:afterLines="0" w:line="240" w:lineRule="auto"/>
              <w:ind w:left="0" w:leftChars="0" w:right="0" w:rightChars="0" w:firstLine="0" w:firstLineChars="0"/>
              <w:jc w:val="left"/>
              <w:rPr>
                <w:rFonts w:ascii="宋体" w:cs="宋体"/>
                <w:color w:val="000000"/>
                <w:sz w:val="24"/>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0E660">
            <w:pPr>
              <w:wordWrap/>
              <w:snapToGrid/>
              <w:spacing w:before="0" w:beforeLines="0" w:after="0" w:afterLines="0" w:line="240" w:lineRule="auto"/>
              <w:ind w:left="0" w:leftChars="0" w:right="0" w:rightChars="0" w:firstLine="0" w:firstLineChars="0"/>
              <w:jc w:val="left"/>
              <w:rPr>
                <w:rFonts w:ascii="宋体" w:cs="宋体"/>
                <w:color w:val="000000"/>
                <w:sz w:val="24"/>
              </w:rPr>
            </w:pPr>
          </w:p>
        </w:tc>
        <w:tc>
          <w:tcPr>
            <w:tcW w:w="1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71E4B">
            <w:pPr>
              <w:wordWrap/>
              <w:snapToGrid/>
              <w:spacing w:before="0" w:beforeLines="0" w:after="0" w:afterLines="0" w:line="240" w:lineRule="auto"/>
              <w:ind w:left="0" w:leftChars="0" w:right="0" w:rightChars="0" w:firstLine="0" w:firstLineChars="0"/>
              <w:jc w:val="left"/>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3B08F">
            <w:pPr>
              <w:wordWrap/>
              <w:snapToGrid/>
              <w:spacing w:before="0" w:beforeLines="0" w:after="0" w:afterLines="0" w:line="240" w:lineRule="auto"/>
              <w:ind w:left="0" w:leftChars="0" w:right="0" w:rightChars="0" w:firstLine="0" w:firstLineChars="0"/>
              <w:jc w:val="left"/>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767C8">
            <w:pPr>
              <w:wordWrap/>
              <w:snapToGrid/>
              <w:spacing w:before="0" w:beforeLines="0" w:after="0" w:afterLines="0" w:line="240" w:lineRule="auto"/>
              <w:ind w:left="0" w:leftChars="0" w:right="0" w:rightChars="0" w:firstLine="0" w:firstLineChars="0"/>
              <w:jc w:val="left"/>
              <w:rPr>
                <w:rFonts w:ascii="宋体" w:cs="宋体"/>
                <w:color w:val="000000"/>
                <w:sz w:val="24"/>
              </w:rPr>
            </w:pPr>
          </w:p>
        </w:tc>
      </w:tr>
    </w:tbl>
    <w:p w14:paraId="2EF8F64B">
      <w:pPr>
        <w:wordWrap/>
        <w:snapToGrid/>
        <w:spacing w:line="240" w:lineRule="auto"/>
        <w:ind w:left="0" w:leftChars="0" w:right="0" w:firstLine="0" w:firstLineChars="0"/>
        <w:jc w:val="left"/>
        <w:rPr>
          <w:rFonts w:ascii="仿宋_GB2312" w:hAnsi="仿宋_GB2312" w:eastAsia="仿宋_GB2312" w:cs="仿宋_GB2312"/>
          <w:sz w:val="32"/>
          <w:szCs w:val="32"/>
        </w:rPr>
      </w:pPr>
    </w:p>
    <w:p w14:paraId="3A02F2B9">
      <w:pPr>
        <w:pStyle w:val="8"/>
      </w:pPr>
    </w:p>
    <w:p w14:paraId="7CF601AF">
      <w:pPr>
        <w:wordWrap/>
        <w:snapToGrid/>
        <w:spacing w:line="240" w:lineRule="auto"/>
        <w:ind w:left="0" w:leftChars="0" w:right="0" w:firstLine="0" w:firstLineChars="0"/>
        <w:jc w:val="left"/>
        <w:rPr>
          <w:rStyle w:val="36"/>
          <w:rFonts w:ascii="黑体" w:hAnsi="黑体" w:eastAsia="黑体"/>
          <w:b w:val="0"/>
        </w:rPr>
      </w:pPr>
      <w:r>
        <w:rPr>
          <w:rStyle w:val="36"/>
          <w:rFonts w:ascii="黑体" w:hAnsi="黑体" w:eastAsia="黑体"/>
          <w:b w:val="0"/>
        </w:rPr>
        <w:br w:type="page"/>
      </w:r>
    </w:p>
    <w:p w14:paraId="780076AF">
      <w:pPr>
        <w:wordWrap/>
        <w:snapToGrid/>
        <w:spacing w:line="240" w:lineRule="auto"/>
        <w:ind w:left="0" w:leftChars="0" w:right="0" w:firstLine="0" w:firstLineChars="0"/>
        <w:jc w:val="left"/>
      </w:pPr>
    </w:p>
    <w:p w14:paraId="01758E6E">
      <w:pPr>
        <w:numPr>
          <w:ilvl w:val="0"/>
          <w:numId w:val="0"/>
        </w:numPr>
        <w:wordWrap/>
        <w:snapToGrid/>
        <w:spacing w:line="240" w:lineRule="auto"/>
        <w:ind w:leftChars="0" w:right="0" w:rightChars="0"/>
        <w:jc w:val="center"/>
        <w:outlineLvl w:val="0"/>
        <w:rPr>
          <w:rStyle w:val="36"/>
          <w:rFonts w:hint="eastAsia" w:ascii="黑体" w:hAnsi="黑体" w:eastAsia="黑体"/>
          <w:b w:val="0"/>
        </w:rPr>
      </w:pPr>
      <w:bookmarkStart w:id="87" w:name="_Toc23953"/>
      <w:bookmarkStart w:id="88" w:name="_Toc15396618"/>
      <w:r>
        <w:rPr>
          <w:rStyle w:val="36"/>
          <w:rFonts w:hint="eastAsia" w:ascii="黑体" w:hAnsi="黑体" w:eastAsia="黑体"/>
          <w:b w:val="0"/>
          <w:lang w:val="en-US" w:eastAsia="zh-CN"/>
        </w:rPr>
        <w:t>第五部分</w:t>
      </w:r>
      <w:r>
        <w:rPr>
          <w:rStyle w:val="36"/>
          <w:rFonts w:hint="eastAsia" w:ascii="黑体" w:hAnsi="黑体" w:eastAsia="黑体"/>
          <w:b w:val="0"/>
        </w:rPr>
        <w:t>附表</w:t>
      </w:r>
      <w:bookmarkEnd w:id="83"/>
      <w:bookmarkEnd w:id="87"/>
      <w:bookmarkEnd w:id="88"/>
    </w:p>
    <w:p w14:paraId="243C4328">
      <w:pPr>
        <w:pStyle w:val="2"/>
        <w:numPr>
          <w:ilvl w:val="0"/>
          <w:numId w:val="0"/>
        </w:numPr>
        <w:ind w:leftChars="0"/>
      </w:pPr>
    </w:p>
    <w:p w14:paraId="5B2AA25A"/>
    <w:p w14:paraId="7AFCB19A">
      <w:pPr>
        <w:rPr>
          <w:rFonts w:hint="eastAsia" w:ascii="方正仿宋_GB2312" w:hAnsi="方正仿宋_GB2312" w:eastAsia="方正仿宋_GB2312" w:cs="方正仿宋_GB2312"/>
          <w:sz w:val="32"/>
          <w:szCs w:val="40"/>
        </w:rPr>
      </w:pPr>
      <w:bookmarkStart w:id="89" w:name="_Toc28799"/>
      <w:bookmarkStart w:id="90" w:name="_Toc15396619"/>
      <w:r>
        <w:rPr>
          <w:rFonts w:hint="eastAsia" w:ascii="方正仿宋_GB2312" w:hAnsi="方正仿宋_GB2312" w:eastAsia="方正仿宋_GB2312" w:cs="方正仿宋_GB2312"/>
          <w:sz w:val="32"/>
          <w:szCs w:val="40"/>
        </w:rPr>
        <w:t>一、收入支出决算总表</w:t>
      </w:r>
      <w:bookmarkEnd w:id="89"/>
      <w:bookmarkEnd w:id="90"/>
    </w:p>
    <w:p w14:paraId="4B9F6D2E">
      <w:pPr>
        <w:rPr>
          <w:rFonts w:hint="eastAsia" w:ascii="方正仿宋_GB2312" w:hAnsi="方正仿宋_GB2312" w:eastAsia="方正仿宋_GB2312" w:cs="方正仿宋_GB2312"/>
          <w:sz w:val="32"/>
          <w:szCs w:val="40"/>
        </w:rPr>
      </w:pPr>
      <w:bookmarkStart w:id="91" w:name="_Toc27095"/>
      <w:bookmarkStart w:id="92" w:name="_Toc15396620"/>
      <w:r>
        <w:rPr>
          <w:rFonts w:hint="eastAsia" w:ascii="方正仿宋_GB2312" w:hAnsi="方正仿宋_GB2312" w:eastAsia="方正仿宋_GB2312" w:cs="方正仿宋_GB2312"/>
          <w:sz w:val="32"/>
          <w:szCs w:val="40"/>
        </w:rPr>
        <w:t>二、收入决算表</w:t>
      </w:r>
      <w:bookmarkEnd w:id="91"/>
      <w:bookmarkEnd w:id="92"/>
    </w:p>
    <w:p w14:paraId="42CD3D5F">
      <w:pPr>
        <w:rPr>
          <w:rFonts w:hint="eastAsia" w:ascii="方正仿宋_GB2312" w:hAnsi="方正仿宋_GB2312" w:eastAsia="方正仿宋_GB2312" w:cs="方正仿宋_GB2312"/>
          <w:sz w:val="32"/>
          <w:szCs w:val="40"/>
        </w:rPr>
      </w:pPr>
      <w:bookmarkStart w:id="93" w:name="_Toc29207"/>
      <w:bookmarkStart w:id="94" w:name="_Toc15396621"/>
      <w:r>
        <w:rPr>
          <w:rFonts w:hint="eastAsia" w:ascii="方正仿宋_GB2312" w:hAnsi="方正仿宋_GB2312" w:eastAsia="方正仿宋_GB2312" w:cs="方正仿宋_GB2312"/>
          <w:sz w:val="32"/>
          <w:szCs w:val="40"/>
        </w:rPr>
        <w:t>三、支出决算表</w:t>
      </w:r>
      <w:bookmarkEnd w:id="93"/>
      <w:bookmarkEnd w:id="94"/>
    </w:p>
    <w:p w14:paraId="057DED57">
      <w:pPr>
        <w:rPr>
          <w:rFonts w:hint="eastAsia" w:ascii="方正仿宋_GB2312" w:hAnsi="方正仿宋_GB2312" w:eastAsia="方正仿宋_GB2312" w:cs="方正仿宋_GB2312"/>
          <w:sz w:val="32"/>
          <w:szCs w:val="40"/>
        </w:rPr>
      </w:pPr>
      <w:bookmarkStart w:id="95" w:name="_Toc15396622"/>
      <w:bookmarkStart w:id="96" w:name="_Toc7280"/>
      <w:r>
        <w:rPr>
          <w:rFonts w:hint="eastAsia" w:ascii="方正仿宋_GB2312" w:hAnsi="方正仿宋_GB2312" w:eastAsia="方正仿宋_GB2312" w:cs="方正仿宋_GB2312"/>
          <w:sz w:val="32"/>
          <w:szCs w:val="40"/>
        </w:rPr>
        <w:t>四、财政拨款收入支出决算总表</w:t>
      </w:r>
      <w:bookmarkEnd w:id="95"/>
      <w:bookmarkEnd w:id="96"/>
    </w:p>
    <w:p w14:paraId="48711730">
      <w:pPr>
        <w:rPr>
          <w:rFonts w:hint="eastAsia" w:ascii="方正仿宋_GB2312" w:hAnsi="方正仿宋_GB2312" w:eastAsia="方正仿宋_GB2312" w:cs="方正仿宋_GB2312"/>
          <w:sz w:val="32"/>
          <w:szCs w:val="40"/>
        </w:rPr>
      </w:pPr>
      <w:bookmarkStart w:id="97" w:name="_Toc15396623"/>
      <w:bookmarkStart w:id="98" w:name="_Toc13383"/>
      <w:r>
        <w:rPr>
          <w:rFonts w:hint="eastAsia" w:ascii="方正仿宋_GB2312" w:hAnsi="方正仿宋_GB2312" w:eastAsia="方正仿宋_GB2312" w:cs="方正仿宋_GB2312"/>
          <w:sz w:val="32"/>
          <w:szCs w:val="40"/>
        </w:rPr>
        <w:t>五、财政拨款支出决算明细表</w:t>
      </w:r>
      <w:bookmarkEnd w:id="97"/>
      <w:bookmarkEnd w:id="98"/>
      <w:bookmarkStart w:id="99" w:name="_Toc15396624"/>
    </w:p>
    <w:p w14:paraId="3A7520B2">
      <w:pPr>
        <w:rPr>
          <w:rFonts w:hint="eastAsia" w:ascii="方正仿宋_GB2312" w:hAnsi="方正仿宋_GB2312" w:eastAsia="方正仿宋_GB2312" w:cs="方正仿宋_GB2312"/>
          <w:sz w:val="32"/>
          <w:szCs w:val="40"/>
        </w:rPr>
      </w:pPr>
      <w:bookmarkStart w:id="100" w:name="_Toc18318"/>
      <w:r>
        <w:rPr>
          <w:rFonts w:hint="eastAsia" w:ascii="方正仿宋_GB2312" w:hAnsi="方正仿宋_GB2312" w:eastAsia="方正仿宋_GB2312" w:cs="方正仿宋_GB2312"/>
          <w:sz w:val="32"/>
          <w:szCs w:val="40"/>
        </w:rPr>
        <w:t>六、一般公共预算财政拨款支出决算表</w:t>
      </w:r>
      <w:bookmarkEnd w:id="99"/>
      <w:bookmarkEnd w:id="100"/>
    </w:p>
    <w:p w14:paraId="36C80B0A">
      <w:pPr>
        <w:rPr>
          <w:rFonts w:hint="eastAsia" w:ascii="方正仿宋_GB2312" w:hAnsi="方正仿宋_GB2312" w:eastAsia="方正仿宋_GB2312" w:cs="方正仿宋_GB2312"/>
          <w:sz w:val="32"/>
          <w:szCs w:val="40"/>
        </w:rPr>
      </w:pPr>
      <w:bookmarkStart w:id="101" w:name="_Toc15396625"/>
      <w:bookmarkStart w:id="102" w:name="_Toc24322"/>
      <w:r>
        <w:rPr>
          <w:rFonts w:hint="eastAsia" w:ascii="方正仿宋_GB2312" w:hAnsi="方正仿宋_GB2312" w:eastAsia="方正仿宋_GB2312" w:cs="方正仿宋_GB2312"/>
          <w:sz w:val="32"/>
          <w:szCs w:val="40"/>
        </w:rPr>
        <w:t>七、一般公共预算财政拨款支出决算明细表</w:t>
      </w:r>
      <w:bookmarkEnd w:id="101"/>
      <w:bookmarkEnd w:id="102"/>
    </w:p>
    <w:p w14:paraId="7FFCBB74">
      <w:pPr>
        <w:rPr>
          <w:rFonts w:hint="eastAsia" w:ascii="方正仿宋_GB2312" w:hAnsi="方正仿宋_GB2312" w:eastAsia="方正仿宋_GB2312" w:cs="方正仿宋_GB2312"/>
          <w:sz w:val="32"/>
          <w:szCs w:val="40"/>
        </w:rPr>
      </w:pPr>
      <w:bookmarkStart w:id="103" w:name="_Toc15396626"/>
      <w:bookmarkStart w:id="104" w:name="_Toc16313"/>
      <w:r>
        <w:rPr>
          <w:rFonts w:hint="eastAsia" w:ascii="方正仿宋_GB2312" w:hAnsi="方正仿宋_GB2312" w:eastAsia="方正仿宋_GB2312" w:cs="方正仿宋_GB2312"/>
          <w:sz w:val="32"/>
          <w:szCs w:val="40"/>
        </w:rPr>
        <w:t>八、一般公共预算财政拨款基本支出决算表</w:t>
      </w:r>
      <w:bookmarkEnd w:id="103"/>
      <w:bookmarkEnd w:id="104"/>
    </w:p>
    <w:p w14:paraId="322F56BF">
      <w:pPr>
        <w:rPr>
          <w:rFonts w:hint="eastAsia" w:ascii="方正仿宋_GB2312" w:hAnsi="方正仿宋_GB2312" w:eastAsia="方正仿宋_GB2312" w:cs="方正仿宋_GB2312"/>
          <w:sz w:val="32"/>
          <w:szCs w:val="40"/>
        </w:rPr>
      </w:pPr>
      <w:bookmarkStart w:id="105" w:name="_Toc15396627"/>
      <w:bookmarkStart w:id="106" w:name="_Toc6030"/>
      <w:r>
        <w:rPr>
          <w:rFonts w:hint="eastAsia" w:ascii="方正仿宋_GB2312" w:hAnsi="方正仿宋_GB2312" w:eastAsia="方正仿宋_GB2312" w:cs="方正仿宋_GB2312"/>
          <w:sz w:val="32"/>
          <w:szCs w:val="40"/>
        </w:rPr>
        <w:t>九、一般公共预算财政拨款项目支出决算表</w:t>
      </w:r>
      <w:bookmarkEnd w:id="105"/>
      <w:bookmarkEnd w:id="106"/>
    </w:p>
    <w:p w14:paraId="38A0DC4B">
      <w:pPr>
        <w:rPr>
          <w:rFonts w:hint="eastAsia" w:ascii="方正仿宋_GB2312" w:hAnsi="方正仿宋_GB2312" w:eastAsia="方正仿宋_GB2312" w:cs="方正仿宋_GB2312"/>
          <w:sz w:val="32"/>
          <w:szCs w:val="40"/>
        </w:rPr>
      </w:pPr>
      <w:bookmarkStart w:id="107" w:name="_Toc5267"/>
      <w:bookmarkStart w:id="108" w:name="_Toc15396628"/>
      <w:r>
        <w:rPr>
          <w:rFonts w:hint="eastAsia" w:ascii="方正仿宋_GB2312" w:hAnsi="方正仿宋_GB2312" w:eastAsia="方正仿宋_GB2312" w:cs="方正仿宋_GB2312"/>
          <w:sz w:val="32"/>
          <w:szCs w:val="40"/>
        </w:rPr>
        <w:t>十、一般公共预算财政拨款“三公”经费支出决算表</w:t>
      </w:r>
      <w:bookmarkEnd w:id="107"/>
      <w:bookmarkEnd w:id="108"/>
    </w:p>
    <w:p w14:paraId="6F9D913B">
      <w:pPr>
        <w:rPr>
          <w:rFonts w:hint="eastAsia" w:ascii="方正仿宋_GB2312" w:hAnsi="方正仿宋_GB2312" w:eastAsia="方正仿宋_GB2312" w:cs="方正仿宋_GB2312"/>
          <w:sz w:val="32"/>
          <w:szCs w:val="40"/>
        </w:rPr>
      </w:pPr>
      <w:bookmarkStart w:id="109" w:name="_Toc15396629"/>
      <w:bookmarkStart w:id="110" w:name="_Toc30893"/>
      <w:r>
        <w:rPr>
          <w:rFonts w:hint="eastAsia" w:ascii="方正仿宋_GB2312" w:hAnsi="方正仿宋_GB2312" w:eastAsia="方正仿宋_GB2312" w:cs="方正仿宋_GB2312"/>
          <w:sz w:val="32"/>
          <w:szCs w:val="40"/>
        </w:rPr>
        <w:t>十一、政府性基金预算财政拨款收入支出决算表</w:t>
      </w:r>
      <w:bookmarkEnd w:id="109"/>
      <w:bookmarkEnd w:id="110"/>
    </w:p>
    <w:p w14:paraId="176D5A53">
      <w:pPr>
        <w:rPr>
          <w:rFonts w:hint="eastAsia" w:ascii="方正仿宋_GB2312" w:hAnsi="方正仿宋_GB2312" w:eastAsia="方正仿宋_GB2312" w:cs="方正仿宋_GB2312"/>
          <w:sz w:val="32"/>
          <w:szCs w:val="40"/>
        </w:rPr>
      </w:pPr>
      <w:bookmarkStart w:id="111" w:name="_Toc15396630"/>
      <w:bookmarkStart w:id="112" w:name="_Toc16596"/>
      <w:r>
        <w:rPr>
          <w:rFonts w:hint="eastAsia" w:ascii="方正仿宋_GB2312" w:hAnsi="方正仿宋_GB2312" w:eastAsia="方正仿宋_GB2312" w:cs="方正仿宋_GB2312"/>
          <w:sz w:val="32"/>
          <w:szCs w:val="40"/>
        </w:rPr>
        <w:t>十二、政府性基金预算财政拨款“三公”经费支出决算表</w:t>
      </w:r>
      <w:bookmarkEnd w:id="111"/>
      <w:bookmarkEnd w:id="112"/>
    </w:p>
    <w:p w14:paraId="1F632AB8">
      <w:pPr>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十三</w:t>
      </w:r>
      <w:r>
        <w:rPr>
          <w:rFonts w:hint="eastAsia" w:ascii="方正仿宋_GB2312" w:hAnsi="方正仿宋_GB2312" w:eastAsia="方正仿宋_GB2312" w:cs="方正仿宋_GB2312"/>
          <w:sz w:val="32"/>
          <w:szCs w:val="40"/>
          <w:lang w:eastAsia="zh-CN"/>
        </w:rPr>
        <w:t>、</w:t>
      </w:r>
      <w:r>
        <w:rPr>
          <w:rFonts w:hint="eastAsia" w:ascii="方正仿宋_GB2312" w:hAnsi="方正仿宋_GB2312" w:eastAsia="方正仿宋_GB2312" w:cs="方正仿宋_GB2312"/>
          <w:sz w:val="32"/>
          <w:szCs w:val="40"/>
        </w:rPr>
        <w:t>国有资本经营预算财政拨款</w:t>
      </w:r>
      <w:r>
        <w:rPr>
          <w:rFonts w:hint="eastAsia" w:ascii="方正仿宋_GB2312" w:hAnsi="方正仿宋_GB2312" w:eastAsia="方正仿宋_GB2312" w:cs="方正仿宋_GB2312"/>
          <w:sz w:val="32"/>
          <w:szCs w:val="40"/>
          <w:lang w:eastAsia="zh-CN"/>
        </w:rPr>
        <w:t>收入</w:t>
      </w:r>
      <w:r>
        <w:rPr>
          <w:rFonts w:hint="eastAsia" w:ascii="方正仿宋_GB2312" w:hAnsi="方正仿宋_GB2312" w:eastAsia="方正仿宋_GB2312" w:cs="方正仿宋_GB2312"/>
          <w:sz w:val="32"/>
          <w:szCs w:val="40"/>
        </w:rPr>
        <w:t>支出决算表</w:t>
      </w:r>
    </w:p>
    <w:p w14:paraId="7AD0C8DA">
      <w:pPr>
        <w:rPr>
          <w:rFonts w:hint="eastAsia" w:ascii="方正仿宋_GB2312" w:hAnsi="方正仿宋_GB2312" w:eastAsia="方正仿宋_GB2312" w:cs="方正仿宋_GB2312"/>
          <w:sz w:val="32"/>
          <w:szCs w:val="40"/>
        </w:rPr>
      </w:pPr>
      <w:bookmarkStart w:id="113" w:name="_Toc15396631"/>
      <w:bookmarkStart w:id="114" w:name="_Toc14637"/>
      <w:r>
        <w:rPr>
          <w:rFonts w:hint="eastAsia" w:ascii="方正仿宋_GB2312" w:hAnsi="方正仿宋_GB2312" w:eastAsia="方正仿宋_GB2312" w:cs="方正仿宋_GB2312"/>
          <w:sz w:val="32"/>
          <w:szCs w:val="40"/>
        </w:rPr>
        <w:t>十</w:t>
      </w:r>
      <w:r>
        <w:rPr>
          <w:rFonts w:hint="eastAsia" w:ascii="方正仿宋_GB2312" w:hAnsi="方正仿宋_GB2312" w:eastAsia="方正仿宋_GB2312" w:cs="方正仿宋_GB2312"/>
          <w:sz w:val="32"/>
          <w:szCs w:val="40"/>
          <w:lang w:val="en-US" w:eastAsia="zh-CN"/>
        </w:rPr>
        <w:t>四</w:t>
      </w:r>
      <w:r>
        <w:rPr>
          <w:rFonts w:hint="eastAsia" w:ascii="方正仿宋_GB2312" w:hAnsi="方正仿宋_GB2312" w:eastAsia="方正仿宋_GB2312" w:cs="方正仿宋_GB2312"/>
          <w:sz w:val="32"/>
          <w:szCs w:val="40"/>
        </w:rPr>
        <w:t>、国有资本经营预算支出决算表</w:t>
      </w:r>
      <w:bookmarkEnd w:id="113"/>
      <w:bookmarkEnd w:id="114"/>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5B55FA-5C8B-426A-937A-D34406C1C2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16A93C1F-0CC3-4B87-9433-78B4BDD3CF40}"/>
  </w:font>
  <w:font w:name="仿宋">
    <w:panose1 w:val="02010609060101010101"/>
    <w:charset w:val="86"/>
    <w:family w:val="auto"/>
    <w:pitch w:val="default"/>
    <w:sig w:usb0="800002BF" w:usb1="38CF7CFA" w:usb2="00000016" w:usb3="00000000" w:csb0="00040001" w:csb1="00000000"/>
    <w:embedRegular r:id="rId3" w:fontKey="{7F298350-A402-4EAC-9F92-21C18C92DC4F}"/>
  </w:font>
  <w:font w:name="方正小标宋简体">
    <w:panose1 w:val="02000000000000000000"/>
    <w:charset w:val="86"/>
    <w:family w:val="auto"/>
    <w:pitch w:val="default"/>
    <w:sig w:usb0="00000001" w:usb1="08000000" w:usb2="00000000" w:usb3="00000000" w:csb0="00040000" w:csb1="00000000"/>
    <w:embedRegular r:id="rId4" w:fontKey="{D2C5B932-3698-449C-91AD-F704DFF083D9}"/>
  </w:font>
  <w:font w:name="方正仿宋_GB2312">
    <w:panose1 w:val="02000000000000000000"/>
    <w:charset w:val="86"/>
    <w:family w:val="auto"/>
    <w:pitch w:val="default"/>
    <w:sig w:usb0="A00002BF" w:usb1="184F6CFA" w:usb2="00000012" w:usb3="00000000" w:csb0="00040001" w:csb1="00000000"/>
    <w:embedRegular r:id="rId5" w:fontKey="{AE641C82-8535-4D5A-BF31-636B9F20A58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6F898">
    <w:pPr>
      <w:pStyle w:val="12"/>
      <w:jc w:val="center"/>
    </w:pPr>
    <w:r>
      <w:fldChar w:fldCharType="begin"/>
    </w:r>
    <w:r>
      <w:instrText xml:space="preserve">PAGE   \* MERGEFORMAT</w:instrText>
    </w:r>
    <w:r>
      <w:fldChar w:fldCharType="separate"/>
    </w:r>
    <w:r>
      <w:rPr>
        <w:lang w:val="zh-CN"/>
      </w:rPr>
      <w:t>24</w:t>
    </w:r>
    <w:r>
      <w:fldChar w:fldCharType="end"/>
    </w:r>
  </w:p>
  <w:p w14:paraId="07D0809A">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FD8F9">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E7689"/>
    <w:multiLevelType w:val="singleLevel"/>
    <w:tmpl w:val="E27E7689"/>
    <w:lvl w:ilvl="0" w:tentative="0">
      <w:start w:val="2"/>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DYxMjQ5MTVjYmUzYWNmNzcwOGZiZTQzNTQ0Mj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2E7F"/>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D435DF0"/>
    <w:rsid w:val="0F746B1B"/>
    <w:rsid w:val="10C055FF"/>
    <w:rsid w:val="135C4F22"/>
    <w:rsid w:val="16A14F4D"/>
    <w:rsid w:val="16BB723D"/>
    <w:rsid w:val="172B41FD"/>
    <w:rsid w:val="1E2B0D38"/>
    <w:rsid w:val="1EAE3606"/>
    <w:rsid w:val="234523E3"/>
    <w:rsid w:val="240371BF"/>
    <w:rsid w:val="25C0755D"/>
    <w:rsid w:val="29FD04D3"/>
    <w:rsid w:val="2E3445EA"/>
    <w:rsid w:val="319F7F4E"/>
    <w:rsid w:val="35340A5F"/>
    <w:rsid w:val="35604029"/>
    <w:rsid w:val="35765E7D"/>
    <w:rsid w:val="36303BCE"/>
    <w:rsid w:val="3FCD33B5"/>
    <w:rsid w:val="41B11F42"/>
    <w:rsid w:val="429D054C"/>
    <w:rsid w:val="446A1670"/>
    <w:rsid w:val="4B446A80"/>
    <w:rsid w:val="4C6D3096"/>
    <w:rsid w:val="4ECE2238"/>
    <w:rsid w:val="5D4B53F4"/>
    <w:rsid w:val="5FAC28E9"/>
    <w:rsid w:val="69671F94"/>
    <w:rsid w:val="70B06D01"/>
    <w:rsid w:val="72734D90"/>
    <w:rsid w:val="735212C4"/>
    <w:rsid w:val="73DE7475"/>
    <w:rsid w:val="74BB4393"/>
    <w:rsid w:val="77917E47"/>
    <w:rsid w:val="7C1F1332"/>
    <w:rsid w:val="7C9C466D"/>
    <w:rsid w:val="7E8E545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2"/>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6">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qFormat/>
    <w:uiPriority w:val="99"/>
    <w:pPr>
      <w:ind w:left="420" w:leftChars="200"/>
    </w:pPr>
  </w:style>
  <w:style w:type="paragraph" w:styleId="7">
    <w:name w:val="annotation text"/>
    <w:basedOn w:val="1"/>
    <w:unhideWhenUsed/>
    <w:qFormat/>
    <w:uiPriority w:val="99"/>
    <w:pPr>
      <w:jc w:val="left"/>
    </w:pPr>
  </w:style>
  <w:style w:type="paragraph" w:styleId="8">
    <w:name w:val="Salutation"/>
    <w:basedOn w:val="1"/>
    <w:next w:val="1"/>
    <w:qFormat/>
    <w:uiPriority w:val="99"/>
  </w:style>
  <w:style w:type="paragraph" w:styleId="9">
    <w:name w:val="Body Text"/>
    <w:basedOn w:val="1"/>
    <w:link w:val="35"/>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8"/>
    <w:unhideWhenUsed/>
    <w:qFormat/>
    <w:uiPriority w:val="99"/>
    <w:rPr>
      <w:sz w:val="18"/>
      <w:szCs w:val="18"/>
    </w:rPr>
  </w:style>
  <w:style w:type="paragraph" w:styleId="12">
    <w:name w:val="footer"/>
    <w:basedOn w:val="1"/>
    <w:link w:val="33"/>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qFormat/>
    <w:uiPriority w:val="99"/>
    <w:pPr>
      <w:ind w:left="200" w:leftChars="200" w:hanging="200" w:hangingChars="200"/>
    </w:p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character" w:styleId="20">
    <w:name w:val="Strong"/>
    <w:basedOn w:val="19"/>
    <w:qFormat/>
    <w:uiPriority w:val="99"/>
    <w:rPr>
      <w:b/>
    </w:rPr>
  </w:style>
  <w:style w:type="character" w:styleId="21">
    <w:name w:val="Emphasis"/>
    <w:basedOn w:val="19"/>
    <w:qFormat/>
    <w:uiPriority w:val="20"/>
    <w:rPr>
      <w:i/>
    </w:rPr>
  </w:style>
  <w:style w:type="character" w:styleId="22">
    <w:name w:val="Hyperlink"/>
    <w:basedOn w:val="19"/>
    <w:unhideWhenUsed/>
    <w:qFormat/>
    <w:uiPriority w:val="99"/>
    <w:rPr>
      <w:color w:val="0000FF"/>
      <w:u w:val="single"/>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paragraph" w:customStyle="1" w:styleId="25">
    <w:name w:val="TOC 标题1"/>
    <w:basedOn w:val="4"/>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6">
    <w:name w:val="TOC Heading"/>
    <w:basedOn w:val="4"/>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7">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8">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29">
    <w:name w:val="WPSOffice手动目录 3"/>
    <w:qFormat/>
    <w:uiPriority w:val="0"/>
    <w:pPr>
      <w:ind w:leftChars="400"/>
    </w:pPr>
    <w:rPr>
      <w:rFonts w:ascii="Times New Roman" w:hAnsi="Times New Roman" w:eastAsia="宋体" w:cs="Times New Roman"/>
      <w:sz w:val="20"/>
      <w:szCs w:val="20"/>
      <w:lang w:val="en-US" w:eastAsia="zh-CN" w:bidi="ar-SA"/>
    </w:rPr>
  </w:style>
  <w:style w:type="character" w:customStyle="1" w:styleId="30">
    <w:name w:val="Header Char"/>
    <w:basedOn w:val="19"/>
    <w:semiHidden/>
    <w:qFormat/>
    <w:uiPriority w:val="99"/>
    <w:rPr>
      <w:rFonts w:ascii="Times New Roman" w:hAnsi="Times New Roman"/>
      <w:sz w:val="18"/>
      <w:szCs w:val="18"/>
    </w:rPr>
  </w:style>
  <w:style w:type="character" w:customStyle="1" w:styleId="31">
    <w:name w:val="页眉 Char"/>
    <w:link w:val="13"/>
    <w:semiHidden/>
    <w:qFormat/>
    <w:locked/>
    <w:uiPriority w:val="99"/>
    <w:rPr>
      <w:sz w:val="18"/>
    </w:rPr>
  </w:style>
  <w:style w:type="character" w:customStyle="1" w:styleId="32">
    <w:name w:val="Footer Char"/>
    <w:basedOn w:val="19"/>
    <w:semiHidden/>
    <w:qFormat/>
    <w:uiPriority w:val="99"/>
    <w:rPr>
      <w:rFonts w:ascii="Times New Roman" w:hAnsi="Times New Roman"/>
      <w:sz w:val="18"/>
      <w:szCs w:val="18"/>
    </w:rPr>
  </w:style>
  <w:style w:type="character" w:customStyle="1" w:styleId="33">
    <w:name w:val="页脚 Char"/>
    <w:link w:val="12"/>
    <w:qFormat/>
    <w:locked/>
    <w:uiPriority w:val="99"/>
    <w:rPr>
      <w:sz w:val="18"/>
    </w:rPr>
  </w:style>
  <w:style w:type="character" w:customStyle="1" w:styleId="34">
    <w:name w:val="Body Text Char"/>
    <w:basedOn w:val="19"/>
    <w:semiHidden/>
    <w:qFormat/>
    <w:uiPriority w:val="99"/>
    <w:rPr>
      <w:rFonts w:ascii="Times New Roman" w:hAnsi="Times New Roman"/>
      <w:szCs w:val="24"/>
    </w:rPr>
  </w:style>
  <w:style w:type="character" w:customStyle="1" w:styleId="35">
    <w:name w:val="正文文本 Char"/>
    <w:link w:val="9"/>
    <w:qFormat/>
    <w:locked/>
    <w:uiPriority w:val="99"/>
    <w:rPr>
      <w:rFonts w:ascii="仿宋_GB2312" w:hAnsi="Times New Roman" w:eastAsia="仿宋_GB2312"/>
      <w:sz w:val="24"/>
    </w:rPr>
  </w:style>
  <w:style w:type="character" w:customStyle="1" w:styleId="36">
    <w:name w:val="标题 1 Char"/>
    <w:basedOn w:val="19"/>
    <w:link w:val="4"/>
    <w:qFormat/>
    <w:uiPriority w:val="9"/>
    <w:rPr>
      <w:rFonts w:ascii="Times New Roman" w:hAnsi="Times New Roman"/>
      <w:b/>
      <w:bCs/>
      <w:kern w:val="44"/>
      <w:sz w:val="44"/>
      <w:szCs w:val="44"/>
    </w:rPr>
  </w:style>
  <w:style w:type="character" w:customStyle="1" w:styleId="37">
    <w:name w:val="标题 2 Char"/>
    <w:basedOn w:val="19"/>
    <w:link w:val="5"/>
    <w:qFormat/>
    <w:uiPriority w:val="9"/>
    <w:rPr>
      <w:rFonts w:ascii="Cambria" w:hAnsi="Cambria" w:eastAsia="宋体" w:cs="黑体"/>
      <w:b/>
      <w:bCs/>
      <w:kern w:val="2"/>
      <w:sz w:val="32"/>
      <w:szCs w:val="32"/>
    </w:rPr>
  </w:style>
  <w:style w:type="character" w:customStyle="1" w:styleId="38">
    <w:name w:val="批注框文本 Char"/>
    <w:basedOn w:val="19"/>
    <w:link w:val="11"/>
    <w:semiHidden/>
    <w:qFormat/>
    <w:uiPriority w:val="99"/>
    <w:rPr>
      <w:rFonts w:ascii="Times New Roman" w:hAnsi="Times New Roman"/>
      <w:kern w:val="2"/>
      <w:sz w:val="18"/>
      <w:szCs w:val="18"/>
    </w:rPr>
  </w:style>
  <w:style w:type="character" w:customStyle="1" w:styleId="39">
    <w:name w:val="标题 3 Char"/>
    <w:basedOn w:val="19"/>
    <w:link w:val="6"/>
    <w:qFormat/>
    <w:uiPriority w:val="9"/>
    <w:rPr>
      <w:rFonts w:ascii="Times New Roman" w:hAnsi="Times New Roman"/>
      <w:b/>
      <w:bCs/>
      <w:kern w:val="2"/>
      <w:sz w:val="32"/>
      <w:szCs w:val="32"/>
    </w:rPr>
  </w:style>
  <w:style w:type="character" w:customStyle="1" w:styleId="40">
    <w:name w:val="font11"/>
    <w:basedOn w:val="19"/>
    <w:qFormat/>
    <w:uiPriority w:val="0"/>
    <w:rPr>
      <w:rFonts w:hint="eastAsia" w:ascii="宋体" w:hAnsi="宋体" w:eastAsia="宋体" w:cs="宋体"/>
      <w:color w:val="000000"/>
      <w:sz w:val="20"/>
      <w:szCs w:val="20"/>
      <w:u w:val="none"/>
    </w:rPr>
  </w:style>
  <w:style w:type="character" w:customStyle="1" w:styleId="41">
    <w:name w:val="font81"/>
    <w:basedOn w:val="19"/>
    <w:qFormat/>
    <w:uiPriority w:val="0"/>
    <w:rPr>
      <w:rFonts w:hint="eastAsia" w:ascii="宋体" w:hAnsi="宋体" w:eastAsia="宋体" w:cs="宋体"/>
      <w:color w:val="000000"/>
      <w:sz w:val="18"/>
      <w:szCs w:val="18"/>
      <w:u w:val="none"/>
    </w:rPr>
  </w:style>
  <w:style w:type="character" w:customStyle="1" w:styleId="42">
    <w:name w:val=" Char Char5"/>
    <w:basedOn w:val="19"/>
    <w:link w:val="5"/>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3.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收、支总计</c:v>
                </c:pt>
              </c:strCache>
            </c:strRef>
          </c:cat>
          <c:val>
            <c:numRef>
              <c:extLst>
                <c:ext xmlns:c15="http://schemas.microsoft.com/office/drawing/2012/chart" uri="{02D57815-91ED-43cb-92C2-25804820EDAC}">
                  <c15:fullRef>
                    <c15:sqref>Sheet1!$B$2:$B$5</c15:sqref>
                  </c15:fullRef>
                </c:ext>
              </c:extLst>
              <c:f>Sheet1!$B$2</c:f>
              <c:numCache>
                <c:formatCode>General</c:formatCode>
                <c:ptCount val="1"/>
                <c:pt idx="0">
                  <c:v>464.29</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收、支总计</c:v>
                </c:pt>
              </c:strCache>
            </c:strRef>
          </c:cat>
          <c:val>
            <c:numRef>
              <c:extLst>
                <c:ext xmlns:c15="http://schemas.microsoft.com/office/drawing/2012/chart" uri="{02D57815-91ED-43cb-92C2-25804820EDAC}">
                  <c15:fullRef>
                    <c15:sqref>Sheet1!$C$2:$C$5</c15:sqref>
                  </c15:fullRef>
                </c:ext>
              </c:extLst>
              <c:f>Sheet1!$C$2</c:f>
              <c:numCache>
                <c:formatCode>General</c:formatCode>
                <c:ptCount val="1"/>
                <c:pt idx="0">
                  <c:v>612.04</c:v>
                </c:pt>
              </c:numCache>
            </c:numRef>
          </c:val>
        </c:ser>
        <c:dLbls>
          <c:showLegendKey val="0"/>
          <c:showVal val="1"/>
          <c:showCatName val="0"/>
          <c:showSerName val="0"/>
          <c:showPercent val="0"/>
          <c:showBubbleSize val="0"/>
        </c:dLbls>
        <c:gapWidth val="219"/>
        <c:overlap val="-27"/>
        <c:axId val="31673197"/>
        <c:axId val="196465019"/>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c15:sqref>
                        </c15:formulaRef>
                      </c:ext>
                    </c:extLst>
                    <c:strCache>
                      <c:ptCount val="1"/>
                      <c:pt idx="0">
                        <c:v>收、支总计</c:v>
                      </c:pt>
                    </c:strCache>
                  </c:strRef>
                </c:cat>
              </c15:ser>
            </c15:filteredBarSeries>
          </c:ext>
        </c:extLst>
      </c:barChart>
      <c:catAx>
        <c:axId val="31673197"/>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6465019"/>
        <c:crosses val="autoZero"/>
        <c:auto val="1"/>
        <c:lblAlgn val="ctr"/>
        <c:lblOffset val="100"/>
        <c:noMultiLvlLbl val="0"/>
      </c:catAx>
      <c:valAx>
        <c:axId val="1964650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67319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f71bd04-ab90-48bb-9098-6f65006668e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2020年本年收入（万元）</c:v>
                </c:pt>
              </c:strCache>
            </c:strRef>
          </c:tx>
          <c:spPr>
            <a:ln w="15875">
              <a:solidFill>
                <a:schemeClr val="bg1"/>
              </a:solidFill>
            </a:ln>
            <a:effectLst>
              <a:outerShdw blurRad="63500" sx="102000" sy="102000" algn="ctr" rotWithShape="0">
                <a:schemeClr val="bg1"/>
              </a:outerShdw>
            </a:effectLst>
          </c:spPr>
          <c:explosion val="0"/>
          <c:dPt>
            <c:idx val="0"/>
            <c:bubble3D val="0"/>
            <c:spPr>
              <a:solidFill>
                <a:srgbClr val="72C901"/>
              </a:solidFill>
              <a:ln w="15875">
                <a:solidFill>
                  <a:schemeClr val="bg1"/>
                </a:solidFill>
              </a:ln>
              <a:effectLst>
                <a:outerShdw blurRad="63500" sx="102000" sy="102000" algn="ctr" rotWithShape="0">
                  <a:schemeClr val="bg1"/>
                </a:outerShdw>
              </a:effectLst>
            </c:spPr>
          </c:dPt>
          <c:dPt>
            <c:idx val="1"/>
            <c:bubble3D val="0"/>
            <c:spPr>
              <a:solidFill>
                <a:srgbClr val="04949E"/>
              </a:solidFill>
              <a:ln w="15875">
                <a:solidFill>
                  <a:schemeClr val="bg1"/>
                </a:solidFill>
              </a:ln>
              <a:effectLst>
                <a:outerShdw blurRad="63500" sx="102000" sy="102000" algn="ctr" rotWithShape="0">
                  <a:schemeClr val="bg1"/>
                </a:outerShdw>
              </a:effectLst>
            </c:spPr>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pitchFamily="34" charset="-122"/>
                    <a:ea typeface="微软雅黑" panose="020B0503020204020204" pitchFamily="34" charset="-122"/>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608.7</c:v>
                </c:pt>
                <c:pt idx="1">
                  <c:v>3.32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mn-cs"/>
            </a:defRPr>
          </a:pPr>
        </a:p>
      </c:txPr>
    </c:legend>
    <c:plotVisOnly val="0"/>
    <c:dispBlanksAs val="gap"/>
    <c:showDLblsOverMax val="0"/>
    <c:extLst>
      <c:ext uri="{0b15fc19-7d7d-44ad-8c2d-2c3a37ce22c3}">
        <chartProps xmlns="https://web.wps.cn/et/2018/main" chartId="{600c33a4-878c-4937-b358-ee005a601f27}"/>
      </c:ext>
    </c:extLst>
  </c:chart>
  <c:spPr>
    <a:noFill/>
    <a:ln w="9525" cap="flat" cmpd="sng" algn="ctr">
      <a:noFill/>
      <a:round/>
    </a:ln>
    <a:effectLst>
      <a:outerShdw blurRad="63500" dist="37357" dir="2700000" sx="0" sy="0" rotWithShape="0">
        <a:scrgbClr r="0" g="0" b="0"/>
      </a:outerShdw>
    </a:effectLst>
  </c:spPr>
  <c:txPr>
    <a:bodyPr/>
    <a:lstStyle/>
    <a:p>
      <a:pPr>
        <a:defRPr lang="zh-CN">
          <a:latin typeface="微软雅黑" panose="020B0503020204020204" pitchFamily="34" charset="-122"/>
          <a:ea typeface="微软雅黑" panose="020B0503020204020204" pitchFamily="3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2020年本年支出</c:v>
                </c:pt>
              </c:strCache>
            </c:strRef>
          </c:tx>
          <c:spPr>
            <a:ln w="15875">
              <a:solidFill>
                <a:schemeClr val="bg1"/>
              </a:solidFill>
            </a:ln>
            <a:effectLst>
              <a:outerShdw blurRad="63500" sx="102000" sy="102000" algn="ctr" rotWithShape="0">
                <a:schemeClr val="bg1"/>
              </a:outerShdw>
            </a:effectLst>
          </c:spPr>
          <c:explosion val="0"/>
          <c:dPt>
            <c:idx val="0"/>
            <c:bubble3D val="0"/>
            <c:spPr>
              <a:solidFill>
                <a:srgbClr val="72C901"/>
              </a:solidFill>
              <a:ln w="15875">
                <a:solidFill>
                  <a:schemeClr val="bg1"/>
                </a:solidFill>
              </a:ln>
              <a:effectLst>
                <a:outerShdw blurRad="63500" sx="102000" sy="102000" algn="ctr" rotWithShape="0">
                  <a:schemeClr val="bg1"/>
                </a:outerShdw>
              </a:effectLst>
            </c:spPr>
          </c:dPt>
          <c:dPt>
            <c:idx val="1"/>
            <c:bubble3D val="0"/>
            <c:spPr>
              <a:solidFill>
                <a:srgbClr val="04949E"/>
              </a:solidFill>
              <a:ln w="15875">
                <a:solidFill>
                  <a:schemeClr val="bg1"/>
                </a:solidFill>
              </a:ln>
              <a:effectLst>
                <a:outerShdw blurRad="63500" sx="102000" sy="102000" algn="ctr" rotWithShape="0">
                  <a:schemeClr val="bg1"/>
                </a:outerShdw>
              </a:effectLst>
            </c:spPr>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pitchFamily="34" charset="-122"/>
                    <a:ea typeface="微软雅黑" panose="020B0503020204020204" pitchFamily="34" charset="-122"/>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547.82</c:v>
                </c:pt>
                <c:pt idx="1">
                  <c:v>64.22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mn-cs"/>
            </a:defRPr>
          </a:pPr>
        </a:p>
      </c:txPr>
    </c:legend>
    <c:plotVisOnly val="0"/>
    <c:dispBlanksAs val="gap"/>
    <c:showDLblsOverMax val="0"/>
    <c:extLst>
      <c:ext uri="{0b15fc19-7d7d-44ad-8c2d-2c3a37ce22c3}">
        <chartProps xmlns="https://web.wps.cn/et/2018/main" chartId="{066a2789-06b0-445d-bffa-8d82784a2b1e}"/>
      </c:ext>
    </c:extLst>
  </c:chart>
  <c:spPr>
    <a:noFill/>
    <a:ln w="9525" cap="flat" cmpd="sng" algn="ctr">
      <a:noFill/>
      <a:round/>
    </a:ln>
    <a:effectLst>
      <a:outerShdw blurRad="63500" dist="37357" dir="2700000" sx="0" sy="0" rotWithShape="0">
        <a:scrgbClr r="0" g="0" b="0"/>
      </a:outerShdw>
    </a:effectLst>
  </c:spPr>
  <c:txPr>
    <a:bodyPr/>
    <a:lstStyle/>
    <a:p>
      <a:pPr>
        <a:defRPr lang="zh-CN">
          <a:latin typeface="微软雅黑" panose="020B0503020204020204" pitchFamily="34" charset="-122"/>
          <a:ea typeface="微软雅黑" panose="020B0503020204020204" pitchFamily="3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收、支总计</c:v>
                </c:pt>
              </c:strCache>
            </c:strRef>
          </c:cat>
          <c:val>
            <c:numRef>
              <c:extLst>
                <c:ext xmlns:c15="http://schemas.microsoft.com/office/drawing/2012/chart" uri="{02D57815-91ED-43cb-92C2-25804820EDAC}">
                  <c15:fullRef>
                    <c15:sqref>Sheet1!$B$2:$B$5</c15:sqref>
                  </c15:fullRef>
                </c:ext>
              </c:extLst>
              <c:f>Sheet1!$B$2</c:f>
              <c:numCache>
                <c:formatCode>General</c:formatCode>
                <c:ptCount val="1"/>
                <c:pt idx="0">
                  <c:v>464.29</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收、支总计</c:v>
                </c:pt>
              </c:strCache>
            </c:strRef>
          </c:cat>
          <c:val>
            <c:numRef>
              <c:extLst>
                <c:ext xmlns:c15="http://schemas.microsoft.com/office/drawing/2012/chart" uri="{02D57815-91ED-43cb-92C2-25804820EDAC}">
                  <c15:fullRef>
                    <c15:sqref>Sheet1!$C$2:$C$5</c15:sqref>
                  </c15:fullRef>
                </c:ext>
              </c:extLst>
              <c:f>Sheet1!$C$2</c:f>
              <c:numCache>
                <c:formatCode>General</c:formatCode>
                <c:ptCount val="1"/>
                <c:pt idx="0">
                  <c:v>612.04</c:v>
                </c:pt>
              </c:numCache>
            </c:numRef>
          </c:val>
        </c:ser>
        <c:dLbls>
          <c:showLegendKey val="0"/>
          <c:showVal val="1"/>
          <c:showCatName val="0"/>
          <c:showSerName val="0"/>
          <c:showPercent val="0"/>
          <c:showBubbleSize val="0"/>
        </c:dLbls>
        <c:gapWidth val="219"/>
        <c:overlap val="-27"/>
        <c:axId val="31673197"/>
        <c:axId val="196465019"/>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c15:sqref>
                        </c15:formulaRef>
                      </c:ext>
                    </c:extLst>
                    <c:strCache>
                      <c:ptCount val="1"/>
                      <c:pt idx="0">
                        <c:v>收、支总计</c:v>
                      </c:pt>
                    </c:strCache>
                  </c:strRef>
                </c:cat>
              </c15:ser>
            </c15:filteredBarSeries>
          </c:ext>
        </c:extLst>
      </c:barChart>
      <c:catAx>
        <c:axId val="31673197"/>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6465019"/>
        <c:crosses val="autoZero"/>
        <c:auto val="1"/>
        <c:lblAlgn val="ctr"/>
        <c:lblOffset val="100"/>
        <c:noMultiLvlLbl val="0"/>
      </c:catAx>
      <c:valAx>
        <c:axId val="1964650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67319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2ec89fa-7c4f-471a-af76-6adadce9380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2020年本年支出</c:v>
                </c:pt>
              </c:strCache>
            </c:strRef>
          </c:tx>
          <c:spPr>
            <a:ln w="15875">
              <a:solidFill>
                <a:schemeClr val="bg1"/>
              </a:solidFill>
            </a:ln>
            <a:effectLst>
              <a:outerShdw blurRad="63500" sx="102000" sy="102000" algn="ctr" rotWithShape="0">
                <a:schemeClr val="bg1"/>
              </a:outerShdw>
            </a:effectLst>
          </c:spPr>
          <c:explosion val="0"/>
          <c:dPt>
            <c:idx val="0"/>
            <c:bubble3D val="0"/>
            <c:spPr>
              <a:solidFill>
                <a:srgbClr val="72C901"/>
              </a:solidFill>
              <a:ln w="15875">
                <a:solidFill>
                  <a:schemeClr val="bg1"/>
                </a:solidFill>
              </a:ln>
              <a:effectLst>
                <a:outerShdw blurRad="63500" sx="102000" sy="102000" algn="ctr" rotWithShape="0">
                  <a:schemeClr val="bg1"/>
                </a:outerShdw>
              </a:effectLst>
            </c:spPr>
          </c:dPt>
          <c:dPt>
            <c:idx val="1"/>
            <c:bubble3D val="0"/>
            <c:spPr>
              <a:solidFill>
                <a:srgbClr val="04949E"/>
              </a:solidFill>
              <a:ln w="15875">
                <a:solidFill>
                  <a:schemeClr val="bg1"/>
                </a:solidFill>
              </a:ln>
              <a:effectLst>
                <a:outerShdw blurRad="63500" sx="102000" sy="102000" algn="ctr" rotWithShape="0">
                  <a:schemeClr val="bg1"/>
                </a:outerShdw>
              </a:effectLst>
            </c:spPr>
          </c:dPt>
          <c:dPt>
            <c:idx val="2"/>
            <c:bubble3D val="0"/>
            <c:spPr>
              <a:solidFill>
                <a:srgbClr val="EEB801"/>
              </a:solidFill>
              <a:ln w="15875">
                <a:solidFill>
                  <a:schemeClr val="bg1"/>
                </a:solidFill>
              </a:ln>
              <a:effectLst>
                <a:outerShdw blurRad="63500" sx="102000" sy="102000" algn="ctr" rotWithShape="0">
                  <a:schemeClr val="bg1"/>
                </a:outerShdw>
              </a:effectLst>
            </c:spPr>
          </c:dPt>
          <c:dPt>
            <c:idx val="3"/>
            <c:bubble3D val="0"/>
            <c:spPr>
              <a:solidFill>
                <a:srgbClr val="F66112"/>
              </a:solidFill>
              <a:ln w="15875">
                <a:solidFill>
                  <a:schemeClr val="bg1"/>
                </a:solidFill>
              </a:ln>
              <a:effectLst>
                <a:outerShdw blurRad="63500" sx="102000" sy="102000" algn="ctr" rotWithShape="0">
                  <a:schemeClr val="bg1"/>
                </a:outerShdw>
              </a:effectLst>
            </c:spPr>
          </c:dPt>
          <c:dPt>
            <c:idx val="4"/>
            <c:bubble3D val="0"/>
            <c:spPr>
              <a:solidFill>
                <a:schemeClr val="accent5"/>
              </a:solidFill>
              <a:ln w="15875">
                <a:solidFill>
                  <a:schemeClr val="bg1"/>
                </a:solidFill>
              </a:ln>
              <a:effectLst>
                <a:outerShdw blurRad="63500" sx="102000" sy="102000" algn="ctr" rotWithShape="0">
                  <a:schemeClr val="bg1"/>
                </a:outerShdw>
              </a:effectLst>
            </c:spPr>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pitchFamily="34" charset="-122"/>
                    <a:ea typeface="微软雅黑" panose="020B0503020204020204" pitchFamily="34" charset="-122"/>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一般公共服务（类）支出</c:v>
                </c:pt>
                <c:pt idx="1">
                  <c:v>文化旅游体育与传媒（类）支出</c:v>
                </c:pt>
                <c:pt idx="2">
                  <c:v>社会保障和就业（类）支出</c:v>
                </c:pt>
                <c:pt idx="3">
                  <c:v>卫生健康支出</c:v>
                </c:pt>
                <c:pt idx="4">
                  <c:v>住房保障支出</c:v>
                </c:pt>
              </c:strCache>
            </c:strRef>
          </c:cat>
          <c:val>
            <c:numRef>
              <c:f>Sheet1!$B$2:$B$6</c:f>
              <c:numCache>
                <c:formatCode>General</c:formatCode>
                <c:ptCount val="5"/>
                <c:pt idx="0">
                  <c:v>485.454</c:v>
                </c:pt>
                <c:pt idx="1">
                  <c:v>67.22</c:v>
                </c:pt>
                <c:pt idx="2">
                  <c:v>25.01</c:v>
                </c:pt>
                <c:pt idx="3">
                  <c:v>11.21</c:v>
                </c:pt>
                <c:pt idx="4">
                  <c:v>23.15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mn-cs"/>
            </a:defRPr>
          </a:pPr>
        </a:p>
      </c:txPr>
    </c:legend>
    <c:plotVisOnly val="0"/>
    <c:dispBlanksAs val="gap"/>
    <c:showDLblsOverMax val="0"/>
    <c:extLst>
      <c:ext uri="{0b15fc19-7d7d-44ad-8c2d-2c3a37ce22c3}">
        <chartProps xmlns="https://web.wps.cn/et/2018/main" chartId="{cbfbb9b8-42f0-4e62-8f5d-3ea44a229c8c}"/>
      </c:ext>
    </c:extLst>
  </c:chart>
  <c:spPr>
    <a:noFill/>
    <a:ln w="9525" cap="flat" cmpd="sng" algn="ctr">
      <a:noFill/>
      <a:round/>
    </a:ln>
    <a:effectLst>
      <a:outerShdw blurRad="63500" dist="37357" dir="2700000" sx="0" sy="0" rotWithShape="0">
        <a:scrgbClr r="0" g="0" b="0"/>
      </a:outerShdw>
    </a:effectLst>
  </c:spPr>
  <c:txPr>
    <a:bodyPr/>
    <a:lstStyle/>
    <a:p>
      <a:pPr>
        <a:defRPr lang="zh-CN">
          <a:latin typeface="微软雅黑" panose="020B0503020204020204" pitchFamily="34" charset="-122"/>
          <a:ea typeface="微软雅黑" panose="020B0503020204020204" pitchFamily="3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四川省财政厅</Company>
  <Pages>38</Pages>
  <Words>7916</Words>
  <Characters>8267</Characters>
  <Lines>7</Lines>
  <Paragraphs>17</Paragraphs>
  <TotalTime>30</TotalTime>
  <ScaleCrop>false</ScaleCrop>
  <LinksUpToDate>false</LinksUpToDate>
  <CharactersWithSpaces>8336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2020-11-13T01:42:00Z</cp:lastPrinted>
  <dcterms:modified xsi:type="dcterms:W3CDTF">2024-12-23T08:30:12Z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9EBCB2AE1CFC461B8CDAB861C594BFF4</vt:lpwstr>
  </property>
  <property fmtid="{D5CDD505-2E9C-101B-9397-08002B2CF9AE}" pid="4" name="KSOTemplateDocerSaveRecord">
    <vt:lpwstr>eyJoZGlkIjoiMGVhYTg4NGNkZWJkODFjNzcyZDRjM2M4Y2UzNjI5ZmUiLCJ1c2VySWQiOiI2MTE2MzEwMDYifQ==</vt:lpwstr>
  </property>
</Properties>
</file>