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Times New Roman" w:hAnsi="Times New Roman" w:eastAsia="方正小标宋简体" w:cs="Times New Roman"/>
          <w:color w:val="auto"/>
          <w:sz w:val="72"/>
          <w:szCs w:val="72"/>
          <w:highlight w:val="none"/>
          <w:lang w:val="en-US" w:eastAsia="zh-CN"/>
        </w:rPr>
      </w:pPr>
      <w:bookmarkStart w:id="0" w:name="_Toc15306267"/>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bookmarkStart w:id="1" w:name="_Toc15378441"/>
      <w:bookmarkStart w:id="2" w:name="_Toc15377193"/>
      <w:bookmarkStart w:id="3" w:name="_Toc1960"/>
      <w:bookmarkStart w:id="4" w:name="_Toc15377425"/>
      <w:bookmarkStart w:id="5" w:name="_Toc15396597"/>
      <w:bookmarkStart w:id="6" w:name="_Toc15396475"/>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21</w:t>
      </w:r>
      <w:r>
        <w:rPr>
          <w:rFonts w:hint="default" w:ascii="Times New Roman" w:hAnsi="Times New Roman" w:eastAsia="方正小标宋简体" w:cs="Times New Roman"/>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bookmarkStart w:id="7" w:name="_Toc15378442"/>
      <w:bookmarkStart w:id="8" w:name="_Toc15377426"/>
      <w:bookmarkStart w:id="9" w:name="_Toc15377194"/>
      <w:bookmarkStart w:id="10" w:name="_Toc15396476"/>
      <w:bookmarkStart w:id="11" w:name="_Toc15396598"/>
      <w:bookmarkStart w:id="12" w:name="_Toc20128"/>
      <w:r>
        <w:rPr>
          <w:rFonts w:hint="default" w:ascii="Times New Roman" w:hAnsi="Times New Roman" w:eastAsia="方正小标宋简体" w:cs="Times New Roman"/>
          <w:color w:val="auto"/>
          <w:sz w:val="72"/>
          <w:szCs w:val="72"/>
          <w:highlight w:val="none"/>
        </w:rPr>
        <w:t>四川省</w:t>
      </w:r>
      <w:bookmarkEnd w:id="0"/>
      <w:bookmarkStart w:id="13" w:name="_Toc15306268"/>
      <w:r>
        <w:rPr>
          <w:rFonts w:hint="default" w:ascii="Times New Roman" w:hAnsi="Times New Roman" w:eastAsia="方正小标宋简体" w:cs="Times New Roman"/>
          <w:color w:val="000000"/>
          <w:sz w:val="72"/>
          <w:szCs w:val="72"/>
          <w:lang w:val="en-US" w:eastAsia="zh-CN"/>
        </w:rPr>
        <w:t>广元市昭化区人民政府办公室</w:t>
      </w:r>
      <w:r>
        <w:rPr>
          <w:rFonts w:hint="default" w:ascii="Times New Roman" w:hAnsi="Times New Roman" w:eastAsia="方正小标宋简体" w:cs="Times New Roman"/>
          <w:color w:val="auto"/>
          <w:sz w:val="72"/>
          <w:szCs w:val="72"/>
          <w:highlight w:val="none"/>
        </w:rPr>
        <w:t>决算</w:t>
      </w:r>
      <w:bookmarkEnd w:id="7"/>
      <w:bookmarkEnd w:id="8"/>
      <w:bookmarkEnd w:id="9"/>
      <w:bookmarkEnd w:id="10"/>
      <w:bookmarkEnd w:id="11"/>
      <w:bookmarkEnd w:id="12"/>
      <w:bookmarkEnd w:id="13"/>
    </w:p>
    <w:p>
      <w:pPr>
        <w:pStyle w:val="10"/>
        <w:keepNext w:val="0"/>
        <w:keepLines w:val="0"/>
        <w:pageBreakBefore w:val="0"/>
        <w:widowControl w:val="0"/>
        <w:tabs>
          <w:tab w:val="right" w:leader="dot" w:pos="8306"/>
          <w:tab w:val="clear" w:pos="8296"/>
        </w:tabs>
        <w:kinsoku/>
        <w:wordWrap/>
        <w:overflowPunct/>
        <w:topLinePunct w:val="0"/>
        <w:bidi w:val="0"/>
        <w:snapToGrid/>
        <w:spacing w:before="0" w:line="576" w:lineRule="exact"/>
        <w:ind w:left="0" w:leftChars="0"/>
        <w:textAlignment w:val="auto"/>
        <w:rPr>
          <w:rFonts w:hint="default" w:ascii="Times New Roman" w:hAnsi="Times New Roman" w:eastAsia="黑体" w:cs="Times New Roman"/>
          <w:color w:val="auto"/>
          <w:sz w:val="48"/>
          <w:szCs w:val="48"/>
          <w:highlight w:val="none"/>
          <w:lang w:val="en-US" w:eastAsia="zh-CN"/>
        </w:rPr>
      </w:pPr>
      <w:r>
        <w:rPr>
          <w:rFonts w:hint="default" w:ascii="Times New Roman" w:hAnsi="Times New Roman" w:eastAsia="方正小标宋简体" w:cs="Times New Roman"/>
          <w:color w:val="auto"/>
          <w:sz w:val="36"/>
          <w:szCs w:val="36"/>
          <w:highlight w:val="none"/>
        </w:rPr>
        <w:br w:type="page"/>
      </w:r>
      <w:bookmarkStart w:id="14" w:name="_Toc15377196"/>
      <w:bookmarkStart w:id="15" w:name="_Toc15396599"/>
    </w:p>
    <w:sdt>
      <w:sdtPr>
        <w:rPr>
          <w:rFonts w:hint="default" w:ascii="Times New Roman" w:hAnsi="Times New Roman" w:eastAsia="方正小标宋简体" w:cs="Times New Roman"/>
          <w:kern w:val="2"/>
          <w:sz w:val="44"/>
          <w:szCs w:val="44"/>
          <w:lang w:val="en-US" w:eastAsia="zh-CN" w:bidi="ar-SA"/>
        </w:rPr>
        <w:id w:val="147466940"/>
        <w15:color w:val="DBDBDB"/>
        <w:docPartObj>
          <w:docPartGallery w:val="Table of Contents"/>
          <w:docPartUnique/>
        </w:docPartObj>
      </w:sdtPr>
      <w:sdtEndPr>
        <w:rPr>
          <w:rFonts w:hint="default" w:ascii="Times New Roman" w:hAnsi="Times New Roman" w:eastAsia="方正小标宋简体"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bookmarkStart w:id="109" w:name="_GoBack"/>
          <w:bookmarkEnd w:id="109"/>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pPr>
            <w:pStyle w:val="33"/>
            <w:tabs>
              <w:tab w:val="right" w:leader="dot" w:pos="830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p>
        <w:p>
          <w:pPr>
            <w:pStyle w:val="33"/>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_Toc22787 </w:instrText>
          </w:r>
          <w:r>
            <w:rPr>
              <w:rFonts w:hint="default" w:ascii="Times New Roman" w:hAnsi="Times New Roman" w:cs="Times New Roman"/>
              <w:b/>
              <w:sz w:val="24"/>
              <w:szCs w:val="24"/>
            </w:rPr>
            <w:fldChar w:fldCharType="separate"/>
          </w:r>
          <w:r>
            <w:rPr>
              <w:rFonts w:hint="default" w:ascii="Times New Roman" w:hAnsi="Times New Roman" w:eastAsia="黑体" w:cs="Times New Roman"/>
              <w:b/>
              <w:sz w:val="24"/>
              <w:szCs w:val="24"/>
              <w:highlight w:val="none"/>
            </w:rPr>
            <w:t xml:space="preserve">第一部分 </w:t>
          </w:r>
          <w:r>
            <w:rPr>
              <w:rFonts w:hint="default" w:ascii="Times New Roman" w:hAnsi="Times New Roman" w:eastAsia="黑体" w:cs="Times New Roman"/>
              <w:b/>
              <w:sz w:val="24"/>
              <w:szCs w:val="24"/>
              <w:highlight w:val="none"/>
              <w:lang w:eastAsia="zh-CN"/>
            </w:rPr>
            <w:t>单位</w:t>
          </w:r>
          <w:r>
            <w:rPr>
              <w:rFonts w:hint="default" w:ascii="Times New Roman" w:hAnsi="Times New Roman" w:eastAsia="黑体" w:cs="Times New Roman"/>
              <w:b/>
              <w:bCs w:val="0"/>
              <w:sz w:val="24"/>
              <w:szCs w:val="24"/>
              <w:highlight w:val="none"/>
            </w:rPr>
            <w:t>概况</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_Toc22787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_Toc24341 </w:instrText>
          </w:r>
          <w:r>
            <w:rPr>
              <w:rFonts w:hint="default" w:ascii="Times New Roman" w:hAnsi="Times New Roman" w:cs="Times New Roman"/>
              <w:sz w:val="24"/>
              <w:szCs w:val="24"/>
            </w:rPr>
            <w:fldChar w:fldCharType="separate"/>
          </w:r>
          <w:r>
            <w:rPr>
              <w:rFonts w:hint="default" w:ascii="Times New Roman" w:hAnsi="Times New Roman" w:eastAsia="黑体" w:cs="Times New Roman"/>
              <w:bCs w:val="0"/>
              <w:sz w:val="24"/>
              <w:szCs w:val="24"/>
              <w:lang w:eastAsia="zh-CN"/>
            </w:rPr>
            <w:t xml:space="preserve">一、 </w:t>
          </w:r>
          <w:r>
            <w:rPr>
              <w:rFonts w:hint="default" w:ascii="Times New Roman" w:hAnsi="Times New Roman" w:eastAsia="黑体" w:cs="Times New Roman"/>
              <w:bCs w:val="0"/>
              <w:sz w:val="24"/>
              <w:szCs w:val="24"/>
              <w:highlight w:val="none"/>
            </w:rPr>
            <w:t>职能</w:t>
          </w:r>
          <w:r>
            <w:rPr>
              <w:rFonts w:hint="default" w:ascii="Times New Roman" w:hAnsi="Times New Roman" w:eastAsia="黑体" w:cs="Times New Roman"/>
              <w:bCs w:val="0"/>
              <w:sz w:val="24"/>
              <w:szCs w:val="24"/>
              <w:highlight w:val="none"/>
              <w:lang w:eastAsia="zh-CN"/>
            </w:rPr>
            <w:t>简介</w:t>
          </w:r>
          <w:r>
            <w:rPr>
              <w:rFonts w:hint="eastAsia" w:eastAsia="黑体" w:cs="Times New Roman"/>
              <w:bCs w:val="0"/>
              <w:sz w:val="24"/>
              <w:szCs w:val="24"/>
              <w:highlight w:val="none"/>
              <w:lang w:val="en-US" w:eastAsia="zh-CN"/>
            </w:rPr>
            <w:t>及机构设置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_Toc24341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_Toc20478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highlight w:val="none"/>
              <w:lang w:val="en-US" w:eastAsia="zh-CN"/>
            </w:rPr>
            <w:t>二、2021年重点</w:t>
          </w:r>
          <w:r>
            <w:rPr>
              <w:rFonts w:hint="default" w:ascii="Times New Roman" w:hAnsi="Times New Roman" w:eastAsia="黑体" w:cs="Times New Roman"/>
              <w:sz w:val="24"/>
              <w:szCs w:val="24"/>
              <w:highlight w:val="none"/>
            </w:rPr>
            <w:t>工作</w:t>
          </w:r>
          <w:r>
            <w:rPr>
              <w:rFonts w:hint="default" w:ascii="Times New Roman" w:hAnsi="Times New Roman" w:eastAsia="黑体" w:cs="Times New Roman"/>
              <w:sz w:val="24"/>
              <w:szCs w:val="24"/>
              <w:highlight w:val="none"/>
              <w:lang w:eastAsia="zh-CN"/>
            </w:rPr>
            <w:t>完成情况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_Toc20478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3"/>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_Toc27610 </w:instrText>
          </w:r>
          <w:r>
            <w:rPr>
              <w:rFonts w:hint="default" w:ascii="Times New Roman" w:hAnsi="Times New Roman" w:cs="Times New Roman"/>
              <w:b/>
              <w:sz w:val="24"/>
              <w:szCs w:val="24"/>
            </w:rPr>
            <w:fldChar w:fldCharType="separate"/>
          </w:r>
          <w:r>
            <w:rPr>
              <w:rFonts w:hint="default" w:ascii="Times New Roman" w:hAnsi="Times New Roman" w:eastAsia="黑体" w:cs="Times New Roman"/>
              <w:b/>
              <w:bCs/>
              <w:sz w:val="24"/>
              <w:szCs w:val="24"/>
              <w:highlight w:val="none"/>
            </w:rPr>
            <w:t xml:space="preserve">第二部分 </w:t>
          </w:r>
          <w:r>
            <w:rPr>
              <w:rFonts w:hint="default" w:ascii="Times New Roman" w:hAnsi="Times New Roman" w:eastAsia="黑体" w:cs="Times New Roman"/>
              <w:b/>
              <w:bCs/>
              <w:sz w:val="24"/>
              <w:szCs w:val="24"/>
              <w:highlight w:val="none"/>
              <w:lang w:val="en-US" w:eastAsia="zh-CN"/>
            </w:rPr>
            <w:t>2021年度</w:t>
          </w:r>
          <w:r>
            <w:rPr>
              <w:rFonts w:hint="default" w:ascii="Times New Roman" w:hAnsi="Times New Roman" w:eastAsia="黑体" w:cs="Times New Roman"/>
              <w:b/>
              <w:bCs/>
              <w:sz w:val="24"/>
              <w:szCs w:val="24"/>
              <w:highlight w:val="none"/>
              <w:lang w:eastAsia="zh-CN"/>
            </w:rPr>
            <w:t>单位</w:t>
          </w:r>
          <w:r>
            <w:rPr>
              <w:rFonts w:hint="default" w:ascii="Times New Roman" w:hAnsi="Times New Roman" w:eastAsia="黑体" w:cs="Times New Roman"/>
              <w:b/>
              <w:bCs/>
              <w:sz w:val="24"/>
              <w:szCs w:val="24"/>
              <w:highlight w:val="none"/>
            </w:rPr>
            <w:t>决算情况说明</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_Toc27610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_Toc9388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rPr>
            <w:t xml:space="preserve">一、 </w:t>
          </w:r>
          <w:r>
            <w:rPr>
              <w:rFonts w:hint="default" w:ascii="Times New Roman" w:hAnsi="Times New Roman" w:eastAsia="黑体" w:cs="Times New Roman"/>
              <w:sz w:val="24"/>
              <w:szCs w:val="24"/>
              <w:highlight w:val="none"/>
            </w:rPr>
            <w:t>收入支出决算总体情况说明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_Toc9388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_Toc3185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rPr>
            <w:t xml:space="preserve">二、 </w:t>
          </w:r>
          <w:r>
            <w:rPr>
              <w:rFonts w:hint="default" w:ascii="Times New Roman" w:hAnsi="Times New Roman" w:eastAsia="黑体" w:cs="Times New Roman"/>
              <w:sz w:val="24"/>
              <w:szCs w:val="24"/>
              <w:highlight w:val="none"/>
            </w:rPr>
            <w:t>收入决算情况说明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_Toc32507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rPr>
            <w:t xml:space="preserve">三、 </w:t>
          </w:r>
          <w:r>
            <w:rPr>
              <w:rFonts w:hint="default" w:ascii="Times New Roman" w:hAnsi="Times New Roman" w:eastAsia="黑体" w:cs="Times New Roman"/>
              <w:sz w:val="24"/>
              <w:szCs w:val="24"/>
              <w:highlight w:val="none"/>
            </w:rPr>
            <w:t>支出决算情况说明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_Toc32507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_Toc922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highlight w:val="none"/>
            </w:rPr>
            <w:t>四、财政拨款收入支出决算总体情况说明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_Toc27142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highlight w:val="none"/>
            </w:rPr>
            <w:t>五、一般公共预算财政拨款支出决算情况说明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_Toc27142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_Toc10037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highlight w:val="none"/>
            </w:rPr>
            <w:t>六、一般公共预算财政拨款基本支出决算情况说明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_Toc10037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_Toc2351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highlight w:val="none"/>
            </w:rPr>
            <w:t>七、“三公”经费财政拨款支出决算情况说明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_Toc25435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highlight w:val="none"/>
            </w:rPr>
            <w:t>八、政府性基金预算支出决算情况说明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_Toc25435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_Toc3451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rPr>
            <w:t xml:space="preserve">九、 </w:t>
          </w:r>
          <w:r>
            <w:rPr>
              <w:rFonts w:hint="default" w:ascii="Times New Roman" w:hAnsi="Times New Roman" w:eastAsia="黑体" w:cs="Times New Roman"/>
              <w:sz w:val="24"/>
              <w:szCs w:val="24"/>
              <w:highlight w:val="none"/>
            </w:rPr>
            <w:t>国有资本经营预算支出决算情况说明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_Toc3451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_Toc31329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rPr>
            <w:t xml:space="preserve">十、 </w:t>
          </w:r>
          <w:r>
            <w:rPr>
              <w:rFonts w:hint="default" w:ascii="Times New Roman" w:hAnsi="Times New Roman" w:eastAsia="黑体" w:cs="Times New Roman"/>
              <w:sz w:val="24"/>
              <w:szCs w:val="24"/>
              <w:highlight w:val="none"/>
              <w:lang w:val="en-US" w:eastAsia="zh-CN"/>
            </w:rPr>
            <w:t>预算绩效管理情况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_Toc31329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_Toc29264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rPr>
            <w:t xml:space="preserve">十一、 </w:t>
          </w:r>
          <w:r>
            <w:rPr>
              <w:rFonts w:hint="default" w:ascii="Times New Roman" w:hAnsi="Times New Roman" w:eastAsia="黑体" w:cs="Times New Roman"/>
              <w:sz w:val="24"/>
              <w:szCs w:val="24"/>
              <w:highlight w:val="none"/>
            </w:rPr>
            <w:t>其他重要事项的情况说明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_Toc29264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3"/>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_Toc3410 </w:instrText>
          </w:r>
          <w:r>
            <w:rPr>
              <w:rFonts w:hint="default" w:ascii="Times New Roman" w:hAnsi="Times New Roman" w:cs="Times New Roman"/>
              <w:b/>
              <w:sz w:val="24"/>
              <w:szCs w:val="24"/>
            </w:rPr>
            <w:fldChar w:fldCharType="separate"/>
          </w:r>
          <w:r>
            <w:rPr>
              <w:rFonts w:hint="default" w:ascii="Times New Roman" w:hAnsi="Times New Roman" w:eastAsia="黑体" w:cs="Times New Roman"/>
              <w:b/>
              <w:sz w:val="24"/>
              <w:szCs w:val="24"/>
            </w:rPr>
            <w:t xml:space="preserve">第三部分 </w:t>
          </w:r>
          <w:r>
            <w:rPr>
              <w:rFonts w:hint="default" w:ascii="Times New Roman" w:hAnsi="Times New Roman" w:eastAsia="黑体" w:cs="Times New Roman"/>
              <w:b/>
              <w:sz w:val="24"/>
              <w:szCs w:val="24"/>
              <w:highlight w:val="none"/>
            </w:rPr>
            <w:t>名词解释</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_Toc3410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33"/>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_Toc14285 </w:instrText>
          </w:r>
          <w:r>
            <w:rPr>
              <w:rFonts w:hint="default" w:ascii="Times New Roman" w:hAnsi="Times New Roman" w:cs="Times New Roman"/>
              <w:b/>
              <w:sz w:val="24"/>
              <w:szCs w:val="24"/>
            </w:rPr>
            <w:fldChar w:fldCharType="separate"/>
          </w:r>
          <w:r>
            <w:rPr>
              <w:rFonts w:hint="default" w:ascii="Times New Roman" w:hAnsi="Times New Roman" w:eastAsia="黑体" w:cs="Times New Roman"/>
              <w:b/>
              <w:sz w:val="24"/>
              <w:szCs w:val="24"/>
              <w:highlight w:val="none"/>
            </w:rPr>
            <w:t>第四部分 附件</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_Toc14285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34"/>
            <w:tabs>
              <w:tab w:val="right" w:leader="dot" w:pos="8306"/>
            </w:tabs>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_Toc31245 </w:instrText>
          </w:r>
          <w:r>
            <w:rPr>
              <w:rFonts w:hint="default" w:ascii="Times New Roman" w:hAnsi="Times New Roman" w:cs="Times New Roman"/>
              <w:sz w:val="24"/>
              <w:szCs w:val="24"/>
            </w:rPr>
            <w:fldChar w:fldCharType="separate"/>
          </w:r>
          <w:r>
            <w:rPr>
              <w:rFonts w:hint="default" w:ascii="Times New Roman" w:hAnsi="Times New Roman" w:eastAsia="黑体" w:cs="Times New Roman"/>
              <w:sz w:val="24"/>
              <w:szCs w:val="24"/>
              <w:highlight w:val="none"/>
            </w:rPr>
            <w:t>附件</w:t>
          </w:r>
          <w:r>
            <w:rPr>
              <w:rFonts w:hint="default" w:ascii="Times New Roman" w:hAnsi="Times New Roman" w:eastAsia="黑体" w:cs="Times New Roman"/>
              <w:sz w:val="24"/>
              <w:szCs w:val="24"/>
              <w:highlight w:val="none"/>
              <w:lang w:val="en-US" w:eastAsia="zh-CN"/>
            </w:rPr>
            <w:t>1</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3"/>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_Toc4517 </w:instrText>
          </w:r>
          <w:r>
            <w:rPr>
              <w:rFonts w:hint="default" w:ascii="Times New Roman" w:hAnsi="Times New Roman" w:cs="Times New Roman"/>
              <w:b/>
              <w:sz w:val="24"/>
              <w:szCs w:val="24"/>
            </w:rPr>
            <w:fldChar w:fldCharType="separate"/>
          </w:r>
          <w:r>
            <w:rPr>
              <w:rFonts w:hint="default" w:ascii="Times New Roman" w:hAnsi="Times New Roman" w:eastAsia="黑体" w:cs="Times New Roman"/>
              <w:b/>
              <w:sz w:val="24"/>
              <w:szCs w:val="24"/>
              <w:highlight w:val="none"/>
            </w:rPr>
            <w:t>附件</w:t>
          </w:r>
          <w:r>
            <w:rPr>
              <w:rFonts w:hint="default" w:ascii="Times New Roman" w:hAnsi="Times New Roman" w:eastAsia="黑体" w:cs="Times New Roman"/>
              <w:b/>
              <w:sz w:val="24"/>
              <w:szCs w:val="24"/>
              <w:highlight w:val="none"/>
              <w:lang w:val="en-US" w:eastAsia="zh-CN"/>
            </w:rPr>
            <w:t>2</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_Toc4517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33"/>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_Toc1408 </w:instrText>
          </w:r>
          <w:r>
            <w:rPr>
              <w:rFonts w:hint="default" w:ascii="Times New Roman" w:hAnsi="Times New Roman" w:cs="Times New Roman"/>
              <w:b/>
              <w:sz w:val="24"/>
              <w:szCs w:val="24"/>
            </w:rPr>
            <w:fldChar w:fldCharType="separate"/>
          </w:r>
          <w:r>
            <w:rPr>
              <w:rFonts w:hint="default" w:ascii="Times New Roman" w:hAnsi="Times New Roman" w:eastAsia="黑体" w:cs="Times New Roman"/>
              <w:b/>
              <w:sz w:val="24"/>
              <w:szCs w:val="24"/>
              <w:highlight w:val="none"/>
            </w:rPr>
            <w:t>附件</w:t>
          </w:r>
          <w:r>
            <w:rPr>
              <w:rFonts w:hint="default" w:ascii="Times New Roman" w:hAnsi="Times New Roman" w:eastAsia="黑体" w:cs="Times New Roman"/>
              <w:b/>
              <w:sz w:val="24"/>
              <w:szCs w:val="24"/>
              <w:highlight w:val="none"/>
              <w:lang w:val="en-US" w:eastAsia="zh-CN"/>
            </w:rPr>
            <w:t>3</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_Toc1408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15</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33"/>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_Toc14582 </w:instrText>
          </w:r>
          <w:r>
            <w:rPr>
              <w:rFonts w:hint="default" w:ascii="Times New Roman" w:hAnsi="Times New Roman" w:cs="Times New Roman"/>
              <w:b/>
              <w:sz w:val="24"/>
              <w:szCs w:val="24"/>
            </w:rPr>
            <w:fldChar w:fldCharType="separate"/>
          </w:r>
          <w:r>
            <w:rPr>
              <w:rFonts w:hint="default" w:ascii="Times New Roman" w:hAnsi="Times New Roman" w:eastAsia="黑体" w:cs="Times New Roman"/>
              <w:b/>
              <w:sz w:val="24"/>
              <w:szCs w:val="24"/>
              <w:highlight w:val="none"/>
            </w:rPr>
            <w:t>附件</w:t>
          </w:r>
          <w:r>
            <w:rPr>
              <w:rFonts w:hint="default" w:ascii="Times New Roman" w:hAnsi="Times New Roman" w:eastAsia="黑体" w:cs="Times New Roman"/>
              <w:b/>
              <w:sz w:val="24"/>
              <w:szCs w:val="24"/>
              <w:highlight w:val="none"/>
              <w:lang w:val="en-US" w:eastAsia="zh-CN"/>
            </w:rPr>
            <w:t>4</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_Toc14582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33"/>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_Toc29872 </w:instrText>
          </w:r>
          <w:r>
            <w:rPr>
              <w:rFonts w:hint="default" w:ascii="Times New Roman" w:hAnsi="Times New Roman" w:cs="Times New Roman"/>
              <w:b/>
              <w:sz w:val="24"/>
              <w:szCs w:val="24"/>
            </w:rPr>
            <w:fldChar w:fldCharType="separate"/>
          </w:r>
          <w:r>
            <w:rPr>
              <w:rFonts w:hint="default" w:ascii="Times New Roman" w:hAnsi="Times New Roman" w:eastAsia="黑体" w:cs="Times New Roman"/>
              <w:b/>
              <w:sz w:val="24"/>
              <w:szCs w:val="24"/>
              <w:highlight w:val="none"/>
            </w:rPr>
            <w:t>附件</w:t>
          </w:r>
          <w:r>
            <w:rPr>
              <w:rFonts w:hint="default" w:ascii="Times New Roman" w:hAnsi="Times New Roman" w:eastAsia="黑体" w:cs="Times New Roman"/>
              <w:b/>
              <w:sz w:val="24"/>
              <w:szCs w:val="24"/>
              <w:highlight w:val="none"/>
              <w:lang w:val="en-US" w:eastAsia="zh-CN"/>
            </w:rPr>
            <w:t>5</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_Toc29872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17</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33"/>
            <w:tabs>
              <w:tab w:val="right" w:leader="dot" w:pos="830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_Toc30114 </w:instrText>
          </w:r>
          <w:r>
            <w:rPr>
              <w:rFonts w:hint="default" w:ascii="Times New Roman" w:hAnsi="Times New Roman" w:cs="Times New Roman"/>
              <w:b/>
              <w:sz w:val="24"/>
              <w:szCs w:val="24"/>
            </w:rPr>
            <w:fldChar w:fldCharType="separate"/>
          </w:r>
          <w:r>
            <w:rPr>
              <w:rFonts w:hint="default" w:ascii="Times New Roman" w:hAnsi="Times New Roman" w:eastAsia="黑体" w:cs="Times New Roman"/>
              <w:b/>
              <w:sz w:val="24"/>
              <w:szCs w:val="24"/>
              <w:highlight w:val="none"/>
            </w:rPr>
            <w:t>第五部分 附表</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_Toc30114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_Toc29469 </w:instrText>
          </w:r>
          <w:r>
            <w:rPr>
              <w:rFonts w:hint="default" w:ascii="Times New Roman" w:hAnsi="Times New Roman" w:cs="Times New Roman"/>
              <w:sz w:val="24"/>
              <w:szCs w:val="24"/>
            </w:rPr>
            <w:fldChar w:fldCharType="separate"/>
          </w:r>
          <w:r>
            <w:rPr>
              <w:rFonts w:hint="default" w:ascii="Times New Roman" w:hAnsi="Times New Roman" w:eastAsia="仿宋" w:cs="Times New Roman"/>
              <w:sz w:val="24"/>
              <w:szCs w:val="24"/>
              <w:highlight w:val="none"/>
            </w:rPr>
            <w:t>一、收</w:t>
          </w:r>
          <w:r>
            <w:rPr>
              <w:rFonts w:hint="default" w:ascii="Times New Roman" w:hAnsi="Times New Roman" w:eastAsia="仿宋" w:cs="Times New Roman"/>
              <w:bCs w:val="0"/>
              <w:sz w:val="24"/>
              <w:szCs w:val="24"/>
              <w:highlight w:val="none"/>
            </w:rPr>
            <w:t>入支出决算总表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_Toc29469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_Toc25510 </w:instrText>
          </w:r>
          <w:r>
            <w:rPr>
              <w:rFonts w:hint="default" w:ascii="Times New Roman" w:hAnsi="Times New Roman" w:cs="Times New Roman"/>
              <w:sz w:val="24"/>
              <w:szCs w:val="24"/>
            </w:rPr>
            <w:fldChar w:fldCharType="separate"/>
          </w:r>
          <w:r>
            <w:rPr>
              <w:rFonts w:hint="default" w:ascii="Times New Roman" w:hAnsi="Times New Roman" w:eastAsia="仿宋" w:cs="Times New Roman"/>
              <w:sz w:val="24"/>
              <w:szCs w:val="24"/>
              <w:highlight w:val="none"/>
            </w:rPr>
            <w:t>二、收</w:t>
          </w:r>
          <w:r>
            <w:rPr>
              <w:rFonts w:hint="default" w:ascii="Times New Roman" w:hAnsi="Times New Roman" w:eastAsia="仿宋" w:cs="Times New Roman"/>
              <w:bCs w:val="0"/>
              <w:sz w:val="24"/>
              <w:szCs w:val="24"/>
              <w:highlight w:val="none"/>
            </w:rPr>
            <w:t>入决算表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_Toc25510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_Toc22861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三、</w:t>
          </w:r>
          <w:r>
            <w:rPr>
              <w:rFonts w:hint="default" w:ascii="Times New Roman" w:hAnsi="Times New Roman" w:eastAsia="仿宋" w:cs="Times New Roman"/>
              <w:sz w:val="24"/>
              <w:szCs w:val="24"/>
              <w:highlight w:val="none"/>
            </w:rPr>
            <w:t>支</w:t>
          </w:r>
          <w:r>
            <w:rPr>
              <w:rFonts w:hint="default" w:ascii="Times New Roman" w:hAnsi="Times New Roman" w:eastAsia="仿宋" w:cs="Times New Roman"/>
              <w:bCs w:val="0"/>
              <w:sz w:val="24"/>
              <w:szCs w:val="24"/>
              <w:highlight w:val="none"/>
            </w:rPr>
            <w:t>出决算表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_Toc22861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_Toc23561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四、</w:t>
          </w:r>
          <w:r>
            <w:rPr>
              <w:rFonts w:hint="default" w:ascii="Times New Roman" w:hAnsi="Times New Roman" w:eastAsia="仿宋" w:cs="Times New Roman"/>
              <w:sz w:val="24"/>
              <w:szCs w:val="24"/>
              <w:highlight w:val="none"/>
            </w:rPr>
            <w:t>财</w:t>
          </w:r>
          <w:r>
            <w:rPr>
              <w:rFonts w:hint="default" w:ascii="Times New Roman" w:hAnsi="Times New Roman" w:eastAsia="仿宋" w:cs="Times New Roman"/>
              <w:bCs w:val="0"/>
              <w:sz w:val="24"/>
              <w:szCs w:val="24"/>
              <w:highlight w:val="none"/>
            </w:rPr>
            <w:t>政拨款收入支出决算总表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_Toc15473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五、</w:t>
          </w:r>
          <w:r>
            <w:rPr>
              <w:rFonts w:hint="default" w:ascii="Times New Roman" w:hAnsi="Times New Roman" w:eastAsia="仿宋" w:cs="Times New Roman"/>
              <w:sz w:val="24"/>
              <w:szCs w:val="24"/>
              <w:highlight w:val="none"/>
            </w:rPr>
            <w:t>财</w:t>
          </w:r>
          <w:r>
            <w:rPr>
              <w:rFonts w:hint="default" w:ascii="Times New Roman" w:hAnsi="Times New Roman" w:eastAsia="仿宋" w:cs="Times New Roman"/>
              <w:bCs w:val="0"/>
              <w:sz w:val="24"/>
              <w:szCs w:val="24"/>
              <w:highlight w:val="none"/>
            </w:rPr>
            <w:t>政拨款支出决算明细表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_Toc26195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六、</w:t>
          </w:r>
          <w:r>
            <w:rPr>
              <w:rFonts w:hint="default" w:ascii="Times New Roman" w:hAnsi="Times New Roman" w:eastAsia="仿宋" w:cs="Times New Roman"/>
              <w:sz w:val="24"/>
              <w:szCs w:val="24"/>
              <w:highlight w:val="none"/>
            </w:rPr>
            <w:t>一</w:t>
          </w:r>
          <w:r>
            <w:rPr>
              <w:rFonts w:hint="default" w:ascii="Times New Roman" w:hAnsi="Times New Roman" w:eastAsia="仿宋" w:cs="Times New Roman"/>
              <w:bCs w:val="0"/>
              <w:sz w:val="24"/>
              <w:szCs w:val="24"/>
              <w:highlight w:val="none"/>
            </w:rPr>
            <w:t>般公共预算财政拨款支出决算表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_Toc26195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_Toc14476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七、</w:t>
          </w:r>
          <w:r>
            <w:rPr>
              <w:rFonts w:hint="default" w:ascii="Times New Roman" w:hAnsi="Times New Roman" w:eastAsia="仿宋" w:cs="Times New Roman"/>
              <w:sz w:val="24"/>
              <w:szCs w:val="24"/>
              <w:highlight w:val="none"/>
            </w:rPr>
            <w:t>一</w:t>
          </w:r>
          <w:r>
            <w:rPr>
              <w:rFonts w:hint="default" w:ascii="Times New Roman" w:hAnsi="Times New Roman" w:eastAsia="仿宋" w:cs="Times New Roman"/>
              <w:bCs w:val="0"/>
              <w:sz w:val="24"/>
              <w:szCs w:val="24"/>
              <w:highlight w:val="none"/>
            </w:rPr>
            <w:t>般公共预算财政拨款支出决算明细表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_Toc14476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_Toc32432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八、</w:t>
          </w:r>
          <w:r>
            <w:rPr>
              <w:rFonts w:hint="default" w:ascii="Times New Roman" w:hAnsi="Times New Roman" w:eastAsia="仿宋" w:cs="Times New Roman"/>
              <w:sz w:val="24"/>
              <w:szCs w:val="24"/>
              <w:highlight w:val="none"/>
            </w:rPr>
            <w:t>一</w:t>
          </w:r>
          <w:r>
            <w:rPr>
              <w:rFonts w:hint="default" w:ascii="Times New Roman" w:hAnsi="Times New Roman" w:eastAsia="仿宋" w:cs="Times New Roman"/>
              <w:bCs w:val="0"/>
              <w:sz w:val="24"/>
              <w:szCs w:val="24"/>
              <w:highlight w:val="none"/>
            </w:rPr>
            <w:t>般公共预算财政拨款基本支出决算表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_Toc12425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九、</w:t>
          </w:r>
          <w:r>
            <w:rPr>
              <w:rFonts w:hint="default" w:ascii="Times New Roman" w:hAnsi="Times New Roman" w:eastAsia="仿宋" w:cs="Times New Roman"/>
              <w:sz w:val="24"/>
              <w:szCs w:val="24"/>
              <w:highlight w:val="none"/>
            </w:rPr>
            <w:t>一</w:t>
          </w:r>
          <w:r>
            <w:rPr>
              <w:rFonts w:hint="default" w:ascii="Times New Roman" w:hAnsi="Times New Roman" w:eastAsia="仿宋" w:cs="Times New Roman"/>
              <w:bCs w:val="0"/>
              <w:sz w:val="24"/>
              <w:szCs w:val="24"/>
              <w:highlight w:val="none"/>
            </w:rPr>
            <w:t>般公共预算财政拨款项目支出决算表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_Toc12425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_Toc7716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十、</w:t>
          </w:r>
          <w:r>
            <w:rPr>
              <w:rFonts w:hint="default" w:ascii="Times New Roman" w:hAnsi="Times New Roman" w:eastAsia="仿宋" w:cs="Times New Roman"/>
              <w:sz w:val="24"/>
              <w:szCs w:val="24"/>
              <w:highlight w:val="none"/>
            </w:rPr>
            <w:t>一</w:t>
          </w:r>
          <w:r>
            <w:rPr>
              <w:rFonts w:hint="default" w:ascii="Times New Roman" w:hAnsi="Times New Roman" w:eastAsia="仿宋" w:cs="Times New Roman"/>
              <w:bCs w:val="0"/>
              <w:sz w:val="24"/>
              <w:szCs w:val="24"/>
              <w:highlight w:val="none"/>
            </w:rPr>
            <w:t>般公共预算财政拨款“三公”经费支出决算表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_Toc7716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_Toc23568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十一、</w:t>
          </w:r>
          <w:r>
            <w:rPr>
              <w:rFonts w:hint="default" w:ascii="Times New Roman" w:hAnsi="Times New Roman" w:eastAsia="仿宋" w:cs="Times New Roman"/>
              <w:sz w:val="24"/>
              <w:szCs w:val="24"/>
              <w:highlight w:val="none"/>
            </w:rPr>
            <w:t>政</w:t>
          </w:r>
          <w:r>
            <w:rPr>
              <w:rFonts w:hint="default" w:ascii="Times New Roman" w:hAnsi="Times New Roman" w:eastAsia="仿宋" w:cs="Times New Roman"/>
              <w:bCs w:val="0"/>
              <w:sz w:val="24"/>
              <w:szCs w:val="24"/>
              <w:highlight w:val="none"/>
            </w:rPr>
            <w:t>府性基金预算财政拨款收入支出决算表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_Toc7556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十二、</w:t>
          </w:r>
          <w:r>
            <w:rPr>
              <w:rFonts w:hint="default" w:ascii="Times New Roman" w:hAnsi="Times New Roman" w:eastAsia="仿宋" w:cs="Times New Roman"/>
              <w:sz w:val="24"/>
              <w:szCs w:val="24"/>
              <w:highlight w:val="none"/>
            </w:rPr>
            <w:t>政</w:t>
          </w:r>
          <w:r>
            <w:rPr>
              <w:rFonts w:hint="default" w:ascii="Times New Roman" w:hAnsi="Times New Roman" w:eastAsia="仿宋" w:cs="Times New Roman"/>
              <w:bCs w:val="0"/>
              <w:sz w:val="24"/>
              <w:szCs w:val="24"/>
              <w:highlight w:val="none"/>
            </w:rPr>
            <w:t>府性基金预算财政拨款“三公”经费支出决算表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_Toc7556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_Toc31022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rPr>
            <w:t>十三、</w:t>
          </w:r>
          <w:r>
            <w:rPr>
              <w:rFonts w:hint="default" w:ascii="Times New Roman" w:hAnsi="Times New Roman" w:eastAsia="仿宋" w:cs="Times New Roman"/>
              <w:sz w:val="24"/>
              <w:szCs w:val="24"/>
              <w:highlight w:val="none"/>
            </w:rPr>
            <w:t>国</w:t>
          </w:r>
          <w:r>
            <w:rPr>
              <w:rFonts w:hint="default" w:ascii="Times New Roman" w:hAnsi="Times New Roman" w:eastAsia="仿宋" w:cs="Times New Roman"/>
              <w:bCs w:val="0"/>
              <w:sz w:val="24"/>
              <w:szCs w:val="24"/>
              <w:highlight w:val="none"/>
            </w:rPr>
            <w:t>有资本经营预算</w:t>
          </w:r>
          <w:r>
            <w:rPr>
              <w:rFonts w:hint="default" w:ascii="Times New Roman" w:hAnsi="Times New Roman" w:eastAsia="仿宋" w:cs="Times New Roman"/>
              <w:bCs w:val="0"/>
              <w:sz w:val="24"/>
              <w:szCs w:val="24"/>
              <w:highlight w:val="none"/>
              <w:lang w:eastAsia="zh-CN"/>
            </w:rPr>
            <w:t>财政拨款收入</w:t>
          </w:r>
          <w:r>
            <w:rPr>
              <w:rFonts w:hint="default" w:ascii="Times New Roman" w:hAnsi="Times New Roman" w:eastAsia="仿宋" w:cs="Times New Roman"/>
              <w:bCs w:val="0"/>
              <w:sz w:val="24"/>
              <w:szCs w:val="24"/>
              <w:highlight w:val="none"/>
            </w:rPr>
            <w:t>支出决算表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34"/>
            <w:tabs>
              <w:tab w:val="right" w:leader="dot" w:pos="830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_Toc4366 </w:instrText>
          </w:r>
          <w:r>
            <w:rPr>
              <w:rFonts w:hint="default" w:ascii="Times New Roman" w:hAnsi="Times New Roman" w:cs="Times New Roman"/>
              <w:sz w:val="24"/>
              <w:szCs w:val="24"/>
            </w:rPr>
            <w:fldChar w:fldCharType="separate"/>
          </w:r>
          <w:r>
            <w:rPr>
              <w:rFonts w:hint="default" w:ascii="Times New Roman" w:hAnsi="Times New Roman" w:eastAsia="仿宋" w:cs="Times New Roman"/>
              <w:bCs w:val="0"/>
              <w:sz w:val="24"/>
              <w:szCs w:val="24"/>
              <w:highlight w:val="none"/>
              <w:lang w:eastAsia="zh-CN"/>
            </w:rPr>
            <w:t>十四、国有资本经营预算财政拨款支出决算表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_Toc4366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rPr>
              <w:rFonts w:hint="default" w:ascii="Times New Roman" w:hAnsi="Times New Roman" w:eastAsia="黑体" w:cs="Times New Roman"/>
              <w:color w:val="auto"/>
              <w:sz w:val="24"/>
              <w:szCs w:val="24"/>
              <w:highlight w:val="none"/>
            </w:rPr>
          </w:pPr>
          <w:r>
            <w:rPr>
              <w:rFonts w:hint="default" w:ascii="Times New Roman" w:hAnsi="Times New Roman" w:cs="Times New Roman"/>
              <w:b/>
              <w:sz w:val="24"/>
              <w:szCs w:val="24"/>
            </w:rPr>
            <w:fldChar w:fldCharType="end"/>
          </w:r>
        </w:p>
      </w:sdtContent>
    </w:sdt>
    <w:p>
      <w:pPr>
        <w:rPr>
          <w:rFonts w:hint="default" w:ascii="Times New Roman" w:hAnsi="Times New Roman" w:eastAsia="黑体" w:cs="Times New Roman"/>
          <w:color w:val="auto"/>
          <w:sz w:val="24"/>
          <w:szCs w:val="24"/>
          <w:highlight w:val="none"/>
        </w:rPr>
      </w:pPr>
    </w:p>
    <w:p>
      <w:pPr>
        <w:pStyle w:val="17"/>
        <w:rPr>
          <w:rFonts w:hint="default" w:ascii="Times New Roman" w:hAnsi="Times New Roman" w:eastAsia="黑体" w:cs="Times New Roman"/>
          <w:color w:val="auto"/>
          <w:sz w:val="24"/>
          <w:szCs w:val="24"/>
          <w:highlight w:val="none"/>
        </w:rPr>
      </w:pPr>
    </w:p>
    <w:p>
      <w:pPr>
        <w:pStyle w:val="3"/>
        <w:jc w:val="center"/>
        <w:outlineLvl w:val="9"/>
        <w:rPr>
          <w:rFonts w:hint="default" w:ascii="Times New Roman" w:hAnsi="Times New Roman" w:eastAsia="黑体" w:cs="Times New Roman"/>
          <w:b w:val="0"/>
          <w:color w:val="auto"/>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pStyle w:val="3"/>
        <w:jc w:val="center"/>
        <w:rPr>
          <w:rFonts w:hint="default" w:ascii="Times New Roman" w:hAnsi="Times New Roman" w:eastAsia="黑体" w:cs="Times New Roman"/>
          <w:color w:val="auto"/>
          <w:sz w:val="32"/>
          <w:szCs w:val="32"/>
          <w:highlight w:val="none"/>
        </w:rPr>
      </w:pPr>
      <w:bookmarkStart w:id="16" w:name="_Toc22787"/>
      <w:r>
        <w:rPr>
          <w:rFonts w:hint="default" w:ascii="Times New Roman" w:hAnsi="Times New Roman" w:eastAsia="黑体" w:cs="Times New Roman"/>
          <w:b w:val="0"/>
          <w:color w:val="auto"/>
          <w:highlight w:val="none"/>
        </w:rPr>
        <w:t xml:space="preserve">第一部分 </w:t>
      </w:r>
      <w:r>
        <w:rPr>
          <w:rFonts w:hint="default" w:ascii="Times New Roman" w:hAnsi="Times New Roman" w:eastAsia="黑体" w:cs="Times New Roman"/>
          <w:b w:val="0"/>
          <w:color w:val="auto"/>
          <w:highlight w:val="none"/>
          <w:lang w:eastAsia="zh-CN"/>
        </w:rPr>
        <w:t>单位</w:t>
      </w:r>
      <w:r>
        <w:rPr>
          <w:rStyle w:val="25"/>
          <w:rFonts w:hint="default" w:ascii="Times New Roman" w:hAnsi="Times New Roman" w:eastAsia="黑体" w:cs="Times New Roman"/>
          <w:b w:val="0"/>
          <w:bCs w:val="0"/>
          <w:color w:val="auto"/>
          <w:highlight w:val="none"/>
        </w:rPr>
        <w:t>概况</w:t>
      </w:r>
      <w:bookmarkEnd w:id="14"/>
      <w:bookmarkEnd w:id="15"/>
      <w:bookmarkEnd w:id="16"/>
    </w:p>
    <w:p>
      <w:pPr>
        <w:pStyle w:val="4"/>
        <w:numPr>
          <w:ilvl w:val="0"/>
          <w:numId w:val="1"/>
        </w:numPr>
        <w:rPr>
          <w:rStyle w:val="26"/>
          <w:rFonts w:hint="default" w:ascii="Times New Roman" w:hAnsi="Times New Roman" w:eastAsia="黑体" w:cs="Times New Roman"/>
          <w:b w:val="0"/>
          <w:bCs w:val="0"/>
          <w:color w:val="auto"/>
          <w:highlight w:val="none"/>
          <w:lang w:eastAsia="zh-CN"/>
        </w:rPr>
      </w:pPr>
      <w:bookmarkStart w:id="17" w:name="_Toc24341"/>
      <w:bookmarkStart w:id="18" w:name="_Toc15377197"/>
      <w:bookmarkStart w:id="19" w:name="_Toc15396600"/>
      <w:r>
        <w:rPr>
          <w:rStyle w:val="26"/>
          <w:rFonts w:hint="default" w:ascii="Times New Roman" w:hAnsi="Times New Roman" w:eastAsia="黑体" w:cs="Times New Roman"/>
          <w:b w:val="0"/>
          <w:bCs w:val="0"/>
          <w:color w:val="auto"/>
          <w:highlight w:val="none"/>
        </w:rPr>
        <w:t>职能</w:t>
      </w:r>
      <w:r>
        <w:rPr>
          <w:rStyle w:val="26"/>
          <w:rFonts w:hint="default" w:ascii="Times New Roman" w:hAnsi="Times New Roman" w:eastAsia="黑体" w:cs="Times New Roman"/>
          <w:b w:val="0"/>
          <w:bCs w:val="0"/>
          <w:color w:val="auto"/>
          <w:highlight w:val="none"/>
          <w:lang w:eastAsia="zh-CN"/>
        </w:rPr>
        <w:t>简介</w:t>
      </w:r>
      <w:bookmarkEnd w:id="17"/>
    </w:p>
    <w:p>
      <w:pPr>
        <w:pageBreakBefore w:val="0"/>
        <w:widowControl/>
        <w:numPr>
          <w:ilvl w:val="0"/>
          <w:numId w:val="2"/>
        </w:numPr>
        <w:kinsoku/>
        <w:wordWrap/>
        <w:overflowPunct/>
        <w:topLinePunct w:val="0"/>
        <w:bidi w:val="0"/>
        <w:adjustRightInd w:val="0"/>
        <w:snapToGrid w:val="0"/>
        <w:spacing w:line="576" w:lineRule="exact"/>
        <w:ind w:firstLine="664" w:firstLineChars="200"/>
        <w:jc w:val="both"/>
        <w:textAlignment w:val="auto"/>
        <w:rPr>
          <w:rStyle w:val="35"/>
          <w:rFonts w:hint="eastAsia" w:ascii="黑体" w:hAnsi="黑体" w:eastAsia="黑体"/>
          <w:b w:val="0"/>
          <w:bCs w:val="0"/>
          <w:lang w:eastAsia="zh-CN"/>
        </w:rPr>
      </w:pPr>
      <w:r>
        <w:rPr>
          <w:rFonts w:hint="default" w:ascii="Times New Roman" w:hAnsi="Times New Roman" w:eastAsia="仿宋_GB2312" w:cs="Times New Roman"/>
          <w:b w:val="0"/>
          <w:bCs w:val="0"/>
          <w:color w:val="000000"/>
          <w:spacing w:val="6"/>
          <w:sz w:val="32"/>
          <w:szCs w:val="32"/>
          <w:lang w:val="en-US" w:eastAsia="en-US" w:bidi="ar-SA"/>
        </w:rPr>
        <w:t>协助区政府领导同志组织起草、审核以区政府、</w:t>
      </w:r>
      <w:r>
        <w:rPr>
          <w:rFonts w:hint="default" w:ascii="Times New Roman" w:hAnsi="Times New Roman" w:eastAsia="仿宋_GB2312" w:cs="Times New Roman"/>
          <w:b w:val="0"/>
          <w:bCs w:val="0"/>
          <w:color w:val="000000"/>
          <w:spacing w:val="-1"/>
          <w:sz w:val="32"/>
          <w:szCs w:val="32"/>
          <w:lang w:val="en-US" w:eastAsia="en-US" w:bidi="ar-SA"/>
        </w:rPr>
        <w:t>区政府办公室名义发布的公文。办理市政府、市政府办公室及市政府各部门局发送区政府的文电。指导全区行政机关公</w:t>
      </w:r>
      <w:r>
        <w:rPr>
          <w:rFonts w:hint="default" w:ascii="Times New Roman" w:hAnsi="Times New Roman" w:eastAsia="仿宋_GB2312" w:cs="Times New Roman"/>
          <w:b w:val="0"/>
          <w:bCs w:val="0"/>
          <w:color w:val="000000"/>
          <w:sz w:val="32"/>
          <w:szCs w:val="32"/>
          <w:lang w:val="en-US" w:eastAsia="en-US" w:bidi="ar-SA"/>
        </w:rPr>
        <w:t>文处理工作。</w:t>
      </w:r>
      <w:r>
        <w:rPr>
          <w:rFonts w:hint="default" w:ascii="Times New Roman" w:hAnsi="Times New Roman" w:eastAsia="仿宋_GB2312" w:cs="Times New Roman"/>
          <w:b w:val="0"/>
          <w:bCs w:val="0"/>
          <w:color w:val="000000"/>
          <w:spacing w:val="6"/>
          <w:sz w:val="32"/>
          <w:szCs w:val="32"/>
          <w:lang w:val="en-US" w:eastAsia="en-US" w:bidi="ar-SA"/>
        </w:rPr>
        <w:t>（2）研究区政府部门和乡镇（街道）人民政府请示区</w:t>
      </w:r>
      <w:r>
        <w:rPr>
          <w:rFonts w:hint="default" w:ascii="Times New Roman" w:hAnsi="Times New Roman" w:eastAsia="仿宋_GB2312" w:cs="Times New Roman"/>
          <w:b w:val="0"/>
          <w:bCs w:val="0"/>
          <w:color w:val="000000"/>
          <w:sz w:val="32"/>
          <w:szCs w:val="32"/>
          <w:lang w:val="en-US" w:eastAsia="en-US" w:bidi="ar-SA"/>
        </w:rPr>
        <w:t>政府的事项，提出审核意见，报区政府领导审批。</w:t>
      </w:r>
      <w:r>
        <w:rPr>
          <w:rFonts w:hint="default" w:ascii="Times New Roman" w:hAnsi="Times New Roman" w:eastAsia="仿宋_GB2312" w:cs="Times New Roman"/>
          <w:b w:val="0"/>
          <w:bCs w:val="0"/>
          <w:color w:val="000000"/>
          <w:spacing w:val="6"/>
          <w:sz w:val="32"/>
          <w:szCs w:val="32"/>
          <w:lang w:val="en-US" w:eastAsia="en-US" w:bidi="ar-SA"/>
        </w:rPr>
        <w:t>（3）负责区政府全体会议、常务会议、区长办公室会</w:t>
      </w:r>
      <w:r>
        <w:rPr>
          <w:rFonts w:hint="default" w:ascii="Times New Roman" w:hAnsi="Times New Roman" w:eastAsia="仿宋_GB2312" w:cs="Times New Roman"/>
          <w:b w:val="0"/>
          <w:bCs w:val="0"/>
          <w:color w:val="000000"/>
          <w:spacing w:val="13"/>
          <w:sz w:val="32"/>
          <w:szCs w:val="32"/>
          <w:lang w:val="en-US" w:eastAsia="en-US" w:bidi="ar-SA"/>
        </w:rPr>
        <w:t>议和区政府召开的综合性大型会议的会务工作会议的会务</w:t>
      </w:r>
      <w:r>
        <w:rPr>
          <w:rFonts w:hint="default" w:ascii="Times New Roman" w:hAnsi="Times New Roman" w:eastAsia="仿宋_GB2312" w:cs="Times New Roman"/>
          <w:b w:val="0"/>
          <w:bCs w:val="0"/>
          <w:color w:val="000000"/>
          <w:sz w:val="32"/>
          <w:szCs w:val="32"/>
          <w:lang w:val="en-US" w:eastAsia="en-US" w:bidi="ar-SA"/>
        </w:rPr>
        <w:t>工作，协助区政府领导组织实施会议决定事项。</w:t>
      </w:r>
      <w:r>
        <w:rPr>
          <w:rFonts w:hint="default" w:ascii="Times New Roman" w:hAnsi="Times New Roman" w:eastAsia="仿宋_GB2312" w:cs="Times New Roman"/>
          <w:b w:val="0"/>
          <w:bCs w:val="0"/>
          <w:color w:val="000000"/>
          <w:spacing w:val="6"/>
          <w:sz w:val="32"/>
          <w:szCs w:val="32"/>
          <w:lang w:val="en-US" w:eastAsia="en-US" w:bidi="ar-SA"/>
        </w:rPr>
        <w:t>（4）督促检查区政府部门和乡镇（街道）人民政府对</w:t>
      </w:r>
      <w:r>
        <w:rPr>
          <w:rFonts w:hint="default" w:ascii="Times New Roman" w:hAnsi="Times New Roman" w:eastAsia="仿宋_GB2312" w:cs="Times New Roman"/>
          <w:b w:val="0"/>
          <w:bCs w:val="0"/>
          <w:color w:val="000000"/>
          <w:spacing w:val="-1"/>
          <w:sz w:val="32"/>
          <w:szCs w:val="32"/>
          <w:lang w:val="en-US" w:eastAsia="en-US" w:bidi="ar-SA"/>
        </w:rPr>
        <w:t>区政府决定事项及区政府领导指示的贯彻落实情况，及时向</w:t>
      </w:r>
      <w:r>
        <w:rPr>
          <w:rFonts w:hint="default" w:ascii="Times New Roman" w:hAnsi="Times New Roman" w:eastAsia="仿宋_GB2312" w:cs="Times New Roman"/>
          <w:b w:val="0"/>
          <w:bCs w:val="0"/>
          <w:color w:val="000000"/>
          <w:sz w:val="32"/>
          <w:szCs w:val="32"/>
          <w:lang w:val="en-US" w:eastAsia="en-US" w:bidi="ar-SA"/>
        </w:rPr>
        <w:t>区政府及区政府相关领导报告。</w:t>
      </w:r>
      <w:r>
        <w:rPr>
          <w:rFonts w:hint="default" w:ascii="Times New Roman" w:hAnsi="Times New Roman" w:eastAsia="仿宋_GB2312" w:cs="Times New Roman"/>
          <w:b w:val="0"/>
          <w:bCs w:val="0"/>
          <w:color w:val="000000"/>
          <w:spacing w:val="6"/>
          <w:sz w:val="32"/>
          <w:szCs w:val="32"/>
          <w:lang w:val="en-US" w:eastAsia="en-US" w:bidi="ar-SA"/>
        </w:rPr>
        <w:t>（5）根据区政府领导的指示，对区政府部门间争议问</w:t>
      </w:r>
      <w:r>
        <w:rPr>
          <w:rFonts w:hint="default" w:ascii="Times New Roman" w:hAnsi="Times New Roman" w:eastAsia="仿宋_GB2312" w:cs="Times New Roman"/>
          <w:b w:val="0"/>
          <w:bCs w:val="0"/>
          <w:color w:val="000000"/>
          <w:sz w:val="32"/>
          <w:szCs w:val="32"/>
          <w:lang w:val="en-US" w:eastAsia="en-US" w:bidi="ar-SA"/>
        </w:rPr>
        <w:t>题提出处理意见和建议，报区政府领导决定。</w:t>
      </w:r>
      <w:r>
        <w:rPr>
          <w:rFonts w:hint="default" w:ascii="Times New Roman" w:hAnsi="Times New Roman" w:eastAsia="仿宋_GB2312" w:cs="Times New Roman"/>
          <w:b w:val="0"/>
          <w:bCs w:val="0"/>
          <w:color w:val="000000"/>
          <w:spacing w:val="6"/>
          <w:sz w:val="32"/>
          <w:szCs w:val="32"/>
          <w:lang w:val="en-US" w:eastAsia="en-US" w:bidi="ar-SA"/>
        </w:rPr>
        <w:t>（6）指导、监督全区政府信息公开工作，指导、监督</w:t>
      </w:r>
      <w:r>
        <w:rPr>
          <w:rFonts w:hint="default" w:ascii="Times New Roman" w:hAnsi="Times New Roman" w:eastAsia="仿宋_GB2312" w:cs="Times New Roman"/>
          <w:b w:val="0"/>
          <w:bCs w:val="0"/>
          <w:color w:val="000000"/>
          <w:sz w:val="32"/>
          <w:szCs w:val="32"/>
          <w:lang w:val="en-US" w:eastAsia="en-US" w:bidi="ar-SA"/>
        </w:rPr>
        <w:t>全区政府系统电子政务工作和政府网站建设。</w:t>
      </w:r>
      <w:r>
        <w:rPr>
          <w:rFonts w:hint="default" w:ascii="Times New Roman" w:hAnsi="Times New Roman" w:eastAsia="仿宋_GB2312" w:cs="Times New Roman"/>
          <w:b w:val="0"/>
          <w:bCs w:val="0"/>
          <w:color w:val="000000"/>
          <w:spacing w:val="-1"/>
          <w:sz w:val="32"/>
          <w:szCs w:val="32"/>
          <w:lang w:val="en-US" w:eastAsia="en-US" w:bidi="ar-SA"/>
        </w:rPr>
        <w:t>（7）组织办理涉及区政府工作的人大代表议案、批评</w:t>
      </w:r>
      <w:r>
        <w:rPr>
          <w:rFonts w:hint="default" w:ascii="Times New Roman" w:hAnsi="Times New Roman" w:eastAsia="仿宋_GB2312" w:cs="Times New Roman"/>
          <w:b w:val="0"/>
          <w:bCs w:val="0"/>
          <w:color w:val="000000"/>
          <w:spacing w:val="-1"/>
          <w:sz w:val="32"/>
          <w:szCs w:val="32"/>
          <w:lang w:val="en-US" w:eastAsia="zh-CN" w:bidi="ar-SA"/>
        </w:rPr>
        <w:t>、</w:t>
      </w:r>
      <w:r>
        <w:rPr>
          <w:rFonts w:hint="default" w:ascii="Times New Roman" w:hAnsi="Times New Roman" w:eastAsia="仿宋_GB2312" w:cs="Times New Roman"/>
          <w:b w:val="0"/>
          <w:bCs w:val="0"/>
          <w:color w:val="000000"/>
          <w:sz w:val="32"/>
          <w:szCs w:val="32"/>
          <w:lang w:val="en-US" w:eastAsia="en-US" w:bidi="ar-SA"/>
        </w:rPr>
        <w:t>建议和政协委员提案、建议案工作。</w:t>
      </w:r>
      <w:r>
        <w:rPr>
          <w:rFonts w:hint="default" w:ascii="Times New Roman" w:hAnsi="Times New Roman" w:eastAsia="仿宋_GB2312" w:cs="Times New Roman"/>
          <w:b w:val="0"/>
          <w:bCs w:val="0"/>
          <w:color w:val="000000"/>
          <w:spacing w:val="6"/>
          <w:sz w:val="32"/>
          <w:szCs w:val="32"/>
          <w:lang w:val="en-US" w:eastAsia="en-US" w:bidi="ar-SA"/>
        </w:rPr>
        <w:t>（8）负责区政府值班工作，指导乡镇（街道）人民政</w:t>
      </w:r>
      <w:r>
        <w:rPr>
          <w:rFonts w:hint="default" w:ascii="Times New Roman" w:hAnsi="Times New Roman" w:eastAsia="仿宋_GB2312" w:cs="Times New Roman"/>
          <w:b w:val="0"/>
          <w:bCs w:val="0"/>
          <w:color w:val="000000"/>
          <w:sz w:val="32"/>
          <w:szCs w:val="32"/>
          <w:lang w:val="en-US" w:eastAsia="en-US" w:bidi="ar-SA"/>
        </w:rPr>
        <w:t>府和区政府部门值班工作，及时报告重要情况。</w:t>
      </w:r>
      <w:r>
        <w:rPr>
          <w:rFonts w:hint="default" w:ascii="Times New Roman" w:hAnsi="Times New Roman" w:eastAsia="仿宋_GB2312" w:cs="Times New Roman"/>
          <w:b w:val="0"/>
          <w:bCs w:val="0"/>
          <w:color w:val="000000"/>
          <w:spacing w:val="6"/>
          <w:sz w:val="32"/>
          <w:szCs w:val="32"/>
          <w:lang w:val="en-US" w:eastAsia="en-US" w:bidi="ar-SA"/>
        </w:rPr>
        <w:t>（9）指导全区应急管理工作，协助区政府领导做好需</w:t>
      </w:r>
      <w:r>
        <w:rPr>
          <w:rFonts w:hint="default" w:ascii="Times New Roman" w:hAnsi="Times New Roman" w:eastAsia="仿宋_GB2312" w:cs="Times New Roman"/>
          <w:b w:val="0"/>
          <w:bCs w:val="0"/>
          <w:color w:val="000000"/>
          <w:sz w:val="32"/>
          <w:szCs w:val="32"/>
          <w:lang w:val="en-US" w:eastAsia="en-US" w:bidi="ar-SA"/>
        </w:rPr>
        <w:t>由区政府组织处理的突发事件的应急处置工作。（10）围绕区政府中心工作，根据区政府领导的指示，组织调查研究，及时反映情况，提出建议。</w:t>
      </w:r>
      <w:r>
        <w:rPr>
          <w:rFonts w:hint="default" w:ascii="Times New Roman" w:hAnsi="Times New Roman" w:eastAsia="仿宋_GB2312" w:cs="Times New Roman"/>
          <w:b w:val="0"/>
          <w:bCs w:val="0"/>
          <w:color w:val="000000"/>
          <w:spacing w:val="-1"/>
          <w:sz w:val="32"/>
          <w:szCs w:val="32"/>
          <w:lang w:val="en-US" w:eastAsia="en-US" w:bidi="ar-SA"/>
        </w:rPr>
        <w:t>（11）组织协调和监督指导全区依法行政，提出推进依法行政的具体措施和工作建议；负责区政府规范性文件、重大决策、重要行政措施发布前的合法性审查和市政府规范性</w:t>
      </w:r>
      <w:r>
        <w:rPr>
          <w:rFonts w:hint="default" w:ascii="Times New Roman" w:hAnsi="Times New Roman" w:eastAsia="仿宋_GB2312" w:cs="Times New Roman"/>
          <w:b w:val="0"/>
          <w:bCs w:val="0"/>
          <w:color w:val="000000"/>
          <w:spacing w:val="6"/>
          <w:sz w:val="32"/>
          <w:szCs w:val="32"/>
          <w:lang w:val="en-US" w:eastAsia="en-US" w:bidi="ar-SA"/>
        </w:rPr>
        <w:t>文件的报送备案工作。（12）根据区委、区政府的规定，负责管理区应急办、区地志办等。（13）办理区委、区政府交办的其他事项</w:t>
      </w:r>
      <w:r>
        <w:rPr>
          <w:rFonts w:hint="default" w:ascii="Times New Roman" w:hAnsi="Times New Roman" w:eastAsia="仿宋_GB2312" w:cs="Times New Roman"/>
          <w:b w:val="0"/>
          <w:bCs w:val="0"/>
          <w:color w:val="000000"/>
          <w:spacing w:val="6"/>
          <w:sz w:val="32"/>
          <w:szCs w:val="32"/>
          <w:lang w:val="en-US" w:eastAsia="zh-CN" w:bidi="ar-SA"/>
        </w:rPr>
        <w:t>。</w:t>
      </w:r>
      <w:r>
        <w:rPr>
          <w:rStyle w:val="35"/>
          <w:rFonts w:hint="eastAsia" w:ascii="黑体" w:hAnsi="黑体" w:eastAsia="黑体"/>
          <w:b w:val="0"/>
          <w:bCs w:val="0"/>
          <w:lang w:eastAsia="zh-CN"/>
        </w:rPr>
        <w:tab/>
      </w:r>
    </w:p>
    <w:p>
      <w:pPr>
        <w:pStyle w:val="4"/>
        <w:pageBreakBefore w:val="0"/>
        <w:widowControl w:val="0"/>
        <w:kinsoku/>
        <w:wordWrap/>
        <w:overflowPunct/>
        <w:topLinePunct w:val="0"/>
        <w:autoSpaceDE/>
        <w:autoSpaceDN/>
        <w:bidi w:val="0"/>
        <w:adjustRightInd/>
        <w:spacing w:before="0" w:after="0"/>
        <w:ind w:firstLine="640" w:firstLineChars="200"/>
        <w:textAlignment w:val="auto"/>
        <w:rPr>
          <w:rFonts w:hint="default"/>
        </w:rPr>
      </w:pPr>
      <w:r>
        <w:rPr>
          <w:rFonts w:hint="eastAsia" w:ascii="Times New Roman" w:hAnsi="仿宋_GB2312" w:eastAsia="仿宋_GB2312" w:cs="Times New Roman"/>
          <w:b w:val="0"/>
          <w:bCs w:val="0"/>
          <w:kern w:val="2"/>
          <w:sz w:val="32"/>
          <w:szCs w:val="32"/>
          <w:lang w:val="en-US" w:eastAsia="en-US" w:bidi="ar-SA"/>
        </w:rPr>
        <w:t xml:space="preserve">我办下属二级单位 </w:t>
      </w:r>
      <w:r>
        <w:rPr>
          <w:rFonts w:hint="eastAsia" w:ascii="Times New Roman" w:hAnsi="仿宋_GB2312" w:eastAsia="仿宋_GB2312" w:cs="Times New Roman"/>
          <w:b w:val="0"/>
          <w:bCs w:val="0"/>
          <w:kern w:val="2"/>
          <w:sz w:val="32"/>
          <w:szCs w:val="32"/>
          <w:lang w:val="en-US" w:eastAsia="zh-CN" w:bidi="ar-SA"/>
        </w:rPr>
        <w:t>2</w:t>
      </w:r>
      <w:r>
        <w:rPr>
          <w:rFonts w:hint="eastAsia" w:ascii="Times New Roman" w:hAnsi="仿宋_GB2312" w:eastAsia="仿宋_GB2312" w:cs="Times New Roman"/>
          <w:b w:val="0"/>
          <w:bCs w:val="0"/>
          <w:kern w:val="2"/>
          <w:sz w:val="32"/>
          <w:szCs w:val="32"/>
          <w:lang w:val="en-US" w:eastAsia="en-US" w:bidi="ar-SA"/>
        </w:rPr>
        <w:t xml:space="preserve"> 个，其中行政单位</w:t>
      </w:r>
      <w:r>
        <w:rPr>
          <w:rFonts w:hint="eastAsia" w:ascii="Times New Roman" w:hAnsi="仿宋_GB2312" w:eastAsia="仿宋_GB2312" w:cs="Times New Roman"/>
          <w:b w:val="0"/>
          <w:bCs w:val="0"/>
          <w:kern w:val="2"/>
          <w:sz w:val="32"/>
          <w:szCs w:val="32"/>
          <w:lang w:val="en-US" w:eastAsia="zh-CN" w:bidi="ar-SA"/>
        </w:rPr>
        <w:t>0</w:t>
      </w:r>
      <w:r>
        <w:rPr>
          <w:rFonts w:hint="eastAsia" w:ascii="Times New Roman" w:hAnsi="仿宋_GB2312" w:eastAsia="仿宋_GB2312" w:cs="Times New Roman"/>
          <w:b w:val="0"/>
          <w:bCs w:val="0"/>
          <w:kern w:val="2"/>
          <w:sz w:val="32"/>
          <w:szCs w:val="32"/>
          <w:lang w:val="en-US" w:eastAsia="en-US" w:bidi="ar-SA"/>
        </w:rPr>
        <w:t xml:space="preserve"> 个</w:t>
      </w:r>
      <w:r>
        <w:rPr>
          <w:rFonts w:hint="eastAsia" w:ascii="Times New Roman" w:hAnsi="仿宋_GB2312" w:eastAsia="仿宋_GB2312" w:cs="Times New Roman"/>
          <w:b w:val="0"/>
          <w:bCs w:val="0"/>
          <w:kern w:val="2"/>
          <w:sz w:val="32"/>
          <w:szCs w:val="32"/>
          <w:lang w:val="en-US" w:eastAsia="zh-CN" w:bidi="ar-SA"/>
        </w:rPr>
        <w:t>，</w:t>
      </w:r>
      <w:r>
        <w:rPr>
          <w:rFonts w:hint="eastAsia" w:ascii="Times New Roman" w:hAnsi="仿宋_GB2312" w:eastAsia="仿宋_GB2312" w:cs="Times New Roman"/>
          <w:b w:val="0"/>
          <w:bCs w:val="0"/>
          <w:kern w:val="2"/>
          <w:sz w:val="32"/>
          <w:szCs w:val="32"/>
          <w:lang w:val="en-US" w:eastAsia="en-US" w:bidi="ar-SA"/>
        </w:rPr>
        <w:t>参照公务员法管理的事业单位 0 个，其他事业单位 2 个</w:t>
      </w:r>
      <w:r>
        <w:rPr>
          <w:rFonts w:hint="eastAsia" w:ascii="Times New Roman" w:hAnsi="仿宋_GB2312" w:eastAsia="仿宋_GB2312" w:cs="Times New Roman"/>
          <w:b w:val="0"/>
          <w:bCs w:val="0"/>
          <w:kern w:val="2"/>
          <w:sz w:val="32"/>
          <w:szCs w:val="32"/>
          <w:lang w:val="en-US" w:eastAsia="zh-CN" w:bidi="ar-SA"/>
        </w:rPr>
        <w:t>，代管单位1个</w:t>
      </w:r>
      <w:r>
        <w:rPr>
          <w:rFonts w:hint="eastAsia" w:ascii="Times New Roman" w:hAnsi="仿宋_GB2312" w:eastAsia="仿宋_GB2312" w:cs="Times New Roman"/>
          <w:b w:val="0"/>
          <w:bCs w:val="0"/>
          <w:kern w:val="2"/>
          <w:sz w:val="32"/>
          <w:szCs w:val="32"/>
          <w:lang w:val="en-US" w:eastAsia="en-US" w:bidi="ar-SA"/>
        </w:rPr>
        <w:t>。纳我办 20</w:t>
      </w:r>
      <w:r>
        <w:rPr>
          <w:rFonts w:hint="eastAsia" w:ascii="Times New Roman" w:hAnsi="仿宋_GB2312" w:eastAsia="仿宋_GB2312" w:cs="Times New Roman"/>
          <w:b w:val="0"/>
          <w:bCs w:val="0"/>
          <w:kern w:val="2"/>
          <w:sz w:val="32"/>
          <w:szCs w:val="32"/>
          <w:lang w:val="en-US" w:eastAsia="zh-CN" w:bidi="ar-SA"/>
        </w:rPr>
        <w:t>21</w:t>
      </w:r>
      <w:r>
        <w:rPr>
          <w:rFonts w:hint="eastAsia" w:ascii="Times New Roman" w:hAnsi="仿宋_GB2312" w:eastAsia="仿宋_GB2312" w:cs="Times New Roman"/>
          <w:b w:val="0"/>
          <w:bCs w:val="0"/>
          <w:kern w:val="2"/>
          <w:sz w:val="32"/>
          <w:szCs w:val="32"/>
          <w:lang w:val="en-US" w:eastAsia="en-US" w:bidi="ar-SA"/>
        </w:rPr>
        <w:t xml:space="preserve"> 年度部门决算编制范围的</w:t>
      </w:r>
      <w:r>
        <w:rPr>
          <w:rFonts w:hint="eastAsia" w:ascii="Times New Roman" w:hAnsi="仿宋_GB2312" w:eastAsia="仿宋_GB2312" w:cs="Times New Roman"/>
          <w:b w:val="0"/>
          <w:bCs w:val="0"/>
          <w:kern w:val="2"/>
          <w:sz w:val="32"/>
          <w:szCs w:val="32"/>
          <w:lang w:val="en-US" w:eastAsia="zh-CN" w:bidi="ar-SA"/>
        </w:rPr>
        <w:t>代管</w:t>
      </w:r>
      <w:r>
        <w:rPr>
          <w:rFonts w:hint="eastAsia" w:ascii="Times New Roman" w:hAnsi="仿宋_GB2312" w:eastAsia="仿宋_GB2312" w:cs="Times New Roman"/>
          <w:b w:val="0"/>
          <w:bCs w:val="0"/>
          <w:kern w:val="2"/>
          <w:sz w:val="32"/>
          <w:szCs w:val="32"/>
          <w:lang w:val="en-US" w:eastAsia="en-US" w:bidi="ar-SA"/>
        </w:rPr>
        <w:t>单</w:t>
      </w:r>
      <w:r>
        <w:rPr>
          <w:rFonts w:hint="eastAsia" w:ascii="Times New Roman" w:hAnsi="仿宋_GB2312" w:eastAsia="仿宋_GB2312" w:cs="Times New Roman"/>
          <w:b w:val="0"/>
          <w:bCs w:val="0"/>
          <w:kern w:val="2"/>
          <w:sz w:val="32"/>
          <w:szCs w:val="32"/>
          <w:lang w:val="en-US" w:eastAsia="zh-CN" w:bidi="ar-SA"/>
        </w:rPr>
        <w:t>位：区金融服务管理中心。</w:t>
      </w:r>
    </w:p>
    <w:p>
      <w:pPr>
        <w:pStyle w:val="4"/>
        <w:numPr>
          <w:ilvl w:val="0"/>
          <w:numId w:val="0"/>
        </w:numPr>
        <w:rPr>
          <w:rFonts w:hint="default" w:ascii="Times New Roman" w:hAnsi="Times New Roman" w:eastAsia="黑体" w:cs="Times New Roman"/>
          <w:b w:val="0"/>
          <w:color w:val="auto"/>
          <w:highlight w:val="none"/>
          <w:lang w:eastAsia="zh-CN"/>
        </w:rPr>
      </w:pPr>
      <w:bookmarkStart w:id="20" w:name="_Toc20478"/>
      <w:r>
        <w:rPr>
          <w:rFonts w:hint="default" w:ascii="Times New Roman" w:hAnsi="Times New Roman" w:eastAsia="黑体" w:cs="Times New Roman"/>
          <w:b w:val="0"/>
          <w:color w:val="auto"/>
          <w:highlight w:val="none"/>
          <w:lang w:val="en-US" w:eastAsia="zh-CN"/>
        </w:rPr>
        <w:t>二、2021年重点</w:t>
      </w:r>
      <w:r>
        <w:rPr>
          <w:rFonts w:hint="default" w:ascii="Times New Roman" w:hAnsi="Times New Roman" w:eastAsia="黑体" w:cs="Times New Roman"/>
          <w:b w:val="0"/>
          <w:color w:val="auto"/>
          <w:highlight w:val="none"/>
        </w:rPr>
        <w:t>工作</w:t>
      </w:r>
      <w:bookmarkEnd w:id="18"/>
      <w:bookmarkEnd w:id="19"/>
      <w:r>
        <w:rPr>
          <w:rFonts w:hint="default" w:ascii="Times New Roman" w:hAnsi="Times New Roman" w:eastAsia="黑体" w:cs="Times New Roman"/>
          <w:b w:val="0"/>
          <w:color w:val="auto"/>
          <w:highlight w:val="none"/>
          <w:lang w:eastAsia="zh-CN"/>
        </w:rPr>
        <w:t>完成情况</w:t>
      </w:r>
      <w:bookmarkEnd w:id="20"/>
    </w:p>
    <w:p>
      <w:pPr>
        <w:pageBreakBefore w:val="0"/>
        <w:widowControl/>
        <w:numPr>
          <w:ilvl w:val="0"/>
          <w:numId w:val="0"/>
        </w:numPr>
        <w:kinsoku/>
        <w:wordWrap/>
        <w:overflowPunct/>
        <w:topLinePunct w:val="0"/>
        <w:bidi w:val="0"/>
        <w:adjustRightInd w:val="0"/>
        <w:snapToGrid w:val="0"/>
        <w:spacing w:line="576" w:lineRule="exact"/>
        <w:ind w:firstLine="636" w:firstLineChars="200"/>
        <w:jc w:val="both"/>
        <w:textAlignment w:val="auto"/>
        <w:rPr>
          <w:rFonts w:hint="default" w:ascii="Times New Roman" w:hAnsi="Times New Roman" w:eastAsia="仿宋_GB2312" w:cs="Times New Roman"/>
          <w:b w:val="0"/>
          <w:bCs w:val="0"/>
          <w:color w:val="000000"/>
          <w:spacing w:val="-1"/>
          <w:sz w:val="32"/>
          <w:szCs w:val="32"/>
          <w:lang w:val="en-US" w:eastAsia="zh-CN" w:bidi="ar-SA"/>
        </w:rPr>
      </w:pPr>
      <w:r>
        <w:rPr>
          <w:rFonts w:hint="default" w:ascii="Times New Roman" w:hAnsi="Times New Roman" w:eastAsia="仿宋_GB2312" w:cs="Times New Roman"/>
          <w:b w:val="0"/>
          <w:bCs w:val="0"/>
          <w:color w:val="000000"/>
          <w:spacing w:val="-1"/>
          <w:sz w:val="32"/>
          <w:szCs w:val="32"/>
          <w:lang w:val="en-US" w:eastAsia="zh-CN" w:bidi="ar-SA"/>
        </w:rPr>
        <w:t>（1）紧扣重点工作，优化政务服务。严把公文质量考核关，协调办理人大代表建议、政协委员提案 154 件，办结率 100%。严格执行精文减会等相关制度，认真做好会务的统筹协调，切实做好会务工作，实现办会零差错。继续扎实推行电子政务外网公文运行，全年电子公文交换率达 95%以上，办结率 100%，实现部门、乡（镇）电子公文系统全覆盖。积极参与政务，主动开展调研活动 30 余次，完成调研文章 10篇，撰写区政府领导各类讲话材料 180 余篇。及时上报信息，被市政府办《政务晨讯》采用 78 条。</w:t>
      </w:r>
    </w:p>
    <w:p>
      <w:pPr>
        <w:pageBreakBefore w:val="0"/>
        <w:widowControl/>
        <w:numPr>
          <w:ilvl w:val="0"/>
          <w:numId w:val="0"/>
        </w:numPr>
        <w:kinsoku/>
        <w:wordWrap/>
        <w:overflowPunct/>
        <w:topLinePunct w:val="0"/>
        <w:bidi w:val="0"/>
        <w:adjustRightInd w:val="0"/>
        <w:snapToGrid w:val="0"/>
        <w:spacing w:line="576" w:lineRule="exact"/>
        <w:ind w:firstLine="636" w:firstLineChars="200"/>
        <w:jc w:val="both"/>
        <w:textAlignment w:val="auto"/>
        <w:rPr>
          <w:rFonts w:hint="default" w:ascii="Times New Roman" w:hAnsi="Times New Roman" w:eastAsia="仿宋_GB2312" w:cs="Times New Roman"/>
          <w:b w:val="0"/>
          <w:bCs w:val="0"/>
          <w:color w:val="000000"/>
          <w:spacing w:val="-1"/>
          <w:sz w:val="32"/>
          <w:szCs w:val="32"/>
          <w:lang w:val="en-US" w:eastAsia="zh-CN" w:bidi="ar-SA"/>
        </w:rPr>
      </w:pPr>
      <w:r>
        <w:rPr>
          <w:rFonts w:hint="default" w:ascii="Times New Roman" w:hAnsi="Times New Roman" w:eastAsia="仿宋_GB2312" w:cs="Times New Roman"/>
          <w:b w:val="0"/>
          <w:bCs w:val="0"/>
          <w:color w:val="000000"/>
          <w:spacing w:val="-1"/>
          <w:sz w:val="32"/>
          <w:szCs w:val="32"/>
          <w:lang w:val="en-US" w:eastAsia="zh-CN" w:bidi="ar-SA"/>
        </w:rPr>
        <w:t>（2）注重公开透明，抓实信息工作。严格执行《信息公开条例》，不断拓宽公开范围，丰富公开载体，加强财政资金、公共资源配置、民生工程、机关财务预决算、政府采购等重点领域的信息公开，全年发布信息 1.3 万条，图解信息110 条。充分利用网络资源，完善网上办事、互动交流等栏目。稳步推进政务外网建设，完成了市级政务信息资源共享平台、政府网站集约化平台的接入工作，建成了区乡两级标准统一的电子政务外网平台，延伸至村级网络覆盖率 80%以上。</w:t>
      </w:r>
    </w:p>
    <w:p>
      <w:pPr>
        <w:pageBreakBefore w:val="0"/>
        <w:widowControl/>
        <w:numPr>
          <w:ilvl w:val="0"/>
          <w:numId w:val="0"/>
        </w:numPr>
        <w:kinsoku/>
        <w:wordWrap/>
        <w:overflowPunct/>
        <w:topLinePunct w:val="0"/>
        <w:bidi w:val="0"/>
        <w:adjustRightInd w:val="0"/>
        <w:snapToGrid w:val="0"/>
        <w:spacing w:line="576" w:lineRule="exact"/>
        <w:ind w:firstLine="636" w:firstLineChars="200"/>
        <w:jc w:val="both"/>
        <w:textAlignment w:val="auto"/>
        <w:rPr>
          <w:rFonts w:hint="default" w:ascii="Times New Roman" w:hAnsi="Times New Roman" w:eastAsia="仿宋_GB2312" w:cs="Times New Roman"/>
          <w:b w:val="0"/>
          <w:bCs w:val="0"/>
          <w:color w:val="000000"/>
          <w:spacing w:val="-1"/>
          <w:sz w:val="32"/>
          <w:szCs w:val="32"/>
          <w:lang w:val="en-US" w:eastAsia="zh-CN" w:bidi="ar-SA"/>
        </w:rPr>
      </w:pPr>
      <w:r>
        <w:rPr>
          <w:rFonts w:hint="default" w:ascii="Times New Roman" w:hAnsi="Times New Roman" w:eastAsia="仿宋_GB2312" w:cs="Times New Roman"/>
          <w:b w:val="0"/>
          <w:bCs w:val="0"/>
          <w:color w:val="000000"/>
          <w:spacing w:val="-1"/>
          <w:sz w:val="32"/>
          <w:szCs w:val="32"/>
          <w:lang w:val="en-US" w:eastAsia="zh-CN" w:bidi="ar-SA"/>
        </w:rPr>
        <w:t>（3）强化督查督办，狠抓工作落实。持续深入开展“三张清单”督办，把重要批示文件、会议部署、常务会议议定事项等纳入日常督查，有效保证了区委区政府决策部署有效贯彻落实。积极组织开展政府工作报告半年督办，省市重点项目建设、重点项目建设、农村土坯房改造、中央环保督察问题整改、易地扶贫搬迁等专项督办，切实推动全区中心工作高效推进落实。</w:t>
      </w:r>
    </w:p>
    <w:p>
      <w:pPr>
        <w:pageBreakBefore w:val="0"/>
        <w:widowControl/>
        <w:numPr>
          <w:ilvl w:val="0"/>
          <w:numId w:val="0"/>
        </w:numPr>
        <w:kinsoku/>
        <w:wordWrap/>
        <w:overflowPunct/>
        <w:topLinePunct w:val="0"/>
        <w:bidi w:val="0"/>
        <w:adjustRightInd w:val="0"/>
        <w:snapToGrid w:val="0"/>
        <w:spacing w:line="576" w:lineRule="exact"/>
        <w:ind w:firstLine="636" w:firstLineChars="200"/>
        <w:jc w:val="both"/>
        <w:textAlignment w:val="auto"/>
        <w:rPr>
          <w:rFonts w:hint="default" w:ascii="Times New Roman" w:hAnsi="Times New Roman" w:eastAsia="仿宋_GB2312" w:cs="Times New Roman"/>
          <w:b w:val="0"/>
          <w:bCs w:val="0"/>
          <w:color w:val="000000"/>
          <w:spacing w:val="-1"/>
          <w:sz w:val="32"/>
          <w:szCs w:val="32"/>
          <w:lang w:val="en-US" w:eastAsia="en-US" w:bidi="ar-SA"/>
        </w:rPr>
      </w:pPr>
    </w:p>
    <w:p>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3"/>
        <w:ind w:right="440"/>
        <w:jc w:val="center"/>
        <w:rPr>
          <w:rStyle w:val="25"/>
          <w:rFonts w:hint="default" w:ascii="Times New Roman" w:hAnsi="Times New Roman" w:eastAsia="黑体" w:cs="Times New Roman"/>
          <w:b w:val="0"/>
          <w:bCs/>
          <w:color w:val="auto"/>
          <w:highlight w:val="none"/>
        </w:rPr>
      </w:pPr>
      <w:bookmarkStart w:id="21" w:name="_Toc15396602"/>
      <w:bookmarkStart w:id="22" w:name="_Toc27610"/>
      <w:bookmarkStart w:id="23" w:name="_Toc15377204"/>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2021年度</w:t>
      </w:r>
      <w:r>
        <w:rPr>
          <w:rStyle w:val="25"/>
          <w:rFonts w:hint="default" w:ascii="Times New Roman" w:hAnsi="Times New Roman" w:eastAsia="黑体" w:cs="Times New Roman"/>
          <w:b w:val="0"/>
          <w:bCs/>
          <w:color w:val="auto"/>
          <w:highlight w:val="none"/>
          <w:lang w:eastAsia="zh-CN"/>
        </w:rPr>
        <w:t>单位</w:t>
      </w:r>
      <w:r>
        <w:rPr>
          <w:rStyle w:val="25"/>
          <w:rFonts w:hint="default" w:ascii="Times New Roman" w:hAnsi="Times New Roman" w:eastAsia="黑体" w:cs="Times New Roman"/>
          <w:b w:val="0"/>
          <w:bCs/>
          <w:color w:val="auto"/>
          <w:highlight w:val="none"/>
        </w:rPr>
        <w:t>决算情况说明</w:t>
      </w:r>
      <w:bookmarkEnd w:id="21"/>
      <w:bookmarkEnd w:id="22"/>
      <w:bookmarkEnd w:id="23"/>
    </w:p>
    <w:p>
      <w:pPr>
        <w:rPr>
          <w:rFonts w:hint="default" w:ascii="Times New Roman" w:hAnsi="Times New Roman" w:cs="Times New Roman"/>
          <w:color w:val="auto"/>
          <w:highlight w:val="none"/>
        </w:rPr>
      </w:pPr>
    </w:p>
    <w:p>
      <w:pPr>
        <w:pStyle w:val="24"/>
        <w:numPr>
          <w:ilvl w:val="0"/>
          <w:numId w:val="3"/>
        </w:numPr>
        <w:spacing w:line="600" w:lineRule="exact"/>
        <w:ind w:firstLineChars="0"/>
        <w:outlineLvl w:val="1"/>
        <w:rPr>
          <w:rStyle w:val="26"/>
          <w:rFonts w:hint="default" w:ascii="Times New Roman" w:hAnsi="Times New Roman" w:eastAsia="黑体" w:cs="Times New Roman"/>
          <w:b w:val="0"/>
          <w:color w:val="auto"/>
          <w:highlight w:val="none"/>
        </w:rPr>
      </w:pPr>
      <w:bookmarkStart w:id="24" w:name="_Toc15377205"/>
      <w:bookmarkStart w:id="25" w:name="_Toc9388"/>
      <w:bookmarkStart w:id="26" w:name="_Toc15396603"/>
      <w:r>
        <w:rPr>
          <w:rFonts w:hint="default" w:ascii="Times New Roman" w:hAnsi="Times New Roman" w:eastAsia="黑体" w:cs="Times New Roman"/>
          <w:color w:val="auto"/>
          <w:sz w:val="32"/>
          <w:szCs w:val="32"/>
          <w:highlight w:val="none"/>
        </w:rPr>
        <w:t>收</w:t>
      </w:r>
      <w:r>
        <w:rPr>
          <w:rStyle w:val="26"/>
          <w:rFonts w:hint="default" w:ascii="Times New Roman" w:hAnsi="Times New Roman" w:eastAsia="黑体" w:cs="Times New Roman"/>
          <w:b w:val="0"/>
          <w:color w:val="auto"/>
          <w:highlight w:val="none"/>
        </w:rPr>
        <w:t>入支出决算总体情况说明</w:t>
      </w:r>
      <w:bookmarkEnd w:id="24"/>
      <w:bookmarkEnd w:id="25"/>
      <w:bookmarkEnd w:id="26"/>
    </w:p>
    <w:p>
      <w:pPr>
        <w:spacing w:line="600" w:lineRule="exact"/>
        <w:ind w:firstLine="640" w:firstLineChars="200"/>
        <w:rPr>
          <w:rFonts w:hint="default" w:ascii="Times New Roman" w:hAnsi="Times New Roman" w:eastAsia="仿宋_GB2312" w:cs="Times New Roman"/>
          <w:color w:val="000000"/>
          <w:spacing w:val="6"/>
          <w:sz w:val="32"/>
          <w:szCs w:val="32"/>
          <w:lang w:val="en-US" w:eastAsia="zh-CN" w:bidi="ar-SA"/>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年度收、支总计</w:t>
      </w:r>
      <w:r>
        <w:rPr>
          <w:rFonts w:hint="default" w:ascii="Times New Roman" w:hAnsi="Times New Roman" w:eastAsia="仿宋_GB2312" w:cs="Times New Roman"/>
          <w:color w:val="000000"/>
          <w:spacing w:val="6"/>
          <w:sz w:val="32"/>
          <w:szCs w:val="32"/>
          <w:lang w:val="en-US" w:eastAsia="zh-CN" w:bidi="ar-SA"/>
        </w:rPr>
        <w:t>891.97</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年相比，收、支总计</w:t>
      </w:r>
      <w:r>
        <w:rPr>
          <w:rFonts w:hint="default" w:ascii="Times New Roman" w:hAnsi="Times New Roman" w:eastAsia="仿宋" w:cs="Times New Roman"/>
          <w:color w:val="auto"/>
          <w:sz w:val="32"/>
          <w:szCs w:val="32"/>
          <w:highlight w:val="none"/>
          <w:lang w:eastAsia="zh-CN"/>
        </w:rPr>
        <w:t>减少</w:t>
      </w:r>
      <w:r>
        <w:rPr>
          <w:rFonts w:hint="default" w:ascii="Times New Roman" w:hAnsi="Times New Roman" w:eastAsia="仿宋_GB2312" w:cs="Times New Roman"/>
          <w:color w:val="000000"/>
          <w:spacing w:val="6"/>
          <w:sz w:val="32"/>
          <w:szCs w:val="32"/>
          <w:lang w:val="en-US" w:eastAsia="zh-CN" w:bidi="ar-SA"/>
        </w:rPr>
        <w:t>204.76</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18.7</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color w:val="000000"/>
          <w:spacing w:val="6"/>
          <w:sz w:val="32"/>
          <w:szCs w:val="32"/>
          <w:lang w:val="en-US" w:eastAsia="zh-CN" w:bidi="ar-SA"/>
        </w:rPr>
        <w:t>公用经费减少及职能职责减少。</w:t>
      </w:r>
    </w:p>
    <w:p>
      <w:pPr>
        <w:pStyle w:val="17"/>
        <w:rPr>
          <w:rFonts w:hint="default" w:ascii="Times New Roman" w:hAnsi="Times New Roman" w:eastAsia="仿宋_GB2312" w:cs="Times New Roman"/>
          <w:color w:val="000000"/>
          <w:spacing w:val="6"/>
          <w:sz w:val="32"/>
          <w:szCs w:val="32"/>
          <w:lang w:val="en-US" w:eastAsia="zh-CN" w:bidi="ar-SA"/>
        </w:rPr>
      </w:pPr>
      <w:r>
        <w:rPr>
          <w:rFonts w:hint="default" w:ascii="Times New Roman" w:hAnsi="Times New Roman" w:cs="Times New Roman"/>
        </w:rPr>
        <w:drawing>
          <wp:inline distT="0" distB="0" distL="114300" distR="114300">
            <wp:extent cx="5307330" cy="2316480"/>
            <wp:effectExtent l="4445" t="4445" r="22225" b="222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default" w:ascii="Times New Roman" w:hAnsi="Times New Roman" w:eastAsia="仿宋_GB2312" w:cs="Times New Roman"/>
          <w:color w:val="000000"/>
          <w:spacing w:val="6"/>
          <w:sz w:val="32"/>
          <w:szCs w:val="32"/>
          <w:lang w:val="en-US" w:eastAsia="zh-CN" w:bidi="ar-SA"/>
        </w:rPr>
      </w:pPr>
      <w:r>
        <w:rPr>
          <w:rFonts w:hint="default" w:ascii="Times New Roman" w:hAnsi="Times New Roman" w:eastAsia="仿宋" w:cs="Times New Roman"/>
          <w:color w:val="auto"/>
          <w:sz w:val="32"/>
          <w:szCs w:val="32"/>
          <w:highlight w:val="none"/>
        </w:rPr>
        <w:t>（图1：收、支决算总计变动情况图）（柱状图）</w:t>
      </w:r>
    </w:p>
    <w:p>
      <w:pPr>
        <w:pStyle w:val="24"/>
        <w:numPr>
          <w:ilvl w:val="0"/>
          <w:numId w:val="3"/>
        </w:numPr>
        <w:spacing w:line="600" w:lineRule="exact"/>
        <w:ind w:firstLineChars="0"/>
        <w:outlineLvl w:val="1"/>
        <w:rPr>
          <w:rStyle w:val="26"/>
          <w:rFonts w:hint="default" w:ascii="Times New Roman" w:hAnsi="Times New Roman" w:eastAsia="黑体" w:cs="Times New Roman"/>
          <w:b w:val="0"/>
          <w:color w:val="auto"/>
          <w:highlight w:val="none"/>
        </w:rPr>
      </w:pPr>
      <w:bookmarkStart w:id="27" w:name="_Toc15396604"/>
      <w:bookmarkStart w:id="28" w:name="_Toc3185"/>
      <w:bookmarkStart w:id="29" w:name="_Toc15377206"/>
      <w:r>
        <w:rPr>
          <w:rFonts w:hint="default" w:ascii="Times New Roman" w:hAnsi="Times New Roman" w:eastAsia="黑体" w:cs="Times New Roman"/>
          <w:color w:val="auto"/>
          <w:sz w:val="32"/>
          <w:szCs w:val="32"/>
          <w:highlight w:val="none"/>
        </w:rPr>
        <w:t>收</w:t>
      </w:r>
      <w:r>
        <w:rPr>
          <w:rStyle w:val="26"/>
          <w:rFonts w:hint="default" w:ascii="Times New Roman" w:hAnsi="Times New Roman" w:eastAsia="黑体" w:cs="Times New Roman"/>
          <w:b w:val="0"/>
          <w:color w:val="auto"/>
          <w:highlight w:val="none"/>
        </w:rPr>
        <w:t>入决算情况说明</w:t>
      </w:r>
      <w:bookmarkEnd w:id="27"/>
      <w:bookmarkEnd w:id="28"/>
      <w:bookmarkEnd w:id="29"/>
    </w:p>
    <w:p>
      <w:pPr>
        <w:spacing w:line="600" w:lineRule="exact"/>
        <w:ind w:firstLine="640" w:firstLineChars="200"/>
        <w:outlineLvl w:val="1"/>
        <w:rPr>
          <w:rFonts w:hint="default" w:ascii="Times New Roman" w:hAnsi="Times New Roman" w:eastAsia="仿宋" w:cs="Times New Roman"/>
          <w:color w:val="auto"/>
          <w:sz w:val="32"/>
          <w:szCs w:val="32"/>
          <w:highlight w:val="none"/>
        </w:rPr>
      </w:pPr>
      <w:bookmarkStart w:id="30" w:name="_Toc14372"/>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年本年收入合计</w:t>
      </w:r>
      <w:r>
        <w:rPr>
          <w:rFonts w:hint="default" w:ascii="Times New Roman" w:hAnsi="Times New Roman" w:eastAsia="仿宋" w:cs="Times New Roman"/>
          <w:color w:val="auto"/>
          <w:sz w:val="32"/>
          <w:szCs w:val="32"/>
          <w:highlight w:val="none"/>
          <w:lang w:val="en-US" w:eastAsia="zh-CN"/>
        </w:rPr>
        <w:t>772.77</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772.77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%；政府性基金预算财政拨款收入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国有资本经营预算财政拨款收入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%；上级补助收入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%；附属单位上缴收入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bookmarkEnd w:id="30"/>
    </w:p>
    <w:p>
      <w:pPr>
        <w:pStyle w:val="2"/>
        <w:rPr>
          <w:rFonts w:hint="default" w:ascii="Times New Roman" w:hAnsi="Times New Roman" w:eastAsia="仿宋" w:cs="Times New Roman"/>
          <w:color w:val="auto"/>
          <w:sz w:val="32"/>
          <w:szCs w:val="32"/>
          <w:highlight w:val="none"/>
        </w:rPr>
      </w:pPr>
    </w:p>
    <w:p>
      <w:pPr>
        <w:pStyle w:val="2"/>
        <w:rPr>
          <w:rFonts w:hint="default" w:ascii="Times New Roman" w:hAnsi="Times New Roman" w:eastAsia="仿宋" w:cs="Times New Roman"/>
          <w:color w:val="auto"/>
          <w:sz w:val="32"/>
          <w:szCs w:val="32"/>
          <w:highlight w:val="none"/>
        </w:rPr>
      </w:pPr>
    </w:p>
    <w:p>
      <w:pPr>
        <w:pStyle w:val="2"/>
        <w:rPr>
          <w:rFonts w:hint="default" w:ascii="Times New Roman" w:hAnsi="Times New Roman" w:eastAsia="仿宋" w:cs="Times New Roman"/>
          <w:color w:val="auto"/>
          <w:sz w:val="32"/>
          <w:szCs w:val="32"/>
          <w:highlight w:val="none"/>
        </w:rPr>
      </w:pPr>
    </w:p>
    <w:p>
      <w:pPr>
        <w:pStyle w:val="2"/>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inline distT="0" distB="0" distL="114300" distR="114300">
            <wp:extent cx="4717415" cy="2762250"/>
            <wp:effectExtent l="4445" t="4445" r="2159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（图2：收入决算结构图）（饼状图）</w:t>
      </w:r>
    </w:p>
    <w:p>
      <w:pPr>
        <w:pStyle w:val="24"/>
        <w:numPr>
          <w:ilvl w:val="0"/>
          <w:numId w:val="3"/>
        </w:numPr>
        <w:spacing w:line="600" w:lineRule="exact"/>
        <w:ind w:firstLineChars="0"/>
        <w:outlineLvl w:val="1"/>
        <w:rPr>
          <w:rStyle w:val="26"/>
          <w:rFonts w:hint="default" w:ascii="Times New Roman" w:hAnsi="Times New Roman" w:eastAsia="黑体" w:cs="Times New Roman"/>
          <w:b w:val="0"/>
          <w:color w:val="auto"/>
          <w:highlight w:val="none"/>
        </w:rPr>
      </w:pPr>
      <w:bookmarkStart w:id="31" w:name="_Toc15396605"/>
      <w:bookmarkStart w:id="32" w:name="_Toc15377207"/>
      <w:bookmarkStart w:id="33" w:name="_Toc32507"/>
      <w:r>
        <w:rPr>
          <w:rFonts w:hint="default" w:ascii="Times New Roman" w:hAnsi="Times New Roman" w:eastAsia="黑体" w:cs="Times New Roman"/>
          <w:color w:val="auto"/>
          <w:sz w:val="32"/>
          <w:szCs w:val="32"/>
          <w:highlight w:val="none"/>
        </w:rPr>
        <w:t>支</w:t>
      </w:r>
      <w:r>
        <w:rPr>
          <w:rStyle w:val="26"/>
          <w:rFonts w:hint="default" w:ascii="Times New Roman" w:hAnsi="Times New Roman" w:eastAsia="黑体" w:cs="Times New Roman"/>
          <w:b w:val="0"/>
          <w:color w:val="auto"/>
          <w:highlight w:val="none"/>
        </w:rPr>
        <w:t>出决算情况说明</w:t>
      </w:r>
      <w:bookmarkEnd w:id="31"/>
      <w:bookmarkEnd w:id="32"/>
      <w:bookmarkEnd w:id="33"/>
    </w:p>
    <w:p>
      <w:pPr>
        <w:spacing w:line="600" w:lineRule="exact"/>
        <w:ind w:firstLine="640" w:firstLineChars="200"/>
        <w:outlineLvl w:val="1"/>
        <w:rPr>
          <w:rFonts w:hint="default" w:ascii="Times New Roman" w:hAnsi="Times New Roman" w:eastAsia="仿宋" w:cs="Times New Roman"/>
          <w:color w:val="auto"/>
          <w:sz w:val="32"/>
          <w:szCs w:val="32"/>
          <w:highlight w:val="none"/>
          <w:lang w:eastAsia="zh-CN"/>
        </w:rPr>
      </w:pPr>
      <w:bookmarkStart w:id="34" w:name="_Toc13268"/>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年本年支出合计</w:t>
      </w:r>
      <w:r>
        <w:rPr>
          <w:rFonts w:hint="default" w:ascii="Times New Roman" w:hAnsi="Times New Roman" w:eastAsia="仿宋" w:cs="Times New Roman"/>
          <w:color w:val="auto"/>
          <w:sz w:val="32"/>
          <w:szCs w:val="32"/>
          <w:highlight w:val="none"/>
          <w:lang w:val="en-US" w:eastAsia="zh-CN"/>
        </w:rPr>
        <w:t>855.77</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772.77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90.3</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83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bookmarkEnd w:id="34"/>
    </w:p>
    <w:p>
      <w:pPr>
        <w:pStyle w:val="2"/>
        <w:rPr>
          <w:rFonts w:hint="default" w:ascii="Times New Roman" w:hAnsi="Times New Roman" w:eastAsia="仿宋" w:cs="Times New Roman"/>
          <w:color w:val="auto"/>
          <w:sz w:val="32"/>
          <w:szCs w:val="32"/>
          <w:highlight w:val="none"/>
          <w:lang w:eastAsia="zh-CN"/>
        </w:rPr>
      </w:pPr>
      <w:r>
        <w:rPr>
          <w:rFonts w:hint="default" w:ascii="Times New Roman" w:hAnsi="Times New Roman" w:cs="Times New Roman"/>
        </w:rPr>
        <w:drawing>
          <wp:inline distT="0" distB="0" distL="114300" distR="114300">
            <wp:extent cx="4007485" cy="1842135"/>
            <wp:effectExtent l="4445" t="4445" r="7620" b="2032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（图3：支出决算结构图）（饼状图）</w:t>
      </w:r>
    </w:p>
    <w:p>
      <w:pPr>
        <w:spacing w:line="600" w:lineRule="exact"/>
        <w:ind w:firstLine="640" w:firstLineChars="200"/>
        <w:outlineLvl w:val="1"/>
        <w:rPr>
          <w:rStyle w:val="26"/>
          <w:rFonts w:hint="default" w:ascii="Times New Roman" w:hAnsi="Times New Roman" w:eastAsia="黑体" w:cs="Times New Roman"/>
          <w:b w:val="0"/>
          <w:color w:val="auto"/>
          <w:highlight w:val="none"/>
        </w:rPr>
      </w:pPr>
      <w:bookmarkStart w:id="35" w:name="_Toc922"/>
      <w:bookmarkStart w:id="36" w:name="_Toc15377208"/>
      <w:bookmarkStart w:id="37" w:name="_Toc15396606"/>
      <w:r>
        <w:rPr>
          <w:rFonts w:hint="default" w:ascii="Times New Roman" w:hAnsi="Times New Roman" w:eastAsia="黑体" w:cs="Times New Roman"/>
          <w:color w:val="auto"/>
          <w:sz w:val="32"/>
          <w:szCs w:val="32"/>
          <w:highlight w:val="none"/>
        </w:rPr>
        <w:t>四、财</w:t>
      </w:r>
      <w:r>
        <w:rPr>
          <w:rStyle w:val="26"/>
          <w:rFonts w:hint="default" w:ascii="Times New Roman" w:hAnsi="Times New Roman" w:eastAsia="黑体" w:cs="Times New Roman"/>
          <w:b w:val="0"/>
          <w:color w:val="auto"/>
          <w:highlight w:val="none"/>
        </w:rPr>
        <w:t>政拨款收入支出决算总体情况说明</w:t>
      </w:r>
      <w:bookmarkEnd w:id="35"/>
      <w:bookmarkEnd w:id="36"/>
      <w:bookmarkEnd w:id="37"/>
    </w:p>
    <w:p>
      <w:pPr>
        <w:spacing w:line="600" w:lineRule="exact"/>
        <w:ind w:firstLine="640" w:firstLineChars="200"/>
        <w:rPr>
          <w:rFonts w:hint="default" w:ascii="Times New Roman" w:hAnsi="Times New Roman" w:eastAsia="仿宋_GB2312" w:cs="Times New Roman"/>
          <w:color w:val="000000"/>
          <w:spacing w:val="6"/>
          <w:sz w:val="32"/>
          <w:szCs w:val="32"/>
          <w:lang w:val="en-US" w:eastAsia="zh-CN" w:bidi="ar-SA"/>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年财政拨款收、支总计</w:t>
      </w:r>
      <w:r>
        <w:rPr>
          <w:rFonts w:hint="default" w:ascii="Times New Roman" w:hAnsi="Times New Roman" w:eastAsia="仿宋" w:cs="Times New Roman"/>
          <w:color w:val="auto"/>
          <w:sz w:val="32"/>
          <w:szCs w:val="32"/>
          <w:highlight w:val="none"/>
          <w:lang w:val="en-US" w:eastAsia="zh-CN"/>
        </w:rPr>
        <w:t>891.97</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年相比，财政拨款收、支总计减少</w:t>
      </w:r>
      <w:r>
        <w:rPr>
          <w:rFonts w:hint="default" w:ascii="Times New Roman" w:hAnsi="Times New Roman" w:eastAsia="仿宋" w:cs="Times New Roman"/>
          <w:color w:val="auto"/>
          <w:sz w:val="32"/>
          <w:szCs w:val="32"/>
          <w:highlight w:val="none"/>
          <w:lang w:val="en-US" w:eastAsia="zh-CN"/>
        </w:rPr>
        <w:t>204.76</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18.7</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color w:val="000000"/>
          <w:spacing w:val="6"/>
          <w:sz w:val="32"/>
          <w:szCs w:val="32"/>
          <w:lang w:val="en-US" w:eastAsia="zh-CN" w:bidi="ar-SA"/>
        </w:rPr>
        <w:t>公用经费减少及职能职责减少。</w:t>
      </w:r>
    </w:p>
    <w:p>
      <w:pPr>
        <w:pStyle w:val="2"/>
        <w:rPr>
          <w:rFonts w:hint="default" w:ascii="Times New Roman" w:hAnsi="Times New Roman" w:eastAsia="仿宋_GB2312" w:cs="Times New Roman"/>
          <w:color w:val="000000"/>
          <w:spacing w:val="6"/>
          <w:sz w:val="32"/>
          <w:szCs w:val="32"/>
          <w:lang w:val="en-US" w:eastAsia="zh-CN" w:bidi="ar-SA"/>
        </w:rPr>
      </w:pPr>
      <w:r>
        <w:rPr>
          <w:rFonts w:hint="default" w:ascii="Times New Roman" w:hAnsi="Times New Roman" w:cs="Times New Roman"/>
        </w:rPr>
        <w:drawing>
          <wp:inline distT="0" distB="0" distL="114300" distR="114300">
            <wp:extent cx="4445000" cy="2482850"/>
            <wp:effectExtent l="4445" t="4445" r="8255" b="825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6"/>
          <w:rFonts w:hint="default" w:ascii="Times New Roman" w:hAnsi="Times New Roman" w:eastAsia="黑体" w:cs="Times New Roman"/>
          <w:b w:val="0"/>
          <w:color w:val="auto"/>
          <w:highlight w:val="none"/>
        </w:rPr>
      </w:pPr>
      <w:bookmarkStart w:id="38" w:name="_Toc27142"/>
      <w:bookmarkStart w:id="39" w:name="_Toc15377209"/>
      <w:bookmarkStart w:id="40"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6"/>
          <w:rFonts w:hint="default" w:ascii="Times New Roman" w:hAnsi="Times New Roman" w:eastAsia="黑体" w:cs="Times New Roman"/>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41" w:name="_Toc15377210"/>
      <w:r>
        <w:rPr>
          <w:rFonts w:hint="default" w:ascii="Times New Roman" w:hAnsi="Times New Roman" w:eastAsia="仿宋" w:cs="Times New Roman"/>
          <w:b/>
          <w:color w:val="auto"/>
          <w:sz w:val="32"/>
          <w:szCs w:val="32"/>
          <w:highlight w:val="none"/>
        </w:rPr>
        <w:t>（一）一般公共预算财政拨款支出决算总体情况</w:t>
      </w:r>
      <w:bookmarkEnd w:id="41"/>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855.77</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95.94</w:t>
      </w:r>
      <w:r>
        <w:rPr>
          <w:rFonts w:hint="default" w:ascii="Times New Roman" w:hAnsi="Times New Roman" w:eastAsia="仿宋" w:cs="Times New Roman"/>
          <w:color w:val="auto"/>
          <w:sz w:val="32"/>
          <w:szCs w:val="32"/>
          <w:highlight w:val="none"/>
        </w:rPr>
        <w:t>%。与20</w:t>
      </w:r>
      <w:r>
        <w:rPr>
          <w:rFonts w:hint="default"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年相比，一般公共预算财政拨款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减少</w:t>
      </w:r>
      <w:r>
        <w:rPr>
          <w:rFonts w:hint="default" w:ascii="Times New Roman" w:hAnsi="Times New Roman" w:eastAsia="仿宋" w:cs="Times New Roman"/>
          <w:color w:val="auto"/>
          <w:sz w:val="32"/>
          <w:szCs w:val="32"/>
          <w:highlight w:val="none"/>
          <w:lang w:val="en-US" w:eastAsia="zh-CN"/>
        </w:rPr>
        <w:t>121.76</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12.46</w:t>
      </w:r>
      <w:r>
        <w:rPr>
          <w:rFonts w:hint="default" w:ascii="Times New Roman" w:hAnsi="Times New Roman" w:eastAsia="仿宋" w:cs="Times New Roman"/>
          <w:color w:val="auto"/>
          <w:sz w:val="32"/>
          <w:szCs w:val="32"/>
          <w:highlight w:val="none"/>
        </w:rPr>
        <w:t>%。主要变动原因是</w:t>
      </w:r>
    </w:p>
    <w:p>
      <w:pPr>
        <w:pStyle w:val="2"/>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000000"/>
          <w:spacing w:val="6"/>
          <w:sz w:val="32"/>
          <w:szCs w:val="32"/>
          <w:lang w:val="en-US" w:eastAsia="zh-CN" w:bidi="ar-SA"/>
        </w:rPr>
        <w:t>公用经费减少及职能职责减少。</w:t>
      </w:r>
    </w:p>
    <w:p>
      <w:pPr>
        <w:pStyle w:val="2"/>
        <w:rPr>
          <w:rFonts w:hint="default" w:ascii="Times New Roman" w:hAnsi="Times New Roman" w:cs="Times New Roman"/>
        </w:rPr>
      </w:pPr>
      <w:r>
        <w:rPr>
          <w:rFonts w:hint="default" w:ascii="Times New Roman" w:hAnsi="Times New Roman" w:cs="Times New Roman"/>
        </w:rP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rPr>
          <w:rFonts w:hint="default" w:ascii="Times New Roman" w:hAnsi="Times New Roman" w:eastAsia="仿宋" w:cs="Times New Roman"/>
          <w:color w:val="auto"/>
          <w:w w:val="90"/>
          <w:sz w:val="32"/>
          <w:szCs w:val="32"/>
          <w:highlight w:val="none"/>
        </w:rPr>
      </w:pPr>
      <w:r>
        <w:rPr>
          <w:rFonts w:hint="default" w:ascii="Times New Roman" w:hAnsi="Times New Roman" w:eastAsia="仿宋" w:cs="Times New Roman"/>
          <w:color w:val="auto"/>
          <w:w w:val="90"/>
          <w:sz w:val="32"/>
          <w:szCs w:val="32"/>
          <w:highlight w:val="none"/>
        </w:rPr>
        <w:t>（图5：一般公共预算财政拨款支出决算变动情况）（柱状图）</w:t>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42" w:name="_Toc15377211"/>
      <w:r>
        <w:rPr>
          <w:rFonts w:hint="default" w:ascii="Times New Roman" w:hAnsi="Times New Roman" w:eastAsia="仿宋" w:cs="Times New Roman"/>
          <w:b/>
          <w:color w:val="auto"/>
          <w:sz w:val="32"/>
          <w:szCs w:val="32"/>
          <w:highlight w:val="none"/>
        </w:rPr>
        <w:t>（二）一般公共预算财政拨款支出决算结构情况</w:t>
      </w:r>
      <w:bookmarkEnd w:id="42"/>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855.77</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一般公共服务（类）</w:t>
      </w:r>
      <w:r>
        <w:rPr>
          <w:rFonts w:hint="default" w:ascii="Times New Roman" w:hAnsi="Times New Roman" w:eastAsia="仿宋" w:cs="Times New Roman"/>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705.78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82.47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lang w:eastAsia="zh-CN"/>
        </w:rPr>
        <w:t>国防支出</w:t>
      </w:r>
      <w:r>
        <w:rPr>
          <w:rFonts w:hint="default" w:ascii="Times New Roman" w:hAnsi="Times New Roman" w:eastAsia="仿宋" w:cs="Times New Roman"/>
          <w:b/>
          <w:color w:val="auto"/>
          <w:sz w:val="32"/>
          <w:szCs w:val="32"/>
          <w:highlight w:val="none"/>
        </w:rPr>
        <w:t>（类）</w:t>
      </w:r>
      <w:r>
        <w:rPr>
          <w:rFonts w:hint="default" w:ascii="Times New Roman" w:hAnsi="Times New Roman" w:eastAsia="仿宋" w:cs="Times New Roman"/>
          <w:b/>
          <w:color w:val="auto"/>
          <w:sz w:val="32"/>
          <w:szCs w:val="32"/>
          <w:highlight w:val="none"/>
          <w:lang w:val="en-US" w:eastAsia="zh-CN"/>
        </w:rPr>
        <w:t>支出83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9.69</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社会保障和就业（类）</w:t>
      </w:r>
      <w:r>
        <w:rPr>
          <w:rFonts w:hint="default" w:ascii="Times New Roman" w:hAnsi="Times New Roman" w:eastAsia="仿宋" w:cs="Times New Roman"/>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22.43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2.62</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w:t>
      </w:r>
      <w:r>
        <w:rPr>
          <w:rFonts w:hint="default" w:ascii="Times New Roman" w:hAnsi="Times New Roman" w:eastAsia="仿宋" w:cs="Times New Roman"/>
          <w:b/>
          <w:bCs/>
          <w:color w:val="auto"/>
          <w:sz w:val="32"/>
          <w:szCs w:val="32"/>
          <w:highlight w:val="none"/>
          <w:lang w:val="en-US" w:eastAsia="zh-CN"/>
        </w:rPr>
        <w:t>(类）</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10.87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1.27</w:t>
      </w:r>
      <w:r>
        <w:rPr>
          <w:rFonts w:hint="default" w:ascii="Times New Roman" w:hAnsi="Times New Roman" w:eastAsia="仿宋" w:cs="Times New Roman"/>
          <w:color w:val="auto"/>
          <w:sz w:val="32"/>
          <w:szCs w:val="32"/>
          <w:highlight w:val="none"/>
        </w:rPr>
        <w:t>%；住房保障</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类</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33.68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3.95</w:t>
      </w:r>
      <w:r>
        <w:rPr>
          <w:rFonts w:hint="default" w:ascii="Times New Roman" w:hAnsi="Times New Roman" w:eastAsia="仿宋" w:cs="Times New Roman"/>
          <w:color w:val="auto"/>
          <w:sz w:val="32"/>
          <w:szCs w:val="32"/>
          <w:highlight w:val="none"/>
        </w:rPr>
        <w:t>%。</w:t>
      </w:r>
    </w:p>
    <w:p>
      <w:pPr>
        <w:pStyle w:val="2"/>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43" w:name="_Toc15377212"/>
      <w:r>
        <w:rPr>
          <w:rFonts w:hint="default" w:ascii="Times New Roman" w:hAnsi="Times New Roman" w:eastAsia="仿宋" w:cs="Times New Roman"/>
          <w:b/>
          <w:color w:val="auto"/>
          <w:sz w:val="32"/>
          <w:szCs w:val="32"/>
          <w:highlight w:val="none"/>
        </w:rPr>
        <w:t>（三）一般公共预算财政拨款支出决算具体情况</w:t>
      </w:r>
      <w:bookmarkEnd w:id="43"/>
    </w:p>
    <w:p>
      <w:pPr>
        <w:spacing w:line="600" w:lineRule="exact"/>
        <w:ind w:firstLine="643" w:firstLineChars="200"/>
        <w:outlineLvl w:val="1"/>
        <w:rPr>
          <w:rFonts w:hint="default" w:ascii="Times New Roman" w:hAnsi="Times New Roman" w:eastAsia="仿宋" w:cs="Times New Roman"/>
          <w:color w:val="auto"/>
          <w:sz w:val="32"/>
          <w:szCs w:val="32"/>
          <w:highlight w:val="none"/>
        </w:rPr>
      </w:pPr>
      <w:bookmarkStart w:id="44" w:name="_Toc15378460"/>
      <w:bookmarkStart w:id="45" w:name="_Toc15377444"/>
      <w:bookmarkStart w:id="46" w:name="_Toc4984"/>
      <w:bookmarkStart w:id="47" w:name="_Toc15377213"/>
      <w:r>
        <w:rPr>
          <w:rFonts w:hint="default" w:ascii="Times New Roman" w:hAnsi="Times New Roman" w:eastAsia="仿宋" w:cs="Times New Roman"/>
          <w:b/>
          <w:color w:val="auto"/>
          <w:sz w:val="32"/>
          <w:szCs w:val="32"/>
          <w:highlight w:val="none"/>
        </w:rPr>
        <w:t>20</w:t>
      </w:r>
      <w:r>
        <w:rPr>
          <w:rFonts w:hint="default" w:ascii="Times New Roman" w:hAnsi="Times New Roman" w:eastAsia="仿宋" w:cs="Times New Roman"/>
          <w:b/>
          <w:color w:val="auto"/>
          <w:sz w:val="32"/>
          <w:szCs w:val="32"/>
          <w:highlight w:val="none"/>
          <w:lang w:val="en-US" w:eastAsia="zh-CN"/>
        </w:rPr>
        <w:t>21</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855.77</w:t>
      </w:r>
      <w:r>
        <w:rPr>
          <w:rFonts w:hint="default" w:ascii="Times New Roman" w:hAnsi="Times New Roman" w:eastAsia="仿宋" w:cs="Times New Roman"/>
          <w:color w:val="auto"/>
          <w:sz w:val="32"/>
          <w:szCs w:val="32"/>
          <w:highlight w:val="none"/>
        </w:rPr>
        <w:t>，</w:t>
      </w:r>
      <w:r>
        <w:rPr>
          <w:rStyle w:val="15"/>
          <w:rFonts w:hint="default" w:ascii="Times New Roman" w:hAnsi="Times New Roman" w:eastAsia="仿宋" w:cs="Times New Roman"/>
          <w:bCs/>
          <w:color w:val="auto"/>
          <w:sz w:val="32"/>
          <w:szCs w:val="32"/>
          <w:highlight w:val="none"/>
        </w:rPr>
        <w:t>完成预算</w:t>
      </w:r>
      <w:r>
        <w:rPr>
          <w:rStyle w:val="15"/>
          <w:rFonts w:hint="default" w:ascii="Times New Roman" w:hAnsi="Times New Roman" w:eastAsia="仿宋" w:cs="Times New Roman"/>
          <w:bCs/>
          <w:color w:val="auto"/>
          <w:sz w:val="32"/>
          <w:szCs w:val="32"/>
          <w:highlight w:val="none"/>
          <w:lang w:val="en-US" w:eastAsia="zh-CN"/>
        </w:rPr>
        <w:t>95.94</w:t>
      </w:r>
      <w:r>
        <w:rPr>
          <w:rStyle w:val="15"/>
          <w:rFonts w:hint="default" w:ascii="Times New Roman" w:hAnsi="Times New Roman" w:eastAsia="仿宋" w:cs="Times New Roman"/>
          <w:bCs/>
          <w:color w:val="auto"/>
          <w:sz w:val="32"/>
          <w:szCs w:val="32"/>
          <w:highlight w:val="none"/>
        </w:rPr>
        <w:t>%。其中：</w:t>
      </w:r>
      <w:bookmarkEnd w:id="44"/>
      <w:bookmarkEnd w:id="45"/>
      <w:bookmarkEnd w:id="46"/>
      <w:bookmarkEnd w:id="47"/>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5"/>
          <w:rFonts w:hint="default" w:ascii="Times New Roman" w:hAnsi="Times New Roman" w:eastAsia="仿宋" w:cs="Times New Roman"/>
          <w:bCs/>
          <w:color w:val="auto"/>
          <w:sz w:val="32"/>
          <w:szCs w:val="32"/>
          <w:highlight w:val="none"/>
        </w:rPr>
        <w:t>1.一般公共服务（类）政府办公厅（室）及相关机构事务（款）行政运行（项）:</w:t>
      </w:r>
      <w:r>
        <w:rPr>
          <w:rStyle w:val="15"/>
          <w:rFonts w:hint="default" w:ascii="Times New Roman" w:hAnsi="Times New Roman" w:eastAsia="仿宋" w:cs="Times New Roman"/>
          <w:b w:val="0"/>
          <w:bCs/>
          <w:color w:val="auto"/>
          <w:sz w:val="32"/>
          <w:szCs w:val="32"/>
          <w:highlight w:val="none"/>
        </w:rPr>
        <w:t xml:space="preserve"> 支出决算为</w:t>
      </w:r>
      <w:r>
        <w:rPr>
          <w:rStyle w:val="15"/>
          <w:rFonts w:hint="eastAsia" w:eastAsia="仿宋" w:cs="Times New Roman"/>
          <w:b w:val="0"/>
          <w:bCs/>
          <w:color w:val="auto"/>
          <w:sz w:val="32"/>
          <w:szCs w:val="32"/>
          <w:highlight w:val="none"/>
          <w:lang w:val="en-US" w:eastAsia="zh-CN"/>
        </w:rPr>
        <w:t>705.78</w:t>
      </w:r>
      <w:r>
        <w:rPr>
          <w:rStyle w:val="15"/>
          <w:rFonts w:hint="default" w:ascii="Times New Roman" w:hAnsi="Times New Roman" w:eastAsia="仿宋" w:cs="Times New Roman"/>
          <w:b w:val="0"/>
          <w:bCs/>
          <w:color w:val="auto"/>
          <w:sz w:val="32"/>
          <w:szCs w:val="32"/>
          <w:highlight w:val="none"/>
        </w:rPr>
        <w:t>万元，完成预算</w:t>
      </w:r>
      <w:r>
        <w:rPr>
          <w:rStyle w:val="15"/>
          <w:rFonts w:hint="default" w:ascii="Times New Roman" w:hAnsi="Times New Roman" w:eastAsia="仿宋" w:cs="Times New Roman"/>
          <w:b w:val="0"/>
          <w:bCs/>
          <w:color w:val="auto"/>
          <w:sz w:val="32"/>
          <w:szCs w:val="32"/>
          <w:highlight w:val="none"/>
          <w:lang w:val="en-US" w:eastAsia="zh-CN"/>
        </w:rPr>
        <w:t>100</w:t>
      </w:r>
      <w:r>
        <w:rPr>
          <w:rStyle w:val="15"/>
          <w:rFonts w:hint="default" w:ascii="Times New Roman" w:hAnsi="Times New Roman" w:eastAsia="仿宋" w:cs="Times New Roman"/>
          <w:b w:val="0"/>
          <w:bCs/>
          <w:color w:val="auto"/>
          <w:sz w:val="32"/>
          <w:szCs w:val="32"/>
          <w:highlight w:val="none"/>
        </w:rPr>
        <w:t>%。</w:t>
      </w:r>
    </w:p>
    <w:p>
      <w:pPr>
        <w:spacing w:line="600" w:lineRule="exact"/>
        <w:ind w:firstLine="643" w:firstLineChars="200"/>
        <w:rPr>
          <w:rStyle w:val="15"/>
          <w:rFonts w:hint="default" w:ascii="Times New Roman" w:hAnsi="Times New Roman" w:eastAsia="仿宋" w:cs="Times New Roman"/>
          <w:b w:val="0"/>
          <w:bCs/>
          <w:color w:val="0000FF"/>
          <w:sz w:val="32"/>
          <w:szCs w:val="32"/>
          <w:highlight w:val="none"/>
          <w:lang w:eastAsia="zh-CN"/>
        </w:rPr>
      </w:pPr>
      <w:r>
        <w:rPr>
          <w:rStyle w:val="15"/>
          <w:rFonts w:hint="default" w:ascii="Times New Roman" w:hAnsi="Times New Roman" w:eastAsia="仿宋" w:cs="Times New Roman"/>
          <w:bCs/>
          <w:color w:val="auto"/>
          <w:sz w:val="32"/>
          <w:szCs w:val="32"/>
          <w:highlight w:val="none"/>
        </w:rPr>
        <w:t>2.</w:t>
      </w:r>
      <w:r>
        <w:rPr>
          <w:rStyle w:val="15"/>
          <w:rFonts w:hint="default" w:ascii="Times New Roman" w:hAnsi="Times New Roman" w:eastAsia="仿宋" w:cs="Times New Roman"/>
          <w:bCs/>
          <w:color w:val="auto"/>
          <w:sz w:val="32"/>
          <w:szCs w:val="32"/>
          <w:highlight w:val="none"/>
          <w:lang w:eastAsia="zh-CN"/>
        </w:rPr>
        <w:t>国防</w:t>
      </w:r>
      <w:r>
        <w:rPr>
          <w:rStyle w:val="15"/>
          <w:rFonts w:hint="default" w:ascii="Times New Roman" w:hAnsi="Times New Roman" w:eastAsia="仿宋" w:cs="Times New Roman"/>
          <w:bCs/>
          <w:color w:val="auto"/>
          <w:sz w:val="32"/>
          <w:szCs w:val="32"/>
          <w:highlight w:val="none"/>
          <w:lang w:val="en-US" w:eastAsia="zh-CN"/>
        </w:rPr>
        <w:t>支出</w:t>
      </w:r>
      <w:r>
        <w:rPr>
          <w:rStyle w:val="15"/>
          <w:rFonts w:hint="default" w:ascii="Times New Roman" w:hAnsi="Times New Roman" w:eastAsia="仿宋" w:cs="Times New Roman"/>
          <w:bCs/>
          <w:color w:val="auto"/>
          <w:sz w:val="32"/>
          <w:szCs w:val="32"/>
          <w:highlight w:val="none"/>
        </w:rPr>
        <w:t>（类）国防动员（款）人民防空（项）:</w:t>
      </w:r>
      <w:r>
        <w:rPr>
          <w:rStyle w:val="15"/>
          <w:rFonts w:hint="default" w:ascii="Times New Roman" w:hAnsi="Times New Roman" w:eastAsia="仿宋" w:cs="Times New Roman"/>
          <w:b w:val="0"/>
          <w:bCs/>
          <w:color w:val="auto"/>
          <w:sz w:val="32"/>
          <w:szCs w:val="32"/>
          <w:highlight w:val="none"/>
        </w:rPr>
        <w:t xml:space="preserve"> 支出决算为</w:t>
      </w:r>
      <w:r>
        <w:rPr>
          <w:rStyle w:val="15"/>
          <w:rFonts w:hint="default" w:ascii="Times New Roman" w:hAnsi="Times New Roman" w:eastAsia="仿宋" w:cs="Times New Roman"/>
          <w:b w:val="0"/>
          <w:bCs/>
          <w:color w:val="auto"/>
          <w:sz w:val="32"/>
          <w:szCs w:val="32"/>
          <w:highlight w:val="none"/>
          <w:lang w:val="en-US" w:eastAsia="zh-CN"/>
        </w:rPr>
        <w:t>83</w:t>
      </w:r>
      <w:r>
        <w:rPr>
          <w:rStyle w:val="15"/>
          <w:rFonts w:hint="default" w:ascii="Times New Roman" w:hAnsi="Times New Roman" w:eastAsia="仿宋" w:cs="Times New Roman"/>
          <w:b w:val="0"/>
          <w:bCs/>
          <w:color w:val="auto"/>
          <w:sz w:val="32"/>
          <w:szCs w:val="32"/>
          <w:highlight w:val="none"/>
        </w:rPr>
        <w:t>万元，完成预算</w:t>
      </w:r>
      <w:r>
        <w:rPr>
          <w:rStyle w:val="15"/>
          <w:rFonts w:hint="default" w:ascii="Times New Roman" w:hAnsi="Times New Roman" w:eastAsia="仿宋" w:cs="Times New Roman"/>
          <w:b w:val="0"/>
          <w:bCs/>
          <w:color w:val="auto"/>
          <w:sz w:val="32"/>
          <w:szCs w:val="32"/>
          <w:highlight w:val="none"/>
          <w:lang w:val="en-US" w:eastAsia="zh-CN"/>
        </w:rPr>
        <w:t>100</w:t>
      </w:r>
      <w:r>
        <w:rPr>
          <w:rStyle w:val="15"/>
          <w:rFonts w:hint="default" w:ascii="Times New Roman" w:hAnsi="Times New Roman" w:eastAsia="仿宋" w:cs="Times New Roman"/>
          <w:b w:val="0"/>
          <w:bCs/>
          <w:color w:val="auto"/>
          <w:sz w:val="32"/>
          <w:szCs w:val="32"/>
          <w:highlight w:val="none"/>
        </w:rPr>
        <w:t>%</w:t>
      </w:r>
      <w:r>
        <w:rPr>
          <w:rStyle w:val="15"/>
          <w:rFonts w:hint="default" w:ascii="Times New Roman" w:hAnsi="Times New Roman" w:eastAsia="仿宋" w:cs="Times New Roman"/>
          <w:b w:val="0"/>
          <w:bCs/>
          <w:color w:val="auto"/>
          <w:sz w:val="32"/>
          <w:szCs w:val="32"/>
          <w:highlight w:val="none"/>
          <w:lang w:eastAsia="zh-CN"/>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5"/>
          <w:rFonts w:hint="default" w:ascii="Times New Roman" w:hAnsi="Times New Roman" w:eastAsia="仿宋" w:cs="Times New Roman"/>
          <w:bCs/>
          <w:color w:val="auto"/>
          <w:sz w:val="32"/>
          <w:szCs w:val="32"/>
          <w:highlight w:val="none"/>
          <w:lang w:val="en-US" w:eastAsia="zh-CN"/>
        </w:rPr>
        <w:t>3</w:t>
      </w:r>
      <w:r>
        <w:rPr>
          <w:rStyle w:val="15"/>
          <w:rFonts w:hint="default" w:ascii="Times New Roman" w:hAnsi="Times New Roman" w:eastAsia="仿宋" w:cs="Times New Roman"/>
          <w:bCs/>
          <w:color w:val="auto"/>
          <w:sz w:val="32"/>
          <w:szCs w:val="32"/>
          <w:highlight w:val="none"/>
        </w:rPr>
        <w:t>.社会保障和就业（类）行政事业单位养老支出（款）  机关事业单位基本养老保险缴费支出（项）:</w:t>
      </w:r>
      <w:r>
        <w:rPr>
          <w:rStyle w:val="15"/>
          <w:rFonts w:hint="default" w:ascii="Times New Roman" w:hAnsi="Times New Roman" w:eastAsia="仿宋" w:cs="Times New Roman"/>
          <w:b w:val="0"/>
          <w:bCs/>
          <w:color w:val="auto"/>
          <w:sz w:val="32"/>
          <w:szCs w:val="32"/>
          <w:highlight w:val="none"/>
        </w:rPr>
        <w:t xml:space="preserve"> 支出决算为22.43万元，完成预算</w:t>
      </w:r>
      <w:r>
        <w:rPr>
          <w:rStyle w:val="15"/>
          <w:rFonts w:hint="default" w:ascii="Times New Roman" w:hAnsi="Times New Roman" w:eastAsia="仿宋" w:cs="Times New Roman"/>
          <w:b w:val="0"/>
          <w:bCs/>
          <w:color w:val="auto"/>
          <w:sz w:val="32"/>
          <w:szCs w:val="32"/>
          <w:highlight w:val="none"/>
          <w:lang w:val="en-US" w:eastAsia="zh-CN"/>
        </w:rPr>
        <w:t>100</w:t>
      </w:r>
      <w:r>
        <w:rPr>
          <w:rStyle w:val="15"/>
          <w:rFonts w:hint="default" w:ascii="Times New Roman" w:hAnsi="Times New Roman" w:eastAsia="仿宋" w:cs="Times New Roman"/>
          <w:b w:val="0"/>
          <w:bCs/>
          <w:color w:val="auto"/>
          <w:sz w:val="32"/>
          <w:szCs w:val="32"/>
          <w:highlight w:val="none"/>
        </w:rPr>
        <w:t>%。</w:t>
      </w:r>
    </w:p>
    <w:p>
      <w:pPr>
        <w:spacing w:line="600" w:lineRule="exact"/>
        <w:ind w:firstLine="643" w:firstLineChars="200"/>
        <w:rPr>
          <w:rStyle w:val="15"/>
          <w:rFonts w:hint="default" w:ascii="Times New Roman" w:hAnsi="Times New Roman" w:eastAsia="仿宋" w:cs="Times New Roman"/>
          <w:b w:val="0"/>
          <w:bCs/>
          <w:color w:val="auto"/>
          <w:sz w:val="32"/>
          <w:szCs w:val="32"/>
          <w:highlight w:val="none"/>
        </w:rPr>
      </w:pPr>
      <w:r>
        <w:rPr>
          <w:rStyle w:val="15"/>
          <w:rFonts w:hint="default" w:ascii="Times New Roman" w:hAnsi="Times New Roman" w:eastAsia="仿宋" w:cs="Times New Roman"/>
          <w:bCs/>
          <w:color w:val="auto"/>
          <w:sz w:val="32"/>
          <w:szCs w:val="32"/>
          <w:highlight w:val="none"/>
          <w:lang w:val="en-US" w:eastAsia="zh-CN"/>
        </w:rPr>
        <w:t>4</w:t>
      </w:r>
      <w:r>
        <w:rPr>
          <w:rStyle w:val="15"/>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rPr>
        <w:t>卫生健康</w:t>
      </w:r>
      <w:r>
        <w:rPr>
          <w:rStyle w:val="15"/>
          <w:rFonts w:hint="default" w:ascii="Times New Roman" w:hAnsi="Times New Roman" w:eastAsia="仿宋" w:cs="Times New Roman"/>
          <w:bCs/>
          <w:color w:val="auto"/>
          <w:sz w:val="32"/>
          <w:szCs w:val="32"/>
          <w:highlight w:val="none"/>
        </w:rPr>
        <w:t>（类）行政事业单位医疗（款）行政单位医疗（项）:</w:t>
      </w:r>
      <w:r>
        <w:rPr>
          <w:rStyle w:val="15"/>
          <w:rFonts w:hint="default" w:ascii="Times New Roman" w:hAnsi="Times New Roman" w:eastAsia="仿宋" w:cs="Times New Roman"/>
          <w:b w:val="0"/>
          <w:bCs/>
          <w:color w:val="auto"/>
          <w:sz w:val="32"/>
          <w:szCs w:val="32"/>
          <w:highlight w:val="none"/>
        </w:rPr>
        <w:t>支出决算为10.87万元，完成预算</w:t>
      </w:r>
      <w:r>
        <w:rPr>
          <w:rStyle w:val="15"/>
          <w:rFonts w:hint="default" w:ascii="Times New Roman" w:hAnsi="Times New Roman" w:eastAsia="仿宋" w:cs="Times New Roman"/>
          <w:b w:val="0"/>
          <w:bCs/>
          <w:color w:val="auto"/>
          <w:sz w:val="32"/>
          <w:szCs w:val="32"/>
          <w:highlight w:val="none"/>
          <w:lang w:val="en-US" w:eastAsia="zh-CN"/>
        </w:rPr>
        <w:t>100</w:t>
      </w:r>
      <w:r>
        <w:rPr>
          <w:rStyle w:val="15"/>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5"/>
          <w:rFonts w:hint="default" w:ascii="Times New Roman" w:hAnsi="Times New Roman" w:eastAsia="仿宋" w:cs="Times New Roman"/>
          <w:bCs/>
          <w:color w:val="auto"/>
          <w:sz w:val="32"/>
          <w:szCs w:val="32"/>
          <w:highlight w:val="none"/>
          <w:lang w:val="en-US" w:eastAsia="zh-CN"/>
        </w:rPr>
        <w:t>5</w:t>
      </w:r>
      <w:r>
        <w:rPr>
          <w:rStyle w:val="15"/>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rPr>
        <w:t>住房保障</w:t>
      </w:r>
      <w:r>
        <w:rPr>
          <w:rStyle w:val="15"/>
          <w:rFonts w:hint="default" w:ascii="Times New Roman" w:hAnsi="Times New Roman" w:eastAsia="仿宋" w:cs="Times New Roman"/>
          <w:bCs/>
          <w:color w:val="auto"/>
          <w:sz w:val="32"/>
          <w:szCs w:val="32"/>
          <w:highlight w:val="none"/>
        </w:rPr>
        <w:t>（类）住房改革支出（款）住房公积金（项）:</w:t>
      </w:r>
      <w:r>
        <w:rPr>
          <w:rStyle w:val="15"/>
          <w:rFonts w:hint="default" w:ascii="Times New Roman" w:hAnsi="Times New Roman" w:eastAsia="仿宋" w:cs="Times New Roman"/>
          <w:b w:val="0"/>
          <w:bCs/>
          <w:color w:val="auto"/>
          <w:sz w:val="32"/>
          <w:szCs w:val="32"/>
          <w:highlight w:val="none"/>
        </w:rPr>
        <w:t>支出决算为</w:t>
      </w:r>
      <w:r>
        <w:rPr>
          <w:rStyle w:val="15"/>
          <w:rFonts w:hint="eastAsia" w:eastAsia="仿宋" w:cs="Times New Roman"/>
          <w:b w:val="0"/>
          <w:bCs/>
          <w:color w:val="auto"/>
          <w:sz w:val="32"/>
          <w:szCs w:val="32"/>
          <w:highlight w:val="none"/>
          <w:lang w:val="en-US" w:eastAsia="zh-CN"/>
        </w:rPr>
        <w:t>33.68</w:t>
      </w:r>
      <w:r>
        <w:rPr>
          <w:rStyle w:val="15"/>
          <w:rFonts w:hint="default" w:ascii="Times New Roman" w:hAnsi="Times New Roman" w:eastAsia="仿宋" w:cs="Times New Roman"/>
          <w:b w:val="0"/>
          <w:bCs/>
          <w:color w:val="auto"/>
          <w:sz w:val="32"/>
          <w:szCs w:val="32"/>
          <w:highlight w:val="none"/>
        </w:rPr>
        <w:t>万元，完成预算</w:t>
      </w:r>
      <w:r>
        <w:rPr>
          <w:rStyle w:val="15"/>
          <w:rFonts w:hint="default" w:ascii="Times New Roman" w:hAnsi="Times New Roman" w:eastAsia="仿宋" w:cs="Times New Roman"/>
          <w:b w:val="0"/>
          <w:bCs/>
          <w:color w:val="auto"/>
          <w:sz w:val="32"/>
          <w:szCs w:val="32"/>
          <w:highlight w:val="none"/>
          <w:lang w:val="en-US" w:eastAsia="zh-CN"/>
        </w:rPr>
        <w:t>100</w:t>
      </w:r>
      <w:r>
        <w:rPr>
          <w:rStyle w:val="15"/>
          <w:rFonts w:hint="default" w:ascii="Times New Roman" w:hAnsi="Times New Roman" w:eastAsia="仿宋" w:cs="Times New Roman"/>
          <w:b w:val="0"/>
          <w:bCs/>
          <w:color w:val="auto"/>
          <w:sz w:val="32"/>
          <w:szCs w:val="32"/>
          <w:highlight w:val="none"/>
        </w:rPr>
        <w:t>%。</w:t>
      </w:r>
    </w:p>
    <w:p>
      <w:pPr>
        <w:tabs>
          <w:tab w:val="right" w:pos="8306"/>
        </w:tabs>
        <w:spacing w:line="600" w:lineRule="exact"/>
        <w:ind w:firstLine="640"/>
        <w:outlineLvl w:val="1"/>
        <w:rPr>
          <w:rStyle w:val="26"/>
          <w:rFonts w:hint="default" w:ascii="Times New Roman" w:hAnsi="Times New Roman" w:cs="Times New Roman"/>
          <w:color w:val="auto"/>
          <w:highlight w:val="none"/>
        </w:rPr>
      </w:pPr>
      <w:bookmarkStart w:id="48" w:name="_Toc15377214"/>
      <w:bookmarkStart w:id="49" w:name="_Toc15396608"/>
      <w:bookmarkStart w:id="50" w:name="_Toc10037"/>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6"/>
          <w:rFonts w:hint="default" w:ascii="Times New Roman" w:hAnsi="Times New Roman" w:eastAsia="黑体" w:cs="Times New Roman"/>
          <w:b w:val="0"/>
          <w:color w:val="auto"/>
          <w:highlight w:val="none"/>
        </w:rPr>
        <w:t>般公共预算财政拨款基本支出决算情况说明</w:t>
      </w:r>
      <w:bookmarkEnd w:id="48"/>
      <w:bookmarkEnd w:id="49"/>
      <w:bookmarkEnd w:id="50"/>
      <w:r>
        <w:rPr>
          <w:rStyle w:val="26"/>
          <w:rFonts w:hint="default" w:ascii="Times New Roman" w:hAnsi="Times New Roman" w:eastAsia="黑体" w:cs="Times New Roman"/>
          <w:b w:val="0"/>
          <w:color w:val="auto"/>
          <w:highlight w:val="none"/>
        </w:rPr>
        <w:tab/>
      </w:r>
    </w:p>
    <w:p>
      <w:pPr>
        <w:spacing w:line="60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年一般公共预算财政拨款基本支出</w:t>
      </w:r>
      <w:r>
        <w:rPr>
          <w:rFonts w:hint="default" w:ascii="Times New Roman" w:hAnsi="Times New Roman" w:eastAsia="仿宋" w:cs="Times New Roman"/>
          <w:color w:val="auto"/>
          <w:sz w:val="32"/>
          <w:szCs w:val="32"/>
          <w:highlight w:val="none"/>
          <w:lang w:val="en-US" w:eastAsia="zh-CN"/>
        </w:rPr>
        <w:t>772.76</w:t>
      </w:r>
      <w:r>
        <w:rPr>
          <w:rFonts w:hint="default" w:ascii="Times New Roman" w:hAnsi="Times New Roman" w:eastAsia="仿宋" w:cs="Times New Roman"/>
          <w:color w:val="auto"/>
          <w:sz w:val="32"/>
          <w:szCs w:val="32"/>
          <w:highlight w:val="none"/>
        </w:rPr>
        <w:t>万元，其中：</w:t>
      </w:r>
    </w:p>
    <w:p>
      <w:pPr>
        <w:spacing w:line="600" w:lineRule="exact"/>
        <w:ind w:firstLine="645"/>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356.76</w:t>
      </w:r>
      <w:r>
        <w:rPr>
          <w:rFonts w:hint="default" w:ascii="Times New Roman" w:hAnsi="Times New Roman" w:eastAsia="仿宋" w:cs="Times New Roman"/>
          <w:color w:val="auto"/>
          <w:sz w:val="32"/>
          <w:szCs w:val="32"/>
          <w:highlight w:val="none"/>
        </w:rPr>
        <w:t>万元，主要包括：</w:t>
      </w:r>
      <w:r>
        <w:rPr>
          <w:rFonts w:hint="default" w:ascii="Times New Roman" w:hAnsi="Times New Roman" w:eastAsia="仿宋" w:cs="Times New Roman"/>
          <w:color w:val="000000"/>
          <w:sz w:val="32"/>
          <w:szCs w:val="32"/>
        </w:rPr>
        <w:t>基本工资、津贴补贴、奖金、机关事业单位基本养老保险缴、其他社会保障缴费、其他工资福利支出、退休费、住房公积金。</w:t>
      </w:r>
    </w:p>
    <w:p>
      <w:pPr>
        <w:spacing w:line="600" w:lineRule="exact"/>
        <w:ind w:firstLine="320" w:firstLineChars="10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　公用经费</w:t>
      </w:r>
      <w:r>
        <w:rPr>
          <w:rFonts w:hint="default" w:ascii="Times New Roman" w:hAnsi="Times New Roman" w:eastAsia="仿宋" w:cs="Times New Roman"/>
          <w:color w:val="auto"/>
          <w:sz w:val="32"/>
          <w:szCs w:val="32"/>
          <w:highlight w:val="none"/>
          <w:lang w:val="en-US" w:eastAsia="zh-CN"/>
        </w:rPr>
        <w:t>416</w:t>
      </w:r>
      <w:r>
        <w:rPr>
          <w:rFonts w:hint="default" w:ascii="Times New Roman" w:hAnsi="Times New Roman" w:eastAsia="仿宋" w:cs="Times New Roman"/>
          <w:color w:val="auto"/>
          <w:sz w:val="32"/>
          <w:szCs w:val="32"/>
          <w:highlight w:val="none"/>
        </w:rPr>
        <w:t>万元，主要包括：</w:t>
      </w:r>
      <w:r>
        <w:rPr>
          <w:rFonts w:hint="default" w:ascii="Times New Roman" w:hAnsi="Times New Roman" w:eastAsia="仿宋" w:cs="Times New Roman"/>
          <w:color w:val="000000"/>
          <w:sz w:val="32"/>
          <w:szCs w:val="32"/>
        </w:rPr>
        <w:t>办公费、印刷费、咨询费、手续费、邮电费、差旅费、维修（护）费、租赁费、会议费、培训费、公务接待费、劳务费、委托业务费、工会经费、福利费、其他交通费、其他商品和服务。</w:t>
      </w:r>
    </w:p>
    <w:p>
      <w:pPr>
        <w:spacing w:line="600" w:lineRule="exact"/>
        <w:ind w:firstLine="640"/>
        <w:outlineLvl w:val="1"/>
        <w:rPr>
          <w:rStyle w:val="26"/>
          <w:rFonts w:hint="default" w:ascii="Times New Roman" w:hAnsi="Times New Roman" w:eastAsia="黑体" w:cs="Times New Roman"/>
          <w:b w:val="0"/>
          <w:color w:val="auto"/>
          <w:highlight w:val="none"/>
        </w:rPr>
      </w:pPr>
      <w:bookmarkStart w:id="51" w:name="_Toc15396609"/>
      <w:bookmarkStart w:id="52" w:name="_Toc15377215"/>
      <w:bookmarkStart w:id="53" w:name="_Toc2351"/>
      <w:r>
        <w:rPr>
          <w:rFonts w:hint="default" w:ascii="Times New Roman" w:hAnsi="Times New Roman" w:eastAsia="黑体" w:cs="Times New Roman"/>
          <w:color w:val="auto"/>
          <w:sz w:val="32"/>
          <w:szCs w:val="32"/>
          <w:highlight w:val="none"/>
        </w:rPr>
        <w:t>七、</w:t>
      </w:r>
      <w:r>
        <w:rPr>
          <w:rStyle w:val="26"/>
          <w:rFonts w:hint="default" w:ascii="Times New Roman" w:hAnsi="Times New Roman" w:eastAsia="黑体" w:cs="Times New Roman"/>
          <w:color w:val="auto"/>
          <w:highlight w:val="none"/>
        </w:rPr>
        <w:t>“</w:t>
      </w:r>
      <w:r>
        <w:rPr>
          <w:rStyle w:val="26"/>
          <w:rFonts w:hint="default" w:ascii="Times New Roman" w:hAnsi="Times New Roman" w:eastAsia="黑体" w:cs="Times New Roman"/>
          <w:b w:val="0"/>
          <w:color w:val="auto"/>
          <w:highlight w:val="none"/>
        </w:rPr>
        <w:t>三公”经费财政拨款支出决算情况说明</w:t>
      </w:r>
      <w:bookmarkEnd w:id="51"/>
      <w:bookmarkEnd w:id="52"/>
      <w:bookmarkEnd w:id="53"/>
    </w:p>
    <w:p>
      <w:pPr>
        <w:spacing w:line="600" w:lineRule="exact"/>
        <w:ind w:firstLine="640"/>
        <w:outlineLvl w:val="2"/>
        <w:rPr>
          <w:rFonts w:hint="default" w:ascii="Times New Roman" w:hAnsi="Times New Roman" w:eastAsia="仿宋" w:cs="Times New Roman"/>
          <w:b/>
          <w:color w:val="auto"/>
          <w:sz w:val="32"/>
          <w:szCs w:val="32"/>
          <w:highlight w:val="none"/>
        </w:rPr>
      </w:pPr>
      <w:bookmarkStart w:id="54" w:name="_Toc15377216"/>
      <w:r>
        <w:rPr>
          <w:rFonts w:hint="default" w:ascii="Times New Roman" w:hAnsi="Times New Roman" w:eastAsia="仿宋" w:cs="Times New Roman"/>
          <w:b/>
          <w:color w:val="auto"/>
          <w:sz w:val="32"/>
          <w:szCs w:val="32"/>
          <w:highlight w:val="none"/>
        </w:rPr>
        <w:t>（一）“三公”经费财政拨款支出决算总体情况说明</w:t>
      </w:r>
      <w:bookmarkEnd w:id="54"/>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年“三公”经费财政拨款支出决算为</w:t>
      </w:r>
      <w:r>
        <w:rPr>
          <w:rFonts w:hint="default" w:ascii="Times New Roman" w:hAnsi="Times New Roman" w:eastAsia="仿宋" w:cs="Times New Roman"/>
          <w:color w:val="auto"/>
          <w:sz w:val="32"/>
          <w:szCs w:val="32"/>
          <w:highlight w:val="none"/>
          <w:lang w:val="en-US" w:eastAsia="zh-CN"/>
        </w:rPr>
        <w:t>10.59</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53.48</w:t>
      </w:r>
      <w:r>
        <w:rPr>
          <w:rFonts w:hint="default" w:ascii="Times New Roman" w:hAnsi="Times New Roman" w:eastAsia="仿宋" w:cs="Times New Roman"/>
          <w:color w:val="auto"/>
          <w:sz w:val="32"/>
          <w:szCs w:val="32"/>
          <w:highlight w:val="none"/>
        </w:rPr>
        <w:t>%，决算数小于预算数的主要原因是</w:t>
      </w:r>
      <w:r>
        <w:rPr>
          <w:rFonts w:hint="default" w:ascii="Times New Roman" w:hAnsi="Times New Roman" w:eastAsia="仿宋" w:cs="Times New Roman"/>
          <w:color w:val="auto"/>
          <w:sz w:val="32"/>
          <w:szCs w:val="32"/>
          <w:highlight w:val="none"/>
          <w:lang w:eastAsia="zh-CN"/>
        </w:rPr>
        <w:t>严格落实一般性压减支出</w:t>
      </w:r>
      <w:r>
        <w:rPr>
          <w:rFonts w:hint="default" w:ascii="Times New Roman" w:hAnsi="Times New Roman" w:eastAsia="仿宋" w:cs="Times New Roman"/>
          <w:color w:val="auto"/>
          <w:sz w:val="32"/>
          <w:szCs w:val="32"/>
          <w:highlight w:val="none"/>
        </w:rPr>
        <w:t>。</w:t>
      </w:r>
    </w:p>
    <w:p>
      <w:pPr>
        <w:spacing w:line="600" w:lineRule="exact"/>
        <w:ind w:firstLine="640"/>
        <w:outlineLvl w:val="2"/>
        <w:rPr>
          <w:rFonts w:hint="default" w:ascii="Times New Roman" w:hAnsi="Times New Roman" w:eastAsia="仿宋" w:cs="Times New Roman"/>
          <w:b/>
          <w:color w:val="auto"/>
          <w:sz w:val="32"/>
          <w:szCs w:val="32"/>
          <w:highlight w:val="none"/>
        </w:rPr>
      </w:pPr>
      <w:bookmarkStart w:id="55" w:name="_Toc15377217"/>
      <w:r>
        <w:rPr>
          <w:rFonts w:hint="default" w:ascii="Times New Roman" w:hAnsi="Times New Roman" w:eastAsia="仿宋" w:cs="Times New Roman"/>
          <w:b/>
          <w:color w:val="auto"/>
          <w:sz w:val="32"/>
          <w:szCs w:val="32"/>
          <w:highlight w:val="none"/>
        </w:rPr>
        <w:t>（二）“三公”经费财政拨款支出决算具体情况说明</w:t>
      </w:r>
      <w:bookmarkEnd w:id="55"/>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10.59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%。具体情况如下：</w:t>
      </w:r>
    </w:p>
    <w:p>
      <w:pPr>
        <w:pStyle w:val="2"/>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（图7：“三公”经费财政拨款支出结构）（饼状图）</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 w:cs="Times New Roman"/>
          <w:b/>
          <w:color w:val="auto"/>
          <w:sz w:val="32"/>
          <w:szCs w:val="32"/>
          <w:highlight w:val="none"/>
          <w:lang w:val="en-US" w:eastAsia="zh-CN"/>
        </w:rPr>
        <w:t>因公出国</w:t>
      </w:r>
      <w:r>
        <w:rPr>
          <w:rFonts w:hint="default" w:ascii="Times New Roman" w:hAnsi="Times New Roman" w:eastAsia="仿宋_GB2312" w:cs="Times New Roman"/>
          <w:b/>
          <w:color w:val="auto"/>
          <w:sz w:val="32"/>
          <w:szCs w:val="32"/>
          <w:highlight w:val="none"/>
        </w:rPr>
        <w:t>（境）</w:t>
      </w:r>
      <w:r>
        <w:rPr>
          <w:rFonts w:hint="default" w:ascii="Times New Roman" w:hAnsi="Times New Roman" w:eastAsia="仿宋" w:cs="Times New Roman"/>
          <w:b/>
          <w:color w:val="auto"/>
          <w:sz w:val="32"/>
          <w:szCs w:val="32"/>
          <w:highlight w:val="none"/>
          <w:lang w:val="en-US" w:eastAsia="zh-CN"/>
        </w:rPr>
        <w:t>经费支出0万元，年初未安排预算</w:t>
      </w:r>
      <w:r>
        <w:rPr>
          <w:rStyle w:val="15"/>
          <w:rFonts w:hint="default" w:ascii="Times New Roman" w:hAnsi="Times New Roman" w:eastAsia="仿宋" w:cs="Times New Roman"/>
          <w:b w:val="0"/>
          <w:bCs/>
          <w:color w:val="auto"/>
          <w:sz w:val="32"/>
          <w:szCs w:val="32"/>
          <w:highlight w:val="none"/>
        </w:rPr>
        <w:t>。</w:t>
      </w:r>
    </w:p>
    <w:p>
      <w:pPr>
        <w:spacing w:line="600" w:lineRule="exact"/>
        <w:ind w:firstLine="640"/>
        <w:rPr>
          <w:rFonts w:hint="eastAsia" w:eastAsia="仿宋_GB2312" w:cs="Times New Roman"/>
          <w:color w:val="auto"/>
          <w:sz w:val="32"/>
          <w:szCs w:val="32"/>
          <w:highlight w:val="none"/>
          <w:lang w:eastAsia="zh-CN"/>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val="en-US" w:eastAsia="zh-CN"/>
        </w:rPr>
        <w:t>未购置</w:t>
      </w:r>
      <w:r>
        <w:rPr>
          <w:rFonts w:hint="default" w:ascii="Times New Roman" w:hAnsi="Times New Roman" w:eastAsia="仿宋_GB2312" w:cs="Times New Roman"/>
          <w:b/>
          <w:color w:val="auto"/>
          <w:sz w:val="32"/>
          <w:szCs w:val="32"/>
          <w:highlight w:val="none"/>
        </w:rPr>
        <w:t>公务用车</w:t>
      </w:r>
      <w:r>
        <w:rPr>
          <w:rStyle w:val="15"/>
          <w:rFonts w:hint="default" w:ascii="Times New Roman" w:hAnsi="Times New Roman" w:eastAsia="仿宋" w:cs="Times New Roman"/>
          <w:b w:val="0"/>
          <w:bCs/>
          <w:color w:val="auto"/>
          <w:sz w:val="32"/>
          <w:szCs w:val="32"/>
          <w:highlight w:val="none"/>
          <w:lang w:eastAsia="zh-CN"/>
        </w:rPr>
        <w:t>，</w:t>
      </w: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年初未安排预算。</w:t>
      </w:r>
    </w:p>
    <w:p>
      <w:pPr>
        <w:pStyle w:val="17"/>
        <w:ind w:firstLine="960" w:firstLineChars="3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其中：</w:t>
      </w:r>
      <w:r>
        <w:rPr>
          <w:rFonts w:hint="eastAsia" w:eastAsia="仿宋_GB2312" w:cs="Times New Roman"/>
          <w:b/>
          <w:bCs/>
          <w:color w:val="auto"/>
          <w:sz w:val="32"/>
          <w:szCs w:val="32"/>
          <w:highlight w:val="none"/>
          <w:lang w:eastAsia="zh-CN"/>
        </w:rPr>
        <w:t>公务用车购置支出</w:t>
      </w:r>
      <w:r>
        <w:rPr>
          <w:rFonts w:hint="eastAsia" w:eastAsia="仿宋_GB2312" w:cs="Times New Roman"/>
          <w:color w:val="auto"/>
          <w:sz w:val="32"/>
          <w:szCs w:val="32"/>
          <w:highlight w:val="none"/>
          <w:lang w:val="en-US" w:eastAsia="zh-CN"/>
        </w:rPr>
        <w:t>0万元。全年按规定更新购置公务用车0辆，在公务用车制度改革后，不允许单位购买公务用车。因公出差向机关事务服务中心申请公务用车，公务用车有保障。</w:t>
      </w:r>
    </w:p>
    <w:p>
      <w:pPr>
        <w:pStyle w:val="17"/>
        <w:ind w:firstLine="964" w:firstLineChars="300"/>
        <w:rPr>
          <w:rFonts w:hint="default" w:eastAsia="仿宋_GB2312" w:cs="Times New Roman"/>
          <w:color w:val="auto"/>
          <w:sz w:val="32"/>
          <w:szCs w:val="32"/>
          <w:highlight w:val="none"/>
          <w:lang w:val="en-US" w:eastAsia="zh-CN"/>
        </w:rPr>
      </w:pPr>
      <w:r>
        <w:rPr>
          <w:rFonts w:hint="eastAsia" w:eastAsia="仿宋_GB2312" w:cs="Times New Roman"/>
          <w:b/>
          <w:bCs/>
          <w:color w:val="auto"/>
          <w:sz w:val="32"/>
          <w:szCs w:val="32"/>
          <w:highlight w:val="none"/>
          <w:lang w:val="en-US" w:eastAsia="zh-CN"/>
        </w:rPr>
        <w:t>公务用车运行维护费支出</w:t>
      </w:r>
      <w:r>
        <w:rPr>
          <w:rFonts w:hint="eastAsia" w:eastAsia="仿宋_GB2312" w:cs="Times New Roman"/>
          <w:color w:val="auto"/>
          <w:sz w:val="32"/>
          <w:szCs w:val="32"/>
          <w:highlight w:val="none"/>
          <w:lang w:val="en-US" w:eastAsia="zh-CN"/>
        </w:rPr>
        <w:t>0万元。</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10.59</w:t>
      </w:r>
      <w:r>
        <w:rPr>
          <w:rFonts w:hint="default" w:ascii="Times New Roman" w:hAnsi="Times New Roman" w:eastAsia="仿宋_GB2312" w:cs="Times New Roman"/>
          <w:color w:val="auto"/>
          <w:sz w:val="32"/>
          <w:szCs w:val="32"/>
          <w:highlight w:val="none"/>
        </w:rPr>
        <w:t>万元，</w:t>
      </w:r>
      <w:r>
        <w:rPr>
          <w:rStyle w:val="15"/>
          <w:rFonts w:hint="default" w:ascii="Times New Roman" w:hAnsi="Times New Roman" w:eastAsia="仿宋" w:cs="Times New Roman"/>
          <w:b w:val="0"/>
          <w:bCs/>
          <w:color w:val="auto"/>
          <w:sz w:val="32"/>
          <w:szCs w:val="32"/>
          <w:highlight w:val="none"/>
        </w:rPr>
        <w:t>完成预算</w:t>
      </w:r>
      <w:r>
        <w:rPr>
          <w:rStyle w:val="15"/>
          <w:rFonts w:hint="default" w:ascii="Times New Roman" w:hAnsi="Times New Roman" w:eastAsia="仿宋" w:cs="Times New Roman"/>
          <w:b w:val="0"/>
          <w:bCs/>
          <w:color w:val="auto"/>
          <w:sz w:val="32"/>
          <w:szCs w:val="32"/>
          <w:highlight w:val="none"/>
          <w:lang w:val="en-US" w:eastAsia="zh-CN"/>
        </w:rPr>
        <w:t>53.48</w:t>
      </w:r>
      <w:r>
        <w:rPr>
          <w:rStyle w:val="15"/>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年减少</w:t>
      </w:r>
      <w:r>
        <w:rPr>
          <w:rFonts w:hint="default" w:ascii="Times New Roman" w:hAnsi="Times New Roman" w:eastAsia="仿宋_GB2312" w:cs="Times New Roman"/>
          <w:color w:val="auto"/>
          <w:sz w:val="32"/>
          <w:szCs w:val="32"/>
          <w:highlight w:val="none"/>
          <w:lang w:val="en-US" w:eastAsia="zh-CN"/>
        </w:rPr>
        <w:t>6.28</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37.23</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 w:cs="Times New Roman"/>
          <w:color w:val="auto"/>
          <w:sz w:val="32"/>
          <w:szCs w:val="32"/>
          <w:highlight w:val="none"/>
          <w:lang w:eastAsia="zh-CN"/>
        </w:rPr>
        <w:t>严格落实一般性压减支出</w:t>
      </w:r>
      <w:r>
        <w:rPr>
          <w:rFonts w:hint="default" w:ascii="Times New Roman" w:hAnsi="Times New Roman" w:eastAsia="仿宋_GB2312" w:cs="Times New Roman"/>
          <w:color w:val="auto"/>
          <w:sz w:val="32"/>
          <w:szCs w:val="32"/>
          <w:highlight w:val="none"/>
        </w:rPr>
        <w:t>。其中：</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10.59</w:t>
      </w:r>
      <w:r>
        <w:rPr>
          <w:rFonts w:hint="default" w:ascii="Times New Roman" w:hAnsi="Times New Roman" w:eastAsia="仿宋_GB2312" w:cs="Times New Roman"/>
          <w:color w:val="auto"/>
          <w:sz w:val="32"/>
          <w:szCs w:val="32"/>
          <w:highlight w:val="none"/>
        </w:rPr>
        <w:t>万元，主要用于执行公务、开展业务活动开支的交通费、住宿费、用餐费等。国内公务接待</w:t>
      </w:r>
      <w:r>
        <w:rPr>
          <w:rFonts w:hint="default" w:ascii="Times New Roman" w:hAnsi="Times New Roman" w:eastAsia="仿宋_GB2312" w:cs="Times New Roman"/>
          <w:color w:val="auto"/>
          <w:sz w:val="32"/>
          <w:szCs w:val="32"/>
          <w:highlight w:val="none"/>
          <w:lang w:val="en-US" w:eastAsia="zh-CN"/>
        </w:rPr>
        <w:t>265</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2500</w:t>
      </w:r>
      <w:r>
        <w:rPr>
          <w:rFonts w:hint="default" w:ascii="Times New Roman" w:hAnsi="Times New Roman" w:eastAsia="仿宋_GB2312" w:cs="Times New Roman"/>
          <w:color w:val="auto"/>
          <w:sz w:val="32"/>
          <w:szCs w:val="32"/>
          <w:highlight w:val="none"/>
        </w:rPr>
        <w:t>人次，共计支出</w:t>
      </w:r>
      <w:r>
        <w:rPr>
          <w:rFonts w:hint="default" w:ascii="Times New Roman" w:hAnsi="Times New Roman" w:eastAsia="仿宋_GB2312" w:cs="Times New Roman"/>
          <w:color w:val="auto"/>
          <w:sz w:val="32"/>
          <w:szCs w:val="32"/>
          <w:highlight w:val="none"/>
          <w:lang w:val="en-US" w:eastAsia="zh-CN"/>
        </w:rPr>
        <w:t>10.59</w:t>
      </w:r>
      <w:r>
        <w:rPr>
          <w:rFonts w:hint="default" w:ascii="Times New Roman" w:hAnsi="Times New Roman" w:eastAsia="仿宋_GB2312" w:cs="Times New Roman"/>
          <w:color w:val="auto"/>
          <w:sz w:val="32"/>
          <w:szCs w:val="32"/>
          <w:highlight w:val="none"/>
        </w:rPr>
        <w:t>万元。</w:t>
      </w:r>
    </w:p>
    <w:p>
      <w:pPr>
        <w:spacing w:line="600" w:lineRule="exact"/>
        <w:ind w:firstLine="643" w:firstLineChars="200"/>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lang w:eastAsia="zh-CN"/>
        </w:rPr>
        <w:t>年初未安排预算，</w:t>
      </w:r>
      <w:r>
        <w:rPr>
          <w:rFonts w:hint="default" w:ascii="Times New Roman" w:hAnsi="Times New Roman" w:eastAsia="仿宋_GB2312" w:cs="Times New Roman"/>
          <w:color w:val="000000"/>
          <w:sz w:val="32"/>
          <w:szCs w:val="32"/>
          <w:lang w:val="en-US" w:eastAsia="zh-CN"/>
        </w:rPr>
        <w:t>与上年数无变化</w:t>
      </w:r>
      <w:r>
        <w:rPr>
          <w:rFonts w:hint="default" w:ascii="Times New Roman" w:hAnsi="Times New Roman" w:eastAsia="仿宋_GB2312" w:cs="Times New Roman"/>
          <w:color w:val="auto"/>
          <w:sz w:val="32"/>
          <w:szCs w:val="32"/>
          <w:highlight w:val="none"/>
        </w:rPr>
        <w:t>。</w:t>
      </w:r>
      <w:bookmarkStart w:id="56" w:name="_Toc15396610"/>
      <w:bookmarkStart w:id="57" w:name="_Toc15377218"/>
    </w:p>
    <w:p>
      <w:pPr>
        <w:spacing w:line="600" w:lineRule="exact"/>
        <w:ind w:firstLine="640"/>
        <w:outlineLvl w:val="1"/>
        <w:rPr>
          <w:rStyle w:val="26"/>
          <w:rFonts w:hint="default" w:ascii="Times New Roman" w:hAnsi="Times New Roman" w:eastAsia="黑体" w:cs="Times New Roman"/>
          <w:color w:val="auto"/>
          <w:highlight w:val="none"/>
        </w:rPr>
      </w:pPr>
      <w:bookmarkStart w:id="58" w:name="_Toc25435"/>
      <w:r>
        <w:rPr>
          <w:rFonts w:hint="default" w:ascii="Times New Roman" w:hAnsi="Times New Roman" w:eastAsia="黑体" w:cs="Times New Roman"/>
          <w:color w:val="auto"/>
          <w:sz w:val="32"/>
          <w:szCs w:val="32"/>
          <w:highlight w:val="none"/>
        </w:rPr>
        <w:t>八、</w:t>
      </w:r>
      <w:r>
        <w:rPr>
          <w:rStyle w:val="26"/>
          <w:rFonts w:hint="default" w:ascii="Times New Roman" w:hAnsi="Times New Roman" w:eastAsia="黑体" w:cs="Times New Roman"/>
          <w:b w:val="0"/>
          <w:color w:val="auto"/>
          <w:highlight w:val="none"/>
        </w:rPr>
        <w:t>政府性基金预算支出决算情况说明</w:t>
      </w:r>
      <w:bookmarkEnd w:id="56"/>
      <w:bookmarkEnd w:id="57"/>
      <w:bookmarkEnd w:id="58"/>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4"/>
        </w:numPr>
        <w:spacing w:line="600" w:lineRule="exact"/>
        <w:ind w:firstLine="640"/>
        <w:outlineLvl w:val="1"/>
        <w:rPr>
          <w:rStyle w:val="26"/>
          <w:rFonts w:hint="default" w:ascii="Times New Roman" w:hAnsi="Times New Roman" w:eastAsia="黑体" w:cs="Times New Roman"/>
          <w:b w:val="0"/>
          <w:color w:val="auto"/>
          <w:highlight w:val="none"/>
        </w:rPr>
      </w:pPr>
      <w:bookmarkStart w:id="59" w:name="_Toc3451"/>
      <w:bookmarkStart w:id="60" w:name="_Toc15377219"/>
      <w:bookmarkStart w:id="61" w:name="_Toc15396611"/>
      <w:r>
        <w:rPr>
          <w:rStyle w:val="26"/>
          <w:rFonts w:hint="default" w:ascii="Times New Roman" w:hAnsi="Times New Roman" w:eastAsia="黑体" w:cs="Times New Roman"/>
          <w:b w:val="0"/>
          <w:color w:val="auto"/>
          <w:highlight w:val="none"/>
        </w:rPr>
        <w:t>国有资本经营预算支出决算情况说明</w:t>
      </w:r>
      <w:bookmarkEnd w:id="59"/>
      <w:bookmarkEnd w:id="60"/>
      <w:bookmarkEnd w:id="61"/>
    </w:p>
    <w:p>
      <w:pPr>
        <w:spacing w:line="600" w:lineRule="exact"/>
        <w:ind w:firstLine="640"/>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4"/>
        </w:numPr>
        <w:spacing w:line="600" w:lineRule="exact"/>
        <w:ind w:firstLine="640"/>
        <w:outlineLvl w:val="1"/>
        <w:rPr>
          <w:rStyle w:val="26"/>
          <w:rFonts w:hint="default" w:ascii="Times New Roman" w:hAnsi="Times New Roman" w:eastAsia="黑体" w:cs="Times New Roman"/>
          <w:b w:val="0"/>
          <w:color w:val="auto"/>
          <w:highlight w:val="none"/>
        </w:rPr>
      </w:pPr>
      <w:bookmarkStart w:id="62" w:name="_Toc31329"/>
      <w:bookmarkStart w:id="63" w:name="_Toc15396612"/>
      <w:bookmarkStart w:id="64" w:name="_Toc15377221"/>
      <w:r>
        <w:rPr>
          <w:rStyle w:val="26"/>
          <w:rFonts w:hint="default" w:ascii="Times New Roman" w:hAnsi="Times New Roman" w:eastAsia="黑体" w:cs="Times New Roman"/>
          <w:b w:val="0"/>
          <w:color w:val="auto"/>
          <w:highlight w:val="none"/>
          <w:lang w:val="en-US" w:eastAsia="zh-CN"/>
        </w:rPr>
        <w:t>预算绩效管理情况</w:t>
      </w:r>
      <w:bookmarkEnd w:id="62"/>
    </w:p>
    <w:p>
      <w:pPr>
        <w:spacing w:line="580" w:lineRule="exact"/>
        <w:ind w:firstLine="640" w:firstLineChars="200"/>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auto"/>
          <w:sz w:val="32"/>
          <w:szCs w:val="32"/>
          <w:highlight w:val="none"/>
        </w:rPr>
        <w:t>根据预算绩效管理要求，本单位在</w:t>
      </w:r>
      <w:r>
        <w:rPr>
          <w:rFonts w:hint="default" w:ascii="Times New Roman" w:hAnsi="Times New Roman" w:eastAsia="仿宋_GB2312" w:cs="Times New Roman"/>
          <w:color w:val="auto"/>
          <w:sz w:val="32"/>
          <w:szCs w:val="32"/>
          <w:highlight w:val="none"/>
          <w:lang w:val="en-US" w:eastAsia="zh-CN"/>
        </w:rPr>
        <w:t>2021年度</w:t>
      </w:r>
      <w:r>
        <w:rPr>
          <w:rFonts w:hint="default" w:ascii="Times New Roman" w:hAnsi="Times New Roman" w:eastAsia="仿宋_GB2312" w:cs="Times New Roman"/>
          <w:color w:val="auto"/>
          <w:sz w:val="32"/>
          <w:szCs w:val="32"/>
          <w:highlight w:val="none"/>
        </w:rPr>
        <w:t>预算编制阶段，组织</w:t>
      </w:r>
      <w:r>
        <w:rPr>
          <w:rFonts w:hint="default" w:ascii="Times New Roman" w:hAnsi="Times New Roman"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lang w:val="en-US" w:eastAsia="zh-CN"/>
        </w:rPr>
        <w:t>重点项目建设监督审查经费、处非工作经费</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val="en-US" w:eastAsia="zh-CN"/>
        </w:rPr>
        <w:t>5个项目</w:t>
      </w:r>
      <w:r>
        <w:rPr>
          <w:rFonts w:hint="default" w:ascii="Times New Roman" w:hAnsi="Times New Roman" w:eastAsia="仿宋_GB2312" w:cs="Times New Roman"/>
          <w:color w:val="auto"/>
          <w:sz w:val="32"/>
          <w:szCs w:val="32"/>
          <w:highlight w:val="none"/>
        </w:rPr>
        <w:t>开展了预算事前绩效评估，对</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个项目开展绩效监控，年终执行完毕后，对</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个项目开展了绩效自评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2021年部门预算项目绩效目标自评表见附件（第四部分）</w:t>
      </w:r>
      <w:r>
        <w:rPr>
          <w:rFonts w:hint="default" w:ascii="Times New Roman" w:hAnsi="Times New Roman" w:eastAsia="仿宋_GB2312" w:cs="Times New Roman"/>
          <w:color w:val="auto"/>
          <w:sz w:val="32"/>
          <w:szCs w:val="32"/>
          <w:highlight w:val="none"/>
        </w:rPr>
        <w:t>。</w:t>
      </w:r>
    </w:p>
    <w:p>
      <w:pPr>
        <w:numPr>
          <w:ilvl w:val="0"/>
          <w:numId w:val="4"/>
        </w:numPr>
        <w:spacing w:line="600" w:lineRule="exact"/>
        <w:ind w:firstLine="640"/>
        <w:outlineLvl w:val="1"/>
        <w:rPr>
          <w:rStyle w:val="26"/>
          <w:rFonts w:hint="default" w:ascii="Times New Roman" w:hAnsi="Times New Roman" w:eastAsia="黑体" w:cs="Times New Roman"/>
          <w:b w:val="0"/>
          <w:color w:val="auto"/>
          <w:highlight w:val="none"/>
        </w:rPr>
      </w:pPr>
      <w:bookmarkStart w:id="65" w:name="_Toc29264"/>
      <w:r>
        <w:rPr>
          <w:rStyle w:val="26"/>
          <w:rFonts w:hint="default" w:ascii="Times New Roman" w:hAnsi="Times New Roman" w:eastAsia="黑体" w:cs="Times New Roman"/>
          <w:b w:val="0"/>
          <w:color w:val="auto"/>
          <w:highlight w:val="none"/>
        </w:rPr>
        <w:t>其他重要事项的情况说明</w:t>
      </w:r>
      <w:bookmarkEnd w:id="63"/>
      <w:bookmarkEnd w:id="64"/>
      <w:bookmarkEnd w:id="65"/>
    </w:p>
    <w:p>
      <w:pPr>
        <w:spacing w:line="600" w:lineRule="exact"/>
        <w:ind w:firstLine="643" w:firstLineChars="200"/>
        <w:outlineLvl w:val="2"/>
        <w:rPr>
          <w:rFonts w:hint="default" w:ascii="Times New Roman" w:hAnsi="Times New Roman" w:eastAsia="仿宋" w:cs="Times New Roman"/>
          <w:color w:val="auto"/>
          <w:sz w:val="32"/>
          <w:szCs w:val="32"/>
          <w:highlight w:val="none"/>
        </w:rPr>
      </w:pPr>
      <w:bookmarkStart w:id="66" w:name="_Toc15377222"/>
      <w:r>
        <w:rPr>
          <w:rFonts w:hint="default" w:ascii="Times New Roman" w:hAnsi="Times New Roman" w:eastAsia="仿宋" w:cs="Times New Roman"/>
          <w:b/>
          <w:color w:val="auto"/>
          <w:sz w:val="32"/>
          <w:szCs w:val="32"/>
          <w:highlight w:val="none"/>
        </w:rPr>
        <w:t>（一）机关运行经费支出情况</w:t>
      </w:r>
      <w:bookmarkEnd w:id="66"/>
    </w:p>
    <w:p>
      <w:pPr>
        <w:spacing w:line="600" w:lineRule="exact"/>
        <w:ind w:firstLine="640" w:firstLineChars="200"/>
        <w:rPr>
          <w:rFonts w:ascii="仿宋_GB2312" w:eastAsia="仿宋_GB2312"/>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政府办</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416</w:t>
      </w:r>
      <w:r>
        <w:rPr>
          <w:rFonts w:hint="default" w:ascii="Times New Roman" w:hAnsi="Times New Roman" w:eastAsia="仿宋_GB2312" w:cs="Times New Roman"/>
          <w:color w:val="auto"/>
          <w:sz w:val="32"/>
          <w:szCs w:val="32"/>
          <w:highlight w:val="none"/>
        </w:rPr>
        <w:t>万元，比20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年减少</w:t>
      </w:r>
      <w:r>
        <w:rPr>
          <w:rFonts w:hint="default" w:ascii="Times New Roman" w:hAnsi="Times New Roman" w:eastAsia="仿宋_GB2312" w:cs="Times New Roman"/>
          <w:color w:val="auto"/>
          <w:sz w:val="32"/>
          <w:szCs w:val="32"/>
          <w:highlight w:val="none"/>
          <w:lang w:val="en-US" w:eastAsia="zh-CN"/>
        </w:rPr>
        <w:t>131.36</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公用经费减少及职能职责减少。</w:t>
      </w:r>
    </w:p>
    <w:p>
      <w:pPr>
        <w:spacing w:line="600" w:lineRule="exact"/>
        <w:rPr>
          <w:rFonts w:hint="default" w:ascii="Times New Roman" w:hAnsi="Times New Roman" w:eastAsia="仿宋_GB2312" w:cs="Times New Roman"/>
          <w:color w:val="auto"/>
          <w:sz w:val="32"/>
          <w:szCs w:val="32"/>
          <w:highlight w:val="none"/>
        </w:rPr>
      </w:pP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67" w:name="_Toc15377223"/>
      <w:r>
        <w:rPr>
          <w:rFonts w:hint="default" w:ascii="Times New Roman" w:hAnsi="Times New Roman" w:eastAsia="仿宋" w:cs="Times New Roman"/>
          <w:b/>
          <w:color w:val="auto"/>
          <w:sz w:val="32"/>
          <w:szCs w:val="32"/>
          <w:highlight w:val="none"/>
        </w:rPr>
        <w:t>（二）政府采购支出情况</w:t>
      </w:r>
      <w:bookmarkEnd w:id="67"/>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68" w:name="_Toc15377224"/>
      <w:r>
        <w:rPr>
          <w:rFonts w:hint="default" w:ascii="Times New Roman" w:hAnsi="Times New Roman" w:eastAsia="仿宋" w:cs="Times New Roman"/>
          <w:b/>
          <w:color w:val="auto"/>
          <w:sz w:val="32"/>
          <w:szCs w:val="32"/>
          <w:highlight w:val="none"/>
        </w:rPr>
        <w:t>（三）国有资产占有使用情况</w:t>
      </w:r>
      <w:bookmarkEnd w:id="68"/>
    </w:p>
    <w:p>
      <w:pPr>
        <w:autoSpaceDE w:val="0"/>
        <w:autoSpaceDN w:val="0"/>
        <w:adjustRightInd w:val="0"/>
        <w:spacing w:line="600" w:lineRule="exact"/>
        <w:ind w:firstLine="640" w:firstLineChars="200"/>
        <w:jc w:val="left"/>
        <w:rPr>
          <w:rFonts w:hint="default" w:ascii="Times New Roman" w:hAnsi="Times New Roman" w:eastAsia="仿宋_GB2312" w:cs="Times New Roman"/>
          <w:highlight w:val="yellow"/>
          <w:lang w:eastAsia="zh-CN"/>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val="en-US" w:eastAsia="zh-CN"/>
        </w:rPr>
        <w:t>我办</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辆，单价50万元以上通用设备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pPr>
        <w:widowControl/>
        <w:jc w:val="left"/>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pStyle w:val="2"/>
        <w:rPr>
          <w:rFonts w:hint="default" w:ascii="Times New Roman" w:hAnsi="Times New Roman" w:eastAsia="仿宋_GB2312" w:cs="Times New Roman"/>
          <w:b/>
          <w:color w:val="auto"/>
          <w:sz w:val="32"/>
          <w:szCs w:val="32"/>
          <w:highlight w:val="none"/>
        </w:rPr>
      </w:pPr>
    </w:p>
    <w:p>
      <w:pPr>
        <w:numPr>
          <w:ilvl w:val="0"/>
          <w:numId w:val="5"/>
        </w:numPr>
        <w:spacing w:line="600" w:lineRule="exact"/>
        <w:ind w:firstLine="660" w:firstLineChars="150"/>
        <w:jc w:val="center"/>
        <w:outlineLvl w:val="0"/>
        <w:rPr>
          <w:rFonts w:hint="default" w:ascii="Times New Roman" w:hAnsi="Times New Roman" w:cs="Times New Roman"/>
          <w:b/>
          <w:color w:val="auto"/>
          <w:sz w:val="44"/>
          <w:szCs w:val="44"/>
          <w:highlight w:val="none"/>
        </w:rPr>
      </w:pPr>
      <w:bookmarkStart w:id="69" w:name="_Toc15377225"/>
      <w:bookmarkStart w:id="70" w:name="_Toc3410"/>
      <w:bookmarkStart w:id="71" w:name="_Toc15396613"/>
      <w:r>
        <w:rPr>
          <w:rFonts w:hint="default" w:ascii="Times New Roman" w:hAnsi="Times New Roman" w:eastAsia="黑体" w:cs="Times New Roman"/>
          <w:color w:val="auto"/>
          <w:sz w:val="44"/>
          <w:szCs w:val="44"/>
          <w:highlight w:val="none"/>
        </w:rPr>
        <w:t>名</w:t>
      </w:r>
      <w:r>
        <w:rPr>
          <w:rStyle w:val="25"/>
          <w:rFonts w:hint="default" w:ascii="Times New Roman" w:hAnsi="Times New Roman" w:eastAsia="黑体" w:cs="Times New Roman"/>
          <w:b w:val="0"/>
          <w:color w:val="auto"/>
          <w:highlight w:val="none"/>
        </w:rPr>
        <w:t>词解释</w:t>
      </w:r>
      <w:bookmarkEnd w:id="69"/>
      <w:bookmarkEnd w:id="70"/>
      <w:bookmarkEnd w:id="71"/>
    </w:p>
    <w:p>
      <w:pPr>
        <w:pStyle w:val="1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pPr>
        <w:pStyle w:val="1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 xml:space="preserve">.年初结转和结余：指以前年度尚未完成、结转到本年按有关规定继续使用的资金。 </w:t>
      </w:r>
    </w:p>
    <w:p>
      <w:pPr>
        <w:pStyle w:val="1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w:t>
      </w:r>
      <w:r>
        <w:rPr>
          <w:rFonts w:hint="default" w:ascii="Times New Roman" w:hAnsi="Times New Roman" w:eastAsia="仿宋_GB2312" w:cs="Times New Roman"/>
          <w:b w:val="0"/>
          <w:bCs w:val="0"/>
          <w:color w:val="auto"/>
          <w:sz w:val="31"/>
          <w:szCs w:val="31"/>
          <w:lang w:val="en-US" w:eastAsia="zh-CN"/>
        </w:rPr>
        <w:t>一般</w:t>
      </w:r>
      <w:r>
        <w:rPr>
          <w:rFonts w:hint="default" w:ascii="Times New Roman" w:hAnsi="Times New Roman" w:eastAsia="仿宋_GB2312" w:cs="Times New Roman"/>
          <w:b w:val="0"/>
          <w:bCs w:val="0"/>
          <w:color w:val="auto"/>
          <w:sz w:val="31"/>
          <w:szCs w:val="31"/>
        </w:rPr>
        <w:t>公共</w:t>
      </w:r>
      <w:r>
        <w:rPr>
          <w:rFonts w:hint="default" w:ascii="Times New Roman" w:hAnsi="Times New Roman" w:eastAsia="仿宋_GB2312" w:cs="Times New Roman"/>
          <w:b w:val="0"/>
          <w:bCs w:val="0"/>
          <w:color w:val="auto"/>
          <w:sz w:val="31"/>
          <w:szCs w:val="31"/>
          <w:lang w:eastAsia="zh-CN"/>
        </w:rPr>
        <w:t>服务</w:t>
      </w:r>
      <w:r>
        <w:rPr>
          <w:rFonts w:hint="default" w:ascii="Times New Roman" w:hAnsi="Times New Roman" w:eastAsia="仿宋_GB2312" w:cs="Times New Roman"/>
          <w:b w:val="0"/>
          <w:bCs w:val="0"/>
          <w:color w:val="auto"/>
          <w:sz w:val="31"/>
          <w:szCs w:val="31"/>
        </w:rPr>
        <w:t>（类）</w:t>
      </w:r>
      <w:r>
        <w:rPr>
          <w:rFonts w:hint="default" w:ascii="Times New Roman" w:hAnsi="Times New Roman" w:eastAsia="仿宋_GB2312" w:cs="Times New Roman"/>
          <w:b w:val="0"/>
          <w:bCs w:val="0"/>
          <w:color w:val="auto"/>
          <w:sz w:val="31"/>
          <w:szCs w:val="31"/>
          <w:lang w:eastAsia="zh-CN"/>
        </w:rPr>
        <w:t>党委办公厅（室）及相关机构事务</w:t>
      </w:r>
      <w:r>
        <w:rPr>
          <w:rFonts w:hint="default" w:ascii="Times New Roman" w:hAnsi="Times New Roman" w:eastAsia="仿宋_GB2312" w:cs="Times New Roman"/>
          <w:b w:val="0"/>
          <w:bCs w:val="0"/>
          <w:color w:val="auto"/>
          <w:sz w:val="31"/>
          <w:szCs w:val="31"/>
        </w:rPr>
        <w:t>（款）行政运行（项）</w:t>
      </w:r>
      <w:r>
        <w:rPr>
          <w:rFonts w:hint="default" w:ascii="Times New Roman" w:hAnsi="Times New Roman" w:eastAsia="仿宋_GB2312" w:cs="Times New Roman"/>
          <w:b w:val="0"/>
          <w:bCs w:val="0"/>
          <w:color w:val="auto"/>
          <w:sz w:val="31"/>
          <w:szCs w:val="31"/>
          <w:lang w:eastAsia="zh-CN"/>
        </w:rPr>
        <w:t>：</w:t>
      </w:r>
      <w:r>
        <w:rPr>
          <w:rFonts w:hint="default" w:ascii="Times New Roman" w:hAnsi="Times New Roman" w:eastAsia="仿宋_GB2312" w:cs="Times New Roman"/>
          <w:b w:val="0"/>
          <w:bCs w:val="0"/>
          <w:color w:val="auto"/>
          <w:sz w:val="31"/>
          <w:szCs w:val="31"/>
        </w:rPr>
        <w:t>指机关用于保障机构正常运行、开展日常工作的基本支出</w:t>
      </w:r>
      <w:r>
        <w:rPr>
          <w:rFonts w:hint="default" w:ascii="Times New Roman" w:hAnsi="Times New Roman" w:eastAsia="仿宋_GB2312" w:cs="Times New Roman"/>
          <w:color w:val="auto"/>
          <w:sz w:val="32"/>
          <w:szCs w:val="32"/>
          <w:highlight w:val="none"/>
        </w:rPr>
        <w:t>。</w:t>
      </w:r>
    </w:p>
    <w:p>
      <w:pPr>
        <w:ind w:firstLine="640" w:firstLineChars="200"/>
        <w:rPr>
          <w:rFonts w:hint="default" w:ascii="Times New Roman" w:hAnsi="Times New Roman" w:eastAsia="仿宋_GB2312" w:cs="Times New Roman"/>
          <w:b w:val="0"/>
          <w:bCs w:val="0"/>
          <w:color w:val="auto"/>
          <w:sz w:val="31"/>
          <w:szCs w:val="31"/>
          <w:lang w:eastAsia="zh-CN"/>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1"/>
          <w:szCs w:val="31"/>
          <w:lang w:val="en-US" w:eastAsia="zh-CN"/>
        </w:rPr>
        <w:t>社会保障和就业（类）行政事业单位养老支出（款）机关事业单位基本养老保险缴费支出（项）</w:t>
      </w:r>
      <w:r>
        <w:rPr>
          <w:rFonts w:hint="default" w:ascii="Times New Roman" w:hAnsi="Times New Roman" w:eastAsia="仿宋_GB2312" w:cs="Times New Roman"/>
          <w:b w:val="0"/>
          <w:bCs w:val="0"/>
          <w:color w:val="auto"/>
          <w:sz w:val="31"/>
          <w:szCs w:val="31"/>
          <w:lang w:eastAsia="zh-CN"/>
        </w:rPr>
        <w:t>: 指部门实施养老保险制度由单位缴纳的养老保险费的支出。</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Times New Roman" w:hAnsi="Times New Roman" w:eastAsia="仿宋_GB2312" w:cs="Times New Roman"/>
          <w:b w:val="0"/>
          <w:bCs w:val="0"/>
          <w:color w:val="auto"/>
          <w:sz w:val="31"/>
          <w:szCs w:val="31"/>
          <w:lang w:eastAsia="zh-CN"/>
        </w:rPr>
      </w:pPr>
      <w:r>
        <w:rPr>
          <w:rFonts w:hint="default" w:ascii="Times New Roman" w:hAnsi="Times New Roman" w:eastAsia="仿宋_GB2312" w:cs="Times New Roman"/>
          <w:b w:val="0"/>
          <w:bCs w:val="0"/>
          <w:color w:val="auto"/>
          <w:sz w:val="31"/>
          <w:szCs w:val="31"/>
          <w:lang w:val="en-US" w:eastAsia="zh-CN"/>
        </w:rPr>
        <w:t>11</w:t>
      </w:r>
      <w:r>
        <w:rPr>
          <w:rFonts w:hint="default" w:ascii="Times New Roman" w:hAnsi="Times New Roman" w:eastAsia="仿宋_GB2312" w:cs="Times New Roman"/>
          <w:b w:val="0"/>
          <w:bCs w:val="0"/>
          <w:color w:val="auto"/>
          <w:sz w:val="31"/>
          <w:szCs w:val="31"/>
          <w:lang w:eastAsia="zh-CN"/>
        </w:rPr>
        <w:t>.</w:t>
      </w:r>
      <w:r>
        <w:rPr>
          <w:rFonts w:hint="default" w:ascii="Times New Roman" w:hAnsi="Times New Roman" w:eastAsia="仿宋_GB2312" w:cs="Times New Roman"/>
          <w:b w:val="0"/>
          <w:bCs w:val="0"/>
          <w:color w:val="auto"/>
          <w:sz w:val="31"/>
          <w:szCs w:val="31"/>
          <w:lang w:val="en-US" w:eastAsia="zh-CN"/>
        </w:rPr>
        <w:t>社会保障和就业（类）行政事业单位养老支出（款）机关事业单位职业年金缴费支出（项）</w:t>
      </w:r>
      <w:r>
        <w:rPr>
          <w:rFonts w:hint="default" w:ascii="Times New Roman" w:hAnsi="Times New Roman" w:eastAsia="仿宋_GB2312" w:cs="Times New Roman"/>
          <w:b w:val="0"/>
          <w:bCs w:val="0"/>
          <w:color w:val="auto"/>
          <w:sz w:val="31"/>
          <w:szCs w:val="31"/>
          <w:lang w:eastAsia="zh-CN"/>
        </w:rPr>
        <w:t>: 指部门实施职业年金制度由单位缴纳的职业年金的支出。</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Times New Roman" w:hAnsi="Times New Roman" w:eastAsia="仿宋_GB2312" w:cs="Times New Roman"/>
          <w:b w:val="0"/>
          <w:bCs w:val="0"/>
          <w:color w:val="auto"/>
          <w:sz w:val="31"/>
          <w:szCs w:val="31"/>
          <w:lang w:eastAsia="zh-CN"/>
        </w:rPr>
      </w:pPr>
      <w:r>
        <w:rPr>
          <w:rFonts w:hint="default" w:ascii="Times New Roman" w:hAnsi="Times New Roman" w:eastAsia="仿宋_GB2312" w:cs="Times New Roman"/>
          <w:b w:val="0"/>
          <w:bCs w:val="0"/>
          <w:color w:val="auto"/>
          <w:sz w:val="31"/>
          <w:szCs w:val="31"/>
          <w:lang w:val="en-US" w:eastAsia="zh-CN"/>
        </w:rPr>
        <w:t>12.社会保障和就业（类）其他社会保障和就业支出（款）其他社会保障和就业支出（项）</w:t>
      </w:r>
      <w:r>
        <w:rPr>
          <w:rFonts w:hint="default" w:ascii="Times New Roman" w:hAnsi="Times New Roman" w:eastAsia="仿宋_GB2312" w:cs="Times New Roman"/>
          <w:b w:val="0"/>
          <w:bCs w:val="0"/>
          <w:color w:val="auto"/>
          <w:sz w:val="31"/>
          <w:szCs w:val="31"/>
          <w:lang w:eastAsia="zh-CN"/>
        </w:rPr>
        <w:t>: 行政事业单位</w:t>
      </w:r>
      <w:r>
        <w:rPr>
          <w:rFonts w:hint="default" w:ascii="Times New Roman" w:hAnsi="Times New Roman" w:eastAsia="仿宋_GB2312" w:cs="Times New Roman"/>
          <w:b w:val="0"/>
          <w:bCs w:val="0"/>
          <w:color w:val="auto"/>
          <w:sz w:val="31"/>
          <w:szCs w:val="31"/>
          <w:lang w:val="en-US" w:eastAsia="zh-CN"/>
        </w:rPr>
        <w:t>失业、工伤</w:t>
      </w:r>
      <w:r>
        <w:rPr>
          <w:rFonts w:hint="default" w:ascii="Times New Roman" w:hAnsi="Times New Roman" w:eastAsia="仿宋_GB2312" w:cs="Times New Roman"/>
          <w:b w:val="0"/>
          <w:bCs w:val="0"/>
          <w:color w:val="auto"/>
          <w:sz w:val="31"/>
          <w:szCs w:val="31"/>
          <w:lang w:eastAsia="zh-CN"/>
        </w:rPr>
        <w:t>等</w:t>
      </w:r>
      <w:r>
        <w:rPr>
          <w:rFonts w:hint="default" w:ascii="Times New Roman" w:hAnsi="Times New Roman" w:eastAsia="仿宋_GB2312" w:cs="Times New Roman"/>
          <w:b w:val="0"/>
          <w:bCs w:val="0"/>
          <w:color w:val="auto"/>
          <w:sz w:val="31"/>
          <w:szCs w:val="31"/>
          <w:lang w:val="en-US" w:eastAsia="zh-CN"/>
        </w:rPr>
        <w:t>保险</w:t>
      </w:r>
      <w:r>
        <w:rPr>
          <w:rFonts w:hint="default" w:ascii="Times New Roman" w:hAnsi="Times New Roman" w:eastAsia="仿宋_GB2312" w:cs="Times New Roman"/>
          <w:b w:val="0"/>
          <w:bCs w:val="0"/>
          <w:color w:val="auto"/>
          <w:sz w:val="31"/>
          <w:szCs w:val="31"/>
          <w:lang w:eastAsia="zh-CN"/>
        </w:rPr>
        <w:t>方面的支出。　</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Times New Roman" w:hAnsi="Times New Roman" w:eastAsia="仿宋_GB2312" w:cs="Times New Roman"/>
          <w:b w:val="0"/>
          <w:bCs w:val="0"/>
          <w:color w:val="auto"/>
          <w:sz w:val="31"/>
          <w:szCs w:val="31"/>
          <w:lang w:eastAsia="zh-CN"/>
        </w:rPr>
      </w:pPr>
      <w:r>
        <w:rPr>
          <w:rFonts w:hint="default" w:ascii="Times New Roman" w:hAnsi="Times New Roman" w:eastAsia="仿宋_GB2312" w:cs="Times New Roman"/>
          <w:b w:val="0"/>
          <w:bCs w:val="0"/>
          <w:color w:val="auto"/>
          <w:sz w:val="31"/>
          <w:szCs w:val="31"/>
          <w:lang w:val="en-US" w:eastAsia="zh-CN"/>
        </w:rPr>
        <w:t>13.</w:t>
      </w:r>
      <w:r>
        <w:rPr>
          <w:rFonts w:hint="default" w:ascii="Times New Roman" w:hAnsi="Times New Roman" w:eastAsia="仿宋_GB2312" w:cs="Times New Roman"/>
          <w:b w:val="0"/>
          <w:bCs w:val="0"/>
          <w:color w:val="auto"/>
          <w:sz w:val="31"/>
          <w:szCs w:val="31"/>
          <w:lang w:eastAsia="zh-CN"/>
        </w:rPr>
        <w:t>卫生健康（类）行政事业单位医疗（款）行政单位医疗（项）: 指按规定由单位缴纳的基本医疗保险支出。</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Times New Roman" w:hAnsi="Times New Roman" w:eastAsia="仿宋_GB2312" w:cs="Times New Roman"/>
          <w:b w:val="0"/>
          <w:bCs w:val="0"/>
          <w:color w:val="auto"/>
          <w:sz w:val="31"/>
          <w:szCs w:val="31"/>
          <w:lang w:eastAsia="zh-CN"/>
        </w:rPr>
      </w:pPr>
      <w:r>
        <w:rPr>
          <w:rFonts w:hint="default" w:ascii="Times New Roman" w:hAnsi="Times New Roman" w:eastAsia="仿宋_GB2312" w:cs="Times New Roman"/>
          <w:b w:val="0"/>
          <w:bCs w:val="0"/>
          <w:color w:val="auto"/>
          <w:sz w:val="31"/>
          <w:szCs w:val="31"/>
          <w:lang w:val="en-US" w:eastAsia="zh-CN"/>
        </w:rPr>
        <w:t>14</w:t>
      </w:r>
      <w:r>
        <w:rPr>
          <w:rFonts w:hint="default" w:ascii="Times New Roman" w:hAnsi="Times New Roman" w:eastAsia="仿宋_GB2312" w:cs="Times New Roman"/>
          <w:b w:val="0"/>
          <w:bCs w:val="0"/>
          <w:color w:val="auto"/>
          <w:sz w:val="31"/>
          <w:szCs w:val="31"/>
          <w:lang w:eastAsia="zh-CN"/>
        </w:rPr>
        <w:t>.住房保障支出</w:t>
      </w:r>
      <w:r>
        <w:rPr>
          <w:rFonts w:hint="default" w:ascii="Times New Roman" w:hAnsi="Times New Roman" w:eastAsia="仿宋_GB2312" w:cs="Times New Roman"/>
          <w:b w:val="0"/>
          <w:bCs w:val="0"/>
          <w:color w:val="auto"/>
          <w:sz w:val="31"/>
          <w:szCs w:val="31"/>
          <w:lang w:val="en-US" w:eastAsia="zh-CN"/>
        </w:rPr>
        <w:t>（类）住房改革支出（款）住房公积金（项）</w:t>
      </w:r>
      <w:r>
        <w:rPr>
          <w:rFonts w:hint="default" w:ascii="Times New Roman" w:hAnsi="Times New Roman" w:eastAsia="仿宋_GB2312" w:cs="Times New Roman"/>
          <w:b w:val="0"/>
          <w:bCs w:val="0"/>
          <w:color w:val="auto"/>
          <w:sz w:val="31"/>
          <w:szCs w:val="31"/>
          <w:lang w:eastAsia="zh-CN"/>
        </w:rPr>
        <w:t>:部门按人力资源和社会保障部、财政部规定的基本工资和津贴补贴以及规定比例为职工缴纳的住房公积金支出。</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pPr>
        <w:pStyle w:val="1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7"/>
        <w:spacing w:line="560" w:lineRule="exact"/>
        <w:ind w:firstLine="640" w:firstLineChars="200"/>
        <w:rPr>
          <w:rFonts w:hint="default" w:ascii="Times New Roman" w:hAnsi="Times New Roman" w:eastAsia="仿宋_GB2312" w:cs="Times New Roman"/>
          <w:color w:val="auto"/>
          <w:sz w:val="32"/>
          <w:szCs w:val="32"/>
          <w:highlight w:val="none"/>
        </w:rPr>
      </w:pPr>
    </w:p>
    <w:p>
      <w:pPr>
        <w:pStyle w:val="17"/>
        <w:spacing w:line="560" w:lineRule="exact"/>
        <w:ind w:firstLine="640" w:firstLineChars="200"/>
        <w:rPr>
          <w:rFonts w:hint="default" w:ascii="Times New Roman" w:hAnsi="Times New Roman" w:eastAsia="仿宋_GB2312" w:cs="Times New Roman"/>
          <w:color w:val="auto"/>
          <w:sz w:val="32"/>
          <w:szCs w:val="32"/>
          <w:highlight w:val="none"/>
        </w:rPr>
      </w:pPr>
    </w:p>
    <w:p>
      <w:pPr>
        <w:spacing w:line="600" w:lineRule="exact"/>
        <w:jc w:val="both"/>
        <w:outlineLvl w:val="9"/>
        <w:rPr>
          <w:rFonts w:hint="default" w:ascii="Times New Roman" w:hAnsi="Times New Roman" w:eastAsia="黑体" w:cs="Times New Roman"/>
          <w:color w:val="auto"/>
          <w:sz w:val="44"/>
          <w:szCs w:val="44"/>
          <w:highlight w:val="none"/>
        </w:rPr>
      </w:pPr>
      <w:bookmarkStart w:id="72" w:name="_Toc15396614"/>
      <w:bookmarkStart w:id="73" w:name="_Toc15377226"/>
    </w:p>
    <w:p>
      <w:pPr>
        <w:pStyle w:val="17"/>
        <w:rPr>
          <w:rFonts w:hint="default" w:ascii="Times New Roman" w:hAnsi="Times New Roman" w:eastAsia="黑体" w:cs="Times New Roman"/>
          <w:color w:val="auto"/>
          <w:sz w:val="44"/>
          <w:szCs w:val="44"/>
          <w:highlight w:val="none"/>
        </w:rPr>
      </w:pPr>
    </w:p>
    <w:p>
      <w:pPr>
        <w:pStyle w:val="17"/>
        <w:rPr>
          <w:rFonts w:hint="default" w:ascii="Times New Roman" w:hAnsi="Times New Roman" w:eastAsia="黑体" w:cs="Times New Roman"/>
          <w:color w:val="auto"/>
          <w:sz w:val="44"/>
          <w:szCs w:val="44"/>
          <w:highlight w:val="none"/>
        </w:rPr>
      </w:pPr>
    </w:p>
    <w:p>
      <w:pPr>
        <w:pStyle w:val="2"/>
        <w:rPr>
          <w:rFonts w:hint="default" w:ascii="Times New Roman" w:hAnsi="Times New Roman" w:cs="Times New Roman"/>
        </w:rPr>
      </w:pPr>
    </w:p>
    <w:p>
      <w:pPr>
        <w:spacing w:line="600" w:lineRule="exact"/>
        <w:jc w:val="center"/>
        <w:outlineLvl w:val="0"/>
        <w:rPr>
          <w:rStyle w:val="25"/>
          <w:rFonts w:hint="default" w:ascii="Times New Roman" w:hAnsi="Times New Roman" w:eastAsia="黑体" w:cs="Times New Roman"/>
          <w:b w:val="0"/>
          <w:color w:val="auto"/>
          <w:highlight w:val="none"/>
        </w:rPr>
      </w:pPr>
      <w:bookmarkStart w:id="74" w:name="_Toc14285"/>
      <w:r>
        <w:rPr>
          <w:rFonts w:hint="default" w:ascii="Times New Roman" w:hAnsi="Times New Roman" w:eastAsia="黑体" w:cs="Times New Roman"/>
          <w:color w:val="auto"/>
          <w:sz w:val="44"/>
          <w:szCs w:val="44"/>
          <w:highlight w:val="none"/>
        </w:rPr>
        <w:t>第</w:t>
      </w:r>
      <w:r>
        <w:rPr>
          <w:rStyle w:val="25"/>
          <w:rFonts w:hint="default" w:ascii="Times New Roman" w:hAnsi="Times New Roman" w:eastAsia="黑体" w:cs="Times New Roman"/>
          <w:b w:val="0"/>
          <w:color w:val="auto"/>
          <w:highlight w:val="none"/>
        </w:rPr>
        <w:t>四部分 附件</w:t>
      </w:r>
      <w:bookmarkEnd w:id="72"/>
      <w:bookmarkEnd w:id="74"/>
    </w:p>
    <w:p>
      <w:pPr>
        <w:keepNext w:val="0"/>
        <w:keepLines w:val="0"/>
        <w:pageBreakBefore w:val="0"/>
        <w:kinsoku/>
        <w:wordWrap/>
        <w:overflowPunct/>
        <w:topLinePunct w:val="0"/>
        <w:autoSpaceDE/>
        <w:autoSpaceDN/>
        <w:bidi w:val="0"/>
        <w:spacing w:line="572" w:lineRule="exact"/>
        <w:jc w:val="left"/>
        <w:textAlignment w:val="auto"/>
        <w:outlineLvl w:val="1"/>
        <w:rPr>
          <w:rFonts w:hint="default" w:ascii="Times New Roman" w:hAnsi="Times New Roman" w:eastAsia="黑体" w:cs="Times New Roman"/>
          <w:color w:val="auto"/>
          <w:sz w:val="32"/>
          <w:szCs w:val="32"/>
          <w:highlight w:val="none"/>
          <w:lang w:val="en-US" w:eastAsia="zh-CN"/>
        </w:rPr>
      </w:pPr>
      <w:bookmarkStart w:id="75" w:name="_Toc31245"/>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bookmarkEnd w:id="75"/>
    </w:p>
    <w:tbl>
      <w:tblPr>
        <w:tblStyle w:val="13"/>
        <w:tblW w:w="5000" w:type="pct"/>
        <w:tblInd w:w="0" w:type="dxa"/>
        <w:shd w:val="clear" w:color="auto" w:fill="auto"/>
        <w:tblLayout w:type="autofit"/>
        <w:tblCellMar>
          <w:top w:w="0" w:type="dxa"/>
          <w:left w:w="108" w:type="dxa"/>
          <w:bottom w:w="0" w:type="dxa"/>
          <w:right w:w="108" w:type="dxa"/>
        </w:tblCellMar>
      </w:tblPr>
      <w:tblGrid>
        <w:gridCol w:w="557"/>
        <w:gridCol w:w="1227"/>
        <w:gridCol w:w="1139"/>
        <w:gridCol w:w="1430"/>
        <w:gridCol w:w="1466"/>
        <w:gridCol w:w="2703"/>
      </w:tblGrid>
      <w:tr>
        <w:tblPrEx>
          <w:shd w:val="clear" w:color="auto" w:fill="auto"/>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bookmarkStart w:id="76" w:name="_Toc15396618"/>
            <w:r>
              <w:rPr>
                <w:rFonts w:hint="default" w:ascii="Times New Roman" w:hAnsi="Times New Roman" w:eastAsia="宋体" w:cs="Times New Roman"/>
                <w:b/>
                <w:bCs/>
                <w:i w:val="0"/>
                <w:iCs w:val="0"/>
                <w:color w:val="000000"/>
                <w:kern w:val="0"/>
                <w:sz w:val="28"/>
                <w:szCs w:val="28"/>
                <w:u w:val="none"/>
                <w:lang w:val="en-US" w:eastAsia="zh-CN" w:bidi="ar"/>
              </w:rPr>
              <w:t>2021年全区重点项目建设监督审查经费项目绩效目标自评</w:t>
            </w:r>
          </w:p>
        </w:tc>
      </w:tr>
      <w:tr>
        <w:tblPrEx>
          <w:tblCellMar>
            <w:top w:w="0" w:type="dxa"/>
            <w:left w:w="108" w:type="dxa"/>
            <w:bottom w:w="0" w:type="dxa"/>
            <w:right w:w="108" w:type="dxa"/>
          </w:tblCellMar>
        </w:tblPrEx>
        <w:trPr>
          <w:trHeight w:val="315" w:hRule="atLeast"/>
        </w:trPr>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主管部门及代码</w:t>
            </w:r>
          </w:p>
        </w:tc>
        <w:tc>
          <w:tcPr>
            <w:tcW w:w="1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43441</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广元市昭化区人民政府办公室</w:t>
            </w:r>
          </w:p>
        </w:tc>
      </w:tr>
      <w:tr>
        <w:tblPrEx>
          <w:shd w:val="clear" w:color="auto" w:fill="auto"/>
          <w:tblCellMar>
            <w:top w:w="0" w:type="dxa"/>
            <w:left w:w="108" w:type="dxa"/>
            <w:bottom w:w="0" w:type="dxa"/>
            <w:right w:w="108" w:type="dxa"/>
          </w:tblCellMar>
        </w:tblPrEx>
        <w:trPr>
          <w:trHeight w:val="600" w:hRule="atLeast"/>
        </w:trPr>
        <w:tc>
          <w:tcPr>
            <w:tcW w:w="10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项目预算</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执行情况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（万元）</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预算数：</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执行数：</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tblPrEx>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w:t>
            </w:r>
          </w:p>
        </w:tc>
        <w:tc>
          <w:tcPr>
            <w:tcW w:w="1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tblPrEx>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财政拨款</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财政拨款</w:t>
            </w:r>
          </w:p>
        </w:tc>
        <w:tc>
          <w:tcPr>
            <w:tcW w:w="1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6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预期目标</w:t>
            </w:r>
          </w:p>
        </w:tc>
        <w:tc>
          <w:tcPr>
            <w:tcW w:w="2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目标实际完成情况</w:t>
            </w:r>
          </w:p>
        </w:tc>
      </w:tr>
      <w:tr>
        <w:tblPrEx>
          <w:tblCellMar>
            <w:top w:w="0" w:type="dxa"/>
            <w:left w:w="108" w:type="dxa"/>
            <w:bottom w:w="0" w:type="dxa"/>
            <w:right w:w="108" w:type="dxa"/>
          </w:tblCellMar>
        </w:tblPrEx>
        <w:trPr>
          <w:trHeight w:val="13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完成情况</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完成2021年全区重点项目建设监督审查不少于56个，提升项目监督审查准确率，促进项目良性运转，提升社会公众满意度</w:t>
            </w:r>
          </w:p>
        </w:tc>
        <w:tc>
          <w:tcPr>
            <w:tcW w:w="24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完成2021年全区重点项目建设监督审查不少于56个，提升项目监督审查准确率，促进项目良性运转，提升社会公众满意度</w:t>
            </w:r>
          </w:p>
        </w:tc>
      </w:tr>
      <w:tr>
        <w:tblPrEx>
          <w:tblCellMar>
            <w:top w:w="0" w:type="dxa"/>
            <w:left w:w="108" w:type="dxa"/>
            <w:bottom w:w="0" w:type="dxa"/>
            <w:right w:w="108" w:type="dxa"/>
          </w:tblCellMar>
        </w:tblPrEx>
        <w:trPr>
          <w:trHeight w:val="75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年度绩效指标完成情况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一级</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指标</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二级</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指标</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三级</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指标</w:t>
            </w: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预期指标值</w:t>
            </w:r>
          </w:p>
        </w:tc>
        <w:tc>
          <w:tcPr>
            <w:tcW w:w="1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实际完成指标值</w:t>
            </w:r>
          </w:p>
        </w:tc>
      </w:tr>
      <w:tr>
        <w:tblPrEx>
          <w:tblCellMar>
            <w:top w:w="0" w:type="dxa"/>
            <w:left w:w="108" w:type="dxa"/>
            <w:bottom w:w="0" w:type="dxa"/>
            <w:right w:w="108" w:type="dxa"/>
          </w:tblCellMar>
        </w:tblPrEx>
        <w:trPr>
          <w:trHeight w:val="28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1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r>
      <w:tr>
        <w:tblPrEx>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目</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成</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83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重点项目建设监督审查个数</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56个</w:t>
            </w:r>
          </w:p>
        </w:tc>
      </w:tr>
      <w:tr>
        <w:tblPrEx>
          <w:tblCellMar>
            <w:top w:w="0" w:type="dxa"/>
            <w:left w:w="108" w:type="dxa"/>
            <w:bottom w:w="0" w:type="dxa"/>
            <w:right w:w="108" w:type="dxa"/>
          </w:tblCellMar>
        </w:tblPrEx>
        <w:trPr>
          <w:trHeight w:val="37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83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完成时限</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w:t>
            </w:r>
          </w:p>
        </w:tc>
      </w:tr>
      <w:tr>
        <w:tblPrEx>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83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项目建设监督审查准确率</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83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项目建设监督审查工作经费</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≤18万元</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18万元</w:t>
            </w:r>
          </w:p>
        </w:tc>
      </w:tr>
      <w:tr>
        <w:tblPrEx>
          <w:tblCellMar>
            <w:top w:w="0" w:type="dxa"/>
            <w:left w:w="108" w:type="dxa"/>
            <w:bottom w:w="0" w:type="dxa"/>
            <w:right w:w="108" w:type="dxa"/>
          </w:tblCellMar>
        </w:tblPrEx>
        <w:trPr>
          <w:trHeight w:val="37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83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项目良性运转</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优</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i w:val="0"/>
                <w:iCs w:val="0"/>
                <w:color w:val="000000"/>
                <w:kern w:val="0"/>
                <w:sz w:val="18"/>
                <w:szCs w:val="18"/>
                <w:u w:val="none"/>
                <w:lang w:val="en-US" w:eastAsia="zh-CN" w:bidi="ar"/>
              </w:rPr>
              <w:t>优</w:t>
            </w:r>
          </w:p>
        </w:tc>
      </w:tr>
      <w:tr>
        <w:tblPrEx>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18"/>
                <w:szCs w:val="18"/>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社会公众满意度</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p>
        </w:tc>
      </w:tr>
    </w:tbl>
    <w:p>
      <w:pPr>
        <w:spacing w:line="600" w:lineRule="exact"/>
        <w:jc w:val="center"/>
        <w:outlineLvl w:val="9"/>
        <w:rPr>
          <w:rFonts w:hint="default" w:ascii="Times New Roman" w:hAnsi="Times New Roman" w:eastAsia="黑体" w:cs="Times New Roman"/>
          <w:color w:val="auto"/>
          <w:sz w:val="44"/>
          <w:szCs w:val="44"/>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color w:val="auto"/>
          <w:sz w:val="32"/>
          <w:szCs w:val="32"/>
          <w:highlight w:val="none"/>
        </w:rPr>
      </w:pPr>
    </w:p>
    <w:p>
      <w:pPr>
        <w:pStyle w:val="17"/>
        <w:rPr>
          <w:rFonts w:hint="default"/>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bookmarkStart w:id="77" w:name="_Toc4517"/>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bookmarkEnd w:id="77"/>
    </w:p>
    <w:tbl>
      <w:tblPr>
        <w:tblStyle w:val="13"/>
        <w:tblW w:w="5000" w:type="pct"/>
        <w:tblInd w:w="0" w:type="dxa"/>
        <w:shd w:val="clear" w:color="auto" w:fill="auto"/>
        <w:tblLayout w:type="fixed"/>
        <w:tblCellMar>
          <w:top w:w="0" w:type="dxa"/>
          <w:left w:w="108" w:type="dxa"/>
          <w:bottom w:w="0" w:type="dxa"/>
          <w:right w:w="108" w:type="dxa"/>
        </w:tblCellMar>
      </w:tblPr>
      <w:tblGrid>
        <w:gridCol w:w="462"/>
        <w:gridCol w:w="1133"/>
        <w:gridCol w:w="1116"/>
        <w:gridCol w:w="1825"/>
        <w:gridCol w:w="1372"/>
        <w:gridCol w:w="2614"/>
      </w:tblGrid>
      <w:tr>
        <w:tblPrEx>
          <w:shd w:val="clear" w:color="auto" w:fill="auto"/>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8"/>
                <w:szCs w:val="28"/>
                <w:u w:val="none"/>
                <w:lang w:val="en-US" w:eastAsia="zh-CN" w:bidi="ar"/>
              </w:rPr>
              <w:t>2021年处非工作经费项目绩效目标自评</w:t>
            </w:r>
          </w:p>
        </w:tc>
      </w:tr>
      <w:tr>
        <w:tblPrEx>
          <w:tblCellMar>
            <w:top w:w="0" w:type="dxa"/>
            <w:left w:w="108" w:type="dxa"/>
            <w:bottom w:w="0" w:type="dxa"/>
            <w:right w:w="108" w:type="dxa"/>
          </w:tblCellMar>
        </w:tblPrEx>
        <w:trPr>
          <w:trHeight w:val="315" w:hRule="atLeast"/>
        </w:trPr>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主管部门及代码</w:t>
            </w:r>
          </w:p>
        </w:tc>
        <w:tc>
          <w:tcPr>
            <w:tcW w:w="1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43441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实施单位</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广元市昭化区人民政府办公室</w:t>
            </w:r>
          </w:p>
        </w:tc>
      </w:tr>
      <w:tr>
        <w:tblPrEx>
          <w:shd w:val="clear" w:color="auto" w:fill="auto"/>
          <w:tblCellMar>
            <w:top w:w="0" w:type="dxa"/>
            <w:left w:w="108" w:type="dxa"/>
            <w:bottom w:w="0" w:type="dxa"/>
            <w:right w:w="108" w:type="dxa"/>
          </w:tblCellMar>
        </w:tblPrEx>
        <w:trPr>
          <w:trHeight w:val="600" w:hRule="atLeast"/>
        </w:trPr>
        <w:tc>
          <w:tcPr>
            <w:tcW w:w="9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项目预算</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执行情况</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（万元）</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预算数：</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执行数：</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tblCellMar>
            <w:top w:w="0" w:type="dxa"/>
            <w:left w:w="108" w:type="dxa"/>
            <w:bottom w:w="0" w:type="dxa"/>
            <w:right w:w="108" w:type="dxa"/>
          </w:tblCellMar>
        </w:tblPrEx>
        <w:trPr>
          <w:trHeight w:val="315" w:hRule="atLeast"/>
        </w:trPr>
        <w:tc>
          <w:tcPr>
            <w:tcW w:w="9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w:t>
            </w:r>
          </w:p>
        </w:tc>
        <w:tc>
          <w:tcPr>
            <w:tcW w:w="10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w:t>
            </w:r>
          </w:p>
        </w:tc>
        <w:tc>
          <w:tcPr>
            <w:tcW w:w="1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315" w:hRule="atLeast"/>
        </w:trPr>
        <w:tc>
          <w:tcPr>
            <w:tcW w:w="9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财政拨款</w:t>
            </w:r>
          </w:p>
        </w:tc>
        <w:tc>
          <w:tcPr>
            <w:tcW w:w="10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财政拨款</w:t>
            </w:r>
          </w:p>
        </w:tc>
        <w:tc>
          <w:tcPr>
            <w:tcW w:w="1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355" w:hRule="atLeast"/>
        </w:trPr>
        <w:tc>
          <w:tcPr>
            <w:tcW w:w="9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161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年度总体目标</w:t>
            </w:r>
          </w:p>
        </w:tc>
        <w:tc>
          <w:tcPr>
            <w:tcW w:w="2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预期目标</w:t>
            </w:r>
          </w:p>
        </w:tc>
        <w:tc>
          <w:tcPr>
            <w:tcW w:w="2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目标实际完成情况</w:t>
            </w:r>
          </w:p>
        </w:tc>
      </w:tr>
      <w:tr>
        <w:tblPrEx>
          <w:tblCellMar>
            <w:top w:w="0" w:type="dxa"/>
            <w:left w:w="108" w:type="dxa"/>
            <w:bottom w:w="0" w:type="dxa"/>
            <w:right w:w="108" w:type="dxa"/>
          </w:tblCellMar>
        </w:tblPrEx>
        <w:trPr>
          <w:trHeight w:val="1178"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完成情况</w:t>
            </w:r>
          </w:p>
        </w:tc>
        <w:tc>
          <w:tcPr>
            <w:tcW w:w="239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开展宣传活动2次以上，通过微信、政府公告栏、网站、电视台发布信息不低于5条，降低非法集资发生率，提高防范非法集资知晓率，提升社会公众满意度。</w:t>
            </w:r>
          </w:p>
        </w:tc>
        <w:tc>
          <w:tcPr>
            <w:tcW w:w="233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开展宣传活动2次以上，通过微信、政府公告栏、网站、电视台发布信息不低于5条，降低非法集资发生率，提高防范非法集资知晓率，提升社会公众满意度。</w:t>
            </w:r>
          </w:p>
        </w:tc>
      </w:tr>
      <w:tr>
        <w:tblPrEx>
          <w:shd w:val="clear" w:color="auto" w:fill="auto"/>
          <w:tblCellMar>
            <w:top w:w="0" w:type="dxa"/>
            <w:left w:w="108" w:type="dxa"/>
            <w:bottom w:w="0" w:type="dxa"/>
            <w:right w:w="108" w:type="dxa"/>
          </w:tblCellMar>
        </w:tblPrEx>
        <w:trPr>
          <w:trHeight w:val="75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年度绩效指标完成情况</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10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预期指标值</w:t>
            </w:r>
          </w:p>
        </w:tc>
        <w:tc>
          <w:tcPr>
            <w:tcW w:w="1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实际完成指标值</w:t>
            </w:r>
          </w:p>
        </w:tc>
      </w:tr>
      <w:tr>
        <w:tblPrEx>
          <w:tblCellMar>
            <w:top w:w="0" w:type="dxa"/>
            <w:left w:w="108" w:type="dxa"/>
            <w:bottom w:w="0" w:type="dxa"/>
            <w:right w:w="108" w:type="dxa"/>
          </w:tblCellMar>
        </w:tblPrEx>
        <w:trPr>
          <w:trHeight w:val="312"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0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r>
      <w:tr>
        <w:tblPrEx>
          <w:tblCellMar>
            <w:top w:w="0" w:type="dxa"/>
            <w:left w:w="108" w:type="dxa"/>
            <w:bottom w:w="0" w:type="dxa"/>
            <w:right w:w="108" w:type="dxa"/>
          </w:tblCellMar>
        </w:tblPrEx>
        <w:trPr>
          <w:trHeight w:val="212"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目</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成</w:t>
            </w:r>
          </w:p>
        </w:tc>
        <w:tc>
          <w:tcPr>
            <w:tcW w:w="65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开展宣传活动</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≥2个</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2个</w:t>
            </w:r>
          </w:p>
        </w:tc>
      </w:tr>
      <w:tr>
        <w:tblPrEx>
          <w:tblCellMar>
            <w:top w:w="0" w:type="dxa"/>
            <w:left w:w="108" w:type="dxa"/>
            <w:bottom w:w="0" w:type="dxa"/>
            <w:right w:w="108" w:type="dxa"/>
          </w:tblCellMar>
        </w:tblPrEx>
        <w:trPr>
          <w:trHeight w:val="118"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发布信息</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≥5条</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5条</w:t>
            </w:r>
          </w:p>
        </w:tc>
      </w:tr>
      <w:tr>
        <w:tblPrEx>
          <w:tblCellMar>
            <w:top w:w="0" w:type="dxa"/>
            <w:left w:w="108" w:type="dxa"/>
            <w:bottom w:w="0" w:type="dxa"/>
            <w:right w:w="108" w:type="dxa"/>
          </w:tblCellMar>
        </w:tblPrEx>
        <w:trPr>
          <w:trHeight w:val="419"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完成时限</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r>
      <w:tr>
        <w:tblPrEx>
          <w:shd w:val="clear" w:color="auto" w:fill="auto"/>
          <w:tblCellMar>
            <w:top w:w="0" w:type="dxa"/>
            <w:left w:w="108" w:type="dxa"/>
            <w:bottom w:w="0" w:type="dxa"/>
            <w:right w:w="108" w:type="dxa"/>
          </w:tblCellMar>
        </w:tblPrEx>
        <w:trPr>
          <w:trHeight w:val="98"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质量指标</w:t>
            </w:r>
          </w:p>
        </w:tc>
        <w:tc>
          <w:tcPr>
            <w:tcW w:w="107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非法集资发生率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379"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防范非法集资知晓率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优</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优</w:t>
            </w:r>
          </w:p>
        </w:tc>
      </w:tr>
      <w:tr>
        <w:tblPrEx>
          <w:shd w:val="clear" w:color="auto" w:fill="auto"/>
          <w:tblCellMar>
            <w:top w:w="0" w:type="dxa"/>
            <w:left w:w="108" w:type="dxa"/>
            <w:bottom w:w="0" w:type="dxa"/>
            <w:right w:w="108" w:type="dxa"/>
          </w:tblCellMar>
        </w:tblPrEx>
        <w:trPr>
          <w:trHeight w:val="502"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成本指标</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办公费、印刷费等费用</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≤10万元</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10万元</w:t>
            </w:r>
          </w:p>
        </w:tc>
      </w:tr>
      <w:tr>
        <w:tblPrEx>
          <w:tblCellMar>
            <w:top w:w="0" w:type="dxa"/>
            <w:left w:w="108" w:type="dxa"/>
            <w:bottom w:w="0" w:type="dxa"/>
            <w:right w:w="108" w:type="dxa"/>
          </w:tblCellMar>
        </w:tblPrEx>
        <w:trPr>
          <w:trHeight w:val="375"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效益指标</w:t>
            </w:r>
          </w:p>
        </w:tc>
        <w:tc>
          <w:tcPr>
            <w:tcW w:w="65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社会效益</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指标</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检查结果公开度</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w:t>
            </w:r>
          </w:p>
        </w:tc>
      </w:tr>
      <w:tr>
        <w:tblPrEx>
          <w:shd w:val="clear" w:color="auto" w:fill="auto"/>
          <w:tblCellMar>
            <w:top w:w="0" w:type="dxa"/>
            <w:left w:w="108" w:type="dxa"/>
            <w:bottom w:w="0" w:type="dxa"/>
            <w:right w:w="108" w:type="dxa"/>
          </w:tblCellMar>
        </w:tblPrEx>
        <w:trPr>
          <w:trHeight w:val="457"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维护良好社会环境</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18"/>
                <w:szCs w:val="18"/>
                <w:u w:val="none"/>
                <w:lang w:val="en-US" w:eastAsia="zh-CN" w:bidi="ar"/>
              </w:rPr>
              <w:t>优</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18"/>
                <w:szCs w:val="18"/>
                <w:u w:val="none"/>
                <w:lang w:val="en-US" w:eastAsia="zh-CN" w:bidi="ar"/>
              </w:rPr>
              <w:t>优</w:t>
            </w:r>
          </w:p>
        </w:tc>
      </w:tr>
      <w:tr>
        <w:tblPrEx>
          <w:tblCellMar>
            <w:top w:w="0" w:type="dxa"/>
            <w:left w:w="108" w:type="dxa"/>
            <w:bottom w:w="0" w:type="dxa"/>
            <w:right w:w="108" w:type="dxa"/>
          </w:tblCellMar>
        </w:tblPrEx>
        <w:trPr>
          <w:trHeight w:val="336"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服务对象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社会公众满意度</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bl>
    <w:p>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color w:val="auto"/>
          <w:sz w:val="32"/>
          <w:szCs w:val="32"/>
          <w:highlight w:val="none"/>
        </w:rPr>
      </w:pPr>
    </w:p>
    <w:p>
      <w:pPr>
        <w:pStyle w:val="2"/>
        <w:rPr>
          <w:rFonts w:hint="default" w:ascii="Times New Roman" w:hAnsi="Times New Roman" w:cs="Times New Roman"/>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rPr>
      </w:pPr>
      <w:bookmarkStart w:id="78" w:name="_Toc1408"/>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3</w:t>
      </w:r>
      <w:bookmarkEnd w:id="78"/>
    </w:p>
    <w:tbl>
      <w:tblPr>
        <w:tblStyle w:val="13"/>
        <w:tblW w:w="5000" w:type="pct"/>
        <w:tblInd w:w="0" w:type="dxa"/>
        <w:shd w:val="clear" w:color="auto" w:fill="auto"/>
        <w:tblLayout w:type="autofit"/>
        <w:tblCellMar>
          <w:top w:w="0" w:type="dxa"/>
          <w:left w:w="108" w:type="dxa"/>
          <w:bottom w:w="0" w:type="dxa"/>
          <w:right w:w="108" w:type="dxa"/>
        </w:tblCellMar>
      </w:tblPr>
      <w:tblGrid>
        <w:gridCol w:w="557"/>
        <w:gridCol w:w="1227"/>
        <w:gridCol w:w="1139"/>
        <w:gridCol w:w="1430"/>
        <w:gridCol w:w="1466"/>
        <w:gridCol w:w="2703"/>
      </w:tblGrid>
      <w:tr>
        <w:tblPrEx>
          <w:shd w:val="clear" w:color="auto" w:fill="auto"/>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8"/>
                <w:szCs w:val="28"/>
                <w:u w:val="none"/>
                <w:lang w:val="en-US" w:eastAsia="zh-CN" w:bidi="ar"/>
              </w:rPr>
              <w:t>2021年金融中心管理经费项目绩效目标自评</w:t>
            </w:r>
          </w:p>
        </w:tc>
      </w:tr>
      <w:tr>
        <w:tblPrEx>
          <w:tblCellMar>
            <w:top w:w="0" w:type="dxa"/>
            <w:left w:w="108" w:type="dxa"/>
            <w:bottom w:w="0" w:type="dxa"/>
            <w:right w:w="108" w:type="dxa"/>
          </w:tblCellMar>
        </w:tblPrEx>
        <w:trPr>
          <w:trHeight w:val="315" w:hRule="atLeast"/>
        </w:trPr>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主管部门及代码</w:t>
            </w:r>
          </w:p>
        </w:tc>
        <w:tc>
          <w:tcPr>
            <w:tcW w:w="1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43441</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实施单位</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广元市昭化区人民政府办公室</w:t>
            </w:r>
          </w:p>
        </w:tc>
      </w:tr>
      <w:tr>
        <w:tblPrEx>
          <w:tblCellMar>
            <w:top w:w="0" w:type="dxa"/>
            <w:left w:w="108" w:type="dxa"/>
            <w:bottom w:w="0" w:type="dxa"/>
            <w:right w:w="108" w:type="dxa"/>
          </w:tblCellMar>
        </w:tblPrEx>
        <w:trPr>
          <w:trHeight w:val="600" w:hRule="atLeast"/>
        </w:trPr>
        <w:tc>
          <w:tcPr>
            <w:tcW w:w="10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项目预算</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执行情况</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（万元）</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预算数：</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21</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执行数：</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21</w:t>
            </w:r>
          </w:p>
        </w:tc>
      </w:tr>
      <w:tr>
        <w:tblPrEx>
          <w:shd w:val="clear" w:color="auto" w:fill="auto"/>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21</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w:t>
            </w:r>
          </w:p>
        </w:tc>
        <w:tc>
          <w:tcPr>
            <w:tcW w:w="1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21</w:t>
            </w:r>
          </w:p>
        </w:tc>
      </w:tr>
      <w:tr>
        <w:tblPrEx>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财政拨款</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财政拨款</w:t>
            </w:r>
          </w:p>
        </w:tc>
        <w:tc>
          <w:tcPr>
            <w:tcW w:w="1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6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年度总体目标</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预期目标</w:t>
            </w:r>
          </w:p>
        </w:tc>
        <w:tc>
          <w:tcPr>
            <w:tcW w:w="2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目标实际完成情况</w:t>
            </w:r>
          </w:p>
        </w:tc>
      </w:tr>
      <w:tr>
        <w:tblPrEx>
          <w:tblCellMar>
            <w:top w:w="0" w:type="dxa"/>
            <w:left w:w="108" w:type="dxa"/>
            <w:bottom w:w="0" w:type="dxa"/>
            <w:right w:w="108" w:type="dxa"/>
          </w:tblCellMar>
        </w:tblPrEx>
        <w:trPr>
          <w:trHeight w:val="126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完成情况</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管理金融机构不少于4家，提高量化考核合格率，维护社会金融经济发展。</w:t>
            </w:r>
          </w:p>
        </w:tc>
        <w:tc>
          <w:tcPr>
            <w:tcW w:w="24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管理金融机构不少于4家，提高量化考核合格率，维护社会金融经济发展。</w:t>
            </w:r>
          </w:p>
        </w:tc>
      </w:tr>
      <w:tr>
        <w:tblPrEx>
          <w:tblCellMar>
            <w:top w:w="0" w:type="dxa"/>
            <w:left w:w="108" w:type="dxa"/>
            <w:bottom w:w="0" w:type="dxa"/>
            <w:right w:w="108" w:type="dxa"/>
          </w:tblCellMar>
        </w:tblPrEx>
        <w:trPr>
          <w:trHeight w:val="75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年度绩效指标完成情况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预期指标值</w:t>
            </w:r>
          </w:p>
        </w:tc>
        <w:tc>
          <w:tcPr>
            <w:tcW w:w="1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实际完成指标值</w:t>
            </w:r>
          </w:p>
        </w:tc>
      </w:tr>
      <w:tr>
        <w:tblPrEx>
          <w:tblCellMar>
            <w:top w:w="0" w:type="dxa"/>
            <w:left w:w="108" w:type="dxa"/>
            <w:bottom w:w="0" w:type="dxa"/>
            <w:right w:w="108" w:type="dxa"/>
          </w:tblCellMar>
        </w:tblPrEx>
        <w:trPr>
          <w:trHeight w:val="28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r>
      <w:tr>
        <w:tblPrEx>
          <w:tblCellMar>
            <w:top w:w="0" w:type="dxa"/>
            <w:left w:w="108" w:type="dxa"/>
            <w:bottom w:w="0" w:type="dxa"/>
            <w:right w:w="108" w:type="dxa"/>
          </w:tblCellMar>
        </w:tblPrEx>
        <w:trPr>
          <w:trHeight w:val="37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目</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成</w:t>
            </w:r>
          </w:p>
        </w:tc>
        <w:tc>
          <w:tcPr>
            <w:tcW w:w="6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管理金融机构个数</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4个</w:t>
            </w:r>
          </w:p>
        </w:tc>
      </w:tr>
      <w:tr>
        <w:tblPrEx>
          <w:tblCellMar>
            <w:top w:w="0" w:type="dxa"/>
            <w:left w:w="108" w:type="dxa"/>
            <w:bottom w:w="0" w:type="dxa"/>
            <w:right w:w="108" w:type="dxa"/>
          </w:tblCellMar>
        </w:tblPrEx>
        <w:trPr>
          <w:trHeight w:val="37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完成时限</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r>
      <w:tr>
        <w:tblPrEx>
          <w:tblCellMar>
            <w:top w:w="0" w:type="dxa"/>
            <w:left w:w="108" w:type="dxa"/>
            <w:bottom w:w="0" w:type="dxa"/>
            <w:right w:w="108" w:type="dxa"/>
          </w:tblCellMar>
        </w:tblPrEx>
        <w:trPr>
          <w:trHeight w:val="37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质量指标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量化考核合格率</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98</w:t>
            </w:r>
            <w:r>
              <w:rPr>
                <w:rFonts w:hint="default" w:ascii="Times New Roman" w:hAnsi="Times New Roman" w:eastAsia="宋体" w:cs="Times New Roman"/>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37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成本指标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金融中心工作经费</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21</w:t>
            </w:r>
            <w:r>
              <w:rPr>
                <w:rFonts w:hint="default" w:ascii="Times New Roman" w:hAnsi="Times New Roman" w:eastAsia="宋体" w:cs="Times New Roman"/>
                <w:i w:val="0"/>
                <w:iCs w:val="0"/>
                <w:color w:val="000000"/>
                <w:kern w:val="0"/>
                <w:sz w:val="21"/>
                <w:szCs w:val="21"/>
                <w:u w:val="none"/>
                <w:lang w:val="en-US" w:eastAsia="zh-CN" w:bidi="ar"/>
              </w:rPr>
              <w:t>万元</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21</w:t>
            </w:r>
            <w:r>
              <w:rPr>
                <w:rFonts w:hint="default" w:ascii="Times New Roman" w:hAnsi="Times New Roman" w:eastAsia="宋体" w:cs="Times New Roman"/>
                <w:i w:val="0"/>
                <w:iCs w:val="0"/>
                <w:color w:val="000000"/>
                <w:kern w:val="0"/>
                <w:sz w:val="21"/>
                <w:szCs w:val="21"/>
                <w:u w:val="none"/>
                <w:lang w:val="en-US" w:eastAsia="zh-CN" w:bidi="ar"/>
              </w:rPr>
              <w:t>万元</w:t>
            </w:r>
          </w:p>
        </w:tc>
      </w:tr>
      <w:tr>
        <w:tblPrEx>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效益指标</w:t>
            </w:r>
          </w:p>
        </w:tc>
        <w:tc>
          <w:tcPr>
            <w:tcW w:w="6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社会效益</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维护社会金融经济发展</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18"/>
                <w:szCs w:val="18"/>
                <w:u w:val="none"/>
                <w:lang w:val="en-US" w:eastAsia="zh-CN" w:bidi="ar"/>
              </w:rPr>
              <w:t>优</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18"/>
                <w:szCs w:val="18"/>
                <w:u w:val="none"/>
                <w:lang w:val="en-US" w:eastAsia="zh-CN" w:bidi="ar"/>
              </w:rPr>
              <w:t>优</w:t>
            </w:r>
          </w:p>
        </w:tc>
      </w:tr>
      <w:tr>
        <w:tblPrEx>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服务对象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社会公众满意度</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w:t>
            </w:r>
          </w:p>
        </w:tc>
      </w:tr>
    </w:tbl>
    <w:p>
      <w:pPr>
        <w:widowControl/>
        <w:adjustRightInd w:val="0"/>
        <w:snapToGrid w:val="0"/>
        <w:spacing w:line="580" w:lineRule="exact"/>
        <w:contextualSpacing/>
        <w:jc w:val="left"/>
        <w:rPr>
          <w:rFonts w:hint="default" w:ascii="Times New Roman" w:hAnsi="Times New Roman" w:eastAsia="仿宋_GB2312" w:cs="Times New Roman"/>
          <w:color w:val="000000"/>
          <w:kern w:val="0"/>
          <w:sz w:val="32"/>
          <w:szCs w:val="32"/>
          <w:highlight w:val="yellow"/>
          <w:shd w:val="clear" w:color="auto" w:fill="FFFFFF"/>
          <w:lang w:val="en-US" w:eastAsia="zh-CN"/>
        </w:rPr>
      </w:pPr>
    </w:p>
    <w:p>
      <w:pPr>
        <w:widowControl/>
        <w:adjustRightInd w:val="0"/>
        <w:snapToGrid w:val="0"/>
        <w:spacing w:line="580" w:lineRule="exact"/>
        <w:contextualSpacing/>
        <w:jc w:val="left"/>
        <w:rPr>
          <w:rFonts w:hint="default" w:ascii="Times New Roman" w:hAnsi="Times New Roman" w:eastAsia="仿宋_GB2312" w:cs="Times New Roman"/>
          <w:color w:val="000000"/>
          <w:kern w:val="0"/>
          <w:sz w:val="32"/>
          <w:szCs w:val="32"/>
          <w:highlight w:val="yellow"/>
          <w:shd w:val="clear" w:color="auto" w:fill="FFFFFF"/>
          <w:lang w:val="en-US" w:eastAsia="zh-CN"/>
        </w:rPr>
      </w:pPr>
    </w:p>
    <w:p>
      <w:pPr>
        <w:widowControl/>
        <w:adjustRightInd w:val="0"/>
        <w:snapToGrid w:val="0"/>
        <w:spacing w:line="580" w:lineRule="exact"/>
        <w:contextualSpacing/>
        <w:jc w:val="left"/>
        <w:rPr>
          <w:rFonts w:hint="default" w:ascii="Times New Roman" w:hAnsi="Times New Roman" w:eastAsia="仿宋_GB2312" w:cs="Times New Roman"/>
          <w:color w:val="000000"/>
          <w:kern w:val="0"/>
          <w:sz w:val="32"/>
          <w:szCs w:val="32"/>
          <w:highlight w:val="yellow"/>
          <w:shd w:val="clear" w:color="auto" w:fill="FFFFFF"/>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仿宋_GB2312" w:cs="Times New Roman"/>
          <w:color w:val="000000"/>
          <w:kern w:val="0"/>
          <w:sz w:val="32"/>
          <w:szCs w:val="32"/>
          <w:highlight w:val="yellow"/>
          <w:shd w:val="clear" w:color="auto" w:fill="FFFFFF"/>
          <w:lang w:val="en-US" w:eastAsia="zh-CN"/>
        </w:rPr>
      </w:pPr>
      <w:bookmarkStart w:id="79" w:name="_Toc14582"/>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4</w:t>
      </w:r>
      <w:bookmarkEnd w:id="79"/>
    </w:p>
    <w:tbl>
      <w:tblPr>
        <w:tblStyle w:val="13"/>
        <w:tblW w:w="5000" w:type="pct"/>
        <w:tblInd w:w="0" w:type="dxa"/>
        <w:shd w:val="clear" w:color="auto" w:fill="auto"/>
        <w:tblLayout w:type="autofit"/>
        <w:tblCellMar>
          <w:top w:w="0" w:type="dxa"/>
          <w:left w:w="108" w:type="dxa"/>
          <w:bottom w:w="0" w:type="dxa"/>
          <w:right w:w="108" w:type="dxa"/>
        </w:tblCellMar>
      </w:tblPr>
      <w:tblGrid>
        <w:gridCol w:w="557"/>
        <w:gridCol w:w="1227"/>
        <w:gridCol w:w="1139"/>
        <w:gridCol w:w="1430"/>
        <w:gridCol w:w="1466"/>
        <w:gridCol w:w="2703"/>
      </w:tblGrid>
      <w:tr>
        <w:tblPrEx>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8"/>
                <w:szCs w:val="28"/>
                <w:u w:val="none"/>
                <w:lang w:val="en-US" w:eastAsia="zh-CN" w:bidi="ar"/>
              </w:rPr>
              <w:t>2021年政府门户网APP服务费项目绩效目标自评</w:t>
            </w:r>
          </w:p>
        </w:tc>
      </w:tr>
      <w:tr>
        <w:tblPrEx>
          <w:shd w:val="clear" w:color="auto" w:fill="auto"/>
          <w:tblCellMar>
            <w:top w:w="0" w:type="dxa"/>
            <w:left w:w="108" w:type="dxa"/>
            <w:bottom w:w="0" w:type="dxa"/>
            <w:right w:w="108" w:type="dxa"/>
          </w:tblCellMar>
        </w:tblPrEx>
        <w:trPr>
          <w:trHeight w:val="315" w:hRule="atLeast"/>
        </w:trPr>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主管部门及代码</w:t>
            </w:r>
          </w:p>
        </w:tc>
        <w:tc>
          <w:tcPr>
            <w:tcW w:w="1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43441</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实施单位</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广元市昭化区人民政府办公室</w:t>
            </w:r>
          </w:p>
        </w:tc>
      </w:tr>
      <w:tr>
        <w:tblPrEx>
          <w:tblCellMar>
            <w:top w:w="0" w:type="dxa"/>
            <w:left w:w="108" w:type="dxa"/>
            <w:bottom w:w="0" w:type="dxa"/>
            <w:right w:w="108" w:type="dxa"/>
          </w:tblCellMar>
        </w:tblPrEx>
        <w:trPr>
          <w:trHeight w:val="480" w:hRule="atLeast"/>
        </w:trPr>
        <w:tc>
          <w:tcPr>
            <w:tcW w:w="10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项目预算</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执行情况</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（万元）</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预算数：</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执行数：</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w:t>
            </w:r>
          </w:p>
        </w:tc>
        <w:tc>
          <w:tcPr>
            <w:tcW w:w="1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财政拨款</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财政拨款</w:t>
            </w:r>
          </w:p>
        </w:tc>
        <w:tc>
          <w:tcPr>
            <w:tcW w:w="1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6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年度总体目标</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预期目标</w:t>
            </w:r>
          </w:p>
        </w:tc>
        <w:tc>
          <w:tcPr>
            <w:tcW w:w="2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目标实际完成情况</w:t>
            </w:r>
          </w:p>
        </w:tc>
      </w:tr>
      <w:tr>
        <w:tblPrEx>
          <w:tblCellMar>
            <w:top w:w="0" w:type="dxa"/>
            <w:left w:w="108" w:type="dxa"/>
            <w:bottom w:w="0" w:type="dxa"/>
            <w:right w:w="108" w:type="dxa"/>
          </w:tblCellMar>
        </w:tblPrEx>
        <w:trPr>
          <w:trHeight w:val="106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完成情况</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保障政府门户网APP正常运行及故障及时处理，提高用户满意度，提高信息公开度。</w:t>
            </w:r>
          </w:p>
        </w:tc>
        <w:tc>
          <w:tcPr>
            <w:tcW w:w="24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保障政府门户网APP正常运行及故障及时处理，提高用户满意度，提高信息公开度。</w:t>
            </w:r>
          </w:p>
        </w:tc>
      </w:tr>
      <w:tr>
        <w:tblPrEx>
          <w:shd w:val="clear" w:color="auto" w:fill="auto"/>
          <w:tblCellMar>
            <w:top w:w="0" w:type="dxa"/>
            <w:left w:w="108" w:type="dxa"/>
            <w:bottom w:w="0" w:type="dxa"/>
            <w:right w:w="108" w:type="dxa"/>
          </w:tblCellMar>
        </w:tblPrEx>
        <w:trPr>
          <w:trHeight w:val="75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年度绩效指标完成情况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预期指标值</w:t>
            </w:r>
          </w:p>
        </w:tc>
        <w:tc>
          <w:tcPr>
            <w:tcW w:w="1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实际完成指标值</w:t>
            </w:r>
          </w:p>
        </w:tc>
      </w:tr>
      <w:tr>
        <w:tblPrEx>
          <w:tblCellMar>
            <w:top w:w="0" w:type="dxa"/>
            <w:left w:w="108" w:type="dxa"/>
            <w:bottom w:w="0" w:type="dxa"/>
            <w:right w:w="108" w:type="dxa"/>
          </w:tblCellMar>
        </w:tblPrEx>
        <w:trPr>
          <w:trHeight w:val="28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目</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成</w:t>
            </w:r>
          </w:p>
        </w:tc>
        <w:tc>
          <w:tcPr>
            <w:tcW w:w="6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政府门户网APP（手机）服务</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＝1个</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1个</w:t>
            </w:r>
          </w:p>
        </w:tc>
      </w:tr>
      <w:tr>
        <w:tblPrEx>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政府门户网APP故障处理及时率</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w:t>
            </w:r>
          </w:p>
        </w:tc>
      </w:tr>
      <w:tr>
        <w:tblPrEx>
          <w:shd w:val="clear" w:color="auto" w:fill="auto"/>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质量指标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保障政府门户网APP正常运行率</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成本指标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政府门户网APP（手机）服务工作经费</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≤6万元</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6万元</w:t>
            </w:r>
          </w:p>
        </w:tc>
      </w:tr>
      <w:tr>
        <w:tblPrEx>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效益指标</w:t>
            </w:r>
          </w:p>
        </w:tc>
        <w:tc>
          <w:tcPr>
            <w:tcW w:w="6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社会效益</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提高信息公开度</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18"/>
                <w:szCs w:val="18"/>
                <w:u w:val="none"/>
                <w:lang w:val="en-US" w:eastAsia="zh-CN" w:bidi="ar"/>
              </w:rPr>
              <w:t>优</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18"/>
                <w:szCs w:val="18"/>
                <w:u w:val="none"/>
                <w:lang w:val="en-US" w:eastAsia="zh-CN" w:bidi="ar"/>
              </w:rPr>
              <w:t>优</w:t>
            </w:r>
          </w:p>
        </w:tc>
      </w:tr>
      <w:tr>
        <w:tblPrEx>
          <w:shd w:val="clear" w:color="auto" w:fill="auto"/>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服务对象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用户满意度</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w:t>
            </w:r>
          </w:p>
        </w:tc>
      </w:tr>
    </w:tbl>
    <w:p>
      <w:pPr>
        <w:pStyle w:val="2"/>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仿宋_GB2312" w:cs="Times New Roman"/>
          <w:color w:val="000000"/>
          <w:kern w:val="0"/>
          <w:sz w:val="32"/>
          <w:szCs w:val="32"/>
          <w:highlight w:val="yellow"/>
          <w:shd w:val="clear" w:color="auto" w:fill="FFFFFF"/>
          <w:lang w:val="en-US" w:eastAsia="zh-CN"/>
        </w:rPr>
      </w:pPr>
      <w:bookmarkStart w:id="80" w:name="_Toc29872"/>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5</w:t>
      </w:r>
      <w:bookmarkEnd w:id="80"/>
    </w:p>
    <w:tbl>
      <w:tblPr>
        <w:tblStyle w:val="13"/>
        <w:tblW w:w="5000" w:type="pct"/>
        <w:tblInd w:w="0" w:type="dxa"/>
        <w:shd w:val="clear" w:color="auto" w:fill="auto"/>
        <w:tblLayout w:type="autofit"/>
        <w:tblCellMar>
          <w:top w:w="0" w:type="dxa"/>
          <w:left w:w="108" w:type="dxa"/>
          <w:bottom w:w="0" w:type="dxa"/>
          <w:right w:w="108" w:type="dxa"/>
        </w:tblCellMar>
      </w:tblPr>
      <w:tblGrid>
        <w:gridCol w:w="557"/>
        <w:gridCol w:w="1227"/>
        <w:gridCol w:w="1139"/>
        <w:gridCol w:w="1430"/>
        <w:gridCol w:w="1466"/>
        <w:gridCol w:w="2703"/>
      </w:tblGrid>
      <w:tr>
        <w:tblPrEx>
          <w:shd w:val="clear" w:color="auto" w:fill="auto"/>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8"/>
                <w:szCs w:val="28"/>
                <w:u w:val="none"/>
                <w:lang w:val="en-US" w:eastAsia="zh-CN" w:bidi="ar"/>
              </w:rPr>
              <w:t>2021年《年鉴》编制及印刷费项目绩效目标自评</w:t>
            </w:r>
          </w:p>
        </w:tc>
      </w:tr>
      <w:tr>
        <w:tblPrEx>
          <w:tblCellMar>
            <w:top w:w="0" w:type="dxa"/>
            <w:left w:w="108" w:type="dxa"/>
            <w:bottom w:w="0" w:type="dxa"/>
            <w:right w:w="108" w:type="dxa"/>
          </w:tblCellMar>
        </w:tblPrEx>
        <w:trPr>
          <w:trHeight w:val="315" w:hRule="atLeast"/>
        </w:trPr>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主管部门及代码</w:t>
            </w:r>
          </w:p>
        </w:tc>
        <w:tc>
          <w:tcPr>
            <w:tcW w:w="1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434401</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实施单位</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广元市昭化区人民政府办公室</w:t>
            </w:r>
          </w:p>
        </w:tc>
      </w:tr>
      <w:tr>
        <w:tblPrEx>
          <w:shd w:val="clear" w:color="auto" w:fill="auto"/>
          <w:tblCellMar>
            <w:top w:w="0" w:type="dxa"/>
            <w:left w:w="108" w:type="dxa"/>
            <w:bottom w:w="0" w:type="dxa"/>
            <w:right w:w="108" w:type="dxa"/>
          </w:tblCellMar>
        </w:tblPrEx>
        <w:trPr>
          <w:trHeight w:val="600" w:hRule="atLeast"/>
        </w:trPr>
        <w:tc>
          <w:tcPr>
            <w:tcW w:w="10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项目预算</w:t>
            </w:r>
            <w:r>
              <w:rPr>
                <w:rStyle w:val="31"/>
                <w:rFonts w:hint="default" w:ascii="Times New Roman" w:hAnsi="Times New Roman" w:cs="Times New Roman"/>
                <w:sz w:val="21"/>
                <w:szCs w:val="21"/>
                <w:lang w:val="en-US" w:eastAsia="zh-CN" w:bidi="ar"/>
              </w:rPr>
              <w:br w:type="textWrapping"/>
            </w:r>
            <w:r>
              <w:rPr>
                <w:rStyle w:val="32"/>
                <w:rFonts w:hint="default" w:ascii="Times New Roman" w:hAnsi="Times New Roman" w:cs="Times New Roman"/>
                <w:sz w:val="21"/>
                <w:szCs w:val="21"/>
                <w:lang w:val="en-US" w:eastAsia="zh-CN" w:bidi="ar"/>
              </w:rPr>
              <w:t>执行情况</w:t>
            </w:r>
            <w:r>
              <w:rPr>
                <w:rStyle w:val="32"/>
                <w:rFonts w:hint="default" w:ascii="Times New Roman" w:hAnsi="Times New Roman" w:cs="Times New Roman"/>
                <w:sz w:val="21"/>
                <w:szCs w:val="21"/>
                <w:lang w:val="en-US" w:eastAsia="zh-CN" w:bidi="ar"/>
              </w:rPr>
              <w:br w:type="textWrapping"/>
            </w:r>
            <w:r>
              <w:rPr>
                <w:rStyle w:val="32"/>
                <w:rFonts w:hint="default" w:ascii="Times New Roman" w:hAnsi="Times New Roman" w:cs="Times New Roman"/>
                <w:sz w:val="21"/>
                <w:szCs w:val="21"/>
                <w:lang w:val="en-US" w:eastAsia="zh-CN" w:bidi="ar"/>
              </w:rPr>
              <w:t>（万元）</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预算数：</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20</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执行数：</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20</w:t>
            </w:r>
          </w:p>
        </w:tc>
      </w:tr>
      <w:tr>
        <w:tblPrEx>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20</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其中：</w:t>
            </w:r>
          </w:p>
        </w:tc>
        <w:tc>
          <w:tcPr>
            <w:tcW w:w="1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20</w:t>
            </w:r>
          </w:p>
        </w:tc>
      </w:tr>
      <w:tr>
        <w:tblPrEx>
          <w:shd w:val="clear" w:color="auto" w:fill="auto"/>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财政拨款</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财政拨款</w:t>
            </w:r>
          </w:p>
        </w:tc>
        <w:tc>
          <w:tcPr>
            <w:tcW w:w="1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315" w:hRule="atLeast"/>
        </w:trPr>
        <w:tc>
          <w:tcPr>
            <w:tcW w:w="10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CellMar>
            <w:top w:w="0" w:type="dxa"/>
            <w:left w:w="108" w:type="dxa"/>
            <w:bottom w:w="0" w:type="dxa"/>
            <w:right w:w="108" w:type="dxa"/>
          </w:tblCellMar>
        </w:tblPrEx>
        <w:trPr>
          <w:trHeight w:val="6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年度总体目标</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预期目标</w:t>
            </w:r>
          </w:p>
        </w:tc>
        <w:tc>
          <w:tcPr>
            <w:tcW w:w="2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目标实际完成情况</w:t>
            </w:r>
          </w:p>
        </w:tc>
      </w:tr>
      <w:tr>
        <w:tblPrEx>
          <w:tblCellMar>
            <w:top w:w="0" w:type="dxa"/>
            <w:left w:w="108" w:type="dxa"/>
            <w:bottom w:w="0" w:type="dxa"/>
            <w:right w:w="108" w:type="dxa"/>
          </w:tblCellMar>
        </w:tblPrEx>
        <w:trPr>
          <w:trHeight w:val="9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完成情况</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2021年《年鉴》编制及印刷不少于20本，提高《年鉴》内容准确率，多维度宣传昭化，提升昭化影响力。</w:t>
            </w:r>
          </w:p>
        </w:tc>
        <w:tc>
          <w:tcPr>
            <w:tcW w:w="24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完成2022年《年鉴》编制及印刷不少于20本，提高《年鉴》内容准确率，多维度宣传昭化，提升昭化影响力。</w:t>
            </w:r>
          </w:p>
        </w:tc>
      </w:tr>
      <w:tr>
        <w:tblPrEx>
          <w:shd w:val="clear" w:color="auto" w:fill="auto"/>
          <w:tblCellMar>
            <w:top w:w="0" w:type="dxa"/>
            <w:left w:w="108" w:type="dxa"/>
            <w:bottom w:w="0" w:type="dxa"/>
            <w:right w:w="108" w:type="dxa"/>
          </w:tblCellMar>
        </w:tblPrEx>
        <w:trPr>
          <w:trHeight w:val="285"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年度绩效指标完成情况</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预期指标值</w:t>
            </w:r>
          </w:p>
        </w:tc>
        <w:tc>
          <w:tcPr>
            <w:tcW w:w="1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实际完成指标值</w:t>
            </w:r>
          </w:p>
        </w:tc>
      </w:tr>
      <w:tr>
        <w:tblPrEx>
          <w:tblCellMar>
            <w:top w:w="0" w:type="dxa"/>
            <w:left w:w="108" w:type="dxa"/>
            <w:bottom w:w="0" w:type="dxa"/>
            <w:right w:w="108" w:type="dxa"/>
          </w:tblCellMar>
        </w:tblPrEx>
        <w:trPr>
          <w:trHeight w:val="64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r>
      <w:tr>
        <w:tblPrEx>
          <w:tblCellMar>
            <w:top w:w="0" w:type="dxa"/>
            <w:left w:w="108" w:type="dxa"/>
            <w:bottom w:w="0" w:type="dxa"/>
            <w:right w:w="108" w:type="dxa"/>
          </w:tblCellMar>
        </w:tblPrEx>
        <w:trPr>
          <w:trHeight w:val="28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完成</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《年鉴》编制及印刷本数</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≥20本</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20本</w:t>
            </w:r>
          </w:p>
        </w:tc>
      </w:tr>
      <w:tr>
        <w:tblPrEx>
          <w:shd w:val="clear" w:color="auto" w:fill="auto"/>
          <w:tblCellMar>
            <w:top w:w="0" w:type="dxa"/>
            <w:left w:w="108" w:type="dxa"/>
            <w:bottom w:w="0" w:type="dxa"/>
            <w:right w:w="108" w:type="dxa"/>
          </w:tblCellMar>
        </w:tblPrEx>
        <w:trPr>
          <w:trHeight w:val="28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质量指标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《年鉴》内容准确率</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w:t>
            </w:r>
          </w:p>
        </w:tc>
      </w:tr>
      <w:tr>
        <w:tblPrEx>
          <w:tblCellMar>
            <w:top w:w="0" w:type="dxa"/>
            <w:left w:w="108" w:type="dxa"/>
            <w:bottom w:w="0" w:type="dxa"/>
            <w:right w:w="108" w:type="dxa"/>
          </w:tblCellMar>
        </w:tblPrEx>
        <w:trPr>
          <w:trHeight w:val="28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时效指标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完成时限</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r>
      <w:tr>
        <w:tblPrEx>
          <w:shd w:val="clear" w:color="auto" w:fill="auto"/>
          <w:tblCellMar>
            <w:top w:w="0" w:type="dxa"/>
            <w:left w:w="108" w:type="dxa"/>
            <w:bottom w:w="0" w:type="dxa"/>
            <w:right w:w="108" w:type="dxa"/>
          </w:tblCellMar>
        </w:tblPrEx>
        <w:trPr>
          <w:trHeight w:val="285"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成本指标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印刷费、办公费等费用</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i w:val="0"/>
                <w:iCs w:val="0"/>
                <w:color w:val="000000"/>
                <w:kern w:val="0"/>
                <w:sz w:val="21"/>
                <w:szCs w:val="21"/>
                <w:u w:val="none"/>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w:t>
            </w:r>
          </w:p>
        </w:tc>
      </w:tr>
      <w:tr>
        <w:tblPrEx>
          <w:tblCellMar>
            <w:top w:w="0" w:type="dxa"/>
            <w:left w:w="108" w:type="dxa"/>
            <w:bottom w:w="0" w:type="dxa"/>
            <w:right w:w="108" w:type="dxa"/>
          </w:tblCellMar>
        </w:tblPrEx>
        <w:trPr>
          <w:trHeight w:val="7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社会效益</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多维度宣传昭化，提升昭化影响力</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18"/>
                <w:szCs w:val="18"/>
                <w:u w:val="none"/>
                <w:lang w:val="en-US" w:eastAsia="zh-CN" w:bidi="ar"/>
              </w:rPr>
              <w:t>优</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18"/>
                <w:szCs w:val="18"/>
                <w:u w:val="none"/>
                <w:lang w:val="en-US" w:eastAsia="zh-CN" w:bidi="ar"/>
              </w:rPr>
              <w:t>优</w:t>
            </w:r>
          </w:p>
        </w:tc>
      </w:tr>
      <w:tr>
        <w:tblPrEx>
          <w:shd w:val="clear" w:color="auto" w:fill="auto"/>
          <w:tblCellMar>
            <w:top w:w="0" w:type="dxa"/>
            <w:left w:w="108" w:type="dxa"/>
            <w:bottom w:w="0" w:type="dxa"/>
            <w:right w:w="108" w:type="dxa"/>
          </w:tblCellMar>
        </w:tblPrEx>
        <w:trPr>
          <w:trHeight w:val="45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服务对象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满意度指标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单位职工满意度</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w:t>
            </w:r>
          </w:p>
        </w:tc>
      </w:tr>
    </w:tbl>
    <w:p>
      <w:pPr>
        <w:widowControl/>
        <w:adjustRightInd w:val="0"/>
        <w:snapToGrid w:val="0"/>
        <w:spacing w:line="580" w:lineRule="exact"/>
        <w:contextualSpacing/>
        <w:jc w:val="left"/>
        <w:rPr>
          <w:rFonts w:hint="default" w:ascii="Times New Roman" w:hAnsi="Times New Roman" w:eastAsia="仿宋_GB2312" w:cs="Times New Roman"/>
          <w:color w:val="000000"/>
          <w:kern w:val="0"/>
          <w:sz w:val="32"/>
          <w:szCs w:val="32"/>
          <w:highlight w:val="yellow"/>
          <w:shd w:val="clear" w:color="auto" w:fill="FFFFFF"/>
          <w:lang w:val="en-US" w:eastAsia="zh-CN"/>
        </w:rPr>
      </w:pPr>
    </w:p>
    <w:p>
      <w:pPr>
        <w:pStyle w:val="2"/>
        <w:rPr>
          <w:rFonts w:hint="default" w:ascii="Times New Roman" w:hAnsi="Times New Roman" w:eastAsia="仿宋_GB2312" w:cs="Times New Roman"/>
          <w:color w:val="000000"/>
          <w:kern w:val="0"/>
          <w:sz w:val="32"/>
          <w:szCs w:val="32"/>
          <w:highlight w:val="yellow"/>
          <w:shd w:val="clear" w:color="auto" w:fill="FFFFFF"/>
          <w:lang w:val="en-US" w:eastAsia="zh-CN"/>
        </w:rPr>
      </w:pPr>
    </w:p>
    <w:p>
      <w:pPr>
        <w:spacing w:line="600" w:lineRule="exact"/>
        <w:jc w:val="both"/>
        <w:outlineLvl w:val="9"/>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仿宋" w:cs="Times New Roman"/>
          <w:b w:val="0"/>
          <w:color w:val="auto"/>
          <w:highlight w:val="none"/>
        </w:rPr>
      </w:pPr>
      <w:bookmarkStart w:id="81" w:name="_Toc30114"/>
      <w:r>
        <w:rPr>
          <w:rFonts w:hint="default" w:ascii="Times New Roman" w:hAnsi="Times New Roman" w:eastAsia="黑体" w:cs="Times New Roman"/>
          <w:color w:val="auto"/>
          <w:sz w:val="44"/>
          <w:szCs w:val="44"/>
          <w:highlight w:val="none"/>
        </w:rPr>
        <w:t>第</w:t>
      </w:r>
      <w:r>
        <w:rPr>
          <w:rStyle w:val="25"/>
          <w:rFonts w:hint="default" w:ascii="Times New Roman" w:hAnsi="Times New Roman" w:eastAsia="黑体" w:cs="Times New Roman"/>
          <w:b w:val="0"/>
          <w:color w:val="auto"/>
          <w:highlight w:val="none"/>
        </w:rPr>
        <w:t>五部分 附表</w:t>
      </w:r>
      <w:bookmarkEnd w:id="73"/>
      <w:bookmarkEnd w:id="76"/>
      <w:bookmarkEnd w:id="81"/>
      <w:bookmarkStart w:id="82" w:name="_Toc15396619"/>
    </w:p>
    <w:p>
      <w:pPr>
        <w:pStyle w:val="4"/>
        <w:rPr>
          <w:rFonts w:hint="default" w:ascii="Times New Roman" w:hAnsi="Times New Roman" w:eastAsia="仿宋" w:cs="Times New Roman"/>
          <w:color w:val="auto"/>
          <w:highlight w:val="none"/>
        </w:rPr>
      </w:pPr>
      <w:bookmarkStart w:id="83" w:name="_Toc29469"/>
      <w:r>
        <w:rPr>
          <w:rFonts w:hint="default" w:ascii="Times New Roman" w:hAnsi="Times New Roman" w:eastAsia="仿宋" w:cs="Times New Roman"/>
          <w:b w:val="0"/>
          <w:color w:val="auto"/>
          <w:highlight w:val="none"/>
        </w:rPr>
        <w:t>一、收</w:t>
      </w:r>
      <w:r>
        <w:rPr>
          <w:rStyle w:val="26"/>
          <w:rFonts w:hint="default" w:ascii="Times New Roman" w:hAnsi="Times New Roman" w:eastAsia="仿宋" w:cs="Times New Roman"/>
          <w:b w:val="0"/>
          <w:bCs w:val="0"/>
          <w:color w:val="auto"/>
          <w:highlight w:val="none"/>
        </w:rPr>
        <w:t>入支出决算总表</w:t>
      </w:r>
      <w:bookmarkEnd w:id="82"/>
      <w:bookmarkEnd w:id="83"/>
    </w:p>
    <w:p>
      <w:pPr>
        <w:pStyle w:val="4"/>
        <w:rPr>
          <w:rFonts w:hint="default" w:ascii="Times New Roman" w:hAnsi="Times New Roman" w:eastAsia="仿宋" w:cs="Times New Roman"/>
          <w:color w:val="auto"/>
          <w:highlight w:val="none"/>
        </w:rPr>
      </w:pPr>
      <w:bookmarkStart w:id="84" w:name="_Toc25510"/>
      <w:bookmarkStart w:id="85" w:name="_Toc15396620"/>
      <w:r>
        <w:rPr>
          <w:rFonts w:hint="default" w:ascii="Times New Roman" w:hAnsi="Times New Roman" w:eastAsia="仿宋" w:cs="Times New Roman"/>
          <w:b w:val="0"/>
          <w:color w:val="auto"/>
          <w:highlight w:val="none"/>
        </w:rPr>
        <w:t>二、收</w:t>
      </w:r>
      <w:r>
        <w:rPr>
          <w:rStyle w:val="26"/>
          <w:rFonts w:hint="default" w:ascii="Times New Roman" w:hAnsi="Times New Roman" w:eastAsia="仿宋" w:cs="Times New Roman"/>
          <w:b w:val="0"/>
          <w:bCs w:val="0"/>
          <w:color w:val="auto"/>
          <w:highlight w:val="none"/>
        </w:rPr>
        <w:t>入决算表</w:t>
      </w:r>
      <w:bookmarkEnd w:id="84"/>
      <w:bookmarkEnd w:id="85"/>
    </w:p>
    <w:p>
      <w:pPr>
        <w:pStyle w:val="4"/>
        <w:rPr>
          <w:rFonts w:hint="default" w:ascii="Times New Roman" w:hAnsi="Times New Roman" w:eastAsia="仿宋" w:cs="Times New Roman"/>
          <w:color w:val="auto"/>
          <w:highlight w:val="none"/>
        </w:rPr>
      </w:pPr>
      <w:bookmarkStart w:id="86" w:name="_Toc22861"/>
      <w:bookmarkStart w:id="87" w:name="_Toc15396621"/>
      <w:r>
        <w:rPr>
          <w:rStyle w:val="26"/>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26"/>
          <w:rFonts w:hint="default" w:ascii="Times New Roman" w:hAnsi="Times New Roman" w:eastAsia="仿宋" w:cs="Times New Roman"/>
          <w:b w:val="0"/>
          <w:bCs w:val="0"/>
          <w:color w:val="auto"/>
          <w:highlight w:val="none"/>
        </w:rPr>
        <w:t>出决算表</w:t>
      </w:r>
      <w:bookmarkEnd w:id="86"/>
      <w:bookmarkEnd w:id="87"/>
    </w:p>
    <w:p>
      <w:pPr>
        <w:pStyle w:val="4"/>
        <w:rPr>
          <w:rFonts w:hint="default" w:ascii="Times New Roman" w:hAnsi="Times New Roman" w:eastAsia="仿宋" w:cs="Times New Roman"/>
          <w:b w:val="0"/>
          <w:color w:val="auto"/>
          <w:highlight w:val="none"/>
        </w:rPr>
      </w:pPr>
      <w:bookmarkStart w:id="88" w:name="_Toc15396622"/>
      <w:bookmarkStart w:id="89" w:name="_Toc23561"/>
      <w:r>
        <w:rPr>
          <w:rStyle w:val="26"/>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26"/>
          <w:rFonts w:hint="default" w:ascii="Times New Roman" w:hAnsi="Times New Roman" w:eastAsia="仿宋" w:cs="Times New Roman"/>
          <w:b w:val="0"/>
          <w:bCs w:val="0"/>
          <w:color w:val="auto"/>
          <w:highlight w:val="none"/>
        </w:rPr>
        <w:t>政拨款收入支出决算总表</w:t>
      </w:r>
      <w:bookmarkEnd w:id="88"/>
      <w:bookmarkEnd w:id="89"/>
    </w:p>
    <w:p>
      <w:pPr>
        <w:pStyle w:val="4"/>
        <w:rPr>
          <w:rStyle w:val="26"/>
          <w:rFonts w:hint="default" w:ascii="Times New Roman" w:hAnsi="Times New Roman" w:eastAsia="仿宋" w:cs="Times New Roman"/>
          <w:b w:val="0"/>
          <w:bCs w:val="0"/>
          <w:color w:val="auto"/>
          <w:highlight w:val="none"/>
        </w:rPr>
      </w:pPr>
      <w:bookmarkStart w:id="90" w:name="_Toc15473"/>
      <w:bookmarkStart w:id="91" w:name="_Toc15396623"/>
      <w:r>
        <w:rPr>
          <w:rStyle w:val="26"/>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26"/>
          <w:rFonts w:hint="default" w:ascii="Times New Roman" w:hAnsi="Times New Roman" w:eastAsia="仿宋" w:cs="Times New Roman"/>
          <w:b w:val="0"/>
          <w:bCs w:val="0"/>
          <w:color w:val="auto"/>
          <w:highlight w:val="none"/>
        </w:rPr>
        <w:t>政拨款支出决算明细表</w:t>
      </w:r>
      <w:bookmarkEnd w:id="90"/>
      <w:bookmarkEnd w:id="91"/>
      <w:bookmarkStart w:id="92" w:name="_Toc15396624"/>
    </w:p>
    <w:p>
      <w:pPr>
        <w:pStyle w:val="4"/>
        <w:rPr>
          <w:rFonts w:hint="default" w:ascii="Times New Roman" w:hAnsi="Times New Roman" w:eastAsia="仿宋" w:cs="Times New Roman"/>
          <w:color w:val="auto"/>
          <w:highlight w:val="none"/>
        </w:rPr>
      </w:pPr>
      <w:bookmarkStart w:id="93" w:name="_Toc26195"/>
      <w:r>
        <w:rPr>
          <w:rStyle w:val="26"/>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26"/>
          <w:rFonts w:hint="default" w:ascii="Times New Roman" w:hAnsi="Times New Roman" w:eastAsia="仿宋" w:cs="Times New Roman"/>
          <w:b w:val="0"/>
          <w:bCs w:val="0"/>
          <w:color w:val="auto"/>
          <w:highlight w:val="none"/>
        </w:rPr>
        <w:t>般公共预算财政拨款支出决算表</w:t>
      </w:r>
      <w:bookmarkEnd w:id="92"/>
      <w:bookmarkEnd w:id="93"/>
    </w:p>
    <w:p>
      <w:pPr>
        <w:pStyle w:val="4"/>
        <w:rPr>
          <w:rFonts w:hint="default" w:ascii="Times New Roman" w:hAnsi="Times New Roman" w:eastAsia="仿宋" w:cs="Times New Roman"/>
          <w:color w:val="auto"/>
          <w:highlight w:val="none"/>
        </w:rPr>
      </w:pPr>
      <w:bookmarkStart w:id="94" w:name="_Toc14476"/>
      <w:bookmarkStart w:id="95" w:name="_Toc15396625"/>
      <w:r>
        <w:rPr>
          <w:rStyle w:val="26"/>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26"/>
          <w:rFonts w:hint="default" w:ascii="Times New Roman" w:hAnsi="Times New Roman" w:eastAsia="仿宋" w:cs="Times New Roman"/>
          <w:b w:val="0"/>
          <w:bCs w:val="0"/>
          <w:color w:val="auto"/>
          <w:highlight w:val="none"/>
        </w:rPr>
        <w:t>般公共预算财政拨款支出决算明细表</w:t>
      </w:r>
      <w:bookmarkEnd w:id="94"/>
      <w:bookmarkEnd w:id="95"/>
    </w:p>
    <w:p>
      <w:pPr>
        <w:pStyle w:val="4"/>
        <w:rPr>
          <w:rFonts w:hint="default" w:ascii="Times New Roman" w:hAnsi="Times New Roman" w:eastAsia="仿宋" w:cs="Times New Roman"/>
          <w:color w:val="auto"/>
          <w:highlight w:val="none"/>
        </w:rPr>
      </w:pPr>
      <w:bookmarkStart w:id="96" w:name="_Toc15396626"/>
      <w:bookmarkStart w:id="97" w:name="_Toc32432"/>
      <w:r>
        <w:rPr>
          <w:rStyle w:val="26"/>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26"/>
          <w:rFonts w:hint="default" w:ascii="Times New Roman" w:hAnsi="Times New Roman" w:eastAsia="仿宋" w:cs="Times New Roman"/>
          <w:b w:val="0"/>
          <w:bCs w:val="0"/>
          <w:color w:val="auto"/>
          <w:highlight w:val="none"/>
        </w:rPr>
        <w:t>般公共预算财政拨款基本支出决算表</w:t>
      </w:r>
      <w:bookmarkEnd w:id="96"/>
      <w:bookmarkEnd w:id="97"/>
    </w:p>
    <w:p>
      <w:pPr>
        <w:pStyle w:val="4"/>
        <w:rPr>
          <w:rFonts w:hint="default" w:ascii="Times New Roman" w:hAnsi="Times New Roman" w:eastAsia="仿宋" w:cs="Times New Roman"/>
          <w:color w:val="auto"/>
          <w:highlight w:val="none"/>
        </w:rPr>
      </w:pPr>
      <w:bookmarkStart w:id="98" w:name="_Toc12425"/>
      <w:bookmarkStart w:id="99" w:name="_Toc15396627"/>
      <w:r>
        <w:rPr>
          <w:rStyle w:val="26"/>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26"/>
          <w:rFonts w:hint="default" w:ascii="Times New Roman" w:hAnsi="Times New Roman" w:eastAsia="仿宋" w:cs="Times New Roman"/>
          <w:b w:val="0"/>
          <w:bCs w:val="0"/>
          <w:color w:val="auto"/>
          <w:highlight w:val="none"/>
        </w:rPr>
        <w:t>般公共预算财政拨款项目支出决算表</w:t>
      </w:r>
      <w:bookmarkEnd w:id="98"/>
      <w:bookmarkEnd w:id="99"/>
    </w:p>
    <w:p>
      <w:pPr>
        <w:pStyle w:val="4"/>
        <w:rPr>
          <w:rFonts w:hint="default" w:ascii="Times New Roman" w:hAnsi="Times New Roman" w:eastAsia="仿宋" w:cs="Times New Roman"/>
          <w:color w:val="auto"/>
          <w:highlight w:val="none"/>
        </w:rPr>
      </w:pPr>
      <w:bookmarkStart w:id="100" w:name="_Toc15396628"/>
      <w:bookmarkStart w:id="101" w:name="_Toc7716"/>
      <w:r>
        <w:rPr>
          <w:rStyle w:val="26"/>
          <w:rFonts w:hint="default" w:ascii="Times New Roman" w:hAnsi="Times New Roman" w:eastAsia="仿宋" w:cs="Times New Roman"/>
          <w:b w:val="0"/>
          <w:bCs w:val="0"/>
          <w:color w:val="auto"/>
          <w:highlight w:val="none"/>
        </w:rPr>
        <w:t>十、</w:t>
      </w:r>
      <w:r>
        <w:rPr>
          <w:rFonts w:hint="default" w:ascii="Times New Roman" w:hAnsi="Times New Roman" w:eastAsia="仿宋" w:cs="Times New Roman"/>
          <w:b w:val="0"/>
          <w:color w:val="auto"/>
          <w:highlight w:val="none"/>
        </w:rPr>
        <w:t>一</w:t>
      </w:r>
      <w:r>
        <w:rPr>
          <w:rStyle w:val="26"/>
          <w:rFonts w:hint="default" w:ascii="Times New Roman" w:hAnsi="Times New Roman" w:eastAsia="仿宋" w:cs="Times New Roman"/>
          <w:b w:val="0"/>
          <w:bCs w:val="0"/>
          <w:color w:val="auto"/>
          <w:highlight w:val="none"/>
        </w:rPr>
        <w:t>般公共预算财政拨款“三公”经费支出决算表</w:t>
      </w:r>
      <w:bookmarkEnd w:id="100"/>
      <w:bookmarkEnd w:id="101"/>
    </w:p>
    <w:p>
      <w:pPr>
        <w:pStyle w:val="4"/>
        <w:rPr>
          <w:rFonts w:hint="default" w:ascii="Times New Roman" w:hAnsi="Times New Roman" w:eastAsia="仿宋" w:cs="Times New Roman"/>
          <w:color w:val="auto"/>
          <w:highlight w:val="none"/>
        </w:rPr>
      </w:pPr>
      <w:bookmarkStart w:id="102" w:name="_Toc15396629"/>
      <w:bookmarkStart w:id="103" w:name="_Toc23568"/>
      <w:r>
        <w:rPr>
          <w:rStyle w:val="26"/>
          <w:rFonts w:hint="default" w:ascii="Times New Roman" w:hAnsi="Times New Roman" w:eastAsia="仿宋" w:cs="Times New Roman"/>
          <w:b w:val="0"/>
          <w:bCs w:val="0"/>
          <w:color w:val="auto"/>
          <w:highlight w:val="none"/>
        </w:rPr>
        <w:t>十一、</w:t>
      </w:r>
      <w:r>
        <w:rPr>
          <w:rFonts w:hint="default" w:ascii="Times New Roman" w:hAnsi="Times New Roman" w:eastAsia="仿宋" w:cs="Times New Roman"/>
          <w:b w:val="0"/>
          <w:color w:val="auto"/>
          <w:highlight w:val="none"/>
        </w:rPr>
        <w:t>政</w:t>
      </w:r>
      <w:r>
        <w:rPr>
          <w:rStyle w:val="26"/>
          <w:rFonts w:hint="default" w:ascii="Times New Roman" w:hAnsi="Times New Roman" w:eastAsia="仿宋" w:cs="Times New Roman"/>
          <w:b w:val="0"/>
          <w:bCs w:val="0"/>
          <w:color w:val="auto"/>
          <w:highlight w:val="none"/>
        </w:rPr>
        <w:t>府性基金预算财政拨款收入支出决算表</w:t>
      </w:r>
      <w:bookmarkEnd w:id="102"/>
      <w:bookmarkEnd w:id="103"/>
    </w:p>
    <w:p>
      <w:pPr>
        <w:pStyle w:val="4"/>
        <w:rPr>
          <w:rFonts w:hint="default" w:ascii="Times New Roman" w:hAnsi="Times New Roman" w:eastAsia="仿宋" w:cs="Times New Roman"/>
          <w:color w:val="auto"/>
          <w:highlight w:val="none"/>
        </w:rPr>
      </w:pPr>
      <w:bookmarkStart w:id="104" w:name="_Toc15396630"/>
      <w:bookmarkStart w:id="105" w:name="_Toc7556"/>
      <w:r>
        <w:rPr>
          <w:rStyle w:val="26"/>
          <w:rFonts w:hint="default" w:ascii="Times New Roman" w:hAnsi="Times New Roman" w:eastAsia="仿宋" w:cs="Times New Roman"/>
          <w:b w:val="0"/>
          <w:bCs w:val="0"/>
          <w:color w:val="auto"/>
          <w:highlight w:val="none"/>
        </w:rPr>
        <w:t>十二、</w:t>
      </w:r>
      <w:r>
        <w:rPr>
          <w:rFonts w:hint="default" w:ascii="Times New Roman" w:hAnsi="Times New Roman" w:eastAsia="仿宋" w:cs="Times New Roman"/>
          <w:b w:val="0"/>
          <w:color w:val="auto"/>
          <w:highlight w:val="none"/>
        </w:rPr>
        <w:t>政</w:t>
      </w:r>
      <w:r>
        <w:rPr>
          <w:rStyle w:val="26"/>
          <w:rFonts w:hint="default" w:ascii="Times New Roman" w:hAnsi="Times New Roman" w:eastAsia="仿宋" w:cs="Times New Roman"/>
          <w:b w:val="0"/>
          <w:bCs w:val="0"/>
          <w:color w:val="auto"/>
          <w:highlight w:val="none"/>
        </w:rPr>
        <w:t>府性基金预算财政拨款“三公”经费支出决算表</w:t>
      </w:r>
      <w:bookmarkEnd w:id="104"/>
      <w:bookmarkEnd w:id="105"/>
    </w:p>
    <w:p>
      <w:pPr>
        <w:pStyle w:val="4"/>
        <w:rPr>
          <w:rStyle w:val="26"/>
          <w:rFonts w:hint="default" w:ascii="Times New Roman" w:hAnsi="Times New Roman" w:eastAsia="仿宋" w:cs="Times New Roman"/>
          <w:b w:val="0"/>
          <w:bCs w:val="0"/>
          <w:color w:val="auto"/>
          <w:highlight w:val="none"/>
        </w:rPr>
      </w:pPr>
      <w:bookmarkStart w:id="106" w:name="_Toc15396631"/>
      <w:bookmarkStart w:id="107" w:name="_Toc31022"/>
      <w:r>
        <w:rPr>
          <w:rStyle w:val="26"/>
          <w:rFonts w:hint="default" w:ascii="Times New Roman" w:hAnsi="Times New Roman" w:eastAsia="仿宋" w:cs="Times New Roman"/>
          <w:b w:val="0"/>
          <w:bCs w:val="0"/>
          <w:color w:val="auto"/>
          <w:highlight w:val="none"/>
        </w:rPr>
        <w:t>十三、</w:t>
      </w:r>
      <w:r>
        <w:rPr>
          <w:rFonts w:hint="default" w:ascii="Times New Roman" w:hAnsi="Times New Roman" w:eastAsia="仿宋" w:cs="Times New Roman"/>
          <w:b w:val="0"/>
          <w:color w:val="auto"/>
          <w:highlight w:val="none"/>
        </w:rPr>
        <w:t>国</w:t>
      </w:r>
      <w:r>
        <w:rPr>
          <w:rStyle w:val="26"/>
          <w:rFonts w:hint="default" w:ascii="Times New Roman" w:hAnsi="Times New Roman" w:eastAsia="仿宋" w:cs="Times New Roman"/>
          <w:b w:val="0"/>
          <w:bCs w:val="0"/>
          <w:color w:val="auto"/>
          <w:highlight w:val="none"/>
        </w:rPr>
        <w:t>有资本经营预算</w:t>
      </w:r>
      <w:r>
        <w:rPr>
          <w:rStyle w:val="26"/>
          <w:rFonts w:hint="default" w:ascii="Times New Roman" w:hAnsi="Times New Roman" w:eastAsia="仿宋" w:cs="Times New Roman"/>
          <w:b w:val="0"/>
          <w:bCs w:val="0"/>
          <w:color w:val="auto"/>
          <w:highlight w:val="none"/>
          <w:lang w:eastAsia="zh-CN"/>
        </w:rPr>
        <w:t>财政拨款收入</w:t>
      </w:r>
      <w:r>
        <w:rPr>
          <w:rStyle w:val="26"/>
          <w:rFonts w:hint="default" w:ascii="Times New Roman" w:hAnsi="Times New Roman" w:eastAsia="仿宋" w:cs="Times New Roman"/>
          <w:b w:val="0"/>
          <w:bCs w:val="0"/>
          <w:color w:val="auto"/>
          <w:highlight w:val="none"/>
        </w:rPr>
        <w:t>支出决算表</w:t>
      </w:r>
      <w:bookmarkEnd w:id="106"/>
      <w:bookmarkEnd w:id="107"/>
    </w:p>
    <w:p>
      <w:pPr>
        <w:rPr>
          <w:rFonts w:hint="default" w:ascii="Times New Roman" w:hAnsi="Times New Roman" w:eastAsia="仿宋" w:cs="Times New Roman"/>
          <w:color w:val="auto"/>
          <w:highlight w:val="none"/>
          <w:lang w:eastAsia="zh-CN"/>
        </w:rPr>
      </w:pPr>
      <w:bookmarkStart w:id="108" w:name="_Toc4366"/>
      <w:r>
        <w:rPr>
          <w:rStyle w:val="26"/>
          <w:rFonts w:hint="default" w:ascii="Times New Roman" w:hAnsi="Times New Roman" w:eastAsia="仿宋" w:cs="Times New Roman"/>
          <w:b w:val="0"/>
          <w:bCs w:val="0"/>
          <w:color w:val="auto"/>
          <w:highlight w:val="none"/>
          <w:lang w:eastAsia="zh-CN"/>
        </w:rPr>
        <w:t>十四、国有资本经营预算财政拨款支出决算表</w:t>
      </w:r>
      <w:bookmarkEnd w:id="108"/>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74E425E"/>
    <w:multiLevelType w:val="singleLevel"/>
    <w:tmpl w:val="074E425E"/>
    <w:lvl w:ilvl="0" w:tentative="0">
      <w:start w:val="1"/>
      <w:numFmt w:val="decimal"/>
      <w:suff w:val="nothing"/>
      <w:lvlText w:val="（%1）"/>
      <w:lvlJc w:val="left"/>
    </w:lvl>
  </w:abstractNum>
  <w:abstractNum w:abstractNumId="3">
    <w:nsid w:val="108A0407"/>
    <w:multiLevelType w:val="singleLevel"/>
    <w:tmpl w:val="108A0407"/>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2Q2MDBlM2E0YWJhOTVmZTk2NDgzM2ZkZTFhM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10F1"/>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266A"/>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1834"/>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1D693B"/>
    <w:rsid w:val="02555ED9"/>
    <w:rsid w:val="03546191"/>
    <w:rsid w:val="039E11BA"/>
    <w:rsid w:val="04443772"/>
    <w:rsid w:val="04506958"/>
    <w:rsid w:val="0524470D"/>
    <w:rsid w:val="0550686D"/>
    <w:rsid w:val="05942874"/>
    <w:rsid w:val="05A87A03"/>
    <w:rsid w:val="05DD22CE"/>
    <w:rsid w:val="06655055"/>
    <w:rsid w:val="071426B7"/>
    <w:rsid w:val="08A82698"/>
    <w:rsid w:val="08AB39A9"/>
    <w:rsid w:val="09E8755A"/>
    <w:rsid w:val="09F33C46"/>
    <w:rsid w:val="0A2032A3"/>
    <w:rsid w:val="0A960812"/>
    <w:rsid w:val="0B8A37D8"/>
    <w:rsid w:val="0BFC73C5"/>
    <w:rsid w:val="0DAE46EF"/>
    <w:rsid w:val="0DED371D"/>
    <w:rsid w:val="10324AD6"/>
    <w:rsid w:val="10C055FF"/>
    <w:rsid w:val="118107EC"/>
    <w:rsid w:val="11902A8A"/>
    <w:rsid w:val="11DD6519"/>
    <w:rsid w:val="121C6D46"/>
    <w:rsid w:val="12394234"/>
    <w:rsid w:val="142E20E6"/>
    <w:rsid w:val="16BB723D"/>
    <w:rsid w:val="18015F3F"/>
    <w:rsid w:val="19192AFC"/>
    <w:rsid w:val="1BE8440E"/>
    <w:rsid w:val="1CBE5E33"/>
    <w:rsid w:val="1D155CEE"/>
    <w:rsid w:val="1DB21FDA"/>
    <w:rsid w:val="1DFB128B"/>
    <w:rsid w:val="1F8A1747"/>
    <w:rsid w:val="202D3B9A"/>
    <w:rsid w:val="20745325"/>
    <w:rsid w:val="20F42FD3"/>
    <w:rsid w:val="20F57F95"/>
    <w:rsid w:val="21683CF6"/>
    <w:rsid w:val="218E2416"/>
    <w:rsid w:val="21F26E49"/>
    <w:rsid w:val="21F75300"/>
    <w:rsid w:val="22B83BEE"/>
    <w:rsid w:val="22D91B0D"/>
    <w:rsid w:val="240371BF"/>
    <w:rsid w:val="25C741E6"/>
    <w:rsid w:val="26001460"/>
    <w:rsid w:val="26A34686"/>
    <w:rsid w:val="27247AA4"/>
    <w:rsid w:val="27605C18"/>
    <w:rsid w:val="27842671"/>
    <w:rsid w:val="27A33FBC"/>
    <w:rsid w:val="27D72D69"/>
    <w:rsid w:val="2903193C"/>
    <w:rsid w:val="296212A9"/>
    <w:rsid w:val="298E38FB"/>
    <w:rsid w:val="29FD04D3"/>
    <w:rsid w:val="2ABE7A3E"/>
    <w:rsid w:val="2B6C7B04"/>
    <w:rsid w:val="2C8B4122"/>
    <w:rsid w:val="2CF01D92"/>
    <w:rsid w:val="2D172C44"/>
    <w:rsid w:val="2DB463C6"/>
    <w:rsid w:val="2E050504"/>
    <w:rsid w:val="2E424FF6"/>
    <w:rsid w:val="2EFA178C"/>
    <w:rsid w:val="2F4B19AD"/>
    <w:rsid w:val="2F8135BA"/>
    <w:rsid w:val="2F8E7F56"/>
    <w:rsid w:val="2FDD075A"/>
    <w:rsid w:val="30B46D73"/>
    <w:rsid w:val="313C4A71"/>
    <w:rsid w:val="319F7F4E"/>
    <w:rsid w:val="334D51BC"/>
    <w:rsid w:val="34A15F56"/>
    <w:rsid w:val="351B1F37"/>
    <w:rsid w:val="355E5AD1"/>
    <w:rsid w:val="35E24B0F"/>
    <w:rsid w:val="36AE1139"/>
    <w:rsid w:val="37591238"/>
    <w:rsid w:val="382A342A"/>
    <w:rsid w:val="38CD3974"/>
    <w:rsid w:val="391060DB"/>
    <w:rsid w:val="39AE70AB"/>
    <w:rsid w:val="39BF788E"/>
    <w:rsid w:val="39DC7D6B"/>
    <w:rsid w:val="3A055816"/>
    <w:rsid w:val="3AAD5BAB"/>
    <w:rsid w:val="3BAB1B52"/>
    <w:rsid w:val="3C0C0783"/>
    <w:rsid w:val="3C9F7417"/>
    <w:rsid w:val="3D0E0B83"/>
    <w:rsid w:val="3D507C84"/>
    <w:rsid w:val="3D5B2145"/>
    <w:rsid w:val="3E2444F0"/>
    <w:rsid w:val="3E712C42"/>
    <w:rsid w:val="3F231323"/>
    <w:rsid w:val="3F397A0D"/>
    <w:rsid w:val="3F3C38F5"/>
    <w:rsid w:val="3F4904F7"/>
    <w:rsid w:val="3F795B0E"/>
    <w:rsid w:val="3F9F3A96"/>
    <w:rsid w:val="401C52F2"/>
    <w:rsid w:val="42004812"/>
    <w:rsid w:val="4221545C"/>
    <w:rsid w:val="43283F5B"/>
    <w:rsid w:val="443A04B0"/>
    <w:rsid w:val="447E612D"/>
    <w:rsid w:val="44913E48"/>
    <w:rsid w:val="4494093F"/>
    <w:rsid w:val="44AD7E9C"/>
    <w:rsid w:val="45CD3049"/>
    <w:rsid w:val="45EC3A2B"/>
    <w:rsid w:val="46283D77"/>
    <w:rsid w:val="46B45E59"/>
    <w:rsid w:val="47ED5839"/>
    <w:rsid w:val="493C27E9"/>
    <w:rsid w:val="49690EEF"/>
    <w:rsid w:val="496F39ED"/>
    <w:rsid w:val="498E342B"/>
    <w:rsid w:val="49F17862"/>
    <w:rsid w:val="49FB3008"/>
    <w:rsid w:val="49FF41D3"/>
    <w:rsid w:val="4A185DC8"/>
    <w:rsid w:val="4AE44CD1"/>
    <w:rsid w:val="4B7F3A7D"/>
    <w:rsid w:val="4BE068DB"/>
    <w:rsid w:val="4BF6002B"/>
    <w:rsid w:val="4C071319"/>
    <w:rsid w:val="4CA773BE"/>
    <w:rsid w:val="4CCD443F"/>
    <w:rsid w:val="4D5F6D5D"/>
    <w:rsid w:val="4DC6556E"/>
    <w:rsid w:val="4E825A8B"/>
    <w:rsid w:val="4ECE2238"/>
    <w:rsid w:val="4F9A62A6"/>
    <w:rsid w:val="507B0D9C"/>
    <w:rsid w:val="50A05092"/>
    <w:rsid w:val="50EA12AA"/>
    <w:rsid w:val="50F0206B"/>
    <w:rsid w:val="51B25897"/>
    <w:rsid w:val="51DB4B86"/>
    <w:rsid w:val="529874CD"/>
    <w:rsid w:val="53185E60"/>
    <w:rsid w:val="53B45BDE"/>
    <w:rsid w:val="546165D7"/>
    <w:rsid w:val="546D471F"/>
    <w:rsid w:val="549116D7"/>
    <w:rsid w:val="55333C3E"/>
    <w:rsid w:val="55B1434A"/>
    <w:rsid w:val="566D64C3"/>
    <w:rsid w:val="56784BEA"/>
    <w:rsid w:val="56932E99"/>
    <w:rsid w:val="56951B14"/>
    <w:rsid w:val="56EF2533"/>
    <w:rsid w:val="58253656"/>
    <w:rsid w:val="5922529B"/>
    <w:rsid w:val="59875329"/>
    <w:rsid w:val="5B687259"/>
    <w:rsid w:val="5BAD2DB2"/>
    <w:rsid w:val="5DDC5C7E"/>
    <w:rsid w:val="5DF44574"/>
    <w:rsid w:val="618D21A8"/>
    <w:rsid w:val="619F3C88"/>
    <w:rsid w:val="639D5F0D"/>
    <w:rsid w:val="644F6F74"/>
    <w:rsid w:val="64A174B5"/>
    <w:rsid w:val="64BC4EFD"/>
    <w:rsid w:val="64CA39A1"/>
    <w:rsid w:val="657A31C9"/>
    <w:rsid w:val="67576BDA"/>
    <w:rsid w:val="67852F40"/>
    <w:rsid w:val="67C22363"/>
    <w:rsid w:val="67F04921"/>
    <w:rsid w:val="68056E09"/>
    <w:rsid w:val="68A03A2E"/>
    <w:rsid w:val="6A1B06CD"/>
    <w:rsid w:val="6A2B6021"/>
    <w:rsid w:val="6AD42974"/>
    <w:rsid w:val="6B8A6D77"/>
    <w:rsid w:val="6C4A05C8"/>
    <w:rsid w:val="6C940237"/>
    <w:rsid w:val="6D022321"/>
    <w:rsid w:val="712071DB"/>
    <w:rsid w:val="717402AD"/>
    <w:rsid w:val="71A65B77"/>
    <w:rsid w:val="721B4BCD"/>
    <w:rsid w:val="72734D90"/>
    <w:rsid w:val="72C07522"/>
    <w:rsid w:val="72DA6836"/>
    <w:rsid w:val="732301DD"/>
    <w:rsid w:val="73B9644B"/>
    <w:rsid w:val="74331C7A"/>
    <w:rsid w:val="74DE3F34"/>
    <w:rsid w:val="74E366CA"/>
    <w:rsid w:val="75101D9F"/>
    <w:rsid w:val="752C1CCE"/>
    <w:rsid w:val="75AB6C03"/>
    <w:rsid w:val="75C56449"/>
    <w:rsid w:val="76AD4C19"/>
    <w:rsid w:val="77F158D7"/>
    <w:rsid w:val="7892370F"/>
    <w:rsid w:val="79E7B28D"/>
    <w:rsid w:val="7A9B68AB"/>
    <w:rsid w:val="7C0B49E9"/>
    <w:rsid w:val="7D0F1EAA"/>
    <w:rsid w:val="7D3B3058"/>
    <w:rsid w:val="7D5E77CF"/>
    <w:rsid w:val="7E8340F5"/>
    <w:rsid w:val="7EF40C8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font31"/>
    <w:basedOn w:val="14"/>
    <w:qFormat/>
    <w:uiPriority w:val="0"/>
    <w:rPr>
      <w:rFonts w:hint="eastAsia" w:ascii="宋体" w:hAnsi="宋体" w:eastAsia="宋体" w:cs="宋体"/>
      <w:color w:val="000000"/>
      <w:sz w:val="28"/>
      <w:szCs w:val="28"/>
      <w:u w:val="none"/>
    </w:rPr>
  </w:style>
  <w:style w:type="character" w:customStyle="1" w:styleId="32">
    <w:name w:val="font01"/>
    <w:basedOn w:val="14"/>
    <w:qFormat/>
    <w:uiPriority w:val="0"/>
    <w:rPr>
      <w:rFonts w:hint="eastAsia" w:ascii="宋体" w:hAnsi="宋体" w:eastAsia="宋体" w:cs="宋体"/>
      <w:color w:val="000000"/>
      <w:sz w:val="24"/>
      <w:szCs w:val="24"/>
      <w:u w:val="none"/>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uiPriority w:val="0"/>
    <w:pPr>
      <w:ind w:leftChars="200"/>
    </w:pPr>
    <w:rPr>
      <w:rFonts w:ascii="Times New Roman" w:hAnsi="Times New Roman" w:eastAsia="宋体" w:cs="Times New Roman"/>
      <w:sz w:val="20"/>
      <w:szCs w:val="20"/>
    </w:rPr>
  </w:style>
  <w:style w:type="character" w:customStyle="1" w:styleId="35">
    <w:name w:val=" Char Char5"/>
    <w:basedOn w:val="14"/>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5919;&#24220;&#21150;\2021&#20915;&#31639;&#20844;&#24320;\&#20915;&#31639;&#29992;&#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5919;&#24220;&#21150;\2021&#20915;&#31639;&#20844;&#24320;\&#20915;&#31639;&#29992;&#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5919;&#24220;&#21150;\2021&#20915;&#31639;&#20844;&#24320;\&#20915;&#31639;&#29992;&#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5919;&#24220;&#21150;\2021&#20915;&#31639;&#20844;&#24320;\&#20915;&#31639;&#29992;&#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5919;&#24220;&#21150;\2021&#20915;&#31639;&#20844;&#24320;\&#20915;&#31639;&#29992;&#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5919;&#24220;&#21150;\2021&#20915;&#31639;&#20844;&#24320;\&#20915;&#31639;&#29992;&#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5919;&#24220;&#21150;\2021&#20915;&#31639;&#20844;&#24320;\&#20915;&#31639;&#29992;&#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收支总计</a:t>
            </a:r>
          </a:p>
        </c:rich>
      </c:tx>
      <c:layout/>
      <c:overlay val="0"/>
      <c:spPr>
        <a:noFill/>
        <a:ln>
          <a:noFill/>
        </a:ln>
        <a:effectLst/>
      </c:spPr>
    </c:title>
    <c:autoTitleDeleted val="0"/>
    <c:plotArea>
      <c:layout>
        <c:manualLayout>
          <c:layoutTarget val="inner"/>
          <c:xMode val="edge"/>
          <c:yMode val="edge"/>
          <c:x val="0.0903892747536747"/>
          <c:y val="0.193389784211964"/>
          <c:w val="0.862768534970118"/>
          <c:h val="0.65976509150505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[决算用表.xls]Sheet1!$A$1:$B$1</c:f>
              <c:strCache>
                <c:ptCount val="2"/>
                <c:pt idx="0">
                  <c:v>2021年度收、支总计</c:v>
                </c:pt>
                <c:pt idx="1">
                  <c:v>2020年收、支总计</c:v>
                </c:pt>
              </c:strCache>
            </c:strRef>
          </c:cat>
          <c:val>
            <c:numRef>
              <c:f>[决算用表.xls]Sheet1!$A$2:$B$2</c:f>
              <c:numCache>
                <c:formatCode>General</c:formatCode>
                <c:ptCount val="2"/>
                <c:pt idx="0">
                  <c:v>891.97</c:v>
                </c:pt>
                <c:pt idx="1">
                  <c:v>1096.73</c:v>
                </c:pt>
              </c:numCache>
            </c:numRef>
          </c:val>
        </c:ser>
        <c:dLbls>
          <c:showLegendKey val="0"/>
          <c:showVal val="1"/>
          <c:showCatName val="0"/>
          <c:showSerName val="0"/>
          <c:showPercent val="0"/>
          <c:showBubbleSize val="0"/>
        </c:dLbls>
        <c:gapWidth val="219"/>
        <c:overlap val="-27"/>
        <c:axId val="655993775"/>
        <c:axId val="327219303"/>
      </c:barChart>
      <c:catAx>
        <c:axId val="6559937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7219303"/>
        <c:crosses val="autoZero"/>
        <c:auto val="1"/>
        <c:lblAlgn val="ctr"/>
        <c:lblOffset val="100"/>
        <c:noMultiLvlLbl val="0"/>
      </c:catAx>
      <c:valAx>
        <c:axId val="327219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5993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0" i="0" u="none" strike="noStrike" kern="1200" spc="0" baseline="0">
                <a:solidFill>
                  <a:schemeClr val="tx1">
                    <a:lumMod val="65000"/>
                    <a:lumOff val="35000"/>
                  </a:schemeClr>
                </a:solidFill>
                <a:latin typeface="+mn-lt"/>
                <a:ea typeface="+mn-ea"/>
                <a:cs typeface="+mn-cs"/>
              </a:defRPr>
            </a:pPr>
            <a:r>
              <a:rPr sz="1800"/>
              <a:t>收入决算结构图</a:t>
            </a:r>
            <a:endParaRPr sz="1800"/>
          </a:p>
        </c:rich>
      </c:tx>
      <c:layout>
        <c:manualLayout>
          <c:xMode val="edge"/>
          <c:yMode val="edge"/>
          <c:x val="0.356111111111111"/>
          <c:y val="0.0208333333333333"/>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84722222222222"/>
          <c:y val="0.172916666666667"/>
          <c:w val="0.938888888888889"/>
          <c:h val="0.476851851851852"/>
        </c:manualLayout>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[决算用表.xls]Sheet2!$A$1:$H$1</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[决算用表.xls]Sheet2!$A$2:$H$2</c:f>
              <c:numCache>
                <c:formatCode>General</c:formatCode>
                <c:ptCount val="8"/>
                <c:pt idx="0">
                  <c:v>772.77</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spc="0" baseline="0">
                <a:solidFill>
                  <a:schemeClr val="tx1">
                    <a:lumMod val="65000"/>
                    <a:lumOff val="35000"/>
                  </a:schemeClr>
                </a:solidFill>
                <a:latin typeface="+mn-lt"/>
                <a:ea typeface="+mn-ea"/>
                <a:cs typeface="+mn-cs"/>
              </a:defRPr>
            </a:pPr>
            <a:r>
              <a:rPr sz="1800" b="1"/>
              <a:t>支出决算结构图</a:t>
            </a:r>
            <a:endParaRPr sz="1800" b="1"/>
          </a:p>
        </c:rich>
      </c:tx>
      <c:layout>
        <c:manualLayout>
          <c:xMode val="edge"/>
          <c:yMode val="edge"/>
          <c:x val="0.358194444444444"/>
          <c:y val="0.0277777777777778"/>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[决算用表.xls]Sheet3!$A$1:$B$1</c:f>
              <c:strCache>
                <c:ptCount val="2"/>
                <c:pt idx="0">
                  <c:v>基本支出</c:v>
                </c:pt>
                <c:pt idx="1">
                  <c:v>项目支出</c:v>
                </c:pt>
              </c:strCache>
            </c:strRef>
          </c:cat>
          <c:val>
            <c:numRef>
              <c:f>[决算用表.xls]Sheet3!$A$2:$B$2</c:f>
              <c:numCache>
                <c:formatCode>General</c:formatCode>
                <c:ptCount val="2"/>
                <c:pt idx="0">
                  <c:v>772.77</c:v>
                </c:pt>
                <c:pt idx="1">
                  <c:v>83</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财政拨款收、支总计</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[决算用表.xls]Sheet1!$A$1:$B$1</c:f>
              <c:strCache>
                <c:ptCount val="2"/>
                <c:pt idx="0">
                  <c:v>2021年度财政拨款收、支总计</c:v>
                </c:pt>
                <c:pt idx="1">
                  <c:v>2020年度财政拨款收、支总计</c:v>
                </c:pt>
              </c:strCache>
            </c:strRef>
          </c:cat>
          <c:val>
            <c:numRef>
              <c:f>[决算用表.xls]Sheet1!$A$2:$B$2</c:f>
              <c:numCache>
                <c:formatCode>General</c:formatCode>
                <c:ptCount val="2"/>
                <c:pt idx="0">
                  <c:v>891.97</c:v>
                </c:pt>
                <c:pt idx="1">
                  <c:v>1096.73</c:v>
                </c:pt>
              </c:numCache>
            </c:numRef>
          </c:val>
        </c:ser>
        <c:dLbls>
          <c:showLegendKey val="0"/>
          <c:showVal val="1"/>
          <c:showCatName val="0"/>
          <c:showSerName val="0"/>
          <c:showPercent val="0"/>
          <c:showBubbleSize val="0"/>
        </c:dLbls>
        <c:gapWidth val="219"/>
        <c:overlap val="-27"/>
        <c:axId val="655993775"/>
        <c:axId val="327219303"/>
      </c:barChart>
      <c:catAx>
        <c:axId val="6559937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7219303"/>
        <c:crosses val="autoZero"/>
        <c:auto val="1"/>
        <c:lblAlgn val="ctr"/>
        <c:lblOffset val="100"/>
        <c:noMultiLvlLbl val="0"/>
      </c:catAx>
      <c:valAx>
        <c:axId val="327219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5993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895277777777778"/>
          <c:y val="0.176388888888889"/>
          <c:w val="0.882"/>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[决算用表.xls]一般公共预算财政拨款支出决算变动情况!$A$1:$B$1</c:f>
              <c:strCache>
                <c:ptCount val="2"/>
                <c:pt idx="0">
                  <c:v>2021年一般公共预算财政拨款支出</c:v>
                </c:pt>
                <c:pt idx="1">
                  <c:v>2020年一般公共预算财政拨款支出</c:v>
                </c:pt>
              </c:strCache>
            </c:strRef>
          </c:cat>
          <c:val>
            <c:numRef>
              <c:f>[决算用表.xls]一般公共预算财政拨款支出决算变动情况!$A$2:$B$2</c:f>
              <c:numCache>
                <c:formatCode>General</c:formatCode>
                <c:ptCount val="2"/>
                <c:pt idx="0">
                  <c:v>855.77</c:v>
                </c:pt>
                <c:pt idx="1">
                  <c:v>977.53</c:v>
                </c:pt>
              </c:numCache>
            </c:numRef>
          </c:val>
        </c:ser>
        <c:dLbls>
          <c:showLegendKey val="0"/>
          <c:showVal val="1"/>
          <c:showCatName val="0"/>
          <c:showSerName val="0"/>
          <c:showPercent val="0"/>
          <c:showBubbleSize val="0"/>
        </c:dLbls>
        <c:gapWidth val="219"/>
        <c:overlap val="-27"/>
        <c:axId val="437930429"/>
        <c:axId val="603757780"/>
      </c:barChart>
      <c:catAx>
        <c:axId val="4379304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3757780"/>
        <c:crosses val="autoZero"/>
        <c:auto val="1"/>
        <c:lblAlgn val="ctr"/>
        <c:lblOffset val="100"/>
        <c:noMultiLvlLbl val="0"/>
      </c:catAx>
      <c:valAx>
        <c:axId val="6037577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79304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183055555555556"/>
          <c:y val="0.0381944444444444"/>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[决算用表.xls]Sheet5!$A$1:$E$1</c:f>
              <c:strCache>
                <c:ptCount val="5"/>
                <c:pt idx="0">
                  <c:v>一般公共服务（类）支出</c:v>
                </c:pt>
                <c:pt idx="1">
                  <c:v>国防支出（类）支出</c:v>
                </c:pt>
                <c:pt idx="2">
                  <c:v>社会保障和就业（类）支出</c:v>
                </c:pt>
                <c:pt idx="3">
                  <c:v>卫生健康（类）支出</c:v>
                </c:pt>
                <c:pt idx="4">
                  <c:v>住房保障（类）支出</c:v>
                </c:pt>
              </c:strCache>
            </c:strRef>
          </c:cat>
          <c:val>
            <c:numRef>
              <c:f>[决算用表.xls]Sheet5!$A$2:$E$2</c:f>
              <c:numCache>
                <c:formatCode>General</c:formatCode>
                <c:ptCount val="5"/>
                <c:pt idx="0">
                  <c:v>705.78</c:v>
                </c:pt>
                <c:pt idx="1">
                  <c:v>83</c:v>
                </c:pt>
                <c:pt idx="2">
                  <c:v>22.43</c:v>
                </c:pt>
                <c:pt idx="3">
                  <c:v>10.87</c:v>
                </c:pt>
                <c:pt idx="4">
                  <c:v>33.68</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a:t>
            </a:r>
          </a:p>
        </c:rich>
      </c:tx>
      <c:layout>
        <c:manualLayout>
          <c:xMode val="edge"/>
          <c:yMode val="edge"/>
          <c:x val="0.276944444444444"/>
          <c:y val="0.0347222222222222"/>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delete val="1"/>
          </c:dLbls>
          <c:cat>
            <c:strRef>
              <c:f>[决算用表.xls]Sheet7!$A$1:$C$1</c:f>
              <c:strCache>
                <c:ptCount val="3"/>
                <c:pt idx="0">
                  <c:v>因公出国（境）费支出</c:v>
                </c:pt>
                <c:pt idx="1">
                  <c:v>公务用车购置及运行维护费支出</c:v>
                </c:pt>
                <c:pt idx="2">
                  <c:v>公务接待费支出</c:v>
                </c:pt>
              </c:strCache>
            </c:strRef>
          </c:cat>
          <c:val>
            <c:numRef>
              <c:f>[决算用表.xls]Sheet7!$A$2:$C$2</c:f>
              <c:numCache>
                <c:formatCode>General</c:formatCode>
                <c:ptCount val="3"/>
                <c:pt idx="0">
                  <c:v>0</c:v>
                </c:pt>
                <c:pt idx="1">
                  <c:v>0</c:v>
                </c:pt>
                <c:pt idx="2">
                  <c:v>10.59</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6871</Words>
  <Characters>7455</Characters>
  <Lines>61</Lines>
  <Paragraphs>17</Paragraphs>
  <TotalTime>2</TotalTime>
  <ScaleCrop>false</ScaleCrop>
  <LinksUpToDate>false</LinksUpToDate>
  <CharactersWithSpaces>7631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cp:lastModifiedBy>
  <cp:lastPrinted>2022-08-06T02:23:00Z</cp:lastPrinted>
  <dcterms:modified xsi:type="dcterms:W3CDTF">2023-09-04T02:36:27Z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18C4299B72334D3095585539B3212D20</vt:lpwstr>
  </property>
</Properties>
</file>