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BD5B7B">
      <w:pPr>
        <w:spacing w:line="600" w:lineRule="exact"/>
        <w:jc w:val="center"/>
        <w:outlineLvl w:val="9"/>
        <w:rPr>
          <w:rFonts w:hint="default" w:ascii="方正小标宋简体" w:hAnsi="宋体" w:eastAsia="方正小标宋简体"/>
          <w:color w:val="auto"/>
          <w:sz w:val="72"/>
          <w:szCs w:val="72"/>
          <w:highlight w:val="none"/>
          <w:lang w:val="en-US" w:eastAsia="zh-CN"/>
        </w:rPr>
      </w:pPr>
      <w:bookmarkStart w:id="0" w:name="_Toc15306267"/>
    </w:p>
    <w:p w14:paraId="598FED84">
      <w:pPr>
        <w:keepNext w:val="0"/>
        <w:keepLines w:val="0"/>
        <w:pageBreakBefore w:val="0"/>
        <w:widowControl w:val="0"/>
        <w:kinsoku/>
        <w:wordWrap/>
        <w:overflowPunct/>
        <w:topLinePunct w:val="0"/>
        <w:autoSpaceDE/>
        <w:autoSpaceDN/>
        <w:bidi w:val="0"/>
        <w:spacing w:line="600" w:lineRule="exact"/>
        <w:jc w:val="center"/>
        <w:textAlignment w:val="auto"/>
        <w:outlineLvl w:val="9"/>
        <w:rPr>
          <w:rFonts w:ascii="方正小标宋简体" w:hAnsi="宋体" w:eastAsia="方正小标宋简体"/>
          <w:color w:val="auto"/>
          <w:sz w:val="72"/>
          <w:szCs w:val="72"/>
          <w:highlight w:val="none"/>
        </w:rPr>
      </w:pPr>
    </w:p>
    <w:p w14:paraId="7AECFA63">
      <w:pPr>
        <w:keepNext w:val="0"/>
        <w:keepLines w:val="0"/>
        <w:pageBreakBefore w:val="0"/>
        <w:widowControl w:val="0"/>
        <w:kinsoku/>
        <w:wordWrap/>
        <w:overflowPunct/>
        <w:topLinePunct w:val="0"/>
        <w:autoSpaceDE/>
        <w:autoSpaceDN/>
        <w:bidi w:val="0"/>
        <w:spacing w:line="600" w:lineRule="exact"/>
        <w:jc w:val="center"/>
        <w:textAlignment w:val="auto"/>
        <w:outlineLvl w:val="9"/>
        <w:rPr>
          <w:rFonts w:ascii="方正小标宋简体" w:hAnsi="宋体" w:eastAsia="方正小标宋简体"/>
          <w:color w:val="auto"/>
          <w:sz w:val="72"/>
          <w:szCs w:val="72"/>
          <w:highlight w:val="none"/>
        </w:rPr>
      </w:pPr>
    </w:p>
    <w:p w14:paraId="327577AF">
      <w:pPr>
        <w:keepNext w:val="0"/>
        <w:keepLines w:val="0"/>
        <w:pageBreakBefore w:val="0"/>
        <w:widowControl w:val="0"/>
        <w:kinsoku/>
        <w:wordWrap/>
        <w:overflowPunct/>
        <w:topLinePunct w:val="0"/>
        <w:autoSpaceDE/>
        <w:autoSpaceDN/>
        <w:bidi w:val="0"/>
        <w:spacing w:line="600" w:lineRule="exact"/>
        <w:jc w:val="center"/>
        <w:textAlignment w:val="auto"/>
        <w:outlineLvl w:val="9"/>
        <w:rPr>
          <w:rFonts w:ascii="方正小标宋简体" w:hAnsi="宋体" w:eastAsia="方正小标宋简体"/>
          <w:color w:val="auto"/>
          <w:sz w:val="72"/>
          <w:szCs w:val="72"/>
          <w:highlight w:val="none"/>
        </w:rPr>
      </w:pPr>
    </w:p>
    <w:p w14:paraId="3F12335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1" w:name="_Toc15396475"/>
      <w:bookmarkStart w:id="2" w:name="_Toc15378441"/>
      <w:bookmarkStart w:id="3" w:name="_Toc15377193"/>
      <w:bookmarkStart w:id="4" w:name="_Toc15396597"/>
      <w:bookmarkStart w:id="5" w:name="_Toc15377425"/>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21</w:t>
      </w:r>
      <w:r>
        <w:rPr>
          <w:rFonts w:hint="eastAsia" w:ascii="方正小标宋简体" w:hAnsi="方正小标宋简体" w:eastAsia="方正小标宋简体" w:cs="方正小标宋简体"/>
          <w:color w:val="auto"/>
          <w:sz w:val="72"/>
          <w:szCs w:val="72"/>
          <w:highlight w:val="none"/>
        </w:rPr>
        <w:t>年度</w:t>
      </w:r>
      <w:bookmarkEnd w:id="1"/>
      <w:bookmarkEnd w:id="2"/>
      <w:bookmarkEnd w:id="3"/>
      <w:bookmarkEnd w:id="4"/>
      <w:bookmarkEnd w:id="5"/>
    </w:p>
    <w:p w14:paraId="05AE0B1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9"/>
        <w:rPr>
          <w:rFonts w:hint="eastAsia" w:ascii="方正小标宋简体" w:hAnsi="方正小标宋简体" w:eastAsia="方正小标宋简体" w:cs="方正小标宋简体"/>
          <w:color w:val="auto"/>
          <w:sz w:val="72"/>
          <w:szCs w:val="72"/>
          <w:highlight w:val="none"/>
        </w:rPr>
      </w:pPr>
      <w:bookmarkStart w:id="6" w:name="_Toc15377426"/>
      <w:bookmarkStart w:id="7" w:name="_Toc15378442"/>
      <w:bookmarkStart w:id="8" w:name="_Toc15396476"/>
      <w:bookmarkStart w:id="9" w:name="_Toc15396598"/>
      <w:bookmarkStart w:id="10" w:name="_Toc15377194"/>
      <w:r>
        <w:rPr>
          <w:rFonts w:hint="eastAsia" w:ascii="方正小标宋简体" w:hAnsi="方正小标宋简体" w:eastAsia="方正小标宋简体" w:cs="方正小标宋简体"/>
          <w:color w:val="auto"/>
          <w:sz w:val="72"/>
          <w:szCs w:val="72"/>
          <w:highlight w:val="none"/>
        </w:rPr>
        <w:t>四川省</w:t>
      </w:r>
      <w:bookmarkEnd w:id="0"/>
      <w:bookmarkStart w:id="11" w:name="_Toc15306268"/>
      <w:r>
        <w:rPr>
          <w:rFonts w:hint="eastAsia" w:ascii="方正小标宋简体" w:hAnsi="方正小标宋简体" w:eastAsia="方正小标宋简体" w:cs="方正小标宋简体"/>
          <w:color w:val="auto"/>
          <w:sz w:val="72"/>
          <w:szCs w:val="72"/>
          <w:highlight w:val="none"/>
          <w:lang w:val="en-US" w:eastAsia="zh-CN"/>
        </w:rPr>
        <w:t>广元市昭化区委党校 部门</w:t>
      </w:r>
      <w:r>
        <w:rPr>
          <w:rFonts w:hint="eastAsia" w:ascii="方正小标宋简体" w:hAnsi="方正小标宋简体" w:eastAsia="方正小标宋简体" w:cs="方正小标宋简体"/>
          <w:color w:val="auto"/>
          <w:sz w:val="72"/>
          <w:szCs w:val="72"/>
          <w:highlight w:val="none"/>
        </w:rPr>
        <w:t>决算</w:t>
      </w:r>
      <w:bookmarkEnd w:id="6"/>
      <w:bookmarkEnd w:id="7"/>
      <w:bookmarkEnd w:id="8"/>
      <w:bookmarkEnd w:id="9"/>
      <w:bookmarkEnd w:id="10"/>
      <w:bookmarkEnd w:id="11"/>
    </w:p>
    <w:p w14:paraId="3AB932D5">
      <w:pPr>
        <w:widowControl/>
        <w:spacing w:line="440" w:lineRule="exact"/>
        <w:jc w:val="left"/>
        <w:rPr>
          <w:rFonts w:ascii="方正小标宋简体" w:hAnsi="宋体" w:eastAsia="方正小标宋简体"/>
          <w:color w:val="auto"/>
          <w:sz w:val="36"/>
          <w:szCs w:val="36"/>
          <w:highlight w:val="none"/>
        </w:rPr>
        <w:sectPr>
          <w:footerReference r:id="rId5" w:type="first"/>
          <w:headerReference r:id="rId3" w:type="default"/>
          <w:footerReference r:id="rId4" w:type="default"/>
          <w:pgSz w:w="11906" w:h="16838"/>
          <w:pgMar w:top="1157" w:right="1293" w:bottom="1440" w:left="1179" w:header="851" w:footer="992" w:gutter="0"/>
          <w:pgBorders>
            <w:top w:val="none" w:sz="0" w:space="0"/>
            <w:left w:val="none" w:sz="0" w:space="0"/>
            <w:bottom w:val="none" w:sz="0" w:space="0"/>
            <w:right w:val="none" w:sz="0" w:space="0"/>
          </w:pgBorders>
          <w:pgNumType w:fmt="numberInDash" w:start="1"/>
          <w:cols w:space="0" w:num="1"/>
          <w:titlePg/>
          <w:rtlGutter w:val="0"/>
          <w:docGrid w:type="lines" w:linePitch="312" w:charSpace="0"/>
        </w:sectPr>
      </w:pPr>
      <w:r>
        <w:rPr>
          <w:rFonts w:ascii="方正小标宋简体" w:hAnsi="宋体" w:eastAsia="方正小标宋简体"/>
          <w:color w:val="auto"/>
          <w:sz w:val="36"/>
          <w:szCs w:val="36"/>
          <w:highlight w:val="none"/>
        </w:rPr>
        <w:br w:type="page"/>
      </w:r>
    </w:p>
    <w:sdt>
      <w:sdtPr>
        <w:rPr>
          <w:rFonts w:hint="eastAsia" w:ascii="黑体" w:hAnsi="黑体" w:eastAsia="黑体" w:cs="黑体"/>
          <w:kern w:val="2"/>
          <w:sz w:val="48"/>
          <w:szCs w:val="48"/>
          <w:lang w:val="en-US" w:eastAsia="zh-CN" w:bidi="ar-SA"/>
        </w:rPr>
        <w:id w:val="147466535"/>
        <w15:color w:val="DBDBDB"/>
        <w:docPartObj>
          <w:docPartGallery w:val="Table of Contents"/>
          <w:docPartUnique/>
        </w:docPartObj>
      </w:sdtPr>
      <w:sdtEndPr>
        <w:rPr>
          <w:rFonts w:hint="eastAsia" w:ascii="黑体" w:hAnsi="黑体" w:eastAsia="黑体" w:cs="Times New Roman"/>
          <w:kern w:val="2"/>
          <w:sz w:val="21"/>
          <w:szCs w:val="24"/>
          <w:highlight w:val="none"/>
          <w:lang w:val="en-US" w:eastAsia="zh-CN" w:bidi="ar-SA"/>
        </w:rPr>
      </w:sdtEndPr>
      <w:sdtContent>
        <w:p w14:paraId="79B7E167">
          <w:pPr>
            <w:spacing w:before="0" w:beforeLines="0" w:after="0" w:afterLines="0" w:line="240" w:lineRule="auto"/>
            <w:ind w:left="0" w:leftChars="0" w:right="0" w:rightChars="0" w:firstLine="0" w:firstLineChars="0"/>
            <w:jc w:val="center"/>
            <w:rPr>
              <w:sz w:val="48"/>
              <w:szCs w:val="48"/>
            </w:rPr>
          </w:pPr>
          <w:r>
            <w:rPr>
              <w:rFonts w:hint="eastAsia" w:ascii="黑体" w:hAnsi="黑体" w:eastAsia="黑体" w:cs="黑体"/>
              <w:sz w:val="48"/>
              <w:szCs w:val="48"/>
            </w:rPr>
            <w:t>目</w:t>
          </w:r>
          <w:r>
            <w:rPr>
              <w:rFonts w:hint="eastAsia" w:ascii="黑体" w:hAnsi="黑体" w:eastAsia="黑体" w:cs="黑体"/>
              <w:sz w:val="48"/>
              <w:szCs w:val="48"/>
              <w:lang w:val="en-US" w:eastAsia="zh-CN"/>
            </w:rPr>
            <w:t xml:space="preserve"> </w:t>
          </w:r>
          <w:r>
            <w:rPr>
              <w:rFonts w:hint="eastAsia" w:ascii="黑体" w:hAnsi="黑体" w:eastAsia="黑体" w:cs="黑体"/>
              <w:sz w:val="48"/>
              <w:szCs w:val="48"/>
            </w:rPr>
            <w:t>录</w:t>
          </w:r>
        </w:p>
        <w:p w14:paraId="69D26039">
          <w:pPr>
            <w:pStyle w:val="14"/>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TOC \o "1-2" \h \u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_Toc2212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第一部分 单位概况</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_Toc2212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- 3 -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81D625F">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_Toc18504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一、 职能简介</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_Toc18504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- 3 -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61788EE">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_Toc25137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二、机构设置</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_Toc25137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- 3 -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8DF5870">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_Toc27051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三、2021年重点工作完成情况</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_Toc27051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- 3 -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7C8F83C">
          <w:pPr>
            <w:pStyle w:val="14"/>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_Toc29841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第二部分 2021年度单位决算情况说明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_Toc29841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- 6 -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702E5F7E">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_Toc19725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一、收入支出决算总体情况说明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_Toc19725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- 6 -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4DB00A4">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_Toc123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二、 收入决算情况说明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_Toc123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- 6 -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2ECB6C43">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_Toc30268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三、支出决算情况说明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_Toc30268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- 6 -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1ACCC02">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_Toc20682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四、财政拨款收入支出决算总体情况说明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_Toc20682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31CA919D">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_Toc2526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五、一般公共预算财政拨款支出决算情况说明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_Toc2526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A762A43">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_Toc20446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六、一般公共预算财政拨款基本支出决算情况说明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_Toc20446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- 9 -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74C66521">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_Toc2011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七、“三公”经费财政拨款支出决算情况说明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_Toc2011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- 9 -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100CD762">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_Toc26845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八、政府性基金预算支出决算情况说明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_Toc26845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- 10 -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1AF8F48">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_Toc30235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九、 国有资本经营预算支出决算情况说明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_Toc30235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- 11 -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2C6FE405">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_Toc7170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 预算绩效管理情况</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_Toc7170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- 11 -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A2519BF">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_Toc26137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十一、 其他重要事项的情况说明</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_Toc26137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- 11 -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4A9E2A74">
          <w:pPr>
            <w:pStyle w:val="14"/>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_Toc9823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第三部分 名词解释</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_Toc9823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- 12 -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1840AA86">
          <w:pPr>
            <w:pStyle w:val="14"/>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_Toc21528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第四部分 附件</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_Toc21528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- 14 -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954A084">
          <w:pPr>
            <w:pStyle w:val="14"/>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_Toc24768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第五部分 附表</w:t>
          </w:r>
          <w:r>
            <w:rPr>
              <w:rFonts w:hint="eastAsia" w:ascii="黑体" w:hAnsi="黑体" w:eastAsia="黑体" w:cs="Times New Roman"/>
              <w:kern w:val="2"/>
              <w:sz w:val="21"/>
              <w:szCs w:val="24"/>
              <w:highlight w:val="none"/>
              <w:lang w:val="en-US" w:eastAsia="zh-CN" w:bidi="ar-SA"/>
            </w:rPr>
            <w:tab/>
          </w:r>
          <w:bookmarkStart w:id="101" w:name="_GoBack"/>
          <w:bookmarkEnd w:id="101"/>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_Toc24768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82F648B">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_Toc5375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一、 收入支出决算总表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_Toc5375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60FE421">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_Toc22158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二、收入决算表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_Toc22158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18B06BF">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_Toc28715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三、支出决算表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_Toc28715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55A8632">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_Toc23780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四、财政拨款收入支出决算总表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_Toc23780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78E74FFE">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_Toc11448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五、财政拨款支出决算明细表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_Toc11448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8DDF15E">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_Toc29493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六、一般公共预算财政拨款支出决算表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_Toc29493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0714D2C9">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_Toc22020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七、一般公共预算财政拨款支出决算明细表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_Toc22020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2FE43CB9">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_Toc16945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八、一般公共预算财政拨款基本支出决算表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_Toc16945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7E18A967">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_Toc22922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九、一般公共预算财政拨款项目支出决算表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_Toc22922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322795AD">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_Toc29392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十、一般公共预算财政拨款“三公”经费支出决算表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_Toc29392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5EF68BF9">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_Toc28733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十一、政府性基金预算财政拨款收入支出决算表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_Toc28733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7B9FE3D">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_Toc9894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十二、政府性基金预算财政拨款“三公”经费支出决算表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_Toc9894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4AE417B5">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_Toc6155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十三、国有资本经营预算财政拨款收入支出决算表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_Toc6155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65156BF5">
          <w:pPr>
            <w:pStyle w:val="15"/>
            <w:tabs>
              <w:tab w:val="right" w:leader="dot" w:pos="9264"/>
              <w:tab w:val="clear" w:pos="8296"/>
            </w:tabs>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HYPERLINK \l _Toc25585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十四、国有资本经营预算财政拨款支出决算表</w:t>
          </w:r>
          <w:r>
            <w:rPr>
              <w:rFonts w:hint="eastAsia" w:ascii="黑体" w:hAnsi="黑体" w:eastAsia="黑体" w:cs="Times New Roman"/>
              <w:kern w:val="2"/>
              <w:sz w:val="21"/>
              <w:szCs w:val="24"/>
              <w:highlight w:val="none"/>
              <w:lang w:val="en-US" w:eastAsia="zh-CN" w:bidi="ar-SA"/>
            </w:rPr>
            <w:tab/>
          </w:r>
          <w:r>
            <w:rPr>
              <w:rFonts w:hint="eastAsia" w:ascii="黑体" w:hAnsi="黑体" w:eastAsia="黑体" w:cs="Times New Roman"/>
              <w:kern w:val="2"/>
              <w:sz w:val="21"/>
              <w:szCs w:val="24"/>
              <w:highlight w:val="none"/>
              <w:lang w:val="en-US" w:eastAsia="zh-CN" w:bidi="ar-SA"/>
            </w:rPr>
            <w:fldChar w:fldCharType="begin"/>
          </w:r>
          <w:r>
            <w:rPr>
              <w:rFonts w:hint="eastAsia" w:ascii="黑体" w:hAnsi="黑体" w:eastAsia="黑体" w:cs="Times New Roman"/>
              <w:kern w:val="2"/>
              <w:sz w:val="21"/>
              <w:szCs w:val="24"/>
              <w:highlight w:val="none"/>
              <w:lang w:val="en-US" w:eastAsia="zh-CN" w:bidi="ar-SA"/>
            </w:rPr>
            <w:instrText xml:space="preserve"> PAGEREF _Toc25585 \h </w:instrText>
          </w:r>
          <w:r>
            <w:rPr>
              <w:rFonts w:hint="eastAsia" w:ascii="黑体" w:hAnsi="黑体" w:eastAsia="黑体" w:cs="Times New Roman"/>
              <w:kern w:val="2"/>
              <w:sz w:val="21"/>
              <w:szCs w:val="24"/>
              <w:highlight w:val="none"/>
              <w:lang w:val="en-US" w:eastAsia="zh-CN" w:bidi="ar-SA"/>
            </w:rPr>
            <w:fldChar w:fldCharType="separate"/>
          </w:r>
          <w:r>
            <w:rPr>
              <w:rFonts w:hint="eastAsia" w:ascii="黑体" w:hAnsi="黑体" w:eastAsia="黑体" w:cs="Times New Roman"/>
              <w:kern w:val="2"/>
              <w:sz w:val="21"/>
              <w:szCs w:val="24"/>
              <w:highlight w:val="none"/>
              <w:lang w:val="en-US" w:eastAsia="zh-CN" w:bidi="ar-SA"/>
            </w:rPr>
            <w:t>- 17 -</w:t>
          </w:r>
          <w:r>
            <w:rPr>
              <w:rFonts w:hint="eastAsia" w:ascii="黑体" w:hAnsi="黑体" w:eastAsia="黑体" w:cs="Times New Roman"/>
              <w:kern w:val="2"/>
              <w:sz w:val="21"/>
              <w:szCs w:val="24"/>
              <w:highlight w:val="none"/>
              <w:lang w:val="en-US" w:eastAsia="zh-CN" w:bidi="ar-SA"/>
            </w:rPr>
            <w:fldChar w:fldCharType="end"/>
          </w:r>
          <w:r>
            <w:rPr>
              <w:rFonts w:hint="eastAsia" w:ascii="黑体" w:hAnsi="黑体" w:eastAsia="黑体" w:cs="Times New Roman"/>
              <w:kern w:val="2"/>
              <w:sz w:val="21"/>
              <w:szCs w:val="24"/>
              <w:highlight w:val="none"/>
              <w:lang w:val="en-US" w:eastAsia="zh-CN" w:bidi="ar-SA"/>
            </w:rPr>
            <w:fldChar w:fldCharType="end"/>
          </w:r>
        </w:p>
        <w:p w14:paraId="284D4593">
          <w:pPr>
            <w:pStyle w:val="15"/>
            <w:adjustRightInd w:val="0"/>
            <w:snapToGrid w:val="0"/>
            <w:spacing w:line="440" w:lineRule="exact"/>
            <w:jc w:val="left"/>
            <w:rPr>
              <w:rFonts w:hint="eastAsia" w:ascii="黑体" w:hAnsi="黑体" w:eastAsia="黑体" w:cs="Times New Roman"/>
              <w:kern w:val="2"/>
              <w:sz w:val="21"/>
              <w:szCs w:val="24"/>
              <w:highlight w:val="none"/>
              <w:lang w:val="en-US" w:eastAsia="zh-CN" w:bidi="ar-SA"/>
            </w:rPr>
          </w:pPr>
          <w:r>
            <w:rPr>
              <w:rFonts w:hint="eastAsia" w:ascii="黑体" w:hAnsi="黑体" w:eastAsia="黑体" w:cs="Times New Roman"/>
              <w:kern w:val="2"/>
              <w:sz w:val="21"/>
              <w:szCs w:val="24"/>
              <w:highlight w:val="none"/>
              <w:lang w:val="en-US" w:eastAsia="zh-CN" w:bidi="ar-SA"/>
            </w:rPr>
            <w:fldChar w:fldCharType="end"/>
          </w:r>
        </w:p>
      </w:sdtContent>
    </w:sdt>
    <w:p w14:paraId="0ECFFED2">
      <w:pPr>
        <w:pStyle w:val="4"/>
        <w:keepNext/>
        <w:keepLines/>
        <w:pageBreakBefore w:val="0"/>
        <w:widowControl w:val="0"/>
        <w:kinsoku/>
        <w:wordWrap/>
        <w:overflowPunct/>
        <w:topLinePunct w:val="0"/>
        <w:autoSpaceDE/>
        <w:autoSpaceDN/>
        <w:bidi w:val="0"/>
        <w:adjustRightInd/>
        <w:snapToGrid/>
        <w:spacing w:before="0" w:after="0" w:line="536" w:lineRule="exact"/>
        <w:jc w:val="both"/>
        <w:textAlignment w:val="auto"/>
        <w:rPr>
          <w:rFonts w:hint="eastAsia" w:ascii="黑体" w:hAnsi="黑体" w:eastAsia="黑体"/>
          <w:b w:val="0"/>
          <w:color w:val="auto"/>
          <w:highlight w:val="none"/>
        </w:rPr>
      </w:pPr>
    </w:p>
    <w:p w14:paraId="52CBB5FA">
      <w:pPr>
        <w:rPr>
          <w:rFonts w:hint="eastAsia"/>
        </w:rPr>
      </w:pPr>
    </w:p>
    <w:p w14:paraId="42E4063B">
      <w:pPr>
        <w:pStyle w:val="4"/>
        <w:keepNext/>
        <w:keepLines/>
        <w:pageBreakBefore w:val="0"/>
        <w:widowControl w:val="0"/>
        <w:kinsoku/>
        <w:wordWrap/>
        <w:overflowPunct/>
        <w:topLinePunct w:val="0"/>
        <w:autoSpaceDE/>
        <w:autoSpaceDN/>
        <w:bidi w:val="0"/>
        <w:adjustRightInd/>
        <w:snapToGrid/>
        <w:spacing w:before="0" w:after="0" w:line="536" w:lineRule="exact"/>
        <w:jc w:val="center"/>
        <w:textAlignment w:val="auto"/>
        <w:rPr>
          <w:rFonts w:hint="eastAsia" w:ascii="黑体" w:hAnsi="黑体" w:eastAsia="黑体"/>
          <w:b w:val="0"/>
          <w:color w:val="auto"/>
          <w:highlight w:val="none"/>
        </w:rPr>
      </w:pPr>
      <w:bookmarkStart w:id="12" w:name="_Toc2212"/>
    </w:p>
    <w:p w14:paraId="51605C28">
      <w:pPr>
        <w:pStyle w:val="4"/>
        <w:keepNext/>
        <w:keepLines/>
        <w:pageBreakBefore w:val="0"/>
        <w:widowControl w:val="0"/>
        <w:kinsoku/>
        <w:wordWrap/>
        <w:overflowPunct/>
        <w:topLinePunct w:val="0"/>
        <w:autoSpaceDE/>
        <w:autoSpaceDN/>
        <w:bidi w:val="0"/>
        <w:adjustRightInd/>
        <w:snapToGrid/>
        <w:spacing w:before="0" w:after="0" w:line="536" w:lineRule="exact"/>
        <w:jc w:val="center"/>
        <w:textAlignment w:val="auto"/>
        <w:rPr>
          <w:rFonts w:ascii="黑体" w:eastAsia="黑体"/>
          <w:color w:val="auto"/>
          <w:sz w:val="32"/>
          <w:szCs w:val="32"/>
          <w:highlight w:val="none"/>
        </w:rPr>
      </w:pPr>
      <w:r>
        <w:rPr>
          <w:rFonts w:hint="eastAsia" w:ascii="黑体" w:hAnsi="黑体" w:eastAsia="黑体"/>
          <w:b w:val="0"/>
          <w:color w:val="auto"/>
          <w:highlight w:val="none"/>
        </w:rPr>
        <w:t xml:space="preserve">第一部分 </w:t>
      </w:r>
      <w:r>
        <w:rPr>
          <w:rFonts w:hint="eastAsia" w:ascii="黑体" w:hAnsi="黑体" w:eastAsia="黑体"/>
          <w:b w:val="0"/>
          <w:color w:val="auto"/>
          <w:highlight w:val="none"/>
          <w:lang w:eastAsia="zh-CN"/>
        </w:rPr>
        <w:t>单位</w:t>
      </w:r>
      <w:r>
        <w:rPr>
          <w:rStyle w:val="30"/>
          <w:rFonts w:hint="eastAsia" w:ascii="黑体" w:hAnsi="黑体" w:eastAsia="黑体"/>
          <w:b w:val="0"/>
          <w:bCs w:val="0"/>
          <w:color w:val="auto"/>
          <w:highlight w:val="none"/>
        </w:rPr>
        <w:t>概况</w:t>
      </w:r>
      <w:bookmarkEnd w:id="12"/>
    </w:p>
    <w:p w14:paraId="607F8657">
      <w:pPr>
        <w:keepNext w:val="0"/>
        <w:keepLines w:val="0"/>
        <w:pageBreakBefore w:val="0"/>
        <w:widowControl/>
        <w:numPr>
          <w:ilvl w:val="0"/>
          <w:numId w:val="1"/>
        </w:numPr>
        <w:kinsoku/>
        <w:wordWrap/>
        <w:overflowPunct/>
        <w:topLinePunct w:val="0"/>
        <w:autoSpaceDE/>
        <w:autoSpaceDN/>
        <w:bidi w:val="0"/>
        <w:adjustRightInd/>
        <w:snapToGrid/>
        <w:spacing w:line="536" w:lineRule="exact"/>
        <w:ind w:firstLine="640" w:firstLineChars="200"/>
        <w:textAlignment w:val="auto"/>
        <w:outlineLvl w:val="1"/>
        <w:rPr>
          <w:rStyle w:val="31"/>
          <w:rFonts w:hint="eastAsia" w:ascii="黑体" w:hAnsi="黑体" w:eastAsia="黑体"/>
          <w:b w:val="0"/>
          <w:bCs w:val="0"/>
          <w:color w:val="auto"/>
          <w:highlight w:val="none"/>
          <w:lang w:eastAsia="zh-CN"/>
        </w:rPr>
      </w:pPr>
      <w:bookmarkStart w:id="13" w:name="_Toc18504"/>
      <w:bookmarkStart w:id="14" w:name="_Toc15377197"/>
      <w:bookmarkStart w:id="15" w:name="_Toc15396600"/>
      <w:r>
        <w:rPr>
          <w:rStyle w:val="31"/>
          <w:rFonts w:hint="eastAsia" w:ascii="黑体" w:hAnsi="黑体" w:eastAsia="黑体"/>
          <w:b w:val="0"/>
          <w:bCs w:val="0"/>
          <w:color w:val="auto"/>
          <w:highlight w:val="none"/>
        </w:rPr>
        <w:t>职能</w:t>
      </w:r>
      <w:r>
        <w:rPr>
          <w:rStyle w:val="31"/>
          <w:rFonts w:hint="eastAsia" w:ascii="黑体" w:hAnsi="黑体" w:eastAsia="黑体"/>
          <w:b w:val="0"/>
          <w:bCs w:val="0"/>
          <w:color w:val="auto"/>
          <w:highlight w:val="none"/>
          <w:lang w:eastAsia="zh-CN"/>
        </w:rPr>
        <w:t>简介</w:t>
      </w:r>
      <w:bookmarkEnd w:id="13"/>
    </w:p>
    <w:p w14:paraId="2ED76D63">
      <w:pPr>
        <w:keepNext w:val="0"/>
        <w:keepLines w:val="0"/>
        <w:pageBreakBefore w:val="0"/>
        <w:widowControl/>
        <w:numPr>
          <w:ilvl w:val="0"/>
          <w:numId w:val="0"/>
        </w:numPr>
        <w:kinsoku/>
        <w:wordWrap/>
        <w:overflowPunct/>
        <w:topLinePunct w:val="0"/>
        <w:autoSpaceDE/>
        <w:autoSpaceDN/>
        <w:bidi w:val="0"/>
        <w:adjustRightInd/>
        <w:snapToGrid/>
        <w:spacing w:line="536" w:lineRule="exact"/>
        <w:ind w:firstLine="640" w:firstLineChars="200"/>
        <w:textAlignment w:val="auto"/>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1.研究、宣传马克思主义、毛泽东思想、邓小平理论、习近平新时代中国特色社会主义思想和党的路线、方针、政策。</w:t>
      </w:r>
    </w:p>
    <w:p w14:paraId="3E2BBD95">
      <w:pPr>
        <w:widowControl/>
        <w:spacing w:line="576" w:lineRule="exact"/>
        <w:ind w:firstLine="640" w:firstLineChars="200"/>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2.轮训党员领导干部；培训中青年党员领导干部、意识形态部门领导干部和理论骨干、党员知识分子。</w:t>
      </w:r>
    </w:p>
    <w:p w14:paraId="4DAC3FC0">
      <w:pPr>
        <w:widowControl/>
        <w:spacing w:line="576" w:lineRule="exact"/>
        <w:ind w:firstLine="640" w:firstLineChars="200"/>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3.培训村党支部书记、村主任等村三职干部和村级后备干部。</w:t>
      </w:r>
    </w:p>
    <w:p w14:paraId="52E55A4A">
      <w:pPr>
        <w:widowControl/>
        <w:spacing w:line="576" w:lineRule="exact"/>
        <w:ind w:firstLine="640" w:firstLineChars="200"/>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4.围绕区委、区政府中心工作和全区经济社会发展的重点、难点、热点问题举办专题研究班、培训班。</w:t>
      </w:r>
    </w:p>
    <w:p w14:paraId="45A5107E">
      <w:pPr>
        <w:widowControl/>
        <w:spacing w:line="576" w:lineRule="exact"/>
        <w:ind w:firstLine="640" w:firstLineChars="200"/>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5.围绕本区经济、社会发展中出现的新情况、新问题开展区情调研。</w:t>
      </w:r>
    </w:p>
    <w:p w14:paraId="1B045C65">
      <w:pPr>
        <w:widowControl/>
        <w:spacing w:line="576" w:lineRule="exact"/>
        <w:ind w:firstLine="640" w:firstLineChars="200"/>
        <w:rPr>
          <w:rFonts w:hint="default" w:ascii="Times New Roman" w:hAnsi="Times New Roman" w:eastAsia="仿宋_GB2312" w:cs="Times New Roman"/>
          <w:b w:val="0"/>
          <w:bCs w:val="0"/>
          <w:color w:val="auto"/>
          <w:kern w:val="0"/>
          <w:sz w:val="32"/>
          <w:szCs w:val="32"/>
        </w:rPr>
      </w:pPr>
      <w:r>
        <w:rPr>
          <w:rFonts w:hint="default" w:ascii="Times New Roman" w:hAnsi="Times New Roman" w:eastAsia="仿宋_GB2312" w:cs="Times New Roman"/>
          <w:b w:val="0"/>
          <w:bCs w:val="0"/>
          <w:color w:val="auto"/>
          <w:kern w:val="0"/>
          <w:sz w:val="32"/>
          <w:szCs w:val="32"/>
        </w:rPr>
        <w:t>6.完区委、区政府交办的其他工作任务。</w:t>
      </w:r>
    </w:p>
    <w:p w14:paraId="257452B2">
      <w:pPr>
        <w:pStyle w:val="5"/>
        <w:spacing w:before="0" w:after="0" w:line="576" w:lineRule="exact"/>
        <w:ind w:firstLine="640" w:firstLineChars="200"/>
        <w:rPr>
          <w:rStyle w:val="31"/>
          <w:rFonts w:ascii="Times New Roman" w:hAnsi="Times New Roman" w:cs="Times New Roman"/>
          <w:b w:val="0"/>
          <w:bCs w:val="0"/>
          <w:color w:val="000000" w:themeColor="text1"/>
          <w14:textFill>
            <w14:solidFill>
              <w14:schemeClr w14:val="tx1"/>
            </w14:solidFill>
          </w14:textFill>
        </w:rPr>
      </w:pPr>
      <w:bookmarkStart w:id="16" w:name="_Toc15396601"/>
      <w:bookmarkStart w:id="17" w:name="_Toc25137"/>
      <w:bookmarkStart w:id="18" w:name="_Toc146641373"/>
      <w:bookmarkStart w:id="19" w:name="_Toc15377200"/>
      <w:r>
        <w:rPr>
          <w:rFonts w:ascii="Times New Roman" w:hAnsi="Times New Roman" w:eastAsia="黑体" w:cs="Times New Roman"/>
          <w:b w:val="0"/>
          <w:color w:val="000000" w:themeColor="text1"/>
          <w14:textFill>
            <w14:solidFill>
              <w14:schemeClr w14:val="tx1"/>
            </w14:solidFill>
          </w14:textFill>
        </w:rPr>
        <w:t>二、</w:t>
      </w:r>
      <w:r>
        <w:rPr>
          <w:rFonts w:ascii="Times New Roman" w:hAnsi="黑体" w:eastAsia="黑体" w:cs="Times New Roman"/>
          <w:b w:val="0"/>
          <w:color w:val="000000" w:themeColor="text1"/>
          <w14:textFill>
            <w14:solidFill>
              <w14:schemeClr w14:val="tx1"/>
            </w14:solidFill>
          </w14:textFill>
        </w:rPr>
        <w:t>机</w:t>
      </w:r>
      <w:r>
        <w:rPr>
          <w:rStyle w:val="31"/>
          <w:rFonts w:ascii="Times New Roman" w:hAnsi="黑体" w:eastAsia="黑体" w:cs="Times New Roman"/>
          <w:b w:val="0"/>
          <w:bCs w:val="0"/>
          <w:color w:val="000000" w:themeColor="text1"/>
          <w14:textFill>
            <w14:solidFill>
              <w14:schemeClr w14:val="tx1"/>
            </w14:solidFill>
          </w14:textFill>
        </w:rPr>
        <w:t>构设置</w:t>
      </w:r>
      <w:bookmarkEnd w:id="16"/>
      <w:bookmarkEnd w:id="17"/>
      <w:bookmarkEnd w:id="18"/>
      <w:bookmarkEnd w:id="19"/>
    </w:p>
    <w:p w14:paraId="39E13F7C">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textAlignment w:val="auto"/>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区委党校是区级直属的独立预算机构，内设办公室、教务股、行政股、区干部培训与理论研究中心4个股室。无下属二级预算单位。</w:t>
      </w:r>
    </w:p>
    <w:p w14:paraId="598BB481">
      <w:pPr>
        <w:pStyle w:val="17"/>
        <w:keepNext w:val="0"/>
        <w:keepLines w:val="0"/>
        <w:pageBreakBefore w:val="0"/>
        <w:kinsoku/>
        <w:wordWrap/>
        <w:overflowPunct/>
        <w:topLinePunct w:val="0"/>
        <w:autoSpaceDE/>
        <w:autoSpaceDN/>
        <w:bidi w:val="0"/>
        <w:adjustRightInd/>
        <w:snapToGrid/>
        <w:spacing w:after="0"/>
        <w:ind w:left="0" w:leftChars="0"/>
        <w:textAlignment w:val="auto"/>
        <w:rPr>
          <w:rFonts w:hint="default"/>
        </w:rPr>
      </w:pPr>
    </w:p>
    <w:p w14:paraId="5077FF8F">
      <w:pPr>
        <w:keepNext w:val="0"/>
        <w:keepLines w:val="0"/>
        <w:pageBreakBefore w:val="0"/>
        <w:widowControl/>
        <w:kinsoku/>
        <w:wordWrap/>
        <w:overflowPunct/>
        <w:topLinePunct w:val="0"/>
        <w:autoSpaceDE/>
        <w:autoSpaceDN/>
        <w:bidi w:val="0"/>
        <w:adjustRightInd/>
        <w:snapToGrid/>
        <w:spacing w:line="576" w:lineRule="exact"/>
        <w:ind w:left="0" w:leftChars="0" w:firstLine="640" w:firstLineChars="200"/>
        <w:textAlignment w:val="auto"/>
        <w:outlineLvl w:val="1"/>
        <w:rPr>
          <w:rStyle w:val="31"/>
          <w:rFonts w:hint="eastAsia" w:ascii="黑体" w:hAnsi="黑体" w:eastAsia="黑体"/>
          <w:b w:val="0"/>
          <w:bCs w:val="0"/>
          <w:color w:val="auto"/>
          <w:highlight w:val="none"/>
          <w:lang w:val="en-US" w:eastAsia="zh-CN" w:bidi="ar-SA"/>
        </w:rPr>
      </w:pPr>
      <w:bookmarkStart w:id="20" w:name="_Toc27051"/>
      <w:r>
        <w:rPr>
          <w:rStyle w:val="31"/>
          <w:rFonts w:hint="eastAsia" w:ascii="黑体" w:hAnsi="黑体" w:eastAsia="黑体"/>
          <w:b w:val="0"/>
          <w:bCs w:val="0"/>
          <w:color w:val="auto"/>
          <w:highlight w:val="none"/>
          <w:lang w:val="en-US" w:eastAsia="zh-CN" w:bidi="ar-SA"/>
        </w:rPr>
        <w:t>三、2021年重点工作完成情况</w:t>
      </w:r>
      <w:bookmarkEnd w:id="20"/>
    </w:p>
    <w:p w14:paraId="5088F90E">
      <w:pPr>
        <w:pStyle w:val="17"/>
        <w:spacing w:line="576" w:lineRule="exact"/>
        <w:ind w:left="0" w:leftChars="0" w:firstLine="640"/>
        <w:rPr>
          <w:rFonts w:hint="eastAsia" w:ascii="Times New Roman" w:hAnsi="Times New Roman" w:eastAsia="仿宋_GB2312"/>
          <w:color w:val="000000" w:themeColor="text1"/>
          <w:sz w:val="32"/>
          <w:szCs w:val="32"/>
          <w:lang w:eastAsia="zh-CN"/>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（一）干部培训亮点纷呈。</w:t>
      </w:r>
      <w:r>
        <w:rPr>
          <w:rFonts w:ascii="Times New Roman" w:hAnsi="Times New Roman" w:eastAsia="仿宋_GB2312"/>
          <w:color w:val="000000" w:themeColor="text1"/>
          <w:sz w:val="32"/>
          <w:szCs w:val="32"/>
          <w14:textFill>
            <w14:solidFill>
              <w14:schemeClr w14:val="tx1"/>
            </w14:solidFill>
          </w14:textFill>
        </w:rPr>
        <w:t>按照教学质量评估相关要求科学设置教学班次和课程、精心选拔培训对象、精准选配授课教师，采取“线上+线下”有机结合、“理论+实践”设置课程、“领导+专家”配备师资、“走出去+请进来”开展培训、“讲授+体验”提升效果等方式，全年举办主体、专题培训班21期（其中异地培训班9期），利用“人民学习”等线上平台开展培训20课时，全年培训学员达400余人次</w:t>
      </w:r>
      <w:r>
        <w:rPr>
          <w:rFonts w:hint="eastAsia" w:eastAsia="仿宋_GB2312"/>
          <w:color w:val="000000" w:themeColor="text1"/>
          <w:sz w:val="32"/>
          <w:szCs w:val="32"/>
          <w:lang w:eastAsia="zh-CN"/>
          <w14:textFill>
            <w14:solidFill>
              <w14:schemeClr w14:val="tx1"/>
            </w14:solidFill>
          </w14:textFill>
        </w:rPr>
        <w:t>。</w:t>
      </w:r>
    </w:p>
    <w:p w14:paraId="6EEC87BF">
      <w:pPr>
        <w:pStyle w:val="17"/>
        <w:spacing w:line="576" w:lineRule="exact"/>
        <w:ind w:left="0" w:leftChars="0" w:firstLine="64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（二）科研咨政成效显著。</w:t>
      </w:r>
      <w:r>
        <w:rPr>
          <w:rFonts w:ascii="Times New Roman" w:hAnsi="Times New Roman" w:eastAsia="仿宋_GB2312"/>
          <w:color w:val="000000" w:themeColor="text1"/>
          <w:sz w:val="32"/>
          <w:szCs w:val="32"/>
          <w14:textFill>
            <w14:solidFill>
              <w14:schemeClr w14:val="tx1"/>
            </w14:solidFill>
          </w14:textFill>
        </w:rPr>
        <w:t>坚持参训学员带着问题学、老师授课针对性教学，从主体班中征集学员调研报告200余篇，评选优秀调研报告40篇，并汇编成册报送区委、区政府主要领导、相关县级领导工作参阅。同时立项并结题省级调研课题2个、市级调研课题2个。撰写资政报告10篇，其中《借智借力、推发展——川音•昭化校地合作案例的经验与思考》被区委《领导参阅》全文刊载。</w:t>
      </w:r>
    </w:p>
    <w:p w14:paraId="0884E501">
      <w:pPr>
        <w:pStyle w:val="17"/>
        <w:spacing w:line="576" w:lineRule="exact"/>
        <w:ind w:left="0" w:leftChars="0" w:firstLine="64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（三）教学竞赛成果突出。</w:t>
      </w:r>
      <w:r>
        <w:rPr>
          <w:rFonts w:ascii="Times New Roman" w:hAnsi="Times New Roman" w:eastAsia="仿宋_GB2312"/>
          <w:color w:val="000000" w:themeColor="text1"/>
          <w:sz w:val="32"/>
          <w:szCs w:val="32"/>
          <w14:textFill>
            <w14:solidFill>
              <w14:schemeClr w14:val="tx1"/>
            </w14:solidFill>
          </w14:textFill>
        </w:rPr>
        <w:t>构建“业务骨干+本土专家+外聘专家”的研究团队，合力开展课题研究，邀请中央党校、省委党校、市委党校专家和我校教师团队合力打造精品课，我校青年教师赵泽堃、李艳分获全市党校系统精品课竞教一等奖（全市第一名）和三等奖（县区第2名），荣获全市党校系统第一届教学管理优秀奖评选县区第三名。</w:t>
      </w:r>
    </w:p>
    <w:p w14:paraId="3D45E776">
      <w:pPr>
        <w:pStyle w:val="17"/>
        <w:spacing w:line="576" w:lineRule="exact"/>
        <w:ind w:left="0" w:leftChars="0" w:firstLine="64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（四）人财保障日趋给力。</w:t>
      </w:r>
      <w:r>
        <w:rPr>
          <w:rFonts w:ascii="Times New Roman" w:hAnsi="Times New Roman" w:eastAsia="仿宋_GB2312"/>
          <w:color w:val="000000" w:themeColor="text1"/>
          <w:sz w:val="32"/>
          <w:szCs w:val="32"/>
          <w14:textFill>
            <w14:solidFill>
              <w14:schemeClr w14:val="tx1"/>
            </w14:solidFill>
          </w14:textFill>
        </w:rPr>
        <w:t>区委、区政府高度重视市区党校分类建设改革任务，年初区财政预算干部教育培训费等各类经费共计370余万元；</w:t>
      </w:r>
      <w:r>
        <w:rPr>
          <w:rFonts w:ascii="Times New Roman" w:hAnsi="Times New Roman" w:eastAsia="仿宋_GB2312"/>
          <w:bCs/>
          <w:color w:val="000000" w:themeColor="text1"/>
          <w:sz w:val="32"/>
          <w:szCs w:val="32"/>
          <w14:textFill>
            <w14:solidFill>
              <w14:schemeClr w14:val="tx1"/>
            </w14:solidFill>
          </w14:textFill>
        </w:rPr>
        <w:t>按照教学质量评估要求</w:t>
      </w:r>
      <w:r>
        <w:rPr>
          <w:rFonts w:ascii="Times New Roman" w:hAnsi="Times New Roman" w:eastAsia="仿宋_GB2312"/>
          <w:color w:val="000000" w:themeColor="text1"/>
          <w:sz w:val="32"/>
          <w:szCs w:val="32"/>
          <w14:textFill>
            <w14:solidFill>
              <w14:schemeClr w14:val="tx1"/>
            </w14:solidFill>
          </w14:textFill>
        </w:rPr>
        <w:t>建强领导班子，</w:t>
      </w:r>
      <w:r>
        <w:rPr>
          <w:rFonts w:ascii="Times New Roman" w:hAnsi="Times New Roman" w:eastAsia="仿宋_GB2312"/>
          <w:bCs/>
          <w:color w:val="000000" w:themeColor="text1"/>
          <w:sz w:val="32"/>
          <w:szCs w:val="32"/>
          <w14:textFill>
            <w14:solidFill>
              <w14:schemeClr w14:val="tx1"/>
            </w14:solidFill>
          </w14:textFill>
        </w:rPr>
        <w:t>常务副校长兼任区委组织部副部长和区委候补委员。通过“英才专编”引进高层次专业人才3名，推荐1名干部任副科级领导，培养1名干部拟上调市级机关工作。</w:t>
      </w:r>
    </w:p>
    <w:p w14:paraId="2FE559CB">
      <w:pPr>
        <w:pStyle w:val="17"/>
        <w:spacing w:line="576" w:lineRule="exact"/>
        <w:ind w:left="0" w:leftChars="0" w:firstLine="64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（五）领导授课常态化落实。</w:t>
      </w:r>
      <w:r>
        <w:rPr>
          <w:rFonts w:ascii="Times New Roman" w:hAnsi="Times New Roman" w:eastAsia="仿宋_GB2312"/>
          <w:color w:val="000000" w:themeColor="text1"/>
          <w:sz w:val="32"/>
          <w:szCs w:val="32"/>
          <w14:textFill>
            <w14:solidFill>
              <w14:schemeClr w14:val="tx1"/>
            </w14:solidFill>
          </w14:textFill>
        </w:rPr>
        <w:t xml:space="preserve">区委书记切实履行第一责任人职责，严格落实县级领导干部上讲台制度，区委书记刘自强、区长王静带头授课，10名副县级领导干部、20余个部门、镇负责同志为学员作专题授课。  </w:t>
      </w:r>
    </w:p>
    <w:p w14:paraId="1DC302A1">
      <w:pPr>
        <w:pStyle w:val="17"/>
        <w:spacing w:line="576" w:lineRule="exact"/>
        <w:ind w:left="0" w:leftChars="0" w:firstLine="640"/>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（六）宣传报道形式丰富。</w:t>
      </w:r>
      <w:r>
        <w:rPr>
          <w:rFonts w:ascii="Times New Roman" w:hAnsi="Times New Roman" w:eastAsia="仿宋_GB2312"/>
          <w:color w:val="000000" w:themeColor="text1"/>
          <w:sz w:val="32"/>
          <w:szCs w:val="32"/>
          <w14:textFill>
            <w14:solidFill>
              <w14:schemeClr w14:val="tx1"/>
            </w14:solidFill>
          </w14:textFill>
        </w:rPr>
        <w:t>我校在干部培训、科研资政、教学管理、人才保障等方面取得了可喜成效，积极通过新闻通讯、经验交流、短视频、时政信息等多渠道开展宣传，《广元昭化：干部教育培训让人才脉动起来》等20余篇文稿在《学习强国》《经济日报》《封面新闻》等省级以上媒体进行宣传报道。</w:t>
      </w:r>
    </w:p>
    <w:p w14:paraId="1043C0A6">
      <w:pPr>
        <w:pStyle w:val="17"/>
        <w:keepNext w:val="0"/>
        <w:keepLines w:val="0"/>
        <w:pageBreakBefore w:val="0"/>
        <w:widowControl w:val="0"/>
        <w:kinsoku/>
        <w:wordWrap/>
        <w:overflowPunct/>
        <w:topLinePunct w:val="0"/>
        <w:autoSpaceDE/>
        <w:autoSpaceDN/>
        <w:bidi w:val="0"/>
        <w:adjustRightInd/>
        <w:snapToGrid/>
        <w:spacing w:after="0" w:line="576" w:lineRule="exact"/>
        <w:ind w:left="0" w:leftChars="0" w:firstLine="640" w:firstLineChars="200"/>
        <w:textAlignment w:val="auto"/>
        <w:rPr>
          <w:rFonts w:ascii="Times New Roman" w:hAnsi="Times New Roman" w:eastAsia="仿宋_GB2312"/>
          <w:color w:val="000000" w:themeColor="text1"/>
          <w:sz w:val="32"/>
          <w:szCs w:val="32"/>
          <w14:textFill>
            <w14:solidFill>
              <w14:schemeClr w14:val="tx1"/>
            </w14:solidFill>
          </w14:textFill>
        </w:rPr>
      </w:pPr>
      <w:r>
        <w:rPr>
          <w:rFonts w:ascii="Times New Roman" w:hAnsi="Times New Roman" w:eastAsia="楷体_GB2312"/>
          <w:color w:val="000000" w:themeColor="text1"/>
          <w:sz w:val="32"/>
          <w:szCs w:val="32"/>
          <w:shd w:val="clear" w:color="auto" w:fill="FFFFFF"/>
          <w14:textFill>
            <w14:solidFill>
              <w14:schemeClr w14:val="tx1"/>
            </w14:solidFill>
          </w14:textFill>
        </w:rPr>
        <w:t>（七）党的建设全面加强。</w:t>
      </w:r>
      <w:r>
        <w:rPr>
          <w:rFonts w:ascii="Times New Roman" w:hAnsi="Times New Roman" w:eastAsia="仿宋_GB2312"/>
          <w:color w:val="000000" w:themeColor="text1"/>
          <w:sz w:val="32"/>
          <w:szCs w:val="32"/>
          <w:shd w:val="clear" w:color="auto" w:fill="FFFFFF"/>
          <w14:textFill>
            <w14:solidFill>
              <w14:schemeClr w14:val="tx1"/>
            </w14:solidFill>
          </w14:textFill>
        </w:rPr>
        <w:t>落实全面从严治党主体责任，</w:t>
      </w:r>
      <w:r>
        <w:rPr>
          <w:rFonts w:ascii="Times New Roman" w:hAnsi="Times New Roman" w:eastAsia="仿宋_GB2312"/>
          <w:color w:val="000000" w:themeColor="text1"/>
          <w:sz w:val="32"/>
          <w:szCs w:val="32"/>
          <w14:textFill>
            <w14:solidFill>
              <w14:schemeClr w14:val="tx1"/>
            </w14:solidFill>
          </w14:textFill>
        </w:rPr>
        <w:t>党风廉政建设深入推进，党史学习教育全面开展，组织建设切实加强，机关作风切实改进，机关管理规范有序，营造了风清气正的良好政治生态环境。</w:t>
      </w:r>
      <w:bookmarkEnd w:id="14"/>
      <w:bookmarkEnd w:id="15"/>
      <w:bookmarkStart w:id="21" w:name="_Toc15377204"/>
      <w:bookmarkStart w:id="22" w:name="_Toc15396602"/>
    </w:p>
    <w:p w14:paraId="615B1BA0">
      <w:pPr>
        <w:rPr>
          <w:rFonts w:ascii="Times New Roman" w:hAnsi="Times New Roman" w:eastAsia="仿宋_GB2312"/>
          <w:color w:val="000000" w:themeColor="text1"/>
          <w:sz w:val="32"/>
          <w:szCs w:val="32"/>
          <w14:textFill>
            <w14:solidFill>
              <w14:schemeClr w14:val="tx1"/>
            </w14:solidFill>
          </w14:textFill>
        </w:rPr>
      </w:pPr>
    </w:p>
    <w:p w14:paraId="31536CC3">
      <w:pPr>
        <w:pStyle w:val="17"/>
        <w:rPr>
          <w:rFonts w:ascii="Times New Roman" w:hAnsi="Times New Roman" w:eastAsia="仿宋_GB2312"/>
          <w:color w:val="000000" w:themeColor="text1"/>
          <w:sz w:val="32"/>
          <w:szCs w:val="32"/>
          <w14:textFill>
            <w14:solidFill>
              <w14:schemeClr w14:val="tx1"/>
            </w14:solidFill>
          </w14:textFill>
        </w:rPr>
      </w:pPr>
    </w:p>
    <w:p w14:paraId="3F0FE93D">
      <w:pPr>
        <w:rPr>
          <w:rFonts w:ascii="Times New Roman" w:hAnsi="Times New Roman" w:eastAsia="仿宋_GB2312"/>
          <w:color w:val="000000" w:themeColor="text1"/>
          <w:sz w:val="32"/>
          <w:szCs w:val="32"/>
          <w14:textFill>
            <w14:solidFill>
              <w14:schemeClr w14:val="tx1"/>
            </w14:solidFill>
          </w14:textFill>
        </w:rPr>
      </w:pPr>
    </w:p>
    <w:p w14:paraId="4EB856CC">
      <w:pPr>
        <w:pStyle w:val="17"/>
        <w:rPr>
          <w:rFonts w:ascii="Times New Roman" w:hAnsi="Times New Roman" w:eastAsia="仿宋_GB2312"/>
          <w:color w:val="000000" w:themeColor="text1"/>
          <w:sz w:val="32"/>
          <w:szCs w:val="32"/>
          <w14:textFill>
            <w14:solidFill>
              <w14:schemeClr w14:val="tx1"/>
            </w14:solidFill>
          </w14:textFill>
        </w:rPr>
      </w:pPr>
    </w:p>
    <w:p w14:paraId="72027AA1">
      <w:pPr>
        <w:rPr>
          <w:rFonts w:ascii="Times New Roman" w:hAnsi="Times New Roman" w:eastAsia="仿宋_GB2312"/>
          <w:color w:val="000000" w:themeColor="text1"/>
          <w:sz w:val="32"/>
          <w:szCs w:val="32"/>
          <w14:textFill>
            <w14:solidFill>
              <w14:schemeClr w14:val="tx1"/>
            </w14:solidFill>
          </w14:textFill>
        </w:rPr>
      </w:pPr>
    </w:p>
    <w:p w14:paraId="31D5E4A2">
      <w:pPr>
        <w:pStyle w:val="17"/>
        <w:rPr>
          <w:rFonts w:ascii="Times New Roman" w:hAnsi="Times New Roman" w:eastAsia="仿宋_GB2312"/>
          <w:color w:val="000000" w:themeColor="text1"/>
          <w:sz w:val="32"/>
          <w:szCs w:val="32"/>
          <w14:textFill>
            <w14:solidFill>
              <w14:schemeClr w14:val="tx1"/>
            </w14:solidFill>
          </w14:textFill>
        </w:rPr>
      </w:pPr>
    </w:p>
    <w:p w14:paraId="03256D04">
      <w:pPr>
        <w:rPr>
          <w:rFonts w:ascii="Times New Roman" w:hAnsi="Times New Roman" w:eastAsia="仿宋_GB2312"/>
          <w:color w:val="000000" w:themeColor="text1"/>
          <w:sz w:val="32"/>
          <w:szCs w:val="32"/>
          <w14:textFill>
            <w14:solidFill>
              <w14:schemeClr w14:val="tx1"/>
            </w14:solidFill>
          </w14:textFill>
        </w:rPr>
      </w:pPr>
    </w:p>
    <w:p w14:paraId="1968724F">
      <w:pPr>
        <w:pStyle w:val="17"/>
        <w:rPr>
          <w:rFonts w:ascii="Times New Roman" w:hAnsi="Times New Roman" w:eastAsia="仿宋_GB2312"/>
          <w:color w:val="000000" w:themeColor="text1"/>
          <w:sz w:val="32"/>
          <w:szCs w:val="32"/>
          <w14:textFill>
            <w14:solidFill>
              <w14:schemeClr w14:val="tx1"/>
            </w14:solidFill>
          </w14:textFill>
        </w:rPr>
      </w:pPr>
    </w:p>
    <w:p w14:paraId="3567D08A">
      <w:pPr>
        <w:pStyle w:val="17"/>
        <w:ind w:left="0" w:leftChars="0" w:firstLine="0" w:firstLineChars="0"/>
        <w:rPr>
          <w:rFonts w:ascii="Times New Roman" w:hAnsi="Times New Roman" w:eastAsia="仿宋_GB2312"/>
          <w:color w:val="000000" w:themeColor="text1"/>
          <w:sz w:val="32"/>
          <w:szCs w:val="32"/>
          <w14:textFill>
            <w14:solidFill>
              <w14:schemeClr w14:val="tx1"/>
            </w14:solidFill>
          </w14:textFill>
        </w:rPr>
      </w:pPr>
    </w:p>
    <w:p w14:paraId="1701E716">
      <w:pPr>
        <w:rPr>
          <w:rFonts w:hint="eastAsia"/>
        </w:rPr>
      </w:pPr>
    </w:p>
    <w:p w14:paraId="05754248">
      <w:pPr>
        <w:pStyle w:val="4"/>
        <w:pageBreakBefore w:val="0"/>
        <w:widowControl w:val="0"/>
        <w:kinsoku/>
        <w:wordWrap/>
        <w:overflowPunct/>
        <w:topLinePunct w:val="0"/>
        <w:autoSpaceDE/>
        <w:autoSpaceDN/>
        <w:bidi w:val="0"/>
        <w:adjustRightInd/>
        <w:snapToGrid/>
        <w:spacing w:before="0" w:after="0" w:line="576" w:lineRule="exact"/>
        <w:ind w:right="0"/>
        <w:jc w:val="both"/>
        <w:textAlignment w:val="auto"/>
        <w:outlineLvl w:val="9"/>
        <w:rPr>
          <w:rFonts w:hint="eastAsia" w:ascii="黑体" w:hAnsi="黑体" w:eastAsia="黑体"/>
          <w:b w:val="0"/>
          <w:bCs/>
          <w:color w:val="auto"/>
          <w:highlight w:val="none"/>
        </w:rPr>
      </w:pPr>
    </w:p>
    <w:p w14:paraId="6763A8EE">
      <w:pPr>
        <w:rPr>
          <w:rFonts w:hint="eastAsia" w:ascii="黑体" w:hAnsi="黑体" w:eastAsia="黑体"/>
          <w:b w:val="0"/>
          <w:bCs/>
          <w:color w:val="auto"/>
          <w:highlight w:val="none"/>
        </w:rPr>
      </w:pPr>
    </w:p>
    <w:p w14:paraId="0EDB2D2A">
      <w:pPr>
        <w:pStyle w:val="17"/>
        <w:rPr>
          <w:rFonts w:hint="eastAsia" w:ascii="黑体" w:hAnsi="黑体" w:eastAsia="黑体"/>
          <w:b w:val="0"/>
          <w:bCs/>
          <w:color w:val="auto"/>
          <w:highlight w:val="none"/>
        </w:rPr>
      </w:pPr>
    </w:p>
    <w:p w14:paraId="7E7B4334">
      <w:pPr>
        <w:rPr>
          <w:rFonts w:hint="eastAsia" w:ascii="黑体" w:hAnsi="黑体" w:eastAsia="黑体"/>
          <w:b w:val="0"/>
          <w:bCs/>
          <w:color w:val="auto"/>
          <w:highlight w:val="none"/>
        </w:rPr>
      </w:pPr>
    </w:p>
    <w:p w14:paraId="4349A8A6">
      <w:pPr>
        <w:pStyle w:val="17"/>
        <w:rPr>
          <w:rFonts w:hint="eastAsia" w:ascii="黑体" w:hAnsi="黑体" w:eastAsia="黑体"/>
          <w:b w:val="0"/>
          <w:bCs/>
          <w:color w:val="auto"/>
          <w:highlight w:val="none"/>
        </w:rPr>
      </w:pPr>
    </w:p>
    <w:p w14:paraId="51B32F00">
      <w:pPr>
        <w:rPr>
          <w:rFonts w:hint="eastAsia" w:ascii="黑体" w:hAnsi="黑体" w:eastAsia="黑体"/>
          <w:b w:val="0"/>
          <w:bCs/>
          <w:color w:val="auto"/>
          <w:highlight w:val="none"/>
        </w:rPr>
      </w:pPr>
    </w:p>
    <w:p w14:paraId="4E7E958C">
      <w:pPr>
        <w:pStyle w:val="17"/>
        <w:ind w:left="0" w:leftChars="0" w:firstLine="0" w:firstLineChars="0"/>
        <w:rPr>
          <w:rFonts w:hint="eastAsia"/>
        </w:rPr>
      </w:pPr>
    </w:p>
    <w:p w14:paraId="78030608">
      <w:pPr>
        <w:pStyle w:val="4"/>
        <w:pageBreakBefore w:val="0"/>
        <w:widowControl w:val="0"/>
        <w:kinsoku/>
        <w:wordWrap/>
        <w:overflowPunct/>
        <w:topLinePunct w:val="0"/>
        <w:autoSpaceDE/>
        <w:autoSpaceDN/>
        <w:bidi w:val="0"/>
        <w:adjustRightInd/>
        <w:snapToGrid/>
        <w:spacing w:before="0" w:after="0" w:line="576" w:lineRule="exact"/>
        <w:ind w:right="0"/>
        <w:jc w:val="center"/>
        <w:textAlignment w:val="auto"/>
        <w:rPr>
          <w:color w:val="auto"/>
          <w:highlight w:val="none"/>
        </w:rPr>
      </w:pPr>
      <w:bookmarkStart w:id="23" w:name="_Toc29841"/>
      <w:r>
        <w:rPr>
          <w:rFonts w:hint="eastAsia" w:ascii="黑体" w:hAnsi="黑体" w:eastAsia="黑体"/>
          <w:b w:val="0"/>
          <w:bCs/>
          <w:color w:val="auto"/>
          <w:highlight w:val="none"/>
        </w:rPr>
        <w:t xml:space="preserve">第二部分 </w:t>
      </w:r>
      <w:r>
        <w:rPr>
          <w:rFonts w:hint="eastAsia" w:ascii="黑体" w:hAnsi="黑体" w:eastAsia="黑体"/>
          <w:b w:val="0"/>
          <w:bCs/>
          <w:color w:val="auto"/>
          <w:highlight w:val="none"/>
          <w:lang w:val="en-US" w:eastAsia="zh-CN"/>
        </w:rPr>
        <w:t>2021年度</w:t>
      </w:r>
      <w:r>
        <w:rPr>
          <w:rStyle w:val="30"/>
          <w:rFonts w:hint="eastAsia" w:ascii="黑体" w:hAnsi="黑体" w:eastAsia="黑体"/>
          <w:b w:val="0"/>
          <w:bCs/>
          <w:color w:val="auto"/>
          <w:highlight w:val="none"/>
          <w:lang w:eastAsia="zh-CN"/>
        </w:rPr>
        <w:t>单位</w:t>
      </w:r>
      <w:r>
        <w:rPr>
          <w:rStyle w:val="30"/>
          <w:rFonts w:hint="eastAsia" w:ascii="黑体" w:hAnsi="黑体" w:eastAsia="黑体"/>
          <w:b w:val="0"/>
          <w:bCs/>
          <w:color w:val="auto"/>
          <w:highlight w:val="none"/>
        </w:rPr>
        <w:t>决算情况说明</w:t>
      </w:r>
      <w:bookmarkEnd w:id="21"/>
      <w:bookmarkEnd w:id="22"/>
      <w:bookmarkEnd w:id="23"/>
    </w:p>
    <w:p w14:paraId="6A77F504">
      <w:pPr>
        <w:pStyle w:val="29"/>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right="0" w:rightChars="0" w:firstLine="640" w:firstLineChars="200"/>
        <w:textAlignment w:val="auto"/>
        <w:outlineLvl w:val="1"/>
        <w:rPr>
          <w:rStyle w:val="31"/>
          <w:rFonts w:ascii="黑体" w:hAnsi="黑体" w:eastAsia="黑体"/>
          <w:b w:val="0"/>
          <w:color w:val="auto"/>
          <w:highlight w:val="none"/>
        </w:rPr>
      </w:pPr>
      <w:bookmarkStart w:id="24" w:name="_Toc19725"/>
      <w:bookmarkStart w:id="25" w:name="_Toc15396603"/>
      <w:bookmarkStart w:id="26" w:name="_Toc15377205"/>
      <w:r>
        <w:rPr>
          <w:rFonts w:hint="eastAsia" w:ascii="黑体" w:hAnsi="黑体" w:eastAsia="黑体"/>
          <w:color w:val="auto"/>
          <w:sz w:val="32"/>
          <w:szCs w:val="32"/>
          <w:highlight w:val="none"/>
          <w:lang w:val="en-US" w:eastAsia="zh-CN"/>
        </w:rPr>
        <w:t>一、</w:t>
      </w:r>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入支出决算总体情况说明</w:t>
      </w:r>
      <w:bookmarkEnd w:id="24"/>
      <w:bookmarkEnd w:id="25"/>
      <w:bookmarkEnd w:id="26"/>
    </w:p>
    <w:p w14:paraId="5A48D01B">
      <w:pPr>
        <w:spacing w:line="600" w:lineRule="exact"/>
        <w:ind w:firstLine="640" w:firstLineChars="200"/>
        <w:rPr>
          <w:rFonts w:hint="eastAsia" w:eastAsia="宋体"/>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年度</w:t>
      </w:r>
      <w:r>
        <w:rPr>
          <w:rFonts w:hint="eastAsia" w:ascii="仿宋" w:hAnsi="仿宋" w:eastAsia="仿宋"/>
          <w:color w:val="000000"/>
          <w:sz w:val="32"/>
          <w:szCs w:val="32"/>
        </w:rPr>
        <w:t>收</w:t>
      </w:r>
      <w:r>
        <w:rPr>
          <w:rFonts w:hint="eastAsia" w:ascii="仿宋" w:hAnsi="仿宋" w:eastAsia="仿宋"/>
          <w:color w:val="000000"/>
          <w:sz w:val="32"/>
          <w:szCs w:val="32"/>
          <w:lang w:val="en-US" w:eastAsia="zh-CN"/>
        </w:rPr>
        <w:t>入总计581.14万元</w:t>
      </w:r>
      <w:r>
        <w:rPr>
          <w:rFonts w:hint="eastAsia" w:ascii="仿宋" w:hAnsi="仿宋" w:eastAsia="仿宋"/>
          <w:color w:val="000000"/>
          <w:sz w:val="32"/>
          <w:szCs w:val="32"/>
        </w:rPr>
        <w:t>、支</w:t>
      </w:r>
      <w:r>
        <w:rPr>
          <w:rFonts w:hint="eastAsia" w:ascii="仿宋" w:hAnsi="仿宋" w:eastAsia="仿宋"/>
          <w:color w:val="000000"/>
          <w:sz w:val="32"/>
          <w:szCs w:val="32"/>
          <w:lang w:val="en-US" w:eastAsia="zh-CN"/>
        </w:rPr>
        <w:t>出</w:t>
      </w:r>
      <w:r>
        <w:rPr>
          <w:rFonts w:hint="eastAsia" w:ascii="仿宋" w:hAnsi="仿宋" w:eastAsia="仿宋"/>
          <w:color w:val="000000"/>
          <w:sz w:val="32"/>
          <w:szCs w:val="32"/>
        </w:rPr>
        <w:t>总计</w:t>
      </w:r>
      <w:r>
        <w:rPr>
          <w:rFonts w:hint="eastAsia" w:ascii="仿宋" w:hAnsi="仿宋" w:eastAsia="仿宋"/>
          <w:color w:val="000000"/>
          <w:sz w:val="32"/>
          <w:szCs w:val="32"/>
          <w:lang w:val="en-US" w:eastAsia="zh-CN"/>
        </w:rPr>
        <w:t>581.14</w:t>
      </w:r>
      <w:r>
        <w:rPr>
          <w:rFonts w:hint="eastAsia" w:ascii="仿宋" w:hAnsi="仿宋" w:eastAsia="仿宋"/>
          <w:color w:val="000000"/>
          <w:sz w:val="32"/>
          <w:szCs w:val="32"/>
        </w:rPr>
        <w:t>万元。</w:t>
      </w:r>
      <w:r>
        <w:rPr>
          <w:rFonts w:hint="default" w:ascii="Times New Roman" w:hAnsi="Times New Roman" w:eastAsia="仿宋_GB2312" w:cs="Times New Roman"/>
          <w:b w:val="0"/>
          <w:bCs w:val="0"/>
          <w:color w:val="auto"/>
          <w:sz w:val="32"/>
          <w:szCs w:val="32"/>
        </w:rPr>
        <w:t>收入增加</w:t>
      </w:r>
      <w:r>
        <w:rPr>
          <w:rFonts w:hint="eastAsia" w:eastAsia="仿宋_GB2312" w:cs="Times New Roman"/>
          <w:b w:val="0"/>
          <w:bCs w:val="0"/>
          <w:color w:val="auto"/>
          <w:sz w:val="32"/>
          <w:szCs w:val="32"/>
          <w:lang w:val="en-US" w:eastAsia="zh-CN"/>
        </w:rPr>
        <w:t>123.88</w:t>
      </w:r>
      <w:r>
        <w:rPr>
          <w:rFonts w:hint="default" w:ascii="Times New Roman" w:hAnsi="Times New Roman" w:eastAsia="仿宋_GB2312" w:cs="Times New Roman"/>
          <w:b w:val="0"/>
          <w:bCs w:val="0"/>
          <w:color w:val="auto"/>
          <w:sz w:val="32"/>
          <w:szCs w:val="32"/>
        </w:rPr>
        <w:t>万元、支出增加</w:t>
      </w:r>
      <w:r>
        <w:rPr>
          <w:rFonts w:hint="eastAsia" w:ascii="Times New Roman" w:hAnsi="Times New Roman" w:eastAsia="仿宋_GB2312" w:cs="Times New Roman"/>
          <w:b w:val="0"/>
          <w:bCs w:val="0"/>
          <w:color w:val="auto"/>
          <w:sz w:val="32"/>
          <w:szCs w:val="32"/>
          <w:lang w:val="en-US" w:eastAsia="zh-CN"/>
        </w:rPr>
        <w:t>139.72</w:t>
      </w:r>
      <w:r>
        <w:rPr>
          <w:rFonts w:hint="default" w:ascii="Times New Roman" w:hAnsi="Times New Roman" w:eastAsia="仿宋_GB2312" w:cs="Times New Roman"/>
          <w:b w:val="0"/>
          <w:bCs w:val="0"/>
          <w:color w:val="auto"/>
          <w:sz w:val="32"/>
          <w:szCs w:val="32"/>
        </w:rPr>
        <w:t>万元，收入增长</w:t>
      </w:r>
      <w:r>
        <w:rPr>
          <w:rFonts w:hint="eastAsia" w:eastAsia="仿宋_GB2312" w:cs="Times New Roman"/>
          <w:b w:val="0"/>
          <w:bCs w:val="0"/>
          <w:color w:val="auto"/>
          <w:sz w:val="32"/>
          <w:szCs w:val="32"/>
          <w:lang w:val="en-US" w:eastAsia="zh-CN"/>
        </w:rPr>
        <w:t>27.09</w:t>
      </w:r>
      <w:r>
        <w:rPr>
          <w:rFonts w:hint="default" w:ascii="Times New Roman" w:hAnsi="Times New Roman" w:eastAsia="仿宋_GB2312" w:cs="Times New Roman"/>
          <w:b w:val="0"/>
          <w:bCs w:val="0"/>
          <w:color w:val="auto"/>
          <w:sz w:val="32"/>
          <w:szCs w:val="32"/>
        </w:rPr>
        <w:t>%、支出增长</w:t>
      </w:r>
      <w:r>
        <w:rPr>
          <w:rFonts w:hint="eastAsia" w:eastAsia="仿宋_GB2312" w:cs="Times New Roman"/>
          <w:b w:val="0"/>
          <w:bCs w:val="0"/>
          <w:color w:val="auto"/>
          <w:sz w:val="32"/>
          <w:szCs w:val="32"/>
          <w:lang w:val="en-US" w:eastAsia="zh-CN"/>
        </w:rPr>
        <w:t>31.65</w:t>
      </w:r>
      <w:r>
        <w:rPr>
          <w:rFonts w:hint="default" w:ascii="Times New Roman" w:hAnsi="Times New Roman" w:eastAsia="仿宋_GB2312" w:cs="Times New Roman"/>
          <w:b w:val="0"/>
          <w:bCs w:val="0"/>
          <w:color w:val="auto"/>
          <w:sz w:val="32"/>
          <w:szCs w:val="32"/>
        </w:rPr>
        <w:t>%</w:t>
      </w:r>
      <w:r>
        <w:rPr>
          <w:rFonts w:hint="eastAsia" w:ascii="仿宋" w:hAnsi="仿宋" w:eastAsia="仿宋"/>
          <w:color w:val="auto"/>
          <w:sz w:val="32"/>
          <w:szCs w:val="32"/>
          <w:highlight w:val="none"/>
        </w:rPr>
        <w:t>。主要变动原因是</w:t>
      </w:r>
      <w:r>
        <w:rPr>
          <w:rFonts w:hint="default" w:ascii="Times New Roman" w:hAnsi="Times New Roman" w:eastAsia="仿宋_GB2312" w:cs="Times New Roman"/>
          <w:b w:val="0"/>
          <w:bCs w:val="0"/>
          <w:color w:val="auto"/>
          <w:sz w:val="32"/>
          <w:szCs w:val="32"/>
        </w:rPr>
        <w:t>增加了</w:t>
      </w:r>
      <w:r>
        <w:rPr>
          <w:rFonts w:hint="eastAsia" w:eastAsia="仿宋_GB2312" w:cs="Times New Roman"/>
          <w:b w:val="0"/>
          <w:bCs w:val="0"/>
          <w:color w:val="auto"/>
          <w:sz w:val="32"/>
          <w:szCs w:val="32"/>
          <w:lang w:val="en-US" w:eastAsia="zh-CN"/>
        </w:rPr>
        <w:t>100</w:t>
      </w:r>
      <w:r>
        <w:rPr>
          <w:rFonts w:hint="default" w:ascii="Times New Roman" w:hAnsi="Times New Roman" w:eastAsia="仿宋_GB2312" w:cs="Times New Roman"/>
          <w:b w:val="0"/>
          <w:bCs w:val="0"/>
          <w:color w:val="auto"/>
          <w:sz w:val="32"/>
          <w:szCs w:val="32"/>
        </w:rPr>
        <w:t>万东西部</w:t>
      </w:r>
      <w:r>
        <w:rPr>
          <w:rFonts w:hint="eastAsia" w:ascii="Times New Roman" w:hAnsi="Times New Roman" w:eastAsia="仿宋_GB2312" w:cs="Times New Roman"/>
          <w:b w:val="0"/>
          <w:bCs w:val="0"/>
          <w:color w:val="auto"/>
          <w:sz w:val="32"/>
          <w:szCs w:val="32"/>
          <w:lang w:val="en-US" w:eastAsia="zh-CN"/>
        </w:rPr>
        <w:t>协作</w:t>
      </w:r>
      <w:r>
        <w:rPr>
          <w:rFonts w:hint="default" w:ascii="Times New Roman" w:hAnsi="Times New Roman" w:eastAsia="仿宋_GB2312" w:cs="Times New Roman"/>
          <w:b w:val="0"/>
          <w:bCs w:val="0"/>
          <w:color w:val="auto"/>
          <w:sz w:val="32"/>
          <w:szCs w:val="32"/>
        </w:rPr>
        <w:t>资金用于干部培训。</w:t>
      </w:r>
    </w:p>
    <w:p w14:paraId="02BE42C9">
      <w:pPr>
        <w:pStyle w:val="17"/>
      </w:pPr>
      <w:r>
        <w:rPr>
          <w:rFonts w:hint="eastAsia" w:eastAsia="宋体"/>
          <w:lang w:eastAsia="zh-CN"/>
        </w:rPr>
        <w:object>
          <v:shape id="_x0000_i1025" o:spt="75" type="#_x0000_t75" style="height:166.2pt;width:212.05pt;" o:ole="t" filled="f" o:preferrelative="t" stroked="f" coordsize="21600,21600">
            <v:path/>
            <v:fill on="f" focussize="0,0"/>
            <v:stroke on="f"/>
            <v:imagedata r:id="rId14" o:title=""/>
            <o:lock v:ext="edit" aspectratio="t"/>
            <w10:wrap type="none"/>
            <w10:anchorlock/>
          </v:shape>
          <o:OLEObject Type="Embed" ProgID="Excel.Chart.8" ShapeID="_x0000_i1025" DrawAspect="Content" ObjectID="_1468075725" r:id="rId13">
            <o:LockedField>false</o:LockedField>
          </o:OLEObject>
        </w:object>
      </w:r>
    </w:p>
    <w:p w14:paraId="59DABF4B">
      <w:pPr>
        <w:pStyle w:val="29"/>
        <w:numPr>
          <w:ilvl w:val="0"/>
          <w:numId w:val="1"/>
        </w:numPr>
        <w:tabs>
          <w:tab w:val="left" w:pos="378"/>
        </w:tabs>
        <w:spacing w:line="600" w:lineRule="exact"/>
        <w:ind w:left="0" w:leftChars="0" w:firstLine="640" w:firstLineChars="200"/>
        <w:outlineLvl w:val="1"/>
        <w:rPr>
          <w:rStyle w:val="31"/>
          <w:rFonts w:hint="eastAsia" w:ascii="黑体" w:hAnsi="黑体" w:eastAsia="黑体"/>
          <w:b w:val="0"/>
          <w:color w:val="auto"/>
          <w:highlight w:val="none"/>
          <w:lang w:eastAsia="zh-CN"/>
        </w:rPr>
      </w:pPr>
      <w:bookmarkStart w:id="27" w:name="_Toc123"/>
      <w:bookmarkStart w:id="28" w:name="_Toc15396604"/>
      <w:bookmarkStart w:id="29" w:name="_Toc15377206"/>
      <w:r>
        <w:rPr>
          <w:rFonts w:hint="eastAsia" w:ascii="黑体" w:hAnsi="黑体" w:eastAsia="黑体"/>
          <w:color w:val="auto"/>
          <w:sz w:val="32"/>
          <w:szCs w:val="32"/>
          <w:highlight w:val="none"/>
        </w:rPr>
        <w:t>收</w:t>
      </w:r>
      <w:r>
        <w:rPr>
          <w:rStyle w:val="31"/>
          <w:rFonts w:hint="eastAsia" w:ascii="黑体" w:hAnsi="黑体" w:eastAsia="黑体"/>
          <w:b w:val="0"/>
          <w:color w:val="auto"/>
          <w:highlight w:val="none"/>
        </w:rPr>
        <w:t>入决算情况说明</w:t>
      </w:r>
      <w:bookmarkEnd w:id="27"/>
      <w:bookmarkEnd w:id="28"/>
      <w:bookmarkEnd w:id="29"/>
    </w:p>
    <w:p w14:paraId="4DD4347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年本年收入合计</w:t>
      </w:r>
      <w:r>
        <w:rPr>
          <w:rFonts w:hint="eastAsia" w:ascii="仿宋" w:hAnsi="仿宋" w:eastAsia="仿宋"/>
          <w:color w:val="000000" w:themeColor="text1"/>
          <w:sz w:val="32"/>
          <w:szCs w:val="32"/>
          <w:highlight w:val="none"/>
          <w:lang w:val="en-US" w:eastAsia="zh-CN"/>
          <w14:textFill>
            <w14:solidFill>
              <w14:schemeClr w14:val="tx1"/>
            </w14:solidFill>
          </w14:textFill>
        </w:rPr>
        <w:t>553.78</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000000" w:themeColor="text1"/>
          <w:sz w:val="32"/>
          <w:szCs w:val="32"/>
          <w:highlight w:val="none"/>
          <w:lang w:val="en-US" w:eastAsia="zh-CN"/>
          <w14:textFill>
            <w14:solidFill>
              <w14:schemeClr w14:val="tx1"/>
            </w14:solidFill>
          </w14:textFill>
        </w:rPr>
        <w:t>553.78</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6F792ED1">
      <w:pPr>
        <w:spacing w:line="600" w:lineRule="exact"/>
        <w:ind w:firstLine="640" w:firstLineChars="200"/>
        <w:rPr>
          <w:rFonts w:ascii="仿宋_GB2312" w:eastAsia="仿宋_GB2312"/>
          <w:color w:val="auto"/>
          <w:sz w:val="32"/>
          <w:szCs w:val="32"/>
          <w:highlight w:val="none"/>
        </w:rPr>
      </w:pPr>
    </w:p>
    <w:p w14:paraId="505848E1">
      <w:pPr>
        <w:pStyle w:val="17"/>
        <w:jc w:val="center"/>
        <w:rPr>
          <w:rFonts w:ascii="仿宋_GB2312" w:eastAsia="仿宋_GB2312"/>
          <w:color w:val="auto"/>
          <w:sz w:val="32"/>
          <w:szCs w:val="32"/>
          <w:highlight w:val="none"/>
        </w:rPr>
      </w:pPr>
      <w:r>
        <w:rPr>
          <w:rFonts w:hint="eastAsia" w:eastAsia="宋体"/>
          <w:lang w:eastAsia="zh-CN"/>
        </w:rPr>
        <w:object>
          <v:shape id="_x0000_i1026" o:spt="75" type="#_x0000_t75" style="height:107.15pt;width:144.6pt;" o:ole="t" filled="f" o:preferrelative="t" stroked="f" coordsize="21600,21600">
            <v:path/>
            <v:fill on="f" focussize="0,0"/>
            <v:stroke on="f"/>
            <v:imagedata r:id="rId16" o:title=""/>
            <o:lock v:ext="edit" aspectratio="t"/>
            <w10:wrap type="none"/>
            <w10:anchorlock/>
          </v:shape>
          <o:OLEObject Type="Embed" ProgID="Excel.Chart.8" ShapeID="_x0000_i1026" DrawAspect="Content" ObjectID="_1468075726" r:id="rId15">
            <o:LockedField>false</o:LockedField>
          </o:OLEObject>
        </w:object>
      </w:r>
    </w:p>
    <w:p w14:paraId="5AD695A2"/>
    <w:p w14:paraId="0EE31D98">
      <w:pPr>
        <w:pStyle w:val="29"/>
        <w:numPr>
          <w:ilvl w:val="0"/>
          <w:numId w:val="0"/>
        </w:numPr>
        <w:spacing w:line="600" w:lineRule="exact"/>
        <w:ind w:left="640" w:leftChars="0"/>
        <w:outlineLvl w:val="1"/>
        <w:rPr>
          <w:rStyle w:val="31"/>
          <w:rFonts w:ascii="黑体" w:hAnsi="黑体" w:eastAsia="黑体"/>
          <w:b w:val="0"/>
          <w:color w:val="auto"/>
          <w:highlight w:val="none"/>
        </w:rPr>
      </w:pPr>
      <w:bookmarkStart w:id="30" w:name="_Toc15377207"/>
      <w:bookmarkStart w:id="31" w:name="_Toc15396605"/>
      <w:bookmarkStart w:id="32" w:name="_Toc30268"/>
      <w:r>
        <w:rPr>
          <w:rFonts w:hint="eastAsia" w:ascii="黑体" w:hAnsi="黑体" w:eastAsia="黑体"/>
          <w:color w:val="auto"/>
          <w:sz w:val="32"/>
          <w:szCs w:val="32"/>
          <w:highlight w:val="none"/>
          <w:lang w:val="en-US" w:eastAsia="zh-CN"/>
        </w:rPr>
        <w:t>三、</w:t>
      </w:r>
      <w:r>
        <w:rPr>
          <w:rFonts w:hint="eastAsia" w:ascii="黑体" w:hAnsi="黑体" w:eastAsia="黑体"/>
          <w:color w:val="auto"/>
          <w:sz w:val="32"/>
          <w:szCs w:val="32"/>
          <w:highlight w:val="none"/>
        </w:rPr>
        <w:t>支</w:t>
      </w:r>
      <w:r>
        <w:rPr>
          <w:rStyle w:val="31"/>
          <w:rFonts w:hint="eastAsia" w:ascii="黑体" w:hAnsi="黑体" w:eastAsia="黑体"/>
          <w:b w:val="0"/>
          <w:color w:val="auto"/>
          <w:highlight w:val="none"/>
        </w:rPr>
        <w:t>出决算情况说明</w:t>
      </w:r>
      <w:bookmarkEnd w:id="30"/>
      <w:bookmarkEnd w:id="31"/>
      <w:bookmarkEnd w:id="32"/>
    </w:p>
    <w:p w14:paraId="1BF520D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 w:hAnsi="仿宋" w:eastAsia="仿宋"/>
          <w:color w:val="auto"/>
          <w:sz w:val="32"/>
          <w:szCs w:val="32"/>
          <w:highlight w:val="none"/>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581.14</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281.14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48.38</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300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51.62</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2C3535B3">
      <w:pPr>
        <w:jc w:val="center"/>
        <w:rPr>
          <w:rFonts w:hint="eastAsia" w:ascii="仿宋" w:hAnsi="仿宋" w:eastAsia="仿宋"/>
          <w:color w:val="auto"/>
          <w:sz w:val="32"/>
          <w:szCs w:val="32"/>
          <w:highlight w:val="none"/>
        </w:rPr>
      </w:pPr>
      <w:r>
        <w:rPr>
          <w:rFonts w:hint="eastAsia" w:ascii="仿宋_GB2312" w:eastAsia="仿宋_GB2312"/>
          <w:color w:val="FF0000"/>
          <w:sz w:val="32"/>
          <w:szCs w:val="32"/>
          <w:lang w:eastAsia="zh-CN"/>
        </w:rPr>
        <w:object>
          <v:shape id="_x0000_i1027" o:spt="75" type="#_x0000_t75" style="height:105.1pt;width:154.1pt;" o:ole="t" filled="f" o:preferrelative="t" stroked="f" coordsize="21600,21600">
            <v:path/>
            <v:fill on="f" focussize="0,0"/>
            <v:stroke on="f"/>
            <v:imagedata r:id="rId18" o:title=""/>
            <o:lock v:ext="edit" aspectratio="t"/>
            <w10:wrap type="none"/>
            <w10:anchorlock/>
          </v:shape>
          <o:OLEObject Type="Embed" ProgID="Excel.Chart.8" ShapeID="_x0000_i1027" DrawAspect="Content" ObjectID="_1468075727" r:id="rId17">
            <o:LockedField>false</o:LockedField>
          </o:OLEObject>
        </w:object>
      </w:r>
    </w:p>
    <w:p w14:paraId="6300E30D">
      <w:pPr>
        <w:spacing w:line="600" w:lineRule="exact"/>
        <w:rPr>
          <w:rFonts w:ascii="仿宋_GB2312" w:eastAsia="仿宋_GB2312"/>
          <w:color w:val="auto"/>
          <w:sz w:val="32"/>
          <w:szCs w:val="32"/>
          <w:highlight w:val="none"/>
        </w:rPr>
      </w:pPr>
    </w:p>
    <w:p w14:paraId="6B8AA1A8">
      <w:pPr>
        <w:spacing w:line="600" w:lineRule="exact"/>
        <w:ind w:firstLine="640" w:firstLineChars="200"/>
        <w:outlineLvl w:val="1"/>
        <w:rPr>
          <w:rStyle w:val="31"/>
          <w:rFonts w:ascii="黑体" w:hAnsi="黑体" w:eastAsia="黑体"/>
          <w:b w:val="0"/>
          <w:color w:val="auto"/>
          <w:highlight w:val="none"/>
        </w:rPr>
      </w:pPr>
      <w:bookmarkStart w:id="33" w:name="_Toc20682"/>
      <w:bookmarkStart w:id="34" w:name="_Toc15396606"/>
      <w:bookmarkStart w:id="35" w:name="_Toc15377208"/>
      <w:r>
        <w:rPr>
          <w:rFonts w:hint="eastAsia" w:ascii="黑体" w:hAnsi="黑体" w:eastAsia="黑体"/>
          <w:color w:val="auto"/>
          <w:sz w:val="32"/>
          <w:szCs w:val="32"/>
          <w:highlight w:val="none"/>
        </w:rPr>
        <w:t>四、财</w:t>
      </w:r>
      <w:r>
        <w:rPr>
          <w:rStyle w:val="31"/>
          <w:rFonts w:hint="eastAsia" w:ascii="黑体" w:hAnsi="黑体" w:eastAsia="黑体"/>
          <w:b w:val="0"/>
          <w:color w:val="auto"/>
          <w:highlight w:val="none"/>
        </w:rPr>
        <w:t>政拨款收入支出决算总体情况说明</w:t>
      </w:r>
      <w:bookmarkEnd w:id="33"/>
      <w:bookmarkEnd w:id="34"/>
      <w:bookmarkEnd w:id="35"/>
    </w:p>
    <w:p w14:paraId="6B3C2755">
      <w:pPr>
        <w:spacing w:line="600" w:lineRule="exact"/>
        <w:ind w:firstLine="640" w:firstLineChars="20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年财政拨款收</w:t>
      </w:r>
      <w:r>
        <w:rPr>
          <w:rFonts w:hint="eastAsia" w:ascii="仿宋" w:hAnsi="仿宋" w:eastAsia="仿宋"/>
          <w:color w:val="auto"/>
          <w:sz w:val="32"/>
          <w:szCs w:val="32"/>
          <w:highlight w:val="none"/>
          <w:lang w:val="en-US" w:eastAsia="zh-CN"/>
        </w:rPr>
        <w:t>入拨款总计581.14万元</w:t>
      </w:r>
      <w:r>
        <w:rPr>
          <w:rFonts w:hint="eastAsia" w:ascii="仿宋" w:hAnsi="仿宋" w:eastAsia="仿宋"/>
          <w:color w:val="auto"/>
          <w:sz w:val="32"/>
          <w:szCs w:val="32"/>
          <w:highlight w:val="none"/>
        </w:rPr>
        <w:t>、财政拨款支</w:t>
      </w:r>
      <w:r>
        <w:rPr>
          <w:rFonts w:hint="eastAsia" w:ascii="仿宋" w:hAnsi="仿宋" w:eastAsia="仿宋"/>
          <w:color w:val="auto"/>
          <w:sz w:val="32"/>
          <w:szCs w:val="32"/>
          <w:highlight w:val="none"/>
          <w:lang w:val="en-US" w:eastAsia="zh-CN"/>
        </w:rPr>
        <w:t>出</w:t>
      </w:r>
      <w:r>
        <w:rPr>
          <w:rFonts w:hint="eastAsia" w:ascii="仿宋" w:hAnsi="仿宋" w:eastAsia="仿宋"/>
          <w:color w:val="auto"/>
          <w:sz w:val="32"/>
          <w:szCs w:val="32"/>
          <w:highlight w:val="none"/>
        </w:rPr>
        <w:t>总计</w:t>
      </w:r>
      <w:r>
        <w:rPr>
          <w:rFonts w:hint="eastAsia" w:ascii="仿宋" w:hAnsi="仿宋" w:eastAsia="仿宋"/>
          <w:color w:val="auto"/>
          <w:sz w:val="32"/>
          <w:szCs w:val="32"/>
          <w:highlight w:val="none"/>
          <w:lang w:val="en-US" w:eastAsia="zh-CN"/>
        </w:rPr>
        <w:t>581.14</w:t>
      </w:r>
      <w:r>
        <w:rPr>
          <w:rFonts w:hint="eastAsia" w:ascii="仿宋" w:hAnsi="仿宋" w:eastAsia="仿宋"/>
          <w:color w:val="auto"/>
          <w:sz w:val="32"/>
          <w:szCs w:val="32"/>
          <w:highlight w:val="none"/>
        </w:rPr>
        <w:t>万元。与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年相比，财政拨款收</w:t>
      </w:r>
      <w:r>
        <w:rPr>
          <w:rFonts w:hint="eastAsia" w:ascii="仿宋" w:hAnsi="仿宋" w:eastAsia="仿宋"/>
          <w:color w:val="auto"/>
          <w:sz w:val="32"/>
          <w:szCs w:val="32"/>
          <w:highlight w:val="none"/>
          <w:lang w:val="en-US" w:eastAsia="zh-CN"/>
        </w:rPr>
        <w:t>入增加123.88万元</w:t>
      </w:r>
      <w:r>
        <w:rPr>
          <w:rFonts w:hint="eastAsia" w:ascii="仿宋" w:hAnsi="仿宋" w:eastAsia="仿宋"/>
          <w:color w:val="auto"/>
          <w:sz w:val="32"/>
          <w:szCs w:val="32"/>
          <w:highlight w:val="none"/>
        </w:rPr>
        <w:t>、财政拨款支总计增加</w:t>
      </w:r>
      <w:r>
        <w:rPr>
          <w:rFonts w:hint="eastAsia" w:ascii="Times New Roman" w:hAnsi="Times New Roman" w:eastAsia="仿宋_GB2312" w:cs="Times New Roman"/>
          <w:b w:val="0"/>
          <w:bCs w:val="0"/>
          <w:color w:val="auto"/>
          <w:sz w:val="32"/>
          <w:szCs w:val="32"/>
          <w:lang w:val="en-US" w:eastAsia="zh-CN"/>
        </w:rPr>
        <w:t>139.72</w:t>
      </w:r>
      <w:r>
        <w:rPr>
          <w:rFonts w:hint="eastAsia" w:ascii="仿宋" w:hAnsi="仿宋" w:eastAsia="仿宋"/>
          <w:color w:val="auto"/>
          <w:sz w:val="32"/>
          <w:szCs w:val="32"/>
          <w:highlight w:val="none"/>
        </w:rPr>
        <w:t>万元，</w:t>
      </w:r>
      <w:r>
        <w:rPr>
          <w:rFonts w:hint="default" w:ascii="Times New Roman" w:hAnsi="Times New Roman" w:eastAsia="仿宋_GB2312" w:cs="Times New Roman"/>
          <w:b w:val="0"/>
          <w:bCs w:val="0"/>
          <w:color w:val="auto"/>
          <w:sz w:val="32"/>
          <w:szCs w:val="32"/>
        </w:rPr>
        <w:t>收入增长</w:t>
      </w:r>
      <w:r>
        <w:rPr>
          <w:rFonts w:hint="eastAsia" w:eastAsia="仿宋_GB2312" w:cs="Times New Roman"/>
          <w:b w:val="0"/>
          <w:bCs w:val="0"/>
          <w:color w:val="auto"/>
          <w:sz w:val="32"/>
          <w:szCs w:val="32"/>
          <w:lang w:val="en-US" w:eastAsia="zh-CN"/>
        </w:rPr>
        <w:t>27.09</w:t>
      </w:r>
      <w:r>
        <w:rPr>
          <w:rFonts w:hint="default" w:ascii="Times New Roman" w:hAnsi="Times New Roman" w:eastAsia="仿宋_GB2312" w:cs="Times New Roman"/>
          <w:b w:val="0"/>
          <w:bCs w:val="0"/>
          <w:color w:val="auto"/>
          <w:sz w:val="32"/>
          <w:szCs w:val="32"/>
        </w:rPr>
        <w:t>%、支出增长</w:t>
      </w:r>
      <w:r>
        <w:rPr>
          <w:rFonts w:hint="eastAsia" w:eastAsia="仿宋_GB2312" w:cs="Times New Roman"/>
          <w:b w:val="0"/>
          <w:bCs w:val="0"/>
          <w:color w:val="auto"/>
          <w:sz w:val="32"/>
          <w:szCs w:val="32"/>
          <w:lang w:val="en-US" w:eastAsia="zh-CN"/>
        </w:rPr>
        <w:t>31.65</w:t>
      </w:r>
      <w:r>
        <w:rPr>
          <w:rFonts w:hint="default" w:ascii="Times New Roman" w:hAnsi="Times New Roman" w:eastAsia="仿宋_GB2312" w:cs="Times New Roman"/>
          <w:b w:val="0"/>
          <w:bCs w:val="0"/>
          <w:color w:val="auto"/>
          <w:sz w:val="32"/>
          <w:szCs w:val="32"/>
        </w:rPr>
        <w:t>%</w:t>
      </w:r>
      <w:r>
        <w:rPr>
          <w:rFonts w:hint="eastAsia" w:ascii="仿宋" w:hAnsi="仿宋" w:eastAsia="仿宋"/>
          <w:color w:val="auto"/>
          <w:sz w:val="32"/>
          <w:szCs w:val="32"/>
          <w:highlight w:val="none"/>
        </w:rPr>
        <w:t>。主要变动原因是</w:t>
      </w:r>
      <w:r>
        <w:rPr>
          <w:rFonts w:hint="default" w:ascii="Times New Roman" w:hAnsi="Times New Roman" w:eastAsia="仿宋_GB2312" w:cs="Times New Roman"/>
          <w:b w:val="0"/>
          <w:bCs w:val="0"/>
          <w:color w:val="auto"/>
          <w:sz w:val="32"/>
          <w:szCs w:val="32"/>
        </w:rPr>
        <w:t>增加了</w:t>
      </w:r>
      <w:r>
        <w:rPr>
          <w:rFonts w:hint="eastAsia" w:eastAsia="仿宋_GB2312" w:cs="Times New Roman"/>
          <w:b w:val="0"/>
          <w:bCs w:val="0"/>
          <w:color w:val="auto"/>
          <w:sz w:val="32"/>
          <w:szCs w:val="32"/>
          <w:lang w:val="en-US" w:eastAsia="zh-CN"/>
        </w:rPr>
        <w:t>100</w:t>
      </w:r>
      <w:r>
        <w:rPr>
          <w:rFonts w:hint="default" w:ascii="Times New Roman" w:hAnsi="Times New Roman" w:eastAsia="仿宋_GB2312" w:cs="Times New Roman"/>
          <w:b w:val="0"/>
          <w:bCs w:val="0"/>
          <w:color w:val="auto"/>
          <w:sz w:val="32"/>
          <w:szCs w:val="32"/>
        </w:rPr>
        <w:t>万东西部</w:t>
      </w:r>
      <w:r>
        <w:rPr>
          <w:rFonts w:hint="eastAsia" w:ascii="Times New Roman" w:hAnsi="Times New Roman" w:eastAsia="仿宋_GB2312" w:cs="Times New Roman"/>
          <w:b w:val="0"/>
          <w:bCs w:val="0"/>
          <w:color w:val="auto"/>
          <w:sz w:val="32"/>
          <w:szCs w:val="32"/>
          <w:lang w:val="en-US" w:eastAsia="zh-CN"/>
        </w:rPr>
        <w:t>协作</w:t>
      </w:r>
      <w:r>
        <w:rPr>
          <w:rFonts w:hint="default" w:ascii="Times New Roman" w:hAnsi="Times New Roman" w:eastAsia="仿宋_GB2312" w:cs="Times New Roman"/>
          <w:b w:val="0"/>
          <w:bCs w:val="0"/>
          <w:color w:val="auto"/>
          <w:sz w:val="32"/>
          <w:szCs w:val="32"/>
        </w:rPr>
        <w:t>资金用于干部培训。</w:t>
      </w:r>
    </w:p>
    <w:p w14:paraId="135F3877">
      <w:pPr>
        <w:pStyle w:val="17"/>
        <w:rPr>
          <w:rFonts w:ascii="仿宋" w:hAnsi="仿宋" w:eastAsia="仿宋"/>
          <w:b/>
          <w:color w:val="auto"/>
          <w:sz w:val="32"/>
          <w:szCs w:val="32"/>
          <w:highlight w:val="none"/>
        </w:rPr>
      </w:pPr>
      <w:r>
        <w:rPr>
          <w:rFonts w:hint="eastAsia" w:eastAsia="仿宋"/>
          <w:lang w:eastAsia="zh-CN"/>
        </w:rPr>
        <w:object>
          <v:shape id="_x0000_i1028" o:spt="75" type="#_x0000_t75" style="height:130.75pt;width:188.05pt;" o:ole="t" filled="f" o:preferrelative="t" stroked="f" coordsize="21600,21600">
            <v:path/>
            <v:fill on="f" focussize="0,0"/>
            <v:stroke on="f"/>
            <v:imagedata r:id="rId20" o:title=""/>
            <o:lock v:ext="edit" aspectratio="t"/>
            <w10:wrap type="none"/>
            <w10:anchorlock/>
          </v:shape>
          <o:OLEObject Type="Embed" ProgID="Excel.Chart.8" ShapeID="_x0000_i1028" DrawAspect="Content" ObjectID="_1468075728" r:id="rId19">
            <o:LockedField>false</o:LockedField>
          </o:OLEObject>
        </w:object>
      </w:r>
    </w:p>
    <w:p w14:paraId="662D8610">
      <w:pPr>
        <w:spacing w:line="600" w:lineRule="exact"/>
        <w:ind w:firstLine="640" w:firstLineChars="200"/>
        <w:outlineLvl w:val="1"/>
        <w:rPr>
          <w:rStyle w:val="31"/>
          <w:rFonts w:ascii="黑体" w:hAnsi="黑体" w:eastAsia="黑体"/>
          <w:b w:val="0"/>
          <w:color w:val="auto"/>
          <w:highlight w:val="none"/>
        </w:rPr>
      </w:pPr>
      <w:bookmarkStart w:id="36" w:name="_Toc15377209"/>
      <w:bookmarkStart w:id="37" w:name="_Toc15396607"/>
      <w:bookmarkStart w:id="38" w:name="_Toc2526"/>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般公共预算财政拨款支出决算情况说明</w:t>
      </w:r>
      <w:bookmarkEnd w:id="36"/>
      <w:bookmarkEnd w:id="37"/>
      <w:bookmarkEnd w:id="38"/>
    </w:p>
    <w:p w14:paraId="142D719F">
      <w:pPr>
        <w:spacing w:line="600" w:lineRule="exact"/>
        <w:ind w:firstLine="643" w:firstLineChars="200"/>
        <w:outlineLvl w:val="2"/>
        <w:rPr>
          <w:rFonts w:ascii="仿宋" w:hAnsi="仿宋" w:eastAsia="仿宋"/>
          <w:b/>
          <w:color w:val="auto"/>
          <w:sz w:val="32"/>
          <w:szCs w:val="32"/>
          <w:highlight w:val="none"/>
        </w:rPr>
      </w:pPr>
      <w:bookmarkStart w:id="39" w:name="_Toc15377210"/>
      <w:r>
        <w:rPr>
          <w:rFonts w:hint="eastAsia" w:ascii="仿宋" w:hAnsi="仿宋" w:eastAsia="仿宋"/>
          <w:b/>
          <w:color w:val="auto"/>
          <w:sz w:val="32"/>
          <w:szCs w:val="32"/>
          <w:highlight w:val="none"/>
        </w:rPr>
        <w:t>（一）一般公共预算财政拨款支出决算总体情况</w:t>
      </w:r>
      <w:bookmarkEnd w:id="39"/>
    </w:p>
    <w:p w14:paraId="1D56C246">
      <w:pPr>
        <w:spacing w:line="600" w:lineRule="exact"/>
        <w:ind w:firstLine="640" w:firstLineChars="200"/>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581.14</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20</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139.72</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31.65</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default" w:ascii="Times New Roman" w:hAnsi="Times New Roman" w:eastAsia="仿宋_GB2312" w:cs="Times New Roman"/>
          <w:b w:val="0"/>
          <w:bCs w:val="0"/>
          <w:color w:val="auto"/>
          <w:sz w:val="32"/>
          <w:szCs w:val="32"/>
        </w:rPr>
        <w:t>增加了</w:t>
      </w:r>
      <w:r>
        <w:rPr>
          <w:rFonts w:hint="eastAsia" w:eastAsia="仿宋_GB2312" w:cs="Times New Roman"/>
          <w:b w:val="0"/>
          <w:bCs w:val="0"/>
          <w:color w:val="auto"/>
          <w:sz w:val="32"/>
          <w:szCs w:val="32"/>
          <w:lang w:val="en-US" w:eastAsia="zh-CN"/>
        </w:rPr>
        <w:t>100</w:t>
      </w:r>
      <w:r>
        <w:rPr>
          <w:rFonts w:hint="default" w:ascii="Times New Roman" w:hAnsi="Times New Roman" w:eastAsia="仿宋_GB2312" w:cs="Times New Roman"/>
          <w:b w:val="0"/>
          <w:bCs w:val="0"/>
          <w:color w:val="auto"/>
          <w:sz w:val="32"/>
          <w:szCs w:val="32"/>
        </w:rPr>
        <w:t>万东西部</w:t>
      </w:r>
      <w:r>
        <w:rPr>
          <w:rFonts w:hint="eastAsia" w:ascii="Times New Roman" w:hAnsi="Times New Roman" w:eastAsia="仿宋_GB2312" w:cs="Times New Roman"/>
          <w:b w:val="0"/>
          <w:bCs w:val="0"/>
          <w:color w:val="auto"/>
          <w:sz w:val="32"/>
          <w:szCs w:val="32"/>
          <w:lang w:val="en-US" w:eastAsia="zh-CN"/>
        </w:rPr>
        <w:t>协作</w:t>
      </w:r>
      <w:r>
        <w:rPr>
          <w:rFonts w:hint="default" w:ascii="Times New Roman" w:hAnsi="Times New Roman" w:eastAsia="仿宋_GB2312" w:cs="Times New Roman"/>
          <w:b w:val="0"/>
          <w:bCs w:val="0"/>
          <w:color w:val="auto"/>
          <w:sz w:val="32"/>
          <w:szCs w:val="32"/>
        </w:rPr>
        <w:t>资金用于干部培训</w:t>
      </w:r>
      <w:r>
        <w:rPr>
          <w:rFonts w:hint="eastAsia" w:eastAsia="仿宋_GB2312" w:cs="Times New Roman"/>
          <w:b w:val="0"/>
          <w:bCs w:val="0"/>
          <w:color w:val="auto"/>
          <w:sz w:val="32"/>
          <w:szCs w:val="32"/>
          <w:lang w:eastAsia="zh-CN"/>
        </w:rPr>
        <w:t>。</w:t>
      </w:r>
    </w:p>
    <w:p w14:paraId="75FECFEB">
      <w:pPr>
        <w:pStyle w:val="17"/>
        <w:ind w:left="0" w:leftChars="0" w:firstLine="0" w:firstLineChars="0"/>
        <w:jc w:val="center"/>
        <w:rPr>
          <w:rFonts w:hint="eastAsia" w:ascii="仿宋" w:hAnsi="仿宋" w:eastAsia="仿宋"/>
          <w:color w:val="auto"/>
          <w:sz w:val="32"/>
          <w:szCs w:val="32"/>
          <w:highlight w:val="none"/>
        </w:rPr>
      </w:pPr>
      <w:r>
        <w:rPr>
          <w:rFonts w:hint="eastAsia" w:ascii="仿宋" w:hAnsi="仿宋" w:eastAsia="仿宋"/>
          <w:color w:val="000000"/>
          <w:sz w:val="32"/>
          <w:szCs w:val="32"/>
        </w:rPr>
        <w:object>
          <v:shape id="_x0000_i1029" o:spt="75" type="#_x0000_t75" style="height:108.75pt;width:139.25pt;" o:ole="t" filled="f" o:preferrelative="t" stroked="f" coordsize="21600,21600">
            <v:path/>
            <v:fill on="f" focussize="0,0"/>
            <v:stroke on="f"/>
            <v:imagedata r:id="rId22" o:title=""/>
            <o:lock v:ext="edit" aspectratio="t"/>
            <w10:wrap type="none"/>
            <w10:anchorlock/>
          </v:shape>
          <o:OLEObject Type="Embed" ProgID="Excel.Chart.8" ShapeID="_x0000_i1029" DrawAspect="Content" ObjectID="_1468075729" r:id="rId21">
            <o:LockedField>false</o:LockedField>
          </o:OLEObject>
        </w:object>
      </w:r>
    </w:p>
    <w:p w14:paraId="75F377EC">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2"/>
        <w:rPr>
          <w:rFonts w:ascii="仿宋" w:hAnsi="仿宋" w:eastAsia="仿宋"/>
          <w:b/>
          <w:color w:val="auto"/>
          <w:sz w:val="32"/>
          <w:szCs w:val="32"/>
          <w:highlight w:val="none"/>
        </w:rPr>
      </w:pPr>
      <w:bookmarkStart w:id="40" w:name="_Toc15377211"/>
      <w:r>
        <w:rPr>
          <w:rFonts w:hint="eastAsia" w:ascii="仿宋" w:hAnsi="仿宋" w:eastAsia="仿宋"/>
          <w:b/>
          <w:color w:val="auto"/>
          <w:sz w:val="32"/>
          <w:szCs w:val="32"/>
          <w:highlight w:val="none"/>
        </w:rPr>
        <w:t>（二）一般公共预算财政拨款支出决算结构情况</w:t>
      </w:r>
      <w:bookmarkEnd w:id="40"/>
    </w:p>
    <w:p w14:paraId="1CAAFC32">
      <w:pPr>
        <w:spacing w:line="600" w:lineRule="exact"/>
        <w:ind w:firstLine="640"/>
        <w:rPr>
          <w:rFonts w:hint="eastAsia" w:ascii="仿宋" w:hAnsi="仿宋" w:eastAsia="仿宋"/>
          <w:b/>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581.14</w:t>
      </w:r>
      <w:r>
        <w:rPr>
          <w:rFonts w:hint="eastAsia" w:ascii="仿宋" w:hAnsi="仿宋" w:eastAsia="仿宋"/>
          <w:color w:val="auto"/>
          <w:sz w:val="32"/>
          <w:szCs w:val="32"/>
          <w:highlight w:val="none"/>
        </w:rPr>
        <w:t>万元，主要用于以下方面</w:t>
      </w:r>
      <w:r>
        <w:rPr>
          <w:rFonts w:ascii="仿宋" w:hAnsi="仿宋" w:eastAsia="仿宋"/>
          <w:color w:val="auto"/>
          <w:sz w:val="32"/>
          <w:szCs w:val="32"/>
          <w:highlight w:val="none"/>
        </w:rPr>
        <w:t>:</w:t>
      </w:r>
      <w:r>
        <w:rPr>
          <w:rFonts w:hint="eastAsia" w:ascii="仿宋" w:hAnsi="仿宋" w:eastAsia="仿宋"/>
          <w:b/>
          <w:color w:val="auto"/>
          <w:sz w:val="32"/>
          <w:szCs w:val="32"/>
          <w:highlight w:val="none"/>
        </w:rPr>
        <w:t>教育支出（类）</w:t>
      </w:r>
      <w:r>
        <w:rPr>
          <w:rFonts w:hint="eastAsia" w:ascii="仿宋" w:hAnsi="仿宋" w:eastAsia="仿宋"/>
          <w:color w:val="auto"/>
          <w:sz w:val="32"/>
          <w:szCs w:val="32"/>
          <w:highlight w:val="none"/>
          <w:lang w:val="en-US" w:eastAsia="zh-CN"/>
        </w:rPr>
        <w:t>244.09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社会保障和就业（类）</w:t>
      </w:r>
      <w:r>
        <w:rPr>
          <w:rFonts w:hint="eastAsia" w:ascii="仿宋" w:hAnsi="仿宋" w:eastAsia="仿宋"/>
          <w:color w:val="auto"/>
          <w:sz w:val="32"/>
          <w:szCs w:val="32"/>
          <w:highlight w:val="none"/>
        </w:rPr>
        <w:t>支出</w:t>
      </w:r>
      <w:r>
        <w:rPr>
          <w:rFonts w:hint="eastAsia" w:ascii="仿宋" w:hAnsi="仿宋" w:eastAsia="仿宋"/>
          <w:color w:val="auto"/>
          <w:sz w:val="32"/>
          <w:szCs w:val="32"/>
          <w:highlight w:val="none"/>
          <w:lang w:val="en-US" w:eastAsia="zh-CN"/>
        </w:rPr>
        <w:t>14.81</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2.55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7.63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1.31</w:t>
      </w:r>
      <w:r>
        <w:rPr>
          <w:rFonts w:ascii="仿宋" w:hAnsi="仿宋" w:eastAsia="仿宋"/>
          <w:color w:val="auto"/>
          <w:sz w:val="32"/>
          <w:szCs w:val="32"/>
          <w:highlight w:val="none"/>
        </w:rPr>
        <w:t>%</w:t>
      </w:r>
      <w:r>
        <w:rPr>
          <w:rFonts w:hint="eastAsia" w:ascii="仿宋" w:hAnsi="仿宋" w:eastAsia="仿宋"/>
          <w:color w:val="auto"/>
          <w:sz w:val="32"/>
          <w:szCs w:val="32"/>
          <w:highlight w:val="none"/>
        </w:rPr>
        <w:t>；住房保障支出</w:t>
      </w:r>
      <w:r>
        <w:rPr>
          <w:rFonts w:hint="eastAsia" w:ascii="仿宋" w:hAnsi="仿宋" w:eastAsia="仿宋"/>
          <w:color w:val="auto"/>
          <w:sz w:val="32"/>
          <w:szCs w:val="32"/>
          <w:highlight w:val="none"/>
          <w:lang w:val="en-US" w:eastAsia="zh-CN"/>
        </w:rPr>
        <w:t>14.62</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2.52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s="Times New Roman"/>
          <w:b/>
          <w:color w:val="auto"/>
          <w:sz w:val="32"/>
          <w:szCs w:val="32"/>
          <w:highlight w:val="none"/>
          <w:lang w:val="en-US" w:eastAsia="zh-CN"/>
        </w:rPr>
        <w:t>农林水</w:t>
      </w:r>
      <w:r>
        <w:rPr>
          <w:rFonts w:hint="eastAsia" w:ascii="仿宋" w:hAnsi="仿宋" w:eastAsia="仿宋"/>
          <w:b/>
          <w:color w:val="auto"/>
          <w:sz w:val="32"/>
          <w:szCs w:val="32"/>
          <w:highlight w:val="none"/>
        </w:rPr>
        <w:t>（类）</w:t>
      </w:r>
      <w:r>
        <w:rPr>
          <w:rFonts w:hint="eastAsia" w:ascii="仿宋" w:hAnsi="仿宋" w:eastAsia="仿宋"/>
          <w:color w:val="000000"/>
          <w:sz w:val="32"/>
          <w:szCs w:val="32"/>
          <w:lang w:val="en-US" w:eastAsia="zh-CN"/>
        </w:rPr>
        <w:t>支出300万元，占51.62%</w:t>
      </w:r>
      <w:r>
        <w:rPr>
          <w:rFonts w:hint="eastAsia" w:ascii="仿宋" w:hAnsi="仿宋" w:eastAsia="仿宋"/>
          <w:color w:val="000000"/>
          <w:sz w:val="32"/>
          <w:szCs w:val="32"/>
        </w:rPr>
        <w:t>。</w:t>
      </w:r>
    </w:p>
    <w:p w14:paraId="65CB06C7">
      <w:pPr>
        <w:pStyle w:val="17"/>
      </w:pPr>
      <w:r>
        <w:rPr>
          <w:rFonts w:hint="eastAsia" w:ascii="仿宋" w:hAnsi="仿宋" w:eastAsia="仿宋"/>
          <w:color w:val="000000"/>
          <w:sz w:val="32"/>
          <w:szCs w:val="32"/>
          <w:lang w:eastAsia="zh-CN"/>
        </w:rPr>
        <w:object>
          <v:shape id="_x0000_i1030" o:spt="75" type="#_x0000_t75" style="height:118.5pt;width:204.95pt;" o:ole="t" filled="f" o:preferrelative="t" stroked="f" coordsize="21600,21600">
            <v:path/>
            <v:fill on="f" focussize="0,0"/>
            <v:stroke on="f"/>
            <v:imagedata r:id="rId24" o:title=""/>
            <o:lock v:ext="edit" aspectratio="t"/>
            <w10:wrap type="none"/>
            <w10:anchorlock/>
          </v:shape>
          <o:OLEObject Type="Embed" ProgID="Excel.Chart.8" ShapeID="_x0000_i1030" DrawAspect="Content" ObjectID="_1468075730" r:id="rId23">
            <o:LockedField>false</o:LockedField>
          </o:OLEObject>
        </w:object>
      </w:r>
    </w:p>
    <w:p w14:paraId="32F273FC">
      <w:pPr>
        <w:spacing w:line="600" w:lineRule="exact"/>
        <w:ind w:firstLine="643" w:firstLineChars="200"/>
        <w:outlineLvl w:val="2"/>
        <w:rPr>
          <w:rFonts w:ascii="仿宋" w:hAnsi="仿宋" w:eastAsia="仿宋"/>
          <w:b/>
          <w:color w:val="auto"/>
          <w:sz w:val="32"/>
          <w:szCs w:val="32"/>
          <w:highlight w:val="none"/>
        </w:rPr>
      </w:pPr>
      <w:bookmarkStart w:id="41" w:name="_Toc15377212"/>
      <w:r>
        <w:rPr>
          <w:rFonts w:hint="eastAsia" w:ascii="仿宋" w:hAnsi="仿宋" w:eastAsia="仿宋"/>
          <w:b/>
          <w:color w:val="auto"/>
          <w:sz w:val="32"/>
          <w:szCs w:val="32"/>
          <w:highlight w:val="none"/>
        </w:rPr>
        <w:t>（三）一般公共预算财政拨款支出决算具体情况</w:t>
      </w:r>
      <w:bookmarkEnd w:id="41"/>
    </w:p>
    <w:p w14:paraId="09E1D8E8">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outlineLvl w:val="9"/>
        <w:rPr>
          <w:rFonts w:ascii="仿宋" w:hAnsi="仿宋" w:eastAsia="仿宋"/>
          <w:color w:val="auto"/>
          <w:sz w:val="32"/>
          <w:szCs w:val="32"/>
          <w:highlight w:val="none"/>
        </w:rPr>
      </w:pPr>
      <w:bookmarkStart w:id="42" w:name="_Toc15377213"/>
      <w:bookmarkStart w:id="43" w:name="_Toc15377444"/>
      <w:bookmarkStart w:id="44" w:name="_Toc15378460"/>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21</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581.14</w:t>
      </w:r>
      <w:r>
        <w:rPr>
          <w:rFonts w:hint="eastAsia" w:ascii="仿宋" w:hAnsi="仿宋" w:eastAsia="仿宋"/>
          <w:color w:val="auto"/>
          <w:sz w:val="32"/>
          <w:szCs w:val="32"/>
          <w:highlight w:val="none"/>
        </w:rPr>
        <w:t>，</w:t>
      </w:r>
      <w:r>
        <w:rPr>
          <w:rStyle w:val="20"/>
          <w:rFonts w:hint="eastAsia" w:ascii="仿宋" w:hAnsi="仿宋" w:eastAsia="仿宋"/>
          <w:bCs/>
          <w:color w:val="auto"/>
          <w:sz w:val="32"/>
          <w:szCs w:val="32"/>
          <w:highlight w:val="none"/>
        </w:rPr>
        <w:t>完成预算</w:t>
      </w:r>
      <w:r>
        <w:rPr>
          <w:rStyle w:val="20"/>
          <w:rFonts w:hint="eastAsia" w:ascii="仿宋" w:hAnsi="仿宋" w:eastAsia="仿宋"/>
          <w:bCs/>
          <w:color w:val="auto"/>
          <w:sz w:val="32"/>
          <w:szCs w:val="32"/>
          <w:highlight w:val="none"/>
          <w:lang w:val="en-US" w:eastAsia="zh-CN"/>
        </w:rPr>
        <w:t>100</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。其中：</w:t>
      </w:r>
      <w:bookmarkEnd w:id="42"/>
      <w:bookmarkEnd w:id="43"/>
      <w:bookmarkEnd w:id="44"/>
    </w:p>
    <w:p w14:paraId="22FCACB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textAlignment w:val="auto"/>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1.</w:t>
      </w:r>
      <w:r>
        <w:rPr>
          <w:rStyle w:val="20"/>
          <w:rFonts w:hint="eastAsia" w:ascii="仿宋" w:hAnsi="仿宋" w:eastAsia="仿宋"/>
          <w:bCs/>
          <w:color w:val="auto"/>
          <w:sz w:val="32"/>
          <w:szCs w:val="32"/>
          <w:highlight w:val="none"/>
        </w:rPr>
        <w:t>教育（类）</w:t>
      </w:r>
      <w:r>
        <w:rPr>
          <w:rStyle w:val="20"/>
          <w:rFonts w:hint="default" w:ascii="Times New Roman" w:hAnsi="Times New Roman" w:eastAsia="仿宋_GB2312" w:cs="Times New Roman"/>
          <w:b w:val="0"/>
          <w:bCs w:val="0"/>
          <w:color w:val="auto"/>
          <w:sz w:val="32"/>
          <w:szCs w:val="32"/>
        </w:rPr>
        <w:t>进修及培训</w:t>
      </w:r>
      <w:r>
        <w:rPr>
          <w:rStyle w:val="20"/>
          <w:rFonts w:hint="eastAsia" w:ascii="仿宋" w:hAnsi="仿宋" w:eastAsia="仿宋"/>
          <w:bCs/>
          <w:color w:val="auto"/>
          <w:sz w:val="32"/>
          <w:szCs w:val="32"/>
          <w:highlight w:val="none"/>
        </w:rPr>
        <w:t>（款）</w:t>
      </w:r>
      <w:r>
        <w:rPr>
          <w:rStyle w:val="20"/>
          <w:rFonts w:hint="default" w:ascii="Times New Roman" w:hAnsi="Times New Roman" w:eastAsia="仿宋_GB2312" w:cs="Times New Roman"/>
          <w:b w:val="0"/>
          <w:bCs w:val="0"/>
          <w:color w:val="auto"/>
          <w:sz w:val="32"/>
          <w:szCs w:val="32"/>
        </w:rPr>
        <w:t>干部教育</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ascii="仿宋" w:hAnsi="仿宋" w:eastAsia="仿宋"/>
          <w:b w:val="0"/>
          <w:bCs/>
          <w:color w:val="auto"/>
          <w:sz w:val="32"/>
          <w:szCs w:val="32"/>
          <w:highlight w:val="none"/>
        </w:rPr>
        <w:t xml:space="preserve"> </w:t>
      </w:r>
      <w:r>
        <w:rPr>
          <w:rStyle w:val="20"/>
          <w:rFonts w:hint="eastAsia" w:ascii="仿宋" w:hAnsi="仿宋" w:eastAsia="仿宋"/>
          <w:b w:val="0"/>
          <w:bCs/>
          <w:color w:val="auto"/>
          <w:sz w:val="32"/>
          <w:szCs w:val="32"/>
          <w:highlight w:val="none"/>
          <w:lang w:val="en-US" w:eastAsia="zh-CN"/>
        </w:rPr>
        <w:t>2021年预算数为244.09万元，</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244.09</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290A58F5">
      <w:pPr>
        <w:spacing w:line="600" w:lineRule="exact"/>
        <w:ind w:firstLine="643" w:firstLineChars="200"/>
        <w:rPr>
          <w:rStyle w:val="20"/>
          <w:rFonts w:hint="eastAsia" w:ascii="仿宋" w:hAnsi="仿宋" w:eastAsia="仿宋"/>
          <w:b w:val="0"/>
          <w:bCs/>
          <w:color w:val="auto"/>
          <w:sz w:val="32"/>
          <w:szCs w:val="32"/>
          <w:highlight w:val="none"/>
          <w:lang w:eastAsia="zh-CN"/>
        </w:rPr>
      </w:pPr>
      <w:r>
        <w:rPr>
          <w:rStyle w:val="20"/>
          <w:rFonts w:hint="eastAsia" w:ascii="仿宋" w:hAnsi="仿宋" w:eastAsia="仿宋"/>
          <w:bCs/>
          <w:color w:val="auto"/>
          <w:sz w:val="32"/>
          <w:szCs w:val="32"/>
          <w:highlight w:val="none"/>
          <w:lang w:val="en-US" w:eastAsia="zh-CN"/>
        </w:rPr>
        <w:t>2</w:t>
      </w:r>
      <w:r>
        <w:rPr>
          <w:rStyle w:val="20"/>
          <w:rFonts w:ascii="仿宋" w:hAnsi="仿宋" w:eastAsia="仿宋"/>
          <w:bCs/>
          <w:color w:val="auto"/>
          <w:sz w:val="32"/>
          <w:szCs w:val="32"/>
          <w:highlight w:val="none"/>
        </w:rPr>
        <w:t>.</w:t>
      </w:r>
      <w:r>
        <w:rPr>
          <w:rStyle w:val="20"/>
          <w:rFonts w:hint="eastAsia" w:ascii="仿宋" w:hAnsi="仿宋" w:eastAsia="仿宋"/>
          <w:bCs/>
          <w:color w:val="auto"/>
          <w:sz w:val="32"/>
          <w:szCs w:val="32"/>
          <w:highlight w:val="none"/>
        </w:rPr>
        <w:t>社会保障和就业（类）</w:t>
      </w:r>
      <w:r>
        <w:rPr>
          <w:rStyle w:val="20"/>
          <w:rFonts w:hint="default" w:ascii="Times New Roman" w:hAnsi="Times New Roman" w:eastAsia="仿宋_GB2312" w:cs="Times New Roman"/>
          <w:b w:val="0"/>
          <w:bCs w:val="0"/>
          <w:color w:val="auto"/>
          <w:sz w:val="32"/>
          <w:szCs w:val="32"/>
        </w:rPr>
        <w:t>行政事业单位离退休</w:t>
      </w:r>
      <w:r>
        <w:rPr>
          <w:rStyle w:val="20"/>
          <w:rFonts w:hint="eastAsia" w:ascii="仿宋" w:hAnsi="仿宋" w:eastAsia="仿宋"/>
          <w:bCs/>
          <w:color w:val="auto"/>
          <w:sz w:val="32"/>
          <w:szCs w:val="32"/>
          <w:highlight w:val="none"/>
        </w:rPr>
        <w:t>（款）</w:t>
      </w:r>
      <w:r>
        <w:rPr>
          <w:rStyle w:val="20"/>
          <w:rFonts w:hint="default" w:ascii="Times New Roman" w:hAnsi="Times New Roman" w:eastAsia="仿宋_GB2312" w:cs="Times New Roman"/>
          <w:b w:val="0"/>
          <w:bCs w:val="0"/>
          <w:color w:val="auto"/>
          <w:sz w:val="32"/>
          <w:szCs w:val="32"/>
        </w:rPr>
        <w:t>机关事业单位基本养老保险缴费支出</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ascii="仿宋" w:hAnsi="仿宋" w:eastAsia="仿宋"/>
          <w:b w:val="0"/>
          <w:bCs/>
          <w:color w:val="auto"/>
          <w:sz w:val="32"/>
          <w:szCs w:val="32"/>
          <w:highlight w:val="none"/>
        </w:rPr>
        <w:t xml:space="preserve"> </w:t>
      </w:r>
      <w:r>
        <w:rPr>
          <w:rStyle w:val="20"/>
          <w:rFonts w:hint="eastAsia" w:ascii="仿宋" w:hAnsi="仿宋" w:eastAsia="仿宋"/>
          <w:b w:val="0"/>
          <w:bCs/>
          <w:color w:val="auto"/>
          <w:sz w:val="32"/>
          <w:szCs w:val="32"/>
          <w:highlight w:val="none"/>
          <w:lang w:val="en-US" w:eastAsia="zh-CN"/>
        </w:rPr>
        <w:t>2021年预算数为14.81万元，</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14.81</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1536D0D7">
      <w:pPr>
        <w:spacing w:line="600" w:lineRule="exact"/>
        <w:ind w:firstLine="643" w:firstLineChars="200"/>
        <w:rPr>
          <w:rFonts w:hint="eastAsia" w:ascii="仿宋" w:hAnsi="仿宋" w:eastAsia="仿宋"/>
          <w:b/>
          <w:color w:val="auto"/>
          <w:sz w:val="32"/>
          <w:szCs w:val="32"/>
          <w:highlight w:val="none"/>
          <w:lang w:eastAsia="zh-CN"/>
        </w:rPr>
      </w:pPr>
      <w:r>
        <w:rPr>
          <w:rStyle w:val="20"/>
          <w:rFonts w:hint="eastAsia" w:ascii="仿宋" w:hAnsi="仿宋" w:eastAsia="仿宋"/>
          <w:bCs/>
          <w:color w:val="auto"/>
          <w:sz w:val="32"/>
          <w:szCs w:val="32"/>
          <w:highlight w:val="none"/>
          <w:lang w:val="en-US" w:eastAsia="zh-CN"/>
        </w:rPr>
        <w:t>3</w:t>
      </w:r>
      <w:r>
        <w:rPr>
          <w:rStyle w:val="20"/>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Style w:val="20"/>
          <w:rFonts w:hint="eastAsia" w:ascii="仿宋" w:hAnsi="仿宋" w:eastAsia="仿宋"/>
          <w:bCs/>
          <w:color w:val="auto"/>
          <w:sz w:val="32"/>
          <w:szCs w:val="32"/>
          <w:highlight w:val="none"/>
        </w:rPr>
        <w:t>（类）</w:t>
      </w:r>
      <w:r>
        <w:rPr>
          <w:rStyle w:val="20"/>
          <w:rFonts w:hint="default" w:ascii="Times New Roman" w:hAnsi="Times New Roman" w:eastAsia="仿宋_GB2312" w:cs="Times New Roman"/>
          <w:b w:val="0"/>
          <w:bCs w:val="0"/>
          <w:color w:val="auto"/>
          <w:sz w:val="32"/>
          <w:szCs w:val="32"/>
        </w:rPr>
        <w:t>行政事业单位医疗</w:t>
      </w:r>
      <w:r>
        <w:rPr>
          <w:rStyle w:val="20"/>
          <w:rFonts w:hint="eastAsia" w:ascii="仿宋" w:hAnsi="仿宋" w:eastAsia="仿宋"/>
          <w:bCs/>
          <w:color w:val="auto"/>
          <w:sz w:val="32"/>
          <w:szCs w:val="32"/>
          <w:highlight w:val="none"/>
        </w:rPr>
        <w:t>（款）</w:t>
      </w:r>
      <w:r>
        <w:rPr>
          <w:rStyle w:val="20"/>
          <w:rFonts w:hint="default" w:ascii="Times New Roman" w:hAnsi="Times New Roman" w:eastAsia="仿宋_GB2312" w:cs="Times New Roman"/>
          <w:b w:val="0"/>
          <w:bCs w:val="0"/>
          <w:color w:val="auto"/>
          <w:sz w:val="32"/>
          <w:szCs w:val="32"/>
        </w:rPr>
        <w:t>事业单位医疗</w:t>
      </w:r>
      <w:r>
        <w:rPr>
          <w:rStyle w:val="20"/>
          <w:rFonts w:hint="eastAsia" w:ascii="仿宋" w:hAnsi="仿宋" w:eastAsia="仿宋"/>
          <w:bCs/>
          <w:color w:val="auto"/>
          <w:sz w:val="32"/>
          <w:szCs w:val="32"/>
          <w:highlight w:val="none"/>
        </w:rPr>
        <w:t>（项）</w:t>
      </w:r>
      <w:r>
        <w:rPr>
          <w:rStyle w:val="20"/>
          <w:rFonts w:ascii="仿宋" w:hAnsi="仿宋" w:eastAsia="仿宋"/>
          <w:bCs/>
          <w:color w:val="auto"/>
          <w:sz w:val="32"/>
          <w:szCs w:val="32"/>
          <w:highlight w:val="none"/>
        </w:rPr>
        <w:t>:</w:t>
      </w:r>
      <w:r>
        <w:rPr>
          <w:rStyle w:val="20"/>
          <w:rFonts w:hint="eastAsia" w:ascii="仿宋" w:hAnsi="仿宋" w:eastAsia="仿宋" w:cstheme="minorBidi"/>
          <w:b w:val="0"/>
          <w:bCs/>
          <w:color w:val="auto"/>
          <w:sz w:val="32"/>
          <w:szCs w:val="32"/>
          <w:highlight w:val="none"/>
          <w:lang w:val="en-US" w:eastAsia="zh-CN"/>
        </w:rPr>
        <w:t>2021年预算数为7.63，</w:t>
      </w:r>
      <w:r>
        <w:rPr>
          <w:rStyle w:val="20"/>
          <w:rFonts w:hint="eastAsia" w:ascii="仿宋" w:hAnsi="仿宋" w:eastAsia="仿宋"/>
          <w:b w:val="0"/>
          <w:bCs/>
          <w:color w:val="auto"/>
          <w:sz w:val="32"/>
          <w:szCs w:val="32"/>
          <w:highlight w:val="none"/>
        </w:rPr>
        <w:t>支出决算为</w:t>
      </w:r>
      <w:r>
        <w:rPr>
          <w:rStyle w:val="20"/>
          <w:rFonts w:hint="eastAsia" w:ascii="仿宋" w:hAnsi="仿宋" w:eastAsia="仿宋"/>
          <w:b w:val="0"/>
          <w:bCs/>
          <w:color w:val="auto"/>
          <w:sz w:val="32"/>
          <w:szCs w:val="32"/>
          <w:highlight w:val="none"/>
          <w:lang w:val="en-US" w:eastAsia="zh-CN"/>
        </w:rPr>
        <w:t>7.63</w:t>
      </w:r>
      <w:r>
        <w:rPr>
          <w:rStyle w:val="20"/>
          <w:rFonts w:hint="eastAsia" w:ascii="仿宋" w:hAnsi="仿宋" w:eastAsia="仿宋"/>
          <w:b w:val="0"/>
          <w:bCs/>
          <w:color w:val="auto"/>
          <w:sz w:val="32"/>
          <w:szCs w:val="32"/>
          <w:highlight w:val="none"/>
        </w:rPr>
        <w:t>万元，完成预算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lang w:eastAsia="zh-CN"/>
        </w:rPr>
        <w:t>。</w:t>
      </w:r>
    </w:p>
    <w:p w14:paraId="5087072C">
      <w:pPr>
        <w:spacing w:line="576" w:lineRule="exact"/>
        <w:ind w:firstLine="640" w:firstLineChars="200"/>
        <w:rPr>
          <w:rFonts w:ascii="仿宋" w:hAnsi="仿宋" w:eastAsia="仿宋"/>
          <w:b/>
          <w:color w:val="auto"/>
          <w:sz w:val="32"/>
          <w:szCs w:val="32"/>
          <w:highlight w:val="none"/>
        </w:rPr>
      </w:pPr>
      <w:r>
        <w:rPr>
          <w:rFonts w:hint="eastAsia" w:ascii="仿宋" w:hAnsi="仿宋" w:eastAsia="仿宋"/>
          <w:color w:val="000000"/>
          <w:sz w:val="32"/>
          <w:szCs w:val="32"/>
          <w:lang w:val="en-US" w:eastAsia="zh-CN"/>
        </w:rPr>
        <w:t>4.</w:t>
      </w:r>
      <w:r>
        <w:rPr>
          <w:rStyle w:val="20"/>
          <w:rFonts w:hint="default" w:ascii="Times New Roman" w:hAnsi="Times New Roman" w:eastAsia="仿宋_GB2312" w:cs="Times New Roman"/>
          <w:b/>
          <w:bCs/>
          <w:color w:val="auto"/>
          <w:sz w:val="32"/>
          <w:szCs w:val="32"/>
        </w:rPr>
        <w:t>农林水支出</w:t>
      </w:r>
      <w:r>
        <w:rPr>
          <w:rStyle w:val="20"/>
          <w:rFonts w:hint="default" w:ascii="Times New Roman" w:hAnsi="Times New Roman" w:eastAsia="仿宋_GB2312" w:cs="Times New Roman"/>
          <w:b w:val="0"/>
          <w:bCs w:val="0"/>
          <w:color w:val="auto"/>
          <w:sz w:val="32"/>
          <w:szCs w:val="32"/>
        </w:rPr>
        <w:t>（类）</w:t>
      </w:r>
      <w:r>
        <w:rPr>
          <w:rFonts w:hint="eastAsia" w:eastAsia="仿宋_GB2312" w:cs="Times New Roman"/>
          <w:b w:val="0"/>
          <w:bCs w:val="0"/>
          <w:color w:val="auto"/>
          <w:sz w:val="32"/>
          <w:szCs w:val="32"/>
          <w:lang w:val="en-US" w:eastAsia="zh-CN"/>
        </w:rPr>
        <w:t>巩固脱贫衔接乡村振兴</w:t>
      </w:r>
      <w:r>
        <w:rPr>
          <w:rStyle w:val="20"/>
          <w:rFonts w:hint="default" w:ascii="Times New Roman" w:hAnsi="Times New Roman" w:eastAsia="仿宋_GB2312" w:cs="Times New Roman"/>
          <w:b w:val="0"/>
          <w:bCs w:val="0"/>
          <w:color w:val="auto"/>
          <w:sz w:val="32"/>
          <w:szCs w:val="32"/>
        </w:rPr>
        <w:t>（款）</w:t>
      </w:r>
      <w:r>
        <w:rPr>
          <w:rFonts w:hint="default" w:ascii="Times New Roman" w:hAnsi="Times New Roman" w:eastAsia="仿宋_GB2312" w:cs="Times New Roman"/>
          <w:b w:val="0"/>
          <w:bCs w:val="0"/>
          <w:color w:val="auto"/>
          <w:sz w:val="32"/>
          <w:szCs w:val="32"/>
        </w:rPr>
        <w:t>其他</w:t>
      </w:r>
      <w:r>
        <w:rPr>
          <w:rFonts w:hint="eastAsia" w:eastAsia="仿宋_GB2312" w:cs="Times New Roman"/>
          <w:b w:val="0"/>
          <w:bCs w:val="0"/>
          <w:color w:val="auto"/>
          <w:sz w:val="32"/>
          <w:szCs w:val="32"/>
          <w:lang w:val="en-US" w:eastAsia="zh-CN"/>
        </w:rPr>
        <w:t>巩固脱贫衔接乡村振兴支出</w:t>
      </w:r>
      <w:r>
        <w:rPr>
          <w:rStyle w:val="20"/>
          <w:rFonts w:hint="default" w:ascii="Times New Roman" w:hAnsi="Times New Roman" w:eastAsia="仿宋_GB2312" w:cs="Times New Roman"/>
          <w:b w:val="0"/>
          <w:bCs w:val="0"/>
          <w:color w:val="auto"/>
          <w:sz w:val="32"/>
          <w:szCs w:val="32"/>
        </w:rPr>
        <w:t>（项）：</w:t>
      </w:r>
      <w:r>
        <w:rPr>
          <w:rStyle w:val="20"/>
          <w:rFonts w:hint="eastAsia" w:eastAsia="仿宋_GB2312" w:cs="Times New Roman"/>
          <w:b w:val="0"/>
          <w:bCs w:val="0"/>
          <w:color w:val="auto"/>
          <w:sz w:val="32"/>
          <w:szCs w:val="32"/>
          <w:lang w:val="en-US" w:eastAsia="zh-CN"/>
        </w:rPr>
        <w:t>2021年预算数为300万元，</w:t>
      </w:r>
      <w:r>
        <w:rPr>
          <w:rStyle w:val="20"/>
          <w:rFonts w:hint="default" w:ascii="Times New Roman" w:hAnsi="Times New Roman" w:eastAsia="仿宋_GB2312" w:cs="Times New Roman"/>
          <w:b w:val="0"/>
          <w:bCs w:val="0"/>
          <w:color w:val="auto"/>
          <w:sz w:val="32"/>
          <w:szCs w:val="32"/>
        </w:rPr>
        <w:t>支出决算数为</w:t>
      </w:r>
      <w:r>
        <w:rPr>
          <w:rStyle w:val="20"/>
          <w:rFonts w:hint="eastAsia" w:eastAsia="仿宋_GB2312" w:cs="Times New Roman"/>
          <w:b w:val="0"/>
          <w:bCs w:val="0"/>
          <w:color w:val="auto"/>
          <w:sz w:val="32"/>
          <w:szCs w:val="32"/>
          <w:lang w:val="en-US" w:eastAsia="zh-CN"/>
        </w:rPr>
        <w:t>300</w:t>
      </w:r>
      <w:r>
        <w:rPr>
          <w:rStyle w:val="20"/>
          <w:rFonts w:hint="default" w:ascii="Times New Roman" w:hAnsi="Times New Roman" w:eastAsia="仿宋_GB2312" w:cs="Times New Roman"/>
          <w:b w:val="0"/>
          <w:bCs w:val="0"/>
          <w:color w:val="auto"/>
          <w:sz w:val="32"/>
          <w:szCs w:val="32"/>
        </w:rPr>
        <w:t>万元，完成预算100%。</w:t>
      </w:r>
    </w:p>
    <w:p w14:paraId="01B8CA05">
      <w:pPr>
        <w:tabs>
          <w:tab w:val="right" w:pos="8306"/>
        </w:tabs>
        <w:spacing w:line="600" w:lineRule="exact"/>
        <w:ind w:firstLine="640"/>
        <w:outlineLvl w:val="1"/>
        <w:rPr>
          <w:rStyle w:val="31"/>
          <w:color w:val="auto"/>
          <w:highlight w:val="none"/>
        </w:rPr>
      </w:pPr>
      <w:bookmarkStart w:id="45" w:name="_Toc15396608"/>
      <w:bookmarkStart w:id="46" w:name="_Toc15377214"/>
      <w:bookmarkStart w:id="47" w:name="_Toc20446"/>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31"/>
          <w:rFonts w:hint="eastAsia" w:ascii="黑体" w:hAnsi="黑体" w:eastAsia="黑体"/>
          <w:b w:val="0"/>
          <w:color w:val="auto"/>
          <w:highlight w:val="none"/>
        </w:rPr>
        <w:t>般公共预算财政拨款基本支出决算情况说明</w:t>
      </w:r>
      <w:bookmarkEnd w:id="45"/>
      <w:bookmarkEnd w:id="46"/>
      <w:bookmarkEnd w:id="47"/>
      <w:r>
        <w:rPr>
          <w:rStyle w:val="31"/>
          <w:rFonts w:ascii="黑体" w:hAnsi="黑体" w:eastAsia="黑体"/>
          <w:b w:val="0"/>
          <w:color w:val="auto"/>
          <w:highlight w:val="none"/>
        </w:rPr>
        <w:tab/>
      </w:r>
    </w:p>
    <w:p w14:paraId="77D00744">
      <w:pPr>
        <w:spacing w:line="600" w:lineRule="exact"/>
        <w:ind w:firstLine="645"/>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281.14</w:t>
      </w:r>
      <w:r>
        <w:rPr>
          <w:rFonts w:hint="eastAsia" w:ascii="仿宋" w:hAnsi="仿宋" w:eastAsia="仿宋"/>
          <w:color w:val="auto"/>
          <w:sz w:val="32"/>
          <w:szCs w:val="32"/>
          <w:highlight w:val="none"/>
        </w:rPr>
        <w:t>万元，其中：</w:t>
      </w:r>
    </w:p>
    <w:p w14:paraId="1114F76E">
      <w:pPr>
        <w:spacing w:line="600" w:lineRule="exact"/>
        <w:ind w:firstLine="645"/>
        <w:rPr>
          <w:rFonts w:ascii="仿宋" w:hAnsi="仿宋" w:eastAsia="仿宋"/>
          <w:b/>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155.49</w:t>
      </w:r>
      <w:r>
        <w:rPr>
          <w:rFonts w:hint="eastAsia" w:ascii="仿宋" w:hAnsi="仿宋" w:eastAsia="仿宋"/>
          <w:color w:val="auto"/>
          <w:sz w:val="32"/>
          <w:szCs w:val="32"/>
          <w:highlight w:val="none"/>
        </w:rPr>
        <w:t>万元，主要包括：基本工资、津贴补贴、奖金、绩效工资、机关事业单位基本养老保险缴费、职业年金缴费、其他社会保障缴费、其他工资福利支出、离休费、生活补助、医疗费补助、奖励金、住房公积金、其他对个人和家庭的补助支出等。</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125.65</w:t>
      </w:r>
      <w:r>
        <w:rPr>
          <w:rFonts w:hint="eastAsia" w:ascii="仿宋" w:hAnsi="仿宋" w:eastAsia="仿宋"/>
          <w:color w:val="auto"/>
          <w:sz w:val="32"/>
          <w:szCs w:val="32"/>
          <w:highlight w:val="none"/>
        </w:rPr>
        <w:t>万元，主要包括：办公费、印刷费</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手续费、水费、电费、邮电费、差旅费、维修（护）费、租赁费、会议费、培训费、公务接待费、工会经费、其他交通费、其他商品和服务支出</w:t>
      </w:r>
      <w:r>
        <w:rPr>
          <w:rFonts w:hint="eastAsia" w:ascii="仿宋" w:hAnsi="仿宋" w:eastAsia="仿宋"/>
          <w:color w:val="auto"/>
          <w:sz w:val="32"/>
          <w:szCs w:val="32"/>
          <w:highlight w:val="none"/>
          <w:lang w:eastAsia="zh-CN"/>
        </w:rPr>
        <w:t>。</w:t>
      </w:r>
    </w:p>
    <w:p w14:paraId="499B9F72">
      <w:pPr>
        <w:spacing w:line="600" w:lineRule="exact"/>
        <w:ind w:firstLine="640"/>
        <w:outlineLvl w:val="1"/>
        <w:rPr>
          <w:rStyle w:val="31"/>
          <w:rFonts w:ascii="黑体" w:hAnsi="黑体" w:eastAsia="黑体"/>
          <w:b w:val="0"/>
          <w:color w:val="auto"/>
          <w:highlight w:val="none"/>
        </w:rPr>
      </w:pPr>
      <w:bookmarkStart w:id="48" w:name="_Toc15396609"/>
      <w:bookmarkStart w:id="49" w:name="_Toc2011"/>
      <w:bookmarkStart w:id="50" w:name="_Toc15377215"/>
      <w:r>
        <w:rPr>
          <w:rFonts w:hint="eastAsia" w:ascii="黑体" w:eastAsia="黑体"/>
          <w:color w:val="auto"/>
          <w:sz w:val="32"/>
          <w:szCs w:val="32"/>
          <w:highlight w:val="none"/>
        </w:rPr>
        <w:t>七、</w:t>
      </w:r>
      <w:r>
        <w:rPr>
          <w:rStyle w:val="31"/>
          <w:rFonts w:hint="eastAsia" w:ascii="黑体" w:hAnsi="黑体" w:eastAsia="黑体"/>
          <w:color w:val="auto"/>
          <w:highlight w:val="none"/>
        </w:rPr>
        <w:t>“</w:t>
      </w:r>
      <w:r>
        <w:rPr>
          <w:rStyle w:val="31"/>
          <w:rFonts w:hint="eastAsia" w:ascii="黑体" w:hAnsi="黑体" w:eastAsia="黑体"/>
          <w:b w:val="0"/>
          <w:color w:val="auto"/>
          <w:highlight w:val="none"/>
        </w:rPr>
        <w:t>三公”经费财政拨款支出决算情况说明</w:t>
      </w:r>
      <w:bookmarkEnd w:id="48"/>
      <w:bookmarkEnd w:id="49"/>
      <w:bookmarkEnd w:id="50"/>
    </w:p>
    <w:p w14:paraId="3E3E58A4">
      <w:pPr>
        <w:spacing w:line="600" w:lineRule="exact"/>
        <w:ind w:firstLine="640"/>
        <w:outlineLvl w:val="2"/>
        <w:rPr>
          <w:rFonts w:ascii="仿宋" w:hAnsi="仿宋" w:eastAsia="仿宋"/>
          <w:b/>
          <w:color w:val="auto"/>
          <w:sz w:val="32"/>
          <w:szCs w:val="32"/>
          <w:highlight w:val="none"/>
        </w:rPr>
      </w:pPr>
      <w:bookmarkStart w:id="51" w:name="_Toc15377216"/>
      <w:r>
        <w:rPr>
          <w:rFonts w:hint="eastAsia" w:ascii="仿宋" w:hAnsi="仿宋" w:eastAsia="仿宋"/>
          <w:b/>
          <w:color w:val="auto"/>
          <w:sz w:val="32"/>
          <w:szCs w:val="32"/>
          <w:highlight w:val="none"/>
        </w:rPr>
        <w:t>（一）“三公”经费财政拨款支出决算总体情况说明</w:t>
      </w:r>
      <w:bookmarkEnd w:id="51"/>
    </w:p>
    <w:p w14:paraId="29F091E8">
      <w:pPr>
        <w:spacing w:line="600" w:lineRule="exact"/>
        <w:ind w:firstLine="640"/>
        <w:rPr>
          <w:rFonts w:ascii="仿宋" w:hAnsi="仿宋" w:eastAsia="仿宋"/>
          <w:b/>
          <w:color w:val="FF0000"/>
          <w:sz w:val="32"/>
          <w:szCs w:val="32"/>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2.33</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default" w:ascii="Times New Roman" w:hAnsi="Times New Roman" w:eastAsia="仿宋_GB2312" w:cs="Times New Roman"/>
          <w:b w:val="0"/>
          <w:bCs w:val="0"/>
          <w:color w:val="auto"/>
          <w:sz w:val="32"/>
          <w:szCs w:val="32"/>
        </w:rPr>
        <w:t>决算与预算数持平。</w:t>
      </w:r>
      <w:r>
        <w:rPr>
          <w:rFonts w:hint="eastAsia" w:ascii="仿宋_GB2312" w:eastAsia="仿宋_GB2312"/>
          <w:color w:val="000000"/>
          <w:sz w:val="32"/>
          <w:szCs w:val="32"/>
        </w:rPr>
        <w:t>比</w:t>
      </w:r>
      <w:r>
        <w:rPr>
          <w:rFonts w:ascii="仿宋_GB2312" w:eastAsia="仿宋_GB2312"/>
          <w:color w:val="000000"/>
          <w:sz w:val="32"/>
          <w:szCs w:val="32"/>
        </w:rPr>
        <w:t>20</w:t>
      </w:r>
      <w:r>
        <w:rPr>
          <w:rFonts w:hint="eastAsia" w:ascii="仿宋_GB2312" w:eastAsia="仿宋_GB2312"/>
          <w:color w:val="000000"/>
          <w:sz w:val="32"/>
          <w:szCs w:val="32"/>
          <w:lang w:val="en-US" w:eastAsia="zh-CN"/>
        </w:rPr>
        <w:t>20</w:t>
      </w:r>
      <w:r>
        <w:rPr>
          <w:rFonts w:hint="eastAsia" w:ascii="仿宋_GB2312" w:eastAsia="仿宋_GB2312"/>
          <w:color w:val="000000"/>
          <w:sz w:val="32"/>
          <w:szCs w:val="32"/>
        </w:rPr>
        <w:t>年减少</w:t>
      </w:r>
      <w:r>
        <w:rPr>
          <w:rFonts w:hint="eastAsia" w:ascii="仿宋_GB2312" w:eastAsia="仿宋_GB2312"/>
          <w:color w:val="000000"/>
          <w:sz w:val="32"/>
          <w:szCs w:val="32"/>
          <w:lang w:val="en-US" w:eastAsia="zh-CN"/>
        </w:rPr>
        <w:t>0.02</w:t>
      </w:r>
      <w:r>
        <w:rPr>
          <w:rFonts w:hint="eastAsia" w:ascii="仿宋_GB2312" w:eastAsia="仿宋_GB2312"/>
          <w:color w:val="000000"/>
          <w:sz w:val="32"/>
          <w:szCs w:val="32"/>
        </w:rPr>
        <w:t>万元，下降</w:t>
      </w:r>
      <w:r>
        <w:rPr>
          <w:rFonts w:hint="eastAsia" w:ascii="仿宋_GB2312" w:eastAsia="仿宋_GB2312"/>
          <w:color w:val="000000"/>
          <w:sz w:val="32"/>
          <w:szCs w:val="32"/>
          <w:lang w:val="en-US" w:eastAsia="zh-CN"/>
        </w:rPr>
        <w:t>0.85</w:t>
      </w:r>
      <w:r>
        <w:rPr>
          <w:rFonts w:ascii="仿宋_GB2312" w:eastAsia="仿宋_GB2312"/>
          <w:color w:val="000000"/>
          <w:sz w:val="32"/>
          <w:szCs w:val="32"/>
        </w:rPr>
        <w:t>%</w:t>
      </w:r>
      <w:r>
        <w:rPr>
          <w:rFonts w:hint="eastAsia" w:ascii="仿宋_GB2312" w:eastAsia="仿宋_GB2312"/>
          <w:color w:val="000000"/>
          <w:sz w:val="32"/>
          <w:szCs w:val="32"/>
        </w:rPr>
        <w:t>。主要原因是</w:t>
      </w:r>
      <w:r>
        <w:rPr>
          <w:rFonts w:hint="default" w:ascii="Times New Roman" w:hAnsi="Times New Roman" w:eastAsia="仿宋_GB2312" w:cs="Times New Roman"/>
          <w:b w:val="0"/>
          <w:bCs w:val="0"/>
          <w:color w:val="auto"/>
          <w:sz w:val="32"/>
          <w:szCs w:val="32"/>
        </w:rPr>
        <w:t>厉行节约、减少接待和陪同人次</w:t>
      </w:r>
      <w:r>
        <w:rPr>
          <w:rFonts w:hint="eastAsia" w:ascii="仿宋_GB2312" w:eastAsia="仿宋_GB2312"/>
          <w:color w:val="000000"/>
          <w:sz w:val="32"/>
          <w:szCs w:val="32"/>
        </w:rPr>
        <w:t>。</w:t>
      </w:r>
    </w:p>
    <w:p w14:paraId="720CA8A1">
      <w:pPr>
        <w:spacing w:line="600" w:lineRule="exact"/>
        <w:ind w:firstLine="640"/>
        <w:outlineLvl w:val="2"/>
        <w:rPr>
          <w:rFonts w:ascii="仿宋" w:hAnsi="仿宋" w:eastAsia="仿宋"/>
          <w:b/>
          <w:color w:val="auto"/>
          <w:sz w:val="32"/>
          <w:szCs w:val="32"/>
          <w:highlight w:val="none"/>
        </w:rPr>
      </w:pPr>
      <w:bookmarkStart w:id="52" w:name="_Toc15377217"/>
      <w:r>
        <w:rPr>
          <w:rFonts w:hint="eastAsia" w:ascii="仿宋" w:hAnsi="仿宋" w:eastAsia="仿宋"/>
          <w:b/>
          <w:color w:val="auto"/>
          <w:sz w:val="32"/>
          <w:szCs w:val="32"/>
          <w:highlight w:val="none"/>
        </w:rPr>
        <w:t>（二）“三公”经费财政拨款支出决算具体情况说明</w:t>
      </w:r>
      <w:bookmarkEnd w:id="52"/>
    </w:p>
    <w:p w14:paraId="09FA1BA8">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w:t>
      </w:r>
      <w:r>
        <w:rPr>
          <w:rFonts w:hint="eastAsia" w:ascii="仿宋_GB2312" w:eastAsia="仿宋_GB2312"/>
          <w:color w:val="333333"/>
          <w:sz w:val="32"/>
          <w:szCs w:val="32"/>
        </w:rPr>
        <w:t>年初预算</w:t>
      </w:r>
      <w:r>
        <w:rPr>
          <w:rFonts w:hint="eastAsia" w:ascii="仿宋_GB2312" w:eastAsia="仿宋_GB2312"/>
          <w:color w:val="333333"/>
          <w:sz w:val="32"/>
          <w:szCs w:val="32"/>
          <w:lang w:val="en-US" w:eastAsia="zh-CN"/>
        </w:rPr>
        <w:t>为0万元，与上年持平</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2.33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0FD806ED">
      <w:pPr>
        <w:pStyle w:val="17"/>
      </w:pPr>
      <w:r>
        <w:rPr>
          <w:rFonts w:hint="eastAsia" w:eastAsia="宋体"/>
          <w:lang w:eastAsia="zh-CN"/>
        </w:rPr>
        <w:object>
          <v:shape id="_x0000_i1031" o:spt="75" type="#_x0000_t75" style="height:117.75pt;width:198.6pt;" o:ole="t" filled="f" o:preferrelative="t" stroked="f" coordsize="21600,21600">
            <v:path/>
            <v:fill on="f" focussize="0,0"/>
            <v:stroke on="f"/>
            <v:imagedata r:id="rId26" o:title=""/>
            <o:lock v:ext="edit" aspectratio="t"/>
            <w10:wrap type="none"/>
            <w10:anchorlock/>
          </v:shape>
          <o:OLEObject Type="Embed" ProgID="Excel.Chart.8" ShapeID="_x0000_i1031" DrawAspect="Content" ObjectID="_1468075731" r:id="rId25">
            <o:LockedField>false</o:LockedField>
          </o:OLEObject>
        </w:object>
      </w:r>
    </w:p>
    <w:p w14:paraId="022D247F">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eastAsia" w:ascii="仿宋_GB2312" w:eastAsia="仿宋_GB2312"/>
          <w:color w:val="000000"/>
          <w:sz w:val="32"/>
          <w:szCs w:val="32"/>
          <w:lang w:val="en-US" w:eastAsia="zh-CN"/>
        </w:rPr>
      </w:pPr>
      <w:r>
        <w:rPr>
          <w:rFonts w:hint="eastAsia" w:ascii="仿宋_GB2312" w:eastAsia="仿宋_GB2312"/>
          <w:b/>
          <w:color w:val="auto"/>
          <w:sz w:val="32"/>
          <w:szCs w:val="32"/>
          <w:highlight w:val="none"/>
          <w:lang w:val="en-US" w:eastAsia="zh-CN"/>
        </w:rPr>
        <w:t>1.</w:t>
      </w: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年初未安排预算</w:t>
      </w:r>
      <w:r>
        <w:rPr>
          <w:rFonts w:hint="eastAsia" w:ascii="仿宋_GB2312" w:eastAsia="仿宋_GB2312"/>
          <w:color w:val="auto"/>
          <w:sz w:val="32"/>
          <w:szCs w:val="32"/>
          <w:highlight w:val="none"/>
        </w:rPr>
        <w:t>。因公出国（境）支出决算</w:t>
      </w:r>
      <w:r>
        <w:rPr>
          <w:rFonts w:hint="eastAsia" w:ascii="仿宋_GB2312" w:eastAsia="仿宋_GB2312"/>
          <w:color w:val="auto"/>
          <w:sz w:val="32"/>
          <w:szCs w:val="32"/>
          <w:highlight w:val="none"/>
          <w:lang w:val="en-US"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000000"/>
          <w:sz w:val="32"/>
          <w:szCs w:val="32"/>
        </w:rPr>
        <w:t>年</w:t>
      </w:r>
      <w:r>
        <w:rPr>
          <w:rFonts w:hint="eastAsia" w:ascii="仿宋_GB2312" w:eastAsia="仿宋_GB2312"/>
          <w:color w:val="000000"/>
          <w:sz w:val="32"/>
          <w:szCs w:val="32"/>
          <w:lang w:val="en-US" w:eastAsia="zh-CN"/>
        </w:rPr>
        <w:t>无变化。</w:t>
      </w:r>
    </w:p>
    <w:p w14:paraId="1C6BC74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hint="default" w:ascii="仿宋_GB2312" w:eastAsia="仿宋_GB2312"/>
          <w:b/>
          <w:color w:val="auto"/>
          <w:sz w:val="32"/>
          <w:szCs w:val="32"/>
          <w:highlight w:val="none"/>
          <w:lang w:val="en-US" w:eastAsia="zh-CN"/>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 w:hAnsi="仿宋" w:eastAsia="仿宋"/>
          <w:b w:val="0"/>
          <w:bCs/>
          <w:color w:val="auto"/>
          <w:sz w:val="32"/>
          <w:szCs w:val="32"/>
          <w:highlight w:val="none"/>
          <w:lang w:val="en-US" w:eastAsia="zh-CN"/>
        </w:rPr>
        <w:t>年初未安排预算。</w:t>
      </w:r>
      <w:r>
        <w:rPr>
          <w:rFonts w:hint="eastAsia" w:ascii="仿宋_GB2312" w:eastAsia="仿宋_GB2312"/>
          <w:color w:val="auto"/>
          <w:sz w:val="32"/>
          <w:szCs w:val="32"/>
          <w:highlight w:val="none"/>
        </w:rPr>
        <w:t>公务用车购置及运行维护费支出决算</w:t>
      </w:r>
      <w:r>
        <w:rPr>
          <w:rFonts w:hint="eastAsia" w:ascii="仿宋_GB2312" w:eastAsia="仿宋_GB2312"/>
          <w:color w:val="auto"/>
          <w:sz w:val="32"/>
          <w:szCs w:val="32"/>
          <w:highlight w:val="none"/>
          <w:lang w:val="en-US" w:eastAsia="zh-CN"/>
        </w:rPr>
        <w:t>较</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无变化。</w:t>
      </w:r>
    </w:p>
    <w:p w14:paraId="193AEE45">
      <w:pPr>
        <w:spacing w:line="600" w:lineRule="exact"/>
        <w:ind w:firstLine="640" w:firstLineChars="20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24EB4B0B">
      <w:pPr>
        <w:spacing w:line="600" w:lineRule="exact"/>
        <w:ind w:firstLine="640"/>
        <w:rPr>
          <w:rFonts w:ascii="仿宋_GB2312" w:eastAsia="仿宋_GB2312"/>
          <w:color w:val="auto"/>
          <w:sz w:val="32"/>
          <w:szCs w:val="32"/>
          <w:highlight w:val="none"/>
        </w:rPr>
      </w:pPr>
      <w:r>
        <w:rPr>
          <w:rFonts w:ascii="仿宋_GB2312" w:eastAsia="仿宋_GB2312"/>
          <w:b/>
          <w:color w:val="auto"/>
          <w:sz w:val="32"/>
          <w:szCs w:val="32"/>
          <w:highlight w:val="none"/>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2.33</w:t>
      </w:r>
      <w:r>
        <w:rPr>
          <w:rFonts w:hint="eastAsia" w:ascii="仿宋_GB2312" w:eastAsia="仿宋_GB2312"/>
          <w:color w:val="auto"/>
          <w:sz w:val="32"/>
          <w:szCs w:val="32"/>
          <w:highlight w:val="none"/>
        </w:rPr>
        <w:t>万元，</w:t>
      </w:r>
      <w:r>
        <w:rPr>
          <w:rStyle w:val="20"/>
          <w:rFonts w:hint="eastAsia" w:ascii="仿宋" w:hAnsi="仿宋" w:eastAsia="仿宋"/>
          <w:b w:val="0"/>
          <w:bCs/>
          <w:color w:val="auto"/>
          <w:sz w:val="32"/>
          <w:szCs w:val="32"/>
          <w:highlight w:val="none"/>
        </w:rPr>
        <w:t>完成预算</w:t>
      </w:r>
      <w:r>
        <w:rPr>
          <w:rStyle w:val="20"/>
          <w:rFonts w:hint="eastAsia" w:ascii="仿宋" w:hAnsi="仿宋" w:eastAsia="仿宋"/>
          <w:b w:val="0"/>
          <w:bCs/>
          <w:color w:val="auto"/>
          <w:sz w:val="32"/>
          <w:szCs w:val="32"/>
          <w:highlight w:val="none"/>
          <w:lang w:val="en-US" w:eastAsia="zh-CN"/>
        </w:rPr>
        <w:t>100</w:t>
      </w:r>
      <w:r>
        <w:rPr>
          <w:rStyle w:val="20"/>
          <w:rFonts w:ascii="仿宋" w:hAnsi="仿宋" w:eastAsia="仿宋"/>
          <w:b w:val="0"/>
          <w:bCs/>
          <w:color w:val="auto"/>
          <w:sz w:val="32"/>
          <w:szCs w:val="32"/>
          <w:highlight w:val="none"/>
        </w:rPr>
        <w:t>%</w:t>
      </w:r>
      <w:r>
        <w:rPr>
          <w:rStyle w:val="20"/>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0.02</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0.85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w:t>
      </w:r>
      <w:r>
        <w:rPr>
          <w:rFonts w:hint="eastAsia" w:ascii="仿宋_GB2312" w:eastAsia="仿宋_GB2312"/>
          <w:color w:val="auto"/>
          <w:sz w:val="32"/>
          <w:szCs w:val="32"/>
          <w:highlight w:val="none"/>
          <w:lang w:eastAsia="zh-CN"/>
        </w:rPr>
        <w:t>是</w:t>
      </w:r>
      <w:r>
        <w:rPr>
          <w:rFonts w:hint="default" w:ascii="Times New Roman" w:hAnsi="Times New Roman" w:eastAsia="仿宋_GB2312" w:cs="Times New Roman"/>
          <w:b w:val="0"/>
          <w:bCs w:val="0"/>
          <w:color w:val="auto"/>
          <w:sz w:val="32"/>
          <w:szCs w:val="32"/>
        </w:rPr>
        <w:t>厉行节约、减少接待和陪同人次</w:t>
      </w:r>
      <w:r>
        <w:rPr>
          <w:rFonts w:hint="eastAsia" w:ascii="仿宋_GB2312" w:eastAsia="仿宋_GB2312"/>
          <w:color w:val="auto"/>
          <w:sz w:val="32"/>
          <w:szCs w:val="32"/>
          <w:highlight w:val="none"/>
        </w:rPr>
        <w:t>。其中：</w:t>
      </w:r>
    </w:p>
    <w:p w14:paraId="0918EFEA">
      <w:pPr>
        <w:spacing w:line="576" w:lineRule="exact"/>
        <w:ind w:firstLine="640"/>
        <w:rPr>
          <w:rFonts w:hint="default" w:ascii="Times New Roman" w:hAnsi="Times New Roman" w:eastAsia="仿宋_GB2312" w:cs="Times New Roman"/>
          <w:b w:val="0"/>
          <w:bCs w:val="0"/>
          <w:color w:val="auto"/>
          <w:sz w:val="32"/>
          <w:szCs w:val="32"/>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2.33</w:t>
      </w:r>
      <w:r>
        <w:rPr>
          <w:rFonts w:hint="eastAsia" w:ascii="仿宋_GB2312" w:eastAsia="仿宋_GB2312"/>
          <w:color w:val="auto"/>
          <w:sz w:val="32"/>
          <w:szCs w:val="32"/>
          <w:highlight w:val="none"/>
        </w:rPr>
        <w:t>万元，主要用于执行公务、开展业务活动开支的交通费、住宿费、用餐费等。国内公务接待</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209</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2.33</w:t>
      </w:r>
      <w:r>
        <w:rPr>
          <w:rFonts w:hint="eastAsia" w:ascii="仿宋_GB2312" w:eastAsia="仿宋_GB2312"/>
          <w:color w:val="auto"/>
          <w:sz w:val="32"/>
          <w:szCs w:val="32"/>
          <w:highlight w:val="none"/>
        </w:rPr>
        <w:t>万元，具体内容包括：</w:t>
      </w:r>
      <w:r>
        <w:rPr>
          <w:rFonts w:hint="default" w:ascii="Times New Roman" w:hAnsi="Times New Roman" w:eastAsia="仿宋_GB2312" w:cs="Times New Roman"/>
          <w:b w:val="0"/>
          <w:bCs w:val="0"/>
          <w:color w:val="auto"/>
          <w:sz w:val="32"/>
          <w:szCs w:val="32"/>
        </w:rPr>
        <w:t>干部培训0.95万元，科研工作0.</w:t>
      </w:r>
      <w:r>
        <w:rPr>
          <w:rFonts w:hint="eastAsia" w:eastAsia="仿宋_GB2312" w:cs="Times New Roman"/>
          <w:b w:val="0"/>
          <w:bCs w:val="0"/>
          <w:color w:val="auto"/>
          <w:sz w:val="32"/>
          <w:szCs w:val="32"/>
          <w:lang w:val="en-US" w:eastAsia="zh-CN"/>
        </w:rPr>
        <w:t>9</w:t>
      </w:r>
      <w:r>
        <w:rPr>
          <w:rFonts w:hint="default" w:ascii="Times New Roman" w:hAnsi="Times New Roman" w:eastAsia="仿宋_GB2312" w:cs="Times New Roman"/>
          <w:b w:val="0"/>
          <w:bCs w:val="0"/>
          <w:color w:val="auto"/>
          <w:sz w:val="32"/>
          <w:szCs w:val="32"/>
        </w:rPr>
        <w:t>万元，</w:t>
      </w:r>
      <w:r>
        <w:rPr>
          <w:rFonts w:hint="eastAsia" w:ascii="Times New Roman" w:hAnsi="Times New Roman" w:eastAsia="仿宋_GB2312" w:cs="Times New Roman"/>
          <w:b w:val="0"/>
          <w:bCs w:val="0"/>
          <w:color w:val="auto"/>
          <w:sz w:val="32"/>
          <w:szCs w:val="32"/>
          <w:lang w:val="en-US" w:eastAsia="zh-CN"/>
        </w:rPr>
        <w:t>乡村振兴帮扶</w:t>
      </w:r>
      <w:r>
        <w:rPr>
          <w:rFonts w:hint="default" w:ascii="Times New Roman" w:hAnsi="Times New Roman" w:eastAsia="仿宋_GB2312" w:cs="Times New Roman"/>
          <w:b w:val="0"/>
          <w:bCs w:val="0"/>
          <w:color w:val="auto"/>
          <w:sz w:val="32"/>
          <w:szCs w:val="32"/>
        </w:rPr>
        <w:t>0.</w:t>
      </w:r>
      <w:r>
        <w:rPr>
          <w:rFonts w:hint="eastAsia" w:eastAsia="仿宋_GB2312" w:cs="Times New Roman"/>
          <w:b w:val="0"/>
          <w:bCs w:val="0"/>
          <w:color w:val="auto"/>
          <w:sz w:val="32"/>
          <w:szCs w:val="32"/>
          <w:lang w:val="en-US" w:eastAsia="zh-CN"/>
        </w:rPr>
        <w:t>48</w:t>
      </w:r>
      <w:r>
        <w:rPr>
          <w:rFonts w:hint="default" w:ascii="Times New Roman" w:hAnsi="Times New Roman" w:eastAsia="仿宋_GB2312" w:cs="Times New Roman"/>
          <w:b w:val="0"/>
          <w:bCs w:val="0"/>
          <w:color w:val="auto"/>
          <w:sz w:val="32"/>
          <w:szCs w:val="32"/>
        </w:rPr>
        <w:t>万元。</w:t>
      </w:r>
      <w:bookmarkStart w:id="53" w:name="_Toc15377218"/>
      <w:bookmarkStart w:id="54" w:name="_Toc15396610"/>
    </w:p>
    <w:p w14:paraId="1D7FB81B">
      <w:pPr>
        <w:spacing w:line="600" w:lineRule="exact"/>
        <w:ind w:firstLine="643" w:firstLineChars="200"/>
        <w:rPr>
          <w:rFonts w:hint="default"/>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较2020年无变化</w:t>
      </w:r>
      <w:r>
        <w:rPr>
          <w:rFonts w:hint="eastAsia" w:ascii="仿宋_GB2312" w:eastAsia="仿宋_GB2312"/>
          <w:color w:val="auto"/>
          <w:sz w:val="32"/>
          <w:szCs w:val="32"/>
          <w:highlight w:val="none"/>
        </w:rPr>
        <w:t>。</w:t>
      </w:r>
    </w:p>
    <w:p w14:paraId="564AF98F">
      <w:pPr>
        <w:spacing w:line="576" w:lineRule="exact"/>
        <w:ind w:firstLine="640"/>
        <w:outlineLvl w:val="1"/>
        <w:rPr>
          <w:rStyle w:val="31"/>
          <w:rFonts w:ascii="黑体" w:hAnsi="黑体" w:eastAsia="黑体"/>
          <w:color w:val="auto"/>
          <w:highlight w:val="none"/>
        </w:rPr>
      </w:pPr>
      <w:bookmarkStart w:id="55" w:name="_Toc26845"/>
      <w:r>
        <w:rPr>
          <w:rFonts w:hint="eastAsia" w:ascii="黑体" w:eastAsia="黑体"/>
          <w:color w:val="auto"/>
          <w:sz w:val="32"/>
          <w:szCs w:val="32"/>
          <w:highlight w:val="none"/>
        </w:rPr>
        <w:t>八、</w:t>
      </w:r>
      <w:r>
        <w:rPr>
          <w:rStyle w:val="31"/>
          <w:rFonts w:hint="eastAsia" w:ascii="黑体" w:hAnsi="黑体" w:eastAsia="黑体"/>
          <w:b w:val="0"/>
          <w:color w:val="auto"/>
          <w:highlight w:val="none"/>
        </w:rPr>
        <w:t>政府性基金预算支出决算情况说明</w:t>
      </w:r>
      <w:bookmarkEnd w:id="53"/>
      <w:bookmarkEnd w:id="54"/>
      <w:bookmarkEnd w:id="55"/>
    </w:p>
    <w:p w14:paraId="5D322F89">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较2020年无变化</w:t>
      </w:r>
      <w:r>
        <w:rPr>
          <w:rFonts w:hint="eastAsia" w:ascii="仿宋_GB2312" w:eastAsia="仿宋_GB2312"/>
          <w:color w:val="auto"/>
          <w:sz w:val="32"/>
          <w:szCs w:val="32"/>
          <w:highlight w:val="none"/>
        </w:rPr>
        <w:t>。</w:t>
      </w:r>
      <w:r>
        <w:rPr>
          <w:rFonts w:hint="eastAsia" w:ascii="仿宋_GB2312" w:eastAsia="仿宋_GB2312"/>
          <w:color w:val="000000"/>
          <w:sz w:val="32"/>
          <w:szCs w:val="32"/>
          <w:lang w:val="en-US" w:eastAsia="zh-CN"/>
        </w:rPr>
        <w:t>2021年本单位未在政府性基金预算拨款安排“三公”经费支出。</w:t>
      </w:r>
    </w:p>
    <w:p w14:paraId="3D934EE0">
      <w:pPr>
        <w:numPr>
          <w:ilvl w:val="0"/>
          <w:numId w:val="2"/>
        </w:numPr>
        <w:spacing w:line="600" w:lineRule="exact"/>
        <w:ind w:firstLine="640"/>
        <w:outlineLvl w:val="1"/>
        <w:rPr>
          <w:rStyle w:val="31"/>
          <w:rFonts w:ascii="黑体" w:hAnsi="黑体" w:eastAsia="黑体"/>
          <w:b w:val="0"/>
          <w:color w:val="auto"/>
          <w:highlight w:val="none"/>
        </w:rPr>
      </w:pPr>
      <w:bookmarkStart w:id="56" w:name="_Toc15396611"/>
      <w:bookmarkStart w:id="57" w:name="_Toc30235"/>
      <w:bookmarkStart w:id="58" w:name="_Toc15377219"/>
      <w:r>
        <w:rPr>
          <w:rStyle w:val="31"/>
          <w:rFonts w:hint="eastAsia" w:ascii="黑体" w:hAnsi="黑体" w:eastAsia="黑体"/>
          <w:b w:val="0"/>
          <w:color w:val="auto"/>
          <w:highlight w:val="none"/>
        </w:rPr>
        <w:t>国有资本经营预算支出决算情况说明</w:t>
      </w:r>
      <w:bookmarkEnd w:id="56"/>
      <w:bookmarkEnd w:id="57"/>
      <w:bookmarkEnd w:id="58"/>
    </w:p>
    <w:p w14:paraId="1A2A7706">
      <w:pPr>
        <w:spacing w:line="600" w:lineRule="exact"/>
        <w:ind w:firstLine="640"/>
        <w:rPr>
          <w:rFonts w:hint="eastAsia" w:ascii="方正小标宋简体" w:hAnsi="方正小标宋简体" w:eastAsia="仿宋_GB2312" w:cs="方正小标宋简体"/>
          <w:color w:val="auto"/>
          <w:sz w:val="44"/>
          <w:szCs w:val="44"/>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较2020年无变化</w:t>
      </w:r>
      <w:r>
        <w:rPr>
          <w:rFonts w:hint="eastAsia" w:ascii="仿宋_GB2312" w:eastAsia="仿宋_GB2312"/>
          <w:color w:val="auto"/>
          <w:sz w:val="32"/>
          <w:szCs w:val="32"/>
          <w:highlight w:val="none"/>
        </w:rPr>
        <w:t>。</w:t>
      </w:r>
    </w:p>
    <w:p w14:paraId="2B690CAB">
      <w:pPr>
        <w:numPr>
          <w:ilvl w:val="0"/>
          <w:numId w:val="2"/>
        </w:numPr>
        <w:spacing w:line="600" w:lineRule="exact"/>
        <w:ind w:firstLine="640"/>
        <w:outlineLvl w:val="1"/>
        <w:rPr>
          <w:rStyle w:val="31"/>
          <w:rFonts w:hint="eastAsia" w:ascii="黑体" w:hAnsi="黑体" w:eastAsia="黑体"/>
          <w:b w:val="0"/>
          <w:color w:val="auto"/>
          <w:highlight w:val="none"/>
        </w:rPr>
      </w:pPr>
      <w:bookmarkStart w:id="59" w:name="_Toc7170"/>
      <w:bookmarkStart w:id="60" w:name="_Toc15377221"/>
      <w:bookmarkStart w:id="61" w:name="_Toc15396612"/>
      <w:r>
        <w:rPr>
          <w:rStyle w:val="31"/>
          <w:rFonts w:hint="eastAsia" w:ascii="黑体" w:hAnsi="黑体" w:eastAsia="黑体"/>
          <w:b w:val="0"/>
          <w:color w:val="auto"/>
          <w:highlight w:val="none"/>
          <w:lang w:val="en-US" w:eastAsia="zh-CN"/>
        </w:rPr>
        <w:t>预算绩效管理情况</w:t>
      </w:r>
      <w:bookmarkEnd w:id="59"/>
    </w:p>
    <w:p w14:paraId="79E6BEA9">
      <w:pPr>
        <w:spacing w:line="58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根据预算绩效管理要求，本单位在</w:t>
      </w:r>
      <w:r>
        <w:rPr>
          <w:rFonts w:hint="eastAsia" w:ascii="仿宋_GB2312" w:hAnsi="仿宋_GB2312" w:eastAsia="仿宋_GB2312" w:cs="仿宋_GB2312"/>
          <w:color w:val="auto"/>
          <w:sz w:val="32"/>
          <w:szCs w:val="32"/>
          <w:highlight w:val="none"/>
          <w:lang w:val="en-US" w:eastAsia="zh-CN"/>
        </w:rPr>
        <w:t>2021年度</w:t>
      </w:r>
      <w:r>
        <w:rPr>
          <w:rFonts w:hint="eastAsia" w:ascii="仿宋_GB2312" w:hAnsi="仿宋_GB2312" w:eastAsia="仿宋_GB2312" w:cs="仿宋_GB2312"/>
          <w:color w:val="auto"/>
          <w:sz w:val="32"/>
          <w:szCs w:val="32"/>
          <w:highlight w:val="none"/>
        </w:rPr>
        <w:t>预算编制阶段，组织对</w:t>
      </w:r>
      <w:r>
        <w:rPr>
          <w:rFonts w:hint="eastAsia" w:ascii="仿宋_GB2312" w:hAnsi="仿宋_GB2312" w:eastAsia="仿宋_GB2312" w:cs="仿宋_GB2312"/>
          <w:color w:val="auto"/>
          <w:sz w:val="32"/>
          <w:szCs w:val="32"/>
          <w:highlight w:val="none"/>
          <w:lang w:val="en-US" w:eastAsia="zh-CN"/>
        </w:rPr>
        <w:t>干部等七类培训费</w:t>
      </w:r>
      <w:r>
        <w:rPr>
          <w:rFonts w:hint="eastAsia" w:ascii="仿宋_GB2312" w:hAnsi="仿宋_GB2312" w:eastAsia="仿宋_GB2312" w:cs="仿宋_GB2312"/>
          <w:color w:val="auto"/>
          <w:sz w:val="32"/>
          <w:szCs w:val="32"/>
          <w:highlight w:val="none"/>
        </w:rPr>
        <w:t>项目</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科研经费、东西部协作人才交流</w:t>
      </w:r>
      <w:r>
        <w:rPr>
          <w:rFonts w:hint="eastAsia" w:ascii="仿宋_GB2312" w:hAnsi="仿宋_GB2312" w:eastAsia="仿宋_GB2312" w:cs="仿宋_GB2312"/>
          <w:color w:val="auto"/>
          <w:sz w:val="32"/>
          <w:szCs w:val="32"/>
          <w:highlight w:val="none"/>
          <w:lang w:eastAsia="zh-CN"/>
        </w:rPr>
        <w:t>等</w:t>
      </w:r>
      <w:r>
        <w:rPr>
          <w:rFonts w:hint="eastAsia" w:ascii="仿宋_GB2312" w:hAnsi="仿宋_GB2312" w:eastAsia="仿宋_GB2312" w:cs="仿宋_GB2312"/>
          <w:color w:val="auto"/>
          <w:sz w:val="32"/>
          <w:szCs w:val="32"/>
          <w:highlight w:val="none"/>
          <w:lang w:val="en-US" w:eastAsia="zh-CN"/>
        </w:rPr>
        <w:t>3个项目</w:t>
      </w:r>
      <w:r>
        <w:rPr>
          <w:rFonts w:hint="eastAsia" w:ascii="仿宋_GB2312" w:hAnsi="仿宋_GB2312" w:eastAsia="仿宋_GB2312" w:cs="仿宋_GB2312"/>
          <w:color w:val="auto"/>
          <w:sz w:val="32"/>
          <w:szCs w:val="32"/>
          <w:highlight w:val="none"/>
        </w:rPr>
        <w:t>开展了预算事前绩效评估，对</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个项目开展绩效监控，年终执行完毕后，对</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个项目开展了绩效自评</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2021年部门预算项目绩效目标自评表见附件（第四部分）</w:t>
      </w:r>
      <w:r>
        <w:rPr>
          <w:rFonts w:hint="eastAsia" w:ascii="仿宋_GB2312" w:hAnsi="仿宋_GB2312" w:eastAsia="仿宋_GB2312" w:cs="仿宋_GB2312"/>
          <w:color w:val="auto"/>
          <w:sz w:val="32"/>
          <w:szCs w:val="32"/>
          <w:highlight w:val="none"/>
        </w:rPr>
        <w:t>。</w:t>
      </w:r>
    </w:p>
    <w:p w14:paraId="24243336">
      <w:pPr>
        <w:numPr>
          <w:ilvl w:val="0"/>
          <w:numId w:val="2"/>
        </w:numPr>
        <w:spacing w:line="600" w:lineRule="exact"/>
        <w:ind w:firstLine="640"/>
        <w:outlineLvl w:val="1"/>
        <w:rPr>
          <w:rStyle w:val="31"/>
          <w:rFonts w:hint="eastAsia" w:ascii="黑体" w:hAnsi="黑体" w:eastAsia="黑体"/>
          <w:b w:val="0"/>
          <w:color w:val="auto"/>
          <w:highlight w:val="none"/>
        </w:rPr>
      </w:pPr>
      <w:bookmarkStart w:id="62" w:name="_Toc26137"/>
      <w:r>
        <w:rPr>
          <w:rStyle w:val="31"/>
          <w:rFonts w:hint="eastAsia" w:ascii="黑体" w:hAnsi="黑体" w:eastAsia="黑体"/>
          <w:b w:val="0"/>
          <w:color w:val="auto"/>
          <w:highlight w:val="none"/>
        </w:rPr>
        <w:t>其他重要事项的情况说明</w:t>
      </w:r>
      <w:bookmarkEnd w:id="60"/>
      <w:bookmarkEnd w:id="61"/>
      <w:bookmarkEnd w:id="62"/>
    </w:p>
    <w:p w14:paraId="0663C299">
      <w:pPr>
        <w:spacing w:line="600" w:lineRule="exact"/>
        <w:ind w:firstLine="643" w:firstLineChars="200"/>
        <w:outlineLvl w:val="2"/>
        <w:rPr>
          <w:rFonts w:ascii="仿宋" w:hAnsi="仿宋" w:eastAsia="仿宋"/>
          <w:color w:val="auto"/>
          <w:sz w:val="32"/>
          <w:szCs w:val="32"/>
          <w:highlight w:val="none"/>
        </w:rPr>
      </w:pPr>
      <w:bookmarkStart w:id="63" w:name="_Toc15377222"/>
      <w:r>
        <w:rPr>
          <w:rFonts w:hint="eastAsia" w:ascii="仿宋" w:hAnsi="仿宋" w:eastAsia="仿宋"/>
          <w:b/>
          <w:color w:val="auto"/>
          <w:sz w:val="32"/>
          <w:szCs w:val="32"/>
          <w:highlight w:val="none"/>
        </w:rPr>
        <w:t>（一）机关运行经费支出情况</w:t>
      </w:r>
      <w:bookmarkEnd w:id="63"/>
    </w:p>
    <w:p w14:paraId="303BEFB6">
      <w:pPr>
        <w:spacing w:line="600" w:lineRule="exact"/>
        <w:ind w:firstLine="640" w:firstLineChars="20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区委党校</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125.65</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20</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51.55</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69.56</w:t>
      </w:r>
      <w:r>
        <w:rPr>
          <w:rFonts w:ascii="仿宋_GB2312" w:eastAsia="仿宋_GB2312"/>
          <w:color w:val="auto"/>
          <w:sz w:val="32"/>
          <w:szCs w:val="32"/>
          <w:highlight w:val="none"/>
        </w:rPr>
        <w:t>%</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主要原因是</w:t>
      </w:r>
      <w:r>
        <w:rPr>
          <w:rFonts w:hint="eastAsia" w:ascii="仿宋_GB2312" w:eastAsia="仿宋_GB2312"/>
          <w:color w:val="auto"/>
          <w:sz w:val="32"/>
          <w:szCs w:val="32"/>
          <w:highlight w:val="none"/>
          <w:lang w:val="en-US" w:eastAsia="zh-CN"/>
        </w:rPr>
        <w:t>培训班次增加、人员增加，相应公用经费增加。</w:t>
      </w:r>
    </w:p>
    <w:p w14:paraId="0C279AFC">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4" w:name="_Toc15377223"/>
      <w:r>
        <w:rPr>
          <w:rFonts w:hint="eastAsia" w:ascii="仿宋" w:hAnsi="仿宋" w:eastAsia="仿宋"/>
          <w:b/>
          <w:color w:val="auto"/>
          <w:sz w:val="32"/>
          <w:szCs w:val="32"/>
          <w:highlight w:val="none"/>
        </w:rPr>
        <w:t>（二）政府采购支出情况</w:t>
      </w:r>
      <w:bookmarkEnd w:id="64"/>
    </w:p>
    <w:p w14:paraId="09D2CE38">
      <w:pPr>
        <w:spacing w:line="600" w:lineRule="exact"/>
        <w:ind w:firstLine="640" w:firstLineChars="200"/>
        <w:rPr>
          <w:rFonts w:hint="default" w:ascii="仿宋_GB2312" w:eastAsia="仿宋_GB2312"/>
          <w:color w:val="auto"/>
          <w:sz w:val="32"/>
          <w:szCs w:val="32"/>
          <w:highlight w:val="none"/>
          <w:lang w:val="en-US"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val="en-US" w:eastAsia="zh-CN"/>
        </w:rPr>
        <w:t>区委党校</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lang w:val="en-US" w:eastAsia="zh-CN"/>
        </w:rPr>
        <w:t>年初未安排政府采购预算。</w:t>
      </w:r>
    </w:p>
    <w:p w14:paraId="7FDC45CD">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5" w:name="_Toc15377224"/>
      <w:r>
        <w:rPr>
          <w:rFonts w:hint="eastAsia" w:ascii="仿宋" w:hAnsi="仿宋" w:eastAsia="仿宋"/>
          <w:b/>
          <w:color w:val="auto"/>
          <w:sz w:val="32"/>
          <w:szCs w:val="32"/>
          <w:highlight w:val="none"/>
        </w:rPr>
        <w:t>（三）国有资产占有使用情况</w:t>
      </w:r>
      <w:bookmarkEnd w:id="65"/>
    </w:p>
    <w:p w14:paraId="4E392FBB">
      <w:pPr>
        <w:autoSpaceDE w:val="0"/>
        <w:autoSpaceDN w:val="0"/>
        <w:adjustRightInd w:val="0"/>
        <w:spacing w:line="600" w:lineRule="exact"/>
        <w:ind w:firstLine="640" w:firstLineChars="200"/>
        <w:jc w:val="left"/>
        <w:rPr>
          <w:rFonts w:ascii="仿宋" w:hAnsi="仿宋" w:eastAsia="仿宋"/>
          <w:b/>
          <w:color w:val="FF0000"/>
          <w:sz w:val="32"/>
          <w:szCs w:val="32"/>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val="en-US" w:eastAsia="zh-CN"/>
        </w:rPr>
        <w:t>区委党校</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000000"/>
          <w:sz w:val="32"/>
          <w:szCs w:val="32"/>
        </w:rPr>
        <w:t>其中：主要领导干部用车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辆、机要通信用车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辆、应急保障用车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辆、其他用车</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辆</w:t>
      </w:r>
      <w:r>
        <w:rPr>
          <w:rFonts w:hint="eastAsia" w:ascii="仿宋_GB2312" w:eastAsia="仿宋_GB2312"/>
          <w:color w:val="000000"/>
          <w:sz w:val="32"/>
          <w:szCs w:val="32"/>
          <w:lang w:eastAsia="zh-CN"/>
        </w:rPr>
        <w:t>，</w:t>
      </w:r>
      <w:r>
        <w:rPr>
          <w:rFonts w:hint="eastAsia" w:ascii="仿宋_GB2312" w:eastAsia="仿宋_GB2312"/>
          <w:color w:val="000000"/>
          <w:sz w:val="32"/>
          <w:szCs w:val="32"/>
        </w:rPr>
        <w:t>单价</w:t>
      </w:r>
      <w:r>
        <w:rPr>
          <w:rFonts w:ascii="仿宋_GB2312" w:eastAsia="仿宋_GB2312"/>
          <w:color w:val="000000"/>
          <w:sz w:val="32"/>
          <w:szCs w:val="32"/>
        </w:rPr>
        <w:t>50</w:t>
      </w:r>
      <w:r>
        <w:rPr>
          <w:rFonts w:hint="eastAsia" w:ascii="仿宋_GB2312" w:eastAsia="仿宋_GB2312"/>
          <w:color w:val="000000"/>
          <w:sz w:val="32"/>
          <w:szCs w:val="32"/>
        </w:rPr>
        <w:t>万元以上通用设备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台（套），单价</w:t>
      </w:r>
      <w:r>
        <w:rPr>
          <w:rFonts w:ascii="仿宋_GB2312" w:eastAsia="仿宋_GB2312"/>
          <w:color w:val="000000"/>
          <w:sz w:val="32"/>
          <w:szCs w:val="32"/>
        </w:rPr>
        <w:t>100</w:t>
      </w:r>
      <w:r>
        <w:rPr>
          <w:rFonts w:hint="eastAsia" w:ascii="仿宋_GB2312" w:eastAsia="仿宋_GB2312"/>
          <w:color w:val="000000"/>
          <w:sz w:val="32"/>
          <w:szCs w:val="32"/>
        </w:rPr>
        <w:t>万元以上专用设备</w:t>
      </w:r>
      <w:r>
        <w:rPr>
          <w:rFonts w:hint="eastAsia" w:ascii="仿宋_GB2312" w:eastAsia="仿宋_GB2312"/>
          <w:color w:val="000000"/>
          <w:sz w:val="32"/>
          <w:szCs w:val="32"/>
          <w:lang w:val="en-US" w:eastAsia="zh-CN"/>
        </w:rPr>
        <w:t>0</w:t>
      </w:r>
      <w:r>
        <w:rPr>
          <w:rFonts w:hint="eastAsia" w:ascii="仿宋_GB2312" w:eastAsia="仿宋_GB2312"/>
          <w:color w:val="000000"/>
          <w:sz w:val="32"/>
          <w:szCs w:val="32"/>
        </w:rPr>
        <w:t>台（套）。</w:t>
      </w:r>
    </w:p>
    <w:p w14:paraId="701E603D"/>
    <w:p w14:paraId="3686969D">
      <w:pPr>
        <w:numPr>
          <w:ilvl w:val="0"/>
          <w:numId w:val="3"/>
        </w:numPr>
        <w:spacing w:line="600" w:lineRule="exact"/>
        <w:ind w:firstLine="660" w:firstLineChars="150"/>
        <w:jc w:val="center"/>
        <w:outlineLvl w:val="0"/>
        <w:rPr>
          <w:rStyle w:val="30"/>
          <w:rFonts w:ascii="黑体" w:hAnsi="黑体" w:eastAsia="黑体"/>
          <w:b w:val="0"/>
          <w:color w:val="auto"/>
          <w:highlight w:val="none"/>
        </w:rPr>
      </w:pPr>
      <w:bookmarkStart w:id="66" w:name="_Toc15396613"/>
      <w:bookmarkStart w:id="67" w:name="_Toc15377225"/>
      <w:bookmarkStart w:id="68" w:name="_Toc9823"/>
      <w:r>
        <w:rPr>
          <w:rFonts w:hint="eastAsia" w:ascii="黑体" w:hAnsi="黑体" w:eastAsia="黑体"/>
          <w:color w:val="auto"/>
          <w:sz w:val="44"/>
          <w:szCs w:val="44"/>
          <w:highlight w:val="none"/>
        </w:rPr>
        <w:t>名</w:t>
      </w:r>
      <w:r>
        <w:rPr>
          <w:rStyle w:val="30"/>
          <w:rFonts w:hint="eastAsia" w:ascii="黑体" w:hAnsi="黑体" w:eastAsia="黑体"/>
          <w:b w:val="0"/>
          <w:color w:val="auto"/>
          <w:highlight w:val="none"/>
        </w:rPr>
        <w:t>词解释</w:t>
      </w:r>
      <w:bookmarkEnd w:id="66"/>
      <w:bookmarkEnd w:id="67"/>
      <w:bookmarkEnd w:id="68"/>
    </w:p>
    <w:p w14:paraId="1FDFB1C1">
      <w:pPr>
        <w:spacing w:line="600" w:lineRule="exact"/>
        <w:jc w:val="left"/>
        <w:rPr>
          <w:rFonts w:ascii="宋体"/>
          <w:b/>
          <w:color w:val="auto"/>
          <w:sz w:val="44"/>
          <w:szCs w:val="44"/>
          <w:highlight w:val="none"/>
        </w:rPr>
      </w:pPr>
    </w:p>
    <w:p w14:paraId="55628EC0">
      <w:pPr>
        <w:pStyle w:val="28"/>
        <w:spacing w:line="560" w:lineRule="exact"/>
        <w:ind w:firstLine="640" w:firstLineChars="200"/>
        <w:rPr>
          <w:rFonts w:ascii="仿宋_GB2312" w:eastAsia="仿宋_GB2312"/>
          <w:color w:val="auto"/>
          <w:sz w:val="32"/>
          <w:szCs w:val="32"/>
          <w:highlight w:val="none"/>
        </w:rPr>
      </w:pPr>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p>
    <w:p w14:paraId="2669EE8C">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2</w:t>
      </w:r>
      <w:r>
        <w:rPr>
          <w:rFonts w:ascii="仿宋_GB2312" w:eastAsia="仿宋_GB2312"/>
          <w:color w:val="auto"/>
          <w:sz w:val="32"/>
          <w:szCs w:val="32"/>
          <w:highlight w:val="none"/>
        </w:rPr>
        <w:t>.</w:t>
      </w:r>
      <w:r>
        <w:rPr>
          <w:rFonts w:hint="eastAsia" w:ascii="仿宋_GB2312" w:eastAsia="仿宋_GB2312"/>
          <w:color w:val="auto"/>
          <w:sz w:val="32"/>
          <w:szCs w:val="32"/>
          <w:highlight w:val="none"/>
        </w:rPr>
        <w:t>年初结转和结余：指以前年度尚未完成、结转到本年按有关规定继续使用的资金。</w:t>
      </w:r>
      <w:r>
        <w:rPr>
          <w:rFonts w:ascii="仿宋_GB2312" w:eastAsia="仿宋_GB2312"/>
          <w:color w:val="auto"/>
          <w:sz w:val="32"/>
          <w:szCs w:val="32"/>
          <w:highlight w:val="none"/>
        </w:rPr>
        <w:t xml:space="preserve"> </w:t>
      </w:r>
    </w:p>
    <w:p w14:paraId="08ABB4B1">
      <w:pPr>
        <w:pStyle w:val="28"/>
        <w:spacing w:line="560"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3.</w:t>
      </w:r>
      <w:r>
        <w:rPr>
          <w:rFonts w:hint="eastAsia" w:ascii="仿宋_GB2312" w:eastAsia="仿宋_GB2312"/>
          <w:color w:val="auto"/>
          <w:sz w:val="32"/>
          <w:szCs w:val="32"/>
          <w:highlight w:val="none"/>
        </w:rPr>
        <w:t>年末结转和结余：指单位按有关规定结转到下年或以后年度继续使用的资金。</w:t>
      </w:r>
    </w:p>
    <w:p w14:paraId="12F1B519">
      <w:pPr>
        <w:spacing w:line="576" w:lineRule="exact"/>
        <w:ind w:firstLine="640" w:firstLineChars="200"/>
        <w:rPr>
          <w:rFonts w:ascii="仿宋_GB2312" w:eastAsia="仿宋_GB2312"/>
          <w:color w:val="auto"/>
          <w:sz w:val="32"/>
          <w:szCs w:val="32"/>
          <w:highlight w:val="none"/>
        </w:rPr>
      </w:pPr>
      <w:r>
        <w:rPr>
          <w:rFonts w:hint="eastAsia" w:ascii="仿宋_GB2312" w:eastAsia="仿宋_GB2312"/>
          <w:color w:val="auto"/>
          <w:sz w:val="32"/>
          <w:szCs w:val="32"/>
          <w:highlight w:val="none"/>
          <w:lang w:val="en-US" w:eastAsia="zh-CN"/>
        </w:rPr>
        <w:t>4</w:t>
      </w:r>
      <w:r>
        <w:rPr>
          <w:rFonts w:ascii="仿宋_GB2312" w:eastAsia="仿宋_GB2312"/>
          <w:color w:val="auto"/>
          <w:sz w:val="32"/>
          <w:szCs w:val="32"/>
          <w:highlight w:val="none"/>
        </w:rPr>
        <w:t>.</w:t>
      </w:r>
      <w:r>
        <w:rPr>
          <w:rFonts w:hint="eastAsia" w:ascii="仿宋_GB2312" w:eastAsia="仿宋_GB2312"/>
          <w:color w:val="auto"/>
          <w:sz w:val="32"/>
          <w:szCs w:val="32"/>
          <w:highlight w:val="none"/>
        </w:rPr>
        <w:t>教育（类）</w:t>
      </w:r>
      <w:r>
        <w:rPr>
          <w:rFonts w:hint="default" w:ascii="Times New Roman" w:hAnsi="Times New Roman" w:eastAsia="仿宋_GB2312" w:cs="Times New Roman"/>
          <w:b w:val="0"/>
          <w:bCs w:val="0"/>
          <w:color w:val="auto"/>
          <w:sz w:val="32"/>
          <w:szCs w:val="32"/>
        </w:rPr>
        <w:t>进修及培训</w:t>
      </w:r>
      <w:r>
        <w:rPr>
          <w:rFonts w:hint="eastAsia" w:ascii="仿宋_GB2312" w:eastAsia="仿宋_GB2312"/>
          <w:color w:val="auto"/>
          <w:sz w:val="32"/>
          <w:szCs w:val="32"/>
          <w:highlight w:val="none"/>
        </w:rPr>
        <w:t>（款）</w:t>
      </w:r>
      <w:r>
        <w:rPr>
          <w:rFonts w:hint="default" w:ascii="Times New Roman" w:hAnsi="Times New Roman" w:eastAsia="仿宋_GB2312" w:cs="Times New Roman"/>
          <w:b w:val="0"/>
          <w:bCs w:val="0"/>
          <w:color w:val="auto"/>
          <w:sz w:val="32"/>
          <w:szCs w:val="32"/>
        </w:rPr>
        <w:t>干部教育</w:t>
      </w:r>
      <w:r>
        <w:rPr>
          <w:rFonts w:hint="eastAsia" w:ascii="仿宋_GB2312" w:eastAsia="仿宋_GB2312"/>
          <w:color w:val="auto"/>
          <w:sz w:val="32"/>
          <w:szCs w:val="32"/>
          <w:highlight w:val="none"/>
        </w:rPr>
        <w:t>（项）：指</w:t>
      </w:r>
      <w:r>
        <w:rPr>
          <w:rFonts w:hint="default" w:ascii="Times New Roman" w:hAnsi="Times New Roman" w:eastAsia="仿宋_GB2312" w:cs="Times New Roman"/>
          <w:b w:val="0"/>
          <w:bCs w:val="0"/>
          <w:color w:val="auto"/>
          <w:sz w:val="32"/>
          <w:szCs w:val="32"/>
        </w:rPr>
        <w:t>反映各级党校、行政学院、社会主义学院、国家会计学院的支出。包括机构运转、招聘师资、举办各类培训班的支出。</w:t>
      </w:r>
    </w:p>
    <w:p w14:paraId="55C908E3">
      <w:pPr>
        <w:ind w:firstLine="640" w:firstLineChars="200"/>
        <w:rPr>
          <w:rFonts w:hint="default" w:ascii="Times New Roman" w:hAnsi="Times New Roman" w:eastAsia="仿宋_GB2312" w:cs="Times New Roman"/>
          <w:b w:val="0"/>
          <w:bCs w:val="0"/>
          <w:color w:val="auto"/>
          <w:sz w:val="32"/>
          <w:szCs w:val="32"/>
        </w:rPr>
      </w:pPr>
      <w:r>
        <w:rPr>
          <w:rFonts w:hint="eastAsia" w:ascii="仿宋_GB2312" w:eastAsia="仿宋_GB2312"/>
          <w:color w:val="auto"/>
          <w:sz w:val="32"/>
          <w:szCs w:val="32"/>
          <w:highlight w:val="none"/>
          <w:lang w:val="en-US" w:eastAsia="zh-CN"/>
        </w:rPr>
        <w:t>5</w:t>
      </w:r>
      <w:r>
        <w:rPr>
          <w:rFonts w:ascii="仿宋_GB2312" w:eastAsia="仿宋_GB2312"/>
          <w:color w:val="auto"/>
          <w:sz w:val="32"/>
          <w:szCs w:val="32"/>
          <w:highlight w:val="none"/>
        </w:rPr>
        <w:t>.</w:t>
      </w:r>
      <w:r>
        <w:rPr>
          <w:rFonts w:hint="eastAsia" w:ascii="仿宋_GB2312" w:eastAsia="仿宋_GB2312"/>
          <w:color w:val="auto"/>
          <w:sz w:val="32"/>
          <w:szCs w:val="32"/>
          <w:highlight w:val="none"/>
        </w:rPr>
        <w:t>社会保障和就业（类）</w:t>
      </w:r>
      <w:r>
        <w:rPr>
          <w:rFonts w:hint="default" w:ascii="Times New Roman" w:hAnsi="Times New Roman" w:eastAsia="仿宋_GB2312" w:cs="Times New Roman"/>
          <w:b w:val="0"/>
          <w:bCs w:val="0"/>
          <w:color w:val="auto"/>
          <w:sz w:val="32"/>
          <w:szCs w:val="32"/>
        </w:rPr>
        <w:t>行政事业单位离退休</w:t>
      </w:r>
      <w:r>
        <w:rPr>
          <w:rFonts w:hint="eastAsia" w:ascii="仿宋_GB2312" w:eastAsia="仿宋_GB2312"/>
          <w:color w:val="auto"/>
          <w:sz w:val="32"/>
          <w:szCs w:val="32"/>
          <w:highlight w:val="none"/>
        </w:rPr>
        <w:t>（款）</w:t>
      </w:r>
      <w:r>
        <w:rPr>
          <w:rFonts w:hint="default" w:ascii="Times New Roman" w:hAnsi="Times New Roman" w:eastAsia="仿宋_GB2312" w:cs="Times New Roman"/>
          <w:b w:val="0"/>
          <w:bCs w:val="0"/>
          <w:color w:val="auto"/>
          <w:sz w:val="32"/>
          <w:szCs w:val="32"/>
        </w:rPr>
        <w:t>机关事业单位基本养老保险缴费支出</w:t>
      </w:r>
      <w:r>
        <w:rPr>
          <w:rFonts w:hint="eastAsia" w:ascii="仿宋_GB2312" w:eastAsia="仿宋_GB2312"/>
          <w:color w:val="auto"/>
          <w:sz w:val="32"/>
          <w:szCs w:val="32"/>
          <w:highlight w:val="none"/>
        </w:rPr>
        <w:t>（项）：指</w:t>
      </w:r>
      <w:r>
        <w:rPr>
          <w:rFonts w:hint="default" w:ascii="Times New Roman" w:hAnsi="Times New Roman" w:eastAsia="仿宋_GB2312" w:cs="Times New Roman"/>
          <w:b w:val="0"/>
          <w:bCs w:val="0"/>
          <w:color w:val="auto"/>
          <w:sz w:val="32"/>
          <w:szCs w:val="32"/>
        </w:rPr>
        <w:t>指机关事业单位实施养老保险制度由单位缴纳的基本养老保险费支出。</w:t>
      </w:r>
    </w:p>
    <w:p w14:paraId="0B32D55D">
      <w:pPr>
        <w:spacing w:line="576" w:lineRule="exact"/>
        <w:ind w:firstLine="640" w:firstLineChars="200"/>
        <w:rPr>
          <w:rFonts w:hint="default" w:ascii="Times New Roman" w:hAnsi="Times New Roman" w:eastAsia="仿宋_GB2312" w:cs="Times New Roman"/>
          <w:b w:val="0"/>
          <w:bCs w:val="0"/>
          <w:color w:val="auto"/>
          <w:sz w:val="32"/>
          <w:szCs w:val="32"/>
        </w:rPr>
      </w:pPr>
      <w:r>
        <w:rPr>
          <w:rFonts w:hint="eastAsia" w:ascii="仿宋_GB2312" w:eastAsia="仿宋_GB2312"/>
          <w:color w:val="auto"/>
          <w:sz w:val="32"/>
          <w:szCs w:val="32"/>
          <w:highlight w:val="none"/>
          <w:lang w:val="en-US" w:eastAsia="zh-CN"/>
        </w:rPr>
        <w:t>6</w:t>
      </w:r>
      <w:r>
        <w:rPr>
          <w:rFonts w:ascii="仿宋_GB2312" w:eastAsia="仿宋_GB2312"/>
          <w:color w:val="auto"/>
          <w:sz w:val="32"/>
          <w:szCs w:val="32"/>
          <w:highlight w:val="none"/>
        </w:rPr>
        <w:t>.</w:t>
      </w:r>
      <w:r>
        <w:rPr>
          <w:rFonts w:hint="eastAsia" w:ascii="仿宋_GB2312" w:eastAsia="仿宋_GB2312"/>
          <w:color w:val="auto"/>
          <w:sz w:val="32"/>
          <w:szCs w:val="32"/>
          <w:highlight w:val="none"/>
        </w:rPr>
        <w:t>医疗卫生与计划生育（类）</w:t>
      </w:r>
      <w:r>
        <w:rPr>
          <w:rFonts w:hint="default" w:ascii="Times New Roman" w:hAnsi="Times New Roman" w:eastAsia="仿宋_GB2312" w:cs="Times New Roman"/>
          <w:b w:val="0"/>
          <w:bCs w:val="0"/>
          <w:color w:val="auto"/>
          <w:sz w:val="32"/>
          <w:szCs w:val="32"/>
        </w:rPr>
        <w:t>行政事业单位医疗</w:t>
      </w:r>
      <w:r>
        <w:rPr>
          <w:rFonts w:hint="eastAsia" w:ascii="仿宋_GB2312" w:eastAsia="仿宋_GB2312"/>
          <w:color w:val="auto"/>
          <w:sz w:val="32"/>
          <w:szCs w:val="32"/>
          <w:highlight w:val="none"/>
        </w:rPr>
        <w:t>（款）</w:t>
      </w:r>
      <w:r>
        <w:rPr>
          <w:rFonts w:hint="default" w:ascii="Times New Roman" w:hAnsi="Times New Roman" w:eastAsia="仿宋_GB2312" w:cs="Times New Roman"/>
          <w:b w:val="0"/>
          <w:bCs w:val="0"/>
          <w:color w:val="auto"/>
          <w:sz w:val="32"/>
          <w:szCs w:val="32"/>
        </w:rPr>
        <w:t>事业单位医疗</w:t>
      </w:r>
      <w:r>
        <w:rPr>
          <w:rFonts w:hint="eastAsia" w:ascii="仿宋_GB2312" w:eastAsia="仿宋_GB2312"/>
          <w:color w:val="auto"/>
          <w:sz w:val="32"/>
          <w:szCs w:val="32"/>
          <w:highlight w:val="none"/>
        </w:rPr>
        <w:t>（项）：指</w:t>
      </w:r>
      <w:r>
        <w:rPr>
          <w:rFonts w:hint="default" w:ascii="Times New Roman" w:hAnsi="Times New Roman" w:eastAsia="仿宋_GB2312" w:cs="Times New Roman"/>
          <w:b w:val="0"/>
          <w:bCs w:val="0"/>
          <w:color w:val="auto"/>
          <w:sz w:val="32"/>
          <w:szCs w:val="32"/>
        </w:rPr>
        <w:t>指财政部门安排的事业单位基本医疗保险缴费，未参加医疗保险的事业单位公费医疗，按照国家规定享受离退休人员待遇的医疗经费。</w:t>
      </w:r>
    </w:p>
    <w:p w14:paraId="7AD063C8">
      <w:pPr>
        <w:spacing w:line="576" w:lineRule="exact"/>
        <w:ind w:firstLine="640" w:firstLineChars="200"/>
        <w:rPr>
          <w:rFonts w:hint="default" w:ascii="Times New Roman" w:hAnsi="Times New Roman" w:eastAsia="仿宋_GB2312" w:cs="Times New Roman"/>
          <w:b w:val="0"/>
          <w:bCs w:val="0"/>
          <w:color w:val="auto"/>
          <w:sz w:val="32"/>
          <w:szCs w:val="32"/>
          <w:lang w:val="en-US" w:eastAsia="zh-CN"/>
        </w:rPr>
      </w:pPr>
      <w:r>
        <w:rPr>
          <w:rFonts w:hint="eastAsia" w:ascii="仿宋_GB2312" w:eastAsia="仿宋_GB2312"/>
          <w:color w:val="auto"/>
          <w:sz w:val="32"/>
          <w:szCs w:val="32"/>
          <w:highlight w:val="none"/>
          <w:lang w:val="en-US" w:eastAsia="zh-CN"/>
        </w:rPr>
        <w:t>7</w:t>
      </w:r>
      <w:r>
        <w:rPr>
          <w:rFonts w:ascii="仿宋_GB2312" w:eastAsia="仿宋_GB2312"/>
          <w:color w:val="auto"/>
          <w:sz w:val="32"/>
          <w:szCs w:val="32"/>
          <w:highlight w:val="none"/>
        </w:rPr>
        <w:t>.</w:t>
      </w:r>
      <w:r>
        <w:rPr>
          <w:rFonts w:hint="eastAsia" w:ascii="仿宋_GB2312" w:eastAsia="仿宋_GB2312"/>
          <w:color w:val="auto"/>
          <w:sz w:val="32"/>
          <w:szCs w:val="32"/>
          <w:highlight w:val="none"/>
        </w:rPr>
        <w:t>农林水（类）</w:t>
      </w:r>
      <w:r>
        <w:rPr>
          <w:rFonts w:hint="eastAsia" w:eastAsia="仿宋_GB2312" w:cs="Times New Roman"/>
          <w:b w:val="0"/>
          <w:bCs w:val="0"/>
          <w:color w:val="auto"/>
          <w:sz w:val="32"/>
          <w:szCs w:val="32"/>
          <w:lang w:val="en-US" w:eastAsia="zh-CN"/>
        </w:rPr>
        <w:t>巩固脱贫衔接乡村振兴</w:t>
      </w:r>
      <w:r>
        <w:rPr>
          <w:rFonts w:hint="eastAsia" w:ascii="仿宋_GB2312" w:eastAsia="仿宋_GB2312"/>
          <w:color w:val="auto"/>
          <w:sz w:val="32"/>
          <w:szCs w:val="32"/>
          <w:highlight w:val="none"/>
        </w:rPr>
        <w:t>（款）</w:t>
      </w:r>
      <w:r>
        <w:rPr>
          <w:rFonts w:hint="default" w:ascii="Times New Roman" w:hAnsi="Times New Roman" w:eastAsia="仿宋_GB2312" w:cs="Times New Roman"/>
          <w:b w:val="0"/>
          <w:bCs w:val="0"/>
          <w:color w:val="auto"/>
          <w:sz w:val="32"/>
          <w:szCs w:val="32"/>
        </w:rPr>
        <w:t>其他</w:t>
      </w:r>
      <w:r>
        <w:rPr>
          <w:rFonts w:hint="eastAsia" w:eastAsia="仿宋_GB2312" w:cs="Times New Roman"/>
          <w:b w:val="0"/>
          <w:bCs w:val="0"/>
          <w:color w:val="auto"/>
          <w:sz w:val="32"/>
          <w:szCs w:val="32"/>
          <w:lang w:val="en-US" w:eastAsia="zh-CN"/>
        </w:rPr>
        <w:t>巩固脱贫衔接乡村振兴支出</w:t>
      </w:r>
      <w:r>
        <w:rPr>
          <w:rFonts w:hint="eastAsia" w:ascii="仿宋_GB2312" w:eastAsia="仿宋_GB2312"/>
          <w:color w:val="auto"/>
          <w:sz w:val="32"/>
          <w:szCs w:val="32"/>
          <w:highlight w:val="none"/>
        </w:rPr>
        <w:t>（项）：</w:t>
      </w:r>
      <w:r>
        <w:rPr>
          <w:rFonts w:hint="default" w:ascii="Times New Roman" w:hAnsi="Times New Roman" w:eastAsia="仿宋_GB2312" w:cs="Times New Roman"/>
          <w:b w:val="0"/>
          <w:bCs w:val="0"/>
          <w:color w:val="auto"/>
          <w:sz w:val="32"/>
          <w:szCs w:val="32"/>
        </w:rPr>
        <w:t>指</w:t>
      </w:r>
      <w:r>
        <w:rPr>
          <w:rFonts w:hint="eastAsia" w:ascii="Times New Roman" w:hAnsi="Times New Roman" w:eastAsia="仿宋_GB2312" w:cs="Times New Roman"/>
          <w:b w:val="0"/>
          <w:bCs w:val="0"/>
          <w:color w:val="auto"/>
          <w:sz w:val="32"/>
          <w:szCs w:val="32"/>
          <w:lang w:val="en-US" w:eastAsia="zh-CN"/>
        </w:rPr>
        <w:t>其他用于巩固拓展脱贫攻坚成果同乡村振兴有效衔接方面的支出。</w:t>
      </w:r>
    </w:p>
    <w:p w14:paraId="724FAC46">
      <w:pPr>
        <w:spacing w:line="576" w:lineRule="exact"/>
        <w:ind w:firstLine="640" w:firstLineChars="200"/>
        <w:rPr>
          <w:rFonts w:hint="default" w:ascii="Times New Roman" w:hAnsi="Times New Roman" w:eastAsia="仿宋_GB2312" w:cs="Times New Roman"/>
          <w:b w:val="0"/>
          <w:bCs w:val="0"/>
          <w:color w:val="auto"/>
          <w:sz w:val="32"/>
          <w:szCs w:val="32"/>
        </w:rPr>
      </w:pPr>
      <w:r>
        <w:rPr>
          <w:rFonts w:hint="eastAsia" w:ascii="仿宋_GB2312" w:eastAsia="仿宋_GB2312"/>
          <w:color w:val="auto"/>
          <w:sz w:val="32"/>
          <w:szCs w:val="32"/>
          <w:highlight w:val="none"/>
          <w:lang w:val="en-US" w:eastAsia="zh-CN"/>
        </w:rPr>
        <w:t>8</w:t>
      </w:r>
      <w:r>
        <w:rPr>
          <w:rFonts w:ascii="仿宋_GB2312" w:eastAsia="仿宋_GB2312"/>
          <w:color w:val="auto"/>
          <w:sz w:val="32"/>
          <w:szCs w:val="32"/>
          <w:highlight w:val="none"/>
        </w:rPr>
        <w:t>.</w:t>
      </w:r>
      <w:r>
        <w:rPr>
          <w:rFonts w:hint="eastAsia" w:ascii="仿宋_GB2312" w:eastAsia="仿宋_GB2312"/>
          <w:color w:val="auto"/>
          <w:sz w:val="32"/>
          <w:szCs w:val="32"/>
          <w:highlight w:val="none"/>
        </w:rPr>
        <w:t>住房保障（类）</w:t>
      </w:r>
      <w:r>
        <w:rPr>
          <w:rFonts w:hint="default" w:ascii="Times New Roman" w:hAnsi="Times New Roman" w:eastAsia="仿宋_GB2312" w:cs="Times New Roman"/>
          <w:b w:val="0"/>
          <w:bCs w:val="0"/>
          <w:color w:val="auto"/>
          <w:sz w:val="32"/>
          <w:szCs w:val="32"/>
        </w:rPr>
        <w:t>住房改革支出</w:t>
      </w:r>
      <w:r>
        <w:rPr>
          <w:rFonts w:hint="eastAsia" w:ascii="仿宋_GB2312" w:eastAsia="仿宋_GB2312"/>
          <w:color w:val="auto"/>
          <w:sz w:val="32"/>
          <w:szCs w:val="32"/>
          <w:highlight w:val="none"/>
        </w:rPr>
        <w:t>（款）</w:t>
      </w:r>
      <w:r>
        <w:rPr>
          <w:rFonts w:hint="default" w:ascii="Times New Roman" w:hAnsi="Times New Roman" w:eastAsia="仿宋_GB2312" w:cs="Times New Roman"/>
          <w:b w:val="0"/>
          <w:bCs w:val="0"/>
          <w:color w:val="auto"/>
          <w:sz w:val="32"/>
          <w:szCs w:val="32"/>
        </w:rPr>
        <w:t>住房公积金</w:t>
      </w:r>
      <w:r>
        <w:rPr>
          <w:rFonts w:hint="eastAsia" w:ascii="仿宋_GB2312" w:eastAsia="仿宋_GB2312"/>
          <w:color w:val="auto"/>
          <w:sz w:val="32"/>
          <w:szCs w:val="32"/>
          <w:highlight w:val="none"/>
        </w:rPr>
        <w:t>（项）：指</w:t>
      </w:r>
      <w:r>
        <w:rPr>
          <w:rFonts w:hint="default" w:ascii="Times New Roman" w:hAnsi="Times New Roman" w:eastAsia="仿宋_GB2312" w:cs="Times New Roman"/>
          <w:b w:val="0"/>
          <w:bCs w:val="0"/>
          <w:color w:val="auto"/>
          <w:sz w:val="32"/>
          <w:szCs w:val="32"/>
        </w:rPr>
        <w:t>行政事业单位按人力资源和社会保障部、财政部规定的基本工资和津贴补贴以及规定比例为职工缴纳的住房公积金。</w:t>
      </w:r>
    </w:p>
    <w:p w14:paraId="5D20BC1D">
      <w:pPr>
        <w:spacing w:line="576"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9.基本支出：指为保障机构正常运转、完成日常工作任务而发生的人员支出和公用支出。</w:t>
      </w:r>
    </w:p>
    <w:p w14:paraId="537D16BD">
      <w:pPr>
        <w:spacing w:line="576"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 xml:space="preserve">10.项目支出：指在基本支出之外为完成特定行政任务和事业发展目标所发生的支出。 </w:t>
      </w:r>
    </w:p>
    <w:p w14:paraId="1AFA0C13">
      <w:pPr>
        <w:pStyle w:val="28"/>
        <w:spacing w:line="576" w:lineRule="exact"/>
        <w:ind w:firstLine="640" w:firstLineChars="200"/>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11.“三公”经费：指部门用财政拨款安排的因公出国（境）费、公务用车购置及运行费和公务接待费。其中，因公出国（境）费反映单位公务出国（境）的国际旅费、国外城市间交通费、住宿费、伙食费、培训费、公杂费等支出；公务接待费反映单位按规定开支的各类公务接待（含外宾接待）支出。</w:t>
      </w:r>
    </w:p>
    <w:p w14:paraId="6933854F">
      <w:pPr>
        <w:pStyle w:val="28"/>
        <w:spacing w:line="576" w:lineRule="exact"/>
        <w:ind w:firstLine="640" w:firstLineChars="200"/>
        <w:rPr>
          <w:rFonts w:hint="eastAsia"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rPr>
        <w:t>12.机关运行经费：为保障单位（含参照公务员法管理的事业单位）运行用于购买货物和服务的各项资金，包括办公及印刷费、邮电费、差旅费、会议费、福利费、日常维修费、专用材料及一般设备购置费、办公用房水电费</w:t>
      </w:r>
      <w:r>
        <w:rPr>
          <w:rFonts w:hint="eastAsia" w:ascii="Times New Roman" w:hAnsi="Times New Roman" w:eastAsia="仿宋_GB2312" w:cs="Times New Roman"/>
          <w:b w:val="0"/>
          <w:bCs w:val="0"/>
          <w:color w:val="auto"/>
          <w:sz w:val="32"/>
          <w:szCs w:val="32"/>
          <w:lang w:val="en-US" w:eastAsia="zh-CN"/>
        </w:rPr>
        <w:t>等。</w:t>
      </w:r>
    </w:p>
    <w:p w14:paraId="5C763C86">
      <w:pPr>
        <w:spacing w:line="576" w:lineRule="exact"/>
        <w:jc w:val="center"/>
        <w:outlineLvl w:val="9"/>
        <w:rPr>
          <w:rFonts w:hint="default" w:ascii="Times New Roman" w:hAnsi="Times New Roman" w:eastAsia="仿宋_GB2312" w:cs="Times New Roman"/>
          <w:b w:val="0"/>
          <w:bCs w:val="0"/>
          <w:color w:val="auto"/>
          <w:sz w:val="32"/>
          <w:szCs w:val="32"/>
        </w:rPr>
      </w:pPr>
    </w:p>
    <w:p w14:paraId="0E9C0465">
      <w:pPr>
        <w:spacing w:line="576" w:lineRule="exact"/>
        <w:outlineLvl w:val="9"/>
        <w:rPr>
          <w:rFonts w:hint="default" w:ascii="Times New Roman" w:hAnsi="Times New Roman" w:eastAsia="仿宋_GB2312" w:cs="Times New Roman"/>
          <w:b w:val="0"/>
          <w:bCs w:val="0"/>
          <w:color w:val="auto"/>
          <w:sz w:val="32"/>
          <w:szCs w:val="32"/>
        </w:rPr>
      </w:pPr>
    </w:p>
    <w:p w14:paraId="5338BE8A">
      <w:pPr>
        <w:spacing w:line="600" w:lineRule="exact"/>
        <w:jc w:val="center"/>
        <w:outlineLvl w:val="9"/>
        <w:rPr>
          <w:rFonts w:hint="eastAsia" w:ascii="黑体" w:hAnsi="黑体" w:eastAsia="黑体"/>
          <w:color w:val="000000"/>
          <w:sz w:val="44"/>
          <w:szCs w:val="44"/>
        </w:rPr>
      </w:pPr>
    </w:p>
    <w:p w14:paraId="09FA2CFE">
      <w:pPr>
        <w:spacing w:line="600" w:lineRule="exact"/>
        <w:jc w:val="center"/>
        <w:outlineLvl w:val="9"/>
        <w:rPr>
          <w:rFonts w:hint="eastAsia" w:ascii="黑体" w:hAnsi="黑体" w:eastAsia="黑体"/>
          <w:color w:val="000000"/>
          <w:sz w:val="44"/>
          <w:szCs w:val="44"/>
        </w:rPr>
      </w:pPr>
    </w:p>
    <w:p w14:paraId="02A72340">
      <w:pPr>
        <w:spacing w:line="600" w:lineRule="exact"/>
        <w:jc w:val="center"/>
        <w:outlineLvl w:val="9"/>
        <w:rPr>
          <w:rFonts w:hint="eastAsia" w:ascii="黑体" w:hAnsi="黑体" w:eastAsia="黑体"/>
          <w:color w:val="000000"/>
          <w:sz w:val="44"/>
          <w:szCs w:val="44"/>
        </w:rPr>
      </w:pPr>
    </w:p>
    <w:p w14:paraId="7869965C">
      <w:pPr>
        <w:spacing w:line="600" w:lineRule="exact"/>
        <w:jc w:val="both"/>
        <w:outlineLvl w:val="9"/>
        <w:rPr>
          <w:rFonts w:hint="eastAsia" w:ascii="黑体" w:hAnsi="黑体" w:eastAsia="黑体"/>
          <w:color w:val="000000"/>
          <w:sz w:val="44"/>
          <w:szCs w:val="44"/>
        </w:rPr>
      </w:pPr>
    </w:p>
    <w:p w14:paraId="77E1C249">
      <w:pPr>
        <w:spacing w:line="600" w:lineRule="exact"/>
        <w:jc w:val="both"/>
        <w:outlineLvl w:val="9"/>
        <w:rPr>
          <w:rFonts w:hint="eastAsia" w:ascii="黑体" w:hAnsi="黑体" w:eastAsia="黑体"/>
          <w:color w:val="auto"/>
          <w:sz w:val="44"/>
          <w:szCs w:val="44"/>
          <w:highlight w:val="none"/>
        </w:rPr>
      </w:pPr>
      <w:bookmarkStart w:id="69" w:name="_Toc15396614"/>
      <w:bookmarkStart w:id="70" w:name="_Toc15377226"/>
    </w:p>
    <w:p w14:paraId="5C103819">
      <w:pPr>
        <w:pStyle w:val="17"/>
        <w:rPr>
          <w:rFonts w:hint="eastAsia" w:ascii="黑体" w:hAnsi="黑体" w:eastAsia="黑体"/>
          <w:color w:val="auto"/>
          <w:sz w:val="44"/>
          <w:szCs w:val="44"/>
          <w:highlight w:val="none"/>
        </w:rPr>
      </w:pPr>
    </w:p>
    <w:p w14:paraId="522140D0">
      <w:pPr>
        <w:rPr>
          <w:rFonts w:hint="eastAsia" w:ascii="黑体" w:hAnsi="黑体" w:eastAsia="黑体"/>
          <w:color w:val="auto"/>
          <w:sz w:val="44"/>
          <w:szCs w:val="44"/>
          <w:highlight w:val="none"/>
        </w:rPr>
      </w:pPr>
    </w:p>
    <w:p w14:paraId="37C855A7">
      <w:pPr>
        <w:pStyle w:val="17"/>
        <w:rPr>
          <w:rFonts w:hint="eastAsia" w:ascii="黑体" w:hAnsi="黑体" w:eastAsia="黑体"/>
          <w:color w:val="auto"/>
          <w:sz w:val="44"/>
          <w:szCs w:val="44"/>
          <w:highlight w:val="none"/>
        </w:rPr>
      </w:pPr>
    </w:p>
    <w:p w14:paraId="498610C7">
      <w:pPr>
        <w:rPr>
          <w:rFonts w:hint="eastAsia"/>
        </w:rPr>
      </w:pPr>
    </w:p>
    <w:p w14:paraId="0B7EB61F">
      <w:pPr>
        <w:spacing w:line="600" w:lineRule="exact"/>
        <w:jc w:val="center"/>
        <w:outlineLvl w:val="9"/>
        <w:rPr>
          <w:rFonts w:hint="eastAsia" w:ascii="黑体" w:hAnsi="黑体" w:eastAsia="黑体"/>
          <w:color w:val="auto"/>
          <w:sz w:val="44"/>
          <w:szCs w:val="44"/>
          <w:highlight w:val="none"/>
        </w:rPr>
      </w:pPr>
    </w:p>
    <w:p w14:paraId="4F099109">
      <w:pPr>
        <w:spacing w:line="600" w:lineRule="exact"/>
        <w:jc w:val="center"/>
        <w:outlineLvl w:val="0"/>
        <w:rPr>
          <w:rStyle w:val="30"/>
          <w:rFonts w:ascii="黑体" w:hAnsi="黑体" w:eastAsia="黑体"/>
          <w:b w:val="0"/>
          <w:color w:val="auto"/>
          <w:highlight w:val="none"/>
        </w:rPr>
      </w:pPr>
      <w:bookmarkStart w:id="71" w:name="_Toc21528"/>
      <w:r>
        <w:rPr>
          <w:rFonts w:hint="eastAsia" w:ascii="黑体" w:hAnsi="黑体" w:eastAsia="黑体"/>
          <w:color w:val="auto"/>
          <w:sz w:val="44"/>
          <w:szCs w:val="44"/>
          <w:highlight w:val="none"/>
        </w:rPr>
        <w:t>第</w:t>
      </w:r>
      <w:r>
        <w:rPr>
          <w:rStyle w:val="30"/>
          <w:rFonts w:hint="eastAsia" w:ascii="黑体" w:hAnsi="黑体" w:eastAsia="黑体"/>
          <w:b w:val="0"/>
          <w:color w:val="auto"/>
          <w:highlight w:val="none"/>
        </w:rPr>
        <w:t>四部分 附件</w:t>
      </w:r>
      <w:bookmarkEnd w:id="69"/>
      <w:bookmarkEnd w:id="71"/>
    </w:p>
    <w:p w14:paraId="585FDCE1">
      <w:pPr>
        <w:keepNext w:val="0"/>
        <w:keepLines w:val="0"/>
        <w:pageBreakBefore w:val="0"/>
        <w:widowControl w:val="0"/>
        <w:kinsoku/>
        <w:wordWrap/>
        <w:overflowPunct/>
        <w:topLinePunct w:val="0"/>
        <w:autoSpaceDE/>
        <w:autoSpaceDN/>
        <w:bidi w:val="0"/>
        <w:adjustRightInd/>
        <w:snapToGrid/>
        <w:spacing w:line="572" w:lineRule="exact"/>
        <w:jc w:val="left"/>
        <w:textAlignment w:val="auto"/>
        <w:outlineLvl w:val="9"/>
        <w:rPr>
          <w:rFonts w:hint="eastAsia" w:ascii="仿宋_GB2312" w:hAnsi="仿宋_GB2312" w:eastAsia="黑体" w:cs="仿宋_GB2312"/>
          <w:color w:val="auto"/>
          <w:sz w:val="32"/>
          <w:szCs w:val="32"/>
          <w:highlight w:val="none"/>
          <w:lang w:val="en-US" w:eastAsia="zh-CN"/>
        </w:rPr>
      </w:pPr>
      <w:r>
        <w:rPr>
          <w:rFonts w:hint="eastAsia" w:ascii="黑体" w:hAnsi="黑体" w:eastAsia="黑体" w:cs="黑体"/>
          <w:color w:val="auto"/>
          <w:sz w:val="32"/>
          <w:szCs w:val="32"/>
          <w:highlight w:val="none"/>
        </w:rPr>
        <w:t>附</w:t>
      </w:r>
      <w:r>
        <w:rPr>
          <w:rFonts w:hint="eastAsia" w:ascii="黑体" w:hAnsi="黑体" w:eastAsia="黑体" w:cs="黑体"/>
          <w:color w:val="auto"/>
          <w:sz w:val="32"/>
          <w:szCs w:val="32"/>
          <w:highlight w:val="none"/>
          <w:lang w:val="en-US" w:eastAsia="zh-CN"/>
        </w:rPr>
        <w:t>件</w:t>
      </w:r>
    </w:p>
    <w:tbl>
      <w:tblPr>
        <w:tblStyle w:val="18"/>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69"/>
        <w:gridCol w:w="1350"/>
        <w:gridCol w:w="1747"/>
        <w:gridCol w:w="1224"/>
        <w:gridCol w:w="2410"/>
        <w:gridCol w:w="234"/>
      </w:tblGrid>
      <w:tr w14:paraId="217C8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1C2FD809">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bookmarkStart w:id="72" w:name="_Toc15396618"/>
            <w:r>
              <w:rPr>
                <w:rFonts w:hint="eastAsia" w:ascii="宋体" w:hAnsi="宋体" w:eastAsia="宋体" w:cs="宋体"/>
                <w:b/>
                <w:i w:val="0"/>
                <w:color w:val="000000" w:themeColor="text1"/>
                <w:sz w:val="32"/>
                <w:szCs w:val="32"/>
                <w:highlight w:val="none"/>
                <w:u w:val="none"/>
                <w:shd w:val="clear" w:color="auto" w:fill="auto"/>
                <w:lang w:val="en-US" w:eastAsia="zh-CN"/>
                <w14:textFill>
                  <w14:solidFill>
                    <w14:schemeClr w14:val="tx1"/>
                  </w14:solidFill>
                </w14:textFill>
              </w:rPr>
              <w:t>2021年部门预算项目绩效目标自评</w:t>
            </w:r>
            <w:r>
              <w:rPr>
                <w:rFonts w:hint="eastAsia" w:ascii="宋体" w:hAnsi="宋体" w:cs="宋体"/>
                <w:b/>
                <w:i w:val="0"/>
                <w:color w:val="000000" w:themeColor="text1"/>
                <w:sz w:val="32"/>
                <w:szCs w:val="32"/>
                <w:highlight w:val="none"/>
                <w:u w:val="none"/>
                <w:shd w:val="clear" w:color="auto" w:fill="auto"/>
                <w:lang w:val="en-US" w:eastAsia="zh-CN"/>
                <w14:textFill>
                  <w14:solidFill>
                    <w14:schemeClr w14:val="tx1"/>
                  </w14:solidFill>
                </w14:textFill>
              </w:rPr>
              <w:t>（东西部协作人才交流培训费）</w:t>
            </w:r>
          </w:p>
        </w:tc>
        <w:tc>
          <w:tcPr>
            <w:tcW w:w="234" w:type="dxa"/>
            <w:tcBorders>
              <w:top w:val="nil"/>
              <w:left w:val="nil"/>
              <w:bottom w:val="nil"/>
              <w:right w:val="nil"/>
            </w:tcBorders>
            <w:shd w:val="clear" w:color="auto" w:fill="auto"/>
            <w:vAlign w:val="center"/>
          </w:tcPr>
          <w:p w14:paraId="14C2BD8B">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7E1B7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254" w:hRule="atLeast"/>
        </w:trPr>
        <w:tc>
          <w:tcPr>
            <w:tcW w:w="28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B4BE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67CF2D">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区委组织部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935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264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区委党校</w:t>
            </w:r>
          </w:p>
        </w:tc>
      </w:tr>
      <w:tr w14:paraId="6D327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2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794D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项目预算</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执行情况</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（万元）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997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5AD7C">
            <w:pPr>
              <w:keepNext w:val="0"/>
              <w:keepLines w:val="0"/>
              <w:pageBreakBefore w:val="0"/>
              <w:widowControl/>
              <w:suppressLineNumbers w:val="0"/>
              <w:kinsoku/>
              <w:wordWrap/>
              <w:overflowPunct/>
              <w:topLinePunct w:val="0"/>
              <w:autoSpaceDE/>
              <w:autoSpaceDN/>
              <w:bidi w:val="0"/>
              <w:adjustRightInd/>
              <w:snapToGrid/>
              <w:spacing w:line="320" w:lineRule="exact"/>
              <w:ind w:firstLine="480" w:firstLineChars="200"/>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583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7B9F6">
            <w:pPr>
              <w:keepNext w:val="0"/>
              <w:keepLines w:val="0"/>
              <w:pageBreakBefore w:val="0"/>
              <w:widowControl/>
              <w:suppressLineNumbers w:val="0"/>
              <w:kinsoku/>
              <w:wordWrap/>
              <w:overflowPunct/>
              <w:topLinePunct w:val="0"/>
              <w:autoSpaceDE/>
              <w:autoSpaceDN/>
              <w:bidi w:val="0"/>
              <w:adjustRightInd/>
              <w:snapToGrid/>
              <w:spacing w:line="320" w:lineRule="exact"/>
              <w:ind w:firstLine="960" w:firstLineChars="400"/>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w:t>
            </w:r>
          </w:p>
        </w:tc>
      </w:tr>
      <w:tr w14:paraId="2AABD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55"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05FBF">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1223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24116E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A5793">
            <w:pPr>
              <w:keepNext w:val="0"/>
              <w:keepLines w:val="0"/>
              <w:pageBreakBefore w:val="0"/>
              <w:widowControl/>
              <w:suppressLineNumbers w:val="0"/>
              <w:kinsoku/>
              <w:wordWrap/>
              <w:overflowPunct/>
              <w:topLinePunct w:val="0"/>
              <w:autoSpaceDE/>
              <w:autoSpaceDN/>
              <w:bidi w:val="0"/>
              <w:adjustRightInd/>
              <w:snapToGrid/>
              <w:spacing w:line="320" w:lineRule="exact"/>
              <w:ind w:firstLine="480" w:firstLineChars="200"/>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605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67A3077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89C6A">
            <w:pPr>
              <w:keepNext w:val="0"/>
              <w:keepLines w:val="0"/>
              <w:pageBreakBefore w:val="0"/>
              <w:widowControl/>
              <w:suppressLineNumbers w:val="0"/>
              <w:kinsoku/>
              <w:wordWrap/>
              <w:overflowPunct/>
              <w:topLinePunct w:val="0"/>
              <w:autoSpaceDE/>
              <w:autoSpaceDN/>
              <w:bidi w:val="0"/>
              <w:adjustRightInd/>
              <w:snapToGrid/>
              <w:spacing w:line="320" w:lineRule="exact"/>
              <w:ind w:firstLine="960" w:firstLineChars="400"/>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300</w:t>
            </w:r>
          </w:p>
        </w:tc>
      </w:tr>
      <w:tr w14:paraId="5970B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41"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753CD">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01BA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087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006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0B1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38F43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5B2E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650E14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B7661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C7C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00072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5475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58DC4C4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全年计划主体专题培训班17期，昭化大讲坛4期，培训干部4000余人次。</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570D5E8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举办主体专题培训班 21 期，培训党政干部 2000余 人次。邀请全国知名专家教授赴我区举办“昭化大讲坛”4 期，培训党政干部人才 2000余人次。</w:t>
            </w:r>
          </w:p>
        </w:tc>
      </w:tr>
      <w:tr w14:paraId="2D78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7995F8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69" w:type="dxa"/>
            <w:tcBorders>
              <w:top w:val="single" w:color="000000" w:sz="4" w:space="0"/>
              <w:left w:val="nil"/>
              <w:bottom w:val="single" w:color="000000" w:sz="4" w:space="0"/>
              <w:right w:val="single" w:color="000000" w:sz="4" w:space="0"/>
            </w:tcBorders>
            <w:shd w:val="clear" w:color="auto" w:fill="auto"/>
            <w:vAlign w:val="center"/>
          </w:tcPr>
          <w:p w14:paraId="5B5460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3E52B2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6E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500668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510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59A02B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24" w:type="dxa"/>
            <w:tcBorders>
              <w:top w:val="single" w:color="000000" w:sz="4" w:space="0"/>
              <w:left w:val="single" w:color="000000" w:sz="4" w:space="0"/>
              <w:bottom w:val="single" w:color="auto" w:sz="4" w:space="0"/>
              <w:right w:val="single" w:color="000000" w:sz="4" w:space="0"/>
            </w:tcBorders>
            <w:shd w:val="clear" w:color="auto" w:fill="auto"/>
            <w:vAlign w:val="center"/>
          </w:tcPr>
          <w:p w14:paraId="4BE9DB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auto" w:sz="4" w:space="0"/>
              <w:right w:val="single" w:color="000000" w:sz="4" w:space="0"/>
            </w:tcBorders>
            <w:shd w:val="clear" w:color="auto" w:fill="auto"/>
            <w:vAlign w:val="center"/>
          </w:tcPr>
          <w:p w14:paraId="08DC41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49CBE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360" w:hRule="atLeast"/>
        </w:trPr>
        <w:tc>
          <w:tcPr>
            <w:tcW w:w="1977" w:type="dxa"/>
            <w:vMerge w:val="continue"/>
            <w:tcBorders>
              <w:left w:val="single" w:color="000000" w:sz="4" w:space="0"/>
              <w:right w:val="single" w:color="000000" w:sz="4" w:space="0"/>
            </w:tcBorders>
            <w:shd w:val="clear" w:color="auto" w:fill="auto"/>
            <w:vAlign w:val="center"/>
          </w:tcPr>
          <w:p w14:paraId="5DCC0C7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restart"/>
            <w:tcBorders>
              <w:top w:val="single" w:color="000000" w:sz="4" w:space="0"/>
              <w:left w:val="single" w:color="000000" w:sz="4" w:space="0"/>
              <w:right w:val="single" w:color="000000" w:sz="4" w:space="0"/>
            </w:tcBorders>
            <w:shd w:val="clear" w:color="auto" w:fill="auto"/>
            <w:vAlign w:val="center"/>
          </w:tcPr>
          <w:p w14:paraId="7D5C97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52F29C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vMerge w:val="restart"/>
            <w:tcBorders>
              <w:top w:val="single" w:color="000000" w:sz="4" w:space="0"/>
              <w:left w:val="single" w:color="000000" w:sz="4" w:space="0"/>
              <w:right w:val="single" w:color="000000" w:sz="4" w:space="0"/>
            </w:tcBorders>
            <w:shd w:val="clear" w:color="auto" w:fill="auto"/>
            <w:vAlign w:val="center"/>
          </w:tcPr>
          <w:p w14:paraId="78C98D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747" w:type="dxa"/>
            <w:tcBorders>
              <w:top w:val="single" w:color="000000" w:sz="4" w:space="0"/>
              <w:left w:val="single" w:color="000000" w:sz="4" w:space="0"/>
              <w:bottom w:val="single" w:color="000000" w:sz="4" w:space="0"/>
              <w:right w:val="single" w:color="auto" w:sz="4" w:space="0"/>
            </w:tcBorders>
            <w:shd w:val="clear" w:color="auto" w:fill="auto"/>
            <w:vAlign w:val="bottom"/>
          </w:tcPr>
          <w:p w14:paraId="28C263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rPr>
              <w:t>举办培训班期数</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3B1B2C01">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eastAsia"/>
                <w:lang w:eastAsia="zh-CN"/>
              </w:rPr>
            </w:pPr>
          </w:p>
          <w:p w14:paraId="09EBD660">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eastAsia"/>
                <w:lang w:eastAsia="zh-CN"/>
              </w:rPr>
            </w:pPr>
            <w:r>
              <w:rPr>
                <w:rFonts w:hint="eastAsia"/>
                <w:lang w:eastAsia="zh-CN"/>
              </w:rPr>
              <w:t>≥17期</w:t>
            </w:r>
          </w:p>
          <w:p w14:paraId="4616B5F8">
            <w:pPr>
              <w:pStyle w:val="17"/>
              <w:jc w:val="center"/>
              <w:rPr>
                <w:rFonts w:hint="eastAsia"/>
                <w:lang w:eastAsia="zh-CN"/>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2D3A84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21期</w:t>
            </w:r>
          </w:p>
        </w:tc>
      </w:tr>
      <w:tr w14:paraId="26F13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640" w:hRule="atLeast"/>
        </w:trPr>
        <w:tc>
          <w:tcPr>
            <w:tcW w:w="1977" w:type="dxa"/>
            <w:vMerge w:val="continue"/>
            <w:tcBorders>
              <w:left w:val="single" w:color="000000" w:sz="4" w:space="0"/>
              <w:right w:val="single" w:color="000000" w:sz="4" w:space="0"/>
            </w:tcBorders>
            <w:shd w:val="clear" w:color="auto" w:fill="auto"/>
            <w:vAlign w:val="center"/>
          </w:tcPr>
          <w:p w14:paraId="2CBB26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869" w:type="dxa"/>
            <w:vMerge w:val="continue"/>
            <w:tcBorders>
              <w:left w:val="single" w:color="000000" w:sz="4" w:space="0"/>
              <w:right w:val="single" w:color="000000" w:sz="4" w:space="0"/>
            </w:tcBorders>
            <w:shd w:val="clear" w:color="auto" w:fill="auto"/>
            <w:vAlign w:val="center"/>
          </w:tcPr>
          <w:p w14:paraId="16298F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350" w:type="dxa"/>
            <w:vMerge w:val="continue"/>
            <w:tcBorders>
              <w:left w:val="single" w:color="000000" w:sz="4" w:space="0"/>
              <w:right w:val="single" w:color="000000" w:sz="4" w:space="0"/>
            </w:tcBorders>
            <w:shd w:val="clear" w:color="auto" w:fill="auto"/>
            <w:vAlign w:val="bottom"/>
          </w:tcPr>
          <w:p w14:paraId="6C41E9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747" w:type="dxa"/>
            <w:tcBorders>
              <w:top w:val="single" w:color="000000" w:sz="4" w:space="0"/>
              <w:left w:val="single" w:color="000000" w:sz="4" w:space="0"/>
              <w:right w:val="single" w:color="auto" w:sz="4" w:space="0"/>
            </w:tcBorders>
            <w:shd w:val="clear" w:color="auto" w:fill="auto"/>
            <w:vAlign w:val="bottom"/>
          </w:tcPr>
          <w:p w14:paraId="42E8C0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培训人数</w:t>
            </w:r>
          </w:p>
        </w:tc>
        <w:tc>
          <w:tcPr>
            <w:tcW w:w="1224" w:type="dxa"/>
            <w:tcBorders>
              <w:top w:val="single" w:color="auto" w:sz="4" w:space="0"/>
              <w:left w:val="single" w:color="auto" w:sz="4" w:space="0"/>
              <w:right w:val="single" w:color="auto" w:sz="4" w:space="0"/>
            </w:tcBorders>
            <w:shd w:val="clear" w:color="auto" w:fill="auto"/>
            <w:vAlign w:val="center"/>
          </w:tcPr>
          <w:p w14:paraId="3CEA60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4000余人次</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4DE5F7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4000余人次</w:t>
            </w:r>
          </w:p>
        </w:tc>
      </w:tr>
      <w:tr w14:paraId="1C9F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5668A2B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8466D6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141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707C8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学员考核合格率</w:t>
            </w:r>
          </w:p>
        </w:tc>
        <w:tc>
          <w:tcPr>
            <w:tcW w:w="1224" w:type="dxa"/>
            <w:tcBorders>
              <w:top w:val="single" w:color="auto" w:sz="4" w:space="0"/>
              <w:left w:val="single" w:color="000000" w:sz="4" w:space="0"/>
              <w:bottom w:val="single" w:color="000000" w:sz="4" w:space="0"/>
              <w:right w:val="single" w:color="000000" w:sz="4" w:space="0"/>
            </w:tcBorders>
            <w:shd w:val="clear" w:color="auto" w:fill="auto"/>
            <w:vAlign w:val="center"/>
          </w:tcPr>
          <w:p w14:paraId="3107FA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rPr>
            </w:pPr>
            <w:r>
              <w:rPr>
                <w:rFonts w:hint="eastAsia"/>
                <w:lang w:eastAsia="zh-CN"/>
              </w:rPr>
              <w:t>≥</w:t>
            </w:r>
            <w:r>
              <w:rPr>
                <w:rFonts w:hint="eastAsia"/>
                <w:lang w:val="en-US" w:eastAsia="zh-CN"/>
              </w:rPr>
              <w:t>90%</w:t>
            </w:r>
          </w:p>
        </w:tc>
        <w:tc>
          <w:tcPr>
            <w:tcW w:w="2410" w:type="dxa"/>
            <w:tcBorders>
              <w:top w:val="single" w:color="auto" w:sz="4" w:space="0"/>
              <w:left w:val="single" w:color="000000" w:sz="4" w:space="0"/>
              <w:bottom w:val="single" w:color="000000" w:sz="4" w:space="0"/>
              <w:right w:val="single" w:color="000000" w:sz="4" w:space="0"/>
            </w:tcBorders>
            <w:shd w:val="clear" w:color="auto" w:fill="auto"/>
            <w:vAlign w:val="center"/>
          </w:tcPr>
          <w:p w14:paraId="5CF8C4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95%</w:t>
            </w:r>
          </w:p>
        </w:tc>
      </w:tr>
      <w:tr w14:paraId="2F067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50" w:hRule="atLeast"/>
        </w:trPr>
        <w:tc>
          <w:tcPr>
            <w:tcW w:w="1977" w:type="dxa"/>
            <w:vMerge w:val="continue"/>
            <w:tcBorders>
              <w:left w:val="single" w:color="000000" w:sz="4" w:space="0"/>
              <w:right w:val="single" w:color="000000" w:sz="4" w:space="0"/>
            </w:tcBorders>
            <w:shd w:val="clear" w:color="auto" w:fill="auto"/>
            <w:vAlign w:val="center"/>
          </w:tcPr>
          <w:p w14:paraId="46FDA74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9B580B4">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8FA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F4610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完成培训班时限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B0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1-12月</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A21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12月</w:t>
            </w:r>
          </w:p>
        </w:tc>
      </w:tr>
      <w:tr w14:paraId="17692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22FCC75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12CD0F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8B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89FA0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指完成培训所需费用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E4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≤300万元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404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300万元</w:t>
            </w:r>
          </w:p>
        </w:tc>
      </w:tr>
      <w:tr w14:paraId="13725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18137B7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F47068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C76C8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5395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干部引领发展的能力</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97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提升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6C7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明显提升</w:t>
            </w:r>
          </w:p>
        </w:tc>
      </w:tr>
      <w:tr w14:paraId="59893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860" w:hRule="atLeast"/>
        </w:trPr>
        <w:tc>
          <w:tcPr>
            <w:tcW w:w="1977" w:type="dxa"/>
            <w:vMerge w:val="continue"/>
            <w:tcBorders>
              <w:left w:val="single" w:color="000000" w:sz="4" w:space="0"/>
              <w:right w:val="single" w:color="000000" w:sz="4" w:space="0"/>
            </w:tcBorders>
            <w:shd w:val="clear" w:color="auto" w:fill="auto"/>
            <w:vAlign w:val="center"/>
          </w:tcPr>
          <w:p w14:paraId="2371896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085DBC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46BB7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98F0C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参训学员引领发展的年限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3A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≥3年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69C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3年</w:t>
            </w:r>
          </w:p>
        </w:tc>
      </w:tr>
      <w:tr w14:paraId="60D39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3180703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80546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满意</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度指标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142C9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679BB3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E29C4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参训学员满意度</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8A8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4FC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95%</w:t>
            </w:r>
          </w:p>
        </w:tc>
      </w:tr>
    </w:tbl>
    <w:p w14:paraId="356115CC">
      <w:pPr>
        <w:spacing w:line="600" w:lineRule="exact"/>
        <w:jc w:val="both"/>
        <w:outlineLvl w:val="9"/>
        <w:rPr>
          <w:rFonts w:hint="eastAsia" w:ascii="黑体" w:hAnsi="黑体" w:eastAsia="黑体"/>
          <w:color w:val="auto"/>
          <w:sz w:val="44"/>
          <w:szCs w:val="44"/>
          <w:highlight w:val="none"/>
        </w:rPr>
      </w:pPr>
    </w:p>
    <w:p w14:paraId="39841BAC">
      <w:pPr>
        <w:spacing w:line="600" w:lineRule="exact"/>
        <w:jc w:val="both"/>
        <w:outlineLvl w:val="9"/>
        <w:rPr>
          <w:rFonts w:hint="eastAsia" w:ascii="黑体" w:hAnsi="黑体" w:eastAsia="黑体"/>
          <w:color w:val="auto"/>
          <w:sz w:val="44"/>
          <w:szCs w:val="44"/>
          <w:highlight w:val="none"/>
        </w:rPr>
        <w:sectPr>
          <w:footerReference r:id="rId7" w:type="first"/>
          <w:footerReference r:id="rId6" w:type="default"/>
          <w:pgSz w:w="11906" w:h="16838"/>
          <w:pgMar w:top="1157" w:right="1236" w:bottom="1440" w:left="1406"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tbl>
      <w:tblPr>
        <w:tblStyle w:val="18"/>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69"/>
        <w:gridCol w:w="1350"/>
        <w:gridCol w:w="1747"/>
        <w:gridCol w:w="1224"/>
        <w:gridCol w:w="2410"/>
      </w:tblGrid>
      <w:tr w14:paraId="279FE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64EBC9CA">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000000" w:themeColor="text1"/>
                <w:sz w:val="32"/>
                <w:szCs w:val="32"/>
                <w:highlight w:val="none"/>
                <w:u w:val="none"/>
                <w:shd w:val="clear" w:color="auto" w:fill="auto"/>
                <w:lang w:val="en-US" w:eastAsia="zh-CN"/>
                <w14:textFill>
                  <w14:solidFill>
                    <w14:schemeClr w14:val="tx1"/>
                  </w14:solidFill>
                </w14:textFill>
              </w:rPr>
              <w:t>2021年部门预算项目绩效目标自评</w:t>
            </w:r>
            <w:r>
              <w:rPr>
                <w:rFonts w:hint="eastAsia" w:ascii="宋体" w:hAnsi="宋体" w:cs="宋体"/>
                <w:b/>
                <w:i w:val="0"/>
                <w:color w:val="000000" w:themeColor="text1"/>
                <w:sz w:val="32"/>
                <w:szCs w:val="32"/>
                <w:highlight w:val="none"/>
                <w:u w:val="none"/>
                <w:shd w:val="clear" w:color="auto" w:fill="auto"/>
                <w:lang w:val="en-US" w:eastAsia="zh-CN"/>
                <w14:textFill>
                  <w14:solidFill>
                    <w14:schemeClr w14:val="tx1"/>
                  </w14:solidFill>
                </w14:textFill>
              </w:rPr>
              <w:t>（干部等七类培训费）</w:t>
            </w:r>
          </w:p>
        </w:tc>
      </w:tr>
      <w:tr w14:paraId="6206F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trPr>
        <w:tc>
          <w:tcPr>
            <w:tcW w:w="28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21AC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084B0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区委组织部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1A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B40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区委党校</w:t>
            </w:r>
          </w:p>
        </w:tc>
      </w:tr>
      <w:tr w14:paraId="2EFB9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E66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项目预算</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执行情况</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（万元）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AD2A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71E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D5F5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50D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50</w:t>
            </w:r>
          </w:p>
        </w:tc>
      </w:tr>
      <w:tr w14:paraId="08487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EBBC8">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FC0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7D1892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3F66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50</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243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09C8C5A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DF7F">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50</w:t>
            </w:r>
          </w:p>
        </w:tc>
      </w:tr>
      <w:tr w14:paraId="7B95F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CF48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E351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8C8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BCA3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752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03148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ABCE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32D834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5E65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C391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45AC2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9F605">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A6418D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全年计划主体专题培训班17期，昭化大讲坛4期，培训干部4000余人次。</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3FD0937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rPr>
              <w:t>举办主体专题培训班 21 期，培训党政干部 2000余 人次。邀请全国知名专家教授赴我区举办“昭化大讲坛”4 期，培训党政干部人才 2000余人次。</w:t>
            </w:r>
          </w:p>
        </w:tc>
      </w:tr>
      <w:tr w14:paraId="253CC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691DD8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69" w:type="dxa"/>
            <w:tcBorders>
              <w:top w:val="single" w:color="000000" w:sz="4" w:space="0"/>
              <w:left w:val="nil"/>
              <w:bottom w:val="single" w:color="000000" w:sz="4" w:space="0"/>
              <w:right w:val="single" w:color="000000" w:sz="4" w:space="0"/>
            </w:tcBorders>
            <w:shd w:val="clear" w:color="auto" w:fill="auto"/>
            <w:vAlign w:val="center"/>
          </w:tcPr>
          <w:p w14:paraId="2ACDF0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1F5A10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C7F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5A1B52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CD8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17CC61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24" w:type="dxa"/>
            <w:tcBorders>
              <w:top w:val="single" w:color="000000" w:sz="4" w:space="0"/>
              <w:left w:val="single" w:color="000000" w:sz="4" w:space="0"/>
              <w:bottom w:val="single" w:color="auto" w:sz="4" w:space="0"/>
              <w:right w:val="single" w:color="000000" w:sz="4" w:space="0"/>
            </w:tcBorders>
            <w:shd w:val="clear" w:color="auto" w:fill="auto"/>
            <w:vAlign w:val="center"/>
          </w:tcPr>
          <w:p w14:paraId="601906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auto" w:sz="4" w:space="0"/>
              <w:right w:val="single" w:color="000000" w:sz="4" w:space="0"/>
            </w:tcBorders>
            <w:shd w:val="clear" w:color="auto" w:fill="auto"/>
            <w:vAlign w:val="center"/>
          </w:tcPr>
          <w:p w14:paraId="1E0B21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1A5D9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977" w:type="dxa"/>
            <w:vMerge w:val="continue"/>
            <w:tcBorders>
              <w:left w:val="single" w:color="000000" w:sz="4" w:space="0"/>
              <w:right w:val="single" w:color="000000" w:sz="4" w:space="0"/>
            </w:tcBorders>
            <w:shd w:val="clear" w:color="auto" w:fill="auto"/>
            <w:vAlign w:val="center"/>
          </w:tcPr>
          <w:p w14:paraId="7217118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restart"/>
            <w:tcBorders>
              <w:top w:val="single" w:color="000000" w:sz="4" w:space="0"/>
              <w:left w:val="single" w:color="000000" w:sz="4" w:space="0"/>
              <w:right w:val="single" w:color="000000" w:sz="4" w:space="0"/>
            </w:tcBorders>
            <w:shd w:val="clear" w:color="auto" w:fill="auto"/>
            <w:vAlign w:val="center"/>
          </w:tcPr>
          <w:p w14:paraId="6477C6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726BCB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vMerge w:val="restart"/>
            <w:tcBorders>
              <w:top w:val="single" w:color="000000" w:sz="4" w:space="0"/>
              <w:left w:val="single" w:color="000000" w:sz="4" w:space="0"/>
              <w:right w:val="single" w:color="000000" w:sz="4" w:space="0"/>
            </w:tcBorders>
            <w:shd w:val="clear" w:color="auto" w:fill="auto"/>
            <w:vAlign w:val="center"/>
          </w:tcPr>
          <w:p w14:paraId="3F0F38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747" w:type="dxa"/>
            <w:tcBorders>
              <w:top w:val="single" w:color="000000" w:sz="4" w:space="0"/>
              <w:left w:val="single" w:color="000000" w:sz="4" w:space="0"/>
              <w:bottom w:val="single" w:color="000000" w:sz="4" w:space="0"/>
              <w:right w:val="single" w:color="auto" w:sz="4" w:space="0"/>
            </w:tcBorders>
            <w:shd w:val="clear" w:color="auto" w:fill="auto"/>
            <w:vAlign w:val="bottom"/>
          </w:tcPr>
          <w:p w14:paraId="7A9CEE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rPr>
              <w:t>举办培训班期数</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7197862B">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eastAsia"/>
                <w:lang w:eastAsia="zh-CN"/>
              </w:rPr>
            </w:pPr>
          </w:p>
          <w:p w14:paraId="1BA63A93">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eastAsia"/>
                <w:lang w:eastAsia="zh-CN"/>
              </w:rPr>
            </w:pPr>
            <w:r>
              <w:rPr>
                <w:rFonts w:hint="eastAsia"/>
                <w:lang w:eastAsia="zh-CN"/>
              </w:rPr>
              <w:t>≥17期</w:t>
            </w:r>
          </w:p>
          <w:p w14:paraId="2A4ABEEE">
            <w:pPr>
              <w:pStyle w:val="17"/>
              <w:jc w:val="center"/>
              <w:rPr>
                <w:rFonts w:hint="eastAsia"/>
                <w:lang w:eastAsia="zh-CN"/>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472A1D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21期</w:t>
            </w:r>
          </w:p>
        </w:tc>
      </w:tr>
      <w:tr w14:paraId="6C499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977" w:type="dxa"/>
            <w:vMerge w:val="continue"/>
            <w:tcBorders>
              <w:left w:val="single" w:color="000000" w:sz="4" w:space="0"/>
              <w:right w:val="single" w:color="000000" w:sz="4" w:space="0"/>
            </w:tcBorders>
            <w:shd w:val="clear" w:color="auto" w:fill="auto"/>
            <w:vAlign w:val="center"/>
          </w:tcPr>
          <w:p w14:paraId="594DA4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869" w:type="dxa"/>
            <w:vMerge w:val="continue"/>
            <w:tcBorders>
              <w:left w:val="single" w:color="000000" w:sz="4" w:space="0"/>
              <w:right w:val="single" w:color="000000" w:sz="4" w:space="0"/>
            </w:tcBorders>
            <w:shd w:val="clear" w:color="auto" w:fill="auto"/>
            <w:vAlign w:val="center"/>
          </w:tcPr>
          <w:p w14:paraId="5B9C0B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350" w:type="dxa"/>
            <w:vMerge w:val="continue"/>
            <w:tcBorders>
              <w:left w:val="single" w:color="000000" w:sz="4" w:space="0"/>
              <w:right w:val="single" w:color="000000" w:sz="4" w:space="0"/>
            </w:tcBorders>
            <w:shd w:val="clear" w:color="auto" w:fill="auto"/>
            <w:vAlign w:val="bottom"/>
          </w:tcPr>
          <w:p w14:paraId="78FAFD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747" w:type="dxa"/>
            <w:tcBorders>
              <w:top w:val="single" w:color="000000" w:sz="4" w:space="0"/>
              <w:left w:val="single" w:color="000000" w:sz="4" w:space="0"/>
              <w:right w:val="single" w:color="auto" w:sz="4" w:space="0"/>
            </w:tcBorders>
            <w:shd w:val="clear" w:color="auto" w:fill="auto"/>
            <w:vAlign w:val="bottom"/>
          </w:tcPr>
          <w:p w14:paraId="74F53E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培训人数</w:t>
            </w:r>
          </w:p>
        </w:tc>
        <w:tc>
          <w:tcPr>
            <w:tcW w:w="1224" w:type="dxa"/>
            <w:tcBorders>
              <w:top w:val="single" w:color="auto" w:sz="4" w:space="0"/>
              <w:left w:val="single" w:color="auto" w:sz="4" w:space="0"/>
              <w:right w:val="single" w:color="auto" w:sz="4" w:space="0"/>
            </w:tcBorders>
            <w:shd w:val="clear" w:color="auto" w:fill="auto"/>
            <w:vAlign w:val="center"/>
          </w:tcPr>
          <w:p w14:paraId="092AD1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4000余人次</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411435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4000余人次</w:t>
            </w:r>
          </w:p>
        </w:tc>
      </w:tr>
      <w:tr w14:paraId="2FA22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977" w:type="dxa"/>
            <w:vMerge w:val="continue"/>
            <w:tcBorders>
              <w:left w:val="single" w:color="000000" w:sz="4" w:space="0"/>
              <w:right w:val="single" w:color="000000" w:sz="4" w:space="0"/>
            </w:tcBorders>
            <w:shd w:val="clear" w:color="auto" w:fill="auto"/>
            <w:vAlign w:val="center"/>
          </w:tcPr>
          <w:p w14:paraId="5C5241EC">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44F4E6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776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4D910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学员考核合格率</w:t>
            </w:r>
          </w:p>
        </w:tc>
        <w:tc>
          <w:tcPr>
            <w:tcW w:w="1224" w:type="dxa"/>
            <w:tcBorders>
              <w:top w:val="single" w:color="auto" w:sz="4" w:space="0"/>
              <w:left w:val="single" w:color="000000" w:sz="4" w:space="0"/>
              <w:bottom w:val="single" w:color="000000" w:sz="4" w:space="0"/>
              <w:right w:val="single" w:color="000000" w:sz="4" w:space="0"/>
            </w:tcBorders>
            <w:shd w:val="clear" w:color="auto" w:fill="auto"/>
            <w:vAlign w:val="center"/>
          </w:tcPr>
          <w:p w14:paraId="4835FE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rPr>
            </w:pPr>
            <w:r>
              <w:rPr>
                <w:rFonts w:hint="eastAsia"/>
                <w:lang w:eastAsia="zh-CN"/>
              </w:rPr>
              <w:t>≥</w:t>
            </w:r>
            <w:r>
              <w:rPr>
                <w:rFonts w:hint="eastAsia"/>
                <w:lang w:val="en-US" w:eastAsia="zh-CN"/>
              </w:rPr>
              <w:t>90%</w:t>
            </w:r>
          </w:p>
        </w:tc>
        <w:tc>
          <w:tcPr>
            <w:tcW w:w="2410" w:type="dxa"/>
            <w:tcBorders>
              <w:top w:val="single" w:color="auto" w:sz="4" w:space="0"/>
              <w:left w:val="single" w:color="000000" w:sz="4" w:space="0"/>
              <w:bottom w:val="single" w:color="000000" w:sz="4" w:space="0"/>
              <w:right w:val="single" w:color="000000" w:sz="4" w:space="0"/>
            </w:tcBorders>
            <w:shd w:val="clear" w:color="auto" w:fill="auto"/>
            <w:vAlign w:val="center"/>
          </w:tcPr>
          <w:p w14:paraId="1D1D08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95%</w:t>
            </w:r>
          </w:p>
        </w:tc>
      </w:tr>
      <w:tr w14:paraId="6F522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977" w:type="dxa"/>
            <w:vMerge w:val="continue"/>
            <w:tcBorders>
              <w:left w:val="single" w:color="000000" w:sz="4" w:space="0"/>
              <w:right w:val="single" w:color="000000" w:sz="4" w:space="0"/>
            </w:tcBorders>
            <w:shd w:val="clear" w:color="auto" w:fill="auto"/>
            <w:vAlign w:val="center"/>
          </w:tcPr>
          <w:p w14:paraId="5311A5C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3FC3332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A1D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6AA82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完成培训班时限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EEA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1-12月</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A2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12月</w:t>
            </w:r>
          </w:p>
        </w:tc>
      </w:tr>
      <w:tr w14:paraId="06EAE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0E87B4C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FF4A99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F0B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88851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指完成培训所需费用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30D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w:t>
            </w:r>
            <w:r>
              <w:rPr>
                <w:rFonts w:hint="eastAsia" w:ascii="仿宋_GB2312" w:hAnsi="仿宋_GB2312" w:eastAsia="仿宋_GB2312" w:cs="仿宋_GB2312"/>
                <w:i w:val="0"/>
                <w:color w:val="auto"/>
                <w:sz w:val="28"/>
                <w:szCs w:val="28"/>
                <w:u w:val="none"/>
                <w:lang w:val="en-US" w:eastAsia="zh-CN"/>
              </w:rPr>
              <w:t>50</w:t>
            </w:r>
            <w:r>
              <w:rPr>
                <w:rFonts w:hint="eastAsia" w:ascii="仿宋_GB2312" w:hAnsi="仿宋_GB2312" w:eastAsia="仿宋_GB2312" w:cs="仿宋_GB2312"/>
                <w:i w:val="0"/>
                <w:color w:val="auto"/>
                <w:sz w:val="28"/>
                <w:szCs w:val="28"/>
                <w:u w:val="none"/>
              </w:rPr>
              <w:t>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48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50万元</w:t>
            </w:r>
          </w:p>
        </w:tc>
      </w:tr>
      <w:tr w14:paraId="17760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1977" w:type="dxa"/>
            <w:vMerge w:val="continue"/>
            <w:tcBorders>
              <w:left w:val="single" w:color="000000" w:sz="4" w:space="0"/>
              <w:right w:val="single" w:color="000000" w:sz="4" w:space="0"/>
            </w:tcBorders>
            <w:shd w:val="clear" w:color="auto" w:fill="auto"/>
            <w:vAlign w:val="center"/>
          </w:tcPr>
          <w:p w14:paraId="160C10D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2E8278F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501E8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3E62A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干部引领发展的能力</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CA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提升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35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明显提升</w:t>
            </w:r>
          </w:p>
        </w:tc>
      </w:tr>
      <w:tr w14:paraId="14AF9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1977" w:type="dxa"/>
            <w:vMerge w:val="continue"/>
            <w:tcBorders>
              <w:left w:val="single" w:color="000000" w:sz="4" w:space="0"/>
              <w:right w:val="single" w:color="000000" w:sz="4" w:space="0"/>
            </w:tcBorders>
            <w:shd w:val="clear" w:color="auto" w:fill="auto"/>
            <w:vAlign w:val="center"/>
          </w:tcPr>
          <w:p w14:paraId="23B7FB13">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477C2B9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56150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CBC5E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参训学员引领发展的年限</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CD5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≥3年</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722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3年</w:t>
            </w:r>
          </w:p>
        </w:tc>
      </w:tr>
      <w:tr w14:paraId="6605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5815C890">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26989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满意</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度指标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C04C0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105347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9038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参训学员满意度</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5F0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56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95%</w:t>
            </w:r>
          </w:p>
        </w:tc>
      </w:tr>
    </w:tbl>
    <w:p w14:paraId="7C5741FB">
      <w:pPr>
        <w:pStyle w:val="17"/>
        <w:rPr>
          <w:rFonts w:hint="eastAsia"/>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titlePg/>
          <w:docGrid w:type="lines" w:linePitch="312" w:charSpace="0"/>
        </w:sectPr>
      </w:pPr>
    </w:p>
    <w:tbl>
      <w:tblPr>
        <w:tblStyle w:val="18"/>
        <w:tblpPr w:leftFromText="180" w:rightFromText="180" w:vertAnchor="text" w:horzAnchor="page" w:tblpX="1281" w:tblpY="660"/>
        <w:tblOverlap w:val="never"/>
        <w:tblW w:w="981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77"/>
        <w:gridCol w:w="869"/>
        <w:gridCol w:w="1350"/>
        <w:gridCol w:w="1747"/>
        <w:gridCol w:w="1224"/>
        <w:gridCol w:w="2410"/>
        <w:gridCol w:w="234"/>
      </w:tblGrid>
      <w:tr w14:paraId="622E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9577" w:type="dxa"/>
            <w:gridSpan w:val="6"/>
            <w:tcBorders>
              <w:top w:val="nil"/>
              <w:left w:val="nil"/>
              <w:bottom w:val="nil"/>
              <w:right w:val="nil"/>
            </w:tcBorders>
            <w:shd w:val="clear" w:color="auto" w:fill="auto"/>
            <w:vAlign w:val="center"/>
          </w:tcPr>
          <w:p w14:paraId="663391B6">
            <w:pPr>
              <w:keepNext w:val="0"/>
              <w:keepLines w:val="0"/>
              <w:widowControl/>
              <w:suppressLineNumbers w:val="0"/>
              <w:spacing w:beforeAutospacing="0"/>
              <w:jc w:val="center"/>
              <w:textAlignment w:val="center"/>
              <w:rPr>
                <w:rFonts w:hint="eastAsia" w:ascii="宋体" w:hAnsi="宋体" w:eastAsia="宋体" w:cs="宋体"/>
                <w:b/>
                <w:i w:val="0"/>
                <w:color w:val="auto"/>
                <w:sz w:val="32"/>
                <w:szCs w:val="32"/>
                <w:u w:val="none"/>
              </w:rPr>
            </w:pPr>
            <w:r>
              <w:rPr>
                <w:rFonts w:hint="eastAsia" w:ascii="宋体" w:hAnsi="宋体" w:eastAsia="宋体" w:cs="宋体"/>
                <w:b/>
                <w:i w:val="0"/>
                <w:color w:val="000000" w:themeColor="text1"/>
                <w:sz w:val="32"/>
                <w:szCs w:val="32"/>
                <w:highlight w:val="none"/>
                <w:u w:val="none"/>
                <w:shd w:val="clear" w:color="auto" w:fill="auto"/>
                <w:lang w:val="en-US" w:eastAsia="zh-CN"/>
                <w14:textFill>
                  <w14:solidFill>
                    <w14:schemeClr w14:val="tx1"/>
                  </w14:solidFill>
                </w14:textFill>
              </w:rPr>
              <w:t>2021年部门预算项目绩效目标自评</w:t>
            </w:r>
            <w:r>
              <w:rPr>
                <w:rFonts w:hint="eastAsia" w:ascii="宋体" w:hAnsi="宋体" w:cs="宋体"/>
                <w:b/>
                <w:i w:val="0"/>
                <w:color w:val="000000" w:themeColor="text1"/>
                <w:sz w:val="32"/>
                <w:szCs w:val="32"/>
                <w:highlight w:val="none"/>
                <w:u w:val="none"/>
                <w:shd w:val="clear" w:color="auto" w:fill="auto"/>
                <w:lang w:val="en-US" w:eastAsia="zh-CN"/>
                <w14:textFill>
                  <w14:solidFill>
                    <w14:schemeClr w14:val="tx1"/>
                  </w14:solidFill>
                </w14:textFill>
              </w:rPr>
              <w:t>（科研经费费）</w:t>
            </w:r>
          </w:p>
        </w:tc>
        <w:tc>
          <w:tcPr>
            <w:tcW w:w="234" w:type="dxa"/>
            <w:tcBorders>
              <w:top w:val="nil"/>
              <w:left w:val="nil"/>
              <w:bottom w:val="nil"/>
              <w:right w:val="nil"/>
            </w:tcBorders>
            <w:shd w:val="clear" w:color="auto" w:fill="auto"/>
            <w:vAlign w:val="center"/>
          </w:tcPr>
          <w:p w14:paraId="7520B1AC">
            <w:pPr>
              <w:keepNext w:val="0"/>
              <w:keepLines w:val="0"/>
              <w:widowControl/>
              <w:suppressLineNumbers w:val="0"/>
              <w:jc w:val="center"/>
              <w:textAlignment w:val="center"/>
              <w:rPr>
                <w:rFonts w:hint="eastAsia" w:ascii="宋体" w:hAnsi="宋体" w:eastAsia="宋体" w:cs="宋体"/>
                <w:b/>
                <w:i w:val="0"/>
                <w:color w:val="auto"/>
                <w:kern w:val="0"/>
                <w:sz w:val="32"/>
                <w:szCs w:val="32"/>
                <w:u w:val="none"/>
                <w:lang w:val="en-US" w:eastAsia="zh-CN" w:bidi="ar"/>
              </w:rPr>
            </w:pPr>
          </w:p>
        </w:tc>
      </w:tr>
      <w:tr w14:paraId="25A98C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254" w:hRule="atLeast"/>
        </w:trPr>
        <w:tc>
          <w:tcPr>
            <w:tcW w:w="28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5B65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主管部门及代码</w:t>
            </w:r>
          </w:p>
        </w:tc>
        <w:tc>
          <w:tcPr>
            <w:tcW w:w="30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396F80">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区委组织部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0A2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实施单位</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DB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区委党校</w:t>
            </w:r>
          </w:p>
        </w:tc>
      </w:tr>
      <w:tr w14:paraId="584AF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284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37D3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项目预算</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执行情况</w:t>
            </w:r>
            <w:r>
              <w:rPr>
                <w:rFonts w:hint="eastAsia" w:ascii="宋体" w:hAnsi="宋体" w:eastAsia="宋体" w:cs="宋体"/>
                <w:i w:val="0"/>
                <w:color w:val="auto"/>
                <w:kern w:val="0"/>
                <w:sz w:val="24"/>
                <w:szCs w:val="24"/>
                <w:u w:val="none"/>
                <w:lang w:val="en-US" w:eastAsia="zh-CN" w:bidi="ar"/>
              </w:rPr>
              <w:br w:type="textWrapping"/>
            </w:r>
            <w:r>
              <w:rPr>
                <w:rFonts w:hint="eastAsia" w:ascii="宋体" w:hAnsi="宋体" w:eastAsia="宋体" w:cs="宋体"/>
                <w:i w:val="0"/>
                <w:color w:val="auto"/>
                <w:kern w:val="0"/>
                <w:sz w:val="24"/>
                <w:szCs w:val="24"/>
                <w:u w:val="none"/>
                <w:lang w:val="en-US" w:eastAsia="zh-CN" w:bidi="ar"/>
              </w:rPr>
              <w:t>（万元）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8400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预算数：</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CF9F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84A6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 xml:space="preserve"> 执行数：</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3D9B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w:t>
            </w:r>
          </w:p>
        </w:tc>
      </w:tr>
      <w:tr w14:paraId="316B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55"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2343C">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51AF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51C5795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439D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F1B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其中：</w:t>
            </w:r>
          </w:p>
          <w:p w14:paraId="581B80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财政拨款</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79FF8">
            <w:pPr>
              <w:keepNext w:val="0"/>
              <w:keepLines w:val="0"/>
              <w:pageBreakBefore w:val="0"/>
              <w:widowControl/>
              <w:suppressLineNumbers w:val="0"/>
              <w:kinsoku/>
              <w:wordWrap/>
              <w:overflowPunct/>
              <w:topLinePunct w:val="0"/>
              <w:autoSpaceDE/>
              <w:autoSpaceDN/>
              <w:bidi w:val="0"/>
              <w:adjustRightInd/>
              <w:snapToGrid/>
              <w:spacing w:line="320" w:lineRule="exact"/>
              <w:jc w:val="both"/>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w:t>
            </w:r>
          </w:p>
        </w:tc>
      </w:tr>
      <w:tr w14:paraId="2C1B2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41" w:hRule="atLeast"/>
        </w:trPr>
        <w:tc>
          <w:tcPr>
            <w:tcW w:w="284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A3A40">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34BB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157D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B182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其他资金</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7EF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p>
        </w:tc>
      </w:tr>
      <w:tr w14:paraId="20610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217" w:hRule="atLeast"/>
        </w:trPr>
        <w:tc>
          <w:tcPr>
            <w:tcW w:w="19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C03E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年度总体目标</w:t>
            </w:r>
          </w:p>
          <w:p w14:paraId="4A478D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完成情况</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8296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预期目标</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F178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目标实际完成情况</w:t>
            </w:r>
          </w:p>
        </w:tc>
      </w:tr>
      <w:tr w14:paraId="66785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797" w:hRule="atLeast"/>
        </w:trPr>
        <w:tc>
          <w:tcPr>
            <w:tcW w:w="19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3BB5A">
            <w:pPr>
              <w:keepNext w:val="0"/>
              <w:keepLines w:val="0"/>
              <w:pageBreakBefore w:val="0"/>
              <w:kinsoku/>
              <w:wordWrap/>
              <w:overflowPunct/>
              <w:topLinePunct w:val="0"/>
              <w:autoSpaceDE/>
              <w:autoSpaceDN/>
              <w:bidi w:val="0"/>
              <w:adjustRightInd/>
              <w:snapToGrid/>
              <w:spacing w:line="320" w:lineRule="exact"/>
              <w:jc w:val="center"/>
              <w:rPr>
                <w:rFonts w:hint="eastAsia" w:ascii="宋体" w:hAnsi="宋体" w:eastAsia="宋体" w:cs="宋体"/>
                <w:i w:val="0"/>
                <w:color w:val="auto"/>
                <w:sz w:val="24"/>
                <w:szCs w:val="24"/>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45EE1E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聚焦全区经济、社会热点难点问题，完成省级、市级课题5个；开展训前调研，走访乡镇、部门20个，围绕全区中心工作，形成精品课一门，为区委政府决策提供参考。</w:t>
            </w:r>
          </w:p>
        </w:tc>
        <w:tc>
          <w:tcPr>
            <w:tcW w:w="3634"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14:paraId="1E1B69D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top"/>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立项省市课题5个，走访乡镇部门20个，在全市理论宣讲比赛中获得二等奖，在全市党校系统精品课竞赛中获得三等奖，区委、区政府主要领导签批咨政报告2篇。</w:t>
            </w:r>
          </w:p>
        </w:tc>
      </w:tr>
      <w:tr w14:paraId="444EC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234" w:type="dxa"/>
          <w:trHeight w:val="693" w:hRule="atLeast"/>
        </w:trPr>
        <w:tc>
          <w:tcPr>
            <w:tcW w:w="1977" w:type="dxa"/>
            <w:vMerge w:val="restart"/>
            <w:tcBorders>
              <w:top w:val="single" w:color="000000" w:sz="4" w:space="0"/>
              <w:left w:val="single" w:color="000000" w:sz="4" w:space="0"/>
              <w:right w:val="single" w:color="000000" w:sz="4" w:space="0"/>
            </w:tcBorders>
            <w:shd w:val="clear" w:color="auto" w:fill="auto"/>
            <w:vAlign w:val="center"/>
          </w:tcPr>
          <w:p w14:paraId="4E6E2F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年度绩效指标完成情况</w:t>
            </w:r>
          </w:p>
        </w:tc>
        <w:tc>
          <w:tcPr>
            <w:tcW w:w="869" w:type="dxa"/>
            <w:tcBorders>
              <w:top w:val="single" w:color="000000" w:sz="4" w:space="0"/>
              <w:left w:val="nil"/>
              <w:bottom w:val="single" w:color="000000" w:sz="4" w:space="0"/>
              <w:right w:val="single" w:color="000000" w:sz="4" w:space="0"/>
            </w:tcBorders>
            <w:shd w:val="clear" w:color="auto" w:fill="auto"/>
            <w:vAlign w:val="center"/>
          </w:tcPr>
          <w:p w14:paraId="42707D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一级</w:t>
            </w:r>
          </w:p>
          <w:p w14:paraId="279DDD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DCB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二级</w:t>
            </w:r>
          </w:p>
          <w:p w14:paraId="4E2B27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9F8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三级</w:t>
            </w:r>
          </w:p>
          <w:p w14:paraId="5B1AA2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224" w:type="dxa"/>
            <w:tcBorders>
              <w:top w:val="single" w:color="000000" w:sz="4" w:space="0"/>
              <w:left w:val="single" w:color="000000" w:sz="4" w:space="0"/>
              <w:bottom w:val="single" w:color="auto" w:sz="4" w:space="0"/>
              <w:right w:val="single" w:color="000000" w:sz="4" w:space="0"/>
            </w:tcBorders>
            <w:shd w:val="clear" w:color="auto" w:fill="auto"/>
            <w:vAlign w:val="center"/>
          </w:tcPr>
          <w:p w14:paraId="2C3F28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预期指标值</w:t>
            </w:r>
          </w:p>
        </w:tc>
        <w:tc>
          <w:tcPr>
            <w:tcW w:w="2410" w:type="dxa"/>
            <w:tcBorders>
              <w:top w:val="single" w:color="000000" w:sz="4" w:space="0"/>
              <w:left w:val="single" w:color="000000" w:sz="4" w:space="0"/>
              <w:bottom w:val="single" w:color="auto" w:sz="4" w:space="0"/>
              <w:right w:val="single" w:color="000000" w:sz="4" w:space="0"/>
            </w:tcBorders>
            <w:shd w:val="clear" w:color="auto" w:fill="auto"/>
            <w:vAlign w:val="center"/>
          </w:tcPr>
          <w:p w14:paraId="6D337E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实际完成指标值</w:t>
            </w:r>
          </w:p>
        </w:tc>
      </w:tr>
      <w:tr w14:paraId="74927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360" w:hRule="atLeast"/>
        </w:trPr>
        <w:tc>
          <w:tcPr>
            <w:tcW w:w="1977" w:type="dxa"/>
            <w:vMerge w:val="continue"/>
            <w:tcBorders>
              <w:left w:val="single" w:color="000000" w:sz="4" w:space="0"/>
              <w:right w:val="single" w:color="000000" w:sz="4" w:space="0"/>
            </w:tcBorders>
            <w:shd w:val="clear" w:color="auto" w:fill="auto"/>
            <w:vAlign w:val="center"/>
          </w:tcPr>
          <w:p w14:paraId="0AEAF1C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restart"/>
            <w:tcBorders>
              <w:top w:val="single" w:color="000000" w:sz="4" w:space="0"/>
              <w:left w:val="single" w:color="000000" w:sz="4" w:space="0"/>
              <w:right w:val="single" w:color="000000" w:sz="4" w:space="0"/>
            </w:tcBorders>
            <w:shd w:val="clear" w:color="auto" w:fill="auto"/>
            <w:vAlign w:val="center"/>
          </w:tcPr>
          <w:p w14:paraId="4DD1FD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完成</w:t>
            </w:r>
          </w:p>
          <w:p w14:paraId="7D1A85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350" w:type="dxa"/>
            <w:vMerge w:val="restart"/>
            <w:tcBorders>
              <w:top w:val="single" w:color="000000" w:sz="4" w:space="0"/>
              <w:left w:val="single" w:color="000000" w:sz="4" w:space="0"/>
              <w:right w:val="single" w:color="000000" w:sz="4" w:space="0"/>
            </w:tcBorders>
            <w:shd w:val="clear" w:color="auto" w:fill="auto"/>
            <w:vAlign w:val="center"/>
          </w:tcPr>
          <w:p w14:paraId="19A2E6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数量指标</w:t>
            </w:r>
          </w:p>
        </w:tc>
        <w:tc>
          <w:tcPr>
            <w:tcW w:w="1747" w:type="dxa"/>
            <w:tcBorders>
              <w:top w:val="single" w:color="000000" w:sz="4" w:space="0"/>
              <w:left w:val="single" w:color="000000" w:sz="4" w:space="0"/>
              <w:bottom w:val="single" w:color="000000" w:sz="4" w:space="0"/>
              <w:right w:val="single" w:color="auto" w:sz="4" w:space="0"/>
            </w:tcBorders>
            <w:shd w:val="clear" w:color="auto" w:fill="auto"/>
            <w:vAlign w:val="bottom"/>
          </w:tcPr>
          <w:p w14:paraId="14A2A8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rPr>
              <w:t>省市及本校课题立项数</w:t>
            </w:r>
          </w:p>
        </w:tc>
        <w:tc>
          <w:tcPr>
            <w:tcW w:w="1224" w:type="dxa"/>
            <w:tcBorders>
              <w:top w:val="single" w:color="auto" w:sz="4" w:space="0"/>
              <w:left w:val="single" w:color="auto" w:sz="4" w:space="0"/>
              <w:bottom w:val="single" w:color="auto" w:sz="4" w:space="0"/>
              <w:right w:val="single" w:color="auto" w:sz="4" w:space="0"/>
            </w:tcBorders>
            <w:shd w:val="clear" w:color="auto" w:fill="auto"/>
            <w:vAlign w:val="center"/>
          </w:tcPr>
          <w:p w14:paraId="10122D46">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eastAsia"/>
                <w:lang w:eastAsia="zh-CN"/>
              </w:rPr>
            </w:pPr>
          </w:p>
          <w:p w14:paraId="38FD2871">
            <w:pPr>
              <w:keepNext w:val="0"/>
              <w:keepLines w:val="0"/>
              <w:pageBreakBefore w:val="0"/>
              <w:widowControl/>
              <w:suppressLineNumbers w:val="0"/>
              <w:tabs>
                <w:tab w:val="left" w:pos="355"/>
              </w:tabs>
              <w:kinsoku/>
              <w:wordWrap/>
              <w:overflowPunct/>
              <w:topLinePunct w:val="0"/>
              <w:autoSpaceDE/>
              <w:autoSpaceDN/>
              <w:bidi w:val="0"/>
              <w:adjustRightInd/>
              <w:snapToGrid/>
              <w:spacing w:line="320" w:lineRule="exact"/>
              <w:jc w:val="center"/>
              <w:textAlignment w:val="bottom"/>
              <w:rPr>
                <w:rFonts w:hint="default"/>
                <w:lang w:val="en-US" w:eastAsia="zh-CN"/>
              </w:rPr>
            </w:pPr>
            <w:r>
              <w:rPr>
                <w:rFonts w:hint="eastAsia"/>
                <w:lang w:eastAsia="zh-CN"/>
              </w:rPr>
              <w:t>≥</w:t>
            </w:r>
            <w:r>
              <w:rPr>
                <w:rFonts w:hint="eastAsia"/>
                <w:lang w:val="en-US" w:eastAsia="zh-CN"/>
              </w:rPr>
              <w:t>5个</w:t>
            </w:r>
          </w:p>
          <w:p w14:paraId="40402272">
            <w:pPr>
              <w:pStyle w:val="17"/>
              <w:jc w:val="center"/>
              <w:rPr>
                <w:rFonts w:hint="eastAsia"/>
                <w:lang w:eastAsia="zh-CN"/>
              </w:rPr>
            </w:pP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1BA6C1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5个</w:t>
            </w:r>
          </w:p>
        </w:tc>
      </w:tr>
      <w:tr w14:paraId="5F967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640" w:hRule="atLeast"/>
        </w:trPr>
        <w:tc>
          <w:tcPr>
            <w:tcW w:w="1977" w:type="dxa"/>
            <w:vMerge w:val="continue"/>
            <w:tcBorders>
              <w:left w:val="single" w:color="000000" w:sz="4" w:space="0"/>
              <w:right w:val="single" w:color="000000" w:sz="4" w:space="0"/>
            </w:tcBorders>
            <w:shd w:val="clear" w:color="auto" w:fill="auto"/>
            <w:vAlign w:val="center"/>
          </w:tcPr>
          <w:p w14:paraId="25A67F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869" w:type="dxa"/>
            <w:vMerge w:val="continue"/>
            <w:tcBorders>
              <w:left w:val="single" w:color="000000" w:sz="4" w:space="0"/>
              <w:right w:val="single" w:color="000000" w:sz="4" w:space="0"/>
            </w:tcBorders>
            <w:shd w:val="clear" w:color="auto" w:fill="auto"/>
            <w:vAlign w:val="center"/>
          </w:tcPr>
          <w:p w14:paraId="476058E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350" w:type="dxa"/>
            <w:vMerge w:val="continue"/>
            <w:tcBorders>
              <w:left w:val="single" w:color="000000" w:sz="4" w:space="0"/>
              <w:right w:val="single" w:color="000000" w:sz="4" w:space="0"/>
            </w:tcBorders>
            <w:shd w:val="clear" w:color="auto" w:fill="auto"/>
            <w:vAlign w:val="bottom"/>
          </w:tcPr>
          <w:p w14:paraId="5D6283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pPr>
          </w:p>
        </w:tc>
        <w:tc>
          <w:tcPr>
            <w:tcW w:w="1747" w:type="dxa"/>
            <w:tcBorders>
              <w:top w:val="single" w:color="000000" w:sz="4" w:space="0"/>
              <w:left w:val="single" w:color="000000" w:sz="4" w:space="0"/>
              <w:right w:val="single" w:color="auto" w:sz="4" w:space="0"/>
            </w:tcBorders>
            <w:shd w:val="clear" w:color="auto" w:fill="auto"/>
            <w:vAlign w:val="bottom"/>
          </w:tcPr>
          <w:p w14:paraId="583C64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走访乡镇、部门数</w:t>
            </w:r>
          </w:p>
        </w:tc>
        <w:tc>
          <w:tcPr>
            <w:tcW w:w="1224" w:type="dxa"/>
            <w:tcBorders>
              <w:top w:val="single" w:color="auto" w:sz="4" w:space="0"/>
              <w:left w:val="single" w:color="auto" w:sz="4" w:space="0"/>
              <w:right w:val="single" w:color="auto" w:sz="4" w:space="0"/>
            </w:tcBorders>
            <w:shd w:val="clear" w:color="auto" w:fill="auto"/>
            <w:vAlign w:val="center"/>
          </w:tcPr>
          <w:p w14:paraId="330ECB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lang w:eastAsia="zh-CN"/>
              </w:rPr>
              <w:t>≥</w:t>
            </w:r>
            <w:r>
              <w:rPr>
                <w:rFonts w:hint="eastAsia"/>
                <w:lang w:val="en-US" w:eastAsia="zh-CN"/>
              </w:rPr>
              <w:t>20个</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6E0D7C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20个</w:t>
            </w:r>
          </w:p>
        </w:tc>
      </w:tr>
      <w:tr w14:paraId="1288E8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15" w:hRule="atLeast"/>
        </w:trPr>
        <w:tc>
          <w:tcPr>
            <w:tcW w:w="1977" w:type="dxa"/>
            <w:vMerge w:val="continue"/>
            <w:tcBorders>
              <w:left w:val="single" w:color="000000" w:sz="4" w:space="0"/>
              <w:right w:val="single" w:color="000000" w:sz="4" w:space="0"/>
            </w:tcBorders>
            <w:shd w:val="clear" w:color="auto" w:fill="auto"/>
            <w:vAlign w:val="center"/>
          </w:tcPr>
          <w:p w14:paraId="51BD155E">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621D6E5F">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575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质量指标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1ADB1B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课题结项率格率</w:t>
            </w:r>
          </w:p>
        </w:tc>
        <w:tc>
          <w:tcPr>
            <w:tcW w:w="1224" w:type="dxa"/>
            <w:tcBorders>
              <w:top w:val="single" w:color="auto" w:sz="4" w:space="0"/>
              <w:left w:val="single" w:color="000000" w:sz="4" w:space="0"/>
              <w:bottom w:val="single" w:color="000000" w:sz="4" w:space="0"/>
              <w:right w:val="single" w:color="000000" w:sz="4" w:space="0"/>
            </w:tcBorders>
            <w:shd w:val="clear" w:color="auto" w:fill="auto"/>
            <w:vAlign w:val="center"/>
          </w:tcPr>
          <w:p w14:paraId="367CE3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rPr>
            </w:pPr>
            <w:r>
              <w:rPr>
                <w:rFonts w:hint="eastAsia"/>
                <w:lang w:val="en-US" w:eastAsia="zh-CN"/>
              </w:rPr>
              <w:t>=100%</w:t>
            </w:r>
          </w:p>
        </w:tc>
        <w:tc>
          <w:tcPr>
            <w:tcW w:w="2410" w:type="dxa"/>
            <w:tcBorders>
              <w:top w:val="single" w:color="auto" w:sz="4" w:space="0"/>
              <w:left w:val="single" w:color="000000" w:sz="4" w:space="0"/>
              <w:bottom w:val="single" w:color="000000" w:sz="4" w:space="0"/>
              <w:right w:val="single" w:color="000000" w:sz="4" w:space="0"/>
            </w:tcBorders>
            <w:shd w:val="clear" w:color="auto" w:fill="auto"/>
            <w:vAlign w:val="center"/>
          </w:tcPr>
          <w:p w14:paraId="6D34CD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100%</w:t>
            </w:r>
          </w:p>
        </w:tc>
      </w:tr>
      <w:tr w14:paraId="57307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50" w:hRule="atLeast"/>
        </w:trPr>
        <w:tc>
          <w:tcPr>
            <w:tcW w:w="1977" w:type="dxa"/>
            <w:vMerge w:val="continue"/>
            <w:tcBorders>
              <w:left w:val="single" w:color="000000" w:sz="4" w:space="0"/>
              <w:right w:val="single" w:color="000000" w:sz="4" w:space="0"/>
            </w:tcBorders>
            <w:shd w:val="clear" w:color="auto" w:fill="auto"/>
            <w:vAlign w:val="center"/>
          </w:tcPr>
          <w:p w14:paraId="0BF827D6">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5A5153B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E57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时效指标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482F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按时完成结项评审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F42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1-10月</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441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10月</w:t>
            </w:r>
          </w:p>
        </w:tc>
      </w:tr>
      <w:tr w14:paraId="3007E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55A60B55">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1F6B41C9">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431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成本指标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5B2F9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指完成</w:t>
            </w:r>
            <w:r>
              <w:rPr>
                <w:rFonts w:hint="eastAsia" w:ascii="仿宋_GB2312" w:hAnsi="仿宋_GB2312" w:eastAsia="仿宋_GB2312" w:cs="仿宋_GB2312"/>
                <w:i w:val="0"/>
                <w:color w:val="auto"/>
                <w:sz w:val="28"/>
                <w:szCs w:val="28"/>
                <w:u w:val="none"/>
                <w:lang w:val="en-US" w:eastAsia="zh-CN"/>
              </w:rPr>
              <w:t>科研人去</w:t>
            </w:r>
            <w:r>
              <w:rPr>
                <w:rFonts w:hint="eastAsia" w:ascii="仿宋_GB2312" w:hAnsi="仿宋_GB2312" w:eastAsia="仿宋_GB2312" w:cs="仿宋_GB2312"/>
                <w:i w:val="0"/>
                <w:color w:val="auto"/>
                <w:sz w:val="28"/>
                <w:szCs w:val="28"/>
                <w:u w:val="none"/>
              </w:rPr>
              <w:t>所需费用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77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w:t>
            </w:r>
            <w:r>
              <w:rPr>
                <w:rFonts w:hint="eastAsia" w:ascii="仿宋_GB2312" w:hAnsi="仿宋_GB2312" w:eastAsia="仿宋_GB2312" w:cs="仿宋_GB2312"/>
                <w:i w:val="0"/>
                <w:color w:val="auto"/>
                <w:sz w:val="28"/>
                <w:szCs w:val="28"/>
                <w:u w:val="none"/>
                <w:lang w:val="en-US" w:eastAsia="zh-CN"/>
              </w:rPr>
              <w:t>5</w:t>
            </w:r>
            <w:r>
              <w:rPr>
                <w:rFonts w:hint="eastAsia" w:ascii="仿宋_GB2312" w:hAnsi="仿宋_GB2312" w:eastAsia="仿宋_GB2312" w:cs="仿宋_GB2312"/>
                <w:i w:val="0"/>
                <w:color w:val="auto"/>
                <w:sz w:val="28"/>
                <w:szCs w:val="28"/>
                <w:u w:val="none"/>
              </w:rPr>
              <w:t>万元</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D3F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5万元</w:t>
            </w:r>
          </w:p>
        </w:tc>
      </w:tr>
      <w:tr w14:paraId="37CB6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480" w:hRule="atLeast"/>
        </w:trPr>
        <w:tc>
          <w:tcPr>
            <w:tcW w:w="1977" w:type="dxa"/>
            <w:vMerge w:val="continue"/>
            <w:tcBorders>
              <w:left w:val="single" w:color="000000" w:sz="4" w:space="0"/>
              <w:right w:val="single" w:color="000000" w:sz="4" w:space="0"/>
            </w:tcBorders>
            <w:shd w:val="clear" w:color="auto" w:fill="auto"/>
            <w:vAlign w:val="center"/>
          </w:tcPr>
          <w:p w14:paraId="70B40272">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781998F7">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091C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社会效益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3173D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课题及理论文章为区委政府决策提供参考</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FFB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咨政报告得到区委、区政府领导签批</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C7E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宋体" w:hAnsi="宋体" w:cs="宋体"/>
                <w:i w:val="0"/>
                <w:color w:val="auto"/>
                <w:sz w:val="24"/>
                <w:szCs w:val="24"/>
                <w:u w:val="none"/>
                <w:lang w:val="en-US" w:eastAsia="zh-CN"/>
              </w:rPr>
              <w:t>区委、区政府主要领导签批咨政报告2篇。</w:t>
            </w:r>
          </w:p>
        </w:tc>
      </w:tr>
      <w:tr w14:paraId="228F2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860" w:hRule="atLeast"/>
        </w:trPr>
        <w:tc>
          <w:tcPr>
            <w:tcW w:w="1977" w:type="dxa"/>
            <w:vMerge w:val="continue"/>
            <w:tcBorders>
              <w:left w:val="single" w:color="000000" w:sz="4" w:space="0"/>
              <w:right w:val="single" w:color="000000" w:sz="4" w:space="0"/>
            </w:tcBorders>
            <w:shd w:val="clear" w:color="auto" w:fill="auto"/>
            <w:vAlign w:val="center"/>
          </w:tcPr>
          <w:p w14:paraId="1B8394FB">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14:paraId="038F0D5A">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18E9D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可持续影响 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64244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专兼职教师科研能力</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06D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lang w:eastAsia="zh-CN"/>
              </w:rPr>
            </w:pPr>
            <w:r>
              <w:rPr>
                <w:rFonts w:hint="eastAsia" w:ascii="仿宋_GB2312" w:hAnsi="仿宋_GB2312" w:eastAsia="仿宋_GB2312" w:cs="仿宋_GB2312"/>
                <w:i w:val="0"/>
                <w:color w:val="auto"/>
                <w:sz w:val="28"/>
                <w:szCs w:val="28"/>
                <w:u w:val="none"/>
                <w:lang w:val="en-US" w:eastAsia="zh-CN"/>
              </w:rPr>
              <w:t>提升</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F0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不断提升</w:t>
            </w:r>
          </w:p>
        </w:tc>
      </w:tr>
      <w:tr w14:paraId="74358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34" w:type="dxa"/>
          <w:trHeight w:val="530" w:hRule="atLeast"/>
        </w:trPr>
        <w:tc>
          <w:tcPr>
            <w:tcW w:w="1977" w:type="dxa"/>
            <w:vMerge w:val="continue"/>
            <w:tcBorders>
              <w:left w:val="single" w:color="000000" w:sz="4" w:space="0"/>
              <w:bottom w:val="single" w:color="000000" w:sz="4" w:space="0"/>
              <w:right w:val="single" w:color="000000" w:sz="4" w:space="0"/>
            </w:tcBorders>
            <w:shd w:val="clear" w:color="auto" w:fill="auto"/>
            <w:vAlign w:val="center"/>
          </w:tcPr>
          <w:p w14:paraId="15CDB768">
            <w:pPr>
              <w:keepNext w:val="0"/>
              <w:keepLines w:val="0"/>
              <w:pageBreakBefore w:val="0"/>
              <w:kinsoku/>
              <w:wordWrap/>
              <w:overflowPunct/>
              <w:topLinePunct w:val="0"/>
              <w:autoSpaceDE/>
              <w:autoSpaceDN/>
              <w:bidi w:val="0"/>
              <w:adjustRightInd/>
              <w:snapToGrid/>
              <w:spacing w:line="320" w:lineRule="exact"/>
              <w:jc w:val="center"/>
              <w:rPr>
                <w:rFonts w:hint="eastAsia" w:ascii="仿宋_GB2312" w:hAnsi="仿宋_GB2312" w:eastAsia="仿宋_GB2312" w:cs="仿宋_GB2312"/>
                <w:i w:val="0"/>
                <w:color w:val="auto"/>
                <w:sz w:val="28"/>
                <w:szCs w:val="28"/>
                <w:u w:val="none"/>
              </w:rPr>
            </w:pPr>
          </w:p>
        </w:tc>
        <w:tc>
          <w:tcPr>
            <w:tcW w:w="869"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46046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满意</w:t>
            </w:r>
            <w:r>
              <w:rPr>
                <w:rFonts w:hint="eastAsia" w:ascii="仿宋_GB2312" w:hAnsi="仿宋_GB2312" w:eastAsia="仿宋_GB2312" w:cs="仿宋_GB2312"/>
                <w:i w:val="0"/>
                <w:color w:val="auto"/>
                <w:kern w:val="0"/>
                <w:sz w:val="28"/>
                <w:szCs w:val="28"/>
                <w:u w:val="none"/>
                <w:lang w:val="en-US" w:eastAsia="zh-CN" w:bidi="ar"/>
              </w:rPr>
              <w:br w:type="textWrapping"/>
            </w:r>
            <w:r>
              <w:rPr>
                <w:rFonts w:hint="eastAsia" w:ascii="仿宋_GB2312" w:hAnsi="仿宋_GB2312" w:eastAsia="仿宋_GB2312" w:cs="仿宋_GB2312"/>
                <w:i w:val="0"/>
                <w:color w:val="auto"/>
                <w:kern w:val="0"/>
                <w:sz w:val="28"/>
                <w:szCs w:val="28"/>
                <w:u w:val="none"/>
                <w:lang w:val="en-US" w:eastAsia="zh-CN" w:bidi="ar"/>
              </w:rPr>
              <w:t>度指标</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9E72F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满意度</w:t>
            </w:r>
          </w:p>
          <w:p w14:paraId="4FEF1E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kern w:val="0"/>
                <w:sz w:val="28"/>
                <w:szCs w:val="28"/>
                <w:u w:val="none"/>
                <w:lang w:val="en-US" w:eastAsia="zh-CN" w:bidi="ar"/>
              </w:rPr>
              <w:t>指标</w:t>
            </w:r>
          </w:p>
        </w:tc>
        <w:tc>
          <w:tcPr>
            <w:tcW w:w="1747"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BD08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区委、区政府满意度</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D5A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eastAsia" w:ascii="仿宋_GB2312" w:hAnsi="仿宋_GB2312" w:eastAsia="仿宋_GB2312" w:cs="仿宋_GB2312"/>
                <w:i w:val="0"/>
                <w:color w:val="auto"/>
                <w:sz w:val="28"/>
                <w:szCs w:val="28"/>
                <w:u w:val="none"/>
              </w:rPr>
            </w:pPr>
            <w:r>
              <w:rPr>
                <w:rFonts w:hint="eastAsia" w:ascii="仿宋_GB2312" w:hAnsi="仿宋_GB2312" w:eastAsia="仿宋_GB2312" w:cs="仿宋_GB2312"/>
                <w:i w:val="0"/>
                <w:color w:val="auto"/>
                <w:sz w:val="28"/>
                <w:szCs w:val="28"/>
                <w:u w:val="none"/>
              </w:rPr>
              <w:t>≥90%</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92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bottom"/>
              <w:rPr>
                <w:rFonts w:hint="default" w:ascii="仿宋_GB2312" w:hAnsi="仿宋_GB2312" w:eastAsia="仿宋_GB2312" w:cs="仿宋_GB2312"/>
                <w:i w:val="0"/>
                <w:color w:val="auto"/>
                <w:sz w:val="28"/>
                <w:szCs w:val="28"/>
                <w:u w:val="none"/>
                <w:lang w:val="en-US" w:eastAsia="zh-CN"/>
              </w:rPr>
            </w:pPr>
            <w:r>
              <w:rPr>
                <w:rFonts w:hint="eastAsia" w:ascii="仿宋_GB2312" w:hAnsi="仿宋_GB2312" w:eastAsia="仿宋_GB2312" w:cs="仿宋_GB2312"/>
                <w:i w:val="0"/>
                <w:color w:val="auto"/>
                <w:sz w:val="28"/>
                <w:szCs w:val="28"/>
                <w:u w:val="none"/>
                <w:lang w:val="en-US" w:eastAsia="zh-CN"/>
              </w:rPr>
              <w:t>95%</w:t>
            </w:r>
          </w:p>
        </w:tc>
      </w:tr>
    </w:tbl>
    <w:p w14:paraId="11AD3F33">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rPr>
        <w:sectPr>
          <w:footerReference r:id="rId11" w:type="firs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titlePg/>
          <w:docGrid w:type="lines" w:linePitch="312" w:charSpace="0"/>
        </w:sectPr>
      </w:pPr>
    </w:p>
    <w:p w14:paraId="50133090">
      <w:pPr>
        <w:numPr>
          <w:ilvl w:val="0"/>
          <w:numId w:val="0"/>
        </w:numPr>
        <w:spacing w:line="600" w:lineRule="exact"/>
        <w:jc w:val="center"/>
        <w:outlineLvl w:val="0"/>
        <w:rPr>
          <w:rStyle w:val="30"/>
          <w:rFonts w:hint="eastAsia" w:ascii="黑体" w:hAnsi="黑体" w:eastAsia="黑体"/>
          <w:b w:val="0"/>
          <w:color w:val="auto"/>
          <w:highlight w:val="none"/>
        </w:rPr>
      </w:pPr>
      <w:bookmarkStart w:id="73" w:name="_Toc24768"/>
      <w:r>
        <w:rPr>
          <w:rStyle w:val="30"/>
          <w:rFonts w:hint="eastAsia" w:ascii="黑体" w:hAnsi="黑体" w:eastAsia="黑体"/>
          <w:b w:val="0"/>
          <w:color w:val="auto"/>
          <w:highlight w:val="none"/>
          <w:lang w:val="en-US" w:eastAsia="zh-CN"/>
        </w:rPr>
        <w:t xml:space="preserve">第五部分 </w:t>
      </w:r>
      <w:r>
        <w:rPr>
          <w:rStyle w:val="30"/>
          <w:rFonts w:hint="eastAsia" w:ascii="黑体" w:hAnsi="黑体" w:eastAsia="黑体"/>
          <w:b w:val="0"/>
          <w:color w:val="auto"/>
          <w:highlight w:val="none"/>
        </w:rPr>
        <w:t>附表</w:t>
      </w:r>
      <w:bookmarkEnd w:id="70"/>
      <w:bookmarkEnd w:id="72"/>
      <w:bookmarkEnd w:id="73"/>
      <w:bookmarkStart w:id="74" w:name="_Toc15396619"/>
    </w:p>
    <w:p w14:paraId="2C116C99">
      <w:pPr>
        <w:pageBreakBefore w:val="0"/>
        <w:widowControl w:val="0"/>
        <w:numPr>
          <w:ilvl w:val="0"/>
          <w:numId w:val="4"/>
        </w:numPr>
        <w:kinsoku/>
        <w:wordWrap/>
        <w:overflowPunct/>
        <w:topLinePunct w:val="0"/>
        <w:autoSpaceDE/>
        <w:autoSpaceDN/>
        <w:bidi w:val="0"/>
        <w:adjustRightInd/>
        <w:snapToGrid/>
        <w:spacing w:line="576" w:lineRule="exact"/>
        <w:jc w:val="both"/>
        <w:textAlignment w:val="auto"/>
        <w:outlineLvl w:val="1"/>
        <w:rPr>
          <w:rStyle w:val="31"/>
          <w:rFonts w:hint="eastAsia" w:ascii="仿宋" w:hAnsi="仿宋" w:eastAsia="仿宋"/>
          <w:b w:val="0"/>
          <w:bCs w:val="0"/>
          <w:color w:val="auto"/>
          <w:highlight w:val="none"/>
        </w:rPr>
      </w:pPr>
      <w:bookmarkStart w:id="75" w:name="_Toc5375"/>
      <w:r>
        <w:rPr>
          <w:rFonts w:hint="eastAsia" w:ascii="仿宋" w:hAnsi="仿宋" w:eastAsia="仿宋" w:cstheme="majorBidi"/>
          <w:b w:val="0"/>
          <w:bCs/>
          <w:color w:val="auto"/>
          <w:kern w:val="2"/>
          <w:sz w:val="32"/>
          <w:szCs w:val="32"/>
          <w:highlight w:val="none"/>
          <w:lang w:val="en-US" w:eastAsia="zh-CN" w:bidi="ar-SA"/>
        </w:rPr>
        <w:t>收</w:t>
      </w:r>
      <w:r>
        <w:rPr>
          <w:rStyle w:val="31"/>
          <w:rFonts w:hint="eastAsia" w:ascii="仿宋" w:hAnsi="仿宋" w:eastAsia="仿宋"/>
          <w:b w:val="0"/>
          <w:bCs w:val="0"/>
          <w:color w:val="auto"/>
          <w:highlight w:val="none"/>
        </w:rPr>
        <w:t>入支出决算总表</w:t>
      </w:r>
      <w:bookmarkEnd w:id="74"/>
      <w:bookmarkEnd w:id="75"/>
      <w:bookmarkStart w:id="76" w:name="_Toc15396620"/>
    </w:p>
    <w:p w14:paraId="0FC4694E">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Fonts w:ascii="仿宋" w:hAnsi="仿宋" w:eastAsia="仿宋"/>
          <w:color w:val="auto"/>
          <w:highlight w:val="none"/>
        </w:rPr>
      </w:pPr>
      <w:bookmarkStart w:id="77" w:name="_Toc22158"/>
      <w:r>
        <w:rPr>
          <w:rFonts w:hint="eastAsia" w:ascii="仿宋" w:hAnsi="仿宋" w:eastAsia="仿宋" w:cstheme="majorBidi"/>
          <w:b w:val="0"/>
          <w:bCs/>
          <w:color w:val="auto"/>
          <w:kern w:val="2"/>
          <w:sz w:val="32"/>
          <w:szCs w:val="32"/>
          <w:highlight w:val="none"/>
          <w:lang w:val="en-US" w:eastAsia="zh-CN" w:bidi="ar-SA"/>
        </w:rPr>
        <w:t>二、收入</w:t>
      </w:r>
      <w:r>
        <w:rPr>
          <w:rStyle w:val="31"/>
          <w:rFonts w:hint="eastAsia" w:ascii="仿宋" w:hAnsi="仿宋" w:eastAsia="仿宋"/>
          <w:b w:val="0"/>
          <w:bCs w:val="0"/>
          <w:color w:val="auto"/>
          <w:highlight w:val="none"/>
        </w:rPr>
        <w:t>决算表</w:t>
      </w:r>
      <w:bookmarkEnd w:id="76"/>
      <w:bookmarkEnd w:id="77"/>
      <w:bookmarkStart w:id="78" w:name="_Toc15396621"/>
    </w:p>
    <w:p w14:paraId="4727EAD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79" w:name="_Toc28715"/>
      <w:r>
        <w:rPr>
          <w:rStyle w:val="31"/>
          <w:rFonts w:hint="eastAsia" w:ascii="仿宋" w:hAnsi="仿宋" w:eastAsia="仿宋"/>
          <w:b w:val="0"/>
          <w:bCs w:val="0"/>
          <w:color w:val="auto"/>
          <w:highlight w:val="none"/>
        </w:rPr>
        <w:t>三</w:t>
      </w:r>
      <w:r>
        <w:rPr>
          <w:rStyle w:val="31"/>
          <w:rFonts w:hint="eastAsia" w:ascii="仿宋" w:hAnsi="仿宋" w:eastAsia="仿宋"/>
          <w:b w:val="0"/>
          <w:bCs w:val="0"/>
          <w:color w:val="auto"/>
          <w:highlight w:val="none"/>
          <w:lang w:eastAsia="zh-CN"/>
        </w:rPr>
        <w:t>、</w:t>
      </w:r>
      <w:r>
        <w:rPr>
          <w:rFonts w:hint="eastAsia" w:ascii="仿宋" w:hAnsi="仿宋" w:eastAsia="仿宋" w:cstheme="majorBidi"/>
          <w:b w:val="0"/>
          <w:bCs/>
          <w:color w:val="auto"/>
          <w:kern w:val="2"/>
          <w:sz w:val="32"/>
          <w:szCs w:val="32"/>
          <w:highlight w:val="none"/>
          <w:lang w:val="en-US" w:eastAsia="zh-CN" w:bidi="ar-SA"/>
        </w:rPr>
        <w:t>支</w:t>
      </w:r>
      <w:r>
        <w:rPr>
          <w:rStyle w:val="31"/>
          <w:rFonts w:hint="eastAsia" w:ascii="仿宋" w:hAnsi="仿宋" w:eastAsia="仿宋"/>
          <w:b w:val="0"/>
          <w:bCs w:val="0"/>
          <w:color w:val="auto"/>
          <w:highlight w:val="none"/>
        </w:rPr>
        <w:t>出决算表</w:t>
      </w:r>
      <w:bookmarkEnd w:id="78"/>
      <w:bookmarkEnd w:id="79"/>
      <w:bookmarkStart w:id="80" w:name="_Toc15396622"/>
    </w:p>
    <w:p w14:paraId="17202420">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81" w:name="_Toc23780"/>
      <w:r>
        <w:rPr>
          <w:rStyle w:val="31"/>
          <w:rFonts w:hint="eastAsia" w:ascii="仿宋" w:hAnsi="仿宋" w:eastAsia="仿宋"/>
          <w:b w:val="0"/>
          <w:bCs w:val="0"/>
          <w:color w:val="auto"/>
          <w:highlight w:val="none"/>
        </w:rPr>
        <w:t>四、财政拨款收入支出决算总表</w:t>
      </w:r>
      <w:bookmarkEnd w:id="80"/>
      <w:bookmarkEnd w:id="81"/>
      <w:bookmarkStart w:id="82" w:name="_Toc15396623"/>
    </w:p>
    <w:p w14:paraId="1AA8AE93">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83" w:name="_Toc11448"/>
      <w:r>
        <w:rPr>
          <w:rStyle w:val="31"/>
          <w:rFonts w:hint="eastAsia" w:ascii="仿宋" w:hAnsi="仿宋" w:eastAsia="仿宋"/>
          <w:b w:val="0"/>
          <w:bCs w:val="0"/>
          <w:color w:val="auto"/>
          <w:highlight w:val="none"/>
        </w:rPr>
        <w:t>五、财政拨款支出决算明细表</w:t>
      </w:r>
      <w:bookmarkEnd w:id="82"/>
      <w:bookmarkEnd w:id="83"/>
      <w:bookmarkStart w:id="84" w:name="_Toc15396624"/>
    </w:p>
    <w:p w14:paraId="664F4AD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85" w:name="_Toc29493"/>
      <w:r>
        <w:rPr>
          <w:rStyle w:val="3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般公共预算财政拨款支出决算表</w:t>
      </w:r>
      <w:bookmarkEnd w:id="84"/>
      <w:bookmarkEnd w:id="85"/>
      <w:bookmarkStart w:id="86" w:name="_Toc15396625"/>
    </w:p>
    <w:p w14:paraId="2960F735">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87" w:name="_Toc22020"/>
      <w:r>
        <w:rPr>
          <w:rStyle w:val="3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般公共预算财政拨款支出决算明细表</w:t>
      </w:r>
      <w:bookmarkEnd w:id="86"/>
      <w:bookmarkEnd w:id="87"/>
      <w:bookmarkStart w:id="88" w:name="_Toc15396626"/>
    </w:p>
    <w:p w14:paraId="11234A1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89" w:name="_Toc16945"/>
      <w:r>
        <w:rPr>
          <w:rStyle w:val="3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般公共预算财政拨款基本支出决算表</w:t>
      </w:r>
      <w:bookmarkEnd w:id="88"/>
      <w:bookmarkEnd w:id="89"/>
      <w:bookmarkStart w:id="90" w:name="_Toc15396627"/>
    </w:p>
    <w:p w14:paraId="752FF70A">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91" w:name="_Toc22922"/>
      <w:r>
        <w:rPr>
          <w:rStyle w:val="3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般公共预算财政拨款项目支出决算表</w:t>
      </w:r>
      <w:bookmarkEnd w:id="90"/>
      <w:bookmarkEnd w:id="91"/>
      <w:bookmarkStart w:id="92" w:name="_Toc15396628"/>
    </w:p>
    <w:p w14:paraId="3C23EB2D">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93" w:name="_Toc29392"/>
      <w:r>
        <w:rPr>
          <w:rStyle w:val="31"/>
          <w:rFonts w:hint="eastAsia" w:ascii="仿宋" w:hAnsi="仿宋" w:eastAsia="仿宋"/>
          <w:b w:val="0"/>
          <w:bCs w:val="0"/>
          <w:color w:val="auto"/>
          <w:highlight w:val="none"/>
        </w:rPr>
        <w:t>十、</w:t>
      </w:r>
      <w:r>
        <w:rPr>
          <w:rFonts w:hint="eastAsia" w:ascii="仿宋" w:hAnsi="仿宋" w:eastAsia="仿宋"/>
          <w:b w:val="0"/>
          <w:color w:val="auto"/>
          <w:highlight w:val="none"/>
        </w:rPr>
        <w:t>一</w:t>
      </w:r>
      <w:r>
        <w:rPr>
          <w:rStyle w:val="31"/>
          <w:rFonts w:hint="eastAsia" w:ascii="仿宋" w:hAnsi="仿宋" w:eastAsia="仿宋"/>
          <w:b w:val="0"/>
          <w:bCs w:val="0"/>
          <w:color w:val="auto"/>
          <w:highlight w:val="none"/>
        </w:rPr>
        <w:t>般公共预算财政拨款“三公”经费支出决算表</w:t>
      </w:r>
      <w:bookmarkEnd w:id="92"/>
      <w:bookmarkEnd w:id="93"/>
      <w:bookmarkStart w:id="94" w:name="_Toc15396629"/>
    </w:p>
    <w:p w14:paraId="6356A1DF">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95" w:name="_Toc28733"/>
      <w:r>
        <w:rPr>
          <w:rStyle w:val="31"/>
          <w:rFonts w:hint="eastAsia" w:ascii="仿宋" w:hAnsi="仿宋" w:eastAsia="仿宋"/>
          <w:b w:val="0"/>
          <w:bCs w:val="0"/>
          <w:color w:val="auto"/>
          <w:highlight w:val="none"/>
        </w:rPr>
        <w:t>十一、政府性基金预算财政拨款收入支出决算表</w:t>
      </w:r>
      <w:bookmarkEnd w:id="94"/>
      <w:bookmarkEnd w:id="95"/>
      <w:bookmarkStart w:id="96" w:name="_Toc15396630"/>
    </w:p>
    <w:p w14:paraId="0AECE672">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97" w:name="_Toc9894"/>
      <w:r>
        <w:rPr>
          <w:rStyle w:val="31"/>
          <w:rFonts w:hint="eastAsia" w:ascii="仿宋" w:hAnsi="仿宋" w:eastAsia="仿宋"/>
          <w:b w:val="0"/>
          <w:bCs w:val="0"/>
          <w:color w:val="auto"/>
          <w:highlight w:val="none"/>
        </w:rPr>
        <w:t>十二、政府性基金预算财政拨款“三公”经费支出决算表</w:t>
      </w:r>
      <w:bookmarkEnd w:id="96"/>
      <w:bookmarkEnd w:id="97"/>
      <w:bookmarkStart w:id="98" w:name="_Toc15396631"/>
    </w:p>
    <w:p w14:paraId="3CD0A7D8">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leftChars="0"/>
        <w:jc w:val="both"/>
        <w:textAlignment w:val="auto"/>
        <w:outlineLvl w:val="1"/>
        <w:rPr>
          <w:rStyle w:val="31"/>
          <w:rFonts w:hint="eastAsia" w:ascii="仿宋" w:hAnsi="仿宋" w:eastAsia="仿宋"/>
          <w:b w:val="0"/>
          <w:bCs w:val="0"/>
          <w:color w:val="auto"/>
          <w:highlight w:val="none"/>
        </w:rPr>
      </w:pPr>
      <w:bookmarkStart w:id="99" w:name="_Toc6155"/>
      <w:r>
        <w:rPr>
          <w:rStyle w:val="31"/>
          <w:rFonts w:hint="eastAsia" w:ascii="仿宋" w:hAnsi="仿宋" w:eastAsia="仿宋"/>
          <w:b w:val="0"/>
          <w:bCs w:val="0"/>
          <w:color w:val="auto"/>
          <w:highlight w:val="none"/>
        </w:rPr>
        <w:t>十三、国有资本经营预算</w:t>
      </w:r>
      <w:r>
        <w:rPr>
          <w:rStyle w:val="31"/>
          <w:rFonts w:hint="eastAsia" w:ascii="仿宋" w:hAnsi="仿宋" w:eastAsia="仿宋"/>
          <w:b w:val="0"/>
          <w:bCs w:val="0"/>
          <w:color w:val="auto"/>
          <w:highlight w:val="none"/>
          <w:lang w:eastAsia="zh-CN"/>
        </w:rPr>
        <w:t>财政拨款收入</w:t>
      </w:r>
      <w:r>
        <w:rPr>
          <w:rStyle w:val="31"/>
          <w:rFonts w:hint="eastAsia" w:ascii="仿宋" w:hAnsi="仿宋" w:eastAsia="仿宋"/>
          <w:b w:val="0"/>
          <w:bCs w:val="0"/>
          <w:color w:val="auto"/>
          <w:highlight w:val="none"/>
        </w:rPr>
        <w:t>支出决算表</w:t>
      </w:r>
      <w:bookmarkEnd w:id="98"/>
      <w:bookmarkEnd w:id="99"/>
    </w:p>
    <w:p w14:paraId="66162B59">
      <w:pPr>
        <w:pageBreakBefore w:val="0"/>
        <w:widowControl w:val="0"/>
        <w:kinsoku/>
        <w:wordWrap/>
        <w:overflowPunct/>
        <w:topLinePunct w:val="0"/>
        <w:autoSpaceDE/>
        <w:autoSpaceDN/>
        <w:bidi w:val="0"/>
        <w:adjustRightInd/>
        <w:snapToGrid/>
        <w:spacing w:line="576" w:lineRule="exact"/>
        <w:textAlignment w:val="auto"/>
        <w:outlineLvl w:val="1"/>
        <w:rPr>
          <w:rFonts w:hint="eastAsia" w:eastAsia="仿宋"/>
          <w:color w:val="auto"/>
          <w:highlight w:val="none"/>
          <w:lang w:eastAsia="zh-CN"/>
        </w:rPr>
      </w:pPr>
      <w:bookmarkStart w:id="100" w:name="_Toc25585"/>
      <w:r>
        <w:rPr>
          <w:rStyle w:val="31"/>
          <w:rFonts w:hint="eastAsia" w:ascii="仿宋" w:hAnsi="仿宋" w:eastAsia="仿宋"/>
          <w:b w:val="0"/>
          <w:bCs w:val="0"/>
          <w:color w:val="auto"/>
          <w:highlight w:val="none"/>
          <w:lang w:eastAsia="zh-CN"/>
        </w:rPr>
        <w:t>十四、国有资本经营预算财政拨款支出决算表</w:t>
      </w:r>
      <w:bookmarkEnd w:id="100"/>
    </w:p>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A898CF2-A28E-4F00-9387-22ACA1BB9C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08A8D1C-7523-493E-9D82-5204DD1AAA46}"/>
  </w:font>
  <w:font w:name="Cambria">
    <w:panose1 w:val="02040503050406030204"/>
    <w:charset w:val="00"/>
    <w:family w:val="roman"/>
    <w:pitch w:val="default"/>
    <w:sig w:usb0="E00006FF" w:usb1="420024FF" w:usb2="02000000" w:usb3="00000000" w:csb0="2000019F" w:csb1="00000000"/>
    <w:embedRegular r:id="rId3" w:fontKey="{8202F8D9-60E5-4E34-B00F-00208E9FA473}"/>
  </w:font>
  <w:font w:name="仿宋_GB2312">
    <w:panose1 w:val="02010609030101010101"/>
    <w:charset w:val="86"/>
    <w:family w:val="modern"/>
    <w:pitch w:val="default"/>
    <w:sig w:usb0="00000001" w:usb1="080E0000" w:usb2="00000000" w:usb3="00000000" w:csb0="00040000" w:csb1="00000000"/>
    <w:embedRegular r:id="rId4" w:fontKey="{0F6A7919-9950-4DB0-BEE8-1CA2BBE45608}"/>
  </w:font>
  <w:font w:name="仿宋">
    <w:panose1 w:val="02010609060101010101"/>
    <w:charset w:val="86"/>
    <w:family w:val="auto"/>
    <w:pitch w:val="default"/>
    <w:sig w:usb0="800002BF" w:usb1="38CF7CFA" w:usb2="00000016" w:usb3="00000000" w:csb0="00040001" w:csb1="00000000"/>
    <w:embedRegular r:id="rId5" w:fontKey="{099F3888-8092-4716-8800-C0D214CCD860}"/>
  </w:font>
  <w:font w:name="方正小标宋简体">
    <w:panose1 w:val="02000000000000000000"/>
    <w:charset w:val="86"/>
    <w:family w:val="script"/>
    <w:pitch w:val="default"/>
    <w:sig w:usb0="00000001" w:usb1="08000000" w:usb2="00000000" w:usb3="00000000" w:csb0="00040000" w:csb1="00000000"/>
    <w:embedRegular r:id="rId6" w:fontKey="{1BB30806-FBFC-4B3E-8E03-A081FE85E32B}"/>
  </w:font>
  <w:font w:name="楷体_GB2312">
    <w:panose1 w:val="02010609030101010101"/>
    <w:charset w:val="86"/>
    <w:family w:val="modern"/>
    <w:pitch w:val="default"/>
    <w:sig w:usb0="00000001" w:usb1="080E0000" w:usb2="00000000" w:usb3="00000000" w:csb0="00040000" w:csb1="00000000"/>
    <w:embedRegular r:id="rId7" w:fontKey="{B48B7AE3-7653-4564-B6DA-CC540429E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4AC4F">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38886">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08E38886">
                    <w:pPr>
                      <w:pStyle w:val="1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37E28">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BFF5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52ABFF5C">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3A58FB">
                          <w:pPr>
                            <w:pStyle w:val="12"/>
                            <w:rPr>
                              <w:rFonts w:hint="eastAsia" w:asciiTheme="majorEastAsia" w:hAnsiTheme="majorEastAsia" w:eastAsiaTheme="majorEastAsia" w:cstheme="majorEastAsia"/>
                              <w:sz w:val="28"/>
                              <w:szCs w:val="28"/>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23A58FB">
                    <w:pPr>
                      <w:pStyle w:val="12"/>
                      <w:rPr>
                        <w:rFonts w:hint="eastAsia" w:asciiTheme="majorEastAsia" w:hAnsiTheme="majorEastAsia" w:eastAsiaTheme="majorEastAsia" w:cstheme="majorEastAsia"/>
                        <w:sz w:val="28"/>
                        <w:szCs w:val="28"/>
                      </w:rPr>
                    </w:pP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6C15D">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7A66F">
                          <w:pPr>
                            <w:pStyle w:val="12"/>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19D7A66F">
                    <w:pPr>
                      <w:pStyle w:val="12"/>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C427C">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21263C">
                          <w:pPr>
                            <w:pStyle w:val="12"/>
                          </w:pPr>
                          <w: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B21263C">
                    <w:pPr>
                      <w:pStyle w:val="12"/>
                    </w:pPr>
                    <w: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F0FC2">
    <w:pPr>
      <w:pStyle w:val="12"/>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7FCF0">
                          <w:pPr>
                            <w:pStyle w:val="12"/>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657FCF0">
                    <w:pPr>
                      <w:pStyle w:val="12"/>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DE71">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6603A">
                          <w:pPr>
                            <w:pStyle w:val="12"/>
                          </w:pPr>
                          <w:r>
                            <w:t xml:space="preserve"> </w:t>
                          </w:r>
                          <w:r>
                            <w:rPr>
                              <w:rFonts w:hint="default" w:ascii="Cambria" w:hAnsi="Cambria" w:cs="Cambria" w:eastAsiaTheme="majorEastAsia"/>
                              <w:sz w:val="18"/>
                              <w:szCs w:val="18"/>
                            </w:rPr>
                            <w:fldChar w:fldCharType="begin"/>
                          </w:r>
                          <w:r>
                            <w:rPr>
                              <w:rFonts w:hint="default" w:ascii="Cambria" w:hAnsi="Cambria" w:cs="Cambria" w:eastAsiaTheme="majorEastAsia"/>
                              <w:sz w:val="18"/>
                              <w:szCs w:val="18"/>
                            </w:rPr>
                            <w:instrText xml:space="preserve"> PAGE  \* MERGEFORMAT </w:instrText>
                          </w:r>
                          <w:r>
                            <w:rPr>
                              <w:rFonts w:hint="default" w:ascii="Cambria" w:hAnsi="Cambria" w:cs="Cambria" w:eastAsiaTheme="majorEastAsia"/>
                              <w:sz w:val="18"/>
                              <w:szCs w:val="18"/>
                            </w:rPr>
                            <w:fldChar w:fldCharType="separate"/>
                          </w:r>
                          <w:r>
                            <w:rPr>
                              <w:rFonts w:hint="default" w:ascii="Cambria" w:hAnsi="Cambria" w:cs="Cambria" w:eastAsiaTheme="majorEastAsia"/>
                              <w:sz w:val="18"/>
                              <w:szCs w:val="18"/>
                            </w:rPr>
                            <w:t>2</w:t>
                          </w:r>
                          <w:r>
                            <w:rPr>
                              <w:rFonts w:hint="default" w:ascii="Cambria" w:hAnsi="Cambria" w:cs="Cambria" w:eastAsiaTheme="majorEastAsia"/>
                              <w:sz w:val="18"/>
                              <w:szCs w:val="1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9D6603A">
                    <w:pPr>
                      <w:pStyle w:val="12"/>
                    </w:pPr>
                    <w:r>
                      <w:t xml:space="preserve"> </w:t>
                    </w:r>
                    <w:r>
                      <w:rPr>
                        <w:rFonts w:hint="default" w:ascii="Cambria" w:hAnsi="Cambria" w:cs="Cambria" w:eastAsiaTheme="majorEastAsia"/>
                        <w:sz w:val="18"/>
                        <w:szCs w:val="18"/>
                      </w:rPr>
                      <w:fldChar w:fldCharType="begin"/>
                    </w:r>
                    <w:r>
                      <w:rPr>
                        <w:rFonts w:hint="default" w:ascii="Cambria" w:hAnsi="Cambria" w:cs="Cambria" w:eastAsiaTheme="majorEastAsia"/>
                        <w:sz w:val="18"/>
                        <w:szCs w:val="18"/>
                      </w:rPr>
                      <w:instrText xml:space="preserve"> PAGE  \* MERGEFORMAT </w:instrText>
                    </w:r>
                    <w:r>
                      <w:rPr>
                        <w:rFonts w:hint="default" w:ascii="Cambria" w:hAnsi="Cambria" w:cs="Cambria" w:eastAsiaTheme="majorEastAsia"/>
                        <w:sz w:val="18"/>
                        <w:szCs w:val="18"/>
                      </w:rPr>
                      <w:fldChar w:fldCharType="separate"/>
                    </w:r>
                    <w:r>
                      <w:rPr>
                        <w:rFonts w:hint="default" w:ascii="Cambria" w:hAnsi="Cambria" w:cs="Cambria" w:eastAsiaTheme="majorEastAsia"/>
                        <w:sz w:val="18"/>
                        <w:szCs w:val="18"/>
                      </w:rPr>
                      <w:t>2</w:t>
                    </w:r>
                    <w:r>
                      <w:rPr>
                        <w:rFonts w:hint="default" w:ascii="Cambria" w:hAnsi="Cambria" w:cs="Cambria" w:eastAsiaTheme="majorEastAsia"/>
                        <w:sz w:val="18"/>
                        <w:szCs w:val="1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AFC6A">
    <w:pPr>
      <w:pStyle w:val="12"/>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FB5BFC">
                          <w:pPr>
                            <w:pStyle w:val="12"/>
                          </w:pPr>
                          <w:r>
                            <w:t xml:space="preserve">— </w:t>
                          </w:r>
                          <w:r>
                            <w:fldChar w:fldCharType="begin"/>
                          </w:r>
                          <w:r>
                            <w:instrText xml:space="preserve"> PAGE  \* MERGEFORMAT </w:instrText>
                          </w:r>
                          <w:r>
                            <w:fldChar w:fldCharType="separate"/>
                          </w:r>
                          <w:r>
                            <w:t>2</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6FB5BFC">
                    <w:pPr>
                      <w:pStyle w:val="12"/>
                    </w:pPr>
                    <w:r>
                      <w:t xml:space="preserve">— </w:t>
                    </w:r>
                    <w:r>
                      <w:fldChar w:fldCharType="begin"/>
                    </w:r>
                    <w:r>
                      <w:instrText xml:space="preserve"> PAGE  \* MERGEFORMAT </w:instrText>
                    </w:r>
                    <w:r>
                      <w:fldChar w:fldCharType="separate"/>
                    </w:r>
                    <w:r>
                      <w:t>2</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58713">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AF3B9">
                          <w:pPr>
                            <w:pStyle w:val="12"/>
                            <w:rPr>
                              <w:rFonts w:hint="default" w:ascii="Calibri" w:hAnsi="Calibri" w:cs="Calibri"/>
                              <w:sz w:val="18"/>
                              <w:szCs w:val="18"/>
                            </w:rPr>
                          </w:pPr>
                          <w:r>
                            <w:rPr>
                              <w:rFonts w:hint="default" w:ascii="Calibri" w:hAnsi="Calibri" w:cs="Calibri"/>
                              <w:sz w:val="18"/>
                              <w:szCs w:val="18"/>
                            </w:rPr>
                            <w:t xml:space="preserve"> </w:t>
                          </w:r>
                          <w:r>
                            <w:rPr>
                              <w:rFonts w:hint="default" w:ascii="Calibri" w:hAnsi="Calibri" w:cs="Calibri" w:eastAsiaTheme="majorEastAsia"/>
                              <w:sz w:val="18"/>
                              <w:szCs w:val="18"/>
                            </w:rPr>
                            <w:fldChar w:fldCharType="begin"/>
                          </w:r>
                          <w:r>
                            <w:rPr>
                              <w:rFonts w:hint="default" w:ascii="Calibri" w:hAnsi="Calibri" w:cs="Calibri" w:eastAsiaTheme="majorEastAsia"/>
                              <w:sz w:val="18"/>
                              <w:szCs w:val="18"/>
                            </w:rPr>
                            <w:instrText xml:space="preserve"> PAGE  \* MERGEFORMAT </w:instrText>
                          </w:r>
                          <w:r>
                            <w:rPr>
                              <w:rFonts w:hint="default" w:ascii="Calibri" w:hAnsi="Calibri" w:cs="Calibri" w:eastAsiaTheme="majorEastAsia"/>
                              <w:sz w:val="18"/>
                              <w:szCs w:val="18"/>
                            </w:rPr>
                            <w:fldChar w:fldCharType="separate"/>
                          </w:r>
                          <w:r>
                            <w:rPr>
                              <w:rFonts w:hint="default" w:ascii="Calibri" w:hAnsi="Calibri" w:cs="Calibri" w:eastAsiaTheme="majorEastAsia"/>
                              <w:sz w:val="18"/>
                              <w:szCs w:val="18"/>
                            </w:rPr>
                            <w:t>2</w:t>
                          </w:r>
                          <w:r>
                            <w:rPr>
                              <w:rFonts w:hint="default" w:ascii="Calibri" w:hAnsi="Calibri" w:cs="Calibri" w:eastAsiaTheme="majorEastAsia"/>
                              <w:sz w:val="18"/>
                              <w:szCs w:val="18"/>
                            </w:rPr>
                            <w:fldChar w:fldCharType="end"/>
                          </w:r>
                          <w:r>
                            <w:rPr>
                              <w:rFonts w:hint="default" w:ascii="Calibri" w:hAnsi="Calibri" w:cs="Calibri" w:eastAsiaTheme="majorEastAsia"/>
                              <w:sz w:val="18"/>
                              <w:szCs w:val="1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58AF3B9">
                    <w:pPr>
                      <w:pStyle w:val="12"/>
                      <w:rPr>
                        <w:rFonts w:hint="default" w:ascii="Calibri" w:hAnsi="Calibri" w:cs="Calibri"/>
                        <w:sz w:val="18"/>
                        <w:szCs w:val="18"/>
                      </w:rPr>
                    </w:pPr>
                    <w:r>
                      <w:rPr>
                        <w:rFonts w:hint="default" w:ascii="Calibri" w:hAnsi="Calibri" w:cs="Calibri"/>
                        <w:sz w:val="18"/>
                        <w:szCs w:val="18"/>
                      </w:rPr>
                      <w:t xml:space="preserve"> </w:t>
                    </w:r>
                    <w:r>
                      <w:rPr>
                        <w:rFonts w:hint="default" w:ascii="Calibri" w:hAnsi="Calibri" w:cs="Calibri" w:eastAsiaTheme="majorEastAsia"/>
                        <w:sz w:val="18"/>
                        <w:szCs w:val="18"/>
                      </w:rPr>
                      <w:fldChar w:fldCharType="begin"/>
                    </w:r>
                    <w:r>
                      <w:rPr>
                        <w:rFonts w:hint="default" w:ascii="Calibri" w:hAnsi="Calibri" w:cs="Calibri" w:eastAsiaTheme="majorEastAsia"/>
                        <w:sz w:val="18"/>
                        <w:szCs w:val="18"/>
                      </w:rPr>
                      <w:instrText xml:space="preserve"> PAGE  \* MERGEFORMAT </w:instrText>
                    </w:r>
                    <w:r>
                      <w:rPr>
                        <w:rFonts w:hint="default" w:ascii="Calibri" w:hAnsi="Calibri" w:cs="Calibri" w:eastAsiaTheme="majorEastAsia"/>
                        <w:sz w:val="18"/>
                        <w:szCs w:val="18"/>
                      </w:rPr>
                      <w:fldChar w:fldCharType="separate"/>
                    </w:r>
                    <w:r>
                      <w:rPr>
                        <w:rFonts w:hint="default" w:ascii="Calibri" w:hAnsi="Calibri" w:cs="Calibri" w:eastAsiaTheme="majorEastAsia"/>
                        <w:sz w:val="18"/>
                        <w:szCs w:val="18"/>
                      </w:rPr>
                      <w:t>2</w:t>
                    </w:r>
                    <w:r>
                      <w:rPr>
                        <w:rFonts w:hint="default" w:ascii="Calibri" w:hAnsi="Calibri" w:cs="Calibri" w:eastAsiaTheme="majorEastAsia"/>
                        <w:sz w:val="18"/>
                        <w:szCs w:val="18"/>
                      </w:rPr>
                      <w:fldChar w:fldCharType="end"/>
                    </w:r>
                    <w:r>
                      <w:rPr>
                        <w:rFonts w:hint="default" w:ascii="Calibri" w:hAnsi="Calibri" w:cs="Calibri" w:eastAsiaTheme="majorEastAsia"/>
                        <w:sz w:val="18"/>
                        <w:szCs w:val="1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EFE15">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FA811F"/>
    <w:multiLevelType w:val="singleLevel"/>
    <w:tmpl w:val="A1FA811F"/>
    <w:lvl w:ilvl="0" w:tentative="0">
      <w:start w:val="1"/>
      <w:numFmt w:val="chineseCounting"/>
      <w:suff w:val="nothing"/>
      <w:lvlText w:val="%1、"/>
      <w:lvlJc w:val="left"/>
      <w:rPr>
        <w:rFonts w:hint="eastAsia"/>
      </w:rPr>
    </w:lvl>
  </w:abstractNum>
  <w:abstractNum w:abstractNumId="1">
    <w:nsid w:val="BD993155"/>
    <w:multiLevelType w:val="singleLevel"/>
    <w:tmpl w:val="BD993155"/>
    <w:lvl w:ilvl="0" w:tentative="0">
      <w:start w:val="1"/>
      <w:numFmt w:val="chineseCounting"/>
      <w:suff w:val="nothing"/>
      <w:lvlText w:val="%1、"/>
      <w:lvlJc w:val="left"/>
      <w:rPr>
        <w:rFonts w:hint="eastAsia"/>
      </w:rPr>
    </w:lvl>
  </w:abstractNum>
  <w:abstractNum w:abstractNumId="2">
    <w:nsid w:val="CF652CEC"/>
    <w:multiLevelType w:val="singleLevel"/>
    <w:tmpl w:val="CF652CEC"/>
    <w:lvl w:ilvl="0" w:tentative="0">
      <w:start w:val="9"/>
      <w:numFmt w:val="chineseCounting"/>
      <w:suff w:val="nothing"/>
      <w:lvlText w:val="%1、"/>
      <w:lvlJc w:val="left"/>
      <w:rPr>
        <w:rFonts w:hint="eastAsia"/>
      </w:rPr>
    </w:lvl>
  </w:abstractNum>
  <w:abstractNum w:abstractNumId="3">
    <w:nsid w:val="E2FA047D"/>
    <w:multiLevelType w:val="singleLevel"/>
    <w:tmpl w:val="E2FA047D"/>
    <w:lvl w:ilvl="0" w:tentative="0">
      <w:start w:val="3"/>
      <w:numFmt w:val="chineseCounting"/>
      <w:suff w:val="space"/>
      <w:lvlText w:val="第%1部分"/>
      <w:lvlJc w:val="left"/>
      <w:rPr>
        <w:rFonts w:hint="eastAsia" w:ascii="黑体" w:hAnsi="黑体" w:eastAsia="黑体" w:cs="黑体"/>
        <w:sz w:val="44"/>
        <w:szCs w:val="44"/>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D5ABE"/>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E6413"/>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86FEC"/>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A1658"/>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3C2"/>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388D"/>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49E"/>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443F"/>
    <w:rsid w:val="00B57DAF"/>
    <w:rsid w:val="00B77EA6"/>
    <w:rsid w:val="00B81598"/>
    <w:rsid w:val="00B841F1"/>
    <w:rsid w:val="00B92181"/>
    <w:rsid w:val="00B944D6"/>
    <w:rsid w:val="00BB4DF0"/>
    <w:rsid w:val="00BC289F"/>
    <w:rsid w:val="00BC2D50"/>
    <w:rsid w:val="00BC5361"/>
    <w:rsid w:val="00BC5460"/>
    <w:rsid w:val="00BC6B50"/>
    <w:rsid w:val="00BD0E25"/>
    <w:rsid w:val="00BF0E19"/>
    <w:rsid w:val="00BF5BD6"/>
    <w:rsid w:val="00C03E31"/>
    <w:rsid w:val="00C33E72"/>
    <w:rsid w:val="00C354B2"/>
    <w:rsid w:val="00C35554"/>
    <w:rsid w:val="00C42709"/>
    <w:rsid w:val="00C533CC"/>
    <w:rsid w:val="00C5751C"/>
    <w:rsid w:val="00C61BFC"/>
    <w:rsid w:val="00C626C0"/>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4FF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1E2A"/>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00390C"/>
    <w:rsid w:val="010754B4"/>
    <w:rsid w:val="01154EDD"/>
    <w:rsid w:val="012B4701"/>
    <w:rsid w:val="01315B3F"/>
    <w:rsid w:val="01730582"/>
    <w:rsid w:val="017B2F92"/>
    <w:rsid w:val="017D5777"/>
    <w:rsid w:val="01E66FA5"/>
    <w:rsid w:val="01F114A6"/>
    <w:rsid w:val="01F42D45"/>
    <w:rsid w:val="01FD609D"/>
    <w:rsid w:val="02076F1C"/>
    <w:rsid w:val="021D1100"/>
    <w:rsid w:val="02331ABF"/>
    <w:rsid w:val="023C4E17"/>
    <w:rsid w:val="025D4D8E"/>
    <w:rsid w:val="02783976"/>
    <w:rsid w:val="027D0F8C"/>
    <w:rsid w:val="02895B83"/>
    <w:rsid w:val="02936A01"/>
    <w:rsid w:val="029D5B72"/>
    <w:rsid w:val="02AE5D6F"/>
    <w:rsid w:val="02DA1EC4"/>
    <w:rsid w:val="02DA63DE"/>
    <w:rsid w:val="02FA438B"/>
    <w:rsid w:val="030E7E36"/>
    <w:rsid w:val="03101E00"/>
    <w:rsid w:val="031C2553"/>
    <w:rsid w:val="03320D9C"/>
    <w:rsid w:val="03455F4E"/>
    <w:rsid w:val="034A5312"/>
    <w:rsid w:val="03541A8A"/>
    <w:rsid w:val="035E4919"/>
    <w:rsid w:val="035E7BD0"/>
    <w:rsid w:val="0365214C"/>
    <w:rsid w:val="036F2FCB"/>
    <w:rsid w:val="03912F41"/>
    <w:rsid w:val="039447DF"/>
    <w:rsid w:val="03A644DC"/>
    <w:rsid w:val="03CE7CF1"/>
    <w:rsid w:val="04065EA5"/>
    <w:rsid w:val="041D6583"/>
    <w:rsid w:val="04223B99"/>
    <w:rsid w:val="043A768D"/>
    <w:rsid w:val="04477AA3"/>
    <w:rsid w:val="04667A28"/>
    <w:rsid w:val="046B19E4"/>
    <w:rsid w:val="04722D72"/>
    <w:rsid w:val="047F2D99"/>
    <w:rsid w:val="04812FB5"/>
    <w:rsid w:val="049C41FE"/>
    <w:rsid w:val="04C904B8"/>
    <w:rsid w:val="04D56E5D"/>
    <w:rsid w:val="05377B18"/>
    <w:rsid w:val="053E2C54"/>
    <w:rsid w:val="054F6C10"/>
    <w:rsid w:val="056B1570"/>
    <w:rsid w:val="057074F8"/>
    <w:rsid w:val="05A21435"/>
    <w:rsid w:val="05B20F4D"/>
    <w:rsid w:val="05BE78F1"/>
    <w:rsid w:val="05D215EF"/>
    <w:rsid w:val="05DC421B"/>
    <w:rsid w:val="05F17CC7"/>
    <w:rsid w:val="061D0ABC"/>
    <w:rsid w:val="061D6D0E"/>
    <w:rsid w:val="0624009C"/>
    <w:rsid w:val="062C5D5F"/>
    <w:rsid w:val="062F07EF"/>
    <w:rsid w:val="06417756"/>
    <w:rsid w:val="066F5090"/>
    <w:rsid w:val="0687275A"/>
    <w:rsid w:val="069B75C0"/>
    <w:rsid w:val="069F3BC7"/>
    <w:rsid w:val="06A44D39"/>
    <w:rsid w:val="06A967F3"/>
    <w:rsid w:val="06EC048E"/>
    <w:rsid w:val="06FC6923"/>
    <w:rsid w:val="071F3A56"/>
    <w:rsid w:val="073836D3"/>
    <w:rsid w:val="07610E7C"/>
    <w:rsid w:val="076D15CF"/>
    <w:rsid w:val="079E08CA"/>
    <w:rsid w:val="07A807FE"/>
    <w:rsid w:val="07B13BB2"/>
    <w:rsid w:val="07C02047"/>
    <w:rsid w:val="07FC2953"/>
    <w:rsid w:val="08023127"/>
    <w:rsid w:val="08397703"/>
    <w:rsid w:val="0851471E"/>
    <w:rsid w:val="08585DDB"/>
    <w:rsid w:val="0870581B"/>
    <w:rsid w:val="089E3A0A"/>
    <w:rsid w:val="089F5975"/>
    <w:rsid w:val="08CB0CA3"/>
    <w:rsid w:val="08E458C1"/>
    <w:rsid w:val="0902043D"/>
    <w:rsid w:val="09136724"/>
    <w:rsid w:val="09255637"/>
    <w:rsid w:val="093A1985"/>
    <w:rsid w:val="093F343F"/>
    <w:rsid w:val="09530A26"/>
    <w:rsid w:val="09630EDC"/>
    <w:rsid w:val="09A11A04"/>
    <w:rsid w:val="09A339CE"/>
    <w:rsid w:val="09C45F3D"/>
    <w:rsid w:val="09D516AE"/>
    <w:rsid w:val="09E363D8"/>
    <w:rsid w:val="09E65669"/>
    <w:rsid w:val="09FB7366"/>
    <w:rsid w:val="0A0501E5"/>
    <w:rsid w:val="0A0C3321"/>
    <w:rsid w:val="0A1A578B"/>
    <w:rsid w:val="0A1B5312"/>
    <w:rsid w:val="0A2032A3"/>
    <w:rsid w:val="0A222B45"/>
    <w:rsid w:val="0A6B7B83"/>
    <w:rsid w:val="0A856C30"/>
    <w:rsid w:val="0A8A2498"/>
    <w:rsid w:val="0A8C6210"/>
    <w:rsid w:val="0A9926DB"/>
    <w:rsid w:val="0A9D666F"/>
    <w:rsid w:val="0AA35095"/>
    <w:rsid w:val="0ADD081A"/>
    <w:rsid w:val="0AF53DB5"/>
    <w:rsid w:val="0B061195"/>
    <w:rsid w:val="0B2428ED"/>
    <w:rsid w:val="0B260413"/>
    <w:rsid w:val="0B386398"/>
    <w:rsid w:val="0B3A3EBE"/>
    <w:rsid w:val="0B477EAA"/>
    <w:rsid w:val="0B4B1C27"/>
    <w:rsid w:val="0B805EE1"/>
    <w:rsid w:val="0B8A37D8"/>
    <w:rsid w:val="0B8F4D7E"/>
    <w:rsid w:val="0BA17A99"/>
    <w:rsid w:val="0BA53A2D"/>
    <w:rsid w:val="0BEB51B8"/>
    <w:rsid w:val="0BF16C73"/>
    <w:rsid w:val="0C0369A6"/>
    <w:rsid w:val="0C112E71"/>
    <w:rsid w:val="0C3703FE"/>
    <w:rsid w:val="0C607954"/>
    <w:rsid w:val="0C6C43F7"/>
    <w:rsid w:val="0C6F1945"/>
    <w:rsid w:val="0C807FF6"/>
    <w:rsid w:val="0CA737D5"/>
    <w:rsid w:val="0CA85607"/>
    <w:rsid w:val="0CAD06C0"/>
    <w:rsid w:val="0CB657C6"/>
    <w:rsid w:val="0CBA1A55"/>
    <w:rsid w:val="0CC55A09"/>
    <w:rsid w:val="0CDF4D1D"/>
    <w:rsid w:val="0CF34325"/>
    <w:rsid w:val="0D116EA1"/>
    <w:rsid w:val="0D2A3ABE"/>
    <w:rsid w:val="0D305579"/>
    <w:rsid w:val="0D815DD4"/>
    <w:rsid w:val="0D8C6527"/>
    <w:rsid w:val="0D921D8F"/>
    <w:rsid w:val="0D98311E"/>
    <w:rsid w:val="0D9A50E8"/>
    <w:rsid w:val="0D9D0734"/>
    <w:rsid w:val="0DA675E9"/>
    <w:rsid w:val="0DA90E87"/>
    <w:rsid w:val="0DB81183"/>
    <w:rsid w:val="0DDC300B"/>
    <w:rsid w:val="0DDC74AE"/>
    <w:rsid w:val="0DE67F00"/>
    <w:rsid w:val="0DE7312A"/>
    <w:rsid w:val="0DE95727"/>
    <w:rsid w:val="0DF77E44"/>
    <w:rsid w:val="0DFD64FC"/>
    <w:rsid w:val="0E082052"/>
    <w:rsid w:val="0E2624D8"/>
    <w:rsid w:val="0E2A3CED"/>
    <w:rsid w:val="0E3015A8"/>
    <w:rsid w:val="0E3C619F"/>
    <w:rsid w:val="0E72396F"/>
    <w:rsid w:val="0E7B4839"/>
    <w:rsid w:val="0EA24254"/>
    <w:rsid w:val="0EE16D20"/>
    <w:rsid w:val="0F0A3BA7"/>
    <w:rsid w:val="0F1467D4"/>
    <w:rsid w:val="0F184516"/>
    <w:rsid w:val="0F2033CB"/>
    <w:rsid w:val="0F451083"/>
    <w:rsid w:val="0F865924"/>
    <w:rsid w:val="0F916077"/>
    <w:rsid w:val="0F933B9D"/>
    <w:rsid w:val="0F9C5147"/>
    <w:rsid w:val="0F9D0EBF"/>
    <w:rsid w:val="0FD97D81"/>
    <w:rsid w:val="0FE2136A"/>
    <w:rsid w:val="10072DFF"/>
    <w:rsid w:val="10086339"/>
    <w:rsid w:val="103A04BC"/>
    <w:rsid w:val="105552F6"/>
    <w:rsid w:val="108A1444"/>
    <w:rsid w:val="10A5002C"/>
    <w:rsid w:val="10B14C22"/>
    <w:rsid w:val="10B22749"/>
    <w:rsid w:val="10B262A5"/>
    <w:rsid w:val="10BB784F"/>
    <w:rsid w:val="10C055FF"/>
    <w:rsid w:val="10C1473A"/>
    <w:rsid w:val="10C761F4"/>
    <w:rsid w:val="10E34E0A"/>
    <w:rsid w:val="10E741A0"/>
    <w:rsid w:val="10F90377"/>
    <w:rsid w:val="10FE773C"/>
    <w:rsid w:val="110F7B9B"/>
    <w:rsid w:val="111331E7"/>
    <w:rsid w:val="112453F4"/>
    <w:rsid w:val="114333A1"/>
    <w:rsid w:val="11683701"/>
    <w:rsid w:val="118107EC"/>
    <w:rsid w:val="1198193E"/>
    <w:rsid w:val="11C42733"/>
    <w:rsid w:val="11CB257E"/>
    <w:rsid w:val="11DD6519"/>
    <w:rsid w:val="11DF646A"/>
    <w:rsid w:val="11EE155E"/>
    <w:rsid w:val="11F052D6"/>
    <w:rsid w:val="11FD5C45"/>
    <w:rsid w:val="12217B86"/>
    <w:rsid w:val="124B4C03"/>
    <w:rsid w:val="124D44D7"/>
    <w:rsid w:val="12802AFE"/>
    <w:rsid w:val="12AB744F"/>
    <w:rsid w:val="12B95257"/>
    <w:rsid w:val="12F11306"/>
    <w:rsid w:val="12FD00AD"/>
    <w:rsid w:val="13023513"/>
    <w:rsid w:val="13386F35"/>
    <w:rsid w:val="13561AB1"/>
    <w:rsid w:val="13581385"/>
    <w:rsid w:val="137B1518"/>
    <w:rsid w:val="13A46379"/>
    <w:rsid w:val="13AA4419"/>
    <w:rsid w:val="13EE1CEA"/>
    <w:rsid w:val="140D6614"/>
    <w:rsid w:val="141D7CD7"/>
    <w:rsid w:val="143A0A8B"/>
    <w:rsid w:val="14496F20"/>
    <w:rsid w:val="145C30F7"/>
    <w:rsid w:val="146B158C"/>
    <w:rsid w:val="147D6BCA"/>
    <w:rsid w:val="147E12BF"/>
    <w:rsid w:val="148B578A"/>
    <w:rsid w:val="149C34F4"/>
    <w:rsid w:val="14A32AD4"/>
    <w:rsid w:val="14BF5434"/>
    <w:rsid w:val="14C667C2"/>
    <w:rsid w:val="14CC2E0F"/>
    <w:rsid w:val="14DD6D72"/>
    <w:rsid w:val="14E135FC"/>
    <w:rsid w:val="14EA24B1"/>
    <w:rsid w:val="14F96B98"/>
    <w:rsid w:val="15086DDB"/>
    <w:rsid w:val="1529241D"/>
    <w:rsid w:val="154A73F4"/>
    <w:rsid w:val="15CA22E2"/>
    <w:rsid w:val="15CF1E4B"/>
    <w:rsid w:val="15D965DB"/>
    <w:rsid w:val="16092E0B"/>
    <w:rsid w:val="161517B0"/>
    <w:rsid w:val="163C29A9"/>
    <w:rsid w:val="164C2CF7"/>
    <w:rsid w:val="165B6F5F"/>
    <w:rsid w:val="16731F44"/>
    <w:rsid w:val="16AB2114"/>
    <w:rsid w:val="16BB723D"/>
    <w:rsid w:val="16CD4B69"/>
    <w:rsid w:val="16E80C72"/>
    <w:rsid w:val="16E86EC4"/>
    <w:rsid w:val="16EA49EA"/>
    <w:rsid w:val="16FC296F"/>
    <w:rsid w:val="17306175"/>
    <w:rsid w:val="17342109"/>
    <w:rsid w:val="17424826"/>
    <w:rsid w:val="174B4163"/>
    <w:rsid w:val="175562BB"/>
    <w:rsid w:val="176F3141"/>
    <w:rsid w:val="17773DA4"/>
    <w:rsid w:val="17C214C3"/>
    <w:rsid w:val="17DF2075"/>
    <w:rsid w:val="18015F3F"/>
    <w:rsid w:val="1824469F"/>
    <w:rsid w:val="18253800"/>
    <w:rsid w:val="183A1FD2"/>
    <w:rsid w:val="18493992"/>
    <w:rsid w:val="18534811"/>
    <w:rsid w:val="18552337"/>
    <w:rsid w:val="185A5BA0"/>
    <w:rsid w:val="186F79AF"/>
    <w:rsid w:val="18934C0E"/>
    <w:rsid w:val="18D23988"/>
    <w:rsid w:val="18F57676"/>
    <w:rsid w:val="190A3122"/>
    <w:rsid w:val="19145D4E"/>
    <w:rsid w:val="192B4E46"/>
    <w:rsid w:val="192D6E10"/>
    <w:rsid w:val="193E101D"/>
    <w:rsid w:val="194D74B2"/>
    <w:rsid w:val="19540841"/>
    <w:rsid w:val="19596BD7"/>
    <w:rsid w:val="195B1130"/>
    <w:rsid w:val="19710F3E"/>
    <w:rsid w:val="19810F0A"/>
    <w:rsid w:val="199C7AF2"/>
    <w:rsid w:val="19BF71CA"/>
    <w:rsid w:val="19C35DF6"/>
    <w:rsid w:val="19C808E7"/>
    <w:rsid w:val="19D84FCE"/>
    <w:rsid w:val="19E219A9"/>
    <w:rsid w:val="19E971DB"/>
    <w:rsid w:val="19EC0A79"/>
    <w:rsid w:val="19FB3A33"/>
    <w:rsid w:val="19FF69FF"/>
    <w:rsid w:val="1A051B3B"/>
    <w:rsid w:val="1A057D8D"/>
    <w:rsid w:val="1A1D0C33"/>
    <w:rsid w:val="1A50725A"/>
    <w:rsid w:val="1A78055F"/>
    <w:rsid w:val="1A7F18ED"/>
    <w:rsid w:val="1A7F369B"/>
    <w:rsid w:val="1A98650B"/>
    <w:rsid w:val="1AEB2ADF"/>
    <w:rsid w:val="1AFA5418"/>
    <w:rsid w:val="1B636B19"/>
    <w:rsid w:val="1B662AAD"/>
    <w:rsid w:val="1B723200"/>
    <w:rsid w:val="1B9238A2"/>
    <w:rsid w:val="1BAF1D5E"/>
    <w:rsid w:val="1BC33A5C"/>
    <w:rsid w:val="1BC534F8"/>
    <w:rsid w:val="1BE22336"/>
    <w:rsid w:val="1BE7774A"/>
    <w:rsid w:val="1BE8440E"/>
    <w:rsid w:val="1BE85270"/>
    <w:rsid w:val="1BED0AD9"/>
    <w:rsid w:val="1C163B8C"/>
    <w:rsid w:val="1C365FDC"/>
    <w:rsid w:val="1C626DD1"/>
    <w:rsid w:val="1C8F393E"/>
    <w:rsid w:val="1C9B0535"/>
    <w:rsid w:val="1CA4388D"/>
    <w:rsid w:val="1CB25FAA"/>
    <w:rsid w:val="1CC01C8A"/>
    <w:rsid w:val="1CE4012E"/>
    <w:rsid w:val="1CEC2B3E"/>
    <w:rsid w:val="1CF163A7"/>
    <w:rsid w:val="1D154DF9"/>
    <w:rsid w:val="1D155CEE"/>
    <w:rsid w:val="1D156539"/>
    <w:rsid w:val="1D1C37B9"/>
    <w:rsid w:val="1D1D0F4A"/>
    <w:rsid w:val="1D1F2F14"/>
    <w:rsid w:val="1D2542C7"/>
    <w:rsid w:val="1D2B18B9"/>
    <w:rsid w:val="1D306ECF"/>
    <w:rsid w:val="1D350989"/>
    <w:rsid w:val="1D3F7112"/>
    <w:rsid w:val="1D434E54"/>
    <w:rsid w:val="1D6B7F07"/>
    <w:rsid w:val="1D70376F"/>
    <w:rsid w:val="1D7132EA"/>
    <w:rsid w:val="1D7F002D"/>
    <w:rsid w:val="1D90796E"/>
    <w:rsid w:val="1DB7139E"/>
    <w:rsid w:val="1DC00253"/>
    <w:rsid w:val="1DDC7057"/>
    <w:rsid w:val="1DDE2DCF"/>
    <w:rsid w:val="1DFF0496"/>
    <w:rsid w:val="1E087E4C"/>
    <w:rsid w:val="1E0C16EA"/>
    <w:rsid w:val="1E432C32"/>
    <w:rsid w:val="1E674B72"/>
    <w:rsid w:val="1E6D7CAF"/>
    <w:rsid w:val="1E7E3C6A"/>
    <w:rsid w:val="1E8B5A5A"/>
    <w:rsid w:val="1EBB0A1A"/>
    <w:rsid w:val="1ECB3353"/>
    <w:rsid w:val="1ECC70CB"/>
    <w:rsid w:val="1ED92EF3"/>
    <w:rsid w:val="1EDF295B"/>
    <w:rsid w:val="1EE241F9"/>
    <w:rsid w:val="1EE95587"/>
    <w:rsid w:val="1F02489B"/>
    <w:rsid w:val="1F4D1FBA"/>
    <w:rsid w:val="1F506AF3"/>
    <w:rsid w:val="1F647304"/>
    <w:rsid w:val="1F66307C"/>
    <w:rsid w:val="1F72557D"/>
    <w:rsid w:val="1F7E2174"/>
    <w:rsid w:val="1F802FD4"/>
    <w:rsid w:val="1F8D22A9"/>
    <w:rsid w:val="1FA80B45"/>
    <w:rsid w:val="1FAA11BB"/>
    <w:rsid w:val="1FAF67D1"/>
    <w:rsid w:val="1FBC2C9C"/>
    <w:rsid w:val="1FC41B50"/>
    <w:rsid w:val="1FC57DA2"/>
    <w:rsid w:val="1FD53D5E"/>
    <w:rsid w:val="1FF93EF0"/>
    <w:rsid w:val="200B2F97"/>
    <w:rsid w:val="201E3957"/>
    <w:rsid w:val="204213F3"/>
    <w:rsid w:val="204C04C4"/>
    <w:rsid w:val="20631D11"/>
    <w:rsid w:val="20672C08"/>
    <w:rsid w:val="20713A86"/>
    <w:rsid w:val="20784E15"/>
    <w:rsid w:val="20855784"/>
    <w:rsid w:val="208732AA"/>
    <w:rsid w:val="20A756FA"/>
    <w:rsid w:val="20BD6CCC"/>
    <w:rsid w:val="20C87199"/>
    <w:rsid w:val="20DE431E"/>
    <w:rsid w:val="20E06E5E"/>
    <w:rsid w:val="20F57F95"/>
    <w:rsid w:val="210B1825"/>
    <w:rsid w:val="210E5779"/>
    <w:rsid w:val="21430AB0"/>
    <w:rsid w:val="21470C8B"/>
    <w:rsid w:val="21505D92"/>
    <w:rsid w:val="21562C7C"/>
    <w:rsid w:val="21725D08"/>
    <w:rsid w:val="218477E9"/>
    <w:rsid w:val="21867A05"/>
    <w:rsid w:val="21D50045"/>
    <w:rsid w:val="21F078D0"/>
    <w:rsid w:val="21FB491E"/>
    <w:rsid w:val="21FC4908"/>
    <w:rsid w:val="21FE5AAC"/>
    <w:rsid w:val="22196184"/>
    <w:rsid w:val="221F7512"/>
    <w:rsid w:val="22213F63"/>
    <w:rsid w:val="22342FBD"/>
    <w:rsid w:val="22372AAE"/>
    <w:rsid w:val="224A458F"/>
    <w:rsid w:val="225E003A"/>
    <w:rsid w:val="225F112A"/>
    <w:rsid w:val="226D43E2"/>
    <w:rsid w:val="2272087D"/>
    <w:rsid w:val="227635D6"/>
    <w:rsid w:val="229677D4"/>
    <w:rsid w:val="22993768"/>
    <w:rsid w:val="22A77C33"/>
    <w:rsid w:val="22B943E7"/>
    <w:rsid w:val="22C24A6D"/>
    <w:rsid w:val="22D724A9"/>
    <w:rsid w:val="23160915"/>
    <w:rsid w:val="23234270"/>
    <w:rsid w:val="2323718D"/>
    <w:rsid w:val="23305E7B"/>
    <w:rsid w:val="236553F8"/>
    <w:rsid w:val="237A70F6"/>
    <w:rsid w:val="238910E7"/>
    <w:rsid w:val="23A10B26"/>
    <w:rsid w:val="23E12CD1"/>
    <w:rsid w:val="23E26A49"/>
    <w:rsid w:val="23E80503"/>
    <w:rsid w:val="23F724F4"/>
    <w:rsid w:val="23F92711"/>
    <w:rsid w:val="2403533D"/>
    <w:rsid w:val="240371BF"/>
    <w:rsid w:val="24042E63"/>
    <w:rsid w:val="242E2174"/>
    <w:rsid w:val="244119C2"/>
    <w:rsid w:val="245142FB"/>
    <w:rsid w:val="24575689"/>
    <w:rsid w:val="246D27B7"/>
    <w:rsid w:val="246F29D3"/>
    <w:rsid w:val="249935AC"/>
    <w:rsid w:val="24B03849"/>
    <w:rsid w:val="24C85C3F"/>
    <w:rsid w:val="24D40A88"/>
    <w:rsid w:val="24E862E1"/>
    <w:rsid w:val="24F66C50"/>
    <w:rsid w:val="25021151"/>
    <w:rsid w:val="251946ED"/>
    <w:rsid w:val="25341526"/>
    <w:rsid w:val="25382DC5"/>
    <w:rsid w:val="25513E86"/>
    <w:rsid w:val="255F2A47"/>
    <w:rsid w:val="257F09F3"/>
    <w:rsid w:val="25A93CC2"/>
    <w:rsid w:val="25AB3597"/>
    <w:rsid w:val="25C44658"/>
    <w:rsid w:val="25C741E6"/>
    <w:rsid w:val="25ED1E01"/>
    <w:rsid w:val="25F211C5"/>
    <w:rsid w:val="25FC0296"/>
    <w:rsid w:val="26211AAB"/>
    <w:rsid w:val="264439EB"/>
    <w:rsid w:val="265579A6"/>
    <w:rsid w:val="26775B6F"/>
    <w:rsid w:val="26A336EE"/>
    <w:rsid w:val="26AD333E"/>
    <w:rsid w:val="26B24A3D"/>
    <w:rsid w:val="26C568DA"/>
    <w:rsid w:val="26D7485F"/>
    <w:rsid w:val="26E33204"/>
    <w:rsid w:val="27004D7C"/>
    <w:rsid w:val="27172FFD"/>
    <w:rsid w:val="27337CE7"/>
    <w:rsid w:val="27351CB2"/>
    <w:rsid w:val="27514612"/>
    <w:rsid w:val="277B343D"/>
    <w:rsid w:val="27842671"/>
    <w:rsid w:val="27B01338"/>
    <w:rsid w:val="27D35027"/>
    <w:rsid w:val="27EC60E8"/>
    <w:rsid w:val="280478D6"/>
    <w:rsid w:val="28060F58"/>
    <w:rsid w:val="28127295"/>
    <w:rsid w:val="281D44F4"/>
    <w:rsid w:val="282B09BF"/>
    <w:rsid w:val="286914E7"/>
    <w:rsid w:val="28700AC7"/>
    <w:rsid w:val="28732366"/>
    <w:rsid w:val="28845678"/>
    <w:rsid w:val="28964A2B"/>
    <w:rsid w:val="28A30E9D"/>
    <w:rsid w:val="28A54C15"/>
    <w:rsid w:val="28A6098D"/>
    <w:rsid w:val="28BE666E"/>
    <w:rsid w:val="28C72DDD"/>
    <w:rsid w:val="28C8445F"/>
    <w:rsid w:val="28FC235B"/>
    <w:rsid w:val="290F208E"/>
    <w:rsid w:val="291718D0"/>
    <w:rsid w:val="29253660"/>
    <w:rsid w:val="293B7327"/>
    <w:rsid w:val="296028EA"/>
    <w:rsid w:val="297B72FA"/>
    <w:rsid w:val="29824F56"/>
    <w:rsid w:val="29A547A1"/>
    <w:rsid w:val="29C15A7E"/>
    <w:rsid w:val="29D82DC8"/>
    <w:rsid w:val="29FD04D3"/>
    <w:rsid w:val="2A0D6239"/>
    <w:rsid w:val="2A677CA8"/>
    <w:rsid w:val="2A697EC4"/>
    <w:rsid w:val="2A7E571E"/>
    <w:rsid w:val="2A9071FF"/>
    <w:rsid w:val="2A9767DF"/>
    <w:rsid w:val="2ABB0720"/>
    <w:rsid w:val="2ABE7A3E"/>
    <w:rsid w:val="2AC82E3D"/>
    <w:rsid w:val="2AD417E1"/>
    <w:rsid w:val="2AD92680"/>
    <w:rsid w:val="2ADB2B70"/>
    <w:rsid w:val="2AF92FF6"/>
    <w:rsid w:val="2B035C23"/>
    <w:rsid w:val="2B122384"/>
    <w:rsid w:val="2B2C517A"/>
    <w:rsid w:val="2B620B9B"/>
    <w:rsid w:val="2B9D3AF5"/>
    <w:rsid w:val="2BAA2542"/>
    <w:rsid w:val="2BAC43E5"/>
    <w:rsid w:val="2BC2163A"/>
    <w:rsid w:val="2BD001FB"/>
    <w:rsid w:val="2C002162"/>
    <w:rsid w:val="2C3B13EC"/>
    <w:rsid w:val="2C3D33B6"/>
    <w:rsid w:val="2C3F2C8B"/>
    <w:rsid w:val="2C6B7F24"/>
    <w:rsid w:val="2C7212B2"/>
    <w:rsid w:val="2C7548FE"/>
    <w:rsid w:val="2C901738"/>
    <w:rsid w:val="2CA60F5C"/>
    <w:rsid w:val="2CAC466A"/>
    <w:rsid w:val="2CC82C80"/>
    <w:rsid w:val="2CD84964"/>
    <w:rsid w:val="2CDC497D"/>
    <w:rsid w:val="2CE83322"/>
    <w:rsid w:val="2D214A86"/>
    <w:rsid w:val="2D2325AC"/>
    <w:rsid w:val="2D360531"/>
    <w:rsid w:val="2D4B565F"/>
    <w:rsid w:val="2D4F33A1"/>
    <w:rsid w:val="2D656721"/>
    <w:rsid w:val="2D6F75A0"/>
    <w:rsid w:val="2DC93154"/>
    <w:rsid w:val="2DE53D06"/>
    <w:rsid w:val="2E045F3A"/>
    <w:rsid w:val="2E053A60"/>
    <w:rsid w:val="2E2A34C6"/>
    <w:rsid w:val="2E2E2FB7"/>
    <w:rsid w:val="2E36630F"/>
    <w:rsid w:val="2E5B0F11"/>
    <w:rsid w:val="2E67471B"/>
    <w:rsid w:val="2E9953B4"/>
    <w:rsid w:val="2EAB4607"/>
    <w:rsid w:val="2EB852DE"/>
    <w:rsid w:val="2EC102CF"/>
    <w:rsid w:val="2ED27DE6"/>
    <w:rsid w:val="2EE93382"/>
    <w:rsid w:val="2EFA178C"/>
    <w:rsid w:val="2F2919D0"/>
    <w:rsid w:val="2F3F710F"/>
    <w:rsid w:val="2F503401"/>
    <w:rsid w:val="2F745341"/>
    <w:rsid w:val="2F9C21A2"/>
    <w:rsid w:val="2FBC19C0"/>
    <w:rsid w:val="2FBC45F2"/>
    <w:rsid w:val="2FC040E2"/>
    <w:rsid w:val="2FD44032"/>
    <w:rsid w:val="2FD656B4"/>
    <w:rsid w:val="2FDC6A42"/>
    <w:rsid w:val="2FE34275"/>
    <w:rsid w:val="302C79CA"/>
    <w:rsid w:val="30314FE0"/>
    <w:rsid w:val="303D3985"/>
    <w:rsid w:val="30444D13"/>
    <w:rsid w:val="304545E8"/>
    <w:rsid w:val="304F36B8"/>
    <w:rsid w:val="308E5F8F"/>
    <w:rsid w:val="30B46D73"/>
    <w:rsid w:val="30B8300C"/>
    <w:rsid w:val="30E42053"/>
    <w:rsid w:val="313C1E8F"/>
    <w:rsid w:val="316311C9"/>
    <w:rsid w:val="319F7F4E"/>
    <w:rsid w:val="32193F7E"/>
    <w:rsid w:val="322070BA"/>
    <w:rsid w:val="322C5A5F"/>
    <w:rsid w:val="324234D5"/>
    <w:rsid w:val="324803BF"/>
    <w:rsid w:val="327F2033"/>
    <w:rsid w:val="32AB72CC"/>
    <w:rsid w:val="32BB6DE3"/>
    <w:rsid w:val="32F50547"/>
    <w:rsid w:val="32FF2244"/>
    <w:rsid w:val="330D3AE3"/>
    <w:rsid w:val="33294694"/>
    <w:rsid w:val="332B3F69"/>
    <w:rsid w:val="333F5C66"/>
    <w:rsid w:val="33613E2E"/>
    <w:rsid w:val="336D3876"/>
    <w:rsid w:val="3371304C"/>
    <w:rsid w:val="33B2468A"/>
    <w:rsid w:val="33B377BC"/>
    <w:rsid w:val="33B90C6D"/>
    <w:rsid w:val="33C30645"/>
    <w:rsid w:val="33EA3E24"/>
    <w:rsid w:val="340071A3"/>
    <w:rsid w:val="340A7A25"/>
    <w:rsid w:val="34311A53"/>
    <w:rsid w:val="343B422E"/>
    <w:rsid w:val="346A6D13"/>
    <w:rsid w:val="349B6ECC"/>
    <w:rsid w:val="34A85830"/>
    <w:rsid w:val="34AE30A3"/>
    <w:rsid w:val="34EB7E53"/>
    <w:rsid w:val="34FA1E45"/>
    <w:rsid w:val="35101668"/>
    <w:rsid w:val="35325A82"/>
    <w:rsid w:val="353327D7"/>
    <w:rsid w:val="35431A3E"/>
    <w:rsid w:val="355157DD"/>
    <w:rsid w:val="356279EA"/>
    <w:rsid w:val="35643762"/>
    <w:rsid w:val="357D4824"/>
    <w:rsid w:val="35956011"/>
    <w:rsid w:val="35A10512"/>
    <w:rsid w:val="35A818A1"/>
    <w:rsid w:val="35B27D87"/>
    <w:rsid w:val="35C80195"/>
    <w:rsid w:val="35D00DF7"/>
    <w:rsid w:val="35D65CDA"/>
    <w:rsid w:val="35E36D7D"/>
    <w:rsid w:val="35FB40C6"/>
    <w:rsid w:val="360A255B"/>
    <w:rsid w:val="361A2073"/>
    <w:rsid w:val="36227D52"/>
    <w:rsid w:val="36592B9B"/>
    <w:rsid w:val="369260AD"/>
    <w:rsid w:val="369462C9"/>
    <w:rsid w:val="36BD75CE"/>
    <w:rsid w:val="36CE17DB"/>
    <w:rsid w:val="36D059B8"/>
    <w:rsid w:val="36EE7787"/>
    <w:rsid w:val="36EF34FF"/>
    <w:rsid w:val="36F34D9D"/>
    <w:rsid w:val="36FD5C1C"/>
    <w:rsid w:val="371B60A2"/>
    <w:rsid w:val="371F3DE4"/>
    <w:rsid w:val="373553B6"/>
    <w:rsid w:val="375B2943"/>
    <w:rsid w:val="375C0B95"/>
    <w:rsid w:val="37781747"/>
    <w:rsid w:val="37797999"/>
    <w:rsid w:val="377E4FAF"/>
    <w:rsid w:val="378A3F83"/>
    <w:rsid w:val="37A75B88"/>
    <w:rsid w:val="37D20E57"/>
    <w:rsid w:val="37F039D3"/>
    <w:rsid w:val="37F76B0F"/>
    <w:rsid w:val="37F839B7"/>
    <w:rsid w:val="37FC2378"/>
    <w:rsid w:val="37FF59C4"/>
    <w:rsid w:val="381C47C8"/>
    <w:rsid w:val="382F62A9"/>
    <w:rsid w:val="38341B11"/>
    <w:rsid w:val="38741F0E"/>
    <w:rsid w:val="38926838"/>
    <w:rsid w:val="3894435E"/>
    <w:rsid w:val="389A27EA"/>
    <w:rsid w:val="38A210C6"/>
    <w:rsid w:val="38AA5930"/>
    <w:rsid w:val="38BB18EB"/>
    <w:rsid w:val="38D1110E"/>
    <w:rsid w:val="38E5105E"/>
    <w:rsid w:val="38E946AA"/>
    <w:rsid w:val="38F17A02"/>
    <w:rsid w:val="390C2146"/>
    <w:rsid w:val="39243934"/>
    <w:rsid w:val="39553AED"/>
    <w:rsid w:val="395E4A79"/>
    <w:rsid w:val="39693A3D"/>
    <w:rsid w:val="397A17A6"/>
    <w:rsid w:val="39873EC3"/>
    <w:rsid w:val="39873EE9"/>
    <w:rsid w:val="399D5494"/>
    <w:rsid w:val="39A31E1C"/>
    <w:rsid w:val="39AB5D54"/>
    <w:rsid w:val="39AE70AB"/>
    <w:rsid w:val="39B00029"/>
    <w:rsid w:val="39B8407C"/>
    <w:rsid w:val="3A1C0D2D"/>
    <w:rsid w:val="3A4B6C9E"/>
    <w:rsid w:val="3A4F49E1"/>
    <w:rsid w:val="3A551B4D"/>
    <w:rsid w:val="3A886145"/>
    <w:rsid w:val="3A971EE4"/>
    <w:rsid w:val="3AA30888"/>
    <w:rsid w:val="3AC70A1B"/>
    <w:rsid w:val="3AE35129"/>
    <w:rsid w:val="3B084B8F"/>
    <w:rsid w:val="3B131EB2"/>
    <w:rsid w:val="3B20637D"/>
    <w:rsid w:val="3B3A0C4C"/>
    <w:rsid w:val="3B6B584A"/>
    <w:rsid w:val="3B7F30A4"/>
    <w:rsid w:val="3B9F3746"/>
    <w:rsid w:val="3BA42B0A"/>
    <w:rsid w:val="3BAC19BF"/>
    <w:rsid w:val="3BB3426F"/>
    <w:rsid w:val="3BC82016"/>
    <w:rsid w:val="3BE13D5E"/>
    <w:rsid w:val="3BF21AC7"/>
    <w:rsid w:val="3C067321"/>
    <w:rsid w:val="3C073099"/>
    <w:rsid w:val="3C0C0783"/>
    <w:rsid w:val="3C1732DC"/>
    <w:rsid w:val="3C1F03E3"/>
    <w:rsid w:val="3C2E6878"/>
    <w:rsid w:val="3C487939"/>
    <w:rsid w:val="3C5067EE"/>
    <w:rsid w:val="3C6F136A"/>
    <w:rsid w:val="3C81109D"/>
    <w:rsid w:val="3C88242C"/>
    <w:rsid w:val="3C8F37BA"/>
    <w:rsid w:val="3C9568F7"/>
    <w:rsid w:val="3C9E1C4F"/>
    <w:rsid w:val="3CA01523"/>
    <w:rsid w:val="3CAB68B6"/>
    <w:rsid w:val="3CB66F99"/>
    <w:rsid w:val="3CB94393"/>
    <w:rsid w:val="3CDB69FF"/>
    <w:rsid w:val="3CE9764C"/>
    <w:rsid w:val="3CF17FD1"/>
    <w:rsid w:val="3CF23184"/>
    <w:rsid w:val="3CFE449C"/>
    <w:rsid w:val="3D0A6D79"/>
    <w:rsid w:val="3D1A6001"/>
    <w:rsid w:val="3D532A3A"/>
    <w:rsid w:val="3D6469F5"/>
    <w:rsid w:val="3D7824A0"/>
    <w:rsid w:val="3D8E75CE"/>
    <w:rsid w:val="3D9B6C72"/>
    <w:rsid w:val="3D9D5A63"/>
    <w:rsid w:val="3DA94E14"/>
    <w:rsid w:val="3DB159B2"/>
    <w:rsid w:val="3DDC68F0"/>
    <w:rsid w:val="3E03620E"/>
    <w:rsid w:val="3E0E070F"/>
    <w:rsid w:val="3E3A59A8"/>
    <w:rsid w:val="3E4F1453"/>
    <w:rsid w:val="3E691DE9"/>
    <w:rsid w:val="3E79027E"/>
    <w:rsid w:val="3E7C7D6E"/>
    <w:rsid w:val="3E94479A"/>
    <w:rsid w:val="3EB94B1E"/>
    <w:rsid w:val="3ECF4342"/>
    <w:rsid w:val="3EEA4CD8"/>
    <w:rsid w:val="3EED6576"/>
    <w:rsid w:val="3F010273"/>
    <w:rsid w:val="3F0A35CC"/>
    <w:rsid w:val="3F1D64E5"/>
    <w:rsid w:val="3F6D76B7"/>
    <w:rsid w:val="3F795B0E"/>
    <w:rsid w:val="3F8769CB"/>
    <w:rsid w:val="3F9F3705"/>
    <w:rsid w:val="3F9F3A96"/>
    <w:rsid w:val="3FA7706D"/>
    <w:rsid w:val="3FCC262F"/>
    <w:rsid w:val="3FF37812"/>
    <w:rsid w:val="3FF83425"/>
    <w:rsid w:val="404E74E8"/>
    <w:rsid w:val="40716BF7"/>
    <w:rsid w:val="407C22A8"/>
    <w:rsid w:val="408A0869"/>
    <w:rsid w:val="408A49C4"/>
    <w:rsid w:val="4093139F"/>
    <w:rsid w:val="409C64A6"/>
    <w:rsid w:val="40C90B3F"/>
    <w:rsid w:val="40F97454"/>
    <w:rsid w:val="410A78B3"/>
    <w:rsid w:val="413466DE"/>
    <w:rsid w:val="41407088"/>
    <w:rsid w:val="41780CC1"/>
    <w:rsid w:val="41913ED7"/>
    <w:rsid w:val="419D0727"/>
    <w:rsid w:val="419E1DAA"/>
    <w:rsid w:val="41A13DEA"/>
    <w:rsid w:val="41C757A4"/>
    <w:rsid w:val="41C852A6"/>
    <w:rsid w:val="42332E3A"/>
    <w:rsid w:val="426B4382"/>
    <w:rsid w:val="42975177"/>
    <w:rsid w:val="42A11B51"/>
    <w:rsid w:val="42A72EE0"/>
    <w:rsid w:val="42C61D0A"/>
    <w:rsid w:val="42D57A4D"/>
    <w:rsid w:val="42DF3FDB"/>
    <w:rsid w:val="42E859D2"/>
    <w:rsid w:val="42FA74B4"/>
    <w:rsid w:val="43081BD1"/>
    <w:rsid w:val="43106CD7"/>
    <w:rsid w:val="43421586"/>
    <w:rsid w:val="436964D3"/>
    <w:rsid w:val="43741014"/>
    <w:rsid w:val="43B20EFD"/>
    <w:rsid w:val="43C006FD"/>
    <w:rsid w:val="43D321DE"/>
    <w:rsid w:val="44024872"/>
    <w:rsid w:val="44380293"/>
    <w:rsid w:val="44492E98"/>
    <w:rsid w:val="444E3F5B"/>
    <w:rsid w:val="445A2900"/>
    <w:rsid w:val="445D419E"/>
    <w:rsid w:val="446410F0"/>
    <w:rsid w:val="44896D41"/>
    <w:rsid w:val="448A0922"/>
    <w:rsid w:val="44CE0BF8"/>
    <w:rsid w:val="44CE6E4A"/>
    <w:rsid w:val="44E65F41"/>
    <w:rsid w:val="44EE66C9"/>
    <w:rsid w:val="44F468B0"/>
    <w:rsid w:val="45237196"/>
    <w:rsid w:val="45401AF6"/>
    <w:rsid w:val="456442B5"/>
    <w:rsid w:val="458614D2"/>
    <w:rsid w:val="45A8769B"/>
    <w:rsid w:val="45B918A8"/>
    <w:rsid w:val="45D1274E"/>
    <w:rsid w:val="45D95AA6"/>
    <w:rsid w:val="45E36925"/>
    <w:rsid w:val="45E85CE9"/>
    <w:rsid w:val="45FD1A0A"/>
    <w:rsid w:val="45FE550D"/>
    <w:rsid w:val="460348D1"/>
    <w:rsid w:val="462B1312"/>
    <w:rsid w:val="462E356B"/>
    <w:rsid w:val="46456690"/>
    <w:rsid w:val="465945A8"/>
    <w:rsid w:val="465E7D59"/>
    <w:rsid w:val="465F5FAB"/>
    <w:rsid w:val="4662784A"/>
    <w:rsid w:val="467C4DAF"/>
    <w:rsid w:val="46BC7E89"/>
    <w:rsid w:val="46D324F5"/>
    <w:rsid w:val="46DF70EC"/>
    <w:rsid w:val="46EC35B7"/>
    <w:rsid w:val="46ED1809"/>
    <w:rsid w:val="471072A6"/>
    <w:rsid w:val="471548BC"/>
    <w:rsid w:val="47841A42"/>
    <w:rsid w:val="478832E0"/>
    <w:rsid w:val="4791488A"/>
    <w:rsid w:val="47927F8D"/>
    <w:rsid w:val="479954ED"/>
    <w:rsid w:val="47B24801"/>
    <w:rsid w:val="47F71B1B"/>
    <w:rsid w:val="47F833F6"/>
    <w:rsid w:val="47FE35A2"/>
    <w:rsid w:val="4820176A"/>
    <w:rsid w:val="48BB1493"/>
    <w:rsid w:val="48C45603"/>
    <w:rsid w:val="48CB3DCC"/>
    <w:rsid w:val="48E05F1D"/>
    <w:rsid w:val="48E13CA9"/>
    <w:rsid w:val="48E56510"/>
    <w:rsid w:val="49156DF5"/>
    <w:rsid w:val="49177011"/>
    <w:rsid w:val="49331971"/>
    <w:rsid w:val="49361C11"/>
    <w:rsid w:val="493C27E9"/>
    <w:rsid w:val="493F0316"/>
    <w:rsid w:val="495F4514"/>
    <w:rsid w:val="496F39ED"/>
    <w:rsid w:val="49753D38"/>
    <w:rsid w:val="497E0E3E"/>
    <w:rsid w:val="49935F6C"/>
    <w:rsid w:val="49BA174B"/>
    <w:rsid w:val="49FF41D3"/>
    <w:rsid w:val="4A1672C9"/>
    <w:rsid w:val="4A185DC8"/>
    <w:rsid w:val="4A190B67"/>
    <w:rsid w:val="4A1C41B3"/>
    <w:rsid w:val="4A282B58"/>
    <w:rsid w:val="4A2F2139"/>
    <w:rsid w:val="4A5C5CE8"/>
    <w:rsid w:val="4A82495E"/>
    <w:rsid w:val="4AA20B5D"/>
    <w:rsid w:val="4AB83DC8"/>
    <w:rsid w:val="4ADB406F"/>
    <w:rsid w:val="4B033EDE"/>
    <w:rsid w:val="4B047121"/>
    <w:rsid w:val="4B0E7FA0"/>
    <w:rsid w:val="4B102A00"/>
    <w:rsid w:val="4B1F03FF"/>
    <w:rsid w:val="4B2E419E"/>
    <w:rsid w:val="4B320132"/>
    <w:rsid w:val="4B3C4356"/>
    <w:rsid w:val="4B4734B2"/>
    <w:rsid w:val="4B4B11F4"/>
    <w:rsid w:val="4B5F6A4E"/>
    <w:rsid w:val="4B693428"/>
    <w:rsid w:val="4B832E41"/>
    <w:rsid w:val="4BAF38A8"/>
    <w:rsid w:val="4BDC3BFA"/>
    <w:rsid w:val="4BE068DB"/>
    <w:rsid w:val="4BF03B4A"/>
    <w:rsid w:val="4BF6002B"/>
    <w:rsid w:val="4C0849EF"/>
    <w:rsid w:val="4C1C049B"/>
    <w:rsid w:val="4C303F46"/>
    <w:rsid w:val="4C373527"/>
    <w:rsid w:val="4C46376A"/>
    <w:rsid w:val="4C4719BC"/>
    <w:rsid w:val="4C687B84"/>
    <w:rsid w:val="4CA3296A"/>
    <w:rsid w:val="4CB22BAD"/>
    <w:rsid w:val="4CBE1552"/>
    <w:rsid w:val="4CCF550D"/>
    <w:rsid w:val="4CD174D7"/>
    <w:rsid w:val="4CD314A1"/>
    <w:rsid w:val="4CD45A3E"/>
    <w:rsid w:val="4CD64AED"/>
    <w:rsid w:val="4CE90CC5"/>
    <w:rsid w:val="4D07114B"/>
    <w:rsid w:val="4D07739D"/>
    <w:rsid w:val="4D241CFD"/>
    <w:rsid w:val="4D2E66D8"/>
    <w:rsid w:val="4D4C4DB0"/>
    <w:rsid w:val="4D5F2D35"/>
    <w:rsid w:val="4D704F42"/>
    <w:rsid w:val="4D7D31BB"/>
    <w:rsid w:val="4D902EEE"/>
    <w:rsid w:val="4D970721"/>
    <w:rsid w:val="4DB26F1F"/>
    <w:rsid w:val="4DB90697"/>
    <w:rsid w:val="4DB95B9F"/>
    <w:rsid w:val="4DC64B62"/>
    <w:rsid w:val="4DC86B2C"/>
    <w:rsid w:val="4DCF7EBB"/>
    <w:rsid w:val="4DDC6134"/>
    <w:rsid w:val="4DE60D60"/>
    <w:rsid w:val="4DE80F7C"/>
    <w:rsid w:val="4DEA6AA2"/>
    <w:rsid w:val="4DF94F37"/>
    <w:rsid w:val="4E0062C6"/>
    <w:rsid w:val="4E0336C0"/>
    <w:rsid w:val="4E0631B0"/>
    <w:rsid w:val="4E0F6509"/>
    <w:rsid w:val="4E1F4272"/>
    <w:rsid w:val="4E4B32B9"/>
    <w:rsid w:val="4E557C94"/>
    <w:rsid w:val="4E74636C"/>
    <w:rsid w:val="4EAF1A9A"/>
    <w:rsid w:val="4EC7469A"/>
    <w:rsid w:val="4ECA0682"/>
    <w:rsid w:val="4ECE2238"/>
    <w:rsid w:val="4ED80FF1"/>
    <w:rsid w:val="4EEE4370"/>
    <w:rsid w:val="4EF179BD"/>
    <w:rsid w:val="4F05790C"/>
    <w:rsid w:val="4F2002A2"/>
    <w:rsid w:val="4F2E6E63"/>
    <w:rsid w:val="4F464194"/>
    <w:rsid w:val="4F477F24"/>
    <w:rsid w:val="4F604B42"/>
    <w:rsid w:val="4F74239C"/>
    <w:rsid w:val="4F9C201E"/>
    <w:rsid w:val="4FA90297"/>
    <w:rsid w:val="4FAD0B5B"/>
    <w:rsid w:val="4FCD3914"/>
    <w:rsid w:val="4FFE6835"/>
    <w:rsid w:val="503A5393"/>
    <w:rsid w:val="50446212"/>
    <w:rsid w:val="506B19F1"/>
    <w:rsid w:val="506D5769"/>
    <w:rsid w:val="50A3118B"/>
    <w:rsid w:val="50AC1100"/>
    <w:rsid w:val="50CD10A1"/>
    <w:rsid w:val="50F8649E"/>
    <w:rsid w:val="51275918"/>
    <w:rsid w:val="512A5408"/>
    <w:rsid w:val="513B7615"/>
    <w:rsid w:val="513D15DF"/>
    <w:rsid w:val="51714DE5"/>
    <w:rsid w:val="51750D79"/>
    <w:rsid w:val="517B5C63"/>
    <w:rsid w:val="51894824"/>
    <w:rsid w:val="51A0391C"/>
    <w:rsid w:val="51B30C2D"/>
    <w:rsid w:val="51DB4B86"/>
    <w:rsid w:val="5217598C"/>
    <w:rsid w:val="52224331"/>
    <w:rsid w:val="522B1438"/>
    <w:rsid w:val="523F1387"/>
    <w:rsid w:val="524B7D2C"/>
    <w:rsid w:val="525210BA"/>
    <w:rsid w:val="52650DED"/>
    <w:rsid w:val="529E60AD"/>
    <w:rsid w:val="52A86F2C"/>
    <w:rsid w:val="52D41ACF"/>
    <w:rsid w:val="52D45074"/>
    <w:rsid w:val="52EF24C6"/>
    <w:rsid w:val="5302488E"/>
    <w:rsid w:val="5334256E"/>
    <w:rsid w:val="535350EA"/>
    <w:rsid w:val="535E4FF9"/>
    <w:rsid w:val="53933738"/>
    <w:rsid w:val="53A2397B"/>
    <w:rsid w:val="53B92A73"/>
    <w:rsid w:val="53BB4A3D"/>
    <w:rsid w:val="53D31D87"/>
    <w:rsid w:val="53FA1EE8"/>
    <w:rsid w:val="5409746A"/>
    <w:rsid w:val="541505F1"/>
    <w:rsid w:val="54216F96"/>
    <w:rsid w:val="542E16B3"/>
    <w:rsid w:val="543E008A"/>
    <w:rsid w:val="54436F0C"/>
    <w:rsid w:val="545B6A96"/>
    <w:rsid w:val="546D5D37"/>
    <w:rsid w:val="54CC5154"/>
    <w:rsid w:val="54F55D2D"/>
    <w:rsid w:val="551268DF"/>
    <w:rsid w:val="551E5284"/>
    <w:rsid w:val="55252A60"/>
    <w:rsid w:val="552A59D6"/>
    <w:rsid w:val="55333C3E"/>
    <w:rsid w:val="55393E6B"/>
    <w:rsid w:val="553E1482"/>
    <w:rsid w:val="55480552"/>
    <w:rsid w:val="555667CB"/>
    <w:rsid w:val="555E72B1"/>
    <w:rsid w:val="559F4616"/>
    <w:rsid w:val="55C93441"/>
    <w:rsid w:val="55DD513F"/>
    <w:rsid w:val="55EE4C56"/>
    <w:rsid w:val="55F04E72"/>
    <w:rsid w:val="55FC08AE"/>
    <w:rsid w:val="561D378D"/>
    <w:rsid w:val="56285399"/>
    <w:rsid w:val="562E7748"/>
    <w:rsid w:val="5640122A"/>
    <w:rsid w:val="5641747C"/>
    <w:rsid w:val="56516EDE"/>
    <w:rsid w:val="565D002E"/>
    <w:rsid w:val="56660C90"/>
    <w:rsid w:val="566969D2"/>
    <w:rsid w:val="56723AD9"/>
    <w:rsid w:val="56876E58"/>
    <w:rsid w:val="568E55A1"/>
    <w:rsid w:val="569752EE"/>
    <w:rsid w:val="569D042A"/>
    <w:rsid w:val="569F41A2"/>
    <w:rsid w:val="56B62190"/>
    <w:rsid w:val="56B646C6"/>
    <w:rsid w:val="56BA0FDC"/>
    <w:rsid w:val="56C500AD"/>
    <w:rsid w:val="56F95FA8"/>
    <w:rsid w:val="571050A0"/>
    <w:rsid w:val="571B3010"/>
    <w:rsid w:val="572D7A00"/>
    <w:rsid w:val="5754393A"/>
    <w:rsid w:val="57664CC0"/>
    <w:rsid w:val="57780F3E"/>
    <w:rsid w:val="57853398"/>
    <w:rsid w:val="57862B06"/>
    <w:rsid w:val="57877110"/>
    <w:rsid w:val="578D049F"/>
    <w:rsid w:val="57A75A04"/>
    <w:rsid w:val="57AB516C"/>
    <w:rsid w:val="57B43C7D"/>
    <w:rsid w:val="57BB500C"/>
    <w:rsid w:val="57C40364"/>
    <w:rsid w:val="57D16415"/>
    <w:rsid w:val="57F10A2D"/>
    <w:rsid w:val="57F4051E"/>
    <w:rsid w:val="5806097D"/>
    <w:rsid w:val="580A7D41"/>
    <w:rsid w:val="58152CA1"/>
    <w:rsid w:val="58226E39"/>
    <w:rsid w:val="58262DCD"/>
    <w:rsid w:val="582E3A30"/>
    <w:rsid w:val="582E4DD1"/>
    <w:rsid w:val="5851771E"/>
    <w:rsid w:val="58951D01"/>
    <w:rsid w:val="58D5034F"/>
    <w:rsid w:val="58D56CAC"/>
    <w:rsid w:val="58E660B8"/>
    <w:rsid w:val="59213594"/>
    <w:rsid w:val="59266DFD"/>
    <w:rsid w:val="596811C3"/>
    <w:rsid w:val="599B6EA3"/>
    <w:rsid w:val="59A044B9"/>
    <w:rsid w:val="59AD307A"/>
    <w:rsid w:val="59CA59DA"/>
    <w:rsid w:val="59CC01B7"/>
    <w:rsid w:val="59FB5B93"/>
    <w:rsid w:val="5A032C9A"/>
    <w:rsid w:val="5A105AE3"/>
    <w:rsid w:val="5A1C4B47"/>
    <w:rsid w:val="5A523147"/>
    <w:rsid w:val="5A5F6122"/>
    <w:rsid w:val="5AB87F28"/>
    <w:rsid w:val="5AD00DCE"/>
    <w:rsid w:val="5AF80325"/>
    <w:rsid w:val="5B1A473F"/>
    <w:rsid w:val="5B242EC8"/>
    <w:rsid w:val="5B3C46B5"/>
    <w:rsid w:val="5B4237BE"/>
    <w:rsid w:val="5B44356A"/>
    <w:rsid w:val="5B461090"/>
    <w:rsid w:val="5B4672E2"/>
    <w:rsid w:val="5B991B08"/>
    <w:rsid w:val="5BBB7CD0"/>
    <w:rsid w:val="5BD112A2"/>
    <w:rsid w:val="5BF3746A"/>
    <w:rsid w:val="5C007491"/>
    <w:rsid w:val="5C294C3A"/>
    <w:rsid w:val="5C441A74"/>
    <w:rsid w:val="5C537F09"/>
    <w:rsid w:val="5C6043D4"/>
    <w:rsid w:val="5CE675E4"/>
    <w:rsid w:val="5D086F45"/>
    <w:rsid w:val="5D170F36"/>
    <w:rsid w:val="5D215707"/>
    <w:rsid w:val="5D347D3A"/>
    <w:rsid w:val="5D375134"/>
    <w:rsid w:val="5D3D63DE"/>
    <w:rsid w:val="5D437F7D"/>
    <w:rsid w:val="5D447851"/>
    <w:rsid w:val="5D545E8C"/>
    <w:rsid w:val="5D5C2EEE"/>
    <w:rsid w:val="5D656145"/>
    <w:rsid w:val="5D810AA5"/>
    <w:rsid w:val="5D9E51B4"/>
    <w:rsid w:val="5DB669A1"/>
    <w:rsid w:val="5DC170F4"/>
    <w:rsid w:val="5DC866D4"/>
    <w:rsid w:val="5DEA03F9"/>
    <w:rsid w:val="5DFD637E"/>
    <w:rsid w:val="5E046A44"/>
    <w:rsid w:val="5E0A2849"/>
    <w:rsid w:val="5E20206C"/>
    <w:rsid w:val="5E2751A9"/>
    <w:rsid w:val="5E2F22B0"/>
    <w:rsid w:val="5E3E0745"/>
    <w:rsid w:val="5E5E2B95"/>
    <w:rsid w:val="5E7128C8"/>
    <w:rsid w:val="5E820631"/>
    <w:rsid w:val="5E8425FB"/>
    <w:rsid w:val="5E93283E"/>
    <w:rsid w:val="5EA026CD"/>
    <w:rsid w:val="5EA2166E"/>
    <w:rsid w:val="5EA44A4C"/>
    <w:rsid w:val="5EA66A16"/>
    <w:rsid w:val="5EAA15B8"/>
    <w:rsid w:val="5EB97DCB"/>
    <w:rsid w:val="5ED115B9"/>
    <w:rsid w:val="5ED52E57"/>
    <w:rsid w:val="5ED846F5"/>
    <w:rsid w:val="5EF17565"/>
    <w:rsid w:val="5F230066"/>
    <w:rsid w:val="5F3062DF"/>
    <w:rsid w:val="5F49114F"/>
    <w:rsid w:val="5F4C0CE2"/>
    <w:rsid w:val="5F700DD2"/>
    <w:rsid w:val="5F9C6D00"/>
    <w:rsid w:val="5FA56CCD"/>
    <w:rsid w:val="5FA6034F"/>
    <w:rsid w:val="5FB011CE"/>
    <w:rsid w:val="5FB639C5"/>
    <w:rsid w:val="5FBC7B73"/>
    <w:rsid w:val="5FCA6734"/>
    <w:rsid w:val="5FCD1D80"/>
    <w:rsid w:val="5FD70E51"/>
    <w:rsid w:val="5FEA4366"/>
    <w:rsid w:val="6008100A"/>
    <w:rsid w:val="602776E2"/>
    <w:rsid w:val="60355245"/>
    <w:rsid w:val="606D5311"/>
    <w:rsid w:val="606D70BF"/>
    <w:rsid w:val="60874625"/>
    <w:rsid w:val="60966616"/>
    <w:rsid w:val="60A800F7"/>
    <w:rsid w:val="60CB2763"/>
    <w:rsid w:val="60E406F3"/>
    <w:rsid w:val="60EB4BB4"/>
    <w:rsid w:val="610E2650"/>
    <w:rsid w:val="6115578D"/>
    <w:rsid w:val="613952DB"/>
    <w:rsid w:val="61565DA5"/>
    <w:rsid w:val="61812E22"/>
    <w:rsid w:val="618C17C7"/>
    <w:rsid w:val="619D39D4"/>
    <w:rsid w:val="61A42FB4"/>
    <w:rsid w:val="61A44D62"/>
    <w:rsid w:val="61BC3E5A"/>
    <w:rsid w:val="61D03DA9"/>
    <w:rsid w:val="61E909C7"/>
    <w:rsid w:val="61F96E5C"/>
    <w:rsid w:val="620A5975"/>
    <w:rsid w:val="621974FF"/>
    <w:rsid w:val="622B7232"/>
    <w:rsid w:val="62316234"/>
    <w:rsid w:val="623E6F65"/>
    <w:rsid w:val="625C73EB"/>
    <w:rsid w:val="626A7D5A"/>
    <w:rsid w:val="62816E52"/>
    <w:rsid w:val="62943029"/>
    <w:rsid w:val="62AC0373"/>
    <w:rsid w:val="62BC258B"/>
    <w:rsid w:val="62C21944"/>
    <w:rsid w:val="62C25F77"/>
    <w:rsid w:val="62CC6257"/>
    <w:rsid w:val="62E573E1"/>
    <w:rsid w:val="6300421A"/>
    <w:rsid w:val="630261E5"/>
    <w:rsid w:val="630930CF"/>
    <w:rsid w:val="63166058"/>
    <w:rsid w:val="63312626"/>
    <w:rsid w:val="63421592"/>
    <w:rsid w:val="63473BF7"/>
    <w:rsid w:val="639F57E1"/>
    <w:rsid w:val="63B82D47"/>
    <w:rsid w:val="63DC07E4"/>
    <w:rsid w:val="63F1728F"/>
    <w:rsid w:val="64032214"/>
    <w:rsid w:val="64377E5D"/>
    <w:rsid w:val="645A795A"/>
    <w:rsid w:val="6477050C"/>
    <w:rsid w:val="647D0EAD"/>
    <w:rsid w:val="648B7C76"/>
    <w:rsid w:val="64947310"/>
    <w:rsid w:val="6497295D"/>
    <w:rsid w:val="64AC28AC"/>
    <w:rsid w:val="64BD0930"/>
    <w:rsid w:val="64BE438D"/>
    <w:rsid w:val="64CA39A1"/>
    <w:rsid w:val="64CB7B8C"/>
    <w:rsid w:val="64CF0348"/>
    <w:rsid w:val="64FE478A"/>
    <w:rsid w:val="65102E3B"/>
    <w:rsid w:val="651E4E2C"/>
    <w:rsid w:val="65206DF6"/>
    <w:rsid w:val="65314B5F"/>
    <w:rsid w:val="65401246"/>
    <w:rsid w:val="654725D5"/>
    <w:rsid w:val="65532D27"/>
    <w:rsid w:val="6556702D"/>
    <w:rsid w:val="657D7DA4"/>
    <w:rsid w:val="658D448B"/>
    <w:rsid w:val="65D976D1"/>
    <w:rsid w:val="65F938CF"/>
    <w:rsid w:val="660A5ADC"/>
    <w:rsid w:val="660B715E"/>
    <w:rsid w:val="662326FA"/>
    <w:rsid w:val="66236B9E"/>
    <w:rsid w:val="662621EA"/>
    <w:rsid w:val="662B5A52"/>
    <w:rsid w:val="663C7C5F"/>
    <w:rsid w:val="66552ACF"/>
    <w:rsid w:val="66573403"/>
    <w:rsid w:val="668F5FE1"/>
    <w:rsid w:val="6695111E"/>
    <w:rsid w:val="66B94E0C"/>
    <w:rsid w:val="66BC66AA"/>
    <w:rsid w:val="66CF63DE"/>
    <w:rsid w:val="66DF31EA"/>
    <w:rsid w:val="66F61BBC"/>
    <w:rsid w:val="66F67E0E"/>
    <w:rsid w:val="670C5884"/>
    <w:rsid w:val="67317098"/>
    <w:rsid w:val="674C7A2E"/>
    <w:rsid w:val="675863D3"/>
    <w:rsid w:val="6760172C"/>
    <w:rsid w:val="67717495"/>
    <w:rsid w:val="677671A1"/>
    <w:rsid w:val="677A6041"/>
    <w:rsid w:val="67852F40"/>
    <w:rsid w:val="67917B37"/>
    <w:rsid w:val="6799348B"/>
    <w:rsid w:val="67A7735B"/>
    <w:rsid w:val="67A93FAD"/>
    <w:rsid w:val="67B35CFF"/>
    <w:rsid w:val="67BD26DA"/>
    <w:rsid w:val="67C021CA"/>
    <w:rsid w:val="67CC6DC1"/>
    <w:rsid w:val="67E73BFB"/>
    <w:rsid w:val="67F00D02"/>
    <w:rsid w:val="67F24A7A"/>
    <w:rsid w:val="67F307F2"/>
    <w:rsid w:val="67FC1454"/>
    <w:rsid w:val="681006DF"/>
    <w:rsid w:val="682210BA"/>
    <w:rsid w:val="68386205"/>
    <w:rsid w:val="68437083"/>
    <w:rsid w:val="6848469A"/>
    <w:rsid w:val="685E210F"/>
    <w:rsid w:val="685E3EBD"/>
    <w:rsid w:val="6890541F"/>
    <w:rsid w:val="68B24209"/>
    <w:rsid w:val="68CD4B9F"/>
    <w:rsid w:val="690E58E3"/>
    <w:rsid w:val="69146C72"/>
    <w:rsid w:val="693D7F76"/>
    <w:rsid w:val="69616496"/>
    <w:rsid w:val="696F20FA"/>
    <w:rsid w:val="69821E2D"/>
    <w:rsid w:val="69C67F6C"/>
    <w:rsid w:val="6A4B221F"/>
    <w:rsid w:val="6A570BC4"/>
    <w:rsid w:val="6A7E25F5"/>
    <w:rsid w:val="6A9C0CCD"/>
    <w:rsid w:val="6AAB53B4"/>
    <w:rsid w:val="6AAE27AE"/>
    <w:rsid w:val="6B513865"/>
    <w:rsid w:val="6B533A81"/>
    <w:rsid w:val="6B560E7C"/>
    <w:rsid w:val="6B7808B6"/>
    <w:rsid w:val="6B8C2AEF"/>
    <w:rsid w:val="6B9320D0"/>
    <w:rsid w:val="6BA50055"/>
    <w:rsid w:val="6BC56001"/>
    <w:rsid w:val="6BC607F4"/>
    <w:rsid w:val="6BD821D8"/>
    <w:rsid w:val="6BDA09CA"/>
    <w:rsid w:val="6BE566A3"/>
    <w:rsid w:val="6BF84629"/>
    <w:rsid w:val="6C060AF4"/>
    <w:rsid w:val="6C0703C8"/>
    <w:rsid w:val="6C4A05C8"/>
    <w:rsid w:val="6C81017A"/>
    <w:rsid w:val="6CB0280D"/>
    <w:rsid w:val="6CD2044B"/>
    <w:rsid w:val="6CD209D6"/>
    <w:rsid w:val="6D003795"/>
    <w:rsid w:val="6D4A4A10"/>
    <w:rsid w:val="6D5835D1"/>
    <w:rsid w:val="6D605FE2"/>
    <w:rsid w:val="6D657A9C"/>
    <w:rsid w:val="6D6830E8"/>
    <w:rsid w:val="6D9263B7"/>
    <w:rsid w:val="6DA1177B"/>
    <w:rsid w:val="6DAC1227"/>
    <w:rsid w:val="6DB63E53"/>
    <w:rsid w:val="6DE94229"/>
    <w:rsid w:val="6E1D0376"/>
    <w:rsid w:val="6E276AFF"/>
    <w:rsid w:val="6E66587A"/>
    <w:rsid w:val="6E737472"/>
    <w:rsid w:val="6E867CCA"/>
    <w:rsid w:val="6E947DEA"/>
    <w:rsid w:val="6E9F59CC"/>
    <w:rsid w:val="6EA6036C"/>
    <w:rsid w:val="6EAB3BD4"/>
    <w:rsid w:val="6EB34837"/>
    <w:rsid w:val="6ECB1B80"/>
    <w:rsid w:val="6EF530A1"/>
    <w:rsid w:val="6F084B83"/>
    <w:rsid w:val="6F171A18"/>
    <w:rsid w:val="6F286FD3"/>
    <w:rsid w:val="6F5558EE"/>
    <w:rsid w:val="6F5C0A2B"/>
    <w:rsid w:val="6F63625D"/>
    <w:rsid w:val="6F810491"/>
    <w:rsid w:val="6FA938B1"/>
    <w:rsid w:val="6FAF4FFE"/>
    <w:rsid w:val="6FB645DF"/>
    <w:rsid w:val="6FC54822"/>
    <w:rsid w:val="6FD44A65"/>
    <w:rsid w:val="6FD74555"/>
    <w:rsid w:val="70052E70"/>
    <w:rsid w:val="70056B7A"/>
    <w:rsid w:val="701E3F32"/>
    <w:rsid w:val="70252512"/>
    <w:rsid w:val="70335C2F"/>
    <w:rsid w:val="70343755"/>
    <w:rsid w:val="703B0F88"/>
    <w:rsid w:val="70425E72"/>
    <w:rsid w:val="70862203"/>
    <w:rsid w:val="708B5A6B"/>
    <w:rsid w:val="70CB40BA"/>
    <w:rsid w:val="70D07922"/>
    <w:rsid w:val="70DB6AE9"/>
    <w:rsid w:val="70F775DE"/>
    <w:rsid w:val="70FD7FEB"/>
    <w:rsid w:val="71145EF1"/>
    <w:rsid w:val="713C664E"/>
    <w:rsid w:val="714D0F73"/>
    <w:rsid w:val="717402AD"/>
    <w:rsid w:val="71836DB5"/>
    <w:rsid w:val="71B6018D"/>
    <w:rsid w:val="71C034F3"/>
    <w:rsid w:val="71C50B09"/>
    <w:rsid w:val="71E33685"/>
    <w:rsid w:val="71F10299"/>
    <w:rsid w:val="72021D5D"/>
    <w:rsid w:val="72161365"/>
    <w:rsid w:val="7218332F"/>
    <w:rsid w:val="721D26F3"/>
    <w:rsid w:val="72404633"/>
    <w:rsid w:val="72614A63"/>
    <w:rsid w:val="72734D90"/>
    <w:rsid w:val="7289422C"/>
    <w:rsid w:val="72A76461"/>
    <w:rsid w:val="72BA2638"/>
    <w:rsid w:val="72CC5EC7"/>
    <w:rsid w:val="72E15E16"/>
    <w:rsid w:val="72FD42D3"/>
    <w:rsid w:val="73117D7E"/>
    <w:rsid w:val="73380992"/>
    <w:rsid w:val="733C4DFB"/>
    <w:rsid w:val="73520AC2"/>
    <w:rsid w:val="73552361"/>
    <w:rsid w:val="738D5656"/>
    <w:rsid w:val="740A4EF9"/>
    <w:rsid w:val="741713C4"/>
    <w:rsid w:val="74251D33"/>
    <w:rsid w:val="744178EA"/>
    <w:rsid w:val="745B7503"/>
    <w:rsid w:val="74650381"/>
    <w:rsid w:val="749D3FBF"/>
    <w:rsid w:val="74AE7F7A"/>
    <w:rsid w:val="74BA06CD"/>
    <w:rsid w:val="74D13C69"/>
    <w:rsid w:val="74DB0643"/>
    <w:rsid w:val="74E366CA"/>
    <w:rsid w:val="74FA6D1C"/>
    <w:rsid w:val="75210502"/>
    <w:rsid w:val="7521074C"/>
    <w:rsid w:val="75226272"/>
    <w:rsid w:val="75662603"/>
    <w:rsid w:val="758807CB"/>
    <w:rsid w:val="75DE488F"/>
    <w:rsid w:val="75E654F2"/>
    <w:rsid w:val="760D0CD1"/>
    <w:rsid w:val="76391AC6"/>
    <w:rsid w:val="76564426"/>
    <w:rsid w:val="76595CC4"/>
    <w:rsid w:val="767108F1"/>
    <w:rsid w:val="76767CB6"/>
    <w:rsid w:val="76946CFC"/>
    <w:rsid w:val="76A41635"/>
    <w:rsid w:val="76A7748B"/>
    <w:rsid w:val="76AA29C3"/>
    <w:rsid w:val="76AE4262"/>
    <w:rsid w:val="76D87530"/>
    <w:rsid w:val="76DF266D"/>
    <w:rsid w:val="7726029C"/>
    <w:rsid w:val="77674410"/>
    <w:rsid w:val="77770AF7"/>
    <w:rsid w:val="77784870"/>
    <w:rsid w:val="77903967"/>
    <w:rsid w:val="779C40BA"/>
    <w:rsid w:val="77A13DC6"/>
    <w:rsid w:val="77AF64E3"/>
    <w:rsid w:val="77B358A8"/>
    <w:rsid w:val="77BC475C"/>
    <w:rsid w:val="77C74EAF"/>
    <w:rsid w:val="77DE46D3"/>
    <w:rsid w:val="77EB3293"/>
    <w:rsid w:val="77F04406"/>
    <w:rsid w:val="78306EF8"/>
    <w:rsid w:val="784604CA"/>
    <w:rsid w:val="784D7AAA"/>
    <w:rsid w:val="78944E1E"/>
    <w:rsid w:val="78A31478"/>
    <w:rsid w:val="78A51694"/>
    <w:rsid w:val="78A70F68"/>
    <w:rsid w:val="793622EC"/>
    <w:rsid w:val="79442C5B"/>
    <w:rsid w:val="79461F0D"/>
    <w:rsid w:val="794964C4"/>
    <w:rsid w:val="79552D62"/>
    <w:rsid w:val="79B24069"/>
    <w:rsid w:val="79E7B28D"/>
    <w:rsid w:val="79EF30B0"/>
    <w:rsid w:val="7A173ECC"/>
    <w:rsid w:val="7A7632E8"/>
    <w:rsid w:val="7A7C6425"/>
    <w:rsid w:val="7A813A3B"/>
    <w:rsid w:val="7AC53928"/>
    <w:rsid w:val="7ACC2F08"/>
    <w:rsid w:val="7B002BB2"/>
    <w:rsid w:val="7B024B7C"/>
    <w:rsid w:val="7B4A207F"/>
    <w:rsid w:val="7B871525"/>
    <w:rsid w:val="7B8A691F"/>
    <w:rsid w:val="7B8C2698"/>
    <w:rsid w:val="7B917CAE"/>
    <w:rsid w:val="7B95154C"/>
    <w:rsid w:val="7B9652C4"/>
    <w:rsid w:val="7BDA04DC"/>
    <w:rsid w:val="7BDC332C"/>
    <w:rsid w:val="7BDF4EBD"/>
    <w:rsid w:val="7BED75DA"/>
    <w:rsid w:val="7BF1074D"/>
    <w:rsid w:val="7C0B3F04"/>
    <w:rsid w:val="7C134B67"/>
    <w:rsid w:val="7C372603"/>
    <w:rsid w:val="7C460A98"/>
    <w:rsid w:val="7C52743D"/>
    <w:rsid w:val="7C541407"/>
    <w:rsid w:val="7C794503"/>
    <w:rsid w:val="7C887303"/>
    <w:rsid w:val="7C943EFA"/>
    <w:rsid w:val="7CAD4FBB"/>
    <w:rsid w:val="7CB016DA"/>
    <w:rsid w:val="7CC876FF"/>
    <w:rsid w:val="7CE27F91"/>
    <w:rsid w:val="7D00333D"/>
    <w:rsid w:val="7D0C7F34"/>
    <w:rsid w:val="7D172435"/>
    <w:rsid w:val="7D2012E9"/>
    <w:rsid w:val="7D23702C"/>
    <w:rsid w:val="7D2708CA"/>
    <w:rsid w:val="7D2863F0"/>
    <w:rsid w:val="7D3C7824"/>
    <w:rsid w:val="7D697134"/>
    <w:rsid w:val="7D7E4262"/>
    <w:rsid w:val="7DA20010"/>
    <w:rsid w:val="7DC44AEB"/>
    <w:rsid w:val="7DEA358E"/>
    <w:rsid w:val="7DEB18F7"/>
    <w:rsid w:val="7DFC3B04"/>
    <w:rsid w:val="7E3F7E95"/>
    <w:rsid w:val="7E4159BB"/>
    <w:rsid w:val="7E492AC2"/>
    <w:rsid w:val="7E531884"/>
    <w:rsid w:val="7E576F8D"/>
    <w:rsid w:val="7E5A6A7D"/>
    <w:rsid w:val="7E722019"/>
    <w:rsid w:val="7E795211"/>
    <w:rsid w:val="7E865AC4"/>
    <w:rsid w:val="7E8D35DF"/>
    <w:rsid w:val="7E9755DB"/>
    <w:rsid w:val="7EA63A70"/>
    <w:rsid w:val="7EA67F14"/>
    <w:rsid w:val="7EC34622"/>
    <w:rsid w:val="7ECB1729"/>
    <w:rsid w:val="7EE15DC9"/>
    <w:rsid w:val="7EF02F3D"/>
    <w:rsid w:val="7EFC7B34"/>
    <w:rsid w:val="7F1906E6"/>
    <w:rsid w:val="7F1B7FBA"/>
    <w:rsid w:val="7F203823"/>
    <w:rsid w:val="7F286B7B"/>
    <w:rsid w:val="7F2A46A1"/>
    <w:rsid w:val="7F686F78"/>
    <w:rsid w:val="7F8F09A8"/>
    <w:rsid w:val="7F9F20EE"/>
    <w:rsid w:val="7FAE7080"/>
    <w:rsid w:val="7FB0104A"/>
    <w:rsid w:val="7FCA19E0"/>
    <w:rsid w:val="7FCB5E84"/>
    <w:rsid w:val="7FDD1714"/>
    <w:rsid w:val="7FF151BF"/>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6"/>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BodyText1I2"/>
    <w:basedOn w:val="3"/>
    <w:qFormat/>
    <w:uiPriority w:val="0"/>
    <w:pPr>
      <w:ind w:firstLine="200" w:firstLineChars="200"/>
    </w:pPr>
  </w:style>
  <w:style w:type="paragraph" w:customStyle="1" w:styleId="3">
    <w:name w:val="BodyTextIndent"/>
    <w:basedOn w:val="1"/>
    <w:qFormat/>
    <w:uiPriority w:val="0"/>
    <w:pPr>
      <w:ind w:left="200" w:leftChars="200"/>
    </w:pPr>
  </w:style>
  <w:style w:type="paragraph" w:styleId="7">
    <w:name w:val="Body Text"/>
    <w:basedOn w:val="1"/>
    <w:link w:val="27"/>
    <w:qFormat/>
    <w:uiPriority w:val="99"/>
    <w:pPr>
      <w:spacing w:beforeLines="30"/>
    </w:pPr>
    <w:rPr>
      <w:rFonts w:ascii="仿宋_GB2312" w:eastAsia="仿宋_GB2312"/>
      <w:kern w:val="0"/>
      <w:sz w:val="30"/>
    </w:rPr>
  </w:style>
  <w:style w:type="paragraph" w:styleId="8">
    <w:name w:val="Body Text Indent"/>
    <w:basedOn w:val="1"/>
    <w:next w:val="9"/>
    <w:unhideWhenUsed/>
    <w:qFormat/>
    <w:uiPriority w:val="99"/>
    <w:pPr>
      <w:spacing w:after="120"/>
      <w:ind w:left="420" w:leftChars="200"/>
    </w:pPr>
  </w:style>
  <w:style w:type="paragraph" w:styleId="9">
    <w:name w:val="Body Text Indent 2"/>
    <w:basedOn w:val="1"/>
    <w:qFormat/>
    <w:uiPriority w:val="0"/>
    <w:pPr>
      <w:ind w:firstLine="420" w:firstLineChars="200"/>
    </w:pPr>
  </w:style>
  <w:style w:type="paragraph" w:styleId="10">
    <w:name w:val="toc 3"/>
    <w:basedOn w:val="1"/>
    <w:next w:val="1"/>
    <w:unhideWhenUsed/>
    <w:qFormat/>
    <w:uiPriority w:val="39"/>
    <w:pPr>
      <w:tabs>
        <w:tab w:val="right" w:leader="dot" w:pos="8296"/>
      </w:tabs>
      <w:ind w:left="840" w:leftChars="400"/>
    </w:pPr>
  </w:style>
  <w:style w:type="paragraph" w:styleId="11">
    <w:name w:val="Balloon Text"/>
    <w:basedOn w:val="1"/>
    <w:link w:val="33"/>
    <w:semiHidden/>
    <w:unhideWhenUsed/>
    <w:qFormat/>
    <w:uiPriority w:val="99"/>
    <w:rPr>
      <w:sz w:val="18"/>
      <w:szCs w:val="18"/>
    </w:rPr>
  </w:style>
  <w:style w:type="paragraph" w:styleId="12">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3">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4">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5">
    <w:name w:val="toc 2"/>
    <w:basedOn w:val="1"/>
    <w:next w:val="1"/>
    <w:unhideWhenUsed/>
    <w:qFormat/>
    <w:uiPriority w:val="39"/>
    <w:pPr>
      <w:tabs>
        <w:tab w:val="right" w:leader="dot" w:pos="8296"/>
      </w:tabs>
      <w:ind w:left="420" w:leftChars="200"/>
    </w:p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7">
    <w:name w:val="Body Text First Indent 2"/>
    <w:basedOn w:val="8"/>
    <w:next w:val="1"/>
    <w:unhideWhenUsed/>
    <w:qFormat/>
    <w:uiPriority w:val="99"/>
    <w:pPr>
      <w:ind w:firstLine="420" w:firstLineChars="200"/>
    </w:pPr>
  </w:style>
  <w:style w:type="character" w:styleId="20">
    <w:name w:val="Strong"/>
    <w:basedOn w:val="19"/>
    <w:qFormat/>
    <w:uiPriority w:val="99"/>
    <w:rPr>
      <w:b/>
    </w:rPr>
  </w:style>
  <w:style w:type="character" w:styleId="21">
    <w:name w:val="Hyperlink"/>
    <w:basedOn w:val="19"/>
    <w:unhideWhenUsed/>
    <w:qFormat/>
    <w:uiPriority w:val="99"/>
    <w:rPr>
      <w:color w:val="0000FF" w:themeColor="hyperlink"/>
      <w:u w:val="single"/>
      <w14:textFill>
        <w14:solidFill>
          <w14:schemeClr w14:val="hlink"/>
        </w14:solidFill>
      </w14:textFill>
    </w:rPr>
  </w:style>
  <w:style w:type="character" w:customStyle="1" w:styleId="22">
    <w:name w:val="Header Char"/>
    <w:basedOn w:val="19"/>
    <w:semiHidden/>
    <w:qFormat/>
    <w:uiPriority w:val="99"/>
    <w:rPr>
      <w:rFonts w:ascii="Times New Roman" w:hAnsi="Times New Roman"/>
      <w:sz w:val="18"/>
      <w:szCs w:val="18"/>
    </w:rPr>
  </w:style>
  <w:style w:type="character" w:customStyle="1" w:styleId="23">
    <w:name w:val="页眉 Char"/>
    <w:link w:val="13"/>
    <w:semiHidden/>
    <w:qFormat/>
    <w:locked/>
    <w:uiPriority w:val="99"/>
    <w:rPr>
      <w:sz w:val="18"/>
    </w:rPr>
  </w:style>
  <w:style w:type="character" w:customStyle="1" w:styleId="24">
    <w:name w:val="Footer Char"/>
    <w:basedOn w:val="19"/>
    <w:semiHidden/>
    <w:qFormat/>
    <w:uiPriority w:val="99"/>
    <w:rPr>
      <w:rFonts w:ascii="Times New Roman" w:hAnsi="Times New Roman"/>
      <w:sz w:val="18"/>
      <w:szCs w:val="18"/>
    </w:rPr>
  </w:style>
  <w:style w:type="character" w:customStyle="1" w:styleId="25">
    <w:name w:val="页脚 Char"/>
    <w:link w:val="12"/>
    <w:qFormat/>
    <w:locked/>
    <w:uiPriority w:val="99"/>
    <w:rPr>
      <w:sz w:val="18"/>
    </w:rPr>
  </w:style>
  <w:style w:type="character" w:customStyle="1" w:styleId="26">
    <w:name w:val="Body Text Char"/>
    <w:basedOn w:val="19"/>
    <w:semiHidden/>
    <w:qFormat/>
    <w:uiPriority w:val="99"/>
    <w:rPr>
      <w:rFonts w:ascii="Times New Roman" w:hAnsi="Times New Roman"/>
      <w:szCs w:val="24"/>
    </w:rPr>
  </w:style>
  <w:style w:type="character" w:customStyle="1" w:styleId="27">
    <w:name w:val="正文文本 Char"/>
    <w:link w:val="7"/>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9"/>
    <w:link w:val="4"/>
    <w:qFormat/>
    <w:uiPriority w:val="9"/>
    <w:rPr>
      <w:rFonts w:ascii="Times New Roman" w:hAnsi="Times New Roman"/>
      <w:b/>
      <w:bCs/>
      <w:kern w:val="44"/>
      <w:sz w:val="44"/>
      <w:szCs w:val="44"/>
    </w:rPr>
  </w:style>
  <w:style w:type="character" w:customStyle="1" w:styleId="31">
    <w:name w:val="标题 2 Char"/>
    <w:basedOn w:val="19"/>
    <w:link w:val="5"/>
    <w:qFormat/>
    <w:uiPriority w:val="9"/>
    <w:rPr>
      <w:rFonts w:asciiTheme="majorHAnsi" w:hAnsiTheme="majorHAnsi" w:eastAsiaTheme="majorEastAsia" w:cstheme="majorBidi"/>
      <w:b/>
      <w:bCs/>
      <w:kern w:val="2"/>
      <w:sz w:val="32"/>
      <w:szCs w:val="32"/>
    </w:rPr>
  </w:style>
  <w:style w:type="paragraph" w:customStyle="1" w:styleId="32">
    <w:name w:val="TOC 标题1"/>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9"/>
    <w:link w:val="11"/>
    <w:semiHidden/>
    <w:qFormat/>
    <w:uiPriority w:val="99"/>
    <w:rPr>
      <w:rFonts w:ascii="Times New Roman" w:hAnsi="Times New Roman"/>
      <w:kern w:val="2"/>
      <w:sz w:val="18"/>
      <w:szCs w:val="18"/>
    </w:rPr>
  </w:style>
  <w:style w:type="character" w:customStyle="1" w:styleId="34">
    <w:name w:val="标题 3 Char"/>
    <w:basedOn w:val="19"/>
    <w:link w:val="6"/>
    <w:qFormat/>
    <w:uiPriority w:val="9"/>
    <w:rPr>
      <w:rFonts w:ascii="Times New Roman" w:hAnsi="Times New Roman"/>
      <w:b/>
      <w:bCs/>
      <w:kern w:val="2"/>
      <w:sz w:val="32"/>
      <w:szCs w:val="32"/>
    </w:rPr>
  </w:style>
  <w:style w:type="paragraph" w:customStyle="1" w:styleId="35">
    <w:name w:val="TOC Heading"/>
    <w:basedOn w:val="4"/>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6">
    <w:name w:val=" Char Char6"/>
    <w:basedOn w:val="19"/>
    <w:link w:val="4"/>
    <w:qFormat/>
    <w:locked/>
    <w:uiPriority w:val="9"/>
    <w:rPr>
      <w:rFonts w:ascii="Times New Roman" w:hAnsi="Times New Roman" w:cs="Times New Roman"/>
      <w:b/>
      <w:bCs/>
      <w:kern w:val="44"/>
      <w:sz w:val="44"/>
      <w:szCs w:val="44"/>
    </w:rPr>
  </w:style>
  <w:style w:type="paragraph" w:customStyle="1" w:styleId="37">
    <w:name w:val="WPSOffice手动目录 1"/>
    <w:qFormat/>
    <w:uiPriority w:val="0"/>
    <w:pPr>
      <w:ind w:leftChars="0"/>
    </w:pPr>
    <w:rPr>
      <w:rFonts w:asciiTheme="minorHAnsi" w:hAnsiTheme="minorHAnsi" w:eastAsiaTheme="minorEastAsia" w:cstheme="minorBidi"/>
      <w:sz w:val="20"/>
      <w:szCs w:val="20"/>
    </w:rPr>
  </w:style>
  <w:style w:type="paragraph" w:customStyle="1" w:styleId="38">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7.emf"/><Relationship Id="rId25" Type="http://schemas.openxmlformats.org/officeDocument/2006/relationships/oleObject" Target="embeddings/oleObject7.bin"/><Relationship Id="rId24" Type="http://schemas.openxmlformats.org/officeDocument/2006/relationships/image" Target="media/image6.emf"/><Relationship Id="rId23" Type="http://schemas.openxmlformats.org/officeDocument/2006/relationships/oleObject" Target="embeddings/oleObject6.bin"/><Relationship Id="rId22" Type="http://schemas.openxmlformats.org/officeDocument/2006/relationships/image" Target="media/image5.emf"/><Relationship Id="rId21" Type="http://schemas.openxmlformats.org/officeDocument/2006/relationships/oleObject" Target="embeddings/oleObject5.bin"/><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oleObject" Target="embeddings/oleObject4.bin"/><Relationship Id="rId18" Type="http://schemas.openxmlformats.org/officeDocument/2006/relationships/image" Target="media/image3.emf"/><Relationship Id="rId17" Type="http://schemas.openxmlformats.org/officeDocument/2006/relationships/oleObject" Target="embeddings/oleObject3.bin"/><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17</Pages>
  <Words>6049</Words>
  <Characters>6625</Characters>
  <Lines>61</Lines>
  <Paragraphs>17</Paragraphs>
  <TotalTime>0</TotalTime>
  <ScaleCrop>false</ScaleCrop>
  <LinksUpToDate>false</LinksUpToDate>
  <CharactersWithSpaces>6842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昭化融媒体</cp:lastModifiedBy>
  <cp:lastPrinted>2022-08-06T02:23:00Z</cp:lastPrinted>
  <dcterms:modified xsi:type="dcterms:W3CDTF">2024-12-19T03:18:52Z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982AF79B7D7B4CE58DB7821AAD4EDFF8</vt:lpwstr>
  </property>
  <property fmtid="{D5CDD505-2E9C-101B-9397-08002B2CF9AE}" pid="4" name="KSOTemplateDocerSaveRecord">
    <vt:lpwstr>eyJoZGlkIjoiMGVhYTg4NGNkZWJkODFjNzcyZDRjM2M4Y2UzNjI5ZmUiLCJ1c2VySWQiOiI2MTE2MzEwMDYifQ==</vt:lpwstr>
  </property>
</Properties>
</file>