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BD80B">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1B0A6C93">
      <w:pPr>
        <w:spacing w:line="600" w:lineRule="exact"/>
        <w:jc w:val="center"/>
        <w:outlineLvl w:val="0"/>
        <w:rPr>
          <w:rFonts w:ascii="方正小标宋简体" w:hAnsi="宋体" w:eastAsia="方正小标宋简体"/>
          <w:color w:val="auto"/>
          <w:sz w:val="72"/>
          <w:szCs w:val="72"/>
          <w:highlight w:val="none"/>
        </w:rPr>
      </w:pPr>
    </w:p>
    <w:p w14:paraId="68CCA532">
      <w:pPr>
        <w:spacing w:line="600" w:lineRule="exact"/>
        <w:jc w:val="center"/>
        <w:outlineLvl w:val="0"/>
        <w:rPr>
          <w:rFonts w:ascii="方正小标宋简体" w:hAnsi="宋体" w:eastAsia="方正小标宋简体"/>
          <w:color w:val="auto"/>
          <w:sz w:val="72"/>
          <w:szCs w:val="72"/>
          <w:highlight w:val="none"/>
        </w:rPr>
      </w:pPr>
    </w:p>
    <w:p w14:paraId="1BE7E849">
      <w:pPr>
        <w:spacing w:line="600" w:lineRule="exact"/>
        <w:jc w:val="center"/>
        <w:outlineLvl w:val="0"/>
        <w:rPr>
          <w:rFonts w:ascii="方正小标宋简体" w:hAnsi="宋体" w:eastAsia="方正小标宋简体"/>
          <w:color w:val="auto"/>
          <w:sz w:val="72"/>
          <w:szCs w:val="72"/>
          <w:highlight w:val="none"/>
        </w:rPr>
      </w:pPr>
    </w:p>
    <w:p w14:paraId="0E3D0B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1" w:name="_Toc15377425"/>
      <w:bookmarkStart w:id="2" w:name="_Toc15396475"/>
      <w:bookmarkStart w:id="3" w:name="_Toc15396597"/>
      <w:bookmarkStart w:id="4" w:name="_Toc15378441"/>
      <w:bookmarkStart w:id="5" w:name="_Toc15377193"/>
      <w:r>
        <w:rPr>
          <w:rFonts w:hint="eastAsia" w:ascii="方正小标宋简体" w:hAnsi="方正小标宋简体" w:eastAsia="方正小标宋简体" w:cs="方正小标宋简体"/>
          <w:color w:val="auto"/>
          <w:sz w:val="66"/>
          <w:szCs w:val="66"/>
          <w:highlight w:val="none"/>
        </w:rPr>
        <w:t>20</w:t>
      </w:r>
      <w:r>
        <w:rPr>
          <w:rFonts w:hint="eastAsia" w:ascii="方正小标宋简体" w:hAnsi="方正小标宋简体" w:eastAsia="方正小标宋简体" w:cs="方正小标宋简体"/>
          <w:color w:val="auto"/>
          <w:sz w:val="66"/>
          <w:szCs w:val="66"/>
          <w:highlight w:val="none"/>
          <w:lang w:val="en-US" w:eastAsia="zh-CN"/>
        </w:rPr>
        <w:t>21</w:t>
      </w:r>
      <w:r>
        <w:rPr>
          <w:rFonts w:hint="eastAsia" w:ascii="方正小标宋简体" w:hAnsi="方正小标宋简体" w:eastAsia="方正小标宋简体" w:cs="方正小标宋简体"/>
          <w:color w:val="auto"/>
          <w:sz w:val="66"/>
          <w:szCs w:val="66"/>
          <w:highlight w:val="none"/>
        </w:rPr>
        <w:t>年度</w:t>
      </w:r>
      <w:bookmarkEnd w:id="0"/>
      <w:bookmarkEnd w:id="1"/>
      <w:bookmarkEnd w:id="2"/>
      <w:bookmarkEnd w:id="3"/>
      <w:bookmarkEnd w:id="4"/>
      <w:bookmarkEnd w:id="5"/>
    </w:p>
    <w:p w14:paraId="286F8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bookmarkStart w:id="6" w:name="_Toc15377194"/>
      <w:bookmarkStart w:id="7" w:name="_Toc15377426"/>
      <w:bookmarkStart w:id="8" w:name="_Toc15378442"/>
      <w:bookmarkStart w:id="9" w:name="_Toc15306268"/>
      <w:bookmarkStart w:id="10" w:name="_Toc15396476"/>
      <w:bookmarkStart w:id="11" w:name="_Toc15396598"/>
      <w:r>
        <w:rPr>
          <w:rFonts w:hint="eastAsia" w:ascii="方正小标宋简体" w:hAnsi="方正小标宋简体" w:eastAsia="方正小标宋简体" w:cs="方正小标宋简体"/>
          <w:color w:val="auto"/>
          <w:sz w:val="66"/>
          <w:szCs w:val="66"/>
          <w:highlight w:val="none"/>
        </w:rPr>
        <w:t>中共四川省广元市昭化区委</w:t>
      </w:r>
    </w:p>
    <w:p w14:paraId="3A10F2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r>
        <w:rPr>
          <w:rFonts w:hint="eastAsia" w:ascii="方正小标宋简体" w:hAnsi="方正小标宋简体" w:eastAsia="方正小标宋简体" w:cs="方正小标宋简体"/>
          <w:color w:val="auto"/>
          <w:sz w:val="66"/>
          <w:szCs w:val="66"/>
          <w:highlight w:val="none"/>
        </w:rPr>
        <w:t>机构编制委员会办公室</w:t>
      </w:r>
    </w:p>
    <w:p w14:paraId="521F6C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66"/>
          <w:szCs w:val="66"/>
          <w:highlight w:val="none"/>
        </w:rPr>
      </w:pPr>
      <w:r>
        <w:rPr>
          <w:rFonts w:hint="eastAsia" w:ascii="方正小标宋简体" w:hAnsi="方正小标宋简体" w:eastAsia="方正小标宋简体" w:cs="方正小标宋简体"/>
          <w:color w:val="auto"/>
          <w:sz w:val="66"/>
          <w:szCs w:val="66"/>
          <w:highlight w:val="none"/>
        </w:rPr>
        <w:t>部门决算</w:t>
      </w:r>
      <w:bookmarkEnd w:id="6"/>
      <w:bookmarkEnd w:id="7"/>
      <w:bookmarkEnd w:id="8"/>
      <w:bookmarkEnd w:id="9"/>
      <w:bookmarkEnd w:id="10"/>
      <w:bookmarkEnd w:id="11"/>
    </w:p>
    <w:p w14:paraId="2E13BEFF">
      <w:pPr>
        <w:rPr>
          <w:rFonts w:hint="default"/>
        </w:rPr>
        <w:sectPr>
          <w:footerReference r:id="rId5" w:type="first"/>
          <w:headerReference r:id="rId3" w:type="default"/>
          <w:footerReference r:id="rId4" w:type="default"/>
          <w:pgSz w:w="11906" w:h="16838"/>
          <w:pgMar w:top="2098" w:right="1474" w:bottom="1984" w:left="1587" w:header="851" w:footer="1531" w:gutter="0"/>
          <w:pgNumType w:fmt="decimal" w:start="1"/>
          <w:cols w:space="0" w:num="1"/>
          <w:titlePg/>
          <w:rtlGutter w:val="0"/>
          <w:docGrid w:type="lines" w:linePitch="312" w:charSpace="0"/>
        </w:sectPr>
      </w:pPr>
    </w:p>
    <w:p w14:paraId="56EA8087">
      <w:pPr>
        <w:pStyle w:val="3"/>
        <w:jc w:val="center"/>
        <w:rPr>
          <w:rFonts w:hint="default" w:ascii="黑体" w:hAnsi="黑体" w:eastAsia="黑体" w:cs="Times New Roman"/>
          <w:b w:val="0"/>
          <w:bCs w:val="0"/>
          <w:color w:val="auto"/>
          <w:kern w:val="2"/>
          <w:sz w:val="48"/>
          <w:szCs w:val="48"/>
          <w:highlight w:val="none"/>
          <w:lang w:val="en-US" w:eastAsia="zh-CN" w:bidi="ar-SA"/>
        </w:rPr>
      </w:pPr>
      <w:r>
        <w:rPr>
          <w:rFonts w:hint="default" w:ascii="黑体" w:hAnsi="黑体" w:eastAsia="黑体" w:cs="Times New Roman"/>
          <w:b w:val="0"/>
          <w:bCs w:val="0"/>
          <w:color w:val="auto"/>
          <w:kern w:val="2"/>
          <w:sz w:val="48"/>
          <w:szCs w:val="48"/>
          <w:highlight w:val="none"/>
          <w:lang w:val="en-US" w:eastAsia="zh-CN" w:bidi="ar-SA"/>
        </w:rPr>
        <w:t>目录</w:t>
      </w:r>
    </w:p>
    <w:p w14:paraId="3459CB1D">
      <w:pPr>
        <w:keepNext w:val="0"/>
        <w:keepLines w:val="0"/>
        <w:pageBreakBefore w:val="0"/>
        <w:widowControl w:val="0"/>
        <w:kinsoku/>
        <w:wordWrap/>
        <w:overflowPunct/>
        <w:topLinePunct w:val="0"/>
        <w:autoSpaceDE/>
        <w:autoSpaceDN/>
        <w:bidi w:val="0"/>
        <w:spacing w:line="576" w:lineRule="exact"/>
        <w:ind w:left="0" w:leftChars="0" w:right="0" w:firstLine="420" w:firstLineChars="200"/>
        <w:jc w:val="both"/>
        <w:textAlignment w:val="auto"/>
        <w:rPr>
          <w:rFonts w:hint="default" w:ascii="Times New Roman" w:hAnsi="Times New Roman" w:cs="Times New Roman"/>
          <w:color w:val="auto"/>
          <w:highlight w:val="none"/>
        </w:rPr>
      </w:pPr>
    </w:p>
    <w:p w14:paraId="43493959">
      <w:pPr>
        <w:pStyle w:val="11"/>
        <w:adjustRightInd w:val="0"/>
        <w:snapToGrid w:val="0"/>
        <w:spacing w:before="0" w:line="440" w:lineRule="exact"/>
        <w:jc w:val="left"/>
        <w:rPr>
          <w:rFonts w:hint="default"/>
          <w:color w:val="auto"/>
          <w:sz w:val="24"/>
          <w:highlight w:val="none"/>
          <w:lang w:val="en-US" w:eastAsia="zh-CN"/>
        </w:rPr>
      </w:pPr>
      <w:r>
        <w:rPr>
          <w:rFonts w:hint="eastAsia"/>
          <w:color w:val="auto"/>
          <w:sz w:val="24"/>
          <w:highlight w:val="none"/>
        </w:rPr>
        <w:t xml:space="preserve">第一部分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eastAsia="zh-CN"/>
        </w:rPr>
        <w:t>…………………………………………………</w:t>
      </w:r>
      <w:r>
        <w:rPr>
          <w:rFonts w:hint="eastAsia"/>
          <w:color w:val="auto"/>
          <w:sz w:val="24"/>
          <w:highlight w:val="none"/>
          <w:lang w:val="en-US" w:eastAsia="zh-CN"/>
        </w:rPr>
        <w:t>1</w:t>
      </w:r>
    </w:p>
    <w:p w14:paraId="5E628058">
      <w:pPr>
        <w:pStyle w:val="12"/>
        <w:adjustRightInd w:val="0"/>
        <w:snapToGrid w:val="0"/>
        <w:spacing w:line="440" w:lineRule="exact"/>
        <w:jc w:val="left"/>
        <w:rPr>
          <w:rFonts w:hint="eastAsia" w:eastAsia="宋体"/>
          <w:color w:val="auto"/>
          <w:sz w:val="24"/>
          <w:highlight w:val="none"/>
          <w:lang w:val="en-US" w:eastAsia="zh-CN"/>
        </w:rPr>
      </w:pPr>
      <w:r>
        <w:rPr>
          <w:rFonts w:hint="default" w:eastAsia="宋体"/>
          <w:color w:val="auto"/>
          <w:sz w:val="24"/>
          <w:highlight w:val="none"/>
        </w:rPr>
        <w:t>一、职能</w:t>
      </w:r>
      <w:r>
        <w:rPr>
          <w:rFonts w:hint="default" w:eastAsia="宋体"/>
          <w:color w:val="auto"/>
          <w:sz w:val="24"/>
          <w:highlight w:val="none"/>
          <w:lang w:eastAsia="zh-CN"/>
        </w:rPr>
        <w:t>简介</w:t>
      </w:r>
      <w:r>
        <w:rPr>
          <w:rFonts w:hint="eastAsia" w:eastAsia="宋体"/>
          <w:color w:val="auto"/>
          <w:sz w:val="24"/>
          <w:highlight w:val="none"/>
          <w:lang w:eastAsia="zh-CN"/>
        </w:rPr>
        <w:t>……………………………………………………</w:t>
      </w:r>
      <w:r>
        <w:rPr>
          <w:rFonts w:hint="eastAsia" w:eastAsia="宋体"/>
          <w:color w:val="auto"/>
          <w:sz w:val="24"/>
          <w:highlight w:val="none"/>
          <w:lang w:val="en-US" w:eastAsia="zh-CN"/>
        </w:rPr>
        <w:t>1</w:t>
      </w:r>
    </w:p>
    <w:p w14:paraId="24958F00">
      <w:pPr>
        <w:pStyle w:val="12"/>
        <w:adjustRightInd w:val="0"/>
        <w:snapToGrid w:val="0"/>
        <w:spacing w:line="440" w:lineRule="exact"/>
        <w:jc w:val="left"/>
        <w:rPr>
          <w:rFonts w:hint="default"/>
          <w:lang w:val="en-US" w:eastAsia="zh-CN"/>
        </w:rPr>
      </w:pPr>
      <w:r>
        <w:rPr>
          <w:rFonts w:hint="eastAsia"/>
          <w:color w:val="auto"/>
          <w:sz w:val="24"/>
          <w:highlight w:val="none"/>
          <w:lang w:val="en-US" w:eastAsia="zh-CN"/>
        </w:rPr>
        <w:t>二、机构设置情况</w:t>
      </w:r>
      <w:r>
        <w:rPr>
          <w:rFonts w:hint="eastAsia" w:eastAsia="宋体"/>
          <w:color w:val="auto"/>
          <w:sz w:val="24"/>
          <w:highlight w:val="none"/>
          <w:lang w:eastAsia="zh-CN"/>
        </w:rPr>
        <w:t>………………………………………………</w:t>
      </w:r>
      <w:r>
        <w:rPr>
          <w:rFonts w:hint="eastAsia" w:eastAsia="宋体"/>
          <w:color w:val="auto"/>
          <w:sz w:val="24"/>
          <w:highlight w:val="none"/>
          <w:lang w:val="en-US" w:eastAsia="zh-CN"/>
        </w:rPr>
        <w:t>2</w:t>
      </w:r>
    </w:p>
    <w:p w14:paraId="2B22305A">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lang w:eastAsia="zh-CN"/>
        </w:rPr>
        <w:t>三</w:t>
      </w:r>
      <w:r>
        <w:rPr>
          <w:rFonts w:hint="default" w:eastAsia="宋体"/>
          <w:color w:val="auto"/>
          <w:sz w:val="24"/>
          <w:highlight w:val="none"/>
          <w:lang w:eastAsia="zh-CN"/>
        </w:rPr>
        <w:t>、</w:t>
      </w:r>
      <w:r>
        <w:rPr>
          <w:rFonts w:hint="default" w:eastAsia="宋体"/>
          <w:color w:val="auto"/>
          <w:sz w:val="24"/>
          <w:highlight w:val="none"/>
          <w:lang w:val="en-US" w:eastAsia="zh-CN"/>
        </w:rPr>
        <w:t>2021年重点</w:t>
      </w:r>
      <w:r>
        <w:rPr>
          <w:rFonts w:hint="default" w:eastAsia="宋体"/>
          <w:color w:val="auto"/>
          <w:sz w:val="24"/>
          <w:highlight w:val="none"/>
        </w:rPr>
        <w:t>工作</w:t>
      </w:r>
      <w:r>
        <w:rPr>
          <w:rFonts w:hint="default" w:eastAsia="宋体"/>
          <w:color w:val="auto"/>
          <w:sz w:val="24"/>
          <w:highlight w:val="none"/>
          <w:lang w:eastAsia="zh-CN"/>
        </w:rPr>
        <w:t>完成情况</w:t>
      </w:r>
      <w:r>
        <w:rPr>
          <w:rFonts w:hint="eastAsia" w:eastAsia="宋体"/>
          <w:color w:val="auto"/>
          <w:sz w:val="24"/>
          <w:highlight w:val="none"/>
          <w:lang w:eastAsia="zh-CN"/>
        </w:rPr>
        <w:t>…………………………………</w:t>
      </w:r>
      <w:r>
        <w:rPr>
          <w:rFonts w:hint="eastAsia" w:eastAsia="宋体"/>
          <w:color w:val="auto"/>
          <w:sz w:val="24"/>
          <w:highlight w:val="none"/>
          <w:lang w:val="en-US" w:eastAsia="zh-CN"/>
        </w:rPr>
        <w:t>2</w:t>
      </w:r>
    </w:p>
    <w:p w14:paraId="1F6D2652">
      <w:pPr>
        <w:pStyle w:val="11"/>
        <w:adjustRightInd w:val="0"/>
        <w:snapToGrid w:val="0"/>
        <w:spacing w:before="0" w:line="440" w:lineRule="exact"/>
        <w:jc w:val="left"/>
        <w:rPr>
          <w:rFonts w:hint="default"/>
          <w:color w:val="auto"/>
          <w:sz w:val="24"/>
          <w:highlight w:val="none"/>
          <w:lang w:val="en-US" w:eastAsia="zh-CN"/>
        </w:rPr>
      </w:pPr>
      <w:r>
        <w:rPr>
          <w:rFonts w:hint="default"/>
          <w:color w:val="auto"/>
          <w:sz w:val="24"/>
          <w:highlight w:val="none"/>
        </w:rPr>
        <w:t>第二部分</w:t>
      </w:r>
      <w:r>
        <w:rPr>
          <w:rFonts w:hint="default"/>
          <w:color w:val="auto"/>
          <w:sz w:val="24"/>
          <w:highlight w:val="none"/>
          <w:lang w:val="en-US" w:eastAsia="zh-CN"/>
        </w:rPr>
        <w:t xml:space="preserve"> 2021年度</w:t>
      </w:r>
      <w:r>
        <w:rPr>
          <w:rFonts w:hint="default"/>
          <w:color w:val="auto"/>
          <w:sz w:val="24"/>
          <w:highlight w:val="none"/>
          <w:lang w:eastAsia="zh-CN"/>
        </w:rPr>
        <w:t>单位</w:t>
      </w:r>
      <w:r>
        <w:rPr>
          <w:rFonts w:hint="default"/>
          <w:color w:val="auto"/>
          <w:sz w:val="24"/>
          <w:highlight w:val="none"/>
        </w:rPr>
        <w:t>决算情况说明</w:t>
      </w:r>
      <w:r>
        <w:rPr>
          <w:rFonts w:hint="eastAsia"/>
          <w:color w:val="auto"/>
          <w:sz w:val="24"/>
          <w:highlight w:val="none"/>
          <w:lang w:eastAsia="zh-CN"/>
        </w:rPr>
        <w:t>…………………………</w:t>
      </w:r>
      <w:r>
        <w:rPr>
          <w:rFonts w:hint="eastAsia" w:eastAsia="宋体"/>
          <w:color w:val="auto"/>
          <w:sz w:val="24"/>
          <w:highlight w:val="none"/>
          <w:lang w:eastAsia="zh-CN"/>
        </w:rPr>
        <w:t>…</w:t>
      </w:r>
      <w:r>
        <w:rPr>
          <w:rFonts w:hint="eastAsia"/>
          <w:color w:val="auto"/>
          <w:sz w:val="24"/>
          <w:highlight w:val="none"/>
          <w:lang w:val="en-US" w:eastAsia="zh-CN"/>
        </w:rPr>
        <w:t>9</w:t>
      </w:r>
    </w:p>
    <w:p w14:paraId="71A14BA6">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一、收入支出决算总体情况说明</w:t>
      </w:r>
      <w:r>
        <w:rPr>
          <w:rFonts w:hint="eastAsia" w:eastAsia="宋体"/>
          <w:color w:val="auto"/>
          <w:sz w:val="24"/>
          <w:highlight w:val="none"/>
          <w:lang w:eastAsia="zh-CN"/>
        </w:rPr>
        <w:t>………………………………</w:t>
      </w:r>
      <w:r>
        <w:rPr>
          <w:rFonts w:hint="eastAsia" w:eastAsia="宋体"/>
          <w:color w:val="auto"/>
          <w:sz w:val="24"/>
          <w:highlight w:val="none"/>
          <w:lang w:val="en-US" w:eastAsia="zh-CN"/>
        </w:rPr>
        <w:t>9</w:t>
      </w:r>
    </w:p>
    <w:p w14:paraId="33D36DB2">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二、收入决算情况说明</w:t>
      </w:r>
      <w:r>
        <w:rPr>
          <w:rFonts w:hint="eastAsia" w:eastAsia="宋体"/>
          <w:color w:val="auto"/>
          <w:sz w:val="24"/>
          <w:highlight w:val="none"/>
          <w:lang w:eastAsia="zh-CN"/>
        </w:rPr>
        <w:t>…………………………………………</w:t>
      </w:r>
      <w:r>
        <w:rPr>
          <w:rFonts w:hint="eastAsia" w:eastAsia="宋体"/>
          <w:color w:val="auto"/>
          <w:sz w:val="24"/>
          <w:highlight w:val="none"/>
          <w:lang w:val="en-US" w:eastAsia="zh-CN"/>
        </w:rPr>
        <w:t>9</w:t>
      </w:r>
    </w:p>
    <w:p w14:paraId="65989EC7">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三、支出决算情况说明</w:t>
      </w:r>
      <w:r>
        <w:rPr>
          <w:rFonts w:hint="eastAsia" w:eastAsia="宋体"/>
          <w:color w:val="auto"/>
          <w:sz w:val="24"/>
          <w:highlight w:val="none"/>
          <w:lang w:eastAsia="zh-CN"/>
        </w:rPr>
        <w:t>…………………………………………</w:t>
      </w:r>
      <w:r>
        <w:rPr>
          <w:rFonts w:hint="default" w:eastAsia="宋体"/>
          <w:color w:val="auto"/>
          <w:sz w:val="24"/>
          <w:highlight w:val="none"/>
          <w:lang w:eastAsia="zh-CN"/>
        </w:rPr>
        <w:t>10</w:t>
      </w:r>
    </w:p>
    <w:p w14:paraId="07E57616">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四、财政拨款收入支出决算总体情况说明</w:t>
      </w:r>
      <w:r>
        <w:rPr>
          <w:rFonts w:hint="eastAsia" w:eastAsia="宋体"/>
          <w:color w:val="auto"/>
          <w:sz w:val="24"/>
          <w:highlight w:val="none"/>
          <w:lang w:eastAsia="zh-CN"/>
        </w:rPr>
        <w:t>……………………</w:t>
      </w:r>
      <w:r>
        <w:rPr>
          <w:rFonts w:hint="default" w:eastAsia="宋体"/>
          <w:color w:val="auto"/>
          <w:sz w:val="24"/>
          <w:highlight w:val="none"/>
          <w:lang w:eastAsia="zh-CN"/>
        </w:rPr>
        <w:t>11</w:t>
      </w:r>
    </w:p>
    <w:p w14:paraId="64634C4A">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五、一般公共预算财政拨款支出决算情况说明</w:t>
      </w:r>
      <w:r>
        <w:rPr>
          <w:rFonts w:hint="eastAsia" w:eastAsia="宋体"/>
          <w:color w:val="auto"/>
          <w:sz w:val="24"/>
          <w:highlight w:val="none"/>
          <w:lang w:eastAsia="zh-CN"/>
        </w:rPr>
        <w:t>………………</w:t>
      </w:r>
      <w:r>
        <w:rPr>
          <w:rFonts w:hint="default" w:eastAsia="宋体"/>
          <w:color w:val="auto"/>
          <w:sz w:val="24"/>
          <w:highlight w:val="none"/>
          <w:lang w:eastAsia="zh-CN"/>
        </w:rPr>
        <w:t>1</w:t>
      </w:r>
      <w:r>
        <w:rPr>
          <w:rFonts w:hint="eastAsia"/>
          <w:color w:val="auto"/>
          <w:sz w:val="24"/>
          <w:highlight w:val="none"/>
          <w:lang w:val="en-US" w:eastAsia="zh-CN"/>
        </w:rPr>
        <w:t>2</w:t>
      </w:r>
    </w:p>
    <w:p w14:paraId="6D2A1C78">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六、一般公共预算财政拨款基本支出决算情况说明</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color w:val="auto"/>
          <w:sz w:val="24"/>
          <w:highlight w:val="none"/>
          <w:lang w:val="en-US" w:eastAsia="zh-CN"/>
        </w:rPr>
        <w:t>5</w:t>
      </w:r>
    </w:p>
    <w:p w14:paraId="1F62B08F">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七、</w:t>
      </w:r>
      <w:r>
        <w:rPr>
          <w:rFonts w:hint="default" w:eastAsia="宋体"/>
          <w:color w:val="auto"/>
          <w:sz w:val="24"/>
          <w:highlight w:val="none"/>
          <w:lang w:eastAsia="zh-CN"/>
        </w:rPr>
        <w:t>“</w:t>
      </w:r>
      <w:r>
        <w:rPr>
          <w:rFonts w:hint="default" w:eastAsia="宋体"/>
          <w:color w:val="auto"/>
          <w:sz w:val="24"/>
          <w:highlight w:val="none"/>
        </w:rPr>
        <w:t>三公”经费财政拨款支出决算情况说明</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color w:val="auto"/>
          <w:sz w:val="24"/>
          <w:highlight w:val="none"/>
          <w:lang w:val="en-US" w:eastAsia="zh-CN"/>
        </w:rPr>
        <w:t>5</w:t>
      </w:r>
    </w:p>
    <w:p w14:paraId="1FF2516E">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八、政府性基金预算支出决算情况说明</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color w:val="auto"/>
          <w:sz w:val="24"/>
          <w:highlight w:val="none"/>
          <w:lang w:val="en-US" w:eastAsia="zh-CN"/>
        </w:rPr>
        <w:t>7</w:t>
      </w:r>
    </w:p>
    <w:p w14:paraId="22537876">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九、国有资本经营预算支出算情况说明</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color w:val="auto"/>
          <w:sz w:val="24"/>
          <w:highlight w:val="none"/>
          <w:lang w:val="en-US" w:eastAsia="zh-CN"/>
        </w:rPr>
        <w:t>7</w:t>
      </w:r>
    </w:p>
    <w:p w14:paraId="1D3649AE">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十、</w:t>
      </w:r>
      <w:r>
        <w:rPr>
          <w:rFonts w:hint="default" w:eastAsia="宋体"/>
          <w:color w:val="auto"/>
          <w:sz w:val="24"/>
          <w:highlight w:val="none"/>
          <w:lang w:val="en-US" w:eastAsia="zh-CN"/>
        </w:rPr>
        <w:t>预算绩效管理情况</w:t>
      </w:r>
      <w:r>
        <w:rPr>
          <w:rFonts w:hint="eastAsia" w:eastAsia="宋体"/>
          <w:color w:val="auto"/>
          <w:sz w:val="24"/>
          <w:highlight w:val="none"/>
          <w:lang w:val="en-US" w:eastAsia="zh-CN"/>
        </w:rPr>
        <w:t>…………………………………………1</w:t>
      </w:r>
      <w:r>
        <w:rPr>
          <w:rFonts w:hint="eastAsia"/>
          <w:color w:val="auto"/>
          <w:sz w:val="24"/>
          <w:highlight w:val="none"/>
          <w:lang w:val="en-US" w:eastAsia="zh-CN"/>
        </w:rPr>
        <w:t>7</w:t>
      </w:r>
    </w:p>
    <w:p w14:paraId="7668938C">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lang w:val="en-US" w:eastAsia="zh-CN"/>
        </w:rPr>
        <w:t>十一、</w:t>
      </w:r>
      <w:r>
        <w:rPr>
          <w:rFonts w:hint="default" w:eastAsia="宋体"/>
          <w:color w:val="auto"/>
          <w:sz w:val="24"/>
          <w:highlight w:val="none"/>
        </w:rPr>
        <w:t>其他重要事项的情况说明</w:t>
      </w: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color w:val="auto"/>
          <w:sz w:val="24"/>
          <w:highlight w:val="none"/>
          <w:lang w:val="en-US" w:eastAsia="zh-CN"/>
        </w:rPr>
        <w:t>8</w:t>
      </w:r>
    </w:p>
    <w:p w14:paraId="56304C06">
      <w:pPr>
        <w:pStyle w:val="11"/>
        <w:adjustRightInd w:val="0"/>
        <w:snapToGrid w:val="0"/>
        <w:spacing w:before="0" w:line="440" w:lineRule="exact"/>
        <w:jc w:val="left"/>
        <w:rPr>
          <w:rFonts w:hint="default"/>
          <w:color w:val="auto"/>
          <w:sz w:val="24"/>
          <w:highlight w:val="none"/>
          <w:lang w:val="en-US" w:eastAsia="zh-CN"/>
        </w:rPr>
      </w:pPr>
      <w:r>
        <w:rPr>
          <w:rFonts w:hint="default"/>
          <w:color w:val="auto"/>
          <w:sz w:val="24"/>
          <w:highlight w:val="none"/>
        </w:rPr>
        <w:t>第三部分 名词解释</w:t>
      </w:r>
      <w:r>
        <w:rPr>
          <w:rFonts w:hint="eastAsia"/>
          <w:color w:val="auto"/>
          <w:sz w:val="24"/>
          <w:highlight w:val="none"/>
          <w:lang w:eastAsia="zh-CN"/>
        </w:rPr>
        <w:t>……………………………………………</w:t>
      </w:r>
      <w:r>
        <w:rPr>
          <w:rFonts w:hint="eastAsia"/>
          <w:color w:val="auto"/>
          <w:sz w:val="24"/>
          <w:highlight w:val="none"/>
          <w:lang w:val="en-US" w:eastAsia="zh-CN"/>
        </w:rPr>
        <w:t xml:space="preserve"> </w:t>
      </w:r>
      <w:r>
        <w:rPr>
          <w:rFonts w:hint="default"/>
          <w:color w:val="auto"/>
          <w:sz w:val="24"/>
          <w:highlight w:val="none"/>
          <w:lang w:eastAsia="zh-CN"/>
        </w:rPr>
        <w:t>1</w:t>
      </w:r>
      <w:r>
        <w:rPr>
          <w:rFonts w:hint="eastAsia"/>
          <w:color w:val="auto"/>
          <w:sz w:val="24"/>
          <w:highlight w:val="none"/>
          <w:lang w:val="en-US" w:eastAsia="zh-CN"/>
        </w:rPr>
        <w:t>9</w:t>
      </w:r>
    </w:p>
    <w:p w14:paraId="61C1D265">
      <w:pPr>
        <w:pStyle w:val="11"/>
        <w:adjustRightInd w:val="0"/>
        <w:snapToGrid w:val="0"/>
        <w:spacing w:before="0" w:line="440" w:lineRule="exact"/>
        <w:jc w:val="left"/>
        <w:rPr>
          <w:rFonts w:hint="default"/>
          <w:color w:val="auto"/>
          <w:sz w:val="24"/>
          <w:highlight w:val="none"/>
          <w:lang w:val="en-US" w:eastAsia="zh-CN"/>
        </w:rPr>
      </w:pPr>
      <w:r>
        <w:rPr>
          <w:rFonts w:hint="default"/>
          <w:color w:val="auto"/>
          <w:sz w:val="24"/>
          <w:highlight w:val="none"/>
        </w:rPr>
        <w:t>第四部分 附件</w:t>
      </w:r>
      <w:r>
        <w:rPr>
          <w:rFonts w:hint="eastAsia"/>
          <w:color w:val="auto"/>
          <w:sz w:val="24"/>
          <w:highlight w:val="none"/>
          <w:lang w:eastAsia="zh-CN"/>
        </w:rPr>
        <w:t>…………………………………………………</w:t>
      </w:r>
      <w:r>
        <w:rPr>
          <w:rFonts w:hint="default"/>
          <w:color w:val="auto"/>
          <w:sz w:val="24"/>
          <w:highlight w:val="none"/>
          <w:lang w:eastAsia="zh-CN"/>
        </w:rPr>
        <w:t>2</w:t>
      </w:r>
      <w:r>
        <w:rPr>
          <w:rFonts w:hint="eastAsia"/>
          <w:color w:val="auto"/>
          <w:sz w:val="24"/>
          <w:highlight w:val="none"/>
          <w:lang w:val="en-US" w:eastAsia="zh-CN"/>
        </w:rPr>
        <w:t>1</w:t>
      </w:r>
    </w:p>
    <w:p w14:paraId="7705DF2A">
      <w:pPr>
        <w:pStyle w:val="11"/>
        <w:adjustRightInd w:val="0"/>
        <w:snapToGrid w:val="0"/>
        <w:spacing w:before="0" w:line="440" w:lineRule="exact"/>
        <w:jc w:val="left"/>
        <w:rPr>
          <w:rFonts w:hint="default"/>
          <w:color w:val="auto"/>
          <w:sz w:val="24"/>
          <w:highlight w:val="none"/>
          <w:lang w:val="en-US" w:eastAsia="zh-CN"/>
        </w:rPr>
      </w:pPr>
      <w:r>
        <w:rPr>
          <w:rFonts w:hint="default"/>
          <w:color w:val="auto"/>
          <w:sz w:val="24"/>
          <w:highlight w:val="none"/>
        </w:rPr>
        <w:t>第五部分 附表</w:t>
      </w:r>
      <w:r>
        <w:rPr>
          <w:rFonts w:hint="eastAsia"/>
          <w:color w:val="auto"/>
          <w:sz w:val="24"/>
          <w:highlight w:val="none"/>
          <w:lang w:eastAsia="zh-CN"/>
        </w:rPr>
        <w:t>…………………………………………………</w:t>
      </w:r>
      <w:r>
        <w:rPr>
          <w:rFonts w:hint="default"/>
          <w:color w:val="auto"/>
          <w:sz w:val="24"/>
          <w:highlight w:val="none"/>
          <w:lang w:eastAsia="zh-CN"/>
        </w:rPr>
        <w:t>2</w:t>
      </w:r>
      <w:r>
        <w:rPr>
          <w:rFonts w:hint="eastAsia"/>
          <w:color w:val="auto"/>
          <w:sz w:val="24"/>
          <w:highlight w:val="none"/>
          <w:lang w:val="en-US" w:eastAsia="zh-CN"/>
        </w:rPr>
        <w:t>3</w:t>
      </w:r>
    </w:p>
    <w:p w14:paraId="51A90F46">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一、收入支出决算总表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161CB4B9">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二、收入决算表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0E6AA573">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三、支出决算表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0CF165A7">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四、财政拨款收入支出决算总表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6496A993">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五、财政拨款支出决算明细表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0147243A">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六、一般公共预算财政拨款支出决算表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3315FAF9">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七、一般公共预算财政拨款支出决算明细表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79141BC7">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八、一般公共预算财政拨款基本支出决算表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2E7AD564">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九、一般公共预算财政拨款项目支出决算表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08037203">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十、一般公共预算财政拨款“三公”经费支出决算表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417F3BA7">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十一、政府性基金预算财政拨款收入支出决算表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6572B428">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十二、政府性基金预算财政拨款“三公”经费支出决算表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5845EB02">
      <w:pPr>
        <w:pStyle w:val="12"/>
        <w:adjustRightInd w:val="0"/>
        <w:snapToGrid w:val="0"/>
        <w:spacing w:line="440" w:lineRule="exact"/>
        <w:jc w:val="left"/>
        <w:rPr>
          <w:rFonts w:hint="default" w:eastAsia="宋体"/>
          <w:color w:val="auto"/>
          <w:sz w:val="24"/>
          <w:highlight w:val="none"/>
          <w:lang w:val="en-US" w:eastAsia="zh-CN"/>
        </w:rPr>
      </w:pPr>
      <w:r>
        <w:rPr>
          <w:rFonts w:hint="default" w:eastAsia="宋体"/>
          <w:color w:val="auto"/>
          <w:sz w:val="24"/>
          <w:highlight w:val="none"/>
        </w:rPr>
        <w:t>十三、国有资本经营预算</w:t>
      </w:r>
      <w:r>
        <w:rPr>
          <w:rFonts w:hint="default" w:eastAsia="宋体"/>
          <w:color w:val="auto"/>
          <w:sz w:val="24"/>
          <w:highlight w:val="none"/>
          <w:lang w:eastAsia="zh-CN"/>
        </w:rPr>
        <w:t>财政拨款收入</w:t>
      </w:r>
      <w:r>
        <w:rPr>
          <w:rFonts w:hint="default" w:eastAsia="宋体"/>
          <w:color w:val="auto"/>
          <w:sz w:val="24"/>
          <w:highlight w:val="none"/>
        </w:rPr>
        <w:t>支出决算表</w:t>
      </w:r>
      <w:r>
        <w:rPr>
          <w:rFonts w:hint="eastAsia" w:eastAsia="宋体"/>
          <w:color w:val="auto"/>
          <w:sz w:val="24"/>
          <w:highlight w:val="none"/>
          <w:lang w:eastAsia="zh-CN"/>
        </w:rPr>
        <w:t>…………</w:t>
      </w:r>
      <w:r>
        <w:rPr>
          <w:rFonts w:hint="default" w:eastAsia="宋体"/>
          <w:color w:val="auto"/>
          <w:sz w:val="24"/>
          <w:highlight w:val="none"/>
          <w:lang w:eastAsia="zh-CN"/>
        </w:rPr>
        <w:t>2</w:t>
      </w:r>
      <w:r>
        <w:rPr>
          <w:rFonts w:hint="eastAsia"/>
          <w:color w:val="auto"/>
          <w:sz w:val="24"/>
          <w:highlight w:val="none"/>
          <w:lang w:val="en-US" w:eastAsia="zh-CN"/>
        </w:rPr>
        <w:t>3</w:t>
      </w:r>
    </w:p>
    <w:p w14:paraId="01305D2A">
      <w:pPr>
        <w:pStyle w:val="12"/>
        <w:adjustRightInd w:val="0"/>
        <w:snapToGrid w:val="0"/>
        <w:spacing w:line="440" w:lineRule="exact"/>
        <w:jc w:val="left"/>
        <w:rPr>
          <w:rFonts w:hint="eastAsia" w:eastAsia="宋体"/>
          <w:color w:val="auto"/>
          <w:sz w:val="24"/>
          <w:highlight w:val="none"/>
          <w:lang w:eastAsia="zh-CN"/>
        </w:rPr>
        <w:sectPr>
          <w:footerReference r:id="rId7" w:type="first"/>
          <w:footerReference r:id="rId6" w:type="default"/>
          <w:pgSz w:w="11906" w:h="16838"/>
          <w:pgMar w:top="2098" w:right="1474" w:bottom="1984" w:left="1587" w:header="851" w:footer="1531" w:gutter="0"/>
          <w:pgNumType w:fmt="decimal" w:start="1"/>
          <w:cols w:space="0" w:num="1"/>
          <w:titlePg/>
          <w:rtlGutter w:val="0"/>
          <w:docGrid w:type="lines" w:linePitch="312" w:charSpace="0"/>
        </w:sectPr>
      </w:pPr>
      <w:r>
        <w:rPr>
          <w:rFonts w:hint="default" w:eastAsia="宋体"/>
          <w:color w:val="auto"/>
          <w:sz w:val="24"/>
          <w:highlight w:val="none"/>
          <w:lang w:val="en-US" w:eastAsia="zh-CN"/>
        </w:rPr>
        <w:t>十四、国有资本经营预算财政拨款支出决算表</w:t>
      </w:r>
      <w:r>
        <w:rPr>
          <w:rFonts w:hint="eastAsia" w:eastAsia="宋体"/>
          <w:color w:val="auto"/>
          <w:sz w:val="24"/>
          <w:highlight w:val="none"/>
          <w:lang w:val="en-US" w:eastAsia="zh-CN"/>
        </w:rPr>
        <w:t>………………</w:t>
      </w:r>
      <w:bookmarkStart w:id="12" w:name="_Toc15396599"/>
      <w:bookmarkStart w:id="13" w:name="_Toc15377196"/>
      <w:r>
        <w:rPr>
          <w:rFonts w:hint="default" w:eastAsia="宋体"/>
          <w:color w:val="auto"/>
          <w:sz w:val="24"/>
          <w:highlight w:val="none"/>
          <w:lang w:eastAsia="zh-CN"/>
        </w:rPr>
        <w:t>2</w:t>
      </w:r>
      <w:r>
        <w:rPr>
          <w:rFonts w:hint="eastAsia"/>
          <w:color w:val="auto"/>
          <w:sz w:val="24"/>
          <w:highlight w:val="none"/>
          <w:lang w:val="en-US" w:eastAsia="zh-CN"/>
        </w:rPr>
        <w:t>3</w:t>
      </w:r>
    </w:p>
    <w:p w14:paraId="1809F012">
      <w:pPr>
        <w:pStyle w:val="3"/>
        <w:jc w:val="center"/>
        <w:rPr>
          <w:rFonts w:hint="eastAsia" w:ascii="黑体" w:hAnsi="黑体" w:eastAsia="黑体"/>
          <w:b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Fonts w:hint="eastAsia" w:ascii="黑体" w:hAnsi="黑体" w:eastAsia="黑体"/>
          <w:b w:val="0"/>
          <w:color w:val="auto"/>
          <w:highlight w:val="none"/>
        </w:rPr>
        <w:t>概况</w:t>
      </w:r>
      <w:bookmarkEnd w:id="12"/>
      <w:bookmarkEnd w:id="13"/>
    </w:p>
    <w:p w14:paraId="3F4B2E2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rPr>
      </w:pPr>
    </w:p>
    <w:p w14:paraId="77044EBD">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rPr>
          <w:rFonts w:hint="default" w:ascii="Times New Roman" w:hAnsi="Times New Roman" w:eastAsia="仿宋_GB2312" w:cs="Times New Roman"/>
          <w:b w:val="0"/>
          <w:bCs w:val="0"/>
        </w:rPr>
      </w:pPr>
      <w:bookmarkStart w:id="14" w:name="_Toc15396600"/>
      <w:bookmarkStart w:id="15" w:name="_Toc15377197"/>
      <w:r>
        <w:rPr>
          <w:rStyle w:val="29"/>
          <w:rFonts w:hint="default" w:ascii="Times New Roman" w:hAnsi="Times New Roman" w:eastAsia="黑体" w:cs="Times New Roman"/>
          <w:b w:val="0"/>
          <w:bCs w:val="0"/>
          <w:color w:val="auto"/>
          <w:highlight w:val="none"/>
        </w:rPr>
        <w:t>职能</w:t>
      </w:r>
      <w:r>
        <w:rPr>
          <w:rStyle w:val="29"/>
          <w:rFonts w:hint="default" w:ascii="Times New Roman" w:hAnsi="Times New Roman" w:eastAsia="黑体" w:cs="Times New Roman"/>
          <w:b w:val="0"/>
          <w:bCs w:val="0"/>
          <w:color w:val="auto"/>
          <w:highlight w:val="none"/>
          <w:lang w:eastAsia="zh-CN"/>
        </w:rPr>
        <w:t>简介</w:t>
      </w:r>
      <w:bookmarkStart w:id="16" w:name="_Toc72671115"/>
    </w:p>
    <w:p w14:paraId="3CB5A62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b w:val="0"/>
          <w:bCs w:val="0"/>
        </w:rPr>
      </w:pPr>
      <w:r>
        <w:rPr>
          <w:rFonts w:hint="eastAsia" w:ascii="Times New Roman" w:hAnsi="Times New Roman" w:eastAsia="仿宋" w:cs="Times New Roman"/>
          <w:b w:val="0"/>
          <w:bCs w:val="0"/>
          <w:lang w:val="en-US" w:eastAsia="zh-CN"/>
        </w:rPr>
        <w:t>1.</w:t>
      </w:r>
      <w:r>
        <w:rPr>
          <w:rFonts w:hint="default" w:ascii="Times New Roman" w:hAnsi="Times New Roman" w:eastAsia="仿宋_GB2312" w:cs="Times New Roman"/>
          <w:b w:val="0"/>
          <w:bCs w:val="0"/>
        </w:rPr>
        <w:t>贯彻执行中央关于行政管理体制改革和机构改革、事业单位改革及机构编制管理的方针政策、法律法规规章，研究起草规章草案、规范性文件，制定相关政策并监督实施。</w:t>
      </w:r>
      <w:bookmarkEnd w:id="16"/>
    </w:p>
    <w:p w14:paraId="77FDB81F">
      <w:pPr>
        <w:keepNext w:val="0"/>
        <w:keepLines w:val="0"/>
        <w:pageBreakBefore w:val="0"/>
        <w:widowControl w:val="0"/>
        <w:kinsoku/>
        <w:wordWrap/>
        <w:overflowPunct/>
        <w:topLinePunct w:val="0"/>
        <w:bidi w:val="0"/>
        <w:adjustRightInd w:val="0"/>
        <w:spacing w:line="576" w:lineRule="exact"/>
        <w:ind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 w:cs="Times New Roman"/>
          <w:sz w:val="32"/>
          <w:szCs w:val="32"/>
          <w:lang w:val="en-US" w:eastAsia="zh-CN"/>
        </w:rPr>
        <w:t>2.</w:t>
      </w:r>
      <w:r>
        <w:rPr>
          <w:rFonts w:hint="default" w:ascii="Times New Roman" w:hAnsi="Times New Roman" w:eastAsia="仿宋_GB2312" w:cs="Times New Roman"/>
          <w:b w:val="0"/>
          <w:bCs w:val="0"/>
          <w:kern w:val="2"/>
          <w:sz w:val="32"/>
          <w:szCs w:val="32"/>
          <w:lang w:val="en-US" w:eastAsia="zh-CN" w:bidi="ar-SA"/>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14:paraId="305F0CB3">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拟订全区各级行政编制总额分配方案，分配政法专项编制。负责全区行政事业编制总量控制和机关事业单位机构编制实名制管理工作，对区直机关和区属事业单位使用空缺编制补充人员进行核批。</w:t>
      </w:r>
    </w:p>
    <w:p w14:paraId="1C639F91">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负责区委、区政府各部门，区人大、区政协机关，区法院、区检察院机关，各民主党派区委机关、区人民团体机关的机构编制管理工作。协调区级部门之间的职责分工。</w:t>
      </w:r>
    </w:p>
    <w:p w14:paraId="27C959F3">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给市委编委呈报副科级或按照副科级及以上规格管理机构的设置、调整。</w:t>
      </w:r>
    </w:p>
    <w:p w14:paraId="6AD4CC1A">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研究拟订全区事业单位改革方案和事业单位编制标准及实施意见，负责区属事业单位机构编制管理，审核区属事业单位的机构编制方案，负责参照《公务员法》管理事业单位职责的审核工作。</w:t>
      </w:r>
    </w:p>
    <w:p w14:paraId="372DBE48">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监督检查全区行政管理体制改革和机构改革方案及机构编制规定执行情况，按照市委编委的要求，建立机构编制工作考核评估制度，会同有关部门查处机构编制违法违纪行为。</w:t>
      </w:r>
    </w:p>
    <w:p w14:paraId="03F3EF5B">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负责全区事业单位登记管理工作。</w:t>
      </w:r>
    </w:p>
    <w:p w14:paraId="60633EB8">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9.</w:t>
      </w:r>
      <w:r>
        <w:rPr>
          <w:rFonts w:hint="default" w:ascii="Times New Roman" w:hAnsi="Times New Roman" w:eastAsia="仿宋_GB2312" w:cs="Times New Roman"/>
          <w:b w:val="0"/>
          <w:bCs w:val="0"/>
          <w:kern w:val="2"/>
          <w:sz w:val="32"/>
          <w:szCs w:val="32"/>
          <w:lang w:val="en-US" w:eastAsia="zh-CN" w:bidi="ar-SA"/>
        </w:rPr>
        <w:t>指导、协调、监督并推进全区深化行政审批制度改革工作。</w:t>
      </w:r>
    </w:p>
    <w:p w14:paraId="5230F21E">
      <w:pPr>
        <w:keepNext w:val="0"/>
        <w:keepLines w:val="0"/>
        <w:pageBreakBefore w:val="0"/>
        <w:widowControl w:val="0"/>
        <w:kinsoku/>
        <w:wordWrap/>
        <w:overflowPunct/>
        <w:topLinePunct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承办区委、区政府和区委编委交办的其他事项。</w:t>
      </w:r>
    </w:p>
    <w:p w14:paraId="5B12B5D9">
      <w:pPr>
        <w:pStyle w:val="4"/>
        <w:keepNext w:val="0"/>
        <w:keepLines w:val="0"/>
        <w:pageBreakBefore w:val="0"/>
        <w:widowControl w:val="0"/>
        <w:numPr>
          <w:ilvl w:val="0"/>
          <w:numId w:val="0"/>
        </w:numPr>
        <w:kinsoku/>
        <w:wordWrap/>
        <w:overflowPunct/>
        <w:topLinePunct w:val="0"/>
        <w:bidi w:val="0"/>
        <w:spacing w:before="0" w:after="0" w:line="576" w:lineRule="exact"/>
        <w:ind w:left="0" w:leftChars="0" w:right="0" w:firstLine="640" w:firstLineChars="200"/>
        <w:jc w:val="both"/>
        <w:textAlignment w:val="auto"/>
        <w:rPr>
          <w:rFonts w:hint="eastAsia" w:ascii="Times New Roman" w:hAnsi="Times New Roman" w:eastAsia="黑体" w:cs="Times New Roman"/>
          <w:b w:val="0"/>
          <w:color w:val="auto"/>
          <w:highlight w:val="none"/>
          <w:lang w:val="en-US" w:eastAsia="zh-CN"/>
        </w:rPr>
      </w:pPr>
      <w:r>
        <w:rPr>
          <w:rFonts w:hint="default" w:ascii="Times New Roman" w:hAnsi="Times New Roman" w:eastAsia="黑体" w:cs="Times New Roman"/>
          <w:b w:val="0"/>
          <w:color w:val="auto"/>
          <w:highlight w:val="none"/>
          <w:lang w:val="en-US" w:eastAsia="zh-CN"/>
        </w:rPr>
        <w:t>二、</w:t>
      </w:r>
      <w:r>
        <w:rPr>
          <w:rFonts w:hint="eastAsia" w:ascii="Times New Roman" w:hAnsi="Times New Roman" w:eastAsia="黑体" w:cs="Times New Roman"/>
          <w:b w:val="0"/>
          <w:color w:val="auto"/>
          <w:highlight w:val="none"/>
          <w:lang w:val="en-US" w:eastAsia="zh-CN"/>
        </w:rPr>
        <w:t>机构设置情况</w:t>
      </w:r>
    </w:p>
    <w:p w14:paraId="5AF924FF">
      <w:pPr>
        <w:pStyle w:val="4"/>
        <w:keepNext w:val="0"/>
        <w:keepLines w:val="0"/>
        <w:pageBreakBefore w:val="0"/>
        <w:widowControl w:val="0"/>
        <w:numPr>
          <w:ilvl w:val="0"/>
          <w:numId w:val="0"/>
        </w:numPr>
        <w:kinsoku/>
        <w:wordWrap/>
        <w:overflowPunct/>
        <w:topLinePunct w:val="0"/>
        <w:bidi w:val="0"/>
        <w:spacing w:before="0" w:after="0" w:line="576" w:lineRule="exact"/>
        <w:ind w:left="0" w:leftChars="0" w:right="0" w:firstLine="640" w:firstLineChars="200"/>
        <w:jc w:val="both"/>
        <w:textAlignment w:val="auto"/>
        <w:rPr>
          <w:rFonts w:hint="default"/>
          <w:lang w:val="en-US" w:eastAsia="zh-CN"/>
        </w:rPr>
      </w:pPr>
      <w:r>
        <w:rPr>
          <w:rFonts w:hint="default" w:ascii="Times New Roman" w:hAnsi="Times New Roman" w:eastAsia="仿宋_GB2312" w:cs="Times New Roman"/>
          <w:b w:val="0"/>
          <w:bCs w:val="0"/>
          <w:kern w:val="2"/>
          <w:sz w:val="32"/>
          <w:szCs w:val="32"/>
          <w:lang w:val="en-US" w:eastAsia="zh-CN" w:bidi="ar-SA"/>
        </w:rPr>
        <w:t>区委编办属于一级预算单位，参照公务员法管理的事业单位1个，其他事业单位1个。主要包括：昭化区事业单位登记服务中心、昭化区机构编制信息中心。</w:t>
      </w:r>
    </w:p>
    <w:p w14:paraId="1718C52D">
      <w:pPr>
        <w:pStyle w:val="4"/>
        <w:keepNext w:val="0"/>
        <w:keepLines w:val="0"/>
        <w:pageBreakBefore w:val="0"/>
        <w:widowControl w:val="0"/>
        <w:numPr>
          <w:ilvl w:val="0"/>
          <w:numId w:val="0"/>
        </w:numPr>
        <w:kinsoku/>
        <w:wordWrap/>
        <w:overflowPunct/>
        <w:topLinePunct w:val="0"/>
        <w:bidi w:val="0"/>
        <w:spacing w:before="0" w:after="0" w:line="576" w:lineRule="exact"/>
        <w:ind w:left="0" w:leftChars="0" w:right="0" w:firstLine="640" w:firstLineChars="200"/>
        <w:jc w:val="both"/>
        <w:textAlignment w:val="auto"/>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val="en-US" w:eastAsia="zh-CN"/>
        </w:rPr>
        <w:t>三</w:t>
      </w:r>
      <w:r>
        <w:rPr>
          <w:rFonts w:hint="default" w:ascii="Times New Roman" w:hAnsi="Times New Roman" w:eastAsia="黑体" w:cs="Times New Roman"/>
          <w:b w:val="0"/>
          <w:color w:val="auto"/>
          <w:highlight w:val="none"/>
          <w:lang w:val="en-US" w:eastAsia="zh-CN"/>
        </w:rPr>
        <w:t>、2021年重点</w:t>
      </w:r>
      <w:r>
        <w:rPr>
          <w:rFonts w:hint="default" w:ascii="Times New Roman" w:hAnsi="Times New Roman" w:eastAsia="黑体" w:cs="Times New Roman"/>
          <w:b w:val="0"/>
          <w:color w:val="auto"/>
          <w:highlight w:val="none"/>
        </w:rPr>
        <w:t>工作</w:t>
      </w:r>
      <w:bookmarkEnd w:id="14"/>
      <w:bookmarkEnd w:id="15"/>
      <w:r>
        <w:rPr>
          <w:rFonts w:hint="default" w:ascii="Times New Roman" w:hAnsi="Times New Roman" w:eastAsia="黑体" w:cs="Times New Roman"/>
          <w:b w:val="0"/>
          <w:color w:val="auto"/>
          <w:highlight w:val="none"/>
          <w:lang w:eastAsia="zh-CN"/>
        </w:rPr>
        <w:t>完成情况</w:t>
      </w:r>
    </w:p>
    <w:p w14:paraId="689EB893">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cs="Times New Roman"/>
          <w:lang w:val="en-US" w:eastAsia="zh-CN"/>
        </w:rPr>
      </w:pPr>
      <w:r>
        <w:rPr>
          <w:rFonts w:hint="eastAsia" w:eastAsia="楷体_GB2312" w:cs="Times New Roman"/>
          <w:b w:val="0"/>
          <w:bCs w:val="0"/>
          <w:color w:val="auto"/>
          <w:sz w:val="32"/>
          <w:szCs w:val="32"/>
          <w:lang w:val="en-US" w:eastAsia="zh-CN"/>
        </w:rPr>
        <w:t>1.</w:t>
      </w:r>
      <w:r>
        <w:rPr>
          <w:rFonts w:hint="default" w:ascii="Times New Roman" w:hAnsi="Times New Roman" w:eastAsia="楷体_GB2312" w:cs="Times New Roman"/>
          <w:b w:val="0"/>
          <w:bCs w:val="0"/>
          <w:color w:val="auto"/>
          <w:sz w:val="32"/>
          <w:szCs w:val="32"/>
          <w:lang w:val="en-US" w:eastAsia="zh-CN"/>
        </w:rPr>
        <w:t>认真学习贯彻《条例》及配套法规制度，不断提升新时期机构编制工作水平。</w:t>
      </w:r>
      <w:r>
        <w:rPr>
          <w:rFonts w:hint="default" w:ascii="Times New Roman" w:hAnsi="Times New Roman" w:eastAsia="仿宋_GB2312" w:cs="Times New Roman"/>
          <w:b/>
          <w:bCs/>
          <w:spacing w:val="0"/>
          <w:sz w:val="32"/>
          <w:szCs w:val="32"/>
          <w:lang w:val="en-US" w:eastAsia="zh-CN"/>
        </w:rPr>
        <w:t>一是</w:t>
      </w:r>
      <w:r>
        <w:rPr>
          <w:rFonts w:hint="default" w:ascii="Times New Roman" w:hAnsi="Times New Roman" w:eastAsia="仿宋_GB2312" w:cs="Times New Roman"/>
          <w:spacing w:val="0"/>
          <w:sz w:val="32"/>
          <w:szCs w:val="32"/>
          <w:lang w:val="en-US" w:eastAsia="zh-CN"/>
        </w:rPr>
        <w:t>认真学习贯彻《条例》及其配套办法。将此作为做好工作的根本遵循和首要前提，制定学习贯彻实施方案，按照一把手、班子成员、政工人事干部“三个必学”要求，通过“领导带头学、内部深入学、分类督导学”三种方式，将其纳入区委常委会、区委编委会、各级党委(党组)会学习内容。去年以来，区委常委会、区委编委会先后各三次专题传达学习了《条例》及其系列配套办法，各镇各部门党委（党组）开展了至少3次以上的集中学习研讨，区委党校将相关内容纳入2020年和2021年科级领导和中青年干部等主体班教学内容，实现了领导学习全覆盖。办内分专题组织学习研讨10余次，做到先学一步、学深一步。充分</w:t>
      </w:r>
      <w:r>
        <w:rPr>
          <w:rFonts w:hint="default" w:ascii="Times New Roman" w:hAnsi="Times New Roman" w:eastAsia="仿宋_GB2312" w:cs="Times New Roman"/>
          <w:color w:val="auto"/>
          <w:sz w:val="32"/>
          <w:szCs w:val="32"/>
          <w:lang w:val="en-US" w:eastAsia="zh-CN"/>
        </w:rPr>
        <w:t>运用昭化组工微信公众号、政府门户网站等平台学习宣传</w:t>
      </w:r>
      <w:r>
        <w:rPr>
          <w:rFonts w:hint="default" w:ascii="Times New Roman" w:hAnsi="Times New Roman" w:eastAsia="仿宋_GB2312" w:cs="Times New Roman"/>
          <w:sz w:val="32"/>
          <w:szCs w:val="32"/>
          <w:lang w:val="en-US" w:eastAsia="zh-CN"/>
        </w:rPr>
        <w:t>，组织动员全区干部职工积极参与</w:t>
      </w:r>
      <w:r>
        <w:rPr>
          <w:rFonts w:hint="default" w:ascii="Times New Roman" w:hAnsi="Times New Roman" w:eastAsia="仿宋_GB2312" w:cs="Times New Roman"/>
          <w:color w:val="auto"/>
          <w:sz w:val="32"/>
          <w:szCs w:val="32"/>
          <w:lang w:val="en-US" w:eastAsia="zh-CN"/>
        </w:rPr>
        <w:t>线上知识竞赛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rPr>
        <w:t>答</w:t>
      </w:r>
      <w:r>
        <w:rPr>
          <w:rFonts w:hint="default" w:ascii="Times New Roman" w:hAnsi="Times New Roman" w:eastAsia="仿宋_GB2312" w:cs="Times New Roman"/>
          <w:color w:val="auto"/>
          <w:sz w:val="32"/>
          <w:szCs w:val="32"/>
        </w:rPr>
        <w:t>题</w:t>
      </w:r>
      <w:r>
        <w:rPr>
          <w:rFonts w:hint="default" w:ascii="Times New Roman" w:hAnsi="Times New Roman" w:eastAsia="仿宋_GB2312" w:cs="Times New Roman"/>
          <w:color w:val="auto"/>
          <w:sz w:val="32"/>
          <w:szCs w:val="32"/>
          <w:lang w:val="en-US" w:eastAsia="zh-CN"/>
        </w:rPr>
        <w:t>人数达</w:t>
      </w:r>
      <w:r>
        <w:rPr>
          <w:rFonts w:hint="default" w:ascii="Times New Roman" w:hAnsi="Times New Roman" w:eastAsia="仿宋_GB2312" w:cs="Times New Roman"/>
          <w:color w:val="auto"/>
          <w:sz w:val="32"/>
          <w:szCs w:val="32"/>
        </w:rPr>
        <w:t>600余</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rPr>
        <w:t>80分以上的占90%，满分</w:t>
      </w:r>
      <w:r>
        <w:rPr>
          <w:rFonts w:hint="default" w:ascii="Times New Roman" w:hAnsi="Times New Roman" w:eastAsia="仿宋_GB2312" w:cs="Times New Roman"/>
          <w:color w:val="auto"/>
          <w:sz w:val="32"/>
          <w:szCs w:val="32"/>
          <w:lang w:val="en-US" w:eastAsia="zh-CN"/>
        </w:rPr>
        <w:t>有30</w:t>
      </w:r>
      <w:r>
        <w:rPr>
          <w:rFonts w:hint="default" w:ascii="Times New Roman" w:hAnsi="Times New Roman" w:eastAsia="仿宋_GB2312" w:cs="Times New Roman"/>
          <w:color w:val="auto"/>
          <w:sz w:val="32"/>
          <w:szCs w:val="32"/>
        </w:rPr>
        <w:t>余人，</w:t>
      </w:r>
      <w:r>
        <w:rPr>
          <w:rFonts w:hint="default" w:ascii="Times New Roman" w:hAnsi="Times New Roman" w:eastAsia="仿宋_GB2312" w:cs="Times New Roman"/>
          <w:color w:val="auto"/>
          <w:sz w:val="32"/>
          <w:szCs w:val="32"/>
          <w:lang w:val="en-US" w:eastAsia="zh-CN"/>
        </w:rPr>
        <w:t>其中5</w:t>
      </w:r>
      <w:r>
        <w:rPr>
          <w:rFonts w:hint="default" w:ascii="Times New Roman" w:hAnsi="Times New Roman" w:eastAsia="仿宋_GB2312" w:cs="Times New Roman"/>
          <w:color w:val="auto"/>
          <w:sz w:val="32"/>
          <w:szCs w:val="32"/>
        </w:rPr>
        <w:t>人进入</w:t>
      </w:r>
      <w:r>
        <w:rPr>
          <w:rFonts w:hint="default" w:ascii="Times New Roman" w:hAnsi="Times New Roman" w:eastAsia="仿宋_GB2312" w:cs="Times New Roman"/>
          <w:color w:val="auto"/>
          <w:sz w:val="32"/>
          <w:szCs w:val="32"/>
          <w:lang w:val="en-US" w:eastAsia="zh-CN"/>
        </w:rPr>
        <w:t>全省</w:t>
      </w:r>
      <w:r>
        <w:rPr>
          <w:rFonts w:hint="default" w:ascii="Times New Roman" w:hAnsi="Times New Roman" w:eastAsia="仿宋_GB2312" w:cs="Times New Roman"/>
          <w:color w:val="auto"/>
          <w:sz w:val="32"/>
          <w:szCs w:val="32"/>
        </w:rPr>
        <w:t>前100名行列，营造</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浓厚</w:t>
      </w:r>
      <w:r>
        <w:rPr>
          <w:rFonts w:hint="default" w:ascii="Times New Roman" w:hAnsi="Times New Roman" w:eastAsia="仿宋_GB2312" w:cs="Times New Roman"/>
          <w:color w:val="auto"/>
          <w:sz w:val="32"/>
          <w:szCs w:val="32"/>
          <w:lang w:val="en-US" w:eastAsia="zh-CN"/>
        </w:rPr>
        <w:t>的学习贯彻</w:t>
      </w:r>
      <w:r>
        <w:rPr>
          <w:rFonts w:hint="default" w:ascii="Times New Roman" w:hAnsi="Times New Roman" w:eastAsia="仿宋_GB2312" w:cs="Times New Roman"/>
          <w:color w:val="auto"/>
          <w:sz w:val="32"/>
          <w:szCs w:val="32"/>
        </w:rPr>
        <w:t>氛围。</w:t>
      </w:r>
      <w:r>
        <w:rPr>
          <w:rFonts w:hint="default" w:ascii="Times New Roman" w:hAnsi="Times New Roman" w:eastAsia="仿宋_GB2312" w:cs="Times New Roman"/>
          <w:b/>
          <w:bCs/>
          <w:spacing w:val="0"/>
          <w:sz w:val="32"/>
          <w:szCs w:val="32"/>
          <w:lang w:val="en-US" w:eastAsia="zh-CN"/>
        </w:rPr>
        <w:t>二是</w:t>
      </w:r>
      <w:r>
        <w:rPr>
          <w:rFonts w:hint="default" w:ascii="Times New Roman" w:hAnsi="Times New Roman" w:eastAsia="仿宋_GB2312" w:cs="Times New Roman"/>
          <w:spacing w:val="0"/>
          <w:sz w:val="32"/>
          <w:szCs w:val="32"/>
          <w:lang w:val="en-US" w:eastAsia="zh-CN"/>
        </w:rPr>
        <w:t>严格执行动议、论证、审议决定、组织实施、监督问责各环节具体规定。修</w:t>
      </w:r>
      <w:r>
        <w:rPr>
          <w:rFonts w:hint="default" w:ascii="Times New Roman" w:hAnsi="Times New Roman" w:eastAsia="仿宋_GB2312" w:cs="Times New Roman"/>
          <w:color w:val="auto"/>
          <w:spacing w:val="0"/>
          <w:sz w:val="32"/>
          <w:szCs w:val="32"/>
          <w:highlight w:val="none"/>
          <w:lang w:val="en-US" w:eastAsia="zh-CN"/>
        </w:rPr>
        <w:t>订完善</w:t>
      </w:r>
      <w:r>
        <w:rPr>
          <w:rFonts w:hint="default" w:ascii="Times New Roman" w:hAnsi="Times New Roman" w:eastAsia="仿宋_GB2312" w:cs="Times New Roman"/>
          <w:color w:val="auto"/>
          <w:sz w:val="32"/>
          <w:szCs w:val="32"/>
          <w:lang w:val="en-US" w:eastAsia="zh-CN"/>
        </w:rPr>
        <w:t>《区委编委会工作规则》和《区委编办工作细则》，研制出台《乡镇编制动态管理办法（</w:t>
      </w:r>
      <w:r>
        <w:rPr>
          <w:rFonts w:hint="default" w:ascii="Times New Roman" w:hAnsi="Times New Roman" w:eastAsia="仿宋_GB2312" w:cs="Times New Roman"/>
          <w:sz w:val="32"/>
          <w:szCs w:val="32"/>
          <w:lang w:val="en-US" w:eastAsia="zh-CN"/>
        </w:rPr>
        <w:t>试行）》《区级部门派出（驻）镇机构及工作人员管理办法》《机关事业单位抽（借）调和外派工作人员管理办法》等系列配套制度,</w:t>
      </w:r>
      <w:r>
        <w:rPr>
          <w:rFonts w:hint="default" w:ascii="Times New Roman" w:hAnsi="Times New Roman" w:eastAsia="仿宋_GB2312" w:cs="Times New Roman"/>
          <w:color w:val="auto"/>
          <w:sz w:val="32"/>
          <w:szCs w:val="32"/>
          <w:lang w:val="en-US" w:eastAsia="zh-CN"/>
        </w:rPr>
        <w:t>健全完善《区委编办干部行为“十条”规范》等15项工作制度和相关流程，严格部门党委（党组）动议的程序和标准，坚持党对机构编制工作的集中统一领导，执行机构编制事项由机构编制部门专项办理（“一个口子”进出），报区委编委审批决定（“一支笔”审批）的制度规定，持续推动机构编制相关政策法规贯彻落实。</w:t>
      </w:r>
    </w:p>
    <w:p w14:paraId="7753970A">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eastAsia" w:eastAsia="楷体_GB2312" w:cs="Times New Roman"/>
          <w:b w:val="0"/>
          <w:bCs w:val="0"/>
          <w:color w:val="auto"/>
          <w:sz w:val="32"/>
          <w:szCs w:val="32"/>
          <w:lang w:val="en-US" w:eastAsia="zh-CN"/>
        </w:rPr>
        <w:t>2.</w:t>
      </w:r>
      <w:r>
        <w:rPr>
          <w:rFonts w:hint="default" w:ascii="Times New Roman" w:hAnsi="Times New Roman" w:eastAsia="楷体_GB2312" w:cs="Times New Roman"/>
          <w:b w:val="0"/>
          <w:bCs w:val="0"/>
          <w:color w:val="auto"/>
          <w:sz w:val="32"/>
          <w:szCs w:val="32"/>
          <w:lang w:val="en-US" w:eastAsia="zh-CN"/>
        </w:rPr>
        <w:t>聚焦机构编制改革管理，务实推进重点工作落实落地。</w:t>
      </w:r>
      <w:r>
        <w:rPr>
          <w:rFonts w:hint="default" w:ascii="Times New Roman" w:hAnsi="Times New Roman" w:eastAsia="仿宋_GB2312" w:cs="Times New Roman"/>
          <w:b/>
          <w:bCs/>
          <w:spacing w:val="0"/>
          <w:sz w:val="32"/>
          <w:szCs w:val="32"/>
          <w:lang w:val="en-US" w:eastAsia="zh-CN"/>
        </w:rPr>
        <w:t>一是</w:t>
      </w:r>
      <w:r>
        <w:rPr>
          <w:rFonts w:hint="default" w:ascii="Times New Roman" w:hAnsi="Times New Roman" w:eastAsia="仿宋_GB2312" w:cs="Times New Roman"/>
          <w:spacing w:val="0"/>
          <w:sz w:val="32"/>
          <w:szCs w:val="32"/>
          <w:lang w:val="en-US" w:eastAsia="zh-CN"/>
        </w:rPr>
        <w:t>扎实推进综合行政执法改革。把深</w:t>
      </w:r>
      <w:r>
        <w:rPr>
          <w:rFonts w:hint="default" w:ascii="Times New Roman" w:hAnsi="Times New Roman" w:eastAsia="仿宋_GB2312" w:cs="Times New Roman"/>
          <w:color w:val="auto"/>
          <w:sz w:val="32"/>
          <w:szCs w:val="32"/>
          <w:lang w:val="en-US" w:eastAsia="zh-CN"/>
        </w:rPr>
        <w:t>化综合行政执法改革纳入机构改革“后半篇文章”加紧部署和推进，在成立了区综合执法局、组建区市场监管、文化市场、交通运输、农业4支综合行政执法队伍基础上，完成了卫生健康、应急管理、劳动监察、水利等其他领域综合行政执法改革。各镇成立综合执法大队，在综合执法办公室挂牌，务实通过推进乡镇综合行政执法改革工作，初步建立了“一张清单明权责、一支队伍管执法、一套机制保运行、一套机制保运行”全链条推进机制，并纳入全省依法治区示范试点典型案例。</w:t>
      </w:r>
      <w:r>
        <w:rPr>
          <w:rFonts w:hint="default" w:ascii="Times New Roman" w:hAnsi="Times New Roman" w:eastAsia="仿宋_GB2312" w:cs="Times New Roman"/>
          <w:b/>
          <w:bCs/>
          <w:spacing w:val="0"/>
          <w:sz w:val="32"/>
          <w:szCs w:val="32"/>
          <w:lang w:val="en-US" w:eastAsia="zh-CN"/>
        </w:rPr>
        <w:t>二是</w:t>
      </w:r>
      <w:r>
        <w:rPr>
          <w:rFonts w:hint="default" w:ascii="Times New Roman" w:hAnsi="Times New Roman" w:eastAsia="仿宋_GB2312" w:cs="Times New Roman"/>
          <w:spacing w:val="0"/>
          <w:sz w:val="32"/>
          <w:szCs w:val="32"/>
          <w:lang w:val="en-US" w:eastAsia="zh-CN"/>
        </w:rPr>
        <w:t>扎实推进两项改革“后半篇”文章。围</w:t>
      </w:r>
      <w:r>
        <w:rPr>
          <w:rFonts w:hint="default" w:ascii="Times New Roman" w:hAnsi="Times New Roman" w:eastAsia="仿宋_GB2312" w:cs="Times New Roman"/>
          <w:color w:val="auto"/>
          <w:sz w:val="32"/>
          <w:szCs w:val="32"/>
          <w:lang w:val="en-US" w:eastAsia="zh-CN"/>
        </w:rPr>
        <w:t>绕优化乡镇机构编制资源配置5个方面20项具体任务，充分发挥牵头作用，加大工作力度，有力有序推进各项工作落实。截至目前</w:t>
      </w:r>
      <w:r>
        <w:rPr>
          <w:rFonts w:hint="default" w:ascii="Times New Roman" w:hAnsi="Times New Roman" w:eastAsia="仿宋_GB2312" w:cs="Times New Roman"/>
          <w:spacing w:val="0"/>
          <w:sz w:val="32"/>
          <w:szCs w:val="32"/>
          <w:lang w:val="en-US" w:eastAsia="zh-CN"/>
        </w:rPr>
        <w:t>，分类推进扩权赋能4项任务已全面完成。明确乡镇法定权力事项117项，差异化赋予区政府驻地镇51项、百镇建设行动试点镇48项、一般镇47项县级行政权力事项。制定了“三张清单”并对外公布，厘清了区直有关部门之间、区直部门与乡镇之间职责边界，明确了区镇“属地管理”事项主体责任和配合责任。健全完善乡镇机构管理体制4项任务推进有序。制发了12个镇“三定”方案，规范设置派出所10个、司法所12个、市场监管所5个、片区纪检监</w:t>
      </w:r>
      <w:r>
        <w:rPr>
          <w:rFonts w:hint="default" w:ascii="Times New Roman" w:hAnsi="Times New Roman" w:eastAsia="仿宋_GB2312" w:cs="Times New Roman"/>
          <w:color w:val="auto"/>
          <w:kern w:val="0"/>
          <w:sz w:val="32"/>
          <w:szCs w:val="32"/>
          <w:lang w:val="en-US" w:eastAsia="zh-CN" w:bidi="ar"/>
        </w:rPr>
        <w:t>察组3个、法庭3个、自然资源所7个（待调整），出台《关于进一步明确相关区级部门派出机构职责等有关事项的通知》，</w:t>
      </w:r>
      <w:r>
        <w:rPr>
          <w:rFonts w:hint="default" w:ascii="Times New Roman" w:hAnsi="Times New Roman" w:eastAsia="仿宋_GB2312" w:cs="Times New Roman"/>
          <w:color w:val="auto"/>
          <w:sz w:val="32"/>
          <w:szCs w:val="32"/>
          <w:lang w:val="en-US" w:eastAsia="zh-CN"/>
        </w:rPr>
        <w:t>采取双重管理、双向考核、三个挂钩的“223模式”，统筹条块力量，增强乡镇统筹协调能力，着力构建适应乡镇特点的基层治理体制机制。</w:t>
      </w:r>
      <w:r>
        <w:rPr>
          <w:rFonts w:hint="default" w:ascii="Times New Roman" w:hAnsi="Times New Roman" w:eastAsia="仿宋_GB2312" w:cs="Times New Roman"/>
          <w:spacing w:val="0"/>
          <w:sz w:val="32"/>
          <w:szCs w:val="32"/>
          <w:lang w:val="en-US" w:eastAsia="zh-CN"/>
        </w:rPr>
        <w:t>充分发挥编制资源使用效益4项任务务实有效。按照“3+1+N”模式优化调整了各镇编制资源，建立了两年一次动态调整机制，规范人员借调、上挂程序，切实加强乡镇在编人员管理。扁平化试点工作成效初显。选择三个</w:t>
      </w:r>
      <w:r>
        <w:rPr>
          <w:rFonts w:hint="default" w:ascii="Times New Roman" w:hAnsi="Times New Roman" w:eastAsia="仿宋_GB2312" w:cs="Times New Roman"/>
          <w:sz w:val="32"/>
          <w:szCs w:val="32"/>
          <w:lang w:val="en-US" w:eastAsia="zh-CN"/>
        </w:rPr>
        <w:t>镇试点，</w:t>
      </w:r>
      <w:r>
        <w:rPr>
          <w:rFonts w:hint="default" w:ascii="Times New Roman" w:hAnsi="Times New Roman" w:eastAsia="仿宋_GB2312" w:cs="Times New Roman"/>
          <w:sz w:val="32"/>
          <w:szCs w:val="32"/>
          <w:lang w:eastAsia="zh-CN"/>
        </w:rPr>
        <w:t>创新推行乡镇“一办一队三中心”运行机制，采取人员统筹使用、编制分类管理、“动人不动编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eastAsia="zh-CN"/>
        </w:rPr>
        <w:t>，将除镇党政领导班子成员以外</w:t>
      </w:r>
      <w:r>
        <w:rPr>
          <w:rFonts w:hint="default" w:ascii="Times New Roman" w:hAnsi="Times New Roman" w:eastAsia="仿宋_GB2312" w:cs="Times New Roman"/>
          <w:sz w:val="32"/>
          <w:szCs w:val="32"/>
          <w:lang w:eastAsia="zh-CN"/>
        </w:rPr>
        <w:t>的干部安排到相应模块岗位。通过机构大整合、部门大放权、构建大机制，建立了“五统一、三分开</w:t>
      </w:r>
      <w:r>
        <w:rPr>
          <w:rFonts w:hint="default" w:ascii="Times New Roman" w:hAnsi="Times New Roman" w:eastAsia="仿宋_GB2312" w:cs="Times New Roman"/>
          <w:color w:val="auto"/>
          <w:sz w:val="32"/>
          <w:szCs w:val="32"/>
          <w:lang w:eastAsia="zh-CN"/>
        </w:rPr>
        <w:t>”“六联”“三个一”工作运行机制，实现了人员统筹、效能提升。“一办一队三中心”</w:t>
      </w:r>
      <w:r>
        <w:rPr>
          <w:rFonts w:hint="default" w:ascii="Times New Roman" w:hAnsi="Times New Roman" w:eastAsia="仿宋_GB2312" w:cs="Times New Roman"/>
          <w:color w:val="auto"/>
          <w:sz w:val="32"/>
          <w:szCs w:val="32"/>
          <w:lang w:val="en-US" w:eastAsia="zh-CN"/>
        </w:rPr>
        <w:t>的经验做法被</w:t>
      </w:r>
      <w:r>
        <w:rPr>
          <w:rFonts w:hint="default" w:ascii="Times New Roman" w:hAnsi="Times New Roman" w:eastAsia="仿宋_GB2312" w:cs="Times New Roman"/>
          <w:color w:val="auto"/>
          <w:kern w:val="0"/>
          <w:sz w:val="32"/>
          <w:szCs w:val="32"/>
          <w:lang w:val="en-US" w:eastAsia="zh-CN" w:bidi="ar"/>
        </w:rPr>
        <w:t>中编办网站刊载，省内外10余县区学习借鉴。</w:t>
      </w:r>
      <w:r>
        <w:rPr>
          <w:rFonts w:hint="default" w:ascii="Times New Roman" w:hAnsi="Times New Roman" w:eastAsia="仿宋_GB2312" w:cs="Times New Roman"/>
          <w:b/>
          <w:bCs/>
          <w:spacing w:val="0"/>
          <w:sz w:val="32"/>
          <w:szCs w:val="32"/>
          <w:lang w:val="en-US" w:eastAsia="zh-CN"/>
        </w:rPr>
        <w:t>三是</w:t>
      </w:r>
      <w:r>
        <w:rPr>
          <w:rFonts w:hint="default" w:ascii="Times New Roman" w:hAnsi="Times New Roman" w:eastAsia="仿宋_GB2312" w:cs="Times New Roman"/>
          <w:spacing w:val="0"/>
          <w:sz w:val="32"/>
          <w:szCs w:val="32"/>
          <w:lang w:val="en-US" w:eastAsia="zh-CN"/>
        </w:rPr>
        <w:t>事业单位改革有序推进。多次组织召开会议专题研究部署，靶向研制各部门所属事业单</w:t>
      </w:r>
      <w:r>
        <w:rPr>
          <w:rFonts w:hint="default" w:ascii="Times New Roman" w:hAnsi="Times New Roman" w:eastAsia="仿宋_GB2312" w:cs="Times New Roman"/>
          <w:color w:val="auto"/>
          <w:kern w:val="0"/>
          <w:sz w:val="32"/>
          <w:szCs w:val="32"/>
          <w:lang w:val="en-US" w:eastAsia="zh-CN" w:bidi="ar"/>
        </w:rPr>
        <w:t>位改革方案。累计规范事业单位工作职责15个，更名34个，整合事业单位2个、撤销5个。以挖潜创新、盘活编制资源为目标，为新成立的6个事业单位及其他事业单位新增核定事业编制67名，促使有限的编制资源科学均衡配置。《昭化区“五聚焦”扎实推进事业单位改革与创新》被中编办网站刊载。</w:t>
      </w:r>
      <w:r>
        <w:rPr>
          <w:rFonts w:hint="default" w:ascii="Times New Roman" w:hAnsi="Times New Roman" w:eastAsia="仿宋_GB2312" w:cs="Times New Roman"/>
          <w:b/>
          <w:bCs/>
          <w:spacing w:val="0"/>
          <w:sz w:val="32"/>
          <w:szCs w:val="32"/>
          <w:lang w:val="en-US" w:eastAsia="zh-CN"/>
        </w:rPr>
        <w:t>四是</w:t>
      </w:r>
      <w:r>
        <w:rPr>
          <w:rFonts w:hint="default" w:ascii="Times New Roman" w:hAnsi="Times New Roman" w:eastAsia="仿宋_GB2312" w:cs="Times New Roman"/>
          <w:spacing w:val="0"/>
          <w:sz w:val="32"/>
          <w:szCs w:val="32"/>
          <w:lang w:val="en-US" w:eastAsia="zh-CN"/>
        </w:rPr>
        <w:t>园区建设管理迈上台阶。对区内小而散的各类园区进行清理、整合，</w:t>
      </w:r>
      <w:r>
        <w:rPr>
          <w:rFonts w:hint="default" w:ascii="Times New Roman" w:hAnsi="Times New Roman" w:eastAsia="仿宋_GB2312" w:cs="Times New Roman"/>
          <w:color w:val="auto"/>
          <w:kern w:val="0"/>
          <w:sz w:val="32"/>
          <w:szCs w:val="32"/>
          <w:lang w:val="en-US" w:eastAsia="zh-CN" w:bidi="ar"/>
        </w:rPr>
        <w:t>建立统一的管理机构，及时印发开发区“三定”规定，明确开发区管理机构领导职数及内设机构，合理界定开发区管理机构与当地党委、政府及其部门和乡镇（街道）职责边界，不断建立健全开发区治理协调配合机制。在开发区领导职数内配齐配强党工委副书记并设置党群工作办公室（在党政办公室挂牌），为充分发挥党组织在开发区发展和治理中的领导作用、在职工群众中的政治引领作用、在非公有制企业发展中的战斗堡垒作用提供了体制机制保障。</w:t>
      </w:r>
      <w:r>
        <w:rPr>
          <w:rFonts w:hint="default" w:ascii="Times New Roman" w:hAnsi="Times New Roman" w:eastAsia="仿宋_GB2312" w:cs="Times New Roman"/>
          <w:b/>
          <w:bCs/>
          <w:spacing w:val="0"/>
          <w:sz w:val="32"/>
          <w:szCs w:val="32"/>
          <w:lang w:val="en-US" w:eastAsia="zh-CN"/>
        </w:rPr>
        <w:t>五是</w:t>
      </w:r>
      <w:r>
        <w:rPr>
          <w:rFonts w:hint="default" w:ascii="Times New Roman" w:hAnsi="Times New Roman" w:eastAsia="仿宋_GB2312" w:cs="Times New Roman"/>
          <w:spacing w:val="0"/>
          <w:sz w:val="32"/>
          <w:szCs w:val="32"/>
          <w:lang w:val="en-US" w:eastAsia="zh-CN"/>
        </w:rPr>
        <w:t>严格落实事业单位法人公示信息抽查工作。</w:t>
      </w:r>
      <w:r>
        <w:rPr>
          <w:rFonts w:hint="default" w:ascii="Times New Roman" w:hAnsi="Times New Roman" w:eastAsia="仿宋_GB2312" w:cs="Times New Roman"/>
          <w:color w:val="auto"/>
          <w:kern w:val="0"/>
          <w:sz w:val="32"/>
          <w:szCs w:val="32"/>
          <w:lang w:val="en-US" w:eastAsia="zh-CN" w:bidi="ar"/>
        </w:rPr>
        <w:t>紧密跟进乡镇行政区划调整、综合行政执法、事业单位改革、重大防控体制建设进程，及时组织协调做好涉改党政机关统一社会信用代码赋码颁（换）证和改革涉及调整、整合、撤销事业单位登记管理工作。2021年，全区机关群团和事业单位累计设立登记14个，变更登记81个，注销登记2个，补领证书5个，确保了新老机构接替及时到位和颁(换)证工作平稳有序进行。</w:t>
      </w:r>
      <w:r>
        <w:rPr>
          <w:rFonts w:hint="default" w:ascii="Times New Roman" w:hAnsi="Times New Roman" w:eastAsia="仿宋_GB2312" w:cs="Times New Roman"/>
          <w:color w:val="auto"/>
          <w:sz w:val="32"/>
          <w:szCs w:val="32"/>
          <w:lang w:val="en-US" w:eastAsia="zh-CN"/>
        </w:rPr>
        <w:t>实行“不见面”登记赋码和试行简易注销登记，积极推进事业单位信用积分制管理试点、事业单位</w:t>
      </w:r>
      <w:r>
        <w:rPr>
          <w:rFonts w:hint="default" w:ascii="Times New Roman" w:hAnsi="Times New Roman" w:eastAsia="仿宋_GB2312" w:cs="Times New Roman"/>
          <w:color w:val="auto"/>
          <w:spacing w:val="0"/>
          <w:sz w:val="32"/>
          <w:szCs w:val="32"/>
          <w:highlight w:val="none"/>
          <w:lang w:val="en-US" w:eastAsia="zh-CN"/>
        </w:rPr>
        <w:t>绩效评估、</w:t>
      </w:r>
      <w:r>
        <w:rPr>
          <w:rFonts w:hint="default" w:ascii="Times New Roman" w:hAnsi="Times New Roman" w:eastAsia="仿宋_GB2312" w:cs="Times New Roman"/>
          <w:color w:val="auto"/>
          <w:spacing w:val="0"/>
          <w:sz w:val="32"/>
          <w:szCs w:val="32"/>
          <w:highlight w:val="none"/>
        </w:rPr>
        <w:t>事业</w:t>
      </w:r>
      <w:r>
        <w:rPr>
          <w:rFonts w:hint="default" w:ascii="Times New Roman" w:hAnsi="Times New Roman" w:eastAsia="仿宋_GB2312" w:cs="Times New Roman"/>
          <w:color w:val="auto"/>
          <w:spacing w:val="0"/>
          <w:sz w:val="32"/>
          <w:szCs w:val="32"/>
          <w:highlight w:val="none"/>
          <w:lang w:eastAsia="zh-CN"/>
        </w:rPr>
        <w:t>单位</w:t>
      </w:r>
      <w:r>
        <w:rPr>
          <w:rFonts w:hint="default" w:ascii="Times New Roman" w:hAnsi="Times New Roman" w:eastAsia="仿宋_GB2312" w:cs="Times New Roman"/>
          <w:color w:val="auto"/>
          <w:spacing w:val="0"/>
          <w:sz w:val="32"/>
          <w:szCs w:val="32"/>
          <w:highlight w:val="none"/>
        </w:rPr>
        <w:t>法人年度报告公示及公示信息抽查</w:t>
      </w:r>
      <w:r>
        <w:rPr>
          <w:rFonts w:hint="default" w:ascii="Times New Roman" w:hAnsi="Times New Roman" w:eastAsia="仿宋_GB2312" w:cs="Times New Roman"/>
          <w:color w:val="auto"/>
          <w:spacing w:val="0"/>
          <w:sz w:val="32"/>
          <w:szCs w:val="32"/>
          <w:highlight w:val="none"/>
          <w:lang w:val="en-US" w:eastAsia="zh-CN"/>
        </w:rPr>
        <w:t>工作，进一步提高办事效率和</w:t>
      </w:r>
      <w:r>
        <w:rPr>
          <w:rFonts w:hint="default" w:ascii="Times New Roman" w:hAnsi="Times New Roman" w:eastAsia="仿宋_GB2312" w:cs="Times New Roman"/>
          <w:color w:val="auto"/>
          <w:sz w:val="32"/>
          <w:szCs w:val="32"/>
          <w:lang w:val="en-US" w:eastAsia="zh-CN"/>
        </w:rPr>
        <w:t>服务质量，更加高效地提供公益服务。</w:t>
      </w:r>
      <w:r>
        <w:rPr>
          <w:rFonts w:hint="default" w:ascii="Times New Roman" w:hAnsi="Times New Roman" w:eastAsia="仿宋_GB2312" w:cs="Times New Roman"/>
          <w:b/>
          <w:bCs/>
          <w:spacing w:val="0"/>
          <w:sz w:val="32"/>
          <w:szCs w:val="32"/>
          <w:lang w:val="en-US" w:eastAsia="zh-CN"/>
        </w:rPr>
        <w:t>六是</w:t>
      </w:r>
      <w:r>
        <w:rPr>
          <w:rFonts w:hint="default" w:ascii="Times New Roman" w:hAnsi="Times New Roman" w:eastAsia="仿宋_GB2312" w:cs="Times New Roman"/>
          <w:spacing w:val="0"/>
          <w:sz w:val="32"/>
          <w:szCs w:val="32"/>
          <w:lang w:val="en-US" w:eastAsia="zh-CN"/>
        </w:rPr>
        <w:t>着力推动机构编制资源挖潜增效。牵</w:t>
      </w:r>
      <w:r>
        <w:rPr>
          <w:rFonts w:hint="default" w:ascii="Times New Roman" w:hAnsi="Times New Roman" w:eastAsia="仿宋_GB2312" w:cs="Times New Roman"/>
          <w:color w:val="auto"/>
          <w:sz w:val="32"/>
          <w:szCs w:val="32"/>
          <w:lang w:val="en-US" w:eastAsia="zh-CN"/>
        </w:rPr>
        <w:t>头完成了森林防灭火体制机制和党政责任落实专项整治工作，《昭化区委编办“四举措”完善森林防灭火体制机制》工作经验被中国机构编制网刊载。完善了区级有关部门应急管理职责体系，着力</w:t>
      </w:r>
      <w:r>
        <w:rPr>
          <w:rFonts w:hint="default" w:ascii="Times New Roman" w:hAnsi="Times New Roman" w:eastAsia="仿宋_GB2312" w:cs="Times New Roman"/>
          <w:color w:val="auto"/>
          <w:sz w:val="32"/>
          <w:szCs w:val="32"/>
          <w:lang w:eastAsia="zh-CN"/>
        </w:rPr>
        <w:t>为依法治区示范试点工作提供机构编制保障。</w:t>
      </w:r>
      <w:r>
        <w:rPr>
          <w:rFonts w:hint="default" w:ascii="Times New Roman" w:hAnsi="Times New Roman" w:eastAsia="仿宋_GB2312" w:cs="Times New Roman"/>
          <w:color w:val="auto"/>
          <w:sz w:val="32"/>
          <w:szCs w:val="32"/>
          <w:lang w:val="en-US" w:eastAsia="zh-CN"/>
        </w:rPr>
        <w:t>优化</w:t>
      </w:r>
      <w:r>
        <w:rPr>
          <w:rFonts w:hint="default" w:ascii="Times New Roman" w:hAnsi="Times New Roman" w:eastAsia="仿宋_GB2312" w:cs="Times New Roman"/>
          <w:color w:val="auto"/>
          <w:sz w:val="32"/>
          <w:szCs w:val="32"/>
          <w:lang w:eastAsia="zh-CN"/>
        </w:rPr>
        <w:t>调整区乡村振兴工作机构，</w:t>
      </w:r>
      <w:r>
        <w:rPr>
          <w:rFonts w:hint="default" w:ascii="Times New Roman" w:hAnsi="Times New Roman" w:eastAsia="仿宋_GB2312" w:cs="Times New Roman"/>
          <w:color w:val="auto"/>
          <w:sz w:val="32"/>
          <w:szCs w:val="32"/>
          <w:lang w:val="en-US" w:eastAsia="zh-CN"/>
        </w:rPr>
        <w:t>加强乡镇乡村振兴办公室和农业服务中心设置，规范健全乡镇畜牧兽医站工作机制，</w:t>
      </w:r>
      <w:r>
        <w:rPr>
          <w:rFonts w:hint="default" w:ascii="Times New Roman" w:hAnsi="Times New Roman" w:eastAsia="仿宋_GB2312" w:cs="Times New Roman"/>
          <w:color w:val="auto"/>
          <w:sz w:val="32"/>
          <w:szCs w:val="32"/>
          <w:lang w:eastAsia="zh-CN"/>
        </w:rPr>
        <w:t>确保了</w:t>
      </w:r>
      <w:bookmarkStart w:id="68" w:name="_GoBack"/>
      <w:bookmarkEnd w:id="68"/>
      <w:r>
        <w:rPr>
          <w:rFonts w:hint="eastAsia" w:eastAsia="仿宋_GB2312" w:cs="Times New Roman"/>
          <w:color w:val="auto"/>
          <w:sz w:val="32"/>
          <w:szCs w:val="32"/>
          <w:lang w:eastAsia="zh-CN"/>
        </w:rPr>
        <w:t>巩固拓展脱贫攻坚成果同乡村振兴有效衔接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sz w:val="32"/>
          <w:szCs w:val="32"/>
          <w:lang w:val="en-US" w:eastAsia="zh-CN"/>
        </w:rPr>
        <w:t>用好用活空缺编制，年内</w:t>
      </w:r>
      <w:r>
        <w:rPr>
          <w:rFonts w:hint="default" w:ascii="Times New Roman" w:hAnsi="Times New Roman" w:eastAsia="仿宋_GB2312" w:cs="Times New Roman"/>
          <w:color w:val="auto"/>
          <w:spacing w:val="0"/>
          <w:sz w:val="32"/>
          <w:szCs w:val="32"/>
        </w:rPr>
        <w:t>共计招考</w:t>
      </w:r>
      <w:r>
        <w:rPr>
          <w:rFonts w:hint="default" w:ascii="Times New Roman" w:hAnsi="Times New Roman" w:eastAsia="仿宋_GB2312" w:cs="Times New Roman"/>
          <w:color w:val="auto"/>
          <w:spacing w:val="0"/>
          <w:sz w:val="32"/>
          <w:szCs w:val="32"/>
          <w:lang w:val="en-US" w:eastAsia="zh-CN"/>
        </w:rPr>
        <w:t>公务员47人、</w:t>
      </w:r>
      <w:r>
        <w:rPr>
          <w:rFonts w:hint="default" w:ascii="Times New Roman" w:hAnsi="Times New Roman" w:eastAsia="仿宋_GB2312" w:cs="Times New Roman"/>
          <w:color w:val="auto"/>
          <w:spacing w:val="0"/>
          <w:sz w:val="32"/>
          <w:szCs w:val="32"/>
        </w:rPr>
        <w:t>事业干部</w:t>
      </w:r>
      <w:r>
        <w:rPr>
          <w:rFonts w:hint="default" w:ascii="Times New Roman" w:hAnsi="Times New Roman" w:eastAsia="仿宋_GB2312" w:cs="Times New Roman"/>
          <w:color w:val="auto"/>
          <w:spacing w:val="0"/>
          <w:sz w:val="32"/>
          <w:szCs w:val="32"/>
          <w:lang w:val="en-US" w:eastAsia="zh-CN"/>
        </w:rPr>
        <w:t>88</w:t>
      </w:r>
      <w:r>
        <w:rPr>
          <w:rFonts w:hint="default" w:ascii="Times New Roman" w:hAnsi="Times New Roman" w:eastAsia="仿宋_GB2312" w:cs="Times New Roman"/>
          <w:color w:val="auto"/>
          <w:spacing w:val="0"/>
          <w:sz w:val="32"/>
          <w:szCs w:val="32"/>
        </w:rPr>
        <w:t>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其中7人参公管理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，引进急需紧缺高层次人才</w:t>
      </w:r>
      <w:r>
        <w:rPr>
          <w:rFonts w:hint="default" w:ascii="Times New Roman" w:hAnsi="Times New Roman" w:eastAsia="仿宋_GB2312" w:cs="Times New Roman"/>
          <w:color w:val="auto"/>
          <w:spacing w:val="0"/>
          <w:sz w:val="32"/>
          <w:szCs w:val="32"/>
          <w:lang w:val="en-US" w:eastAsia="zh-CN"/>
        </w:rPr>
        <w:t>62</w:t>
      </w:r>
      <w:r>
        <w:rPr>
          <w:rFonts w:hint="default" w:ascii="Times New Roman" w:hAnsi="Times New Roman" w:eastAsia="仿宋_GB2312" w:cs="Times New Roman"/>
          <w:color w:val="auto"/>
          <w:spacing w:val="0"/>
          <w:sz w:val="32"/>
          <w:szCs w:val="32"/>
        </w:rPr>
        <w:t>人，</w:t>
      </w:r>
      <w:r>
        <w:rPr>
          <w:rFonts w:hint="default" w:ascii="Times New Roman" w:hAnsi="Times New Roman" w:eastAsia="仿宋_GB2312" w:cs="Times New Roman"/>
          <w:color w:val="auto"/>
          <w:spacing w:val="0"/>
          <w:sz w:val="32"/>
          <w:szCs w:val="32"/>
          <w:lang w:val="en-US" w:eastAsia="zh-CN"/>
        </w:rPr>
        <w:t>“三支一扶”和“西部志愿者”安置12人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安置退伍军人6名（事业上安置为包括机关工勤编制安置），一线工作力量进一步得到保障</w:t>
      </w:r>
      <w:r>
        <w:rPr>
          <w:rFonts w:hint="default" w:ascii="Times New Roman" w:hAnsi="Times New Roman" w:eastAsia="仿宋_GB2312" w:cs="Times New Roman"/>
          <w:color w:val="auto"/>
          <w:spacing w:val="0"/>
          <w:sz w:val="32"/>
          <w:szCs w:val="32"/>
        </w:rPr>
        <w:t>。按照</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撤</w:t>
      </w:r>
      <w:r>
        <w:rPr>
          <w:rFonts w:hint="default" w:ascii="Times New Roman" w:hAnsi="Times New Roman" w:eastAsia="仿宋_GB2312" w:cs="Times New Roman"/>
          <w:color w:val="auto"/>
          <w:spacing w:val="0"/>
          <w:sz w:val="32"/>
          <w:szCs w:val="32"/>
        </w:rPr>
        <w:t>一建一</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的原则，</w:t>
      </w:r>
      <w:r>
        <w:rPr>
          <w:rFonts w:hint="default" w:ascii="Times New Roman" w:hAnsi="Times New Roman" w:eastAsia="仿宋_GB2312" w:cs="Times New Roman"/>
          <w:color w:val="auto"/>
          <w:spacing w:val="0"/>
          <w:sz w:val="32"/>
          <w:szCs w:val="32"/>
          <w:lang w:val="en-US" w:eastAsia="zh-CN"/>
        </w:rPr>
        <w:t>将</w:t>
      </w:r>
      <w:r>
        <w:rPr>
          <w:rFonts w:hint="default" w:ascii="Times New Roman" w:hAnsi="Times New Roman" w:eastAsia="仿宋_GB2312" w:cs="Times New Roman"/>
          <w:color w:val="auto"/>
          <w:spacing w:val="0"/>
          <w:sz w:val="32"/>
          <w:szCs w:val="32"/>
          <w:lang w:eastAsia="zh-CN"/>
        </w:rPr>
        <w:t>区直属机关党建事务中心、区人民医院、</w:t>
      </w:r>
      <w:r>
        <w:rPr>
          <w:rFonts w:hint="default" w:ascii="Times New Roman" w:hAnsi="Times New Roman" w:eastAsia="仿宋_GB2312" w:cs="Times New Roman"/>
          <w:color w:val="auto"/>
          <w:spacing w:val="0"/>
          <w:sz w:val="32"/>
          <w:szCs w:val="32"/>
          <w:lang w:val="en-US" w:eastAsia="zh-CN"/>
        </w:rPr>
        <w:t>区疾病预防控制中心3个</w:t>
      </w:r>
      <w:r>
        <w:rPr>
          <w:rFonts w:hint="default" w:ascii="Times New Roman" w:hAnsi="Times New Roman" w:eastAsia="仿宋_GB2312" w:cs="Times New Roman"/>
          <w:color w:val="auto"/>
          <w:spacing w:val="0"/>
          <w:sz w:val="32"/>
          <w:szCs w:val="32"/>
          <w:lang w:eastAsia="zh-CN"/>
        </w:rPr>
        <w:t>事业单位</w:t>
      </w:r>
      <w:r>
        <w:rPr>
          <w:rFonts w:hint="default" w:ascii="Times New Roman" w:hAnsi="Times New Roman" w:eastAsia="仿宋_GB2312" w:cs="Times New Roman"/>
          <w:color w:val="auto"/>
          <w:spacing w:val="0"/>
          <w:sz w:val="32"/>
          <w:szCs w:val="32"/>
        </w:rPr>
        <w:t>主要负责人</w:t>
      </w:r>
      <w:r>
        <w:rPr>
          <w:rFonts w:hint="default" w:ascii="Times New Roman" w:hAnsi="Times New Roman" w:eastAsia="仿宋_GB2312" w:cs="Times New Roman"/>
          <w:color w:val="auto"/>
          <w:spacing w:val="0"/>
          <w:sz w:val="32"/>
          <w:szCs w:val="32"/>
          <w:lang w:val="en-US" w:eastAsia="zh-CN"/>
        </w:rPr>
        <w:t>职级明确为正科级，将</w:t>
      </w:r>
      <w:r>
        <w:rPr>
          <w:rFonts w:hint="default" w:ascii="Times New Roman" w:hAnsi="Times New Roman" w:eastAsia="仿宋_GB2312" w:cs="Times New Roman"/>
          <w:color w:val="auto"/>
          <w:spacing w:val="0"/>
          <w:sz w:val="32"/>
          <w:szCs w:val="32"/>
        </w:rPr>
        <w:t>区</w:t>
      </w:r>
      <w:r>
        <w:rPr>
          <w:rFonts w:hint="default" w:ascii="Times New Roman" w:hAnsi="Times New Roman" w:eastAsia="仿宋_GB2312" w:cs="Times New Roman"/>
          <w:color w:val="auto"/>
          <w:spacing w:val="0"/>
          <w:sz w:val="32"/>
          <w:szCs w:val="32"/>
          <w:lang w:val="en-US" w:eastAsia="zh-CN"/>
        </w:rPr>
        <w:t>医疗保障事务中心等10个事业单位</w:t>
      </w:r>
      <w:r>
        <w:rPr>
          <w:rFonts w:hint="default" w:ascii="Times New Roman" w:hAnsi="Times New Roman" w:eastAsia="仿宋_GB2312" w:cs="Times New Roman"/>
          <w:color w:val="auto"/>
          <w:spacing w:val="0"/>
          <w:sz w:val="32"/>
          <w:szCs w:val="32"/>
        </w:rPr>
        <w:t>主要负责人</w:t>
      </w:r>
      <w:r>
        <w:rPr>
          <w:rFonts w:hint="default" w:ascii="Times New Roman" w:hAnsi="Times New Roman" w:eastAsia="仿宋_GB2312" w:cs="Times New Roman"/>
          <w:color w:val="auto"/>
          <w:spacing w:val="0"/>
          <w:sz w:val="32"/>
          <w:szCs w:val="32"/>
          <w:lang w:val="en-US" w:eastAsia="zh-CN"/>
        </w:rPr>
        <w:t>职级明确为</w:t>
      </w:r>
      <w:r>
        <w:rPr>
          <w:rFonts w:hint="default" w:ascii="Times New Roman" w:hAnsi="Times New Roman" w:eastAsia="仿宋_GB2312" w:cs="Times New Roman"/>
          <w:color w:val="auto"/>
          <w:spacing w:val="0"/>
          <w:sz w:val="32"/>
          <w:szCs w:val="32"/>
        </w:rPr>
        <w:t>副科级。为</w:t>
      </w:r>
      <w:r>
        <w:rPr>
          <w:rFonts w:hint="default" w:ascii="Times New Roman" w:hAnsi="Times New Roman" w:eastAsia="仿宋_GB2312" w:cs="Times New Roman"/>
          <w:color w:val="auto"/>
          <w:spacing w:val="0"/>
          <w:sz w:val="32"/>
          <w:szCs w:val="32"/>
          <w:lang w:eastAsia="zh-CN"/>
        </w:rPr>
        <w:t>区直属机关党建事务中心</w:t>
      </w:r>
      <w:r>
        <w:rPr>
          <w:rFonts w:hint="default" w:ascii="Times New Roman" w:hAnsi="Times New Roman" w:eastAsia="仿宋_GB2312" w:cs="Times New Roman"/>
          <w:color w:val="auto"/>
          <w:spacing w:val="0"/>
          <w:sz w:val="32"/>
          <w:szCs w:val="32"/>
          <w:lang w:val="en-US" w:eastAsia="zh-CN"/>
        </w:rPr>
        <w:t>等区级机关事业单位增核科级领导职数19名</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不断优化科级机构及职数设置。</w:t>
      </w:r>
    </w:p>
    <w:p w14:paraId="61262C67">
      <w:pPr>
        <w:pStyle w:val="2"/>
        <w:keepNext w:val="0"/>
        <w:keepLines w:val="0"/>
        <w:pageBreakBefore w:val="0"/>
        <w:widowControl w:val="0"/>
        <w:kinsoku/>
        <w:wordWrap/>
        <w:overflowPunct/>
        <w:topLinePunct w:val="0"/>
        <w:autoSpaceDE/>
        <w:autoSpaceDN/>
        <w:bidi w:val="0"/>
        <w:adjustRightInd/>
        <w:snapToGrid/>
        <w:spacing w:beforeLines="0"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1"/>
          <w:szCs w:val="31"/>
          <w:shd w:val="clear" w:fill="FFFFFF"/>
        </w:rPr>
      </w:pPr>
      <w:r>
        <w:rPr>
          <w:rFonts w:hint="eastAsia" w:ascii="Times New Roman" w:eastAsia="楷体_GB2312" w:cs="Times New Roman"/>
          <w:b w:val="0"/>
          <w:bCs w:val="0"/>
          <w:color w:val="auto"/>
          <w:kern w:val="2"/>
          <w:sz w:val="32"/>
          <w:szCs w:val="32"/>
          <w:lang w:val="en-US" w:eastAsia="zh-CN" w:bidi="ar-SA"/>
        </w:rPr>
        <w:t>3.</w:t>
      </w:r>
      <w:r>
        <w:rPr>
          <w:rFonts w:hint="default" w:ascii="Times New Roman" w:hAnsi="Times New Roman" w:eastAsia="楷体_GB2312" w:cs="Times New Roman"/>
          <w:b w:val="0"/>
          <w:bCs w:val="0"/>
          <w:color w:val="auto"/>
          <w:kern w:val="2"/>
          <w:sz w:val="32"/>
          <w:szCs w:val="32"/>
          <w:lang w:val="en-US" w:eastAsia="zh-CN" w:bidi="ar-SA"/>
        </w:rPr>
        <w:t>紧扣全面从严，力促议事协调机构规范管理。</w:t>
      </w:r>
      <w:r>
        <w:rPr>
          <w:rFonts w:hint="default" w:ascii="Times New Roman" w:hAnsi="Times New Roman" w:eastAsia="仿宋_GB2312" w:cs="Times New Roman"/>
          <w:b/>
          <w:bCs/>
          <w:spacing w:val="0"/>
          <w:kern w:val="2"/>
          <w:sz w:val="32"/>
          <w:szCs w:val="32"/>
          <w:lang w:val="en-US" w:eastAsia="zh-CN" w:bidi="ar-SA"/>
        </w:rPr>
        <w:t>一是</w:t>
      </w:r>
      <w:r>
        <w:rPr>
          <w:rFonts w:hint="default" w:ascii="Times New Roman" w:hAnsi="Times New Roman" w:eastAsia="仿宋_GB2312" w:cs="Times New Roman"/>
          <w:spacing w:val="0"/>
          <w:kern w:val="2"/>
          <w:sz w:val="32"/>
          <w:szCs w:val="32"/>
          <w:lang w:val="en-US" w:eastAsia="zh-CN" w:bidi="ar-SA"/>
        </w:rPr>
        <w:t>及时清理规范。2018年我区清理规范议事协调机构214个，其中</w:t>
      </w:r>
      <w:r>
        <w:rPr>
          <w:rFonts w:hint="default" w:ascii="Times New Roman" w:hAnsi="Times New Roman" w:eastAsia="仿宋_GB2312" w:cs="Times New Roman"/>
          <w:color w:val="auto"/>
          <w:kern w:val="2"/>
          <w:sz w:val="32"/>
          <w:szCs w:val="32"/>
          <w:lang w:val="en-US" w:eastAsia="zh-CN" w:bidi="ar-SA"/>
        </w:rPr>
        <w:t>撤销133个，保留65个，整合10个，更名6个，现有区级议事协调机构140个，主要涵盖党的建设、重大产业和重点项目、社会民生和公共服务、乡村振兴、生态环保等多领域，为跨部门联合推进全区重点工作任务提供了有力保障。随着区镇换届工作基本结束，启动了新一轮清理规范调整工作。</w:t>
      </w:r>
      <w:r>
        <w:rPr>
          <w:rFonts w:hint="default" w:ascii="Times New Roman" w:hAnsi="Times New Roman" w:eastAsia="仿宋_GB2312" w:cs="Times New Roman"/>
          <w:b/>
          <w:bCs/>
          <w:spacing w:val="0"/>
          <w:kern w:val="2"/>
          <w:sz w:val="32"/>
          <w:szCs w:val="32"/>
          <w:lang w:val="en-US" w:eastAsia="zh-CN" w:bidi="ar-SA"/>
        </w:rPr>
        <w:t>二是</w:t>
      </w:r>
      <w:r>
        <w:rPr>
          <w:rFonts w:hint="default" w:ascii="Times New Roman" w:hAnsi="Times New Roman" w:eastAsia="仿宋_GB2312" w:cs="Times New Roman"/>
          <w:spacing w:val="0"/>
          <w:kern w:val="2"/>
          <w:sz w:val="32"/>
          <w:szCs w:val="32"/>
          <w:lang w:val="en-US" w:eastAsia="zh-CN" w:bidi="ar-SA"/>
        </w:rPr>
        <w:t>规范建章立制。</w:t>
      </w:r>
      <w:r>
        <w:rPr>
          <w:rFonts w:hint="default" w:ascii="Times New Roman" w:hAnsi="Times New Roman" w:eastAsia="仿宋_GB2312" w:cs="Times New Roman"/>
          <w:b w:val="0"/>
          <w:bCs w:val="0"/>
          <w:i w:val="0"/>
          <w:iCs w:val="0"/>
          <w:caps w:val="0"/>
          <w:color w:val="000000"/>
          <w:spacing w:val="0"/>
          <w:sz w:val="31"/>
          <w:szCs w:val="31"/>
          <w:shd w:val="clear" w:fill="FFFFFF"/>
          <w:lang w:val="en-US" w:eastAsia="zh-CN"/>
        </w:rPr>
        <w:t>根据清理情况，</w:t>
      </w:r>
      <w:r>
        <w:rPr>
          <w:rFonts w:hint="default" w:ascii="Times New Roman" w:hAnsi="Times New Roman" w:eastAsia="仿宋_GB2312" w:cs="Times New Roman"/>
          <w:color w:val="auto"/>
          <w:kern w:val="2"/>
          <w:sz w:val="32"/>
          <w:szCs w:val="32"/>
          <w:lang w:val="en-US" w:eastAsia="zh-CN" w:bidi="ar-SA"/>
        </w:rPr>
        <w:t>遵循依法依规、从严从紧、精简高效、务实管用的原则，严格落实《区级议事协调机构管理实施细则》“四设四不设”要求和“部门提出、编办审核、领导审定”程序，为区级议事协调机构管理提供遵循。</w:t>
      </w:r>
      <w:r>
        <w:rPr>
          <w:rFonts w:hint="default" w:ascii="Times New Roman" w:hAnsi="Times New Roman" w:eastAsia="仿宋_GB2312" w:cs="Times New Roman"/>
          <w:b/>
          <w:bCs/>
          <w:spacing w:val="0"/>
          <w:kern w:val="2"/>
          <w:sz w:val="32"/>
          <w:szCs w:val="32"/>
          <w:lang w:val="en-US" w:eastAsia="zh-CN" w:bidi="ar-SA"/>
        </w:rPr>
        <w:t>三是</w:t>
      </w:r>
      <w:r>
        <w:rPr>
          <w:rFonts w:hint="default" w:ascii="Times New Roman" w:hAnsi="Times New Roman" w:eastAsia="仿宋_GB2312" w:cs="Times New Roman"/>
          <w:spacing w:val="0"/>
          <w:kern w:val="2"/>
          <w:sz w:val="32"/>
          <w:szCs w:val="32"/>
          <w:lang w:val="en-US" w:eastAsia="zh-CN" w:bidi="ar-SA"/>
        </w:rPr>
        <w:t>强化运行监管。督</w:t>
      </w:r>
      <w:r>
        <w:rPr>
          <w:rFonts w:hint="default" w:ascii="Times New Roman" w:hAnsi="Times New Roman" w:eastAsia="仿宋_GB2312" w:cs="Times New Roman"/>
          <w:color w:val="auto"/>
          <w:kern w:val="2"/>
          <w:sz w:val="32"/>
          <w:szCs w:val="32"/>
          <w:lang w:val="en-US" w:eastAsia="zh-CN" w:bidi="ar-SA"/>
        </w:rPr>
        <w:t>促议事协调机构制定工作规则和工作细则，健全完善会议制度，规范运行程序，高效开展工作。会同</w:t>
      </w:r>
      <w:r>
        <w:rPr>
          <w:rFonts w:hint="default" w:ascii="Times New Roman" w:hAnsi="Times New Roman" w:eastAsia="仿宋_GB2312" w:cs="Times New Roman"/>
          <w:i w:val="0"/>
          <w:iCs w:val="0"/>
          <w:caps w:val="0"/>
          <w:color w:val="000000"/>
          <w:spacing w:val="0"/>
          <w:sz w:val="31"/>
          <w:szCs w:val="31"/>
          <w:shd w:val="clear" w:fill="FFFFFF"/>
          <w:lang w:val="en-US" w:eastAsia="zh-CN"/>
        </w:rPr>
        <w:t>区委办、区政府办、区目标绩效事务中心，加强</w:t>
      </w:r>
      <w:r>
        <w:rPr>
          <w:rFonts w:hint="default" w:ascii="Times New Roman" w:hAnsi="Times New Roman" w:eastAsia="仿宋_GB2312" w:cs="Times New Roman"/>
          <w:i w:val="0"/>
          <w:iCs w:val="0"/>
          <w:caps w:val="0"/>
          <w:color w:val="000000"/>
          <w:spacing w:val="0"/>
          <w:sz w:val="31"/>
          <w:szCs w:val="31"/>
          <w:shd w:val="clear" w:fill="FFFFFF"/>
        </w:rPr>
        <w:t>联合监督检查，</w:t>
      </w:r>
      <w:r>
        <w:rPr>
          <w:rFonts w:hint="default" w:ascii="Times New Roman" w:hAnsi="Times New Roman" w:eastAsia="仿宋_GB2312" w:cs="Times New Roman"/>
          <w:i w:val="0"/>
          <w:iCs w:val="0"/>
          <w:caps w:val="0"/>
          <w:color w:val="000000"/>
          <w:spacing w:val="0"/>
          <w:sz w:val="31"/>
          <w:szCs w:val="31"/>
          <w:shd w:val="clear" w:fill="FFFFFF"/>
          <w:lang w:val="en-US" w:eastAsia="zh-CN"/>
        </w:rPr>
        <w:t>建立动态调整机制，</w:t>
      </w:r>
      <w:r>
        <w:rPr>
          <w:rFonts w:hint="default" w:ascii="Times New Roman" w:hAnsi="Times New Roman" w:eastAsia="仿宋_GB2312" w:cs="Times New Roman"/>
          <w:i w:val="0"/>
          <w:iCs w:val="0"/>
          <w:caps w:val="0"/>
          <w:color w:val="000000"/>
          <w:spacing w:val="0"/>
          <w:sz w:val="31"/>
          <w:szCs w:val="31"/>
          <w:shd w:val="clear" w:fill="FFFFFF"/>
        </w:rPr>
        <w:t>促进议事协调机构设置更加科学、运行更加高效、管理更加规范。</w:t>
      </w:r>
    </w:p>
    <w:p w14:paraId="7644B577">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sz w:val="31"/>
          <w:szCs w:val="31"/>
          <w:shd w:val="clear" w:fill="FFFFFF"/>
        </w:rPr>
      </w:pPr>
      <w:r>
        <w:rPr>
          <w:rFonts w:hint="eastAsia" w:eastAsia="楷体_GB2312" w:cs="Times New Roman"/>
          <w:b w:val="0"/>
          <w:bCs w:val="0"/>
          <w:color w:val="auto"/>
          <w:sz w:val="32"/>
          <w:szCs w:val="32"/>
          <w:lang w:val="en-US" w:eastAsia="zh-CN"/>
        </w:rPr>
        <w:t>4.</w:t>
      </w:r>
      <w:r>
        <w:rPr>
          <w:rFonts w:hint="default" w:ascii="Times New Roman" w:hAnsi="Times New Roman" w:eastAsia="楷体_GB2312" w:cs="Times New Roman"/>
          <w:b w:val="0"/>
          <w:bCs w:val="0"/>
          <w:color w:val="auto"/>
          <w:sz w:val="32"/>
          <w:szCs w:val="32"/>
          <w:lang w:val="en-US" w:eastAsia="zh-CN"/>
        </w:rPr>
        <w:t>守住红线底线，切实维护机构编制权威性。</w:t>
      </w:r>
      <w:r>
        <w:rPr>
          <w:rFonts w:hint="default" w:ascii="Times New Roman" w:hAnsi="Times New Roman" w:eastAsia="仿宋_GB2312" w:cs="Times New Roman"/>
          <w:b/>
          <w:bCs/>
          <w:spacing w:val="0"/>
          <w:sz w:val="32"/>
          <w:szCs w:val="32"/>
          <w:lang w:val="en-US" w:eastAsia="zh-CN"/>
        </w:rPr>
        <w:t>一是</w:t>
      </w:r>
      <w:r>
        <w:rPr>
          <w:rFonts w:hint="default" w:ascii="Times New Roman" w:hAnsi="Times New Roman" w:eastAsia="仿宋_GB2312" w:cs="Times New Roman"/>
          <w:spacing w:val="0"/>
          <w:sz w:val="32"/>
          <w:szCs w:val="32"/>
          <w:lang w:val="en-US" w:eastAsia="zh-CN"/>
        </w:rPr>
        <w:t>严格落实机构设置、编制和领导职数配备相关规定。完善部门机构</w:t>
      </w:r>
      <w:r>
        <w:rPr>
          <w:rFonts w:hint="default" w:ascii="Times New Roman" w:hAnsi="Times New Roman" w:eastAsia="仿宋_GB2312" w:cs="Times New Roman"/>
          <w:color w:val="auto"/>
          <w:sz w:val="32"/>
          <w:szCs w:val="32"/>
          <w:lang w:val="en-US" w:eastAsia="zh-CN"/>
        </w:rPr>
        <w:t>编制申报事项流程和内部运行程序，确保送审意见论证充分，依法有序。</w:t>
      </w:r>
      <w:r>
        <w:rPr>
          <w:rFonts w:hint="default" w:ascii="Times New Roman" w:hAnsi="Times New Roman" w:eastAsia="仿宋_GB2312" w:cs="Times New Roman"/>
          <w:b/>
          <w:bCs/>
          <w:spacing w:val="0"/>
          <w:sz w:val="32"/>
          <w:szCs w:val="32"/>
          <w:lang w:val="en-US" w:eastAsia="zh-CN"/>
        </w:rPr>
        <w:t>二是</w:t>
      </w:r>
      <w:r>
        <w:rPr>
          <w:rFonts w:hint="default" w:ascii="Times New Roman" w:hAnsi="Times New Roman" w:eastAsia="仿宋_GB2312" w:cs="Times New Roman"/>
          <w:spacing w:val="0"/>
          <w:sz w:val="32"/>
          <w:szCs w:val="32"/>
          <w:lang w:val="en-US" w:eastAsia="zh-CN"/>
        </w:rPr>
        <w:t>严格编制使用事前审批。把好财</w:t>
      </w:r>
      <w:r>
        <w:rPr>
          <w:rFonts w:hint="default" w:ascii="Times New Roman" w:hAnsi="Times New Roman" w:eastAsia="仿宋_GB2312" w:cs="Times New Roman"/>
          <w:color w:val="auto"/>
          <w:sz w:val="32"/>
          <w:szCs w:val="32"/>
          <w:lang w:val="en-US" w:eastAsia="zh-CN"/>
        </w:rPr>
        <w:t>政供养人员“入口关”，切实发挥机构编制作为“总闸门”的管控作用。</w:t>
      </w:r>
      <w:r>
        <w:rPr>
          <w:rFonts w:hint="default" w:ascii="Times New Roman" w:hAnsi="Times New Roman" w:eastAsia="仿宋_GB2312" w:cs="Times New Roman"/>
          <w:b/>
          <w:bCs/>
          <w:spacing w:val="0"/>
          <w:sz w:val="32"/>
          <w:szCs w:val="32"/>
          <w:lang w:val="en-US" w:eastAsia="zh-CN"/>
        </w:rPr>
        <w:t>三是</w:t>
      </w:r>
      <w:r>
        <w:rPr>
          <w:rFonts w:hint="default" w:ascii="Times New Roman" w:hAnsi="Times New Roman" w:eastAsia="仿宋_GB2312" w:cs="Times New Roman"/>
          <w:spacing w:val="0"/>
          <w:sz w:val="32"/>
          <w:szCs w:val="32"/>
          <w:lang w:val="en-US" w:eastAsia="zh-CN"/>
        </w:rPr>
        <w:t>严格落实机构编制报告制度。按照相关程序及规定，及时收集统计</w:t>
      </w:r>
      <w:r>
        <w:rPr>
          <w:rFonts w:hint="default" w:ascii="Times New Roman" w:hAnsi="Times New Roman" w:eastAsia="仿宋_GB2312" w:cs="Times New Roman"/>
          <w:color w:val="auto"/>
          <w:sz w:val="32"/>
          <w:szCs w:val="32"/>
          <w:lang w:val="en-US" w:eastAsia="zh-CN"/>
        </w:rPr>
        <w:t>各镇党委、区级各部门党组报送的年度机构设置、编制和领导职数管理情况，按时向区委和市委编委报送机构编制管理情况，无瞒报、虚报、漏报情形。</w:t>
      </w:r>
      <w:r>
        <w:rPr>
          <w:rFonts w:hint="default" w:ascii="Times New Roman" w:hAnsi="Times New Roman" w:eastAsia="仿宋_GB2312" w:cs="Times New Roman"/>
          <w:b/>
          <w:bCs/>
          <w:spacing w:val="0"/>
          <w:sz w:val="32"/>
          <w:szCs w:val="32"/>
          <w:lang w:val="en-US" w:eastAsia="zh-CN"/>
        </w:rPr>
        <w:t>四是</w:t>
      </w:r>
      <w:r>
        <w:rPr>
          <w:rFonts w:hint="default" w:ascii="Times New Roman" w:hAnsi="Times New Roman" w:eastAsia="仿宋_GB2312" w:cs="Times New Roman"/>
          <w:spacing w:val="0"/>
          <w:sz w:val="32"/>
          <w:szCs w:val="32"/>
          <w:lang w:val="en-US" w:eastAsia="zh-CN"/>
        </w:rPr>
        <w:t>切实加强机构编制运行评估。全面</w:t>
      </w:r>
      <w:r>
        <w:rPr>
          <w:rFonts w:hint="default" w:ascii="Times New Roman" w:hAnsi="Times New Roman" w:eastAsia="仿宋_GB2312" w:cs="Times New Roman"/>
          <w:color w:val="auto"/>
          <w:kern w:val="2"/>
          <w:sz w:val="32"/>
          <w:szCs w:val="32"/>
          <w:lang w:val="en-US" w:eastAsia="zh-CN" w:bidi="ar-SA"/>
        </w:rPr>
        <w:t>评估区级部门落实区委区政府工作部署、依法履职尽责、优化运行流程等情况，及时将区森林公安、应急和自然灾害管理、编外人员管理等职能职责调整和明确到位，促进机构职能优化协同高效。</w:t>
      </w:r>
      <w:r>
        <w:rPr>
          <w:rFonts w:hint="default" w:ascii="Times New Roman" w:hAnsi="Times New Roman" w:eastAsia="仿宋_GB2312" w:cs="Times New Roman"/>
          <w:b/>
          <w:bCs/>
          <w:spacing w:val="0"/>
          <w:sz w:val="32"/>
          <w:szCs w:val="32"/>
          <w:lang w:val="en-US" w:eastAsia="zh-CN"/>
        </w:rPr>
        <w:t>五是</w:t>
      </w:r>
      <w:r>
        <w:rPr>
          <w:rFonts w:hint="default" w:ascii="Times New Roman" w:hAnsi="Times New Roman" w:eastAsia="仿宋_GB2312" w:cs="Times New Roman"/>
          <w:spacing w:val="0"/>
          <w:sz w:val="32"/>
          <w:szCs w:val="32"/>
          <w:lang w:val="en-US" w:eastAsia="zh-CN"/>
        </w:rPr>
        <w:t>强化机构编制日常监督检查。定期或不定期开展超审批权限设置机构等</w:t>
      </w:r>
      <w:r>
        <w:rPr>
          <w:rFonts w:hint="default" w:ascii="Times New Roman" w:hAnsi="Times New Roman" w:eastAsia="仿宋_GB2312" w:cs="Times New Roman"/>
          <w:color w:val="auto"/>
          <w:sz w:val="32"/>
          <w:szCs w:val="32"/>
          <w:lang w:val="en-US" w:eastAsia="zh-CN"/>
        </w:rPr>
        <w:t>问题自查自纠、机构编制监督检查和运行评估，持续加强与纪检监察、巡视巡察、组织人事、财政、审计等部门的协作配合。建立机构编制违规违纪台账，加强问题反馈和整改，对整改不到位或弄虚作假的，原则上暂停受理有关新增机构编制申请，层层传导压力。发现并督促部门整改内设机构挂牌不规范等问题3个，自查自纠整改超审批权限设置区综合执法大队事项1项，未发现其他需要追责问责的重大情形。《以&lt;条例&gt;&lt;办法&gt;为遵循扎实推进机构编制监督检查》《坚持“四个三”推进机构编制监督检查走深走实》等经验做法被中编办网站刊载。</w:t>
      </w:r>
    </w:p>
    <w:p w14:paraId="07638F17">
      <w:pPr>
        <w:keepNext w:val="0"/>
        <w:keepLines w:val="0"/>
        <w:pageBreakBefore w:val="0"/>
        <w:widowControl w:val="0"/>
        <w:kinsoku/>
        <w:wordWrap/>
        <w:overflowPunct/>
        <w:topLinePunct w:val="0"/>
        <w:bidi w:val="0"/>
        <w:spacing w:line="576" w:lineRule="exact"/>
        <w:ind w:left="0" w:leftChars="0" w:right="0" w:firstLine="420" w:firstLineChars="200"/>
        <w:jc w:val="both"/>
        <w:textAlignment w:val="auto"/>
        <w:rPr>
          <w:rFonts w:hint="default" w:ascii="Times New Roman" w:hAnsi="Times New Roman" w:cs="Times New Roman"/>
          <w:lang w:eastAsia="zh-CN"/>
        </w:rPr>
      </w:pPr>
    </w:p>
    <w:p w14:paraId="5BD37DB4">
      <w:pPr>
        <w:keepNext w:val="0"/>
        <w:keepLines w:val="0"/>
        <w:pageBreakBefore w:val="0"/>
        <w:widowControl w:val="0"/>
        <w:kinsoku/>
        <w:wordWrap/>
        <w:overflowPunct/>
        <w:topLinePunct w:val="0"/>
        <w:bidi w:val="0"/>
        <w:spacing w:line="576" w:lineRule="exact"/>
        <w:ind w:left="0" w:leftChars="0" w:right="0" w:firstLine="420" w:firstLineChars="200"/>
        <w:jc w:val="both"/>
        <w:textAlignment w:val="auto"/>
        <w:rPr>
          <w:rFonts w:hint="default" w:ascii="Times New Roman" w:hAnsi="Times New Roman" w:cs="Times New Roman"/>
        </w:rPr>
      </w:pPr>
    </w:p>
    <w:p w14:paraId="5A0CAF6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31401537">
      <w:pPr>
        <w:pStyle w:val="3"/>
        <w:ind w:right="440"/>
        <w:jc w:val="center"/>
        <w:rPr>
          <w:rFonts w:hint="default" w:ascii="黑体" w:hAnsi="黑体" w:eastAsia="黑体"/>
          <w:b w:val="0"/>
          <w:bCs/>
          <w:color w:val="auto"/>
          <w:highlight w:val="none"/>
        </w:rPr>
      </w:pPr>
      <w:bookmarkStart w:id="17" w:name="_Toc15396602"/>
      <w:bookmarkStart w:id="18" w:name="_Toc15377204"/>
      <w:r>
        <w:rPr>
          <w:rFonts w:hint="default" w:ascii="黑体" w:hAnsi="黑体" w:eastAsia="黑体"/>
          <w:b w:val="0"/>
          <w:bCs/>
          <w:color w:val="auto"/>
          <w:highlight w:val="none"/>
        </w:rPr>
        <w:t xml:space="preserve">第二部分 </w:t>
      </w:r>
      <w:r>
        <w:rPr>
          <w:rFonts w:hint="default" w:ascii="黑体" w:hAnsi="黑体" w:eastAsia="黑体"/>
          <w:b w:val="0"/>
          <w:bCs/>
          <w:color w:val="auto"/>
          <w:highlight w:val="none"/>
          <w:lang w:val="en-US" w:eastAsia="zh-CN"/>
        </w:rPr>
        <w:t>2021年度</w:t>
      </w:r>
      <w:r>
        <w:rPr>
          <w:rFonts w:hint="default" w:ascii="黑体" w:hAnsi="黑体" w:eastAsia="黑体"/>
          <w:b w:val="0"/>
          <w:bCs/>
          <w:color w:val="auto"/>
          <w:highlight w:val="none"/>
          <w:lang w:eastAsia="zh-CN"/>
        </w:rPr>
        <w:t>单位</w:t>
      </w:r>
      <w:r>
        <w:rPr>
          <w:rFonts w:hint="default" w:ascii="黑体" w:hAnsi="黑体" w:eastAsia="黑体"/>
          <w:b w:val="0"/>
          <w:bCs/>
          <w:color w:val="auto"/>
          <w:highlight w:val="none"/>
        </w:rPr>
        <w:t>决算情况说明</w:t>
      </w:r>
      <w:bookmarkEnd w:id="17"/>
      <w:bookmarkEnd w:id="18"/>
    </w:p>
    <w:p w14:paraId="48C0519A">
      <w:pPr>
        <w:keepNext w:val="0"/>
        <w:keepLines w:val="0"/>
        <w:pageBreakBefore w:val="0"/>
        <w:widowControl w:val="0"/>
        <w:kinsoku/>
        <w:wordWrap/>
        <w:overflowPunct/>
        <w:topLinePunct w:val="0"/>
        <w:bidi w:val="0"/>
        <w:spacing w:line="576" w:lineRule="exact"/>
        <w:ind w:left="0" w:leftChars="0" w:right="0" w:firstLine="420" w:firstLineChars="200"/>
        <w:jc w:val="both"/>
        <w:textAlignment w:val="auto"/>
        <w:rPr>
          <w:rFonts w:hint="default" w:ascii="Times New Roman" w:hAnsi="Times New Roman" w:cs="Times New Roman"/>
          <w:color w:val="auto"/>
          <w:highlight w:val="none"/>
        </w:rPr>
      </w:pPr>
    </w:p>
    <w:p w14:paraId="2AE77819">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Style w:val="29"/>
          <w:rFonts w:hint="default" w:ascii="Times New Roman" w:hAnsi="Times New Roman" w:eastAsia="黑体" w:cs="Times New Roman"/>
          <w:b w:val="0"/>
          <w:color w:val="auto"/>
          <w:highlight w:val="none"/>
        </w:rPr>
      </w:pPr>
      <w:bookmarkStart w:id="19" w:name="_Toc15377205"/>
      <w:bookmarkStart w:id="20" w:name="_Toc15396603"/>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9"/>
      <w:bookmarkEnd w:id="20"/>
    </w:p>
    <w:p w14:paraId="0E42B812">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2021年全年收入合计207.96万元，全年支出总计207.96万元。与2020年相比，收入增加3.31万元，增长1.62%，支出增加1.29万元，增长0.62%；主要变动原因是人员调入新增及人员正常工资晋薪级、职务晋升调资。</w:t>
      </w:r>
    </w:p>
    <w:p w14:paraId="616FF236">
      <w:pPr>
        <w:pStyle w:val="15"/>
        <w:ind w:left="0" w:leftChars="0" w:firstLine="0" w:firstLineChars="0"/>
        <w:jc w:val="center"/>
        <w:rPr>
          <w:rFonts w:hint="default"/>
          <w:lang w:val="en-US" w:eastAsia="zh-CN"/>
        </w:rPr>
      </w:pPr>
      <w:r>
        <w:rPr>
          <w:rFonts w:hint="default"/>
          <w:lang w:val="en-US"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F2CE3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p>
    <w:p w14:paraId="25C74CDD">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Style w:val="29"/>
          <w:rFonts w:hint="default" w:ascii="Times New Roman" w:hAnsi="Times New Roman" w:eastAsia="黑体" w:cs="Times New Roman"/>
          <w:b w:val="0"/>
          <w:color w:val="auto"/>
          <w:highlight w:val="none"/>
        </w:rPr>
      </w:pPr>
      <w:bookmarkStart w:id="21" w:name="_Toc15377206"/>
      <w:bookmarkStart w:id="22" w:name="_Toc15396604"/>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入决算情况说明</w:t>
      </w:r>
      <w:bookmarkEnd w:id="21"/>
      <w:bookmarkEnd w:id="22"/>
    </w:p>
    <w:p w14:paraId="745E604B">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2021年本年收入合计207.96万元，其中：一般公共预算财政拨款收入207.96万元，占100%。</w:t>
      </w:r>
    </w:p>
    <w:p w14:paraId="163BC2AD">
      <w:pPr>
        <w:pStyle w:val="15"/>
        <w:ind w:left="0" w:leftChars="0" w:firstLine="0" w:firstLineChars="0"/>
        <w:jc w:val="center"/>
        <w:rPr>
          <w:rFonts w:hint="default"/>
          <w:lang w:eastAsia="zh-CN"/>
        </w:rPr>
      </w:pPr>
    </w:p>
    <w:p w14:paraId="2C203C18">
      <w:pPr>
        <w:pStyle w:val="15"/>
        <w:ind w:left="0" w:leftChars="0" w:firstLine="0" w:firstLineChars="0"/>
        <w:jc w:val="center"/>
        <w:rPr>
          <w:rFonts w:hint="default"/>
          <w:lang w:eastAsia="zh-CN"/>
        </w:rPr>
      </w:pPr>
    </w:p>
    <w:p w14:paraId="3C9B02F4">
      <w:pPr>
        <w:pStyle w:val="15"/>
        <w:ind w:left="0" w:leftChars="0" w:firstLine="0" w:firstLineChars="0"/>
        <w:jc w:val="center"/>
        <w:rPr>
          <w:rFonts w:hint="default"/>
          <w:lang w:eastAsia="zh-CN"/>
        </w:rPr>
      </w:pPr>
      <w:r>
        <w:rPr>
          <w:rFonts w:hint="default"/>
          <w:lang w:eastAsia="zh-CN"/>
        </w:rPr>
        <w:drawing>
          <wp:inline distT="0" distB="0" distL="114300" distR="114300">
            <wp:extent cx="4067175" cy="3295650"/>
            <wp:effectExtent l="6350" t="6350" r="15875" b="254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83D3E6">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bookmarkStart w:id="23" w:name="_Toc15396605"/>
      <w:bookmarkStart w:id="24" w:name="_Toc15377207"/>
    </w:p>
    <w:p w14:paraId="740C4AF9">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p>
    <w:p w14:paraId="2F7EA81B">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p>
    <w:p w14:paraId="6CF5936C">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p>
    <w:p w14:paraId="5EB94BEC">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p>
    <w:p w14:paraId="03ACE9BD">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Fonts w:hint="eastAsia" w:ascii="Times New Roman" w:hAnsi="Times New Roman" w:eastAsia="黑体" w:cs="Times New Roman"/>
          <w:color w:val="auto"/>
          <w:sz w:val="32"/>
          <w:szCs w:val="32"/>
          <w:highlight w:val="none"/>
          <w:lang w:eastAsia="zh-CN"/>
        </w:rPr>
      </w:pPr>
    </w:p>
    <w:p w14:paraId="7958E279">
      <w:pPr>
        <w:pStyle w:val="27"/>
        <w:keepNext w:val="0"/>
        <w:keepLines w:val="0"/>
        <w:pageBreakBefore w:val="0"/>
        <w:widowControl w:val="0"/>
        <w:numPr>
          <w:ilvl w:val="0"/>
          <w:numId w:val="0"/>
        </w:numPr>
        <w:kinsoku/>
        <w:wordWrap/>
        <w:overflowPunct/>
        <w:topLinePunct w:val="0"/>
        <w:bidi w:val="0"/>
        <w:spacing w:line="576" w:lineRule="exact"/>
        <w:ind w:leftChars="200" w:right="0" w:rightChars="0"/>
        <w:jc w:val="both"/>
        <w:textAlignment w:val="auto"/>
        <w:outlineLvl w:val="1"/>
        <w:rPr>
          <w:rStyle w:val="29"/>
          <w:rFonts w:hint="default" w:ascii="Times New Roman" w:hAnsi="Times New Roman" w:eastAsia="黑体" w:cs="Times New Roman"/>
          <w:b w:val="0"/>
          <w:color w:val="auto"/>
          <w:highlight w:val="none"/>
        </w:rPr>
      </w:pP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3"/>
      <w:bookmarkEnd w:id="24"/>
    </w:p>
    <w:p w14:paraId="0C53FFD8">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2021年本年支出合计207.96万元，其中：基本支出207.96万元，占100%。</w:t>
      </w:r>
    </w:p>
    <w:p w14:paraId="6F2DFF82">
      <w:pPr>
        <w:pStyle w:val="15"/>
        <w:ind w:left="0" w:leftChars="0" w:firstLine="0" w:firstLineChars="0"/>
        <w:jc w:val="center"/>
        <w:rPr>
          <w:rFonts w:hint="default"/>
          <w:lang w:val="en-US" w:eastAsia="zh-CN"/>
        </w:rPr>
      </w:pPr>
      <w:r>
        <w:rPr>
          <w:rFonts w:hint="default"/>
          <w:lang w:eastAsia="zh-CN"/>
        </w:rPr>
        <w:t xml:space="preserve">  </w:t>
      </w:r>
      <w:r>
        <w:rPr>
          <w:rFonts w:hint="default"/>
          <w:lang w:eastAsia="zh-CN"/>
        </w:rPr>
        <w:drawing>
          <wp:inline distT="0" distB="0" distL="114300" distR="114300">
            <wp:extent cx="4109720" cy="3161665"/>
            <wp:effectExtent l="4445" t="4445" r="19685" b="1524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44240">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bookmarkStart w:id="25" w:name="_Toc15396606"/>
      <w:bookmarkStart w:id="26" w:name="_Toc15377208"/>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25"/>
      <w:bookmarkEnd w:id="26"/>
    </w:p>
    <w:p w14:paraId="4DA8E924">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2021年全年收入合计207.96万元，全年支出总计207.96万元。与2020年相比，收入增加3.31万元，增长1.62%，支出增加1.29万元，增长0.62%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b w:val="0"/>
          <w:bCs w:val="0"/>
          <w:kern w:val="2"/>
          <w:sz w:val="32"/>
          <w:szCs w:val="32"/>
          <w:lang w:val="en-US" w:eastAsia="zh-CN" w:bidi="ar-SA"/>
        </w:rPr>
        <w:t>人员调入新增及人员正常工资晋薪级、职务晋升调资。</w:t>
      </w:r>
    </w:p>
    <w:p w14:paraId="229E9A43">
      <w:pPr>
        <w:pStyle w:val="15"/>
        <w:ind w:left="0" w:leftChars="0" w:firstLine="0" w:firstLineChars="0"/>
        <w:jc w:val="center"/>
        <w:rPr>
          <w:rFonts w:hint="default"/>
        </w:rPr>
      </w:pPr>
      <w:r>
        <w:rPr>
          <w:rFonts w:hint="default"/>
        </w:rPr>
        <w:drawing>
          <wp:inline distT="0" distB="0" distL="114300" distR="114300">
            <wp:extent cx="5080000" cy="3810000"/>
            <wp:effectExtent l="6350" t="6350" r="1905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8CB9D0">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bookmarkStart w:id="27" w:name="_Toc15377209"/>
      <w:bookmarkStart w:id="28"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27"/>
      <w:bookmarkEnd w:id="28"/>
    </w:p>
    <w:p w14:paraId="6A115337">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29"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29"/>
    </w:p>
    <w:p w14:paraId="1456AC35">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2021年一般公共预算财政拨款支出207.96万元，占本年支出合计的100%。与2020年相比，一般公共预算财政拨款支出增加3.31万元，增长1.62%。主要变动原因是人员调入新增及人员正常工资晋薪级、职务晋升调资。</w:t>
      </w:r>
    </w:p>
    <w:p w14:paraId="728449FE">
      <w:pPr>
        <w:pStyle w:val="15"/>
        <w:ind w:left="0" w:leftChars="0" w:firstLine="0" w:firstLineChars="0"/>
        <w:jc w:val="center"/>
        <w:rPr>
          <w:rFonts w:hint="default"/>
        </w:rPr>
      </w:pPr>
      <w:r>
        <w:rPr>
          <w:rFonts w:hint="default"/>
        </w:rPr>
        <w:drawing>
          <wp:inline distT="0" distB="0" distL="114300" distR="114300">
            <wp:extent cx="5080000" cy="3810000"/>
            <wp:effectExtent l="6350" t="635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CE86FB">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30" w:name="_Toc15377211"/>
      <w:r>
        <w:rPr>
          <w:rFonts w:hint="default" w:ascii="楷体_GB2312" w:hAnsi="楷体_GB2312" w:eastAsia="楷体_GB2312" w:cs="楷体_GB2312"/>
          <w:b w:val="0"/>
          <w:bCs/>
          <w:color w:val="auto"/>
          <w:sz w:val="32"/>
          <w:szCs w:val="32"/>
          <w:highlight w:val="none"/>
        </w:rPr>
        <w:t>（二）一般公共预算财政拨款支出决算结构情况</w:t>
      </w:r>
      <w:bookmarkEnd w:id="30"/>
    </w:p>
    <w:p w14:paraId="44F1A7BA">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一般公共预算财政拨款支出207.96万元，主要用于以下方面:一般公共服务（类）支出173.2万元，占83.29%；社会保障和就业（类）支出13.85万元，占6.66%；卫生健康（类）支出6.91万元，占3.32%；住房保障（类）支出13.99万元，占6.73%。</w:t>
      </w:r>
    </w:p>
    <w:p w14:paraId="70E2FDFF">
      <w:pPr>
        <w:pStyle w:val="15"/>
        <w:ind w:left="0" w:leftChars="0" w:firstLine="0" w:firstLineChars="0"/>
        <w:jc w:val="center"/>
        <w:rPr>
          <w:rFonts w:hint="default"/>
          <w:lang w:eastAsia="zh-CN"/>
        </w:rPr>
      </w:pPr>
      <w:r>
        <w:rPr>
          <w:rFonts w:hint="default"/>
          <w:lang w:eastAsia="zh-CN"/>
        </w:rPr>
        <w:drawing>
          <wp:inline distT="0" distB="0" distL="114300" distR="114300">
            <wp:extent cx="5080000" cy="3810000"/>
            <wp:effectExtent l="6350" t="6350" r="19050"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AA369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31" w:name="_Toc15377212"/>
      <w:r>
        <w:rPr>
          <w:rFonts w:hint="default" w:ascii="楷体_GB2312" w:hAnsi="楷体_GB2312" w:eastAsia="楷体_GB2312" w:cs="楷体_GB2312"/>
          <w:b w:val="0"/>
          <w:bCs/>
          <w:color w:val="auto"/>
          <w:sz w:val="32"/>
          <w:szCs w:val="32"/>
          <w:highlight w:val="none"/>
        </w:rPr>
        <w:t>（三）一般公共预算财政拨款支出决算具体情况</w:t>
      </w:r>
      <w:bookmarkEnd w:id="31"/>
    </w:p>
    <w:p w14:paraId="42591D6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bookmarkStart w:id="32" w:name="_Toc15378460"/>
      <w:bookmarkStart w:id="33" w:name="_Toc15377444"/>
      <w:bookmarkStart w:id="34" w:name="_Toc15377213"/>
      <w:r>
        <w:rPr>
          <w:rFonts w:hint="default" w:ascii="Times New Roman" w:hAnsi="Times New Roman" w:eastAsia="仿宋_GB2312" w:cs="Times New Roman"/>
          <w:b w:val="0"/>
          <w:bCs w:val="0"/>
          <w:kern w:val="2"/>
          <w:sz w:val="32"/>
          <w:szCs w:val="32"/>
          <w:lang w:val="en-US" w:eastAsia="zh-CN" w:bidi="ar-SA"/>
        </w:rPr>
        <w:t>2021年一般公共预算支出决算数为207.96万元，完成预算100%。其中：</w:t>
      </w:r>
      <w:bookmarkEnd w:id="32"/>
      <w:bookmarkEnd w:id="33"/>
      <w:bookmarkEnd w:id="34"/>
    </w:p>
    <w:p w14:paraId="0F55E930">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1.一般公共服务（类）党委办公厅（室）及相关机构事务（款）行政事业运行（项）: 支出决算为173.21万元，完成预算100%。</w:t>
      </w:r>
    </w:p>
    <w:p w14:paraId="4CC4C615">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2.社会保障和就业（类）行政事业单位养老支出（款）机关事业单位基本养老保险缴费支出（项）: 支出决算为13.33万元，完成预算100%。</w:t>
      </w:r>
    </w:p>
    <w:p w14:paraId="55B862B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3.社会保障和就业（类）其他社会保障和就业支出（款）其他社会保障和就业支出（项）: 支出决算为0.52万元，完成预算100%。</w:t>
      </w:r>
    </w:p>
    <w:p w14:paraId="476E5B81">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4.卫生健康（类）行政事业单位医疗（款）行政事业单位医疗（项）:支出决算为6.91万元，完成预算100%。</w:t>
      </w:r>
    </w:p>
    <w:p w14:paraId="2F399E87">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5.住房保障支出（类）住房改革支出（款）住房公积金（项）:支出决算数为13.99万元，完成预算100%。</w:t>
      </w:r>
    </w:p>
    <w:p w14:paraId="0DCABA67">
      <w:pPr>
        <w:keepNext w:val="0"/>
        <w:keepLines w:val="0"/>
        <w:pageBreakBefore w:val="0"/>
        <w:widowControl w:val="0"/>
        <w:tabs>
          <w:tab w:val="right" w:pos="8306"/>
        </w:tabs>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cs="Times New Roman"/>
          <w:color w:val="auto"/>
          <w:highlight w:val="none"/>
        </w:rPr>
      </w:pPr>
      <w:bookmarkStart w:id="35" w:name="_Toc15396608"/>
      <w:bookmarkStart w:id="36"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35"/>
      <w:bookmarkEnd w:id="36"/>
      <w:r>
        <w:rPr>
          <w:rStyle w:val="29"/>
          <w:rFonts w:hint="default" w:ascii="Times New Roman" w:hAnsi="Times New Roman" w:eastAsia="黑体" w:cs="Times New Roman"/>
          <w:b w:val="0"/>
          <w:color w:val="auto"/>
          <w:highlight w:val="none"/>
        </w:rPr>
        <w:tab/>
      </w:r>
    </w:p>
    <w:p w14:paraId="2D03E0A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2021年一般公共预算财政拨款基本支出207.96万元，其中：</w:t>
      </w:r>
    </w:p>
    <w:p w14:paraId="2E5212C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人员经费142.71万元，主要包括：基本工资、津贴补贴、奖金、绩效工资、机关事业单位基本养老保险缴费、其他社会保障缴费、其他工资福利支出、奖励金、住房公积金等。</w:t>
      </w:r>
    </w:p>
    <w:p w14:paraId="43133203">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b w:val="0"/>
          <w:bCs w:val="0"/>
          <w:kern w:val="2"/>
          <w:sz w:val="32"/>
          <w:szCs w:val="32"/>
          <w:lang w:val="en-US" w:eastAsia="zh-CN" w:bidi="ar-SA"/>
        </w:rPr>
        <w:t>公用经费65.2</w:t>
      </w:r>
      <w:r>
        <w:rPr>
          <w:rFonts w:hint="eastAsia"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万元，主要包括：办公费、印刷费、邮电费、差旅费、培训费、公务接待费、劳务费、委托业务费、工会经费、其他交通费等。</w:t>
      </w:r>
    </w:p>
    <w:p w14:paraId="49A9922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bookmarkStart w:id="37" w:name="_Toc15377215"/>
      <w:bookmarkStart w:id="38"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三公”经费财政拨款支出决算情况说明</w:t>
      </w:r>
      <w:bookmarkEnd w:id="37"/>
      <w:bookmarkEnd w:id="38"/>
    </w:p>
    <w:p w14:paraId="27A3FF5D">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39" w:name="_Toc15377216"/>
      <w:r>
        <w:rPr>
          <w:rFonts w:hint="default" w:ascii="楷体_GB2312" w:hAnsi="楷体_GB2312" w:eastAsia="楷体_GB2312" w:cs="楷体_GB2312"/>
          <w:b w:val="0"/>
          <w:bCs/>
          <w:color w:val="auto"/>
          <w:sz w:val="32"/>
          <w:szCs w:val="32"/>
          <w:highlight w:val="none"/>
        </w:rPr>
        <w:t>（一）“三公”经费财政拨款支出决算总体情况说明</w:t>
      </w:r>
      <w:bookmarkEnd w:id="39"/>
    </w:p>
    <w:p w14:paraId="67BEF44C">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2021年“三公”经费财政拨款支出决算为1万元，完成预算100%，决算数与预算数持平的原因是严格执行预算，厉行节约。</w:t>
      </w:r>
    </w:p>
    <w:p w14:paraId="3CEFA4BB">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40" w:name="_Toc15377217"/>
      <w:r>
        <w:rPr>
          <w:rFonts w:hint="default" w:ascii="楷体_GB2312" w:hAnsi="楷体_GB2312" w:eastAsia="楷体_GB2312" w:cs="楷体_GB2312"/>
          <w:b w:val="0"/>
          <w:bCs/>
          <w:color w:val="auto"/>
          <w:sz w:val="32"/>
          <w:szCs w:val="32"/>
          <w:highlight w:val="none"/>
        </w:rPr>
        <w:t>（二）“三公”经费财政拨款支出决算具体情况说明</w:t>
      </w:r>
      <w:bookmarkEnd w:id="40"/>
    </w:p>
    <w:p w14:paraId="67469B9C">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2021年“三公”经费财政拨款支出决算中，因公出国（境）费支出决算0万元，占0%；公务用车购置及运行维护费支出决算0万元，占0%；公务接待费支出决算1万元，占100%。具体情况如下：</w:t>
      </w:r>
    </w:p>
    <w:p w14:paraId="30E20F27">
      <w:pPr>
        <w:pStyle w:val="15"/>
        <w:ind w:left="0" w:leftChars="0" w:firstLine="0" w:firstLineChars="0"/>
        <w:jc w:val="center"/>
        <w:rPr>
          <w:rFonts w:hint="default"/>
          <w:lang w:eastAsia="zh-CN"/>
        </w:rPr>
      </w:pPr>
      <w:r>
        <w:rPr>
          <w:rFonts w:hint="default"/>
          <w:lang w:eastAsia="zh-CN"/>
        </w:rPr>
        <w:drawing>
          <wp:inline distT="0" distB="0" distL="114300" distR="114300">
            <wp:extent cx="5080000" cy="3810000"/>
            <wp:effectExtent l="6350" t="6350" r="19050"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10E8AE">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1.因公出国（境）经费支出0万元，年初未安排预算。全年安排因公出国（境）团组0次，出国（境）0人。因公出国（境）支出决算较2020年无变化。</w:t>
      </w:r>
    </w:p>
    <w:p w14:paraId="64E90144">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2.公务用车购置及运行维护费支出0万元,年初未安排预算。公务用车购置及运行维护费支出决算较2020年无变化。</w:t>
      </w:r>
    </w:p>
    <w:p w14:paraId="3133D90D">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default" w:ascii="Times New Roman" w:hAnsi="Times New Roman" w:eastAsia="仿宋_GB2312" w:cs="Times New Roman"/>
          <w:b w:val="0"/>
          <w:bCs w:val="0"/>
          <w:kern w:val="2"/>
          <w:sz w:val="32"/>
          <w:szCs w:val="32"/>
          <w:lang w:val="en-US" w:eastAsia="zh-CN" w:bidi="ar-SA"/>
        </w:rPr>
        <w:t>其中：公务用车购置支出0万元。全年按规定更新购置公务用车0辆。</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14:paraId="135C6074">
      <w:pPr>
        <w:keepNext w:val="0"/>
        <w:keepLines w:val="0"/>
        <w:pageBreakBefore w:val="0"/>
        <w:widowControl w:val="0"/>
        <w:kinsoku/>
        <w:wordWrap/>
        <w:overflowPunct/>
        <w:topLinePunct w:val="0"/>
        <w:bidi w:val="0"/>
        <w:spacing w:line="576" w:lineRule="exact"/>
        <w:ind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公务用车运行维护费支出0万元。</w:t>
      </w:r>
    </w:p>
    <w:p w14:paraId="76B28F39">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公务接待费支出1万元，完成预算100%。公务接待费支出决算比2020年减少0.4万元，下降28.57%。主要原因是严格执行中央八项规定，厉行节约。主要用于执行公务、开展业务活动开支的交通费、住宿费、用餐费等。其中：</w:t>
      </w:r>
    </w:p>
    <w:p w14:paraId="6EC6E81F">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国内公务接待支出1万元，主要用于执行公务、开展业务活动开支的交通费、住宿费、用餐费等。国内公务接待21批次，87人次（不包括陪同人员），共计支出1万元，具体内容包括：接待达州市</w:t>
      </w:r>
      <w:r>
        <w:rPr>
          <w:rFonts w:hint="eastAsia" w:eastAsia="仿宋_GB2312" w:cs="Times New Roman"/>
          <w:b w:val="0"/>
          <w:bCs w:val="0"/>
          <w:kern w:val="2"/>
          <w:sz w:val="32"/>
          <w:szCs w:val="32"/>
          <w:lang w:val="en-US" w:eastAsia="zh-CN" w:bidi="ar-SA"/>
        </w:rPr>
        <w:t>委</w:t>
      </w:r>
      <w:r>
        <w:rPr>
          <w:rFonts w:hint="default" w:ascii="Times New Roman" w:hAnsi="Times New Roman" w:eastAsia="仿宋_GB2312" w:cs="Times New Roman"/>
          <w:b w:val="0"/>
          <w:bCs w:val="0"/>
          <w:kern w:val="2"/>
          <w:sz w:val="32"/>
          <w:szCs w:val="32"/>
          <w:lang w:val="en-US" w:eastAsia="zh-CN" w:bidi="ar-SA"/>
        </w:rPr>
        <w:t>编办调研2150元、市委编办检查1100元等。</w:t>
      </w:r>
    </w:p>
    <w:p w14:paraId="71C67B6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外事接待支出0万元，外事接待0批次，0人，共计支出0万元。</w:t>
      </w:r>
    </w:p>
    <w:p w14:paraId="2B9E222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color w:val="auto"/>
          <w:highlight w:val="none"/>
        </w:rPr>
      </w:pPr>
      <w:bookmarkStart w:id="41" w:name="_Toc15396610"/>
      <w:bookmarkStart w:id="42" w:name="_Toc15377218"/>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41"/>
      <w:bookmarkEnd w:id="42"/>
    </w:p>
    <w:p w14:paraId="353B6B1C">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037AB1CE">
      <w:pPr>
        <w:keepNext w:val="0"/>
        <w:keepLines w:val="0"/>
        <w:pageBreakBefore w:val="0"/>
        <w:widowControl w:val="0"/>
        <w:numPr>
          <w:ilvl w:val="0"/>
          <w:numId w:val="2"/>
        </w:numPr>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bookmarkStart w:id="43" w:name="_Toc15377219"/>
      <w:bookmarkStart w:id="44" w:name="_Toc15396611"/>
      <w:r>
        <w:rPr>
          <w:rStyle w:val="29"/>
          <w:rFonts w:hint="default" w:ascii="Times New Roman" w:hAnsi="Times New Roman" w:eastAsia="黑体" w:cs="Times New Roman"/>
          <w:b w:val="0"/>
          <w:color w:val="auto"/>
          <w:highlight w:val="none"/>
        </w:rPr>
        <w:t>国有资本经营预算支出决算情况说明</w:t>
      </w:r>
      <w:bookmarkEnd w:id="43"/>
      <w:bookmarkEnd w:id="44"/>
    </w:p>
    <w:p w14:paraId="0BE4D558">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506F6271">
      <w:pPr>
        <w:keepNext w:val="0"/>
        <w:keepLines w:val="0"/>
        <w:pageBreakBefore w:val="0"/>
        <w:widowControl w:val="0"/>
        <w:numPr>
          <w:ilvl w:val="0"/>
          <w:numId w:val="2"/>
        </w:numPr>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bookmarkStart w:id="45" w:name="_Toc15396612"/>
      <w:bookmarkStart w:id="46" w:name="_Toc15377221"/>
      <w:r>
        <w:rPr>
          <w:rStyle w:val="29"/>
          <w:rFonts w:hint="default" w:ascii="Times New Roman" w:hAnsi="Times New Roman" w:eastAsia="黑体" w:cs="Times New Roman"/>
          <w:b w:val="0"/>
          <w:color w:val="auto"/>
          <w:highlight w:val="none"/>
          <w:lang w:val="en-US" w:eastAsia="zh-CN"/>
        </w:rPr>
        <w:t>预算绩效管理情况</w:t>
      </w:r>
    </w:p>
    <w:p w14:paraId="089EFE5B">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根据预算绩效管理要求，本单位在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color w:val="auto"/>
          <w:sz w:val="32"/>
          <w:szCs w:val="32"/>
          <w:highlight w:val="none"/>
          <w:lang w:val="en-US" w:eastAsia="zh-CN"/>
        </w:rPr>
        <w:t>中文域名注册经费</w:t>
      </w:r>
      <w:r>
        <w:rPr>
          <w:rFonts w:hint="default" w:ascii="Times New Roman" w:hAnsi="Times New Roman" w:eastAsia="仿宋_GB2312" w:cs="Times New Roman"/>
          <w:color w:val="auto"/>
          <w:sz w:val="32"/>
          <w:szCs w:val="32"/>
          <w:highlight w:val="none"/>
        </w:rPr>
        <w:t>项目（项目名称）</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2个项目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2021年部门预算项目绩效目标自评表见附件（第四部分）</w:t>
      </w:r>
      <w:r>
        <w:rPr>
          <w:rFonts w:hint="default" w:ascii="Times New Roman" w:hAnsi="Times New Roman" w:eastAsia="仿宋_GB2312" w:cs="Times New Roman"/>
          <w:color w:val="auto"/>
          <w:sz w:val="32"/>
          <w:szCs w:val="32"/>
          <w:highlight w:val="none"/>
        </w:rPr>
        <w:t>。</w:t>
      </w:r>
    </w:p>
    <w:p w14:paraId="08174533">
      <w:pPr>
        <w:keepNext w:val="0"/>
        <w:keepLines w:val="0"/>
        <w:pageBreakBefore w:val="0"/>
        <w:widowControl w:val="0"/>
        <w:numPr>
          <w:ilvl w:val="0"/>
          <w:numId w:val="2"/>
        </w:numPr>
        <w:kinsoku/>
        <w:wordWrap/>
        <w:overflowPunct/>
        <w:topLinePunct w:val="0"/>
        <w:bidi w:val="0"/>
        <w:spacing w:line="576" w:lineRule="exact"/>
        <w:ind w:left="0" w:leftChars="0" w:right="0" w:firstLine="640" w:firstLineChars="200"/>
        <w:jc w:val="both"/>
        <w:textAlignment w:val="auto"/>
        <w:outlineLvl w:val="1"/>
        <w:rPr>
          <w:rStyle w:val="29"/>
          <w:rFonts w:hint="default" w:ascii="Times New Roman" w:hAnsi="Times New Roman" w:eastAsia="黑体" w:cs="Times New Roman"/>
          <w:b w:val="0"/>
          <w:color w:val="auto"/>
          <w:highlight w:val="none"/>
        </w:rPr>
      </w:pPr>
      <w:r>
        <w:rPr>
          <w:rStyle w:val="29"/>
          <w:rFonts w:hint="default" w:ascii="Times New Roman" w:hAnsi="Times New Roman" w:eastAsia="黑体" w:cs="Times New Roman"/>
          <w:b w:val="0"/>
          <w:color w:val="auto"/>
          <w:highlight w:val="none"/>
        </w:rPr>
        <w:t>其他重要事项的情况说明</w:t>
      </w:r>
      <w:bookmarkEnd w:id="45"/>
      <w:bookmarkEnd w:id="46"/>
    </w:p>
    <w:p w14:paraId="5C7F79EF">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47" w:name="_Toc15377222"/>
      <w:r>
        <w:rPr>
          <w:rFonts w:hint="default" w:ascii="楷体_GB2312" w:hAnsi="楷体_GB2312" w:eastAsia="楷体_GB2312" w:cs="楷体_GB2312"/>
          <w:b w:val="0"/>
          <w:bCs/>
          <w:color w:val="auto"/>
          <w:sz w:val="32"/>
          <w:szCs w:val="32"/>
          <w:highlight w:val="none"/>
        </w:rPr>
        <w:t>（一）机关运行经费支出情况</w:t>
      </w:r>
      <w:bookmarkEnd w:id="47"/>
    </w:p>
    <w:p w14:paraId="26C3FA1C">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区委编办</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57</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年决算数持平）</w:t>
      </w:r>
      <w:r>
        <w:rPr>
          <w:rFonts w:hint="default" w:ascii="Times New Roman" w:hAnsi="Times New Roman" w:eastAsia="仿宋_GB2312" w:cs="Times New Roman"/>
          <w:color w:val="auto"/>
          <w:sz w:val="32"/>
          <w:szCs w:val="32"/>
          <w:highlight w:val="none"/>
          <w:lang w:eastAsia="zh-CN"/>
        </w:rPr>
        <w:t>。</w:t>
      </w:r>
    </w:p>
    <w:p w14:paraId="6D5B8CB5">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48" w:name="_Toc15377223"/>
      <w:r>
        <w:rPr>
          <w:rFonts w:hint="default" w:ascii="楷体_GB2312" w:hAnsi="楷体_GB2312" w:eastAsia="楷体_GB2312" w:cs="楷体_GB2312"/>
          <w:b w:val="0"/>
          <w:bCs/>
          <w:color w:val="auto"/>
          <w:sz w:val="32"/>
          <w:szCs w:val="32"/>
          <w:highlight w:val="none"/>
        </w:rPr>
        <w:t>（二）政府采购支出情况</w:t>
      </w:r>
      <w:bookmarkEnd w:id="48"/>
    </w:p>
    <w:p w14:paraId="0800B21C">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区委编办</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16C391A6">
      <w:pPr>
        <w:keepNext w:val="0"/>
        <w:keepLines w:val="0"/>
        <w:pageBreakBefore w:val="0"/>
        <w:widowControl w:val="0"/>
        <w:kinsoku/>
        <w:wordWrap/>
        <w:overflowPunct/>
        <w:topLinePunct w:val="0"/>
        <w:bidi w:val="0"/>
        <w:spacing w:line="576" w:lineRule="exact"/>
        <w:ind w:left="0" w:leftChars="0" w:right="0" w:firstLine="640" w:firstLineChars="200"/>
        <w:jc w:val="both"/>
        <w:textAlignment w:val="auto"/>
        <w:outlineLvl w:val="2"/>
        <w:rPr>
          <w:rFonts w:hint="default" w:ascii="楷体_GB2312" w:hAnsi="楷体_GB2312" w:eastAsia="楷体_GB2312" w:cs="楷体_GB2312"/>
          <w:b w:val="0"/>
          <w:bCs/>
          <w:color w:val="auto"/>
          <w:sz w:val="32"/>
          <w:szCs w:val="32"/>
          <w:highlight w:val="none"/>
        </w:rPr>
      </w:pPr>
      <w:bookmarkStart w:id="49" w:name="_Toc15377224"/>
      <w:r>
        <w:rPr>
          <w:rFonts w:hint="default" w:ascii="楷体_GB2312" w:hAnsi="楷体_GB2312" w:eastAsia="楷体_GB2312" w:cs="楷体_GB2312"/>
          <w:b w:val="0"/>
          <w:bCs/>
          <w:color w:val="auto"/>
          <w:sz w:val="32"/>
          <w:szCs w:val="32"/>
          <w:highlight w:val="none"/>
        </w:rPr>
        <w:t>（三）国有资产占有使用情况</w:t>
      </w:r>
      <w:bookmarkEnd w:id="49"/>
    </w:p>
    <w:p w14:paraId="61ECBE38">
      <w:pPr>
        <w:keepNext w:val="0"/>
        <w:keepLines w:val="0"/>
        <w:pageBreakBefore w:val="0"/>
        <w:widowControl w:val="0"/>
        <w:kinsoku/>
        <w:wordWrap/>
        <w:overflowPunct/>
        <w:topLinePunct w:val="0"/>
        <w:autoSpaceDE w:val="0"/>
        <w:autoSpaceDN w:val="0"/>
        <w:bidi w:val="0"/>
        <w:adjustRightInd w:val="0"/>
        <w:spacing w:line="576" w:lineRule="exact"/>
        <w:ind w:left="0" w:leftChars="0" w:right="0"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val="en-US" w:eastAsia="zh-CN"/>
        </w:rPr>
        <w:t>区委编办</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单价50万元以上通用设备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r>
        <w:rPr>
          <w:rFonts w:hint="default" w:ascii="Times New Roman" w:hAnsi="Times New Roman" w:eastAsia="仿宋_GB2312" w:cs="Times New Roman"/>
          <w:b/>
          <w:color w:val="auto"/>
          <w:sz w:val="32"/>
          <w:szCs w:val="32"/>
          <w:highlight w:val="none"/>
        </w:rPr>
        <w:br w:type="page"/>
      </w:r>
    </w:p>
    <w:p w14:paraId="6FD6C4B8">
      <w:pPr>
        <w:keepNext w:val="0"/>
        <w:keepLines w:val="0"/>
        <w:pageBreakBefore w:val="0"/>
        <w:widowControl w:val="0"/>
        <w:numPr>
          <w:ilvl w:val="0"/>
          <w:numId w:val="3"/>
        </w:numPr>
        <w:kinsoku/>
        <w:wordWrap/>
        <w:overflowPunct/>
        <w:topLinePunct w:val="0"/>
        <w:bidi w:val="0"/>
        <w:spacing w:line="576" w:lineRule="exact"/>
        <w:ind w:left="2520" w:leftChars="0" w:right="0" w:firstLine="0" w:firstLineChars="0"/>
        <w:jc w:val="both"/>
        <w:textAlignment w:val="auto"/>
        <w:outlineLvl w:val="0"/>
        <w:rPr>
          <w:rStyle w:val="28"/>
          <w:rFonts w:hint="eastAsia" w:ascii="黑体" w:hAnsi="黑体" w:eastAsia="黑体" w:cs="黑体"/>
          <w:b w:val="0"/>
          <w:color w:val="auto"/>
          <w:highlight w:val="none"/>
        </w:rPr>
      </w:pPr>
      <w:bookmarkStart w:id="50" w:name="_Toc15377225"/>
      <w:bookmarkStart w:id="51" w:name="_Toc15396613"/>
      <w:r>
        <w:rPr>
          <w:rFonts w:hint="eastAsia" w:ascii="黑体" w:hAnsi="黑体" w:eastAsia="黑体" w:cs="黑体"/>
          <w:b w:val="0"/>
          <w:bCs/>
          <w:color w:val="auto"/>
          <w:kern w:val="44"/>
          <w:sz w:val="44"/>
          <w:szCs w:val="44"/>
          <w:highlight w:val="none"/>
          <w:lang w:val="en-US" w:eastAsia="zh-CN" w:bidi="ar-SA"/>
        </w:rPr>
        <w:t>名词解释</w:t>
      </w:r>
      <w:bookmarkEnd w:id="50"/>
      <w:bookmarkEnd w:id="51"/>
    </w:p>
    <w:p w14:paraId="347EF237">
      <w:pPr>
        <w:keepNext w:val="0"/>
        <w:keepLines w:val="0"/>
        <w:pageBreakBefore w:val="0"/>
        <w:widowControl w:val="0"/>
        <w:kinsoku/>
        <w:wordWrap/>
        <w:overflowPunct/>
        <w:topLinePunct w:val="0"/>
        <w:bidi w:val="0"/>
        <w:spacing w:line="576" w:lineRule="exact"/>
        <w:ind w:left="0" w:leftChars="0" w:right="0" w:firstLine="883" w:firstLineChars="200"/>
        <w:jc w:val="both"/>
        <w:textAlignment w:val="auto"/>
        <w:rPr>
          <w:rFonts w:hint="default" w:ascii="Times New Roman" w:hAnsi="Times New Roman" w:cs="Times New Roman"/>
          <w:b/>
          <w:color w:val="auto"/>
          <w:sz w:val="44"/>
          <w:szCs w:val="44"/>
          <w:highlight w:val="none"/>
        </w:rPr>
      </w:pPr>
    </w:p>
    <w:p w14:paraId="3CAB8670">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1.财政拨款收入：指单位从同级财政部门取得的财政预算资金。</w:t>
      </w:r>
    </w:p>
    <w:p w14:paraId="3A4E79F9">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2.一般公共预算拨款收入：指区级财政当年拨付的资金。</w:t>
      </w:r>
    </w:p>
    <w:p w14:paraId="6205F4F4">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3.一般公共服务（类）党委办公厅（室）及相关机构事务（款）行政运行（项）：指区委编办及下属事业单位用于保障机构正常运行、开展日常工作的基本支出。</w:t>
      </w:r>
    </w:p>
    <w:p w14:paraId="22A98329">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4.社会保障和就业（类）行政事业单位养老支出（款）机关事业单位基本养老保险缴费支出（项）：指保障编办及参公管理事业单位和其他事业单位人员养老保险单位部分经费支出。  </w:t>
      </w:r>
    </w:p>
    <w:p w14:paraId="2FB94D64">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5.卫生健康支出（类）行政事业单位医疗（款）行政单位医疗（项）：指保障编办及参公管理事业单位和其他事业单位人员按规定由单位缴纳的基本医疗保险、工伤保险、生育保险、失业保险单位部分支出。</w:t>
      </w:r>
    </w:p>
    <w:p w14:paraId="532A4E27">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6.住房保障（类）住房改革支出（款）住房公积金（项）：指部门按人力资源和社会保障部、财政部规定的基本工资和津贴补贴以及规定比例为职工缴纳的住房公积金单位部分支出。</w:t>
      </w:r>
    </w:p>
    <w:p w14:paraId="01857677">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.“三公”经费：指</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EE9047">
      <w:pPr>
        <w:pStyle w:val="26"/>
        <w:keepNext w:val="0"/>
        <w:keepLines w:val="0"/>
        <w:pageBreakBefore w:val="0"/>
        <w:widowControl w:val="0"/>
        <w:kinsoku/>
        <w:wordWrap/>
        <w:overflowPunct/>
        <w:topLinePunct w:val="0"/>
        <w:bidi w:val="0"/>
        <w:spacing w:line="57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B6CCFA9">
      <w:pPr>
        <w:pStyle w:val="26"/>
        <w:spacing w:line="560" w:lineRule="exact"/>
        <w:ind w:firstLine="640" w:firstLineChars="200"/>
        <w:rPr>
          <w:rFonts w:ascii="仿宋_GB2312" w:eastAsia="仿宋_GB2312" w:cs="黑体"/>
          <w:color w:val="auto"/>
          <w:sz w:val="32"/>
          <w:szCs w:val="32"/>
          <w:highlight w:val="none"/>
        </w:rPr>
      </w:pPr>
    </w:p>
    <w:p w14:paraId="105084FA">
      <w:pPr>
        <w:rPr>
          <w:rFonts w:hint="eastAsia" w:ascii="黑体" w:hAnsi="黑体" w:eastAsia="黑体"/>
          <w:color w:val="auto"/>
          <w:sz w:val="44"/>
          <w:szCs w:val="44"/>
          <w:highlight w:val="none"/>
        </w:rPr>
      </w:pPr>
      <w:bookmarkStart w:id="52" w:name="_Toc15396614"/>
      <w:bookmarkStart w:id="53" w:name="_Toc15377226"/>
      <w:r>
        <w:rPr>
          <w:rFonts w:hint="eastAsia" w:ascii="黑体" w:hAnsi="黑体" w:eastAsia="黑体"/>
          <w:color w:val="auto"/>
          <w:sz w:val="44"/>
          <w:szCs w:val="44"/>
          <w:highlight w:val="none"/>
        </w:rPr>
        <w:br w:type="page"/>
      </w:r>
    </w:p>
    <w:p w14:paraId="5720C758">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第四部分 附件</w:t>
      </w:r>
      <w:bookmarkEnd w:id="52"/>
    </w:p>
    <w:p w14:paraId="54E9CD93">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56365B37">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2021年部门预算项目绩效目标自评（机构改革经费）</w:t>
      </w:r>
    </w:p>
    <w:tbl>
      <w:tblPr>
        <w:tblStyle w:val="16"/>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6"/>
        <w:gridCol w:w="1074"/>
        <w:gridCol w:w="1461"/>
        <w:gridCol w:w="1345"/>
        <w:gridCol w:w="1815"/>
        <w:gridCol w:w="2227"/>
      </w:tblGrid>
      <w:tr w14:paraId="471B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3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bookmarkStart w:id="54" w:name="_Toc15396618"/>
            <w:r>
              <w:rPr>
                <w:rFonts w:hint="eastAsia" w:ascii="宋体" w:hAnsi="宋体" w:eastAsia="宋体" w:cs="宋体"/>
                <w:i w:val="0"/>
                <w:color w:val="auto"/>
                <w:kern w:val="0"/>
                <w:sz w:val="24"/>
                <w:szCs w:val="24"/>
                <w:u w:val="none"/>
                <w:lang w:val="en-US" w:eastAsia="zh-CN" w:bidi="ar"/>
              </w:rPr>
              <w:t>主管部门及代码</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22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区委编办</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E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FE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区委编办</w:t>
            </w:r>
          </w:p>
        </w:tc>
      </w:tr>
      <w:tr w14:paraId="4F16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2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32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74AB2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0C846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4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73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r>
      <w:tr w14:paraId="6628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003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82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02058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3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382DE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10</w:t>
            </w:r>
          </w:p>
        </w:tc>
      </w:tr>
      <w:tr w14:paraId="56A3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2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EC0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4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8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7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4E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p>
        </w:tc>
      </w:tr>
      <w:tr w14:paraId="3CC8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90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78E0C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CC0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91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48AC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98E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3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A2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全区所有党政群机关事业单位</w:t>
            </w:r>
          </w:p>
        </w:tc>
        <w:tc>
          <w:tcPr>
            <w:tcW w:w="4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68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全区所有党政群机关事业单位全覆盖</w:t>
            </w:r>
          </w:p>
        </w:tc>
      </w:tr>
      <w:tr w14:paraId="32F3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96" w:type="dxa"/>
            <w:vMerge w:val="restart"/>
            <w:tcBorders>
              <w:top w:val="single" w:color="000000" w:sz="4" w:space="0"/>
              <w:left w:val="single" w:color="000000" w:sz="4" w:space="0"/>
              <w:right w:val="single" w:color="000000" w:sz="4" w:space="0"/>
            </w:tcBorders>
            <w:shd w:val="clear" w:color="auto" w:fill="auto"/>
            <w:vAlign w:val="center"/>
          </w:tcPr>
          <w:p w14:paraId="4804F7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1074" w:type="dxa"/>
            <w:tcBorders>
              <w:top w:val="single" w:color="000000" w:sz="4" w:space="0"/>
              <w:left w:val="nil"/>
              <w:bottom w:val="single" w:color="000000" w:sz="4" w:space="0"/>
              <w:right w:val="single" w:color="000000" w:sz="4" w:space="0"/>
            </w:tcBorders>
            <w:shd w:val="clear" w:color="auto" w:fill="auto"/>
            <w:vAlign w:val="center"/>
          </w:tcPr>
          <w:p w14:paraId="623E7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14:paraId="08104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C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14:paraId="0D01F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B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14:paraId="6A8BB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0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14:paraId="40FF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596" w:type="dxa"/>
            <w:vMerge w:val="continue"/>
            <w:tcBorders>
              <w:left w:val="single" w:color="000000" w:sz="4" w:space="0"/>
              <w:right w:val="single" w:color="000000" w:sz="4" w:space="0"/>
            </w:tcBorders>
            <w:shd w:val="clear" w:color="auto" w:fill="auto"/>
            <w:vAlign w:val="center"/>
          </w:tcPr>
          <w:p w14:paraId="633B38C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89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14:paraId="415BD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2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机构改革完成数额</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35</w:t>
            </w:r>
            <w:r>
              <w:rPr>
                <w:rFonts w:hint="eastAsia" w:ascii="宋体" w:hAnsi="宋体" w:eastAsia="宋体" w:cs="宋体"/>
                <w:color w:val="000000"/>
                <w:kern w:val="0"/>
                <w:sz w:val="24"/>
                <w:szCs w:val="24"/>
                <w:lang w:bidi="ar"/>
              </w:rPr>
              <w:t>个</w:t>
            </w:r>
            <w:r>
              <w:rPr>
                <w:rFonts w:hint="eastAsia" w:ascii="宋体" w:hAnsi="宋体" w:eastAsia="宋体" w:cs="宋体"/>
                <w:color w:val="000000"/>
                <w:kern w:val="0"/>
                <w:sz w:val="24"/>
                <w:szCs w:val="24"/>
                <w:lang w:eastAsia="zh-CN" w:bidi="ar"/>
              </w:rPr>
              <w:t>部门及</w:t>
            </w:r>
            <w:r>
              <w:rPr>
                <w:rFonts w:hint="eastAsia" w:ascii="宋体" w:hAnsi="宋体" w:eastAsia="宋体" w:cs="宋体"/>
                <w:color w:val="000000"/>
                <w:kern w:val="0"/>
                <w:sz w:val="24"/>
                <w:szCs w:val="24"/>
                <w:lang w:val="en-US" w:eastAsia="zh-CN" w:bidi="ar"/>
              </w:rPr>
              <w:t>11个直属部门</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69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35</w:t>
            </w:r>
            <w:r>
              <w:rPr>
                <w:rFonts w:hint="eastAsia" w:ascii="宋体" w:hAnsi="宋体" w:eastAsia="宋体" w:cs="宋体"/>
                <w:color w:val="000000"/>
                <w:kern w:val="0"/>
                <w:sz w:val="24"/>
                <w:szCs w:val="24"/>
                <w:lang w:bidi="ar"/>
              </w:rPr>
              <w:t>个</w:t>
            </w:r>
            <w:r>
              <w:rPr>
                <w:rFonts w:hint="eastAsia" w:ascii="宋体" w:hAnsi="宋体" w:eastAsia="宋体" w:cs="宋体"/>
                <w:color w:val="000000"/>
                <w:kern w:val="0"/>
                <w:sz w:val="24"/>
                <w:szCs w:val="24"/>
                <w:lang w:eastAsia="zh-CN" w:bidi="ar"/>
              </w:rPr>
              <w:t>部门及</w:t>
            </w:r>
            <w:r>
              <w:rPr>
                <w:rFonts w:hint="eastAsia" w:ascii="宋体" w:hAnsi="宋体" w:eastAsia="宋体" w:cs="宋体"/>
                <w:color w:val="000000"/>
                <w:kern w:val="0"/>
                <w:sz w:val="24"/>
                <w:szCs w:val="24"/>
                <w:lang w:val="en-US" w:eastAsia="zh-CN" w:bidi="ar"/>
              </w:rPr>
              <w:t>11个直属部门</w:t>
            </w:r>
          </w:p>
        </w:tc>
      </w:tr>
      <w:tr w14:paraId="5EE3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596" w:type="dxa"/>
            <w:vMerge w:val="continue"/>
            <w:tcBorders>
              <w:left w:val="single" w:color="000000" w:sz="4" w:space="0"/>
              <w:right w:val="single" w:color="000000" w:sz="4" w:space="0"/>
            </w:tcBorders>
            <w:shd w:val="clear" w:color="auto" w:fill="auto"/>
            <w:vAlign w:val="center"/>
          </w:tcPr>
          <w:p w14:paraId="7CC2172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0B2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A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10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改革任务完成率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A6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全面完成</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5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全面完成</w:t>
            </w:r>
          </w:p>
        </w:tc>
      </w:tr>
      <w:tr w14:paraId="3850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6" w:type="dxa"/>
            <w:vMerge w:val="continue"/>
            <w:tcBorders>
              <w:left w:val="single" w:color="000000" w:sz="4" w:space="0"/>
              <w:right w:val="single" w:color="000000" w:sz="4" w:space="0"/>
            </w:tcBorders>
            <w:shd w:val="clear" w:color="auto" w:fill="auto"/>
            <w:vAlign w:val="center"/>
          </w:tcPr>
          <w:p w14:paraId="5C75930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4E4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F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0E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当年完成情况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C2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从</w:t>
            </w:r>
            <w:r>
              <w:rPr>
                <w:rFonts w:hint="eastAsia" w:ascii="宋体" w:hAnsi="宋体" w:eastAsia="宋体" w:cs="宋体"/>
                <w:color w:val="000000"/>
                <w:sz w:val="24"/>
                <w:szCs w:val="24"/>
                <w:lang w:val="en-US" w:eastAsia="zh-CN"/>
              </w:rPr>
              <w:t>1月1日起至12月31日止</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7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从</w:t>
            </w:r>
            <w:r>
              <w:rPr>
                <w:rFonts w:hint="eastAsia" w:ascii="宋体" w:hAnsi="宋体" w:eastAsia="宋体" w:cs="宋体"/>
                <w:color w:val="000000"/>
                <w:sz w:val="24"/>
                <w:szCs w:val="24"/>
                <w:lang w:val="en-US" w:eastAsia="zh-CN"/>
              </w:rPr>
              <w:t>1月1日起至12月31日止</w:t>
            </w:r>
          </w:p>
        </w:tc>
      </w:tr>
      <w:tr w14:paraId="0D9A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6" w:type="dxa"/>
            <w:vMerge w:val="continue"/>
            <w:tcBorders>
              <w:left w:val="single" w:color="000000" w:sz="4" w:space="0"/>
              <w:right w:val="single" w:color="000000" w:sz="4" w:space="0"/>
            </w:tcBorders>
            <w:shd w:val="clear" w:color="auto" w:fill="auto"/>
            <w:vAlign w:val="center"/>
          </w:tcPr>
          <w:p w14:paraId="34EB7F2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CE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7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经费开支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0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用于改革的差旅费、人员配置等</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F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用于改革的差旅费、人员配置等</w:t>
            </w:r>
          </w:p>
        </w:tc>
      </w:tr>
      <w:tr w14:paraId="4C83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1596" w:type="dxa"/>
            <w:vMerge w:val="continue"/>
            <w:tcBorders>
              <w:left w:val="single" w:color="000000" w:sz="4" w:space="0"/>
              <w:right w:val="single" w:color="000000" w:sz="4" w:space="0"/>
            </w:tcBorders>
            <w:shd w:val="clear" w:color="auto" w:fill="auto"/>
            <w:vAlign w:val="center"/>
          </w:tcPr>
          <w:p w14:paraId="20FC895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599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  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BC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公众满意度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E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设置科学合理，人员编制配备精准，人员配置有利于工作开展</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C4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设置科学合理，人员编制配备精准，人员配置有利于工作开展</w:t>
            </w:r>
          </w:p>
        </w:tc>
      </w:tr>
      <w:tr w14:paraId="14DC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596" w:type="dxa"/>
            <w:vMerge w:val="continue"/>
            <w:tcBorders>
              <w:left w:val="single" w:color="000000" w:sz="4" w:space="0"/>
              <w:right w:val="single" w:color="000000" w:sz="4" w:space="0"/>
            </w:tcBorders>
            <w:shd w:val="clear" w:color="auto" w:fill="auto"/>
            <w:vAlign w:val="center"/>
          </w:tcPr>
          <w:p w14:paraId="3BF51CC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853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6C8">
            <w:pPr>
              <w:keepNext w:val="0"/>
              <w:keepLines w:val="0"/>
              <w:pageBreakBefore w:val="0"/>
              <w:widowControl/>
              <w:suppressLineNumbers w:val="0"/>
              <w:kinsoku/>
              <w:wordWrap/>
              <w:overflowPunct/>
              <w:topLinePunct w:val="0"/>
              <w:autoSpaceDE/>
              <w:autoSpaceDN/>
              <w:bidi w:val="0"/>
              <w:adjustRightInd/>
              <w:snapToGrid/>
              <w:spacing w:line="280" w:lineRule="exact"/>
              <w:ind w:left="-1" w:leftChars="0" w:firstLine="0" w:firstLineChars="0"/>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生态效益  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4B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p>
        </w:tc>
      </w:tr>
      <w:tr w14:paraId="5786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596" w:type="dxa"/>
            <w:vMerge w:val="continue"/>
            <w:tcBorders>
              <w:left w:val="single" w:color="000000" w:sz="4" w:space="0"/>
              <w:right w:val="single" w:color="000000" w:sz="4" w:space="0"/>
            </w:tcBorders>
            <w:shd w:val="clear" w:color="auto" w:fill="auto"/>
            <w:vAlign w:val="center"/>
          </w:tcPr>
          <w:p w14:paraId="52AF50B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85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可持续影响 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60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正常运转情况</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4E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工作正常开展，运转正常</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69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永久</w:t>
            </w:r>
            <w:r>
              <w:rPr>
                <w:rFonts w:hint="eastAsia" w:ascii="宋体" w:hAnsi="宋体" w:eastAsia="宋体" w:cs="宋体"/>
                <w:color w:val="000000"/>
                <w:kern w:val="0"/>
                <w:sz w:val="24"/>
                <w:szCs w:val="24"/>
                <w:lang w:eastAsia="zh-CN" w:bidi="ar"/>
              </w:rPr>
              <w:t>工作正常开展，运转正常</w:t>
            </w:r>
          </w:p>
        </w:tc>
      </w:tr>
      <w:tr w14:paraId="3696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96" w:type="dxa"/>
            <w:vMerge w:val="continue"/>
            <w:tcBorders>
              <w:left w:val="single" w:color="000000" w:sz="4" w:space="0"/>
              <w:bottom w:val="single" w:color="auto" w:sz="4" w:space="0"/>
              <w:right w:val="single" w:color="000000" w:sz="4" w:space="0"/>
            </w:tcBorders>
            <w:shd w:val="clear" w:color="auto" w:fill="auto"/>
            <w:vAlign w:val="center"/>
          </w:tcPr>
          <w:p w14:paraId="7148CBA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24"/>
                <w:szCs w:val="24"/>
                <w:u w:val="none"/>
              </w:rPr>
            </w:pPr>
          </w:p>
        </w:tc>
        <w:tc>
          <w:tcPr>
            <w:tcW w:w="1074" w:type="dxa"/>
            <w:tcBorders>
              <w:top w:val="single" w:color="000000" w:sz="4" w:space="0"/>
              <w:left w:val="single" w:color="000000" w:sz="4" w:space="0"/>
              <w:bottom w:val="single" w:color="auto" w:sz="4" w:space="0"/>
              <w:right w:val="single" w:color="000000" w:sz="4" w:space="0"/>
            </w:tcBorders>
            <w:shd w:val="clear" w:color="auto" w:fill="auto"/>
            <w:vAlign w:val="center"/>
          </w:tcPr>
          <w:p w14:paraId="44BFAC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14:paraId="58357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1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8DB1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满意度</w:t>
            </w:r>
          </w:p>
          <w:p w14:paraId="6DB6B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345" w:type="dxa"/>
            <w:tcBorders>
              <w:top w:val="single" w:color="000000" w:sz="4" w:space="0"/>
              <w:left w:val="single" w:color="000000" w:sz="4" w:space="0"/>
              <w:bottom w:val="single" w:color="auto" w:sz="4" w:space="0"/>
              <w:right w:val="single" w:color="000000" w:sz="4" w:space="0"/>
            </w:tcBorders>
            <w:shd w:val="clear" w:color="auto" w:fill="auto"/>
            <w:vAlign w:val="center"/>
          </w:tcPr>
          <w:p w14:paraId="0BA165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改革</w:t>
            </w:r>
            <w:r>
              <w:rPr>
                <w:rFonts w:hint="eastAsia" w:ascii="宋体" w:hAnsi="宋体" w:eastAsia="宋体" w:cs="宋体"/>
                <w:color w:val="000000"/>
                <w:kern w:val="0"/>
                <w:sz w:val="24"/>
                <w:szCs w:val="24"/>
                <w:lang w:bidi="ar"/>
              </w:rPr>
              <w:t>对象满意度</w:t>
            </w:r>
          </w:p>
        </w:tc>
        <w:tc>
          <w:tcPr>
            <w:tcW w:w="1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09CD39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r>
              <w:rPr>
                <w:rStyle w:val="34"/>
                <w:rFonts w:hint="eastAsia" w:ascii="宋体" w:hAnsi="宋体" w:eastAsia="宋体" w:cs="宋体"/>
                <w:sz w:val="24"/>
                <w:szCs w:val="24"/>
                <w:lang w:bidi="ar"/>
              </w:rPr>
              <w:t>90%</w:t>
            </w:r>
          </w:p>
        </w:tc>
        <w:tc>
          <w:tcPr>
            <w:tcW w:w="22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C9B8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r>
              <w:rPr>
                <w:rStyle w:val="34"/>
                <w:rFonts w:hint="eastAsia" w:ascii="宋体" w:hAnsi="宋体" w:eastAsia="宋体" w:cs="宋体"/>
                <w:sz w:val="24"/>
                <w:szCs w:val="24"/>
                <w:lang w:bidi="ar"/>
              </w:rPr>
              <w:t>90%</w:t>
            </w:r>
          </w:p>
        </w:tc>
      </w:tr>
    </w:tbl>
    <w:p w14:paraId="4749901C">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2021年部门预算项目绩效目标自评（中文域名注册经费）</w:t>
      </w:r>
    </w:p>
    <w:tbl>
      <w:tblPr>
        <w:tblStyle w:val="16"/>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1083"/>
        <w:gridCol w:w="1473"/>
        <w:gridCol w:w="1459"/>
        <w:gridCol w:w="1559"/>
        <w:gridCol w:w="2415"/>
      </w:tblGrid>
      <w:tr w14:paraId="4113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2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F9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1D6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区委编办</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1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0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区委编办</w:t>
            </w:r>
          </w:p>
        </w:tc>
      </w:tr>
      <w:tr w14:paraId="649B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2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81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14:paraId="2E465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14:paraId="07BA2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D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58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ED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0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r>
      <w:tr w14:paraId="3295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2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7C0A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3F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20157E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AE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14:paraId="75F955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EC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r>
      <w:tr w14:paraId="452B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2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0C4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D2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23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7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p>
        </w:tc>
      </w:tr>
      <w:tr w14:paraId="6EE7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8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14:paraId="7E15A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1E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A0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14:paraId="3015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CFB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40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59B9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对全区所有注册单位进行全部续费，实现中文域名和网站挂标覆盖率均达100%。</w:t>
            </w:r>
          </w:p>
        </w:tc>
        <w:tc>
          <w:tcPr>
            <w:tcW w:w="39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433D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color w:val="000000"/>
                <w:kern w:val="0"/>
                <w:sz w:val="24"/>
                <w:szCs w:val="24"/>
                <w:lang w:bidi="ar"/>
              </w:rPr>
              <w:t>对全区所有注册单位进行全部续费，实现中文域名和网站挂标覆盖率均达100%。</w:t>
            </w:r>
          </w:p>
        </w:tc>
      </w:tr>
      <w:tr w14:paraId="48D3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1609" w:type="dxa"/>
            <w:vMerge w:val="restart"/>
            <w:tcBorders>
              <w:top w:val="single" w:color="000000" w:sz="4" w:space="0"/>
              <w:left w:val="single" w:color="000000" w:sz="4" w:space="0"/>
              <w:right w:val="single" w:color="000000" w:sz="4" w:space="0"/>
            </w:tcBorders>
            <w:shd w:val="clear" w:color="auto" w:fill="auto"/>
            <w:vAlign w:val="center"/>
          </w:tcPr>
          <w:p w14:paraId="2A6F4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年度绩效指标完成情况</w:t>
            </w: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4820C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一级</w:t>
            </w:r>
          </w:p>
          <w:p w14:paraId="77BE1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5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二级</w:t>
            </w:r>
          </w:p>
          <w:p w14:paraId="51CDE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3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三级</w:t>
            </w:r>
          </w:p>
          <w:p w14:paraId="4C652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9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预期指标值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实际完成指标值</w:t>
            </w:r>
          </w:p>
        </w:tc>
      </w:tr>
      <w:tr w14:paraId="403A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1609" w:type="dxa"/>
            <w:vMerge w:val="continue"/>
            <w:tcBorders>
              <w:left w:val="single" w:color="000000" w:sz="4" w:space="0"/>
              <w:right w:val="single" w:color="000000" w:sz="4" w:space="0"/>
            </w:tcBorders>
            <w:shd w:val="clear" w:color="auto" w:fill="auto"/>
            <w:vAlign w:val="center"/>
          </w:tcPr>
          <w:p w14:paraId="1A2598A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BC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完成</w:t>
            </w:r>
          </w:p>
          <w:p w14:paraId="08328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24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C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注册单位覆盖率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7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r>
      <w:tr w14:paraId="1EC8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jc w:val="center"/>
        </w:trPr>
        <w:tc>
          <w:tcPr>
            <w:tcW w:w="1609" w:type="dxa"/>
            <w:vMerge w:val="continue"/>
            <w:tcBorders>
              <w:left w:val="single" w:color="000000" w:sz="4" w:space="0"/>
              <w:right w:val="single" w:color="000000" w:sz="4" w:space="0"/>
            </w:tcBorders>
            <w:shd w:val="clear" w:color="auto" w:fill="auto"/>
            <w:vAlign w:val="center"/>
          </w:tcPr>
          <w:p w14:paraId="0B2C08D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5C427B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8B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质量指标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C1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全区机关事业单位网上名称管理规范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0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高</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F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高</w:t>
            </w:r>
          </w:p>
        </w:tc>
      </w:tr>
      <w:tr w14:paraId="683A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1609" w:type="dxa"/>
            <w:vMerge w:val="continue"/>
            <w:tcBorders>
              <w:left w:val="single" w:color="000000" w:sz="4" w:space="0"/>
              <w:right w:val="single" w:color="000000" w:sz="4" w:space="0"/>
            </w:tcBorders>
            <w:shd w:val="clear" w:color="auto" w:fill="auto"/>
            <w:vAlign w:val="center"/>
          </w:tcPr>
          <w:p w14:paraId="4DF828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ABB3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B2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时效指标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21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当年完成情况</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0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从</w:t>
            </w:r>
            <w:r>
              <w:rPr>
                <w:rFonts w:hint="eastAsia" w:ascii="宋体" w:hAnsi="宋体" w:eastAsia="宋体" w:cs="宋体"/>
                <w:color w:val="000000"/>
                <w:sz w:val="24"/>
                <w:szCs w:val="24"/>
                <w:lang w:val="en-US" w:eastAsia="zh-CN"/>
              </w:rPr>
              <w:t>1月1日起至12月31日止</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41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从</w:t>
            </w:r>
            <w:r>
              <w:rPr>
                <w:rFonts w:hint="eastAsia" w:ascii="宋体" w:hAnsi="宋体" w:eastAsia="宋体" w:cs="宋体"/>
                <w:color w:val="000000"/>
                <w:sz w:val="24"/>
                <w:szCs w:val="24"/>
                <w:lang w:val="en-US" w:eastAsia="zh-CN"/>
              </w:rPr>
              <w:t>1月1日起至12月31日止</w:t>
            </w:r>
          </w:p>
        </w:tc>
      </w:tr>
      <w:tr w14:paraId="289A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1609" w:type="dxa"/>
            <w:vMerge w:val="continue"/>
            <w:tcBorders>
              <w:left w:val="single" w:color="000000" w:sz="4" w:space="0"/>
              <w:right w:val="single" w:color="000000" w:sz="4" w:space="0"/>
            </w:tcBorders>
            <w:shd w:val="clear" w:color="auto" w:fill="auto"/>
            <w:vAlign w:val="center"/>
          </w:tcPr>
          <w:p w14:paraId="22F7769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1084C6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3A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成本指标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6A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域名注册成本控制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45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≤4万元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8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≤4万元</w:t>
            </w:r>
          </w:p>
        </w:tc>
      </w:tr>
      <w:tr w14:paraId="76B3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jc w:val="center"/>
        </w:trPr>
        <w:tc>
          <w:tcPr>
            <w:tcW w:w="1609" w:type="dxa"/>
            <w:vMerge w:val="continue"/>
            <w:tcBorders>
              <w:left w:val="single" w:color="000000" w:sz="4" w:space="0"/>
              <w:right w:val="single" w:color="000000" w:sz="4" w:space="0"/>
            </w:tcBorders>
            <w:shd w:val="clear" w:color="auto" w:fill="auto"/>
            <w:vAlign w:val="center"/>
          </w:tcPr>
          <w:p w14:paraId="2E7244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25CA4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215C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  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1C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机构编制管理的信息化建设程度</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F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高</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CC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高</w:t>
            </w:r>
          </w:p>
        </w:tc>
      </w:tr>
      <w:tr w14:paraId="7716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1609" w:type="dxa"/>
            <w:vMerge w:val="continue"/>
            <w:tcBorders>
              <w:left w:val="single" w:color="000000" w:sz="4" w:space="0"/>
              <w:bottom w:val="single" w:color="auto" w:sz="4" w:space="0"/>
              <w:right w:val="single" w:color="000000" w:sz="4" w:space="0"/>
            </w:tcBorders>
            <w:shd w:val="clear" w:color="auto" w:fill="auto"/>
            <w:vAlign w:val="center"/>
          </w:tcPr>
          <w:p w14:paraId="3A49BB9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0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BF5E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w:t>
            </w:r>
          </w:p>
          <w:p w14:paraId="30F8A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度指标</w:t>
            </w:r>
          </w:p>
        </w:tc>
        <w:tc>
          <w:tcPr>
            <w:tcW w:w="1473" w:type="dxa"/>
            <w:tcBorders>
              <w:top w:val="single" w:color="000000" w:sz="4" w:space="0"/>
              <w:left w:val="single" w:color="000000" w:sz="4" w:space="0"/>
              <w:bottom w:val="single" w:color="auto" w:sz="4" w:space="0"/>
              <w:right w:val="single" w:color="000000" w:sz="4" w:space="0"/>
            </w:tcBorders>
            <w:shd w:val="clear" w:color="auto" w:fill="auto"/>
            <w:vAlign w:val="bottom"/>
          </w:tcPr>
          <w:p w14:paraId="5D0077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满意度</w:t>
            </w:r>
          </w:p>
          <w:p w14:paraId="5FC638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指标</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14:paraId="03731A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注册对象</w:t>
            </w:r>
            <w:r>
              <w:rPr>
                <w:rFonts w:hint="eastAsia" w:ascii="宋体" w:hAnsi="宋体" w:eastAsia="宋体" w:cs="宋体"/>
                <w:color w:val="000000"/>
                <w:kern w:val="0"/>
                <w:sz w:val="24"/>
                <w:szCs w:val="24"/>
                <w:lang w:bidi="ar"/>
              </w:rPr>
              <w:t>满意度</w:t>
            </w:r>
          </w:p>
        </w:tc>
        <w:tc>
          <w:tcPr>
            <w:tcW w:w="15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E70F5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r>
              <w:rPr>
                <w:rStyle w:val="34"/>
                <w:rFonts w:hint="eastAsia" w:ascii="宋体" w:hAnsi="宋体" w:eastAsia="宋体" w:cs="宋体"/>
                <w:sz w:val="24"/>
                <w:szCs w:val="24"/>
                <w:lang w:bidi="ar"/>
              </w:rPr>
              <w:t>9</w:t>
            </w:r>
            <w:r>
              <w:rPr>
                <w:rStyle w:val="34"/>
                <w:rFonts w:hint="eastAsia" w:ascii="宋体" w:hAnsi="宋体" w:eastAsia="宋体" w:cs="宋体"/>
                <w:sz w:val="24"/>
                <w:szCs w:val="24"/>
                <w:lang w:val="en-US" w:eastAsia="zh-CN" w:bidi="ar"/>
              </w:rPr>
              <w:t>5</w:t>
            </w:r>
            <w:r>
              <w:rPr>
                <w:rStyle w:val="34"/>
                <w:rFonts w:hint="eastAsia" w:ascii="宋体" w:hAnsi="宋体" w:eastAsia="宋体" w:cs="宋体"/>
                <w:sz w:val="24"/>
                <w:szCs w:val="24"/>
                <w:lang w:bidi="ar"/>
              </w:rPr>
              <w:t>%</w:t>
            </w:r>
          </w:p>
        </w:tc>
        <w:tc>
          <w:tcPr>
            <w:tcW w:w="2415" w:type="dxa"/>
            <w:tcBorders>
              <w:top w:val="single" w:color="000000" w:sz="4" w:space="0"/>
              <w:left w:val="single" w:color="000000" w:sz="4" w:space="0"/>
              <w:bottom w:val="single" w:color="auto" w:sz="4" w:space="0"/>
              <w:right w:val="single" w:color="000000" w:sz="4" w:space="0"/>
            </w:tcBorders>
            <w:shd w:val="clear" w:color="auto" w:fill="auto"/>
            <w:vAlign w:val="center"/>
          </w:tcPr>
          <w:p w14:paraId="054268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w:t>
            </w:r>
            <w:r>
              <w:rPr>
                <w:rStyle w:val="34"/>
                <w:rFonts w:hint="eastAsia" w:ascii="宋体" w:hAnsi="宋体" w:eastAsia="宋体" w:cs="宋体"/>
                <w:sz w:val="24"/>
                <w:szCs w:val="24"/>
                <w:lang w:bidi="ar"/>
              </w:rPr>
              <w:t>9</w:t>
            </w:r>
            <w:r>
              <w:rPr>
                <w:rStyle w:val="34"/>
                <w:rFonts w:hint="eastAsia" w:ascii="宋体" w:hAnsi="宋体" w:eastAsia="宋体" w:cs="宋体"/>
                <w:sz w:val="24"/>
                <w:szCs w:val="24"/>
                <w:lang w:val="en-US" w:eastAsia="zh-CN" w:bidi="ar"/>
              </w:rPr>
              <w:t>5</w:t>
            </w:r>
            <w:r>
              <w:rPr>
                <w:rStyle w:val="34"/>
                <w:rFonts w:hint="eastAsia" w:ascii="宋体" w:hAnsi="宋体" w:eastAsia="宋体" w:cs="宋体"/>
                <w:sz w:val="24"/>
                <w:szCs w:val="24"/>
                <w:lang w:bidi="ar"/>
              </w:rPr>
              <w:t>%</w:t>
            </w:r>
          </w:p>
        </w:tc>
      </w:tr>
    </w:tbl>
    <w:p w14:paraId="2781382B">
      <w:pPr>
        <w:pStyle w:val="2"/>
        <w:rPr>
          <w:rFonts w:hint="eastAsia"/>
        </w:rPr>
      </w:pPr>
    </w:p>
    <w:p w14:paraId="339994A7">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14:paraId="7102D57F">
      <w:pPr>
        <w:widowControl/>
        <w:jc w:val="center"/>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第五部分 附表</w:t>
      </w:r>
      <w:bookmarkEnd w:id="53"/>
      <w:bookmarkEnd w:id="54"/>
      <w:bookmarkStart w:id="55" w:name="_Toc15396619"/>
    </w:p>
    <w:p w14:paraId="1189CC1B">
      <w:pPr>
        <w:pageBreakBefore w:val="0"/>
        <w:widowControl w:val="0"/>
        <w:kinsoku/>
        <w:wordWrap/>
        <w:overflowPunct/>
        <w:topLinePunct w:val="0"/>
        <w:autoSpaceDE/>
        <w:autoSpaceDN/>
        <w:bidi w:val="0"/>
        <w:adjustRightInd/>
        <w:snapToGrid/>
        <w:spacing w:line="576" w:lineRule="exact"/>
        <w:jc w:val="both"/>
        <w:textAlignment w:val="auto"/>
        <w:outlineLvl w:val="0"/>
        <w:rPr>
          <w:rFonts w:hint="eastAsia" w:ascii="仿宋" w:hAnsi="仿宋" w:eastAsia="仿宋" w:cstheme="majorBidi"/>
          <w:b w:val="0"/>
          <w:bCs/>
          <w:color w:val="auto"/>
          <w:kern w:val="2"/>
          <w:sz w:val="32"/>
          <w:szCs w:val="32"/>
          <w:highlight w:val="none"/>
          <w:lang w:val="en-US" w:eastAsia="zh-CN" w:bidi="ar-SA"/>
        </w:rPr>
      </w:pPr>
    </w:p>
    <w:p w14:paraId="5F9B55A2">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一、收入支出决算总表</w:t>
      </w:r>
      <w:bookmarkEnd w:id="55"/>
    </w:p>
    <w:p w14:paraId="173F13D6">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6" w:name="_Toc15396620"/>
      <w:r>
        <w:rPr>
          <w:rFonts w:hint="eastAsia" w:ascii="仿宋_GB2312" w:hAnsi="仿宋_GB2312" w:eastAsia="仿宋_GB2312" w:cs="仿宋_GB2312"/>
          <w:b w:val="0"/>
          <w:color w:val="auto"/>
          <w:sz w:val="32"/>
          <w:szCs w:val="32"/>
          <w:highlight w:val="none"/>
        </w:rPr>
        <w:t>二、收</w:t>
      </w:r>
      <w:r>
        <w:rPr>
          <w:rStyle w:val="29"/>
          <w:rFonts w:hint="eastAsia" w:ascii="仿宋_GB2312" w:hAnsi="仿宋_GB2312" w:eastAsia="仿宋_GB2312" w:cs="仿宋_GB2312"/>
          <w:b w:val="0"/>
          <w:bCs w:val="0"/>
          <w:color w:val="auto"/>
          <w:sz w:val="32"/>
          <w:szCs w:val="32"/>
          <w:highlight w:val="none"/>
        </w:rPr>
        <w:t>入决算表</w:t>
      </w:r>
      <w:bookmarkEnd w:id="56"/>
    </w:p>
    <w:p w14:paraId="380F26E8">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57" w:name="_Toc15396621"/>
      <w:r>
        <w:rPr>
          <w:rStyle w:val="29"/>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29"/>
          <w:rFonts w:hint="eastAsia" w:ascii="仿宋_GB2312" w:hAnsi="仿宋_GB2312" w:eastAsia="仿宋_GB2312" w:cs="仿宋_GB2312"/>
          <w:b w:val="0"/>
          <w:bCs w:val="0"/>
          <w:color w:val="auto"/>
          <w:sz w:val="32"/>
          <w:szCs w:val="32"/>
          <w:highlight w:val="none"/>
        </w:rPr>
        <w:t>出决算表</w:t>
      </w:r>
      <w:bookmarkEnd w:id="57"/>
    </w:p>
    <w:p w14:paraId="1319BCDF">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color w:val="auto"/>
          <w:sz w:val="32"/>
          <w:szCs w:val="32"/>
          <w:highlight w:val="none"/>
        </w:rPr>
      </w:pPr>
      <w:bookmarkStart w:id="58" w:name="_Toc15396622"/>
      <w:r>
        <w:rPr>
          <w:rStyle w:val="29"/>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29"/>
          <w:rFonts w:hint="eastAsia" w:ascii="仿宋_GB2312" w:hAnsi="仿宋_GB2312" w:eastAsia="仿宋_GB2312" w:cs="仿宋_GB2312"/>
          <w:b w:val="0"/>
          <w:bCs w:val="0"/>
          <w:color w:val="auto"/>
          <w:sz w:val="32"/>
          <w:szCs w:val="32"/>
          <w:highlight w:val="none"/>
        </w:rPr>
        <w:t>政拨款收入支出决算总表</w:t>
      </w:r>
      <w:bookmarkEnd w:id="58"/>
    </w:p>
    <w:p w14:paraId="5944E9AE">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仿宋_GB2312" w:hAnsi="仿宋_GB2312" w:eastAsia="仿宋_GB2312" w:cs="仿宋_GB2312"/>
          <w:b w:val="0"/>
          <w:bCs w:val="0"/>
          <w:color w:val="auto"/>
          <w:sz w:val="32"/>
          <w:szCs w:val="32"/>
          <w:highlight w:val="none"/>
        </w:rPr>
      </w:pPr>
      <w:bookmarkStart w:id="59" w:name="_Toc15396623"/>
      <w:r>
        <w:rPr>
          <w:rStyle w:val="29"/>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29"/>
          <w:rFonts w:hint="eastAsia" w:ascii="仿宋_GB2312" w:hAnsi="仿宋_GB2312" w:eastAsia="仿宋_GB2312" w:cs="仿宋_GB2312"/>
          <w:b w:val="0"/>
          <w:bCs w:val="0"/>
          <w:color w:val="auto"/>
          <w:sz w:val="32"/>
          <w:szCs w:val="32"/>
          <w:highlight w:val="none"/>
        </w:rPr>
        <w:t>政拨款支出决算明细表</w:t>
      </w:r>
      <w:bookmarkEnd w:id="59"/>
      <w:bookmarkStart w:id="60" w:name="_Toc15396624"/>
    </w:p>
    <w:p w14:paraId="0D157E59">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r>
        <w:rPr>
          <w:rStyle w:val="29"/>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29"/>
          <w:rFonts w:hint="eastAsia" w:ascii="仿宋_GB2312" w:hAnsi="仿宋_GB2312" w:eastAsia="仿宋_GB2312" w:cs="仿宋_GB2312"/>
          <w:b w:val="0"/>
          <w:bCs w:val="0"/>
          <w:color w:val="auto"/>
          <w:sz w:val="32"/>
          <w:szCs w:val="32"/>
          <w:highlight w:val="none"/>
        </w:rPr>
        <w:t>般公共预算财政拨款支出决算表</w:t>
      </w:r>
      <w:bookmarkEnd w:id="60"/>
    </w:p>
    <w:p w14:paraId="5CC5D257">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1" w:name="_Toc15396625"/>
      <w:r>
        <w:rPr>
          <w:rStyle w:val="29"/>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29"/>
          <w:rFonts w:hint="eastAsia" w:ascii="仿宋_GB2312" w:hAnsi="仿宋_GB2312" w:eastAsia="仿宋_GB2312" w:cs="仿宋_GB2312"/>
          <w:b w:val="0"/>
          <w:bCs w:val="0"/>
          <w:color w:val="auto"/>
          <w:sz w:val="32"/>
          <w:szCs w:val="32"/>
          <w:highlight w:val="none"/>
        </w:rPr>
        <w:t>般公共预算财政拨款支出决算明细表</w:t>
      </w:r>
      <w:bookmarkEnd w:id="61"/>
    </w:p>
    <w:p w14:paraId="035258E6">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2" w:name="_Toc15396626"/>
      <w:r>
        <w:rPr>
          <w:rStyle w:val="29"/>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29"/>
          <w:rFonts w:hint="eastAsia" w:ascii="仿宋_GB2312" w:hAnsi="仿宋_GB2312" w:eastAsia="仿宋_GB2312" w:cs="仿宋_GB2312"/>
          <w:b w:val="0"/>
          <w:bCs w:val="0"/>
          <w:color w:val="auto"/>
          <w:sz w:val="32"/>
          <w:szCs w:val="32"/>
          <w:highlight w:val="none"/>
        </w:rPr>
        <w:t>般公共预算财政拨款基本支出决算表</w:t>
      </w:r>
      <w:bookmarkEnd w:id="62"/>
    </w:p>
    <w:p w14:paraId="09C39483">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3" w:name="_Toc15396627"/>
      <w:r>
        <w:rPr>
          <w:rStyle w:val="29"/>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29"/>
          <w:rFonts w:hint="eastAsia" w:ascii="仿宋_GB2312" w:hAnsi="仿宋_GB2312" w:eastAsia="仿宋_GB2312" w:cs="仿宋_GB2312"/>
          <w:b w:val="0"/>
          <w:bCs w:val="0"/>
          <w:color w:val="auto"/>
          <w:sz w:val="32"/>
          <w:szCs w:val="32"/>
          <w:highlight w:val="none"/>
        </w:rPr>
        <w:t>般公共预算财政拨款项目支出决算表</w:t>
      </w:r>
      <w:bookmarkEnd w:id="63"/>
    </w:p>
    <w:p w14:paraId="6A9B74D7">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4" w:name="_Toc15396628"/>
      <w:r>
        <w:rPr>
          <w:rStyle w:val="29"/>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29"/>
          <w:rFonts w:hint="eastAsia" w:ascii="仿宋_GB2312" w:hAnsi="仿宋_GB2312" w:eastAsia="仿宋_GB2312" w:cs="仿宋_GB2312"/>
          <w:b w:val="0"/>
          <w:bCs w:val="0"/>
          <w:color w:val="auto"/>
          <w:sz w:val="32"/>
          <w:szCs w:val="32"/>
          <w:highlight w:val="none"/>
        </w:rPr>
        <w:t>般公共预算财政拨款“三公”经费支出决算表</w:t>
      </w:r>
      <w:bookmarkEnd w:id="64"/>
    </w:p>
    <w:p w14:paraId="45C557B0">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5" w:name="_Toc15396629"/>
      <w:r>
        <w:rPr>
          <w:rStyle w:val="29"/>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29"/>
          <w:rFonts w:hint="eastAsia" w:ascii="仿宋_GB2312" w:hAnsi="仿宋_GB2312" w:eastAsia="仿宋_GB2312" w:cs="仿宋_GB2312"/>
          <w:b w:val="0"/>
          <w:bCs w:val="0"/>
          <w:color w:val="auto"/>
          <w:sz w:val="32"/>
          <w:szCs w:val="32"/>
          <w:highlight w:val="none"/>
        </w:rPr>
        <w:t>府性基金预算财政拨款收入支出决算表</w:t>
      </w:r>
      <w:bookmarkEnd w:id="65"/>
    </w:p>
    <w:p w14:paraId="25DA1449">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color w:val="auto"/>
          <w:sz w:val="32"/>
          <w:szCs w:val="32"/>
          <w:highlight w:val="none"/>
        </w:rPr>
      </w:pPr>
      <w:bookmarkStart w:id="66" w:name="_Toc15396630"/>
      <w:r>
        <w:rPr>
          <w:rStyle w:val="29"/>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29"/>
          <w:rFonts w:hint="eastAsia" w:ascii="仿宋_GB2312" w:hAnsi="仿宋_GB2312" w:eastAsia="仿宋_GB2312" w:cs="仿宋_GB2312"/>
          <w:b w:val="0"/>
          <w:bCs w:val="0"/>
          <w:color w:val="auto"/>
          <w:sz w:val="32"/>
          <w:szCs w:val="32"/>
          <w:highlight w:val="none"/>
        </w:rPr>
        <w:t>府性基金预算财政拨款“三公”经费支出决算表</w:t>
      </w:r>
      <w:bookmarkEnd w:id="66"/>
    </w:p>
    <w:p w14:paraId="13F59D2C">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Style w:val="29"/>
          <w:rFonts w:hint="eastAsia" w:ascii="仿宋_GB2312" w:hAnsi="仿宋_GB2312" w:eastAsia="仿宋_GB2312" w:cs="仿宋_GB2312"/>
          <w:b w:val="0"/>
          <w:bCs w:val="0"/>
          <w:color w:val="auto"/>
          <w:sz w:val="32"/>
          <w:szCs w:val="32"/>
          <w:highlight w:val="none"/>
        </w:rPr>
      </w:pPr>
      <w:bookmarkStart w:id="67" w:name="_Toc15396631"/>
      <w:r>
        <w:rPr>
          <w:rStyle w:val="29"/>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29"/>
          <w:rFonts w:hint="eastAsia" w:ascii="仿宋_GB2312" w:hAnsi="仿宋_GB2312" w:eastAsia="仿宋_GB2312" w:cs="仿宋_GB2312"/>
          <w:b w:val="0"/>
          <w:bCs w:val="0"/>
          <w:color w:val="auto"/>
          <w:sz w:val="32"/>
          <w:szCs w:val="32"/>
          <w:highlight w:val="none"/>
        </w:rPr>
        <w:t>有资本经营预算</w:t>
      </w:r>
      <w:r>
        <w:rPr>
          <w:rStyle w:val="29"/>
          <w:rFonts w:hint="eastAsia" w:ascii="仿宋_GB2312" w:hAnsi="仿宋_GB2312" w:eastAsia="仿宋_GB2312" w:cs="仿宋_GB2312"/>
          <w:b w:val="0"/>
          <w:bCs w:val="0"/>
          <w:color w:val="auto"/>
          <w:sz w:val="32"/>
          <w:szCs w:val="32"/>
          <w:highlight w:val="none"/>
          <w:lang w:eastAsia="zh-CN"/>
        </w:rPr>
        <w:t>财政拨款收入</w:t>
      </w:r>
      <w:r>
        <w:rPr>
          <w:rStyle w:val="29"/>
          <w:rFonts w:hint="eastAsia" w:ascii="仿宋_GB2312" w:hAnsi="仿宋_GB2312" w:eastAsia="仿宋_GB2312" w:cs="仿宋_GB2312"/>
          <w:b w:val="0"/>
          <w:bCs w:val="0"/>
          <w:color w:val="auto"/>
          <w:sz w:val="32"/>
          <w:szCs w:val="32"/>
          <w:highlight w:val="none"/>
        </w:rPr>
        <w:t>支出决算表</w:t>
      </w:r>
      <w:bookmarkEnd w:id="67"/>
    </w:p>
    <w:p w14:paraId="4A2977B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Style w:val="29"/>
          <w:rFonts w:hint="eastAsia" w:ascii="仿宋_GB2312" w:hAnsi="仿宋_GB2312" w:eastAsia="仿宋_GB2312" w:cs="仿宋_GB2312"/>
          <w:b w:val="0"/>
          <w:bCs w:val="0"/>
          <w:color w:val="auto"/>
          <w:sz w:val="32"/>
          <w:szCs w:val="32"/>
          <w:highlight w:val="none"/>
          <w:lang w:eastAsia="zh-CN"/>
        </w:rPr>
        <w:t>十四、国有资本经营预算财政拨款支出决算表</w:t>
      </w:r>
    </w:p>
    <w:sectPr>
      <w:footerReference r:id="rId9" w:type="first"/>
      <w:footerReference r:id="rId8" w:type="default"/>
      <w:pgSz w:w="11906" w:h="16838"/>
      <w:pgMar w:top="2098" w:right="1474" w:bottom="1984" w:left="1587" w:header="851" w:footer="153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FC802-7681-48F5-A871-ED7C3CEE8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713F3283-C0D2-4EA1-BB84-ED6DF9AE8E47}"/>
  </w:font>
  <w:font w:name="仿宋">
    <w:panose1 w:val="02010609060101010101"/>
    <w:charset w:val="86"/>
    <w:family w:val="auto"/>
    <w:pitch w:val="default"/>
    <w:sig w:usb0="800002BF" w:usb1="38CF7CFA" w:usb2="00000016" w:usb3="00000000" w:csb0="00040001" w:csb1="00000000"/>
    <w:embedRegular r:id="rId3" w:fontKey="{379BC719-699A-4EE5-87BD-15E771B61478}"/>
  </w:font>
  <w:font w:name="方正小标宋简体">
    <w:panose1 w:val="02000000000000000000"/>
    <w:charset w:val="86"/>
    <w:family w:val="script"/>
    <w:pitch w:val="default"/>
    <w:sig w:usb0="00000001" w:usb1="08000000" w:usb2="00000000" w:usb3="00000000" w:csb0="00040000" w:csb1="00000000"/>
    <w:embedRegular r:id="rId4" w:fontKey="{08125E3E-5FE8-4A03-9348-727D25217C07}"/>
  </w:font>
  <w:font w:name="楷体_GB2312">
    <w:panose1 w:val="02010609030101010101"/>
    <w:charset w:val="86"/>
    <w:family w:val="auto"/>
    <w:pitch w:val="default"/>
    <w:sig w:usb0="00000001" w:usb1="080E0000" w:usb2="00000000" w:usb3="00000000" w:csb0="00040000" w:csb1="00000000"/>
    <w:embedRegular r:id="rId5" w:fontKey="{29AE460E-7273-4A2B-BA7B-87C1E5324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7587">
    <w:pPr>
      <w:pStyle w:val="9"/>
      <w:jc w:val="center"/>
    </w:pPr>
  </w:p>
  <w:p w14:paraId="661397F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87A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0C1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9D36F">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77D4">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FA733">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DFA733">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210CADA">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F47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6DD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E89E8"/>
    <w:multiLevelType w:val="singleLevel"/>
    <w:tmpl w:val="BB2E89E8"/>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2520"/>
      </w:pPr>
      <w:rPr>
        <w:rFonts w:hint="eastAsia" w:ascii="黑体" w:hAnsi="黑体" w:eastAsia="黑体" w:cs="黑体"/>
        <w:sz w:val="44"/>
        <w:szCs w:val="4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8F190F"/>
    <w:rsid w:val="0A2032A3"/>
    <w:rsid w:val="0B8A37D8"/>
    <w:rsid w:val="0D6310AB"/>
    <w:rsid w:val="0DE10795"/>
    <w:rsid w:val="0F2E6C6F"/>
    <w:rsid w:val="10C055FF"/>
    <w:rsid w:val="118107EC"/>
    <w:rsid w:val="11DD6519"/>
    <w:rsid w:val="16BB723D"/>
    <w:rsid w:val="17C1703A"/>
    <w:rsid w:val="18015F3F"/>
    <w:rsid w:val="18461969"/>
    <w:rsid w:val="196654F1"/>
    <w:rsid w:val="1BE8440E"/>
    <w:rsid w:val="1D155CEE"/>
    <w:rsid w:val="1EF91491"/>
    <w:rsid w:val="20F57F95"/>
    <w:rsid w:val="240371BF"/>
    <w:rsid w:val="24325238"/>
    <w:rsid w:val="25C741E6"/>
    <w:rsid w:val="27842671"/>
    <w:rsid w:val="29FD04D3"/>
    <w:rsid w:val="2ABE7A3E"/>
    <w:rsid w:val="2EFA178C"/>
    <w:rsid w:val="2F4D0E7D"/>
    <w:rsid w:val="2F605CBC"/>
    <w:rsid w:val="30B46D73"/>
    <w:rsid w:val="319F7F4E"/>
    <w:rsid w:val="39AE70AB"/>
    <w:rsid w:val="3C0C0783"/>
    <w:rsid w:val="3F795B0E"/>
    <w:rsid w:val="3F9F3A96"/>
    <w:rsid w:val="433D4E77"/>
    <w:rsid w:val="493C27E9"/>
    <w:rsid w:val="496F39ED"/>
    <w:rsid w:val="497A3DEC"/>
    <w:rsid w:val="49FF41D3"/>
    <w:rsid w:val="4A185DC8"/>
    <w:rsid w:val="4BE068DB"/>
    <w:rsid w:val="4BF6002B"/>
    <w:rsid w:val="4E712D20"/>
    <w:rsid w:val="4ECE2238"/>
    <w:rsid w:val="4ED41501"/>
    <w:rsid w:val="51DB4B86"/>
    <w:rsid w:val="521E647F"/>
    <w:rsid w:val="55333C3E"/>
    <w:rsid w:val="57A31E39"/>
    <w:rsid w:val="5EA54F1B"/>
    <w:rsid w:val="5EAA52DB"/>
    <w:rsid w:val="64CA39A1"/>
    <w:rsid w:val="64DC3F47"/>
    <w:rsid w:val="670322D2"/>
    <w:rsid w:val="672568B2"/>
    <w:rsid w:val="6C4A05C8"/>
    <w:rsid w:val="6D314C6B"/>
    <w:rsid w:val="70D82776"/>
    <w:rsid w:val="72734D90"/>
    <w:rsid w:val="73B50C4B"/>
    <w:rsid w:val="7473431C"/>
    <w:rsid w:val="74E366CA"/>
    <w:rsid w:val="754E7067"/>
    <w:rsid w:val="79E7B28D"/>
    <w:rsid w:val="7D845D1C"/>
    <w:rsid w:val="7E087EEB"/>
    <w:rsid w:val="7F9F20EE"/>
    <w:rsid w:val="9E3A10E2"/>
    <w:rsid w:val="F2E1F9D4"/>
    <w:rsid w:val="F7880819"/>
    <w:rsid w:val="FA7BC1B7"/>
    <w:rsid w:val="FEDFC4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99"/>
    <w:pPr>
      <w:ind w:firstLine="630"/>
      <w:jc w:val="left"/>
    </w:pPr>
    <w:rPr>
      <w:rFonts w:eastAsia="黑体"/>
      <w:sz w:val="3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next w:val="14"/>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2"/>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basedOn w:val="6"/>
    <w:qFormat/>
    <w:uiPriority w:val="99"/>
    <w:pPr>
      <w:spacing w:after="120"/>
      <w:ind w:left="420" w:leftChars="200" w:firstLine="42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8"/>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81"/>
    <w:basedOn w:val="1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收入决算（万）</c:v>
                </c:pt>
                <c:pt idx="1">
                  <c:v>支出决算（万）</c:v>
                </c:pt>
              </c:strCache>
            </c:strRef>
          </c:cat>
          <c:val>
            <c:numRef>
              <c:f>Sheet1!$B$2:$B$3</c:f>
              <c:numCache>
                <c:formatCode>General</c:formatCode>
                <c:ptCount val="2"/>
                <c:pt idx="0">
                  <c:v>204.65</c:v>
                </c:pt>
                <c:pt idx="1">
                  <c:v>206.67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收入决算（万）</c:v>
                </c:pt>
                <c:pt idx="1">
                  <c:v>支出决算（万）</c:v>
                </c:pt>
              </c:strCache>
            </c:strRef>
          </c:cat>
          <c:val>
            <c:numRef>
              <c:f>Sheet1!$C$2:$C$3</c:f>
              <c:numCache>
                <c:formatCode>General</c:formatCode>
                <c:ptCount val="2"/>
                <c:pt idx="0">
                  <c:v>207.96</c:v>
                </c:pt>
                <c:pt idx="1">
                  <c:v>207.96</c:v>
                </c:pt>
              </c:numCache>
            </c:numRef>
          </c:val>
        </c:ser>
        <c:dLbls>
          <c:showLegendKey val="0"/>
          <c:showVal val="0"/>
          <c:showCatName val="0"/>
          <c:showSerName val="0"/>
          <c:showPercent val="0"/>
          <c:showBubbleSize val="0"/>
        </c:dLbls>
        <c:gapWidth val="219"/>
        <c:overlap val="-27"/>
        <c:axId val="830441585"/>
        <c:axId val="923338256"/>
      </c:barChart>
      <c:catAx>
        <c:axId val="8304415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338256"/>
        <c:crosses val="autoZero"/>
        <c:auto val="1"/>
        <c:lblAlgn val="ctr"/>
        <c:lblOffset val="100"/>
        <c:noMultiLvlLbl val="0"/>
      </c:catAx>
      <c:valAx>
        <c:axId val="92333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4415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w="19050">
                <a:solidFill>
                  <a:schemeClr val="lt1"/>
                </a:solidFill>
              </a:ln>
              <a:effectLst/>
            </c:spPr>
          </c:dPt>
          <c:dLbls>
            <c:dLbl>
              <c:idx val="0"/>
              <c:layout>
                <c:manualLayout>
                  <c:x val="0.127499665880766"/>
                  <c:y val="-0.44471333333296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800">
                        <a:solidFill>
                          <a:srgbClr val="FFFF00"/>
                        </a:solidFill>
                        <a:latin typeface="+mj-ea"/>
                        <a:cs typeface="+mj-ea"/>
                      </a:rPr>
                      <a:t>207.96</a:t>
                    </a:r>
                    <a:endParaRPr sz="1800">
                      <a:solidFill>
                        <a:srgbClr val="FFFF00"/>
                      </a:solidFill>
                      <a:latin typeface="+mj-ea"/>
                      <a:cs typeface="+mj-ea"/>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1875"/>
                      <c:h val="0.159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一般公共预算财政拨款收入（万）</c:v>
                </c:pt>
              </c:strCache>
            </c:strRef>
          </c:cat>
          <c:val>
            <c:numRef>
              <c:f>Sheet1!$B$2</c:f>
              <c:numCache>
                <c:formatCode>General</c:formatCode>
                <c:ptCount val="1"/>
                <c:pt idx="0">
                  <c:v>207.96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w="19050">
                <a:solidFill>
                  <a:schemeClr val="lt1"/>
                </a:solidFill>
              </a:ln>
              <a:effectLst/>
            </c:spPr>
          </c:dPt>
          <c:dLbls>
            <c:dLbl>
              <c:idx val="0"/>
              <c:layout>
                <c:manualLayout>
                  <c:x val="0.127499665880766"/>
                  <c:y val="-0.44471333333296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800">
                        <a:solidFill>
                          <a:srgbClr val="FFFF00"/>
                        </a:solidFill>
                        <a:latin typeface="+mj-ea"/>
                        <a:cs typeface="+mj-ea"/>
                      </a:rPr>
                      <a:t>207.96</a:t>
                    </a:r>
                    <a:endParaRPr sz="1800">
                      <a:solidFill>
                        <a:srgbClr val="FFFF00"/>
                      </a:solidFill>
                      <a:latin typeface="+mj-ea"/>
                      <a:cs typeface="+mj-ea"/>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211875"/>
                      <c:h val="0.159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基础支出（万）</c:v>
                </c:pt>
              </c:strCache>
            </c:strRef>
          </c:cat>
          <c:val>
            <c:numRef>
              <c:f>Sheet1!$B$2</c:f>
              <c:numCache>
                <c:formatCode>General</c:formatCode>
                <c:ptCount val="1"/>
                <c:pt idx="0">
                  <c:v>207.96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收入决算（万）</c:v>
                </c:pt>
                <c:pt idx="1">
                  <c:v>支出决算（万）</c:v>
                </c:pt>
              </c:strCache>
            </c:strRef>
          </c:cat>
          <c:val>
            <c:numRef>
              <c:f>Sheet1!$B$2:$B$3</c:f>
              <c:numCache>
                <c:formatCode>General</c:formatCode>
                <c:ptCount val="2"/>
                <c:pt idx="0">
                  <c:v>204.65</c:v>
                </c:pt>
                <c:pt idx="1">
                  <c:v>206.67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收入决算（万）</c:v>
                </c:pt>
                <c:pt idx="1">
                  <c:v>支出决算（万）</c:v>
                </c:pt>
              </c:strCache>
            </c:strRef>
          </c:cat>
          <c:val>
            <c:numRef>
              <c:f>Sheet1!$C$2:$C$3</c:f>
              <c:numCache>
                <c:formatCode>General</c:formatCode>
                <c:ptCount val="2"/>
                <c:pt idx="0">
                  <c:v>207.96</c:v>
                </c:pt>
                <c:pt idx="1">
                  <c:v>207.96</c:v>
                </c:pt>
              </c:numCache>
            </c:numRef>
          </c:val>
        </c:ser>
        <c:dLbls>
          <c:showLegendKey val="0"/>
          <c:showVal val="1"/>
          <c:showCatName val="0"/>
          <c:showSerName val="0"/>
          <c:showPercent val="0"/>
          <c:showBubbleSize val="0"/>
        </c:dLbls>
        <c:gapWidth val="219"/>
        <c:overlap val="-27"/>
        <c:axId val="218155643"/>
        <c:axId val="721800751"/>
      </c:barChart>
      <c:catAx>
        <c:axId val="2181556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1800751"/>
        <c:crosses val="autoZero"/>
        <c:auto val="1"/>
        <c:lblAlgn val="ctr"/>
        <c:lblOffset val="100"/>
        <c:noMultiLvlLbl val="0"/>
      </c:catAx>
      <c:valAx>
        <c:axId val="721800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815564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一般公共预算财政拨款支出决算（万）</c:v>
                </c:pt>
              </c:strCache>
            </c:strRef>
          </c:cat>
          <c:val>
            <c:numRef>
              <c:f>Sheet1!$B$2</c:f>
              <c:numCache>
                <c:formatCode>General</c:formatCode>
                <c:ptCount val="1"/>
                <c:pt idx="0">
                  <c:v>204.65</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0"/>
          </c:trendline>
          <c:cat>
            <c:strRef>
              <c:f>Sheet1!$A$2</c:f>
              <c:strCache>
                <c:ptCount val="1"/>
                <c:pt idx="0">
                  <c:v>一般公共预算财政拨款支出决算（万）</c:v>
                </c:pt>
              </c:strCache>
            </c:strRef>
          </c:cat>
          <c:val>
            <c:numRef>
              <c:f>Sheet1!$C$2</c:f>
              <c:numCache>
                <c:formatCode>General</c:formatCode>
                <c:ptCount val="1"/>
                <c:pt idx="0">
                  <c:v>207.96</c:v>
                </c:pt>
              </c:numCache>
            </c:numRef>
          </c:val>
        </c:ser>
        <c:dLbls>
          <c:showLegendKey val="0"/>
          <c:showVal val="1"/>
          <c:showCatName val="0"/>
          <c:showSerName val="0"/>
          <c:showPercent val="0"/>
          <c:showBubbleSize val="0"/>
        </c:dLbls>
        <c:gapWidth val="219"/>
        <c:overlap val="-27"/>
        <c:axId val="995820991"/>
        <c:axId val="60232198"/>
      </c:barChart>
      <c:catAx>
        <c:axId val="9958209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32198"/>
        <c:crosses val="autoZero"/>
        <c:auto val="1"/>
        <c:lblAlgn val="ctr"/>
        <c:lblOffset val="100"/>
        <c:noMultiLvlLbl val="0"/>
      </c:catAx>
      <c:valAx>
        <c:axId val="602321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820991"/>
        <c:crosses val="autoZero"/>
        <c:crossBetween val="between"/>
      </c:valAx>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一般公共预算财政拨款支出（万）</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一般公共服务（类）支出</c:v>
                </c:pt>
                <c:pt idx="1">
                  <c:v>社会保障和就业（类）支出</c:v>
                </c:pt>
                <c:pt idx="2">
                  <c:v>卫生健康支出</c:v>
                </c:pt>
                <c:pt idx="3">
                  <c:v>住房保障支出</c:v>
                </c:pt>
              </c:strCache>
            </c:strRef>
          </c:cat>
          <c:val>
            <c:numRef>
              <c:f>Sheet1!$B$2:$B$5</c:f>
              <c:numCache>
                <c:formatCode>General</c:formatCode>
                <c:ptCount val="4"/>
                <c:pt idx="0">
                  <c:v>173.2</c:v>
                </c:pt>
                <c:pt idx="1">
                  <c:v>13.85</c:v>
                </c:pt>
                <c:pt idx="2">
                  <c:v>6.91</c:v>
                </c:pt>
                <c:pt idx="3">
                  <c:v>13.99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dLbl>
              <c:idx val="0"/>
              <c:layout>
                <c:manualLayout>
                  <c:x val="0.111374167045277"/>
                  <c:y val="-0.4037204952366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600">
                        <a:solidFill>
                          <a:srgbClr val="FFFF00"/>
                        </a:solidFill>
                        <a:latin typeface="+mj-ea"/>
                        <a:cs typeface="+mj-ea"/>
                      </a:rPr>
                      <a:t>1</a:t>
                    </a:r>
                    <a:endParaRPr sz="1600">
                      <a:solidFill>
                        <a:srgbClr val="FFFF00"/>
                      </a:solidFill>
                      <a:latin typeface="+mj-ea"/>
                      <a:cs typeface="+mj-ea"/>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53"/>
                      <c:h val="0.147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公务接待费支出（万）</c:v>
                </c:pt>
              </c:strCache>
            </c:strRef>
          </c:cat>
          <c:val>
            <c:numRef>
              <c:f>Sheet1!$B$2</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9269</Words>
  <Characters>9736</Characters>
  <Lines>61</Lines>
  <Paragraphs>17</Paragraphs>
  <TotalTime>3</TotalTime>
  <ScaleCrop>false</ScaleCrop>
  <LinksUpToDate>false</LinksUpToDate>
  <CharactersWithSpaces>9761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昭化融媒体</cp:lastModifiedBy>
  <cp:lastPrinted>2022-08-06T10:23:00Z</cp:lastPrinted>
  <dcterms:modified xsi:type="dcterms:W3CDTF">2024-08-01T00:45:49Z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40DFF19E8F6F4BAE958314D4E96B251E_13</vt:lpwstr>
  </property>
</Properties>
</file>