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黑体" w:hAnsi="黑体" w:eastAsia="黑体" w:cs="黑体"/>
          <w:color w:val="auto"/>
          <w:sz w:val="72"/>
          <w:szCs w:val="72"/>
          <w:highlight w:val="none"/>
        </w:rPr>
      </w:pPr>
      <w:bookmarkStart w:id="1" w:name="_Toc15377193"/>
      <w:bookmarkStart w:id="2" w:name="_Toc15378441"/>
      <w:bookmarkStart w:id="3" w:name="_Toc15377425"/>
      <w:bookmarkStart w:id="4" w:name="_Toc15396597"/>
      <w:bookmarkStart w:id="5" w:name="_Toc12368"/>
      <w:bookmarkStart w:id="6" w:name="_Toc15396475"/>
      <w:r>
        <w:rPr>
          <w:rFonts w:hint="eastAsia" w:ascii="黑体" w:hAnsi="黑体" w:eastAsia="黑体" w:cs="黑体"/>
          <w:color w:val="auto"/>
          <w:sz w:val="72"/>
          <w:szCs w:val="72"/>
          <w:highlight w:val="none"/>
        </w:rPr>
        <w:t>20</w:t>
      </w:r>
      <w:r>
        <w:rPr>
          <w:rFonts w:hint="eastAsia" w:ascii="黑体" w:hAnsi="黑体" w:eastAsia="黑体" w:cs="黑体"/>
          <w:color w:val="auto"/>
          <w:sz w:val="72"/>
          <w:szCs w:val="72"/>
          <w:highlight w:val="none"/>
          <w:lang w:val="en-US" w:eastAsia="zh-CN"/>
        </w:rPr>
        <w:t>21</w:t>
      </w:r>
      <w:r>
        <w:rPr>
          <w:rFonts w:hint="eastAsia" w:ascii="黑体" w:hAnsi="黑体" w:eastAsia="黑体" w:cs="黑体"/>
          <w:color w:val="auto"/>
          <w:sz w:val="72"/>
          <w:szCs w:val="72"/>
          <w:highlight w:val="none"/>
        </w:rPr>
        <w:t>年度</w:t>
      </w:r>
      <w:bookmarkEnd w:id="1"/>
      <w:bookmarkEnd w:id="2"/>
      <w:bookmarkEnd w:id="3"/>
      <w:bookmarkEnd w:id="4"/>
      <w:bookmarkEnd w:id="5"/>
      <w:bookmarkEnd w:id="6"/>
    </w:p>
    <w:p>
      <w:pPr>
        <w:adjustRightInd w:val="0"/>
        <w:snapToGrid w:val="0"/>
        <w:spacing w:line="360" w:lineRule="auto"/>
        <w:jc w:val="center"/>
        <w:outlineLvl w:val="0"/>
        <w:rPr>
          <w:rFonts w:hint="eastAsia" w:ascii="黑体" w:hAnsi="黑体" w:eastAsia="黑体" w:cs="黑体"/>
          <w:color w:val="auto"/>
          <w:sz w:val="72"/>
          <w:szCs w:val="72"/>
          <w:highlight w:val="none"/>
        </w:rPr>
      </w:pPr>
      <w:bookmarkStart w:id="7" w:name="_Toc15396476"/>
      <w:bookmarkStart w:id="8" w:name="_Toc15377426"/>
      <w:bookmarkStart w:id="9" w:name="_Toc15377194"/>
      <w:bookmarkStart w:id="10" w:name="_Toc15378442"/>
      <w:bookmarkStart w:id="11" w:name="_Toc25694"/>
      <w:bookmarkStart w:id="12" w:name="_Toc15396598"/>
      <w:r>
        <w:rPr>
          <w:rFonts w:hint="eastAsia" w:ascii="黑体" w:hAnsi="黑体" w:eastAsia="黑体" w:cs="黑体"/>
          <w:color w:val="auto"/>
          <w:sz w:val="72"/>
          <w:szCs w:val="72"/>
          <w:highlight w:val="none"/>
        </w:rPr>
        <w:t>四川省</w:t>
      </w:r>
      <w:bookmarkEnd w:id="0"/>
      <w:bookmarkStart w:id="13" w:name="_Toc15306268"/>
      <w:r>
        <w:rPr>
          <w:rFonts w:hint="eastAsia" w:ascii="黑体" w:hAnsi="黑体" w:eastAsia="黑体" w:cs="黑体"/>
          <w:color w:val="auto"/>
          <w:sz w:val="72"/>
          <w:szCs w:val="72"/>
          <w:highlight w:val="none"/>
          <w:lang w:val="en-US" w:eastAsia="zh-CN"/>
        </w:rPr>
        <w:t>广元市昭化区公务服务中心</w:t>
      </w:r>
      <w:r>
        <w:rPr>
          <w:rFonts w:hint="eastAsia" w:ascii="黑体" w:hAnsi="黑体" w:eastAsia="黑体" w:cs="黑体"/>
          <w:color w:val="auto"/>
          <w:sz w:val="72"/>
          <w:szCs w:val="72"/>
          <w:highlight w:val="none"/>
          <w:lang w:eastAsia="zh-CN"/>
        </w:rPr>
        <w:t>单位</w:t>
      </w:r>
      <w:r>
        <w:rPr>
          <w:rFonts w:hint="eastAsia" w:ascii="黑体" w:hAnsi="黑体" w:eastAsia="黑体" w:cs="黑体"/>
          <w:color w:val="auto"/>
          <w:sz w:val="72"/>
          <w:szCs w:val="72"/>
          <w:highlight w:val="none"/>
        </w:rPr>
        <w:t>决算</w:t>
      </w:r>
      <w:bookmarkEnd w:id="7"/>
      <w:bookmarkEnd w:id="8"/>
      <w:bookmarkEnd w:id="9"/>
      <w:bookmarkEnd w:id="10"/>
      <w:bookmarkEnd w:id="11"/>
      <w:bookmarkEnd w:id="12"/>
      <w:bookmarkEnd w:id="13"/>
    </w:p>
    <w:p>
      <w:pPr>
        <w:widowControl/>
        <w:jc w:val="center"/>
        <w:rPr>
          <w:rFonts w:hint="eastAsia" w:ascii="黑体" w:hAnsi="黑体" w:eastAsia="黑体" w:cs="黑体"/>
          <w:color w:val="auto"/>
          <w:sz w:val="48"/>
          <w:szCs w:val="48"/>
          <w:highlight w:val="none"/>
        </w:rPr>
        <w:sectPr>
          <w:headerReference r:id="rId3" w:type="default"/>
          <w:pgSz w:w="11906" w:h="16838"/>
          <w:pgMar w:top="1440" w:right="1800" w:bottom="1440" w:left="1800" w:header="851" w:footer="992" w:gutter="0"/>
          <w:pgNumType w:start="1"/>
          <w:cols w:space="425" w:num="1"/>
          <w:titlePg/>
          <w:docGrid w:type="lines" w:linePitch="312" w:charSpace="0"/>
        </w:sectPr>
      </w:pPr>
    </w:p>
    <w:p>
      <w:pPr>
        <w:widowControl/>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pPr>
        <w:pStyle w:val="13"/>
        <w:jc w:val="both"/>
        <w:rPr>
          <w:color w:val="auto"/>
          <w:highlight w:val="none"/>
        </w:rPr>
      </w:pPr>
    </w:p>
    <w:p>
      <w:pPr>
        <w:rPr>
          <w:color w:val="auto"/>
          <w:highlight w:val="none"/>
        </w:rPr>
      </w:pPr>
    </w:p>
    <w:sdt>
      <w:sdtPr>
        <w:rPr>
          <w:rFonts w:ascii="宋体" w:hAnsi="宋体" w:eastAsia="宋体" w:cs="Times New Roman"/>
          <w:kern w:val="2"/>
          <w:sz w:val="21"/>
          <w:szCs w:val="24"/>
          <w:lang w:val="en-US" w:eastAsia="zh-CN" w:bidi="ar-SA"/>
        </w:rPr>
        <w:id w:val="147458694"/>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bookmarkStart w:id="14" w:name="_Toc15377196"/>
          <w:bookmarkStart w:id="15" w:name="_Toc15396599"/>
        </w:p>
        <w:p>
          <w:pPr>
            <w:pStyle w:val="34"/>
            <w:tabs>
              <w:tab w:val="right" w:leader="dot" w:pos="8306"/>
            </w:tabs>
            <w:rPr>
              <w:b/>
            </w:rPr>
          </w:pPr>
          <w:r>
            <w:fldChar w:fldCharType="begin"/>
          </w:r>
          <w:r>
            <w:instrText xml:space="preserve">TOC \o "1-2" \h \u </w:instrText>
          </w:r>
          <w:r>
            <w:fldChar w:fldCharType="separate"/>
          </w:r>
        </w:p>
        <w:p>
          <w:pPr>
            <w:pStyle w:val="13"/>
            <w:adjustRightInd w:val="0"/>
            <w:snapToGrid w:val="0"/>
            <w:spacing w:before="0" w:line="440" w:lineRule="exact"/>
            <w:jc w:val="left"/>
            <w:rPr>
              <w:rFonts w:hint="eastAsia" w:cs="Times New Roman"/>
              <w:color w:val="auto"/>
              <w:sz w:val="24"/>
              <w:highlight w:val="none"/>
            </w:rPr>
          </w:pPr>
          <w:r>
            <w:rPr>
              <w:rFonts w:hint="eastAsia" w:cs="Times New Roman"/>
              <w:color w:val="auto"/>
              <w:sz w:val="24"/>
              <w:highlight w:val="none"/>
            </w:rPr>
            <w:fldChar w:fldCharType="begin"/>
          </w:r>
          <w:r>
            <w:rPr>
              <w:rFonts w:hint="eastAsia" w:cs="Times New Roman"/>
              <w:color w:val="auto"/>
              <w:sz w:val="24"/>
              <w:highlight w:val="none"/>
            </w:rPr>
            <w:instrText xml:space="preserve"> HYPERLINK \l _Toc21550 </w:instrText>
          </w:r>
          <w:r>
            <w:rPr>
              <w:rFonts w:hint="eastAsia" w:cs="Times New Roman"/>
              <w:color w:val="auto"/>
              <w:sz w:val="24"/>
              <w:highlight w:val="none"/>
            </w:rPr>
            <w:fldChar w:fldCharType="separate"/>
          </w:r>
          <w:r>
            <w:rPr>
              <w:rFonts w:hint="eastAsia" w:cs="Times New Roman"/>
              <w:color w:val="auto"/>
              <w:sz w:val="24"/>
              <w:highlight w:val="none"/>
            </w:rPr>
            <w:t xml:space="preserve">第一部分 </w:t>
          </w:r>
          <w:r>
            <w:rPr>
              <w:rFonts w:hint="eastAsia" w:cs="Times New Roman"/>
              <w:color w:val="auto"/>
              <w:sz w:val="24"/>
              <w:highlight w:val="none"/>
              <w:lang w:eastAsia="zh-CN"/>
            </w:rPr>
            <w:t>单位</w:t>
          </w:r>
          <w:r>
            <w:rPr>
              <w:rFonts w:hint="eastAsia" w:cs="Times New Roman"/>
              <w:color w:val="auto"/>
              <w:sz w:val="24"/>
              <w:highlight w:val="none"/>
            </w:rPr>
            <w:t>概况</w:t>
          </w:r>
          <w:r>
            <w:rPr>
              <w:rFonts w:hint="eastAsia" w:ascii="Times New Roman" w:hAnsi="Times New Roman" w:eastAsia="宋体" w:cs="Times New Roman"/>
              <w:color w:val="auto"/>
              <w:kern w:val="2"/>
              <w:sz w:val="24"/>
              <w:szCs w:val="24"/>
              <w:highlight w:val="none"/>
              <w:lang w:val="en-US" w:eastAsia="zh-CN" w:bidi="ar-SA"/>
            </w:rPr>
            <w:tab/>
          </w:r>
          <w:r>
            <w:rPr>
              <w:rFonts w:hint="eastAsia" w:cs="Times New Roman"/>
              <w:color w:val="auto"/>
              <w:sz w:val="24"/>
              <w:highlight w:val="none"/>
            </w:rPr>
            <w:fldChar w:fldCharType="begin"/>
          </w:r>
          <w:r>
            <w:rPr>
              <w:rFonts w:hint="eastAsia" w:cs="Times New Roman"/>
              <w:color w:val="auto"/>
              <w:sz w:val="24"/>
              <w:highlight w:val="none"/>
            </w:rPr>
            <w:instrText xml:space="preserve"> PAGEREF _Toc21550 \h </w:instrText>
          </w:r>
          <w:r>
            <w:rPr>
              <w:rFonts w:hint="eastAsia" w:cs="Times New Roman"/>
              <w:color w:val="auto"/>
              <w:sz w:val="24"/>
              <w:highlight w:val="none"/>
            </w:rPr>
            <w:fldChar w:fldCharType="separate"/>
          </w:r>
          <w:r>
            <w:rPr>
              <w:rFonts w:hint="eastAsia" w:cs="Times New Roman"/>
              <w:color w:val="auto"/>
              <w:sz w:val="24"/>
              <w:highlight w:val="none"/>
            </w:rPr>
            <w:t>3</w:t>
          </w:r>
          <w:r>
            <w:rPr>
              <w:rFonts w:hint="eastAsia" w:cs="Times New Roman"/>
              <w:color w:val="auto"/>
              <w:sz w:val="24"/>
              <w:highlight w:val="none"/>
            </w:rPr>
            <w:fldChar w:fldCharType="end"/>
          </w:r>
          <w:r>
            <w:rPr>
              <w:rFonts w:hint="eastAsia" w:cs="Times New Roman"/>
              <w:color w:val="auto"/>
              <w:sz w:val="24"/>
              <w:highlight w:val="none"/>
            </w:rPr>
            <w:fldChar w:fldCharType="end"/>
          </w:r>
        </w:p>
        <w:p>
          <w:pPr>
            <w:pStyle w:val="14"/>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HYPERLINK \l _Toc579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一、</w:t>
          </w:r>
          <w:r>
            <w:rPr>
              <w:rFonts w:hint="eastAsia" w:ascii="Times New Roman" w:hAnsi="Times New Roman" w:cs="Times New Roman"/>
              <w:color w:val="auto"/>
              <w:sz w:val="24"/>
              <w:highlight w:val="none"/>
              <w:lang w:eastAsia="zh-CN"/>
            </w:rPr>
            <w:t>职能简介</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_Toc579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3</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4"/>
            <w:adjustRightInd w:val="0"/>
            <w:snapToGrid w:val="0"/>
            <w:spacing w:line="440" w:lineRule="exact"/>
            <w:jc w:val="left"/>
          </w:pP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HYPERLINK \l _Toc21490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lang w:val="en-US" w:eastAsia="zh-CN"/>
            </w:rPr>
            <w:t>二、公务和外事中心2021年重点工作完成情况</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_Toc21490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4</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3"/>
            <w:adjustRightInd w:val="0"/>
            <w:snapToGrid w:val="0"/>
            <w:spacing w:before="0" w:line="440" w:lineRule="exact"/>
            <w:jc w:val="left"/>
            <w:rPr>
              <w:rFonts w:hint="eastAsia" w:cs="Times New Roman"/>
              <w:color w:val="auto"/>
              <w:sz w:val="24"/>
              <w:highlight w:val="none"/>
            </w:rPr>
          </w:pPr>
          <w:r>
            <w:rPr>
              <w:rFonts w:hint="eastAsia" w:cs="Times New Roman"/>
              <w:color w:val="auto"/>
              <w:sz w:val="24"/>
              <w:highlight w:val="none"/>
            </w:rPr>
            <w:fldChar w:fldCharType="begin"/>
          </w:r>
          <w:r>
            <w:rPr>
              <w:rFonts w:hint="eastAsia" w:cs="Times New Roman"/>
              <w:color w:val="auto"/>
              <w:sz w:val="24"/>
              <w:highlight w:val="none"/>
            </w:rPr>
            <w:instrText xml:space="preserve"> HYPERLINK \l _Toc6227 </w:instrText>
          </w:r>
          <w:r>
            <w:rPr>
              <w:rFonts w:hint="eastAsia" w:cs="Times New Roman"/>
              <w:color w:val="auto"/>
              <w:sz w:val="24"/>
              <w:highlight w:val="none"/>
            </w:rPr>
            <w:fldChar w:fldCharType="separate"/>
          </w:r>
          <w:r>
            <w:rPr>
              <w:rFonts w:hint="eastAsia" w:cs="Times New Roman"/>
              <w:color w:val="auto"/>
              <w:sz w:val="24"/>
              <w:highlight w:val="none"/>
            </w:rPr>
            <w:t xml:space="preserve">第二部分 </w:t>
          </w:r>
          <w:r>
            <w:rPr>
              <w:rFonts w:hint="eastAsia" w:cs="Times New Roman"/>
              <w:color w:val="auto"/>
              <w:sz w:val="24"/>
              <w:highlight w:val="none"/>
              <w:lang w:val="en-US" w:eastAsia="zh-CN"/>
            </w:rPr>
            <w:t>2021年度</w:t>
          </w:r>
          <w:r>
            <w:rPr>
              <w:rFonts w:hint="eastAsia" w:cs="Times New Roman"/>
              <w:color w:val="auto"/>
              <w:sz w:val="24"/>
              <w:highlight w:val="none"/>
              <w:lang w:eastAsia="zh-CN"/>
            </w:rPr>
            <w:t>单位</w:t>
          </w:r>
          <w:r>
            <w:rPr>
              <w:rFonts w:hint="eastAsia" w:cs="Times New Roman"/>
              <w:color w:val="auto"/>
              <w:sz w:val="24"/>
              <w:highlight w:val="none"/>
            </w:rPr>
            <w:t>决算情况说明</w:t>
          </w:r>
          <w:r>
            <w:rPr>
              <w:rFonts w:hint="eastAsia" w:ascii="Times New Roman" w:hAnsi="Times New Roman" w:eastAsia="宋体" w:cs="Times New Roman"/>
              <w:color w:val="auto"/>
              <w:kern w:val="2"/>
              <w:sz w:val="24"/>
              <w:szCs w:val="24"/>
              <w:highlight w:val="none"/>
              <w:lang w:val="en-US" w:eastAsia="zh-CN" w:bidi="ar-SA"/>
            </w:rPr>
            <w:tab/>
          </w:r>
          <w:r>
            <w:rPr>
              <w:rFonts w:hint="eastAsia" w:cs="Times New Roman"/>
              <w:color w:val="auto"/>
              <w:sz w:val="24"/>
              <w:highlight w:val="none"/>
            </w:rPr>
            <w:fldChar w:fldCharType="begin"/>
          </w:r>
          <w:r>
            <w:rPr>
              <w:rFonts w:hint="eastAsia" w:cs="Times New Roman"/>
              <w:color w:val="auto"/>
              <w:sz w:val="24"/>
              <w:highlight w:val="none"/>
            </w:rPr>
            <w:instrText xml:space="preserve"> PAGEREF _Toc6227 \h </w:instrText>
          </w:r>
          <w:r>
            <w:rPr>
              <w:rFonts w:hint="eastAsia" w:cs="Times New Roman"/>
              <w:color w:val="auto"/>
              <w:sz w:val="24"/>
              <w:highlight w:val="none"/>
            </w:rPr>
            <w:fldChar w:fldCharType="separate"/>
          </w:r>
          <w:r>
            <w:rPr>
              <w:rFonts w:hint="eastAsia" w:cs="Times New Roman"/>
              <w:color w:val="auto"/>
              <w:sz w:val="24"/>
              <w:highlight w:val="none"/>
            </w:rPr>
            <w:t>7</w:t>
          </w:r>
          <w:r>
            <w:rPr>
              <w:rFonts w:hint="eastAsia" w:cs="Times New Roman"/>
              <w:color w:val="auto"/>
              <w:sz w:val="24"/>
              <w:highlight w:val="none"/>
            </w:rPr>
            <w:fldChar w:fldCharType="end"/>
          </w:r>
          <w:r>
            <w:rPr>
              <w:rFonts w:hint="eastAsia" w:cs="Times New Roman"/>
              <w:color w:val="auto"/>
              <w:sz w:val="24"/>
              <w:highlight w:val="none"/>
            </w:rPr>
            <w:fldChar w:fldCharType="end"/>
          </w:r>
        </w:p>
        <w:p>
          <w:pPr>
            <w:pStyle w:val="14"/>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HYPERLINK \l _Toc21360 </w:instrText>
          </w:r>
          <w:r>
            <w:rPr>
              <w:rFonts w:hint="eastAsia" w:ascii="Times New Roman" w:hAnsi="Times New Roman" w:cs="Times New Roman"/>
              <w:color w:val="auto"/>
              <w:sz w:val="24"/>
              <w:highlight w:val="none"/>
            </w:rPr>
            <w:fldChar w:fldCharType="separate"/>
          </w:r>
          <w:r>
            <w:rPr>
              <w:rFonts w:hint="default" w:ascii="Times New Roman" w:hAnsi="Times New Roman" w:cs="Times New Roman"/>
              <w:color w:val="auto"/>
              <w:sz w:val="24"/>
              <w:highlight w:val="none"/>
            </w:rPr>
            <w:t xml:space="preserve">一、 </w:t>
          </w:r>
          <w:r>
            <w:rPr>
              <w:rFonts w:hint="eastAsia" w:ascii="Times New Roman" w:hAnsi="Times New Roman" w:cs="Times New Roman"/>
              <w:color w:val="auto"/>
              <w:sz w:val="24"/>
              <w:highlight w:val="none"/>
            </w:rPr>
            <w:t>收入支出决算总体情况说明</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_Toc21360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7</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4"/>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HYPERLINK \l _Toc3079 </w:instrText>
          </w:r>
          <w:r>
            <w:rPr>
              <w:rFonts w:hint="eastAsia" w:ascii="Times New Roman" w:hAnsi="Times New Roman" w:cs="Times New Roman"/>
              <w:color w:val="auto"/>
              <w:sz w:val="24"/>
              <w:highlight w:val="none"/>
            </w:rPr>
            <w:fldChar w:fldCharType="separate"/>
          </w:r>
          <w:r>
            <w:rPr>
              <w:rFonts w:hint="default" w:ascii="Times New Roman" w:hAnsi="Times New Roman" w:cs="Times New Roman"/>
              <w:color w:val="auto"/>
              <w:sz w:val="24"/>
              <w:highlight w:val="none"/>
            </w:rPr>
            <w:t xml:space="preserve">二、 </w:t>
          </w:r>
          <w:r>
            <w:rPr>
              <w:rFonts w:hint="eastAsia" w:ascii="Times New Roman" w:hAnsi="Times New Roman" w:cs="Times New Roman"/>
              <w:color w:val="auto"/>
              <w:sz w:val="24"/>
              <w:highlight w:val="none"/>
            </w:rPr>
            <w:t>收入决算情况说明</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_Toc3079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8</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4"/>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HYPERLINK \l _Toc5367 </w:instrText>
          </w:r>
          <w:r>
            <w:rPr>
              <w:rFonts w:hint="eastAsia" w:ascii="Times New Roman" w:hAnsi="Times New Roman" w:cs="Times New Roman"/>
              <w:color w:val="auto"/>
              <w:sz w:val="24"/>
              <w:highlight w:val="none"/>
            </w:rPr>
            <w:fldChar w:fldCharType="separate"/>
          </w:r>
          <w:r>
            <w:rPr>
              <w:rFonts w:hint="default" w:ascii="Times New Roman" w:hAnsi="Times New Roman" w:cs="Times New Roman"/>
              <w:color w:val="auto"/>
              <w:sz w:val="24"/>
              <w:highlight w:val="none"/>
            </w:rPr>
            <w:t xml:space="preserve">三、 </w:t>
          </w:r>
          <w:r>
            <w:rPr>
              <w:rFonts w:hint="eastAsia" w:ascii="Times New Roman" w:hAnsi="Times New Roman" w:cs="Times New Roman"/>
              <w:color w:val="auto"/>
              <w:sz w:val="24"/>
              <w:highlight w:val="none"/>
            </w:rPr>
            <w:t>支出决算情况说明</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_Toc5367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8</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4"/>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HYPERLINK \l _Toc24191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四、财政拨款收入支出决算总体情况说明</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_Toc24191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9</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4"/>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HYPERLINK \l _Toc26196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五、一般公共预算财政拨款支出决算情况说明</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_Toc26196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9</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4"/>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HYPERLINK \l _Toc20819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六、一般公共预算财政拨款基本支出决算情况说明</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_Toc20819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12</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4"/>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HYPERLINK \l _Toc1911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七、“三公”经费财政拨款支出决算情况说明</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_Toc1911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12</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4"/>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HYPERLINK \l _Toc5969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八、政府性基金预算支出决算情况说明</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_Toc5969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14</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4"/>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HYPERLINK \l _Toc14119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九、 国有资本经营预算支出决算情况说明</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_Toc14119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14</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4"/>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HYPERLINK \l _Toc30437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 xml:space="preserve">十、 </w:t>
          </w:r>
          <w:r>
            <w:rPr>
              <w:rFonts w:hint="eastAsia" w:ascii="Times New Roman" w:hAnsi="Times New Roman" w:cs="Times New Roman"/>
              <w:color w:val="auto"/>
              <w:sz w:val="24"/>
              <w:highlight w:val="none"/>
              <w:lang w:val="en-US" w:eastAsia="zh-CN"/>
            </w:rPr>
            <w:t>预算绩效管理情况</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_Toc30437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14</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4"/>
            <w:adjustRightInd w:val="0"/>
            <w:snapToGrid w:val="0"/>
            <w:spacing w:line="440" w:lineRule="exact"/>
            <w:jc w:val="left"/>
          </w:pP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HYPERLINK \l _Toc29077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十一、 其他重要事项的情况说明</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_Toc29077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15</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34"/>
            <w:tabs>
              <w:tab w:val="right" w:leader="dot" w:pos="8306"/>
            </w:tabs>
            <w:rPr>
              <w:rFonts w:hint="eastAsia" w:ascii="仿宋" w:hAnsi="仿宋" w:eastAsia="仿宋" w:cs="Times New Roman"/>
              <w:color w:val="auto"/>
              <w:kern w:val="2"/>
              <w:sz w:val="24"/>
              <w:szCs w:val="28"/>
              <w:highlight w:val="none"/>
              <w:lang w:val="en-US" w:eastAsia="zh-CN" w:bidi="ar-SA"/>
            </w:rPr>
          </w:pPr>
          <w:r>
            <w:rPr>
              <w:rFonts w:hint="eastAsia" w:ascii="仿宋" w:hAnsi="仿宋" w:eastAsia="仿宋" w:cs="Times New Roman"/>
              <w:color w:val="auto"/>
              <w:kern w:val="2"/>
              <w:sz w:val="24"/>
              <w:szCs w:val="28"/>
              <w:highlight w:val="none"/>
              <w:lang w:val="en-US" w:eastAsia="zh-CN" w:bidi="ar-SA"/>
            </w:rPr>
            <w:fldChar w:fldCharType="begin"/>
          </w:r>
          <w:r>
            <w:rPr>
              <w:rFonts w:hint="eastAsia" w:ascii="仿宋" w:hAnsi="仿宋" w:eastAsia="仿宋" w:cs="Times New Roman"/>
              <w:color w:val="auto"/>
              <w:kern w:val="2"/>
              <w:sz w:val="24"/>
              <w:szCs w:val="28"/>
              <w:highlight w:val="none"/>
              <w:lang w:val="en-US" w:eastAsia="zh-CN" w:bidi="ar-SA"/>
            </w:rPr>
            <w:instrText xml:space="preserve"> HYPERLINK \l _Toc19642 </w:instrText>
          </w:r>
          <w:r>
            <w:rPr>
              <w:rFonts w:hint="eastAsia" w:ascii="仿宋" w:hAnsi="仿宋" w:eastAsia="仿宋" w:cs="Times New Roman"/>
              <w:color w:val="auto"/>
              <w:kern w:val="2"/>
              <w:sz w:val="24"/>
              <w:szCs w:val="28"/>
              <w:highlight w:val="none"/>
              <w:lang w:val="en-US" w:eastAsia="zh-CN" w:bidi="ar-SA"/>
            </w:rPr>
            <w:fldChar w:fldCharType="separate"/>
          </w:r>
          <w:r>
            <w:rPr>
              <w:rFonts w:hint="eastAsia" w:ascii="仿宋" w:hAnsi="仿宋" w:eastAsia="仿宋" w:cs="Times New Roman"/>
              <w:color w:val="auto"/>
              <w:kern w:val="2"/>
              <w:sz w:val="24"/>
              <w:szCs w:val="28"/>
              <w:highlight w:val="none"/>
              <w:lang w:val="en-US" w:eastAsia="zh-CN" w:bidi="ar-SA"/>
            </w:rPr>
            <w:t>第三部分 名词解释</w:t>
          </w:r>
          <w:r>
            <w:rPr>
              <w:rFonts w:hint="eastAsia" w:ascii="Times New Roman" w:hAnsi="Times New Roman" w:eastAsia="宋体" w:cs="Times New Roman"/>
              <w:color w:val="auto"/>
              <w:kern w:val="2"/>
              <w:sz w:val="24"/>
              <w:szCs w:val="24"/>
              <w:highlight w:val="none"/>
              <w:lang w:val="en-US" w:eastAsia="zh-CN" w:bidi="ar-SA"/>
            </w:rPr>
            <w:tab/>
          </w:r>
          <w:r>
            <w:rPr>
              <w:rFonts w:hint="eastAsia" w:ascii="仿宋" w:hAnsi="仿宋" w:eastAsia="仿宋" w:cs="Times New Roman"/>
              <w:color w:val="auto"/>
              <w:kern w:val="2"/>
              <w:sz w:val="24"/>
              <w:szCs w:val="28"/>
              <w:highlight w:val="none"/>
              <w:lang w:val="en-US" w:eastAsia="zh-CN" w:bidi="ar-SA"/>
            </w:rPr>
            <w:fldChar w:fldCharType="begin"/>
          </w:r>
          <w:r>
            <w:rPr>
              <w:rFonts w:hint="eastAsia" w:ascii="仿宋" w:hAnsi="仿宋" w:eastAsia="仿宋" w:cs="Times New Roman"/>
              <w:color w:val="auto"/>
              <w:kern w:val="2"/>
              <w:sz w:val="24"/>
              <w:szCs w:val="28"/>
              <w:highlight w:val="none"/>
              <w:lang w:val="en-US" w:eastAsia="zh-CN" w:bidi="ar-SA"/>
            </w:rPr>
            <w:instrText xml:space="preserve"> PAGEREF _Toc19642 \h </w:instrText>
          </w:r>
          <w:r>
            <w:rPr>
              <w:rFonts w:hint="eastAsia" w:ascii="仿宋" w:hAnsi="仿宋" w:eastAsia="仿宋" w:cs="Times New Roman"/>
              <w:color w:val="auto"/>
              <w:kern w:val="2"/>
              <w:sz w:val="24"/>
              <w:szCs w:val="28"/>
              <w:highlight w:val="none"/>
              <w:lang w:val="en-US" w:eastAsia="zh-CN" w:bidi="ar-SA"/>
            </w:rPr>
            <w:fldChar w:fldCharType="separate"/>
          </w:r>
          <w:r>
            <w:rPr>
              <w:rFonts w:hint="eastAsia" w:ascii="仿宋" w:hAnsi="仿宋" w:eastAsia="仿宋" w:cs="Times New Roman"/>
              <w:color w:val="auto"/>
              <w:kern w:val="2"/>
              <w:sz w:val="24"/>
              <w:szCs w:val="28"/>
              <w:highlight w:val="none"/>
              <w:lang w:val="en-US" w:eastAsia="zh-CN" w:bidi="ar-SA"/>
            </w:rPr>
            <w:t>17</w:t>
          </w:r>
          <w:r>
            <w:rPr>
              <w:rFonts w:hint="eastAsia" w:ascii="仿宋" w:hAnsi="仿宋" w:eastAsia="仿宋" w:cs="Times New Roman"/>
              <w:color w:val="auto"/>
              <w:kern w:val="2"/>
              <w:sz w:val="24"/>
              <w:szCs w:val="28"/>
              <w:highlight w:val="none"/>
              <w:lang w:val="en-US" w:eastAsia="zh-CN" w:bidi="ar-SA"/>
            </w:rPr>
            <w:fldChar w:fldCharType="end"/>
          </w:r>
          <w:r>
            <w:rPr>
              <w:rFonts w:hint="eastAsia" w:ascii="仿宋" w:hAnsi="仿宋" w:eastAsia="仿宋" w:cs="Times New Roman"/>
              <w:color w:val="auto"/>
              <w:kern w:val="2"/>
              <w:sz w:val="24"/>
              <w:szCs w:val="28"/>
              <w:highlight w:val="none"/>
              <w:lang w:val="en-US" w:eastAsia="zh-CN" w:bidi="ar-SA"/>
            </w:rPr>
            <w:fldChar w:fldCharType="end"/>
          </w:r>
        </w:p>
        <w:p>
          <w:pPr>
            <w:pStyle w:val="34"/>
            <w:tabs>
              <w:tab w:val="right" w:leader="dot" w:pos="8306"/>
            </w:tabs>
            <w:rPr>
              <w:rFonts w:hint="eastAsia" w:ascii="仿宋" w:hAnsi="仿宋" w:eastAsia="仿宋" w:cs="Times New Roman"/>
              <w:color w:val="auto"/>
              <w:kern w:val="2"/>
              <w:sz w:val="24"/>
              <w:szCs w:val="28"/>
              <w:highlight w:val="none"/>
              <w:lang w:val="en-US" w:eastAsia="zh-CN" w:bidi="ar-SA"/>
            </w:rPr>
          </w:pPr>
          <w:r>
            <w:rPr>
              <w:rFonts w:hint="eastAsia" w:ascii="仿宋" w:hAnsi="仿宋" w:eastAsia="仿宋" w:cs="Times New Roman"/>
              <w:color w:val="auto"/>
              <w:kern w:val="2"/>
              <w:sz w:val="24"/>
              <w:szCs w:val="28"/>
              <w:highlight w:val="none"/>
              <w:lang w:val="en-US" w:eastAsia="zh-CN" w:bidi="ar-SA"/>
            </w:rPr>
            <w:fldChar w:fldCharType="begin"/>
          </w:r>
          <w:r>
            <w:rPr>
              <w:rFonts w:hint="eastAsia" w:ascii="仿宋" w:hAnsi="仿宋" w:eastAsia="仿宋" w:cs="Times New Roman"/>
              <w:color w:val="auto"/>
              <w:kern w:val="2"/>
              <w:sz w:val="24"/>
              <w:szCs w:val="28"/>
              <w:highlight w:val="none"/>
              <w:lang w:val="en-US" w:eastAsia="zh-CN" w:bidi="ar-SA"/>
            </w:rPr>
            <w:instrText xml:space="preserve"> HYPERLINK \l _Toc11998 </w:instrText>
          </w:r>
          <w:r>
            <w:rPr>
              <w:rFonts w:hint="eastAsia" w:ascii="仿宋" w:hAnsi="仿宋" w:eastAsia="仿宋" w:cs="Times New Roman"/>
              <w:color w:val="auto"/>
              <w:kern w:val="2"/>
              <w:sz w:val="24"/>
              <w:szCs w:val="28"/>
              <w:highlight w:val="none"/>
              <w:lang w:val="en-US" w:eastAsia="zh-CN" w:bidi="ar-SA"/>
            </w:rPr>
            <w:fldChar w:fldCharType="separate"/>
          </w:r>
          <w:r>
            <w:rPr>
              <w:rFonts w:hint="eastAsia" w:ascii="仿宋" w:hAnsi="仿宋" w:eastAsia="仿宋" w:cs="Times New Roman"/>
              <w:color w:val="auto"/>
              <w:kern w:val="2"/>
              <w:sz w:val="24"/>
              <w:szCs w:val="28"/>
              <w:highlight w:val="none"/>
              <w:lang w:val="en-US" w:eastAsia="zh-CN" w:bidi="ar-SA"/>
            </w:rPr>
            <w:t>第四部分 附件</w:t>
          </w:r>
          <w:r>
            <w:rPr>
              <w:rFonts w:hint="eastAsia" w:ascii="Times New Roman" w:hAnsi="Times New Roman" w:eastAsia="宋体" w:cs="Times New Roman"/>
              <w:color w:val="auto"/>
              <w:kern w:val="2"/>
              <w:sz w:val="24"/>
              <w:szCs w:val="24"/>
              <w:highlight w:val="none"/>
              <w:lang w:val="en-US" w:eastAsia="zh-CN" w:bidi="ar-SA"/>
            </w:rPr>
            <w:tab/>
          </w:r>
          <w:r>
            <w:rPr>
              <w:rFonts w:hint="eastAsia" w:ascii="仿宋" w:hAnsi="仿宋" w:eastAsia="仿宋" w:cs="Times New Roman"/>
              <w:color w:val="auto"/>
              <w:kern w:val="2"/>
              <w:sz w:val="24"/>
              <w:szCs w:val="28"/>
              <w:highlight w:val="none"/>
              <w:lang w:val="en-US" w:eastAsia="zh-CN" w:bidi="ar-SA"/>
            </w:rPr>
            <w:fldChar w:fldCharType="begin"/>
          </w:r>
          <w:r>
            <w:rPr>
              <w:rFonts w:hint="eastAsia" w:ascii="仿宋" w:hAnsi="仿宋" w:eastAsia="仿宋" w:cs="Times New Roman"/>
              <w:color w:val="auto"/>
              <w:kern w:val="2"/>
              <w:sz w:val="24"/>
              <w:szCs w:val="28"/>
              <w:highlight w:val="none"/>
              <w:lang w:val="en-US" w:eastAsia="zh-CN" w:bidi="ar-SA"/>
            </w:rPr>
            <w:instrText xml:space="preserve"> PAGEREF _Toc11998 \h </w:instrText>
          </w:r>
          <w:r>
            <w:rPr>
              <w:rFonts w:hint="eastAsia" w:ascii="仿宋" w:hAnsi="仿宋" w:eastAsia="仿宋" w:cs="Times New Roman"/>
              <w:color w:val="auto"/>
              <w:kern w:val="2"/>
              <w:sz w:val="24"/>
              <w:szCs w:val="28"/>
              <w:highlight w:val="none"/>
              <w:lang w:val="en-US" w:eastAsia="zh-CN" w:bidi="ar-SA"/>
            </w:rPr>
            <w:fldChar w:fldCharType="separate"/>
          </w:r>
          <w:r>
            <w:rPr>
              <w:rFonts w:hint="eastAsia" w:ascii="仿宋" w:hAnsi="仿宋" w:eastAsia="仿宋" w:cs="Times New Roman"/>
              <w:color w:val="auto"/>
              <w:kern w:val="2"/>
              <w:sz w:val="24"/>
              <w:szCs w:val="28"/>
              <w:highlight w:val="none"/>
              <w:lang w:val="en-US" w:eastAsia="zh-CN" w:bidi="ar-SA"/>
            </w:rPr>
            <w:t>18</w:t>
          </w:r>
          <w:r>
            <w:rPr>
              <w:rFonts w:hint="eastAsia" w:ascii="仿宋" w:hAnsi="仿宋" w:eastAsia="仿宋" w:cs="Times New Roman"/>
              <w:color w:val="auto"/>
              <w:kern w:val="2"/>
              <w:sz w:val="24"/>
              <w:szCs w:val="28"/>
              <w:highlight w:val="none"/>
              <w:lang w:val="en-US" w:eastAsia="zh-CN" w:bidi="ar-SA"/>
            </w:rPr>
            <w:fldChar w:fldCharType="end"/>
          </w:r>
          <w:r>
            <w:rPr>
              <w:rFonts w:hint="eastAsia" w:ascii="仿宋" w:hAnsi="仿宋" w:eastAsia="仿宋" w:cs="Times New Roman"/>
              <w:color w:val="auto"/>
              <w:kern w:val="2"/>
              <w:sz w:val="24"/>
              <w:szCs w:val="28"/>
              <w:highlight w:val="none"/>
              <w:lang w:val="en-US" w:eastAsia="zh-CN" w:bidi="ar-SA"/>
            </w:rPr>
            <w:fldChar w:fldCharType="end"/>
          </w:r>
        </w:p>
        <w:p>
          <w:pPr>
            <w:pStyle w:val="34"/>
            <w:tabs>
              <w:tab w:val="right" w:leader="dot" w:pos="8306"/>
            </w:tabs>
            <w:rPr>
              <w:b/>
            </w:rPr>
          </w:pPr>
          <w:r>
            <w:rPr>
              <w:rFonts w:hint="eastAsia" w:ascii="仿宋" w:hAnsi="仿宋" w:eastAsia="仿宋" w:cs="Times New Roman"/>
              <w:color w:val="auto"/>
              <w:kern w:val="2"/>
              <w:sz w:val="24"/>
              <w:szCs w:val="28"/>
              <w:highlight w:val="none"/>
              <w:lang w:val="en-US" w:eastAsia="zh-CN" w:bidi="ar-SA"/>
            </w:rPr>
            <w:fldChar w:fldCharType="begin"/>
          </w:r>
          <w:r>
            <w:rPr>
              <w:rFonts w:hint="eastAsia" w:ascii="仿宋" w:hAnsi="仿宋" w:eastAsia="仿宋" w:cs="Times New Roman"/>
              <w:color w:val="auto"/>
              <w:kern w:val="2"/>
              <w:sz w:val="24"/>
              <w:szCs w:val="28"/>
              <w:highlight w:val="none"/>
              <w:lang w:val="en-US" w:eastAsia="zh-CN" w:bidi="ar-SA"/>
            </w:rPr>
            <w:instrText xml:space="preserve"> HYPERLINK \l _Toc32247 </w:instrText>
          </w:r>
          <w:r>
            <w:rPr>
              <w:rFonts w:hint="eastAsia" w:ascii="仿宋" w:hAnsi="仿宋" w:eastAsia="仿宋" w:cs="Times New Roman"/>
              <w:color w:val="auto"/>
              <w:kern w:val="2"/>
              <w:sz w:val="24"/>
              <w:szCs w:val="28"/>
              <w:highlight w:val="none"/>
              <w:lang w:val="en-US" w:eastAsia="zh-CN" w:bidi="ar-SA"/>
            </w:rPr>
            <w:fldChar w:fldCharType="separate"/>
          </w:r>
          <w:r>
            <w:rPr>
              <w:rFonts w:hint="eastAsia" w:ascii="仿宋" w:hAnsi="仿宋" w:eastAsia="仿宋" w:cs="Times New Roman"/>
              <w:color w:val="auto"/>
              <w:kern w:val="2"/>
              <w:sz w:val="24"/>
              <w:szCs w:val="28"/>
              <w:highlight w:val="none"/>
              <w:lang w:val="en-US" w:eastAsia="zh-CN" w:bidi="ar-SA"/>
            </w:rPr>
            <w:t>第五部分 附表</w:t>
          </w:r>
          <w:r>
            <w:rPr>
              <w:rFonts w:hint="eastAsia" w:ascii="Times New Roman" w:hAnsi="Times New Roman" w:eastAsia="宋体" w:cs="Times New Roman"/>
              <w:color w:val="auto"/>
              <w:kern w:val="2"/>
              <w:sz w:val="24"/>
              <w:szCs w:val="24"/>
              <w:highlight w:val="none"/>
              <w:lang w:val="en-US" w:eastAsia="zh-CN" w:bidi="ar-SA"/>
            </w:rPr>
            <w:tab/>
          </w:r>
          <w:r>
            <w:rPr>
              <w:rFonts w:hint="eastAsia" w:ascii="仿宋" w:hAnsi="仿宋" w:eastAsia="仿宋" w:cs="Times New Roman"/>
              <w:color w:val="auto"/>
              <w:kern w:val="2"/>
              <w:sz w:val="24"/>
              <w:szCs w:val="28"/>
              <w:highlight w:val="none"/>
              <w:lang w:val="en-US" w:eastAsia="zh-CN" w:bidi="ar-SA"/>
            </w:rPr>
            <w:fldChar w:fldCharType="begin"/>
          </w:r>
          <w:r>
            <w:rPr>
              <w:rFonts w:hint="eastAsia" w:ascii="仿宋" w:hAnsi="仿宋" w:eastAsia="仿宋" w:cs="Times New Roman"/>
              <w:color w:val="auto"/>
              <w:kern w:val="2"/>
              <w:sz w:val="24"/>
              <w:szCs w:val="28"/>
              <w:highlight w:val="none"/>
              <w:lang w:val="en-US" w:eastAsia="zh-CN" w:bidi="ar-SA"/>
            </w:rPr>
            <w:instrText xml:space="preserve"> PAGEREF _Toc32247 \h </w:instrText>
          </w:r>
          <w:r>
            <w:rPr>
              <w:rFonts w:hint="eastAsia" w:ascii="仿宋" w:hAnsi="仿宋" w:eastAsia="仿宋" w:cs="Times New Roman"/>
              <w:color w:val="auto"/>
              <w:kern w:val="2"/>
              <w:sz w:val="24"/>
              <w:szCs w:val="28"/>
              <w:highlight w:val="none"/>
              <w:lang w:val="en-US" w:eastAsia="zh-CN" w:bidi="ar-SA"/>
            </w:rPr>
            <w:fldChar w:fldCharType="separate"/>
          </w:r>
          <w:r>
            <w:rPr>
              <w:rFonts w:hint="eastAsia" w:ascii="仿宋" w:hAnsi="仿宋" w:eastAsia="仿宋" w:cs="Times New Roman"/>
              <w:color w:val="auto"/>
              <w:kern w:val="2"/>
              <w:sz w:val="24"/>
              <w:szCs w:val="28"/>
              <w:highlight w:val="none"/>
              <w:lang w:val="en-US" w:eastAsia="zh-CN" w:bidi="ar-SA"/>
            </w:rPr>
            <w:t>21</w:t>
          </w:r>
          <w:r>
            <w:rPr>
              <w:rFonts w:hint="eastAsia" w:ascii="仿宋" w:hAnsi="仿宋" w:eastAsia="仿宋" w:cs="Times New Roman"/>
              <w:color w:val="auto"/>
              <w:kern w:val="2"/>
              <w:sz w:val="24"/>
              <w:szCs w:val="28"/>
              <w:highlight w:val="none"/>
              <w:lang w:val="en-US" w:eastAsia="zh-CN" w:bidi="ar-SA"/>
            </w:rPr>
            <w:fldChar w:fldCharType="end"/>
          </w:r>
          <w:r>
            <w:rPr>
              <w:rFonts w:hint="eastAsia" w:ascii="仿宋" w:hAnsi="仿宋" w:eastAsia="仿宋" w:cs="Times New Roman"/>
              <w:color w:val="auto"/>
              <w:kern w:val="2"/>
              <w:sz w:val="24"/>
              <w:szCs w:val="28"/>
              <w:highlight w:val="none"/>
              <w:lang w:val="en-US" w:eastAsia="zh-CN" w:bidi="ar-SA"/>
            </w:rPr>
            <w:fldChar w:fldCharType="end"/>
          </w:r>
        </w:p>
        <w:p>
          <w:pPr>
            <w:pStyle w:val="14"/>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HYPERLINK \l _Toc10634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lang w:val="en-US" w:eastAsia="zh-CN"/>
            </w:rPr>
            <w:t>一、收入支出决算总表</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_Toc10634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21</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4"/>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HYPERLINK \l _Toc2514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二、收入决算表</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_Toc2514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21</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4"/>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HYPERLINK \l _Toc9059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三、支出决算表</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_Toc9059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21</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4"/>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HYPERLINK \l _Toc15652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四、财政拨款收入支出决算总表</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_Toc15652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21</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4"/>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HYPERLINK \l _Toc15224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五、财政拨款支出决算明细表</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_Toc15224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21</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4"/>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HYPERLINK \l _Toc8423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六、一般公共预算财政拨款支出决算表</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_Toc8423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21</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4"/>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HYPERLINK \l _Toc17866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七、一般公共预算财政拨款支出决算明细表</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_Toc17866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21</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4"/>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HYPERLINK \l _Toc13378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八、一般公共预算财政拨款基本支出决算表</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_Toc13378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21</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4"/>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HYPERLINK \l _Toc31587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九、一般公共预算财政拨款项目支出决算表</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_Toc31587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21</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4"/>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HYPERLINK \l _Toc12432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十、一般公共预算财政拨款“三公”经费支出决算表</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_Toc12432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21</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4"/>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HYPERLINK \l _Toc27338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十一、政府性基金预算财政拨款收入支出决算表</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_Toc27338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21</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4"/>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HYPERLINK \l _Toc650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十二、政府性基金预算财政拨款“三公”经费支出决算表</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_Toc650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21</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4"/>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HYPERLINK \l _Toc11507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十三、国有资本经营预算</w:t>
          </w:r>
          <w:r>
            <w:rPr>
              <w:rFonts w:hint="eastAsia" w:ascii="Times New Roman" w:hAnsi="Times New Roman" w:cs="Times New Roman"/>
              <w:color w:val="auto"/>
              <w:sz w:val="24"/>
              <w:highlight w:val="none"/>
              <w:lang w:eastAsia="zh-CN"/>
            </w:rPr>
            <w:t>财政拨款收入</w:t>
          </w:r>
          <w:r>
            <w:rPr>
              <w:rFonts w:hint="eastAsia" w:ascii="Times New Roman" w:hAnsi="Times New Roman" w:cs="Times New Roman"/>
              <w:color w:val="auto"/>
              <w:sz w:val="24"/>
              <w:highlight w:val="none"/>
            </w:rPr>
            <w:t>支出决算表</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_Toc11507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21</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pPr>
            <w:pStyle w:val="14"/>
            <w:adjustRightInd w:val="0"/>
            <w:snapToGrid w:val="0"/>
            <w:spacing w:line="440" w:lineRule="exact"/>
            <w:jc w:val="left"/>
          </w:pP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HYPERLINK \l _Toc18920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lang w:eastAsia="zh-CN"/>
            </w:rPr>
            <w:t>十四、国有资本经营预算财政拨款支出决算表</w:t>
          </w:r>
          <w:r>
            <w:rPr>
              <w:rFonts w:hint="eastAsia" w:ascii="Times New Roman" w:hAnsi="Times New Roman" w:cs="Times New Roman"/>
              <w:color w:val="auto"/>
              <w:sz w:val="24"/>
              <w:highlight w:val="none"/>
            </w:rPr>
            <w:tab/>
          </w:r>
          <w:r>
            <w:rPr>
              <w:rFonts w:hint="eastAsia" w:ascii="Times New Roman" w:hAnsi="Times New Roman" w:cs="Times New Roman"/>
              <w:color w:val="auto"/>
              <w:sz w:val="24"/>
              <w:highlight w:val="none"/>
            </w:rPr>
            <w:fldChar w:fldCharType="begin"/>
          </w:r>
          <w:r>
            <w:rPr>
              <w:rFonts w:hint="eastAsia" w:ascii="Times New Roman" w:hAnsi="Times New Roman" w:cs="Times New Roman"/>
              <w:color w:val="auto"/>
              <w:sz w:val="24"/>
              <w:highlight w:val="none"/>
            </w:rPr>
            <w:instrText xml:space="preserve"> PAGEREF _Toc18920 \h </w:instrText>
          </w:r>
          <w:r>
            <w:rPr>
              <w:rFonts w:hint="eastAsia" w:ascii="Times New Roman" w:hAnsi="Times New Roman" w:cs="Times New Roman"/>
              <w:color w:val="auto"/>
              <w:sz w:val="24"/>
              <w:highlight w:val="none"/>
            </w:rPr>
            <w:fldChar w:fldCharType="separate"/>
          </w:r>
          <w:r>
            <w:rPr>
              <w:rFonts w:hint="eastAsia" w:ascii="Times New Roman" w:hAnsi="Times New Roman" w:cs="Times New Roman"/>
              <w:color w:val="auto"/>
              <w:sz w:val="24"/>
              <w:highlight w:val="none"/>
            </w:rPr>
            <w:t>21</w:t>
          </w:r>
          <w:r>
            <w:rPr>
              <w:rFonts w:hint="eastAsia" w:ascii="Times New Roman" w:hAnsi="Times New Roman" w:cs="Times New Roman"/>
              <w:color w:val="auto"/>
              <w:sz w:val="24"/>
              <w:highlight w:val="none"/>
            </w:rPr>
            <w:fldChar w:fldCharType="end"/>
          </w:r>
          <w:r>
            <w:rPr>
              <w:rFonts w:hint="eastAsia" w:ascii="Times New Roman" w:hAnsi="Times New Roman" w:cs="Times New Roman"/>
              <w:color w:val="auto"/>
              <w:sz w:val="24"/>
              <w:highlight w:val="none"/>
            </w:rPr>
            <w:fldChar w:fldCharType="end"/>
          </w:r>
        </w:p>
        <w:p>
          <w:r>
            <w:rPr>
              <w:b/>
            </w:rPr>
            <w:fldChar w:fldCharType="end"/>
          </w:r>
        </w:p>
      </w:sdtContent>
    </w:sdt>
    <w:p>
      <w:pPr>
        <w:keepNext w:val="0"/>
        <w:keepLines w:val="0"/>
        <w:pageBreakBefore w:val="0"/>
        <w:widowControl/>
        <w:kinsoku/>
        <w:wordWrap/>
        <w:overflowPunct/>
        <w:topLinePunct w:val="0"/>
        <w:autoSpaceDE/>
        <w:autoSpaceDN/>
        <w:bidi w:val="0"/>
        <w:spacing w:line="560" w:lineRule="exact"/>
        <w:jc w:val="distribute"/>
        <w:textAlignment w:val="auto"/>
        <w:rPr>
          <w:rFonts w:ascii="仿宋" w:hAnsi="仿宋" w:eastAsia="仿宋"/>
          <w:bCs/>
          <w:color w:val="auto"/>
          <w:kern w:val="44"/>
          <w:sz w:val="28"/>
          <w:szCs w:val="28"/>
          <w:highlight w:val="none"/>
        </w:rPr>
      </w:pPr>
      <w:r>
        <w:rPr>
          <w:rFonts w:ascii="仿宋" w:hAnsi="仿宋" w:eastAsia="仿宋"/>
          <w:b/>
          <w:color w:val="auto"/>
          <w:sz w:val="28"/>
          <w:szCs w:val="28"/>
          <w:highlight w:val="none"/>
        </w:rPr>
        <w:br w:type="page"/>
      </w:r>
    </w:p>
    <w:p>
      <w:pPr>
        <w:pStyle w:val="3"/>
        <w:jc w:val="center"/>
        <w:rPr>
          <w:rStyle w:val="28"/>
          <w:rFonts w:ascii="黑体" w:hAnsi="黑体" w:eastAsia="黑体"/>
          <w:b/>
          <w:bCs w:val="0"/>
          <w:color w:val="auto"/>
          <w:highlight w:val="none"/>
        </w:rPr>
      </w:pPr>
      <w:bookmarkStart w:id="16" w:name="_Toc21550"/>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8"/>
          <w:rFonts w:hint="eastAsia" w:ascii="黑体" w:hAnsi="黑体" w:eastAsia="黑体"/>
          <w:b w:val="0"/>
          <w:bCs w:val="0"/>
          <w:color w:val="auto"/>
          <w:highlight w:val="none"/>
        </w:rPr>
        <w:t>概况</w:t>
      </w:r>
      <w:bookmarkEnd w:id="14"/>
      <w:bookmarkEnd w:id="15"/>
      <w:bookmarkEnd w:id="16"/>
    </w:p>
    <w:p>
      <w:pPr>
        <w:widowControl/>
        <w:jc w:val="left"/>
        <w:rPr>
          <w:rFonts w:ascii="黑体" w:eastAsia="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黑体" w:hAnsi="黑体" w:eastAsia="黑体" w:cs="黑体"/>
          <w:sz w:val="32"/>
          <w:szCs w:val="32"/>
          <w:lang w:val="en-US" w:eastAsia="zh-CN"/>
        </w:rPr>
      </w:pPr>
      <w:bookmarkStart w:id="17" w:name="_Toc579"/>
      <w:bookmarkStart w:id="18" w:name="_Toc15377197"/>
      <w:bookmarkStart w:id="19" w:name="_Toc15396600"/>
      <w:r>
        <w:rPr>
          <w:rFonts w:hint="eastAsia" w:ascii="黑体" w:hAnsi="黑体" w:eastAsia="黑体" w:cs="黑体"/>
          <w:sz w:val="32"/>
          <w:szCs w:val="32"/>
        </w:rPr>
        <w:t>一、</w:t>
      </w:r>
      <w:r>
        <w:rPr>
          <w:rFonts w:hint="eastAsia" w:ascii="黑体" w:hAnsi="黑体" w:eastAsia="黑体" w:cs="黑体"/>
          <w:sz w:val="32"/>
          <w:szCs w:val="32"/>
          <w:lang w:eastAsia="zh-CN"/>
        </w:rPr>
        <w:t>职能简介</w:t>
      </w:r>
      <w:bookmarkEnd w:id="17"/>
      <w:r>
        <w:rPr>
          <w:rFonts w:hint="eastAsia" w:ascii="黑体" w:hAnsi="黑体" w:eastAsia="黑体" w:cs="黑体"/>
          <w:sz w:val="32"/>
          <w:szCs w:val="32"/>
          <w:lang w:val="en-US" w:eastAsia="zh-CN"/>
        </w:rPr>
        <w:t>及机构设置</w:t>
      </w:r>
    </w:p>
    <w:p>
      <w:pPr>
        <w:pStyle w:val="4"/>
        <w:numPr>
          <w:ilvl w:val="0"/>
          <w:numId w:val="0"/>
        </w:numPr>
        <w:ind w:firstLine="643" w:firstLineChars="200"/>
        <w:rPr>
          <w:rFonts w:hint="eastAsia" w:ascii="仿宋" w:hAnsi="仿宋" w:eastAsia="仿宋" w:cs="仿宋"/>
          <w:b/>
          <w:bCs/>
          <w:sz w:val="32"/>
          <w:szCs w:val="32"/>
          <w:lang w:val="en-US" w:eastAsia="zh-CN"/>
        </w:rPr>
      </w:pPr>
      <w:bookmarkStart w:id="20" w:name="_Toc23338"/>
      <w:r>
        <w:rPr>
          <w:rFonts w:hint="eastAsia" w:ascii="仿宋" w:hAnsi="仿宋" w:eastAsia="仿宋" w:cs="仿宋"/>
          <w:b/>
          <w:bCs/>
          <w:sz w:val="32"/>
          <w:szCs w:val="32"/>
          <w:lang w:val="en-US" w:eastAsia="zh-CN"/>
        </w:rPr>
        <w:t>（</w:t>
      </w:r>
      <w:r>
        <w:rPr>
          <w:rFonts w:hint="default" w:ascii="仿宋" w:hAnsi="仿宋" w:eastAsia="仿宋" w:cs="仿宋"/>
          <w:b/>
          <w:bCs/>
          <w:sz w:val="32"/>
          <w:szCs w:val="32"/>
          <w:lang w:val="en-US" w:eastAsia="zh-CN"/>
        </w:rPr>
        <w:t>一）</w:t>
      </w:r>
      <w:r>
        <w:rPr>
          <w:rFonts w:hint="eastAsia" w:ascii="仿宋" w:hAnsi="仿宋" w:eastAsia="仿宋" w:cs="仿宋"/>
          <w:b/>
          <w:bCs/>
          <w:sz w:val="32"/>
          <w:szCs w:val="32"/>
          <w:lang w:val="en-US" w:eastAsia="zh-CN"/>
        </w:rPr>
        <w:t>公务和外事中心</w:t>
      </w:r>
      <w:r>
        <w:rPr>
          <w:rFonts w:hint="default" w:ascii="仿宋" w:hAnsi="仿宋" w:eastAsia="仿宋" w:cs="仿宋"/>
          <w:b/>
          <w:bCs/>
          <w:sz w:val="32"/>
          <w:szCs w:val="32"/>
          <w:lang w:val="en-US" w:eastAsia="zh-CN"/>
        </w:rPr>
        <w:t>职能简介</w:t>
      </w:r>
      <w:bookmarkEnd w:id="20"/>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color w:val="auto"/>
          <w:sz w:val="32"/>
          <w:szCs w:val="32"/>
          <w:highlight w:val="none"/>
        </w:rPr>
        <w:t>1、</w:t>
      </w:r>
      <w:r>
        <w:rPr>
          <w:rFonts w:hint="eastAsia" w:ascii="仿宋" w:hAnsi="仿宋" w:eastAsia="仿宋" w:cs="仿宋"/>
          <w:sz w:val="32"/>
          <w:szCs w:val="32"/>
          <w:lang w:val="en-US" w:eastAsia="zh-CN"/>
        </w:rPr>
        <w:t>承担副厅级及以上领导（含曾经担任）来昭的服务保障工作。</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2、按照有关规定负责和参与市级及以上党委、政府派出的巡、视、检查、督查（督导、督察）、考察、调研、考核、审计等综合性工作组来昭的服务保障工作。</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3、会同有关部门做好中央、国家机关各部委（含各民主党派、工商联等）和省、市级正县级实职领导来昭的服务保障工作。</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4、负责外县（区）党政代表团和人大、政协主要领导率队的考察团来昭的协调联络和服务保障工作。</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5、负责区委、区政府交办的由区公务和外事服务中心承担的公务服务、外事接待和招商引资事项的服务保障工作。</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6、会同区级有关部门承担区委、区政府交办的大型会议、活动的接待服务保障工作。</w:t>
      </w:r>
    </w:p>
    <w:p>
      <w:pPr>
        <w:keepNext w:val="0"/>
        <w:keepLines w:val="0"/>
        <w:pageBreakBefore w:val="0"/>
        <w:numPr>
          <w:ilvl w:val="0"/>
          <w:numId w:val="0"/>
        </w:numPr>
        <w:kinsoku/>
        <w:wordWrap/>
        <w:overflowPunct/>
        <w:topLinePunct w:val="0"/>
        <w:autoSpaceDE/>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7、承办我区外宾来访的接待事宜；负责外国驻华机构、外国重要团组和个人来昭公务活动的协调联络和服务保障工作，为区委、区政府重要外事活动提供后勤保障服务。</w:t>
      </w:r>
    </w:p>
    <w:p>
      <w:pPr>
        <w:keepNext w:val="0"/>
        <w:keepLines w:val="0"/>
        <w:pageBreakBefore w:val="0"/>
        <w:numPr>
          <w:ilvl w:val="0"/>
          <w:numId w:val="0"/>
        </w:numPr>
        <w:kinsoku/>
        <w:wordWrap/>
        <w:overflowPunct/>
        <w:topLinePunct w:val="0"/>
        <w:autoSpaceDE/>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8、指导镇、区级部门的公务和外事活动服务保障工作；负责拟订全区公务服务相关规定。</w:t>
      </w:r>
    </w:p>
    <w:p>
      <w:pPr>
        <w:keepNext w:val="0"/>
        <w:keepLines w:val="0"/>
        <w:pageBreakBefore w:val="0"/>
        <w:numPr>
          <w:ilvl w:val="0"/>
          <w:numId w:val="0"/>
        </w:numPr>
        <w:kinsoku/>
        <w:wordWrap/>
        <w:overflowPunct/>
        <w:topLinePunct w:val="0"/>
        <w:autoSpaceDE/>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9、完成区委、区政府交办的其他任务。</w:t>
      </w:r>
    </w:p>
    <w:p>
      <w:pPr>
        <w:ind w:firstLine="803" w:firstLineChars="25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w:t>
      </w: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机构设置</w:t>
      </w:r>
    </w:p>
    <w:p>
      <w:pPr>
        <w:ind w:firstLine="800" w:firstLineChars="250"/>
        <w:rPr>
          <w:rFonts w:hint="default" w:ascii="仿宋" w:hAnsi="仿宋" w:eastAsia="仿宋" w:cs="仿宋"/>
          <w:b/>
          <w:bCs/>
          <w:sz w:val="32"/>
          <w:szCs w:val="32"/>
          <w:lang w:val="en-US" w:eastAsia="zh-CN"/>
        </w:rPr>
      </w:pPr>
      <w:r>
        <w:rPr>
          <w:rFonts w:hint="eastAsia" w:ascii="仿宋" w:hAnsi="仿宋" w:eastAsia="仿宋"/>
          <w:sz w:val="32"/>
          <w:szCs w:val="32"/>
        </w:rPr>
        <w:t>广元市昭化区公务和外事服务中心下属二级单位</w:t>
      </w:r>
      <w:r>
        <w:rPr>
          <w:rFonts w:hint="eastAsia" w:ascii="仿宋" w:hAnsi="仿宋" w:eastAsia="仿宋"/>
          <w:sz w:val="32"/>
          <w:szCs w:val="32"/>
          <w:lang w:val="en-US" w:eastAsia="zh-CN"/>
        </w:rPr>
        <w:t>0</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p>
    <w:p>
      <w:pPr>
        <w:pStyle w:val="15"/>
        <w:keepNext w:val="0"/>
        <w:keepLines w:val="0"/>
        <w:pageBreakBefore w:val="0"/>
        <w:widowControl/>
        <w:suppressLineNumbers w:val="0"/>
        <w:kinsoku/>
        <w:wordWrap/>
        <w:overflowPunct/>
        <w:topLinePunct w:val="0"/>
        <w:autoSpaceDE/>
        <w:autoSpaceDN/>
        <w:bidi w:val="0"/>
        <w:adjustRightInd/>
        <w:snapToGrid/>
        <w:spacing w:before="120" w:beforeLines="0" w:beforeAutospacing="0" w:after="0" w:afterLines="0" w:afterAutospacing="0" w:line="600" w:lineRule="exact"/>
        <w:ind w:left="0" w:right="0" w:firstLine="660"/>
        <w:jc w:val="left"/>
        <w:textAlignment w:val="auto"/>
        <w:outlineLvl w:val="1"/>
        <w:rPr>
          <w:rFonts w:hint="eastAsia" w:ascii="黑体" w:hAnsi="黑体" w:eastAsia="黑体" w:cs="黑体"/>
          <w:b w:val="0"/>
          <w:bCs w:val="0"/>
          <w:color w:val="000000"/>
          <w:kern w:val="2"/>
          <w:sz w:val="32"/>
          <w:szCs w:val="32"/>
          <w:shd w:val="clear" w:color="auto" w:fill="FFFFFF"/>
          <w:lang w:val="en-US" w:eastAsia="zh-CN" w:bidi="ar-SA"/>
        </w:rPr>
      </w:pPr>
      <w:bookmarkStart w:id="21" w:name="_Toc21490"/>
      <w:r>
        <w:rPr>
          <w:rFonts w:hint="eastAsia" w:ascii="黑体" w:hAnsi="黑体" w:eastAsia="黑体" w:cs="黑体"/>
          <w:b w:val="0"/>
          <w:bCs w:val="0"/>
          <w:color w:val="000000"/>
          <w:kern w:val="2"/>
          <w:sz w:val="32"/>
          <w:szCs w:val="32"/>
          <w:shd w:val="clear" w:color="auto" w:fill="FFFFFF"/>
          <w:lang w:val="en-US" w:eastAsia="zh-CN" w:bidi="ar-SA"/>
        </w:rPr>
        <w:t>二、公务和外事中心2021年重点工作完成情况</w:t>
      </w:r>
      <w:bookmarkEnd w:id="21"/>
    </w:p>
    <w:bookmarkEnd w:id="18"/>
    <w:bookmarkEnd w:id="19"/>
    <w:p>
      <w:pPr>
        <w:keepNext w:val="0"/>
        <w:keepLines w:val="0"/>
        <w:pageBreakBefore w:val="0"/>
        <w:shd w:val="solid" w:color="FFFFFF" w:fill="auto"/>
        <w:kinsoku/>
        <w:wordWrap/>
        <w:overflowPunct/>
        <w:topLinePunct w:val="0"/>
        <w:autoSpaceDE/>
        <w:autoSpaceDN w:val="0"/>
        <w:bidi w:val="0"/>
        <w:adjustRightInd/>
        <w:snapToGrid/>
        <w:spacing w:line="600" w:lineRule="exact"/>
        <w:ind w:firstLine="320" w:firstLineChars="100"/>
        <w:textAlignment w:val="auto"/>
        <w:rPr>
          <w:rFonts w:hint="eastAsia" w:ascii="仿宋" w:hAnsi="仿宋" w:eastAsia="仿宋" w:cs="仿宋"/>
          <w:b w:val="0"/>
          <w:bCs/>
          <w:color w:val="666666"/>
          <w:sz w:val="32"/>
          <w:szCs w:val="32"/>
          <w:lang w:eastAsia="zh-CN"/>
        </w:rPr>
      </w:pPr>
      <w:r>
        <w:rPr>
          <w:rFonts w:hint="eastAsia" w:ascii="仿宋" w:hAnsi="仿宋" w:eastAsia="仿宋" w:cs="仿宋"/>
          <w:b w:val="0"/>
          <w:bCs/>
          <w:color w:val="000000"/>
          <w:sz w:val="32"/>
          <w:szCs w:val="32"/>
          <w:shd w:val="clear" w:color="auto" w:fill="FFFFFF"/>
          <w:lang w:eastAsia="zh-CN"/>
        </w:rPr>
        <w:t>（</w:t>
      </w:r>
      <w:r>
        <w:rPr>
          <w:rFonts w:hint="eastAsia" w:ascii="仿宋" w:hAnsi="仿宋" w:eastAsia="仿宋" w:cs="仿宋"/>
          <w:b w:val="0"/>
          <w:bCs/>
          <w:color w:val="000000"/>
          <w:sz w:val="32"/>
          <w:szCs w:val="32"/>
          <w:shd w:val="clear" w:color="auto" w:fill="FFFFFF"/>
          <w:lang w:val="en-US" w:eastAsia="zh-CN"/>
        </w:rPr>
        <w:t>一</w:t>
      </w:r>
      <w:r>
        <w:rPr>
          <w:rFonts w:hint="eastAsia" w:ascii="仿宋" w:hAnsi="仿宋" w:eastAsia="仿宋" w:cs="仿宋"/>
          <w:b w:val="0"/>
          <w:bCs/>
          <w:color w:val="000000"/>
          <w:sz w:val="32"/>
          <w:szCs w:val="32"/>
          <w:shd w:val="clear" w:color="auto" w:fill="FFFFFF"/>
          <w:lang w:eastAsia="zh-CN"/>
        </w:rPr>
        <w:t>）</w:t>
      </w:r>
      <w:r>
        <w:rPr>
          <w:rFonts w:hint="eastAsia" w:ascii="仿宋" w:hAnsi="仿宋" w:eastAsia="仿宋" w:cs="仿宋"/>
          <w:b w:val="0"/>
          <w:bCs/>
          <w:color w:val="000000"/>
          <w:sz w:val="32"/>
          <w:szCs w:val="32"/>
          <w:shd w:val="clear" w:color="auto" w:fill="FFFFFF"/>
        </w:rPr>
        <w:t>突出主责主业，着力提升公务接待质量</w:t>
      </w:r>
    </w:p>
    <w:p>
      <w:pPr>
        <w:keepNext w:val="0"/>
        <w:keepLines w:val="0"/>
        <w:pageBreakBefore w:val="0"/>
        <w:kinsoku/>
        <w:wordWrap/>
        <w:overflowPunct/>
        <w:topLinePunct w:val="0"/>
        <w:autoSpaceDE/>
        <w:bidi w:val="0"/>
        <w:adjustRightInd/>
        <w:snapToGrid/>
        <w:spacing w:line="600" w:lineRule="exact"/>
        <w:ind w:firstLine="640" w:firstLineChars="200"/>
        <w:textAlignment w:val="auto"/>
        <w:rPr>
          <w:rFonts w:ascii="仿宋" w:hAnsi="仿宋" w:eastAsia="仿宋" w:cs="华文仿宋"/>
          <w:sz w:val="32"/>
          <w:szCs w:val="32"/>
        </w:rPr>
      </w:pPr>
      <w:r>
        <w:rPr>
          <w:rFonts w:hint="eastAsia" w:ascii="仿宋" w:hAnsi="仿宋" w:eastAsia="仿宋" w:cs="宋体"/>
          <w:color w:val="000000"/>
          <w:sz w:val="32"/>
          <w:szCs w:val="32"/>
          <w:shd w:val="clear" w:color="auto" w:fill="FFFFFF"/>
          <w:lang w:val="en-US" w:eastAsia="zh-CN"/>
        </w:rPr>
        <w:t>1、</w:t>
      </w:r>
      <w:r>
        <w:rPr>
          <w:rFonts w:hint="eastAsia" w:ascii="仿宋" w:hAnsi="仿宋" w:eastAsia="仿宋" w:cs="宋体"/>
          <w:color w:val="000000"/>
          <w:sz w:val="32"/>
          <w:szCs w:val="32"/>
          <w:shd w:val="clear" w:color="auto" w:fill="FFFFFF"/>
        </w:rPr>
        <w:t>严格政策纪律，进一步完善制度。</w:t>
      </w:r>
      <w:r>
        <w:rPr>
          <w:rFonts w:hint="eastAsia" w:ascii="仿宋" w:hAnsi="仿宋" w:eastAsia="仿宋" w:cs="华文仿宋"/>
          <w:sz w:val="32"/>
          <w:szCs w:val="32"/>
        </w:rPr>
        <w:t>牢固树立</w:t>
      </w:r>
      <w:r>
        <w:rPr>
          <w:rFonts w:hint="eastAsia" w:ascii="仿宋" w:hAnsi="仿宋" w:eastAsia="仿宋" w:cs="宋体"/>
          <w:color w:val="000000"/>
          <w:sz w:val="32"/>
          <w:szCs w:val="32"/>
          <w:shd w:val="clear" w:color="auto" w:fill="FFFFFF"/>
        </w:rPr>
        <w:t>“</w:t>
      </w:r>
      <w:r>
        <w:rPr>
          <w:rFonts w:hint="eastAsia" w:ascii="仿宋" w:hAnsi="仿宋" w:eastAsia="仿宋" w:cs="华文仿宋"/>
          <w:sz w:val="32"/>
          <w:szCs w:val="32"/>
        </w:rPr>
        <w:t>按规矩办才是最好服务”的思想，“按照规定精神接待才是最好接待”的理念，严格按规定办，按要求执行，做到“令行禁止”。严格接待审批，严格陪同人员，严把接待标准、严控接待经费，加强了财务监管，厉行勤俭节约，确保公务外事服务工作合理规范，坚决不触碰“红线”。</w:t>
      </w:r>
    </w:p>
    <w:p>
      <w:pPr>
        <w:shd w:val="solid" w:color="FFFFFF" w:fill="auto"/>
        <w:autoSpaceDN w:val="0"/>
        <w:spacing w:line="360" w:lineRule="auto"/>
        <w:ind w:firstLine="640" w:firstLineChars="200"/>
        <w:rPr>
          <w:rFonts w:hint="eastAsia" w:ascii="仿宋" w:hAnsi="仿宋" w:eastAsia="仿宋" w:cs="宋体"/>
          <w:color w:val="000000"/>
          <w:sz w:val="32"/>
          <w:szCs w:val="32"/>
          <w:shd w:val="clear" w:color="auto" w:fill="FFFFFF"/>
        </w:rPr>
      </w:pPr>
      <w:r>
        <w:rPr>
          <w:rFonts w:hint="eastAsia" w:ascii="仿宋" w:hAnsi="仿宋" w:eastAsia="仿宋" w:cs="华文仿宋"/>
          <w:sz w:val="32"/>
          <w:szCs w:val="32"/>
          <w:lang w:val="en-US" w:eastAsia="zh-CN"/>
        </w:rPr>
        <w:t>2、</w:t>
      </w:r>
      <w:r>
        <w:rPr>
          <w:rFonts w:hint="eastAsia" w:ascii="仿宋" w:hAnsi="仿宋" w:eastAsia="仿宋" w:cs="华文仿宋"/>
          <w:sz w:val="32"/>
          <w:szCs w:val="32"/>
        </w:rPr>
        <w:t>厘清制度边界，规</w:t>
      </w:r>
      <w:r>
        <w:rPr>
          <w:rFonts w:hint="eastAsia" w:ascii="仿宋" w:hAnsi="仿宋" w:eastAsia="仿宋" w:cs="宋体"/>
          <w:color w:val="000000"/>
          <w:sz w:val="32"/>
          <w:szCs w:val="32"/>
          <w:shd w:val="clear" w:color="auto" w:fill="FFFFFF"/>
        </w:rPr>
        <w:t>范公务接待管理。</w:t>
      </w:r>
      <w:r>
        <w:rPr>
          <w:rFonts w:hint="eastAsia" w:ascii="仿宋" w:hAnsi="仿宋" w:eastAsia="仿宋" w:cs="华文仿宋"/>
          <w:sz w:val="32"/>
          <w:szCs w:val="32"/>
        </w:rPr>
        <w:t>完善公务接待有关规定，确保每项接待工作有依据、可量化、能执</w:t>
      </w:r>
      <w:r>
        <w:rPr>
          <w:rFonts w:hint="eastAsia" w:ascii="仿宋" w:hAnsi="仿宋" w:eastAsia="仿宋" w:cs="华文仿宋"/>
          <w:sz w:val="32"/>
          <w:szCs w:val="32"/>
          <w:lang w:eastAsia="zh-CN"/>
        </w:rPr>
        <w:t>行</w:t>
      </w:r>
      <w:r>
        <w:rPr>
          <w:rFonts w:hint="eastAsia" w:ascii="仿宋" w:hAnsi="仿宋" w:eastAsia="仿宋" w:cs="华文仿宋"/>
          <w:sz w:val="32"/>
          <w:szCs w:val="32"/>
        </w:rPr>
        <w:t>，加强对区级部门、乡镇公务接待的指导和监督</w:t>
      </w:r>
      <w:r>
        <w:rPr>
          <w:rFonts w:hint="eastAsia" w:ascii="仿宋" w:hAnsi="仿宋" w:eastAsia="仿宋" w:cs="宋体"/>
          <w:color w:val="000000"/>
          <w:sz w:val="32"/>
          <w:szCs w:val="32"/>
          <w:shd w:val="clear" w:color="auto" w:fill="FFFFFF"/>
        </w:rPr>
        <w:t>，推动各项接待规定的落实落地。</w:t>
      </w:r>
    </w:p>
    <w:p>
      <w:pPr>
        <w:shd w:val="solid" w:color="FFFFFF" w:fill="auto"/>
        <w:autoSpaceDN w:val="0"/>
        <w:spacing w:line="360" w:lineRule="auto"/>
        <w:ind w:firstLine="640" w:firstLineChars="200"/>
        <w:rPr>
          <w:rFonts w:hint="eastAsia" w:ascii="仿宋" w:hAnsi="仿宋" w:eastAsia="仿宋" w:cs="宋体"/>
          <w:color w:val="000000"/>
          <w:sz w:val="32"/>
          <w:szCs w:val="32"/>
          <w:shd w:val="clear" w:color="auto" w:fill="FFFFFF"/>
        </w:rPr>
      </w:pPr>
      <w:r>
        <w:rPr>
          <w:rFonts w:hint="eastAsia" w:ascii="仿宋" w:hAnsi="仿宋" w:eastAsia="仿宋" w:cs="宋体"/>
          <w:color w:val="000000"/>
          <w:sz w:val="32"/>
          <w:szCs w:val="32"/>
          <w:shd w:val="clear" w:color="auto" w:fill="FFFFFF"/>
          <w:lang w:val="en-US" w:eastAsia="zh-CN"/>
        </w:rPr>
        <w:t>3、</w:t>
      </w:r>
      <w:r>
        <w:rPr>
          <w:rFonts w:hint="eastAsia" w:ascii="仿宋" w:hAnsi="仿宋" w:eastAsia="仿宋" w:cs="宋体"/>
          <w:color w:val="000000"/>
          <w:sz w:val="32"/>
          <w:szCs w:val="32"/>
          <w:shd w:val="clear" w:color="auto" w:fill="FFFFFF"/>
        </w:rPr>
        <w:t>突出地方特色，提升昭化美誉度。开展接待资源调查，详实掌握接待资源状况，并从昭化的历史文化、地域优势、风味小吃、特色农产品中挖掘特色，推出既简朴大方又品味独特的创新菜点、特色考察路线。当好宣传员，把昭化富有特色的民俗风情、景点景区、城市风貌等特点融入到就餐卡、接待手册中，将我</w:t>
      </w:r>
      <w:r>
        <w:rPr>
          <w:rFonts w:hint="eastAsia" w:ascii="仿宋" w:hAnsi="仿宋" w:eastAsia="仿宋" w:cs="宋体"/>
          <w:color w:val="000000"/>
          <w:sz w:val="32"/>
          <w:szCs w:val="32"/>
          <w:shd w:val="clear" w:color="auto" w:fill="FFFFFF"/>
          <w:lang w:eastAsia="zh-CN"/>
        </w:rPr>
        <w:t>区</w:t>
      </w:r>
      <w:r>
        <w:rPr>
          <w:rFonts w:hint="eastAsia" w:ascii="仿宋" w:hAnsi="仿宋" w:eastAsia="仿宋" w:cs="宋体"/>
          <w:color w:val="000000"/>
          <w:sz w:val="32"/>
          <w:szCs w:val="32"/>
          <w:shd w:val="clear" w:color="auto" w:fill="FFFFFF"/>
        </w:rPr>
        <w:t>的优势资源、亮点工作、风景名胜介绍给客人，全方位提升我区的知名度。</w:t>
      </w:r>
    </w:p>
    <w:p>
      <w:pPr>
        <w:shd w:val="solid" w:color="FFFFFF" w:fill="auto"/>
        <w:autoSpaceDN w:val="0"/>
        <w:spacing w:line="360" w:lineRule="auto"/>
        <w:ind w:firstLine="640" w:firstLineChars="200"/>
        <w:rPr>
          <w:rFonts w:ascii="仿宋" w:hAnsi="仿宋" w:eastAsia="仿宋" w:cs="宋体"/>
          <w:color w:val="000000"/>
          <w:sz w:val="32"/>
          <w:szCs w:val="32"/>
          <w:shd w:val="clear" w:color="auto" w:fill="FFFFFF"/>
        </w:rPr>
      </w:pPr>
      <w:r>
        <w:rPr>
          <w:rFonts w:hint="eastAsia" w:ascii="仿宋" w:hAnsi="仿宋" w:eastAsia="仿宋" w:cs="宋体"/>
          <w:color w:val="000000"/>
          <w:sz w:val="32"/>
          <w:szCs w:val="32"/>
          <w:shd w:val="clear" w:color="auto" w:fill="FFFFFF"/>
          <w:lang w:val="en-US" w:eastAsia="zh-CN"/>
        </w:rPr>
        <w:t>4、</w:t>
      </w:r>
      <w:r>
        <w:rPr>
          <w:rFonts w:hint="eastAsia" w:ascii="仿宋" w:hAnsi="仿宋" w:eastAsia="仿宋" w:cs="宋体"/>
          <w:color w:val="000000"/>
          <w:sz w:val="32"/>
          <w:szCs w:val="32"/>
          <w:shd w:val="clear" w:color="auto" w:fill="FFFFFF"/>
        </w:rPr>
        <w:t>注重细节管理，推进转变升级。加强沟通与衔接，精心编制接待方案，把握接待工作特点，全程跟踪服务，超前安排好吃住、现场准备等每一个环节，做到人性化、个性化服务，力争零差错、零失误。同时协调好公安、食品、医疗、卫生等相关部门予以配合，做深、做实各项接待要素。加强调研点位的筛选入库，在上级领导和外来客人调研参观线路点位上提出合理化参考意见，确保实现考察调研目的。</w:t>
      </w:r>
    </w:p>
    <w:p>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二</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突出精细周到，搞好机关事务管理</w:t>
      </w:r>
    </w:p>
    <w:p>
      <w:pPr>
        <w:ind w:firstLine="640" w:firstLineChars="200"/>
        <w:rPr>
          <w:rFonts w:hint="eastAsia" w:ascii="仿宋" w:hAnsi="仿宋" w:eastAsia="仿宋" w:cs="华文仿宋"/>
          <w:sz w:val="32"/>
          <w:szCs w:val="32"/>
        </w:rPr>
      </w:pPr>
      <w:r>
        <w:rPr>
          <w:rFonts w:hint="eastAsia" w:ascii="仿宋" w:hAnsi="仿宋" w:eastAsia="仿宋" w:cs="华文仿宋"/>
          <w:sz w:val="32"/>
          <w:szCs w:val="32"/>
        </w:rPr>
        <w:t>根据区委、区政府的安排，我办在搞好公务接待的同时，承担区政府机关职工食堂和县级领导周转房的管理工作。在工作中，我们</w:t>
      </w:r>
      <w:r>
        <w:rPr>
          <w:rFonts w:hint="eastAsia" w:ascii="仿宋" w:hAnsi="仿宋" w:eastAsia="仿宋" w:cs="华文仿宋"/>
          <w:sz w:val="32"/>
          <w:szCs w:val="32"/>
          <w:lang w:eastAsia="zh-CN"/>
        </w:rPr>
        <w:t>要</w:t>
      </w:r>
      <w:r>
        <w:rPr>
          <w:rFonts w:hint="eastAsia" w:ascii="仿宋" w:hAnsi="仿宋" w:eastAsia="仿宋" w:cs="华文仿宋"/>
          <w:sz w:val="32"/>
          <w:szCs w:val="32"/>
        </w:rPr>
        <w:t>认真落实机关事务管理有关规定，合理分工，注重细节，为适应高效率、快节奏的发展需要，创造性的开展各项后勤保障工作。一是办好机关食堂。多次专题研究职工食堂餐饮质量和膳食结构，不断创新花样、改变品种，尽最大努力让广大职工满意。加强原料食材采购管理，落实食品原料源头追溯，严格食堂清洁卫生，实行食堂工作人员持证上岗，确保干部职工吃上放心饭菜。强化食堂工作人员服务技能和服务意识的教育，做到主动服务、优质服务。二是管好周转房。加强房间水电气、网络安全管理，定期查看各类管线，发现问题及时报修，确保各设备正常运行。常态化搞好保洁工作，定期进行室内外清扫，确保入住环境干净整洁。三是开好接待车。严格执行接待车使用审批制度，严格控制使用用途。督促驾驶人员定期对车辆进行安检、维修和清扫保洁，确保使用时车辆能够正常行驶。</w:t>
      </w:r>
    </w:p>
    <w:p>
      <w:pPr>
        <w:ind w:firstLine="640" w:firstLineChars="200"/>
        <w:rPr>
          <w:rFonts w:hint="eastAsia" w:ascii="仿宋" w:hAnsi="仿宋" w:eastAsia="仿宋" w:cs="仿宋"/>
          <w:b w:val="0"/>
          <w:bCs w:val="0"/>
          <w:color w:val="000000"/>
          <w:sz w:val="32"/>
          <w:szCs w:val="32"/>
          <w:lang w:eastAsia="zh-CN"/>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三</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围绕大局重点，全面参与</w:t>
      </w:r>
      <w:r>
        <w:rPr>
          <w:rFonts w:hint="eastAsia" w:ascii="仿宋" w:hAnsi="仿宋" w:eastAsia="仿宋" w:cs="仿宋"/>
          <w:b w:val="0"/>
          <w:bCs w:val="0"/>
          <w:sz w:val="32"/>
          <w:szCs w:val="32"/>
          <w:lang w:eastAsia="zh-CN"/>
        </w:rPr>
        <w:t>乡村振兴</w:t>
      </w:r>
    </w:p>
    <w:p>
      <w:pPr>
        <w:ind w:firstLine="640" w:firstLineChars="200"/>
        <w:rPr>
          <w:rFonts w:hint="eastAsia"/>
        </w:rPr>
      </w:pPr>
      <w:r>
        <w:rPr>
          <w:rFonts w:hint="eastAsia" w:ascii="仿宋" w:hAnsi="仿宋" w:eastAsia="仿宋" w:cs="仿宋_GB2312"/>
          <w:color w:val="000000"/>
          <w:sz w:val="32"/>
          <w:szCs w:val="32"/>
          <w:lang w:eastAsia="zh-CN"/>
        </w:rPr>
        <w:t>乡村振兴</w:t>
      </w:r>
      <w:r>
        <w:rPr>
          <w:rFonts w:hint="eastAsia" w:ascii="仿宋" w:hAnsi="仿宋" w:eastAsia="仿宋" w:cs="仿宋_GB2312"/>
          <w:color w:val="000000"/>
          <w:sz w:val="32"/>
          <w:szCs w:val="32"/>
        </w:rPr>
        <w:t>是全区</w:t>
      </w:r>
      <w:r>
        <w:rPr>
          <w:rFonts w:hint="eastAsia" w:ascii="仿宋" w:hAnsi="仿宋" w:eastAsia="仿宋" w:cs="仿宋_GB2312"/>
          <w:color w:val="000000"/>
          <w:sz w:val="32"/>
          <w:szCs w:val="32"/>
          <w:lang w:eastAsia="zh-CN"/>
        </w:rPr>
        <w:t>工作重点</w:t>
      </w:r>
      <w:r>
        <w:rPr>
          <w:rFonts w:ascii="仿宋" w:hAnsi="仿宋" w:eastAsia="仿宋"/>
          <w:color w:val="000000"/>
          <w:sz w:val="32"/>
          <w:szCs w:val="32"/>
        </w:rPr>
        <w:t>,</w:t>
      </w:r>
      <w:r>
        <w:rPr>
          <w:rFonts w:hint="eastAsia" w:ascii="仿宋" w:hAnsi="仿宋" w:eastAsia="仿宋"/>
          <w:color w:val="000000"/>
          <w:sz w:val="32"/>
          <w:szCs w:val="32"/>
        </w:rPr>
        <w:t xml:space="preserve"> 我中心严格按照区委、区政府的安排部署</w:t>
      </w:r>
      <w:r>
        <w:rPr>
          <w:rFonts w:hint="eastAsia" w:ascii="仿宋" w:hAnsi="仿宋" w:eastAsia="仿宋" w:cs="仿宋_GB2312"/>
          <w:color w:val="000000"/>
          <w:sz w:val="32"/>
          <w:szCs w:val="32"/>
        </w:rPr>
        <w:t>，</w:t>
      </w:r>
      <w:r>
        <w:rPr>
          <w:rFonts w:hint="eastAsia" w:ascii="仿宋" w:hAnsi="仿宋" w:eastAsia="仿宋" w:cs="Calibri"/>
          <w:kern w:val="0"/>
          <w:sz w:val="32"/>
          <w:szCs w:val="32"/>
        </w:rPr>
        <w:t>紧紧围绕“四个全面”战略布局，切实践行五大发展理念，</w:t>
      </w:r>
      <w:r>
        <w:rPr>
          <w:rFonts w:hint="eastAsia" w:ascii="仿宋" w:hAnsi="仿宋" w:eastAsia="仿宋" w:cs="Calibri"/>
          <w:kern w:val="0"/>
          <w:sz w:val="32"/>
          <w:szCs w:val="32"/>
          <w:lang w:eastAsia="zh-CN"/>
        </w:rPr>
        <w:t>巩固</w:t>
      </w:r>
      <w:r>
        <w:rPr>
          <w:rFonts w:hint="eastAsia" w:ascii="仿宋" w:hAnsi="仿宋" w:eastAsia="仿宋" w:cs="Calibri"/>
          <w:kern w:val="0"/>
          <w:sz w:val="32"/>
          <w:szCs w:val="32"/>
        </w:rPr>
        <w:t>脱贫攻坚</w:t>
      </w:r>
      <w:r>
        <w:rPr>
          <w:rFonts w:hint="eastAsia" w:ascii="仿宋" w:hAnsi="仿宋" w:eastAsia="仿宋" w:cs="Calibri"/>
          <w:kern w:val="0"/>
          <w:sz w:val="32"/>
          <w:szCs w:val="32"/>
          <w:lang w:eastAsia="zh-CN"/>
        </w:rPr>
        <w:t>成果</w:t>
      </w:r>
      <w:r>
        <w:rPr>
          <w:rFonts w:hint="eastAsia" w:ascii="仿宋" w:hAnsi="仿宋" w:eastAsia="仿宋" w:cs="Calibri"/>
          <w:kern w:val="0"/>
          <w:sz w:val="32"/>
          <w:szCs w:val="32"/>
        </w:rPr>
        <w:t>，奋力跨越发展，为同步</w:t>
      </w:r>
      <w:r>
        <w:rPr>
          <w:rFonts w:hint="eastAsia" w:ascii="仿宋" w:hAnsi="仿宋" w:eastAsia="仿宋" w:cs="Calibri"/>
          <w:kern w:val="0"/>
          <w:sz w:val="32"/>
          <w:szCs w:val="32"/>
          <w:lang w:eastAsia="zh-CN"/>
        </w:rPr>
        <w:t>全面建成小康社会</w:t>
      </w:r>
      <w:r>
        <w:rPr>
          <w:rFonts w:hint="eastAsia" w:ascii="仿宋" w:hAnsi="仿宋" w:eastAsia="仿宋" w:cs="Calibri"/>
          <w:kern w:val="0"/>
          <w:sz w:val="32"/>
          <w:szCs w:val="32"/>
        </w:rPr>
        <w:t>而努力奋斗。</w:t>
      </w:r>
    </w:p>
    <w:p>
      <w:pPr>
        <w:widowControl/>
        <w:jc w:val="left"/>
        <w:rPr>
          <w:rFonts w:ascii="仿宋" w:hAnsi="仿宋" w:eastAsia="仿宋"/>
          <w:color w:val="auto"/>
          <w:kern w:val="0"/>
          <w:sz w:val="32"/>
          <w:szCs w:val="32"/>
          <w:highlight w:val="none"/>
        </w:rPr>
      </w:pPr>
    </w:p>
    <w:p>
      <w:pPr>
        <w:pStyle w:val="2"/>
        <w:rPr>
          <w:rFonts w:ascii="仿宋" w:hAnsi="仿宋" w:eastAsia="仿宋"/>
          <w:color w:val="auto"/>
          <w:kern w:val="0"/>
          <w:sz w:val="32"/>
          <w:szCs w:val="32"/>
          <w:highlight w:val="none"/>
        </w:rPr>
      </w:pPr>
    </w:p>
    <w:p>
      <w:pPr>
        <w:pStyle w:val="2"/>
        <w:rPr>
          <w:rFonts w:ascii="仿宋" w:hAnsi="仿宋" w:eastAsia="仿宋"/>
          <w:color w:val="auto"/>
          <w:kern w:val="0"/>
          <w:sz w:val="32"/>
          <w:szCs w:val="32"/>
          <w:highlight w:val="none"/>
        </w:rPr>
      </w:pPr>
    </w:p>
    <w:p>
      <w:pPr>
        <w:pStyle w:val="2"/>
        <w:rPr>
          <w:rFonts w:ascii="仿宋" w:hAnsi="仿宋" w:eastAsia="仿宋"/>
          <w:color w:val="auto"/>
          <w:kern w:val="0"/>
          <w:sz w:val="32"/>
          <w:szCs w:val="32"/>
          <w:highlight w:val="none"/>
        </w:rPr>
      </w:pPr>
    </w:p>
    <w:p>
      <w:pPr>
        <w:pStyle w:val="2"/>
        <w:rPr>
          <w:rFonts w:ascii="仿宋" w:hAnsi="仿宋" w:eastAsia="仿宋"/>
          <w:color w:val="auto"/>
          <w:kern w:val="0"/>
          <w:sz w:val="32"/>
          <w:szCs w:val="32"/>
          <w:highlight w:val="none"/>
        </w:rPr>
      </w:pPr>
    </w:p>
    <w:p>
      <w:pPr>
        <w:pStyle w:val="2"/>
        <w:rPr>
          <w:rFonts w:ascii="仿宋" w:hAnsi="仿宋" w:eastAsia="仿宋"/>
          <w:color w:val="auto"/>
          <w:kern w:val="0"/>
          <w:sz w:val="32"/>
          <w:szCs w:val="32"/>
          <w:highlight w:val="none"/>
        </w:rPr>
      </w:pPr>
    </w:p>
    <w:p>
      <w:pPr>
        <w:pStyle w:val="2"/>
        <w:rPr>
          <w:rFonts w:ascii="仿宋" w:hAnsi="仿宋" w:eastAsia="仿宋"/>
          <w:color w:val="auto"/>
          <w:kern w:val="0"/>
          <w:sz w:val="32"/>
          <w:szCs w:val="32"/>
          <w:highlight w:val="none"/>
        </w:rPr>
      </w:pPr>
    </w:p>
    <w:p>
      <w:pPr>
        <w:pStyle w:val="2"/>
        <w:rPr>
          <w:rFonts w:ascii="仿宋" w:hAnsi="仿宋" w:eastAsia="仿宋"/>
          <w:color w:val="auto"/>
          <w:kern w:val="0"/>
          <w:sz w:val="32"/>
          <w:szCs w:val="32"/>
          <w:highlight w:val="none"/>
        </w:rPr>
      </w:pPr>
    </w:p>
    <w:p>
      <w:pPr>
        <w:pStyle w:val="2"/>
        <w:rPr>
          <w:rFonts w:ascii="仿宋" w:hAnsi="仿宋" w:eastAsia="仿宋"/>
          <w:color w:val="auto"/>
          <w:kern w:val="0"/>
          <w:sz w:val="32"/>
          <w:szCs w:val="32"/>
          <w:highlight w:val="none"/>
        </w:rPr>
      </w:pPr>
    </w:p>
    <w:p>
      <w:pPr>
        <w:pStyle w:val="2"/>
        <w:rPr>
          <w:rFonts w:ascii="仿宋" w:hAnsi="仿宋" w:eastAsia="仿宋"/>
          <w:color w:val="auto"/>
          <w:kern w:val="0"/>
          <w:sz w:val="32"/>
          <w:szCs w:val="32"/>
          <w:highlight w:val="none"/>
        </w:rPr>
      </w:pPr>
    </w:p>
    <w:p>
      <w:pPr>
        <w:pStyle w:val="2"/>
        <w:rPr>
          <w:rFonts w:ascii="仿宋" w:hAnsi="仿宋" w:eastAsia="仿宋"/>
          <w:color w:val="auto"/>
          <w:kern w:val="0"/>
          <w:sz w:val="32"/>
          <w:szCs w:val="32"/>
          <w:highlight w:val="none"/>
        </w:rPr>
      </w:pPr>
    </w:p>
    <w:p>
      <w:pPr>
        <w:pStyle w:val="3"/>
        <w:ind w:right="440"/>
        <w:jc w:val="center"/>
        <w:rPr>
          <w:rStyle w:val="28"/>
          <w:rFonts w:ascii="黑体" w:hAnsi="黑体" w:eastAsia="黑体"/>
          <w:b w:val="0"/>
          <w:bCs/>
          <w:color w:val="auto"/>
          <w:highlight w:val="none"/>
        </w:rPr>
      </w:pPr>
      <w:bookmarkStart w:id="22" w:name="_Toc6227"/>
      <w:bookmarkStart w:id="23" w:name="_Toc15377204"/>
      <w:bookmarkStart w:id="24"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8"/>
          <w:rFonts w:hint="eastAsia" w:ascii="黑体" w:hAnsi="黑体" w:eastAsia="黑体"/>
          <w:b w:val="0"/>
          <w:bCs/>
          <w:color w:val="auto"/>
          <w:highlight w:val="none"/>
          <w:lang w:eastAsia="zh-CN"/>
        </w:rPr>
        <w:t>单位</w:t>
      </w:r>
      <w:r>
        <w:rPr>
          <w:rStyle w:val="28"/>
          <w:rFonts w:hint="eastAsia" w:ascii="黑体" w:hAnsi="黑体" w:eastAsia="黑体"/>
          <w:b w:val="0"/>
          <w:bCs/>
          <w:color w:val="auto"/>
          <w:highlight w:val="none"/>
        </w:rPr>
        <w:t>决算情况说明</w:t>
      </w:r>
      <w:bookmarkEnd w:id="22"/>
      <w:bookmarkEnd w:id="23"/>
      <w:bookmarkEnd w:id="24"/>
    </w:p>
    <w:p>
      <w:pPr>
        <w:rPr>
          <w:color w:val="auto"/>
          <w:highlight w:val="none"/>
        </w:rPr>
      </w:pPr>
    </w:p>
    <w:p>
      <w:pPr>
        <w:pStyle w:val="27"/>
        <w:numPr>
          <w:ilvl w:val="0"/>
          <w:numId w:val="1"/>
        </w:numPr>
        <w:spacing w:line="600" w:lineRule="exact"/>
        <w:ind w:firstLineChars="0"/>
        <w:outlineLvl w:val="1"/>
        <w:rPr>
          <w:rStyle w:val="29"/>
          <w:rFonts w:ascii="黑体" w:hAnsi="黑体" w:eastAsia="黑体"/>
          <w:b w:val="0"/>
          <w:color w:val="auto"/>
          <w:highlight w:val="none"/>
        </w:rPr>
      </w:pPr>
      <w:bookmarkStart w:id="25" w:name="_Toc21360"/>
      <w:bookmarkStart w:id="26" w:name="_Toc15396603"/>
      <w:bookmarkStart w:id="27" w:name="_Toc15377205"/>
      <w:r>
        <w:rPr>
          <w:rFonts w:hint="eastAsia" w:ascii="黑体" w:hAnsi="黑体" w:eastAsia="黑体"/>
          <w:color w:val="auto"/>
          <w:sz w:val="32"/>
          <w:szCs w:val="32"/>
          <w:highlight w:val="none"/>
        </w:rPr>
        <w:t>收</w:t>
      </w:r>
      <w:r>
        <w:rPr>
          <w:rStyle w:val="29"/>
          <w:rFonts w:hint="eastAsia" w:ascii="黑体" w:hAnsi="黑体" w:eastAsia="黑体"/>
          <w:b w:val="0"/>
          <w:color w:val="auto"/>
          <w:highlight w:val="none"/>
        </w:rPr>
        <w:t>入支出决算总体情况说明</w:t>
      </w:r>
      <w:bookmarkEnd w:id="25"/>
      <w:bookmarkEnd w:id="26"/>
      <w:bookmarkEnd w:id="27"/>
    </w:p>
    <w:p>
      <w:pPr>
        <w:snapToGrid w:val="0"/>
        <w:spacing w:line="520" w:lineRule="exact"/>
        <w:ind w:firstLine="640" w:firstLineChars="200"/>
        <w:rPr>
          <w:rFonts w:hint="eastAsia"/>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_GB2312" w:hAnsi="仿宋" w:eastAsia="仿宋_GB2312"/>
          <w:sz w:val="32"/>
          <w:szCs w:val="32"/>
          <w:lang w:val="en-US" w:eastAsia="zh-CN"/>
        </w:rPr>
        <w:t>180.21</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w:t>
      </w:r>
      <w:r>
        <w:rPr>
          <w:rFonts w:hint="eastAsia" w:ascii="仿宋_GB2312" w:hAnsi="仿宋" w:eastAsia="仿宋_GB2312"/>
          <w:sz w:val="32"/>
          <w:szCs w:val="32"/>
          <w:lang w:val="en-US" w:eastAsia="zh-CN"/>
        </w:rPr>
        <w:t>人员经费增加了2.05万元，约5.46%，主要原因在于今年人员增加；公用经费减少0.93万元，约0.66%，主要变动原因在于厉行节约，支出减少。</w:t>
      </w:r>
    </w:p>
    <w:p>
      <w:pPr>
        <w:spacing w:line="600" w:lineRule="exact"/>
        <w:ind w:firstLine="640" w:firstLineChars="200"/>
        <w:jc w:val="left"/>
        <w:rPr>
          <w:rFonts w:ascii="仿宋_GB2312" w:eastAsia="仿宋_GB2312"/>
          <w:color w:val="auto"/>
          <w:sz w:val="32"/>
          <w:szCs w:val="32"/>
          <w:highlight w:val="none"/>
        </w:rPr>
      </w:pPr>
    </w:p>
    <w:p>
      <w:pPr>
        <w:pStyle w:val="2"/>
        <w:jc w:val="left"/>
        <w:rPr>
          <w:rFonts w:ascii="仿宋_GB2312" w:eastAsia="仿宋_GB2312"/>
          <w:color w:val="auto"/>
          <w:sz w:val="32"/>
          <w:szCs w:val="32"/>
          <w:highlight w:val="none"/>
        </w:rPr>
      </w:pPr>
      <w:r>
        <w:rPr>
          <w:rFonts w:hint="eastAsia" w:eastAsia="仿宋"/>
          <w:lang w:eastAsia="zh-CN"/>
        </w:rPr>
        <w:object>
          <v:shape id="_x0000_i1025" o:spt="75" type="#_x0000_t75" style="height:327.15pt;width:421.15pt;" o:ole="t" filled="f" o:preferrelative="t" stroked="f" coordsize="21600,21600">
            <v:path/>
            <v:fill on="f" focussize="0,0"/>
            <v:stroke on="f"/>
            <v:imagedata r:id="rId8" o:title=""/>
            <o:lock v:ext="edit" aspectratio="t"/>
            <w10:wrap type="none"/>
            <w10:anchorlock/>
          </v:shape>
          <o:OLEObject Type="Embed" ProgID="Excel.Chart.8" ShapeID="_x0000_i1025" DrawAspect="Content" ObjectID="_1468075725" r:id="rId7">
            <o:LockedField>false</o:LockedField>
          </o:OLEObject>
        </w:object>
      </w: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7"/>
        <w:numPr>
          <w:ilvl w:val="0"/>
          <w:numId w:val="1"/>
        </w:numPr>
        <w:spacing w:line="600" w:lineRule="exact"/>
        <w:ind w:firstLineChars="0"/>
        <w:outlineLvl w:val="1"/>
        <w:rPr>
          <w:rStyle w:val="29"/>
          <w:rFonts w:ascii="黑体" w:hAnsi="黑体" w:eastAsia="黑体"/>
          <w:b w:val="0"/>
          <w:color w:val="auto"/>
          <w:highlight w:val="none"/>
        </w:rPr>
      </w:pPr>
      <w:bookmarkStart w:id="28" w:name="_Toc15396604"/>
      <w:bookmarkStart w:id="29" w:name="_Toc3079"/>
      <w:bookmarkStart w:id="30" w:name="_Toc15377206"/>
      <w:r>
        <w:rPr>
          <w:rFonts w:hint="eastAsia" w:ascii="黑体" w:hAnsi="黑体" w:eastAsia="黑体"/>
          <w:color w:val="auto"/>
          <w:sz w:val="32"/>
          <w:szCs w:val="32"/>
          <w:highlight w:val="none"/>
        </w:rPr>
        <w:t>收</w:t>
      </w:r>
      <w:r>
        <w:rPr>
          <w:rStyle w:val="29"/>
          <w:rFonts w:hint="eastAsia" w:ascii="黑体" w:hAnsi="黑体" w:eastAsia="黑体"/>
          <w:b w:val="0"/>
          <w:color w:val="auto"/>
          <w:highlight w:val="none"/>
        </w:rPr>
        <w:t>入决算情况说明</w:t>
      </w:r>
      <w:bookmarkEnd w:id="28"/>
      <w:bookmarkEnd w:id="29"/>
      <w:bookmarkEnd w:id="30"/>
    </w:p>
    <w:p>
      <w:pPr>
        <w:spacing w:line="600" w:lineRule="exact"/>
        <w:ind w:firstLine="640" w:firstLineChars="200"/>
        <w:outlineLvl w:val="1"/>
        <w:rPr>
          <w:rFonts w:ascii="仿宋_GB2312" w:eastAsia="仿宋_GB2312"/>
          <w:color w:val="auto"/>
          <w:sz w:val="32"/>
          <w:szCs w:val="32"/>
          <w:highlight w:val="none"/>
        </w:rPr>
      </w:pPr>
      <w:bookmarkStart w:id="31" w:name="_Toc23659"/>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_GB2312" w:hAnsi="仿宋" w:eastAsia="仿宋_GB2312"/>
          <w:sz w:val="32"/>
          <w:szCs w:val="32"/>
          <w:lang w:val="en-US" w:eastAsia="zh-CN"/>
        </w:rPr>
        <w:t>180.21</w:t>
      </w:r>
      <w:r>
        <w:rPr>
          <w:rFonts w:hint="eastAsia" w:ascii="仿宋" w:hAnsi="仿宋" w:eastAsia="仿宋"/>
          <w:color w:val="auto"/>
          <w:sz w:val="32"/>
          <w:szCs w:val="32"/>
          <w:highlight w:val="none"/>
        </w:rPr>
        <w:t>万元，一般公共预算财政拨款收入</w:t>
      </w:r>
      <w:r>
        <w:rPr>
          <w:rFonts w:hint="eastAsia" w:ascii="仿宋_GB2312" w:hAnsi="仿宋" w:eastAsia="仿宋_GB2312"/>
          <w:sz w:val="32"/>
          <w:szCs w:val="32"/>
          <w:lang w:val="en-US" w:eastAsia="zh-CN"/>
        </w:rPr>
        <w:t>180.21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1"/>
    </w:p>
    <w:p>
      <w:pPr>
        <w:pStyle w:val="2"/>
        <w:jc w:val="center"/>
        <w:rPr>
          <w:rFonts w:ascii="仿宋_GB2312" w:eastAsia="仿宋_GB2312"/>
          <w:color w:val="auto"/>
          <w:sz w:val="32"/>
          <w:szCs w:val="32"/>
          <w:highlight w:val="none"/>
        </w:rPr>
      </w:pPr>
      <w:r>
        <w:rPr>
          <w:rFonts w:ascii="仿宋_GB2312" w:eastAsia="仿宋_GB2312"/>
          <w:sz w:val="32"/>
          <w:szCs w:val="32"/>
        </w:rPr>
        <w:drawing>
          <wp:inline distT="0" distB="0" distL="114300" distR="114300">
            <wp:extent cx="4476750" cy="2324100"/>
            <wp:effectExtent l="4445" t="4445" r="14605" b="18415"/>
            <wp:docPr id="2" name="图表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7"/>
        <w:numPr>
          <w:ilvl w:val="0"/>
          <w:numId w:val="1"/>
        </w:numPr>
        <w:spacing w:line="600" w:lineRule="exact"/>
        <w:ind w:firstLineChars="0"/>
        <w:outlineLvl w:val="1"/>
        <w:rPr>
          <w:rStyle w:val="29"/>
          <w:rFonts w:ascii="黑体" w:hAnsi="黑体" w:eastAsia="黑体"/>
          <w:b w:val="0"/>
          <w:color w:val="auto"/>
          <w:highlight w:val="none"/>
        </w:rPr>
      </w:pPr>
      <w:bookmarkStart w:id="32" w:name="_Toc15377207"/>
      <w:bookmarkStart w:id="33" w:name="_Toc15396605"/>
      <w:bookmarkStart w:id="34" w:name="_Toc5367"/>
      <w:r>
        <w:rPr>
          <w:rFonts w:hint="eastAsia" w:ascii="黑体" w:hAnsi="黑体" w:eastAsia="黑体"/>
          <w:color w:val="auto"/>
          <w:sz w:val="32"/>
          <w:szCs w:val="32"/>
          <w:highlight w:val="none"/>
        </w:rPr>
        <w:t>支</w:t>
      </w:r>
      <w:r>
        <w:rPr>
          <w:rStyle w:val="29"/>
          <w:rFonts w:hint="eastAsia" w:ascii="黑体" w:hAnsi="黑体" w:eastAsia="黑体"/>
          <w:b w:val="0"/>
          <w:color w:val="auto"/>
          <w:highlight w:val="none"/>
        </w:rPr>
        <w:t>出决算情况说明</w:t>
      </w:r>
      <w:bookmarkEnd w:id="32"/>
      <w:bookmarkEnd w:id="33"/>
      <w:bookmarkEnd w:id="34"/>
    </w:p>
    <w:p>
      <w:pPr>
        <w:spacing w:line="600" w:lineRule="exact"/>
        <w:ind w:firstLine="640" w:firstLineChars="200"/>
        <w:outlineLvl w:val="1"/>
        <w:rPr>
          <w:rFonts w:hint="eastAsia" w:ascii="仿宋" w:hAnsi="仿宋" w:eastAsia="仿宋"/>
          <w:color w:val="auto"/>
          <w:sz w:val="32"/>
          <w:szCs w:val="32"/>
          <w:highlight w:val="none"/>
          <w:lang w:eastAsia="zh-CN"/>
        </w:rPr>
      </w:pPr>
      <w:bookmarkStart w:id="35" w:name="_Toc26012"/>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180.21</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180.21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bookmarkEnd w:id="35"/>
    </w:p>
    <w:p>
      <w:pPr>
        <w:spacing w:line="600" w:lineRule="exact"/>
        <w:ind w:firstLine="640"/>
        <w:rPr>
          <w:rFonts w:ascii="仿宋" w:hAnsi="仿宋" w:eastAsia="仿宋"/>
          <w:color w:val="auto"/>
          <w:sz w:val="32"/>
          <w:szCs w:val="32"/>
          <w:highlight w:val="none"/>
          <w:shd w:val="pct10" w:color="auto" w:fill="FFFFFF"/>
        </w:rPr>
      </w:pPr>
    </w:p>
    <w:p>
      <w:pPr>
        <w:pStyle w:val="2"/>
        <w:jc w:val="center"/>
        <w:rPr>
          <w:rFonts w:hint="eastAsia" w:ascii="仿宋" w:hAnsi="仿宋" w:eastAsia="仿宋"/>
          <w:color w:val="auto"/>
          <w:sz w:val="32"/>
          <w:szCs w:val="32"/>
          <w:highlight w:val="none"/>
          <w:shd w:val="pct10" w:color="auto" w:fill="FFFFFF"/>
          <w:lang w:eastAsia="zh-CN"/>
        </w:rPr>
      </w:pPr>
      <w:r>
        <w:rPr>
          <w:rFonts w:hint="eastAsia" w:ascii="仿宋" w:hAnsi="仿宋" w:eastAsia="仿宋"/>
          <w:color w:val="auto"/>
          <w:sz w:val="32"/>
          <w:szCs w:val="32"/>
          <w:highlight w:val="none"/>
          <w:shd w:val="pct10" w:color="auto" w:fill="FFFFFF"/>
          <w:lang w:eastAsia="zh-CN"/>
        </w:rPr>
        <w:drawing>
          <wp:inline distT="0" distB="0" distL="114300" distR="114300">
            <wp:extent cx="4013835" cy="2742565"/>
            <wp:effectExtent l="4445" t="4445" r="5080" b="1143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outlineLvl w:val="9"/>
        <w:rPr>
          <w:rFonts w:hint="eastAsia" w:ascii="黑体" w:hAnsi="黑体" w:eastAsia="黑体"/>
          <w:color w:val="auto"/>
          <w:sz w:val="32"/>
          <w:szCs w:val="32"/>
          <w:highlight w:val="none"/>
        </w:rPr>
      </w:pPr>
      <w:bookmarkStart w:id="36" w:name="_Toc15396606"/>
      <w:bookmarkStart w:id="37" w:name="_Toc15377208"/>
    </w:p>
    <w:p>
      <w:pPr>
        <w:spacing w:line="600" w:lineRule="exact"/>
        <w:ind w:firstLine="640" w:firstLineChars="200"/>
        <w:outlineLvl w:val="9"/>
        <w:rPr>
          <w:rFonts w:hint="eastAsia" w:ascii="黑体" w:hAnsi="黑体" w:eastAsia="黑体"/>
          <w:color w:val="auto"/>
          <w:sz w:val="32"/>
          <w:szCs w:val="32"/>
          <w:highlight w:val="none"/>
        </w:rPr>
      </w:pPr>
    </w:p>
    <w:p>
      <w:pPr>
        <w:spacing w:line="600" w:lineRule="exact"/>
        <w:ind w:firstLine="640" w:firstLineChars="200"/>
        <w:outlineLvl w:val="1"/>
        <w:rPr>
          <w:rStyle w:val="29"/>
          <w:rFonts w:ascii="黑体" w:hAnsi="黑体" w:eastAsia="黑体"/>
          <w:b w:val="0"/>
          <w:color w:val="auto"/>
          <w:highlight w:val="none"/>
        </w:rPr>
      </w:pPr>
      <w:bookmarkStart w:id="38" w:name="_Toc24191"/>
      <w:r>
        <w:rPr>
          <w:rFonts w:hint="eastAsia" w:ascii="黑体" w:hAnsi="黑体" w:eastAsia="黑体"/>
          <w:color w:val="auto"/>
          <w:sz w:val="32"/>
          <w:szCs w:val="32"/>
          <w:highlight w:val="none"/>
        </w:rPr>
        <w:t>四、财</w:t>
      </w:r>
      <w:r>
        <w:rPr>
          <w:rStyle w:val="29"/>
          <w:rFonts w:hint="eastAsia" w:ascii="黑体" w:hAnsi="黑体" w:eastAsia="黑体"/>
          <w:b w:val="0"/>
          <w:color w:val="auto"/>
          <w:highlight w:val="none"/>
        </w:rPr>
        <w:t>政拨款收入支出决算总体情况说明</w:t>
      </w:r>
      <w:bookmarkEnd w:id="36"/>
      <w:bookmarkEnd w:id="37"/>
      <w:bookmarkEnd w:id="38"/>
    </w:p>
    <w:p>
      <w:pPr>
        <w:spacing w:line="600" w:lineRule="exact"/>
        <w:ind w:firstLine="640"/>
        <w:rPr>
          <w:rFonts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_GB2312" w:hAnsi="仿宋" w:eastAsia="仿宋_GB2312"/>
          <w:sz w:val="32"/>
          <w:szCs w:val="32"/>
          <w:lang w:val="en-US" w:eastAsia="zh-CN"/>
        </w:rPr>
        <w:t>180.21</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1.12</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0.63</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w:t>
      </w:r>
      <w:r>
        <w:rPr>
          <w:rFonts w:hint="eastAsia" w:ascii="仿宋_GB2312" w:hAnsi="仿宋" w:eastAsia="仿宋_GB2312"/>
          <w:sz w:val="32"/>
          <w:szCs w:val="32"/>
          <w:lang w:val="en-US" w:eastAsia="zh-CN"/>
        </w:rPr>
        <w:t>今年人员增加。</w:t>
      </w:r>
    </w:p>
    <w:p>
      <w:pPr>
        <w:pStyle w:val="2"/>
        <w:rPr>
          <w:rFonts w:hint="eastAsia" w:eastAsia="仿宋"/>
          <w:lang w:eastAsia="zh-CN"/>
        </w:rPr>
      </w:pPr>
    </w:p>
    <w:p>
      <w:pPr>
        <w:pStyle w:val="2"/>
        <w:rPr>
          <w:rFonts w:ascii="仿宋" w:hAnsi="仿宋" w:eastAsia="仿宋"/>
          <w:b/>
          <w:color w:val="auto"/>
          <w:sz w:val="32"/>
          <w:szCs w:val="32"/>
          <w:highlight w:val="none"/>
        </w:rPr>
      </w:pPr>
      <w:r>
        <w:rPr>
          <w:rFonts w:hint="eastAsia" w:eastAsia="仿宋"/>
          <w:lang w:eastAsia="zh-CN"/>
        </w:rPr>
        <w:object>
          <v:shape id="_x0000_i1026" o:spt="75" type="#_x0000_t75" style="height:253.15pt;width:432.2pt;" o:ole="t" filled="f" o:preferrelative="t" stroked="f" coordsize="21600,21600">
            <v:path/>
            <v:fill on="f" focussize="0,0"/>
            <v:stroke on="f"/>
            <v:imagedata r:id="rId8" o:title=""/>
            <o:lock v:ext="edit" aspectratio="t"/>
            <w10:wrap type="none"/>
            <w10:anchorlock/>
          </v:shape>
          <o:OLEObject Type="Embed" ProgID="Excel.Chart.8" ShapeID="_x0000_i1026" DrawAspect="Content" ObjectID="_1468075726" r:id="rId11">
            <o:LockedField>false</o:LockedField>
          </o:OLEObject>
        </w:object>
      </w:r>
    </w:p>
    <w:p>
      <w:pPr>
        <w:spacing w:line="600" w:lineRule="exact"/>
        <w:ind w:firstLine="640" w:firstLineChars="200"/>
        <w:outlineLvl w:val="9"/>
        <w:rPr>
          <w:rFonts w:hint="eastAsia" w:ascii="黑体" w:hAnsi="黑体" w:eastAsia="黑体"/>
          <w:color w:val="auto"/>
          <w:sz w:val="32"/>
          <w:szCs w:val="32"/>
          <w:highlight w:val="none"/>
        </w:rPr>
      </w:pPr>
      <w:bookmarkStart w:id="39" w:name="_Toc15377209"/>
      <w:bookmarkStart w:id="40" w:name="_Toc15396607"/>
    </w:p>
    <w:p>
      <w:pPr>
        <w:spacing w:line="600" w:lineRule="exact"/>
        <w:ind w:firstLine="640" w:firstLineChars="200"/>
        <w:outlineLvl w:val="1"/>
        <w:rPr>
          <w:rStyle w:val="29"/>
          <w:rFonts w:ascii="黑体" w:hAnsi="黑体" w:eastAsia="黑体"/>
          <w:b w:val="0"/>
          <w:color w:val="auto"/>
          <w:highlight w:val="none"/>
        </w:rPr>
      </w:pPr>
      <w:bookmarkStart w:id="41" w:name="_Toc26196"/>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9"/>
          <w:rFonts w:hint="eastAsia" w:ascii="黑体" w:hAnsi="黑体" w:eastAsia="黑体"/>
          <w:b w:val="0"/>
          <w:color w:val="auto"/>
          <w:highlight w:val="none"/>
        </w:rPr>
        <w:t>般公共预算财政拨款支出决算情况说明</w:t>
      </w:r>
      <w:bookmarkEnd w:id="39"/>
      <w:bookmarkEnd w:id="40"/>
      <w:bookmarkEnd w:id="41"/>
    </w:p>
    <w:p>
      <w:pPr>
        <w:spacing w:line="600" w:lineRule="exact"/>
        <w:ind w:firstLine="643" w:firstLineChars="200"/>
        <w:outlineLvl w:val="2"/>
        <w:rPr>
          <w:rFonts w:ascii="仿宋" w:hAnsi="仿宋" w:eastAsia="仿宋"/>
          <w:b/>
          <w:color w:val="auto"/>
          <w:sz w:val="32"/>
          <w:szCs w:val="32"/>
          <w:highlight w:val="none"/>
        </w:rPr>
      </w:pPr>
      <w:bookmarkStart w:id="42" w:name="_Toc15377210"/>
      <w:r>
        <w:rPr>
          <w:rFonts w:hint="eastAsia" w:ascii="仿宋" w:hAnsi="仿宋" w:eastAsia="仿宋"/>
          <w:b/>
          <w:color w:val="auto"/>
          <w:sz w:val="32"/>
          <w:szCs w:val="32"/>
          <w:highlight w:val="none"/>
        </w:rPr>
        <w:t>（一）一般公共预算财政拨款支出决算总体情况</w:t>
      </w:r>
      <w:bookmarkEnd w:id="42"/>
    </w:p>
    <w:p>
      <w:pPr>
        <w:spacing w:line="600" w:lineRule="exact"/>
        <w:ind w:firstLine="640" w:firstLineChars="200"/>
        <w:rPr>
          <w:rFonts w:hint="default" w:ascii="仿宋" w:hAnsi="仿宋" w:eastAsia="仿宋"/>
          <w:color w:val="auto"/>
          <w:sz w:val="32"/>
          <w:szCs w:val="32"/>
          <w:highlight w:val="none"/>
          <w:lang w:val="en-US"/>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_GB2312" w:hAnsi="仿宋" w:eastAsia="仿宋_GB2312"/>
          <w:sz w:val="32"/>
          <w:szCs w:val="32"/>
          <w:lang w:val="en-US" w:eastAsia="zh-CN"/>
        </w:rPr>
        <w:t>180.21</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1.12</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0.63</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w:t>
      </w:r>
      <w:r>
        <w:rPr>
          <w:rFonts w:hint="eastAsia" w:ascii="仿宋_GB2312" w:hAnsi="仿宋" w:eastAsia="仿宋_GB2312"/>
          <w:sz w:val="32"/>
          <w:szCs w:val="32"/>
          <w:lang w:val="en-US" w:eastAsia="zh-CN"/>
        </w:rPr>
        <w:t>今年人员增加。</w:t>
      </w:r>
    </w:p>
    <w:p>
      <w:pPr>
        <w:pStyle w:val="2"/>
        <w:rPr>
          <w:rFonts w:hint="eastAsia" w:ascii="仿宋" w:hAnsi="仿宋" w:eastAsia="仿宋"/>
          <w:color w:val="auto"/>
          <w:sz w:val="32"/>
          <w:szCs w:val="32"/>
          <w:highlight w:val="none"/>
          <w:lang w:eastAsia="zh-CN"/>
        </w:rPr>
      </w:pPr>
    </w:p>
    <w:p>
      <w:pPr>
        <w:pStyle w:val="2"/>
        <w:rPr>
          <w:rFonts w:hint="eastAsia" w:ascii="仿宋" w:hAnsi="仿宋" w:eastAsia="仿宋"/>
          <w:color w:val="auto"/>
          <w:sz w:val="32"/>
          <w:szCs w:val="32"/>
          <w:highlight w:val="none"/>
          <w:lang w:eastAsia="zh-CN"/>
        </w:rPr>
      </w:pPr>
      <w:r>
        <w:rPr>
          <w:rFonts w:hint="eastAsia" w:eastAsia="仿宋"/>
          <w:lang w:eastAsia="zh-CN"/>
        </w:rPr>
        <w:object>
          <v:shape id="_x0000_i1027" o:spt="75" type="#_x0000_t75" style="height:296.5pt;width:381.7pt;" o:ole="t" filled="f" o:preferrelative="t" stroked="f" coordsize="21600,21600">
            <v:path/>
            <v:fill on="f" focussize="0,0"/>
            <v:stroke on="f"/>
            <v:imagedata r:id="rId13" o:title=""/>
            <o:lock v:ext="edit" aspectratio="t"/>
            <w10:wrap type="none"/>
            <w10:anchorlock/>
          </v:shape>
          <o:OLEObject Type="Embed" ProgID="Excel.Chart.8" ShapeID="_x0000_i1027" DrawAspect="Content" ObjectID="_1468075727" r:id="rId12">
            <o:LockedField>false</o:LockedField>
          </o:OLEObject>
        </w:object>
      </w:r>
    </w:p>
    <w:p>
      <w:pPr>
        <w:spacing w:line="600" w:lineRule="exact"/>
        <w:ind w:firstLine="643" w:firstLineChars="200"/>
        <w:outlineLvl w:val="9"/>
        <w:rPr>
          <w:rFonts w:hint="eastAsia" w:ascii="仿宋" w:hAnsi="仿宋" w:eastAsia="仿宋"/>
          <w:b/>
          <w:color w:val="auto"/>
          <w:sz w:val="32"/>
          <w:szCs w:val="32"/>
          <w:highlight w:val="none"/>
        </w:rPr>
      </w:pPr>
      <w:bookmarkStart w:id="43" w:name="_Toc15377211"/>
    </w:p>
    <w:p>
      <w:pPr>
        <w:spacing w:line="600" w:lineRule="exact"/>
        <w:ind w:firstLine="643" w:firstLineChars="200"/>
        <w:outlineLvl w:val="9"/>
        <w:rPr>
          <w:rFonts w:hint="eastAsia" w:ascii="仿宋" w:hAnsi="仿宋" w:eastAsia="仿宋"/>
          <w:b/>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（二）一般公共预算财政拨款支出决算结构情况</w:t>
      </w:r>
      <w:bookmarkEnd w:id="43"/>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180.21</w:t>
      </w:r>
      <w:r>
        <w:rPr>
          <w:rFonts w:hint="eastAsia" w:ascii="仿宋" w:hAnsi="仿宋" w:eastAsia="仿宋"/>
          <w:color w:val="auto"/>
          <w:sz w:val="32"/>
          <w:szCs w:val="32"/>
          <w:highlight w:val="none"/>
        </w:rPr>
        <w:t>万元，主要用于以下方面:</w:t>
      </w:r>
      <w:r>
        <w:rPr>
          <w:rFonts w:hint="eastAsia" w:ascii="仿宋" w:hAnsi="仿宋" w:eastAsia="仿宋"/>
          <w:b/>
          <w:color w:val="auto"/>
          <w:sz w:val="32"/>
          <w:szCs w:val="32"/>
          <w:highlight w:val="none"/>
        </w:rPr>
        <w:t>一般公共服务（类）</w:t>
      </w:r>
      <w:r>
        <w:rPr>
          <w:rFonts w:hint="eastAsia" w:ascii="仿宋" w:hAnsi="仿宋" w:eastAsia="仿宋"/>
          <w:color w:val="auto"/>
          <w:sz w:val="32"/>
          <w:szCs w:val="32"/>
          <w:highlight w:val="none"/>
        </w:rPr>
        <w:t>支出171.75万元，占</w:t>
      </w:r>
      <w:r>
        <w:rPr>
          <w:rFonts w:hint="eastAsia" w:ascii="仿宋" w:hAnsi="仿宋" w:eastAsia="仿宋"/>
          <w:color w:val="auto"/>
          <w:sz w:val="32"/>
          <w:szCs w:val="32"/>
          <w:highlight w:val="none"/>
          <w:lang w:val="en-US" w:eastAsia="zh-CN"/>
        </w:rPr>
        <w:t>95</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支出3.72万元，占</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卫生健康（类）</w:t>
      </w:r>
      <w:r>
        <w:rPr>
          <w:rFonts w:hint="eastAsia" w:ascii="仿宋" w:hAnsi="仿宋" w:eastAsia="仿宋"/>
          <w:color w:val="auto"/>
          <w:sz w:val="32"/>
          <w:szCs w:val="32"/>
          <w:highlight w:val="none"/>
        </w:rPr>
        <w:t>支出1.96万元，占</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住房保障（类）</w:t>
      </w:r>
      <w:r>
        <w:rPr>
          <w:rFonts w:hint="eastAsia" w:ascii="仿宋" w:hAnsi="仿宋" w:eastAsia="仿宋"/>
          <w:color w:val="auto"/>
          <w:sz w:val="32"/>
          <w:szCs w:val="32"/>
          <w:highlight w:val="none"/>
        </w:rPr>
        <w:t>支出2.79万元，占</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w:t>
      </w:r>
    </w:p>
    <w:p>
      <w:pPr>
        <w:pStyle w:val="2"/>
        <w:rPr>
          <w:rFonts w:hint="eastAsia" w:eastAsia="仿宋_GB2312"/>
          <w:lang w:eastAsia="zh-CN"/>
        </w:rPr>
      </w:pPr>
      <w:r>
        <w:rPr>
          <w:rFonts w:hint="eastAsia" w:eastAsia="仿宋_GB2312"/>
          <w:lang w:eastAsia="zh-CN"/>
        </w:rPr>
        <w:drawing>
          <wp:inline distT="0" distB="0" distL="114300" distR="114300">
            <wp:extent cx="5064125" cy="3272155"/>
            <wp:effectExtent l="4445" t="4445" r="6350" b="1524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rPr>
          <w:rFonts w:ascii="仿宋" w:hAnsi="仿宋" w:eastAsia="仿宋"/>
          <w:color w:val="auto"/>
          <w:sz w:val="32"/>
          <w:szCs w:val="32"/>
          <w:highlight w:val="none"/>
        </w:rPr>
      </w:pP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44" w:name="_Toc15377212"/>
      <w:r>
        <w:rPr>
          <w:rFonts w:hint="eastAsia" w:ascii="仿宋" w:hAnsi="仿宋" w:eastAsia="仿宋"/>
          <w:b/>
          <w:color w:val="auto"/>
          <w:sz w:val="32"/>
          <w:szCs w:val="32"/>
          <w:highlight w:val="none"/>
        </w:rPr>
        <w:t>（三）一般公共预算财政拨款支出决算具体情况</w:t>
      </w:r>
      <w:bookmarkEnd w:id="44"/>
    </w:p>
    <w:p>
      <w:pPr>
        <w:spacing w:line="600" w:lineRule="exact"/>
        <w:ind w:firstLine="643" w:firstLineChars="200"/>
        <w:outlineLvl w:val="1"/>
        <w:rPr>
          <w:rFonts w:ascii="仿宋" w:hAnsi="仿宋" w:eastAsia="仿宋"/>
          <w:color w:val="auto"/>
          <w:sz w:val="32"/>
          <w:szCs w:val="32"/>
          <w:highlight w:val="none"/>
        </w:rPr>
      </w:pPr>
      <w:bookmarkStart w:id="45" w:name="_Toc7813"/>
      <w:bookmarkStart w:id="46" w:name="_Toc15377213"/>
      <w:bookmarkStart w:id="47" w:name="_Toc15378460"/>
      <w:bookmarkStart w:id="48"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180.21万元</w:t>
      </w:r>
      <w:r>
        <w:rPr>
          <w:rFonts w:hint="eastAsia" w:ascii="仿宋" w:hAnsi="仿宋" w:eastAsia="仿宋"/>
          <w:color w:val="auto"/>
          <w:sz w:val="32"/>
          <w:szCs w:val="32"/>
          <w:highlight w:val="none"/>
        </w:rPr>
        <w:t>，</w:t>
      </w:r>
      <w:r>
        <w:rPr>
          <w:rStyle w:val="18"/>
          <w:rFonts w:hint="eastAsia" w:ascii="仿宋" w:hAnsi="仿宋" w:eastAsia="仿宋"/>
          <w:bCs/>
          <w:color w:val="auto"/>
          <w:sz w:val="32"/>
          <w:szCs w:val="32"/>
          <w:highlight w:val="none"/>
        </w:rPr>
        <w:t>完成预算</w:t>
      </w:r>
      <w:r>
        <w:rPr>
          <w:rStyle w:val="18"/>
          <w:rFonts w:hint="eastAsia" w:ascii="仿宋" w:hAnsi="仿宋" w:eastAsia="仿宋"/>
          <w:bCs/>
          <w:color w:val="auto"/>
          <w:sz w:val="32"/>
          <w:szCs w:val="32"/>
          <w:highlight w:val="none"/>
          <w:lang w:val="en-US" w:eastAsia="zh-CN"/>
        </w:rPr>
        <w:t>100</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。其中：</w:t>
      </w:r>
      <w:bookmarkEnd w:id="45"/>
      <w:bookmarkEnd w:id="46"/>
      <w:bookmarkEnd w:id="47"/>
      <w:bookmarkEnd w:id="48"/>
    </w:p>
    <w:p>
      <w:pPr>
        <w:spacing w:line="600" w:lineRule="exact"/>
        <w:ind w:firstLine="643" w:firstLineChars="200"/>
        <w:rPr>
          <w:rFonts w:ascii="仿宋" w:hAnsi="仿宋" w:eastAsia="仿宋"/>
          <w:b/>
          <w:color w:val="auto"/>
          <w:sz w:val="32"/>
          <w:szCs w:val="32"/>
          <w:highlight w:val="none"/>
        </w:rPr>
      </w:pPr>
      <w:r>
        <w:rPr>
          <w:rStyle w:val="18"/>
          <w:rFonts w:ascii="仿宋" w:hAnsi="仿宋" w:eastAsia="仿宋"/>
          <w:bCs/>
          <w:color w:val="auto"/>
          <w:sz w:val="32"/>
          <w:szCs w:val="32"/>
          <w:highlight w:val="none"/>
        </w:rPr>
        <w:t>1.</w:t>
      </w:r>
      <w:r>
        <w:rPr>
          <w:rStyle w:val="18"/>
          <w:rFonts w:hint="eastAsia" w:ascii="仿宋" w:hAnsi="仿宋" w:eastAsia="仿宋"/>
          <w:bCs/>
          <w:color w:val="auto"/>
          <w:sz w:val="32"/>
          <w:szCs w:val="32"/>
          <w:highlight w:val="none"/>
        </w:rPr>
        <w:t>一般公共服务（类）政府办公厅（室）及相关机构事务（款）行政运行（项）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支出决算为171.75万元，完成预算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Style w:val="18"/>
          <w:rFonts w:hint="eastAsia" w:ascii="仿宋" w:hAnsi="仿宋" w:eastAsia="仿宋"/>
          <w:b w:val="0"/>
          <w:bCs/>
          <w:color w:val="000000"/>
          <w:sz w:val="32"/>
          <w:szCs w:val="32"/>
        </w:rPr>
        <w:t>决算数等于预算数</w:t>
      </w:r>
      <w:r>
        <w:rPr>
          <w:rStyle w:val="18"/>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2</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社会保障和就业（类）行政事业单位养老支出（款）机关事业单位基本养老保险缴费支出（项）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支出决算为3.72万元，完成预算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Style w:val="18"/>
          <w:rFonts w:hint="eastAsia" w:ascii="仿宋" w:hAnsi="仿宋" w:eastAsia="仿宋"/>
          <w:b w:val="0"/>
          <w:bCs/>
          <w:color w:val="000000"/>
          <w:sz w:val="32"/>
          <w:szCs w:val="32"/>
        </w:rPr>
        <w:t>决算数等于预算数</w:t>
      </w:r>
      <w:r>
        <w:rPr>
          <w:rStyle w:val="18"/>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3</w:t>
      </w:r>
      <w:r>
        <w:rPr>
          <w:rStyle w:val="18"/>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8"/>
          <w:rFonts w:hint="eastAsia" w:ascii="仿宋" w:hAnsi="仿宋" w:eastAsia="仿宋"/>
          <w:bCs/>
          <w:color w:val="auto"/>
          <w:sz w:val="32"/>
          <w:szCs w:val="32"/>
          <w:highlight w:val="none"/>
        </w:rPr>
        <w:t>（类）行政事业单位医疗（款）事业单位医疗（项）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支出决算为1.96万元，完成预算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Style w:val="18"/>
          <w:rFonts w:hint="eastAsia" w:ascii="仿宋" w:hAnsi="仿宋" w:eastAsia="仿宋"/>
          <w:b w:val="0"/>
          <w:bCs/>
          <w:color w:val="000000"/>
          <w:sz w:val="32"/>
          <w:szCs w:val="32"/>
        </w:rPr>
        <w:t>决算数等于预算数</w:t>
      </w:r>
      <w:r>
        <w:rPr>
          <w:rStyle w:val="18"/>
          <w:rFonts w:hint="eastAsia" w:ascii="仿宋" w:hAnsi="仿宋" w:eastAsia="仿宋"/>
          <w:b w:val="0"/>
          <w:bCs/>
          <w:color w:val="auto"/>
          <w:sz w:val="32"/>
          <w:szCs w:val="32"/>
          <w:highlight w:val="none"/>
        </w:rPr>
        <w:t>。</w:t>
      </w:r>
    </w:p>
    <w:p>
      <w:pPr>
        <w:spacing w:line="60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bCs/>
          <w:color w:val="000000"/>
          <w:sz w:val="32"/>
          <w:szCs w:val="32"/>
          <w:lang w:val="en-US" w:eastAsia="zh-CN"/>
        </w:rPr>
        <w:t>4</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住房保障支出（类）住房改革支出（款）住房公积金（项）</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2.79</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，决算数等于预算数</w:t>
      </w:r>
      <w:r>
        <w:rPr>
          <w:rStyle w:val="18"/>
          <w:rFonts w:hint="eastAsia" w:ascii="仿宋" w:hAnsi="仿宋" w:eastAsia="仿宋"/>
          <w:b w:val="0"/>
          <w:bCs/>
          <w:color w:val="auto"/>
          <w:sz w:val="32"/>
          <w:szCs w:val="32"/>
          <w:highlight w:val="none"/>
        </w:rPr>
        <w:t>。</w:t>
      </w:r>
    </w:p>
    <w:p>
      <w:pPr>
        <w:spacing w:line="600" w:lineRule="exact"/>
        <w:ind w:firstLine="640"/>
        <w:rPr>
          <w:rFonts w:ascii="仿宋" w:hAnsi="仿宋" w:eastAsia="仿宋"/>
          <w:b/>
          <w:color w:val="auto"/>
          <w:sz w:val="32"/>
          <w:szCs w:val="32"/>
          <w:highlight w:val="none"/>
        </w:rPr>
      </w:pPr>
    </w:p>
    <w:p>
      <w:pPr>
        <w:tabs>
          <w:tab w:val="right" w:pos="8306"/>
        </w:tabs>
        <w:spacing w:line="600" w:lineRule="exact"/>
        <w:ind w:firstLine="640"/>
        <w:outlineLvl w:val="1"/>
        <w:rPr>
          <w:rStyle w:val="29"/>
          <w:color w:val="auto"/>
          <w:highlight w:val="none"/>
        </w:rPr>
      </w:pPr>
      <w:bookmarkStart w:id="49" w:name="_Toc15396608"/>
      <w:bookmarkStart w:id="50" w:name="_Toc15377214"/>
      <w:bookmarkStart w:id="51" w:name="_Toc20819"/>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9"/>
          <w:rFonts w:hint="eastAsia" w:ascii="黑体" w:hAnsi="黑体" w:eastAsia="黑体"/>
          <w:b w:val="0"/>
          <w:color w:val="auto"/>
          <w:highlight w:val="none"/>
        </w:rPr>
        <w:t>般公共预算财政拨款基本支出决算情况说明</w:t>
      </w:r>
      <w:bookmarkEnd w:id="49"/>
      <w:bookmarkEnd w:id="50"/>
      <w:bookmarkEnd w:id="51"/>
      <w:r>
        <w:rPr>
          <w:rStyle w:val="29"/>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180.21</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39.71</w:t>
      </w:r>
      <w:r>
        <w:rPr>
          <w:rFonts w:hint="eastAsia" w:ascii="仿宋" w:hAnsi="仿宋" w:eastAsia="仿宋"/>
          <w:color w:val="auto"/>
          <w:sz w:val="32"/>
          <w:szCs w:val="32"/>
          <w:highlight w:val="none"/>
        </w:rPr>
        <w:t>万元，主要包括：</w:t>
      </w:r>
      <w:r>
        <w:rPr>
          <w:rFonts w:hint="eastAsia" w:ascii="仿宋" w:hAnsi="仿宋" w:eastAsia="仿宋"/>
          <w:color w:val="000000"/>
          <w:sz w:val="32"/>
          <w:szCs w:val="32"/>
        </w:rPr>
        <w:t>基本工资、津贴补贴、奖金、机关事业单位基本养老保险缴费、其他社会保障缴费、其他工资福利支出、退休费、生活补助、奖励金、住房公积金等</w:t>
      </w:r>
      <w:r>
        <w:rPr>
          <w:rFonts w:hint="eastAsia" w:ascii="仿宋" w:hAnsi="仿宋" w:eastAsia="仿宋"/>
          <w:color w:val="auto"/>
          <w:sz w:val="32"/>
          <w:szCs w:val="32"/>
          <w:highlight w:val="none"/>
        </w:rPr>
        <w:t>。</w:t>
      </w:r>
    </w:p>
    <w:p>
      <w:pPr>
        <w:spacing w:line="600" w:lineRule="exact"/>
        <w:ind w:firstLine="320" w:firstLineChars="100"/>
        <w:rPr>
          <w:rFonts w:hint="eastAsia" w:ascii="仿宋" w:hAnsi="仿宋" w:eastAsia="仿宋"/>
          <w:color w:val="000000"/>
          <w:sz w:val="32"/>
          <w:szCs w:val="32"/>
          <w:lang w:val="en-US" w:eastAsia="zh-CN"/>
        </w:rPr>
      </w:pP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140.5</w:t>
      </w:r>
      <w:r>
        <w:rPr>
          <w:rFonts w:hint="eastAsia" w:ascii="仿宋" w:hAnsi="仿宋" w:eastAsia="仿宋"/>
          <w:color w:val="auto"/>
          <w:sz w:val="32"/>
          <w:szCs w:val="32"/>
          <w:highlight w:val="none"/>
        </w:rPr>
        <w:t>万元，主要包括：</w:t>
      </w:r>
      <w:r>
        <w:rPr>
          <w:rFonts w:hint="eastAsia" w:ascii="仿宋" w:hAnsi="仿宋" w:eastAsia="仿宋"/>
          <w:color w:val="000000"/>
          <w:sz w:val="32"/>
          <w:szCs w:val="32"/>
        </w:rPr>
        <w:t>办公费、印刷费、</w:t>
      </w:r>
      <w:r>
        <w:rPr>
          <w:rFonts w:hint="eastAsia" w:ascii="仿宋" w:hAnsi="仿宋" w:eastAsia="仿宋"/>
          <w:color w:val="000000"/>
          <w:sz w:val="32"/>
          <w:szCs w:val="32"/>
          <w:lang w:val="en-US" w:eastAsia="zh-CN"/>
        </w:rPr>
        <w:t>手</w:t>
      </w:r>
      <w:bookmarkStart w:id="105" w:name="_GoBack"/>
      <w:bookmarkEnd w:id="105"/>
      <w:r>
        <w:rPr>
          <w:rFonts w:hint="eastAsia" w:ascii="仿宋" w:hAnsi="仿宋" w:eastAsia="仿宋"/>
          <w:color w:val="000000"/>
          <w:sz w:val="32"/>
          <w:szCs w:val="32"/>
          <w:lang w:val="en-US" w:eastAsia="zh-CN"/>
        </w:rPr>
        <w:t>续费、</w:t>
      </w:r>
      <w:r>
        <w:rPr>
          <w:rFonts w:hint="eastAsia" w:ascii="仿宋" w:hAnsi="仿宋" w:eastAsia="仿宋"/>
          <w:color w:val="000000"/>
          <w:sz w:val="32"/>
          <w:szCs w:val="32"/>
        </w:rPr>
        <w:t>水费</w:t>
      </w:r>
      <w:r>
        <w:rPr>
          <w:rFonts w:hint="eastAsia" w:ascii="仿宋" w:hAnsi="仿宋" w:eastAsia="仿宋"/>
          <w:color w:val="000000"/>
          <w:sz w:val="32"/>
          <w:szCs w:val="32"/>
          <w:lang w:eastAsia="zh-CN"/>
        </w:rPr>
        <w:t>、</w:t>
      </w:r>
      <w:r>
        <w:rPr>
          <w:rFonts w:hint="eastAsia" w:ascii="仿宋" w:hAnsi="仿宋" w:eastAsia="仿宋"/>
          <w:color w:val="000000"/>
          <w:sz w:val="32"/>
          <w:szCs w:val="32"/>
        </w:rPr>
        <w:t>物业管理费</w:t>
      </w:r>
      <w:r>
        <w:rPr>
          <w:rFonts w:hint="eastAsia" w:ascii="仿宋" w:hAnsi="仿宋" w:eastAsia="仿宋"/>
          <w:color w:val="000000"/>
          <w:sz w:val="32"/>
          <w:szCs w:val="32"/>
          <w:lang w:eastAsia="zh-CN"/>
        </w:rPr>
        <w:t>、</w:t>
      </w:r>
      <w:r>
        <w:rPr>
          <w:rFonts w:hint="eastAsia" w:ascii="仿宋" w:hAnsi="仿宋" w:eastAsia="仿宋"/>
          <w:color w:val="000000"/>
          <w:sz w:val="32"/>
          <w:szCs w:val="32"/>
        </w:rPr>
        <w:t>差旅费、维修（护）费、公务接待费、劳务费、工会经费、公务用车运行维护费、其他商品和服务支出</w:t>
      </w:r>
      <w:r>
        <w:rPr>
          <w:rFonts w:hint="eastAsia" w:ascii="仿宋" w:hAnsi="仿宋" w:eastAsia="仿宋"/>
          <w:color w:val="000000"/>
          <w:sz w:val="32"/>
          <w:szCs w:val="32"/>
          <w:lang w:val="en-US" w:eastAsia="zh-CN"/>
        </w:rPr>
        <w:t>等。</w:t>
      </w:r>
    </w:p>
    <w:p>
      <w:pPr>
        <w:spacing w:line="600" w:lineRule="exact"/>
        <w:rPr>
          <w:rFonts w:ascii="仿宋" w:hAnsi="仿宋" w:eastAsia="仿宋"/>
          <w:b/>
          <w:color w:val="auto"/>
          <w:sz w:val="32"/>
          <w:szCs w:val="32"/>
          <w:highlight w:val="none"/>
        </w:rPr>
      </w:pPr>
    </w:p>
    <w:p>
      <w:pPr>
        <w:spacing w:line="600" w:lineRule="exact"/>
        <w:ind w:firstLine="640"/>
        <w:outlineLvl w:val="1"/>
        <w:rPr>
          <w:rStyle w:val="29"/>
          <w:rFonts w:ascii="黑体" w:hAnsi="黑体" w:eastAsia="黑体"/>
          <w:b w:val="0"/>
          <w:color w:val="auto"/>
          <w:highlight w:val="none"/>
        </w:rPr>
      </w:pPr>
      <w:bookmarkStart w:id="52" w:name="_Toc15377215"/>
      <w:bookmarkStart w:id="53" w:name="_Toc15396609"/>
      <w:bookmarkStart w:id="54" w:name="_Toc1911"/>
      <w:r>
        <w:rPr>
          <w:rFonts w:hint="eastAsia" w:ascii="黑体" w:eastAsia="黑体"/>
          <w:color w:val="auto"/>
          <w:sz w:val="32"/>
          <w:szCs w:val="32"/>
          <w:highlight w:val="none"/>
        </w:rPr>
        <w:t>七、</w:t>
      </w:r>
      <w:r>
        <w:rPr>
          <w:rStyle w:val="29"/>
          <w:rFonts w:hint="eastAsia" w:ascii="黑体" w:hAnsi="黑体" w:eastAsia="黑体"/>
          <w:color w:val="auto"/>
          <w:highlight w:val="none"/>
        </w:rPr>
        <w:t>“</w:t>
      </w:r>
      <w:r>
        <w:rPr>
          <w:rStyle w:val="29"/>
          <w:rFonts w:hint="eastAsia" w:ascii="黑体" w:hAnsi="黑体" w:eastAsia="黑体"/>
          <w:b w:val="0"/>
          <w:color w:val="auto"/>
          <w:highlight w:val="none"/>
        </w:rPr>
        <w:t>三公”经费财政拨款支出决算情况说明</w:t>
      </w:r>
      <w:bookmarkEnd w:id="52"/>
      <w:bookmarkEnd w:id="53"/>
      <w:bookmarkEnd w:id="54"/>
    </w:p>
    <w:p>
      <w:pPr>
        <w:spacing w:line="600" w:lineRule="exact"/>
        <w:ind w:firstLine="640"/>
        <w:outlineLvl w:val="2"/>
        <w:rPr>
          <w:rFonts w:ascii="仿宋" w:hAnsi="仿宋" w:eastAsia="仿宋"/>
          <w:b/>
          <w:color w:val="auto"/>
          <w:sz w:val="32"/>
          <w:szCs w:val="32"/>
          <w:highlight w:val="none"/>
        </w:rPr>
      </w:pPr>
      <w:bookmarkStart w:id="55" w:name="_Toc15377216"/>
      <w:r>
        <w:rPr>
          <w:rFonts w:hint="eastAsia" w:ascii="仿宋" w:hAnsi="仿宋" w:eastAsia="仿宋"/>
          <w:b/>
          <w:color w:val="auto"/>
          <w:sz w:val="32"/>
          <w:szCs w:val="32"/>
          <w:highlight w:val="none"/>
        </w:rPr>
        <w:t>（一）“三公”经费财政拨款支出决算总体情况说明</w:t>
      </w:r>
      <w:bookmarkEnd w:id="55"/>
    </w:p>
    <w:p>
      <w:pPr>
        <w:spacing w:line="600" w:lineRule="exact"/>
        <w:ind w:firstLine="640"/>
        <w:rPr>
          <w:rFonts w:hint="eastAsia" w:ascii="仿宋" w:hAnsi="仿宋" w:eastAsia="仿宋"/>
          <w:b w:val="0"/>
          <w:bCs w:val="0"/>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w:t>
      </w:r>
      <w:r>
        <w:rPr>
          <w:rFonts w:hint="eastAsia" w:ascii="仿宋" w:hAnsi="仿宋" w:eastAsia="仿宋"/>
          <w:b w:val="0"/>
          <w:bCs w:val="0"/>
          <w:color w:val="auto"/>
          <w:sz w:val="32"/>
          <w:szCs w:val="32"/>
          <w:highlight w:val="none"/>
        </w:rPr>
        <w:t>”经费财政拨款支出决算为</w:t>
      </w:r>
      <w:r>
        <w:rPr>
          <w:rFonts w:hint="eastAsia" w:ascii="仿宋" w:hAnsi="仿宋" w:eastAsia="仿宋"/>
          <w:b w:val="0"/>
          <w:bCs w:val="0"/>
          <w:color w:val="auto"/>
          <w:sz w:val="32"/>
          <w:szCs w:val="32"/>
          <w:highlight w:val="none"/>
          <w:lang w:val="en-US" w:eastAsia="zh-CN"/>
        </w:rPr>
        <w:t>44.78</w:t>
      </w:r>
      <w:r>
        <w:rPr>
          <w:rFonts w:hint="eastAsia" w:ascii="仿宋" w:hAnsi="仿宋" w:eastAsia="仿宋"/>
          <w:b w:val="0"/>
          <w:bCs w:val="0"/>
          <w:color w:val="auto"/>
          <w:sz w:val="32"/>
          <w:szCs w:val="32"/>
          <w:highlight w:val="none"/>
        </w:rPr>
        <w:t>万元，完成预算</w:t>
      </w:r>
      <w:r>
        <w:rPr>
          <w:rFonts w:hint="eastAsia" w:ascii="仿宋" w:hAnsi="仿宋" w:eastAsia="仿宋"/>
          <w:b w:val="0"/>
          <w:bCs w:val="0"/>
          <w:color w:val="auto"/>
          <w:sz w:val="32"/>
          <w:szCs w:val="32"/>
          <w:highlight w:val="none"/>
          <w:lang w:val="en-US" w:eastAsia="zh-CN"/>
        </w:rPr>
        <w:t>71</w:t>
      </w:r>
      <w:r>
        <w:rPr>
          <w:rFonts w:hint="eastAsia" w:ascii="仿宋" w:hAnsi="仿宋" w:eastAsia="仿宋"/>
          <w:b w:val="0"/>
          <w:bCs w:val="0"/>
          <w:color w:val="auto"/>
          <w:sz w:val="32"/>
          <w:szCs w:val="32"/>
          <w:highlight w:val="none"/>
        </w:rPr>
        <w:t>%，决算数</w:t>
      </w:r>
      <w:r>
        <w:rPr>
          <w:rFonts w:hint="eastAsia" w:ascii="仿宋" w:hAnsi="仿宋" w:eastAsia="仿宋"/>
          <w:b w:val="0"/>
          <w:bCs w:val="0"/>
          <w:color w:val="auto"/>
          <w:sz w:val="32"/>
          <w:szCs w:val="32"/>
          <w:highlight w:val="none"/>
          <w:lang w:val="en-US" w:eastAsia="zh-CN"/>
        </w:rPr>
        <w:t>比</w:t>
      </w:r>
      <w:r>
        <w:rPr>
          <w:rFonts w:hint="eastAsia" w:ascii="仿宋" w:hAnsi="仿宋" w:eastAsia="仿宋"/>
          <w:b w:val="0"/>
          <w:bCs w:val="0"/>
          <w:color w:val="auto"/>
          <w:sz w:val="32"/>
          <w:szCs w:val="32"/>
          <w:highlight w:val="none"/>
        </w:rPr>
        <w:t>预算数</w:t>
      </w:r>
      <w:r>
        <w:rPr>
          <w:rFonts w:hint="eastAsia" w:ascii="仿宋" w:hAnsi="仿宋" w:eastAsia="仿宋"/>
          <w:b w:val="0"/>
          <w:bCs w:val="0"/>
          <w:color w:val="auto"/>
          <w:sz w:val="32"/>
          <w:szCs w:val="32"/>
          <w:highlight w:val="none"/>
          <w:lang w:val="en-US" w:eastAsia="zh-CN"/>
        </w:rPr>
        <w:t>减少18.12万元</w:t>
      </w:r>
      <w:r>
        <w:rPr>
          <w:rFonts w:hint="eastAsia" w:ascii="仿宋" w:hAnsi="仿宋" w:eastAsia="仿宋"/>
          <w:b w:val="0"/>
          <w:bCs w:val="0"/>
          <w:color w:val="auto"/>
          <w:sz w:val="32"/>
          <w:szCs w:val="32"/>
          <w:highlight w:val="none"/>
        </w:rPr>
        <w:t>。主要原因是2021年脱贫检查工作等大型接待减少。</w:t>
      </w:r>
    </w:p>
    <w:p>
      <w:pPr>
        <w:spacing w:line="600" w:lineRule="exact"/>
        <w:ind w:firstLine="640"/>
        <w:outlineLvl w:val="2"/>
        <w:rPr>
          <w:rFonts w:ascii="仿宋" w:hAnsi="仿宋" w:eastAsia="仿宋"/>
          <w:b/>
          <w:color w:val="auto"/>
          <w:sz w:val="32"/>
          <w:szCs w:val="32"/>
          <w:highlight w:val="none"/>
        </w:rPr>
      </w:pPr>
      <w:bookmarkStart w:id="56" w:name="_Toc15377217"/>
      <w:r>
        <w:rPr>
          <w:rFonts w:hint="eastAsia" w:ascii="仿宋" w:hAnsi="仿宋" w:eastAsia="仿宋"/>
          <w:b/>
          <w:color w:val="auto"/>
          <w:sz w:val="32"/>
          <w:szCs w:val="32"/>
          <w:highlight w:val="none"/>
        </w:rPr>
        <w:t>（二）“三公”经费财政拨款支出决算具体情况说明</w:t>
      </w:r>
      <w:bookmarkEnd w:id="56"/>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w:t>
      </w:r>
      <w:r>
        <w:rPr>
          <w:rFonts w:hint="eastAsia" w:ascii="仿宋" w:hAnsi="仿宋" w:eastAsia="仿宋"/>
          <w:color w:val="auto"/>
          <w:sz w:val="32"/>
          <w:szCs w:val="32"/>
          <w:highlight w:val="none"/>
          <w:lang w:val="en-US" w:eastAsia="zh-CN"/>
        </w:rPr>
        <w:t>算0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；公务用车购置及运行维护费支出决算10.87万元，占</w:t>
      </w:r>
      <w:r>
        <w:rPr>
          <w:rFonts w:hint="eastAsia" w:ascii="仿宋" w:hAnsi="仿宋" w:eastAsia="仿宋"/>
          <w:color w:val="auto"/>
          <w:sz w:val="32"/>
          <w:szCs w:val="32"/>
          <w:highlight w:val="none"/>
          <w:lang w:val="en-US" w:eastAsia="zh-CN"/>
        </w:rPr>
        <w:t>24.27</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；公务接待费支出决算33.91万元，占</w:t>
      </w:r>
      <w:r>
        <w:rPr>
          <w:rFonts w:hint="eastAsia" w:ascii="仿宋" w:hAnsi="仿宋" w:eastAsia="仿宋"/>
          <w:color w:val="auto"/>
          <w:sz w:val="32"/>
          <w:szCs w:val="32"/>
          <w:highlight w:val="none"/>
          <w:lang w:val="en-US" w:eastAsia="zh-CN"/>
        </w:rPr>
        <w:t>75.73</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2"/>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080000" cy="3810000"/>
            <wp:effectExtent l="4445" t="4445" r="5715" b="1079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2"/>
        <w:rPr>
          <w:rFonts w:hint="eastAsia" w:ascii="仿宋" w:hAnsi="仿宋" w:eastAsia="仿宋"/>
          <w:color w:val="auto"/>
          <w:sz w:val="32"/>
          <w:szCs w:val="32"/>
          <w:highlight w:val="none"/>
        </w:rPr>
      </w:pPr>
    </w:p>
    <w:p>
      <w:pPr>
        <w:spacing w:line="600" w:lineRule="exact"/>
        <w:ind w:firstLine="645"/>
      </w:pPr>
      <w:r>
        <w:rPr>
          <w:rFonts w:hint="eastAsia" w:ascii="仿宋" w:hAnsi="仿宋" w:eastAsia="仿宋"/>
          <w:b/>
          <w:color w:val="auto"/>
          <w:sz w:val="32"/>
          <w:szCs w:val="32"/>
          <w:highlight w:val="none"/>
        </w:rPr>
        <w:t>1.因公出国（境）经费</w:t>
      </w:r>
      <w:r>
        <w:rPr>
          <w:rFonts w:hint="eastAsia" w:ascii="仿宋_GB2312" w:eastAsia="仿宋_GB2312"/>
          <w:color w:val="auto"/>
          <w:sz w:val="32"/>
          <w:szCs w:val="32"/>
          <w:highlight w:val="none"/>
        </w:rPr>
        <w:t>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lang w:val="en-US" w:eastAsia="zh-CN"/>
        </w:rPr>
        <w:t>年初未安排预算</w:t>
      </w:r>
      <w:r>
        <w:rPr>
          <w:rStyle w:val="18"/>
          <w:rFonts w:hint="eastAsia" w:ascii="仿宋" w:hAnsi="仿宋" w:eastAsia="仿宋"/>
          <w:b w:val="0"/>
          <w:bCs/>
          <w:color w:val="auto"/>
          <w:sz w:val="32"/>
          <w:szCs w:val="32"/>
          <w:highlight w:val="none"/>
        </w:rPr>
        <w:t>。</w:t>
      </w:r>
      <w:r>
        <w:rPr>
          <w:rStyle w:val="18"/>
          <w:rFonts w:hint="eastAsia" w:ascii="仿宋" w:hAnsi="仿宋" w:eastAsia="仿宋"/>
          <w:b w:val="0"/>
          <w:bCs/>
          <w:color w:val="000000"/>
          <w:sz w:val="32"/>
          <w:szCs w:val="32"/>
          <w:lang w:val="en-US" w:eastAsia="zh-CN"/>
        </w:rPr>
        <w:t>与上年持平。</w:t>
      </w:r>
    </w:p>
    <w:p>
      <w:pPr>
        <w:spacing w:line="600" w:lineRule="exact"/>
        <w:ind w:firstLine="643" w:firstLineChars="200"/>
        <w:rPr>
          <w:rFonts w:hint="eastAsia" w:ascii="仿宋" w:hAnsi="仿宋" w:eastAsia="仿宋" w:cs="Times New Roman"/>
          <w:color w:val="0000FF"/>
          <w:sz w:val="32"/>
          <w:szCs w:val="32"/>
          <w:highlight w:val="none"/>
        </w:rPr>
      </w:pPr>
      <w:r>
        <w:rPr>
          <w:rFonts w:hint="eastAsia" w:ascii="仿宋" w:hAnsi="仿宋" w:eastAsia="仿宋"/>
          <w:b/>
          <w:color w:val="auto"/>
          <w:sz w:val="32"/>
          <w:szCs w:val="32"/>
          <w:highlight w:val="none"/>
        </w:rPr>
        <w:t>2.公务用车购置及运行维护费</w:t>
      </w:r>
      <w:r>
        <w:rPr>
          <w:rFonts w:hint="eastAsia" w:ascii="仿宋_GB2312" w:eastAsia="仿宋_GB2312"/>
          <w:b w:val="0"/>
          <w:bCs/>
          <w:color w:val="auto"/>
          <w:sz w:val="32"/>
          <w:szCs w:val="32"/>
          <w:highlight w:val="none"/>
        </w:rPr>
        <w:t>支出10.87万元,完成预算</w:t>
      </w:r>
      <w:r>
        <w:rPr>
          <w:rFonts w:hint="eastAsia" w:ascii="仿宋_GB2312" w:eastAsia="仿宋_GB2312"/>
          <w:b w:val="0"/>
          <w:bCs/>
          <w:color w:val="auto"/>
          <w:sz w:val="32"/>
          <w:szCs w:val="32"/>
          <w:highlight w:val="none"/>
          <w:lang w:val="en-US" w:eastAsia="zh-CN"/>
        </w:rPr>
        <w:t>47.26</w:t>
      </w:r>
      <w:r>
        <w:rPr>
          <w:rFonts w:hint="eastAsia" w:ascii="仿宋_GB2312" w:eastAsia="仿宋_GB2312"/>
          <w:b w:val="0"/>
          <w:bCs/>
          <w:color w:val="auto"/>
          <w:sz w:val="32"/>
          <w:szCs w:val="32"/>
          <w:highlight w:val="none"/>
        </w:rPr>
        <w:t>%。公务用车购置及运行维护费支出决算比20</w:t>
      </w:r>
      <w:r>
        <w:rPr>
          <w:rFonts w:hint="eastAsia" w:ascii="仿宋_GB2312" w:eastAsia="仿宋_GB2312"/>
          <w:b w:val="0"/>
          <w:bCs/>
          <w:color w:val="auto"/>
          <w:sz w:val="32"/>
          <w:szCs w:val="32"/>
          <w:highlight w:val="none"/>
          <w:lang w:val="en-US" w:eastAsia="zh-CN"/>
        </w:rPr>
        <w:t>20</w:t>
      </w:r>
      <w:r>
        <w:rPr>
          <w:rFonts w:hint="eastAsia" w:ascii="仿宋_GB2312" w:eastAsia="仿宋_GB2312"/>
          <w:b w:val="0"/>
          <w:bCs/>
          <w:color w:val="auto"/>
          <w:sz w:val="32"/>
          <w:szCs w:val="32"/>
          <w:highlight w:val="none"/>
        </w:rPr>
        <w:t>年增加</w:t>
      </w:r>
      <w:r>
        <w:rPr>
          <w:rFonts w:hint="eastAsia" w:ascii="仿宋_GB2312" w:eastAsia="仿宋_GB2312"/>
          <w:b w:val="0"/>
          <w:bCs/>
          <w:color w:val="auto"/>
          <w:sz w:val="32"/>
          <w:szCs w:val="32"/>
          <w:highlight w:val="none"/>
          <w:lang w:val="en-US" w:eastAsia="zh-CN"/>
        </w:rPr>
        <w:t>2.61</w:t>
      </w:r>
      <w:r>
        <w:rPr>
          <w:rFonts w:hint="eastAsia" w:ascii="仿宋_GB2312" w:eastAsia="仿宋_GB2312"/>
          <w:b w:val="0"/>
          <w:bCs/>
          <w:color w:val="auto"/>
          <w:sz w:val="32"/>
          <w:szCs w:val="32"/>
          <w:highlight w:val="none"/>
        </w:rPr>
        <w:t>万元，增长</w:t>
      </w:r>
      <w:r>
        <w:rPr>
          <w:rFonts w:hint="eastAsia" w:ascii="仿宋_GB2312" w:eastAsia="仿宋_GB2312"/>
          <w:b w:val="0"/>
          <w:bCs/>
          <w:color w:val="auto"/>
          <w:sz w:val="32"/>
          <w:szCs w:val="32"/>
          <w:highlight w:val="none"/>
          <w:lang w:val="en-US" w:eastAsia="zh-CN"/>
        </w:rPr>
        <w:t>31.59</w:t>
      </w:r>
      <w:r>
        <w:rPr>
          <w:rFonts w:hint="eastAsia" w:ascii="仿宋_GB2312" w:eastAsia="仿宋_GB2312"/>
          <w:b w:val="0"/>
          <w:bCs/>
          <w:color w:val="auto"/>
          <w:sz w:val="32"/>
          <w:szCs w:val="32"/>
          <w:highlight w:val="none"/>
        </w:rPr>
        <w:t>%。主要原因是</w:t>
      </w:r>
      <w:r>
        <w:rPr>
          <w:rFonts w:hint="eastAsia" w:ascii="仿宋_GB2312" w:eastAsia="仿宋_GB2312"/>
          <w:b w:val="0"/>
          <w:bCs/>
          <w:color w:val="auto"/>
          <w:sz w:val="32"/>
          <w:szCs w:val="32"/>
          <w:highlight w:val="none"/>
          <w:lang w:val="en-US" w:eastAsia="zh-CN"/>
        </w:rPr>
        <w:t>实际用车需求增加</w:t>
      </w:r>
      <w:r>
        <w:rPr>
          <w:rFonts w:hint="eastAsia" w:ascii="仿宋_GB2312" w:eastAsia="仿宋_GB2312"/>
          <w:b w:val="0"/>
          <w:bCs/>
          <w:color w:val="auto"/>
          <w:sz w:val="32"/>
          <w:szCs w:val="32"/>
          <w:highlight w:val="none"/>
        </w:rPr>
        <w:t>。截至</w:t>
      </w:r>
      <w:r>
        <w:rPr>
          <w:rFonts w:ascii="仿宋_GB2312" w:eastAsia="仿宋_GB2312"/>
          <w:b w:val="0"/>
          <w:bCs/>
          <w:color w:val="auto"/>
          <w:sz w:val="32"/>
          <w:szCs w:val="32"/>
          <w:highlight w:val="none"/>
        </w:rPr>
        <w:t>20</w:t>
      </w:r>
      <w:r>
        <w:rPr>
          <w:rFonts w:hint="eastAsia" w:ascii="仿宋_GB2312" w:eastAsia="仿宋_GB2312"/>
          <w:b w:val="0"/>
          <w:bCs/>
          <w:color w:val="auto"/>
          <w:sz w:val="32"/>
          <w:szCs w:val="32"/>
          <w:highlight w:val="none"/>
          <w:lang w:val="en-US" w:eastAsia="zh-CN"/>
        </w:rPr>
        <w:t>21</w:t>
      </w:r>
      <w:r>
        <w:rPr>
          <w:rFonts w:hint="eastAsia" w:ascii="仿宋_GB2312" w:eastAsia="仿宋_GB2312"/>
          <w:b w:val="0"/>
          <w:bCs/>
          <w:color w:val="auto"/>
          <w:sz w:val="32"/>
          <w:szCs w:val="32"/>
          <w:highlight w:val="none"/>
        </w:rPr>
        <w:t>年</w:t>
      </w:r>
      <w:r>
        <w:rPr>
          <w:rFonts w:ascii="仿宋_GB2312" w:eastAsia="仿宋_GB2312"/>
          <w:b w:val="0"/>
          <w:bCs/>
          <w:color w:val="auto"/>
          <w:sz w:val="32"/>
          <w:szCs w:val="32"/>
          <w:highlight w:val="none"/>
        </w:rPr>
        <w:t>12</w:t>
      </w:r>
      <w:r>
        <w:rPr>
          <w:rFonts w:hint="eastAsia" w:ascii="仿宋_GB2312" w:eastAsia="仿宋_GB2312"/>
          <w:b w:val="0"/>
          <w:bCs/>
          <w:color w:val="auto"/>
          <w:sz w:val="32"/>
          <w:szCs w:val="32"/>
          <w:highlight w:val="none"/>
        </w:rPr>
        <w:t>月底，单位共有公务用车</w:t>
      </w:r>
      <w:r>
        <w:rPr>
          <w:rFonts w:hint="eastAsia" w:ascii="仿宋_GB2312" w:eastAsia="仿宋_GB2312"/>
          <w:b w:val="0"/>
          <w:bCs/>
          <w:color w:val="auto"/>
          <w:sz w:val="32"/>
          <w:szCs w:val="32"/>
          <w:highlight w:val="none"/>
          <w:lang w:val="en-US" w:eastAsia="zh-CN"/>
        </w:rPr>
        <w:t>1</w:t>
      </w:r>
      <w:r>
        <w:rPr>
          <w:rFonts w:hint="eastAsia" w:ascii="仿宋_GB2312" w:eastAsia="仿宋_GB2312"/>
          <w:b w:val="0"/>
          <w:bCs/>
          <w:color w:val="auto"/>
          <w:sz w:val="32"/>
          <w:szCs w:val="32"/>
          <w:highlight w:val="none"/>
        </w:rPr>
        <w:t>辆，其中</w:t>
      </w:r>
      <w:r>
        <w:rPr>
          <w:rFonts w:hint="eastAsia" w:ascii="仿宋_GB2312" w:eastAsia="仿宋_GB2312"/>
          <w:b/>
          <w:bCs w:val="0"/>
          <w:color w:val="auto"/>
          <w:sz w:val="32"/>
          <w:szCs w:val="32"/>
          <w:highlight w:val="none"/>
        </w:rPr>
        <w:t>：</w:t>
      </w:r>
      <w:r>
        <w:rPr>
          <w:rFonts w:hint="eastAsia" w:ascii="仿宋_GB2312" w:eastAsia="仿宋_GB2312"/>
          <w:color w:val="auto"/>
          <w:sz w:val="32"/>
          <w:szCs w:val="32"/>
          <w:highlight w:val="none"/>
        </w:rPr>
        <w:t>载客汽车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p>
    <w:p>
      <w:pPr>
        <w:snapToGrid w:val="0"/>
        <w:spacing w:line="520" w:lineRule="exact"/>
        <w:ind w:firstLine="643" w:firstLineChars="200"/>
      </w:pPr>
      <w:r>
        <w:rPr>
          <w:rFonts w:hint="eastAsia" w:ascii="仿宋_GB2312" w:eastAsia="仿宋_GB2312"/>
          <w:b/>
          <w:color w:val="000000"/>
          <w:sz w:val="32"/>
          <w:szCs w:val="32"/>
        </w:rPr>
        <w:t>公务用车运行维护费</w:t>
      </w:r>
      <w:r>
        <w:rPr>
          <w:rFonts w:hint="default" w:ascii="仿宋_GB2312" w:hAnsi="仿宋" w:eastAsia="仿宋_GB2312" w:cs="仿宋"/>
          <w:color w:val="000000"/>
          <w:sz w:val="32"/>
          <w:szCs w:val="32"/>
          <w:lang w:val="en-US" w:eastAsia="zh-CN"/>
        </w:rPr>
        <w:t>支出</w:t>
      </w:r>
      <w:r>
        <w:rPr>
          <w:rFonts w:hint="eastAsia" w:ascii="仿宋_GB2312" w:hAnsi="仿宋" w:eastAsia="仿宋_GB2312" w:cs="仿宋"/>
          <w:color w:val="000000"/>
          <w:sz w:val="32"/>
          <w:szCs w:val="32"/>
          <w:lang w:val="en-US" w:eastAsia="zh-CN"/>
        </w:rPr>
        <w:t>10.87</w:t>
      </w:r>
      <w:r>
        <w:rPr>
          <w:rFonts w:hint="default" w:ascii="仿宋_GB2312" w:hAnsi="仿宋" w:eastAsia="仿宋_GB2312" w:cs="仿宋"/>
          <w:color w:val="000000"/>
          <w:sz w:val="32"/>
          <w:szCs w:val="32"/>
          <w:lang w:val="en-US" w:eastAsia="zh-CN"/>
        </w:rPr>
        <w:t>万元，主要</w:t>
      </w:r>
      <w:r>
        <w:rPr>
          <w:rFonts w:hint="eastAsia" w:ascii="仿宋_GB2312" w:hAnsi="仿宋" w:eastAsia="仿宋_GB2312" w:cs="仿宋"/>
          <w:color w:val="000000"/>
          <w:sz w:val="32"/>
          <w:szCs w:val="32"/>
          <w:lang w:val="en-US" w:eastAsia="zh-CN"/>
        </w:rPr>
        <w:t>是</w:t>
      </w:r>
      <w:r>
        <w:rPr>
          <w:rFonts w:hint="default" w:ascii="仿宋_GB2312" w:hAnsi="仿宋" w:eastAsia="仿宋_GB2312" w:cs="仿宋"/>
          <w:color w:val="000000"/>
          <w:sz w:val="32"/>
          <w:szCs w:val="32"/>
          <w:lang w:val="en-US" w:eastAsia="zh-CN"/>
        </w:rPr>
        <w:t>全区现场会及公务接待用车所需的公务用车燃料费、维修费、过路过桥费、保险费等支出。比</w:t>
      </w:r>
      <w:r>
        <w:rPr>
          <w:rFonts w:hint="eastAsia" w:ascii="仿宋_GB2312" w:hAnsi="仿宋" w:eastAsia="仿宋_GB2312" w:cs="仿宋"/>
          <w:color w:val="000000"/>
          <w:sz w:val="32"/>
          <w:szCs w:val="32"/>
          <w:lang w:val="en-US" w:eastAsia="zh-CN"/>
        </w:rPr>
        <w:t>2020</w:t>
      </w:r>
      <w:r>
        <w:rPr>
          <w:rFonts w:hint="default" w:ascii="仿宋_GB2312" w:hAnsi="仿宋" w:eastAsia="仿宋_GB2312" w:cs="仿宋"/>
          <w:color w:val="000000"/>
          <w:sz w:val="32"/>
          <w:szCs w:val="32"/>
          <w:lang w:val="en-US" w:eastAsia="zh-CN"/>
        </w:rPr>
        <w:t>年</w:t>
      </w:r>
      <w:r>
        <w:rPr>
          <w:rFonts w:hint="eastAsia" w:ascii="仿宋_GB2312" w:hAnsi="仿宋" w:eastAsia="仿宋_GB2312" w:cs="仿宋"/>
          <w:color w:val="000000"/>
          <w:sz w:val="32"/>
          <w:szCs w:val="32"/>
          <w:lang w:val="en-US" w:eastAsia="zh-CN"/>
        </w:rPr>
        <w:t>增加2.61</w:t>
      </w:r>
      <w:r>
        <w:rPr>
          <w:rFonts w:hint="default" w:ascii="仿宋_GB2312" w:hAnsi="仿宋" w:eastAsia="仿宋_GB2312" w:cs="仿宋"/>
          <w:color w:val="000000"/>
          <w:sz w:val="32"/>
          <w:szCs w:val="32"/>
          <w:lang w:val="en-US" w:eastAsia="zh-CN"/>
        </w:rPr>
        <w:t>万元，</w:t>
      </w:r>
      <w:r>
        <w:rPr>
          <w:rFonts w:hint="eastAsia" w:ascii="仿宋_GB2312" w:hAnsi="仿宋" w:eastAsia="仿宋_GB2312" w:cs="仿宋"/>
          <w:color w:val="000000"/>
          <w:sz w:val="32"/>
          <w:szCs w:val="32"/>
          <w:lang w:val="en-US" w:eastAsia="zh-CN"/>
        </w:rPr>
        <w:t>增加31.59</w:t>
      </w:r>
      <w:r>
        <w:rPr>
          <w:rFonts w:hint="default" w:ascii="仿宋_GB2312" w:hAnsi="仿宋" w:eastAsia="仿宋_GB2312" w:cs="仿宋"/>
          <w:color w:val="000000"/>
          <w:sz w:val="32"/>
          <w:szCs w:val="32"/>
          <w:lang w:val="en-US" w:eastAsia="zh-CN"/>
        </w:rPr>
        <w:t>%。主要原因是：</w:t>
      </w:r>
      <w:r>
        <w:rPr>
          <w:rFonts w:hint="eastAsia" w:ascii="仿宋_GB2312" w:hAnsi="仿宋" w:eastAsia="仿宋_GB2312" w:cs="仿宋"/>
          <w:color w:val="000000"/>
          <w:sz w:val="32"/>
          <w:szCs w:val="32"/>
          <w:lang w:val="en-US" w:eastAsia="zh-CN"/>
        </w:rPr>
        <w:t>实际用车需求增加。</w:t>
      </w:r>
    </w:p>
    <w:p>
      <w:pPr>
        <w:numPr>
          <w:ilvl w:val="0"/>
          <w:numId w:val="0"/>
        </w:numPr>
        <w:spacing w:line="600" w:lineRule="exact"/>
        <w:ind w:firstLine="643" w:firstLineChars="200"/>
        <w:rPr>
          <w:rFonts w:hint="eastAsia" w:ascii="仿宋_GB2312" w:eastAsia="仿宋_GB2312"/>
          <w:color w:val="auto"/>
          <w:sz w:val="32"/>
          <w:szCs w:val="32"/>
          <w:highlight w:val="none"/>
        </w:rPr>
      </w:pPr>
      <w:r>
        <w:rPr>
          <w:rFonts w:hint="eastAsia" w:ascii="仿宋_GB2312" w:eastAsia="仿宋_GB2312"/>
          <w:b/>
          <w:color w:val="auto"/>
          <w:sz w:val="32"/>
          <w:szCs w:val="32"/>
          <w:highlight w:val="none"/>
          <w:lang w:val="en-US" w:eastAsia="zh-CN"/>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rPr>
        <w:t>33.91万元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主要用于执行公务、开展业务活动开支的住宿费、用餐费等</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完成预算</w:t>
      </w:r>
      <w:r>
        <w:rPr>
          <w:rFonts w:hint="eastAsia" w:ascii="仿宋_GB2312" w:eastAsia="仿宋_GB2312"/>
          <w:color w:val="auto"/>
          <w:sz w:val="32"/>
          <w:szCs w:val="32"/>
          <w:highlight w:val="none"/>
          <w:lang w:val="en-US" w:eastAsia="zh-CN"/>
        </w:rPr>
        <w:t>85%</w:t>
      </w:r>
      <w:r>
        <w:rPr>
          <w:rFonts w:hint="eastAsia" w:ascii="仿宋_GB2312" w:eastAsia="仿宋_GB2312"/>
          <w:color w:val="auto"/>
          <w:sz w:val="32"/>
          <w:szCs w:val="32"/>
          <w:highlight w:val="none"/>
        </w:rPr>
        <w:t>。公务接待费支出决算比20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0.42</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1.22</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厉行节约，支出减少</w:t>
      </w:r>
      <w:r>
        <w:rPr>
          <w:rFonts w:hint="eastAsia" w:ascii="仿宋_GB2312" w:eastAsia="仿宋_GB2312"/>
          <w:color w:val="auto"/>
          <w:sz w:val="32"/>
          <w:szCs w:val="32"/>
          <w:highlight w:val="none"/>
        </w:rPr>
        <w:t>。</w:t>
      </w:r>
    </w:p>
    <w:p>
      <w:pPr>
        <w:spacing w:line="600" w:lineRule="exact"/>
        <w:outlineLvl w:val="9"/>
        <w:rPr>
          <w:rFonts w:ascii="黑体" w:eastAsia="黑体"/>
          <w:color w:val="auto"/>
          <w:sz w:val="32"/>
          <w:szCs w:val="32"/>
          <w:highlight w:val="none"/>
        </w:rPr>
      </w:pPr>
      <w:bookmarkStart w:id="57" w:name="_Toc15396610"/>
      <w:bookmarkStart w:id="58" w:name="_Toc15377218"/>
    </w:p>
    <w:p>
      <w:pPr>
        <w:spacing w:line="600" w:lineRule="exact"/>
        <w:ind w:firstLine="640"/>
        <w:outlineLvl w:val="1"/>
        <w:rPr>
          <w:rStyle w:val="29"/>
          <w:rFonts w:ascii="黑体" w:hAnsi="黑体" w:eastAsia="黑体"/>
          <w:color w:val="auto"/>
          <w:highlight w:val="none"/>
        </w:rPr>
      </w:pPr>
      <w:bookmarkStart w:id="59" w:name="_Toc5969"/>
      <w:r>
        <w:rPr>
          <w:rFonts w:hint="eastAsia" w:ascii="黑体" w:eastAsia="黑体"/>
          <w:color w:val="auto"/>
          <w:sz w:val="32"/>
          <w:szCs w:val="32"/>
          <w:highlight w:val="none"/>
        </w:rPr>
        <w:t>八、</w:t>
      </w:r>
      <w:r>
        <w:rPr>
          <w:rStyle w:val="29"/>
          <w:rFonts w:hint="eastAsia" w:ascii="黑体" w:hAnsi="黑体" w:eastAsia="黑体"/>
          <w:b w:val="0"/>
          <w:color w:val="auto"/>
          <w:highlight w:val="none"/>
        </w:rPr>
        <w:t>政府性基金预算支出决算情况说明</w:t>
      </w:r>
      <w:bookmarkEnd w:id="57"/>
      <w:bookmarkEnd w:id="58"/>
      <w:bookmarkEnd w:id="59"/>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2"/>
        </w:numPr>
        <w:spacing w:line="600" w:lineRule="exact"/>
        <w:ind w:firstLine="640"/>
        <w:outlineLvl w:val="1"/>
        <w:rPr>
          <w:rStyle w:val="29"/>
          <w:rFonts w:ascii="黑体" w:hAnsi="黑体" w:eastAsia="黑体"/>
          <w:b w:val="0"/>
          <w:color w:val="auto"/>
          <w:highlight w:val="none"/>
        </w:rPr>
      </w:pPr>
      <w:bookmarkStart w:id="60" w:name="_Toc14119"/>
      <w:bookmarkStart w:id="61" w:name="_Toc15377219"/>
      <w:bookmarkStart w:id="62" w:name="_Toc15396611"/>
      <w:r>
        <w:rPr>
          <w:rStyle w:val="29"/>
          <w:rFonts w:hint="eastAsia" w:ascii="黑体" w:hAnsi="黑体" w:eastAsia="黑体"/>
          <w:b w:val="0"/>
          <w:color w:val="auto"/>
          <w:highlight w:val="none"/>
        </w:rPr>
        <w:t>国有资本经营预算支出决算情况说明</w:t>
      </w:r>
      <w:bookmarkEnd w:id="60"/>
      <w:bookmarkEnd w:id="61"/>
      <w:bookmarkEnd w:id="62"/>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2"/>
        </w:numPr>
        <w:spacing w:line="600" w:lineRule="exact"/>
        <w:ind w:firstLine="640"/>
        <w:outlineLvl w:val="1"/>
        <w:rPr>
          <w:rStyle w:val="29"/>
          <w:rFonts w:hint="eastAsia" w:ascii="黑体" w:hAnsi="黑体" w:eastAsia="黑体"/>
          <w:b w:val="0"/>
          <w:color w:val="auto"/>
          <w:highlight w:val="none"/>
        </w:rPr>
      </w:pPr>
      <w:bookmarkStart w:id="63" w:name="_Toc30437"/>
      <w:bookmarkStart w:id="64" w:name="_Toc15396612"/>
      <w:bookmarkStart w:id="65" w:name="_Toc15377221"/>
      <w:r>
        <w:rPr>
          <w:rStyle w:val="29"/>
          <w:rFonts w:hint="eastAsia" w:ascii="黑体" w:hAnsi="黑体" w:eastAsia="黑体"/>
          <w:b w:val="0"/>
          <w:color w:val="auto"/>
          <w:highlight w:val="none"/>
          <w:lang w:val="en-US" w:eastAsia="zh-CN"/>
        </w:rPr>
        <w:t>预算绩效管理情况</w:t>
      </w:r>
      <w:bookmarkEnd w:id="63"/>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w:t>
      </w:r>
      <w:r>
        <w:rPr>
          <w:rFonts w:hint="eastAsia" w:ascii="仿宋_GB2312" w:hAnsi="仿宋_GB2312" w:eastAsia="仿宋_GB2312" w:cs="仿宋_GB2312"/>
          <w:sz w:val="32"/>
          <w:szCs w:val="32"/>
          <w:lang w:val="en-US" w:eastAsia="zh-CN"/>
        </w:rPr>
        <w:t>公务用车运行费和本单位工作经费两个项目</w:t>
      </w:r>
      <w:r>
        <w:rPr>
          <w:rFonts w:hint="eastAsia" w:ascii="仿宋_GB2312" w:hAnsi="仿宋_GB2312" w:eastAsia="仿宋_GB2312" w:cs="仿宋_GB2312"/>
          <w:sz w:val="32"/>
          <w:szCs w:val="32"/>
        </w:rPr>
        <w:t>开展了预算事前绩效评估，</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编制了绩效目标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预算执行过程中，</w:t>
      </w:r>
      <w:r>
        <w:rPr>
          <w:rFonts w:hint="eastAsia" w:ascii="仿宋_GB2312" w:hAnsi="仿宋_GB2312" w:eastAsia="仿宋_GB2312" w:cs="仿宋_GB2312"/>
          <w:sz w:val="32"/>
          <w:szCs w:val="32"/>
          <w:lang w:val="en-US" w:eastAsia="zh-CN"/>
        </w:rPr>
        <w:t>对这两</w:t>
      </w:r>
      <w:r>
        <w:rPr>
          <w:rFonts w:hint="eastAsia" w:ascii="仿宋_GB2312" w:hAnsi="仿宋_GB2312" w:eastAsia="仿宋_GB2312" w:cs="仿宋_GB2312"/>
          <w:sz w:val="32"/>
          <w:szCs w:val="32"/>
        </w:rPr>
        <w:t>个项目开展绩效监控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年终执行完毕后，开展了绩效目标完成情况自评，</w:t>
      </w:r>
      <w:r>
        <w:rPr>
          <w:rFonts w:hint="eastAsia" w:ascii="仿宋_GB2312" w:hAnsi="仿宋_GB2312" w:eastAsia="仿宋_GB2312" w:cs="仿宋_GB2312"/>
          <w:color w:val="000000"/>
          <w:sz w:val="32"/>
          <w:szCs w:val="32"/>
          <w:lang w:val="en-US" w:eastAsia="zh-CN"/>
        </w:rPr>
        <w:t>对照考核内容和评分标准，本单位自评总得分为80分，</w:t>
      </w:r>
      <w:r>
        <w:rPr>
          <w:rFonts w:hint="eastAsia" w:ascii="仿宋_GB2312" w:hAnsi="仿宋_GB2312" w:eastAsia="仿宋_GB2312" w:cs="仿宋_GB2312"/>
          <w:sz w:val="32"/>
          <w:szCs w:val="32"/>
        </w:rPr>
        <w:t>绩效目标在20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年基本完成，在保障机关运转、履行职能职责上整体情况良好。</w:t>
      </w:r>
    </w:p>
    <w:p>
      <w:pPr>
        <w:spacing w:line="580" w:lineRule="exact"/>
        <w:ind w:firstLine="640" w:firstLineChars="200"/>
        <w:rPr>
          <w:rFonts w:hint="default"/>
          <w:lang w:val="en-US" w:eastAsia="zh-CN"/>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年部门整体支出开展绩效自评，从评价情况来看</w:t>
      </w:r>
      <w:r>
        <w:rPr>
          <w:rFonts w:hint="eastAsia" w:ascii="仿宋_GB2312" w:hAnsi="仿宋_GB2312" w:eastAsia="仿宋_GB2312" w:cs="仿宋_GB2312"/>
          <w:sz w:val="32"/>
          <w:szCs w:val="32"/>
          <w:lang w:eastAsia="zh-CN"/>
        </w:rPr>
        <w:t>：本单位</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财务支出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w:t>
      </w:r>
      <w:r>
        <w:rPr>
          <w:rFonts w:hint="eastAsia" w:ascii="仿宋_GB2312" w:hAnsi="仿宋_GB2312" w:eastAsia="仿宋_GB2312" w:cs="仿宋_GB2312"/>
          <w:color w:val="000000"/>
          <w:sz w:val="32"/>
          <w:szCs w:val="32"/>
          <w:lang w:val="en-US" w:eastAsia="zh-CN"/>
        </w:rPr>
        <w:t>对照考核内容和评分标准，</w:t>
      </w:r>
      <w:r>
        <w:rPr>
          <w:rFonts w:hint="eastAsia" w:ascii="仿宋_GB2312" w:hAnsi="仿宋_GB2312" w:eastAsia="仿宋_GB2312" w:cs="仿宋_GB2312"/>
          <w:sz w:val="32"/>
          <w:szCs w:val="32"/>
        </w:rPr>
        <w:t>综合评价结果为</w:t>
      </w:r>
      <w:r>
        <w:rPr>
          <w:rFonts w:hint="eastAsia" w:ascii="仿宋_GB2312" w:hAnsi="仿宋_GB2312" w:eastAsia="仿宋_GB2312" w:cs="仿宋_GB2312"/>
          <w:color w:val="000000"/>
          <w:sz w:val="32"/>
          <w:szCs w:val="32"/>
          <w:lang w:val="en-US" w:eastAsia="zh-CN"/>
        </w:rPr>
        <w:t>80分，</w:t>
      </w:r>
      <w:r>
        <w:rPr>
          <w:rFonts w:hint="eastAsia" w:ascii="仿宋_GB2312" w:hAnsi="仿宋_GB2312" w:eastAsia="仿宋_GB2312" w:cs="仿宋_GB2312"/>
          <w:sz w:val="32"/>
          <w:szCs w:val="32"/>
        </w:rPr>
        <w:t>绩效目标在20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年基本完成，在保障机关运转、履行职能职责上整体情况良好。</w:t>
      </w:r>
    </w:p>
    <w:p>
      <w:pPr>
        <w:spacing w:line="580" w:lineRule="exact"/>
        <w:ind w:firstLine="640" w:firstLineChars="200"/>
        <w:rPr>
          <w:rFonts w:hint="default" w:eastAsia="仿宋_GB2312"/>
          <w:lang w:val="en-US" w:eastAsia="zh-CN"/>
        </w:rPr>
      </w:pPr>
      <w:r>
        <w:rPr>
          <w:rFonts w:hint="eastAsia" w:ascii="仿宋_GB2312" w:hAnsi="仿宋_GB2312" w:eastAsia="仿宋_GB2312" w:cs="仿宋_GB2312"/>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color w:val="auto"/>
          <w:sz w:val="32"/>
          <w:szCs w:val="32"/>
          <w:highlight w:val="none"/>
        </w:rPr>
        <w:t>。</w:t>
      </w:r>
    </w:p>
    <w:p>
      <w:pPr>
        <w:numPr>
          <w:ilvl w:val="0"/>
          <w:numId w:val="2"/>
        </w:numPr>
        <w:spacing w:line="600" w:lineRule="exact"/>
        <w:ind w:firstLine="640"/>
        <w:outlineLvl w:val="1"/>
        <w:rPr>
          <w:rStyle w:val="29"/>
          <w:rFonts w:hint="eastAsia" w:ascii="黑体" w:hAnsi="黑体" w:eastAsia="黑体"/>
          <w:b w:val="0"/>
          <w:color w:val="auto"/>
          <w:highlight w:val="none"/>
        </w:rPr>
      </w:pPr>
      <w:bookmarkStart w:id="66" w:name="_Toc29077"/>
      <w:r>
        <w:rPr>
          <w:rStyle w:val="29"/>
          <w:rFonts w:hint="eastAsia" w:ascii="黑体" w:hAnsi="黑体" w:eastAsia="黑体"/>
          <w:b w:val="0"/>
          <w:color w:val="auto"/>
          <w:highlight w:val="none"/>
        </w:rPr>
        <w:t>其他重要事项的情况说明</w:t>
      </w:r>
      <w:bookmarkEnd w:id="64"/>
      <w:bookmarkEnd w:id="65"/>
      <w:bookmarkEnd w:id="66"/>
    </w:p>
    <w:p>
      <w:pPr>
        <w:spacing w:line="600" w:lineRule="exact"/>
        <w:ind w:firstLine="643" w:firstLineChars="200"/>
        <w:outlineLvl w:val="2"/>
        <w:rPr>
          <w:rFonts w:ascii="仿宋" w:hAnsi="仿宋" w:eastAsia="仿宋"/>
          <w:color w:val="auto"/>
          <w:sz w:val="32"/>
          <w:szCs w:val="32"/>
          <w:highlight w:val="none"/>
        </w:rPr>
      </w:pPr>
      <w:bookmarkStart w:id="67" w:name="_Toc15377222"/>
      <w:r>
        <w:rPr>
          <w:rFonts w:hint="eastAsia" w:ascii="仿宋" w:hAnsi="仿宋" w:eastAsia="仿宋"/>
          <w:b/>
          <w:color w:val="auto"/>
          <w:sz w:val="32"/>
          <w:szCs w:val="32"/>
          <w:highlight w:val="none"/>
        </w:rPr>
        <w:t>（一）机关运行经费支出情况</w:t>
      </w:r>
      <w:bookmarkEnd w:id="67"/>
    </w:p>
    <w:p>
      <w:pPr>
        <w:spacing w:line="580" w:lineRule="exact"/>
        <w:ind w:firstLine="640" w:firstLineChars="200"/>
        <w:rPr>
          <w:rFonts w:hint="eastAsia" w:ascii="仿宋_GB2312" w:hAnsi="仿宋_GB2312" w:eastAsia="仿宋_GB2312" w:cs="仿宋_GB2312"/>
          <w:sz w:val="32"/>
          <w:szCs w:val="32"/>
        </w:rPr>
      </w:pPr>
      <w:bookmarkStart w:id="68" w:name="_Toc15377223"/>
      <w:r>
        <w:rPr>
          <w:rFonts w:hint="eastAsia" w:ascii="仿宋_GB2312" w:hAnsi="仿宋_GB2312" w:eastAsia="仿宋_GB2312" w:cs="仿宋_GB2312"/>
          <w:sz w:val="32"/>
          <w:szCs w:val="32"/>
        </w:rPr>
        <w:t>本单位为事业单位，未发生机关运行经费支出。</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（二）政府采购支出情况</w:t>
      </w:r>
      <w:bookmarkEnd w:id="68"/>
    </w:p>
    <w:p>
      <w:pPr>
        <w:spacing w:line="600" w:lineRule="exact"/>
        <w:ind w:firstLine="640" w:firstLineChars="200"/>
        <w:rPr>
          <w:rFonts w:hint="eastAsia" w:ascii="仿宋_GB2312" w:eastAsia="仿宋_GB2312"/>
          <w:color w:val="000000"/>
          <w:sz w:val="32"/>
          <w:szCs w:val="32"/>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000000"/>
          <w:sz w:val="32"/>
          <w:szCs w:val="32"/>
          <w:lang w:val="en-US" w:eastAsia="zh-CN"/>
        </w:rPr>
        <w:t>广元市昭化区公务和外事服务中心</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9" w:name="_Toc15377224"/>
      <w:r>
        <w:rPr>
          <w:rFonts w:hint="eastAsia" w:ascii="仿宋" w:hAnsi="仿宋" w:eastAsia="仿宋"/>
          <w:b/>
          <w:color w:val="auto"/>
          <w:sz w:val="32"/>
          <w:szCs w:val="32"/>
          <w:highlight w:val="none"/>
        </w:rPr>
        <w:t>（三）国有资产占有使用情况</w:t>
      </w:r>
      <w:bookmarkEnd w:id="69"/>
    </w:p>
    <w:p>
      <w:pPr>
        <w:autoSpaceDE w:val="0"/>
        <w:autoSpaceDN w:val="0"/>
        <w:adjustRightInd w:val="0"/>
        <w:spacing w:line="600" w:lineRule="exact"/>
        <w:ind w:firstLine="640" w:firstLineChars="200"/>
        <w:jc w:val="left"/>
        <w:rPr>
          <w:rFonts w:ascii="仿宋" w:hAnsi="仿宋" w:eastAsia="仿宋"/>
          <w:b/>
          <w:color w:val="auto"/>
          <w:sz w:val="32"/>
          <w:szCs w:val="32"/>
          <w:highlight w:val="none"/>
        </w:rPr>
      </w:pPr>
      <w:r>
        <w:rPr>
          <w:rFonts w:hint="eastAsia" w:ascii="仿宋_GB2312" w:eastAsia="仿宋_GB2312"/>
          <w:color w:val="000000"/>
          <w:sz w:val="32"/>
          <w:szCs w:val="32"/>
        </w:rPr>
        <w:t>截至</w:t>
      </w:r>
      <w:r>
        <w:rPr>
          <w:rFonts w:ascii="仿宋_GB2312" w:eastAsia="仿宋_GB2312"/>
          <w:color w:val="000000"/>
          <w:sz w:val="32"/>
          <w:szCs w:val="32"/>
        </w:rPr>
        <w:t>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广元市昭化区公务和外事服务中心</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其他用车主要是用于</w:t>
      </w:r>
      <w:r>
        <w:rPr>
          <w:rFonts w:hint="eastAsia" w:ascii="仿宋_GB2312" w:eastAsia="仿宋_GB2312"/>
          <w:color w:val="000000"/>
          <w:sz w:val="32"/>
          <w:szCs w:val="32"/>
          <w:lang w:val="en-US" w:eastAsia="zh-CN"/>
        </w:rPr>
        <w:t>全区公务接待及大型现场会使用。</w:t>
      </w:r>
    </w:p>
    <w:p>
      <w:pPr>
        <w:pStyle w:val="2"/>
        <w:rPr>
          <w:highlight w:val="yellow"/>
        </w:rPr>
      </w:pP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3"/>
        </w:numPr>
        <w:spacing w:line="600" w:lineRule="exact"/>
        <w:ind w:firstLine="660" w:firstLineChars="150"/>
        <w:jc w:val="center"/>
        <w:outlineLvl w:val="0"/>
        <w:rPr>
          <w:rStyle w:val="28"/>
          <w:rFonts w:ascii="黑体" w:hAnsi="黑体" w:eastAsia="黑体"/>
          <w:b w:val="0"/>
          <w:color w:val="auto"/>
          <w:highlight w:val="none"/>
        </w:rPr>
      </w:pPr>
      <w:bookmarkStart w:id="70" w:name="_Toc19642"/>
      <w:bookmarkStart w:id="71" w:name="_Toc15377225"/>
      <w:bookmarkStart w:id="72" w:name="_Toc15396613"/>
      <w:r>
        <w:rPr>
          <w:rFonts w:hint="eastAsia" w:ascii="黑体" w:hAnsi="黑体" w:eastAsia="黑体"/>
          <w:color w:val="auto"/>
          <w:sz w:val="44"/>
          <w:szCs w:val="44"/>
          <w:highlight w:val="none"/>
        </w:rPr>
        <w:t>名</w:t>
      </w:r>
      <w:r>
        <w:rPr>
          <w:rStyle w:val="28"/>
          <w:rFonts w:hint="eastAsia" w:ascii="黑体" w:hAnsi="黑体" w:eastAsia="黑体"/>
          <w:b w:val="0"/>
          <w:color w:val="auto"/>
          <w:highlight w:val="none"/>
        </w:rPr>
        <w:t>词解释</w:t>
      </w:r>
      <w:bookmarkEnd w:id="70"/>
      <w:bookmarkEnd w:id="71"/>
      <w:bookmarkEnd w:id="72"/>
    </w:p>
    <w:p>
      <w:pPr>
        <w:spacing w:line="600" w:lineRule="exact"/>
        <w:jc w:val="left"/>
        <w:rPr>
          <w:rFonts w:ascii="宋体"/>
          <w:b/>
          <w:color w:val="auto"/>
          <w:sz w:val="44"/>
          <w:szCs w:val="44"/>
          <w:highlight w:val="none"/>
        </w:rPr>
      </w:pPr>
    </w:p>
    <w:p>
      <w:pPr>
        <w:pStyle w:val="26"/>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2.社会保障和就业（类）行政事业单位离退休（款）归口管理的单位离退休（项）：指实行归口管理管理的行政单位开支的离退休经费。</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社会保障和就业（类）</w:t>
      </w:r>
      <w:r>
        <w:rPr>
          <w:rFonts w:hint="eastAsia" w:ascii="仿宋_GB2312" w:eastAsia="仿宋_GB2312"/>
          <w:color w:val="000000"/>
          <w:sz w:val="32"/>
          <w:szCs w:val="32"/>
          <w:lang w:eastAsia="zh-CN"/>
        </w:rPr>
        <w:t>行政事业单位离退休</w:t>
      </w:r>
      <w:r>
        <w:rPr>
          <w:rFonts w:hint="eastAsia" w:ascii="仿宋_GB2312" w:eastAsia="仿宋_GB2312"/>
          <w:color w:val="000000"/>
          <w:sz w:val="32"/>
          <w:szCs w:val="32"/>
        </w:rPr>
        <w:t>（款）</w:t>
      </w:r>
      <w:r>
        <w:rPr>
          <w:rFonts w:hint="eastAsia" w:ascii="仿宋_GB2312" w:eastAsia="仿宋_GB2312"/>
          <w:color w:val="000000"/>
          <w:sz w:val="32"/>
          <w:szCs w:val="32"/>
          <w:lang w:eastAsia="zh-CN"/>
        </w:rPr>
        <w:t>行政事业单位基本养老保险缴费</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机关事业单位实施养老保险制度由单位缴纳的基本养老保险费支出</w:t>
      </w:r>
      <w:r>
        <w:rPr>
          <w:rFonts w:hint="eastAsia" w:ascii="仿宋_GB2312" w:eastAsia="仿宋_GB2312"/>
          <w:color w:val="000000"/>
          <w:sz w:val="32"/>
          <w:szCs w:val="32"/>
        </w:rPr>
        <w:t>。</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4.医疗卫生与计划生育（类）行政事业单位医疗（款）行政单位医疗（项）：指财政部门安排的行政单位基本医疗保险缴费经费，未参加医疗保险的行政单位的公费医疗经费，按国家规定享受离休人员、红军老战士待遇人员的医疗经费。</w:t>
      </w:r>
    </w:p>
    <w:p>
      <w:pPr>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5.住房保障（类）住房改革支出（款）住房公积金（项）：指反映行政事业单位按人力资源和社会保障部、财政部规定的基本工资和津贴补贴以及规定比例为职工缴纳的住房公积金。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6</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ascii="仿宋_GB2312" w:eastAsia="仿宋_GB2312"/>
          <w:sz w:val="32"/>
          <w:szCs w:val="32"/>
        </w:rPr>
      </w:pPr>
    </w:p>
    <w:p>
      <w:pPr>
        <w:spacing w:line="600" w:lineRule="exact"/>
        <w:jc w:val="both"/>
        <w:outlineLvl w:val="9"/>
        <w:rPr>
          <w:rFonts w:hint="eastAsia" w:ascii="黑体" w:hAnsi="黑体" w:eastAsia="黑体"/>
          <w:color w:val="auto"/>
          <w:sz w:val="44"/>
          <w:szCs w:val="44"/>
          <w:highlight w:val="none"/>
        </w:rPr>
      </w:pPr>
      <w:bookmarkStart w:id="73" w:name="_Toc15396618"/>
      <w:bookmarkStart w:id="74" w:name="_Toc15377226"/>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0"/>
        <w:rPr>
          <w:rStyle w:val="28"/>
          <w:rFonts w:ascii="黑体" w:hAnsi="黑体" w:eastAsia="黑体"/>
          <w:b w:val="0"/>
          <w:color w:val="auto"/>
          <w:highlight w:val="none"/>
        </w:rPr>
      </w:pPr>
      <w:bookmarkStart w:id="75" w:name="_Toc11998"/>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四部分 附件</w:t>
      </w:r>
      <w:bookmarkEnd w:id="75"/>
    </w:p>
    <w:p>
      <w:pPr>
        <w:keepNext w:val="0"/>
        <w:keepLines w:val="0"/>
        <w:pageBreakBefore w:val="0"/>
        <w:kinsoku/>
        <w:wordWrap/>
        <w:overflowPunct/>
        <w:topLinePunct w:val="0"/>
        <w:autoSpaceDE/>
        <w:autoSpaceDN/>
        <w:bidi w:val="0"/>
        <w:spacing w:line="572" w:lineRule="exact"/>
        <w:jc w:val="left"/>
        <w:textAlignment w:val="auto"/>
        <w:outlineLvl w:val="1"/>
        <w:rPr>
          <w:rFonts w:ascii="仿宋_GB2312" w:hAnsi="仿宋_GB2312" w:eastAsia="仿宋_GB2312" w:cs="仿宋_GB2312"/>
          <w:color w:val="auto"/>
          <w:sz w:val="32"/>
          <w:szCs w:val="32"/>
          <w:highlight w:val="none"/>
        </w:rPr>
      </w:pPr>
      <w:bookmarkStart w:id="76" w:name="_Toc28194"/>
      <w:r>
        <w:rPr>
          <w:rFonts w:hint="eastAsia" w:ascii="黑体" w:hAnsi="黑体" w:eastAsia="黑体" w:cs="黑体"/>
          <w:color w:val="auto"/>
          <w:sz w:val="32"/>
          <w:szCs w:val="32"/>
          <w:highlight w:val="none"/>
        </w:rPr>
        <w:t>附件</w:t>
      </w:r>
      <w:bookmarkEnd w:id="76"/>
    </w:p>
    <w:tbl>
      <w:tblPr>
        <w:tblStyle w:val="16"/>
        <w:tblpPr w:leftFromText="180" w:rightFromText="180" w:vertAnchor="text" w:horzAnchor="page" w:tblpX="1281" w:tblpY="660"/>
        <w:tblOverlap w:val="never"/>
        <w:tblW w:w="100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224"/>
        <w:gridCol w:w="2649"/>
        <w:gridCol w:w="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816"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default" w:ascii="宋体" w:hAnsi="宋体" w:eastAsia="宋体" w:cs="宋体"/>
                <w:b/>
                <w:i w:val="0"/>
                <w:color w:val="auto"/>
                <w:sz w:val="32"/>
                <w:szCs w:val="32"/>
                <w:u w:val="none"/>
                <w:lang w:val="en-US"/>
              </w:rPr>
            </w:pPr>
            <w:r>
              <w:rPr>
                <w:rFonts w:hint="eastAsia" w:ascii="宋体" w:hAnsi="宋体" w:eastAsia="宋体" w:cs="宋体"/>
                <w:b/>
                <w:i w:val="0"/>
                <w:color w:val="auto"/>
                <w:sz w:val="32"/>
                <w:szCs w:val="32"/>
                <w:highlight w:val="none"/>
                <w:u w:val="none"/>
                <w:lang w:val="en-US" w:eastAsia="zh-CN"/>
              </w:rPr>
              <w:t>2021年部门预算项目绩效目标</w:t>
            </w:r>
            <w:r>
              <w:rPr>
                <w:rFonts w:hint="eastAsia" w:ascii="宋体" w:hAnsi="宋体" w:cs="宋体"/>
                <w:b/>
                <w:i w:val="0"/>
                <w:color w:val="auto"/>
                <w:sz w:val="32"/>
                <w:szCs w:val="32"/>
                <w:highlight w:val="none"/>
                <w:u w:val="none"/>
                <w:lang w:val="en-US" w:eastAsia="zh-CN"/>
              </w:rPr>
              <w:t>——工作经费</w:t>
            </w:r>
          </w:p>
        </w:tc>
        <w:tc>
          <w:tcPr>
            <w:tcW w:w="23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区公务和外事服务中心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区公务和外事服务中心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sz w:val="24"/>
                <w:szCs w:val="24"/>
                <w:u w:val="none"/>
                <w:lang w:val="en-US" w:eastAsia="zh-CN"/>
              </w:rPr>
              <w:t>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cs="宋体"/>
                <w:i w:val="0"/>
                <w:color w:val="auto"/>
                <w:sz w:val="24"/>
                <w:szCs w:val="24"/>
                <w:u w:val="none"/>
                <w:lang w:val="en-US" w:eastAsia="zh-CN"/>
              </w:rPr>
              <w:t>10万元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cs="宋体"/>
                <w:i w:val="0"/>
                <w:color w:val="auto"/>
                <w:sz w:val="24"/>
                <w:szCs w:val="24"/>
                <w:u w:val="none"/>
                <w:lang w:val="en-US" w:eastAsia="zh-CN"/>
              </w:rPr>
              <w:t>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保障本单位日常运转</w:t>
            </w:r>
          </w:p>
        </w:tc>
        <w:tc>
          <w:tcPr>
            <w:tcW w:w="387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tabs>
                <w:tab w:val="left" w:pos="2288"/>
              </w:tabs>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ab/>
            </w:r>
            <w:r>
              <w:rPr>
                <w:rFonts w:hint="eastAsia" w:ascii="宋体" w:hAnsi="宋体" w:cs="宋体"/>
                <w:i w:val="0"/>
                <w:color w:val="auto"/>
                <w:sz w:val="24"/>
                <w:szCs w:val="24"/>
                <w:u w:val="none"/>
                <w:lang w:eastAsia="zh-CN"/>
              </w:rPr>
              <w:t>基本完成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职工工作能力</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能力提升</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能力提升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10万元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8"/>
                <w:szCs w:val="28"/>
                <w:u w:val="none"/>
                <w:lang w:val="en-US" w:eastAsia="zh-CN" w:bidi="ar-SA"/>
              </w:rPr>
            </w:pPr>
            <w:r>
              <w:rPr>
                <w:rFonts w:hint="eastAsia" w:ascii="仿宋_GB2312" w:hAnsi="仿宋_GB2312" w:eastAsia="仿宋_GB2312" w:cs="仿宋_GB2312"/>
                <w:i w:val="0"/>
                <w:color w:val="auto"/>
                <w:sz w:val="28"/>
                <w:szCs w:val="28"/>
                <w:u w:val="none"/>
              </w:rPr>
              <w:t>10万元</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提升昭化区的形象</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形象提升</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形象提升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77"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ind w:left="463" w:leftChars="87" w:hanging="280" w:hangingChars="100"/>
              <w:jc w:val="left"/>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杜绝浪费绿色办公</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浪费减少</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浪费减少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长期工作效率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效率提升</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效率提升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接待对象满意度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95%以上</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95%以上</w:t>
            </w:r>
          </w:p>
        </w:tc>
      </w:tr>
    </w:tbl>
    <w:p>
      <w:pPr>
        <w:spacing w:line="600" w:lineRule="exact"/>
        <w:jc w:val="center"/>
        <w:outlineLvl w:val="9"/>
        <w:rPr>
          <w:rFonts w:hint="eastAsia" w:ascii="黑体" w:hAnsi="黑体" w:eastAsia="黑体"/>
          <w:color w:val="auto"/>
          <w:sz w:val="44"/>
          <w:szCs w:val="44"/>
          <w:highlight w:val="none"/>
        </w:rPr>
      </w:pPr>
    </w:p>
    <w:p>
      <w:pPr>
        <w:widowControl/>
        <w:adjustRightInd w:val="0"/>
        <w:snapToGrid w:val="0"/>
        <w:spacing w:line="580" w:lineRule="exact"/>
        <w:contextualSpacing/>
        <w:jc w:val="left"/>
        <w:rPr>
          <w:rFonts w:hint="eastAsia" w:ascii="仿宋_GB2312" w:hAnsi="宋体" w:eastAsia="仿宋_GB2312" w:cs="宋体"/>
          <w:color w:val="000000"/>
          <w:kern w:val="0"/>
          <w:sz w:val="32"/>
          <w:szCs w:val="32"/>
          <w:highlight w:val="yellow"/>
          <w:shd w:val="clear" w:color="auto" w:fill="FFFFFF"/>
          <w:lang w:val="en-US" w:eastAsia="zh-CN"/>
        </w:rPr>
      </w:pPr>
    </w:p>
    <w:p>
      <w:pPr>
        <w:pStyle w:val="2"/>
        <w:rPr>
          <w:rFonts w:hint="eastAsia"/>
          <w:lang w:val="en-US" w:eastAsia="zh-CN"/>
        </w:rPr>
      </w:pPr>
    </w:p>
    <w:tbl>
      <w:tblPr>
        <w:tblStyle w:val="16"/>
        <w:tblpPr w:leftFromText="180" w:rightFromText="180" w:vertAnchor="text" w:horzAnchor="page" w:tblpX="1281" w:tblpY="660"/>
        <w:tblOverlap w:val="never"/>
        <w:tblW w:w="95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435"/>
        <w:gridCol w:w="22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91"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default" w:ascii="宋体" w:hAnsi="宋体" w:eastAsia="宋体" w:cs="宋体"/>
                <w:b/>
                <w:i w:val="0"/>
                <w:color w:val="auto"/>
                <w:sz w:val="32"/>
                <w:szCs w:val="32"/>
                <w:u w:val="none"/>
                <w:lang w:val="en-US"/>
              </w:rPr>
            </w:pPr>
            <w:r>
              <w:rPr>
                <w:rFonts w:hint="eastAsia" w:ascii="宋体" w:hAnsi="宋体" w:eastAsia="宋体" w:cs="宋体"/>
                <w:b/>
                <w:i w:val="0"/>
                <w:color w:val="auto"/>
                <w:sz w:val="32"/>
                <w:szCs w:val="32"/>
                <w:highlight w:val="none"/>
                <w:u w:val="none"/>
                <w:lang w:val="en-US" w:eastAsia="zh-CN"/>
              </w:rPr>
              <w:t>2021年部门预算项目绩效目标</w:t>
            </w:r>
            <w:r>
              <w:rPr>
                <w:rFonts w:hint="eastAsia" w:ascii="宋体" w:hAnsi="宋体" w:cs="宋体"/>
                <w:b/>
                <w:i w:val="0"/>
                <w:color w:val="auto"/>
                <w:sz w:val="32"/>
                <w:szCs w:val="32"/>
                <w:highlight w:val="none"/>
                <w:u w:val="none"/>
                <w:lang w:val="en-US" w:eastAsia="zh-CN"/>
              </w:rPr>
              <w:t>——公务用车运行费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区公务和外事服务中心</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区公务和外事服务中心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23万元</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sz w:val="24"/>
                <w:szCs w:val="24"/>
                <w:u w:val="none"/>
                <w:lang w:val="en-US" w:eastAsia="zh-CN"/>
              </w:rPr>
              <w:t>10.87万元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cs="宋体"/>
                <w:i w:val="0"/>
                <w:color w:val="auto"/>
                <w:sz w:val="24"/>
                <w:szCs w:val="24"/>
                <w:u w:val="none"/>
                <w:lang w:val="en-US" w:eastAsia="zh-CN"/>
              </w:rPr>
              <w:t>23万元</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cs="宋体"/>
                <w:i w:val="0"/>
                <w:color w:val="auto"/>
                <w:sz w:val="24"/>
                <w:szCs w:val="24"/>
                <w:u w:val="none"/>
                <w:lang w:val="en-US" w:eastAsia="zh-CN"/>
              </w:rPr>
              <w:t>10.87万元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rPr>
              <w:t>保障全区现场会、大型接待及领导调研公务用车</w:t>
            </w:r>
          </w:p>
        </w:tc>
        <w:tc>
          <w:tcPr>
            <w:tcW w:w="364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tabs>
                <w:tab w:val="left" w:pos="2288"/>
              </w:tabs>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ab/>
            </w:r>
            <w:r>
              <w:rPr>
                <w:rFonts w:hint="eastAsia" w:ascii="宋体" w:hAnsi="宋体" w:cs="宋体"/>
                <w:i w:val="0"/>
                <w:color w:val="auto"/>
                <w:sz w:val="24"/>
                <w:szCs w:val="24"/>
                <w:u w:val="none"/>
                <w:lang w:eastAsia="zh-CN"/>
              </w:rPr>
              <w:t>基本完成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7"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道路交通违法记录</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0次</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出车准时率</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100%</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公务用车运行费用</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2"/>
                <w:sz w:val="28"/>
                <w:szCs w:val="28"/>
                <w:u w:val="none"/>
                <w:lang w:val="en-US" w:eastAsia="zh-CN" w:bidi="ar-SA"/>
              </w:rPr>
            </w:pPr>
            <w:r>
              <w:rPr>
                <w:rFonts w:hint="eastAsia" w:ascii="仿宋_GB2312" w:hAnsi="仿宋_GB2312" w:eastAsia="仿宋_GB2312" w:cs="仿宋_GB2312"/>
                <w:i w:val="0"/>
                <w:color w:val="auto"/>
                <w:kern w:val="2"/>
                <w:sz w:val="28"/>
                <w:szCs w:val="28"/>
                <w:u w:val="none"/>
                <w:lang w:val="en-US" w:eastAsia="zh-CN" w:bidi="ar-SA"/>
              </w:rPr>
              <w:t>≤23万元</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8"/>
                <w:szCs w:val="28"/>
                <w:u w:val="none"/>
                <w:lang w:val="en-US" w:eastAsia="zh-CN"/>
              </w:rPr>
            </w:pPr>
            <w:r>
              <w:rPr>
                <w:rFonts w:hint="eastAsia" w:ascii="仿宋_GB2312" w:hAnsi="仿宋_GB2312" w:eastAsia="仿宋_GB2312" w:cs="仿宋_GB2312"/>
                <w:i w:val="0"/>
                <w:color w:val="auto"/>
                <w:sz w:val="28"/>
                <w:szCs w:val="28"/>
                <w:u w:val="none"/>
              </w:rPr>
              <w:t>≤23万元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提高昭化区的知名度</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知名度提高</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知名度提高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ind w:left="463" w:leftChars="87" w:hanging="280" w:hangingChars="100"/>
              <w:jc w:val="left"/>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节能减排绿色用车</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二氧化碳排放减少</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二氧化碳排放减少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用车人员满意度</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95%以上</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sz w:val="28"/>
                <w:szCs w:val="28"/>
                <w:u w:val="none"/>
              </w:rPr>
              <w:t>95%以上</w:t>
            </w:r>
          </w:p>
        </w:tc>
      </w:tr>
    </w:tbl>
    <w:p>
      <w:pPr>
        <w:widowControl/>
        <w:adjustRightInd w:val="0"/>
        <w:snapToGrid w:val="0"/>
        <w:spacing w:line="580" w:lineRule="exact"/>
        <w:contextualSpacing/>
        <w:jc w:val="left"/>
        <w:rPr>
          <w:rFonts w:hint="eastAsia" w:ascii="仿宋_GB2312" w:hAnsi="宋体" w:eastAsia="仿宋_GB2312" w:cs="宋体"/>
          <w:color w:val="000000"/>
          <w:kern w:val="0"/>
          <w:sz w:val="32"/>
          <w:szCs w:val="32"/>
          <w:highlight w:val="yellow"/>
          <w:shd w:val="clear" w:color="auto" w:fill="FFFFFF"/>
          <w:lang w:val="en-US" w:eastAsia="zh-CN"/>
        </w:rPr>
      </w:pPr>
    </w:p>
    <w:p>
      <w:pPr>
        <w:numPr>
          <w:ilvl w:val="0"/>
          <w:numId w:val="0"/>
        </w:numPr>
        <w:spacing w:line="600" w:lineRule="exact"/>
        <w:ind w:leftChars="150"/>
        <w:jc w:val="center"/>
        <w:outlineLvl w:val="9"/>
        <w:rPr>
          <w:rStyle w:val="28"/>
          <w:rFonts w:hint="eastAsia" w:ascii="黑体" w:hAnsi="黑体" w:eastAsia="黑体"/>
          <w:b w:val="0"/>
          <w:color w:val="auto"/>
          <w:highlight w:val="none"/>
          <w:lang w:val="en-US" w:eastAsia="zh-CN"/>
        </w:rPr>
      </w:pPr>
    </w:p>
    <w:p>
      <w:pPr>
        <w:pStyle w:val="2"/>
        <w:rPr>
          <w:rStyle w:val="28"/>
          <w:rFonts w:hint="eastAsia" w:ascii="黑体" w:hAnsi="黑体" w:eastAsia="黑体"/>
          <w:b w:val="0"/>
          <w:color w:val="auto"/>
          <w:highlight w:val="none"/>
          <w:lang w:val="en-US" w:eastAsia="zh-CN"/>
        </w:rPr>
      </w:pPr>
    </w:p>
    <w:p>
      <w:pPr>
        <w:pStyle w:val="2"/>
        <w:rPr>
          <w:rStyle w:val="28"/>
          <w:rFonts w:hint="eastAsia" w:ascii="黑体" w:hAnsi="黑体" w:eastAsia="黑体"/>
          <w:b w:val="0"/>
          <w:color w:val="auto"/>
          <w:highlight w:val="none"/>
          <w:lang w:val="en-US" w:eastAsia="zh-CN"/>
        </w:rPr>
      </w:pPr>
    </w:p>
    <w:p>
      <w:pPr>
        <w:pStyle w:val="2"/>
        <w:rPr>
          <w:rStyle w:val="28"/>
          <w:rFonts w:hint="eastAsia" w:ascii="黑体" w:hAnsi="黑体" w:eastAsia="黑体"/>
          <w:b w:val="0"/>
          <w:color w:val="auto"/>
          <w:highlight w:val="none"/>
          <w:lang w:val="en-US" w:eastAsia="zh-CN"/>
        </w:rPr>
      </w:pPr>
    </w:p>
    <w:p>
      <w:pPr>
        <w:pStyle w:val="2"/>
        <w:rPr>
          <w:rStyle w:val="28"/>
          <w:rFonts w:hint="eastAsia" w:ascii="黑体" w:hAnsi="黑体" w:eastAsia="黑体"/>
          <w:b w:val="0"/>
          <w:color w:val="auto"/>
          <w:highlight w:val="none"/>
          <w:lang w:val="en-US" w:eastAsia="zh-CN"/>
        </w:rPr>
      </w:pPr>
    </w:p>
    <w:p>
      <w:pPr>
        <w:pStyle w:val="2"/>
        <w:rPr>
          <w:rStyle w:val="28"/>
          <w:rFonts w:hint="eastAsia" w:ascii="黑体" w:hAnsi="黑体" w:eastAsia="黑体"/>
          <w:b w:val="0"/>
          <w:color w:val="auto"/>
          <w:highlight w:val="none"/>
          <w:lang w:val="en-US" w:eastAsia="zh-CN"/>
        </w:rPr>
      </w:pPr>
    </w:p>
    <w:p>
      <w:pPr>
        <w:pStyle w:val="2"/>
        <w:rPr>
          <w:rStyle w:val="28"/>
          <w:rFonts w:hint="eastAsia" w:ascii="黑体" w:hAnsi="黑体" w:eastAsia="黑体"/>
          <w:b w:val="0"/>
          <w:color w:val="auto"/>
          <w:highlight w:val="none"/>
          <w:lang w:val="en-US" w:eastAsia="zh-CN"/>
        </w:rPr>
      </w:pPr>
    </w:p>
    <w:p>
      <w:pPr>
        <w:pStyle w:val="2"/>
        <w:rPr>
          <w:rStyle w:val="28"/>
          <w:rFonts w:hint="eastAsia" w:ascii="黑体" w:hAnsi="黑体" w:eastAsia="黑体"/>
          <w:b w:val="0"/>
          <w:color w:val="auto"/>
          <w:highlight w:val="none"/>
          <w:lang w:val="en-US" w:eastAsia="zh-CN"/>
        </w:rPr>
      </w:pPr>
    </w:p>
    <w:p>
      <w:pPr>
        <w:pStyle w:val="2"/>
        <w:rPr>
          <w:rStyle w:val="28"/>
          <w:rFonts w:hint="eastAsia" w:ascii="黑体" w:hAnsi="黑体" w:eastAsia="黑体"/>
          <w:b w:val="0"/>
          <w:color w:val="auto"/>
          <w:highlight w:val="none"/>
          <w:lang w:val="en-US" w:eastAsia="zh-CN"/>
        </w:rPr>
      </w:pPr>
    </w:p>
    <w:p>
      <w:pPr>
        <w:pStyle w:val="2"/>
        <w:rPr>
          <w:rStyle w:val="28"/>
          <w:rFonts w:hint="eastAsia" w:ascii="黑体" w:hAnsi="黑体" w:eastAsia="黑体"/>
          <w:b w:val="0"/>
          <w:color w:val="auto"/>
          <w:highlight w:val="none"/>
          <w:lang w:val="en-US" w:eastAsia="zh-CN"/>
        </w:rPr>
      </w:pPr>
    </w:p>
    <w:p>
      <w:pPr>
        <w:numPr>
          <w:ilvl w:val="0"/>
          <w:numId w:val="0"/>
        </w:numPr>
        <w:spacing w:line="600" w:lineRule="exact"/>
        <w:ind w:leftChars="150"/>
        <w:jc w:val="center"/>
        <w:outlineLvl w:val="0"/>
        <w:rPr>
          <w:rStyle w:val="28"/>
          <w:rFonts w:hint="eastAsia" w:ascii="黑体" w:hAnsi="黑体" w:eastAsia="黑体"/>
          <w:b w:val="0"/>
          <w:color w:val="auto"/>
          <w:highlight w:val="none"/>
        </w:rPr>
      </w:pPr>
      <w:bookmarkStart w:id="77" w:name="_Toc32247"/>
      <w:r>
        <w:rPr>
          <w:rStyle w:val="28"/>
          <w:rFonts w:hint="eastAsia" w:ascii="黑体" w:hAnsi="黑体" w:eastAsia="黑体"/>
          <w:b w:val="0"/>
          <w:color w:val="auto"/>
          <w:highlight w:val="none"/>
          <w:lang w:val="en-US" w:eastAsia="zh-CN"/>
        </w:rPr>
        <w:t xml:space="preserve">第五部分 </w:t>
      </w:r>
      <w:r>
        <w:rPr>
          <w:rStyle w:val="28"/>
          <w:rFonts w:hint="eastAsia" w:ascii="黑体" w:hAnsi="黑体" w:eastAsia="黑体"/>
          <w:b w:val="0"/>
          <w:color w:val="auto"/>
          <w:highlight w:val="none"/>
        </w:rPr>
        <w:t>附表</w:t>
      </w:r>
      <w:bookmarkEnd w:id="73"/>
      <w:bookmarkEnd w:id="74"/>
      <w:bookmarkEnd w:id="77"/>
      <w:bookmarkStart w:id="78" w:name="_Toc15396619"/>
    </w:p>
    <w:p>
      <w:pPr>
        <w:numPr>
          <w:ilvl w:val="0"/>
          <w:numId w:val="0"/>
        </w:numPr>
        <w:spacing w:line="600" w:lineRule="exact"/>
        <w:jc w:val="both"/>
        <w:outlineLvl w:val="9"/>
        <w:rPr>
          <w:rStyle w:val="29"/>
          <w:rFonts w:hint="eastAsia" w:ascii="仿宋" w:hAnsi="仿宋" w:eastAsia="仿宋"/>
          <w:b w:val="0"/>
          <w:bCs w:val="0"/>
          <w:color w:val="auto"/>
          <w:highlight w:val="none"/>
          <w:lang w:val="en-US" w:eastAsia="zh-CN" w:bidi="ar-SA"/>
        </w:rPr>
      </w:pPr>
    </w:p>
    <w:p>
      <w:pPr>
        <w:numPr>
          <w:ilvl w:val="0"/>
          <w:numId w:val="0"/>
        </w:numPr>
        <w:spacing w:line="600" w:lineRule="exact"/>
        <w:jc w:val="both"/>
        <w:outlineLvl w:val="1"/>
        <w:rPr>
          <w:rStyle w:val="29"/>
          <w:rFonts w:hint="eastAsia" w:ascii="仿宋" w:hAnsi="仿宋" w:eastAsia="仿宋"/>
          <w:b w:val="0"/>
          <w:bCs w:val="0"/>
          <w:color w:val="auto"/>
          <w:highlight w:val="none"/>
          <w:lang w:val="en-US" w:eastAsia="zh-CN" w:bidi="ar-SA"/>
        </w:rPr>
      </w:pPr>
      <w:bookmarkStart w:id="79" w:name="_Toc10634"/>
      <w:r>
        <w:rPr>
          <w:rStyle w:val="29"/>
          <w:rFonts w:hint="eastAsia" w:ascii="仿宋" w:hAnsi="仿宋" w:eastAsia="仿宋"/>
          <w:b w:val="0"/>
          <w:bCs w:val="0"/>
          <w:color w:val="auto"/>
          <w:highlight w:val="none"/>
          <w:lang w:val="en-US" w:eastAsia="zh-CN" w:bidi="ar-SA"/>
        </w:rPr>
        <w:t>一、收入支出决算总表</w:t>
      </w:r>
      <w:bookmarkEnd w:id="78"/>
      <w:bookmarkEnd w:id="79"/>
    </w:p>
    <w:p>
      <w:pPr>
        <w:pStyle w:val="4"/>
        <w:rPr>
          <w:rFonts w:ascii="仿宋" w:hAnsi="仿宋" w:eastAsia="仿宋"/>
          <w:color w:val="auto"/>
          <w:highlight w:val="none"/>
        </w:rPr>
      </w:pPr>
      <w:bookmarkStart w:id="80" w:name="_Toc15396620"/>
      <w:bookmarkStart w:id="81" w:name="_Toc2514"/>
      <w:r>
        <w:rPr>
          <w:rFonts w:hint="eastAsia" w:ascii="仿宋" w:hAnsi="仿宋" w:eastAsia="仿宋"/>
          <w:b w:val="0"/>
          <w:color w:val="auto"/>
          <w:highlight w:val="none"/>
        </w:rPr>
        <w:t>二、收</w:t>
      </w:r>
      <w:r>
        <w:rPr>
          <w:rStyle w:val="29"/>
          <w:rFonts w:hint="eastAsia" w:ascii="仿宋" w:hAnsi="仿宋" w:eastAsia="仿宋"/>
          <w:b w:val="0"/>
          <w:bCs w:val="0"/>
          <w:color w:val="auto"/>
          <w:highlight w:val="none"/>
        </w:rPr>
        <w:t>入决算表</w:t>
      </w:r>
      <w:bookmarkEnd w:id="80"/>
      <w:bookmarkEnd w:id="81"/>
    </w:p>
    <w:p>
      <w:pPr>
        <w:pStyle w:val="4"/>
        <w:rPr>
          <w:rFonts w:ascii="仿宋" w:hAnsi="仿宋" w:eastAsia="仿宋"/>
          <w:color w:val="auto"/>
          <w:highlight w:val="none"/>
        </w:rPr>
      </w:pPr>
      <w:bookmarkStart w:id="82" w:name="_Toc9059"/>
      <w:bookmarkStart w:id="83" w:name="_Toc15396621"/>
      <w:r>
        <w:rPr>
          <w:rStyle w:val="29"/>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9"/>
          <w:rFonts w:hint="eastAsia" w:ascii="仿宋" w:hAnsi="仿宋" w:eastAsia="仿宋"/>
          <w:b w:val="0"/>
          <w:bCs w:val="0"/>
          <w:color w:val="auto"/>
          <w:highlight w:val="none"/>
        </w:rPr>
        <w:t>出决算表</w:t>
      </w:r>
      <w:bookmarkEnd w:id="82"/>
      <w:bookmarkEnd w:id="83"/>
    </w:p>
    <w:p>
      <w:pPr>
        <w:pStyle w:val="4"/>
        <w:rPr>
          <w:rFonts w:ascii="仿宋" w:hAnsi="仿宋" w:eastAsia="仿宋"/>
          <w:b w:val="0"/>
          <w:color w:val="auto"/>
          <w:highlight w:val="none"/>
        </w:rPr>
      </w:pPr>
      <w:bookmarkStart w:id="84" w:name="_Toc15396622"/>
      <w:bookmarkStart w:id="85" w:name="_Toc15652"/>
      <w:r>
        <w:rPr>
          <w:rStyle w:val="29"/>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政拨款收入支出决算总表</w:t>
      </w:r>
      <w:bookmarkEnd w:id="84"/>
      <w:bookmarkEnd w:id="85"/>
    </w:p>
    <w:p>
      <w:pPr>
        <w:pStyle w:val="4"/>
        <w:rPr>
          <w:rStyle w:val="29"/>
          <w:rFonts w:ascii="仿宋" w:hAnsi="仿宋" w:eastAsia="仿宋"/>
          <w:b w:val="0"/>
          <w:bCs w:val="0"/>
          <w:color w:val="auto"/>
          <w:highlight w:val="none"/>
        </w:rPr>
      </w:pPr>
      <w:bookmarkStart w:id="86" w:name="_Toc15224"/>
      <w:bookmarkStart w:id="87" w:name="_Toc15396623"/>
      <w:r>
        <w:rPr>
          <w:rStyle w:val="29"/>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9"/>
          <w:rFonts w:hint="eastAsia" w:ascii="仿宋" w:hAnsi="仿宋" w:eastAsia="仿宋"/>
          <w:b w:val="0"/>
          <w:bCs w:val="0"/>
          <w:color w:val="auto"/>
          <w:highlight w:val="none"/>
        </w:rPr>
        <w:t>政拨款支出决算明细表</w:t>
      </w:r>
      <w:bookmarkEnd w:id="86"/>
      <w:bookmarkEnd w:id="87"/>
      <w:bookmarkStart w:id="88" w:name="_Toc15396624"/>
    </w:p>
    <w:p>
      <w:pPr>
        <w:pStyle w:val="4"/>
        <w:rPr>
          <w:rFonts w:ascii="仿宋" w:hAnsi="仿宋" w:eastAsia="仿宋"/>
          <w:color w:val="auto"/>
          <w:highlight w:val="none"/>
        </w:rPr>
      </w:pPr>
      <w:bookmarkStart w:id="89" w:name="_Toc8423"/>
      <w:r>
        <w:rPr>
          <w:rStyle w:val="29"/>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般公共预算财政拨款支出决算表</w:t>
      </w:r>
      <w:bookmarkEnd w:id="88"/>
      <w:bookmarkEnd w:id="89"/>
    </w:p>
    <w:p>
      <w:pPr>
        <w:pStyle w:val="4"/>
        <w:rPr>
          <w:rFonts w:ascii="仿宋" w:hAnsi="仿宋" w:eastAsia="仿宋"/>
          <w:color w:val="auto"/>
          <w:highlight w:val="none"/>
        </w:rPr>
      </w:pPr>
      <w:bookmarkStart w:id="90" w:name="_Toc17866"/>
      <w:bookmarkStart w:id="91" w:name="_Toc15396625"/>
      <w:r>
        <w:rPr>
          <w:rStyle w:val="29"/>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般公共预算财政拨款支出决算明细表</w:t>
      </w:r>
      <w:bookmarkEnd w:id="90"/>
      <w:bookmarkEnd w:id="91"/>
    </w:p>
    <w:p>
      <w:pPr>
        <w:pStyle w:val="4"/>
        <w:rPr>
          <w:rFonts w:ascii="仿宋" w:hAnsi="仿宋" w:eastAsia="仿宋"/>
          <w:color w:val="auto"/>
          <w:highlight w:val="none"/>
        </w:rPr>
      </w:pPr>
      <w:bookmarkStart w:id="92" w:name="_Toc13378"/>
      <w:bookmarkStart w:id="93" w:name="_Toc15396626"/>
      <w:r>
        <w:rPr>
          <w:rStyle w:val="29"/>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般公共预算财政拨款基本支出决算表</w:t>
      </w:r>
      <w:bookmarkEnd w:id="92"/>
      <w:bookmarkEnd w:id="93"/>
    </w:p>
    <w:p>
      <w:pPr>
        <w:pStyle w:val="4"/>
        <w:rPr>
          <w:rFonts w:ascii="仿宋" w:hAnsi="仿宋" w:eastAsia="仿宋"/>
          <w:color w:val="auto"/>
          <w:highlight w:val="none"/>
        </w:rPr>
      </w:pPr>
      <w:bookmarkStart w:id="94" w:name="_Toc31587"/>
      <w:bookmarkStart w:id="95" w:name="_Toc15396627"/>
      <w:r>
        <w:rPr>
          <w:rStyle w:val="29"/>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般公共预算财政拨款项目支出决算表</w:t>
      </w:r>
      <w:bookmarkEnd w:id="94"/>
      <w:bookmarkEnd w:id="95"/>
    </w:p>
    <w:p>
      <w:pPr>
        <w:pStyle w:val="4"/>
        <w:rPr>
          <w:rFonts w:ascii="仿宋" w:hAnsi="仿宋" w:eastAsia="仿宋"/>
          <w:color w:val="auto"/>
          <w:highlight w:val="none"/>
        </w:rPr>
      </w:pPr>
      <w:bookmarkStart w:id="96" w:name="_Toc15396628"/>
      <w:bookmarkStart w:id="97" w:name="_Toc12432"/>
      <w:r>
        <w:rPr>
          <w:rStyle w:val="29"/>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9"/>
          <w:rFonts w:hint="eastAsia" w:ascii="仿宋" w:hAnsi="仿宋" w:eastAsia="仿宋"/>
          <w:b w:val="0"/>
          <w:bCs w:val="0"/>
          <w:color w:val="auto"/>
          <w:highlight w:val="none"/>
        </w:rPr>
        <w:t>般公共预算财政拨款“三公”经费支出决算表</w:t>
      </w:r>
      <w:bookmarkEnd w:id="96"/>
      <w:bookmarkEnd w:id="97"/>
    </w:p>
    <w:p>
      <w:pPr>
        <w:pStyle w:val="4"/>
        <w:rPr>
          <w:rFonts w:ascii="仿宋" w:hAnsi="仿宋" w:eastAsia="仿宋"/>
          <w:color w:val="auto"/>
          <w:highlight w:val="none"/>
        </w:rPr>
      </w:pPr>
      <w:bookmarkStart w:id="98" w:name="_Toc15396629"/>
      <w:bookmarkStart w:id="99" w:name="_Toc27338"/>
      <w:r>
        <w:rPr>
          <w:rStyle w:val="29"/>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9"/>
          <w:rFonts w:hint="eastAsia" w:ascii="仿宋" w:hAnsi="仿宋" w:eastAsia="仿宋"/>
          <w:b w:val="0"/>
          <w:bCs w:val="0"/>
          <w:color w:val="auto"/>
          <w:highlight w:val="none"/>
        </w:rPr>
        <w:t>府性基金预算财政拨款收入支出决算表</w:t>
      </w:r>
      <w:bookmarkEnd w:id="98"/>
      <w:bookmarkEnd w:id="99"/>
    </w:p>
    <w:p>
      <w:pPr>
        <w:pStyle w:val="4"/>
        <w:rPr>
          <w:rFonts w:ascii="仿宋" w:hAnsi="仿宋" w:eastAsia="仿宋"/>
          <w:color w:val="auto"/>
          <w:highlight w:val="none"/>
        </w:rPr>
      </w:pPr>
      <w:bookmarkStart w:id="100" w:name="_Toc650"/>
      <w:bookmarkStart w:id="101" w:name="_Toc15396630"/>
      <w:r>
        <w:rPr>
          <w:rStyle w:val="29"/>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9"/>
          <w:rFonts w:hint="eastAsia" w:ascii="仿宋" w:hAnsi="仿宋" w:eastAsia="仿宋"/>
          <w:b w:val="0"/>
          <w:bCs w:val="0"/>
          <w:color w:val="auto"/>
          <w:highlight w:val="none"/>
        </w:rPr>
        <w:t>府性基金预算财政拨款“三公”经费支出决算表</w:t>
      </w:r>
      <w:bookmarkEnd w:id="100"/>
      <w:bookmarkEnd w:id="101"/>
    </w:p>
    <w:p>
      <w:pPr>
        <w:pStyle w:val="4"/>
        <w:rPr>
          <w:rStyle w:val="29"/>
          <w:rFonts w:hint="eastAsia" w:ascii="仿宋" w:hAnsi="仿宋" w:eastAsia="仿宋"/>
          <w:b w:val="0"/>
          <w:bCs w:val="0"/>
          <w:color w:val="auto"/>
          <w:highlight w:val="none"/>
        </w:rPr>
      </w:pPr>
      <w:bookmarkStart w:id="102" w:name="_Toc11507"/>
      <w:bookmarkStart w:id="103" w:name="_Toc15396631"/>
      <w:r>
        <w:rPr>
          <w:rStyle w:val="29"/>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9"/>
          <w:rFonts w:hint="eastAsia" w:ascii="仿宋" w:hAnsi="仿宋" w:eastAsia="仿宋"/>
          <w:b w:val="0"/>
          <w:bCs w:val="0"/>
          <w:color w:val="auto"/>
          <w:highlight w:val="none"/>
        </w:rPr>
        <w:t>有资本经营预算</w:t>
      </w:r>
      <w:r>
        <w:rPr>
          <w:rStyle w:val="29"/>
          <w:rFonts w:hint="eastAsia" w:ascii="仿宋" w:hAnsi="仿宋" w:eastAsia="仿宋"/>
          <w:b w:val="0"/>
          <w:bCs w:val="0"/>
          <w:color w:val="auto"/>
          <w:highlight w:val="none"/>
          <w:lang w:eastAsia="zh-CN"/>
        </w:rPr>
        <w:t>财政拨款收入</w:t>
      </w:r>
      <w:r>
        <w:rPr>
          <w:rStyle w:val="29"/>
          <w:rFonts w:hint="eastAsia" w:ascii="仿宋" w:hAnsi="仿宋" w:eastAsia="仿宋"/>
          <w:b w:val="0"/>
          <w:bCs w:val="0"/>
          <w:color w:val="auto"/>
          <w:highlight w:val="none"/>
        </w:rPr>
        <w:t>支出决算表</w:t>
      </w:r>
      <w:bookmarkEnd w:id="102"/>
      <w:bookmarkEnd w:id="103"/>
    </w:p>
    <w:p>
      <w:pPr>
        <w:rPr>
          <w:rFonts w:hint="eastAsia" w:eastAsia="仿宋"/>
          <w:color w:val="auto"/>
          <w:highlight w:val="none"/>
          <w:lang w:eastAsia="zh-CN"/>
        </w:rPr>
      </w:pPr>
      <w:bookmarkStart w:id="104" w:name="_Toc18920"/>
      <w:r>
        <w:rPr>
          <w:rStyle w:val="29"/>
          <w:rFonts w:hint="eastAsia" w:ascii="仿宋" w:hAnsi="仿宋" w:eastAsia="仿宋"/>
          <w:b w:val="0"/>
          <w:bCs w:val="0"/>
          <w:color w:val="auto"/>
          <w:highlight w:val="none"/>
          <w:lang w:eastAsia="zh-CN"/>
        </w:rPr>
        <w:t>十四、国有资本经营预算财政拨款支出决算表</w:t>
      </w:r>
      <w:bookmarkEnd w:id="104"/>
    </w:p>
    <w:sectPr>
      <w:footerReference r:id="rId5" w:type="first"/>
      <w:footerReference r:id="rId4" w:type="default"/>
      <w:pgSz w:w="11906" w:h="16838"/>
      <w:pgMar w:top="178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lMmVjY2U1Y2ZkM2FlZWVjNjk1YjBlMGNhMWM2OD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FF6048"/>
    <w:rsid w:val="02A1111E"/>
    <w:rsid w:val="06CB676A"/>
    <w:rsid w:val="0A2032A3"/>
    <w:rsid w:val="0B8A37D8"/>
    <w:rsid w:val="0BD8116C"/>
    <w:rsid w:val="10C055FF"/>
    <w:rsid w:val="118107EC"/>
    <w:rsid w:val="11DD6519"/>
    <w:rsid w:val="13D70229"/>
    <w:rsid w:val="14D709D0"/>
    <w:rsid w:val="15B21A5E"/>
    <w:rsid w:val="16BB723D"/>
    <w:rsid w:val="18015F3F"/>
    <w:rsid w:val="1BE8440E"/>
    <w:rsid w:val="1CFF5554"/>
    <w:rsid w:val="1D155CEE"/>
    <w:rsid w:val="1F626997"/>
    <w:rsid w:val="20F57F95"/>
    <w:rsid w:val="240371BF"/>
    <w:rsid w:val="25C741E6"/>
    <w:rsid w:val="26655E3B"/>
    <w:rsid w:val="27842671"/>
    <w:rsid w:val="29FD04D3"/>
    <w:rsid w:val="2ABE7A3E"/>
    <w:rsid w:val="2B2A02C7"/>
    <w:rsid w:val="2C22657D"/>
    <w:rsid w:val="2EFA178C"/>
    <w:rsid w:val="2F8E3237"/>
    <w:rsid w:val="30B46D73"/>
    <w:rsid w:val="319F7F4E"/>
    <w:rsid w:val="32DE2977"/>
    <w:rsid w:val="34CB57EC"/>
    <w:rsid w:val="35D01343"/>
    <w:rsid w:val="39AE70AB"/>
    <w:rsid w:val="3C0C0783"/>
    <w:rsid w:val="3F795B0E"/>
    <w:rsid w:val="3F9F3A96"/>
    <w:rsid w:val="43DB56E8"/>
    <w:rsid w:val="493C27E9"/>
    <w:rsid w:val="496F39ED"/>
    <w:rsid w:val="49FF41D3"/>
    <w:rsid w:val="4A185DC8"/>
    <w:rsid w:val="4BE068DB"/>
    <w:rsid w:val="4BF6002B"/>
    <w:rsid w:val="4E444C59"/>
    <w:rsid w:val="4E890AF8"/>
    <w:rsid w:val="4E9E423C"/>
    <w:rsid w:val="4ECE2238"/>
    <w:rsid w:val="4EE77522"/>
    <w:rsid w:val="4F7F1DAA"/>
    <w:rsid w:val="51DB4B86"/>
    <w:rsid w:val="521955A6"/>
    <w:rsid w:val="55333C3E"/>
    <w:rsid w:val="59E3084A"/>
    <w:rsid w:val="5BEC60DC"/>
    <w:rsid w:val="5F5F6BC4"/>
    <w:rsid w:val="64CA39A1"/>
    <w:rsid w:val="6A091FF5"/>
    <w:rsid w:val="6C4A05C8"/>
    <w:rsid w:val="72520F14"/>
    <w:rsid w:val="72734D90"/>
    <w:rsid w:val="74E366CA"/>
    <w:rsid w:val="76FF191C"/>
    <w:rsid w:val="78774B27"/>
    <w:rsid w:val="79E7B28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Normal Indent"/>
    <w:basedOn w:val="1"/>
    <w:qFormat/>
    <w:uiPriority w:val="99"/>
    <w:pPr>
      <w:ind w:firstLine="420" w:firstLineChars="200"/>
    </w:pPr>
  </w:style>
  <w:style w:type="paragraph" w:styleId="7">
    <w:name w:val="Salutation"/>
    <w:basedOn w:val="1"/>
    <w:next w:val="1"/>
    <w:qFormat/>
    <w:uiPriority w:val="99"/>
  </w:style>
  <w:style w:type="paragraph" w:styleId="8">
    <w:name w:val="toc 3"/>
    <w:basedOn w:val="1"/>
    <w:next w:val="1"/>
    <w:unhideWhenUsed/>
    <w:qFormat/>
    <w:uiPriority w:val="39"/>
    <w:pPr>
      <w:tabs>
        <w:tab w:val="right" w:leader="dot" w:pos="8296"/>
      </w:tabs>
      <w:ind w:left="840" w:leftChars="400"/>
    </w:pPr>
  </w:style>
  <w:style w:type="paragraph" w:styleId="9">
    <w:name w:val="Body Text Indent 2"/>
    <w:basedOn w:val="1"/>
    <w:qFormat/>
    <w:uiPriority w:val="99"/>
    <w:pPr>
      <w:spacing w:after="120" w:line="480" w:lineRule="auto"/>
      <w:ind w:left="42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0"/>
    <w:semiHidden/>
    <w:qFormat/>
    <w:uiPriority w:val="99"/>
    <w:rPr>
      <w:rFonts w:ascii="Times New Roman" w:hAnsi="Times New Roman"/>
      <w:kern w:val="2"/>
      <w:sz w:val="18"/>
      <w:szCs w:val="18"/>
    </w:rPr>
  </w:style>
  <w:style w:type="character" w:customStyle="1" w:styleId="32">
    <w:name w:val="标题 3 Char"/>
    <w:basedOn w:val="17"/>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image" Target="media/image2.emf"/><Relationship Id="rId12" Type="http://schemas.openxmlformats.org/officeDocument/2006/relationships/oleObject" Target="embeddings/oleObject3.bin"/><Relationship Id="rId11" Type="http://schemas.openxmlformats.org/officeDocument/2006/relationships/oleObject" Target="embeddings/oleObject2.bin"/><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rot="0" spcFirstLastPara="0" vertOverflow="ellipsis" vert="horz" wrap="square" anchor="ctr" anchorCtr="1"/>
          <a:lstStyle/>
          <a:p>
            <a:pPr>
              <a:defRPr lang="zh-CN" sz="1800" b="0" i="0" u="none" strike="noStrike" kern="1200" baseline="0">
                <a:solidFill>
                  <a:srgbClr val="000000"/>
                </a:solidFill>
                <a:latin typeface="+mn-lt"/>
                <a:ea typeface="+mn-ea"/>
                <a:cs typeface="+mn-cs"/>
              </a:defRPr>
            </a:pPr>
            <a:r>
              <a:rPr lang="zh-CN" b="0"/>
              <a:t>收入比重</a:t>
            </a:r>
            <a:endParaRPr lang="zh-CN" b="0"/>
          </a:p>
        </c:rich>
      </c:tx>
      <c:layout>
        <c:manualLayout>
          <c:xMode val="edge"/>
          <c:yMode val="edge"/>
          <c:x val="0.388500000000001"/>
          <c:y val="0.0231481481481481"/>
        </c:manualLayout>
      </c:layout>
      <c:overlay val="0"/>
    </c:title>
    <c:autoTitleDeleted val="0"/>
    <c:plotArea>
      <c:layout/>
      <c:pieChart>
        <c:varyColors val="1"/>
        <c:ser>
          <c:idx val="0"/>
          <c:order val="0"/>
          <c:explosion val="0"/>
          <c:dPt>
            <c:idx val="0"/>
            <c:bubble3D val="0"/>
          </c:dPt>
          <c:dPt>
            <c:idx val="1"/>
            <c:bubble3D val="0"/>
          </c:dPt>
          <c:dPt>
            <c:idx val="2"/>
            <c:bubble3D val="0"/>
          </c:dPt>
          <c:dPt>
            <c:idx val="3"/>
            <c:bubble3D val="0"/>
          </c:dPt>
          <c:dPt>
            <c:idx val="4"/>
            <c:bubble3D val="0"/>
          </c:dPt>
          <c:dPt>
            <c:idx val="5"/>
            <c:bubble3D val="0"/>
          </c:dPt>
          <c:dPt>
            <c:idx val="6"/>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Sheet1!$A$3:$A$9</c:f>
              <c:strCache>
                <c:ptCount val="7"/>
                <c:pt idx="0">
                  <c:v>一般公共预算财政拨款收入</c:v>
                </c:pt>
                <c:pt idx="1">
                  <c:v>政府性基金预算财政拨款收入</c:v>
                </c:pt>
                <c:pt idx="2">
                  <c:v>国有资本经营预算财政拨款收入</c:v>
                </c:pt>
                <c:pt idx="3">
                  <c:v>事业收入</c:v>
                </c:pt>
                <c:pt idx="4">
                  <c:v>经营收入</c:v>
                </c:pt>
                <c:pt idx="5">
                  <c:v>附属单位上缴收入</c:v>
                </c:pt>
                <c:pt idx="6">
                  <c:v>其他收入</c:v>
                </c:pt>
              </c:strCache>
            </c:strRef>
          </c:cat>
          <c:val>
            <c:numRef>
              <c:f>Sheet1!$B$3:$B$9</c:f>
              <c:numCache>
                <c:formatCode>General</c:formatCode>
                <c:ptCount val="7"/>
                <c:pt idx="0">
                  <c:v>1436.45</c:v>
                </c:pt>
              </c:numCache>
            </c:numRef>
          </c:val>
        </c:ser>
        <c:dLbls>
          <c:showLegendKey val="0"/>
          <c:showVal val="0"/>
          <c:showCatName val="0"/>
          <c:showSerName val="0"/>
          <c:showPercent val="1"/>
          <c:showBubbleSize val="0"/>
          <c:showLeaderLines val="1"/>
        </c:dLbls>
        <c:firstSliceAng val="0"/>
      </c:pieChart>
    </c:plotArea>
    <c:legend>
      <c:legendPos val="r"/>
      <c:legendEntry>
        <c:idx val="4"/>
        <c:delete val="1"/>
      </c:legendEntry>
      <c:legendEntry>
        <c:idx val="5"/>
        <c:delete val="1"/>
      </c:legendEntry>
      <c:legendEntry>
        <c:idx val="6"/>
        <c:delete val="1"/>
      </c:legendEntry>
      <c:layout>
        <c:manualLayout>
          <c:xMode val="edge"/>
          <c:yMode val="edge"/>
          <c:x val="0.652765957446809"/>
          <c:y val="0.188661202185792"/>
        </c:manualLayout>
      </c:layout>
      <c:overlay val="0"/>
      <c:txPr>
        <a:bodyPr rot="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支出占比图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11121562146496"/>
                  <c:y val="0.003184684824120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180.21万元</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180.21</c:v>
                </c:pt>
                <c:pt idx="1">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manualLayout>
                  <c:x val="-0.00570445961271693"/>
                  <c:y val="-0.025319688286685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233565904875462"/>
                  <c:y val="-0.033620527630702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604079299945244"/>
                  <c:y val="0.003559717774545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一般公共服务（类）</c:v>
                </c:pt>
                <c:pt idx="1">
                  <c:v>社会保障和就业</c:v>
                </c:pt>
                <c:pt idx="2">
                  <c:v>卫生健康支出</c:v>
                </c:pt>
                <c:pt idx="3">
                  <c:v>住房保障支出</c:v>
                </c:pt>
              </c:strCache>
            </c:strRef>
          </c:cat>
          <c:val>
            <c:numRef>
              <c:f>Sheet1!$B$2:$B$5</c:f>
              <c:numCache>
                <c:formatCode>General</c:formatCode>
                <c:ptCount val="4"/>
                <c:pt idx="0">
                  <c:v>171.75</c:v>
                </c:pt>
                <c:pt idx="1">
                  <c:v>3.72</c:v>
                </c:pt>
                <c:pt idx="2">
                  <c:v>1.96</c:v>
                </c:pt>
                <c:pt idx="3">
                  <c:v>2.79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因公出国（境）费支出决算</c:v>
                </c:pt>
                <c:pt idx="1">
                  <c:v>公务用车购置及运行维护费支出决算</c:v>
                </c:pt>
                <c:pt idx="2">
                  <c:v>公务接待费支出决算</c:v>
                </c:pt>
              </c:strCache>
            </c:strRef>
          </c:cat>
          <c:val>
            <c:numRef>
              <c:f>Sheet1!$B$2:$B$4</c:f>
              <c:numCache>
                <c:formatCode>General</c:formatCode>
                <c:ptCount val="3"/>
                <c:pt idx="0">
                  <c:v>0</c:v>
                </c:pt>
                <c:pt idx="1">
                  <c:v>10.87</c:v>
                </c:pt>
                <c:pt idx="2">
                  <c:v>33.91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5789</Words>
  <Characters>6182</Characters>
  <Lines>61</Lines>
  <Paragraphs>17</Paragraphs>
  <TotalTime>14</TotalTime>
  <ScaleCrop>false</ScaleCrop>
  <LinksUpToDate>false</LinksUpToDate>
  <CharactersWithSpaces>6254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sfn</cp:lastModifiedBy>
  <cp:lastPrinted>2022-09-28T07:14:00Z</cp:lastPrinted>
  <dcterms:modified xsi:type="dcterms:W3CDTF">2023-09-04T02:18:25Z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7C47C94993404CDDBCA2911A8CF9A74D</vt:lpwstr>
  </property>
</Properties>
</file>