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77193"/>
      <w:bookmarkStart w:id="3" w:name="_Toc15396475"/>
      <w:bookmarkStart w:id="4" w:name="_Toc15396597"/>
      <w:bookmarkStart w:id="5"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96598"/>
      <w:bookmarkStart w:id="7" w:name="_Toc15377426"/>
      <w:bookmarkStart w:id="8" w:name="_Toc15396476"/>
      <w:bookmarkStart w:id="9" w:name="_Toc15378442"/>
      <w:bookmarkStart w:id="10" w:name="_Toc15306268"/>
      <w:bookmarkStart w:id="11" w:name="_Toc15377194"/>
      <w:r>
        <w:rPr>
          <w:rFonts w:hint="eastAsia" w:ascii="方正小标宋简体" w:hAnsi="方正小标宋简体" w:eastAsia="方正小标宋简体" w:cs="方正小标宋简体"/>
          <w:color w:val="auto"/>
          <w:sz w:val="58"/>
          <w:szCs w:val="58"/>
          <w:highlight w:val="none"/>
        </w:rPr>
        <w:t>四川省</w:t>
      </w:r>
      <w:r>
        <w:rPr>
          <w:rFonts w:hint="eastAsia" w:ascii="方正小标宋简体" w:hAnsi="方正小标宋简体" w:eastAsia="方正小标宋简体" w:cs="方正小标宋简体"/>
          <w:color w:val="auto"/>
          <w:sz w:val="58"/>
          <w:szCs w:val="58"/>
          <w:highlight w:val="none"/>
          <w:lang w:val="en-US" w:eastAsia="zh-CN"/>
        </w:rPr>
        <w:t>广元市昭化区融媒体中心</w:t>
      </w:r>
      <w:r>
        <w:rPr>
          <w:rFonts w:hint="eastAsia" w:ascii="方正小标宋简体" w:hAnsi="方正小标宋简体" w:eastAsia="方正小标宋简体" w:cs="方正小标宋简体"/>
          <w:color w:val="auto"/>
          <w:sz w:val="72"/>
          <w:szCs w:val="72"/>
          <w:highlight w:val="none"/>
          <w:lang w:val="en-US" w:eastAsia="zh-CN"/>
        </w:rPr>
        <w:t>部门</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0"/>
        <w:jc w:val="both"/>
        <w:rPr>
          <w:color w:val="auto"/>
          <w:highlight w:val="none"/>
        </w:rPr>
      </w:pPr>
    </w:p>
    <w:p>
      <w:pPr>
        <w:rPr>
          <w:color w:val="auto"/>
          <w:highlight w:val="none"/>
        </w:rPr>
      </w:pP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11"/>
        <w:adjustRightInd w:val="0"/>
        <w:snapToGrid w:val="0"/>
        <w:spacing w:line="440" w:lineRule="exact"/>
        <w:jc w:val="left"/>
        <w:rPr>
          <w:rFonts w:hint="default"/>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sz w:val="24"/>
          <w:lang w:val="en-US" w:eastAsia="zh-CN"/>
        </w:rPr>
        <w:t>.................................................................................. ...................4</w:t>
      </w: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机构设置</w:t>
      </w:r>
      <w:r>
        <w:rPr>
          <w:rFonts w:hint="eastAsia"/>
          <w:sz w:val="24"/>
          <w:lang w:val="en-US" w:eastAsia="zh-CN"/>
        </w:rPr>
        <w:t>.................................................................................. ...................4</w:t>
      </w:r>
    </w:p>
    <w:p>
      <w:pPr>
        <w:pStyle w:val="11"/>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sz w:val="24"/>
          <w:lang w:val="en-US" w:eastAsia="zh-CN"/>
        </w:rPr>
        <w:t>.........................................................................4</w:t>
      </w: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一、收入支出决算总体情况说明</w:t>
      </w:r>
      <w:r>
        <w:rPr>
          <w:rFonts w:hint="eastAsia"/>
          <w:sz w:val="24"/>
          <w:lang w:val="en-US" w:eastAsia="zh-CN"/>
        </w:rPr>
        <w:t>.......................................................................8</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二、收入决算情况说明</w:t>
      </w:r>
      <w:r>
        <w:rPr>
          <w:rFonts w:hint="eastAsia"/>
          <w:sz w:val="24"/>
          <w:lang w:val="en-US" w:eastAsia="zh-CN"/>
        </w:rPr>
        <w:t>.......................................................................................9</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sz w:val="24"/>
          <w:lang w:val="en-US" w:eastAsia="zh-CN"/>
        </w:rPr>
        <w:t>.......................................................................................9</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sz w:val="24"/>
          <w:lang w:val="en-US" w:eastAsia="zh-CN"/>
        </w:rPr>
        <w:t>.......................................................10</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sz w:val="24"/>
          <w:lang w:val="en-US" w:eastAsia="zh-CN"/>
        </w:rPr>
        <w:t>...............................................10</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sz w:val="24"/>
          <w:lang w:val="en-US" w:eastAsia="zh-CN"/>
        </w:rPr>
        <w:t>.......................................12</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sz w:val="24"/>
          <w:lang w:val="en-US" w:eastAsia="zh-CN"/>
        </w:rPr>
        <w:t>..................................................13</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sz w:val="24"/>
          <w:lang w:val="en-US" w:eastAsia="zh-CN"/>
        </w:rPr>
        <w:t>............................................................14</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sz w:val="24"/>
          <w:lang w:val="en-US" w:eastAsia="zh-CN"/>
        </w:rPr>
        <w:t>........................................................14</w:t>
      </w:r>
    </w:p>
    <w:p>
      <w:pPr>
        <w:pStyle w:val="11"/>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w:t>
      </w:r>
      <w:r>
        <w:rPr>
          <w:rFonts w:hint="eastAsia"/>
          <w:sz w:val="24"/>
          <w:lang w:val="en-US" w:eastAsia="zh-CN"/>
        </w:rPr>
        <w:t>........................................................................................15</w:t>
      </w:r>
    </w:p>
    <w:p>
      <w:pPr>
        <w:pStyle w:val="11"/>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rFonts w:hint="eastAsia"/>
          <w:sz w:val="24"/>
          <w:lang w:val="en-US" w:eastAsia="zh-CN"/>
        </w:rPr>
        <w:t>........................................................................15</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default" w:ascii="Times New Roman" w:hAnsi="Times New Roman" w:cs="Times New Roman"/>
          <w:sz w:val="24"/>
          <w:lang w:val="en-US" w:eastAsia="zh-CN"/>
        </w:rPr>
        <w:t>....................................................................................................</w:t>
      </w:r>
      <w:r>
        <w:rPr>
          <w:rFonts w:hint="eastAsia" w:ascii="Times New Roman" w:hAnsi="Times New Roman" w:cs="Times New Roman"/>
          <w:sz w:val="24"/>
          <w:lang w:val="en-US" w:eastAsia="zh-CN"/>
        </w:rPr>
        <w:t>16</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default" w:ascii="Times New Roman" w:hAnsi="Times New Roman" w:cs="Times New Roman"/>
          <w:sz w:val="24"/>
          <w:lang w:val="en-US" w:eastAsia="zh-CN"/>
        </w:rPr>
        <w:t>............................................................................................................</w:t>
      </w:r>
      <w:r>
        <w:rPr>
          <w:rFonts w:hint="eastAsia" w:ascii="Times New Roman" w:hAnsi="Times New Roman" w:cs="Times New Roman"/>
          <w:sz w:val="24"/>
          <w:lang w:val="en-US" w:eastAsia="zh-CN"/>
        </w:rPr>
        <w:t>18</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default" w:ascii="Times New Roman" w:hAnsi="Times New Roman" w:cs="Times New Roman"/>
          <w:sz w:val="24"/>
          <w:lang w:val="en-US" w:eastAsia="zh-CN"/>
        </w:rPr>
        <w:t>............................................................................................................</w:t>
      </w:r>
      <w:r>
        <w:rPr>
          <w:rFonts w:hint="eastAsia" w:ascii="Times New Roman" w:hAnsi="Times New Roman" w:cs="Times New Roman"/>
          <w:sz w:val="24"/>
          <w:lang w:val="en-US" w:eastAsia="zh-CN"/>
        </w:rPr>
        <w:t>19</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p>
    <w:p>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3"/>
        <w:jc w:val="center"/>
        <w:rPr>
          <w:rStyle w:val="25"/>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numPr>
          <w:ilvl w:val="0"/>
          <w:numId w:val="1"/>
        </w:numPr>
        <w:rPr>
          <w:rStyle w:val="26"/>
          <w:rFonts w:hint="eastAsia" w:ascii="黑体" w:hAnsi="黑体" w:eastAsia="黑体"/>
          <w:b w:val="0"/>
          <w:bCs w:val="0"/>
          <w:color w:val="auto"/>
          <w:highlight w:val="none"/>
          <w:lang w:eastAsia="zh-CN"/>
        </w:rPr>
      </w:pPr>
      <w:bookmarkStart w:id="14" w:name="_Toc15377197"/>
      <w:bookmarkStart w:id="15" w:name="_Toc15396600"/>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p>
    <w:p>
      <w:pPr>
        <w:pStyle w:val="2"/>
        <w:adjustRightInd w:val="0"/>
        <w:snapToGrid w:val="0"/>
        <w:spacing w:line="600" w:lineRule="exact"/>
        <w:ind w:firstLine="672" w:firstLineChars="210"/>
        <w:rPr>
          <w:rFonts w:hint="eastAsia"/>
          <w:bCs/>
          <w:color w:val="000000"/>
          <w:sz w:val="32"/>
          <w:szCs w:val="32"/>
        </w:rPr>
      </w:pPr>
      <w:r>
        <w:rPr>
          <w:rFonts w:hint="eastAsia"/>
          <w:bCs/>
          <w:color w:val="000000"/>
          <w:sz w:val="32"/>
          <w:szCs w:val="32"/>
        </w:rPr>
        <w:t>昭化</w:t>
      </w:r>
      <w:r>
        <w:rPr>
          <w:rFonts w:hint="eastAsia"/>
          <w:bCs/>
          <w:color w:val="000000"/>
          <w:sz w:val="32"/>
          <w:szCs w:val="32"/>
          <w:lang w:eastAsia="zh-CN"/>
        </w:rPr>
        <w:t>区</w:t>
      </w:r>
      <w:r>
        <w:rPr>
          <w:rFonts w:hint="eastAsia"/>
          <w:bCs/>
          <w:color w:val="000000"/>
          <w:sz w:val="32"/>
          <w:szCs w:val="32"/>
          <w:lang w:val="en-US" w:eastAsia="zh-CN"/>
        </w:rPr>
        <w:t>融媒体中心</w:t>
      </w:r>
      <w:r>
        <w:rPr>
          <w:rFonts w:hint="eastAsia"/>
          <w:bCs/>
          <w:color w:val="000000"/>
          <w:sz w:val="32"/>
          <w:szCs w:val="32"/>
        </w:rPr>
        <w:t>主要负责新闻、广告、广播技术服务、电视节目播映、转播等工作。负责全区广播电视宣传工作，坚持正确的舆论导向，拟定宣传要点；办好昭化地方特色的新闻节目和其他综合性节目，创办精品栏目，提高节目质量，加大对外宣传力度，严格宣传新闻纪律；负责自办节目的策划、采制、审查、包装及播出编排和管理工作，负责电视节目交流；加大对乡镇广播电视宣传工作的指导和播放质量的监督力度。</w:t>
      </w:r>
    </w:p>
    <w:p>
      <w:pPr>
        <w:pStyle w:val="2"/>
        <w:numPr>
          <w:ilvl w:val="0"/>
          <w:numId w:val="1"/>
        </w:numPr>
        <w:adjustRightInd w:val="0"/>
        <w:snapToGrid w:val="0"/>
        <w:spacing w:line="600" w:lineRule="exact"/>
        <w:ind w:left="0" w:leftChars="0" w:firstLine="0" w:firstLineChars="0"/>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机构设置</w:t>
      </w:r>
    </w:p>
    <w:p>
      <w:pPr>
        <w:spacing w:line="600" w:lineRule="exact"/>
        <w:ind w:firstLine="640" w:firstLineChars="200"/>
        <w:rPr>
          <w:rFonts w:hint="eastAsia" w:ascii="华文仿宋" w:hAnsi="华文仿宋" w:eastAsia="华文仿宋" w:cs="华文仿宋"/>
          <w:color w:val="000000"/>
          <w:sz w:val="32"/>
          <w:szCs w:val="32"/>
        </w:rPr>
      </w:pPr>
      <w:r>
        <w:rPr>
          <w:rFonts w:hint="eastAsia" w:ascii="华文仿宋" w:hAnsi="华文仿宋" w:eastAsia="华文仿宋" w:cs="华文仿宋"/>
          <w:sz w:val="32"/>
          <w:szCs w:val="32"/>
          <w:lang w:val="en-US" w:eastAsia="zh-CN"/>
        </w:rPr>
        <w:t>区融媒体中心</w:t>
      </w:r>
      <w:r>
        <w:rPr>
          <w:rFonts w:hint="eastAsia" w:ascii="华文仿宋" w:hAnsi="华文仿宋" w:eastAsia="华文仿宋" w:cs="华文仿宋"/>
          <w:color w:val="000000"/>
          <w:sz w:val="32"/>
          <w:szCs w:val="32"/>
          <w:lang w:eastAsia="zh-CN"/>
        </w:rPr>
        <w:t>是</w:t>
      </w:r>
      <w:r>
        <w:rPr>
          <w:rFonts w:hint="eastAsia" w:ascii="华文仿宋" w:hAnsi="华文仿宋" w:eastAsia="华文仿宋" w:cs="华文仿宋"/>
          <w:color w:val="000000"/>
          <w:sz w:val="32"/>
          <w:szCs w:val="32"/>
          <w:lang w:val="en-US" w:eastAsia="zh-CN"/>
        </w:rPr>
        <w:t>区委直属</w:t>
      </w:r>
      <w:r>
        <w:rPr>
          <w:rFonts w:hint="eastAsia" w:ascii="华文仿宋" w:hAnsi="华文仿宋" w:eastAsia="华文仿宋" w:cs="华文仿宋"/>
          <w:color w:val="000000"/>
          <w:sz w:val="32"/>
          <w:szCs w:val="32"/>
          <w:lang w:eastAsia="zh-CN"/>
        </w:rPr>
        <w:t>的</w:t>
      </w:r>
      <w:r>
        <w:rPr>
          <w:rFonts w:hint="eastAsia" w:ascii="华文仿宋" w:hAnsi="华文仿宋" w:eastAsia="华文仿宋" w:cs="华文仿宋"/>
          <w:color w:val="000000"/>
          <w:sz w:val="32"/>
          <w:szCs w:val="32"/>
          <w:lang w:val="en-US" w:eastAsia="zh-CN"/>
        </w:rPr>
        <w:t>正科级</w:t>
      </w:r>
      <w:r>
        <w:rPr>
          <w:rFonts w:hint="eastAsia" w:ascii="华文仿宋" w:hAnsi="华文仿宋" w:eastAsia="华文仿宋" w:cs="华文仿宋"/>
          <w:color w:val="000000"/>
          <w:sz w:val="32"/>
          <w:szCs w:val="32"/>
          <w:lang w:eastAsia="zh-CN"/>
        </w:rPr>
        <w:t>事业单位，</w:t>
      </w:r>
      <w:r>
        <w:rPr>
          <w:rFonts w:hint="eastAsia" w:ascii="华文仿宋" w:hAnsi="华文仿宋" w:eastAsia="华文仿宋" w:cs="华文仿宋"/>
          <w:color w:val="000000"/>
          <w:sz w:val="32"/>
          <w:szCs w:val="32"/>
          <w:lang w:val="en-US" w:eastAsia="zh-CN"/>
        </w:rPr>
        <w:t>归口区委宣传部领导和管理</w:t>
      </w:r>
      <w:r>
        <w:rPr>
          <w:rFonts w:hint="eastAsia" w:ascii="华文仿宋" w:hAnsi="华文仿宋" w:eastAsia="华文仿宋" w:cs="华文仿宋"/>
          <w:color w:val="000000"/>
          <w:sz w:val="32"/>
          <w:szCs w:val="32"/>
          <w:lang w:eastAsia="zh-CN"/>
        </w:rPr>
        <w:t>，</w:t>
      </w:r>
      <w:r>
        <w:rPr>
          <w:rFonts w:hint="eastAsia" w:ascii="华文仿宋" w:hAnsi="华文仿宋" w:eastAsia="华文仿宋" w:cs="华文仿宋"/>
          <w:color w:val="000000"/>
          <w:sz w:val="32"/>
          <w:szCs w:val="32"/>
        </w:rPr>
        <w:t>下属二级单位</w:t>
      </w:r>
      <w:r>
        <w:rPr>
          <w:rFonts w:hint="eastAsia" w:ascii="华文仿宋" w:hAnsi="华文仿宋" w:eastAsia="华文仿宋" w:cs="华文仿宋"/>
          <w:color w:val="000000"/>
          <w:sz w:val="32"/>
          <w:szCs w:val="32"/>
          <w:lang w:val="en-US" w:eastAsia="zh-CN"/>
        </w:rPr>
        <w:t>0</w:t>
      </w:r>
      <w:r>
        <w:rPr>
          <w:rFonts w:hint="eastAsia" w:ascii="华文仿宋" w:hAnsi="华文仿宋" w:eastAsia="华文仿宋" w:cs="华文仿宋"/>
          <w:color w:val="000000"/>
          <w:sz w:val="32"/>
          <w:szCs w:val="32"/>
        </w:rPr>
        <w:t>个，其中行政单位</w:t>
      </w:r>
      <w:r>
        <w:rPr>
          <w:rFonts w:hint="eastAsia" w:ascii="华文仿宋" w:hAnsi="华文仿宋" w:eastAsia="华文仿宋" w:cs="华文仿宋"/>
          <w:color w:val="000000"/>
          <w:sz w:val="32"/>
          <w:szCs w:val="32"/>
          <w:lang w:val="en-US" w:eastAsia="zh-CN"/>
        </w:rPr>
        <w:t>0</w:t>
      </w:r>
      <w:r>
        <w:rPr>
          <w:rFonts w:hint="eastAsia" w:ascii="华文仿宋" w:hAnsi="华文仿宋" w:eastAsia="华文仿宋" w:cs="华文仿宋"/>
          <w:color w:val="000000"/>
          <w:sz w:val="32"/>
          <w:szCs w:val="32"/>
        </w:rPr>
        <w:t>个，参照公务员法管理的事业单位</w:t>
      </w:r>
      <w:r>
        <w:rPr>
          <w:rFonts w:hint="eastAsia" w:ascii="华文仿宋" w:hAnsi="华文仿宋" w:eastAsia="华文仿宋" w:cs="华文仿宋"/>
          <w:bCs/>
          <w:color w:val="000000"/>
          <w:sz w:val="32"/>
          <w:szCs w:val="32"/>
          <w:lang w:val="en-US" w:eastAsia="zh-CN"/>
        </w:rPr>
        <w:t>0</w:t>
      </w:r>
      <w:r>
        <w:rPr>
          <w:rFonts w:hint="eastAsia" w:ascii="华文仿宋" w:hAnsi="华文仿宋" w:eastAsia="华文仿宋" w:cs="华文仿宋"/>
          <w:color w:val="000000"/>
          <w:sz w:val="32"/>
          <w:szCs w:val="32"/>
        </w:rPr>
        <w:t>个，其他事业单位</w:t>
      </w:r>
      <w:r>
        <w:rPr>
          <w:rFonts w:hint="eastAsia" w:ascii="华文仿宋" w:hAnsi="华文仿宋" w:eastAsia="华文仿宋" w:cs="华文仿宋"/>
          <w:color w:val="000000"/>
          <w:sz w:val="32"/>
          <w:szCs w:val="32"/>
          <w:lang w:val="en-US" w:eastAsia="zh-CN"/>
        </w:rPr>
        <w:t>0</w:t>
      </w:r>
      <w:r>
        <w:rPr>
          <w:rFonts w:hint="eastAsia" w:ascii="华文仿宋" w:hAnsi="华文仿宋" w:eastAsia="华文仿宋" w:cs="华文仿宋"/>
          <w:color w:val="000000"/>
          <w:sz w:val="32"/>
          <w:szCs w:val="32"/>
        </w:rPr>
        <w:t>个。</w:t>
      </w:r>
    </w:p>
    <w:p>
      <w:pPr>
        <w:spacing w:line="600" w:lineRule="exact"/>
        <w:ind w:firstLine="640" w:firstLineChars="2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20</w:t>
      </w:r>
      <w:r>
        <w:rPr>
          <w:rFonts w:hint="eastAsia" w:ascii="华文仿宋" w:hAnsi="华文仿宋" w:eastAsia="华文仿宋" w:cs="华文仿宋"/>
          <w:color w:val="000000"/>
          <w:sz w:val="32"/>
          <w:szCs w:val="32"/>
          <w:lang w:val="en-US" w:eastAsia="zh-CN"/>
        </w:rPr>
        <w:t>21</w:t>
      </w:r>
      <w:r>
        <w:rPr>
          <w:rFonts w:hint="eastAsia" w:ascii="华文仿宋" w:hAnsi="华文仿宋" w:eastAsia="华文仿宋" w:cs="华文仿宋"/>
          <w:color w:val="000000"/>
          <w:sz w:val="32"/>
          <w:szCs w:val="32"/>
        </w:rPr>
        <w:t>年，</w:t>
      </w:r>
      <w:r>
        <w:rPr>
          <w:rFonts w:hint="eastAsia" w:ascii="华文仿宋" w:hAnsi="华文仿宋" w:eastAsia="华文仿宋" w:cs="华文仿宋"/>
          <w:sz w:val="32"/>
          <w:szCs w:val="32"/>
          <w:lang w:val="en-US" w:eastAsia="zh-CN"/>
        </w:rPr>
        <w:t>区融媒体中心</w:t>
      </w:r>
      <w:r>
        <w:rPr>
          <w:rFonts w:hint="eastAsia" w:ascii="华文仿宋" w:hAnsi="华文仿宋" w:eastAsia="华文仿宋" w:cs="华文仿宋"/>
          <w:color w:val="000000"/>
          <w:sz w:val="32"/>
          <w:szCs w:val="32"/>
          <w:lang w:eastAsia="zh-CN"/>
        </w:rPr>
        <w:t>核准编制</w:t>
      </w:r>
      <w:r>
        <w:rPr>
          <w:rFonts w:hint="eastAsia" w:ascii="华文仿宋" w:hAnsi="华文仿宋" w:eastAsia="华文仿宋" w:cs="华文仿宋"/>
          <w:color w:val="000000"/>
          <w:sz w:val="32"/>
          <w:szCs w:val="32"/>
          <w:lang w:val="en-US" w:eastAsia="zh-CN"/>
        </w:rPr>
        <w:t>24</w:t>
      </w:r>
      <w:r>
        <w:rPr>
          <w:rFonts w:hint="eastAsia" w:ascii="华文仿宋" w:hAnsi="华文仿宋" w:eastAsia="华文仿宋" w:cs="华文仿宋"/>
          <w:color w:val="000000"/>
          <w:sz w:val="32"/>
          <w:szCs w:val="32"/>
        </w:rPr>
        <w:t>人，</w:t>
      </w:r>
      <w:r>
        <w:rPr>
          <w:rFonts w:hint="eastAsia" w:ascii="华文仿宋" w:hAnsi="华文仿宋" w:eastAsia="华文仿宋" w:cs="华文仿宋"/>
          <w:color w:val="000000"/>
          <w:sz w:val="32"/>
          <w:szCs w:val="32"/>
          <w:lang w:eastAsia="zh-CN"/>
        </w:rPr>
        <w:t>年末实有在编人数为</w:t>
      </w:r>
      <w:r>
        <w:rPr>
          <w:rFonts w:hint="eastAsia" w:ascii="华文仿宋" w:hAnsi="华文仿宋" w:eastAsia="华文仿宋" w:cs="华文仿宋"/>
          <w:color w:val="000000"/>
          <w:sz w:val="32"/>
          <w:szCs w:val="32"/>
          <w:lang w:val="en-US" w:eastAsia="zh-CN"/>
        </w:rPr>
        <w:t>22人，其中：</w:t>
      </w:r>
      <w:r>
        <w:rPr>
          <w:rFonts w:hint="eastAsia" w:ascii="华文仿宋" w:hAnsi="华文仿宋" w:eastAsia="华文仿宋" w:cs="华文仿宋"/>
          <w:color w:val="000000"/>
          <w:sz w:val="32"/>
          <w:szCs w:val="32"/>
        </w:rPr>
        <w:t>事业编制</w:t>
      </w:r>
      <w:r>
        <w:rPr>
          <w:rFonts w:hint="eastAsia" w:ascii="华文仿宋" w:hAnsi="华文仿宋" w:eastAsia="华文仿宋" w:cs="华文仿宋"/>
          <w:color w:val="000000"/>
          <w:sz w:val="32"/>
          <w:szCs w:val="32"/>
          <w:lang w:eastAsia="zh-CN"/>
        </w:rPr>
        <w:t>人员</w:t>
      </w:r>
      <w:r>
        <w:rPr>
          <w:rFonts w:hint="eastAsia" w:ascii="华文仿宋" w:hAnsi="华文仿宋" w:eastAsia="华文仿宋" w:cs="华文仿宋"/>
          <w:color w:val="000000"/>
          <w:sz w:val="32"/>
          <w:szCs w:val="32"/>
          <w:lang w:val="en-US" w:eastAsia="zh-CN"/>
        </w:rPr>
        <w:t>22</w:t>
      </w:r>
      <w:r>
        <w:rPr>
          <w:rFonts w:hint="eastAsia" w:ascii="华文仿宋" w:hAnsi="华文仿宋" w:eastAsia="华文仿宋" w:cs="华文仿宋"/>
          <w:color w:val="000000"/>
          <w:sz w:val="32"/>
          <w:szCs w:val="32"/>
        </w:rPr>
        <w:t>人</w:t>
      </w:r>
      <w:r>
        <w:rPr>
          <w:rFonts w:hint="eastAsia" w:ascii="华文仿宋" w:hAnsi="华文仿宋" w:eastAsia="华文仿宋" w:cs="华文仿宋"/>
          <w:color w:val="000000"/>
          <w:sz w:val="32"/>
          <w:szCs w:val="32"/>
          <w:lang w:eastAsia="zh-CN"/>
        </w:rPr>
        <w:t>，</w:t>
      </w:r>
      <w:r>
        <w:rPr>
          <w:rFonts w:hint="eastAsia" w:ascii="华文仿宋" w:hAnsi="华文仿宋" w:eastAsia="华文仿宋" w:cs="华文仿宋"/>
          <w:color w:val="000000"/>
          <w:sz w:val="32"/>
          <w:szCs w:val="32"/>
        </w:rPr>
        <w:t>退休人员</w:t>
      </w:r>
      <w:r>
        <w:rPr>
          <w:rFonts w:hint="eastAsia" w:ascii="华文仿宋" w:hAnsi="华文仿宋" w:eastAsia="华文仿宋" w:cs="华文仿宋"/>
          <w:color w:val="000000"/>
          <w:sz w:val="32"/>
          <w:szCs w:val="32"/>
          <w:lang w:val="en-US" w:eastAsia="zh-CN"/>
        </w:rPr>
        <w:t>0</w:t>
      </w:r>
      <w:r>
        <w:rPr>
          <w:rFonts w:hint="eastAsia" w:ascii="华文仿宋" w:hAnsi="华文仿宋" w:eastAsia="华文仿宋" w:cs="华文仿宋"/>
          <w:color w:val="000000"/>
          <w:sz w:val="32"/>
          <w:szCs w:val="32"/>
        </w:rPr>
        <w:t>人。</w:t>
      </w:r>
    </w:p>
    <w:p>
      <w:pPr>
        <w:pStyle w:val="4"/>
        <w:numPr>
          <w:ilvl w:val="0"/>
          <w:numId w:val="0"/>
        </w:numPr>
        <w:rPr>
          <w:rFonts w:hint="eastAsia" w:ascii="黑体" w:hAnsi="黑体" w:eastAsia="黑体"/>
          <w:b w:val="0"/>
          <w:color w:val="auto"/>
          <w:highlight w:val="none"/>
        </w:rPr>
      </w:pPr>
      <w:r>
        <w:rPr>
          <w:rFonts w:hint="eastAsia" w:ascii="黑体" w:hAnsi="黑体" w:eastAsia="黑体"/>
          <w:b w:val="0"/>
          <w:color w:val="auto"/>
          <w:highlight w:val="none"/>
          <w:lang w:val="en-US" w:eastAsia="zh-CN"/>
        </w:rPr>
        <w:t>三、2021年重点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widowControl/>
        <w:ind w:firstLine="640" w:firstLineChars="20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1、紧扣中心，主题新闻宣传有声有色。在常态化做好广播、电视内宣策划、节目生产等日常工作的</w:t>
      </w:r>
      <w:bookmarkStart w:id="67" w:name="_GoBack"/>
      <w:bookmarkEnd w:id="67"/>
      <w:r>
        <w:rPr>
          <w:rFonts w:hint="eastAsia" w:ascii="仿宋" w:hAnsi="仿宋" w:eastAsia="仿宋"/>
          <w:color w:val="auto"/>
          <w:sz w:val="32"/>
          <w:szCs w:val="32"/>
          <w:highlight w:val="none"/>
          <w:lang w:val="en-US" w:eastAsia="zh-CN"/>
        </w:rPr>
        <w:t>同时，今年，本部门重点围绕“十四五”开局、中国共产党成立100周年、疫情防控、换届选举、区党代会、区“两会”、抗洪抢险，及文明城市、依法治区示范试点、五星级现代农业园区创建等重点工作，有针对性地进行策划、报道、生产和播出，让内宣工作扎实有序推进。1至12月，在《昭化新闻》共开设“开局‘十四五’ 奋进新征程”“奋斗百年路 启航新征程”“学党史 悟思想 办实事 开新局” “聚力新阶段 奋进新征程”“学习贯彻党的十九届六中全会精神”“学习贯彻省委十一届九次全会精神” “学习贯彻市‘两会’"精神” “贯彻落实区党代会精神”“贯彻区"两会"精神”“人大代表风景线” “政协委员风景线” “创文明城 做文明人” “战汛情  勇担当” “转作风 促发展——纪律作风整顿进行时” “全力推进依法治区示范试点” “加强基层治理  凝聚发展合力” “创建省‘五星级’现代农业园区” “解锁栖凤峡 打卡新地标”等专栏40余期，全年预计刊播新闻1800余条，并在农村应急广播村村响上，每天分早、中、晚三个时段定期进行播送。</w:t>
      </w:r>
    </w:p>
    <w:p>
      <w:pPr>
        <w:widowControl/>
        <w:ind w:firstLine="640" w:firstLineChars="20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突出特色，对外宣传提质增量。在严格确保本级媒体用稿的同时，本部门记者在中央、省、市级媒体上稿势头依然不减。我区共在省级以上媒体刊发稿件4008条，中央级报刊发稿38条，其中人民日报7条，头版头条2条，经济日报2条，光明日报3条，农民日报1条，中国县域经济报21条,中央电视台发稿34条，其中新闻联播5条；省级报刊发稿211条，其中四川日报58条，头版7条，其它省级报刊发稿153条；四川电视台发稿106条，其中四川新闻52条；网络媒体发稿3619条，其中人民日报客户端21条，人民网167条，中国新闻网88条，其它网络媒体2603条。在《广元新闻》、《新闻点击》、《直通县区》用稿1050条；在市级电视媒体上稿每月排名中，除两个月不尽理想外，其余月份排名均保持在前三，四个月排名第一，最高月用稿条数达113条。</w:t>
      </w:r>
    </w:p>
    <w:p>
      <w:pPr>
        <w:widowControl/>
        <w:ind w:firstLine="640" w:firstLineChars="20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深耕专题制作，</w:t>
      </w:r>
      <w:r>
        <w:rPr>
          <w:rFonts w:hint="eastAsia" w:ascii="仿宋" w:hAnsi="仿宋" w:eastAsia="仿宋"/>
          <w:color w:val="auto"/>
          <w:sz w:val="32"/>
          <w:szCs w:val="32"/>
          <w:highlight w:val="none"/>
          <w:lang w:val="en-US" w:eastAsia="zh-CN"/>
        </w:rPr>
        <w:t>细化打磨出</w:t>
      </w:r>
      <w:r>
        <w:rPr>
          <w:rFonts w:hint="eastAsia" w:ascii="仿宋" w:hAnsi="仿宋" w:eastAsia="仿宋"/>
          <w:color w:val="auto"/>
          <w:sz w:val="32"/>
          <w:szCs w:val="32"/>
          <w:highlight w:val="none"/>
        </w:rPr>
        <w:t>精品。</w:t>
      </w:r>
      <w:r>
        <w:rPr>
          <w:rFonts w:hint="eastAsia" w:ascii="仿宋" w:hAnsi="仿宋" w:eastAsia="仿宋"/>
          <w:color w:val="auto"/>
          <w:sz w:val="32"/>
          <w:szCs w:val="32"/>
          <w:highlight w:val="none"/>
          <w:lang w:val="en-US" w:eastAsia="zh-CN"/>
        </w:rPr>
        <w:t>全年共</w:t>
      </w:r>
      <w:r>
        <w:rPr>
          <w:rFonts w:hint="eastAsia" w:ascii="仿宋" w:hAnsi="仿宋" w:eastAsia="仿宋"/>
          <w:color w:val="auto"/>
          <w:sz w:val="32"/>
          <w:szCs w:val="32"/>
          <w:highlight w:val="none"/>
        </w:rPr>
        <w:t>完成专题片</w:t>
      </w:r>
      <w:r>
        <w:rPr>
          <w:rFonts w:hint="eastAsia" w:ascii="仿宋" w:hAnsi="仿宋" w:eastAsia="仿宋"/>
          <w:color w:val="auto"/>
          <w:sz w:val="32"/>
          <w:szCs w:val="32"/>
          <w:highlight w:val="none"/>
          <w:lang w:val="en-US" w:eastAsia="zh-CN"/>
        </w:rPr>
        <w:t>32</w:t>
      </w:r>
      <w:r>
        <w:rPr>
          <w:rFonts w:hint="eastAsia" w:ascii="仿宋" w:hAnsi="仿宋" w:eastAsia="仿宋"/>
          <w:color w:val="auto"/>
          <w:sz w:val="32"/>
          <w:szCs w:val="32"/>
          <w:highlight w:val="none"/>
        </w:rPr>
        <w:t>部。东风洒雨露，会入天地春</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春天的交响》反映了我区以更强举措促进现代农业园区的建设成效。百年征程波澜壮阔，百年初心历久弥坚，《百年忆初心》对昭化大地一群“可敬”“可爱”的人做了最好的诠释。敢问路在何方？路，就在脚下！昭化区“四好农村路”示范县的成功创建，《匠心铺就振兴路》功不可没。四时之景不同，而乐亦无穷也。《全域旅游 诗意昭化》见证着我区全域旅游的华丽蝶变。以上只是全年32部专题片的一个缩影，我部通过不断的创新探索，精细打磨，有效的为全区各政企单位内聚了人心、外树了形象。</w:t>
      </w:r>
    </w:p>
    <w:p>
      <w:pPr>
        <w:widowControl/>
        <w:ind w:firstLine="640" w:firstLineChars="20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移动优先，新媒体推送及时有力。“昭化发布”、“蜀道昭化”APP“两微一端”官方平台始终坚持官方媒体平台党性原则，坚持定位，紧紧围绕区委、区政府中心工作，积极开展内外宣传工作。昭化区门户网共推送稿件5100余条，“昭化发布”推出专栏《探秘醉美昭化》、《势起新城·跑出昭化项目加速度》、《昭化的“国字号”》、《创建省“五星级”现代农业园区》、《昭化党史故事》、《学党史  铸信仰》等20多个。据估算，全年共发推文300余期近2000篇，点击率超过1000＋的有172条、2000+的41条、3000+的10条、5000+的2条、10000+1条。</w:t>
      </w:r>
    </w:p>
    <w:p>
      <w:pPr>
        <w:widowControl/>
        <w:ind w:firstLine="640" w:firstLineChars="20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5、创新探索求质量</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做有温度的短视频</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全年共</w:t>
      </w:r>
      <w:r>
        <w:rPr>
          <w:rFonts w:hint="eastAsia" w:ascii="仿宋" w:hAnsi="仿宋" w:eastAsia="仿宋"/>
          <w:color w:val="auto"/>
          <w:sz w:val="32"/>
          <w:szCs w:val="32"/>
          <w:highlight w:val="none"/>
        </w:rPr>
        <w:t>完成</w:t>
      </w:r>
      <w:r>
        <w:rPr>
          <w:rFonts w:hint="eastAsia" w:ascii="仿宋" w:hAnsi="仿宋" w:eastAsia="仿宋"/>
          <w:color w:val="auto"/>
          <w:sz w:val="32"/>
          <w:szCs w:val="32"/>
          <w:highlight w:val="none"/>
          <w:lang w:val="en-US" w:eastAsia="zh-CN"/>
        </w:rPr>
        <w:t>短视频的拍摄制作236条</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我部根据全年工作情况，有针对性地进行了系列短视频策划、制作和播出。其中摄制作建党100周年为主题的精品短视频6条，3月区两会系列短视频32条，飞跃贫困短视频27条，重走红军路系列短视频7条，百名老兵讲故事16条，建党百年文艺汇演7条，李化武系列短视频22条，魅力乡镇系列精品短视频12条，清凉度夏 避暑昭化系列11条，党代会系列16条，女儿节系列短视频15条，9月区两会系列短视频26条，疫情防控常态化短视频36条。其中5件作品入围“安逸四川”新媒体文旅文创作品评比。《昌禾月饼》在“安逸四川”新媒体文旅文创作品中荣获区县组二等奖。《人间三月芳菲尽》在“安逸四川”新媒体文旅文创作品中获区县组优秀奖。《山村里飘出幸福的歌》被中国审计署在学习平台上采用。《红军山上的峥嵘岁月》《稻田作画》《深挖红色资源 打造精品研学路线》等一系列作品荣登学习强国平台。</w:t>
      </w:r>
    </w:p>
    <w:p>
      <w:pPr>
        <w:widowControl/>
        <w:ind w:firstLine="640" w:firstLineChars="20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6、蹄疾步稳，抢占争做新媒体领域流量王。从2021年1月至今，蜀道昭化抖音平台共发布作品1000余条，粉丝增长近9万，其中自创短视频《深情拥抱—老兵李化武》被人民网、四川观察、红星新闻等大v媒体转发，全网播放量超过2亿；非自创类作品播放量最高超过1000万，所有作品中播放量50万以上60条，播放量500万以上12条；蜀道昭化视频号自今年5月开通以来，共发布254件作品，共计3800余粉丝，总播放量近240万，其中自创短视频《四城新区》系列播出效果较好，播放量平均1万以上。</w:t>
      </w:r>
    </w:p>
    <w:p>
      <w:pPr>
        <w:pStyle w:val="12"/>
        <w:rPr>
          <w:rFonts w:hint="eastAsia"/>
          <w:lang w:val="en-US" w:eastAsia="zh-CN"/>
        </w:rPr>
      </w:pPr>
    </w:p>
    <w:p>
      <w:pPr>
        <w:pStyle w:val="3"/>
        <w:ind w:right="440"/>
        <w:jc w:val="center"/>
        <w:rPr>
          <w:rStyle w:val="25"/>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16"/>
      <w:bookmarkEnd w:id="17"/>
    </w:p>
    <w:p>
      <w:pPr>
        <w:rPr>
          <w:color w:val="auto"/>
          <w:highlight w:val="none"/>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442.67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80.56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18.2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eastAsia="仿宋_GB2312"/>
          <w:color w:val="000000"/>
          <w:sz w:val="32"/>
          <w:szCs w:val="32"/>
          <w:lang w:val="en-US" w:eastAsia="zh-CN"/>
        </w:rPr>
        <w:t>2021年事业人员工资保险目标奖等经费增加以及一般公用经费支出增加</w:t>
      </w:r>
      <w:r>
        <w:rPr>
          <w:rFonts w:hint="eastAsia" w:ascii="仿宋_GB2312" w:eastAsia="仿宋_GB2312"/>
          <w:color w:val="000000"/>
          <w:sz w:val="32"/>
          <w:szCs w:val="32"/>
          <w:lang w:eastAsia="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12"/>
        <w:rPr>
          <w:rFonts w:ascii="仿宋_GB2312" w:eastAsia="仿宋_GB2312"/>
          <w:color w:val="auto"/>
          <w:sz w:val="32"/>
          <w:szCs w:val="32"/>
          <w:highlight w:val="none"/>
        </w:rPr>
      </w:pP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4676775" cy="2764790"/>
            <wp:effectExtent l="0" t="0" r="9525" b="165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4676775" cy="2764790"/>
                    </a:xfrm>
                    <a:prstGeom prst="rect">
                      <a:avLst/>
                    </a:prstGeom>
                    <a:noFill/>
                    <a:ln w="9525">
                      <a:noFill/>
                    </a:ln>
                  </pic:spPr>
                </pic:pic>
              </a:graphicData>
            </a:graphic>
          </wp:inline>
        </w:drawing>
      </w:r>
    </w:p>
    <w:p>
      <w:pPr>
        <w:keepNext w:val="0"/>
        <w:keepLines w:val="0"/>
        <w:widowControl/>
        <w:suppressLineNumbers w:val="0"/>
        <w:jc w:val="left"/>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442.67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442.67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12"/>
        <w:rPr>
          <w:rFonts w:ascii="仿宋_GB2312" w:eastAsia="仿宋_GB2312"/>
          <w:color w:val="auto"/>
          <w:sz w:val="32"/>
          <w:szCs w:val="32"/>
          <w:highlight w:val="none"/>
        </w:rPr>
      </w:pPr>
      <w:r>
        <w:rPr>
          <w:rFonts w:hint="eastAsia"/>
          <w:lang w:val="en-US" w:eastAsia="zh-CN"/>
        </w:rPr>
        <w:t xml:space="preserve">   </w:t>
      </w:r>
      <w: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442.67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442.67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pStyle w:val="12"/>
        <w:rPr>
          <w:rFonts w:ascii="仿宋_GB2312" w:eastAsia="仿宋_GB2312"/>
          <w:color w:val="auto"/>
          <w:sz w:val="32"/>
          <w:szCs w:val="32"/>
          <w:highlight w:val="none"/>
        </w:rPr>
      </w:pPr>
      <w:r>
        <w:rPr>
          <w:rFonts w:hint="eastAsia"/>
          <w:lang w:val="en-US" w:eastAsia="zh-CN"/>
        </w:rPr>
        <w:t xml:space="preserve">   </w:t>
      </w:r>
      <w:r>
        <w:drawing>
          <wp:inline distT="0" distB="0" distL="114300" distR="114300">
            <wp:extent cx="4609465" cy="2705735"/>
            <wp:effectExtent l="4445" t="4445" r="15240" b="1397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6"/>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4"/>
      <w:bookmarkEnd w:id="25"/>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442.67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80.56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18.2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eastAsia="仿宋_GB2312"/>
          <w:color w:val="000000"/>
          <w:sz w:val="32"/>
          <w:szCs w:val="32"/>
          <w:lang w:val="en-US" w:eastAsia="zh-CN"/>
        </w:rPr>
        <w:t>2021年事业人员工资保险目标奖等经费增加以及一般公用经费支出增加</w:t>
      </w:r>
      <w:r>
        <w:rPr>
          <w:rFonts w:hint="eastAsia" w:ascii="仿宋_GB2312" w:eastAsia="仿宋_GB2312"/>
          <w:color w:val="000000"/>
          <w:sz w:val="32"/>
          <w:szCs w:val="32"/>
          <w:lang w:eastAsia="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pStyle w:val="12"/>
        <w:rPr>
          <w:rFonts w:ascii="仿宋" w:hAnsi="仿宋" w:eastAsia="仿宋"/>
          <w:b/>
          <w:color w:val="auto"/>
          <w:sz w:val="32"/>
          <w:szCs w:val="32"/>
          <w:highlight w:val="none"/>
        </w:rPr>
      </w:pPr>
      <w:r>
        <w:rPr>
          <w:rFonts w:hint="eastAsia"/>
          <w:lang w:val="en-US" w:eastAsia="zh-CN"/>
        </w:rPr>
        <w:t xml:space="preserve">    </w:t>
      </w:r>
      <w:r>
        <w:drawing>
          <wp:inline distT="0" distB="0" distL="114300" distR="114300">
            <wp:extent cx="4572000" cy="2743200"/>
            <wp:effectExtent l="4445" t="4445" r="14605" b="1460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442.67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80.56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18.2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eastAsia="仿宋_GB2312"/>
          <w:color w:val="000000"/>
          <w:sz w:val="32"/>
          <w:szCs w:val="32"/>
          <w:lang w:val="en-US" w:eastAsia="zh-CN"/>
        </w:rPr>
        <w:t>2021年事业人员工资保险目标奖等经费增加以及一般公用经费支出增加</w:t>
      </w:r>
      <w:r>
        <w:rPr>
          <w:rFonts w:hint="eastAsia" w:ascii="仿宋_GB2312" w:eastAsia="仿宋_GB2312"/>
          <w:color w:val="000000"/>
          <w:sz w:val="32"/>
          <w:szCs w:val="32"/>
          <w:lang w:eastAsia="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12"/>
        <w:rPr>
          <w:rFonts w:ascii="仿宋" w:hAnsi="仿宋" w:eastAsia="仿宋"/>
          <w:color w:val="auto"/>
          <w:sz w:val="32"/>
          <w:szCs w:val="32"/>
          <w:highlight w:val="none"/>
        </w:rPr>
      </w:pPr>
      <w:r>
        <w:rPr>
          <w:rFonts w:hint="eastAsia"/>
          <w:lang w:val="en-US" w:eastAsia="zh-CN"/>
        </w:rPr>
        <w:t xml:space="preserve">    </w:t>
      </w:r>
      <w:r>
        <w:drawing>
          <wp:inline distT="0" distB="0" distL="114300" distR="114300">
            <wp:extent cx="4572000" cy="2743200"/>
            <wp:effectExtent l="4445" t="4445" r="14605" b="1460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442.67</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文化旅游体育与传媒（类）支出</w:t>
      </w:r>
      <w:r>
        <w:rPr>
          <w:rFonts w:hint="eastAsia" w:ascii="仿宋" w:hAnsi="仿宋" w:eastAsia="仿宋"/>
          <w:b/>
          <w:bCs/>
          <w:color w:val="auto"/>
          <w:sz w:val="32"/>
          <w:szCs w:val="32"/>
          <w:highlight w:val="none"/>
          <w:lang w:val="en-US" w:eastAsia="zh-CN"/>
        </w:rPr>
        <w:t>392.71</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88.71</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18.95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4.28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10.27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2.32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20.74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4.69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Style w:val="12"/>
        <w:rPr>
          <w:rFonts w:ascii="仿宋" w:hAnsi="仿宋" w:eastAsia="仿宋"/>
          <w:color w:val="auto"/>
          <w:sz w:val="32"/>
          <w:szCs w:val="32"/>
          <w:highlight w:val="none"/>
        </w:rPr>
      </w:pPr>
      <w:r>
        <w:rPr>
          <w:rFonts w:hint="eastAsia"/>
          <w:lang w:val="en-US" w:eastAsia="zh-CN"/>
        </w:rPr>
        <w:t xml:space="preserve">     </w:t>
      </w:r>
      <w:r>
        <w:drawing>
          <wp:inline distT="0" distB="0" distL="114300" distR="114300">
            <wp:extent cx="4572000" cy="2743200"/>
            <wp:effectExtent l="4445" t="4445" r="14605" b="1460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2"/>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7444"/>
      <w:bookmarkStart w:id="32" w:name="_Toc15377213"/>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442.67万元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1"/>
      <w:bookmarkEnd w:id="32"/>
      <w:bookmarkEnd w:id="33"/>
    </w:p>
    <w:p>
      <w:pPr>
        <w:spacing w:line="600" w:lineRule="exact"/>
        <w:ind w:firstLine="643" w:firstLineChars="200"/>
        <w:rPr>
          <w:rFonts w:hint="eastAsia" w:ascii="仿宋_GB2312" w:eastAsia="仿宋_GB2312"/>
          <w:color w:val="000000"/>
          <w:sz w:val="32"/>
          <w:szCs w:val="32"/>
        </w:rPr>
      </w:pPr>
      <w:r>
        <w:rPr>
          <w:rStyle w:val="15"/>
          <w:rFonts w:hint="eastAsia" w:ascii="仿宋_GB2312" w:eastAsia="仿宋_GB2312"/>
          <w:color w:val="000000"/>
          <w:sz w:val="32"/>
          <w:szCs w:val="32"/>
        </w:rPr>
        <w:t>1.</w:t>
      </w:r>
      <w:r>
        <w:rPr>
          <w:rStyle w:val="15"/>
          <w:rFonts w:hint="eastAsia" w:ascii="仿宋_GB2312" w:eastAsia="仿宋_GB2312"/>
          <w:color w:val="000000"/>
          <w:sz w:val="32"/>
          <w:szCs w:val="32"/>
          <w:lang w:eastAsia="zh-CN"/>
        </w:rPr>
        <w:t>文化体育与传媒</w:t>
      </w:r>
      <w:r>
        <w:rPr>
          <w:rStyle w:val="15"/>
          <w:rFonts w:hint="eastAsia" w:ascii="仿宋_GB2312" w:eastAsia="仿宋_GB2312"/>
          <w:color w:val="000000"/>
          <w:sz w:val="32"/>
          <w:szCs w:val="32"/>
        </w:rPr>
        <w:t>（类）</w:t>
      </w:r>
      <w:r>
        <w:rPr>
          <w:rStyle w:val="15"/>
          <w:rFonts w:hint="eastAsia" w:ascii="仿宋_GB2312" w:eastAsia="仿宋_GB2312"/>
          <w:color w:val="000000"/>
          <w:sz w:val="32"/>
          <w:szCs w:val="32"/>
          <w:lang w:eastAsia="zh-CN"/>
        </w:rPr>
        <w:t>新闻出版广播影视</w:t>
      </w:r>
      <w:r>
        <w:rPr>
          <w:rStyle w:val="15"/>
          <w:rFonts w:hint="eastAsia" w:ascii="仿宋_GB2312" w:eastAsia="仿宋_GB2312"/>
          <w:color w:val="000000"/>
          <w:sz w:val="32"/>
          <w:szCs w:val="32"/>
        </w:rPr>
        <w:t>（款）</w:t>
      </w:r>
      <w:r>
        <w:rPr>
          <w:rStyle w:val="15"/>
          <w:rFonts w:hint="eastAsia" w:ascii="仿宋_GB2312" w:eastAsia="仿宋_GB2312"/>
          <w:color w:val="000000"/>
          <w:sz w:val="32"/>
          <w:szCs w:val="32"/>
          <w:lang w:eastAsia="zh-CN"/>
        </w:rPr>
        <w:t>行政运行</w:t>
      </w:r>
      <w:r>
        <w:rPr>
          <w:rStyle w:val="15"/>
          <w:rFonts w:hint="eastAsia" w:ascii="仿宋_GB2312" w:eastAsia="仿宋_GB2312"/>
          <w:color w:val="000000"/>
          <w:sz w:val="32"/>
          <w:szCs w:val="32"/>
        </w:rPr>
        <w:t>（项）:</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392.71</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Style w:val="15"/>
          <w:rFonts w:hint="eastAsia" w:ascii="仿宋_GB2312" w:eastAsia="仿宋_GB2312"/>
          <w:color w:val="000000"/>
          <w:sz w:val="32"/>
          <w:szCs w:val="32"/>
          <w:lang w:val="en-US" w:eastAsia="zh-CN"/>
        </w:rPr>
        <w:t>2</w:t>
      </w:r>
      <w:r>
        <w:rPr>
          <w:rStyle w:val="15"/>
          <w:rFonts w:hint="eastAsia" w:ascii="仿宋_GB2312" w:eastAsia="仿宋_GB2312"/>
          <w:color w:val="000000"/>
          <w:sz w:val="32"/>
          <w:szCs w:val="32"/>
        </w:rPr>
        <w:t>.社会保障和就业（类）</w:t>
      </w:r>
      <w:r>
        <w:rPr>
          <w:rStyle w:val="15"/>
          <w:rFonts w:hint="eastAsia" w:ascii="仿宋_GB2312" w:eastAsia="仿宋_GB2312"/>
          <w:color w:val="000000"/>
          <w:sz w:val="32"/>
          <w:szCs w:val="32"/>
          <w:lang w:eastAsia="zh-CN"/>
        </w:rPr>
        <w:t>行政事业单位离退休</w:t>
      </w:r>
      <w:r>
        <w:rPr>
          <w:rStyle w:val="15"/>
          <w:rFonts w:hint="eastAsia" w:ascii="仿宋_GB2312" w:eastAsia="仿宋_GB2312"/>
          <w:color w:val="000000"/>
          <w:sz w:val="32"/>
          <w:szCs w:val="32"/>
        </w:rPr>
        <w:t>（款）</w:t>
      </w:r>
      <w:r>
        <w:rPr>
          <w:rStyle w:val="15"/>
          <w:rFonts w:hint="eastAsia" w:ascii="仿宋_GB2312" w:eastAsia="仿宋_GB2312"/>
          <w:color w:val="000000"/>
          <w:sz w:val="32"/>
          <w:szCs w:val="32"/>
          <w:lang w:eastAsia="zh-CN"/>
        </w:rPr>
        <w:t>机关事业单位基本养老保险缴费支出</w:t>
      </w:r>
      <w:r>
        <w:rPr>
          <w:rStyle w:val="15"/>
          <w:rFonts w:hint="eastAsia" w:ascii="仿宋_GB2312" w:eastAsia="仿宋_GB2312"/>
          <w:color w:val="000000"/>
          <w:sz w:val="32"/>
          <w:szCs w:val="32"/>
        </w:rPr>
        <w:t>（项）:</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18.95万</w:t>
      </w:r>
      <w:r>
        <w:rPr>
          <w:rFonts w:hint="eastAsia" w:ascii="仿宋_GB2312" w:eastAsia="仿宋_GB2312"/>
          <w:color w:val="000000"/>
          <w:sz w:val="32"/>
          <w:szCs w:val="32"/>
        </w:rPr>
        <w:t>元，完成预算</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Style w:val="15"/>
          <w:rFonts w:hint="eastAsia" w:ascii="仿宋_GB2312" w:eastAsia="仿宋_GB2312"/>
          <w:color w:val="000000"/>
          <w:sz w:val="32"/>
          <w:szCs w:val="32"/>
          <w:lang w:val="en-US" w:eastAsia="zh-CN"/>
        </w:rPr>
        <w:t>3</w:t>
      </w:r>
      <w:r>
        <w:rPr>
          <w:rStyle w:val="15"/>
          <w:rFonts w:hint="eastAsia" w:ascii="仿宋_GB2312" w:eastAsia="仿宋_GB2312"/>
          <w:color w:val="000000"/>
          <w:sz w:val="32"/>
          <w:szCs w:val="32"/>
        </w:rPr>
        <w:t>.医疗卫生与计划生育（类）</w:t>
      </w:r>
      <w:r>
        <w:rPr>
          <w:rStyle w:val="15"/>
          <w:rFonts w:hint="eastAsia" w:ascii="仿宋_GB2312" w:eastAsia="仿宋_GB2312"/>
          <w:color w:val="000000"/>
          <w:sz w:val="32"/>
          <w:szCs w:val="32"/>
          <w:lang w:eastAsia="zh-CN"/>
        </w:rPr>
        <w:t>医疗保障</w:t>
      </w:r>
      <w:r>
        <w:rPr>
          <w:rStyle w:val="15"/>
          <w:rFonts w:hint="eastAsia" w:ascii="仿宋_GB2312" w:eastAsia="仿宋_GB2312"/>
          <w:color w:val="000000"/>
          <w:sz w:val="32"/>
          <w:szCs w:val="32"/>
        </w:rPr>
        <w:t>（款）</w:t>
      </w:r>
      <w:r>
        <w:rPr>
          <w:rStyle w:val="15"/>
          <w:rFonts w:hint="eastAsia" w:ascii="仿宋_GB2312" w:eastAsia="仿宋_GB2312"/>
          <w:color w:val="000000"/>
          <w:sz w:val="32"/>
          <w:szCs w:val="32"/>
          <w:lang w:eastAsia="zh-CN"/>
        </w:rPr>
        <w:t>事业单位医疗</w:t>
      </w:r>
      <w:r>
        <w:rPr>
          <w:rStyle w:val="15"/>
          <w:rFonts w:hint="eastAsia" w:ascii="仿宋_GB2312" w:eastAsia="仿宋_GB2312"/>
          <w:color w:val="000000"/>
          <w:sz w:val="32"/>
          <w:szCs w:val="32"/>
        </w:rPr>
        <w:t>（项）:</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10.27</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sz w:val="32"/>
          <w:szCs w:val="32"/>
        </w:rPr>
      </w:pPr>
      <w:r>
        <w:rPr>
          <w:rStyle w:val="15"/>
          <w:rFonts w:hint="eastAsia" w:ascii="仿宋_GB2312" w:eastAsia="仿宋_GB2312"/>
          <w:color w:val="000000"/>
          <w:sz w:val="32"/>
          <w:szCs w:val="32"/>
          <w:lang w:val="en-US" w:eastAsia="zh-CN"/>
        </w:rPr>
        <w:t>4</w:t>
      </w:r>
      <w:r>
        <w:rPr>
          <w:rStyle w:val="15"/>
          <w:rFonts w:hint="eastAsia" w:ascii="仿宋_GB2312" w:eastAsia="仿宋_GB2312"/>
          <w:color w:val="000000"/>
          <w:sz w:val="32"/>
          <w:szCs w:val="32"/>
        </w:rPr>
        <w:t>.</w:t>
      </w:r>
      <w:r>
        <w:rPr>
          <w:rStyle w:val="15"/>
          <w:rFonts w:hint="eastAsia" w:ascii="仿宋_GB2312" w:eastAsia="仿宋_GB2312"/>
          <w:color w:val="000000"/>
          <w:sz w:val="32"/>
          <w:szCs w:val="32"/>
          <w:lang w:eastAsia="zh-CN"/>
        </w:rPr>
        <w:t>住房保障</w:t>
      </w:r>
      <w:r>
        <w:rPr>
          <w:rStyle w:val="15"/>
          <w:rFonts w:hint="eastAsia" w:ascii="仿宋_GB2312" w:eastAsia="仿宋_GB2312"/>
          <w:color w:val="000000"/>
          <w:sz w:val="32"/>
          <w:szCs w:val="32"/>
        </w:rPr>
        <w:t>（类）</w:t>
      </w:r>
      <w:r>
        <w:rPr>
          <w:rStyle w:val="15"/>
          <w:rFonts w:hint="eastAsia" w:ascii="仿宋_GB2312" w:eastAsia="仿宋_GB2312"/>
          <w:color w:val="000000"/>
          <w:sz w:val="32"/>
          <w:szCs w:val="32"/>
          <w:lang w:eastAsia="zh-CN"/>
        </w:rPr>
        <w:t>住房改革支出</w:t>
      </w:r>
      <w:r>
        <w:rPr>
          <w:rStyle w:val="15"/>
          <w:rFonts w:hint="eastAsia" w:ascii="仿宋_GB2312" w:eastAsia="仿宋_GB2312"/>
          <w:color w:val="000000"/>
          <w:sz w:val="32"/>
          <w:szCs w:val="32"/>
        </w:rPr>
        <w:t>（款）</w:t>
      </w:r>
      <w:r>
        <w:rPr>
          <w:rStyle w:val="15"/>
          <w:rFonts w:hint="eastAsia" w:ascii="仿宋_GB2312" w:eastAsia="仿宋_GB2312"/>
          <w:color w:val="000000"/>
          <w:sz w:val="32"/>
          <w:szCs w:val="32"/>
          <w:lang w:eastAsia="zh-CN"/>
        </w:rPr>
        <w:t>住房公积金</w:t>
      </w:r>
      <w:r>
        <w:rPr>
          <w:rStyle w:val="15"/>
          <w:rFonts w:hint="eastAsia" w:ascii="仿宋_GB2312" w:eastAsia="仿宋_GB2312"/>
          <w:color w:val="000000"/>
          <w:sz w:val="32"/>
          <w:szCs w:val="32"/>
        </w:rPr>
        <w:t>（项）:</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20.74</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p>
    <w:p>
      <w:pPr>
        <w:tabs>
          <w:tab w:val="right" w:pos="8306"/>
        </w:tabs>
        <w:spacing w:line="600" w:lineRule="exact"/>
        <w:ind w:firstLine="640"/>
        <w:outlineLvl w:val="1"/>
        <w:rPr>
          <w:rStyle w:val="26"/>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4"/>
      <w:bookmarkEnd w:id="35"/>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442.67</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209.73</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232.94</w:t>
      </w:r>
      <w:r>
        <w:rPr>
          <w:rFonts w:hint="eastAsia" w:ascii="仿宋" w:hAnsi="仿宋" w:eastAsia="仿宋"/>
          <w:color w:val="auto"/>
          <w:sz w:val="32"/>
          <w:szCs w:val="32"/>
          <w:highlight w:val="none"/>
        </w:rPr>
        <w:t>万元，主要包括：办公费、印刷费、咨询费、手续费、水费、电费、邮电费、物业管理费、差旅费、维修（护）费、租赁费、会议费、培训费、公务接待费、劳务费、委托业务费、工会经费、福利费、其他交通费、税金及附加费用、其他商品和服务支出、办公设备购置等。</w:t>
      </w:r>
    </w:p>
    <w:p>
      <w:pPr>
        <w:spacing w:line="600" w:lineRule="exact"/>
        <w:ind w:firstLine="640"/>
        <w:outlineLvl w:val="1"/>
        <w:rPr>
          <w:rStyle w:val="26"/>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25.3</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_GB2312" w:eastAsia="仿宋_GB2312"/>
          <w:color w:val="333333"/>
          <w:sz w:val="32"/>
          <w:szCs w:val="32"/>
          <w:lang w:val="en-US" w:eastAsia="zh-CN"/>
        </w:rPr>
        <w:t>区融媒体中心</w:t>
      </w:r>
      <w:r>
        <w:rPr>
          <w:rFonts w:hint="eastAsia" w:ascii="仿宋_GB2312" w:eastAsia="仿宋_GB2312"/>
          <w:color w:val="333333"/>
          <w:sz w:val="32"/>
          <w:szCs w:val="32"/>
          <w:lang w:eastAsia="zh-CN"/>
        </w:rPr>
        <w:t>按照年初预算，严格控制三公经费支出</w:t>
      </w:r>
      <w:r>
        <w:rPr>
          <w:rFonts w:hint="eastAsia" w:ascii="仿宋_GB2312" w:eastAsia="仿宋_GB2312"/>
          <w:color w:val="333333"/>
          <w:sz w:val="32"/>
          <w:szCs w:val="32"/>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12"/>
        <w:rPr>
          <w:rFonts w:hint="eastAsia" w:ascii="仿宋" w:hAnsi="仿宋" w:eastAsia="仿宋"/>
          <w:color w:val="auto"/>
          <w:sz w:val="32"/>
          <w:szCs w:val="32"/>
          <w:highlight w:val="none"/>
        </w:rPr>
      </w:pPr>
      <w:r>
        <w:rPr>
          <w:rFonts w:hint="eastAsia"/>
          <w:lang w:val="en-US" w:eastAsia="zh-CN"/>
        </w:rPr>
        <w:t xml:space="preserve">    </w:t>
      </w:r>
      <w:r>
        <w:drawing>
          <wp:inline distT="0" distB="0" distL="114300" distR="114300">
            <wp:extent cx="4572000" cy="2743200"/>
            <wp:effectExtent l="4445" t="4445" r="14605" b="14605"/>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b w:val="0"/>
          <w:bCs/>
          <w:color w:val="auto"/>
          <w:sz w:val="32"/>
          <w:szCs w:val="32"/>
          <w:highlight w:val="none"/>
          <w:lang w:val="en-US" w:eastAsia="zh-CN"/>
        </w:rPr>
        <w:t>年初未安排预算</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val="en-US"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无变化</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b w:val="0"/>
          <w:bCs/>
          <w:color w:val="auto"/>
          <w:sz w:val="32"/>
          <w:szCs w:val="32"/>
          <w:highlight w:val="none"/>
          <w:lang w:val="en-US" w:eastAsia="zh-CN"/>
        </w:rPr>
        <w:t>年初未安排预算</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val="en-US"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无变化</w:t>
      </w:r>
      <w:r>
        <w:rPr>
          <w:rFonts w:hint="eastAsia" w:ascii="仿宋_GB2312" w:eastAsia="仿宋_GB2312"/>
          <w:color w:val="auto"/>
          <w:sz w:val="32"/>
          <w:szCs w:val="32"/>
          <w:highlight w:val="none"/>
        </w:rPr>
        <w:t>。</w:t>
      </w:r>
    </w:p>
    <w:p>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0.5</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25.3</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0.08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13.8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333333"/>
          <w:sz w:val="32"/>
          <w:szCs w:val="32"/>
          <w:lang w:val="en-US" w:eastAsia="zh-CN"/>
        </w:rPr>
        <w:t>区融媒体中心</w:t>
      </w:r>
      <w:r>
        <w:rPr>
          <w:rFonts w:hint="eastAsia" w:ascii="仿宋_GB2312" w:eastAsia="仿宋_GB2312"/>
          <w:color w:val="333333"/>
          <w:sz w:val="32"/>
          <w:szCs w:val="32"/>
          <w:lang w:eastAsia="zh-CN"/>
        </w:rPr>
        <w:t>按照年初预算，严格控制三公经费支出</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000000"/>
          <w:sz w:val="32"/>
          <w:szCs w:val="32"/>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0.5</w:t>
      </w:r>
      <w:r>
        <w:rPr>
          <w:rFonts w:hint="eastAsia" w:ascii="仿宋_GB2312" w:eastAsia="仿宋_GB2312"/>
          <w:color w:val="auto"/>
          <w:sz w:val="32"/>
          <w:szCs w:val="32"/>
          <w:highlight w:val="none"/>
        </w:rPr>
        <w:t>万元，</w:t>
      </w:r>
      <w:r>
        <w:rPr>
          <w:rFonts w:hint="eastAsia" w:ascii="仿宋_GB2312" w:eastAsia="仿宋_GB2312"/>
          <w:color w:val="000000"/>
          <w:sz w:val="32"/>
          <w:szCs w:val="32"/>
        </w:rPr>
        <w:t>主要用于</w:t>
      </w:r>
      <w:r>
        <w:rPr>
          <w:rFonts w:hint="eastAsia" w:ascii="仿宋_GB2312" w:eastAsia="仿宋_GB2312"/>
          <w:color w:val="000000"/>
          <w:sz w:val="32"/>
          <w:szCs w:val="32"/>
          <w:lang w:val="en-US" w:eastAsia="zh-CN"/>
        </w:rPr>
        <w:t>宣传</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采访、培训活动</w:t>
      </w:r>
      <w:r>
        <w:rPr>
          <w:rFonts w:hint="eastAsia" w:ascii="仿宋_GB2312" w:eastAsia="仿宋_GB2312"/>
          <w:color w:val="000000"/>
          <w:sz w:val="32"/>
          <w:szCs w:val="32"/>
        </w:rPr>
        <w:t>开支的交通费、住宿费、用餐费等。国内公务接待</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72余</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与市局，中央、省、市电视台，区内各乡镇，区级部分机关单位联系工作接待；开</w:t>
      </w:r>
      <w:r>
        <w:rPr>
          <w:rFonts w:hint="eastAsia" w:ascii="仿宋_GB2312" w:eastAsia="仿宋_GB2312"/>
          <w:color w:val="000000"/>
          <w:sz w:val="32"/>
          <w:szCs w:val="32"/>
          <w:lang w:val="en-US" w:eastAsia="zh-CN"/>
        </w:rPr>
        <w:t>办</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飞跃贫困</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栏目</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区融媒体中心接待调研</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专题片及创优审核等</w:t>
      </w:r>
      <w:r>
        <w:rPr>
          <w:rFonts w:hint="eastAsia" w:ascii="仿宋_GB2312" w:eastAsia="仿宋_GB2312"/>
          <w:color w:val="000000"/>
          <w:sz w:val="32"/>
          <w:szCs w:val="32"/>
          <w:lang w:eastAsia="zh-CN"/>
        </w:rPr>
        <w:t>工作接待等</w:t>
      </w:r>
      <w:r>
        <w:rPr>
          <w:rFonts w:hint="eastAsia" w:ascii="仿宋_GB2312" w:eastAsia="仿宋_GB2312"/>
          <w:color w:val="000000"/>
          <w:sz w:val="32"/>
          <w:szCs w:val="32"/>
        </w:rPr>
        <w:t>。</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较2020年无变化</w:t>
      </w:r>
      <w:r>
        <w:rPr>
          <w:rFonts w:hint="eastAsia" w:ascii="仿宋_GB2312" w:eastAsia="仿宋_GB2312"/>
          <w:color w:val="auto"/>
          <w:sz w:val="32"/>
          <w:szCs w:val="32"/>
          <w:highlight w:val="none"/>
        </w:rPr>
        <w:t>。</w:t>
      </w:r>
    </w:p>
    <w:p>
      <w:pPr>
        <w:spacing w:line="600" w:lineRule="exact"/>
        <w:ind w:firstLine="640"/>
        <w:outlineLvl w:val="1"/>
        <w:rPr>
          <w:rStyle w:val="26"/>
          <w:rFonts w:ascii="黑体" w:hAnsi="黑体" w:eastAsia="黑体"/>
          <w:color w:val="auto"/>
          <w:highlight w:val="none"/>
        </w:rPr>
      </w:pPr>
      <w:bookmarkStart w:id="40" w:name="_Toc15396610"/>
      <w:bookmarkStart w:id="41" w:name="_Toc15377218"/>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较2020年无变化</w:t>
      </w:r>
      <w:r>
        <w:rPr>
          <w:rFonts w:hint="eastAsia" w:ascii="仿宋_GB2312" w:eastAsia="仿宋_GB2312"/>
          <w:color w:val="auto"/>
          <w:sz w:val="32"/>
          <w:szCs w:val="32"/>
          <w:highlight w:val="none"/>
        </w:rPr>
        <w:t>。</w:t>
      </w:r>
    </w:p>
    <w:p>
      <w:pPr>
        <w:numPr>
          <w:ilvl w:val="0"/>
          <w:numId w:val="3"/>
        </w:numPr>
        <w:spacing w:line="600" w:lineRule="exact"/>
        <w:ind w:firstLine="640"/>
        <w:outlineLvl w:val="1"/>
        <w:rPr>
          <w:rStyle w:val="26"/>
          <w:rFonts w:ascii="黑体" w:hAnsi="黑体" w:eastAsia="黑体"/>
          <w:b w:val="0"/>
          <w:color w:val="auto"/>
          <w:highlight w:val="none"/>
        </w:rPr>
      </w:pPr>
      <w:bookmarkStart w:id="42" w:name="_Toc15396611"/>
      <w:bookmarkStart w:id="43" w:name="_Toc15377219"/>
      <w:r>
        <w:rPr>
          <w:rStyle w:val="26"/>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较2020年无变化</w:t>
      </w:r>
      <w:r>
        <w:rPr>
          <w:rFonts w:hint="eastAsia" w:ascii="仿宋_GB2312" w:eastAsia="仿宋_GB2312"/>
          <w:color w:val="auto"/>
          <w:sz w:val="32"/>
          <w:szCs w:val="32"/>
          <w:highlight w:val="none"/>
        </w:rPr>
        <w:t>。</w:t>
      </w:r>
    </w:p>
    <w:p>
      <w:pPr>
        <w:numPr>
          <w:ilvl w:val="0"/>
          <w:numId w:val="3"/>
        </w:numPr>
        <w:spacing w:line="600" w:lineRule="exact"/>
        <w:ind w:firstLine="640"/>
        <w:outlineLvl w:val="1"/>
        <w:rPr>
          <w:rStyle w:val="26"/>
          <w:rFonts w:hint="eastAsia" w:ascii="黑体" w:hAnsi="黑体" w:eastAsia="黑体"/>
          <w:b w:val="0"/>
          <w:color w:val="auto"/>
          <w:highlight w:val="none"/>
        </w:rPr>
      </w:pPr>
      <w:bookmarkStart w:id="44" w:name="_Toc15377221"/>
      <w:bookmarkStart w:id="45" w:name="_Toc15396612"/>
      <w:r>
        <w:rPr>
          <w:rStyle w:val="26"/>
          <w:rFonts w:hint="eastAsia" w:ascii="黑体" w:hAnsi="黑体" w:eastAsia="黑体"/>
          <w:b w:val="0"/>
          <w:color w:val="auto"/>
          <w:highlight w:val="none"/>
          <w:lang w:val="en-US" w:eastAsia="zh-CN"/>
        </w:rPr>
        <w:t>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预算编制阶段，组织对聘用人员政府购买服务</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3"/>
        </w:numPr>
        <w:spacing w:line="600" w:lineRule="exact"/>
        <w:ind w:firstLine="640"/>
        <w:outlineLvl w:val="1"/>
        <w:rPr>
          <w:rStyle w:val="26"/>
          <w:rFonts w:hint="eastAsia" w:ascii="黑体" w:hAnsi="黑体" w:eastAsia="黑体"/>
          <w:b w:val="0"/>
          <w:color w:val="auto"/>
          <w:highlight w:val="none"/>
        </w:rPr>
      </w:pPr>
      <w:r>
        <w:rPr>
          <w:rStyle w:val="26"/>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 w:hAnsi="仿宋" w:eastAsia="仿宋"/>
          <w:b w:val="0"/>
          <w:bCs/>
          <w:color w:val="auto"/>
          <w:sz w:val="32"/>
          <w:szCs w:val="32"/>
          <w:highlight w:val="none"/>
          <w:lang w:eastAsia="zh-CN"/>
        </w:rPr>
      </w:pPr>
      <w:r>
        <w:rPr>
          <w:rFonts w:hint="eastAsia" w:ascii="仿宋" w:hAnsi="仿宋" w:eastAsia="仿宋" w:cs="仿宋"/>
          <w:b w:val="0"/>
          <w:bCs/>
          <w:color w:val="auto"/>
          <w:sz w:val="32"/>
          <w:szCs w:val="32"/>
          <w:highlight w:val="none"/>
          <w:lang w:val="en-US" w:eastAsia="zh-CN"/>
        </w:rPr>
        <w:t>2021年</w:t>
      </w:r>
      <w:r>
        <w:rPr>
          <w:rFonts w:hint="eastAsia" w:ascii="仿宋" w:hAnsi="仿宋" w:eastAsia="仿宋" w:cs="仿宋"/>
          <w:b w:val="0"/>
          <w:bCs/>
          <w:i w:val="0"/>
          <w:iCs w:val="0"/>
          <w:caps w:val="0"/>
          <w:color w:val="000000"/>
          <w:spacing w:val="0"/>
          <w:sz w:val="32"/>
          <w:szCs w:val="32"/>
          <w:highlight w:val="none"/>
        </w:rPr>
        <w:t>未发生机关运行经费支出</w:t>
      </w:r>
      <w:r>
        <w:rPr>
          <w:rFonts w:hint="eastAsia" w:ascii="仿宋" w:hAnsi="仿宋" w:eastAsia="仿宋" w:cs="仿宋"/>
          <w:b w:val="0"/>
          <w:bCs/>
          <w:i w:val="0"/>
          <w:iCs w:val="0"/>
          <w:caps w:val="0"/>
          <w:color w:val="000000"/>
          <w:spacing w:val="0"/>
          <w:sz w:val="32"/>
          <w:szCs w:val="32"/>
          <w:highlight w:val="none"/>
          <w:lang w:eastAsia="zh-CN"/>
        </w:rPr>
        <w:t>，</w:t>
      </w:r>
      <w:r>
        <w:rPr>
          <w:rFonts w:hint="eastAsia" w:ascii="仿宋" w:hAnsi="仿宋" w:eastAsia="仿宋" w:cs="仿宋"/>
          <w:b w:val="0"/>
          <w:bCs/>
          <w:i w:val="0"/>
          <w:iCs w:val="0"/>
          <w:caps w:val="0"/>
          <w:color w:val="000000"/>
          <w:spacing w:val="0"/>
          <w:sz w:val="32"/>
          <w:szCs w:val="32"/>
          <w:highlight w:val="none"/>
          <w:lang w:val="en-US" w:eastAsia="zh-CN"/>
        </w:rPr>
        <w:t>与2020年决算数持平</w:t>
      </w:r>
      <w:r>
        <w:rPr>
          <w:rFonts w:hint="eastAsia" w:ascii="仿宋" w:hAnsi="仿宋" w:eastAsia="仿宋"/>
          <w:b w:val="0"/>
          <w:bCs/>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政府采购支出</w:t>
      </w:r>
      <w:r>
        <w:rPr>
          <w:rFonts w:hint="eastAsia" w:ascii="仿宋_GB2312" w:eastAsia="仿宋_GB2312"/>
          <w:color w:val="000000"/>
          <w:sz w:val="32"/>
          <w:szCs w:val="32"/>
          <w:lang w:eastAsia="zh-CN"/>
        </w:rPr>
        <w:t>，</w:t>
      </w:r>
      <w:r>
        <w:rPr>
          <w:rFonts w:hint="eastAsia" w:ascii="仿宋_GB2312" w:eastAsia="仿宋_GB2312"/>
          <w:color w:val="auto"/>
          <w:sz w:val="32"/>
          <w:szCs w:val="32"/>
          <w:highlight w:val="none"/>
          <w:lang w:val="en-US" w:eastAsia="zh-CN"/>
        </w:rPr>
        <w:t>较2020年无变化</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333333"/>
          <w:sz w:val="32"/>
          <w:szCs w:val="32"/>
          <w:lang w:val="en-US" w:eastAsia="zh-CN"/>
        </w:rPr>
        <w:t>区融媒体中心</w:t>
      </w:r>
      <w:r>
        <w:rPr>
          <w:rFonts w:hint="eastAsia" w:ascii="仿宋_GB2312" w:eastAsia="仿宋_GB2312"/>
          <w:color w:val="000000"/>
          <w:sz w:val="32"/>
          <w:szCs w:val="32"/>
          <w:lang w:val="en-US" w:eastAsia="zh-CN"/>
        </w:rPr>
        <w:t>共</w:t>
      </w:r>
      <w:r>
        <w:rPr>
          <w:rFonts w:hint="eastAsia" w:ascii="仿宋_GB2312" w:eastAsia="仿宋_GB2312"/>
          <w:color w:val="000000"/>
          <w:sz w:val="32"/>
          <w:szCs w:val="32"/>
        </w:rPr>
        <w:t>有</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（原区电影公司面包车）</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曾</w:t>
      </w:r>
      <w:r>
        <w:rPr>
          <w:rFonts w:hint="eastAsia" w:ascii="仿宋_GB2312" w:eastAsia="仿宋_GB2312"/>
          <w:color w:val="000000"/>
          <w:sz w:val="32"/>
          <w:szCs w:val="32"/>
          <w:lang w:eastAsia="zh-CN"/>
        </w:rPr>
        <w:t>被</w:t>
      </w:r>
      <w:r>
        <w:rPr>
          <w:rFonts w:hint="eastAsia" w:ascii="仿宋_GB2312" w:eastAsia="仿宋_GB2312"/>
          <w:color w:val="333333"/>
          <w:sz w:val="32"/>
          <w:szCs w:val="32"/>
          <w:lang w:val="en-US" w:eastAsia="zh-CN"/>
        </w:rPr>
        <w:t>区融媒体中心</w:t>
      </w:r>
      <w:r>
        <w:rPr>
          <w:rFonts w:hint="eastAsia" w:ascii="仿宋_GB2312" w:eastAsia="仿宋_GB2312"/>
          <w:color w:val="000000"/>
          <w:sz w:val="32"/>
          <w:szCs w:val="32"/>
          <w:lang w:eastAsia="zh-CN"/>
        </w:rPr>
        <w:t>用作新闻采访车，</w:t>
      </w:r>
      <w:r>
        <w:rPr>
          <w:rFonts w:hint="eastAsia" w:ascii="仿宋_GB2312" w:eastAsia="仿宋_GB2312"/>
          <w:color w:val="000000"/>
          <w:sz w:val="32"/>
          <w:szCs w:val="32"/>
          <w:lang w:val="en-US" w:eastAsia="zh-CN"/>
        </w:rPr>
        <w:t>车辆因发动机损坏处于停运状态，经向区政府报告同意后，目前正在走报废流程</w:t>
      </w:r>
      <w:r>
        <w:rPr>
          <w:rFonts w:hint="eastAsia" w:ascii="仿宋_GB2312" w:eastAsia="仿宋_GB2312"/>
          <w:color w:val="000000"/>
          <w:sz w:val="32"/>
          <w:szCs w:val="32"/>
          <w:lang w:eastAsia="zh-CN"/>
        </w:rPr>
        <w:t>。</w:t>
      </w:r>
    </w:p>
    <w:p>
      <w:pPr>
        <w:widowControl/>
        <w:jc w:val="left"/>
        <w:rPr>
          <w:rFonts w:ascii="仿宋_GB2312" w:eastAsia="仿宋_GB2312"/>
          <w:b/>
          <w:color w:val="auto"/>
          <w:sz w:val="32"/>
          <w:szCs w:val="32"/>
          <w:highlight w:val="none"/>
        </w:rPr>
      </w:pPr>
    </w:p>
    <w:p>
      <w:pPr>
        <w:pStyle w:val="12"/>
        <w:rPr>
          <w:rFonts w:ascii="仿宋_GB2312" w:eastAsia="仿宋_GB2312"/>
          <w:b/>
          <w:color w:val="auto"/>
          <w:sz w:val="32"/>
          <w:szCs w:val="32"/>
          <w:highlight w:val="none"/>
        </w:rPr>
      </w:pPr>
    </w:p>
    <w:p>
      <w:pPr>
        <w:pStyle w:val="12"/>
        <w:rPr>
          <w:rFonts w:ascii="仿宋_GB2312" w:eastAsia="仿宋_GB2312"/>
          <w:b/>
          <w:color w:val="auto"/>
          <w:sz w:val="32"/>
          <w:szCs w:val="32"/>
          <w:highlight w:val="none"/>
        </w:rPr>
      </w:pPr>
    </w:p>
    <w:p>
      <w:pPr>
        <w:pStyle w:val="12"/>
        <w:rPr>
          <w:rFonts w:ascii="仿宋_GB2312" w:eastAsia="仿宋_GB2312"/>
          <w:b/>
          <w:color w:val="auto"/>
          <w:sz w:val="32"/>
          <w:szCs w:val="32"/>
          <w:highlight w:val="none"/>
        </w:rPr>
      </w:pPr>
    </w:p>
    <w:p>
      <w:pPr>
        <w:numPr>
          <w:ilvl w:val="0"/>
          <w:numId w:val="4"/>
        </w:numPr>
        <w:spacing w:line="600" w:lineRule="exact"/>
        <w:ind w:firstLine="660" w:firstLineChars="150"/>
        <w:jc w:val="center"/>
        <w:outlineLvl w:val="0"/>
        <w:rPr>
          <w:rFonts w:ascii="仿宋_GB2312" w:eastAsia="仿宋_GB2312"/>
          <w:sz w:val="32"/>
          <w:szCs w:val="32"/>
        </w:rPr>
      </w:pPr>
      <w:bookmarkStart w:id="49" w:name="_Toc15377225"/>
      <w:bookmarkStart w:id="50" w:name="_Toc15396613"/>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49"/>
      <w:bookmarkEnd w:id="50"/>
      <w:bookmarkStart w:id="51" w:name="_Toc15377226"/>
    </w:p>
    <w:p>
      <w:pPr>
        <w:pStyle w:val="12"/>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Style w:val="15"/>
          <w:rFonts w:hint="eastAsia" w:ascii="仿宋" w:hAnsi="仿宋" w:eastAsia="仿宋"/>
          <w:b w:val="0"/>
          <w:bCs w:val="0"/>
          <w:color w:val="000000"/>
          <w:sz w:val="32"/>
          <w:szCs w:val="32"/>
          <w:lang w:val="en-US" w:eastAsia="zh-CN"/>
        </w:rPr>
      </w:pPr>
      <w:r>
        <w:rPr>
          <w:rFonts w:hint="eastAsia" w:ascii="仿宋_GB2312" w:eastAsia="仿宋_GB2312"/>
          <w:b w:val="0"/>
          <w:bCs w:val="0"/>
          <w:color w:val="000000"/>
          <w:sz w:val="32"/>
          <w:szCs w:val="32"/>
          <w:lang w:val="en-US" w:eastAsia="zh-CN"/>
        </w:rPr>
        <w:t>4</w:t>
      </w:r>
      <w:r>
        <w:rPr>
          <w:rFonts w:ascii="仿宋_GB2312" w:eastAsia="仿宋_GB2312"/>
          <w:b w:val="0"/>
          <w:bCs w:val="0"/>
          <w:color w:val="000000"/>
          <w:sz w:val="32"/>
          <w:szCs w:val="32"/>
        </w:rPr>
        <w:t>.</w:t>
      </w:r>
      <w:r>
        <w:rPr>
          <w:rStyle w:val="15"/>
          <w:rFonts w:hint="eastAsia" w:ascii="仿宋" w:hAnsi="仿宋" w:eastAsia="仿宋"/>
          <w:b w:val="0"/>
          <w:bCs w:val="0"/>
          <w:color w:val="000000"/>
          <w:sz w:val="32"/>
          <w:szCs w:val="32"/>
        </w:rPr>
        <w:t>文化体育与传媒（类）</w:t>
      </w:r>
      <w:r>
        <w:rPr>
          <w:rStyle w:val="15"/>
          <w:rFonts w:hint="eastAsia" w:ascii="仿宋_GB2312" w:eastAsia="仿宋_GB2312"/>
          <w:b w:val="0"/>
          <w:bCs w:val="0"/>
          <w:color w:val="000000"/>
          <w:sz w:val="32"/>
          <w:szCs w:val="32"/>
          <w:lang w:eastAsia="zh-CN"/>
        </w:rPr>
        <w:t>新闻出版广播影视</w:t>
      </w:r>
      <w:r>
        <w:rPr>
          <w:rStyle w:val="15"/>
          <w:rFonts w:hint="eastAsia" w:ascii="仿宋" w:hAnsi="仿宋" w:eastAsia="仿宋"/>
          <w:b w:val="0"/>
          <w:bCs w:val="0"/>
          <w:color w:val="000000"/>
          <w:sz w:val="32"/>
          <w:szCs w:val="32"/>
        </w:rPr>
        <w:t>（款）</w:t>
      </w:r>
      <w:r>
        <w:rPr>
          <w:rStyle w:val="15"/>
          <w:rFonts w:hint="eastAsia" w:ascii="仿宋_GB2312" w:eastAsia="仿宋_GB2312"/>
          <w:b w:val="0"/>
          <w:bCs w:val="0"/>
          <w:color w:val="000000"/>
          <w:sz w:val="32"/>
          <w:szCs w:val="32"/>
          <w:lang w:eastAsia="zh-CN"/>
        </w:rPr>
        <w:t>行政运行</w:t>
      </w:r>
      <w:r>
        <w:rPr>
          <w:rStyle w:val="15"/>
          <w:rFonts w:hint="eastAsia" w:ascii="仿宋" w:hAnsi="仿宋" w:eastAsia="仿宋"/>
          <w:b w:val="0"/>
          <w:bCs w:val="0"/>
          <w:color w:val="000000"/>
          <w:sz w:val="32"/>
          <w:szCs w:val="32"/>
        </w:rPr>
        <w:t>（项）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val="en-US" w:eastAsia="zh-CN"/>
        </w:rPr>
        <w:t>指行政单位（包括实行公务员管理的事业单位）的基本支出。</w:t>
      </w:r>
    </w:p>
    <w:p>
      <w:pPr>
        <w:spacing w:line="600" w:lineRule="exact"/>
        <w:ind w:firstLine="640"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val="0"/>
          <w:color w:val="000000"/>
          <w:sz w:val="32"/>
          <w:szCs w:val="32"/>
          <w:lang w:val="en-US" w:eastAsia="zh-CN"/>
        </w:rPr>
        <w:t>5</w:t>
      </w:r>
      <w:r>
        <w:rPr>
          <w:rStyle w:val="15"/>
          <w:rFonts w:ascii="仿宋" w:hAnsi="仿宋" w:eastAsia="仿宋"/>
          <w:b w:val="0"/>
          <w:bCs w:val="0"/>
          <w:color w:val="000000"/>
          <w:sz w:val="32"/>
          <w:szCs w:val="32"/>
        </w:rPr>
        <w:t>.</w:t>
      </w:r>
      <w:r>
        <w:rPr>
          <w:rStyle w:val="15"/>
          <w:rFonts w:hint="eastAsia" w:ascii="仿宋_GB2312" w:eastAsia="仿宋_GB2312"/>
          <w:b w:val="0"/>
          <w:bCs w:val="0"/>
          <w:color w:val="000000"/>
          <w:sz w:val="32"/>
          <w:szCs w:val="32"/>
        </w:rPr>
        <w:t>社会保障和就业（类）</w:t>
      </w:r>
      <w:r>
        <w:rPr>
          <w:rStyle w:val="15"/>
          <w:rFonts w:hint="eastAsia" w:ascii="仿宋_GB2312" w:eastAsia="仿宋_GB2312"/>
          <w:b w:val="0"/>
          <w:bCs w:val="0"/>
          <w:color w:val="000000"/>
          <w:sz w:val="32"/>
          <w:szCs w:val="32"/>
          <w:lang w:eastAsia="zh-CN"/>
        </w:rPr>
        <w:t>行政事业单位离退休</w:t>
      </w:r>
      <w:r>
        <w:rPr>
          <w:rStyle w:val="15"/>
          <w:rFonts w:hint="eastAsia" w:ascii="仿宋_GB2312" w:eastAsia="仿宋_GB2312"/>
          <w:b w:val="0"/>
          <w:bCs w:val="0"/>
          <w:color w:val="000000"/>
          <w:sz w:val="32"/>
          <w:szCs w:val="32"/>
        </w:rPr>
        <w:t>（款）</w:t>
      </w:r>
      <w:r>
        <w:rPr>
          <w:rStyle w:val="15"/>
          <w:rFonts w:hint="eastAsia" w:ascii="仿宋_GB2312" w:eastAsia="仿宋_GB2312"/>
          <w:b w:val="0"/>
          <w:bCs w:val="0"/>
          <w:color w:val="000000"/>
          <w:sz w:val="32"/>
          <w:szCs w:val="32"/>
          <w:lang w:eastAsia="zh-CN"/>
        </w:rPr>
        <w:t>机关事业单位基本养老保险缴费支出</w:t>
      </w:r>
      <w:r>
        <w:rPr>
          <w:rStyle w:val="15"/>
          <w:rFonts w:hint="eastAsia" w:ascii="仿宋_GB2312" w:eastAsia="仿宋_GB2312"/>
          <w:b w:val="0"/>
          <w:bCs w:val="0"/>
          <w:color w:val="000000"/>
          <w:sz w:val="32"/>
          <w:szCs w:val="32"/>
        </w:rPr>
        <w:t>（项）</w:t>
      </w:r>
      <w:r>
        <w:rPr>
          <w:rStyle w:val="15"/>
          <w:rFonts w:hint="eastAsia" w:ascii="仿宋_GB2312" w:eastAsia="仿宋_GB2312"/>
          <w:b w:val="0"/>
          <w:bCs w:val="0"/>
          <w:color w:val="000000"/>
          <w:sz w:val="32"/>
          <w:szCs w:val="32"/>
          <w:highlight w:val="none"/>
        </w:rPr>
        <w:t>:</w:t>
      </w:r>
      <w:r>
        <w:rPr>
          <w:rFonts w:hint="eastAsia" w:ascii="仿宋_GB2312" w:hAnsi="Calibri" w:eastAsia="仿宋_GB2312" w:cs="仿宋"/>
          <w:color w:val="000000"/>
          <w:kern w:val="0"/>
          <w:sz w:val="32"/>
          <w:szCs w:val="32"/>
          <w:lang w:val="en-US" w:eastAsia="zh-CN" w:bidi="ar-SA"/>
        </w:rPr>
        <w:t>指用于机关事业单位实施养老保险制度由单位缴纳的基本养老保险费支出。</w:t>
      </w:r>
    </w:p>
    <w:p>
      <w:pPr>
        <w:ind w:firstLine="640" w:firstLineChars="200"/>
        <w:rPr>
          <w:rFonts w:hint="eastAsia" w:ascii="仿宋_GB2312" w:hAnsi="Calibri" w:eastAsia="仿宋_GB2312" w:cs="仿宋"/>
          <w:color w:val="000000"/>
          <w:kern w:val="0"/>
          <w:sz w:val="32"/>
          <w:szCs w:val="32"/>
          <w:lang w:val="en-US" w:eastAsia="zh-CN" w:bidi="ar-SA"/>
        </w:rPr>
      </w:pPr>
      <w:r>
        <w:rPr>
          <w:rStyle w:val="15"/>
          <w:rFonts w:hint="eastAsia" w:ascii="仿宋" w:hAnsi="仿宋" w:eastAsia="仿宋"/>
          <w:b w:val="0"/>
          <w:bCs w:val="0"/>
          <w:color w:val="000000"/>
          <w:sz w:val="32"/>
          <w:szCs w:val="32"/>
          <w:lang w:val="en-US" w:eastAsia="zh-CN"/>
        </w:rPr>
        <w:t>6</w:t>
      </w:r>
      <w:r>
        <w:rPr>
          <w:rStyle w:val="15"/>
          <w:rFonts w:ascii="仿宋" w:hAnsi="仿宋" w:eastAsia="仿宋"/>
          <w:b w:val="0"/>
          <w:bCs w:val="0"/>
          <w:color w:val="000000"/>
          <w:sz w:val="32"/>
          <w:szCs w:val="32"/>
        </w:rPr>
        <w:t>.</w:t>
      </w:r>
      <w:r>
        <w:rPr>
          <w:rStyle w:val="15"/>
          <w:rFonts w:hint="eastAsia" w:ascii="仿宋_GB2312" w:eastAsia="仿宋_GB2312"/>
          <w:b w:val="0"/>
          <w:bCs w:val="0"/>
          <w:color w:val="000000"/>
          <w:sz w:val="32"/>
          <w:szCs w:val="32"/>
        </w:rPr>
        <w:t>医疗卫生与计划生育（类）</w:t>
      </w:r>
      <w:r>
        <w:rPr>
          <w:rStyle w:val="15"/>
          <w:rFonts w:hint="eastAsia" w:ascii="仿宋_GB2312" w:eastAsia="仿宋_GB2312"/>
          <w:b w:val="0"/>
          <w:bCs w:val="0"/>
          <w:color w:val="000000"/>
          <w:sz w:val="32"/>
          <w:szCs w:val="32"/>
          <w:lang w:eastAsia="zh-CN"/>
        </w:rPr>
        <w:t>医疗保障</w:t>
      </w:r>
      <w:r>
        <w:rPr>
          <w:rStyle w:val="15"/>
          <w:rFonts w:hint="eastAsia" w:ascii="仿宋_GB2312" w:eastAsia="仿宋_GB2312"/>
          <w:b w:val="0"/>
          <w:bCs w:val="0"/>
          <w:color w:val="000000"/>
          <w:sz w:val="32"/>
          <w:szCs w:val="32"/>
        </w:rPr>
        <w:t>（款）</w:t>
      </w:r>
      <w:r>
        <w:rPr>
          <w:rStyle w:val="15"/>
          <w:rFonts w:hint="eastAsia" w:ascii="仿宋_GB2312" w:eastAsia="仿宋_GB2312"/>
          <w:b w:val="0"/>
          <w:bCs w:val="0"/>
          <w:color w:val="000000"/>
          <w:sz w:val="32"/>
          <w:szCs w:val="32"/>
          <w:lang w:eastAsia="zh-CN"/>
        </w:rPr>
        <w:t>事业单位医疗</w:t>
      </w:r>
      <w:r>
        <w:rPr>
          <w:rStyle w:val="15"/>
          <w:rFonts w:hint="eastAsia" w:ascii="仿宋_GB2312" w:eastAsia="仿宋_GB2312"/>
          <w:b w:val="0"/>
          <w:bCs w:val="0"/>
          <w:color w:val="000000"/>
          <w:sz w:val="32"/>
          <w:szCs w:val="32"/>
        </w:rPr>
        <w:t>（项）:</w:t>
      </w:r>
      <w:r>
        <w:rPr>
          <w:rFonts w:hint="eastAsia" w:ascii="仿宋_GB2312" w:hAnsi="Calibri" w:eastAsia="仿宋_GB2312" w:cs="仿宋"/>
          <w:color w:val="000000"/>
          <w:kern w:val="0"/>
          <w:sz w:val="32"/>
          <w:szCs w:val="32"/>
          <w:lang w:val="en-US" w:eastAsia="zh-CN" w:bidi="ar-SA"/>
        </w:rPr>
        <w:t>指财政部门集中安排的事业单位基本医疗保险缴费经费。</w:t>
      </w:r>
    </w:p>
    <w:p>
      <w:pPr>
        <w:spacing w:line="600" w:lineRule="exact"/>
        <w:ind w:firstLine="640" w:firstLineChars="200"/>
        <w:rPr>
          <w:rStyle w:val="15"/>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7.</w:t>
      </w:r>
      <w:r>
        <w:rPr>
          <w:rStyle w:val="15"/>
          <w:rFonts w:hint="eastAsia" w:ascii="仿宋_GB2312" w:eastAsia="仿宋_GB2312"/>
          <w:b w:val="0"/>
          <w:bCs w:val="0"/>
          <w:color w:val="000000"/>
          <w:sz w:val="32"/>
          <w:szCs w:val="32"/>
          <w:lang w:eastAsia="zh-CN"/>
        </w:rPr>
        <w:t>住房保障</w:t>
      </w:r>
      <w:r>
        <w:rPr>
          <w:rStyle w:val="15"/>
          <w:rFonts w:hint="eastAsia" w:ascii="仿宋_GB2312" w:eastAsia="仿宋_GB2312"/>
          <w:b w:val="0"/>
          <w:bCs w:val="0"/>
          <w:color w:val="000000"/>
          <w:sz w:val="32"/>
          <w:szCs w:val="32"/>
        </w:rPr>
        <w:t>（类）</w:t>
      </w:r>
      <w:r>
        <w:rPr>
          <w:rStyle w:val="15"/>
          <w:rFonts w:hint="eastAsia" w:ascii="仿宋_GB2312" w:eastAsia="仿宋_GB2312"/>
          <w:b w:val="0"/>
          <w:bCs w:val="0"/>
          <w:color w:val="000000"/>
          <w:sz w:val="32"/>
          <w:szCs w:val="32"/>
          <w:lang w:eastAsia="zh-CN"/>
        </w:rPr>
        <w:t>住房改革支出</w:t>
      </w:r>
      <w:r>
        <w:rPr>
          <w:rStyle w:val="15"/>
          <w:rFonts w:hint="eastAsia" w:ascii="仿宋_GB2312" w:eastAsia="仿宋_GB2312"/>
          <w:b w:val="0"/>
          <w:bCs w:val="0"/>
          <w:color w:val="000000"/>
          <w:sz w:val="32"/>
          <w:szCs w:val="32"/>
        </w:rPr>
        <w:t>（款）</w:t>
      </w:r>
      <w:r>
        <w:rPr>
          <w:rStyle w:val="15"/>
          <w:rFonts w:hint="eastAsia" w:ascii="仿宋_GB2312" w:eastAsia="仿宋_GB2312"/>
          <w:b w:val="0"/>
          <w:bCs w:val="0"/>
          <w:color w:val="000000"/>
          <w:sz w:val="32"/>
          <w:szCs w:val="32"/>
          <w:lang w:eastAsia="zh-CN"/>
        </w:rPr>
        <w:t>住房公积金</w:t>
      </w:r>
      <w:r>
        <w:rPr>
          <w:rStyle w:val="15"/>
          <w:rFonts w:hint="eastAsia" w:ascii="仿宋_GB2312" w:eastAsia="仿宋_GB2312"/>
          <w:b w:val="0"/>
          <w:bCs w:val="0"/>
          <w:color w:val="000000"/>
          <w:sz w:val="32"/>
          <w:szCs w:val="32"/>
        </w:rPr>
        <w:t>（项）:</w:t>
      </w:r>
      <w:r>
        <w:rPr>
          <w:rStyle w:val="15"/>
          <w:rFonts w:hint="eastAsia" w:ascii="仿宋_GB2312" w:eastAsia="仿宋_GB2312"/>
          <w:b w:val="0"/>
          <w:bCs w:val="0"/>
          <w:color w:val="000000"/>
          <w:sz w:val="32"/>
          <w:szCs w:val="32"/>
          <w:lang w:val="en-US" w:eastAsia="zh-CN"/>
        </w:rPr>
        <w:t>指行政事业单位按人力资源和社会保障部、财政部规定的基本工资和津贴补贴以及规定比例为职工缴纳的住房公积金。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left"/>
        <w:rPr>
          <w:rFonts w:ascii="宋体"/>
          <w:b/>
          <w:color w:val="000000"/>
          <w:sz w:val="44"/>
          <w:szCs w:val="44"/>
        </w:rPr>
      </w:pPr>
    </w:p>
    <w:p>
      <w:pPr>
        <w:spacing w:line="600" w:lineRule="exact"/>
        <w:jc w:val="center"/>
        <w:outlineLvl w:val="0"/>
        <w:rPr>
          <w:rStyle w:val="25"/>
          <w:rFonts w:ascii="黑体" w:hAnsi="黑体" w:eastAsia="黑体"/>
          <w:b w:val="0"/>
          <w:color w:val="auto"/>
          <w:highlight w:val="none"/>
        </w:rPr>
      </w:pPr>
      <w:r>
        <w:rPr>
          <w:rFonts w:ascii="宋体"/>
          <w:b/>
          <w:color w:val="000000"/>
          <w:sz w:val="44"/>
          <w:szCs w:val="44"/>
        </w:rPr>
        <w:br w:type="page"/>
      </w:r>
      <w:bookmarkStart w:id="52" w:name="_Toc1539661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52"/>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852"/>
        <w:gridCol w:w="1972"/>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i w:val="0"/>
                <w:color w:val="auto"/>
                <w:sz w:val="32"/>
                <w:szCs w:val="32"/>
                <w:highlight w:val="yellow"/>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1"/>
                <w:szCs w:val="21"/>
                <w:u w:val="none"/>
                <w:lang w:val="en-US" w:eastAsia="zh-CN"/>
              </w:rPr>
              <w:t>中共广元市昭化区委宣传部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18"/>
                <w:szCs w:val="18"/>
                <w:u w:val="none"/>
                <w:lang w:val="en-US" w:eastAsia="zh-CN"/>
              </w:rPr>
              <w:t>广元市昭化区融媒体中心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1"/>
                <w:szCs w:val="21"/>
                <w:u w:val="none"/>
                <w:lang w:val="en-US" w:eastAsia="zh-CN"/>
              </w:rPr>
              <w:t>45.5万元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sz w:val="21"/>
                <w:szCs w:val="21"/>
                <w:u w:val="none"/>
                <w:lang w:val="en-US" w:eastAsia="zh-CN"/>
              </w:rPr>
              <w:t>45.5万元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cs="宋体"/>
                <w:i w:val="0"/>
                <w:color w:val="auto"/>
                <w:sz w:val="21"/>
                <w:szCs w:val="21"/>
                <w:u w:val="none"/>
                <w:lang w:val="en-US" w:eastAsia="zh-CN"/>
              </w:rPr>
              <w:t>45.5万元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sz w:val="21"/>
                <w:szCs w:val="21"/>
                <w:u w:val="none"/>
                <w:lang w:val="en-US" w:eastAsia="zh-CN"/>
              </w:rPr>
              <w:t>45.5万元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该项目采用政府购买服务形式，以每人每年3.5万元额度，保障13名聘用工作人员的工资保险等福利待遇，</w:t>
            </w:r>
            <w:r>
              <w:rPr>
                <w:rFonts w:hint="eastAsia" w:ascii="宋体" w:hAnsi="宋体" w:eastAsia="宋体" w:cs="宋体"/>
                <w:i w:val="0"/>
                <w:color w:val="auto"/>
                <w:sz w:val="18"/>
                <w:szCs w:val="18"/>
                <w:u w:val="none"/>
              </w:rPr>
              <w:t>确保电视及广播新闻宣传及日常工作的顺利进行。</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cs="宋体"/>
                <w:i w:val="0"/>
                <w:color w:val="auto"/>
                <w:sz w:val="18"/>
                <w:szCs w:val="18"/>
                <w:u w:val="none"/>
                <w:lang w:val="en-US" w:eastAsia="zh-CN"/>
              </w:rPr>
              <w:t>实际</w:t>
            </w:r>
            <w:r>
              <w:rPr>
                <w:rFonts w:hint="eastAsia" w:ascii="宋体" w:hAnsi="宋体" w:eastAsia="宋体" w:cs="宋体"/>
                <w:i w:val="0"/>
                <w:color w:val="auto"/>
                <w:sz w:val="18"/>
                <w:szCs w:val="18"/>
                <w:u w:val="none"/>
                <w:lang w:val="en-US" w:eastAsia="zh-CN"/>
              </w:rPr>
              <w:t>聘用13名工作人员</w:t>
            </w:r>
            <w:r>
              <w:rPr>
                <w:rFonts w:hint="eastAsia" w:ascii="宋体" w:hAnsi="宋体" w:cs="宋体"/>
                <w:i w:val="0"/>
                <w:color w:val="auto"/>
                <w:sz w:val="18"/>
                <w:szCs w:val="18"/>
                <w:u w:val="none"/>
                <w:lang w:val="en-US" w:eastAsia="zh-CN"/>
              </w:rPr>
              <w:t>，</w:t>
            </w:r>
            <w:r>
              <w:rPr>
                <w:rFonts w:hint="eastAsia" w:ascii="宋体" w:hAnsi="宋体" w:eastAsia="宋体" w:cs="宋体"/>
                <w:i w:val="0"/>
                <w:color w:val="auto"/>
                <w:sz w:val="18"/>
                <w:szCs w:val="18"/>
                <w:u w:val="none"/>
              </w:rPr>
              <w:t>保障</w:t>
            </w:r>
            <w:r>
              <w:rPr>
                <w:rFonts w:hint="eastAsia" w:ascii="宋体" w:hAnsi="宋体" w:cs="宋体"/>
                <w:i w:val="0"/>
                <w:color w:val="auto"/>
                <w:sz w:val="18"/>
                <w:szCs w:val="18"/>
                <w:u w:val="none"/>
                <w:lang w:eastAsia="zh-CN"/>
              </w:rPr>
              <w:t>了</w:t>
            </w:r>
            <w:r>
              <w:rPr>
                <w:rFonts w:hint="eastAsia" w:ascii="宋体" w:hAnsi="宋体" w:eastAsia="宋体" w:cs="宋体"/>
                <w:i w:val="0"/>
                <w:color w:val="auto"/>
                <w:sz w:val="18"/>
                <w:szCs w:val="18"/>
                <w:u w:val="none"/>
              </w:rPr>
              <w:t>新闻、栏目专题、外宣、新媒体、安全播出等工作正常有序，电视、电台频道播放正常、持续运转，确保新闻报道、电视节目覆盖收视率等达到90%-100%。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指标</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指标</w:t>
            </w:r>
          </w:p>
        </w:tc>
        <w:tc>
          <w:tcPr>
            <w:tcW w:w="85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数量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指标</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新闻采访报道任务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600条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lang w:val="en-US" w:eastAsia="zh-CN"/>
              </w:rPr>
              <w:t>10</w:t>
            </w:r>
            <w:r>
              <w:rPr>
                <w:rFonts w:hint="eastAsia" w:ascii="仿宋_GB2312" w:hAnsi="仿宋_GB2312" w:eastAsia="仿宋_GB2312" w:cs="仿宋_GB2312"/>
                <w:i w:val="0"/>
                <w:color w:val="auto"/>
                <w:sz w:val="21"/>
                <w:szCs w:val="21"/>
                <w:u w:val="none"/>
              </w:rPr>
              <w:t>00条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1"/>
                <w:szCs w:val="21"/>
                <w:u w:val="none"/>
                <w:lang w:val="en-US" w:eastAsia="zh-CN" w:bidi="ar"/>
              </w:rPr>
            </w:pPr>
          </w:p>
        </w:tc>
        <w:tc>
          <w:tcPr>
            <w:tcW w:w="85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1"/>
                <w:szCs w:val="21"/>
                <w:u w:val="none"/>
                <w:lang w:val="en-US" w:eastAsia="zh-CN" w:bidi="ar"/>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报纸上稿任务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100条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1</w:t>
            </w:r>
            <w:r>
              <w:rPr>
                <w:rFonts w:hint="eastAsia" w:ascii="仿宋_GB2312" w:hAnsi="仿宋_GB2312" w:eastAsia="仿宋_GB2312" w:cs="仿宋_GB2312"/>
                <w:i w:val="0"/>
                <w:color w:val="auto"/>
                <w:sz w:val="21"/>
                <w:szCs w:val="21"/>
                <w:u w:val="none"/>
                <w:lang w:val="en-US" w:eastAsia="zh-CN"/>
              </w:rPr>
              <w:t>5</w:t>
            </w:r>
            <w:r>
              <w:rPr>
                <w:rFonts w:hint="eastAsia" w:ascii="仿宋_GB2312" w:hAnsi="仿宋_GB2312" w:eastAsia="仿宋_GB2312" w:cs="仿宋_GB2312"/>
                <w:i w:val="0"/>
                <w:color w:val="auto"/>
                <w:sz w:val="21"/>
                <w:szCs w:val="21"/>
                <w:u w:val="none"/>
              </w:rPr>
              <w:t>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1"/>
                <w:szCs w:val="21"/>
                <w:u w:val="none"/>
                <w:lang w:val="en-US" w:eastAsia="zh-CN" w:bidi="ar"/>
              </w:rPr>
            </w:pPr>
          </w:p>
        </w:tc>
        <w:tc>
          <w:tcPr>
            <w:tcW w:w="85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1"/>
                <w:szCs w:val="21"/>
                <w:u w:val="none"/>
                <w:lang w:val="en-US" w:eastAsia="zh-CN" w:bidi="ar"/>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短视频任务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140条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1</w:t>
            </w:r>
            <w:r>
              <w:rPr>
                <w:rFonts w:hint="eastAsia" w:ascii="仿宋_GB2312" w:hAnsi="仿宋_GB2312" w:eastAsia="仿宋_GB2312" w:cs="仿宋_GB2312"/>
                <w:i w:val="0"/>
                <w:color w:val="auto"/>
                <w:sz w:val="21"/>
                <w:szCs w:val="21"/>
                <w:u w:val="none"/>
                <w:lang w:val="en-US" w:eastAsia="zh-CN"/>
              </w:rPr>
              <w:t>7</w:t>
            </w:r>
            <w:r>
              <w:rPr>
                <w:rFonts w:hint="eastAsia" w:ascii="仿宋_GB2312" w:hAnsi="仿宋_GB2312" w:eastAsia="仿宋_GB2312" w:cs="仿宋_GB2312"/>
                <w:i w:val="0"/>
                <w:color w:val="auto"/>
                <w:sz w:val="21"/>
                <w:szCs w:val="21"/>
                <w:u w:val="none"/>
              </w:rPr>
              <w:t>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1"/>
                <w:szCs w:val="21"/>
                <w:u w:val="none"/>
              </w:rPr>
            </w:pPr>
          </w:p>
        </w:tc>
        <w:tc>
          <w:tcPr>
            <w:tcW w:w="85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质量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指标</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完成任务率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1"/>
                <w:szCs w:val="21"/>
                <w:u w:val="none"/>
              </w:rPr>
            </w:pPr>
          </w:p>
        </w:tc>
        <w:tc>
          <w:tcPr>
            <w:tcW w:w="85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1"/>
                <w:szCs w:val="21"/>
                <w:u w:val="none"/>
                <w:lang w:val="en-US" w:eastAsia="zh-CN" w:bidi="ar"/>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稿件上稿率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1"/>
                <w:szCs w:val="21"/>
                <w:u w:val="none"/>
              </w:rPr>
            </w:pPr>
          </w:p>
        </w:tc>
        <w:tc>
          <w:tcPr>
            <w:tcW w:w="85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时效</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指标</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每月完成率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1"/>
                <w:szCs w:val="21"/>
                <w:u w:val="none"/>
              </w:rPr>
            </w:pPr>
          </w:p>
        </w:tc>
        <w:tc>
          <w:tcPr>
            <w:tcW w:w="85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1"/>
                <w:szCs w:val="21"/>
                <w:u w:val="none"/>
                <w:lang w:val="en-US" w:eastAsia="zh-CN" w:bidi="ar"/>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资金到位及时性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1"/>
                <w:szCs w:val="21"/>
                <w:u w:val="none"/>
              </w:rPr>
            </w:pPr>
          </w:p>
        </w:tc>
        <w:tc>
          <w:tcPr>
            <w:tcW w:w="85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及时刊发率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效益</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指标</w:t>
            </w:r>
          </w:p>
        </w:tc>
        <w:tc>
          <w:tcPr>
            <w:tcW w:w="85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经济效益指标</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收视、收听率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1"/>
                <w:szCs w:val="21"/>
                <w:u w:val="none"/>
              </w:rPr>
            </w:pPr>
          </w:p>
        </w:tc>
        <w:tc>
          <w:tcPr>
            <w:tcW w:w="85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节目综合覆盖率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1"/>
                <w:szCs w:val="21"/>
                <w:u w:val="none"/>
              </w:rPr>
            </w:pPr>
          </w:p>
        </w:tc>
        <w:tc>
          <w:tcPr>
            <w:tcW w:w="85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社会效益指标</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报道转发率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1"/>
                <w:szCs w:val="21"/>
                <w:u w:val="none"/>
              </w:rPr>
            </w:pPr>
          </w:p>
        </w:tc>
        <w:tc>
          <w:tcPr>
            <w:tcW w:w="85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具体投向率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满意</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度指标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满意度指标</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受惠群众满意度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rPr>
              <w:t>100%</w:t>
            </w:r>
          </w:p>
        </w:tc>
      </w:tr>
    </w:tbl>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57"/>
    </w:p>
    <w:p>
      <w:pPr>
        <w:pStyle w:val="4"/>
        <w:rPr>
          <w:rStyle w:val="26"/>
          <w:rFonts w:ascii="仿宋" w:hAnsi="仿宋" w:eastAsia="仿宋"/>
          <w:b w:val="0"/>
          <w:bCs w:val="0"/>
          <w:color w:val="auto"/>
          <w:highlight w:val="none"/>
        </w:rPr>
      </w:pPr>
      <w:bookmarkStart w:id="58"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65"/>
    </w:p>
    <w:p>
      <w:pPr>
        <w:pStyle w:val="4"/>
        <w:rPr>
          <w:rStyle w:val="26"/>
          <w:rFonts w:hint="eastAsia" w:ascii="仿宋" w:hAnsi="仿宋" w:eastAsia="仿宋"/>
          <w:b w:val="0"/>
          <w:bCs w:val="0"/>
          <w:color w:val="auto"/>
          <w:highlight w:val="none"/>
        </w:rPr>
      </w:pPr>
      <w:bookmarkStart w:id="66" w:name="_Toc15396631"/>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6"/>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0D218D-675F-4285-8D6C-93BCB84718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007B1B6-7B53-4E5B-8D35-A91573C10C69}"/>
  </w:font>
  <w:font w:name="Cambria">
    <w:panose1 w:val="02040503050406030204"/>
    <w:charset w:val="00"/>
    <w:family w:val="roman"/>
    <w:pitch w:val="default"/>
    <w:sig w:usb0="E00006FF" w:usb1="420024FF" w:usb2="02000000" w:usb3="00000000" w:csb0="2000019F" w:csb1="00000000"/>
    <w:embedRegular r:id="rId3" w:fontKey="{8D4E3CD0-B60D-4E1D-B03B-543B0EFE97D7}"/>
  </w:font>
  <w:font w:name="仿宋_GB2312">
    <w:altName w:val="仿宋"/>
    <w:panose1 w:val="02010609030101010101"/>
    <w:charset w:val="86"/>
    <w:family w:val="modern"/>
    <w:pitch w:val="default"/>
    <w:sig w:usb0="00000000" w:usb1="00000000" w:usb2="00000000" w:usb3="00000000" w:csb0="00040000" w:csb1="00000000"/>
    <w:embedRegular r:id="rId4" w:fontKey="{B8F14ED3-241F-40B3-83D9-FE1FE3A141B5}"/>
  </w:font>
  <w:font w:name="仿宋">
    <w:panose1 w:val="02010609060101010101"/>
    <w:charset w:val="86"/>
    <w:family w:val="auto"/>
    <w:pitch w:val="default"/>
    <w:sig w:usb0="800002BF" w:usb1="38CF7CFA" w:usb2="00000016" w:usb3="00000000" w:csb0="00040001" w:csb1="00000000"/>
    <w:embedRegular r:id="rId5" w:fontKey="{1BBE7CC4-7367-4078-9A9E-5316C1E6EC0A}"/>
  </w:font>
  <w:font w:name="方正小标宋简体">
    <w:panose1 w:val="02000000000000000000"/>
    <w:charset w:val="86"/>
    <w:family w:val="script"/>
    <w:pitch w:val="default"/>
    <w:sig w:usb0="00000001" w:usb1="08000000" w:usb2="00000000" w:usb3="00000000" w:csb0="00040000" w:csb1="00000000"/>
    <w:embedRegular r:id="rId6" w:fontKey="{DE2605EB-E09D-49B7-8497-255A074D89AF}"/>
  </w:font>
  <w:font w:name="仿宋_GB2312">
    <w:altName w:val="仿宋"/>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embedRegular r:id="rId7" w:fontKey="{53943AA9-FB97-465B-84BA-097109E42B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13ECF"/>
    <w:multiLevelType w:val="singleLevel"/>
    <w:tmpl w:val="AF613ECF"/>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jg3NmI1MGYwODhhYzU4NTg2MTIzMmE1ZWQ4ZD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3C0FEB"/>
    <w:rsid w:val="049820AD"/>
    <w:rsid w:val="088210AA"/>
    <w:rsid w:val="089120B1"/>
    <w:rsid w:val="08D94642"/>
    <w:rsid w:val="09461CAC"/>
    <w:rsid w:val="0A2032A3"/>
    <w:rsid w:val="0B8A37D8"/>
    <w:rsid w:val="0C1012ED"/>
    <w:rsid w:val="0F6C03BE"/>
    <w:rsid w:val="10240C99"/>
    <w:rsid w:val="10C055FF"/>
    <w:rsid w:val="118107EC"/>
    <w:rsid w:val="11DD6519"/>
    <w:rsid w:val="13CF716E"/>
    <w:rsid w:val="149363ED"/>
    <w:rsid w:val="14EA2306"/>
    <w:rsid w:val="16BB723D"/>
    <w:rsid w:val="18015F3F"/>
    <w:rsid w:val="1BE8440E"/>
    <w:rsid w:val="1D155CEE"/>
    <w:rsid w:val="1FB3471A"/>
    <w:rsid w:val="20AE6A88"/>
    <w:rsid w:val="20F57F95"/>
    <w:rsid w:val="227A159E"/>
    <w:rsid w:val="22DF27E2"/>
    <w:rsid w:val="23224D40"/>
    <w:rsid w:val="23CE5CAC"/>
    <w:rsid w:val="240371BF"/>
    <w:rsid w:val="25C741E6"/>
    <w:rsid w:val="272A230C"/>
    <w:rsid w:val="27842671"/>
    <w:rsid w:val="28E9147E"/>
    <w:rsid w:val="29426E0B"/>
    <w:rsid w:val="29FD04D3"/>
    <w:rsid w:val="2ABE7A3E"/>
    <w:rsid w:val="2E49398E"/>
    <w:rsid w:val="2E953036"/>
    <w:rsid w:val="2EFA178C"/>
    <w:rsid w:val="30B46D73"/>
    <w:rsid w:val="319F7F4E"/>
    <w:rsid w:val="333F5C66"/>
    <w:rsid w:val="3544618F"/>
    <w:rsid w:val="35F60D8F"/>
    <w:rsid w:val="37092813"/>
    <w:rsid w:val="39440A0C"/>
    <w:rsid w:val="39AE70AB"/>
    <w:rsid w:val="3C0C0783"/>
    <w:rsid w:val="3E007463"/>
    <w:rsid w:val="3F795B0E"/>
    <w:rsid w:val="3F9F3A96"/>
    <w:rsid w:val="406D5BC1"/>
    <w:rsid w:val="493C27E9"/>
    <w:rsid w:val="496F39ED"/>
    <w:rsid w:val="49FF41D3"/>
    <w:rsid w:val="4A185DC8"/>
    <w:rsid w:val="4BE068DB"/>
    <w:rsid w:val="4BF6002B"/>
    <w:rsid w:val="4C286B90"/>
    <w:rsid w:val="4CD94F25"/>
    <w:rsid w:val="4ECE2238"/>
    <w:rsid w:val="4F4747DE"/>
    <w:rsid w:val="4F506DD9"/>
    <w:rsid w:val="51DB4B86"/>
    <w:rsid w:val="5344030E"/>
    <w:rsid w:val="55333C3E"/>
    <w:rsid w:val="566871BC"/>
    <w:rsid w:val="5F5521EA"/>
    <w:rsid w:val="64CA39A1"/>
    <w:rsid w:val="65273CE0"/>
    <w:rsid w:val="6A0E1913"/>
    <w:rsid w:val="6B80541B"/>
    <w:rsid w:val="6C4A05C8"/>
    <w:rsid w:val="6DD62748"/>
    <w:rsid w:val="70311EB7"/>
    <w:rsid w:val="714300F4"/>
    <w:rsid w:val="72734D90"/>
    <w:rsid w:val="74E366CA"/>
    <w:rsid w:val="79C913B2"/>
    <w:rsid w:val="79D6193D"/>
    <w:rsid w:val="79E7B28D"/>
    <w:rsid w:val="7AAD7831"/>
    <w:rsid w:val="7F9F20EE"/>
    <w:rsid w:val="7FCC7507"/>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Body Text First Indent"/>
    <w:qFormat/>
    <w:uiPriority w:val="0"/>
    <w:pPr>
      <w:widowControl w:val="0"/>
      <w:spacing w:after="120"/>
      <w:ind w:firstLine="420" w:firstLineChars="100"/>
      <w:jc w:val="both"/>
    </w:pPr>
    <w:rPr>
      <w:rFonts w:ascii="Times New Roman" w:hAnsi="Times New Roman" w:eastAsia="宋体" w:cs="Times New Roman"/>
      <w:kern w:val="2"/>
      <w:sz w:val="21"/>
      <w:lang w:val="en-US" w:eastAsia="zh-CN" w:bidi="ar-SA"/>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 Char Char6"/>
    <w:basedOn w:val="14"/>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6700;&#38754;\&#19968;&#20307;&#21270;&#20250;&#35745;&#26680;&#31639;\&#24050;&#26377;&#29992;&#27454;&#35745;&#21010;&#38656;&#25919;&#24220;&#32479;&#31609;&#25910;&#22238;.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6700;&#38754;\&#19968;&#20307;&#21270;&#20250;&#35745;&#26680;&#31639;\&#24050;&#26377;&#29992;&#27454;&#35745;&#21010;&#38656;&#25919;&#24220;&#32479;&#31609;&#25910;&#22238;.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6700;&#38754;\&#19968;&#20307;&#21270;&#20250;&#35745;&#26680;&#31639;\&#24050;&#26377;&#29992;&#27454;&#35745;&#21010;&#38656;&#25919;&#24220;&#32479;&#31609;&#25910;&#22238;.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6700;&#38754;\&#19968;&#20307;&#21270;&#20250;&#35745;&#26680;&#31639;\&#24050;&#26377;&#29992;&#27454;&#35745;&#21010;&#38656;&#25919;&#24220;&#32479;&#31609;&#25910;&#22238;.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6700;&#38754;\&#19968;&#20307;&#21270;&#20250;&#35745;&#26680;&#31639;\&#24050;&#26377;&#29992;&#27454;&#35745;&#21010;&#38656;&#25919;&#24220;&#32479;&#31609;&#25910;&#22238;.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6700;&#38754;\&#19968;&#20307;&#21270;&#20250;&#35745;&#26680;&#31639;\&#24050;&#26377;&#29992;&#27454;&#35745;&#21010;&#38656;&#25919;&#24220;&#32479;&#31609;&#25910;&#2223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图2：收入决算结构图</a:t>
            </a:r>
          </a:p>
        </c:rich>
      </c:tx>
      <c:layout/>
      <c:overlay val="0"/>
      <c:spPr>
        <a:noFill/>
        <a:ln>
          <a:noFill/>
        </a:ln>
        <a:effectLst/>
      </c:spPr>
    </c:title>
    <c:autoTitleDeleted val="0"/>
    <c:plotArea>
      <c:layout/>
      <c:pieChart>
        <c:varyColors val="1"/>
        <c:ser>
          <c:idx val="0"/>
          <c:order val="0"/>
          <c:tx>
            <c:strRef>
              <c:f>[已有用款计划需政府统筹收回.xlsx]Sheet2!$L$15</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delete val="1"/>
          </c:dLbls>
          <c:cat>
            <c:strRef>
              <c:f>[已有用款计划需政府统筹收回.xlsx]Sheet2!$M$14</c:f>
              <c:strCache>
                <c:ptCount val="1"/>
                <c:pt idx="0">
                  <c:v>一般公共预算财政拨款收入</c:v>
                </c:pt>
              </c:strCache>
            </c:strRef>
          </c:cat>
          <c:val>
            <c:numRef>
              <c:f>[已有用款计划需政府统筹收回.xlsx]Sheet2!$M$15</c:f>
              <c:numCache>
                <c:formatCode>General</c:formatCode>
                <c:ptCount val="1"/>
                <c:pt idx="0">
                  <c:v>442.67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图3：支出决算结构图</a:t>
            </a:r>
          </a:p>
        </c:rich>
      </c:tx>
      <c:layout/>
      <c:overlay val="0"/>
      <c:spPr>
        <a:noFill/>
        <a:ln>
          <a:noFill/>
        </a:ln>
        <a:effectLst/>
      </c:spPr>
    </c:title>
    <c:autoTitleDeleted val="0"/>
    <c:plotArea>
      <c:layout/>
      <c:pieChart>
        <c:varyColors val="1"/>
        <c:ser>
          <c:idx val="0"/>
          <c:order val="0"/>
          <c:tx>
            <c:strRef>
              <c:f>[已有用款计划需政府统筹收回.xlsx]Sheet2!$L$15</c:f>
              <c:strCache>
                <c:ptCount val="1"/>
                <c:pt idx="0">
                  <c:v>基本支出</c:v>
                </c:pt>
              </c:strCache>
            </c:strRef>
          </c:tx>
          <c:spPr/>
          <c:explosion val="0"/>
          <c:dPt>
            <c:idx val="0"/>
            <c:bubble3D val="0"/>
            <c:spPr>
              <a:solidFill>
                <a:schemeClr val="accent1"/>
              </a:solidFill>
              <a:ln w="19050">
                <a:solidFill>
                  <a:schemeClr val="lt1"/>
                </a:solidFill>
              </a:ln>
              <a:effectLst/>
            </c:spPr>
          </c:dPt>
          <c:dLbls>
            <c:delete val="1"/>
          </c:dLbls>
          <c:cat>
            <c:strRef>
              <c:f>[已有用款计划需政府统筹收回.xlsx]Sheet2!$M$14</c:f>
              <c:strCache>
                <c:ptCount val="1"/>
                <c:pt idx="0">
                  <c:v>基本支出</c:v>
                </c:pt>
              </c:strCache>
            </c:strRef>
          </c:cat>
          <c:val>
            <c:numRef>
              <c:f>[已有用款计划需政府统筹收回.xlsx]Sheet2!$M$15</c:f>
              <c:numCache>
                <c:formatCode>General</c:formatCode>
                <c:ptCount val="1"/>
                <c:pt idx="0">
                  <c:v>442.67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图4：财政拨款收、支决算总计变动情况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[已有用款计划需政府统筹收回.xlsx]Sheet2!$F$13</c:f>
              <c:strCache>
                <c:ptCount val="1"/>
                <c:pt idx="0">
                  <c:v>收入</c:v>
                </c:pt>
              </c:strCache>
            </c:strRef>
          </c:tx>
          <c:spPr>
            <a:solidFill>
              <a:schemeClr val="accent1"/>
            </a:solidFill>
            <a:ln>
              <a:noFill/>
            </a:ln>
            <a:effectLst/>
          </c:spPr>
          <c:invertIfNegative val="0"/>
          <c:dLbls>
            <c:delete val="1"/>
          </c:dLbls>
          <c:cat>
            <c:strRef>
              <c:f>[已有用款计划需政府统筹收回.xlsx]Sheet2!$G$12:$H$12</c:f>
              <c:strCache>
                <c:ptCount val="2"/>
                <c:pt idx="0">
                  <c:v>2020年</c:v>
                </c:pt>
                <c:pt idx="1">
                  <c:v>2021年</c:v>
                </c:pt>
              </c:strCache>
            </c:strRef>
          </c:cat>
          <c:val>
            <c:numRef>
              <c:f>[已有用款计划需政府统筹收回.xlsx]Sheet2!$G$13:$H$13</c:f>
              <c:numCache>
                <c:formatCode>General</c:formatCode>
                <c:ptCount val="2"/>
                <c:pt idx="0">
                  <c:v>362.11</c:v>
                </c:pt>
                <c:pt idx="1">
                  <c:v>442.67</c:v>
                </c:pt>
              </c:numCache>
            </c:numRef>
          </c:val>
        </c:ser>
        <c:ser>
          <c:idx val="1"/>
          <c:order val="1"/>
          <c:tx>
            <c:strRef>
              <c:f>[已有用款计划需政府统筹收回.xlsx]Sheet2!$F$14</c:f>
              <c:strCache>
                <c:ptCount val="1"/>
                <c:pt idx="0">
                  <c:v>支出</c:v>
                </c:pt>
              </c:strCache>
            </c:strRef>
          </c:tx>
          <c:spPr>
            <a:solidFill>
              <a:schemeClr val="accent2"/>
            </a:solidFill>
            <a:ln>
              <a:noFill/>
            </a:ln>
            <a:effectLst/>
          </c:spPr>
          <c:invertIfNegative val="0"/>
          <c:dLbls>
            <c:delete val="1"/>
          </c:dLbls>
          <c:cat>
            <c:strRef>
              <c:f>[已有用款计划需政府统筹收回.xlsx]Sheet2!$G$12:$H$12</c:f>
              <c:strCache>
                <c:ptCount val="2"/>
                <c:pt idx="0">
                  <c:v>2020年</c:v>
                </c:pt>
                <c:pt idx="1">
                  <c:v>2021年</c:v>
                </c:pt>
              </c:strCache>
            </c:strRef>
          </c:cat>
          <c:val>
            <c:numRef>
              <c:f>[已有用款计划需政府统筹收回.xlsx]Sheet2!$G$14:$H$14</c:f>
              <c:numCache>
                <c:formatCode>General</c:formatCode>
                <c:ptCount val="2"/>
                <c:pt idx="0">
                  <c:v>362.11</c:v>
                </c:pt>
                <c:pt idx="1">
                  <c:v>442.67</c:v>
                </c:pt>
              </c:numCache>
            </c:numRef>
          </c:val>
        </c:ser>
        <c:dLbls>
          <c:showLegendKey val="0"/>
          <c:showVal val="0"/>
          <c:showCatName val="0"/>
          <c:showSerName val="0"/>
          <c:showPercent val="0"/>
          <c:showBubbleSize val="0"/>
        </c:dLbls>
        <c:gapWidth val="219"/>
        <c:overlap val="-27"/>
        <c:axId val="674017633"/>
        <c:axId val="381315333"/>
      </c:barChart>
      <c:catAx>
        <c:axId val="6740176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1315333"/>
        <c:crosses val="autoZero"/>
        <c:auto val="1"/>
        <c:lblAlgn val="ctr"/>
        <c:lblOffset val="100"/>
        <c:noMultiLvlLbl val="0"/>
      </c:catAx>
      <c:valAx>
        <c:axId val="38131533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401763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图5：一般公共预算财政拨款支出决算变动情</a:t>
            </a:r>
          </a:p>
          <a:p>
            <a:pPr defTabSz="914400">
              <a:defRPr lang="zh-CN" sz="1400" b="0" i="0" u="none" strike="noStrike" kern="1200" spc="0" baseline="0">
                <a:solidFill>
                  <a:schemeClr val="tx1">
                    <a:lumMod val="65000"/>
                    <a:lumOff val="35000"/>
                  </a:schemeClr>
                </a:solidFill>
                <a:latin typeface="+mn-lt"/>
                <a:ea typeface="+mn-ea"/>
                <a:cs typeface="+mn-cs"/>
              </a:defRPr>
            </a:pPr>
            <a:r>
              <a:t>况</a:t>
            </a:r>
          </a:p>
        </c:rich>
      </c:tx>
      <c:layout>
        <c:manualLayout>
          <c:xMode val="edge"/>
          <c:yMode val="edge"/>
          <c:x val="0.110833333333333"/>
          <c:y val="0.0277777777777778"/>
        </c:manualLayout>
      </c:layout>
      <c:overlay val="0"/>
      <c:spPr>
        <a:noFill/>
        <a:ln>
          <a:noFill/>
        </a:ln>
        <a:effectLst/>
      </c:spPr>
    </c:title>
    <c:autoTitleDeleted val="0"/>
    <c:plotArea>
      <c:layout/>
      <c:barChart>
        <c:barDir val="col"/>
        <c:grouping val="clustered"/>
        <c:varyColors val="0"/>
        <c:ser>
          <c:idx val="0"/>
          <c:order val="0"/>
          <c:tx>
            <c:strRef>
              <c:f>[已有用款计划需政府统筹收回.xlsx]Sheet2!$F$22</c:f>
              <c:strCache>
                <c:ptCount val="1"/>
                <c:pt idx="0">
                  <c:v>支出</c:v>
                </c:pt>
              </c:strCache>
            </c:strRef>
          </c:tx>
          <c:spPr>
            <a:solidFill>
              <a:schemeClr val="accent1"/>
            </a:solidFill>
            <a:ln>
              <a:noFill/>
            </a:ln>
            <a:effectLst/>
          </c:spPr>
          <c:invertIfNegative val="0"/>
          <c:dLbls>
            <c:delete val="1"/>
          </c:dLbls>
          <c:cat>
            <c:strRef>
              <c:f>[已有用款计划需政府统筹收回.xlsx]Sheet2!$G$21:$H$21</c:f>
              <c:strCache>
                <c:ptCount val="2"/>
                <c:pt idx="0">
                  <c:v>2020年</c:v>
                </c:pt>
                <c:pt idx="1">
                  <c:v>2021年</c:v>
                </c:pt>
              </c:strCache>
            </c:strRef>
          </c:cat>
          <c:val>
            <c:numRef>
              <c:f>[已有用款计划需政府统筹收回.xlsx]Sheet2!$G$22:$H$22</c:f>
              <c:numCache>
                <c:formatCode>General</c:formatCode>
                <c:ptCount val="2"/>
                <c:pt idx="0">
                  <c:v>362.11</c:v>
                </c:pt>
                <c:pt idx="1">
                  <c:v>442.67</c:v>
                </c:pt>
              </c:numCache>
            </c:numRef>
          </c:val>
        </c:ser>
        <c:dLbls>
          <c:showLegendKey val="0"/>
          <c:showVal val="0"/>
          <c:showCatName val="0"/>
          <c:showSerName val="0"/>
          <c:showPercent val="0"/>
          <c:showBubbleSize val="0"/>
        </c:dLbls>
        <c:gapWidth val="219"/>
        <c:overlap val="-27"/>
        <c:axId val="612897226"/>
        <c:axId val="400189195"/>
      </c:barChart>
      <c:catAx>
        <c:axId val="61289722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189195"/>
        <c:crosses val="autoZero"/>
        <c:auto val="1"/>
        <c:lblAlgn val="ctr"/>
        <c:lblOffset val="100"/>
        <c:noMultiLvlLbl val="0"/>
      </c:catAx>
      <c:valAx>
        <c:axId val="4001891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289722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图6：一般公共预算财政拨款支出决算结构</a:t>
            </a:r>
          </a:p>
        </c:rich>
      </c:tx>
      <c:layout/>
      <c:overlay val="0"/>
      <c:spPr>
        <a:noFill/>
        <a:ln>
          <a:noFill/>
        </a:ln>
        <a:effectLst/>
      </c:spPr>
    </c:title>
    <c:autoTitleDeleted val="0"/>
    <c:plotArea>
      <c:layout/>
      <c:pieChart>
        <c:varyColors val="1"/>
        <c:ser>
          <c:idx val="0"/>
          <c:order val="0"/>
          <c:tx>
            <c:strRef>
              <c:f>[已有用款计划需政府统筹收回.xlsx]Sheet2!$G$27</c:f>
              <c:strCache>
                <c:ptCount val="1"/>
                <c:pt idx="0">
                  <c:v>2021年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[已有用款计划需政府统筹收回.xlsx]Sheet2!$F$28:$F$31</c:f>
              <c:strCache>
                <c:ptCount val="4"/>
                <c:pt idx="0">
                  <c:v>文化旅游体育与传媒</c:v>
                </c:pt>
                <c:pt idx="1">
                  <c:v>社会保障和就业</c:v>
                </c:pt>
                <c:pt idx="2">
                  <c:v>卫生健康支出</c:v>
                </c:pt>
                <c:pt idx="3">
                  <c:v>住房保障支出</c:v>
                </c:pt>
              </c:strCache>
            </c:strRef>
          </c:cat>
          <c:val>
            <c:numRef>
              <c:f>[已有用款计划需政府统筹收回.xlsx]Sheet2!$G$28:$G$31</c:f>
              <c:numCache>
                <c:formatCode>General</c:formatCode>
                <c:ptCount val="4"/>
                <c:pt idx="0">
                  <c:v>392.71</c:v>
                </c:pt>
                <c:pt idx="1">
                  <c:v>18.95</c:v>
                </c:pt>
                <c:pt idx="2">
                  <c:v>10.27</c:v>
                </c:pt>
                <c:pt idx="3">
                  <c:v>20.74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图7：“三公”经费财政拨款支出结构</a:t>
            </a:r>
          </a:p>
        </c:rich>
      </c:tx>
      <c:layout/>
      <c:overlay val="0"/>
      <c:spPr>
        <a:noFill/>
        <a:ln>
          <a:noFill/>
        </a:ln>
        <a:effectLst/>
      </c:spPr>
    </c:title>
    <c:autoTitleDeleted val="0"/>
    <c:plotArea>
      <c:layout/>
      <c:pieChart>
        <c:varyColors val="1"/>
        <c:ser>
          <c:idx val="0"/>
          <c:order val="0"/>
          <c:tx>
            <c:strRef>
              <c:f>[已有用款计划需政府统筹收回.xlsx]Sheet2!$L$28</c:f>
              <c:strCache>
                <c:ptCount val="1"/>
                <c:pt idx="0">
                  <c:v>2021年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[已有用款计划需政府统筹收回.xlsx]Sheet2!$M$27:$O$27</c:f>
              <c:strCache>
                <c:ptCount val="3"/>
                <c:pt idx="0">
                  <c:v>公务接待费</c:v>
                </c:pt>
                <c:pt idx="1">
                  <c:v>因公出国（境）费</c:v>
                </c:pt>
                <c:pt idx="2">
                  <c:v>公务用车购置及运行维护费</c:v>
                </c:pt>
              </c:strCache>
            </c:strRef>
          </c:cat>
          <c:val>
            <c:numRef>
              <c:f>[已有用款计划需政府统筹收回.xlsx]Sheet2!$M$28:$O$28</c:f>
              <c:numCache>
                <c:formatCode>General</c:formatCode>
                <c:ptCount val="3"/>
                <c:pt idx="0">
                  <c:v>0.5</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6103</Words>
  <Characters>7545</Characters>
  <Lines>61</Lines>
  <Paragraphs>17</Paragraphs>
  <TotalTime>1</TotalTime>
  <ScaleCrop>false</ScaleCrop>
  <LinksUpToDate>false</LinksUpToDate>
  <CharactersWithSpaces>7630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2023-09-25T08:42:49Z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18C4299B72334D3095585539B3212D20</vt:lpwstr>
  </property>
</Properties>
</file>