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37EC7">
      <w:pPr>
        <w:adjustRightInd w:val="0"/>
        <w:snapToGrid w:val="0"/>
        <w:spacing w:line="360" w:lineRule="auto"/>
        <w:jc w:val="center"/>
        <w:outlineLvl w:val="0"/>
        <w:rPr>
          <w:rFonts w:ascii="方正小标宋简体" w:hAnsi="方正小标宋简体" w:eastAsia="方正小标宋简体" w:cs="方正小标宋简体"/>
          <w:b/>
          <w:bCs/>
          <w:sz w:val="72"/>
          <w:szCs w:val="72"/>
        </w:rPr>
      </w:pPr>
      <w:bookmarkStart w:id="0" w:name="_Toc15377425"/>
      <w:bookmarkStart w:id="1" w:name="_Toc15377193"/>
      <w:bookmarkStart w:id="2" w:name="_Toc15396475"/>
      <w:bookmarkStart w:id="3" w:name="_Toc25231"/>
      <w:bookmarkStart w:id="4" w:name="_Toc2051"/>
      <w:bookmarkStart w:id="5" w:name="_Toc15396597"/>
      <w:bookmarkStart w:id="6" w:name="_Toc19526"/>
      <w:bookmarkStart w:id="7" w:name="_Toc15378441"/>
      <w:bookmarkStart w:id="8" w:name="_Toc21160"/>
      <w:r>
        <w:rPr>
          <w:rFonts w:hint="eastAsia" w:ascii="方正小标宋简体" w:hAnsi="方正小标宋简体" w:eastAsia="方正小标宋简体" w:cs="方正小标宋简体"/>
          <w:b/>
          <w:bCs/>
          <w:sz w:val="72"/>
          <w:szCs w:val="72"/>
        </w:rPr>
        <w:t>2021年度</w:t>
      </w:r>
      <w:bookmarkEnd w:id="0"/>
      <w:bookmarkEnd w:id="1"/>
      <w:bookmarkEnd w:id="2"/>
      <w:bookmarkEnd w:id="3"/>
      <w:bookmarkEnd w:id="4"/>
      <w:bookmarkEnd w:id="5"/>
      <w:bookmarkEnd w:id="6"/>
      <w:bookmarkEnd w:id="7"/>
      <w:bookmarkEnd w:id="8"/>
    </w:p>
    <w:p w14:paraId="1AD39859">
      <w:pPr>
        <w:adjustRightInd w:val="0"/>
        <w:snapToGrid w:val="0"/>
        <w:spacing w:line="360" w:lineRule="auto"/>
        <w:jc w:val="center"/>
        <w:outlineLvl w:val="0"/>
        <w:rPr>
          <w:rFonts w:ascii="方正小标宋简体" w:hAnsi="方正小标宋简体" w:eastAsia="方正小标宋简体" w:cs="方正小标宋简体"/>
          <w:b/>
          <w:bCs/>
          <w:sz w:val="72"/>
          <w:szCs w:val="72"/>
        </w:rPr>
      </w:pPr>
      <w:bookmarkStart w:id="9" w:name="_Toc29274"/>
      <w:bookmarkStart w:id="10" w:name="_Toc2428"/>
      <w:bookmarkStart w:id="11" w:name="_Toc29992"/>
      <w:bookmarkStart w:id="12" w:name="_Toc22318"/>
      <w:bookmarkStart w:id="13" w:name="_Toc15377426"/>
      <w:bookmarkStart w:id="14" w:name="_Toc15396598"/>
      <w:bookmarkStart w:id="15" w:name="_Toc15378442"/>
      <w:bookmarkStart w:id="16" w:name="_Toc15377194"/>
      <w:bookmarkStart w:id="17" w:name="_Toc15396476"/>
      <w:r>
        <w:rPr>
          <w:rFonts w:hint="eastAsia" w:ascii="方正小标宋简体" w:hAnsi="方正小标宋简体" w:eastAsia="方正小标宋简体" w:cs="方正小标宋简体"/>
          <w:b/>
          <w:bCs/>
          <w:sz w:val="72"/>
          <w:szCs w:val="72"/>
        </w:rPr>
        <w:t>四川省</w:t>
      </w:r>
      <w:bookmarkStart w:id="18" w:name="_Toc15306268"/>
      <w:r>
        <w:rPr>
          <w:rFonts w:hint="eastAsia" w:ascii="方正小标宋简体" w:hAnsi="方正小标宋简体" w:eastAsia="方正小标宋简体" w:cs="方正小标宋简体"/>
          <w:b/>
          <w:bCs/>
          <w:sz w:val="72"/>
          <w:szCs w:val="72"/>
        </w:rPr>
        <w:t>广元市昭化区</w:t>
      </w:r>
      <w:bookmarkEnd w:id="9"/>
      <w:bookmarkEnd w:id="10"/>
      <w:bookmarkEnd w:id="11"/>
      <w:bookmarkEnd w:id="12"/>
    </w:p>
    <w:bookmarkEnd w:id="13"/>
    <w:bookmarkEnd w:id="14"/>
    <w:bookmarkEnd w:id="15"/>
    <w:bookmarkEnd w:id="16"/>
    <w:bookmarkEnd w:id="17"/>
    <w:bookmarkEnd w:id="18"/>
    <w:p w14:paraId="42885211">
      <w:pPr>
        <w:adjustRightInd w:val="0"/>
        <w:snapToGrid w:val="0"/>
        <w:spacing w:line="360" w:lineRule="auto"/>
        <w:jc w:val="center"/>
        <w:outlineLvl w:val="0"/>
        <w:rPr>
          <w:rFonts w:ascii="方正小标宋简体" w:hAnsi="方正小标宋简体" w:eastAsia="方正小标宋简体" w:cs="方正小标宋简体"/>
          <w:b/>
          <w:bCs/>
          <w:sz w:val="72"/>
          <w:szCs w:val="72"/>
        </w:rPr>
      </w:pPr>
      <w:bookmarkStart w:id="19" w:name="_Toc2491"/>
      <w:bookmarkStart w:id="20" w:name="_Toc29181"/>
      <w:bookmarkStart w:id="21" w:name="_Toc28466"/>
      <w:r>
        <w:rPr>
          <w:rFonts w:hint="eastAsia" w:ascii="方正小标宋简体" w:hAnsi="方正小标宋简体" w:eastAsia="方正小标宋简体" w:cs="方正小标宋简体"/>
          <w:b/>
          <w:bCs/>
          <w:sz w:val="72"/>
          <w:szCs w:val="72"/>
        </w:rPr>
        <w:t>妇女联合会部门预算</w:t>
      </w:r>
      <w:bookmarkEnd w:id="19"/>
      <w:bookmarkEnd w:id="20"/>
      <w:r>
        <w:rPr>
          <w:rFonts w:hint="eastAsia" w:ascii="方正小标宋简体" w:hAnsi="方正小标宋简体" w:eastAsia="方正小标宋简体" w:cs="方正小标宋简体"/>
          <w:b/>
          <w:bCs/>
          <w:sz w:val="72"/>
          <w:szCs w:val="72"/>
        </w:rPr>
        <w:t>编制说明</w:t>
      </w:r>
      <w:bookmarkEnd w:id="21"/>
    </w:p>
    <w:p w14:paraId="02C137D0">
      <w:pPr>
        <w:widowControl/>
        <w:jc w:val="center"/>
        <w:rPr>
          <w:rFonts w:ascii="黑体" w:hAnsi="黑体" w:eastAsia="黑体"/>
          <w:sz w:val="48"/>
          <w:szCs w:val="48"/>
        </w:rPr>
      </w:pPr>
    </w:p>
    <w:p w14:paraId="4986CDAD">
      <w:pPr>
        <w:pStyle w:val="2"/>
        <w:spacing w:before="93"/>
        <w:rPr>
          <w:rFonts w:ascii="黑体" w:hAnsi="黑体" w:eastAsia="黑体"/>
          <w:sz w:val="48"/>
          <w:szCs w:val="48"/>
        </w:rPr>
      </w:pPr>
    </w:p>
    <w:p w14:paraId="538D38A5">
      <w:pPr>
        <w:rPr>
          <w:rFonts w:ascii="黑体" w:hAnsi="黑体" w:eastAsia="黑体"/>
          <w:sz w:val="48"/>
          <w:szCs w:val="48"/>
        </w:rPr>
      </w:pPr>
    </w:p>
    <w:p w14:paraId="6BC2F7C4">
      <w:pPr>
        <w:pStyle w:val="2"/>
        <w:spacing w:before="93"/>
        <w:rPr>
          <w:rFonts w:ascii="黑体" w:hAnsi="黑体" w:eastAsia="黑体"/>
          <w:sz w:val="48"/>
          <w:szCs w:val="48"/>
        </w:rPr>
      </w:pPr>
    </w:p>
    <w:p w14:paraId="31A814A3">
      <w:pPr>
        <w:rPr>
          <w:rFonts w:ascii="黑体" w:hAnsi="黑体" w:eastAsia="黑体"/>
          <w:sz w:val="48"/>
          <w:szCs w:val="48"/>
        </w:rPr>
      </w:pPr>
    </w:p>
    <w:p w14:paraId="182C8390">
      <w:pPr>
        <w:pStyle w:val="2"/>
        <w:spacing w:before="93"/>
        <w:rPr>
          <w:rFonts w:ascii="黑体" w:hAnsi="黑体" w:eastAsia="黑体"/>
          <w:sz w:val="48"/>
          <w:szCs w:val="48"/>
        </w:rPr>
      </w:pPr>
    </w:p>
    <w:p w14:paraId="7EBFF6B0">
      <w:pPr>
        <w:rPr>
          <w:rFonts w:ascii="黑体" w:hAnsi="黑体" w:eastAsia="黑体"/>
          <w:sz w:val="48"/>
          <w:szCs w:val="48"/>
        </w:rPr>
      </w:pPr>
    </w:p>
    <w:p w14:paraId="2567B3CD">
      <w:pPr>
        <w:pStyle w:val="2"/>
        <w:spacing w:before="93"/>
        <w:rPr>
          <w:rFonts w:ascii="黑体" w:hAnsi="黑体" w:eastAsia="黑体"/>
          <w:sz w:val="48"/>
          <w:szCs w:val="48"/>
        </w:rPr>
      </w:pPr>
    </w:p>
    <w:p w14:paraId="16698EAD">
      <w:pPr>
        <w:rPr>
          <w:rFonts w:ascii="黑体" w:hAnsi="黑体" w:eastAsia="黑体"/>
          <w:sz w:val="48"/>
          <w:szCs w:val="48"/>
        </w:rPr>
      </w:pPr>
    </w:p>
    <w:p w14:paraId="6A933619">
      <w:pPr>
        <w:pStyle w:val="2"/>
        <w:spacing w:before="93"/>
        <w:rPr>
          <w:rFonts w:ascii="黑体" w:hAnsi="黑体" w:eastAsia="黑体"/>
          <w:sz w:val="48"/>
          <w:szCs w:val="48"/>
        </w:rPr>
      </w:pPr>
    </w:p>
    <w:p w14:paraId="204061E8">
      <w:pPr>
        <w:jc w:val="center"/>
        <w:rPr>
          <w:rFonts w:ascii="宋体" w:hAnsi="宋体"/>
        </w:rPr>
      </w:pPr>
      <w:r>
        <w:rPr>
          <w:rFonts w:hint="eastAsia" w:ascii="方正小标宋简体" w:hAnsi="方正小标宋简体" w:eastAsia="方正小标宋简体" w:cs="方正小标宋简体"/>
          <w:sz w:val="44"/>
          <w:szCs w:val="44"/>
        </w:rPr>
        <w:t>目   录</w:t>
      </w:r>
    </w:p>
    <w:p w14:paraId="60F8CD1B">
      <w:pPr>
        <w:pStyle w:val="7"/>
        <w:tabs>
          <w:tab w:val="right" w:leader="dot" w:pos="8844"/>
        </w:tabs>
      </w:pPr>
      <w:r>
        <w:fldChar w:fldCharType="begin"/>
      </w:r>
      <w:r>
        <w:instrText xml:space="preserve">TOC \o "1-2" \h \u </w:instrText>
      </w:r>
      <w:r>
        <w:fldChar w:fldCharType="separate"/>
      </w:r>
    </w:p>
    <w:p w14:paraId="43E17E1E">
      <w:pPr>
        <w:pStyle w:val="7"/>
        <w:tabs>
          <w:tab w:val="right" w:leader="dot" w:pos="8844"/>
        </w:tabs>
        <w:rPr>
          <w:sz w:val="32"/>
          <w:szCs w:val="32"/>
        </w:rPr>
      </w:pPr>
      <w:r>
        <w:fldChar w:fldCharType="begin"/>
      </w:r>
      <w:r>
        <w:instrText xml:space="preserve"> HYPERLINK \l "_Toc5571" </w:instrText>
      </w:r>
      <w:r>
        <w:fldChar w:fldCharType="separate"/>
      </w:r>
      <w:r>
        <w:rPr>
          <w:rFonts w:hint="eastAsia" w:ascii="黑体" w:hAnsi="黑体" w:eastAsia="黑体" w:cs="黑体"/>
          <w:bCs/>
          <w:sz w:val="32"/>
          <w:szCs w:val="32"/>
        </w:rPr>
        <w:t>一、单位基本职能及主要工作</w:t>
      </w:r>
      <w:r>
        <w:rPr>
          <w:sz w:val="32"/>
          <w:szCs w:val="32"/>
        </w:rPr>
        <w:tab/>
      </w:r>
      <w:r>
        <w:rPr>
          <w:sz w:val="32"/>
          <w:szCs w:val="32"/>
        </w:rPr>
        <w:fldChar w:fldCharType="begin"/>
      </w:r>
      <w:r>
        <w:rPr>
          <w:sz w:val="32"/>
          <w:szCs w:val="32"/>
        </w:rPr>
        <w:instrText xml:space="preserve"> PAGEREF _Toc5571 \h </w:instrText>
      </w:r>
      <w:r>
        <w:rPr>
          <w:sz w:val="32"/>
          <w:szCs w:val="32"/>
        </w:rPr>
        <w:fldChar w:fldCharType="separate"/>
      </w:r>
      <w:r>
        <w:rPr>
          <w:sz w:val="32"/>
          <w:szCs w:val="32"/>
        </w:rPr>
        <w:t>1</w:t>
      </w:r>
      <w:r>
        <w:rPr>
          <w:sz w:val="32"/>
          <w:szCs w:val="32"/>
        </w:rPr>
        <w:fldChar w:fldCharType="end"/>
      </w:r>
      <w:r>
        <w:rPr>
          <w:sz w:val="32"/>
          <w:szCs w:val="32"/>
        </w:rPr>
        <w:fldChar w:fldCharType="end"/>
      </w:r>
    </w:p>
    <w:p w14:paraId="3CB021A9">
      <w:pPr>
        <w:pStyle w:val="8"/>
        <w:tabs>
          <w:tab w:val="right" w:leader="dot" w:pos="8844"/>
        </w:tabs>
        <w:rPr>
          <w:rFonts w:ascii="黑体" w:hAnsi="黑体" w:eastAsia="黑体" w:cs="黑体"/>
          <w:bCs/>
          <w:sz w:val="32"/>
          <w:szCs w:val="32"/>
        </w:rPr>
      </w:pPr>
      <w:r>
        <w:fldChar w:fldCharType="begin"/>
      </w:r>
      <w:r>
        <w:instrText xml:space="preserve"> HYPERLINK \l "_Toc6321" </w:instrText>
      </w:r>
      <w:r>
        <w:fldChar w:fldCharType="separate"/>
      </w:r>
      <w:r>
        <w:rPr>
          <w:rFonts w:hint="eastAsia" w:ascii="黑体" w:hAnsi="黑体" w:eastAsia="黑体" w:cs="黑体"/>
          <w:bCs/>
          <w:sz w:val="32"/>
          <w:szCs w:val="32"/>
        </w:rPr>
        <w:t>（一）主要职能职责</w:t>
      </w:r>
      <w:r>
        <w:rPr>
          <w:rFonts w:ascii="黑体" w:hAnsi="黑体" w:eastAsia="黑体" w:cs="黑体"/>
          <w:bCs/>
          <w:sz w:val="32"/>
          <w:szCs w:val="32"/>
        </w:rPr>
        <w:tab/>
      </w:r>
      <w:r>
        <w:rPr>
          <w:rFonts w:ascii="黑体" w:hAnsi="黑体" w:eastAsia="黑体" w:cs="黑体"/>
          <w:bCs/>
          <w:sz w:val="32"/>
          <w:szCs w:val="32"/>
        </w:rPr>
        <w:fldChar w:fldCharType="begin"/>
      </w:r>
      <w:r>
        <w:rPr>
          <w:rFonts w:ascii="黑体" w:hAnsi="黑体" w:eastAsia="黑体" w:cs="黑体"/>
          <w:bCs/>
          <w:sz w:val="32"/>
          <w:szCs w:val="32"/>
        </w:rPr>
        <w:instrText xml:space="preserve"> PAGEREF _Toc6321 \h </w:instrText>
      </w:r>
      <w:r>
        <w:rPr>
          <w:rFonts w:ascii="黑体" w:hAnsi="黑体" w:eastAsia="黑体" w:cs="黑体"/>
          <w:bCs/>
          <w:sz w:val="32"/>
          <w:szCs w:val="32"/>
        </w:rPr>
        <w:fldChar w:fldCharType="separate"/>
      </w:r>
      <w:r>
        <w:rPr>
          <w:rFonts w:ascii="黑体" w:hAnsi="黑体" w:eastAsia="黑体" w:cs="黑体"/>
          <w:bCs/>
          <w:sz w:val="32"/>
          <w:szCs w:val="32"/>
        </w:rPr>
        <w:t>1</w:t>
      </w:r>
      <w:r>
        <w:rPr>
          <w:rFonts w:ascii="黑体" w:hAnsi="黑体" w:eastAsia="黑体" w:cs="黑体"/>
          <w:bCs/>
          <w:sz w:val="32"/>
          <w:szCs w:val="32"/>
        </w:rPr>
        <w:fldChar w:fldCharType="end"/>
      </w:r>
      <w:r>
        <w:rPr>
          <w:rFonts w:ascii="黑体" w:hAnsi="黑体" w:eastAsia="黑体" w:cs="黑体"/>
          <w:bCs/>
          <w:sz w:val="32"/>
          <w:szCs w:val="32"/>
        </w:rPr>
        <w:fldChar w:fldCharType="end"/>
      </w:r>
    </w:p>
    <w:p w14:paraId="4C08254A">
      <w:pPr>
        <w:pStyle w:val="8"/>
        <w:tabs>
          <w:tab w:val="right" w:leader="dot" w:pos="8844"/>
        </w:tabs>
        <w:rPr>
          <w:sz w:val="32"/>
          <w:szCs w:val="32"/>
        </w:rPr>
      </w:pPr>
      <w:r>
        <w:fldChar w:fldCharType="begin"/>
      </w:r>
      <w:r>
        <w:instrText xml:space="preserve"> HYPERLINK \l "_Toc568" </w:instrText>
      </w:r>
      <w:r>
        <w:fldChar w:fldCharType="separate"/>
      </w:r>
      <w:r>
        <w:rPr>
          <w:rFonts w:hint="eastAsia" w:ascii="黑体" w:hAnsi="黑体" w:eastAsia="黑体" w:cs="黑体"/>
          <w:bCs/>
          <w:sz w:val="32"/>
          <w:szCs w:val="32"/>
        </w:rPr>
        <w:t>（二）2021年重点工作</w:t>
      </w:r>
      <w:r>
        <w:rPr>
          <w:rFonts w:ascii="黑体" w:hAnsi="黑体" w:eastAsia="黑体" w:cs="黑体"/>
          <w:bCs/>
          <w:sz w:val="32"/>
          <w:szCs w:val="32"/>
        </w:rPr>
        <w:tab/>
      </w:r>
      <w:r>
        <w:rPr>
          <w:rFonts w:hint="eastAsia" w:ascii="黑体" w:hAnsi="黑体" w:eastAsia="黑体" w:cs="黑体"/>
          <w:bCs/>
          <w:sz w:val="32"/>
          <w:szCs w:val="32"/>
        </w:rPr>
        <w:t>1</w:t>
      </w:r>
      <w:r>
        <w:rPr>
          <w:rFonts w:hint="eastAsia" w:ascii="黑体" w:hAnsi="黑体" w:eastAsia="黑体" w:cs="黑体"/>
          <w:bCs/>
          <w:sz w:val="32"/>
          <w:szCs w:val="32"/>
        </w:rPr>
        <w:fldChar w:fldCharType="end"/>
      </w:r>
    </w:p>
    <w:p w14:paraId="6F8B5A00">
      <w:pPr>
        <w:pStyle w:val="7"/>
        <w:tabs>
          <w:tab w:val="right" w:leader="dot" w:pos="8844"/>
        </w:tabs>
        <w:rPr>
          <w:sz w:val="32"/>
          <w:szCs w:val="32"/>
        </w:rPr>
      </w:pPr>
      <w:r>
        <w:fldChar w:fldCharType="begin"/>
      </w:r>
      <w:r>
        <w:instrText xml:space="preserve"> HYPERLINK \l "_Toc11296" </w:instrText>
      </w:r>
      <w:r>
        <w:fldChar w:fldCharType="separate"/>
      </w:r>
      <w:r>
        <w:rPr>
          <w:rFonts w:hint="eastAsia" w:ascii="黑体" w:hAnsi="黑体" w:eastAsia="黑体" w:cs="黑体"/>
          <w:bCs/>
          <w:sz w:val="32"/>
          <w:szCs w:val="32"/>
        </w:rPr>
        <w:t>二、部门预算单位构成</w:t>
      </w:r>
      <w:r>
        <w:rPr>
          <w:sz w:val="32"/>
          <w:szCs w:val="32"/>
        </w:rPr>
        <w:tab/>
      </w:r>
      <w:r>
        <w:rPr>
          <w:sz w:val="32"/>
          <w:szCs w:val="32"/>
        </w:rPr>
        <w:t>5</w:t>
      </w:r>
      <w:r>
        <w:rPr>
          <w:sz w:val="32"/>
          <w:szCs w:val="32"/>
        </w:rPr>
        <w:fldChar w:fldCharType="end"/>
      </w:r>
    </w:p>
    <w:p w14:paraId="5008B533">
      <w:pPr>
        <w:pStyle w:val="7"/>
        <w:tabs>
          <w:tab w:val="right" w:leader="dot" w:pos="8844"/>
        </w:tabs>
        <w:rPr>
          <w:sz w:val="32"/>
          <w:szCs w:val="32"/>
        </w:rPr>
      </w:pPr>
      <w:r>
        <w:fldChar w:fldCharType="begin"/>
      </w:r>
      <w:r>
        <w:instrText xml:space="preserve"> HYPERLINK \l "_Toc669" </w:instrText>
      </w:r>
      <w:r>
        <w:fldChar w:fldCharType="separate"/>
      </w:r>
      <w:r>
        <w:rPr>
          <w:rFonts w:hint="eastAsia" w:ascii="Times New Roman" w:hAnsi="Times New Roman" w:eastAsia="黑体"/>
          <w:sz w:val="32"/>
          <w:szCs w:val="32"/>
        </w:rPr>
        <w:t>三、 收支预算情况说明</w:t>
      </w:r>
      <w:r>
        <w:rPr>
          <w:sz w:val="32"/>
          <w:szCs w:val="32"/>
        </w:rPr>
        <w:tab/>
      </w:r>
      <w:r>
        <w:rPr>
          <w:sz w:val="32"/>
          <w:szCs w:val="32"/>
        </w:rPr>
        <w:t>5</w:t>
      </w:r>
      <w:r>
        <w:rPr>
          <w:sz w:val="32"/>
          <w:szCs w:val="32"/>
        </w:rPr>
        <w:fldChar w:fldCharType="end"/>
      </w:r>
    </w:p>
    <w:p w14:paraId="791C4176">
      <w:pPr>
        <w:pStyle w:val="7"/>
        <w:tabs>
          <w:tab w:val="right" w:leader="dot" w:pos="8844"/>
        </w:tabs>
        <w:rPr>
          <w:sz w:val="32"/>
          <w:szCs w:val="32"/>
        </w:rPr>
      </w:pPr>
      <w:r>
        <w:fldChar w:fldCharType="begin"/>
      </w:r>
      <w:r>
        <w:instrText xml:space="preserve"> HYPERLINK \l "_Toc11126" </w:instrText>
      </w:r>
      <w:r>
        <w:fldChar w:fldCharType="separate"/>
      </w:r>
      <w:r>
        <w:rPr>
          <w:rFonts w:hint="eastAsia" w:ascii="黑体" w:hAnsi="黑体" w:eastAsia="黑体" w:cs="黑体"/>
          <w:bCs/>
          <w:sz w:val="32"/>
          <w:szCs w:val="32"/>
        </w:rPr>
        <w:t>四、2021年财政拨款部门预算情况的总体说明</w:t>
      </w:r>
      <w:r>
        <w:rPr>
          <w:sz w:val="32"/>
          <w:szCs w:val="32"/>
        </w:rPr>
        <w:tab/>
      </w:r>
      <w:r>
        <w:rPr>
          <w:sz w:val="32"/>
          <w:szCs w:val="32"/>
        </w:rPr>
        <w:t>5</w:t>
      </w:r>
      <w:r>
        <w:rPr>
          <w:sz w:val="32"/>
          <w:szCs w:val="32"/>
        </w:rPr>
        <w:fldChar w:fldCharType="end"/>
      </w:r>
    </w:p>
    <w:p w14:paraId="4C084733">
      <w:pPr>
        <w:pStyle w:val="8"/>
        <w:tabs>
          <w:tab w:val="right" w:leader="dot" w:pos="8844"/>
        </w:tabs>
        <w:rPr>
          <w:sz w:val="32"/>
          <w:szCs w:val="32"/>
        </w:rPr>
      </w:pPr>
      <w:r>
        <w:fldChar w:fldCharType="begin"/>
      </w:r>
      <w:r>
        <w:instrText xml:space="preserve"> HYPERLINK \l "_Toc28972" </w:instrText>
      </w:r>
      <w:r>
        <w:fldChar w:fldCharType="separate"/>
      </w:r>
      <w:r>
        <w:rPr>
          <w:rFonts w:hint="eastAsia" w:ascii="楷体_GB2312" w:hAnsi="楷体_GB2312" w:eastAsia="楷体_GB2312" w:cs="楷体_GB2312"/>
          <w:bCs/>
          <w:sz w:val="32"/>
          <w:szCs w:val="32"/>
        </w:rPr>
        <w:t>（一）收入预算情况</w:t>
      </w:r>
      <w:r>
        <w:rPr>
          <w:sz w:val="32"/>
          <w:szCs w:val="32"/>
        </w:rPr>
        <w:tab/>
      </w:r>
      <w:r>
        <w:rPr>
          <w:sz w:val="32"/>
          <w:szCs w:val="32"/>
        </w:rPr>
        <w:t>5</w:t>
      </w:r>
      <w:r>
        <w:rPr>
          <w:sz w:val="32"/>
          <w:szCs w:val="32"/>
        </w:rPr>
        <w:fldChar w:fldCharType="end"/>
      </w:r>
    </w:p>
    <w:p w14:paraId="74A048C4">
      <w:pPr>
        <w:pStyle w:val="8"/>
        <w:tabs>
          <w:tab w:val="right" w:leader="dot" w:pos="8844"/>
        </w:tabs>
        <w:rPr>
          <w:sz w:val="32"/>
          <w:szCs w:val="32"/>
        </w:rPr>
      </w:pPr>
      <w:r>
        <w:fldChar w:fldCharType="begin"/>
      </w:r>
      <w:r>
        <w:instrText xml:space="preserve"> HYPERLINK \l "_Toc20406" </w:instrText>
      </w:r>
      <w:r>
        <w:fldChar w:fldCharType="separate"/>
      </w:r>
      <w:r>
        <w:rPr>
          <w:rFonts w:hint="eastAsia" w:ascii="楷体_GB2312" w:hAnsi="楷体_GB2312" w:eastAsia="楷体_GB2312" w:cs="楷体_GB2312"/>
          <w:bCs/>
          <w:sz w:val="32"/>
          <w:szCs w:val="32"/>
        </w:rPr>
        <w:t>（二）支出预算情况</w:t>
      </w:r>
      <w:r>
        <w:rPr>
          <w:sz w:val="32"/>
          <w:szCs w:val="32"/>
        </w:rPr>
        <w:tab/>
      </w:r>
      <w:r>
        <w:rPr>
          <w:sz w:val="32"/>
          <w:szCs w:val="32"/>
        </w:rPr>
        <w:fldChar w:fldCharType="begin"/>
      </w:r>
      <w:r>
        <w:rPr>
          <w:sz w:val="32"/>
          <w:szCs w:val="32"/>
        </w:rPr>
        <w:instrText xml:space="preserve"> PAGEREF _Toc20406 \h </w:instrText>
      </w:r>
      <w:r>
        <w:rPr>
          <w:sz w:val="32"/>
          <w:szCs w:val="32"/>
        </w:rPr>
        <w:fldChar w:fldCharType="separate"/>
      </w:r>
      <w:r>
        <w:rPr>
          <w:sz w:val="32"/>
          <w:szCs w:val="32"/>
        </w:rPr>
        <w:t>6</w:t>
      </w:r>
      <w:r>
        <w:rPr>
          <w:sz w:val="32"/>
          <w:szCs w:val="32"/>
        </w:rPr>
        <w:fldChar w:fldCharType="end"/>
      </w:r>
      <w:r>
        <w:rPr>
          <w:sz w:val="32"/>
          <w:szCs w:val="32"/>
        </w:rPr>
        <w:fldChar w:fldCharType="end"/>
      </w:r>
    </w:p>
    <w:p w14:paraId="44146DDB">
      <w:pPr>
        <w:pStyle w:val="7"/>
        <w:tabs>
          <w:tab w:val="right" w:leader="dot" w:pos="8844"/>
        </w:tabs>
        <w:rPr>
          <w:sz w:val="32"/>
          <w:szCs w:val="32"/>
        </w:rPr>
      </w:pPr>
      <w:r>
        <w:fldChar w:fldCharType="begin"/>
      </w:r>
      <w:r>
        <w:instrText xml:space="preserve"> HYPERLINK \l "_Toc5062" </w:instrText>
      </w:r>
      <w:r>
        <w:fldChar w:fldCharType="separate"/>
      </w:r>
      <w:r>
        <w:rPr>
          <w:rFonts w:hint="eastAsia" w:ascii="黑体" w:hAnsi="黑体" w:eastAsia="黑体" w:cs="黑体"/>
          <w:bCs/>
          <w:sz w:val="32"/>
          <w:szCs w:val="32"/>
        </w:rPr>
        <w:t>五、一般公共预算当年财政拨款情况说明</w:t>
      </w:r>
      <w:r>
        <w:rPr>
          <w:sz w:val="32"/>
          <w:szCs w:val="32"/>
        </w:rPr>
        <w:tab/>
      </w:r>
      <w:r>
        <w:rPr>
          <w:sz w:val="32"/>
          <w:szCs w:val="32"/>
        </w:rPr>
        <w:t>6</w:t>
      </w:r>
      <w:r>
        <w:rPr>
          <w:sz w:val="32"/>
          <w:szCs w:val="32"/>
        </w:rPr>
        <w:fldChar w:fldCharType="end"/>
      </w:r>
    </w:p>
    <w:p w14:paraId="5EC73EB4">
      <w:pPr>
        <w:pStyle w:val="8"/>
        <w:tabs>
          <w:tab w:val="right" w:leader="dot" w:pos="8844"/>
        </w:tabs>
        <w:rPr>
          <w:sz w:val="32"/>
          <w:szCs w:val="32"/>
        </w:rPr>
      </w:pPr>
      <w:r>
        <w:fldChar w:fldCharType="begin"/>
      </w:r>
      <w:r>
        <w:instrText xml:space="preserve"> HYPERLINK \l "_Toc7295" </w:instrText>
      </w:r>
      <w:r>
        <w:fldChar w:fldCharType="separate"/>
      </w:r>
      <w:r>
        <w:rPr>
          <w:rFonts w:hint="eastAsia" w:ascii="楷体_GB2312" w:hAnsi="楷体_GB2312" w:eastAsia="楷体_GB2312" w:cs="楷体_GB2312"/>
          <w:bCs/>
          <w:sz w:val="32"/>
          <w:szCs w:val="32"/>
        </w:rPr>
        <w:t>（一）一般公共预算当年拨款规模变化情况</w:t>
      </w:r>
      <w:r>
        <w:rPr>
          <w:sz w:val="32"/>
          <w:szCs w:val="32"/>
        </w:rPr>
        <w:tab/>
      </w:r>
      <w:r>
        <w:rPr>
          <w:sz w:val="32"/>
          <w:szCs w:val="32"/>
        </w:rPr>
        <w:t>6</w:t>
      </w:r>
      <w:r>
        <w:rPr>
          <w:sz w:val="32"/>
          <w:szCs w:val="32"/>
        </w:rPr>
        <w:fldChar w:fldCharType="end"/>
      </w:r>
    </w:p>
    <w:p w14:paraId="1CBD588F">
      <w:pPr>
        <w:pStyle w:val="8"/>
        <w:tabs>
          <w:tab w:val="right" w:leader="dot" w:pos="8844"/>
        </w:tabs>
        <w:rPr>
          <w:sz w:val="32"/>
          <w:szCs w:val="32"/>
        </w:rPr>
      </w:pPr>
      <w:r>
        <w:fldChar w:fldCharType="begin"/>
      </w:r>
      <w:r>
        <w:instrText xml:space="preserve"> HYPERLINK \l "_Toc26563" </w:instrText>
      </w:r>
      <w:r>
        <w:fldChar w:fldCharType="separate"/>
      </w:r>
      <w:r>
        <w:rPr>
          <w:rFonts w:ascii="楷体_GB2312" w:hAnsi="楷体_GB2312" w:eastAsia="楷体_GB2312" w:cs="楷体_GB2312"/>
          <w:bCs/>
          <w:sz w:val="32"/>
          <w:szCs w:val="32"/>
        </w:rPr>
        <w:t>（二）一般公共预算当年拨款结构情况</w:t>
      </w:r>
      <w:r>
        <w:rPr>
          <w:sz w:val="32"/>
          <w:szCs w:val="32"/>
        </w:rPr>
        <w:tab/>
      </w:r>
      <w:r>
        <w:rPr>
          <w:sz w:val="32"/>
          <w:szCs w:val="32"/>
        </w:rPr>
        <w:t>6</w:t>
      </w:r>
      <w:r>
        <w:rPr>
          <w:sz w:val="32"/>
          <w:szCs w:val="32"/>
        </w:rPr>
        <w:fldChar w:fldCharType="end"/>
      </w:r>
    </w:p>
    <w:p w14:paraId="26FB1F45">
      <w:pPr>
        <w:pStyle w:val="8"/>
        <w:tabs>
          <w:tab w:val="right" w:leader="dot" w:pos="8844"/>
        </w:tabs>
        <w:rPr>
          <w:sz w:val="32"/>
          <w:szCs w:val="32"/>
        </w:rPr>
      </w:pPr>
      <w:r>
        <w:fldChar w:fldCharType="begin"/>
      </w:r>
      <w:r>
        <w:instrText xml:space="preserve"> HYPERLINK \l "_Toc26910" </w:instrText>
      </w:r>
      <w:r>
        <w:fldChar w:fldCharType="separate"/>
      </w:r>
      <w:r>
        <w:rPr>
          <w:rFonts w:ascii="楷体_GB2312" w:hAnsi="楷体_GB2312" w:eastAsia="楷体_GB2312" w:cs="楷体_GB2312"/>
          <w:bCs/>
          <w:sz w:val="32"/>
          <w:szCs w:val="32"/>
        </w:rPr>
        <w:t>（三）一般公共预算当年拨款具体使用情况</w:t>
      </w:r>
      <w:r>
        <w:rPr>
          <w:sz w:val="32"/>
          <w:szCs w:val="32"/>
        </w:rPr>
        <w:tab/>
      </w:r>
      <w:r>
        <w:rPr>
          <w:sz w:val="32"/>
          <w:szCs w:val="32"/>
        </w:rPr>
        <w:t>6</w:t>
      </w:r>
      <w:r>
        <w:rPr>
          <w:sz w:val="32"/>
          <w:szCs w:val="32"/>
        </w:rPr>
        <w:fldChar w:fldCharType="end"/>
      </w:r>
    </w:p>
    <w:p w14:paraId="0AEB7230">
      <w:pPr>
        <w:pStyle w:val="7"/>
        <w:tabs>
          <w:tab w:val="right" w:leader="dot" w:pos="8844"/>
        </w:tabs>
        <w:rPr>
          <w:sz w:val="32"/>
          <w:szCs w:val="32"/>
        </w:rPr>
      </w:pPr>
      <w:r>
        <w:fldChar w:fldCharType="begin"/>
      </w:r>
      <w:r>
        <w:instrText xml:space="preserve"> HYPERLINK \l "_Toc16714" </w:instrText>
      </w:r>
      <w:r>
        <w:fldChar w:fldCharType="separate"/>
      </w:r>
      <w:r>
        <w:rPr>
          <w:rFonts w:hint="eastAsia" w:ascii="黑体" w:hAnsi="黑体" w:eastAsia="黑体" w:cs="黑体"/>
          <w:bCs/>
          <w:sz w:val="32"/>
          <w:szCs w:val="32"/>
        </w:rPr>
        <w:t>六、2021年一般公共预算基本支出情况说明</w:t>
      </w:r>
      <w:r>
        <w:rPr>
          <w:sz w:val="32"/>
          <w:szCs w:val="32"/>
        </w:rPr>
        <w:tab/>
      </w:r>
      <w:r>
        <w:rPr>
          <w:sz w:val="32"/>
          <w:szCs w:val="32"/>
        </w:rPr>
        <w:t>7</w:t>
      </w:r>
      <w:r>
        <w:rPr>
          <w:sz w:val="32"/>
          <w:szCs w:val="32"/>
        </w:rPr>
        <w:fldChar w:fldCharType="end"/>
      </w:r>
    </w:p>
    <w:p w14:paraId="05883FEE">
      <w:pPr>
        <w:pStyle w:val="7"/>
        <w:tabs>
          <w:tab w:val="right" w:leader="dot" w:pos="8844"/>
        </w:tabs>
        <w:rPr>
          <w:sz w:val="32"/>
          <w:szCs w:val="32"/>
        </w:rPr>
      </w:pPr>
      <w:r>
        <w:fldChar w:fldCharType="begin"/>
      </w:r>
      <w:r>
        <w:instrText xml:space="preserve"> HYPERLINK \l "_Toc21241" </w:instrText>
      </w:r>
      <w:r>
        <w:fldChar w:fldCharType="separate"/>
      </w:r>
      <w:r>
        <w:rPr>
          <w:rFonts w:hint="eastAsia" w:ascii="黑体" w:hAnsi="黑体" w:eastAsia="黑体" w:cs="黑体"/>
          <w:bCs/>
          <w:sz w:val="32"/>
          <w:szCs w:val="32"/>
        </w:rPr>
        <w:t>七、财政拨款安排“三公”经费预算情况说明</w:t>
      </w:r>
      <w:r>
        <w:rPr>
          <w:sz w:val="32"/>
          <w:szCs w:val="32"/>
        </w:rPr>
        <w:tab/>
      </w:r>
      <w:r>
        <w:rPr>
          <w:sz w:val="32"/>
          <w:szCs w:val="32"/>
        </w:rPr>
        <w:t>7</w:t>
      </w:r>
      <w:r>
        <w:rPr>
          <w:sz w:val="32"/>
          <w:szCs w:val="32"/>
        </w:rPr>
        <w:fldChar w:fldCharType="end"/>
      </w:r>
    </w:p>
    <w:p w14:paraId="5709528B">
      <w:pPr>
        <w:pStyle w:val="7"/>
        <w:tabs>
          <w:tab w:val="right" w:leader="dot" w:pos="8844"/>
        </w:tabs>
        <w:rPr>
          <w:sz w:val="32"/>
          <w:szCs w:val="32"/>
        </w:rPr>
      </w:pPr>
      <w:r>
        <w:fldChar w:fldCharType="begin"/>
      </w:r>
      <w:r>
        <w:instrText xml:space="preserve"> HYPERLINK \l "_Toc21879" </w:instrText>
      </w:r>
      <w:r>
        <w:fldChar w:fldCharType="separate"/>
      </w:r>
      <w:r>
        <w:rPr>
          <w:rFonts w:hint="eastAsia" w:ascii="黑体" w:hAnsi="黑体" w:eastAsia="黑体" w:cs="黑体"/>
          <w:bCs/>
          <w:sz w:val="32"/>
          <w:szCs w:val="32"/>
        </w:rPr>
        <w:t>八、2021年政府性基金预算收支情况说明</w:t>
      </w:r>
      <w:r>
        <w:rPr>
          <w:sz w:val="32"/>
          <w:szCs w:val="32"/>
        </w:rPr>
        <w:tab/>
      </w:r>
      <w:r>
        <w:rPr>
          <w:sz w:val="32"/>
          <w:szCs w:val="32"/>
        </w:rPr>
        <w:t>8</w:t>
      </w:r>
      <w:r>
        <w:rPr>
          <w:sz w:val="32"/>
          <w:szCs w:val="32"/>
        </w:rPr>
        <w:fldChar w:fldCharType="end"/>
      </w:r>
    </w:p>
    <w:p w14:paraId="1BB08A78">
      <w:pPr>
        <w:pStyle w:val="7"/>
        <w:tabs>
          <w:tab w:val="right" w:leader="dot" w:pos="8844"/>
        </w:tabs>
        <w:rPr>
          <w:sz w:val="32"/>
          <w:szCs w:val="32"/>
        </w:rPr>
      </w:pPr>
      <w:r>
        <w:fldChar w:fldCharType="begin"/>
      </w:r>
      <w:r>
        <w:instrText xml:space="preserve"> HYPERLINK \l "_Toc9414" </w:instrText>
      </w:r>
      <w:r>
        <w:fldChar w:fldCharType="separate"/>
      </w:r>
      <w:r>
        <w:rPr>
          <w:rFonts w:hint="eastAsia" w:ascii="黑体" w:hAnsi="黑体" w:eastAsia="黑体" w:cs="黑体"/>
          <w:bCs/>
          <w:sz w:val="32"/>
          <w:szCs w:val="32"/>
        </w:rPr>
        <w:t>九、国有资本经营预算支出情况说明</w:t>
      </w:r>
      <w:r>
        <w:rPr>
          <w:sz w:val="32"/>
          <w:szCs w:val="32"/>
        </w:rPr>
        <w:tab/>
      </w:r>
      <w:r>
        <w:rPr>
          <w:sz w:val="32"/>
          <w:szCs w:val="32"/>
        </w:rPr>
        <w:t>8</w:t>
      </w:r>
      <w:r>
        <w:rPr>
          <w:sz w:val="32"/>
          <w:szCs w:val="32"/>
        </w:rPr>
        <w:fldChar w:fldCharType="end"/>
      </w:r>
    </w:p>
    <w:p w14:paraId="5EBCED9E">
      <w:pPr>
        <w:pStyle w:val="7"/>
        <w:tabs>
          <w:tab w:val="right" w:leader="dot" w:pos="8844"/>
        </w:tabs>
        <w:rPr>
          <w:sz w:val="32"/>
          <w:szCs w:val="32"/>
        </w:rPr>
      </w:pPr>
      <w:r>
        <w:fldChar w:fldCharType="begin"/>
      </w:r>
      <w:r>
        <w:instrText xml:space="preserve"> HYPERLINK \l "_Toc2775" </w:instrText>
      </w:r>
      <w:r>
        <w:fldChar w:fldCharType="separate"/>
      </w:r>
      <w:r>
        <w:rPr>
          <w:rFonts w:hint="eastAsia" w:ascii="黑体" w:hAnsi="黑体" w:eastAsia="黑体" w:cs="黑体"/>
          <w:bCs/>
          <w:sz w:val="32"/>
          <w:szCs w:val="32"/>
        </w:rPr>
        <w:t>十、其他重要事项的情况说明</w:t>
      </w:r>
      <w:r>
        <w:rPr>
          <w:sz w:val="32"/>
          <w:szCs w:val="32"/>
        </w:rPr>
        <w:tab/>
      </w:r>
      <w:r>
        <w:rPr>
          <w:sz w:val="32"/>
          <w:szCs w:val="32"/>
        </w:rPr>
        <w:t>8</w:t>
      </w:r>
      <w:r>
        <w:rPr>
          <w:sz w:val="32"/>
          <w:szCs w:val="32"/>
        </w:rPr>
        <w:fldChar w:fldCharType="end"/>
      </w:r>
    </w:p>
    <w:p w14:paraId="10F49FF1">
      <w:pPr>
        <w:pStyle w:val="8"/>
        <w:tabs>
          <w:tab w:val="right" w:leader="dot" w:pos="8844"/>
        </w:tabs>
        <w:rPr>
          <w:rFonts w:ascii="黑体" w:hAnsi="黑体" w:eastAsia="黑体" w:cs="黑体"/>
          <w:bCs/>
          <w:sz w:val="32"/>
          <w:szCs w:val="32"/>
        </w:rPr>
      </w:pPr>
      <w:r>
        <w:fldChar w:fldCharType="begin"/>
      </w:r>
      <w:r>
        <w:instrText xml:space="preserve"> HYPERLINK \l "_Toc8284" </w:instrText>
      </w:r>
      <w:r>
        <w:fldChar w:fldCharType="separate"/>
      </w:r>
      <w:r>
        <w:rPr>
          <w:rFonts w:ascii="黑体" w:hAnsi="黑体" w:eastAsia="黑体" w:cs="黑体"/>
          <w:bCs/>
          <w:sz w:val="32"/>
          <w:szCs w:val="32"/>
        </w:rPr>
        <w:t>（一）机关运行经费</w:t>
      </w:r>
      <w:r>
        <w:rPr>
          <w:rFonts w:ascii="黑体" w:hAnsi="黑体" w:eastAsia="黑体" w:cs="黑体"/>
          <w:bCs/>
          <w:sz w:val="32"/>
          <w:szCs w:val="32"/>
        </w:rPr>
        <w:tab/>
      </w:r>
      <w:r>
        <w:rPr>
          <w:rFonts w:ascii="黑体" w:hAnsi="黑体" w:eastAsia="黑体" w:cs="黑体"/>
          <w:bCs/>
          <w:sz w:val="32"/>
          <w:szCs w:val="32"/>
        </w:rPr>
        <w:t>8</w:t>
      </w:r>
      <w:r>
        <w:rPr>
          <w:rFonts w:ascii="黑体" w:hAnsi="黑体" w:eastAsia="黑体" w:cs="黑体"/>
          <w:bCs/>
          <w:sz w:val="32"/>
          <w:szCs w:val="32"/>
        </w:rPr>
        <w:fldChar w:fldCharType="end"/>
      </w:r>
    </w:p>
    <w:p w14:paraId="13A8965A">
      <w:pPr>
        <w:pStyle w:val="8"/>
        <w:tabs>
          <w:tab w:val="right" w:leader="dot" w:pos="8844"/>
        </w:tabs>
        <w:ind w:left="0" w:leftChars="0" w:firstLine="420" w:firstLineChars="200"/>
        <w:rPr>
          <w:rFonts w:ascii="微软雅黑" w:hAnsi="微软雅黑" w:eastAsia="微软雅黑" w:cs="微软雅黑"/>
          <w:bCs/>
          <w:sz w:val="28"/>
          <w:szCs w:val="28"/>
        </w:rPr>
      </w:pPr>
      <w:r>
        <w:fldChar w:fldCharType="begin"/>
      </w:r>
      <w:r>
        <w:instrText xml:space="preserve"> HYPERLINK \l "_Toc32148" </w:instrText>
      </w:r>
      <w:r>
        <w:fldChar w:fldCharType="separate"/>
      </w:r>
      <w:r>
        <w:rPr>
          <w:rFonts w:hint="eastAsia" w:ascii="微软雅黑" w:hAnsi="微软雅黑" w:eastAsia="微软雅黑" w:cs="微软雅黑"/>
          <w:bCs/>
          <w:sz w:val="28"/>
          <w:szCs w:val="28"/>
        </w:rPr>
        <w:t>（二）政府采购情况</w:t>
      </w:r>
      <w:r>
        <w:rPr>
          <w:rFonts w:ascii="微软雅黑" w:hAnsi="微软雅黑" w:eastAsia="微软雅黑" w:cs="微软雅黑"/>
          <w:bCs/>
          <w:sz w:val="28"/>
          <w:szCs w:val="28"/>
        </w:rPr>
        <w:tab/>
      </w:r>
      <w:r>
        <w:rPr>
          <w:rFonts w:ascii="微软雅黑" w:hAnsi="微软雅黑" w:eastAsia="微软雅黑" w:cs="微软雅黑"/>
          <w:bCs/>
          <w:sz w:val="28"/>
          <w:szCs w:val="28"/>
        </w:rPr>
        <w:t>8</w:t>
      </w:r>
      <w:r>
        <w:rPr>
          <w:rFonts w:ascii="微软雅黑" w:hAnsi="微软雅黑" w:eastAsia="微软雅黑" w:cs="微软雅黑"/>
          <w:bCs/>
          <w:sz w:val="28"/>
          <w:szCs w:val="28"/>
        </w:rPr>
        <w:fldChar w:fldCharType="end"/>
      </w:r>
    </w:p>
    <w:p w14:paraId="459CBE35">
      <w:pPr>
        <w:pStyle w:val="8"/>
        <w:tabs>
          <w:tab w:val="right" w:leader="dot" w:pos="8844"/>
        </w:tabs>
        <w:rPr>
          <w:sz w:val="28"/>
          <w:szCs w:val="28"/>
        </w:rPr>
      </w:pPr>
      <w:r>
        <w:fldChar w:fldCharType="begin"/>
      </w:r>
      <w:r>
        <w:instrText xml:space="preserve"> HYPERLINK \l "_Toc28104" </w:instrText>
      </w:r>
      <w:r>
        <w:fldChar w:fldCharType="separate"/>
      </w:r>
      <w:r>
        <w:rPr>
          <w:rFonts w:hint="eastAsia" w:ascii="楷体_GB2312" w:hAnsi="楷体_GB2312" w:eastAsia="楷体_GB2312" w:cs="楷体_GB2312"/>
          <w:bCs/>
          <w:sz w:val="28"/>
          <w:szCs w:val="28"/>
        </w:rPr>
        <w:t>（</w:t>
      </w:r>
      <w:r>
        <w:rPr>
          <w:rFonts w:hint="eastAsia" w:ascii="微软雅黑" w:hAnsi="微软雅黑" w:eastAsia="微软雅黑" w:cs="微软雅黑"/>
          <w:bCs/>
          <w:sz w:val="28"/>
          <w:szCs w:val="28"/>
        </w:rPr>
        <w:t>三</w:t>
      </w:r>
      <w:r>
        <w:rPr>
          <w:rFonts w:hint="eastAsia" w:ascii="___WRD_EMBED_SUB_48" w:hAnsi="___WRD_EMBED_SUB_48" w:eastAsia="___WRD_EMBED_SUB_48" w:cs="___WRD_EMBED_SUB_48"/>
          <w:bCs/>
          <w:sz w:val="28"/>
          <w:szCs w:val="28"/>
        </w:rPr>
        <w:t>）</w:t>
      </w:r>
      <w:r>
        <w:rPr>
          <w:rFonts w:hint="eastAsia" w:ascii="微软雅黑" w:hAnsi="微软雅黑" w:eastAsia="微软雅黑" w:cs="微软雅黑"/>
          <w:bCs/>
          <w:sz w:val="28"/>
          <w:szCs w:val="28"/>
        </w:rPr>
        <w:t>国有资产占有使用情况</w:t>
      </w:r>
      <w:r>
        <w:rPr>
          <w:sz w:val="28"/>
          <w:szCs w:val="28"/>
        </w:rPr>
        <w:tab/>
      </w:r>
      <w:r>
        <w:rPr>
          <w:sz w:val="28"/>
          <w:szCs w:val="28"/>
        </w:rPr>
        <w:fldChar w:fldCharType="end"/>
      </w:r>
      <w:r>
        <w:rPr>
          <w:sz w:val="28"/>
          <w:szCs w:val="28"/>
        </w:rPr>
        <w:t>8</w:t>
      </w:r>
    </w:p>
    <w:p w14:paraId="2939C3FB">
      <w:pPr>
        <w:pStyle w:val="8"/>
        <w:tabs>
          <w:tab w:val="right" w:leader="dot" w:pos="8844"/>
        </w:tabs>
        <w:rPr>
          <w:sz w:val="32"/>
          <w:szCs w:val="32"/>
        </w:rPr>
      </w:pPr>
      <w:r>
        <w:fldChar w:fldCharType="begin"/>
      </w:r>
      <w:r>
        <w:instrText xml:space="preserve"> HYPERLINK \l "_Toc8711" </w:instrText>
      </w:r>
      <w:r>
        <w:fldChar w:fldCharType="separate"/>
      </w:r>
      <w:r>
        <w:rPr>
          <w:rFonts w:hint="eastAsia" w:ascii="楷体_GB2312" w:hAnsi="楷体_GB2312" w:eastAsia="楷体_GB2312" w:cs="楷体_GB2312"/>
          <w:bCs/>
          <w:sz w:val="28"/>
          <w:szCs w:val="28"/>
        </w:rPr>
        <w:t>（</w:t>
      </w:r>
      <w:r>
        <w:rPr>
          <w:rFonts w:hint="eastAsia" w:ascii="微软雅黑" w:hAnsi="微软雅黑" w:eastAsia="微软雅黑" w:cs="微软雅黑"/>
          <w:bCs/>
          <w:sz w:val="28"/>
          <w:szCs w:val="28"/>
        </w:rPr>
        <w:t>四</w:t>
      </w:r>
      <w:r>
        <w:rPr>
          <w:rFonts w:hint="eastAsia" w:ascii="___WRD_EMBED_SUB_48" w:hAnsi="___WRD_EMBED_SUB_48" w:eastAsia="___WRD_EMBED_SUB_48" w:cs="___WRD_EMBED_SUB_48"/>
          <w:bCs/>
          <w:sz w:val="28"/>
          <w:szCs w:val="28"/>
        </w:rPr>
        <w:t>）</w:t>
      </w:r>
      <w:r>
        <w:rPr>
          <w:rFonts w:hint="eastAsia" w:ascii="微软雅黑" w:hAnsi="微软雅黑" w:eastAsia="微软雅黑" w:cs="微软雅黑"/>
          <w:bCs/>
          <w:sz w:val="28"/>
          <w:szCs w:val="28"/>
        </w:rPr>
        <w:t>绩效目标设置情况</w:t>
      </w:r>
      <w:r>
        <w:rPr>
          <w:sz w:val="28"/>
          <w:szCs w:val="28"/>
        </w:rPr>
        <w:tab/>
      </w:r>
      <w:r>
        <w:rPr>
          <w:sz w:val="28"/>
          <w:szCs w:val="28"/>
        </w:rPr>
        <w:fldChar w:fldCharType="end"/>
      </w:r>
      <w:r>
        <w:rPr>
          <w:sz w:val="32"/>
          <w:szCs w:val="32"/>
        </w:rPr>
        <w:t>9</w:t>
      </w:r>
    </w:p>
    <w:p w14:paraId="28204E06">
      <w:pPr>
        <w:pStyle w:val="7"/>
        <w:tabs>
          <w:tab w:val="right" w:leader="dot" w:pos="8844"/>
        </w:tabs>
      </w:pPr>
      <w:r>
        <w:fldChar w:fldCharType="begin"/>
      </w:r>
      <w:r>
        <w:instrText xml:space="preserve"> HYPERLINK \l "_Toc24936" </w:instrText>
      </w:r>
      <w:r>
        <w:fldChar w:fldCharType="separate"/>
      </w:r>
      <w:r>
        <w:rPr>
          <w:rFonts w:hint="eastAsia" w:ascii="黑体" w:hAnsi="黑体" w:eastAsia="黑体" w:cs="黑体"/>
          <w:bCs/>
          <w:sz w:val="32"/>
          <w:szCs w:val="32"/>
        </w:rPr>
        <w:t>十一、名词解释</w:t>
      </w:r>
      <w:r>
        <w:rPr>
          <w:sz w:val="32"/>
          <w:szCs w:val="32"/>
        </w:rPr>
        <w:tab/>
      </w:r>
      <w:r>
        <w:rPr>
          <w:sz w:val="32"/>
          <w:szCs w:val="32"/>
        </w:rPr>
        <w:t>9</w:t>
      </w:r>
      <w:r>
        <w:rPr>
          <w:sz w:val="32"/>
          <w:szCs w:val="32"/>
        </w:rPr>
        <w:fldChar w:fldCharType="end"/>
      </w:r>
    </w:p>
    <w:p w14:paraId="38E46C81">
      <w:pPr>
        <w:pStyle w:val="8"/>
        <w:tabs>
          <w:tab w:val="right" w:leader="dot" w:pos="8844"/>
        </w:tabs>
        <w:rPr>
          <w:sz w:val="32"/>
          <w:szCs w:val="32"/>
        </w:rPr>
        <w:sectPr>
          <w:footerReference r:id="rId4" w:type="first"/>
          <w:footerReference r:id="rId3" w:type="default"/>
          <w:pgSz w:w="11906" w:h="16838"/>
          <w:pgMar w:top="2098" w:right="1474" w:bottom="2041" w:left="1587" w:header="851" w:footer="992" w:gutter="0"/>
          <w:cols w:space="720" w:num="1"/>
          <w:docGrid w:type="lines" w:linePitch="312" w:charSpace="0"/>
        </w:sectPr>
      </w:pPr>
    </w:p>
    <w:p w14:paraId="7E753680">
      <w:pPr>
        <w:pStyle w:val="4"/>
        <w:spacing w:before="0" w:after="0" w:line="576" w:lineRule="exact"/>
        <w:rPr>
          <w:rFonts w:ascii="楷体_GB2312" w:hAnsi="楷体_GB2312" w:eastAsia="楷体_GB2312" w:cs="楷体_GB2312"/>
          <w:b w:val="0"/>
        </w:rPr>
      </w:pPr>
      <w:r>
        <w:fldChar w:fldCharType="end"/>
      </w:r>
      <w:bookmarkStart w:id="22" w:name="_Toc11631"/>
      <w:bookmarkStart w:id="23" w:name="_Toc2708"/>
      <w:bookmarkStart w:id="24" w:name="_Toc6321"/>
      <w:bookmarkStart w:id="25" w:name="_Toc15378445"/>
      <w:bookmarkStart w:id="26" w:name="_Toc15377198"/>
      <w:r>
        <w:rPr>
          <w:rFonts w:hint="eastAsia" w:ascii="楷体_GB2312" w:hAnsi="楷体_GB2312" w:eastAsia="楷体_GB2312" w:cs="楷体_GB2312"/>
          <w:b w:val="0"/>
        </w:rPr>
        <w:t>一、基本职能及主要工作</w:t>
      </w:r>
      <w:bookmarkEnd w:id="22"/>
      <w:bookmarkEnd w:id="23"/>
    </w:p>
    <w:p w14:paraId="50CD3313">
      <w:pPr>
        <w:pStyle w:val="4"/>
        <w:spacing w:before="0" w:after="0" w:line="576" w:lineRule="exact"/>
        <w:rPr>
          <w:rFonts w:ascii="楷体_GB2312" w:hAnsi="楷体_GB2312" w:eastAsia="楷体_GB2312" w:cs="楷体_GB2312"/>
          <w:b w:val="0"/>
        </w:rPr>
      </w:pPr>
      <w:r>
        <w:rPr>
          <w:rFonts w:hint="eastAsia" w:ascii="楷体_GB2312" w:hAnsi="楷体_GB2312" w:eastAsia="楷体_GB2312" w:cs="楷体_GB2312"/>
          <w:b w:val="0"/>
        </w:rPr>
        <w:t>（一）主要职能职责</w:t>
      </w:r>
      <w:bookmarkEnd w:id="24"/>
    </w:p>
    <w:p w14:paraId="6B2D5277">
      <w:pPr>
        <w:pStyle w:val="9"/>
        <w:widowControl/>
        <w:spacing w:before="120" w:beforeAutospacing="0" w:after="0" w:afterAutospacing="0" w:line="600" w:lineRule="atLeast"/>
        <w:ind w:firstLine="560" w:firstLineChars="200"/>
        <w:rPr>
          <w:rFonts w:ascii="Times New Roman" w:hAnsi="Times New Roman" w:eastAsia="仿宋_GB2312"/>
          <w:kern w:val="2"/>
          <w:sz w:val="28"/>
          <w:szCs w:val="28"/>
        </w:rPr>
      </w:pPr>
      <w:r>
        <w:rPr>
          <w:rFonts w:hint="eastAsia" w:ascii="Times New Roman" w:hAnsi="Times New Roman" w:eastAsia="仿宋_GB2312"/>
          <w:kern w:val="2"/>
          <w:sz w:val="28"/>
          <w:szCs w:val="28"/>
        </w:rPr>
        <w:t>代表和维护妇女权益，促进男女平等。妇联的主要任务是：妇女维权、妇女发展、妇女宣传、儿童工作和组织建设。一是团结、动员广大妇女投身社会主义现代化建设，促进经济发展和社会全面进步。二是教育引导广大妇女发扬自尊、自信、自立、自强的精神，提高综合素质。代表妇女参与国家和社会事务的民主决策、民主管理和民主监督。三是推动妇女儿童纲要的实施，维护妇女儿童合法权益。四是加强与社会各界的联系，协调和推动社会各界为妇女儿童办实事、办好事。</w:t>
      </w:r>
      <w:bookmarkEnd w:id="25"/>
      <w:bookmarkEnd w:id="26"/>
    </w:p>
    <w:p w14:paraId="44C19505">
      <w:pPr>
        <w:pStyle w:val="4"/>
        <w:spacing w:before="0" w:after="0" w:line="576" w:lineRule="exact"/>
        <w:ind w:firstLine="640" w:firstLineChars="200"/>
        <w:rPr>
          <w:rFonts w:ascii="楷体_GB2312" w:hAnsi="楷体_GB2312" w:eastAsia="楷体_GB2312" w:cs="楷体_GB2312"/>
          <w:b w:val="0"/>
        </w:rPr>
      </w:pPr>
      <w:bookmarkStart w:id="27" w:name="_Toc568"/>
      <w:r>
        <w:rPr>
          <w:rFonts w:hint="eastAsia" w:ascii="楷体_GB2312" w:hAnsi="楷体_GB2312" w:eastAsia="楷体_GB2312" w:cs="楷体_GB2312"/>
          <w:b w:val="0"/>
        </w:rPr>
        <w:t>（二）2021年重点工作</w:t>
      </w:r>
      <w:bookmarkEnd w:id="27"/>
    </w:p>
    <w:p w14:paraId="517EA8F9">
      <w:pPr>
        <w:pStyle w:val="2"/>
        <w:spacing w:before="93"/>
        <w:rPr>
          <w:rFonts w:ascii="仿宋_GB2312" w:hAnsi="仿宋_GB2312" w:eastAsia="仿宋_GB2312" w:cs="仿宋_GB2312"/>
          <w:sz w:val="28"/>
          <w:szCs w:val="28"/>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28"/>
          <w:szCs w:val="28"/>
        </w:rPr>
        <w:t xml:space="preserve"> </w:t>
      </w:r>
      <w:r>
        <w:rPr>
          <w:rFonts w:hint="eastAsia" w:ascii="仿宋_GB2312" w:hAnsi="仿宋_GB2312" w:eastAsia="仿宋_GB2312" w:cs="仿宋_GB2312"/>
          <w:b/>
          <w:bCs/>
          <w:sz w:val="28"/>
          <w:szCs w:val="28"/>
        </w:rPr>
        <w:t xml:space="preserve"> 1.实施“3+N”提升行动，在经济发展“三大主战场”中贡献巾帼力量，展巾帼担当作为。</w:t>
      </w:r>
      <w:r>
        <w:rPr>
          <w:rFonts w:hint="eastAsia" w:hAnsi="仿宋_GB2312" w:cs="仿宋_GB2312"/>
          <w:b/>
          <w:bCs/>
          <w:sz w:val="28"/>
          <w:szCs w:val="28"/>
        </w:rPr>
        <w:t>一是</w:t>
      </w:r>
      <w:r>
        <w:rPr>
          <w:rFonts w:hint="eastAsia" w:ascii="仿宋_GB2312" w:hAnsi="仿宋_GB2312" w:eastAsia="仿宋_GB2312" w:cs="仿宋_GB2312"/>
          <w:sz w:val="28"/>
          <w:szCs w:val="28"/>
        </w:rPr>
        <w:t>扎实开展学习宣讲党的十九届四中、五中全会以及习近平总书记关于妇女和妇女工作的重要论述，省市区全委会精神，切实将以人民为中心的发展思想贯穿妇联工作全过程，把做到“两个维护”体现在具体行动上。深入东创建国汽车产业园、元坝镇马克思街社区、卫子镇卫子村开展“百千万巾帼大宣讲”“巾帼心向党 奋进新时代”群众性大型主题教育活动，在元坝镇柳桥村举办川女回家——“乡村家庭日”活动暨“把爱带回家”双百万结对寒假特别行动启动仪式，在卫子镇举办第一届归雁工程“巾帼心向党 建功新时代”技能大比武活动，表彰归雁工程创业先进个人20名，最美奉献者4名。推荐、上报市三八红旗集体3个，三八红旗手7名，表扬区三八红旗集体5个，红旗手31名。</w:t>
      </w:r>
      <w:r>
        <w:rPr>
          <w:rFonts w:hint="eastAsia" w:eastAsia="仿宋_GB2312"/>
          <w:color w:val="000000"/>
          <w:sz w:val="28"/>
          <w:szCs w:val="28"/>
        </w:rPr>
        <w:t>把广大妇女群众最广泛最紧密地团结在以习近平同志为核心的党中央周围，坚定不移听党话跟党走</w:t>
      </w:r>
      <w:r>
        <w:rPr>
          <w:rFonts w:hint="eastAsia" w:ascii="仿宋_GB2312" w:hAnsi="仿宋_GB2312" w:eastAsia="仿宋_GB2312" w:cs="仿宋_GB2312"/>
          <w:sz w:val="28"/>
          <w:szCs w:val="28"/>
        </w:rPr>
        <w:t>。全力打好疫情防控“阻击战”，引导各级妇联干部、执委、巾帼志愿者及最美家庭代表化身小喇叭，组建疫情防控“三员”队伍，建立巾帼志愿突击队30个、巾帼志愿服务点50余处，指导“归雁工程”扶贫车间和全国巾帼脱贫示范基地及时复工复产工作。争取东西部扶贫协作资金、龙泉市慈善总会捐赠资金30万元在太公红军山社区、元坝镇640社区新建扶贫车间2个，提升改造卫子扶贫车间1个，开展技能培训5期，培训妇女200余名。160名妇女实现居家灵活就业，带动建卡贫困户27人，发放加工费近60余万元。“归雁工程”来料加工扶贫车间事迹先后多次在人民日报、广元电视台、昭化电视台等新闻报道，并纳入浙江省东西部扶贫协作十大案例之一。争取“巾帼大宣讲”、“两癌”等项目资金55.3万元。引进浙江省浦江县盛开花边厂在我区绿色家居产业城投资4000万建年产80万套家用纺织品项目1个。</w:t>
      </w:r>
      <w:r>
        <w:rPr>
          <w:rFonts w:hint="eastAsia" w:hAnsi="仿宋_GB2312" w:cs="仿宋_GB2312"/>
          <w:sz w:val="28"/>
          <w:szCs w:val="28"/>
        </w:rPr>
        <w:t>二是</w:t>
      </w:r>
      <w:r>
        <w:rPr>
          <w:rFonts w:hint="eastAsia" w:ascii="仿宋_GB2312" w:hAnsi="仿宋_GB2312" w:eastAsia="仿宋_GB2312" w:cs="仿宋_GB2312"/>
          <w:sz w:val="28"/>
          <w:szCs w:val="28"/>
        </w:rPr>
        <w:t>扎实做好女儿节期间“巾帼助力脱贫奔康·川妹带川货”直播带货活动，大力宣传王家贡米、茯苓面等一批特色农产品，深受好评。扎实开展脱贫攻坚帮扶工作。协调到交通资金30万元用于帮扶村建设便民桥建设，常态化开展帮扶村帮扶、困难群众关心慰问工作。认真实施国奶扶贫项目，全区共发放奶粉14批次4824桶。三是持续开展法</w:t>
      </w:r>
      <w:r>
        <w:rPr>
          <w:rFonts w:hint="eastAsia" w:ascii="仿宋_GB2312" w:hAnsi="仿宋_GB2312" w:eastAsia="仿宋_GB2312" w:cs="仿宋_GB2312"/>
          <w:sz w:val="28"/>
          <w:szCs w:val="28"/>
          <w:lang w:val="en-US" w:eastAsia="zh-CN"/>
        </w:rPr>
        <w:t>治</w:t>
      </w:r>
      <w:r>
        <w:rPr>
          <w:rFonts w:hint="eastAsia" w:ascii="仿宋_GB2312" w:hAnsi="仿宋_GB2312" w:eastAsia="仿宋_GB2312" w:cs="仿宋_GB2312"/>
          <w:sz w:val="28"/>
          <w:szCs w:val="28"/>
        </w:rPr>
        <w:t>宣传教育。在“3.8</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“6.1”“6</w:t>
      </w:r>
      <w:r>
        <w:rPr>
          <w:rFonts w:hint="eastAsia" w:ascii="楷体" w:hAnsi="楷体" w:eastAsia="楷体" w:cs="楷体"/>
          <w:sz w:val="28"/>
          <w:szCs w:val="28"/>
        </w:rPr>
        <w:t>·</w:t>
      </w:r>
      <w:r>
        <w:rPr>
          <w:rFonts w:hint="eastAsia" w:ascii="仿宋_GB2312" w:hAnsi="仿宋_GB2312" w:eastAsia="仿宋_GB2312" w:cs="仿宋_GB2312"/>
          <w:sz w:val="28"/>
          <w:szCs w:val="28"/>
        </w:rPr>
        <w:t>26禁毒日”等重要时节，开展“建设法治昭化.巾帼在行动”主题</w:t>
      </w:r>
      <w:r>
        <w:rPr>
          <w:rFonts w:hint="eastAsia" w:ascii="仿宋_GB2312" w:hAnsi="仿宋_GB2312" w:eastAsia="仿宋_GB2312" w:cs="仿宋_GB2312"/>
          <w:sz w:val="28"/>
          <w:szCs w:val="28"/>
          <w:lang w:eastAsia="zh-CN"/>
        </w:rPr>
        <w:t>法治宣传教育</w:t>
      </w:r>
      <w:r>
        <w:rPr>
          <w:rFonts w:hint="eastAsia" w:ascii="仿宋_GB2312" w:hAnsi="仿宋_GB2312" w:eastAsia="仿宋_GB2312" w:cs="仿宋_GB2312"/>
          <w:sz w:val="28"/>
          <w:szCs w:val="28"/>
        </w:rPr>
        <w:t>活动。举办“三八”妇女维权周法治宣传活动，各基层妇联组织开展法治宣传教育进乡村活动。联合区检察院走进民盟烛光中学开展未成年人法制教育活动，引导学生做“知法、懂法、守法”的青少年。联合区禁毒办开展禁毒宣传进校园、进村（社区）活动，走进太公小学、太公岭村开展禁毒宣传。联合区总工会开展网络安全知识进家庭，在社区及帮扶村开展防电信诈骗等宣传。在太公镇红军山社区开展法制微课堂，为社区100余名群众讲授宪法、民法典知识。加大维权热线“12388”宣传力度，立足职能职责，做好综治维稳、防邪、大调解、网格化、“平安昭化”建设等工作。充分发挥妇联组织调解作用，做好信访接待工作。四是开展特困妇女关爱行动。走访慰问重大疾病困难妇女60名，送去每人500元总计3万元的慰问金；争取“两癌”救助金29万元救助34名“两癌”贫困妇女。开展困难儿童关爱。开展“共抗疫情  温暖童心”慰问活动，区四大领导班子慰问特困儿童120名，送去价值6万元的慰问品，协调各部门共慰问困境儿童1000余名，送去慰问金、慰问物资总计30余万元；开展爱心助学行动，筹措资金1.8万元，资助困难学生6人；争取到“春蕾计划”守护包200份、故事书200册赠予虎跳中小学200名青春期女生，邀请讲师开展青春期女生生理心理健康知识讲座、预防性侵讲座，联合团区委慰问困难女童20名发放爱心包20份价值0.3万元。</w:t>
      </w:r>
      <w:r>
        <w:rPr>
          <w:rFonts w:hint="eastAsia" w:ascii="仿宋_GB2312" w:hAnsi="仿宋_GB2312" w:eastAsia="仿宋_GB2312" w:cs="仿宋_GB2312"/>
          <w:color w:val="000000"/>
          <w:sz w:val="28"/>
          <w:szCs w:val="28"/>
        </w:rPr>
        <w:t>积极争取市、区资金39万元新建村（社区）儿童之家30个</w:t>
      </w:r>
      <w:r>
        <w:rPr>
          <w:rFonts w:hint="eastAsia" w:ascii="仿宋_GB2312" w:hAnsi="仿宋_GB2312" w:eastAsia="仿宋_GB2312" w:cs="仿宋_GB2312"/>
          <w:sz w:val="28"/>
          <w:szCs w:val="28"/>
        </w:rPr>
        <w:t>。</w:t>
      </w:r>
      <w:r>
        <w:rPr>
          <w:rFonts w:hint="eastAsia" w:hAnsi="仿宋_GB2312" w:cs="仿宋_GB2312"/>
          <w:sz w:val="28"/>
          <w:szCs w:val="28"/>
        </w:rPr>
        <w:t>五是</w:t>
      </w:r>
      <w:r>
        <w:rPr>
          <w:rFonts w:hint="eastAsia" w:ascii="仿宋_GB2312" w:hAnsi="仿宋_GB2312" w:eastAsia="仿宋_GB2312" w:cs="仿宋_GB2312"/>
          <w:sz w:val="28"/>
          <w:szCs w:val="28"/>
        </w:rPr>
        <w:t>持续开展“最美家庭”推荐评选及家风家教宣讲活动</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全区共推荐上报市级最美家庭12户，其中5户获得广元市最美家庭荣誉称号，评选区级最美家庭10户，元坝镇向波家庭获全省爱岗敬业最美家庭荣誉称号并申报全国最美家庭，卫子镇盛大军家庭获全省书香文明最美家庭。组织省、市“最美家庭”代表、“五好家庭”代表线上线下开展家风家教宣传活动5场次。元坝镇荣获四川省第二届五好家庭工作先进集体，卫子镇妇联主席刘辉被评为四川省第二届五好家庭工作先进个人。评选全市平安家庭52户，启动“绿色家庭”创建工作。创建家风家教示范点2个，组织幸福使者骨干讲师队伍及儿童心理健康关爱服务工作者队伍深入村（社区</w:t>
      </w:r>
      <w:bookmarkStart w:id="43" w:name="_GoBack"/>
      <w:bookmarkEnd w:id="43"/>
      <w:r>
        <w:rPr>
          <w:rFonts w:hint="eastAsia" w:ascii="仿宋_GB2312" w:hAnsi="仿宋_GB2312" w:eastAsia="仿宋_GB2312" w:cs="仿宋_GB2312"/>
          <w:sz w:val="28"/>
          <w:szCs w:val="28"/>
        </w:rPr>
        <w:t>）妇女之家、儿童之家广泛开展儿童防溺水安全教育讲座、“父母大课堂”公益讲座20余场次。新建</w:t>
      </w:r>
      <w:r>
        <w:rPr>
          <w:rFonts w:hint="eastAsia" w:ascii="仿宋_GB2312" w:hAnsi="仿宋_GB2312" w:eastAsia="仿宋_GB2312" w:cs="仿宋_GB2312"/>
          <w:color w:val="000000"/>
          <w:kern w:val="0"/>
          <w:sz w:val="28"/>
          <w:szCs w:val="28"/>
          <w:shd w:val="clear" w:color="auto" w:fill="FFFFFF"/>
        </w:rPr>
        <w:t>龙泉市妇联“家家讲堂”四川昭化服务站。利用“微昭化”公众号家家讲堂专栏每周推送1期家庭教育微课堂，开展线上家庭教育讲座、心理咨询服务等工作，</w:t>
      </w:r>
      <w:r>
        <w:rPr>
          <w:rFonts w:hint="eastAsia" w:ascii="仿宋_GB2312" w:hAnsi="仿宋_GB2312" w:eastAsia="仿宋_GB2312" w:cs="仿宋_GB2312"/>
          <w:sz w:val="28"/>
          <w:szCs w:val="28"/>
        </w:rPr>
        <w:t>《广元昭化“家家讲堂”开讲  共建幸福家庭》被人民网刊载。</w:t>
      </w:r>
    </w:p>
    <w:p w14:paraId="03252F3A">
      <w:pPr>
        <w:pStyle w:val="2"/>
        <w:spacing w:before="93" w:line="576" w:lineRule="exact"/>
        <w:ind w:firstLine="643" w:firstLineChars="200"/>
        <w:rPr>
          <w:rFonts w:ascii="仿宋_GB2312" w:hAnsi="仿宋_GB2312" w:eastAsia="仿宋_GB2312" w:cs="仿宋_GB2312"/>
          <w:sz w:val="28"/>
          <w:szCs w:val="28"/>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28"/>
          <w:szCs w:val="28"/>
        </w:rPr>
        <w:t>全面完成十三五“两纲”各项指标任务，妇女儿童生存发展环境进一步改善。</w:t>
      </w:r>
      <w:r>
        <w:rPr>
          <w:rFonts w:hint="eastAsia" w:ascii="仿宋_GB2312" w:hAnsi="仿宋_GB2312" w:eastAsia="仿宋_GB2312" w:cs="仿宋_GB2312"/>
          <w:sz w:val="28"/>
          <w:szCs w:val="28"/>
        </w:rPr>
        <w:t>加强“两纲”监测统计工作，协调推进指标落实。召开协调推进会4次，就</w:t>
      </w:r>
      <w:r>
        <w:rPr>
          <w:rFonts w:hint="eastAsia" w:ascii="仿宋_GB2312" w:hAnsi="仿宋_GB2312" w:eastAsia="仿宋_GB2312" w:cs="仿宋_GB2312"/>
          <w:color w:val="000000"/>
          <w:sz w:val="28"/>
          <w:szCs w:val="28"/>
        </w:rPr>
        <w:t>统计监测</w:t>
      </w:r>
      <w:r>
        <w:rPr>
          <w:rFonts w:hint="eastAsia" w:ascii="仿宋_GB2312" w:hAnsi="仿宋_GB2312" w:eastAsia="仿宋_GB2312" w:cs="仿宋_GB2312"/>
          <w:sz w:val="28"/>
          <w:szCs w:val="28"/>
        </w:rPr>
        <w:t>、终期评估开展专题业务培训，就重难点指标落实进行督办。</w:t>
      </w:r>
      <w:r>
        <w:rPr>
          <w:rFonts w:hint="eastAsia" w:ascii="仿宋_GB2312" w:hAnsi="仿宋_GB2312" w:eastAsia="仿宋_GB2312" w:cs="仿宋_GB2312"/>
          <w:color w:val="000000"/>
          <w:sz w:val="28"/>
          <w:szCs w:val="28"/>
        </w:rPr>
        <w:t>强化跟踪，对承担重难点指标的部门，随时了解工作开展情况，随时研判指标完成进展</w:t>
      </w:r>
      <w:r>
        <w:rPr>
          <w:rFonts w:hint="eastAsia" w:ascii="仿宋_GB2312" w:hAnsi="仿宋_GB2312" w:eastAsia="仿宋_GB2312" w:cs="仿宋_GB2312"/>
          <w:sz w:val="28"/>
          <w:szCs w:val="28"/>
        </w:rPr>
        <w:t>，我区“两纲”监测的112项指标中，孕产妇系统管理率、城市和县城污水处理率、妇女就业人员比例等96项指标提前达标，村委会成员中女性比例、村委会主任中女性比例等16项指标如期达标，“两纲”工作得到市妇儿工委的高度肯定。我区被命名为广元市妇女儿童发展纲要（2016—2020年）实施市级示范县区，区卫健局、元坝镇被命名市级两纲示范单位。</w:t>
      </w:r>
    </w:p>
    <w:p w14:paraId="44918495">
      <w:pPr>
        <w:pStyle w:val="2"/>
        <w:spacing w:before="93" w:line="576"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3、坚持党建带妇建，实施“县级妇联改革破难行动”，县级妇联改革进一步推进。</w:t>
      </w:r>
      <w:r>
        <w:rPr>
          <w:rFonts w:hint="eastAsia" w:ascii="仿宋_GB2312" w:hAnsi="仿宋_GB2312" w:eastAsia="仿宋_GB2312" w:cs="仿宋_GB2312"/>
          <w:sz w:val="28"/>
          <w:szCs w:val="28"/>
        </w:rPr>
        <w:t>坚持党建引领，深化党建带妇建工作，打造党建带妇建示范点2个，全区党建带妇建工作在全市作经验交流，东创建国汽车产业文化园作为全市现场点调研，“巾帼四美”行动在全市推广学习。结合“两项改革”及村（社区）“两委”换届，指导各镇加强妇联组织建设，选优配强12名镇级妇联主席、150名村（社区）妇联主席。扎实推进县级妇联组织改革“破难行动”，增补执委12人，明确工会女职工委员会为妇联团体会员，在扶贫车间、聚居点、工业园区等广泛建立“妇女微家”和“妇女之家”20个。</w:t>
      </w:r>
    </w:p>
    <w:p w14:paraId="1D983109">
      <w:pPr>
        <w:pStyle w:val="3"/>
        <w:spacing w:before="0" w:after="0" w:line="576" w:lineRule="exact"/>
        <w:ind w:firstLine="640" w:firstLineChars="200"/>
        <w:rPr>
          <w:rFonts w:ascii="黑体" w:hAnsi="黑体" w:eastAsia="黑体" w:cs="黑体"/>
          <w:b w:val="0"/>
          <w:bCs/>
          <w:sz w:val="32"/>
          <w:szCs w:val="32"/>
        </w:rPr>
      </w:pPr>
      <w:bookmarkStart w:id="28" w:name="_Toc11296"/>
      <w:r>
        <w:rPr>
          <w:rFonts w:hint="eastAsia" w:ascii="黑体" w:hAnsi="黑体" w:eastAsia="黑体" w:cs="黑体"/>
          <w:b w:val="0"/>
          <w:bCs/>
          <w:sz w:val="32"/>
          <w:szCs w:val="32"/>
        </w:rPr>
        <w:t>二、部门预算单位构成</w:t>
      </w:r>
      <w:bookmarkEnd w:id="28"/>
    </w:p>
    <w:p w14:paraId="729DD5C5">
      <w:pPr>
        <w:spacing w:line="576" w:lineRule="exact"/>
        <w:ind w:firstLine="560" w:firstLineChars="200"/>
        <w:rPr>
          <w:rFonts w:ascii="方正仿宋_GB2312" w:hAnsi="方正仿宋_GB2312" w:eastAsia="方正仿宋_GB2312" w:cs="方正仿宋_GB2312"/>
          <w:color w:val="FF0000"/>
          <w:sz w:val="28"/>
          <w:szCs w:val="28"/>
          <w:highlight w:val="yellow"/>
        </w:rPr>
      </w:pPr>
      <w:r>
        <w:rPr>
          <w:rFonts w:ascii="Times New Roman" w:hAnsi="Times New Roman" w:eastAsia="仿宋_GB2312"/>
          <w:sz w:val="28"/>
          <w:szCs w:val="28"/>
        </w:rPr>
        <w:t>区</w:t>
      </w:r>
      <w:r>
        <w:rPr>
          <w:rFonts w:hint="eastAsia" w:ascii="Times New Roman" w:hAnsi="Times New Roman" w:eastAsia="仿宋_GB2312"/>
          <w:sz w:val="28"/>
          <w:szCs w:val="28"/>
        </w:rPr>
        <w:t>妇女联合</w:t>
      </w:r>
      <w:r>
        <w:rPr>
          <w:rFonts w:ascii="Times New Roman" w:hAnsi="Times New Roman" w:eastAsia="仿宋_GB2312"/>
          <w:sz w:val="28"/>
          <w:szCs w:val="28"/>
        </w:rPr>
        <w:t>会</w:t>
      </w:r>
      <w:r>
        <w:rPr>
          <w:rFonts w:hint="eastAsia" w:ascii="Times New Roman" w:hAnsi="Times New Roman" w:eastAsia="仿宋_GB2312"/>
          <w:sz w:val="28"/>
          <w:szCs w:val="28"/>
        </w:rPr>
        <w:t>下属事业单位1个（区妇女儿童服务中心）。</w:t>
      </w:r>
    </w:p>
    <w:p w14:paraId="2C1EECEA">
      <w:pPr>
        <w:pStyle w:val="3"/>
        <w:numPr>
          <w:ilvl w:val="0"/>
          <w:numId w:val="1"/>
        </w:numPr>
        <w:tabs>
          <w:tab w:val="left" w:pos="360"/>
        </w:tabs>
        <w:spacing w:before="0" w:after="0" w:line="576" w:lineRule="exact"/>
        <w:ind w:firstLine="640" w:firstLineChars="200"/>
        <w:rPr>
          <w:rFonts w:ascii="Times New Roman" w:hAnsi="Times New Roman" w:eastAsia="黑体"/>
          <w:b w:val="0"/>
          <w:sz w:val="32"/>
          <w:szCs w:val="32"/>
        </w:rPr>
      </w:pPr>
      <w:bookmarkStart w:id="29" w:name="_Toc669"/>
      <w:r>
        <w:rPr>
          <w:rFonts w:hint="eastAsia" w:ascii="Times New Roman" w:hAnsi="Times New Roman" w:eastAsia="黑体"/>
          <w:b w:val="0"/>
          <w:sz w:val="32"/>
          <w:szCs w:val="32"/>
        </w:rPr>
        <w:t>收支预算情况说明</w:t>
      </w:r>
      <w:bookmarkEnd w:id="29"/>
    </w:p>
    <w:p w14:paraId="39739AB6">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（一）收入预算情况</w:t>
      </w:r>
    </w:p>
    <w:p w14:paraId="2302F975">
      <w:pPr>
        <w:pStyle w:val="9"/>
        <w:widowControl/>
        <w:spacing w:before="120" w:beforeAutospacing="0" w:after="0" w:afterAutospacing="0" w:line="600" w:lineRule="atLeast"/>
        <w:ind w:firstLine="645"/>
        <w:rPr>
          <w:rFonts w:ascii="Times New Roman" w:hAnsi="Times New Roman" w:eastAsia="仿宋_GB2312"/>
          <w:kern w:val="2"/>
          <w:sz w:val="28"/>
          <w:szCs w:val="28"/>
        </w:rPr>
      </w:pPr>
      <w:r>
        <w:rPr>
          <w:rFonts w:ascii="Times New Roman" w:hAnsi="Times New Roman" w:eastAsia="仿宋_GB2312"/>
          <w:kern w:val="2"/>
          <w:sz w:val="28"/>
          <w:szCs w:val="28"/>
        </w:rPr>
        <w:t>区</w:t>
      </w:r>
      <w:r>
        <w:rPr>
          <w:rFonts w:hint="eastAsia" w:ascii="Times New Roman" w:hAnsi="Times New Roman" w:eastAsia="仿宋_GB2312"/>
          <w:kern w:val="2"/>
          <w:sz w:val="28"/>
          <w:szCs w:val="28"/>
        </w:rPr>
        <w:t>妇女联合</w:t>
      </w:r>
      <w:r>
        <w:rPr>
          <w:rFonts w:ascii="Times New Roman" w:hAnsi="Times New Roman" w:eastAsia="仿宋_GB2312"/>
          <w:kern w:val="2"/>
          <w:sz w:val="28"/>
          <w:szCs w:val="28"/>
        </w:rPr>
        <w:t>会</w:t>
      </w:r>
      <w:r>
        <w:rPr>
          <w:rFonts w:hint="eastAsia" w:ascii="Times New Roman" w:hAnsi="Times New Roman" w:eastAsia="仿宋_GB2312"/>
          <w:kern w:val="2"/>
          <w:sz w:val="28"/>
          <w:szCs w:val="28"/>
        </w:rPr>
        <w:t>2021年收入预算77.65万元，一般公共预算拨款收入77.65万元，占100%。</w:t>
      </w:r>
    </w:p>
    <w:p w14:paraId="4428BFF7">
      <w:pPr>
        <w:pStyle w:val="9"/>
        <w:widowControl/>
        <w:spacing w:before="120" w:beforeAutospacing="0" w:after="0" w:afterAutospacing="0" w:line="600" w:lineRule="atLeast"/>
        <w:ind w:firstLine="645"/>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（二）支出预算情况</w:t>
      </w:r>
    </w:p>
    <w:p w14:paraId="6A5944FD">
      <w:pPr>
        <w:pStyle w:val="9"/>
        <w:widowControl/>
        <w:spacing w:before="120" w:beforeAutospacing="0" w:after="0" w:afterAutospacing="0" w:line="600" w:lineRule="atLeast"/>
        <w:ind w:firstLine="645"/>
        <w:rPr>
          <w:rFonts w:ascii="Times New Roman" w:hAnsi="Times New Roman" w:eastAsia="仿宋_GB2312"/>
          <w:kern w:val="2"/>
          <w:sz w:val="32"/>
          <w:szCs w:val="32"/>
        </w:rPr>
      </w:pPr>
      <w:r>
        <w:rPr>
          <w:rFonts w:hint="eastAsia" w:ascii="Times New Roman" w:hAnsi="Times New Roman" w:eastAsia="仿宋_GB2312"/>
          <w:kern w:val="2"/>
          <w:sz w:val="32"/>
          <w:szCs w:val="32"/>
        </w:rPr>
        <w:t>2021年支出预算77.65万元，基本支出77.65万元，占100%。</w:t>
      </w:r>
    </w:p>
    <w:p w14:paraId="7DB88B14">
      <w:pPr>
        <w:pStyle w:val="3"/>
        <w:spacing w:before="0" w:after="0" w:line="576" w:lineRule="exact"/>
        <w:ind w:firstLine="640" w:firstLineChars="200"/>
        <w:rPr>
          <w:rFonts w:ascii="黑体" w:hAnsi="黑体" w:eastAsia="黑体" w:cs="黑体"/>
          <w:b w:val="0"/>
          <w:bCs/>
          <w:sz w:val="32"/>
          <w:szCs w:val="32"/>
        </w:rPr>
      </w:pPr>
      <w:bookmarkStart w:id="30" w:name="_Toc11126"/>
      <w:r>
        <w:rPr>
          <w:rFonts w:hint="eastAsia" w:ascii="黑体" w:hAnsi="黑体" w:eastAsia="黑体" w:cs="黑体"/>
          <w:b w:val="0"/>
          <w:bCs/>
          <w:sz w:val="32"/>
          <w:szCs w:val="32"/>
        </w:rPr>
        <w:t>四、2021年财政拨款部门预算情况的总体说明</w:t>
      </w:r>
      <w:bookmarkEnd w:id="30"/>
    </w:p>
    <w:p w14:paraId="2BBC710F">
      <w:pPr>
        <w:spacing w:line="576"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（一）收入预算情况</w:t>
      </w:r>
    </w:p>
    <w:p w14:paraId="774A0A69">
      <w:pPr>
        <w:pStyle w:val="9"/>
        <w:widowControl/>
        <w:spacing w:before="120" w:beforeAutospacing="0" w:after="0" w:afterAutospacing="0" w:line="600" w:lineRule="atLeast"/>
        <w:ind w:firstLine="645"/>
        <w:rPr>
          <w:rFonts w:ascii="方正仿宋_GB2312" w:hAnsi="方正仿宋_GB2312" w:eastAsia="方正仿宋_GB2312" w:cs="方正仿宋_GB2312"/>
          <w:sz w:val="28"/>
          <w:szCs w:val="28"/>
        </w:rPr>
      </w:pPr>
      <w:r>
        <w:rPr>
          <w:rFonts w:ascii="Times New Roman" w:hAnsi="Times New Roman" w:eastAsia="仿宋_GB2312"/>
          <w:kern w:val="2"/>
          <w:sz w:val="28"/>
          <w:szCs w:val="28"/>
        </w:rPr>
        <w:t>区</w:t>
      </w:r>
      <w:r>
        <w:rPr>
          <w:rFonts w:hint="eastAsia" w:ascii="Times New Roman" w:hAnsi="Times New Roman" w:eastAsia="仿宋_GB2312"/>
          <w:kern w:val="2"/>
          <w:sz w:val="28"/>
          <w:szCs w:val="28"/>
        </w:rPr>
        <w:t>妇女联合</w:t>
      </w:r>
      <w:r>
        <w:rPr>
          <w:rFonts w:ascii="Times New Roman" w:hAnsi="Times New Roman" w:eastAsia="仿宋_GB2312"/>
          <w:kern w:val="2"/>
          <w:sz w:val="28"/>
          <w:szCs w:val="28"/>
        </w:rPr>
        <w:t>会</w:t>
      </w:r>
      <w:r>
        <w:rPr>
          <w:rFonts w:hint="eastAsia" w:ascii="Times New Roman" w:hAnsi="Times New Roman" w:eastAsia="仿宋_GB2312"/>
          <w:kern w:val="2"/>
          <w:sz w:val="28"/>
          <w:szCs w:val="28"/>
        </w:rPr>
        <w:t>2021年收入预算77.65万元，一般公共预算拨款收入77.65万元，占100%。</w:t>
      </w:r>
    </w:p>
    <w:p w14:paraId="6E7E66A9">
      <w:pPr>
        <w:pStyle w:val="9"/>
        <w:widowControl/>
        <w:spacing w:before="120" w:beforeAutospacing="0" w:after="0" w:afterAutospacing="0" w:line="600" w:lineRule="atLeast"/>
        <w:ind w:firstLine="645"/>
        <w:rPr>
          <w:rFonts w:ascii="楷体_GB2312" w:hAnsi="楷体_GB2312" w:eastAsia="楷体_GB2312" w:cs="楷体_GB2312"/>
          <w:kern w:val="2"/>
          <w:sz w:val="28"/>
          <w:szCs w:val="28"/>
        </w:rPr>
      </w:pPr>
      <w:r>
        <w:rPr>
          <w:rFonts w:hint="eastAsia" w:ascii="楷体_GB2312" w:hAnsi="楷体_GB2312" w:eastAsia="楷体_GB2312" w:cs="楷体_GB2312"/>
          <w:kern w:val="2"/>
          <w:sz w:val="28"/>
          <w:szCs w:val="28"/>
        </w:rPr>
        <w:t>（二）支出预算情况</w:t>
      </w:r>
    </w:p>
    <w:p w14:paraId="02355FCD">
      <w:pPr>
        <w:pStyle w:val="9"/>
        <w:widowControl/>
        <w:spacing w:before="120" w:beforeAutospacing="0" w:after="0" w:afterAutospacing="0" w:line="600" w:lineRule="atLeast"/>
        <w:ind w:firstLine="645"/>
        <w:rPr>
          <w:rFonts w:ascii="Times New Roman" w:hAnsi="Times New Roman" w:eastAsia="仿宋_GB2312"/>
          <w:kern w:val="2"/>
          <w:sz w:val="28"/>
          <w:szCs w:val="28"/>
        </w:rPr>
      </w:pPr>
      <w:r>
        <w:rPr>
          <w:rFonts w:hint="eastAsia" w:ascii="Times New Roman" w:hAnsi="Times New Roman" w:eastAsia="仿宋_GB2312"/>
          <w:kern w:val="2"/>
          <w:sz w:val="28"/>
          <w:szCs w:val="28"/>
        </w:rPr>
        <w:t>2021年支出预算77.65万元，基本支出77.65万元，占100%。</w:t>
      </w:r>
    </w:p>
    <w:p w14:paraId="54A8FF6F">
      <w:pPr>
        <w:pStyle w:val="3"/>
        <w:spacing w:before="0" w:after="0" w:line="576" w:lineRule="exact"/>
        <w:ind w:firstLine="640" w:firstLineChars="200"/>
        <w:rPr>
          <w:rFonts w:ascii="黑体" w:hAnsi="黑体" w:eastAsia="黑体" w:cs="黑体"/>
          <w:b w:val="0"/>
          <w:bCs/>
          <w:sz w:val="32"/>
          <w:szCs w:val="32"/>
        </w:rPr>
      </w:pPr>
      <w:bookmarkStart w:id="31" w:name="_Toc5062"/>
      <w:r>
        <w:rPr>
          <w:rFonts w:hint="eastAsia" w:ascii="黑体" w:hAnsi="黑体" w:eastAsia="黑体" w:cs="黑体"/>
          <w:b w:val="0"/>
          <w:bCs/>
          <w:sz w:val="32"/>
          <w:szCs w:val="32"/>
        </w:rPr>
        <w:t>五、一般公共预算当年财政拨款情况说明</w:t>
      </w:r>
      <w:bookmarkEnd w:id="31"/>
    </w:p>
    <w:p w14:paraId="725C157F">
      <w:pPr>
        <w:pStyle w:val="4"/>
        <w:spacing w:before="0" w:after="0" w:line="576" w:lineRule="exact"/>
        <w:ind w:firstLine="640" w:firstLineChars="200"/>
        <w:rPr>
          <w:rFonts w:ascii="楷体_GB2312" w:hAnsi="楷体_GB2312" w:eastAsia="楷体_GB2312" w:cs="楷体_GB2312"/>
          <w:b w:val="0"/>
        </w:rPr>
      </w:pPr>
      <w:bookmarkStart w:id="32" w:name="_Toc7295"/>
      <w:r>
        <w:rPr>
          <w:rFonts w:hint="eastAsia" w:ascii="楷体_GB2312" w:hAnsi="楷体_GB2312" w:eastAsia="楷体_GB2312" w:cs="楷体_GB2312"/>
          <w:b w:val="0"/>
        </w:rPr>
        <w:t>（一）一般公共预算当年拨款规模变化情况</w:t>
      </w:r>
      <w:bookmarkEnd w:id="32"/>
    </w:p>
    <w:p w14:paraId="51B1A79D">
      <w:pPr>
        <w:pStyle w:val="9"/>
        <w:widowControl/>
        <w:spacing w:before="120" w:beforeAutospacing="0" w:after="0" w:afterAutospacing="0" w:line="600" w:lineRule="atLeast"/>
        <w:ind w:firstLine="645"/>
        <w:rPr>
          <w:rFonts w:ascii="Times New Roman" w:hAnsi="Times New Roman" w:eastAsia="仿宋_GB2312"/>
          <w:kern w:val="2"/>
          <w:sz w:val="28"/>
          <w:szCs w:val="28"/>
        </w:rPr>
      </w:pPr>
      <w:r>
        <w:rPr>
          <w:rFonts w:hint="eastAsia" w:ascii="Times New Roman" w:hAnsi="Times New Roman" w:eastAsia="仿宋_GB2312"/>
          <w:kern w:val="2"/>
          <w:sz w:val="28"/>
          <w:szCs w:val="28"/>
        </w:rPr>
        <w:t>2021年财政拨款收支总预算77.65万元,比2019年财政拨款收支总预算增加1.84万元，主要原因是2021年部门预算人员中有职级晋升等。</w:t>
      </w:r>
    </w:p>
    <w:p w14:paraId="27782341">
      <w:pPr>
        <w:pStyle w:val="4"/>
        <w:spacing w:before="0" w:after="0" w:line="576" w:lineRule="exact"/>
        <w:ind w:firstLine="640" w:firstLineChars="200"/>
        <w:rPr>
          <w:rFonts w:ascii="方正仿宋_GB2312" w:hAnsi="方正仿宋_GB2312" w:eastAsia="方正仿宋_GB2312" w:cs="方正仿宋_GB2312"/>
        </w:rPr>
      </w:pPr>
      <w:bookmarkStart w:id="33" w:name="_Toc26563"/>
      <w:r>
        <w:rPr>
          <w:rFonts w:ascii="楷体_GB2312" w:hAnsi="楷体_GB2312" w:eastAsia="楷体_GB2312" w:cs="楷体_GB2312"/>
          <w:b w:val="0"/>
        </w:rPr>
        <w:t>（二）一般公共预算当年拨款结构情况</w:t>
      </w:r>
      <w:bookmarkEnd w:id="33"/>
    </w:p>
    <w:p w14:paraId="46ED39B2">
      <w:pPr>
        <w:pStyle w:val="9"/>
        <w:widowControl/>
        <w:spacing w:before="120" w:beforeAutospacing="0" w:after="0" w:afterAutospacing="0" w:line="600" w:lineRule="atLeast"/>
        <w:ind w:firstLine="645"/>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一般公共服务支出66.49万元，占85.63%；社会保障和就业支出4.23万元，占5%；卫生健康支出2.22万元，占2.85%；住房保障支出4.5万元，占5.8%。</w:t>
      </w:r>
    </w:p>
    <w:p w14:paraId="15CB4DA3">
      <w:pPr>
        <w:pStyle w:val="9"/>
        <w:widowControl/>
        <w:spacing w:before="120" w:beforeAutospacing="0" w:after="0" w:afterAutospacing="0" w:line="600" w:lineRule="atLeast"/>
        <w:ind w:firstLine="645"/>
        <w:rPr>
          <w:rFonts w:ascii="楷体_GB2312" w:hAnsi="楷体_GB2312" w:eastAsia="楷体_GB2312" w:cs="楷体_GB2312"/>
          <w:bCs/>
          <w:kern w:val="2"/>
          <w:sz w:val="32"/>
          <w:szCs w:val="32"/>
        </w:rPr>
      </w:pPr>
      <w:r>
        <w:rPr>
          <w:rFonts w:hint="eastAsia" w:ascii="楷体_GB2312" w:hAnsi="楷体_GB2312" w:eastAsia="楷体_GB2312" w:cs="楷体_GB2312"/>
          <w:bCs/>
          <w:kern w:val="2"/>
          <w:sz w:val="32"/>
          <w:szCs w:val="32"/>
        </w:rPr>
        <w:t>（三）一般公共预算当年拨款具体使用情况</w:t>
      </w:r>
    </w:p>
    <w:p w14:paraId="336E363D">
      <w:pPr>
        <w:pStyle w:val="9"/>
        <w:widowControl/>
        <w:spacing w:before="120" w:beforeAutospacing="0" w:after="0" w:afterAutospacing="0" w:line="600" w:lineRule="atLeast"/>
        <w:ind w:firstLine="645"/>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1、</w:t>
      </w:r>
      <w:r>
        <w:rPr>
          <w:rFonts w:ascii="Times New Roman" w:hAnsi="Times New Roman" w:eastAsia="仿宋_GB2312"/>
          <w:color w:val="000000"/>
          <w:kern w:val="2"/>
          <w:sz w:val="28"/>
          <w:szCs w:val="28"/>
        </w:rPr>
        <w:t>一般公共服务（类）</w:t>
      </w:r>
      <w:r>
        <w:rPr>
          <w:rFonts w:hint="eastAsia" w:ascii="Times New Roman" w:hAnsi="Times New Roman" w:eastAsia="仿宋_GB2312"/>
          <w:color w:val="000000"/>
          <w:kern w:val="2"/>
          <w:sz w:val="28"/>
          <w:szCs w:val="28"/>
        </w:rPr>
        <w:t>群众团体支出</w:t>
      </w:r>
      <w:r>
        <w:rPr>
          <w:rFonts w:ascii="Times New Roman" w:hAnsi="Times New Roman" w:eastAsia="仿宋_GB2312"/>
          <w:color w:val="000000"/>
          <w:kern w:val="2"/>
          <w:sz w:val="28"/>
          <w:szCs w:val="28"/>
        </w:rPr>
        <w:t>（款）行政运行（项）</w:t>
      </w:r>
      <w:r>
        <w:rPr>
          <w:rFonts w:hint="eastAsia" w:ascii="Times New Roman" w:hAnsi="Times New Roman" w:eastAsia="仿宋_GB2312"/>
          <w:color w:val="000000"/>
          <w:kern w:val="2"/>
          <w:sz w:val="28"/>
          <w:szCs w:val="28"/>
        </w:rPr>
        <w:t>2021年预算数为77.65万元，主要用于：单位正常运转的基本支出，包括基本工资、津贴补贴等人员经费以及办公费、印刷费、水电费等日常公用经费,保障部门正常运转。</w:t>
      </w:r>
      <w:r>
        <w:rPr>
          <w:rFonts w:hint="eastAsia" w:ascii="Times New Roman" w:hAnsi="Times New Roman" w:eastAsia="仿宋_GB2312"/>
          <w:color w:val="000000"/>
          <w:kern w:val="2"/>
          <w:sz w:val="28"/>
          <w:szCs w:val="28"/>
        </w:rPr>
        <w:br w:type="textWrapping"/>
      </w:r>
      <w:r>
        <w:rPr>
          <w:rFonts w:hint="eastAsia" w:ascii="Times New Roman" w:hAnsi="Times New Roman" w:eastAsia="仿宋_GB2312"/>
          <w:color w:val="000000"/>
          <w:kern w:val="2"/>
          <w:sz w:val="28"/>
          <w:szCs w:val="28"/>
        </w:rPr>
        <w:t>　　2.社会保障和就业（类）行政事业单位离退休（款）机关事业单位基本养老保险缴费支出（项）2021年预算数为4.2万元，主要用于：实施养老保险制度后，部门按规定由单位缴纳的基本养老保险费支出。　　</w:t>
      </w:r>
    </w:p>
    <w:p w14:paraId="26239BB4">
      <w:pPr>
        <w:pStyle w:val="9"/>
        <w:widowControl/>
        <w:spacing w:before="120" w:beforeAutospacing="0" w:after="0" w:afterAutospacing="0" w:line="600" w:lineRule="atLeast"/>
        <w:ind w:firstLine="645"/>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3.社会保障和就业（类）其他社会保障和就业（款）其他社会保障和就业支出（项）2021年预算数为0.3万元，主要用于：行政事业单位失业、工伤等保险方面的支出。</w:t>
      </w:r>
    </w:p>
    <w:p w14:paraId="3F18FE31">
      <w:pPr>
        <w:pStyle w:val="9"/>
        <w:widowControl/>
        <w:spacing w:before="120" w:beforeAutospacing="0" w:after="0" w:afterAutospacing="0" w:line="600" w:lineRule="atLeast"/>
        <w:ind w:firstLine="645"/>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4.卫生健康支出（类）行政事业单位医疗（款）行政单位医疗（项）2021年预算数为2.22万元，主要用于：机关事业人员基本医疗保险缴费支出。</w:t>
      </w:r>
      <w:r>
        <w:rPr>
          <w:rFonts w:hint="eastAsia" w:ascii="Times New Roman" w:hAnsi="Times New Roman" w:eastAsia="仿宋_GB2312"/>
          <w:color w:val="000000"/>
          <w:kern w:val="2"/>
          <w:sz w:val="28"/>
          <w:szCs w:val="28"/>
        </w:rPr>
        <w:tab/>
      </w:r>
    </w:p>
    <w:p w14:paraId="3CDC6150">
      <w:pPr>
        <w:pStyle w:val="9"/>
        <w:widowControl/>
        <w:spacing w:before="120" w:beforeAutospacing="0" w:after="0" w:afterAutospacing="0" w:line="600" w:lineRule="atLeast"/>
        <w:ind w:firstLine="645"/>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5.住房保障（类）住房改革支出（款）住房公积金（项）2021年预算数为4.5万元，主要用于：按人力资源和社会保障部、财政部规定的基本工资和津贴补贴以及规定比例为职工缴纳的住房公积金支出。</w:t>
      </w:r>
    </w:p>
    <w:p w14:paraId="6D8E06C9">
      <w:pPr>
        <w:pStyle w:val="3"/>
        <w:spacing w:before="0" w:after="0" w:line="576" w:lineRule="exact"/>
        <w:ind w:firstLine="640" w:firstLineChars="200"/>
        <w:rPr>
          <w:rFonts w:ascii="黑体" w:hAnsi="黑体" w:eastAsia="黑体" w:cs="黑体"/>
          <w:b w:val="0"/>
          <w:sz w:val="32"/>
          <w:szCs w:val="32"/>
        </w:rPr>
      </w:pPr>
      <w:bookmarkStart w:id="34" w:name="_Toc16714"/>
      <w:r>
        <w:rPr>
          <w:rFonts w:hint="eastAsia" w:ascii="黑体" w:hAnsi="黑体" w:eastAsia="黑体" w:cs="黑体"/>
          <w:b w:val="0"/>
          <w:bCs/>
          <w:sz w:val="32"/>
          <w:szCs w:val="32"/>
        </w:rPr>
        <w:t>六、2021年一般公共预算基本支出情况说明</w:t>
      </w:r>
      <w:bookmarkEnd w:id="34"/>
    </w:p>
    <w:p w14:paraId="7CA74D38">
      <w:pPr>
        <w:pStyle w:val="9"/>
        <w:widowControl/>
        <w:spacing w:before="120" w:beforeAutospacing="0" w:after="0" w:afterAutospacing="0" w:line="600" w:lineRule="atLeast"/>
        <w:ind w:firstLine="560" w:firstLineChars="200"/>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部门基本支出预算</w:t>
      </w:r>
      <w:r>
        <w:rPr>
          <w:rFonts w:hint="eastAsia" w:ascii="Times New Roman" w:hAnsi="Times New Roman" w:eastAsia="仿宋_GB2312"/>
          <w:color w:val="000000"/>
          <w:kern w:val="2"/>
          <w:sz w:val="28"/>
          <w:szCs w:val="28"/>
        </w:rPr>
        <w:t>77.65万元，其中：</w:t>
      </w:r>
    </w:p>
    <w:p w14:paraId="394A5574">
      <w:pPr>
        <w:pStyle w:val="9"/>
        <w:widowControl/>
        <w:spacing w:before="120" w:beforeAutospacing="0" w:after="0" w:afterAutospacing="0" w:line="600" w:lineRule="atLeas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人员经费47.51万元，主要包括：基本工资、津贴补贴、奖金、社会保险缴费、离休费、住房公积金等支出。</w:t>
      </w:r>
    </w:p>
    <w:p w14:paraId="73BD2392">
      <w:pPr>
        <w:pStyle w:val="9"/>
        <w:widowControl/>
        <w:spacing w:before="120" w:beforeAutospacing="0" w:after="0" w:afterAutospacing="0" w:line="600" w:lineRule="atLeast"/>
        <w:ind w:firstLine="645"/>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公用经费30.14万元，主要包括：办公费、水费、电费、邮电费、印刷费、差旅费、维修（护）费、物业管理费、劳务费、会议费、培训费、接待费、其他交通费等支出。</w:t>
      </w:r>
      <w:bookmarkStart w:id="35" w:name="_Toc21241"/>
    </w:p>
    <w:p w14:paraId="3A0A8F7A">
      <w:pPr>
        <w:pStyle w:val="9"/>
        <w:widowControl/>
        <w:spacing w:before="120" w:beforeAutospacing="0" w:after="0" w:afterAutospacing="0" w:line="600" w:lineRule="atLeast"/>
        <w:ind w:firstLine="645"/>
        <w:rPr>
          <w:rFonts w:ascii="黑体" w:hAnsi="黑体" w:eastAsia="黑体" w:cs="黑体"/>
          <w:bCs/>
          <w:sz w:val="32"/>
          <w:szCs w:val="32"/>
        </w:rPr>
      </w:pPr>
      <w:r>
        <w:rPr>
          <w:rFonts w:hint="eastAsia" w:ascii="黑体" w:hAnsi="黑体" w:eastAsia="黑体" w:cs="黑体"/>
          <w:bCs/>
          <w:sz w:val="32"/>
          <w:szCs w:val="32"/>
        </w:rPr>
        <w:t>七、财政拨款安排“三公”经费预算情况说明</w:t>
      </w:r>
      <w:bookmarkEnd w:id="35"/>
    </w:p>
    <w:p w14:paraId="422F037A">
      <w:pPr>
        <w:pStyle w:val="9"/>
        <w:widowControl/>
        <w:spacing w:before="120" w:beforeAutospacing="0" w:after="0" w:afterAutospacing="0" w:line="600" w:lineRule="atLeast"/>
        <w:ind w:firstLine="645"/>
        <w:rPr>
          <w:rFonts w:ascii="Times New Roman" w:hAnsi="Times New Roman" w:eastAsia="仿宋_GB2312"/>
          <w:sz w:val="28"/>
          <w:szCs w:val="28"/>
        </w:rPr>
      </w:pPr>
      <w:r>
        <w:rPr>
          <w:rFonts w:ascii="Times New Roman" w:hAnsi="Times New Roman" w:eastAsia="仿宋_GB2312"/>
          <w:sz w:val="28"/>
          <w:szCs w:val="28"/>
        </w:rPr>
        <w:t>财政拨款安排“三公”经费预算</w:t>
      </w:r>
      <w:r>
        <w:rPr>
          <w:rFonts w:hint="eastAsia" w:ascii="Times New Roman" w:hAnsi="Times New Roman" w:eastAsia="仿宋_GB2312"/>
          <w:sz w:val="28"/>
          <w:szCs w:val="28"/>
        </w:rPr>
        <w:t>0.8万元</w:t>
      </w:r>
      <w:r>
        <w:rPr>
          <w:rFonts w:hint="eastAsia" w:ascii="方正仿宋_GB2312" w:hAnsi="方正仿宋_GB2312" w:eastAsia="方正仿宋_GB2312" w:cs="方正仿宋_GB2312"/>
          <w:sz w:val="28"/>
          <w:szCs w:val="28"/>
        </w:rPr>
        <w:t>，</w:t>
      </w:r>
      <w:r>
        <w:rPr>
          <w:rFonts w:hint="eastAsia" w:ascii="Times New Roman" w:hAnsi="Times New Roman" w:eastAsia="仿宋_GB2312"/>
          <w:sz w:val="28"/>
          <w:szCs w:val="28"/>
        </w:rPr>
        <w:t>其中：因公出国（境）经费0万元，与上年持平。</w:t>
      </w:r>
      <w:r>
        <w:rPr>
          <w:rFonts w:ascii="Times New Roman" w:hAnsi="Times New Roman" w:eastAsia="仿宋_GB2312"/>
          <w:sz w:val="28"/>
          <w:szCs w:val="28"/>
        </w:rPr>
        <w:t>公务用车运行维护费预算0万元</w:t>
      </w:r>
      <w:r>
        <w:rPr>
          <w:rFonts w:hint="eastAsia" w:ascii="Times New Roman" w:hAnsi="Times New Roman" w:eastAsia="仿宋_GB2312"/>
          <w:sz w:val="28"/>
          <w:szCs w:val="28"/>
        </w:rPr>
        <w:t>，2</w:t>
      </w:r>
      <w:r>
        <w:rPr>
          <w:rFonts w:ascii="Times New Roman" w:hAnsi="Times New Roman" w:eastAsia="仿宋_GB2312"/>
          <w:sz w:val="28"/>
          <w:szCs w:val="28"/>
        </w:rPr>
        <w:t>021</w:t>
      </w:r>
      <w:r>
        <w:rPr>
          <w:rFonts w:hint="eastAsia" w:ascii="Times New Roman" w:hAnsi="Times New Roman" w:eastAsia="仿宋_GB2312"/>
          <w:sz w:val="28"/>
          <w:szCs w:val="28"/>
        </w:rPr>
        <w:t>年无预算，与上年持平。</w:t>
      </w:r>
      <w:r>
        <w:rPr>
          <w:rFonts w:ascii="Times New Roman" w:hAnsi="Times New Roman" w:eastAsia="仿宋_GB2312"/>
          <w:sz w:val="28"/>
          <w:szCs w:val="28"/>
        </w:rPr>
        <w:t>公务接待费预算</w:t>
      </w:r>
      <w:r>
        <w:rPr>
          <w:rFonts w:hint="eastAsia" w:ascii="Times New Roman" w:hAnsi="Times New Roman" w:eastAsia="仿宋_GB2312"/>
          <w:sz w:val="28"/>
          <w:szCs w:val="28"/>
        </w:rPr>
        <w:t>0.8</w:t>
      </w:r>
      <w:r>
        <w:rPr>
          <w:rFonts w:ascii="Times New Roman" w:hAnsi="Times New Roman" w:eastAsia="仿宋_GB2312"/>
          <w:sz w:val="28"/>
          <w:szCs w:val="28"/>
        </w:rPr>
        <w:t>万元</w:t>
      </w:r>
      <w:r>
        <w:rPr>
          <w:rFonts w:hint="eastAsia" w:ascii="Times New Roman" w:hAnsi="Times New Roman" w:eastAsia="仿宋_GB2312"/>
          <w:sz w:val="28"/>
          <w:szCs w:val="28"/>
        </w:rPr>
        <w:t>。</w:t>
      </w:r>
    </w:p>
    <w:p w14:paraId="20A53617">
      <w:pPr>
        <w:pStyle w:val="9"/>
        <w:widowControl/>
        <w:spacing w:before="120" w:beforeAutospacing="0" w:after="0" w:afterAutospacing="0" w:line="600" w:lineRule="atLeast"/>
        <w:ind w:firstLine="645"/>
        <w:rPr>
          <w:rFonts w:ascii="楷体_GB2312" w:hAnsi="楷体_GB2312" w:eastAsia="楷体_GB2312" w:cs="楷体_GB2312"/>
          <w:bCs/>
          <w:kern w:val="2"/>
          <w:sz w:val="28"/>
          <w:szCs w:val="28"/>
        </w:rPr>
      </w:pPr>
      <w:r>
        <w:rPr>
          <w:rFonts w:hint="eastAsia" w:ascii="楷体_GB2312" w:hAnsi="楷体_GB2312" w:eastAsia="楷体_GB2312" w:cs="楷体_GB2312"/>
          <w:bCs/>
          <w:kern w:val="2"/>
          <w:sz w:val="28"/>
          <w:szCs w:val="28"/>
        </w:rPr>
        <w:t>（一）因公出国（境）经费较2020年预算持平。</w:t>
      </w:r>
    </w:p>
    <w:p w14:paraId="7D18D0DE">
      <w:pPr>
        <w:pStyle w:val="9"/>
        <w:widowControl/>
        <w:adjustRightInd w:val="0"/>
        <w:spacing w:before="120" w:beforeAutospacing="0" w:after="0" w:afterAutospacing="0" w:line="600" w:lineRule="atLeast"/>
        <w:ind w:firstLine="646"/>
        <w:rPr>
          <w:rFonts w:ascii="楷体_GB2312" w:hAnsi="楷体_GB2312" w:eastAsia="楷体_GB2312" w:cs="楷体_GB2312"/>
          <w:bCs/>
          <w:kern w:val="2"/>
          <w:sz w:val="28"/>
          <w:szCs w:val="28"/>
        </w:rPr>
      </w:pPr>
      <w:r>
        <w:rPr>
          <w:rFonts w:hint="eastAsia" w:ascii="楷体_GB2312" w:hAnsi="楷体_GB2312" w:eastAsia="楷体_GB2312" w:cs="楷体_GB2312"/>
          <w:bCs/>
          <w:kern w:val="2"/>
          <w:sz w:val="28"/>
          <w:szCs w:val="28"/>
        </w:rPr>
        <w:t>（二）公务接待费较2020年预算持平。</w:t>
      </w:r>
    </w:p>
    <w:p w14:paraId="3C11BD8C">
      <w:pPr>
        <w:adjustRightInd w:val="0"/>
        <w:ind w:firstLine="560" w:firstLineChars="200"/>
        <w:rPr>
          <w:rFonts w:ascii="Times New Roman" w:hAnsi="Times New Roman" w:eastAsia="仿宋_GB2312"/>
          <w:kern w:val="0"/>
          <w:sz w:val="28"/>
          <w:szCs w:val="28"/>
          <w:lang w:bidi="ar"/>
        </w:rPr>
      </w:pPr>
      <w:r>
        <w:rPr>
          <w:rFonts w:hint="eastAsia" w:ascii="Times New Roman" w:hAnsi="Times New Roman" w:eastAsia="仿宋_GB2312"/>
          <w:kern w:val="0"/>
          <w:sz w:val="28"/>
          <w:szCs w:val="28"/>
          <w:lang w:bidi="ar"/>
        </w:rPr>
        <w:t>2021年公务接待费计划用于执行接待检查指导等公务活动开支的交通费、住宿费、用餐费等。</w:t>
      </w:r>
    </w:p>
    <w:p w14:paraId="0FA18917">
      <w:pPr>
        <w:pStyle w:val="4"/>
        <w:spacing w:before="0" w:after="0" w:line="576" w:lineRule="exact"/>
        <w:ind w:firstLine="560" w:firstLineChars="200"/>
        <w:rPr>
          <w:rFonts w:ascii="楷体_GB2312" w:hAnsi="楷体_GB2312" w:eastAsia="楷体_GB2312" w:cs="楷体_GB2312"/>
          <w:b w:val="0"/>
          <w:sz w:val="28"/>
          <w:szCs w:val="28"/>
        </w:rPr>
      </w:pPr>
      <w:bookmarkStart w:id="36" w:name="_Toc20697"/>
      <w:bookmarkStart w:id="37" w:name="_Toc4371"/>
      <w:r>
        <w:rPr>
          <w:rFonts w:ascii="楷体_GB2312" w:hAnsi="楷体_GB2312" w:eastAsia="楷体_GB2312" w:cs="楷体_GB2312"/>
          <w:b w:val="0"/>
          <w:sz w:val="28"/>
          <w:szCs w:val="28"/>
        </w:rPr>
        <w:t>（三）</w:t>
      </w:r>
      <w:r>
        <w:rPr>
          <w:rFonts w:hint="eastAsia" w:ascii="楷体_GB2312" w:hAnsi="楷体_GB2312" w:eastAsia="楷体_GB2312" w:cs="楷体_GB2312"/>
          <w:b w:val="0"/>
          <w:sz w:val="28"/>
          <w:szCs w:val="28"/>
        </w:rPr>
        <w:t>我单位2021年无</w:t>
      </w:r>
      <w:r>
        <w:rPr>
          <w:rFonts w:ascii="楷体_GB2312" w:hAnsi="楷体_GB2312" w:eastAsia="楷体_GB2312" w:cs="楷体_GB2312"/>
          <w:b w:val="0"/>
          <w:sz w:val="28"/>
          <w:szCs w:val="28"/>
        </w:rPr>
        <w:t>公务用车购置及运行维护费预算。</w:t>
      </w:r>
      <w:bookmarkEnd w:id="36"/>
      <w:bookmarkEnd w:id="37"/>
    </w:p>
    <w:p w14:paraId="4314FA0B">
      <w:pPr>
        <w:pStyle w:val="3"/>
        <w:spacing w:before="0" w:after="0" w:line="576" w:lineRule="exact"/>
        <w:ind w:firstLine="640" w:firstLineChars="200"/>
        <w:rPr>
          <w:rFonts w:ascii="黑体" w:hAnsi="黑体" w:eastAsia="黑体" w:cs="黑体"/>
          <w:b w:val="0"/>
          <w:bCs/>
          <w:sz w:val="32"/>
          <w:szCs w:val="32"/>
        </w:rPr>
      </w:pPr>
      <w:bookmarkStart w:id="38" w:name="_Toc21879"/>
      <w:r>
        <w:rPr>
          <w:rFonts w:hint="eastAsia" w:ascii="黑体" w:hAnsi="黑体" w:eastAsia="黑体" w:cs="黑体"/>
          <w:b w:val="0"/>
          <w:bCs/>
          <w:sz w:val="32"/>
          <w:szCs w:val="32"/>
        </w:rPr>
        <w:t>八、2021年政府性基金预算收支情况说明</w:t>
      </w:r>
      <w:bookmarkEnd w:id="38"/>
    </w:p>
    <w:p w14:paraId="16C944CD">
      <w:pPr>
        <w:pStyle w:val="9"/>
        <w:widowControl/>
        <w:spacing w:before="120" w:beforeAutospacing="0" w:after="0" w:afterAutospacing="0" w:line="600" w:lineRule="atLeast"/>
        <w:ind w:firstLine="660"/>
        <w:rPr>
          <w:rFonts w:ascii="Times New Roman" w:hAnsi="Times New Roman" w:eastAsia="仿宋_GB2312"/>
          <w:sz w:val="28"/>
          <w:szCs w:val="28"/>
        </w:rPr>
      </w:pPr>
      <w:r>
        <w:rPr>
          <w:rFonts w:hint="eastAsia" w:ascii="Times New Roman" w:hAnsi="Times New Roman" w:eastAsia="仿宋_GB2312"/>
          <w:sz w:val="28"/>
          <w:szCs w:val="28"/>
        </w:rPr>
        <w:t>2021年本单位未在政府性基金预算拨款安排“三公”经费支出。</w:t>
      </w:r>
    </w:p>
    <w:p w14:paraId="426126EB">
      <w:pPr>
        <w:pStyle w:val="3"/>
        <w:spacing w:before="0" w:after="0" w:line="576" w:lineRule="exact"/>
        <w:ind w:firstLine="640" w:firstLineChars="200"/>
        <w:rPr>
          <w:rFonts w:ascii="黑体" w:hAnsi="黑体" w:eastAsia="黑体" w:cs="黑体"/>
          <w:b w:val="0"/>
          <w:bCs/>
          <w:sz w:val="32"/>
          <w:szCs w:val="32"/>
        </w:rPr>
      </w:pPr>
      <w:bookmarkStart w:id="39" w:name="_Toc9414"/>
      <w:r>
        <w:rPr>
          <w:rFonts w:hint="eastAsia" w:ascii="黑体" w:hAnsi="黑体" w:eastAsia="黑体" w:cs="黑体"/>
          <w:b w:val="0"/>
          <w:bCs/>
          <w:sz w:val="32"/>
          <w:szCs w:val="32"/>
        </w:rPr>
        <w:t>九、国有资本经营预算支出情况说明</w:t>
      </w:r>
      <w:bookmarkEnd w:id="39"/>
    </w:p>
    <w:p w14:paraId="241ED2ED">
      <w:pPr>
        <w:pStyle w:val="9"/>
        <w:widowControl/>
        <w:spacing w:before="120" w:beforeAutospacing="0" w:after="0" w:afterAutospacing="0" w:line="600" w:lineRule="atLeast"/>
        <w:ind w:firstLine="660"/>
        <w:rPr>
          <w:rFonts w:ascii="Times New Roman" w:hAnsi="Times New Roman" w:eastAsia="仿宋_GB2312"/>
          <w:sz w:val="28"/>
          <w:szCs w:val="28"/>
        </w:rPr>
      </w:pPr>
      <w:r>
        <w:rPr>
          <w:rFonts w:hint="eastAsia" w:ascii="Times New Roman" w:hAnsi="Times New Roman" w:eastAsia="仿宋_GB2312"/>
          <w:sz w:val="28"/>
          <w:szCs w:val="28"/>
        </w:rPr>
        <w:t xml:space="preserve">2021年无国有资本经营预算拨款安排的支出。 </w:t>
      </w:r>
    </w:p>
    <w:p w14:paraId="4D8E817F">
      <w:pPr>
        <w:pStyle w:val="3"/>
        <w:spacing w:before="0" w:after="0" w:line="576" w:lineRule="exact"/>
        <w:ind w:firstLine="640" w:firstLineChars="200"/>
        <w:rPr>
          <w:rFonts w:ascii="黑体" w:hAnsi="黑体" w:eastAsia="黑体" w:cs="黑体"/>
          <w:b w:val="0"/>
          <w:bCs/>
          <w:sz w:val="32"/>
          <w:szCs w:val="32"/>
        </w:rPr>
      </w:pPr>
      <w:bookmarkStart w:id="40" w:name="_Toc2775"/>
      <w:r>
        <w:rPr>
          <w:rFonts w:hint="eastAsia" w:ascii="黑体" w:hAnsi="黑体" w:eastAsia="黑体" w:cs="黑体"/>
          <w:b w:val="0"/>
          <w:bCs/>
          <w:sz w:val="32"/>
          <w:szCs w:val="32"/>
        </w:rPr>
        <w:t>十、其他重要事项的情况说明</w:t>
      </w:r>
      <w:bookmarkEnd w:id="40"/>
    </w:p>
    <w:p w14:paraId="6F0AD633">
      <w:pPr>
        <w:pStyle w:val="9"/>
        <w:widowControl/>
        <w:spacing w:before="120" w:beforeAutospacing="0" w:after="0" w:afterAutospacing="0" w:line="600" w:lineRule="atLeast"/>
        <w:ind w:firstLine="645"/>
        <w:rPr>
          <w:rFonts w:ascii="方正仿宋_GB2312" w:hAnsi="方正仿宋_GB2312" w:eastAsia="方正仿宋_GB2312" w:cs="方正仿宋_GB2312"/>
          <w:b/>
          <w:sz w:val="28"/>
          <w:szCs w:val="28"/>
        </w:rPr>
      </w:pPr>
      <w:r>
        <w:rPr>
          <w:rFonts w:hint="eastAsia" w:ascii="楷体_GB2312" w:hAnsi="楷体_GB2312" w:eastAsia="楷体_GB2312" w:cs="楷体_GB2312"/>
          <w:bCs/>
          <w:kern w:val="2"/>
          <w:sz w:val="28"/>
          <w:szCs w:val="28"/>
        </w:rPr>
        <w:t>（一）机关运行经费</w:t>
      </w:r>
    </w:p>
    <w:p w14:paraId="0DC86668">
      <w:pPr>
        <w:pStyle w:val="9"/>
        <w:widowControl/>
        <w:spacing w:before="120" w:beforeAutospacing="0" w:after="0" w:afterAutospacing="0" w:line="600" w:lineRule="atLeast"/>
        <w:ind w:firstLine="645"/>
        <w:rPr>
          <w:rFonts w:ascii="Times New Roman" w:hAnsi="Times New Roman" w:eastAsia="仿宋_GB2312"/>
          <w:kern w:val="2"/>
          <w:sz w:val="28"/>
          <w:szCs w:val="28"/>
        </w:rPr>
      </w:pPr>
      <w:r>
        <w:rPr>
          <w:rFonts w:hint="eastAsia" w:ascii="Times New Roman" w:hAnsi="Times New Roman" w:eastAsia="仿宋_GB2312"/>
          <w:kern w:val="2"/>
          <w:sz w:val="28"/>
          <w:szCs w:val="28"/>
        </w:rPr>
        <w:t>2021年，机关运行经费财政拨款预算为30.14万元，比2020年预算减少0.26万元，减少0.86%。主要原因是2021年部门预算中减少了人员奖励金等经费。</w:t>
      </w:r>
    </w:p>
    <w:p w14:paraId="5C0D4B44">
      <w:pPr>
        <w:pStyle w:val="9"/>
        <w:widowControl/>
        <w:spacing w:before="120" w:beforeAutospacing="0" w:after="0" w:afterAutospacing="0" w:line="600" w:lineRule="atLeast"/>
        <w:ind w:firstLine="645"/>
        <w:rPr>
          <w:rFonts w:ascii="楷体_GB2312" w:hAnsi="楷体_GB2312" w:eastAsia="楷体_GB2312" w:cs="楷体_GB2312"/>
          <w:bCs/>
          <w:kern w:val="2"/>
          <w:sz w:val="28"/>
          <w:szCs w:val="28"/>
        </w:rPr>
      </w:pPr>
      <w:r>
        <w:rPr>
          <w:rFonts w:hint="eastAsia" w:ascii="楷体_GB2312" w:hAnsi="楷体_GB2312" w:eastAsia="楷体_GB2312" w:cs="楷体_GB2312"/>
          <w:bCs/>
          <w:kern w:val="2"/>
          <w:sz w:val="28"/>
          <w:szCs w:val="28"/>
        </w:rPr>
        <w:t>（二）政府采购情况</w:t>
      </w:r>
    </w:p>
    <w:p w14:paraId="7488A842">
      <w:pPr>
        <w:pStyle w:val="9"/>
        <w:widowControl/>
        <w:spacing w:before="0" w:beforeAutospacing="0" w:after="0" w:afterAutospacing="0" w:line="450" w:lineRule="atLeast"/>
        <w:ind w:firstLine="645"/>
        <w:rPr>
          <w:rFonts w:ascii="Times New Roman" w:hAnsi="Times New Roman" w:eastAsia="仿宋_GB2312"/>
          <w:kern w:val="2"/>
          <w:sz w:val="28"/>
          <w:szCs w:val="28"/>
        </w:rPr>
      </w:pPr>
      <w:r>
        <w:rPr>
          <w:rFonts w:hint="eastAsia" w:ascii="Times New Roman" w:hAnsi="Times New Roman" w:eastAsia="仿宋_GB2312"/>
          <w:kern w:val="2"/>
          <w:sz w:val="28"/>
          <w:szCs w:val="28"/>
        </w:rPr>
        <w:t>2021年，</w:t>
      </w:r>
      <w:r>
        <w:rPr>
          <w:rFonts w:ascii="Times New Roman" w:hAnsi="Times New Roman" w:eastAsia="仿宋_GB2312"/>
          <w:kern w:val="2"/>
          <w:sz w:val="28"/>
          <w:szCs w:val="28"/>
        </w:rPr>
        <w:t>区</w:t>
      </w:r>
      <w:r>
        <w:rPr>
          <w:rFonts w:hint="eastAsia" w:ascii="Times New Roman" w:hAnsi="Times New Roman" w:eastAsia="仿宋_GB2312"/>
          <w:kern w:val="2"/>
          <w:sz w:val="28"/>
          <w:szCs w:val="28"/>
        </w:rPr>
        <w:t>妇女联合</w:t>
      </w:r>
      <w:r>
        <w:rPr>
          <w:rFonts w:ascii="Times New Roman" w:hAnsi="Times New Roman" w:eastAsia="仿宋_GB2312"/>
          <w:kern w:val="2"/>
          <w:sz w:val="28"/>
          <w:szCs w:val="28"/>
        </w:rPr>
        <w:t>会</w:t>
      </w:r>
      <w:r>
        <w:rPr>
          <w:rFonts w:hint="eastAsia" w:ascii="Times New Roman" w:hAnsi="Times New Roman" w:eastAsia="仿宋_GB2312"/>
          <w:kern w:val="2"/>
          <w:sz w:val="28"/>
          <w:szCs w:val="28"/>
        </w:rPr>
        <w:t>安排政府采购预算0万元，本单位本年度无政府采购预算。</w:t>
      </w:r>
    </w:p>
    <w:p w14:paraId="6DF59B30">
      <w:pPr>
        <w:pStyle w:val="9"/>
        <w:widowControl/>
        <w:spacing w:before="120" w:beforeAutospacing="0" w:after="0" w:afterAutospacing="0" w:line="600" w:lineRule="atLeast"/>
        <w:ind w:firstLine="645"/>
        <w:rPr>
          <w:rFonts w:ascii="楷体_GB2312" w:hAnsi="楷体_GB2312" w:eastAsia="楷体_GB2312" w:cs="楷体_GB2312"/>
          <w:bCs/>
          <w:kern w:val="2"/>
          <w:sz w:val="28"/>
          <w:szCs w:val="28"/>
        </w:rPr>
      </w:pPr>
      <w:r>
        <w:rPr>
          <w:rFonts w:hint="eastAsia" w:ascii="楷体_GB2312" w:hAnsi="楷体_GB2312" w:eastAsia="楷体_GB2312" w:cs="楷体_GB2312"/>
          <w:bCs/>
          <w:kern w:val="2"/>
          <w:sz w:val="28"/>
          <w:szCs w:val="28"/>
        </w:rPr>
        <w:t>（三）国有资产占有使用情况</w:t>
      </w:r>
    </w:p>
    <w:p w14:paraId="024F5F73">
      <w:pPr>
        <w:spacing w:line="576"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截至20</w:t>
      </w:r>
      <w:r>
        <w:rPr>
          <w:rFonts w:hint="eastAsia" w:ascii="Times New Roman" w:hAnsi="Times New Roman" w:eastAsia="仿宋_GB2312"/>
          <w:sz w:val="28"/>
          <w:szCs w:val="28"/>
        </w:rPr>
        <w:t>20</w:t>
      </w:r>
      <w:r>
        <w:rPr>
          <w:rFonts w:ascii="Times New Roman" w:hAnsi="Times New Roman" w:eastAsia="仿宋_GB2312"/>
          <w:sz w:val="28"/>
          <w:szCs w:val="28"/>
        </w:rPr>
        <w:t>年底，单位价值200万元以上大型设备0台（套）。</w:t>
      </w:r>
    </w:p>
    <w:p w14:paraId="3A0D7E8B">
      <w:pPr>
        <w:pStyle w:val="9"/>
        <w:widowControl/>
        <w:spacing w:before="120" w:beforeAutospacing="0" w:after="0" w:afterAutospacing="0" w:line="600" w:lineRule="atLeast"/>
        <w:ind w:firstLine="645"/>
        <w:rPr>
          <w:rFonts w:ascii="Times New Roman" w:hAnsi="Times New Roman" w:eastAsia="仿宋_GB2312"/>
          <w:sz w:val="32"/>
          <w:szCs w:val="32"/>
        </w:rPr>
      </w:pPr>
      <w:r>
        <w:rPr>
          <w:rFonts w:ascii="Times New Roman" w:hAnsi="Times New Roman" w:eastAsia="仿宋_GB2312"/>
          <w:sz w:val="28"/>
          <w:szCs w:val="28"/>
        </w:rPr>
        <w:t>202</w:t>
      </w:r>
      <w:r>
        <w:rPr>
          <w:rFonts w:hint="eastAsia" w:ascii="Times New Roman" w:hAnsi="Times New Roman" w:eastAsia="仿宋_GB2312"/>
          <w:sz w:val="28"/>
          <w:szCs w:val="28"/>
        </w:rPr>
        <w:t>1</w:t>
      </w:r>
      <w:r>
        <w:rPr>
          <w:rFonts w:ascii="Times New Roman" w:hAnsi="Times New Roman" w:eastAsia="仿宋_GB2312"/>
          <w:sz w:val="28"/>
          <w:szCs w:val="28"/>
        </w:rPr>
        <w:t>年部门预算未安排购置车辆及单位价值200万元以上大型设备</w:t>
      </w:r>
      <w:r>
        <w:rPr>
          <w:rFonts w:ascii="Times New Roman" w:hAnsi="Times New Roman" w:eastAsia="仿宋_GB2312"/>
          <w:sz w:val="32"/>
          <w:szCs w:val="32"/>
        </w:rPr>
        <w:t>。</w:t>
      </w:r>
    </w:p>
    <w:p w14:paraId="32BC6414">
      <w:pPr>
        <w:pStyle w:val="4"/>
        <w:spacing w:before="0" w:after="0" w:line="576" w:lineRule="exact"/>
        <w:ind w:firstLine="640" w:firstLineChars="200"/>
        <w:rPr>
          <w:rFonts w:ascii="楷体_GB2312" w:hAnsi="楷体_GB2312" w:eastAsia="楷体_GB2312" w:cs="楷体_GB2312"/>
          <w:b w:val="0"/>
        </w:rPr>
      </w:pPr>
      <w:bookmarkStart w:id="41" w:name="_Toc8711"/>
      <w:r>
        <w:rPr>
          <w:rFonts w:hint="eastAsia" w:ascii="楷体_GB2312" w:hAnsi="楷体_GB2312" w:eastAsia="楷体_GB2312" w:cs="楷体_GB2312"/>
          <w:b w:val="0"/>
        </w:rPr>
        <w:t>（四）绩效目标设置情况</w:t>
      </w:r>
      <w:bookmarkEnd w:id="41"/>
    </w:p>
    <w:p w14:paraId="00582BFC">
      <w:pPr>
        <w:spacing w:line="576" w:lineRule="exact"/>
        <w:ind w:firstLine="560" w:firstLineChars="200"/>
        <w:rPr>
          <w:rFonts w:ascii="Times New Roman" w:hAnsi="Times New Roman" w:eastAsia="仿宋_GB2312"/>
          <w:sz w:val="32"/>
          <w:szCs w:val="32"/>
        </w:rPr>
      </w:pPr>
      <w:r>
        <w:rPr>
          <w:rFonts w:hint="eastAsia" w:ascii="Times New Roman" w:hAnsi="Times New Roman" w:eastAsia="仿宋_GB2312"/>
          <w:sz w:val="28"/>
          <w:szCs w:val="28"/>
        </w:rPr>
        <w:t>绩效目标是预算编制的前提和基础，按照“费随事定”的原则，2021年按要求编制了绩效目标,从项目完成、项目效益、满意度等方面设置了绩效指标，综合反映项目预期完成的数量、成本、时效、质量，预期达到的社会效益、经济效益、可持续影响以及服务对象满意度等情况</w:t>
      </w:r>
      <w:r>
        <w:rPr>
          <w:rFonts w:hint="eastAsia" w:ascii="Times New Roman" w:hAnsi="Times New Roman" w:eastAsia="仿宋_GB2312"/>
          <w:sz w:val="32"/>
          <w:szCs w:val="32"/>
        </w:rPr>
        <w:t>。</w:t>
      </w:r>
    </w:p>
    <w:p w14:paraId="519C186B">
      <w:pPr>
        <w:pStyle w:val="3"/>
        <w:spacing w:before="0" w:after="0" w:line="576" w:lineRule="exact"/>
        <w:ind w:firstLine="640" w:firstLineChars="200"/>
        <w:rPr>
          <w:rFonts w:ascii="黑体" w:hAnsi="黑体" w:eastAsia="黑体" w:cs="黑体"/>
          <w:b w:val="0"/>
          <w:bCs/>
          <w:sz w:val="32"/>
          <w:szCs w:val="32"/>
        </w:rPr>
      </w:pPr>
      <w:bookmarkStart w:id="42" w:name="_Toc24936"/>
      <w:r>
        <w:rPr>
          <w:rFonts w:hint="eastAsia" w:ascii="黑体" w:hAnsi="黑体" w:eastAsia="黑体" w:cs="黑体"/>
          <w:b w:val="0"/>
          <w:bCs/>
          <w:sz w:val="32"/>
          <w:szCs w:val="32"/>
        </w:rPr>
        <w:t>十一、名词解释</w:t>
      </w:r>
      <w:bookmarkEnd w:id="42"/>
    </w:p>
    <w:p w14:paraId="6C61B1B6">
      <w:pPr>
        <w:widowControl/>
        <w:shd w:val="clear" w:color="auto" w:fill="FFFFFF"/>
        <w:spacing w:line="590" w:lineRule="atLeast"/>
        <w:ind w:firstLine="560" w:firstLineChars="200"/>
        <w:jc w:val="left"/>
        <w:rPr>
          <w:rFonts w:ascii="仿宋_GB2312" w:hAnsi="仿宋_GB2312" w:eastAsia="仿宋_GB2312" w:cs="仿宋_GB2312"/>
          <w:sz w:val="28"/>
          <w:szCs w:val="28"/>
        </w:rPr>
      </w:pPr>
      <w:r>
        <w:rPr>
          <w:rFonts w:hint="eastAsia" w:ascii="楷体_GB2312" w:hAnsi="楷体_GB2312" w:eastAsia="楷体_GB2312" w:cs="楷体_GB2312"/>
          <w:sz w:val="28"/>
          <w:szCs w:val="28"/>
        </w:rPr>
        <w:t>（一）一般公共预算拨款收入：</w:t>
      </w:r>
      <w:r>
        <w:rPr>
          <w:rFonts w:ascii="仿宋_GB2312" w:hAnsi="仿宋_GB2312" w:eastAsia="仿宋_GB2312" w:cs="仿宋_GB2312"/>
          <w:sz w:val="28"/>
          <w:szCs w:val="28"/>
        </w:rPr>
        <w:t>指</w:t>
      </w:r>
      <w:r>
        <w:rPr>
          <w:rFonts w:hint="eastAsia" w:ascii="仿宋_GB2312" w:hAnsi="仿宋_GB2312" w:eastAsia="仿宋_GB2312" w:cs="仿宋_GB2312"/>
          <w:sz w:val="28"/>
          <w:szCs w:val="28"/>
        </w:rPr>
        <w:t>区</w:t>
      </w:r>
      <w:r>
        <w:rPr>
          <w:rFonts w:ascii="仿宋_GB2312" w:hAnsi="仿宋_GB2312" w:eastAsia="仿宋_GB2312" w:cs="仿宋_GB2312"/>
          <w:sz w:val="28"/>
          <w:szCs w:val="28"/>
        </w:rPr>
        <w:t>级财政当年拨付的资金。</w:t>
      </w:r>
    </w:p>
    <w:p w14:paraId="7AEB9078">
      <w:pPr>
        <w:widowControl/>
        <w:shd w:val="clear" w:color="auto" w:fill="FFFFFF"/>
        <w:spacing w:line="590" w:lineRule="atLeast"/>
        <w:ind w:firstLine="560" w:firstLineChars="200"/>
        <w:jc w:val="left"/>
        <w:rPr>
          <w:rFonts w:ascii="仿宋_GB2312" w:hAnsi="仿宋_GB2312" w:eastAsia="仿宋_GB2312" w:cs="仿宋_GB2312"/>
          <w:sz w:val="28"/>
          <w:szCs w:val="28"/>
        </w:rPr>
      </w:pPr>
      <w:r>
        <w:rPr>
          <w:rFonts w:ascii="楷体_GB2312" w:hAnsi="楷体_GB2312" w:eastAsia="楷体_GB2312" w:cs="楷体_GB2312"/>
          <w:sz w:val="28"/>
          <w:szCs w:val="28"/>
        </w:rPr>
        <w:t>（二）一般公共服务（类）</w:t>
      </w:r>
      <w:r>
        <w:rPr>
          <w:rFonts w:hint="eastAsia" w:ascii="楷体_GB2312" w:hAnsi="楷体_GB2312" w:eastAsia="楷体_GB2312" w:cs="楷体_GB2312"/>
          <w:sz w:val="28"/>
          <w:szCs w:val="28"/>
        </w:rPr>
        <w:t>群众团体支出</w:t>
      </w:r>
      <w:r>
        <w:rPr>
          <w:rFonts w:ascii="楷体_GB2312" w:hAnsi="楷体_GB2312" w:eastAsia="楷体_GB2312" w:cs="楷体_GB2312"/>
          <w:sz w:val="28"/>
          <w:szCs w:val="28"/>
        </w:rPr>
        <w:t>（款）行政运行（项）：</w:t>
      </w:r>
      <w:r>
        <w:rPr>
          <w:rFonts w:ascii="仿宋_GB2312" w:hAnsi="仿宋_GB2312" w:eastAsia="仿宋_GB2312" w:cs="仿宋_GB2312"/>
          <w:sz w:val="28"/>
          <w:szCs w:val="28"/>
        </w:rPr>
        <w:t>指单位用于保障机构正常运行、开展日常工作的基本支出。</w:t>
      </w:r>
    </w:p>
    <w:p w14:paraId="3A124773">
      <w:pPr>
        <w:widowControl/>
        <w:shd w:val="clear" w:color="auto" w:fill="FFFFFF"/>
        <w:spacing w:line="590" w:lineRule="atLeast"/>
        <w:ind w:firstLine="560" w:firstLineChars="200"/>
        <w:jc w:val="left"/>
        <w:rPr>
          <w:rFonts w:ascii="仿宋_GB2312" w:hAnsi="仿宋_GB2312" w:eastAsia="仿宋_GB2312" w:cs="仿宋_GB2312"/>
          <w:sz w:val="28"/>
          <w:szCs w:val="28"/>
        </w:rPr>
      </w:pPr>
      <w:r>
        <w:rPr>
          <w:rFonts w:ascii="楷体_GB2312" w:hAnsi="楷体_GB2312" w:eastAsia="楷体_GB2312" w:cs="楷体_GB2312"/>
          <w:sz w:val="28"/>
          <w:szCs w:val="28"/>
        </w:rPr>
        <w:t>（</w:t>
      </w:r>
      <w:r>
        <w:rPr>
          <w:rFonts w:hint="eastAsia" w:ascii="楷体_GB2312" w:hAnsi="楷体_GB2312" w:eastAsia="楷体_GB2312" w:cs="楷体_GB2312"/>
          <w:sz w:val="28"/>
          <w:szCs w:val="28"/>
        </w:rPr>
        <w:t>三）</w:t>
      </w:r>
      <w:r>
        <w:rPr>
          <w:rFonts w:ascii="楷体_GB2312" w:hAnsi="楷体_GB2312" w:eastAsia="楷体_GB2312" w:cs="楷体_GB2312"/>
          <w:sz w:val="28"/>
          <w:szCs w:val="28"/>
        </w:rPr>
        <w:t>一般公共服务（类）</w:t>
      </w:r>
      <w:r>
        <w:rPr>
          <w:rFonts w:hint="eastAsia" w:ascii="楷体_GB2312" w:hAnsi="楷体_GB2312" w:eastAsia="楷体_GB2312" w:cs="楷体_GB2312"/>
          <w:sz w:val="28"/>
          <w:szCs w:val="28"/>
        </w:rPr>
        <w:t>群众团体支出</w:t>
      </w:r>
      <w:r>
        <w:rPr>
          <w:rFonts w:ascii="楷体_GB2312" w:hAnsi="楷体_GB2312" w:eastAsia="楷体_GB2312" w:cs="楷体_GB2312"/>
          <w:sz w:val="28"/>
          <w:szCs w:val="28"/>
        </w:rPr>
        <w:t>（款）事业运行（项）：</w:t>
      </w:r>
      <w:r>
        <w:rPr>
          <w:rFonts w:ascii="仿宋_GB2312" w:hAnsi="仿宋_GB2312" w:eastAsia="仿宋_GB2312" w:cs="仿宋_GB2312"/>
          <w:sz w:val="28"/>
          <w:szCs w:val="28"/>
        </w:rPr>
        <w:t>指</w:t>
      </w:r>
      <w:r>
        <w:rPr>
          <w:rFonts w:hint="eastAsia" w:ascii="仿宋_GB2312" w:hAnsi="仿宋_GB2312" w:eastAsia="仿宋_GB2312" w:cs="仿宋_GB2312"/>
          <w:sz w:val="28"/>
          <w:szCs w:val="28"/>
        </w:rPr>
        <w:t>工人文化宫事业人员的</w:t>
      </w:r>
      <w:r>
        <w:rPr>
          <w:rFonts w:ascii="仿宋_GB2312" w:hAnsi="仿宋_GB2312" w:eastAsia="仿宋_GB2312" w:cs="仿宋_GB2312"/>
          <w:sz w:val="28"/>
          <w:szCs w:val="28"/>
        </w:rPr>
        <w:t>基本支出。</w:t>
      </w:r>
    </w:p>
    <w:p w14:paraId="6A4BEA5B">
      <w:pPr>
        <w:widowControl/>
        <w:shd w:val="clear" w:color="auto" w:fill="FFFFFF"/>
        <w:spacing w:line="590" w:lineRule="atLeast"/>
        <w:ind w:firstLine="560" w:firstLineChars="200"/>
        <w:jc w:val="left"/>
        <w:rPr>
          <w:rFonts w:ascii="楷体_GB2312" w:hAnsi="楷体_GB2312" w:eastAsia="楷体_GB2312" w:cs="楷体_GB2312"/>
          <w:sz w:val="28"/>
          <w:szCs w:val="28"/>
        </w:rPr>
      </w:pPr>
      <w:r>
        <w:rPr>
          <w:rFonts w:ascii="楷体_GB2312" w:hAnsi="楷体_GB2312" w:eastAsia="楷体_GB2312" w:cs="楷体_GB2312"/>
          <w:sz w:val="28"/>
          <w:szCs w:val="28"/>
        </w:rPr>
        <w:t>（</w:t>
      </w:r>
      <w:r>
        <w:rPr>
          <w:rFonts w:hint="eastAsia" w:ascii="楷体_GB2312" w:hAnsi="楷体_GB2312" w:eastAsia="楷体_GB2312" w:cs="楷体_GB2312"/>
          <w:sz w:val="28"/>
          <w:szCs w:val="28"/>
        </w:rPr>
        <w:t>四</w:t>
      </w:r>
      <w:r>
        <w:rPr>
          <w:rFonts w:ascii="楷体_GB2312" w:hAnsi="楷体_GB2312" w:eastAsia="楷体_GB2312" w:cs="楷体_GB2312"/>
          <w:sz w:val="28"/>
          <w:szCs w:val="28"/>
        </w:rPr>
        <w:t>）社会保障和就业（类）行政事业单位养老支出（款）机关事业单位基本养老保险缴费支出（项）：</w:t>
      </w:r>
      <w:r>
        <w:rPr>
          <w:rFonts w:ascii="仿宋_GB2312" w:hAnsi="仿宋_GB2312" w:eastAsia="仿宋_GB2312" w:cs="仿宋_GB2312"/>
          <w:sz w:val="28"/>
          <w:szCs w:val="28"/>
        </w:rPr>
        <w:t>指</w:t>
      </w:r>
      <w:r>
        <w:rPr>
          <w:rFonts w:hint="eastAsia" w:ascii="仿宋_GB2312" w:hAnsi="仿宋_GB2312" w:eastAsia="仿宋_GB2312" w:cs="仿宋_GB2312"/>
          <w:sz w:val="28"/>
          <w:szCs w:val="28"/>
        </w:rPr>
        <w:t>单位</w:t>
      </w:r>
      <w:r>
        <w:rPr>
          <w:rFonts w:ascii="仿宋_GB2312" w:hAnsi="仿宋_GB2312" w:eastAsia="仿宋_GB2312" w:cs="仿宋_GB2312"/>
          <w:sz w:val="28"/>
          <w:szCs w:val="28"/>
        </w:rPr>
        <w:t>人员的</w:t>
      </w:r>
      <w:r>
        <w:rPr>
          <w:rFonts w:hint="eastAsia" w:ascii="仿宋_GB2312" w:hAnsi="仿宋_GB2312" w:eastAsia="仿宋_GB2312" w:cs="仿宋_GB2312"/>
          <w:sz w:val="28"/>
          <w:szCs w:val="28"/>
        </w:rPr>
        <w:t>养老保险</w:t>
      </w:r>
      <w:r>
        <w:rPr>
          <w:rFonts w:ascii="仿宋_GB2312" w:hAnsi="仿宋_GB2312" w:eastAsia="仿宋_GB2312" w:cs="仿宋_GB2312"/>
          <w:sz w:val="28"/>
          <w:szCs w:val="28"/>
        </w:rPr>
        <w:t>支出</w:t>
      </w:r>
      <w:r>
        <w:rPr>
          <w:rFonts w:ascii="楷体_GB2312" w:hAnsi="楷体_GB2312" w:eastAsia="楷体_GB2312" w:cs="楷体_GB2312"/>
          <w:sz w:val="28"/>
          <w:szCs w:val="28"/>
        </w:rPr>
        <w:t>。</w:t>
      </w:r>
    </w:p>
    <w:p w14:paraId="7D6A8E41">
      <w:pPr>
        <w:widowControl/>
        <w:shd w:val="clear" w:color="auto" w:fill="FFFFFF"/>
        <w:spacing w:line="590" w:lineRule="atLeast"/>
        <w:ind w:firstLine="560" w:firstLineChars="200"/>
        <w:jc w:val="left"/>
        <w:rPr>
          <w:rFonts w:ascii="仿宋_GB2312" w:hAnsi="仿宋_GB2312" w:eastAsia="仿宋_GB2312" w:cs="仿宋_GB2312"/>
          <w:sz w:val="28"/>
          <w:szCs w:val="28"/>
        </w:rPr>
      </w:pPr>
      <w:r>
        <w:rPr>
          <w:rFonts w:ascii="楷体_GB2312" w:hAnsi="楷体_GB2312" w:eastAsia="楷体_GB2312" w:cs="楷体_GB2312"/>
          <w:sz w:val="28"/>
          <w:szCs w:val="28"/>
        </w:rPr>
        <w:t>（</w:t>
      </w:r>
      <w:r>
        <w:rPr>
          <w:rFonts w:hint="eastAsia" w:ascii="楷体_GB2312" w:hAnsi="楷体_GB2312" w:eastAsia="楷体_GB2312" w:cs="楷体_GB2312"/>
          <w:sz w:val="28"/>
          <w:szCs w:val="28"/>
        </w:rPr>
        <w:t>五</w:t>
      </w:r>
      <w:r>
        <w:rPr>
          <w:rFonts w:ascii="楷体_GB2312" w:hAnsi="楷体_GB2312" w:eastAsia="楷体_GB2312" w:cs="楷体_GB2312"/>
          <w:sz w:val="28"/>
          <w:szCs w:val="28"/>
        </w:rPr>
        <w:t>）卫生健康（类）行政事业单位医疗（款）行政单位医疗（项）：</w:t>
      </w:r>
      <w:r>
        <w:rPr>
          <w:rFonts w:ascii="仿宋_GB2312" w:hAnsi="仿宋_GB2312" w:eastAsia="仿宋_GB2312" w:cs="仿宋_GB2312"/>
          <w:sz w:val="28"/>
          <w:szCs w:val="28"/>
        </w:rPr>
        <w:t>指用于单位应缴纳基本医疗保险支出。</w:t>
      </w:r>
    </w:p>
    <w:p w14:paraId="7BE054B6">
      <w:pPr>
        <w:widowControl/>
        <w:shd w:val="clear" w:color="auto" w:fill="FFFFFF"/>
        <w:spacing w:line="590" w:lineRule="atLeast"/>
        <w:ind w:firstLine="560" w:firstLineChars="200"/>
        <w:jc w:val="left"/>
        <w:rPr>
          <w:rFonts w:ascii="楷体_GB2312" w:hAnsi="楷体_GB2312" w:eastAsia="楷体_GB2312" w:cs="楷体_GB2312"/>
          <w:sz w:val="28"/>
          <w:szCs w:val="28"/>
        </w:rPr>
      </w:pPr>
      <w:r>
        <w:rPr>
          <w:rFonts w:ascii="楷体_GB2312" w:hAnsi="楷体_GB2312" w:eastAsia="楷体_GB2312" w:cs="楷体_GB2312"/>
          <w:sz w:val="28"/>
          <w:szCs w:val="28"/>
        </w:rPr>
        <w:t>（</w:t>
      </w:r>
      <w:r>
        <w:rPr>
          <w:rFonts w:hint="eastAsia" w:ascii="楷体_GB2312" w:hAnsi="楷体_GB2312" w:eastAsia="楷体_GB2312" w:cs="楷体_GB2312"/>
          <w:sz w:val="28"/>
          <w:szCs w:val="28"/>
        </w:rPr>
        <w:t>六</w:t>
      </w:r>
      <w:r>
        <w:rPr>
          <w:rFonts w:ascii="楷体_GB2312" w:hAnsi="楷体_GB2312" w:eastAsia="楷体_GB2312" w:cs="楷体_GB2312"/>
          <w:sz w:val="28"/>
          <w:szCs w:val="28"/>
        </w:rPr>
        <w:t>）卫生健康（类）行政事业单位医疗（款）事业单位医疗（项）：</w:t>
      </w:r>
      <w:r>
        <w:rPr>
          <w:rFonts w:ascii="仿宋_GB2312" w:hAnsi="仿宋_GB2312" w:eastAsia="仿宋_GB2312" w:cs="仿宋_GB2312"/>
          <w:sz w:val="28"/>
          <w:szCs w:val="28"/>
        </w:rPr>
        <w:t>指事业单位用于单位应缴纳基本医疗保险支出。</w:t>
      </w:r>
    </w:p>
    <w:p w14:paraId="681EC91E">
      <w:pPr>
        <w:spacing w:line="576" w:lineRule="exact"/>
        <w:ind w:firstLine="560" w:firstLineChars="200"/>
        <w:rPr>
          <w:rFonts w:ascii="仿宋_GB2312" w:hAnsi="仿宋_GB2312" w:eastAsia="仿宋_GB2312" w:cs="仿宋_GB2312"/>
          <w:sz w:val="28"/>
          <w:szCs w:val="28"/>
        </w:rPr>
      </w:pPr>
      <w:r>
        <w:rPr>
          <w:rFonts w:ascii="楷体_GB2312" w:hAnsi="楷体_GB2312" w:eastAsia="楷体_GB2312" w:cs="楷体_GB2312"/>
          <w:sz w:val="28"/>
          <w:szCs w:val="28"/>
        </w:rPr>
        <w:t>（七）住房保障（类）住房改革支出（款）住房公积金（项）：</w:t>
      </w:r>
      <w:r>
        <w:rPr>
          <w:rFonts w:ascii="仿宋_GB2312" w:hAnsi="仿宋_GB2312" w:eastAsia="仿宋_GB2312" w:cs="仿宋_GB2312"/>
          <w:sz w:val="28"/>
          <w:szCs w:val="28"/>
        </w:rPr>
        <w:t>指按照《住房公积金管理条例》的规定，由单位及其在职职工缴存的</w:t>
      </w:r>
      <w:r>
        <w:rPr>
          <w:rFonts w:hint="eastAsia" w:ascii="仿宋_GB2312" w:hAnsi="仿宋_GB2312" w:eastAsia="仿宋_GB2312" w:cs="仿宋_GB2312"/>
          <w:sz w:val="28"/>
          <w:szCs w:val="28"/>
        </w:rPr>
        <w:t>公积金</w:t>
      </w:r>
      <w:r>
        <w:rPr>
          <w:rFonts w:ascii="仿宋_GB2312" w:hAnsi="仿宋_GB2312" w:eastAsia="仿宋_GB2312" w:cs="仿宋_GB2312"/>
          <w:sz w:val="28"/>
          <w:szCs w:val="28"/>
        </w:rPr>
        <w:t>。</w:t>
      </w:r>
    </w:p>
    <w:p w14:paraId="00167F9C">
      <w:pPr>
        <w:spacing w:line="576" w:lineRule="exact"/>
        <w:ind w:firstLine="560" w:firstLineChars="200"/>
        <w:rPr>
          <w:rFonts w:ascii="楷体_GB2312" w:hAnsi="楷体_GB2312" w:eastAsia="楷体_GB2312" w:cs="楷体_GB2312"/>
          <w:sz w:val="28"/>
          <w:szCs w:val="28"/>
        </w:rPr>
      </w:pPr>
      <w:r>
        <w:rPr>
          <w:rFonts w:ascii="楷体_GB2312" w:hAnsi="楷体_GB2312" w:eastAsia="楷体_GB2312" w:cs="楷体_GB2312"/>
          <w:sz w:val="28"/>
          <w:szCs w:val="28"/>
        </w:rPr>
        <w:t>（</w:t>
      </w:r>
      <w:r>
        <w:rPr>
          <w:rFonts w:hint="eastAsia" w:ascii="楷体_GB2312" w:hAnsi="楷体_GB2312" w:eastAsia="楷体_GB2312" w:cs="楷体_GB2312"/>
          <w:sz w:val="28"/>
          <w:szCs w:val="28"/>
        </w:rPr>
        <w:t>八</w:t>
      </w:r>
      <w:r>
        <w:rPr>
          <w:rFonts w:ascii="楷体_GB2312" w:hAnsi="楷体_GB2312" w:eastAsia="楷体_GB2312" w:cs="楷体_GB2312"/>
          <w:sz w:val="28"/>
          <w:szCs w:val="28"/>
        </w:rPr>
        <w:t>）基本支出：</w:t>
      </w:r>
      <w:r>
        <w:rPr>
          <w:rFonts w:ascii="仿宋_GB2312" w:hAnsi="仿宋_GB2312" w:eastAsia="仿宋_GB2312" w:cs="仿宋_GB2312"/>
          <w:sz w:val="28"/>
          <w:szCs w:val="28"/>
        </w:rPr>
        <w:t>指为保证机构正常运转，完成日常工作任务而发生的人员支出和公用支出。</w:t>
      </w:r>
    </w:p>
    <w:p w14:paraId="7A2A32E0">
      <w:pPr>
        <w:spacing w:line="576" w:lineRule="exact"/>
        <w:ind w:firstLine="560" w:firstLineChars="200"/>
        <w:rPr>
          <w:rFonts w:ascii="楷体_GB2312" w:hAnsi="楷体_GB2312" w:eastAsia="楷体_GB2312" w:cs="楷体_GB2312"/>
          <w:sz w:val="28"/>
          <w:szCs w:val="28"/>
        </w:rPr>
      </w:pPr>
      <w:r>
        <w:rPr>
          <w:rFonts w:ascii="楷体_GB2312" w:hAnsi="楷体_GB2312" w:eastAsia="楷体_GB2312" w:cs="楷体_GB2312"/>
          <w:sz w:val="28"/>
          <w:szCs w:val="28"/>
        </w:rPr>
        <w:t>（</w:t>
      </w:r>
      <w:r>
        <w:rPr>
          <w:rFonts w:hint="eastAsia" w:ascii="楷体_GB2312" w:hAnsi="楷体_GB2312" w:eastAsia="楷体_GB2312" w:cs="楷体_GB2312"/>
          <w:sz w:val="28"/>
          <w:szCs w:val="28"/>
        </w:rPr>
        <w:t>九</w:t>
      </w:r>
      <w:r>
        <w:rPr>
          <w:rFonts w:ascii="楷体_GB2312" w:hAnsi="楷体_GB2312" w:eastAsia="楷体_GB2312" w:cs="楷体_GB2312"/>
          <w:sz w:val="28"/>
          <w:szCs w:val="28"/>
        </w:rPr>
        <w:t>）“三公”经费：</w:t>
      </w:r>
      <w:r>
        <w:rPr>
          <w:rFonts w:ascii="仿宋_GB2312" w:hAnsi="仿宋_GB2312" w:eastAsia="仿宋_GB2312" w:cs="仿宋_GB2312"/>
          <w:sz w:val="28"/>
          <w:szCs w:val="28"/>
        </w:rPr>
        <w:t>纳入财政预算管理的“三公”经费，是指部门用财政拨款安排的公务接待费。</w:t>
      </w:r>
    </w:p>
    <w:p w14:paraId="3FEEA5DA">
      <w:pPr>
        <w:spacing w:line="576" w:lineRule="exact"/>
        <w:ind w:firstLine="560" w:firstLineChars="200"/>
        <w:rPr>
          <w:rFonts w:ascii="仿宋_GB2312" w:hAnsi="仿宋_GB2312" w:eastAsia="仿宋_GB2312" w:cs="仿宋_GB2312"/>
          <w:sz w:val="28"/>
          <w:szCs w:val="28"/>
        </w:rPr>
      </w:pPr>
      <w:r>
        <w:rPr>
          <w:rFonts w:ascii="楷体_GB2312" w:hAnsi="楷体_GB2312" w:eastAsia="楷体_GB2312" w:cs="楷体_GB2312"/>
          <w:sz w:val="28"/>
          <w:szCs w:val="28"/>
        </w:rPr>
        <w:t>（</w:t>
      </w:r>
      <w:r>
        <w:rPr>
          <w:rFonts w:hint="eastAsia" w:ascii="楷体_GB2312" w:hAnsi="楷体_GB2312" w:eastAsia="楷体_GB2312" w:cs="楷体_GB2312"/>
          <w:sz w:val="28"/>
          <w:szCs w:val="28"/>
        </w:rPr>
        <w:t>十</w:t>
      </w:r>
      <w:r>
        <w:rPr>
          <w:rFonts w:ascii="楷体_GB2312" w:hAnsi="楷体_GB2312" w:eastAsia="楷体_GB2312" w:cs="楷体_GB2312"/>
          <w:sz w:val="28"/>
          <w:szCs w:val="28"/>
        </w:rPr>
        <w:t>）机关运行经费：</w:t>
      </w:r>
      <w:r>
        <w:rPr>
          <w:rFonts w:hint="eastAsia" w:ascii="仿宋_GB2312" w:hAnsi="仿宋_GB2312" w:eastAsia="仿宋_GB2312" w:cs="仿宋_GB2312"/>
          <w:sz w:val="28"/>
          <w:szCs w:val="28"/>
        </w:rPr>
        <w:t>为保障行政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415D61A7">
      <w:pPr>
        <w:pStyle w:val="2"/>
        <w:spacing w:before="93"/>
        <w:rPr>
          <w:sz w:val="28"/>
          <w:szCs w:val="28"/>
        </w:rPr>
      </w:pPr>
    </w:p>
    <w:p w14:paraId="36782C1E">
      <w:pPr>
        <w:rPr>
          <w:sz w:val="28"/>
          <w:szCs w:val="28"/>
        </w:rPr>
      </w:pPr>
    </w:p>
    <w:p w14:paraId="3B415CAE">
      <w:pPr>
        <w:rPr>
          <w:sz w:val="28"/>
          <w:szCs w:val="28"/>
        </w:rPr>
      </w:pPr>
    </w:p>
    <w:p w14:paraId="79E8C76E">
      <w:pPr>
        <w:sectPr>
          <w:headerReference r:id="rId5" w:type="default"/>
          <w:footerReference r:id="rId6" w:type="default"/>
          <w:pgSz w:w="11906" w:h="16838"/>
          <w:pgMar w:top="1440" w:right="1800" w:bottom="1440" w:left="1800" w:header="851" w:footer="992" w:gutter="0"/>
          <w:pgNumType w:start="1"/>
          <w:cols w:space="720" w:num="1"/>
          <w:titlePg/>
          <w:docGrid w:type="lines" w:linePitch="312" w:charSpace="0"/>
        </w:sectPr>
      </w:pPr>
    </w:p>
    <w:p w14:paraId="5DF2E528"/>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618BED-D74C-4C02-8436-51852384F1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C5F4D86-564F-4B8A-BE46-BB9BCF03C75B}"/>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2ECF6E01-05E2-4F1F-B500-E5B4165F0DF5}"/>
  </w:font>
  <w:font w:name="楷体_GB2312">
    <w:panose1 w:val="02010609030101010101"/>
    <w:charset w:val="86"/>
    <w:family w:val="auto"/>
    <w:pitch w:val="default"/>
    <w:sig w:usb0="00000001" w:usb1="080E0000" w:usb2="00000000" w:usb3="00000000" w:csb0="00040000" w:csb1="00000000"/>
    <w:embedRegular r:id="rId4" w:fontKey="{FAD6A1F1-C4D6-4DF4-9FDB-C255EF254A0B}"/>
  </w:font>
  <w:font w:name="微软雅黑">
    <w:panose1 w:val="020B0503020204020204"/>
    <w:charset w:val="86"/>
    <w:family w:val="swiss"/>
    <w:pitch w:val="default"/>
    <w:sig w:usb0="80000287" w:usb1="2ACF3C50" w:usb2="00000016" w:usb3="00000000" w:csb0="0004001F" w:csb1="00000000"/>
    <w:embedRegular r:id="rId5" w:fontKey="{9AF86F57-ECE2-44CC-B951-FB093F9F616B}"/>
  </w:font>
  <w:font w:name="___WRD_EMBED_SUB_48">
    <w:altName w:val="宋体"/>
    <w:panose1 w:val="00000000000000000000"/>
    <w:charset w:val="86"/>
    <w:family w:val="auto"/>
    <w:pitch w:val="default"/>
    <w:sig w:usb0="00000000" w:usb1="00000000" w:usb2="00000010" w:usb3="00000000" w:csb0="00040000" w:csb1="00000000"/>
    <w:embedRegular r:id="rId6" w:fontKey="{C4B94B57-7D5D-4702-9A7A-434C9F01AFCA}"/>
  </w:font>
  <w:font w:name="仿宋_GB2312">
    <w:altName w:val="仿宋"/>
    <w:panose1 w:val="00000000000000000000"/>
    <w:charset w:val="86"/>
    <w:family w:val="modern"/>
    <w:pitch w:val="default"/>
    <w:sig w:usb0="00000000" w:usb1="00000000" w:usb2="00000000" w:usb3="00000000" w:csb0="00040000" w:csb1="00000000"/>
    <w:embedRegular r:id="rId7" w:fontKey="{C3B23A39-DE92-45E7-A009-5856EAA05FE3}"/>
  </w:font>
  <w:font w:name="楷体">
    <w:panose1 w:val="02010609060101010101"/>
    <w:charset w:val="86"/>
    <w:family w:val="modern"/>
    <w:pitch w:val="default"/>
    <w:sig w:usb0="800002BF" w:usb1="38CF7CFA" w:usb2="00000016" w:usb3="00000000" w:csb0="00040001" w:csb1="00000000"/>
    <w:embedRegular r:id="rId8" w:fontKey="{9DB720B1-02DA-4213-8473-2E25293085B0}"/>
  </w:font>
  <w:font w:name="方正仿宋_GB2312">
    <w:panose1 w:val="02000000000000000000"/>
    <w:charset w:val="86"/>
    <w:family w:val="auto"/>
    <w:pitch w:val="default"/>
    <w:sig w:usb0="A00002BF" w:usb1="184F6CFA" w:usb2="00000012" w:usb3="00000000" w:csb0="00040001" w:csb1="00000000"/>
    <w:embedRegular r:id="rId9" w:fontKey="{C2004823-1772-4D37-AEEE-E72FF995032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71CA">
    <w:pPr>
      <w:pStyle w:val="5"/>
      <w:jc w:val="center"/>
    </w:pPr>
  </w:p>
  <w:p w14:paraId="35DB4B7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FFC5">
    <w:pPr>
      <w:pStyle w:val="5"/>
    </w:pPr>
    <w:r>
      <w:rPr>
        <w:rFonts w:hint="eastAsia"/>
      </w:rPr>
      <w:t xml:space="preserve"> </w:t>
    </w:r>
    <w:r>
      <w:t xml:space="preserv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3AE0F">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3970" b="635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F3281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F3281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6BB9337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FA9E">
    <w:pPr>
      <w:pStyle w:val="5"/>
      <w:jc w:val="center"/>
    </w:pPr>
  </w:p>
  <w:p w14:paraId="41263CB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4A77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86D60"/>
    <w:multiLevelType w:val="singleLevel"/>
    <w:tmpl w:val="58F86D6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C57"/>
    <w:rsid w:val="001B16A0"/>
    <w:rsid w:val="00214FF2"/>
    <w:rsid w:val="00226E0E"/>
    <w:rsid w:val="004248C8"/>
    <w:rsid w:val="00471087"/>
    <w:rsid w:val="004E7C57"/>
    <w:rsid w:val="005C729A"/>
    <w:rsid w:val="006A4A3B"/>
    <w:rsid w:val="008B2675"/>
    <w:rsid w:val="00984750"/>
    <w:rsid w:val="5F27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340" w:after="330" w:line="576" w:lineRule="auto"/>
      <w:outlineLvl w:val="0"/>
    </w:pPr>
    <w:rPr>
      <w:b/>
      <w:kern w:val="44"/>
      <w:sz w:val="44"/>
    </w:rPr>
  </w:style>
  <w:style w:type="paragraph" w:styleId="4">
    <w:name w:val="heading 2"/>
    <w:basedOn w:val="1"/>
    <w:next w:val="1"/>
    <w:link w:val="16"/>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qFormat/>
    <w:uiPriority w:val="0"/>
    <w:pPr>
      <w:spacing w:before="100" w:beforeAutospacing="1" w:after="100" w:afterAutospacing="1"/>
      <w:jc w:val="left"/>
    </w:pPr>
    <w:rPr>
      <w:kern w:val="0"/>
      <w:sz w:val="24"/>
    </w:rPr>
  </w:style>
  <w:style w:type="character" w:customStyle="1" w:styleId="12">
    <w:name w:val="正文文本 字符"/>
    <w:basedOn w:val="11"/>
    <w:link w:val="2"/>
    <w:semiHidden/>
    <w:uiPriority w:val="99"/>
    <w:rPr>
      <w:rFonts w:ascii="Calibri" w:hAnsi="Calibri" w:eastAsia="宋体" w:cs="Times New Roman"/>
      <w:szCs w:val="24"/>
    </w:rPr>
  </w:style>
  <w:style w:type="character" w:customStyle="1" w:styleId="13">
    <w:name w:val="页脚 字符"/>
    <w:basedOn w:val="11"/>
    <w:link w:val="5"/>
    <w:uiPriority w:val="0"/>
    <w:rPr>
      <w:rFonts w:ascii="Calibri" w:hAnsi="Calibri" w:eastAsia="宋体" w:cs="Times New Roman"/>
      <w:sz w:val="18"/>
      <w:szCs w:val="18"/>
    </w:rPr>
  </w:style>
  <w:style w:type="character" w:customStyle="1" w:styleId="14">
    <w:name w:val="页眉 字符"/>
    <w:basedOn w:val="11"/>
    <w:link w:val="6"/>
    <w:qFormat/>
    <w:uiPriority w:val="0"/>
    <w:rPr>
      <w:rFonts w:ascii="Calibri" w:hAnsi="Calibri" w:eastAsia="宋体" w:cs="Times New Roman"/>
      <w:sz w:val="18"/>
      <w:szCs w:val="18"/>
    </w:rPr>
  </w:style>
  <w:style w:type="character" w:customStyle="1" w:styleId="15">
    <w:name w:val="标题 1 字符"/>
    <w:basedOn w:val="11"/>
    <w:link w:val="3"/>
    <w:qFormat/>
    <w:uiPriority w:val="0"/>
    <w:rPr>
      <w:rFonts w:ascii="Calibri" w:hAnsi="Calibri" w:eastAsia="宋体" w:cs="Times New Roman"/>
      <w:b/>
      <w:kern w:val="44"/>
      <w:sz w:val="44"/>
      <w:szCs w:val="24"/>
    </w:rPr>
  </w:style>
  <w:style w:type="character" w:customStyle="1" w:styleId="16">
    <w:name w:val="标题 2 字符"/>
    <w:basedOn w:val="11"/>
    <w:link w:val="4"/>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5189</Words>
  <Characters>5501</Characters>
  <Lines>45</Lines>
  <Paragraphs>12</Paragraphs>
  <TotalTime>1</TotalTime>
  <ScaleCrop>false</ScaleCrop>
  <LinksUpToDate>false</LinksUpToDate>
  <CharactersWithSpaces>5543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2022-09-25T03:37:00Z</dcterms:created>
  <dc:creator>张 凌涵</dc:creator>
  <cp:lastModifiedBy>昭化融媒体</cp:lastModifiedBy>
  <dcterms:modified xsi:type="dcterms:W3CDTF">2024-12-19T02:12:46Z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eyJoZGlkIjoiMGVhYTg4NGNkZWJkODFjNzcyZDRjM2M4Y2UzNjI5ZmUiLCJ1c2VySWQiOiI2MTE2MzEwMDYifQ==</vt:lpwstr>
  </property>
  <property fmtid="{D5CDD505-2E9C-101B-9397-08002B2CF9AE}" pid="3" name="KSOProductBuildVer">
    <vt:lpwstr>2052-12.1.0.19302</vt:lpwstr>
  </property>
  <property fmtid="{D5CDD505-2E9C-101B-9397-08002B2CF9AE}" pid="4" name="ICV">
    <vt:lpwstr>63224A55CBD5419B946148C3572D8622_12</vt:lpwstr>
  </property>
</Properties>
</file>