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D3943">
      <w:pPr>
        <w:adjustRightInd w:val="0"/>
        <w:snapToGrid w:val="0"/>
        <w:spacing w:line="360" w:lineRule="auto"/>
        <w:jc w:val="center"/>
        <w:rPr>
          <w:rFonts w:ascii="黑体" w:hAnsi="黑体" w:eastAsia="黑体"/>
          <w:color w:val="000000"/>
          <w:sz w:val="72"/>
          <w:szCs w:val="72"/>
        </w:rPr>
      </w:pPr>
      <w:bookmarkStart w:id="0" w:name="_Toc15377425"/>
      <w:bookmarkStart w:id="1" w:name="_Toc15378441"/>
      <w:bookmarkStart w:id="2" w:name="_Toc15396597"/>
      <w:bookmarkStart w:id="3" w:name="_Toc15396475"/>
      <w:bookmarkStart w:id="4" w:name="_Toc15377193"/>
    </w:p>
    <w:p w14:paraId="6580FCD3">
      <w:pPr>
        <w:adjustRightInd w:val="0"/>
        <w:snapToGrid w:val="0"/>
        <w:spacing w:line="360" w:lineRule="auto"/>
        <w:jc w:val="center"/>
        <w:rPr>
          <w:rFonts w:ascii="黑体" w:hAnsi="黑体" w:eastAsia="黑体"/>
          <w:color w:val="000000"/>
          <w:sz w:val="72"/>
          <w:szCs w:val="72"/>
        </w:rPr>
      </w:pPr>
    </w:p>
    <w:p w14:paraId="52C4D93B">
      <w:pPr>
        <w:adjustRightInd w:val="0"/>
        <w:snapToGrid w:val="0"/>
        <w:spacing w:line="360" w:lineRule="auto"/>
        <w:jc w:val="center"/>
        <w:outlineLvl w:val="0"/>
        <w:rPr>
          <w:rFonts w:ascii="方正小标宋简体" w:hAnsi="宋体" w:eastAsia="方正小标宋简体"/>
          <w:color w:val="000000"/>
          <w:sz w:val="72"/>
          <w:szCs w:val="72"/>
        </w:rPr>
      </w:pPr>
      <w:bookmarkStart w:id="5" w:name="_Toc16227"/>
      <w:bookmarkStart w:id="6" w:name="_Toc25156"/>
      <w:r>
        <w:rPr>
          <w:rFonts w:hint="eastAsia" w:ascii="黑体" w:hAnsi="黑体" w:eastAsia="黑体"/>
          <w:color w:val="000000"/>
          <w:sz w:val="72"/>
          <w:szCs w:val="72"/>
        </w:rPr>
        <w:t>2020</w:t>
      </w:r>
      <w:r>
        <w:rPr>
          <w:rFonts w:hint="eastAsia" w:ascii="方正小标宋简体" w:hAnsi="宋体" w:eastAsia="方正小标宋简体"/>
          <w:color w:val="000000"/>
          <w:sz w:val="72"/>
          <w:szCs w:val="72"/>
        </w:rPr>
        <w:t>年度</w:t>
      </w:r>
      <w:bookmarkEnd w:id="0"/>
      <w:bookmarkEnd w:id="1"/>
      <w:bookmarkEnd w:id="2"/>
      <w:bookmarkEnd w:id="3"/>
      <w:bookmarkEnd w:id="4"/>
      <w:bookmarkEnd w:id="5"/>
      <w:bookmarkEnd w:id="6"/>
    </w:p>
    <w:p w14:paraId="1ECD9106">
      <w:pPr>
        <w:adjustRightInd w:val="0"/>
        <w:snapToGrid w:val="0"/>
        <w:spacing w:line="360" w:lineRule="auto"/>
        <w:jc w:val="center"/>
        <w:outlineLvl w:val="0"/>
        <w:rPr>
          <w:rFonts w:ascii="方正小标宋简体" w:hAnsi="宋体" w:eastAsia="方正小标宋简体"/>
          <w:color w:val="000000"/>
          <w:sz w:val="56"/>
          <w:szCs w:val="56"/>
        </w:rPr>
      </w:pPr>
      <w:bookmarkStart w:id="7" w:name="_Toc718"/>
      <w:bookmarkStart w:id="8" w:name="_Toc9144"/>
      <w:r>
        <w:rPr>
          <w:rFonts w:hint="eastAsia" w:ascii="方正小标宋简体" w:hAnsi="宋体" w:eastAsia="方正小标宋简体"/>
          <w:color w:val="000000"/>
          <w:sz w:val="56"/>
          <w:szCs w:val="56"/>
        </w:rPr>
        <w:t>中共广元市昭化区委政法委员会</w:t>
      </w:r>
      <w:bookmarkEnd w:id="7"/>
      <w:bookmarkEnd w:id="8"/>
    </w:p>
    <w:p w14:paraId="5CC97738">
      <w:pPr>
        <w:adjustRightInd w:val="0"/>
        <w:snapToGrid w:val="0"/>
        <w:spacing w:line="360" w:lineRule="auto"/>
        <w:jc w:val="center"/>
        <w:outlineLvl w:val="0"/>
        <w:rPr>
          <w:rFonts w:ascii="宋体" w:hAnsi="宋体" w:cs="宋体"/>
          <w:color w:val="000000"/>
          <w:sz w:val="72"/>
          <w:szCs w:val="72"/>
        </w:rPr>
      </w:pPr>
      <w:bookmarkStart w:id="9" w:name="_Toc15378442"/>
      <w:bookmarkStart w:id="10" w:name="_Toc15377194"/>
      <w:bookmarkStart w:id="11" w:name="_Toc15377426"/>
      <w:bookmarkStart w:id="12" w:name="_Toc31807"/>
      <w:bookmarkStart w:id="13" w:name="_Toc15396476"/>
      <w:bookmarkStart w:id="14" w:name="_Toc15306268"/>
      <w:bookmarkStart w:id="15" w:name="_Toc20298"/>
      <w:bookmarkStart w:id="16" w:name="_Toc15396598"/>
      <w:r>
        <w:rPr>
          <w:rFonts w:hint="eastAsia" w:ascii="方正小标宋简体" w:hAnsi="宋体" w:eastAsia="方正小标宋简体"/>
          <w:color w:val="000000"/>
          <w:sz w:val="72"/>
          <w:szCs w:val="72"/>
        </w:rPr>
        <w:t>部门决算</w:t>
      </w:r>
      <w:bookmarkEnd w:id="9"/>
      <w:bookmarkEnd w:id="10"/>
      <w:bookmarkEnd w:id="11"/>
      <w:bookmarkEnd w:id="12"/>
      <w:bookmarkEnd w:id="13"/>
      <w:bookmarkEnd w:id="14"/>
      <w:bookmarkEnd w:id="15"/>
      <w:bookmarkEnd w:id="16"/>
    </w:p>
    <w:p w14:paraId="37F33466">
      <w:pPr>
        <w:widowControl/>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方正小标宋简体" w:hAnsi="宋体" w:eastAsia="方正小标宋简体"/>
          <w:color w:val="000000"/>
          <w:sz w:val="36"/>
          <w:szCs w:val="36"/>
        </w:rPr>
        <w:t xml:space="preserve">                      </w:t>
      </w:r>
      <w:r>
        <w:rPr>
          <w:rFonts w:hint="eastAsia" w:ascii="黑体" w:hAnsi="黑体" w:eastAsia="黑体"/>
          <w:color w:val="000000"/>
          <w:sz w:val="48"/>
          <w:szCs w:val="48"/>
        </w:rPr>
        <w:t>目录</w:t>
      </w:r>
    </w:p>
    <w:p w14:paraId="52F01998">
      <w:pPr>
        <w:widowControl/>
        <w:jc w:val="center"/>
        <w:rPr>
          <w:rFonts w:ascii="黑体" w:hAnsi="黑体" w:eastAsia="黑体"/>
          <w:sz w:val="28"/>
          <w:szCs w:val="28"/>
        </w:rPr>
      </w:pPr>
    </w:p>
    <w:p w14:paraId="17F8EE6F"/>
    <w:sdt>
      <w:sdtPr>
        <w:rPr>
          <w:rFonts w:ascii="宋体" w:hAnsi="宋体"/>
        </w:rPr>
        <w:id w:val="147483508"/>
        <w:docPartObj>
          <w:docPartGallery w:val="Table of Contents"/>
          <w:docPartUnique/>
        </w:docPartObj>
      </w:sdtPr>
      <w:sdtEndPr>
        <w:rPr>
          <w:rFonts w:ascii="宋体" w:hAnsi="宋体"/>
          <w:b/>
        </w:rPr>
      </w:sdtEndPr>
      <w:sdtContent>
        <w:p w14:paraId="001F6523">
          <w:pPr>
            <w:jc w:val="center"/>
          </w:pPr>
          <w:bookmarkStart w:id="17" w:name="_Toc15377196"/>
          <w:bookmarkStart w:id="18" w:name="_Toc15396599"/>
        </w:p>
        <w:p w14:paraId="0964DD5C">
          <w:pPr>
            <w:pStyle w:val="20"/>
            <w:tabs>
              <w:tab w:val="right" w:leader="dot" w:pos="8306"/>
            </w:tabs>
            <w:rPr>
              <w:b/>
            </w:rPr>
          </w:pPr>
          <w:r>
            <w:fldChar w:fldCharType="begin"/>
          </w:r>
          <w:r>
            <w:instrText xml:space="preserve">TOC \o "1-2" \h \u </w:instrText>
          </w:r>
          <w:r>
            <w:fldChar w:fldCharType="separate"/>
          </w:r>
        </w:p>
        <w:p w14:paraId="76C29A44">
          <w:pPr>
            <w:pStyle w:val="20"/>
            <w:tabs>
              <w:tab w:val="right" w:leader="dot" w:pos="8306"/>
            </w:tabs>
            <w:rPr>
              <w:bCs/>
            </w:rPr>
          </w:pPr>
          <w:r>
            <w:fldChar w:fldCharType="begin"/>
          </w:r>
          <w:r>
            <w:instrText xml:space="preserve"> HYPERLINK \l "_Toc26835" </w:instrText>
          </w:r>
          <w:r>
            <w:fldChar w:fldCharType="separate"/>
          </w:r>
          <w:r>
            <w:rPr>
              <w:rFonts w:hint="eastAsia" w:ascii="黑体" w:hAnsi="黑体" w:eastAsia="黑体" w:cs="Times New Roman"/>
              <w:bCs/>
            </w:rPr>
            <w:t>第一部分</w:t>
          </w:r>
          <w:r>
            <w:rPr>
              <w:rFonts w:hint="eastAsia" w:cs="黑体"/>
              <w:bCs/>
            </w:rPr>
            <w:t xml:space="preserve"> </w:t>
          </w:r>
          <w:r>
            <w:rPr>
              <w:rFonts w:hint="eastAsia" w:ascii="黑体" w:hAnsi="黑体" w:eastAsia="黑体"/>
              <w:bCs/>
            </w:rPr>
            <w:t>部门概况</w:t>
          </w:r>
          <w:r>
            <w:rPr>
              <w:bCs/>
            </w:rPr>
            <w:tab/>
          </w:r>
          <w:r>
            <w:rPr>
              <w:bCs/>
            </w:rPr>
            <w:fldChar w:fldCharType="begin"/>
          </w:r>
          <w:r>
            <w:rPr>
              <w:bCs/>
            </w:rPr>
            <w:instrText xml:space="preserve"> PAGEREF _Toc26835 \h </w:instrText>
          </w:r>
          <w:r>
            <w:rPr>
              <w:bCs/>
            </w:rPr>
            <w:fldChar w:fldCharType="separate"/>
          </w:r>
          <w:r>
            <w:rPr>
              <w:bCs/>
            </w:rPr>
            <w:t>3</w:t>
          </w:r>
          <w:r>
            <w:rPr>
              <w:bCs/>
            </w:rPr>
            <w:fldChar w:fldCharType="end"/>
          </w:r>
          <w:r>
            <w:rPr>
              <w:bCs/>
            </w:rPr>
            <w:fldChar w:fldCharType="end"/>
          </w:r>
        </w:p>
        <w:p w14:paraId="4C8DB12B">
          <w:pPr>
            <w:pStyle w:val="21"/>
            <w:tabs>
              <w:tab w:val="right" w:leader="dot" w:pos="8306"/>
            </w:tabs>
            <w:ind w:left="420"/>
          </w:pPr>
          <w:r>
            <w:fldChar w:fldCharType="begin"/>
          </w:r>
          <w:r>
            <w:instrText xml:space="preserve"> HYPERLINK \l "_Toc5550" </w:instrText>
          </w:r>
          <w:r>
            <w:fldChar w:fldCharType="separate"/>
          </w:r>
          <w:r>
            <w:rPr>
              <w:rFonts w:hint="eastAsia" w:ascii="黑体" w:hAnsi="黑体" w:eastAsia="黑体"/>
            </w:rPr>
            <w:t>一、基本职能及主要工作</w:t>
          </w:r>
          <w:r>
            <w:tab/>
          </w:r>
          <w:r>
            <w:fldChar w:fldCharType="begin"/>
          </w:r>
          <w:r>
            <w:instrText xml:space="preserve"> PAGEREF _Toc5550 \h </w:instrText>
          </w:r>
          <w:r>
            <w:fldChar w:fldCharType="separate"/>
          </w:r>
          <w:r>
            <w:t>3</w:t>
          </w:r>
          <w:r>
            <w:fldChar w:fldCharType="end"/>
          </w:r>
          <w:r>
            <w:fldChar w:fldCharType="end"/>
          </w:r>
        </w:p>
        <w:p w14:paraId="34E30B29">
          <w:pPr>
            <w:pStyle w:val="21"/>
            <w:tabs>
              <w:tab w:val="right" w:leader="dot" w:pos="8306"/>
            </w:tabs>
            <w:ind w:left="420"/>
          </w:pPr>
          <w:r>
            <w:fldChar w:fldCharType="begin"/>
          </w:r>
          <w:r>
            <w:instrText xml:space="preserve"> HYPERLINK \l "_Toc30762" </w:instrText>
          </w:r>
          <w:r>
            <w:fldChar w:fldCharType="separate"/>
          </w:r>
          <w:r>
            <w:rPr>
              <w:rFonts w:hint="eastAsia" w:ascii="黑体" w:hAnsi="黑体" w:eastAsia="黑体"/>
            </w:rPr>
            <w:t>二、 机构设置</w:t>
          </w:r>
          <w:r>
            <w:tab/>
          </w:r>
          <w:r>
            <w:fldChar w:fldCharType="begin"/>
          </w:r>
          <w:r>
            <w:instrText xml:space="preserve"> PAGEREF _Toc30762 \h </w:instrText>
          </w:r>
          <w:r>
            <w:fldChar w:fldCharType="separate"/>
          </w:r>
          <w:r>
            <w:t>6</w:t>
          </w:r>
          <w:r>
            <w:fldChar w:fldCharType="end"/>
          </w:r>
          <w:r>
            <w:fldChar w:fldCharType="end"/>
          </w:r>
        </w:p>
        <w:p w14:paraId="6319080D">
          <w:pPr>
            <w:pStyle w:val="20"/>
            <w:tabs>
              <w:tab w:val="right" w:leader="dot" w:pos="8306"/>
            </w:tabs>
            <w:rPr>
              <w:b/>
            </w:rPr>
          </w:pPr>
          <w:r>
            <w:fldChar w:fldCharType="begin"/>
          </w:r>
          <w:r>
            <w:instrText xml:space="preserve"> HYPERLINK \l "_Toc21824" </w:instrText>
          </w:r>
          <w:r>
            <w:fldChar w:fldCharType="separate"/>
          </w:r>
          <w:r>
            <w:rPr>
              <w:rFonts w:hint="eastAsia" w:ascii="黑体" w:hAnsi="黑体" w:eastAsia="黑体"/>
              <w:bCs/>
            </w:rPr>
            <w:t>第二部分</w:t>
          </w:r>
          <w:r>
            <w:rPr>
              <w:rFonts w:ascii="黑体" w:hAnsi="黑体" w:eastAsia="黑体"/>
              <w:bCs/>
            </w:rPr>
            <w:t xml:space="preserve"> 2020</w:t>
          </w:r>
          <w:r>
            <w:rPr>
              <w:rFonts w:hint="eastAsia" w:ascii="黑体" w:hAnsi="黑体" w:eastAsia="黑体"/>
              <w:bCs/>
            </w:rPr>
            <w:t>年度部门决算情况说明</w:t>
          </w:r>
          <w:r>
            <w:rPr>
              <w:bCs/>
            </w:rPr>
            <w:tab/>
          </w:r>
          <w:r>
            <w:rPr>
              <w:b/>
            </w:rPr>
            <w:fldChar w:fldCharType="begin"/>
          </w:r>
          <w:r>
            <w:rPr>
              <w:b/>
            </w:rPr>
            <w:instrText xml:space="preserve"> PAGEREF _Toc21824 \h </w:instrText>
          </w:r>
          <w:r>
            <w:rPr>
              <w:b/>
            </w:rPr>
            <w:fldChar w:fldCharType="separate"/>
          </w:r>
          <w:r>
            <w:rPr>
              <w:b/>
            </w:rPr>
            <w:t>7</w:t>
          </w:r>
          <w:r>
            <w:rPr>
              <w:b/>
            </w:rPr>
            <w:fldChar w:fldCharType="end"/>
          </w:r>
          <w:r>
            <w:rPr>
              <w:b/>
            </w:rPr>
            <w:fldChar w:fldCharType="end"/>
          </w:r>
        </w:p>
        <w:p w14:paraId="0E07DC09">
          <w:pPr>
            <w:pStyle w:val="21"/>
            <w:tabs>
              <w:tab w:val="right" w:leader="dot" w:pos="8306"/>
            </w:tabs>
            <w:ind w:left="420"/>
          </w:pPr>
          <w:r>
            <w:fldChar w:fldCharType="begin"/>
          </w:r>
          <w:r>
            <w:instrText xml:space="preserve"> HYPERLINK \l "_Toc12619" </w:instrText>
          </w:r>
          <w:r>
            <w:fldChar w:fldCharType="separate"/>
          </w:r>
          <w:r>
            <w:rPr>
              <w:rFonts w:ascii="黑体" w:hAnsi="黑体" w:eastAsia="黑体" w:cs="Times New Roman"/>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_Toc12619 \h </w:instrText>
          </w:r>
          <w:r>
            <w:fldChar w:fldCharType="separate"/>
          </w:r>
          <w:r>
            <w:t>7</w:t>
          </w:r>
          <w:r>
            <w:fldChar w:fldCharType="end"/>
          </w:r>
          <w:r>
            <w:fldChar w:fldCharType="end"/>
          </w:r>
        </w:p>
        <w:p w14:paraId="07309F44">
          <w:pPr>
            <w:pStyle w:val="21"/>
            <w:tabs>
              <w:tab w:val="right" w:leader="dot" w:pos="8306"/>
            </w:tabs>
            <w:ind w:left="420"/>
          </w:pPr>
          <w:r>
            <w:fldChar w:fldCharType="begin"/>
          </w:r>
          <w:r>
            <w:instrText xml:space="preserve"> HYPERLINK \l "_Toc116" </w:instrText>
          </w:r>
          <w:r>
            <w:fldChar w:fldCharType="separate"/>
          </w:r>
          <w:r>
            <w:rPr>
              <w:rFonts w:ascii="黑体" w:hAnsi="黑体" w:eastAsia="黑体" w:cs="Times New Roman"/>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_Toc116 \h </w:instrText>
          </w:r>
          <w:r>
            <w:fldChar w:fldCharType="separate"/>
          </w:r>
          <w:r>
            <w:t>7</w:t>
          </w:r>
          <w:r>
            <w:fldChar w:fldCharType="end"/>
          </w:r>
          <w:r>
            <w:fldChar w:fldCharType="end"/>
          </w:r>
        </w:p>
        <w:p w14:paraId="29EB154A">
          <w:pPr>
            <w:pStyle w:val="21"/>
            <w:tabs>
              <w:tab w:val="right" w:leader="dot" w:pos="8306"/>
            </w:tabs>
            <w:ind w:left="420"/>
          </w:pPr>
          <w:r>
            <w:fldChar w:fldCharType="begin"/>
          </w:r>
          <w:r>
            <w:instrText xml:space="preserve"> HYPERLINK \l "_Toc29074" </w:instrText>
          </w:r>
          <w:r>
            <w:fldChar w:fldCharType="separate"/>
          </w:r>
          <w:r>
            <w:rPr>
              <w:rFonts w:ascii="黑体" w:hAnsi="黑体" w:eastAsia="黑体" w:cs="Times New Roman"/>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_Toc29074 \h </w:instrText>
          </w:r>
          <w:r>
            <w:fldChar w:fldCharType="separate"/>
          </w:r>
          <w:r>
            <w:t>7</w:t>
          </w:r>
          <w:r>
            <w:fldChar w:fldCharType="end"/>
          </w:r>
          <w:r>
            <w:fldChar w:fldCharType="end"/>
          </w:r>
        </w:p>
        <w:p w14:paraId="1C25C38D">
          <w:pPr>
            <w:pStyle w:val="21"/>
            <w:tabs>
              <w:tab w:val="right" w:leader="dot" w:pos="8306"/>
            </w:tabs>
            <w:ind w:left="420"/>
          </w:pPr>
          <w:r>
            <w:fldChar w:fldCharType="begin"/>
          </w:r>
          <w:r>
            <w:instrText xml:space="preserve"> HYPERLINK \l "_Toc11726"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_Toc11726 \h </w:instrText>
          </w:r>
          <w:r>
            <w:fldChar w:fldCharType="separate"/>
          </w:r>
          <w:r>
            <w:t>8</w:t>
          </w:r>
          <w:r>
            <w:fldChar w:fldCharType="end"/>
          </w:r>
          <w:r>
            <w:fldChar w:fldCharType="end"/>
          </w:r>
        </w:p>
        <w:p w14:paraId="1825BA5C">
          <w:pPr>
            <w:pStyle w:val="21"/>
            <w:tabs>
              <w:tab w:val="right" w:leader="dot" w:pos="8306"/>
            </w:tabs>
            <w:ind w:left="420"/>
          </w:pPr>
          <w:r>
            <w:fldChar w:fldCharType="begin"/>
          </w:r>
          <w:r>
            <w:instrText xml:space="preserve"> HYPERLINK \l "_Toc31235"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_Toc31235 \h </w:instrText>
          </w:r>
          <w:r>
            <w:fldChar w:fldCharType="separate"/>
          </w:r>
          <w:r>
            <w:t>8</w:t>
          </w:r>
          <w:r>
            <w:fldChar w:fldCharType="end"/>
          </w:r>
          <w:r>
            <w:fldChar w:fldCharType="end"/>
          </w:r>
        </w:p>
        <w:p w14:paraId="760C6B28">
          <w:pPr>
            <w:pStyle w:val="21"/>
            <w:tabs>
              <w:tab w:val="right" w:leader="dot" w:pos="8306"/>
            </w:tabs>
            <w:ind w:left="420"/>
          </w:pPr>
          <w:r>
            <w:fldChar w:fldCharType="begin"/>
          </w:r>
          <w:r>
            <w:instrText xml:space="preserve"> HYPERLINK \l "_Toc12759"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_Toc12759 \h </w:instrText>
          </w:r>
          <w:r>
            <w:fldChar w:fldCharType="separate"/>
          </w:r>
          <w:r>
            <w:t>10</w:t>
          </w:r>
          <w:r>
            <w:fldChar w:fldCharType="end"/>
          </w:r>
          <w:r>
            <w:fldChar w:fldCharType="end"/>
          </w:r>
        </w:p>
        <w:p w14:paraId="3098AAF7">
          <w:pPr>
            <w:pStyle w:val="21"/>
            <w:tabs>
              <w:tab w:val="right" w:leader="dot" w:pos="8306"/>
            </w:tabs>
            <w:ind w:left="420"/>
          </w:pPr>
          <w:r>
            <w:fldChar w:fldCharType="begin"/>
          </w:r>
          <w:r>
            <w:instrText xml:space="preserve"> HYPERLINK \l "_Toc29361" </w:instrText>
          </w:r>
          <w:r>
            <w:fldChar w:fldCharType="separate"/>
          </w:r>
          <w:r>
            <w:rPr>
              <w:rFonts w:hint="eastAsia" w:ascii="黑体" w:eastAsia="黑体"/>
              <w:szCs w:val="32"/>
            </w:rPr>
            <w:t>七、</w:t>
          </w:r>
          <w:r>
            <w:rPr>
              <w:rFonts w:hint="eastAsia" w:ascii="黑体" w:hAnsi="黑体" w:eastAsia="黑体"/>
            </w:rPr>
            <w:t>“三公”经费财政拨款支出决算情况说明</w:t>
          </w:r>
          <w:r>
            <w:tab/>
          </w:r>
          <w:r>
            <w:fldChar w:fldCharType="begin"/>
          </w:r>
          <w:r>
            <w:instrText xml:space="preserve"> PAGEREF _Toc29361 \h </w:instrText>
          </w:r>
          <w:r>
            <w:fldChar w:fldCharType="separate"/>
          </w:r>
          <w:r>
            <w:t>10</w:t>
          </w:r>
          <w:r>
            <w:fldChar w:fldCharType="end"/>
          </w:r>
          <w:r>
            <w:fldChar w:fldCharType="end"/>
          </w:r>
        </w:p>
        <w:p w14:paraId="56478D01">
          <w:pPr>
            <w:pStyle w:val="21"/>
            <w:tabs>
              <w:tab w:val="right" w:leader="dot" w:pos="8306"/>
            </w:tabs>
            <w:ind w:left="420"/>
          </w:pPr>
          <w:r>
            <w:fldChar w:fldCharType="begin"/>
          </w:r>
          <w:r>
            <w:instrText xml:space="preserve"> HYPERLINK \l "_Toc32276"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_Toc32276 \h </w:instrText>
          </w:r>
          <w:r>
            <w:fldChar w:fldCharType="separate"/>
          </w:r>
          <w:r>
            <w:t>11</w:t>
          </w:r>
          <w:r>
            <w:fldChar w:fldCharType="end"/>
          </w:r>
          <w:r>
            <w:fldChar w:fldCharType="end"/>
          </w:r>
        </w:p>
        <w:p w14:paraId="58EE14A1">
          <w:pPr>
            <w:pStyle w:val="21"/>
            <w:tabs>
              <w:tab w:val="right" w:leader="dot" w:pos="8306"/>
            </w:tabs>
            <w:ind w:left="420"/>
          </w:pPr>
          <w:r>
            <w:fldChar w:fldCharType="begin"/>
          </w:r>
          <w:r>
            <w:instrText xml:space="preserve"> HYPERLINK \l "_Toc7494" </w:instrText>
          </w:r>
          <w:r>
            <w:fldChar w:fldCharType="separate"/>
          </w:r>
          <w:r>
            <w:rPr>
              <w:rFonts w:hint="eastAsia" w:ascii="黑体" w:hAnsi="黑体" w:eastAsia="黑体" w:cs="Times New Roman"/>
            </w:rPr>
            <w:t xml:space="preserve">九、 </w:t>
          </w:r>
          <w:r>
            <w:rPr>
              <w:rFonts w:hint="eastAsia" w:ascii="黑体" w:hAnsi="黑体" w:eastAsia="黑体"/>
            </w:rPr>
            <w:t>国有资本经营预算支出决算情况说明</w:t>
          </w:r>
          <w:r>
            <w:tab/>
          </w:r>
          <w:r>
            <w:fldChar w:fldCharType="begin"/>
          </w:r>
          <w:r>
            <w:instrText xml:space="preserve"> PAGEREF _Toc7494 \h </w:instrText>
          </w:r>
          <w:r>
            <w:fldChar w:fldCharType="separate"/>
          </w:r>
          <w:r>
            <w:t>11</w:t>
          </w:r>
          <w:r>
            <w:fldChar w:fldCharType="end"/>
          </w:r>
          <w:r>
            <w:fldChar w:fldCharType="end"/>
          </w:r>
        </w:p>
        <w:p w14:paraId="67521EF2">
          <w:pPr>
            <w:pStyle w:val="21"/>
            <w:tabs>
              <w:tab w:val="right" w:leader="dot" w:pos="8306"/>
            </w:tabs>
            <w:ind w:left="420"/>
          </w:pPr>
          <w:r>
            <w:fldChar w:fldCharType="begin"/>
          </w:r>
          <w:r>
            <w:instrText xml:space="preserve"> HYPERLINK \l "_Toc14858" </w:instrText>
          </w:r>
          <w:r>
            <w:fldChar w:fldCharType="separate"/>
          </w:r>
          <w:r>
            <w:rPr>
              <w:rFonts w:hint="eastAsia" w:ascii="黑体" w:hAnsi="黑体" w:eastAsia="黑体"/>
              <w:szCs w:val="32"/>
            </w:rPr>
            <w:t>十</w:t>
          </w:r>
          <w:r>
            <w:rPr>
              <w:rFonts w:hint="eastAsia" w:ascii="黑体" w:hAnsi="黑体" w:eastAsia="黑体"/>
            </w:rPr>
            <w:t>、其他重要事项的情况说明</w:t>
          </w:r>
          <w:r>
            <w:tab/>
          </w:r>
          <w:r>
            <w:fldChar w:fldCharType="begin"/>
          </w:r>
          <w:r>
            <w:instrText xml:space="preserve"> PAGEREF _Toc14858 \h </w:instrText>
          </w:r>
          <w:r>
            <w:fldChar w:fldCharType="separate"/>
          </w:r>
          <w:r>
            <w:t>11</w:t>
          </w:r>
          <w:r>
            <w:fldChar w:fldCharType="end"/>
          </w:r>
          <w:r>
            <w:fldChar w:fldCharType="end"/>
          </w:r>
        </w:p>
        <w:p w14:paraId="1E0808AC">
          <w:pPr>
            <w:pStyle w:val="20"/>
            <w:tabs>
              <w:tab w:val="right" w:leader="dot" w:pos="8306"/>
            </w:tabs>
            <w:rPr>
              <w:bCs/>
            </w:rPr>
          </w:pPr>
          <w:r>
            <w:fldChar w:fldCharType="begin"/>
          </w:r>
          <w:r>
            <w:instrText xml:space="preserve"> HYPERLINK \l "_Toc31076" </w:instrText>
          </w:r>
          <w:r>
            <w:fldChar w:fldCharType="separate"/>
          </w:r>
          <w:r>
            <w:rPr>
              <w:rFonts w:hint="eastAsia" w:ascii="黑体" w:hAnsi="黑体" w:eastAsia="黑体" w:cs="Times New Roman"/>
              <w:bCs/>
            </w:rPr>
            <w:t xml:space="preserve">第三部分 </w:t>
          </w:r>
          <w:r>
            <w:rPr>
              <w:rFonts w:hint="eastAsia" w:ascii="黑体" w:hAnsi="黑体" w:eastAsia="黑体"/>
              <w:bCs/>
              <w:szCs w:val="44"/>
            </w:rPr>
            <w:t>名</w:t>
          </w:r>
          <w:r>
            <w:rPr>
              <w:rFonts w:hint="eastAsia" w:ascii="黑体" w:hAnsi="黑体" w:eastAsia="黑体"/>
              <w:bCs/>
            </w:rPr>
            <w:t>词解释</w:t>
          </w:r>
          <w:r>
            <w:rPr>
              <w:bCs/>
            </w:rPr>
            <w:tab/>
          </w:r>
          <w:r>
            <w:rPr>
              <w:bCs/>
            </w:rPr>
            <w:fldChar w:fldCharType="begin"/>
          </w:r>
          <w:r>
            <w:rPr>
              <w:bCs/>
            </w:rPr>
            <w:instrText xml:space="preserve"> PAGEREF _Toc31076 \h </w:instrText>
          </w:r>
          <w:r>
            <w:rPr>
              <w:bCs/>
            </w:rPr>
            <w:fldChar w:fldCharType="separate"/>
          </w:r>
          <w:r>
            <w:rPr>
              <w:bCs/>
            </w:rPr>
            <w:t>17</w:t>
          </w:r>
          <w:r>
            <w:rPr>
              <w:bCs/>
            </w:rPr>
            <w:fldChar w:fldCharType="end"/>
          </w:r>
          <w:r>
            <w:rPr>
              <w:bCs/>
            </w:rPr>
            <w:fldChar w:fldCharType="end"/>
          </w:r>
        </w:p>
        <w:p w14:paraId="370932E9">
          <w:pPr>
            <w:pStyle w:val="20"/>
            <w:tabs>
              <w:tab w:val="right" w:leader="dot" w:pos="8306"/>
            </w:tabs>
            <w:rPr>
              <w:b/>
            </w:rPr>
          </w:pPr>
          <w:r>
            <w:fldChar w:fldCharType="begin"/>
          </w:r>
          <w:r>
            <w:instrText xml:space="preserve"> HYPERLINK \l "_Toc11354" </w:instrText>
          </w:r>
          <w:r>
            <w:fldChar w:fldCharType="separate"/>
          </w:r>
          <w:r>
            <w:rPr>
              <w:rFonts w:hint="eastAsia" w:ascii="黑体" w:hAnsi="黑体" w:eastAsia="黑体"/>
              <w:bCs/>
              <w:szCs w:val="44"/>
            </w:rPr>
            <w:t>第</w:t>
          </w:r>
          <w:r>
            <w:rPr>
              <w:rFonts w:hint="eastAsia" w:ascii="黑体" w:hAnsi="黑体" w:eastAsia="黑体"/>
              <w:bCs/>
            </w:rPr>
            <w:t>四部分</w:t>
          </w:r>
          <w:r>
            <w:rPr>
              <w:rFonts w:ascii="黑体" w:hAnsi="黑体" w:eastAsia="黑体"/>
              <w:bCs/>
            </w:rPr>
            <w:t xml:space="preserve"> </w:t>
          </w:r>
          <w:r>
            <w:rPr>
              <w:rFonts w:hint="eastAsia" w:ascii="黑体" w:hAnsi="黑体" w:eastAsia="黑体"/>
              <w:bCs/>
            </w:rPr>
            <w:t>附件</w:t>
          </w:r>
          <w:r>
            <w:rPr>
              <w:bCs/>
            </w:rPr>
            <w:tab/>
          </w:r>
          <w:r>
            <w:rPr>
              <w:bCs/>
            </w:rPr>
            <w:fldChar w:fldCharType="begin"/>
          </w:r>
          <w:r>
            <w:rPr>
              <w:bCs/>
            </w:rPr>
            <w:instrText xml:space="preserve"> PAGEREF _Toc11354 \h </w:instrText>
          </w:r>
          <w:r>
            <w:rPr>
              <w:bCs/>
            </w:rPr>
            <w:fldChar w:fldCharType="separate"/>
          </w:r>
          <w:r>
            <w:rPr>
              <w:bCs/>
            </w:rPr>
            <w:t>20</w:t>
          </w:r>
          <w:r>
            <w:rPr>
              <w:bCs/>
            </w:rPr>
            <w:fldChar w:fldCharType="end"/>
          </w:r>
          <w:r>
            <w:rPr>
              <w:bCs/>
            </w:rPr>
            <w:fldChar w:fldCharType="end"/>
          </w:r>
        </w:p>
        <w:p w14:paraId="406DE36F">
          <w:pPr>
            <w:pStyle w:val="21"/>
            <w:tabs>
              <w:tab w:val="right" w:leader="dot" w:pos="8306"/>
            </w:tabs>
            <w:ind w:left="420"/>
          </w:pPr>
          <w:r>
            <w:fldChar w:fldCharType="begin"/>
          </w:r>
          <w:r>
            <w:instrText xml:space="preserve"> HYPERLINK \l "_Toc27288" </w:instrText>
          </w:r>
          <w:r>
            <w:fldChar w:fldCharType="separate"/>
          </w:r>
          <w:r>
            <w:rPr>
              <w:rFonts w:hint="eastAsia" w:ascii="黑体" w:hAnsi="黑体" w:eastAsia="黑体" w:cs="黑体"/>
              <w:szCs w:val="32"/>
            </w:rPr>
            <w:t>附件</w:t>
          </w:r>
          <w:r>
            <w:rPr>
              <w:rFonts w:ascii="黑体" w:hAnsi="黑体" w:eastAsia="黑体" w:cs="黑体"/>
              <w:szCs w:val="32"/>
            </w:rPr>
            <w:t>1</w:t>
          </w:r>
          <w:r>
            <w:tab/>
          </w:r>
          <w:r>
            <w:fldChar w:fldCharType="begin"/>
          </w:r>
          <w:r>
            <w:instrText xml:space="preserve"> PAGEREF _Toc27288 \h </w:instrText>
          </w:r>
          <w:r>
            <w:fldChar w:fldCharType="separate"/>
          </w:r>
          <w:r>
            <w:t>20</w:t>
          </w:r>
          <w:r>
            <w:fldChar w:fldCharType="end"/>
          </w:r>
          <w:r>
            <w:fldChar w:fldCharType="end"/>
          </w:r>
        </w:p>
        <w:p w14:paraId="2B2C0526">
          <w:pPr>
            <w:pStyle w:val="21"/>
            <w:tabs>
              <w:tab w:val="right" w:leader="dot" w:pos="8306"/>
            </w:tabs>
            <w:ind w:left="420"/>
          </w:pPr>
          <w:r>
            <w:fldChar w:fldCharType="begin"/>
          </w:r>
          <w:r>
            <w:instrText xml:space="preserve"> HYPERLINK \l "_Toc17583" </w:instrText>
          </w:r>
          <w:r>
            <w:fldChar w:fldCharType="separate"/>
          </w:r>
          <w:r>
            <w:rPr>
              <w:rFonts w:hint="eastAsia" w:ascii="黑体" w:hAnsi="黑体" w:eastAsia="黑体" w:cs="黑体"/>
              <w:szCs w:val="32"/>
            </w:rPr>
            <w:t>附件</w:t>
          </w:r>
          <w:r>
            <w:rPr>
              <w:rFonts w:ascii="黑体" w:hAnsi="黑体" w:eastAsia="黑体" w:cs="黑体"/>
              <w:szCs w:val="32"/>
            </w:rPr>
            <w:t>2</w:t>
          </w:r>
          <w:r>
            <w:tab/>
          </w:r>
          <w:r>
            <w:fldChar w:fldCharType="begin"/>
          </w:r>
          <w:r>
            <w:instrText xml:space="preserve"> PAGEREF _Toc17583 \h </w:instrText>
          </w:r>
          <w:r>
            <w:fldChar w:fldCharType="separate"/>
          </w:r>
          <w:r>
            <w:t>25</w:t>
          </w:r>
          <w:r>
            <w:fldChar w:fldCharType="end"/>
          </w:r>
          <w:r>
            <w:fldChar w:fldCharType="end"/>
          </w:r>
        </w:p>
        <w:p w14:paraId="1E7C8419">
          <w:pPr>
            <w:pStyle w:val="20"/>
            <w:tabs>
              <w:tab w:val="right" w:leader="dot" w:pos="8306"/>
            </w:tabs>
            <w:rPr>
              <w:bCs/>
            </w:rPr>
          </w:pPr>
          <w:r>
            <w:fldChar w:fldCharType="begin"/>
          </w:r>
          <w:r>
            <w:instrText xml:space="preserve"> HYPERLINK \l "_Toc2145" </w:instrText>
          </w:r>
          <w:r>
            <w:fldChar w:fldCharType="separate"/>
          </w:r>
          <w:r>
            <w:rPr>
              <w:rFonts w:hint="eastAsia" w:ascii="黑体" w:hAnsi="黑体" w:eastAsia="黑体"/>
              <w:bCs/>
              <w:szCs w:val="44"/>
            </w:rPr>
            <w:t>第</w:t>
          </w:r>
          <w:r>
            <w:rPr>
              <w:rFonts w:hint="eastAsia" w:ascii="黑体" w:hAnsi="黑体" w:eastAsia="黑体"/>
              <w:bCs/>
            </w:rPr>
            <w:t>五部分</w:t>
          </w:r>
          <w:r>
            <w:rPr>
              <w:rFonts w:ascii="黑体" w:hAnsi="黑体" w:eastAsia="黑体"/>
              <w:bCs/>
            </w:rPr>
            <w:t xml:space="preserve"> </w:t>
          </w:r>
          <w:r>
            <w:rPr>
              <w:rFonts w:hint="eastAsia" w:ascii="黑体" w:hAnsi="黑体" w:eastAsia="黑体"/>
              <w:bCs/>
            </w:rPr>
            <w:t>附表</w:t>
          </w:r>
          <w:r>
            <w:rPr>
              <w:bCs/>
            </w:rPr>
            <w:tab/>
          </w:r>
          <w:r>
            <w:rPr>
              <w:bCs/>
            </w:rPr>
            <w:fldChar w:fldCharType="begin"/>
          </w:r>
          <w:r>
            <w:rPr>
              <w:bCs/>
            </w:rPr>
            <w:instrText xml:space="preserve"> PAGEREF _Toc2145 \h </w:instrText>
          </w:r>
          <w:r>
            <w:rPr>
              <w:bCs/>
            </w:rPr>
            <w:fldChar w:fldCharType="separate"/>
          </w:r>
          <w:r>
            <w:rPr>
              <w:bCs/>
            </w:rPr>
            <w:t>29</w:t>
          </w:r>
          <w:r>
            <w:rPr>
              <w:bCs/>
            </w:rPr>
            <w:fldChar w:fldCharType="end"/>
          </w:r>
          <w:r>
            <w:rPr>
              <w:bCs/>
            </w:rPr>
            <w:fldChar w:fldCharType="end"/>
          </w:r>
        </w:p>
        <w:p w14:paraId="1ECC9FFA">
          <w:pPr>
            <w:pStyle w:val="21"/>
            <w:tabs>
              <w:tab w:val="right" w:leader="dot" w:pos="8306"/>
            </w:tabs>
            <w:ind w:left="420"/>
          </w:pPr>
          <w:r>
            <w:fldChar w:fldCharType="begin"/>
          </w:r>
          <w:r>
            <w:instrText xml:space="preserve"> HYPERLINK \l "_Toc14918" </w:instrText>
          </w:r>
          <w:r>
            <w:fldChar w:fldCharType="separate"/>
          </w:r>
          <w:r>
            <w:rPr>
              <w:rFonts w:hint="eastAsia" w:ascii="仿宋" w:hAnsi="仿宋" w:eastAsia="仿宋"/>
            </w:rPr>
            <w:t>一、收入支出决算总表</w:t>
          </w:r>
          <w:r>
            <w:tab/>
          </w:r>
          <w:r>
            <w:fldChar w:fldCharType="begin"/>
          </w:r>
          <w:r>
            <w:instrText xml:space="preserve"> PAGEREF _Toc14918 \h </w:instrText>
          </w:r>
          <w:r>
            <w:fldChar w:fldCharType="separate"/>
          </w:r>
          <w:r>
            <w:t>30</w:t>
          </w:r>
          <w:r>
            <w:fldChar w:fldCharType="end"/>
          </w:r>
          <w:r>
            <w:fldChar w:fldCharType="end"/>
          </w:r>
        </w:p>
        <w:p w14:paraId="500EC212">
          <w:pPr>
            <w:pStyle w:val="21"/>
            <w:tabs>
              <w:tab w:val="right" w:leader="dot" w:pos="8306"/>
            </w:tabs>
            <w:ind w:left="420"/>
          </w:pPr>
          <w:r>
            <w:fldChar w:fldCharType="begin"/>
          </w:r>
          <w:r>
            <w:instrText xml:space="preserve"> HYPERLINK \l "_Toc28942" </w:instrText>
          </w:r>
          <w:r>
            <w:fldChar w:fldCharType="separate"/>
          </w:r>
          <w:r>
            <w:rPr>
              <w:rFonts w:hint="eastAsia" w:ascii="仿宋" w:hAnsi="仿宋" w:eastAsia="仿宋"/>
            </w:rPr>
            <w:t>二、收入决算表</w:t>
          </w:r>
          <w:r>
            <w:tab/>
          </w:r>
          <w:r>
            <w:fldChar w:fldCharType="begin"/>
          </w:r>
          <w:r>
            <w:instrText xml:space="preserve"> PAGEREF _Toc28942 \h </w:instrText>
          </w:r>
          <w:r>
            <w:fldChar w:fldCharType="separate"/>
          </w:r>
          <w:r>
            <w:t>30</w:t>
          </w:r>
          <w:r>
            <w:fldChar w:fldCharType="end"/>
          </w:r>
          <w:r>
            <w:fldChar w:fldCharType="end"/>
          </w:r>
        </w:p>
        <w:p w14:paraId="0A7AB249">
          <w:pPr>
            <w:pStyle w:val="21"/>
            <w:tabs>
              <w:tab w:val="right" w:leader="dot" w:pos="8306"/>
            </w:tabs>
            <w:ind w:left="420"/>
          </w:pPr>
          <w:r>
            <w:fldChar w:fldCharType="begin"/>
          </w:r>
          <w:r>
            <w:instrText xml:space="preserve"> HYPERLINK \l "_Toc9537" </w:instrText>
          </w:r>
          <w:r>
            <w:fldChar w:fldCharType="separate"/>
          </w:r>
          <w:r>
            <w:rPr>
              <w:rFonts w:hint="eastAsia" w:ascii="仿宋" w:hAnsi="仿宋" w:eastAsia="仿宋"/>
            </w:rPr>
            <w:t>三、支出决算表</w:t>
          </w:r>
          <w:r>
            <w:tab/>
          </w:r>
          <w:r>
            <w:fldChar w:fldCharType="begin"/>
          </w:r>
          <w:r>
            <w:instrText xml:space="preserve"> PAGEREF _Toc9537 \h </w:instrText>
          </w:r>
          <w:r>
            <w:fldChar w:fldCharType="separate"/>
          </w:r>
          <w:r>
            <w:t>30</w:t>
          </w:r>
          <w:r>
            <w:fldChar w:fldCharType="end"/>
          </w:r>
          <w:r>
            <w:fldChar w:fldCharType="end"/>
          </w:r>
        </w:p>
        <w:p w14:paraId="79903EE0">
          <w:pPr>
            <w:pStyle w:val="21"/>
            <w:tabs>
              <w:tab w:val="right" w:leader="dot" w:pos="8306"/>
            </w:tabs>
            <w:ind w:left="420"/>
          </w:pPr>
          <w:r>
            <w:fldChar w:fldCharType="begin"/>
          </w:r>
          <w:r>
            <w:instrText xml:space="preserve"> HYPERLINK \l "_Toc1332" </w:instrText>
          </w:r>
          <w:r>
            <w:fldChar w:fldCharType="separate"/>
          </w:r>
          <w:r>
            <w:rPr>
              <w:rFonts w:hint="eastAsia" w:ascii="仿宋" w:hAnsi="仿宋" w:eastAsia="仿宋"/>
            </w:rPr>
            <w:t>四、财政拨款收入支出决算总表</w:t>
          </w:r>
          <w:r>
            <w:tab/>
          </w:r>
          <w:r>
            <w:fldChar w:fldCharType="begin"/>
          </w:r>
          <w:r>
            <w:instrText xml:space="preserve"> PAGEREF _Toc1332 \h </w:instrText>
          </w:r>
          <w:r>
            <w:fldChar w:fldCharType="separate"/>
          </w:r>
          <w:r>
            <w:t>30</w:t>
          </w:r>
          <w:r>
            <w:fldChar w:fldCharType="end"/>
          </w:r>
          <w:r>
            <w:fldChar w:fldCharType="end"/>
          </w:r>
        </w:p>
        <w:p w14:paraId="1C864297">
          <w:pPr>
            <w:pStyle w:val="21"/>
            <w:tabs>
              <w:tab w:val="right" w:leader="dot" w:pos="8306"/>
            </w:tabs>
            <w:ind w:left="420"/>
          </w:pPr>
          <w:r>
            <w:fldChar w:fldCharType="begin"/>
          </w:r>
          <w:r>
            <w:instrText xml:space="preserve"> HYPERLINK \l "_Toc7461" </w:instrText>
          </w:r>
          <w:r>
            <w:fldChar w:fldCharType="separate"/>
          </w:r>
          <w:r>
            <w:rPr>
              <w:rFonts w:hint="eastAsia" w:ascii="仿宋" w:hAnsi="仿宋" w:eastAsia="仿宋"/>
            </w:rPr>
            <w:t>五、财政拨款支出决算明细表</w:t>
          </w:r>
          <w:r>
            <w:tab/>
          </w:r>
          <w:r>
            <w:fldChar w:fldCharType="begin"/>
          </w:r>
          <w:r>
            <w:instrText xml:space="preserve"> PAGEREF _Toc7461 \h </w:instrText>
          </w:r>
          <w:r>
            <w:fldChar w:fldCharType="separate"/>
          </w:r>
          <w:r>
            <w:t>30</w:t>
          </w:r>
          <w:r>
            <w:fldChar w:fldCharType="end"/>
          </w:r>
          <w:r>
            <w:fldChar w:fldCharType="end"/>
          </w:r>
        </w:p>
        <w:p w14:paraId="12EF11C3">
          <w:pPr>
            <w:pStyle w:val="21"/>
            <w:tabs>
              <w:tab w:val="right" w:leader="dot" w:pos="8306"/>
            </w:tabs>
            <w:ind w:left="420"/>
          </w:pPr>
          <w:r>
            <w:fldChar w:fldCharType="begin"/>
          </w:r>
          <w:r>
            <w:instrText xml:space="preserve"> HYPERLINK \l "_Toc26021" </w:instrText>
          </w:r>
          <w:r>
            <w:fldChar w:fldCharType="separate"/>
          </w:r>
          <w:r>
            <w:rPr>
              <w:rFonts w:hint="eastAsia" w:ascii="仿宋" w:hAnsi="仿宋" w:eastAsia="仿宋"/>
            </w:rPr>
            <w:t>六、一般公共预算财政拨款支出决算表</w:t>
          </w:r>
          <w:r>
            <w:tab/>
          </w:r>
          <w:r>
            <w:fldChar w:fldCharType="begin"/>
          </w:r>
          <w:r>
            <w:instrText xml:space="preserve"> PAGEREF _Toc26021 \h </w:instrText>
          </w:r>
          <w:r>
            <w:fldChar w:fldCharType="separate"/>
          </w:r>
          <w:r>
            <w:t>30</w:t>
          </w:r>
          <w:r>
            <w:fldChar w:fldCharType="end"/>
          </w:r>
          <w:r>
            <w:fldChar w:fldCharType="end"/>
          </w:r>
        </w:p>
        <w:p w14:paraId="0BBFE12B">
          <w:pPr>
            <w:pStyle w:val="21"/>
            <w:tabs>
              <w:tab w:val="right" w:leader="dot" w:pos="8306"/>
            </w:tabs>
            <w:ind w:left="420"/>
          </w:pPr>
          <w:r>
            <w:fldChar w:fldCharType="begin"/>
          </w:r>
          <w:r>
            <w:instrText xml:space="preserve"> HYPERLINK \l "_Toc29729" </w:instrText>
          </w:r>
          <w:r>
            <w:fldChar w:fldCharType="separate"/>
          </w:r>
          <w:r>
            <w:rPr>
              <w:rFonts w:hint="eastAsia" w:ascii="仿宋" w:hAnsi="仿宋" w:eastAsia="仿宋"/>
            </w:rPr>
            <w:t>七、一般公共预算财政拨款支出决算明细表</w:t>
          </w:r>
          <w:r>
            <w:tab/>
          </w:r>
          <w:r>
            <w:fldChar w:fldCharType="begin"/>
          </w:r>
          <w:r>
            <w:instrText xml:space="preserve"> PAGEREF _Toc29729 \h </w:instrText>
          </w:r>
          <w:r>
            <w:fldChar w:fldCharType="separate"/>
          </w:r>
          <w:r>
            <w:t>30</w:t>
          </w:r>
          <w:r>
            <w:fldChar w:fldCharType="end"/>
          </w:r>
          <w:r>
            <w:fldChar w:fldCharType="end"/>
          </w:r>
        </w:p>
        <w:p w14:paraId="1B1A2E96">
          <w:pPr>
            <w:pStyle w:val="21"/>
            <w:tabs>
              <w:tab w:val="right" w:leader="dot" w:pos="8306"/>
            </w:tabs>
            <w:ind w:left="420"/>
          </w:pPr>
          <w:r>
            <w:fldChar w:fldCharType="begin"/>
          </w:r>
          <w:r>
            <w:instrText xml:space="preserve"> HYPERLINK \l "_Toc1514" </w:instrText>
          </w:r>
          <w:r>
            <w:fldChar w:fldCharType="separate"/>
          </w:r>
          <w:r>
            <w:rPr>
              <w:rFonts w:hint="eastAsia" w:ascii="仿宋" w:hAnsi="仿宋" w:eastAsia="仿宋"/>
            </w:rPr>
            <w:t>八、一般公共预算财政拨款基本支出决算表</w:t>
          </w:r>
          <w:r>
            <w:tab/>
          </w:r>
          <w:r>
            <w:fldChar w:fldCharType="begin"/>
          </w:r>
          <w:r>
            <w:instrText xml:space="preserve"> PAGEREF _Toc1514 \h </w:instrText>
          </w:r>
          <w:r>
            <w:fldChar w:fldCharType="separate"/>
          </w:r>
          <w:r>
            <w:t>30</w:t>
          </w:r>
          <w:r>
            <w:fldChar w:fldCharType="end"/>
          </w:r>
          <w:r>
            <w:fldChar w:fldCharType="end"/>
          </w:r>
        </w:p>
        <w:p w14:paraId="358D3B1C">
          <w:pPr>
            <w:pStyle w:val="21"/>
            <w:tabs>
              <w:tab w:val="right" w:leader="dot" w:pos="8306"/>
            </w:tabs>
            <w:ind w:left="420"/>
          </w:pPr>
          <w:r>
            <w:fldChar w:fldCharType="begin"/>
          </w:r>
          <w:r>
            <w:instrText xml:space="preserve"> HYPERLINK \l "_Toc31046" </w:instrText>
          </w:r>
          <w:r>
            <w:fldChar w:fldCharType="separate"/>
          </w:r>
          <w:r>
            <w:rPr>
              <w:rFonts w:hint="eastAsia" w:ascii="仿宋" w:hAnsi="仿宋" w:eastAsia="仿宋"/>
            </w:rPr>
            <w:t>九、一般公共预算财政拨款项目支出决算表</w:t>
          </w:r>
          <w:r>
            <w:tab/>
          </w:r>
          <w:r>
            <w:fldChar w:fldCharType="begin"/>
          </w:r>
          <w:r>
            <w:instrText xml:space="preserve"> PAGEREF _Toc31046 \h </w:instrText>
          </w:r>
          <w:r>
            <w:fldChar w:fldCharType="separate"/>
          </w:r>
          <w:r>
            <w:t>30</w:t>
          </w:r>
          <w:r>
            <w:fldChar w:fldCharType="end"/>
          </w:r>
          <w:r>
            <w:fldChar w:fldCharType="end"/>
          </w:r>
        </w:p>
        <w:p w14:paraId="3830304B">
          <w:pPr>
            <w:pStyle w:val="21"/>
            <w:tabs>
              <w:tab w:val="right" w:leader="dot" w:pos="8306"/>
            </w:tabs>
            <w:ind w:left="420"/>
          </w:pPr>
          <w:r>
            <w:fldChar w:fldCharType="begin"/>
          </w:r>
          <w:r>
            <w:instrText xml:space="preserve"> HYPERLINK \l "_Toc17337" </w:instrText>
          </w:r>
          <w:r>
            <w:fldChar w:fldCharType="separate"/>
          </w:r>
          <w:r>
            <w:rPr>
              <w:rFonts w:hint="eastAsia" w:ascii="仿宋" w:hAnsi="仿宋" w:eastAsia="仿宋"/>
            </w:rPr>
            <w:t>十、一般公共预算财政拨款“三公”经费支出决算表</w:t>
          </w:r>
          <w:r>
            <w:tab/>
          </w:r>
          <w:r>
            <w:fldChar w:fldCharType="begin"/>
          </w:r>
          <w:r>
            <w:instrText xml:space="preserve"> PAGEREF _Toc17337 \h </w:instrText>
          </w:r>
          <w:r>
            <w:fldChar w:fldCharType="separate"/>
          </w:r>
          <w:r>
            <w:t>30</w:t>
          </w:r>
          <w:r>
            <w:fldChar w:fldCharType="end"/>
          </w:r>
          <w:r>
            <w:fldChar w:fldCharType="end"/>
          </w:r>
        </w:p>
        <w:p w14:paraId="101B6B7E">
          <w:pPr>
            <w:pStyle w:val="21"/>
            <w:tabs>
              <w:tab w:val="right" w:leader="dot" w:pos="8306"/>
            </w:tabs>
            <w:ind w:left="420"/>
          </w:pPr>
          <w:r>
            <w:fldChar w:fldCharType="begin"/>
          </w:r>
          <w:r>
            <w:instrText xml:space="preserve"> HYPERLINK \l "_Toc23225" </w:instrText>
          </w:r>
          <w:r>
            <w:fldChar w:fldCharType="separate"/>
          </w:r>
          <w:r>
            <w:rPr>
              <w:rFonts w:hint="eastAsia" w:ascii="仿宋" w:hAnsi="仿宋" w:eastAsia="仿宋"/>
            </w:rPr>
            <w:t>十一、政府性基金预算财政拨款收入支出决算表</w:t>
          </w:r>
          <w:r>
            <w:tab/>
          </w:r>
          <w:r>
            <w:fldChar w:fldCharType="begin"/>
          </w:r>
          <w:r>
            <w:instrText xml:space="preserve"> PAGEREF _Toc23225 \h </w:instrText>
          </w:r>
          <w:r>
            <w:fldChar w:fldCharType="separate"/>
          </w:r>
          <w:r>
            <w:t>30</w:t>
          </w:r>
          <w:r>
            <w:fldChar w:fldCharType="end"/>
          </w:r>
          <w:r>
            <w:fldChar w:fldCharType="end"/>
          </w:r>
        </w:p>
        <w:p w14:paraId="3DB04347">
          <w:pPr>
            <w:pStyle w:val="21"/>
            <w:tabs>
              <w:tab w:val="right" w:leader="dot" w:pos="8306"/>
            </w:tabs>
            <w:ind w:left="420"/>
          </w:pPr>
          <w:r>
            <w:fldChar w:fldCharType="begin"/>
          </w:r>
          <w:r>
            <w:instrText xml:space="preserve"> HYPERLINK \l "_Toc18145" </w:instrText>
          </w:r>
          <w:r>
            <w:fldChar w:fldCharType="separate"/>
          </w:r>
          <w:r>
            <w:rPr>
              <w:rFonts w:hint="eastAsia" w:ascii="仿宋" w:hAnsi="仿宋" w:eastAsia="仿宋"/>
            </w:rPr>
            <w:t>十二、政府性基金预算财政拨款“三公”经费支出决算表</w:t>
          </w:r>
          <w:r>
            <w:tab/>
          </w:r>
          <w:r>
            <w:fldChar w:fldCharType="begin"/>
          </w:r>
          <w:r>
            <w:instrText xml:space="preserve"> PAGEREF _Toc18145 \h </w:instrText>
          </w:r>
          <w:r>
            <w:fldChar w:fldCharType="separate"/>
          </w:r>
          <w:r>
            <w:t>30</w:t>
          </w:r>
          <w:r>
            <w:fldChar w:fldCharType="end"/>
          </w:r>
          <w:r>
            <w:fldChar w:fldCharType="end"/>
          </w:r>
        </w:p>
        <w:p w14:paraId="7B5181A8">
          <w:pPr>
            <w:pStyle w:val="21"/>
            <w:tabs>
              <w:tab w:val="right" w:leader="dot" w:pos="8306"/>
            </w:tabs>
            <w:ind w:left="420"/>
          </w:pPr>
          <w:r>
            <w:fldChar w:fldCharType="begin"/>
          </w:r>
          <w:r>
            <w:instrText xml:space="preserve"> HYPERLINK \l "_Toc29275" </w:instrText>
          </w:r>
          <w:r>
            <w:fldChar w:fldCharType="separate"/>
          </w:r>
          <w:r>
            <w:rPr>
              <w:rFonts w:hint="eastAsia" w:ascii="仿宋" w:hAnsi="仿宋" w:eastAsia="仿宋"/>
            </w:rPr>
            <w:t>十三、国有资本经营预算财政拨款支出决算表</w:t>
          </w:r>
          <w:r>
            <w:tab/>
          </w:r>
          <w:r>
            <w:fldChar w:fldCharType="begin"/>
          </w:r>
          <w:r>
            <w:instrText xml:space="preserve"> PAGEREF _Toc29275 \h </w:instrText>
          </w:r>
          <w:r>
            <w:fldChar w:fldCharType="separate"/>
          </w:r>
          <w:r>
            <w:t>30</w:t>
          </w:r>
          <w:r>
            <w:fldChar w:fldCharType="end"/>
          </w:r>
          <w:r>
            <w:fldChar w:fldCharType="end"/>
          </w:r>
        </w:p>
        <w:p w14:paraId="377529DB">
          <w:r>
            <w:rPr>
              <w:b/>
            </w:rPr>
            <w:fldChar w:fldCharType="end"/>
          </w:r>
        </w:p>
      </w:sdtContent>
    </w:sdt>
    <w:p w14:paraId="156DC8DD">
      <w:pPr>
        <w:widowControl/>
        <w:spacing w:line="440" w:lineRule="exact"/>
        <w:jc w:val="center"/>
        <w:outlineLvl w:val="0"/>
        <w:rPr>
          <w:rStyle w:val="16"/>
          <w:rFonts w:ascii="黑体" w:hAnsi="黑体" w:eastAsia="黑体"/>
          <w:b w:val="0"/>
          <w:bCs w:val="0"/>
        </w:rPr>
      </w:pPr>
      <w:r>
        <w:rPr>
          <w:rFonts w:ascii="仿宋" w:hAnsi="仿宋" w:eastAsia="仿宋"/>
          <w:sz w:val="24"/>
        </w:rPr>
        <w:br w:type="page"/>
      </w:r>
      <w:bookmarkStart w:id="19" w:name="_Toc7987"/>
      <w:bookmarkStart w:id="20" w:name="_Toc26835"/>
      <w:r>
        <w:rPr>
          <w:rStyle w:val="16"/>
          <w:rFonts w:hint="eastAsia" w:ascii="黑体" w:hAnsi="黑体" w:eastAsia="黑体"/>
          <w:b w:val="0"/>
          <w:bCs w:val="0"/>
        </w:rPr>
        <w:t>第一部分</w:t>
      </w:r>
      <w:r>
        <w:rPr>
          <w:rStyle w:val="16"/>
          <w:rFonts w:hint="eastAsia" w:cs="黑体"/>
          <w:b w:val="0"/>
          <w:bCs w:val="0"/>
        </w:rPr>
        <w:t xml:space="preserve"> </w:t>
      </w:r>
      <w:r>
        <w:rPr>
          <w:rStyle w:val="16"/>
          <w:rFonts w:hint="eastAsia" w:ascii="黑体" w:hAnsi="黑体" w:eastAsia="黑体"/>
          <w:b w:val="0"/>
          <w:bCs w:val="0"/>
        </w:rPr>
        <w:t>部门概况</w:t>
      </w:r>
      <w:bookmarkEnd w:id="17"/>
      <w:bookmarkEnd w:id="18"/>
      <w:bookmarkEnd w:id="19"/>
      <w:bookmarkEnd w:id="20"/>
    </w:p>
    <w:p w14:paraId="4BCD7181">
      <w:pPr>
        <w:widowControl/>
        <w:jc w:val="left"/>
        <w:rPr>
          <w:rFonts w:ascii="黑体" w:eastAsia="黑体"/>
          <w:color w:val="000000"/>
          <w:sz w:val="32"/>
          <w:szCs w:val="32"/>
        </w:rPr>
      </w:pPr>
    </w:p>
    <w:p w14:paraId="0530C994">
      <w:pPr>
        <w:pStyle w:val="4"/>
        <w:rPr>
          <w:rStyle w:val="17"/>
          <w:rFonts w:ascii="仿宋" w:hAnsi="仿宋" w:eastAsia="仿宋"/>
          <w:b w:val="0"/>
          <w:bCs w:val="0"/>
        </w:rPr>
      </w:pPr>
      <w:bookmarkStart w:id="21" w:name="_Toc15377197"/>
      <w:bookmarkStart w:id="22" w:name="_Toc15396600"/>
      <w:bookmarkStart w:id="23" w:name="_Toc5550"/>
      <w:r>
        <w:rPr>
          <w:rFonts w:hint="eastAsia" w:ascii="黑体" w:hAnsi="黑体" w:eastAsia="黑体"/>
          <w:b w:val="0"/>
          <w:bCs w:val="0"/>
          <w:color w:val="000000"/>
        </w:rPr>
        <w:t>一、基</w:t>
      </w:r>
      <w:r>
        <w:rPr>
          <w:rStyle w:val="17"/>
          <w:rFonts w:hint="eastAsia" w:ascii="黑体" w:hAnsi="黑体" w:eastAsia="黑体"/>
          <w:b w:val="0"/>
          <w:bCs w:val="0"/>
        </w:rPr>
        <w:t>本职能及主要工作</w:t>
      </w:r>
      <w:bookmarkEnd w:id="21"/>
      <w:bookmarkEnd w:id="22"/>
      <w:bookmarkEnd w:id="23"/>
    </w:p>
    <w:p w14:paraId="5CB96077">
      <w:pPr>
        <w:pStyle w:val="2"/>
        <w:adjustRightInd w:val="0"/>
        <w:snapToGrid w:val="0"/>
        <w:spacing w:before="93" w:line="600" w:lineRule="exact"/>
        <w:ind w:firstLine="672" w:firstLineChars="210"/>
        <w:outlineLvl w:val="2"/>
        <w:rPr>
          <w:rFonts w:ascii="仿宋" w:hAnsi="仿宋" w:eastAsia="仿宋"/>
          <w:color w:val="000000"/>
          <w:sz w:val="32"/>
          <w:szCs w:val="32"/>
        </w:rPr>
      </w:pPr>
      <w:bookmarkStart w:id="24" w:name="_Toc15377199"/>
      <w:bookmarkStart w:id="25" w:name="_Toc15378446"/>
      <w:r>
        <w:rPr>
          <w:rFonts w:hint="eastAsia" w:ascii="仿宋" w:hAnsi="仿宋" w:eastAsia="仿宋"/>
          <w:color w:val="000000"/>
          <w:sz w:val="32"/>
          <w:szCs w:val="32"/>
        </w:rPr>
        <w:t>（一）主要职能</w:t>
      </w:r>
    </w:p>
    <w:p w14:paraId="3337D63E">
      <w:pPr>
        <w:spacing w:line="600" w:lineRule="exact"/>
        <w:ind w:firstLine="640" w:firstLineChars="200"/>
        <w:rPr>
          <w:rFonts w:ascii="仿宋_GB2312" w:eastAsia="仿宋_GB2312"/>
          <w:color w:val="000000"/>
          <w:sz w:val="32"/>
          <w:szCs w:val="32"/>
        </w:rPr>
      </w:pPr>
      <w:r>
        <w:rPr>
          <w:rFonts w:hint="eastAsia" w:eastAsia="仿宋_GB2312"/>
          <w:color w:val="000000"/>
          <w:sz w:val="32"/>
          <w:szCs w:val="32"/>
        </w:rPr>
        <w:t>1.</w:t>
      </w:r>
      <w:r>
        <w:rPr>
          <w:rFonts w:hint="eastAsia" w:ascii="仿宋_GB2312" w:eastAsia="仿宋_GB2312"/>
          <w:color w:val="000000"/>
          <w:sz w:val="32"/>
          <w:szCs w:val="32"/>
        </w:rPr>
        <w:t>深入贯彻执行党的路线方针政策和决策部署，统一政法单位思想和行动，坚持党对政法工作的绝对领导，坚决维护党中央权威和集中统一领导。</w:t>
      </w:r>
    </w:p>
    <w:p w14:paraId="2FC6C617">
      <w:pPr>
        <w:spacing w:line="600" w:lineRule="exact"/>
        <w:ind w:firstLine="640" w:firstLineChars="200"/>
        <w:rPr>
          <w:rFonts w:eastAsia="仿宋_GB2312"/>
          <w:color w:val="000000"/>
          <w:sz w:val="32"/>
          <w:szCs w:val="32"/>
        </w:rPr>
      </w:pPr>
      <w:r>
        <w:rPr>
          <w:rFonts w:hint="eastAsia" w:eastAsia="仿宋_GB2312"/>
          <w:color w:val="000000"/>
          <w:sz w:val="32"/>
          <w:szCs w:val="32"/>
        </w:rPr>
        <w:t>2.</w:t>
      </w:r>
      <w:r>
        <w:rPr>
          <w:rFonts w:eastAsia="仿宋_GB2312"/>
          <w:color w:val="000000"/>
          <w:sz w:val="32"/>
          <w:szCs w:val="32"/>
        </w:rPr>
        <w:t>深入贯彻党中央、省委、市委和区委决定，对政法工作研究提出全局性部署，推进平安昭化、法治昭化建设，加强过硬队伍建设，深化智能化建设，坚决维护国家政治安全、确保社会大局稳定、促进社会公平正义、保障人民安居乐业、护航经济社会发展。完善和落实政治督察、执法监督、纪律作风督查等工作制度机制。</w:t>
      </w:r>
    </w:p>
    <w:p w14:paraId="04F579A2">
      <w:pPr>
        <w:spacing w:line="600" w:lineRule="exact"/>
        <w:ind w:firstLine="640" w:firstLineChars="200"/>
        <w:rPr>
          <w:rFonts w:eastAsia="仿宋_GB2312"/>
          <w:color w:val="000000"/>
          <w:sz w:val="32"/>
          <w:szCs w:val="32"/>
        </w:rPr>
      </w:pPr>
      <w:r>
        <w:rPr>
          <w:rFonts w:hint="eastAsia" w:eastAsia="仿宋_GB2312"/>
          <w:color w:val="000000"/>
          <w:sz w:val="32"/>
          <w:szCs w:val="32"/>
        </w:rPr>
        <w:t>3.</w:t>
      </w:r>
      <w:r>
        <w:rPr>
          <w:rFonts w:eastAsia="仿宋_GB2312"/>
          <w:color w:val="000000"/>
          <w:sz w:val="32"/>
          <w:szCs w:val="32"/>
        </w:rPr>
        <w:t>了解掌握和分析研判全区政治安全、反邪教形势动态，协调和指导政法单位、相关部门和乡镇（街道）做好政治安全、反邪教工作。</w:t>
      </w:r>
    </w:p>
    <w:p w14:paraId="6B21919A">
      <w:pPr>
        <w:spacing w:line="600" w:lineRule="exact"/>
        <w:ind w:firstLine="640" w:firstLineChars="200"/>
        <w:rPr>
          <w:rFonts w:eastAsia="仿宋_GB2312"/>
          <w:color w:val="000000"/>
          <w:sz w:val="32"/>
          <w:szCs w:val="32"/>
        </w:rPr>
      </w:pPr>
      <w:r>
        <w:rPr>
          <w:rFonts w:hint="eastAsia" w:eastAsia="仿宋_GB2312"/>
          <w:color w:val="000000"/>
          <w:sz w:val="32"/>
          <w:szCs w:val="32"/>
        </w:rPr>
        <w:t>4.</w:t>
      </w:r>
      <w:r>
        <w:rPr>
          <w:rFonts w:eastAsia="仿宋_GB2312"/>
          <w:color w:val="000000"/>
          <w:sz w:val="32"/>
          <w:szCs w:val="32"/>
        </w:rPr>
        <w:t>了解掌握和分析研判全区社会稳定形势，协调指导政法单位、相关部门和乡镇（街道）开展社会稳定风险评估，协调推动预防、化解影响稳定</w:t>
      </w:r>
      <w:r>
        <w:rPr>
          <w:rFonts w:hint="eastAsia" w:eastAsia="仿宋_GB2312"/>
          <w:color w:val="000000"/>
          <w:sz w:val="32"/>
          <w:szCs w:val="32"/>
        </w:rPr>
        <w:t>的</w:t>
      </w:r>
      <w:r>
        <w:rPr>
          <w:rFonts w:eastAsia="仿宋_GB2312"/>
          <w:color w:val="000000"/>
          <w:sz w:val="32"/>
          <w:szCs w:val="32"/>
        </w:rPr>
        <w:t>各类风险，协调应对和完善处置重大突发事件。</w:t>
      </w:r>
    </w:p>
    <w:p w14:paraId="0A4308E4">
      <w:pPr>
        <w:spacing w:line="600" w:lineRule="exact"/>
        <w:ind w:firstLine="640" w:firstLineChars="200"/>
        <w:rPr>
          <w:rFonts w:eastAsia="仿宋_GB2312"/>
          <w:color w:val="000000"/>
          <w:sz w:val="32"/>
          <w:szCs w:val="32"/>
        </w:rPr>
      </w:pPr>
      <w:r>
        <w:rPr>
          <w:rFonts w:hint="eastAsia" w:eastAsia="仿宋_GB2312"/>
          <w:color w:val="000000"/>
          <w:sz w:val="32"/>
          <w:szCs w:val="32"/>
        </w:rPr>
        <w:t>5.</w:t>
      </w:r>
      <w:r>
        <w:rPr>
          <w:rFonts w:eastAsia="仿宋_GB2312"/>
          <w:color w:val="000000"/>
          <w:sz w:val="32"/>
          <w:szCs w:val="32"/>
        </w:rPr>
        <w:t>了解掌握和分析研判全区社会治安形势、社会治理情况动态，创新完善多部门参与平安建设工作机制，推动开展基层平安创建、基层社会治理和网格化服务管理工作，统筹指导区、乡镇（街道）、村（社区）三级综治中心建设；构建矛盾纠纷多元化解体系和机制，指导推动预防、化解各类社会矛盾；负责见义勇为宣传、表彰、奖励等工作；负责指导辖区内铁路护路联防工作。</w:t>
      </w:r>
    </w:p>
    <w:p w14:paraId="7B7199D2">
      <w:pPr>
        <w:spacing w:line="600" w:lineRule="exact"/>
        <w:ind w:firstLine="640" w:firstLineChars="200"/>
        <w:rPr>
          <w:rFonts w:ascii="仿宋_GB2312" w:eastAsia="仿宋_GB2312"/>
          <w:color w:val="000000"/>
          <w:sz w:val="32"/>
          <w:szCs w:val="32"/>
        </w:rPr>
      </w:pPr>
      <w:r>
        <w:rPr>
          <w:rFonts w:hint="eastAsia" w:eastAsia="仿宋_GB2312"/>
          <w:color w:val="000000"/>
          <w:sz w:val="32"/>
          <w:szCs w:val="32"/>
        </w:rPr>
        <w:t>6.</w:t>
      </w:r>
      <w:r>
        <w:rPr>
          <w:rFonts w:hint="eastAsia" w:ascii="仿宋_GB2312" w:eastAsia="仿宋_GB2312"/>
          <w:color w:val="000000"/>
          <w:sz w:val="32"/>
          <w:szCs w:val="32"/>
        </w:rPr>
        <w:t>加强对政法工作的督查，统筹协调全区维护政治安全、社会治安综合治理、维护社会稳定、反邪教有关法律法规政策的实施工作。</w:t>
      </w:r>
    </w:p>
    <w:p w14:paraId="7B59355C">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7.支持和监督政法单位依法行使职权，检查政法单位执行党的路线方针政策、重大决策部署等情况，指导和协调政法单位密切配合，研究和协调重大、疑难案件，完善与纪检监察机关工作衔接和协作配合机制，推进严格执法、公正司法。</w:t>
      </w:r>
    </w:p>
    <w:p w14:paraId="7DEAE57A">
      <w:pPr>
        <w:spacing w:line="600" w:lineRule="exact"/>
        <w:ind w:firstLine="640" w:firstLineChars="200"/>
        <w:rPr>
          <w:rFonts w:eastAsia="仿宋_GB2312"/>
          <w:color w:val="000000"/>
          <w:sz w:val="32"/>
          <w:szCs w:val="32"/>
        </w:rPr>
      </w:pPr>
      <w:r>
        <w:rPr>
          <w:rFonts w:hint="eastAsia" w:eastAsia="仿宋_GB2312"/>
          <w:color w:val="000000"/>
          <w:sz w:val="32"/>
          <w:szCs w:val="32"/>
        </w:rPr>
        <w:t>8.</w:t>
      </w:r>
      <w:r>
        <w:rPr>
          <w:rFonts w:eastAsia="仿宋_GB2312"/>
          <w:color w:val="000000"/>
          <w:sz w:val="32"/>
          <w:szCs w:val="32"/>
        </w:rPr>
        <w:t>掌握分析政法舆情动态，指导协调政法单位媒体网络宣传工作，指导政法单位做好涉及政法工作的重大宣传和舆论引导工作，指导政法单位网络安全和智能化建设工作，统筹政法宣传和舆情引导工作。</w:t>
      </w:r>
    </w:p>
    <w:p w14:paraId="724AF195">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9.组织开展政法领域调查研究，研究拟定全区政法工作的政策措施，及时向区委提出建议；组织研究政法改革中带有方向性、倾向性和普遍性的重大问题，深化政法改革。</w:t>
      </w:r>
    </w:p>
    <w:p w14:paraId="22DBF36D">
      <w:pPr>
        <w:spacing w:line="600" w:lineRule="exact"/>
        <w:ind w:firstLine="640" w:firstLineChars="200"/>
        <w:rPr>
          <w:rFonts w:eastAsia="仿宋_GB2312"/>
          <w:color w:val="000000"/>
          <w:sz w:val="32"/>
          <w:szCs w:val="32"/>
        </w:rPr>
      </w:pPr>
      <w:r>
        <w:rPr>
          <w:rFonts w:hint="eastAsia" w:eastAsia="仿宋_GB2312"/>
          <w:color w:val="000000"/>
          <w:sz w:val="32"/>
          <w:szCs w:val="32"/>
        </w:rPr>
        <w:t>10.</w:t>
      </w:r>
      <w:r>
        <w:rPr>
          <w:rFonts w:eastAsia="仿宋_GB2312"/>
          <w:color w:val="000000"/>
          <w:sz w:val="32"/>
          <w:szCs w:val="32"/>
        </w:rPr>
        <w:t>指导推动政法</w:t>
      </w:r>
      <w:r>
        <w:rPr>
          <w:rFonts w:hint="eastAsia" w:eastAsia="仿宋_GB2312"/>
          <w:color w:val="000000"/>
          <w:sz w:val="32"/>
          <w:szCs w:val="32"/>
        </w:rPr>
        <w:t>系统</w:t>
      </w:r>
      <w:r>
        <w:rPr>
          <w:rFonts w:eastAsia="仿宋_GB2312"/>
          <w:color w:val="000000"/>
          <w:sz w:val="32"/>
          <w:szCs w:val="32"/>
        </w:rPr>
        <w:t>党的建设和政法队伍建设，协助</w:t>
      </w:r>
      <w:r>
        <w:rPr>
          <w:rFonts w:hint="eastAsia" w:eastAsia="仿宋_GB2312"/>
          <w:color w:val="000000"/>
          <w:sz w:val="32"/>
          <w:szCs w:val="32"/>
        </w:rPr>
        <w:t>区级</w:t>
      </w:r>
      <w:r>
        <w:rPr>
          <w:rFonts w:eastAsia="仿宋_GB2312"/>
          <w:color w:val="000000"/>
          <w:sz w:val="32"/>
          <w:szCs w:val="32"/>
        </w:rPr>
        <w:t>有关职能部门</w:t>
      </w:r>
      <w:r>
        <w:rPr>
          <w:rFonts w:hint="eastAsia" w:eastAsia="仿宋_GB2312"/>
          <w:color w:val="000000"/>
          <w:sz w:val="32"/>
          <w:szCs w:val="32"/>
        </w:rPr>
        <w:t>管理监督政法领导干部，</w:t>
      </w:r>
      <w:r>
        <w:rPr>
          <w:rFonts w:eastAsia="仿宋_GB2312"/>
          <w:color w:val="000000"/>
          <w:sz w:val="32"/>
          <w:szCs w:val="32"/>
        </w:rPr>
        <w:t>代管广元市昭化区法学会。</w:t>
      </w:r>
    </w:p>
    <w:p w14:paraId="170AD5F1">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11.完成区委交办的其他任务。</w:t>
      </w:r>
    </w:p>
    <w:p w14:paraId="42C5E22C">
      <w:pPr>
        <w:pStyle w:val="2"/>
        <w:adjustRightInd w:val="0"/>
        <w:snapToGrid w:val="0"/>
        <w:spacing w:before="93" w:line="600" w:lineRule="exact"/>
        <w:ind w:firstLine="672" w:firstLineChars="210"/>
        <w:outlineLvl w:val="2"/>
        <w:rPr>
          <w:rFonts w:ascii="仿宋" w:hAnsi="仿宋" w:eastAsia="仿宋"/>
          <w:color w:val="000000"/>
          <w:sz w:val="32"/>
          <w:szCs w:val="32"/>
        </w:rPr>
      </w:pPr>
      <w:r>
        <w:rPr>
          <w:rFonts w:hint="eastAsia" w:ascii="仿宋" w:hAnsi="仿宋" w:eastAsia="仿宋"/>
          <w:color w:val="000000"/>
          <w:sz w:val="32"/>
          <w:szCs w:val="32"/>
        </w:rPr>
        <w:t>（二）</w:t>
      </w:r>
      <w:r>
        <w:rPr>
          <w:rFonts w:ascii="仿宋" w:hAnsi="仿宋" w:eastAsia="仿宋"/>
          <w:color w:val="000000"/>
          <w:sz w:val="32"/>
          <w:szCs w:val="32"/>
        </w:rPr>
        <w:t>2020</w:t>
      </w:r>
      <w:r>
        <w:rPr>
          <w:rFonts w:hint="eastAsia" w:ascii="仿宋" w:hAnsi="仿宋" w:eastAsia="仿宋"/>
          <w:color w:val="000000"/>
          <w:sz w:val="32"/>
          <w:szCs w:val="32"/>
        </w:rPr>
        <w:t>年重点工作完成情况。</w:t>
      </w:r>
      <w:bookmarkEnd w:id="24"/>
      <w:bookmarkEnd w:id="25"/>
    </w:p>
    <w:p w14:paraId="0A9CB98C">
      <w:pPr>
        <w:snapToGrid w:val="0"/>
        <w:spacing w:line="520" w:lineRule="exact"/>
        <w:ind w:firstLine="640" w:firstLineChars="200"/>
        <w:rPr>
          <w:rFonts w:hAnsi="仿宋_GB2312" w:eastAsia="仿宋_GB2312"/>
          <w:sz w:val="32"/>
          <w:szCs w:val="32"/>
        </w:rPr>
      </w:pPr>
      <w:r>
        <w:rPr>
          <w:rFonts w:hint="eastAsia" w:hAnsi="仿宋_GB2312" w:eastAsia="仿宋_GB2312"/>
          <w:sz w:val="32"/>
          <w:szCs w:val="32"/>
        </w:rPr>
        <w:t>狠抓</w:t>
      </w:r>
      <w:r>
        <w:rPr>
          <w:rFonts w:hAnsi="仿宋_GB2312" w:eastAsia="仿宋_GB2312"/>
          <w:sz w:val="32"/>
          <w:szCs w:val="32"/>
        </w:rPr>
        <w:t>《条例》《实施细则》</w:t>
      </w:r>
      <w:r>
        <w:rPr>
          <w:rFonts w:hint="eastAsia" w:hAnsi="仿宋_GB2312" w:eastAsia="仿宋_GB2312"/>
          <w:sz w:val="32"/>
          <w:szCs w:val="32"/>
        </w:rPr>
        <w:t>贯彻落实，强化党委领导政法工作的力度，12个镇全面配齐“两所一委员”，主要负责同志任免听取镇党委意见。创新实施派出所所长挂职驻地镇党委委员，配合政法委员工作。</w:t>
      </w:r>
      <w:r>
        <w:rPr>
          <w:rFonts w:hAnsi="仿宋_GB2312" w:eastAsia="仿宋_GB2312"/>
          <w:sz w:val="32"/>
          <w:szCs w:val="32"/>
        </w:rPr>
        <w:t>强化政法队伍教育管理，规范制度执行，政法队伍战斗力明显增强。开展理论学习</w:t>
      </w:r>
      <w:r>
        <w:rPr>
          <w:rFonts w:eastAsia="仿宋_GB2312"/>
          <w:sz w:val="32"/>
          <w:szCs w:val="32"/>
        </w:rPr>
        <w:t>20</w:t>
      </w:r>
      <w:r>
        <w:rPr>
          <w:rFonts w:hAnsi="仿宋_GB2312" w:eastAsia="仿宋_GB2312"/>
          <w:sz w:val="32"/>
          <w:szCs w:val="32"/>
        </w:rPr>
        <w:t>余场次，专题课堂</w:t>
      </w:r>
      <w:r>
        <w:rPr>
          <w:rFonts w:eastAsia="仿宋_GB2312"/>
          <w:sz w:val="32"/>
          <w:szCs w:val="32"/>
        </w:rPr>
        <w:t>12</w:t>
      </w:r>
      <w:r>
        <w:rPr>
          <w:rFonts w:hAnsi="仿宋_GB2312" w:eastAsia="仿宋_GB2312"/>
          <w:sz w:val="32"/>
          <w:szCs w:val="32"/>
        </w:rPr>
        <w:t>场次，对政法单位</w:t>
      </w:r>
      <w:r>
        <w:rPr>
          <w:rFonts w:eastAsia="仿宋_GB2312"/>
          <w:sz w:val="32"/>
          <w:szCs w:val="32"/>
        </w:rPr>
        <w:t>300</w:t>
      </w:r>
      <w:r>
        <w:rPr>
          <w:rFonts w:hAnsi="仿宋_GB2312" w:eastAsia="仿宋_GB2312"/>
          <w:sz w:val="32"/>
          <w:szCs w:val="32"/>
        </w:rPr>
        <w:t>余名政法干警进行了轮训。</w:t>
      </w:r>
      <w:r>
        <w:rPr>
          <w:rFonts w:hint="eastAsia" w:hAnsi="仿宋_GB2312" w:eastAsia="仿宋_GB2312"/>
          <w:sz w:val="32"/>
          <w:szCs w:val="32"/>
        </w:rPr>
        <w:t>新冠肺炎疫情一级响应期间，政法各单位</w:t>
      </w:r>
      <w:r>
        <w:rPr>
          <w:rFonts w:hAnsi="仿宋_GB2312" w:eastAsia="仿宋_GB2312"/>
          <w:sz w:val="32"/>
          <w:szCs w:val="32"/>
        </w:rPr>
        <w:t>组建疫情防控党员突击队，</w:t>
      </w:r>
      <w:r>
        <w:rPr>
          <w:rFonts w:hint="eastAsia" w:hAnsi="仿宋_GB2312" w:eastAsia="仿宋_GB2312"/>
          <w:sz w:val="32"/>
          <w:szCs w:val="32"/>
        </w:rPr>
        <w:t>点面结合，全天候做好</w:t>
      </w:r>
      <w:r>
        <w:rPr>
          <w:rFonts w:hAnsi="仿宋_GB2312" w:eastAsia="仿宋_GB2312"/>
          <w:sz w:val="32"/>
          <w:szCs w:val="32"/>
        </w:rPr>
        <w:t>疫情防控及</w:t>
      </w:r>
      <w:r>
        <w:rPr>
          <w:rFonts w:hint="eastAsia" w:hAnsi="仿宋_GB2312" w:eastAsia="仿宋_GB2312"/>
          <w:sz w:val="32"/>
          <w:szCs w:val="32"/>
        </w:rPr>
        <w:t>值守备勤</w:t>
      </w:r>
      <w:r>
        <w:rPr>
          <w:rFonts w:hAnsi="仿宋_GB2312" w:eastAsia="仿宋_GB2312"/>
          <w:sz w:val="32"/>
          <w:szCs w:val="32"/>
        </w:rPr>
        <w:t>工作</w:t>
      </w:r>
      <w:r>
        <w:rPr>
          <w:rFonts w:hint="eastAsia" w:hAnsi="仿宋_GB2312" w:eastAsia="仿宋_GB2312"/>
          <w:sz w:val="32"/>
          <w:szCs w:val="32"/>
        </w:rPr>
        <w:t>，全力守护</w:t>
      </w:r>
      <w:r>
        <w:rPr>
          <w:rFonts w:hAnsi="仿宋_GB2312" w:eastAsia="仿宋_GB2312"/>
          <w:sz w:val="32"/>
          <w:szCs w:val="32"/>
        </w:rPr>
        <w:t>群众生命财产安全</w:t>
      </w:r>
      <w:r>
        <w:rPr>
          <w:rFonts w:hint="eastAsia" w:hAnsi="仿宋_GB2312" w:eastAsia="仿宋_GB2312"/>
          <w:sz w:val="32"/>
          <w:szCs w:val="32"/>
        </w:rPr>
        <w:t>。严格落实两高两部一委</w:t>
      </w:r>
      <w:r>
        <w:rPr>
          <w:rFonts w:hAnsi="仿宋_GB2312" w:eastAsia="仿宋_GB2312"/>
          <w:sz w:val="32"/>
          <w:szCs w:val="32"/>
        </w:rPr>
        <w:t>《关于政法机关依法保障疫情防控期间复工复产的意见》</w:t>
      </w:r>
      <w:r>
        <w:rPr>
          <w:rFonts w:hint="eastAsia" w:hAnsi="仿宋_GB2312" w:eastAsia="仿宋_GB2312"/>
          <w:sz w:val="32"/>
          <w:szCs w:val="32"/>
        </w:rPr>
        <w:t>精神，有序深入企业、农村指导生产，开展脱贫攻坚帮扶工作，助力经济社会发展。</w:t>
      </w:r>
      <w:r>
        <w:rPr>
          <w:rFonts w:hAnsi="仿宋_GB2312" w:eastAsia="仿宋_GB2312"/>
          <w:sz w:val="32"/>
          <w:szCs w:val="32"/>
        </w:rPr>
        <w:t>召开政法系统党建暨党风廉政建设专题会议，</w:t>
      </w:r>
      <w:r>
        <w:rPr>
          <w:rFonts w:hint="eastAsia" w:hAnsi="仿宋_GB2312" w:eastAsia="仿宋_GB2312"/>
          <w:sz w:val="32"/>
          <w:szCs w:val="32"/>
        </w:rPr>
        <w:t>以案促改。</w:t>
      </w:r>
      <w:r>
        <w:rPr>
          <w:rFonts w:hAnsi="仿宋_GB2312" w:eastAsia="仿宋_GB2312"/>
          <w:sz w:val="32"/>
          <w:szCs w:val="32"/>
        </w:rPr>
        <w:t>扎实开展政法单位巡视反馈问题整改落实和政治生态系统治理督导</w:t>
      </w:r>
      <w:r>
        <w:rPr>
          <w:rFonts w:eastAsia="仿宋_GB2312"/>
          <w:sz w:val="32"/>
          <w:szCs w:val="32"/>
        </w:rPr>
        <w:t>。累计在</w:t>
      </w:r>
      <w:r>
        <w:rPr>
          <w:rFonts w:hAnsi="华文仿宋" w:eastAsia="华文仿宋"/>
          <w:sz w:val="32"/>
          <w:szCs w:val="32"/>
        </w:rPr>
        <w:t>昭化长安网更新信息</w:t>
      </w:r>
      <w:r>
        <w:rPr>
          <w:rFonts w:eastAsia="华文仿宋"/>
          <w:sz w:val="32"/>
          <w:szCs w:val="32"/>
        </w:rPr>
        <w:t>1100</w:t>
      </w:r>
      <w:r>
        <w:rPr>
          <w:rFonts w:hAnsi="华文仿宋" w:eastAsia="华文仿宋"/>
          <w:sz w:val="32"/>
          <w:szCs w:val="32"/>
        </w:rPr>
        <w:t>余条次，</w:t>
      </w:r>
      <w:r>
        <w:rPr>
          <w:rFonts w:eastAsia="仿宋_GB2312"/>
          <w:sz w:val="32"/>
          <w:szCs w:val="32"/>
        </w:rPr>
        <w:t>开通并运营昭化政法微信公众号，目前发稿近70条。</w:t>
      </w:r>
      <w:r>
        <w:rPr>
          <w:rFonts w:hAnsi="华文仿宋" w:eastAsia="华文仿宋"/>
          <w:sz w:val="32"/>
          <w:szCs w:val="32"/>
        </w:rPr>
        <w:t>以抗击疫情为主题，在省</w:t>
      </w:r>
      <w:r>
        <w:rPr>
          <w:rFonts w:hint="eastAsia" w:hAnsi="华文仿宋" w:eastAsia="华文仿宋"/>
          <w:sz w:val="32"/>
          <w:szCs w:val="32"/>
        </w:rPr>
        <w:t>、</w:t>
      </w:r>
      <w:r>
        <w:rPr>
          <w:rFonts w:hAnsi="华文仿宋" w:eastAsia="华文仿宋"/>
          <w:sz w:val="32"/>
          <w:szCs w:val="32"/>
        </w:rPr>
        <w:t>市、区</w:t>
      </w:r>
      <w:r>
        <w:rPr>
          <w:rFonts w:hint="eastAsia" w:hAnsi="华文仿宋" w:eastAsia="华文仿宋"/>
          <w:sz w:val="32"/>
          <w:szCs w:val="32"/>
        </w:rPr>
        <w:t>发</w:t>
      </w:r>
      <w:r>
        <w:rPr>
          <w:rFonts w:hAnsi="华文仿宋" w:eastAsia="华文仿宋"/>
          <w:sz w:val="32"/>
          <w:szCs w:val="32"/>
        </w:rPr>
        <w:t>稿</w:t>
      </w:r>
      <w:r>
        <w:rPr>
          <w:rFonts w:eastAsia="华文仿宋"/>
          <w:sz w:val="32"/>
          <w:szCs w:val="32"/>
        </w:rPr>
        <w:t>20</w:t>
      </w:r>
      <w:r>
        <w:rPr>
          <w:rFonts w:hAnsi="华文仿宋" w:eastAsia="华文仿宋"/>
          <w:sz w:val="32"/>
          <w:szCs w:val="32"/>
        </w:rPr>
        <w:t>余条次。</w:t>
      </w:r>
      <w:r>
        <w:rPr>
          <w:rFonts w:hint="eastAsia" w:ascii="仿宋_GB2312" w:hAnsi="仿宋_GB2312" w:eastAsia="仿宋_GB2312" w:cs="仿宋_GB2312"/>
          <w:sz w:val="32"/>
          <w:szCs w:val="32"/>
        </w:rPr>
        <w:t>拍摄MV《丝缕》，获平安中国看四川原创MV类二等奖。</w:t>
      </w:r>
      <w:r>
        <w:rPr>
          <w:rFonts w:hAnsi="仿宋_GB2312" w:eastAsia="仿宋_GB2312"/>
          <w:sz w:val="32"/>
          <w:szCs w:val="32"/>
        </w:rPr>
        <w:t>扎实做好</w:t>
      </w:r>
      <w:r>
        <w:rPr>
          <w:rFonts w:hint="eastAsia" w:hAnsi="仿宋_GB2312" w:eastAsia="仿宋_GB2312"/>
          <w:sz w:val="32"/>
          <w:szCs w:val="32"/>
        </w:rPr>
        <w:t>“</w:t>
      </w:r>
      <w:r>
        <w:rPr>
          <w:rFonts w:eastAsia="仿宋_GB2312"/>
          <w:sz w:val="32"/>
          <w:szCs w:val="32"/>
        </w:rPr>
        <w:t>4.15</w:t>
      </w:r>
      <w:r>
        <w:rPr>
          <w:rFonts w:hint="eastAsia" w:eastAsia="仿宋_GB2312"/>
          <w:sz w:val="32"/>
          <w:szCs w:val="32"/>
        </w:rPr>
        <w:t>”“</w:t>
      </w:r>
      <w:r>
        <w:rPr>
          <w:rFonts w:eastAsia="仿宋_GB2312"/>
          <w:sz w:val="32"/>
          <w:szCs w:val="32"/>
        </w:rPr>
        <w:t>11.1</w:t>
      </w:r>
      <w:r>
        <w:rPr>
          <w:rFonts w:hint="eastAsia" w:eastAsia="仿宋_GB2312"/>
          <w:sz w:val="32"/>
          <w:szCs w:val="32"/>
        </w:rPr>
        <w:t>”</w:t>
      </w:r>
      <w:r>
        <w:rPr>
          <w:rFonts w:hAnsi="仿宋_GB2312" w:eastAsia="仿宋_GB2312"/>
          <w:sz w:val="32"/>
          <w:szCs w:val="32"/>
        </w:rPr>
        <w:t>等重要节点国家安全知识宣传</w:t>
      </w:r>
      <w:r>
        <w:rPr>
          <w:rFonts w:hint="eastAsia" w:ascii="仿宋_GB2312" w:hAnsi="黑体" w:eastAsia="仿宋_GB2312"/>
          <w:sz w:val="32"/>
          <w:szCs w:val="32"/>
        </w:rPr>
        <w:t>。</w:t>
      </w:r>
      <w:r>
        <w:rPr>
          <w:rFonts w:hint="eastAsia" w:hAnsi="仿宋_GB2312" w:eastAsia="仿宋_GB2312"/>
          <w:sz w:val="32"/>
          <w:szCs w:val="32"/>
        </w:rPr>
        <w:t>今年以来，查处涉邪案件11件，打击处理17人，对19名已转化人员办理了解脱。</w:t>
      </w:r>
      <w:r>
        <w:rPr>
          <w:rFonts w:hAnsi="仿宋_GB2312" w:eastAsia="仿宋_GB2312"/>
          <w:sz w:val="32"/>
          <w:szCs w:val="32"/>
        </w:rPr>
        <w:t>累计滚动排查</w:t>
      </w:r>
      <w:r>
        <w:rPr>
          <w:rFonts w:hint="eastAsia" w:hAnsi="仿宋_GB2312" w:eastAsia="仿宋_GB2312"/>
          <w:sz w:val="32"/>
          <w:szCs w:val="32"/>
        </w:rPr>
        <w:t>、化解、</w:t>
      </w:r>
      <w:r>
        <w:rPr>
          <w:rFonts w:hAnsi="仿宋_GB2312" w:eastAsia="仿宋_GB2312"/>
          <w:sz w:val="32"/>
          <w:szCs w:val="32"/>
        </w:rPr>
        <w:t>处置各类不稳定因素300余件，指导开展</w:t>
      </w:r>
      <w:r>
        <w:rPr>
          <w:rFonts w:hint="eastAsia" w:hAnsi="仿宋_GB2312" w:eastAsia="仿宋_GB2312"/>
          <w:sz w:val="32"/>
          <w:szCs w:val="32"/>
        </w:rPr>
        <w:t>重大政策、重大改革、重大项目、重大活动</w:t>
      </w:r>
      <w:r>
        <w:rPr>
          <w:rFonts w:hAnsi="仿宋_GB2312" w:eastAsia="仿宋_GB2312"/>
          <w:sz w:val="32"/>
          <w:szCs w:val="32"/>
        </w:rPr>
        <w:t>社会稳定风险评估192件。圆满完成重大活动</w:t>
      </w:r>
      <w:r>
        <w:rPr>
          <w:rFonts w:hint="eastAsia" w:hAnsi="仿宋_GB2312" w:eastAsia="仿宋_GB2312"/>
          <w:sz w:val="32"/>
          <w:szCs w:val="32"/>
        </w:rPr>
        <w:t>安全保卫任务</w:t>
      </w:r>
      <w:r>
        <w:rPr>
          <w:rFonts w:eastAsia="仿宋_GB2312"/>
          <w:sz w:val="32"/>
          <w:szCs w:val="32"/>
        </w:rPr>
        <w:t>30</w:t>
      </w:r>
      <w:r>
        <w:rPr>
          <w:rFonts w:hAnsi="仿宋_GB2312" w:eastAsia="仿宋_GB2312"/>
          <w:sz w:val="32"/>
          <w:szCs w:val="32"/>
        </w:rPr>
        <w:t>余次，实现了</w:t>
      </w:r>
      <w:r>
        <w:rPr>
          <w:rFonts w:eastAsia="仿宋_GB2312"/>
          <w:sz w:val="32"/>
          <w:szCs w:val="32"/>
        </w:rPr>
        <w:t>“</w:t>
      </w:r>
      <w:r>
        <w:rPr>
          <w:rFonts w:hAnsi="仿宋_GB2312" w:eastAsia="仿宋_GB2312"/>
          <w:sz w:val="32"/>
          <w:szCs w:val="32"/>
        </w:rPr>
        <w:t>六个不发生</w:t>
      </w:r>
      <w:r>
        <w:rPr>
          <w:rFonts w:eastAsia="仿宋_GB2312"/>
          <w:sz w:val="32"/>
          <w:szCs w:val="32"/>
        </w:rPr>
        <w:t>”</w:t>
      </w:r>
      <w:r>
        <w:rPr>
          <w:rFonts w:hAnsi="仿宋_GB2312" w:eastAsia="仿宋_GB2312"/>
          <w:sz w:val="32"/>
          <w:szCs w:val="32"/>
        </w:rPr>
        <w:t>硬目标</w:t>
      </w:r>
      <w:r>
        <w:rPr>
          <w:rFonts w:hint="eastAsia" w:hAnsi="仿宋_GB2312" w:eastAsia="仿宋_GB2312"/>
          <w:sz w:val="32"/>
          <w:szCs w:val="32"/>
        </w:rPr>
        <w:t>。</w:t>
      </w:r>
      <w:r>
        <w:rPr>
          <w:rFonts w:hAnsi="仿宋_GB2312" w:eastAsia="仿宋_GB2312"/>
          <w:sz w:val="32"/>
          <w:szCs w:val="32"/>
        </w:rPr>
        <w:t>协同相关部门及时稳妥处置突出信访问题和重大不稳定事件</w:t>
      </w:r>
      <w:r>
        <w:rPr>
          <w:rFonts w:eastAsia="仿宋_GB2312"/>
          <w:sz w:val="32"/>
          <w:szCs w:val="32"/>
        </w:rPr>
        <w:t>100</w:t>
      </w:r>
      <w:r>
        <w:rPr>
          <w:rFonts w:hAnsi="仿宋_GB2312" w:eastAsia="仿宋_GB2312"/>
          <w:sz w:val="32"/>
          <w:szCs w:val="32"/>
        </w:rPr>
        <w:t>余件。</w:t>
      </w:r>
      <w:r>
        <w:rPr>
          <w:rFonts w:eastAsia="仿宋_GB2312"/>
          <w:sz w:val="32"/>
          <w:szCs w:val="32"/>
        </w:rPr>
        <w:t>全面整治行业领域乱点乱象424件。</w:t>
      </w:r>
      <w:r>
        <w:rPr>
          <w:rFonts w:hint="eastAsia" w:hAnsi="仿宋_GB2312" w:eastAsia="仿宋_GB2312"/>
          <w:sz w:val="32"/>
          <w:szCs w:val="32"/>
        </w:rPr>
        <w:t>全年</w:t>
      </w:r>
      <w:r>
        <w:rPr>
          <w:rFonts w:hAnsi="仿宋_GB2312" w:eastAsia="仿宋_GB2312"/>
          <w:sz w:val="32"/>
          <w:szCs w:val="32"/>
        </w:rPr>
        <w:t>排查矛盾纠纷</w:t>
      </w:r>
      <w:r>
        <w:rPr>
          <w:rFonts w:eastAsia="仿宋_GB2312"/>
          <w:sz w:val="32"/>
          <w:szCs w:val="32"/>
        </w:rPr>
        <w:t>3747</w:t>
      </w:r>
      <w:r>
        <w:rPr>
          <w:rFonts w:hAnsi="仿宋_GB2312" w:eastAsia="仿宋_GB2312"/>
          <w:sz w:val="32"/>
          <w:szCs w:val="32"/>
        </w:rPr>
        <w:t>件、调解</w:t>
      </w:r>
      <w:r>
        <w:rPr>
          <w:rFonts w:eastAsia="仿宋_GB2312"/>
          <w:sz w:val="32"/>
          <w:szCs w:val="32"/>
        </w:rPr>
        <w:t>3697</w:t>
      </w:r>
      <w:r>
        <w:rPr>
          <w:rFonts w:hAnsi="仿宋_GB2312" w:eastAsia="仿宋_GB2312"/>
          <w:sz w:val="32"/>
          <w:szCs w:val="32"/>
        </w:rPr>
        <w:t>件，连续</w:t>
      </w:r>
      <w:r>
        <w:rPr>
          <w:rFonts w:eastAsia="仿宋_GB2312"/>
          <w:sz w:val="32"/>
          <w:szCs w:val="32"/>
        </w:rPr>
        <w:t>11</w:t>
      </w:r>
      <w:r>
        <w:rPr>
          <w:rFonts w:hAnsi="仿宋_GB2312" w:eastAsia="仿宋_GB2312"/>
          <w:sz w:val="32"/>
          <w:szCs w:val="32"/>
        </w:rPr>
        <w:t>年无</w:t>
      </w:r>
      <w:r>
        <w:rPr>
          <w:rFonts w:eastAsia="仿宋_GB2312"/>
          <w:sz w:val="32"/>
          <w:szCs w:val="32"/>
        </w:rPr>
        <w:t>“</w:t>
      </w:r>
      <w:r>
        <w:rPr>
          <w:rFonts w:hAnsi="仿宋_GB2312" w:eastAsia="仿宋_GB2312"/>
          <w:sz w:val="32"/>
          <w:szCs w:val="32"/>
        </w:rPr>
        <w:t>民转刑</w:t>
      </w:r>
      <w:r>
        <w:rPr>
          <w:rFonts w:eastAsia="仿宋_GB2312"/>
          <w:sz w:val="32"/>
          <w:szCs w:val="32"/>
        </w:rPr>
        <w:t>”</w:t>
      </w:r>
      <w:r>
        <w:rPr>
          <w:rFonts w:hAnsi="仿宋_GB2312" w:eastAsia="仿宋_GB2312"/>
          <w:sz w:val="32"/>
          <w:szCs w:val="32"/>
        </w:rPr>
        <w:t>命案发生。</w:t>
      </w:r>
      <w:r>
        <w:rPr>
          <w:rFonts w:ascii="仿宋_GB2312" w:hAnsi="方正小标宋简体" w:eastAsia="仿宋_GB2312" w:cs="方正小标宋简体"/>
          <w:sz w:val="32"/>
          <w:szCs w:val="32"/>
        </w:rPr>
        <w:t>全</w:t>
      </w:r>
      <w:r>
        <w:rPr>
          <w:rFonts w:hint="eastAsia" w:ascii="仿宋_GB2312" w:hAnsi="方正小标宋简体" w:eastAsia="仿宋_GB2312" w:cs="方正小标宋简体"/>
          <w:sz w:val="32"/>
          <w:szCs w:val="32"/>
        </w:rPr>
        <w:t>覆盖</w:t>
      </w:r>
      <w:r>
        <w:rPr>
          <w:rFonts w:ascii="仿宋_GB2312" w:hAnsi="方正小标宋简体" w:eastAsia="仿宋_GB2312" w:cs="方正小标宋简体"/>
          <w:sz w:val="32"/>
          <w:szCs w:val="32"/>
        </w:rPr>
        <w:t>完成综治信息化平台和</w:t>
      </w:r>
      <w:r>
        <w:rPr>
          <w:rFonts w:hint="eastAsia" w:ascii="仿宋_GB2312" w:hAnsi="方正小标宋简体" w:eastAsia="仿宋_GB2312" w:cs="方正小标宋简体"/>
          <w:sz w:val="32"/>
          <w:szCs w:val="32"/>
        </w:rPr>
        <w:t>“雪亮工程”</w:t>
      </w:r>
      <w:r>
        <w:rPr>
          <w:rFonts w:ascii="仿宋_GB2312" w:hAnsi="方正小标宋简体" w:eastAsia="仿宋_GB2312" w:cs="方正小标宋简体"/>
          <w:sz w:val="32"/>
          <w:szCs w:val="32"/>
        </w:rPr>
        <w:t>规范化</w:t>
      </w:r>
      <w:r>
        <w:rPr>
          <w:rFonts w:hint="eastAsia" w:ascii="仿宋_GB2312" w:hAnsi="方正小标宋简体" w:eastAsia="仿宋_GB2312" w:cs="方正小标宋简体"/>
          <w:sz w:val="32"/>
          <w:szCs w:val="32"/>
        </w:rPr>
        <w:t>建设。</w:t>
      </w:r>
      <w:r>
        <w:rPr>
          <w:rFonts w:hAnsi="仿宋_GB2312" w:eastAsia="仿宋_GB2312"/>
          <w:sz w:val="32"/>
          <w:szCs w:val="32"/>
        </w:rPr>
        <w:t>全面落实三级及以上易肇事肇祸精神病患者住院治疗和监护人</w:t>
      </w:r>
      <w:r>
        <w:rPr>
          <w:rFonts w:eastAsia="仿宋_GB2312"/>
          <w:sz w:val="32"/>
          <w:szCs w:val="32"/>
        </w:rPr>
        <w:t>“</w:t>
      </w:r>
      <w:r>
        <w:rPr>
          <w:rFonts w:hAnsi="仿宋_GB2312" w:eastAsia="仿宋_GB2312"/>
          <w:sz w:val="32"/>
          <w:szCs w:val="32"/>
        </w:rPr>
        <w:t>以奖代补</w:t>
      </w:r>
      <w:r>
        <w:rPr>
          <w:rFonts w:eastAsia="仿宋_GB2312"/>
          <w:sz w:val="32"/>
          <w:szCs w:val="32"/>
        </w:rPr>
        <w:t>”</w:t>
      </w:r>
      <w:r>
        <w:rPr>
          <w:rFonts w:hAnsi="仿宋_GB2312" w:eastAsia="仿宋_GB2312"/>
          <w:sz w:val="32"/>
          <w:szCs w:val="32"/>
        </w:rPr>
        <w:t>政策</w:t>
      </w:r>
      <w:r>
        <w:rPr>
          <w:rFonts w:hint="eastAsia" w:eastAsia="仿宋_GB2312"/>
          <w:sz w:val="32"/>
          <w:szCs w:val="32"/>
        </w:rPr>
        <w:t>。授予</w:t>
      </w:r>
      <w:r>
        <w:rPr>
          <w:rFonts w:eastAsia="仿宋_GB2312"/>
          <w:sz w:val="32"/>
          <w:szCs w:val="32"/>
        </w:rPr>
        <w:t>吴天成等8</w:t>
      </w:r>
      <w:r>
        <w:rPr>
          <w:rFonts w:hint="eastAsia" w:eastAsia="仿宋_GB2312"/>
          <w:sz w:val="32"/>
          <w:szCs w:val="32"/>
        </w:rPr>
        <w:t>人区</w:t>
      </w:r>
      <w:r>
        <w:rPr>
          <w:rFonts w:eastAsia="仿宋_GB2312"/>
          <w:sz w:val="32"/>
          <w:szCs w:val="32"/>
        </w:rPr>
        <w:t>“见义勇为公民”荣誉称号</w:t>
      </w:r>
      <w:r>
        <w:rPr>
          <w:rFonts w:hAnsi="仿宋_GB2312" w:eastAsia="仿宋_GB2312"/>
          <w:sz w:val="32"/>
          <w:szCs w:val="32"/>
        </w:rPr>
        <w:t>。持续开展铁路沿线环境综合治理专项行动，</w:t>
      </w:r>
      <w:r>
        <w:rPr>
          <w:rFonts w:hint="eastAsia" w:hAnsi="仿宋_GB2312" w:eastAsia="仿宋_GB2312"/>
          <w:sz w:val="32"/>
          <w:szCs w:val="32"/>
        </w:rPr>
        <w:t>连续14年</w:t>
      </w:r>
      <w:r>
        <w:rPr>
          <w:rFonts w:hAnsi="仿宋_GB2312" w:eastAsia="仿宋_GB2312"/>
          <w:sz w:val="32"/>
          <w:szCs w:val="32"/>
        </w:rPr>
        <w:t>铁路安全</w:t>
      </w:r>
      <w:r>
        <w:rPr>
          <w:rFonts w:eastAsia="仿宋_GB2312"/>
          <w:sz w:val="32"/>
          <w:szCs w:val="32"/>
        </w:rPr>
        <w:t>“</w:t>
      </w:r>
      <w:r>
        <w:rPr>
          <w:rFonts w:hAnsi="仿宋_GB2312" w:eastAsia="仿宋_GB2312"/>
          <w:sz w:val="32"/>
          <w:szCs w:val="32"/>
        </w:rPr>
        <w:t>零</w:t>
      </w:r>
      <w:r>
        <w:rPr>
          <w:rFonts w:eastAsia="仿宋_GB2312"/>
          <w:sz w:val="32"/>
          <w:szCs w:val="32"/>
        </w:rPr>
        <w:t>”</w:t>
      </w:r>
      <w:r>
        <w:rPr>
          <w:rFonts w:hAnsi="仿宋_GB2312" w:eastAsia="仿宋_GB2312"/>
          <w:sz w:val="32"/>
          <w:szCs w:val="32"/>
        </w:rPr>
        <w:t>事故。</w:t>
      </w:r>
      <w:r>
        <w:rPr>
          <w:rFonts w:hint="eastAsia" w:eastAsia="仿宋_GB2312"/>
          <w:sz w:val="32"/>
          <w:szCs w:val="32"/>
        </w:rPr>
        <w:t>建强</w:t>
      </w:r>
      <w:r>
        <w:rPr>
          <w:rFonts w:eastAsia="仿宋_GB2312"/>
          <w:sz w:val="32"/>
          <w:szCs w:val="32"/>
        </w:rPr>
        <w:t>镇综治中心12个、村（社区）综治中心150个</w:t>
      </w:r>
      <w:r>
        <w:rPr>
          <w:rFonts w:hint="eastAsia" w:eastAsia="仿宋_GB2312"/>
          <w:sz w:val="32"/>
          <w:szCs w:val="32"/>
        </w:rPr>
        <w:t>，</w:t>
      </w:r>
      <w:r>
        <w:rPr>
          <w:rFonts w:hAnsi="仿宋_GB2312" w:eastAsia="仿宋_GB2312"/>
          <w:sz w:val="32"/>
          <w:szCs w:val="32"/>
        </w:rPr>
        <w:t>规范</w:t>
      </w:r>
      <w:r>
        <w:rPr>
          <w:rFonts w:eastAsia="仿宋_GB2312"/>
          <w:sz w:val="32"/>
          <w:szCs w:val="32"/>
        </w:rPr>
        <w:t>“</w:t>
      </w:r>
      <w:r>
        <w:rPr>
          <w:rFonts w:hAnsi="仿宋_GB2312" w:eastAsia="仿宋_GB2312"/>
          <w:sz w:val="32"/>
          <w:szCs w:val="32"/>
        </w:rPr>
        <w:t>六联</w:t>
      </w:r>
      <w:r>
        <w:rPr>
          <w:rFonts w:eastAsia="仿宋_GB2312"/>
          <w:sz w:val="32"/>
          <w:szCs w:val="32"/>
        </w:rPr>
        <w:t>”</w:t>
      </w:r>
      <w:r>
        <w:rPr>
          <w:rFonts w:hAnsi="仿宋_GB2312" w:eastAsia="仿宋_GB2312"/>
          <w:sz w:val="32"/>
          <w:szCs w:val="32"/>
        </w:rPr>
        <w:t>机制运行</w:t>
      </w:r>
      <w:r>
        <w:rPr>
          <w:rFonts w:hint="eastAsia" w:hAnsi="仿宋_GB2312" w:eastAsia="仿宋_GB2312"/>
          <w:sz w:val="32"/>
          <w:szCs w:val="32"/>
        </w:rPr>
        <w:t>。</w:t>
      </w:r>
      <w:r>
        <w:rPr>
          <w:rFonts w:hint="eastAsia" w:eastAsia="仿宋_GB2312"/>
          <w:sz w:val="32"/>
          <w:szCs w:val="32"/>
        </w:rPr>
        <w:t>调整优化村（社区）网格，配齐</w:t>
      </w:r>
      <w:r>
        <w:rPr>
          <w:rFonts w:eastAsia="仿宋_GB2312"/>
          <w:sz w:val="32"/>
          <w:szCs w:val="32"/>
        </w:rPr>
        <w:t>专兼职网格员181名</w:t>
      </w:r>
      <w:r>
        <w:rPr>
          <w:rFonts w:hint="eastAsia" w:eastAsia="仿宋_GB2312"/>
          <w:sz w:val="32"/>
          <w:szCs w:val="32"/>
        </w:rPr>
        <w:t>，</w:t>
      </w:r>
      <w:r>
        <w:rPr>
          <w:rFonts w:hAnsi="仿宋_GB2312" w:eastAsia="仿宋_GB2312"/>
          <w:sz w:val="32"/>
          <w:szCs w:val="32"/>
        </w:rPr>
        <w:t>累计报送</w:t>
      </w:r>
      <w:r>
        <w:rPr>
          <w:rFonts w:hint="eastAsia" w:hAnsi="仿宋_GB2312" w:eastAsia="仿宋_GB2312"/>
          <w:sz w:val="32"/>
          <w:szCs w:val="32"/>
        </w:rPr>
        <w:t>办结</w:t>
      </w:r>
      <w:r>
        <w:rPr>
          <w:rFonts w:hAnsi="仿宋_GB2312" w:eastAsia="仿宋_GB2312"/>
          <w:sz w:val="32"/>
          <w:szCs w:val="32"/>
        </w:rPr>
        <w:t>事件</w:t>
      </w:r>
      <w:r>
        <w:rPr>
          <w:rFonts w:eastAsia="仿宋_GB2312"/>
          <w:sz w:val="32"/>
          <w:szCs w:val="32"/>
        </w:rPr>
        <w:t>22299</w:t>
      </w:r>
      <w:r>
        <w:rPr>
          <w:rFonts w:hAnsi="仿宋_GB2312" w:eastAsia="仿宋_GB2312"/>
          <w:sz w:val="32"/>
          <w:szCs w:val="32"/>
        </w:rPr>
        <w:t>件。</w:t>
      </w:r>
      <w:r>
        <w:rPr>
          <w:rFonts w:hint="eastAsia" w:eastAsia="仿宋_GB2312"/>
          <w:sz w:val="32"/>
          <w:szCs w:val="32"/>
        </w:rPr>
        <w:t>将13名</w:t>
      </w:r>
      <w:r>
        <w:rPr>
          <w:rFonts w:hAnsi="仿宋_GB2312" w:eastAsia="仿宋_GB2312"/>
          <w:sz w:val="32"/>
          <w:szCs w:val="32"/>
        </w:rPr>
        <w:t>铁路护路联防队员纳入村（社区）干部队伍专职化管理。常规评查案件</w:t>
      </w:r>
      <w:r>
        <w:rPr>
          <w:rFonts w:eastAsia="仿宋_GB2312"/>
          <w:sz w:val="32"/>
          <w:szCs w:val="32"/>
        </w:rPr>
        <w:t>1000</w:t>
      </w:r>
      <w:r>
        <w:rPr>
          <w:rFonts w:hAnsi="仿宋_GB2312" w:eastAsia="仿宋_GB2312"/>
          <w:sz w:val="32"/>
          <w:szCs w:val="32"/>
        </w:rPr>
        <w:t>余件</w:t>
      </w:r>
      <w:r>
        <w:rPr>
          <w:rFonts w:hint="eastAsia" w:hAnsi="仿宋_GB2312" w:eastAsia="仿宋_GB2312"/>
          <w:sz w:val="32"/>
          <w:szCs w:val="32"/>
        </w:rPr>
        <w:t>，</w:t>
      </w:r>
      <w:r>
        <w:rPr>
          <w:rFonts w:hAnsi="仿宋_GB2312" w:eastAsia="仿宋_GB2312"/>
          <w:sz w:val="32"/>
          <w:szCs w:val="32"/>
        </w:rPr>
        <w:t>组织政法部门开展执法自查</w:t>
      </w:r>
      <w:r>
        <w:rPr>
          <w:rFonts w:eastAsia="仿宋_GB2312"/>
          <w:sz w:val="32"/>
          <w:szCs w:val="32"/>
        </w:rPr>
        <w:t>14</w:t>
      </w:r>
      <w:r>
        <w:rPr>
          <w:rFonts w:hAnsi="仿宋_GB2312" w:eastAsia="仿宋_GB2312"/>
          <w:sz w:val="32"/>
          <w:szCs w:val="32"/>
        </w:rPr>
        <w:t>次，规范整治了执法中的突出问题</w:t>
      </w:r>
      <w:r>
        <w:rPr>
          <w:rFonts w:eastAsia="仿宋_GB2312"/>
          <w:sz w:val="32"/>
          <w:szCs w:val="32"/>
        </w:rPr>
        <w:t>36</w:t>
      </w:r>
      <w:r>
        <w:rPr>
          <w:rFonts w:hAnsi="仿宋_GB2312" w:eastAsia="仿宋_GB2312"/>
          <w:sz w:val="32"/>
          <w:szCs w:val="32"/>
        </w:rPr>
        <w:t>个。</w:t>
      </w:r>
      <w:r>
        <w:rPr>
          <w:rFonts w:hint="eastAsia" w:hAnsi="仿宋_GB2312" w:eastAsia="仿宋_GB2312"/>
          <w:sz w:val="32"/>
          <w:szCs w:val="32"/>
        </w:rPr>
        <w:t>制定《政法领域全面深化改革实施方案》，稳步推进45项改革措施。</w:t>
      </w:r>
      <w:r>
        <w:rPr>
          <w:rFonts w:eastAsia="仿宋_GB2312"/>
          <w:sz w:val="32"/>
          <w:szCs w:val="32"/>
        </w:rPr>
        <w:t>邀请西南财经大学教授作《民法典》专题辅导。</w:t>
      </w:r>
      <w:r>
        <w:rPr>
          <w:rFonts w:hint="eastAsia" w:hAnsi="仿宋_GB2312" w:eastAsia="仿宋_GB2312"/>
          <w:sz w:val="32"/>
          <w:szCs w:val="32"/>
        </w:rPr>
        <w:t>全力实施</w:t>
      </w:r>
      <w:r>
        <w:rPr>
          <w:rFonts w:hAnsi="仿宋_GB2312" w:eastAsia="仿宋_GB2312"/>
          <w:sz w:val="32"/>
          <w:szCs w:val="32"/>
        </w:rPr>
        <w:t>国家司法救助</w:t>
      </w:r>
      <w:r>
        <w:rPr>
          <w:rFonts w:eastAsia="仿宋_GB2312"/>
          <w:sz w:val="32"/>
          <w:szCs w:val="32"/>
        </w:rPr>
        <w:t>27</w:t>
      </w:r>
      <w:r>
        <w:rPr>
          <w:rFonts w:hAnsi="仿宋_GB2312" w:eastAsia="仿宋_GB2312"/>
          <w:sz w:val="32"/>
          <w:szCs w:val="32"/>
        </w:rPr>
        <w:t>件</w:t>
      </w:r>
      <w:r>
        <w:rPr>
          <w:rFonts w:eastAsia="仿宋_GB2312"/>
          <w:sz w:val="32"/>
          <w:szCs w:val="32"/>
        </w:rPr>
        <w:t xml:space="preserve"> 37</w:t>
      </w:r>
      <w:r>
        <w:rPr>
          <w:rFonts w:hAnsi="仿宋_GB2312" w:eastAsia="仿宋_GB2312"/>
          <w:sz w:val="32"/>
          <w:szCs w:val="32"/>
        </w:rPr>
        <w:t>人</w:t>
      </w:r>
      <w:r>
        <w:rPr>
          <w:rFonts w:hint="eastAsia" w:hAnsi="仿宋_GB2312" w:eastAsia="仿宋_GB2312"/>
          <w:sz w:val="32"/>
          <w:szCs w:val="32"/>
        </w:rPr>
        <w:t>，发放救助金</w:t>
      </w:r>
      <w:r>
        <w:rPr>
          <w:rFonts w:eastAsia="仿宋_GB2312"/>
          <w:sz w:val="32"/>
          <w:szCs w:val="32"/>
        </w:rPr>
        <w:t>51.6471</w:t>
      </w:r>
      <w:r>
        <w:rPr>
          <w:rFonts w:hAnsi="仿宋_GB2312" w:eastAsia="仿宋_GB2312"/>
          <w:sz w:val="32"/>
          <w:szCs w:val="32"/>
        </w:rPr>
        <w:t>万</w:t>
      </w:r>
      <w:r>
        <w:rPr>
          <w:rFonts w:hint="eastAsia" w:hAnsi="仿宋_GB2312" w:eastAsia="仿宋_GB2312"/>
          <w:sz w:val="32"/>
          <w:szCs w:val="32"/>
        </w:rPr>
        <w:t>元</w:t>
      </w:r>
      <w:r>
        <w:rPr>
          <w:rFonts w:hAnsi="仿宋_GB2312" w:eastAsia="仿宋_GB2312"/>
          <w:sz w:val="32"/>
          <w:szCs w:val="32"/>
        </w:rPr>
        <w:t>。</w:t>
      </w:r>
    </w:p>
    <w:p w14:paraId="6775092A">
      <w:pPr>
        <w:pStyle w:val="4"/>
        <w:numPr>
          <w:ilvl w:val="0"/>
          <w:numId w:val="1"/>
        </w:numPr>
        <w:rPr>
          <w:rStyle w:val="17"/>
          <w:rFonts w:ascii="黑体" w:hAnsi="黑体" w:eastAsia="黑体"/>
          <w:b w:val="0"/>
          <w:bCs w:val="0"/>
        </w:rPr>
      </w:pPr>
      <w:bookmarkStart w:id="26" w:name="_Toc30762"/>
      <w:bookmarkStart w:id="27" w:name="_Toc15396601"/>
      <w:bookmarkStart w:id="28" w:name="_Toc15377200"/>
      <w:r>
        <w:rPr>
          <w:rFonts w:hint="eastAsia" w:ascii="黑体" w:hAnsi="黑体" w:eastAsia="黑体"/>
          <w:b w:val="0"/>
          <w:bCs w:val="0"/>
          <w:color w:val="000000"/>
        </w:rPr>
        <w:t>机</w:t>
      </w:r>
      <w:r>
        <w:rPr>
          <w:rStyle w:val="17"/>
          <w:rFonts w:hint="eastAsia" w:ascii="黑体" w:hAnsi="黑体" w:eastAsia="黑体"/>
          <w:b w:val="0"/>
          <w:bCs w:val="0"/>
        </w:rPr>
        <w:t>构设置</w:t>
      </w:r>
      <w:bookmarkEnd w:id="26"/>
      <w:bookmarkEnd w:id="27"/>
      <w:bookmarkEnd w:id="28"/>
    </w:p>
    <w:p w14:paraId="2193EB48">
      <w:pPr>
        <w:spacing w:line="48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区委政法委下属二级单位3个，其中行政单位0个，参照公务员法管理的事业单位0个，其他事业单位3个。</w:t>
      </w:r>
    </w:p>
    <w:p w14:paraId="3FEFB83B">
      <w:pPr>
        <w:pStyle w:val="2"/>
        <w:adjustRightInd w:val="0"/>
        <w:snapToGrid w:val="0"/>
        <w:spacing w:before="93" w:line="480" w:lineRule="exact"/>
        <w:ind w:firstLine="640" w:firstLineChars="200"/>
        <w:rPr>
          <w:rFonts w:hAnsi="仿宋_GB2312" w:cs="仿宋_GB2312"/>
          <w:color w:val="000000"/>
          <w:sz w:val="32"/>
          <w:szCs w:val="32"/>
        </w:rPr>
      </w:pPr>
      <w:r>
        <w:rPr>
          <w:rFonts w:hint="eastAsia" w:hAnsi="仿宋_GB2312" w:cs="仿宋_GB2312"/>
          <w:color w:val="000000"/>
          <w:sz w:val="32"/>
          <w:szCs w:val="32"/>
        </w:rPr>
        <w:t>纳入区委政法委2019年度部门决算编制范围的二级预算单位0个。</w:t>
      </w:r>
    </w:p>
    <w:p w14:paraId="149FF997">
      <w:pPr>
        <w:widowControl/>
        <w:jc w:val="left"/>
        <w:rPr>
          <w:rFonts w:ascii="仿宋" w:hAnsi="仿宋" w:eastAsia="仿宋"/>
          <w:color w:val="000000"/>
          <w:kern w:val="0"/>
          <w:sz w:val="32"/>
          <w:szCs w:val="32"/>
        </w:rPr>
      </w:pPr>
    </w:p>
    <w:p w14:paraId="22F7CEEC"/>
    <w:p w14:paraId="24F74748">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0A066A56">
      <w:pPr>
        <w:pStyle w:val="3"/>
        <w:ind w:right="440"/>
        <w:jc w:val="right"/>
        <w:rPr>
          <w:rStyle w:val="16"/>
          <w:rFonts w:ascii="黑体" w:hAnsi="黑体" w:eastAsia="黑体"/>
          <w:b w:val="0"/>
          <w:bCs w:val="0"/>
        </w:rPr>
      </w:pPr>
      <w:bookmarkStart w:id="29" w:name="_Toc21824"/>
      <w:bookmarkStart w:id="30" w:name="_Toc26416"/>
      <w:bookmarkStart w:id="31" w:name="_Toc15396602"/>
      <w:bookmarkStart w:id="32" w:name="_Toc15377204"/>
      <w:r>
        <w:rPr>
          <w:rFonts w:hint="eastAsia" w:ascii="黑体" w:hAnsi="黑体" w:eastAsia="黑体"/>
          <w:b w:val="0"/>
          <w:bCs w:val="0"/>
          <w:color w:val="000000"/>
        </w:rPr>
        <w:t>第二部分</w:t>
      </w:r>
      <w:r>
        <w:rPr>
          <w:rFonts w:ascii="黑体" w:hAnsi="黑体" w:eastAsia="黑体"/>
          <w:b w:val="0"/>
          <w:bCs w:val="0"/>
          <w:color w:val="000000"/>
        </w:rPr>
        <w:t xml:space="preserve"> </w:t>
      </w:r>
      <w:r>
        <w:rPr>
          <w:rStyle w:val="16"/>
          <w:rFonts w:ascii="黑体" w:hAnsi="黑体" w:eastAsia="黑体"/>
          <w:b w:val="0"/>
          <w:bCs w:val="0"/>
        </w:rPr>
        <w:t>2020</w:t>
      </w:r>
      <w:r>
        <w:rPr>
          <w:rStyle w:val="16"/>
          <w:rFonts w:hint="eastAsia" w:ascii="黑体" w:hAnsi="黑体" w:eastAsia="黑体"/>
          <w:b w:val="0"/>
          <w:bCs w:val="0"/>
        </w:rPr>
        <w:t>年度部门决算情况说明</w:t>
      </w:r>
      <w:bookmarkEnd w:id="29"/>
      <w:bookmarkEnd w:id="30"/>
      <w:bookmarkEnd w:id="31"/>
      <w:bookmarkEnd w:id="32"/>
    </w:p>
    <w:p w14:paraId="25C99F2C"/>
    <w:p w14:paraId="0FF11B95">
      <w:pPr>
        <w:pStyle w:val="18"/>
        <w:numPr>
          <w:ilvl w:val="0"/>
          <w:numId w:val="2"/>
        </w:numPr>
        <w:spacing w:line="600" w:lineRule="exact"/>
        <w:ind w:firstLineChars="0"/>
        <w:outlineLvl w:val="1"/>
        <w:rPr>
          <w:rStyle w:val="17"/>
          <w:rFonts w:ascii="黑体" w:hAnsi="黑体" w:eastAsia="黑体"/>
          <w:b w:val="0"/>
          <w:bCs w:val="0"/>
        </w:rPr>
      </w:pPr>
      <w:bookmarkStart w:id="33" w:name="_Toc15396603"/>
      <w:bookmarkStart w:id="34" w:name="_Toc15377205"/>
      <w:bookmarkStart w:id="35" w:name="_Toc12619"/>
      <w:r>
        <w:rPr>
          <w:rFonts w:hint="eastAsia" w:ascii="黑体" w:hAnsi="黑体" w:eastAsia="黑体"/>
          <w:color w:val="000000"/>
          <w:sz w:val="32"/>
          <w:szCs w:val="32"/>
        </w:rPr>
        <w:t>收</w:t>
      </w:r>
      <w:r>
        <w:rPr>
          <w:rStyle w:val="17"/>
          <w:rFonts w:hint="eastAsia" w:ascii="黑体" w:hAnsi="黑体" w:eastAsia="黑体"/>
          <w:b w:val="0"/>
          <w:bCs w:val="0"/>
        </w:rPr>
        <w:t>入支出决算总体情况说明</w:t>
      </w:r>
      <w:bookmarkEnd w:id="33"/>
      <w:bookmarkEnd w:id="34"/>
      <w:bookmarkEnd w:id="35"/>
    </w:p>
    <w:p w14:paraId="6C4B9778">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2020年区委政法委年收、支总计732.63万元，其中：一般公共预算财政拨款收入732.63万元，占100%。与2019年相比，收、支总计各增加301.32万，增长69.7%。主要变动原因是增加</w:t>
      </w:r>
      <w:r>
        <w:rPr>
          <w:rFonts w:ascii="仿宋_GB2312" w:eastAsia="仿宋_GB2312"/>
          <w:color w:val="000000"/>
          <w:sz w:val="32"/>
          <w:szCs w:val="32"/>
        </w:rPr>
        <w:t>了</w:t>
      </w:r>
      <w:r>
        <w:rPr>
          <w:rFonts w:hint="eastAsia" w:ascii="仿宋_GB2312" w:eastAsia="仿宋_GB2312"/>
          <w:color w:val="000000"/>
          <w:sz w:val="32"/>
          <w:szCs w:val="32"/>
        </w:rPr>
        <w:t>网格化服务管理费用</w:t>
      </w:r>
      <w:r>
        <w:rPr>
          <w:rFonts w:ascii="仿宋_GB2312" w:eastAsia="仿宋_GB2312"/>
          <w:color w:val="000000"/>
          <w:sz w:val="32"/>
          <w:szCs w:val="32"/>
        </w:rPr>
        <w:t>，同时</w:t>
      </w:r>
      <w:r>
        <w:rPr>
          <w:rFonts w:hint="eastAsia" w:ascii="仿宋_GB2312" w:eastAsia="仿宋_GB2312"/>
          <w:color w:val="000000"/>
          <w:sz w:val="32"/>
          <w:szCs w:val="32"/>
        </w:rPr>
        <w:t>人员增加</w:t>
      </w:r>
      <w:r>
        <w:rPr>
          <w:rFonts w:ascii="仿宋_GB2312" w:eastAsia="仿宋_GB2312"/>
          <w:color w:val="000000"/>
          <w:sz w:val="32"/>
          <w:szCs w:val="32"/>
        </w:rPr>
        <w:t>导致</w:t>
      </w:r>
      <w:r>
        <w:rPr>
          <w:rFonts w:hint="eastAsia" w:ascii="仿宋_GB2312" w:eastAsia="仿宋_GB2312"/>
          <w:color w:val="000000"/>
          <w:sz w:val="32"/>
          <w:szCs w:val="32"/>
        </w:rPr>
        <w:t>人员经费和工作经费预算</w:t>
      </w:r>
      <w:r>
        <w:rPr>
          <w:rFonts w:ascii="仿宋_GB2312" w:eastAsia="仿宋_GB2312"/>
          <w:color w:val="000000"/>
          <w:sz w:val="32"/>
          <w:szCs w:val="32"/>
        </w:rPr>
        <w:t>支出相应增加</w:t>
      </w:r>
      <w:r>
        <w:rPr>
          <w:rFonts w:hint="eastAsia" w:ascii="仿宋_GB2312" w:eastAsia="仿宋_GB2312"/>
          <w:color w:val="000000"/>
          <w:sz w:val="32"/>
          <w:szCs w:val="32"/>
        </w:rPr>
        <w:t>。</w:t>
      </w:r>
    </w:p>
    <w:p w14:paraId="7FB8FFAB">
      <w:pPr>
        <w:pStyle w:val="18"/>
        <w:numPr>
          <w:ilvl w:val="0"/>
          <w:numId w:val="2"/>
        </w:numPr>
        <w:spacing w:line="600" w:lineRule="exact"/>
        <w:ind w:firstLineChars="0"/>
        <w:outlineLvl w:val="1"/>
        <w:rPr>
          <w:rStyle w:val="17"/>
          <w:rFonts w:ascii="黑体" w:hAnsi="黑体" w:eastAsia="黑体"/>
          <w:b w:val="0"/>
          <w:bCs w:val="0"/>
        </w:rPr>
      </w:pPr>
      <w:bookmarkStart w:id="36" w:name="_Toc15377206"/>
      <w:bookmarkStart w:id="37" w:name="_Toc116"/>
      <w:bookmarkStart w:id="38" w:name="_Toc15396604"/>
      <w:r>
        <w:rPr>
          <w:rFonts w:hint="eastAsia" w:ascii="黑体" w:hAnsi="黑体" w:eastAsia="黑体"/>
          <w:color w:val="000000"/>
          <w:sz w:val="32"/>
          <w:szCs w:val="32"/>
        </w:rPr>
        <w:t>收</w:t>
      </w:r>
      <w:r>
        <w:rPr>
          <w:rStyle w:val="17"/>
          <w:rFonts w:hint="eastAsia" w:ascii="黑体" w:hAnsi="黑体" w:eastAsia="黑体"/>
          <w:b w:val="0"/>
          <w:bCs w:val="0"/>
        </w:rPr>
        <w:t>入决算情况说明</w:t>
      </w:r>
      <w:bookmarkEnd w:id="36"/>
      <w:bookmarkEnd w:id="37"/>
      <w:bookmarkEnd w:id="38"/>
    </w:p>
    <w:p w14:paraId="4F7F3593">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年本年收入合计</w:t>
      </w:r>
      <w:r>
        <w:rPr>
          <w:rFonts w:ascii="仿宋" w:hAnsi="仿宋" w:eastAsia="仿宋"/>
          <w:color w:val="000000"/>
          <w:sz w:val="32"/>
          <w:szCs w:val="32"/>
        </w:rPr>
        <w:t>690.83</w:t>
      </w:r>
      <w:r>
        <w:rPr>
          <w:rFonts w:hint="eastAsia" w:ascii="仿宋" w:hAnsi="仿宋" w:eastAsia="仿宋"/>
          <w:color w:val="000000"/>
          <w:sz w:val="32"/>
          <w:szCs w:val="32"/>
        </w:rPr>
        <w:t>万元，其中：一般公共预算财政拨款收入</w:t>
      </w:r>
      <w:r>
        <w:rPr>
          <w:rFonts w:hint="eastAsia" w:ascii="仿宋_GB2312" w:eastAsia="仿宋_GB2312"/>
          <w:color w:val="000000"/>
          <w:sz w:val="32"/>
          <w:szCs w:val="32"/>
        </w:rPr>
        <w:t>690.83</w:t>
      </w:r>
      <w:r>
        <w:rPr>
          <w:rFonts w:hint="eastAsia" w:ascii="仿宋" w:hAnsi="仿宋" w:eastAsia="仿宋"/>
          <w:color w:val="000000"/>
          <w:sz w:val="32"/>
          <w:szCs w:val="32"/>
        </w:rPr>
        <w:t>万元，占</w:t>
      </w:r>
      <w:r>
        <w:rPr>
          <w:rFonts w:hint="eastAsia" w:ascii="仿宋_GB2312" w:eastAsia="仿宋_GB2312"/>
          <w:color w:val="000000"/>
          <w:sz w:val="32"/>
          <w:szCs w:val="32"/>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；上级补助收入0万元，占0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_GB2312" w:eastAsia="仿宋_GB2312"/>
          <w:color w:val="000000"/>
          <w:sz w:val="32"/>
          <w:szCs w:val="32"/>
        </w:rPr>
        <w:t>上年结转41.83万元，占总计收入5.71%。</w:t>
      </w:r>
    </w:p>
    <w:p w14:paraId="6785C5D4">
      <w:pPr>
        <w:pStyle w:val="18"/>
        <w:numPr>
          <w:ilvl w:val="0"/>
          <w:numId w:val="2"/>
        </w:numPr>
        <w:spacing w:line="600" w:lineRule="exact"/>
        <w:ind w:firstLineChars="0"/>
        <w:outlineLvl w:val="1"/>
        <w:rPr>
          <w:rStyle w:val="17"/>
          <w:rFonts w:ascii="黑体" w:hAnsi="黑体" w:eastAsia="黑体"/>
          <w:b w:val="0"/>
          <w:bCs w:val="0"/>
        </w:rPr>
      </w:pPr>
      <w:bookmarkStart w:id="39" w:name="_Toc15377207"/>
      <w:bookmarkStart w:id="40" w:name="_Toc15396605"/>
      <w:bookmarkStart w:id="41" w:name="_Toc29074"/>
      <w:r>
        <w:rPr>
          <w:rFonts w:hint="eastAsia" w:ascii="黑体" w:hAnsi="黑体" w:eastAsia="黑体"/>
          <w:color w:val="000000"/>
          <w:sz w:val="32"/>
          <w:szCs w:val="32"/>
        </w:rPr>
        <w:t>支</w:t>
      </w:r>
      <w:r>
        <w:rPr>
          <w:rStyle w:val="17"/>
          <w:rFonts w:hint="eastAsia" w:ascii="黑体" w:hAnsi="黑体" w:eastAsia="黑体"/>
          <w:b w:val="0"/>
          <w:bCs w:val="0"/>
        </w:rPr>
        <w:t>出决算情况说明</w:t>
      </w:r>
      <w:bookmarkEnd w:id="39"/>
      <w:bookmarkEnd w:id="40"/>
      <w:bookmarkEnd w:id="41"/>
    </w:p>
    <w:p w14:paraId="754002C1">
      <w:pPr>
        <w:spacing w:line="600" w:lineRule="exact"/>
        <w:ind w:firstLine="640" w:firstLineChars="200"/>
        <w:outlineLvl w:val="1"/>
        <w:rPr>
          <w:rFonts w:ascii="仿宋" w:hAnsi="仿宋" w:eastAsia="仿宋"/>
          <w:color w:val="000000"/>
          <w:sz w:val="32"/>
          <w:szCs w:val="32"/>
        </w:rPr>
      </w:pPr>
      <w:bookmarkStart w:id="42" w:name="_Toc10521"/>
      <w:r>
        <w:rPr>
          <w:rFonts w:ascii="仿宋" w:hAnsi="仿宋" w:eastAsia="仿宋"/>
          <w:color w:val="000000"/>
          <w:sz w:val="32"/>
          <w:szCs w:val="32"/>
        </w:rPr>
        <w:t>2020</w:t>
      </w:r>
      <w:r>
        <w:rPr>
          <w:rFonts w:hint="eastAsia" w:ascii="仿宋" w:hAnsi="仿宋" w:eastAsia="仿宋"/>
          <w:color w:val="000000"/>
          <w:sz w:val="32"/>
          <w:szCs w:val="32"/>
        </w:rPr>
        <w:t>年本年支出合计</w:t>
      </w:r>
      <w:r>
        <w:rPr>
          <w:rFonts w:ascii="仿宋" w:hAnsi="仿宋" w:eastAsia="仿宋"/>
          <w:color w:val="000000"/>
          <w:sz w:val="32"/>
          <w:szCs w:val="32"/>
        </w:rPr>
        <w:t>732.63</w:t>
      </w:r>
      <w:r>
        <w:rPr>
          <w:rFonts w:hint="eastAsia" w:ascii="仿宋" w:hAnsi="仿宋" w:eastAsia="仿宋"/>
          <w:color w:val="000000"/>
          <w:sz w:val="32"/>
          <w:szCs w:val="32"/>
        </w:rPr>
        <w:t>万元，其中：基本支出</w:t>
      </w:r>
      <w:r>
        <w:rPr>
          <w:rFonts w:ascii="仿宋" w:hAnsi="仿宋" w:eastAsia="仿宋"/>
          <w:color w:val="000000"/>
          <w:sz w:val="32"/>
          <w:szCs w:val="32"/>
        </w:rPr>
        <w:t>732.63</w:t>
      </w:r>
      <w:r>
        <w:rPr>
          <w:rFonts w:hint="eastAsia" w:ascii="仿宋" w:hAnsi="仿宋" w:eastAsia="仿宋"/>
          <w:color w:val="000000"/>
          <w:sz w:val="32"/>
          <w:szCs w:val="32"/>
        </w:rPr>
        <w:t>万元，占</w:t>
      </w:r>
      <w:r>
        <w:rPr>
          <w:rFonts w:ascii="仿宋" w:hAnsi="仿宋" w:eastAsia="仿宋"/>
          <w:color w:val="000000"/>
          <w:sz w:val="32"/>
          <w:szCs w:val="32"/>
        </w:rPr>
        <w:t>100%</w:t>
      </w:r>
      <w:r>
        <w:rPr>
          <w:rFonts w:hint="eastAsia" w:ascii="仿宋" w:hAnsi="仿宋" w:eastAsia="仿宋"/>
          <w:color w:val="000000"/>
          <w:sz w:val="32"/>
          <w:szCs w:val="32"/>
        </w:rPr>
        <w:t>；项目支出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；上缴上级支出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；对附属单位补助支出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w:t>
      </w:r>
      <w:bookmarkEnd w:id="42"/>
    </w:p>
    <w:p w14:paraId="7A2C86AD">
      <w:pPr>
        <w:spacing w:line="600" w:lineRule="exact"/>
        <w:ind w:firstLine="640" w:firstLineChars="200"/>
        <w:outlineLvl w:val="1"/>
        <w:rPr>
          <w:rFonts w:ascii="黑体" w:hAnsi="黑体" w:eastAsia="黑体"/>
          <w:color w:val="000000"/>
          <w:sz w:val="32"/>
          <w:szCs w:val="32"/>
        </w:rPr>
      </w:pPr>
      <w:bookmarkStart w:id="43" w:name="_Toc15377208"/>
      <w:bookmarkStart w:id="44" w:name="_Toc15396606"/>
      <w:bookmarkStart w:id="45" w:name="_Toc11726"/>
    </w:p>
    <w:p w14:paraId="7672AF14">
      <w:pPr>
        <w:spacing w:line="600" w:lineRule="exact"/>
        <w:ind w:firstLine="640" w:firstLineChars="200"/>
        <w:outlineLvl w:val="1"/>
        <w:rPr>
          <w:rStyle w:val="17"/>
          <w:rFonts w:ascii="黑体" w:hAnsi="黑体" w:eastAsia="黑体"/>
          <w:b w:val="0"/>
          <w:bCs w:val="0"/>
        </w:rPr>
      </w:pPr>
      <w:r>
        <w:rPr>
          <w:rFonts w:hint="eastAsia" w:ascii="黑体" w:hAnsi="黑体" w:eastAsia="黑体"/>
          <w:color w:val="000000"/>
          <w:sz w:val="32"/>
          <w:szCs w:val="32"/>
        </w:rPr>
        <w:t>四、财</w:t>
      </w:r>
      <w:r>
        <w:rPr>
          <w:rStyle w:val="17"/>
          <w:rFonts w:hint="eastAsia" w:ascii="黑体" w:hAnsi="黑体" w:eastAsia="黑体"/>
          <w:b w:val="0"/>
          <w:bCs w:val="0"/>
        </w:rPr>
        <w:t>政拨款收入支出决算总体情况说明</w:t>
      </w:r>
      <w:bookmarkEnd w:id="43"/>
      <w:bookmarkEnd w:id="44"/>
      <w:bookmarkEnd w:id="45"/>
    </w:p>
    <w:p w14:paraId="046F2151">
      <w:pPr>
        <w:spacing w:line="600" w:lineRule="exact"/>
        <w:ind w:firstLine="640"/>
        <w:rPr>
          <w:rFonts w:ascii="仿宋_GB2312" w:eastAsia="仿宋_GB2312"/>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年财政拨款收、支总计</w:t>
      </w:r>
      <w:r>
        <w:rPr>
          <w:rFonts w:ascii="仿宋" w:hAnsi="仿宋" w:eastAsia="仿宋"/>
          <w:color w:val="000000"/>
          <w:sz w:val="32"/>
          <w:szCs w:val="32"/>
        </w:rPr>
        <w:t>732.63</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年相比，财政拨款收、支总计各增加</w:t>
      </w:r>
      <w:r>
        <w:rPr>
          <w:rFonts w:ascii="仿宋" w:hAnsi="仿宋" w:eastAsia="仿宋"/>
          <w:color w:val="000000"/>
          <w:sz w:val="32"/>
          <w:szCs w:val="32"/>
        </w:rPr>
        <w:t>301.32</w:t>
      </w:r>
      <w:r>
        <w:rPr>
          <w:rFonts w:hint="eastAsia" w:ascii="仿宋" w:hAnsi="仿宋" w:eastAsia="仿宋"/>
          <w:color w:val="000000"/>
          <w:sz w:val="32"/>
          <w:szCs w:val="32"/>
        </w:rPr>
        <w:t>万元，增长</w:t>
      </w:r>
      <w:r>
        <w:rPr>
          <w:rFonts w:ascii="仿宋" w:hAnsi="仿宋" w:eastAsia="仿宋"/>
          <w:color w:val="000000"/>
          <w:sz w:val="32"/>
          <w:szCs w:val="32"/>
        </w:rPr>
        <w:t>69.7%</w:t>
      </w:r>
      <w:r>
        <w:rPr>
          <w:rFonts w:hint="eastAsia" w:ascii="仿宋" w:hAnsi="仿宋" w:eastAsia="仿宋"/>
          <w:color w:val="000000"/>
          <w:sz w:val="32"/>
          <w:szCs w:val="32"/>
        </w:rPr>
        <w:t>。主要变动原因是</w:t>
      </w:r>
      <w:r>
        <w:rPr>
          <w:rFonts w:hint="eastAsia" w:ascii="仿宋_GB2312" w:eastAsia="仿宋_GB2312"/>
          <w:color w:val="000000"/>
          <w:sz w:val="32"/>
          <w:szCs w:val="32"/>
        </w:rPr>
        <w:t>增加了网格化服务管理费用，同时人员增加导致人员经费和工作经费预算</w:t>
      </w:r>
      <w:r>
        <w:rPr>
          <w:rFonts w:ascii="仿宋_GB2312" w:eastAsia="仿宋_GB2312"/>
          <w:color w:val="000000"/>
          <w:sz w:val="32"/>
          <w:szCs w:val="32"/>
        </w:rPr>
        <w:t>支出</w:t>
      </w:r>
      <w:r>
        <w:rPr>
          <w:rFonts w:hint="eastAsia" w:ascii="仿宋_GB2312" w:eastAsia="仿宋_GB2312"/>
          <w:color w:val="000000"/>
          <w:sz w:val="32"/>
          <w:szCs w:val="32"/>
        </w:rPr>
        <w:t>相应增加。</w:t>
      </w:r>
    </w:p>
    <w:p w14:paraId="51A496B7">
      <w:pPr>
        <w:spacing w:line="600" w:lineRule="exact"/>
        <w:ind w:firstLine="640" w:firstLineChars="200"/>
        <w:outlineLvl w:val="1"/>
        <w:rPr>
          <w:rStyle w:val="17"/>
          <w:rFonts w:ascii="黑体" w:hAnsi="黑体" w:eastAsia="黑体"/>
          <w:b w:val="0"/>
          <w:bCs w:val="0"/>
        </w:rPr>
      </w:pPr>
      <w:bookmarkStart w:id="46" w:name="_Toc15396607"/>
      <w:bookmarkStart w:id="47" w:name="_Toc15377209"/>
      <w:bookmarkStart w:id="48" w:name="_Toc31235"/>
      <w:r>
        <w:rPr>
          <w:rFonts w:hint="eastAsia" w:ascii="黑体" w:hAnsi="黑体" w:eastAsia="黑体"/>
          <w:color w:val="000000"/>
          <w:sz w:val="32"/>
          <w:szCs w:val="32"/>
        </w:rPr>
        <w:t>五、一</w:t>
      </w:r>
      <w:r>
        <w:rPr>
          <w:rStyle w:val="17"/>
          <w:rFonts w:hint="eastAsia" w:ascii="黑体" w:hAnsi="黑体" w:eastAsia="黑体"/>
          <w:b w:val="0"/>
          <w:bCs w:val="0"/>
        </w:rPr>
        <w:t>般公共预算财政拨款支出决算情况说明</w:t>
      </w:r>
      <w:bookmarkEnd w:id="46"/>
      <w:bookmarkEnd w:id="47"/>
      <w:bookmarkEnd w:id="48"/>
    </w:p>
    <w:p w14:paraId="2C05DAB0">
      <w:pPr>
        <w:spacing w:line="600" w:lineRule="exact"/>
        <w:ind w:firstLine="643" w:firstLineChars="200"/>
        <w:outlineLvl w:val="2"/>
        <w:rPr>
          <w:rFonts w:ascii="仿宋" w:hAnsi="仿宋" w:eastAsia="仿宋"/>
          <w:color w:val="000000"/>
          <w:sz w:val="32"/>
          <w:szCs w:val="32"/>
        </w:rPr>
      </w:pPr>
      <w:bookmarkStart w:id="49" w:name="_Toc15377210"/>
      <w:r>
        <w:rPr>
          <w:rFonts w:hint="eastAsia" w:ascii="仿宋" w:hAnsi="仿宋" w:eastAsia="仿宋"/>
          <w:b/>
          <w:color w:val="000000"/>
          <w:sz w:val="32"/>
          <w:szCs w:val="32"/>
        </w:rPr>
        <w:t>（一）一般公共预算财政拨款支出决算总体情况</w:t>
      </w:r>
      <w:bookmarkEnd w:id="49"/>
    </w:p>
    <w:p w14:paraId="68A506C9">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ascii="仿宋" w:hAnsi="仿宋" w:eastAsia="仿宋"/>
          <w:color w:val="000000"/>
          <w:sz w:val="32"/>
          <w:szCs w:val="32"/>
        </w:rPr>
        <w:t>732.63</w:t>
      </w:r>
      <w:r>
        <w:rPr>
          <w:rFonts w:hint="eastAsia" w:ascii="仿宋" w:hAnsi="仿宋" w:eastAsia="仿宋"/>
          <w:color w:val="000000"/>
          <w:sz w:val="32"/>
          <w:szCs w:val="32"/>
        </w:rPr>
        <w:t>万元，占本年支出合计的</w:t>
      </w:r>
      <w:r>
        <w:rPr>
          <w:rFonts w:ascii="仿宋" w:hAnsi="仿宋" w:eastAsia="仿宋"/>
          <w:color w:val="000000"/>
          <w:sz w:val="32"/>
          <w:szCs w:val="32"/>
        </w:rPr>
        <w:t>100%</w:t>
      </w:r>
      <w:r>
        <w:rPr>
          <w:rFonts w:hint="eastAsia" w:ascii="仿宋" w:hAnsi="仿宋" w:eastAsia="仿宋"/>
          <w:color w:val="000000"/>
          <w:sz w:val="32"/>
          <w:szCs w:val="32"/>
        </w:rPr>
        <w:t>。与</w:t>
      </w:r>
      <w:r>
        <w:rPr>
          <w:rFonts w:ascii="仿宋" w:hAnsi="仿宋" w:eastAsia="仿宋"/>
          <w:color w:val="000000"/>
          <w:sz w:val="32"/>
          <w:szCs w:val="32"/>
        </w:rPr>
        <w:t>2019</w:t>
      </w:r>
      <w:r>
        <w:rPr>
          <w:rFonts w:hint="eastAsia" w:ascii="仿宋" w:hAnsi="仿宋" w:eastAsia="仿宋"/>
          <w:color w:val="000000"/>
          <w:sz w:val="32"/>
          <w:szCs w:val="32"/>
        </w:rPr>
        <w:t>年相比，一般公共预算财政拨款增加</w:t>
      </w:r>
      <w:r>
        <w:rPr>
          <w:rFonts w:ascii="仿宋" w:hAnsi="仿宋" w:eastAsia="仿宋"/>
          <w:color w:val="000000"/>
          <w:sz w:val="32"/>
          <w:szCs w:val="32"/>
        </w:rPr>
        <w:t>301.32</w:t>
      </w:r>
      <w:r>
        <w:rPr>
          <w:rFonts w:hint="eastAsia" w:ascii="仿宋" w:hAnsi="仿宋" w:eastAsia="仿宋"/>
          <w:color w:val="000000"/>
          <w:sz w:val="32"/>
          <w:szCs w:val="32"/>
        </w:rPr>
        <w:t>万元，增长</w:t>
      </w:r>
      <w:r>
        <w:rPr>
          <w:rFonts w:ascii="仿宋" w:hAnsi="仿宋" w:eastAsia="仿宋"/>
          <w:color w:val="000000"/>
          <w:sz w:val="32"/>
          <w:szCs w:val="32"/>
        </w:rPr>
        <w:t>69.7%</w:t>
      </w:r>
      <w:r>
        <w:rPr>
          <w:rFonts w:hint="eastAsia" w:ascii="仿宋" w:hAnsi="仿宋" w:eastAsia="仿宋"/>
          <w:color w:val="000000"/>
          <w:sz w:val="32"/>
          <w:szCs w:val="32"/>
        </w:rPr>
        <w:t>。主要变动原因是</w:t>
      </w:r>
      <w:r>
        <w:rPr>
          <w:rFonts w:hint="eastAsia" w:ascii="仿宋_GB2312" w:eastAsia="仿宋_GB2312"/>
          <w:color w:val="000000"/>
          <w:sz w:val="32"/>
          <w:szCs w:val="32"/>
        </w:rPr>
        <w:t>增加了网格化服务管理费用，同时人员增加导致人员经费和工作经费预算</w:t>
      </w:r>
      <w:r>
        <w:rPr>
          <w:rFonts w:ascii="仿宋_GB2312" w:eastAsia="仿宋_GB2312"/>
          <w:color w:val="000000"/>
          <w:sz w:val="32"/>
          <w:szCs w:val="32"/>
        </w:rPr>
        <w:t>支出</w:t>
      </w:r>
      <w:r>
        <w:rPr>
          <w:rFonts w:hint="eastAsia" w:ascii="仿宋_GB2312" w:eastAsia="仿宋_GB2312"/>
          <w:color w:val="000000"/>
          <w:sz w:val="32"/>
          <w:szCs w:val="32"/>
        </w:rPr>
        <w:t>相应增加</w:t>
      </w:r>
      <w:r>
        <w:rPr>
          <w:rFonts w:ascii="仿宋_GB2312" w:eastAsia="仿宋_GB2312"/>
          <w:color w:val="000000"/>
          <w:sz w:val="32"/>
          <w:szCs w:val="32"/>
        </w:rPr>
        <w:t>。</w:t>
      </w:r>
    </w:p>
    <w:p w14:paraId="3C38F606">
      <w:pPr>
        <w:spacing w:line="600" w:lineRule="exact"/>
        <w:ind w:firstLine="643" w:firstLineChars="200"/>
        <w:outlineLvl w:val="2"/>
        <w:rPr>
          <w:rFonts w:ascii="仿宋" w:hAnsi="仿宋" w:eastAsia="仿宋"/>
          <w:b/>
          <w:color w:val="000000"/>
          <w:sz w:val="32"/>
          <w:szCs w:val="32"/>
        </w:rPr>
      </w:pPr>
      <w:bookmarkStart w:id="50" w:name="_Toc15377211"/>
      <w:r>
        <w:rPr>
          <w:rFonts w:hint="eastAsia" w:ascii="仿宋" w:hAnsi="仿宋" w:eastAsia="仿宋"/>
          <w:b/>
          <w:color w:val="000000"/>
          <w:sz w:val="32"/>
          <w:szCs w:val="32"/>
        </w:rPr>
        <w:t>（二）一般公共预算财政拨款支出决算结构情况</w:t>
      </w:r>
      <w:bookmarkEnd w:id="50"/>
    </w:p>
    <w:p w14:paraId="431F4C2B">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ascii="仿宋" w:hAnsi="仿宋" w:eastAsia="仿宋"/>
          <w:color w:val="000000"/>
          <w:sz w:val="32"/>
          <w:szCs w:val="32"/>
        </w:rPr>
        <w:t>732.63</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一般公共服务支（类）</w:t>
      </w:r>
      <w:r>
        <w:rPr>
          <w:rFonts w:hint="eastAsia" w:ascii="仿宋_GB2312" w:eastAsia="仿宋_GB2312"/>
          <w:color w:val="000000"/>
          <w:sz w:val="32"/>
          <w:szCs w:val="32"/>
        </w:rPr>
        <w:t>出572.93万元，占78.21%；</w:t>
      </w:r>
      <w:r>
        <w:rPr>
          <w:rFonts w:hint="eastAsia" w:ascii="仿宋" w:hAnsi="仿宋" w:eastAsia="仿宋"/>
          <w:b/>
          <w:color w:val="000000"/>
          <w:sz w:val="32"/>
          <w:szCs w:val="32"/>
        </w:rPr>
        <w:t>公共安全（类）</w:t>
      </w:r>
      <w:r>
        <w:rPr>
          <w:rFonts w:hint="eastAsia" w:ascii="仿宋_GB2312" w:eastAsia="仿宋_GB2312"/>
          <w:color w:val="000000"/>
          <w:sz w:val="32"/>
          <w:szCs w:val="32"/>
        </w:rPr>
        <w:t>支出111.46万元，占15.21%，</w:t>
      </w:r>
      <w:r>
        <w:rPr>
          <w:rFonts w:hint="eastAsia" w:ascii="仿宋" w:hAnsi="仿宋" w:eastAsia="仿宋"/>
          <w:b/>
          <w:color w:val="000000"/>
          <w:sz w:val="32"/>
          <w:szCs w:val="32"/>
        </w:rPr>
        <w:t>社会保障和就业（类）</w:t>
      </w:r>
      <w:r>
        <w:rPr>
          <w:rFonts w:hint="eastAsia" w:ascii="仿宋_GB2312" w:eastAsia="仿宋_GB2312"/>
          <w:color w:val="000000"/>
          <w:sz w:val="32"/>
          <w:szCs w:val="32"/>
        </w:rPr>
        <w:t>支出21.11万元，占2.88%；</w:t>
      </w:r>
      <w:r>
        <w:rPr>
          <w:rFonts w:hint="eastAsia" w:ascii="仿宋" w:hAnsi="仿宋" w:eastAsia="仿宋"/>
          <w:b/>
          <w:color w:val="000000"/>
          <w:sz w:val="32"/>
          <w:szCs w:val="32"/>
        </w:rPr>
        <w:t>卫生健康（类）</w:t>
      </w:r>
      <w:r>
        <w:rPr>
          <w:rFonts w:hint="eastAsia" w:ascii="仿宋_GB2312" w:eastAsia="仿宋_GB2312"/>
          <w:color w:val="000000"/>
          <w:sz w:val="32"/>
          <w:szCs w:val="32"/>
        </w:rPr>
        <w:t>支出8.22万元，占1.12%；</w:t>
      </w:r>
      <w:r>
        <w:rPr>
          <w:rFonts w:hint="eastAsia" w:ascii="仿宋" w:hAnsi="仿宋" w:eastAsia="仿宋"/>
          <w:b/>
          <w:color w:val="000000"/>
          <w:sz w:val="32"/>
          <w:szCs w:val="32"/>
        </w:rPr>
        <w:t>住房保障（类）</w:t>
      </w:r>
      <w:r>
        <w:rPr>
          <w:rFonts w:hint="eastAsia" w:ascii="仿宋_GB2312" w:eastAsia="仿宋_GB2312"/>
          <w:color w:val="000000"/>
          <w:sz w:val="32"/>
          <w:szCs w:val="32"/>
        </w:rPr>
        <w:t>支出18.91万元，占2.58%。</w:t>
      </w:r>
    </w:p>
    <w:p w14:paraId="10BD0BBD">
      <w:pPr>
        <w:spacing w:line="600" w:lineRule="exact"/>
        <w:ind w:firstLine="643" w:firstLineChars="200"/>
        <w:outlineLvl w:val="2"/>
        <w:rPr>
          <w:rFonts w:ascii="仿宋" w:hAnsi="仿宋" w:eastAsia="仿宋"/>
          <w:b/>
          <w:color w:val="000000"/>
          <w:sz w:val="32"/>
          <w:szCs w:val="32"/>
        </w:rPr>
      </w:pPr>
      <w:bookmarkStart w:id="51" w:name="_Toc15377212"/>
      <w:r>
        <w:rPr>
          <w:rFonts w:hint="eastAsia" w:ascii="仿宋" w:hAnsi="仿宋" w:eastAsia="仿宋"/>
          <w:b/>
          <w:color w:val="000000"/>
          <w:sz w:val="32"/>
          <w:szCs w:val="32"/>
        </w:rPr>
        <w:t>（三）一般公共预算财政拨款支出决算具体情况</w:t>
      </w:r>
      <w:bookmarkEnd w:id="51"/>
    </w:p>
    <w:p w14:paraId="4A50C0AA">
      <w:pPr>
        <w:spacing w:line="600" w:lineRule="exact"/>
        <w:ind w:firstLine="640"/>
        <w:rPr>
          <w:rFonts w:ascii="仿宋_GB2312" w:eastAsia="仿宋_GB2312"/>
          <w:color w:val="000000"/>
          <w:sz w:val="32"/>
          <w:szCs w:val="32"/>
        </w:rPr>
      </w:pPr>
      <w:bookmarkStart w:id="52" w:name="_Toc15377213"/>
      <w:bookmarkStart w:id="53" w:name="_Toc15378460"/>
      <w:bookmarkStart w:id="54" w:name="_Toc15377444"/>
      <w:r>
        <w:rPr>
          <w:rFonts w:hint="eastAsia" w:ascii="仿宋_GB2312" w:eastAsia="仿宋_GB2312"/>
          <w:color w:val="000000"/>
          <w:sz w:val="32"/>
          <w:szCs w:val="32"/>
        </w:rPr>
        <w:t>2020年一般公共预算支出决算数为732.63万元，完成预算100%。其中：</w:t>
      </w:r>
      <w:bookmarkEnd w:id="52"/>
      <w:bookmarkEnd w:id="53"/>
      <w:bookmarkEnd w:id="54"/>
    </w:p>
    <w:p w14:paraId="44D238C4">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 xml:space="preserve">1.一般公共服务（类）党委办公厅（室）及相关机构事务（款）行政运行（项）: </w:t>
      </w:r>
      <w:r>
        <w:rPr>
          <w:rFonts w:hint="eastAsia" w:ascii="仿宋_GB2312" w:eastAsia="仿宋_GB2312"/>
          <w:color w:val="000000"/>
          <w:sz w:val="32"/>
          <w:szCs w:val="32"/>
        </w:rPr>
        <w:t>支出决算为572.93万元，完成预算100%。</w:t>
      </w:r>
    </w:p>
    <w:p w14:paraId="784CF9FF">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2.公共安全（类）公安（款）一般行政管理事务（项）:</w:t>
      </w:r>
      <w:r>
        <w:rPr>
          <w:rFonts w:hint="eastAsia" w:ascii="仿宋_GB2312" w:eastAsia="仿宋_GB2312"/>
          <w:color w:val="000000"/>
          <w:sz w:val="32"/>
          <w:szCs w:val="32"/>
        </w:rPr>
        <w:t xml:space="preserve"> 支出决算为36.87万元，完成预算100%。</w:t>
      </w:r>
    </w:p>
    <w:p w14:paraId="1D12B550">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3.公共安全（类）公安（款）其他公安支出（项）:</w:t>
      </w:r>
      <w:r>
        <w:rPr>
          <w:rFonts w:hint="eastAsia" w:ascii="仿宋_GB2312" w:eastAsia="仿宋_GB2312"/>
          <w:color w:val="000000"/>
          <w:sz w:val="32"/>
          <w:szCs w:val="32"/>
        </w:rPr>
        <w:t xml:space="preserve"> 支出决算为24.59万元，完成预算100%。</w:t>
      </w:r>
    </w:p>
    <w:p w14:paraId="3F106D9C">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4.公共安全（类）其他公共安全支出（款）其他公共安全支出（项）:</w:t>
      </w:r>
      <w:r>
        <w:rPr>
          <w:rFonts w:hint="eastAsia" w:ascii="仿宋_GB2312" w:eastAsia="仿宋_GB2312"/>
          <w:color w:val="000000"/>
          <w:sz w:val="32"/>
          <w:szCs w:val="32"/>
        </w:rPr>
        <w:t xml:space="preserve"> 支出决算为50万元，完成预算100%。</w:t>
      </w:r>
    </w:p>
    <w:p w14:paraId="546DF966">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 xml:space="preserve">5.社会保障和就业（类）行政事业单位养老支出（款）机关事业单位基本养老保险缴费支出（项）: </w:t>
      </w:r>
      <w:r>
        <w:rPr>
          <w:rFonts w:hint="eastAsia" w:ascii="仿宋_GB2312" w:eastAsia="仿宋_GB2312"/>
          <w:color w:val="000000"/>
          <w:sz w:val="32"/>
          <w:szCs w:val="32"/>
        </w:rPr>
        <w:t>支出决算为17.38万元，完成预算100%。</w:t>
      </w:r>
    </w:p>
    <w:p w14:paraId="77E51C13">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6.社会保障和就业（类）行政事业单位养老支出（款）机关事业单位职业年金缴费支出（项）:</w:t>
      </w:r>
      <w:r>
        <w:rPr>
          <w:rFonts w:hint="eastAsia" w:ascii="仿宋_GB2312" w:eastAsia="仿宋_GB2312"/>
          <w:color w:val="000000"/>
          <w:sz w:val="32"/>
          <w:szCs w:val="32"/>
        </w:rPr>
        <w:t xml:space="preserve"> 支出决算为2.62万元，完成预算100%。</w:t>
      </w:r>
    </w:p>
    <w:p w14:paraId="26DD613C">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 xml:space="preserve">7.社会保障和就业（类）其他社会保障和就业支出（款）其他社会保障和就业支出（项）: </w:t>
      </w:r>
      <w:r>
        <w:rPr>
          <w:rFonts w:hint="eastAsia" w:ascii="仿宋_GB2312" w:eastAsia="仿宋_GB2312"/>
          <w:color w:val="000000"/>
          <w:sz w:val="32"/>
          <w:szCs w:val="32"/>
        </w:rPr>
        <w:t>支出决算为1.11万元，完成预算100%。</w:t>
      </w:r>
    </w:p>
    <w:p w14:paraId="4DDF318C">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 xml:space="preserve">8.卫生健康（类）行政事业单位医疗（款）行政单位医疗（项）: </w:t>
      </w:r>
      <w:r>
        <w:rPr>
          <w:rFonts w:hint="eastAsia" w:ascii="仿宋_GB2312" w:eastAsia="仿宋_GB2312"/>
          <w:color w:val="000000"/>
          <w:sz w:val="32"/>
          <w:szCs w:val="32"/>
        </w:rPr>
        <w:t>支出决算为8.23万元，完成预算100%。</w:t>
      </w:r>
    </w:p>
    <w:p w14:paraId="535CE14E">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9.住房保障支出（类）住房改革支出（款）住房公积金（项）:</w:t>
      </w:r>
      <w:r>
        <w:rPr>
          <w:rFonts w:hint="eastAsia" w:ascii="仿宋_GB2312" w:eastAsia="仿宋_GB2312"/>
          <w:color w:val="000000"/>
          <w:sz w:val="32"/>
          <w:szCs w:val="32"/>
        </w:rPr>
        <w:t>支出决算为18.91万元，完成预算100%。</w:t>
      </w:r>
    </w:p>
    <w:p w14:paraId="5799802B">
      <w:pPr>
        <w:spacing w:line="600" w:lineRule="exact"/>
        <w:rPr>
          <w:rFonts w:ascii="仿宋" w:hAnsi="仿宋" w:eastAsia="仿宋"/>
          <w:color w:val="000000"/>
          <w:sz w:val="32"/>
          <w:szCs w:val="32"/>
        </w:rPr>
      </w:pPr>
    </w:p>
    <w:p w14:paraId="160175FB">
      <w:pPr>
        <w:tabs>
          <w:tab w:val="right" w:pos="8306"/>
        </w:tabs>
        <w:spacing w:line="600" w:lineRule="exact"/>
        <w:ind w:firstLine="640"/>
        <w:outlineLvl w:val="1"/>
        <w:rPr>
          <w:rStyle w:val="17"/>
          <w:b w:val="0"/>
          <w:bCs w:val="0"/>
        </w:rPr>
      </w:pPr>
      <w:bookmarkStart w:id="55" w:name="_Toc15377214"/>
      <w:bookmarkStart w:id="56" w:name="_Toc15396608"/>
      <w:bookmarkStart w:id="57" w:name="_Toc12759"/>
      <w:r>
        <w:rPr>
          <w:rFonts w:hint="eastAsia" w:ascii="黑体" w:eastAsia="黑体"/>
          <w:color w:val="000000"/>
          <w:sz w:val="32"/>
          <w:szCs w:val="32"/>
        </w:rPr>
        <w:t>六、</w:t>
      </w:r>
      <w:r>
        <w:rPr>
          <w:rFonts w:hint="eastAsia" w:ascii="黑体" w:hAnsi="黑体" w:eastAsia="黑体"/>
          <w:color w:val="000000"/>
          <w:sz w:val="32"/>
          <w:szCs w:val="32"/>
        </w:rPr>
        <w:t>一</w:t>
      </w:r>
      <w:r>
        <w:rPr>
          <w:rStyle w:val="17"/>
          <w:rFonts w:hint="eastAsia" w:ascii="黑体" w:hAnsi="黑体" w:eastAsia="黑体"/>
          <w:b w:val="0"/>
          <w:bCs w:val="0"/>
        </w:rPr>
        <w:t>般公共预算财政拨款基本支出决算情况说明</w:t>
      </w:r>
      <w:bookmarkEnd w:id="55"/>
      <w:bookmarkEnd w:id="56"/>
      <w:bookmarkEnd w:id="57"/>
      <w:r>
        <w:rPr>
          <w:rStyle w:val="17"/>
          <w:rFonts w:ascii="黑体" w:hAnsi="黑体" w:eastAsia="黑体"/>
          <w:b w:val="0"/>
          <w:bCs w:val="0"/>
        </w:rPr>
        <w:tab/>
      </w:r>
    </w:p>
    <w:p w14:paraId="0C1901E3">
      <w:pPr>
        <w:spacing w:line="600" w:lineRule="exact"/>
        <w:ind w:firstLine="645"/>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年一般公共预算财政拨款基本支出732.63万元，其中：</w:t>
      </w:r>
    </w:p>
    <w:p w14:paraId="39D01C61">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222.76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53242CFC">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日常公用经费509.87万元，主要包括：办公费、印刷费、咨询费、手续费、水费、电费、邮电费、取暖费、物业管理费、差旅费、因公出国（境）费用、维修（护）费、租赁费、会议费、培训费、公务接待费、劳务费、委托业务费、工会经费、其他交通费、税金及附加费用、其他商品和服务支出、办公设备购置、专用设备购置、信息网络及软件购置更新、其他资本性支出等。</w:t>
      </w:r>
    </w:p>
    <w:p w14:paraId="05E27212">
      <w:pPr>
        <w:spacing w:line="600" w:lineRule="exact"/>
        <w:ind w:firstLine="640"/>
        <w:outlineLvl w:val="1"/>
        <w:rPr>
          <w:rStyle w:val="17"/>
          <w:rFonts w:ascii="黑体" w:hAnsi="黑体" w:eastAsia="黑体"/>
          <w:b w:val="0"/>
          <w:bCs w:val="0"/>
        </w:rPr>
      </w:pPr>
      <w:bookmarkStart w:id="58" w:name="_Toc29361"/>
      <w:bookmarkStart w:id="59" w:name="_Toc15377215"/>
      <w:bookmarkStart w:id="60" w:name="_Toc15396609"/>
      <w:r>
        <w:rPr>
          <w:rFonts w:hint="eastAsia" w:ascii="黑体" w:eastAsia="黑体"/>
          <w:color w:val="000000"/>
          <w:sz w:val="32"/>
          <w:szCs w:val="32"/>
        </w:rPr>
        <w:t>七、</w:t>
      </w:r>
      <w:r>
        <w:rPr>
          <w:rStyle w:val="17"/>
          <w:rFonts w:hint="eastAsia" w:ascii="黑体" w:hAnsi="黑体" w:eastAsia="黑体"/>
          <w:b w:val="0"/>
          <w:bCs w:val="0"/>
        </w:rPr>
        <w:t>“三公”经费财政拨款支出决算情况说明</w:t>
      </w:r>
      <w:bookmarkEnd w:id="58"/>
      <w:bookmarkEnd w:id="59"/>
      <w:bookmarkEnd w:id="60"/>
    </w:p>
    <w:p w14:paraId="6295062F">
      <w:pPr>
        <w:spacing w:line="600" w:lineRule="exact"/>
        <w:ind w:firstLine="640"/>
        <w:outlineLvl w:val="2"/>
        <w:rPr>
          <w:rFonts w:ascii="仿宋" w:hAnsi="仿宋" w:eastAsia="仿宋"/>
          <w:color w:val="000000"/>
          <w:sz w:val="32"/>
          <w:szCs w:val="32"/>
        </w:rPr>
      </w:pPr>
      <w:bookmarkStart w:id="61" w:name="_Toc15377216"/>
      <w:r>
        <w:rPr>
          <w:rFonts w:hint="eastAsia" w:ascii="仿宋" w:hAnsi="仿宋" w:eastAsia="仿宋"/>
          <w:color w:val="000000"/>
          <w:sz w:val="32"/>
          <w:szCs w:val="32"/>
        </w:rPr>
        <w:t>（一）“三公”经费财政拨款支出决算总体情况说明</w:t>
      </w:r>
      <w:bookmarkEnd w:id="61"/>
    </w:p>
    <w:p w14:paraId="156F08A5">
      <w:pPr>
        <w:spacing w:line="600" w:lineRule="exact"/>
        <w:ind w:firstLine="640"/>
        <w:rPr>
          <w:rFonts w:ascii="仿宋" w:hAnsi="仿宋" w:eastAsia="仿宋"/>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年“三公”经费财政拨款支出决算为10.68万元，完成预算82</w:t>
      </w:r>
      <w:r>
        <w:rPr>
          <w:rFonts w:ascii="仿宋" w:hAnsi="仿宋" w:eastAsia="仿宋"/>
          <w:color w:val="000000"/>
          <w:sz w:val="32"/>
          <w:szCs w:val="32"/>
        </w:rPr>
        <w:t>%</w:t>
      </w:r>
      <w:r>
        <w:rPr>
          <w:rFonts w:hint="eastAsia" w:ascii="仿宋" w:hAnsi="仿宋" w:eastAsia="仿宋"/>
          <w:sz w:val="32"/>
          <w:szCs w:val="32"/>
        </w:rPr>
        <w:t>,主要原因是单位严格审核，严控三公经费开支。</w:t>
      </w:r>
    </w:p>
    <w:p w14:paraId="3AAFBAAC">
      <w:pPr>
        <w:spacing w:line="600" w:lineRule="exact"/>
        <w:ind w:firstLine="640"/>
        <w:outlineLvl w:val="2"/>
        <w:rPr>
          <w:rFonts w:ascii="仿宋" w:hAnsi="仿宋" w:eastAsia="仿宋"/>
          <w:color w:val="000000"/>
          <w:sz w:val="32"/>
          <w:szCs w:val="32"/>
        </w:rPr>
      </w:pPr>
      <w:bookmarkStart w:id="62" w:name="_Toc15377217"/>
      <w:r>
        <w:rPr>
          <w:rFonts w:hint="eastAsia" w:ascii="仿宋" w:hAnsi="仿宋" w:eastAsia="仿宋"/>
          <w:color w:val="000000"/>
          <w:sz w:val="32"/>
          <w:szCs w:val="32"/>
        </w:rPr>
        <w:t>（二）“三公”经费财政拨款支出决算具体情况说明</w:t>
      </w:r>
      <w:bookmarkEnd w:id="62"/>
    </w:p>
    <w:p w14:paraId="0535B8BD">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；公务接待费支出决算10.68万元，占100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239820C1">
      <w:pPr>
        <w:spacing w:line="600" w:lineRule="exact"/>
        <w:ind w:firstLine="640"/>
        <w:rPr>
          <w:rFonts w:ascii="仿宋_GB2312" w:eastAsia="仿宋_GB2312"/>
          <w:color w:val="000000"/>
          <w:sz w:val="32"/>
          <w:szCs w:val="32"/>
        </w:rPr>
      </w:pPr>
      <w:r>
        <w:rPr>
          <w:rFonts w:hint="eastAsia" w:ascii="仿宋_GB2312" w:eastAsia="仿宋_GB2312"/>
          <w:b/>
          <w:sz w:val="32"/>
          <w:szCs w:val="32"/>
        </w:rPr>
        <w:t>1.因公出国（境）经费</w:t>
      </w:r>
      <w:r>
        <w:rPr>
          <w:rFonts w:hint="eastAsia" w:ascii="仿宋_GB2312" w:eastAsia="仿宋_GB2312"/>
          <w:color w:val="000000"/>
          <w:sz w:val="32"/>
          <w:szCs w:val="32"/>
        </w:rPr>
        <w:t>支出0万元，</w:t>
      </w:r>
      <w:r>
        <w:rPr>
          <w:rFonts w:hint="eastAsia" w:ascii="仿宋_GB2312" w:eastAsia="仿宋_GB2312"/>
          <w:sz w:val="32"/>
          <w:szCs w:val="32"/>
        </w:rPr>
        <w:t>年初无预算，</w:t>
      </w:r>
      <w:r>
        <w:rPr>
          <w:rFonts w:hint="eastAsia" w:ascii="仿宋_GB2312" w:eastAsia="仿宋_GB2312"/>
          <w:color w:val="000000"/>
          <w:sz w:val="32"/>
          <w:szCs w:val="32"/>
        </w:rPr>
        <w:t>与上年持平。</w:t>
      </w:r>
    </w:p>
    <w:p w14:paraId="4C0AF08F">
      <w:pPr>
        <w:spacing w:line="600" w:lineRule="exact"/>
        <w:ind w:firstLine="640"/>
        <w:rPr>
          <w:rFonts w:hint="eastAsia" w:ascii="仿宋_GB2312" w:eastAsia="仿宋_GB2312"/>
          <w:color w:val="000000"/>
          <w:sz w:val="32"/>
          <w:szCs w:val="32"/>
        </w:rPr>
      </w:pPr>
      <w:r>
        <w:rPr>
          <w:rFonts w:hint="eastAsia" w:ascii="仿宋_GB2312" w:eastAsia="仿宋_GB2312"/>
          <w:b/>
          <w:sz w:val="32"/>
          <w:szCs w:val="32"/>
        </w:rPr>
        <w:t>2.公务用车购置及运行维护费</w:t>
      </w:r>
      <w:r>
        <w:rPr>
          <w:rFonts w:hint="eastAsia" w:ascii="仿宋_GB2312" w:eastAsia="仿宋_GB2312"/>
          <w:color w:val="000000"/>
          <w:sz w:val="32"/>
          <w:szCs w:val="32"/>
        </w:rPr>
        <w:t>支出0万元</w:t>
      </w:r>
      <w:r>
        <w:rPr>
          <w:rFonts w:ascii="仿宋_GB2312" w:eastAsia="仿宋_GB2312"/>
          <w:color w:val="000000"/>
          <w:sz w:val="32"/>
          <w:szCs w:val="32"/>
        </w:rPr>
        <w:t>,</w:t>
      </w:r>
      <w:r>
        <w:rPr>
          <w:rStyle w:val="14"/>
          <w:rFonts w:hint="eastAsia" w:ascii="仿宋" w:hAnsi="仿宋" w:eastAsia="仿宋"/>
          <w:b w:val="0"/>
          <w:color w:val="000000"/>
          <w:sz w:val="32"/>
          <w:szCs w:val="32"/>
        </w:rPr>
        <w:t>年初无预算，与上年持平</w:t>
      </w:r>
      <w:r>
        <w:rPr>
          <w:rFonts w:hint="eastAsia" w:ascii="仿宋_GB2312" w:eastAsia="仿宋_GB2312"/>
          <w:color w:val="000000"/>
          <w:sz w:val="32"/>
          <w:szCs w:val="32"/>
        </w:rPr>
        <w:t>。</w:t>
      </w:r>
    </w:p>
    <w:p w14:paraId="053B5B08">
      <w:pPr>
        <w:spacing w:line="600" w:lineRule="exact"/>
        <w:ind w:firstLine="640"/>
        <w:rPr>
          <w:rStyle w:val="14"/>
          <w:rFonts w:ascii="仿宋" w:hAnsi="仿宋" w:eastAsia="仿宋"/>
          <w:b w:val="0"/>
          <w:color w:val="000000"/>
          <w:sz w:val="32"/>
          <w:szCs w:val="32"/>
        </w:rPr>
      </w:pPr>
      <w:r>
        <w:rPr>
          <w:rStyle w:val="14"/>
          <w:rFonts w:hint="eastAsia" w:ascii="仿宋" w:hAnsi="仿宋" w:eastAsia="仿宋"/>
          <w:b w:val="0"/>
          <w:color w:val="000000"/>
          <w:sz w:val="32"/>
          <w:szCs w:val="32"/>
        </w:rPr>
        <w:t>其中：公务用车购置支出0万元</w:t>
      </w:r>
      <w:r>
        <w:rPr>
          <w:rStyle w:val="14"/>
          <w:rFonts w:ascii="仿宋" w:hAnsi="仿宋" w:eastAsia="仿宋"/>
          <w:b w:val="0"/>
          <w:color w:val="000000"/>
          <w:sz w:val="32"/>
          <w:szCs w:val="32"/>
        </w:rPr>
        <w:t>,</w:t>
      </w:r>
      <w:r>
        <w:rPr>
          <w:rStyle w:val="14"/>
          <w:rFonts w:hint="eastAsia" w:ascii="仿宋" w:hAnsi="仿宋" w:eastAsia="仿宋"/>
          <w:b w:val="0"/>
          <w:color w:val="000000"/>
          <w:sz w:val="32"/>
          <w:szCs w:val="32"/>
        </w:rPr>
        <w:t>年初未安排预算，与</w:t>
      </w:r>
      <w:r>
        <w:rPr>
          <w:rStyle w:val="14"/>
          <w:rFonts w:ascii="仿宋" w:hAnsi="仿宋" w:eastAsia="仿宋"/>
          <w:b w:val="0"/>
          <w:color w:val="000000"/>
          <w:sz w:val="32"/>
          <w:szCs w:val="32"/>
        </w:rPr>
        <w:t>201</w:t>
      </w:r>
      <w:r>
        <w:rPr>
          <w:rStyle w:val="14"/>
          <w:rFonts w:hint="eastAsia" w:ascii="仿宋" w:hAnsi="仿宋" w:eastAsia="仿宋"/>
          <w:b w:val="0"/>
          <w:color w:val="000000"/>
          <w:sz w:val="32"/>
          <w:szCs w:val="32"/>
        </w:rPr>
        <w:t>9年持平。全年按规定更新购置公务用车0辆。截至</w:t>
      </w:r>
      <w:r>
        <w:rPr>
          <w:rStyle w:val="14"/>
          <w:rFonts w:ascii="仿宋" w:hAnsi="仿宋" w:eastAsia="仿宋"/>
          <w:b w:val="0"/>
          <w:color w:val="000000"/>
          <w:sz w:val="32"/>
          <w:szCs w:val="32"/>
        </w:rPr>
        <w:t>2020</w:t>
      </w:r>
      <w:r>
        <w:rPr>
          <w:rStyle w:val="14"/>
          <w:rFonts w:hint="eastAsia" w:ascii="仿宋" w:hAnsi="仿宋" w:eastAsia="仿宋"/>
          <w:b w:val="0"/>
          <w:color w:val="000000"/>
          <w:sz w:val="32"/>
          <w:szCs w:val="32"/>
        </w:rPr>
        <w:t>年</w:t>
      </w:r>
      <w:r>
        <w:rPr>
          <w:rStyle w:val="14"/>
          <w:rFonts w:ascii="仿宋" w:hAnsi="仿宋" w:eastAsia="仿宋"/>
          <w:b w:val="0"/>
          <w:color w:val="000000"/>
          <w:sz w:val="32"/>
          <w:szCs w:val="32"/>
        </w:rPr>
        <w:t>12</w:t>
      </w:r>
      <w:r>
        <w:rPr>
          <w:rStyle w:val="14"/>
          <w:rFonts w:hint="eastAsia" w:ascii="仿宋" w:hAnsi="仿宋" w:eastAsia="仿宋"/>
          <w:b w:val="0"/>
          <w:color w:val="000000"/>
          <w:sz w:val="32"/>
          <w:szCs w:val="32"/>
        </w:rPr>
        <w:t>月底，单位共有公务用车0辆。</w:t>
      </w:r>
    </w:p>
    <w:p w14:paraId="07ED59E3">
      <w:pPr>
        <w:spacing w:line="600" w:lineRule="exact"/>
        <w:ind w:firstLine="640"/>
        <w:rPr>
          <w:rStyle w:val="14"/>
          <w:rFonts w:ascii="仿宋" w:hAnsi="仿宋" w:eastAsia="仿宋"/>
          <w:color w:val="000000"/>
          <w:sz w:val="32"/>
          <w:szCs w:val="32"/>
        </w:rPr>
      </w:pPr>
      <w:r>
        <w:rPr>
          <w:rStyle w:val="14"/>
          <w:rFonts w:hint="eastAsia" w:ascii="仿宋" w:hAnsi="仿宋" w:eastAsia="仿宋"/>
          <w:b w:val="0"/>
          <w:color w:val="000000"/>
          <w:sz w:val="32"/>
          <w:szCs w:val="32"/>
        </w:rPr>
        <w:t>公务用车运行维护费支出0万元</w:t>
      </w:r>
      <w:r>
        <w:rPr>
          <w:rStyle w:val="14"/>
          <w:rFonts w:ascii="仿宋" w:hAnsi="仿宋" w:eastAsia="仿宋"/>
          <w:b w:val="0"/>
          <w:color w:val="000000"/>
          <w:sz w:val="32"/>
          <w:szCs w:val="32"/>
        </w:rPr>
        <w:t>,</w:t>
      </w:r>
      <w:r>
        <w:rPr>
          <w:rStyle w:val="14"/>
          <w:rFonts w:hint="eastAsia" w:ascii="仿宋" w:hAnsi="仿宋" w:eastAsia="仿宋"/>
          <w:b w:val="0"/>
          <w:color w:val="000000"/>
          <w:sz w:val="32"/>
          <w:szCs w:val="32"/>
        </w:rPr>
        <w:t>年初未安排预算。公务用车运行维护费支出决算与</w:t>
      </w:r>
      <w:r>
        <w:rPr>
          <w:rStyle w:val="14"/>
          <w:rFonts w:ascii="仿宋" w:hAnsi="仿宋" w:eastAsia="仿宋"/>
          <w:b w:val="0"/>
          <w:color w:val="000000"/>
          <w:sz w:val="32"/>
          <w:szCs w:val="32"/>
        </w:rPr>
        <w:t>201</w:t>
      </w:r>
      <w:r>
        <w:rPr>
          <w:rStyle w:val="14"/>
          <w:rFonts w:hint="eastAsia" w:ascii="仿宋" w:hAnsi="仿宋" w:eastAsia="仿宋"/>
          <w:b w:val="0"/>
          <w:color w:val="000000"/>
          <w:sz w:val="32"/>
          <w:szCs w:val="32"/>
        </w:rPr>
        <w:t>9年持平。</w:t>
      </w:r>
    </w:p>
    <w:p w14:paraId="0AB1D274">
      <w:pPr>
        <w:spacing w:line="600" w:lineRule="exact"/>
        <w:ind w:firstLine="643" w:firstLineChars="200"/>
        <w:rPr>
          <w:rFonts w:ascii="仿宋_GB2312" w:eastAsia="仿宋_GB2312"/>
          <w:color w:val="000000"/>
          <w:sz w:val="32"/>
          <w:szCs w:val="32"/>
        </w:rPr>
      </w:pPr>
      <w:r>
        <w:rPr>
          <w:rFonts w:hint="eastAsia" w:ascii="仿宋_GB2312" w:eastAsia="仿宋_GB2312"/>
          <w:b/>
          <w:sz w:val="32"/>
          <w:szCs w:val="32"/>
        </w:rPr>
        <w:t>3.公务接待费</w:t>
      </w:r>
      <w:r>
        <w:rPr>
          <w:rFonts w:hint="eastAsia" w:ascii="仿宋_GB2312" w:eastAsia="仿宋_GB2312"/>
          <w:color w:val="000000"/>
          <w:sz w:val="32"/>
          <w:szCs w:val="32"/>
        </w:rPr>
        <w:t>支出10.68万元，</w:t>
      </w:r>
      <w:r>
        <w:rPr>
          <w:rStyle w:val="14"/>
          <w:rFonts w:hint="eastAsia" w:ascii="仿宋" w:hAnsi="仿宋" w:eastAsia="仿宋"/>
          <w:b w:val="0"/>
          <w:color w:val="000000"/>
          <w:sz w:val="32"/>
          <w:szCs w:val="32"/>
        </w:rPr>
        <w:t>完成预算82</w:t>
      </w:r>
      <w:r>
        <w:rPr>
          <w:rStyle w:val="14"/>
          <w:rFonts w:ascii="仿宋" w:hAnsi="仿宋" w:eastAsia="仿宋"/>
          <w:b w:val="0"/>
          <w:color w:val="000000"/>
          <w:sz w:val="32"/>
          <w:szCs w:val="32"/>
        </w:rPr>
        <w:t>%</w:t>
      </w:r>
      <w:r>
        <w:rPr>
          <w:rStyle w:val="14"/>
          <w:rFonts w:hint="eastAsia" w:ascii="仿宋" w:hAnsi="仿宋" w:eastAsia="仿宋"/>
          <w:b w:val="0"/>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2019</w:t>
      </w:r>
      <w:r>
        <w:rPr>
          <w:rFonts w:hint="eastAsia" w:ascii="仿宋_GB2312" w:eastAsia="仿宋_GB2312"/>
          <w:color w:val="000000"/>
          <w:sz w:val="32"/>
          <w:szCs w:val="32"/>
        </w:rPr>
        <w:t>年基本持平。</w:t>
      </w:r>
    </w:p>
    <w:p w14:paraId="3894976C">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国内公务接待224批次，1457人次（不包括陪同人员），共计支出10.68万元，</w:t>
      </w:r>
      <w:r>
        <w:rPr>
          <w:rFonts w:hint="eastAsia" w:ascii="仿宋_GB2312" w:hAnsi="仿宋_GB2312" w:eastAsia="仿宋_GB2312" w:cs="仿宋_GB2312"/>
          <w:sz w:val="32"/>
          <w:szCs w:val="32"/>
        </w:rPr>
        <w:t>主要用于平安建设、扫黑除恶专项斗争、维稳督导</w:t>
      </w:r>
      <w:r>
        <w:rPr>
          <w:rFonts w:hint="eastAsia" w:ascii="仿宋_GB2312" w:eastAsia="仿宋_GB2312"/>
          <w:color w:val="000000"/>
          <w:sz w:val="32"/>
          <w:szCs w:val="32"/>
        </w:rPr>
        <w:t>执行公务、开展业务活动开支的交通费、住宿费、用餐费等。</w:t>
      </w:r>
    </w:p>
    <w:p w14:paraId="3270811D">
      <w:pPr>
        <w:spacing w:line="600" w:lineRule="exact"/>
        <w:ind w:firstLine="640" w:firstLineChars="200"/>
        <w:rPr>
          <w:rFonts w:ascii="仿宋_GB2312" w:eastAsia="仿宋_GB2312"/>
          <w:color w:val="000000"/>
          <w:sz w:val="32"/>
          <w:szCs w:val="32"/>
        </w:rPr>
      </w:pPr>
      <w:r>
        <w:rPr>
          <w:rFonts w:hint="eastAsia" w:ascii="仿宋" w:hAnsi="仿宋" w:eastAsia="仿宋"/>
          <w:color w:val="000000"/>
          <w:sz w:val="32"/>
          <w:szCs w:val="32"/>
        </w:rPr>
        <w:t>外事接待支出0</w:t>
      </w:r>
      <w:r>
        <w:rPr>
          <w:rFonts w:hint="eastAsia" w:ascii="仿宋_GB2312" w:eastAsia="仿宋_GB2312"/>
          <w:color w:val="000000"/>
          <w:sz w:val="32"/>
          <w:szCs w:val="32"/>
        </w:rPr>
        <w:t>万元，外事接待0批次，0人，共计支出0元。</w:t>
      </w:r>
    </w:p>
    <w:p w14:paraId="33A5AAF9">
      <w:pPr>
        <w:spacing w:line="600" w:lineRule="exact"/>
        <w:ind w:firstLine="640"/>
        <w:outlineLvl w:val="1"/>
        <w:rPr>
          <w:rStyle w:val="17"/>
          <w:rFonts w:ascii="黑体" w:hAnsi="黑体" w:eastAsia="黑体"/>
          <w:b w:val="0"/>
          <w:bCs w:val="0"/>
        </w:rPr>
      </w:pPr>
      <w:bookmarkStart w:id="63" w:name="_Toc32276"/>
      <w:bookmarkStart w:id="64" w:name="_Toc15396610"/>
      <w:bookmarkStart w:id="65" w:name="_Toc15377218"/>
      <w:r>
        <w:rPr>
          <w:rFonts w:hint="eastAsia" w:ascii="黑体" w:eastAsia="黑体"/>
          <w:color w:val="000000"/>
          <w:sz w:val="32"/>
          <w:szCs w:val="32"/>
        </w:rPr>
        <w:t>八、</w:t>
      </w:r>
      <w:r>
        <w:rPr>
          <w:rStyle w:val="17"/>
          <w:rFonts w:hint="eastAsia" w:ascii="黑体" w:hAnsi="黑体" w:eastAsia="黑体"/>
          <w:b w:val="0"/>
          <w:bCs w:val="0"/>
        </w:rPr>
        <w:t>政府性基金预算支出决算情况说明</w:t>
      </w:r>
      <w:bookmarkEnd w:id="63"/>
      <w:bookmarkEnd w:id="64"/>
      <w:bookmarkEnd w:id="65"/>
    </w:p>
    <w:p w14:paraId="1229DB28">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年政府性基金预算拨款支出0万元。本单位未在政府性基金预算拨款安排</w:t>
      </w:r>
      <w:r>
        <w:rPr>
          <w:rFonts w:hint="eastAsia" w:ascii="仿宋_GB2312" w:eastAsia="仿宋_GB2312"/>
          <w:color w:val="000000"/>
          <w:sz w:val="32"/>
          <w:szCs w:val="32"/>
          <w:lang w:eastAsia="zh-CN"/>
        </w:rPr>
        <w:t>“三公”经费</w:t>
      </w:r>
      <w:r>
        <w:rPr>
          <w:rFonts w:hint="eastAsia" w:ascii="仿宋_GB2312" w:eastAsia="仿宋_GB2312"/>
          <w:color w:val="000000"/>
          <w:sz w:val="32"/>
          <w:szCs w:val="32"/>
        </w:rPr>
        <w:t>支出。</w:t>
      </w:r>
    </w:p>
    <w:p w14:paraId="1D21900C">
      <w:pPr>
        <w:numPr>
          <w:ilvl w:val="0"/>
          <w:numId w:val="3"/>
        </w:numPr>
        <w:spacing w:line="600" w:lineRule="exact"/>
        <w:ind w:firstLine="640"/>
        <w:outlineLvl w:val="1"/>
        <w:rPr>
          <w:rStyle w:val="17"/>
          <w:rFonts w:ascii="黑体" w:hAnsi="黑体" w:eastAsia="黑体"/>
          <w:b w:val="0"/>
          <w:bCs w:val="0"/>
        </w:rPr>
      </w:pPr>
      <w:bookmarkStart w:id="66" w:name="_Toc15396611"/>
      <w:bookmarkStart w:id="67" w:name="_Toc7494"/>
      <w:bookmarkStart w:id="68" w:name="_Toc15377219"/>
      <w:r>
        <w:rPr>
          <w:rStyle w:val="17"/>
          <w:rFonts w:hint="eastAsia" w:ascii="黑体" w:hAnsi="黑体" w:eastAsia="黑体"/>
          <w:b w:val="0"/>
          <w:bCs w:val="0"/>
        </w:rPr>
        <w:t>国有资本经营预算支出决算情况说明</w:t>
      </w:r>
      <w:bookmarkEnd w:id="66"/>
      <w:bookmarkEnd w:id="67"/>
      <w:bookmarkEnd w:id="68"/>
    </w:p>
    <w:p w14:paraId="35CCCDE1">
      <w:pPr>
        <w:spacing w:line="600" w:lineRule="exact"/>
        <w:ind w:firstLine="640"/>
        <w:jc w:val="left"/>
        <w:rPr>
          <w:rFonts w:ascii="方正小标宋简体" w:hAnsi="方正小标宋简体" w:eastAsia="方正小标宋简体" w:cs="方正小标宋简体"/>
          <w:sz w:val="44"/>
          <w:szCs w:val="44"/>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年国有资本经营预算拨款支出0万元。</w:t>
      </w:r>
    </w:p>
    <w:p w14:paraId="42F8C625">
      <w:pPr>
        <w:spacing w:line="600" w:lineRule="exact"/>
        <w:ind w:firstLine="640" w:firstLineChars="200"/>
        <w:outlineLvl w:val="1"/>
        <w:rPr>
          <w:rStyle w:val="17"/>
          <w:rFonts w:ascii="黑体" w:hAnsi="黑体" w:eastAsia="黑体"/>
          <w:b w:val="0"/>
          <w:bCs w:val="0"/>
        </w:rPr>
      </w:pPr>
      <w:bookmarkStart w:id="69" w:name="_Toc14858"/>
      <w:bookmarkStart w:id="70" w:name="_Toc15396612"/>
      <w:bookmarkStart w:id="71" w:name="_Toc15377221"/>
      <w:r>
        <w:rPr>
          <w:rFonts w:hint="eastAsia" w:ascii="黑体" w:hAnsi="黑体" w:eastAsia="黑体"/>
          <w:color w:val="000000"/>
          <w:sz w:val="32"/>
          <w:szCs w:val="32"/>
        </w:rPr>
        <w:t>十</w:t>
      </w:r>
      <w:r>
        <w:rPr>
          <w:rStyle w:val="17"/>
          <w:rFonts w:hint="eastAsia" w:ascii="黑体" w:hAnsi="黑体" w:eastAsia="黑体"/>
          <w:b w:val="0"/>
          <w:bCs w:val="0"/>
        </w:rPr>
        <w:t>、其他重要事项的情况说明</w:t>
      </w:r>
      <w:bookmarkEnd w:id="69"/>
      <w:bookmarkEnd w:id="70"/>
      <w:bookmarkEnd w:id="71"/>
    </w:p>
    <w:p w14:paraId="59BD2287">
      <w:pPr>
        <w:spacing w:line="600" w:lineRule="exact"/>
        <w:ind w:firstLine="640" w:firstLineChars="200"/>
        <w:outlineLvl w:val="2"/>
        <w:rPr>
          <w:rFonts w:ascii="仿宋" w:hAnsi="仿宋" w:eastAsia="仿宋"/>
          <w:color w:val="000000"/>
          <w:sz w:val="32"/>
          <w:szCs w:val="32"/>
        </w:rPr>
      </w:pPr>
      <w:bookmarkStart w:id="72" w:name="_Toc15377222"/>
      <w:r>
        <w:rPr>
          <w:rFonts w:hint="eastAsia" w:ascii="仿宋" w:hAnsi="仿宋" w:eastAsia="仿宋"/>
          <w:color w:val="000000"/>
          <w:sz w:val="32"/>
          <w:szCs w:val="32"/>
        </w:rPr>
        <w:t>（一）机关运行经费支出情况</w:t>
      </w:r>
      <w:bookmarkEnd w:id="72"/>
    </w:p>
    <w:p w14:paraId="2EC4B70E">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年，区委政法委机关运行经费支出509.87万元，比</w:t>
      </w:r>
      <w:r>
        <w:rPr>
          <w:rFonts w:ascii="仿宋_GB2312" w:eastAsia="仿宋_GB2312"/>
          <w:color w:val="000000"/>
          <w:sz w:val="32"/>
          <w:szCs w:val="32"/>
        </w:rPr>
        <w:t>2019</w:t>
      </w:r>
      <w:r>
        <w:rPr>
          <w:rFonts w:hint="eastAsia" w:ascii="仿宋_GB2312" w:eastAsia="仿宋_GB2312"/>
          <w:color w:val="000000"/>
          <w:sz w:val="32"/>
          <w:szCs w:val="32"/>
        </w:rPr>
        <w:t>年增加302.22万元，增长146</w:t>
      </w:r>
      <w:r>
        <w:rPr>
          <w:rFonts w:ascii="仿宋_GB2312" w:eastAsia="仿宋_GB2312"/>
          <w:color w:val="000000"/>
          <w:sz w:val="32"/>
          <w:szCs w:val="32"/>
        </w:rPr>
        <w:t>%</w:t>
      </w:r>
      <w:r>
        <w:rPr>
          <w:rFonts w:hint="eastAsia" w:ascii="仿宋_GB2312" w:eastAsia="仿宋_GB2312"/>
          <w:color w:val="000000"/>
          <w:sz w:val="32"/>
          <w:szCs w:val="32"/>
        </w:rPr>
        <w:t>。主要原因是增加了网格化服务管理费用，同时人员增加导致人员经费和工作经费预算</w:t>
      </w:r>
      <w:r>
        <w:rPr>
          <w:rFonts w:ascii="仿宋_GB2312" w:eastAsia="仿宋_GB2312"/>
          <w:color w:val="000000"/>
          <w:sz w:val="32"/>
          <w:szCs w:val="32"/>
        </w:rPr>
        <w:t>支出</w:t>
      </w:r>
      <w:r>
        <w:rPr>
          <w:rFonts w:hint="eastAsia" w:ascii="仿宋_GB2312" w:eastAsia="仿宋_GB2312"/>
          <w:color w:val="000000"/>
          <w:sz w:val="32"/>
          <w:szCs w:val="32"/>
        </w:rPr>
        <w:t>相应增加。</w:t>
      </w:r>
    </w:p>
    <w:p w14:paraId="5DDA1139">
      <w:pPr>
        <w:autoSpaceDE w:val="0"/>
        <w:autoSpaceDN w:val="0"/>
        <w:adjustRightInd w:val="0"/>
        <w:spacing w:line="600" w:lineRule="exact"/>
        <w:ind w:firstLine="640" w:firstLineChars="200"/>
        <w:jc w:val="left"/>
        <w:outlineLvl w:val="2"/>
        <w:rPr>
          <w:rFonts w:ascii="仿宋" w:hAnsi="仿宋" w:eastAsia="仿宋"/>
          <w:color w:val="000000"/>
          <w:sz w:val="32"/>
          <w:szCs w:val="32"/>
        </w:rPr>
      </w:pPr>
      <w:bookmarkStart w:id="73" w:name="_Toc15377223"/>
      <w:r>
        <w:rPr>
          <w:rFonts w:hint="eastAsia" w:ascii="仿宋" w:hAnsi="仿宋" w:eastAsia="仿宋"/>
          <w:color w:val="000000"/>
          <w:sz w:val="32"/>
          <w:szCs w:val="32"/>
        </w:rPr>
        <w:t>（二）政府采购支出情况</w:t>
      </w:r>
      <w:bookmarkEnd w:id="73"/>
    </w:p>
    <w:p w14:paraId="467A8729">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年，区委政法委政府采购支出总额0万元，其中：政府采购货物支出0万元、政府采购工程支出0万元、政府采购服务支出0万元。</w:t>
      </w:r>
    </w:p>
    <w:p w14:paraId="2E8A9890">
      <w:pPr>
        <w:autoSpaceDE w:val="0"/>
        <w:autoSpaceDN w:val="0"/>
        <w:adjustRightInd w:val="0"/>
        <w:spacing w:line="600" w:lineRule="exact"/>
        <w:ind w:firstLine="640" w:firstLineChars="200"/>
        <w:jc w:val="left"/>
        <w:outlineLvl w:val="2"/>
        <w:rPr>
          <w:rFonts w:ascii="仿宋" w:hAnsi="仿宋" w:eastAsia="仿宋"/>
          <w:color w:val="000000"/>
          <w:sz w:val="32"/>
          <w:szCs w:val="32"/>
        </w:rPr>
      </w:pPr>
      <w:bookmarkStart w:id="74" w:name="_Toc15377224"/>
      <w:r>
        <w:rPr>
          <w:rFonts w:hint="eastAsia" w:ascii="仿宋" w:hAnsi="仿宋" w:eastAsia="仿宋"/>
          <w:color w:val="000000"/>
          <w:sz w:val="32"/>
          <w:szCs w:val="32"/>
        </w:rPr>
        <w:t>（三）国有资产占有使用情况</w:t>
      </w:r>
      <w:bookmarkEnd w:id="74"/>
    </w:p>
    <w:p w14:paraId="17712166">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2020</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日，区委政法委共有车辆0辆,其中主要领导干部用车0辆、机要通讯用车0辆、应急保障用车0辆、其他用车0辆。单价50万元以上的通讯设备0台（套）、单价100万元以上专用设备0台（套）。</w:t>
      </w:r>
    </w:p>
    <w:p w14:paraId="26E41C2A">
      <w:pPr>
        <w:autoSpaceDE w:val="0"/>
        <w:autoSpaceDN w:val="0"/>
        <w:adjustRightInd w:val="0"/>
        <w:spacing w:line="600" w:lineRule="exact"/>
        <w:ind w:firstLine="640" w:firstLineChars="200"/>
        <w:jc w:val="left"/>
        <w:outlineLvl w:val="2"/>
        <w:rPr>
          <w:rFonts w:ascii="仿宋" w:hAnsi="仿宋" w:eastAsia="仿宋"/>
          <w:color w:val="000000"/>
          <w:sz w:val="32"/>
          <w:szCs w:val="32"/>
        </w:rPr>
      </w:pPr>
      <w:r>
        <w:rPr>
          <w:rFonts w:hint="eastAsia" w:ascii="仿宋" w:hAnsi="仿宋" w:eastAsia="仿宋"/>
          <w:color w:val="000000"/>
          <w:sz w:val="32"/>
          <w:szCs w:val="32"/>
        </w:rPr>
        <w:t>（四）预算绩效管理情况。</w:t>
      </w:r>
    </w:p>
    <w:p w14:paraId="6F09BAC0">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根据预算绩效管理要求，本部门（单位）在年初预算编制阶段，组织对5个项目（</w:t>
      </w:r>
      <w:r>
        <w:rPr>
          <w:rFonts w:hint="eastAsia" w:ascii="仿宋_GB2312" w:hAnsi="仿宋" w:eastAsia="仿宋_GB2312"/>
          <w:sz w:val="32"/>
          <w:szCs w:val="32"/>
        </w:rPr>
        <w:t>政法三级网络链路租赁费用和运行维护费用、维稳工作经费、</w:t>
      </w:r>
      <w:r>
        <w:rPr>
          <w:rFonts w:hint="eastAsia" w:eastAsia="仿宋_GB2312"/>
          <w:sz w:val="32"/>
          <w:szCs w:val="32"/>
        </w:rPr>
        <w:t>2020年争取资金工作经费、反邪教工</w:t>
      </w:r>
      <w:r>
        <w:rPr>
          <w:rFonts w:hint="eastAsia" w:ascii="仿宋_GB2312" w:hAnsi="仿宋" w:eastAsia="仿宋_GB2312"/>
          <w:sz w:val="32"/>
          <w:szCs w:val="32"/>
        </w:rPr>
        <w:t>作经费、政法专项经费</w:t>
      </w:r>
      <w:r>
        <w:rPr>
          <w:rFonts w:hint="eastAsia" w:ascii="仿宋_GB2312" w:hAnsi="仿宋_GB2312" w:eastAsia="仿宋_GB2312" w:cs="仿宋_GB2312"/>
          <w:sz w:val="32"/>
          <w:szCs w:val="32"/>
        </w:rPr>
        <w:t>）开展了预算事前绩效评估，对5个项目编制了绩效目标，预算执行过程中，选取5个项目开展绩效监控，年终执行完毕后，对5个项目开展了绩效目标完成情况自评。</w:t>
      </w:r>
    </w:p>
    <w:p w14:paraId="584B79A4">
      <w:pPr>
        <w:spacing w:line="600" w:lineRule="exact"/>
        <w:ind w:firstLine="640"/>
        <w:rPr>
          <w:rFonts w:ascii="仿宋" w:hAnsi="仿宋" w:eastAsia="仿宋" w:cs="仿宋_GB2312"/>
          <w:color w:val="000000"/>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年部门整体支出开展绩效自评，从评价情况来看：</w:t>
      </w:r>
      <w:r>
        <w:rPr>
          <w:rFonts w:hint="eastAsia" w:ascii="仿宋_GB2312" w:eastAsia="仿宋_GB2312"/>
          <w:color w:val="000000"/>
          <w:sz w:val="32"/>
          <w:szCs w:val="32"/>
        </w:rPr>
        <w:t>本单位2020年财务支出符合国家财经法规和财务管理制度规定以及有关专项资金管理办法的规定，资金的拨付有完整的审批过程和手续，支出基本符合部门预算批复的用途，资金使用无截</w:t>
      </w:r>
      <w:r>
        <w:rPr>
          <w:rFonts w:hint="eastAsia" w:ascii="仿宋" w:hAnsi="仿宋" w:eastAsia="仿宋" w:cs="仿宋_GB2312"/>
          <w:color w:val="000000"/>
          <w:sz w:val="32"/>
          <w:szCs w:val="32"/>
        </w:rPr>
        <w:t>留、挤占、挪用、虚列支出等情况。根据区政府绩效考核文件精神，绩效目标在2020年基本完成，在保障机关运转、履行职能职责上整体情况良好。综合评价结果为优良级。</w:t>
      </w:r>
    </w:p>
    <w:p w14:paraId="24C2CBAF">
      <w:pPr>
        <w:spacing w:line="58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项目绩效目标完成情况。</w:t>
      </w:r>
    </w:p>
    <w:p w14:paraId="751BE64A">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年度部门决算中反映</w:t>
      </w:r>
      <w:r>
        <w:rPr>
          <w:rFonts w:hint="eastAsia" w:ascii="仿宋_GB2312" w:hAnsi="仿宋" w:eastAsia="仿宋_GB2312"/>
          <w:sz w:val="32"/>
          <w:szCs w:val="32"/>
        </w:rPr>
        <w:t>政法三级网络链路租赁费用和运行维护费用、维稳工作经费、</w:t>
      </w:r>
      <w:r>
        <w:rPr>
          <w:rFonts w:hint="eastAsia" w:eastAsia="仿宋_GB2312"/>
          <w:sz w:val="32"/>
          <w:szCs w:val="32"/>
        </w:rPr>
        <w:t>2020年争取资金工作经费、反邪教工</w:t>
      </w:r>
      <w:r>
        <w:rPr>
          <w:rFonts w:hint="eastAsia" w:ascii="仿宋_GB2312" w:hAnsi="仿宋" w:eastAsia="仿宋_GB2312"/>
          <w:sz w:val="32"/>
          <w:szCs w:val="32"/>
        </w:rPr>
        <w:t>作经费、政法专项经费</w:t>
      </w:r>
      <w:r>
        <w:rPr>
          <w:rFonts w:hint="eastAsia" w:ascii="仿宋_GB2312" w:hAnsi="仿宋_GB2312" w:eastAsia="仿宋_GB2312" w:cs="仿宋_GB2312"/>
          <w:sz w:val="32"/>
          <w:szCs w:val="32"/>
        </w:rPr>
        <w:t>等5个项目绩效目标实际完成情况。</w:t>
      </w:r>
    </w:p>
    <w:p w14:paraId="3CF6CC87">
      <w:pPr>
        <w:snapToGrid w:val="0"/>
        <w:spacing w:line="52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hint="eastAsia" w:ascii="仿宋_GB2312" w:hAnsi="仿宋" w:eastAsia="仿宋_GB2312"/>
          <w:sz w:val="32"/>
          <w:szCs w:val="32"/>
        </w:rPr>
        <w:t>政法三级网络链路租赁费用和运行维护费用</w:t>
      </w:r>
      <w:r>
        <w:rPr>
          <w:rFonts w:hint="eastAsia" w:ascii="仿宋_GB2312" w:hAnsi="仿宋_GB2312" w:eastAsia="仿宋_GB2312" w:cs="仿宋_GB2312"/>
          <w:sz w:val="32"/>
          <w:szCs w:val="32"/>
        </w:rPr>
        <w:t>项目绩效目标完成情况综述。项目全年预算数为17万元，执行数为17万元，完成预算的100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w:t>
      </w:r>
      <w:r>
        <w:rPr>
          <w:rFonts w:hint="eastAsia" w:ascii="仿宋_GB2312" w:hAnsi="仿宋" w:eastAsia="仿宋_GB2312"/>
          <w:sz w:val="32"/>
          <w:szCs w:val="32"/>
        </w:rPr>
        <w:t>保障了政法三级网运行，保障全区政法系统智能化建设，确保全区政法系统信息畅通，有效维护全区社会和谐稳定。</w:t>
      </w:r>
    </w:p>
    <w:p w14:paraId="52E64DFB">
      <w:pPr>
        <w:spacing w:line="580" w:lineRule="exact"/>
        <w:ind w:firstLine="640" w:firstLineChars="200"/>
        <w:rPr>
          <w:rFonts w:hAnsi="仿宋_GB2312" w:eastAsia="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hint="eastAsia" w:ascii="仿宋_GB2312" w:hAnsi="仿宋" w:eastAsia="仿宋_GB2312"/>
          <w:sz w:val="32"/>
          <w:szCs w:val="32"/>
        </w:rPr>
        <w:t>维稳工作经费</w:t>
      </w:r>
      <w:r>
        <w:rPr>
          <w:rFonts w:hint="eastAsia" w:ascii="仿宋_GB2312" w:hAnsi="仿宋_GB2312" w:eastAsia="仿宋_GB2312" w:cs="仿宋_GB2312"/>
          <w:sz w:val="32"/>
          <w:szCs w:val="32"/>
        </w:rPr>
        <w:t>项目绩效目标完成情况综述。项目全年预算数10万元，执行数为10万元，完成预算的100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w:t>
      </w:r>
      <w:r>
        <w:rPr>
          <w:rFonts w:hint="eastAsia" w:ascii="仿宋_GB2312" w:hAnsi="仿宋" w:eastAsia="仿宋_GB2312"/>
          <w:sz w:val="32"/>
          <w:szCs w:val="32"/>
        </w:rPr>
        <w:t>实现了</w:t>
      </w:r>
      <w:r>
        <w:rPr>
          <w:rFonts w:hAnsi="仿宋_GB2312" w:eastAsia="仿宋_GB2312"/>
          <w:sz w:val="32"/>
          <w:szCs w:val="32"/>
        </w:rPr>
        <w:t>累计滚动排查</w:t>
      </w:r>
      <w:r>
        <w:rPr>
          <w:rFonts w:hint="eastAsia" w:hAnsi="仿宋_GB2312" w:eastAsia="仿宋_GB2312"/>
          <w:sz w:val="32"/>
          <w:szCs w:val="32"/>
        </w:rPr>
        <w:t>、化解、</w:t>
      </w:r>
      <w:r>
        <w:rPr>
          <w:rFonts w:hAnsi="仿宋_GB2312" w:eastAsia="仿宋_GB2312"/>
          <w:sz w:val="32"/>
          <w:szCs w:val="32"/>
        </w:rPr>
        <w:t>处置各类不稳定因素300余件，指导开展</w:t>
      </w:r>
      <w:r>
        <w:rPr>
          <w:rFonts w:hint="eastAsia" w:hAnsi="仿宋_GB2312" w:eastAsia="仿宋_GB2312"/>
          <w:sz w:val="32"/>
          <w:szCs w:val="32"/>
        </w:rPr>
        <w:t>重大政策、重大改革、重大项目、重大活动</w:t>
      </w:r>
      <w:r>
        <w:rPr>
          <w:rFonts w:hAnsi="仿宋_GB2312" w:eastAsia="仿宋_GB2312"/>
          <w:sz w:val="32"/>
          <w:szCs w:val="32"/>
        </w:rPr>
        <w:t>社会稳定风险评估192件。逗硬落实重点人员专班稳控工作机制</w:t>
      </w:r>
      <w:r>
        <w:rPr>
          <w:rFonts w:hint="eastAsia" w:hAnsi="仿宋_GB2312" w:eastAsia="仿宋_GB2312"/>
          <w:sz w:val="32"/>
          <w:szCs w:val="32"/>
        </w:rPr>
        <w:t>，</w:t>
      </w:r>
      <w:r>
        <w:rPr>
          <w:rFonts w:hAnsi="仿宋_GB2312" w:eastAsia="仿宋_GB2312"/>
          <w:sz w:val="32"/>
          <w:szCs w:val="32"/>
        </w:rPr>
        <w:t>开展风险隐患专项排查</w:t>
      </w:r>
      <w:r>
        <w:rPr>
          <w:rFonts w:eastAsia="仿宋_GB2312"/>
          <w:sz w:val="32"/>
          <w:szCs w:val="32"/>
        </w:rPr>
        <w:t>5</w:t>
      </w:r>
      <w:r>
        <w:rPr>
          <w:rFonts w:hAnsi="仿宋_GB2312" w:eastAsia="仿宋_GB2312"/>
          <w:sz w:val="32"/>
          <w:szCs w:val="32"/>
        </w:rPr>
        <w:t>次，召开联席会议</w:t>
      </w:r>
      <w:r>
        <w:rPr>
          <w:rFonts w:eastAsia="仿宋_GB2312"/>
          <w:sz w:val="32"/>
          <w:szCs w:val="32"/>
        </w:rPr>
        <w:t>8</w:t>
      </w:r>
      <w:r>
        <w:rPr>
          <w:rFonts w:hAnsi="仿宋_GB2312" w:eastAsia="仿宋_GB2312"/>
          <w:sz w:val="32"/>
          <w:szCs w:val="32"/>
        </w:rPr>
        <w:t>次，开展重点领域涉稳问题专题调研</w:t>
      </w:r>
      <w:r>
        <w:rPr>
          <w:rFonts w:eastAsia="仿宋_GB2312"/>
          <w:sz w:val="32"/>
          <w:szCs w:val="32"/>
        </w:rPr>
        <w:t>4</w:t>
      </w:r>
      <w:r>
        <w:rPr>
          <w:rFonts w:hAnsi="仿宋_GB2312" w:eastAsia="仿宋_GB2312"/>
          <w:sz w:val="32"/>
          <w:szCs w:val="32"/>
        </w:rPr>
        <w:t>次，圆满完成全国</w:t>
      </w:r>
      <w:r>
        <w:rPr>
          <w:rFonts w:eastAsia="仿宋_GB2312"/>
          <w:sz w:val="32"/>
          <w:szCs w:val="32"/>
        </w:rPr>
        <w:t>“</w:t>
      </w:r>
      <w:r>
        <w:rPr>
          <w:rFonts w:hAnsi="仿宋_GB2312" w:eastAsia="仿宋_GB2312"/>
          <w:sz w:val="32"/>
          <w:szCs w:val="32"/>
        </w:rPr>
        <w:t>两会</w:t>
      </w:r>
      <w:r>
        <w:rPr>
          <w:rFonts w:eastAsia="仿宋_GB2312"/>
          <w:sz w:val="32"/>
          <w:szCs w:val="32"/>
        </w:rPr>
        <w:t>”</w:t>
      </w:r>
      <w:r>
        <w:rPr>
          <w:rFonts w:hAnsi="仿宋_GB2312" w:eastAsia="仿宋_GB2312"/>
          <w:sz w:val="32"/>
          <w:szCs w:val="32"/>
        </w:rPr>
        <w:t>、全省</w:t>
      </w:r>
      <w:r>
        <w:rPr>
          <w:rFonts w:eastAsia="仿宋_GB2312"/>
          <w:sz w:val="32"/>
          <w:szCs w:val="32"/>
        </w:rPr>
        <w:t>“</w:t>
      </w:r>
      <w:r>
        <w:rPr>
          <w:rFonts w:hAnsi="仿宋_GB2312" w:eastAsia="仿宋_GB2312"/>
          <w:sz w:val="32"/>
          <w:szCs w:val="32"/>
        </w:rPr>
        <w:t>大蜀道</w:t>
      </w:r>
      <w:r>
        <w:rPr>
          <w:rFonts w:eastAsia="仿宋_GB2312"/>
          <w:sz w:val="32"/>
          <w:szCs w:val="32"/>
        </w:rPr>
        <w:t>”</w:t>
      </w:r>
      <w:r>
        <w:rPr>
          <w:rFonts w:hAnsi="仿宋_GB2312" w:eastAsia="仿宋_GB2312"/>
          <w:sz w:val="32"/>
          <w:szCs w:val="32"/>
        </w:rPr>
        <w:t>文化旅游节</w:t>
      </w:r>
      <w:r>
        <w:rPr>
          <w:rFonts w:hint="eastAsia" w:hAnsi="仿宋_GB2312" w:eastAsia="仿宋_GB2312"/>
          <w:sz w:val="32"/>
          <w:szCs w:val="32"/>
        </w:rPr>
        <w:t>、党的十九届五中全会</w:t>
      </w:r>
      <w:r>
        <w:rPr>
          <w:rFonts w:hAnsi="仿宋_GB2312" w:eastAsia="仿宋_GB2312"/>
          <w:sz w:val="32"/>
          <w:szCs w:val="32"/>
        </w:rPr>
        <w:t>等重大活动</w:t>
      </w:r>
      <w:r>
        <w:rPr>
          <w:rFonts w:hint="eastAsia" w:hAnsi="仿宋_GB2312" w:eastAsia="仿宋_GB2312"/>
          <w:sz w:val="32"/>
          <w:szCs w:val="32"/>
        </w:rPr>
        <w:t>安全保卫任务</w:t>
      </w:r>
      <w:r>
        <w:rPr>
          <w:rFonts w:eastAsia="仿宋_GB2312"/>
          <w:sz w:val="32"/>
          <w:szCs w:val="32"/>
        </w:rPr>
        <w:t>30</w:t>
      </w:r>
      <w:r>
        <w:rPr>
          <w:rFonts w:hAnsi="仿宋_GB2312" w:eastAsia="仿宋_GB2312"/>
          <w:sz w:val="32"/>
          <w:szCs w:val="32"/>
        </w:rPr>
        <w:t>余次，实现了</w:t>
      </w:r>
      <w:r>
        <w:rPr>
          <w:rFonts w:eastAsia="仿宋_GB2312"/>
          <w:sz w:val="32"/>
          <w:szCs w:val="32"/>
        </w:rPr>
        <w:t>“</w:t>
      </w:r>
      <w:r>
        <w:rPr>
          <w:rFonts w:hAnsi="仿宋_GB2312" w:eastAsia="仿宋_GB2312"/>
          <w:sz w:val="32"/>
          <w:szCs w:val="32"/>
        </w:rPr>
        <w:t>六个不发生</w:t>
      </w:r>
      <w:r>
        <w:rPr>
          <w:rFonts w:eastAsia="仿宋_GB2312"/>
          <w:sz w:val="32"/>
          <w:szCs w:val="32"/>
        </w:rPr>
        <w:t>”</w:t>
      </w:r>
      <w:r>
        <w:rPr>
          <w:rFonts w:hAnsi="仿宋_GB2312" w:eastAsia="仿宋_GB2312"/>
          <w:sz w:val="32"/>
          <w:szCs w:val="32"/>
        </w:rPr>
        <w:t>硬目标</w:t>
      </w:r>
      <w:r>
        <w:rPr>
          <w:rFonts w:hint="eastAsia" w:hAnsi="仿宋_GB2312" w:eastAsia="仿宋_GB2312"/>
          <w:sz w:val="32"/>
          <w:szCs w:val="32"/>
        </w:rPr>
        <w:t>。公安机关成功侦破部督“7.17”民族资产解冻诈骗案、“12.13”特大电信网络诈骗案，取得良好社会效应</w:t>
      </w:r>
      <w:r>
        <w:rPr>
          <w:rFonts w:hAnsi="仿宋_GB2312" w:eastAsia="仿宋_GB2312"/>
          <w:sz w:val="32"/>
          <w:szCs w:val="32"/>
        </w:rPr>
        <w:t>。</w:t>
      </w:r>
    </w:p>
    <w:p w14:paraId="7D3A1020">
      <w:pPr>
        <w:snapToGrid w:val="0"/>
        <w:spacing w:line="520" w:lineRule="exact"/>
        <w:ind w:firstLine="640" w:firstLineChars="200"/>
        <w:rPr>
          <w:rFonts w:eastAsia="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hint="eastAsia" w:eastAsia="仿宋_GB2312"/>
          <w:sz w:val="32"/>
          <w:szCs w:val="32"/>
        </w:rPr>
        <w:t>2020年争取资金工作经费</w:t>
      </w:r>
      <w:r>
        <w:rPr>
          <w:rFonts w:hint="eastAsia" w:ascii="仿宋_GB2312" w:hAnsi="仿宋_GB2312" w:eastAsia="仿宋_GB2312" w:cs="仿宋_GB2312"/>
          <w:sz w:val="32"/>
          <w:szCs w:val="32"/>
        </w:rPr>
        <w:t>项目绩效目标完成情况综述。项目全年预算数2万元，执行数为2万元，完成预算的100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w:t>
      </w:r>
      <w:r>
        <w:rPr>
          <w:rFonts w:hint="eastAsia" w:eastAsia="仿宋_GB2312"/>
          <w:sz w:val="32"/>
          <w:szCs w:val="32"/>
        </w:rPr>
        <w:t>通过积极向上级申报，按照要求向上级申报资料，争取铁路护路联防等专项经费，全面完成争取资金任务，全年争取资金77.87万元。</w:t>
      </w:r>
    </w:p>
    <w:p w14:paraId="0BDE1D95">
      <w:pPr>
        <w:snapToGrid w:val="0"/>
        <w:spacing w:line="52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（4）</w:t>
      </w:r>
      <w:r>
        <w:rPr>
          <w:rFonts w:hint="eastAsia" w:eastAsia="仿宋_GB2312"/>
          <w:sz w:val="32"/>
          <w:szCs w:val="32"/>
        </w:rPr>
        <w:t>防邪工</w:t>
      </w:r>
      <w:r>
        <w:rPr>
          <w:rFonts w:hint="eastAsia" w:ascii="仿宋_GB2312" w:hAnsi="仿宋" w:eastAsia="仿宋_GB2312"/>
          <w:sz w:val="32"/>
          <w:szCs w:val="32"/>
        </w:rPr>
        <w:t>作经费</w:t>
      </w:r>
      <w:r>
        <w:rPr>
          <w:rFonts w:hint="eastAsia" w:ascii="仿宋_GB2312" w:hAnsi="仿宋_GB2312" w:eastAsia="仿宋_GB2312" w:cs="仿宋_GB2312"/>
          <w:sz w:val="32"/>
          <w:szCs w:val="32"/>
        </w:rPr>
        <w:t>项目绩效目标完成情况综述。项目全年预算数5万元，执行数为5万元，完成预算的100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w:t>
      </w:r>
      <w:r>
        <w:rPr>
          <w:rFonts w:hint="eastAsia" w:ascii="仿宋_GB2312" w:hAnsi="仿宋" w:eastAsia="仿宋_GB2312"/>
          <w:sz w:val="32"/>
          <w:szCs w:val="32"/>
        </w:rPr>
        <w:t>实现了思想教育转化到位的依法解脱，减少存量、群众防邪反邪意识不断提升、反邪教志愿者业务能力提升、六无社区（无邪教）创建、资金使用规范。</w:t>
      </w:r>
    </w:p>
    <w:p w14:paraId="08142C80">
      <w:pPr>
        <w:snapToGrid w:val="0"/>
        <w:spacing w:line="52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（5）</w:t>
      </w:r>
      <w:r>
        <w:rPr>
          <w:rFonts w:hint="eastAsia" w:ascii="仿宋_GB2312" w:hAnsi="仿宋" w:eastAsia="仿宋_GB2312"/>
          <w:sz w:val="32"/>
          <w:szCs w:val="32"/>
        </w:rPr>
        <w:t>政法专项经费</w:t>
      </w:r>
      <w:r>
        <w:rPr>
          <w:rFonts w:hint="eastAsia" w:ascii="仿宋_GB2312" w:hAnsi="仿宋_GB2312" w:eastAsia="仿宋_GB2312" w:cs="仿宋_GB2312"/>
          <w:sz w:val="32"/>
          <w:szCs w:val="32"/>
        </w:rPr>
        <w:t>项目绩效目标完成情况综述。项目全年预算数21.87万元，执行数为21.87万元，完成预算的100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w:t>
      </w:r>
      <w:r>
        <w:rPr>
          <w:rFonts w:hint="eastAsia" w:ascii="仿宋_GB2312" w:hAnsi="仿宋" w:eastAsia="仿宋_GB2312"/>
          <w:sz w:val="32"/>
          <w:szCs w:val="32"/>
        </w:rPr>
        <w:t>实现了全力维护辖区铁路的平安稳定运行、铁路沿线群众护路意识不断提升、联防队员业务提升、铁路沿线27村创“九无”平安铁路示范村、资金使用规范。</w:t>
      </w:r>
    </w:p>
    <w:p w14:paraId="110F2417">
      <w:pPr>
        <w:spacing w:line="580" w:lineRule="exact"/>
        <w:ind w:firstLine="640" w:firstLineChars="200"/>
        <w:rPr>
          <w:rFonts w:ascii="仿宋_GB2312" w:hAnsi="仿宋_GB2312" w:eastAsia="仿宋_GB2312" w:cs="仿宋_GB2312"/>
          <w:sz w:val="32"/>
          <w:szCs w:val="32"/>
        </w:rPr>
      </w:pPr>
    </w:p>
    <w:tbl>
      <w:tblPr>
        <w:tblStyle w:val="12"/>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0DD530C5">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00E75FCD">
            <w:pPr>
              <w:widowControl/>
              <w:jc w:val="center"/>
              <w:textAlignment w:val="center"/>
              <w:rPr>
                <w:rFonts w:hint="eastAsia" w:ascii="宋体" w:hAnsi="宋体" w:cs="宋体"/>
                <w:color w:val="000000"/>
                <w:kern w:val="0"/>
                <w:sz w:val="36"/>
                <w:szCs w:val="36"/>
              </w:rPr>
            </w:pPr>
          </w:p>
          <w:p w14:paraId="638F2CF8">
            <w:pPr>
              <w:widowControl/>
              <w:jc w:val="center"/>
              <w:textAlignment w:val="center"/>
              <w:rPr>
                <w:rFonts w:hint="eastAsia" w:ascii="宋体" w:hAnsi="宋体" w:cs="宋体"/>
                <w:color w:val="000000"/>
                <w:kern w:val="0"/>
                <w:sz w:val="36"/>
                <w:szCs w:val="36"/>
              </w:rPr>
            </w:pPr>
          </w:p>
          <w:p w14:paraId="2A0E9A7E">
            <w:pPr>
              <w:widowControl/>
              <w:jc w:val="center"/>
              <w:textAlignment w:val="center"/>
              <w:rPr>
                <w:rFonts w:hint="eastAsia" w:ascii="宋体" w:hAnsi="宋体" w:cs="宋体"/>
                <w:color w:val="000000"/>
                <w:kern w:val="0"/>
                <w:sz w:val="36"/>
                <w:szCs w:val="36"/>
              </w:rPr>
            </w:pPr>
          </w:p>
          <w:p w14:paraId="3A531845">
            <w:pPr>
              <w:widowControl/>
              <w:jc w:val="center"/>
              <w:textAlignment w:val="center"/>
              <w:rPr>
                <w:rFonts w:hint="eastAsia" w:ascii="宋体" w:hAnsi="宋体" w:cs="宋体"/>
                <w:color w:val="000000"/>
                <w:kern w:val="0"/>
                <w:sz w:val="36"/>
                <w:szCs w:val="36"/>
              </w:rPr>
            </w:pPr>
          </w:p>
          <w:p w14:paraId="6607F6F6">
            <w:pPr>
              <w:widowControl/>
              <w:jc w:val="center"/>
              <w:textAlignment w:val="center"/>
              <w:rPr>
                <w:rFonts w:hint="eastAsia" w:ascii="宋体" w:hAnsi="宋体" w:cs="宋体"/>
                <w:color w:val="000000"/>
                <w:kern w:val="0"/>
                <w:sz w:val="36"/>
                <w:szCs w:val="36"/>
              </w:rPr>
            </w:pPr>
          </w:p>
          <w:p w14:paraId="1865A92A">
            <w:pPr>
              <w:widowControl/>
              <w:jc w:val="center"/>
              <w:textAlignment w:val="center"/>
              <w:rPr>
                <w:rFonts w:hint="eastAsia" w:ascii="宋体" w:hAnsi="宋体" w:cs="宋体"/>
                <w:color w:val="000000"/>
                <w:kern w:val="0"/>
                <w:sz w:val="36"/>
                <w:szCs w:val="36"/>
              </w:rPr>
            </w:pPr>
          </w:p>
          <w:p w14:paraId="4BC4766C">
            <w:pPr>
              <w:widowControl/>
              <w:jc w:val="center"/>
              <w:textAlignment w:val="center"/>
              <w:rPr>
                <w:rFonts w:ascii="宋体" w:cs="宋体"/>
                <w:color w:val="000000"/>
                <w:kern w:val="0"/>
                <w:sz w:val="36"/>
                <w:szCs w:val="36"/>
              </w:rPr>
            </w:pPr>
            <w:r>
              <w:rPr>
                <w:rFonts w:hint="eastAsia" w:ascii="宋体" w:hAnsi="宋体" w:cs="宋体"/>
                <w:color w:val="000000"/>
                <w:kern w:val="0"/>
                <w:sz w:val="36"/>
                <w:szCs w:val="36"/>
              </w:rPr>
              <w:t>项目绩效目标完成情况表</w:t>
            </w:r>
          </w:p>
          <w:p w14:paraId="30634543">
            <w:pPr>
              <w:widowControl/>
              <w:jc w:val="center"/>
              <w:textAlignment w:val="center"/>
              <w:rPr>
                <w:rFonts w:ascii="宋体" w:cs="宋体"/>
                <w:color w:val="000000"/>
                <w:sz w:val="36"/>
                <w:szCs w:val="36"/>
              </w:rPr>
            </w:pPr>
            <w:r>
              <w:rPr>
                <w:rFonts w:ascii="宋体" w:hAnsi="宋体" w:cs="宋体"/>
                <w:color w:val="000000"/>
                <w:kern w:val="0"/>
                <w:sz w:val="36"/>
                <w:szCs w:val="36"/>
              </w:rPr>
              <w:t>(2020</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14:paraId="5C84A8EF">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50C582">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EAC35E">
            <w:pPr>
              <w:widowControl/>
              <w:jc w:val="center"/>
              <w:textAlignment w:val="center"/>
              <w:rPr>
                <w:rFonts w:ascii="宋体" w:cs="宋体"/>
                <w:color w:val="000000"/>
                <w:sz w:val="24"/>
              </w:rPr>
            </w:pPr>
            <w:r>
              <w:rPr>
                <w:rFonts w:hint="eastAsia" w:ascii="宋体" w:cs="宋体"/>
                <w:color w:val="000000"/>
                <w:sz w:val="24"/>
              </w:rPr>
              <w:t>政法专项经费（铁路护路）</w:t>
            </w:r>
          </w:p>
        </w:tc>
      </w:tr>
      <w:tr w14:paraId="17411427">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F7C0BF">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687BF0">
            <w:pPr>
              <w:widowControl/>
              <w:jc w:val="center"/>
              <w:textAlignment w:val="center"/>
              <w:rPr>
                <w:rFonts w:ascii="宋体" w:cs="宋体"/>
                <w:color w:val="000000"/>
                <w:sz w:val="24"/>
              </w:rPr>
            </w:pPr>
            <w:r>
              <w:rPr>
                <w:rFonts w:hint="eastAsia" w:ascii="宋体" w:cs="宋体"/>
                <w:color w:val="000000"/>
                <w:sz w:val="24"/>
              </w:rPr>
              <w:t>区委政法委</w:t>
            </w:r>
          </w:p>
        </w:tc>
      </w:tr>
      <w:tr w14:paraId="45565FED">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4CEB05">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8961C3">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826D08">
            <w:pPr>
              <w:widowControl/>
              <w:jc w:val="center"/>
              <w:textAlignment w:val="center"/>
              <w:rPr>
                <w:rFonts w:ascii="宋体" w:cs="宋体"/>
                <w:color w:val="000000"/>
                <w:sz w:val="24"/>
              </w:rPr>
            </w:pPr>
            <w:r>
              <w:rPr>
                <w:rFonts w:hint="eastAsia" w:ascii="宋体" w:cs="宋体"/>
                <w:color w:val="000000"/>
                <w:sz w:val="24"/>
              </w:rPr>
              <w:t>21.87万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C5C4E5">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A8822F">
            <w:pPr>
              <w:widowControl/>
              <w:jc w:val="center"/>
              <w:textAlignment w:val="center"/>
              <w:rPr>
                <w:rFonts w:ascii="宋体" w:cs="宋体"/>
                <w:color w:val="000000"/>
                <w:sz w:val="24"/>
              </w:rPr>
            </w:pPr>
            <w:r>
              <w:rPr>
                <w:rFonts w:hint="eastAsia" w:ascii="宋体" w:cs="宋体"/>
                <w:color w:val="000000"/>
                <w:sz w:val="24"/>
              </w:rPr>
              <w:t>21.87万</w:t>
            </w:r>
          </w:p>
        </w:tc>
      </w:tr>
      <w:tr w14:paraId="22F9DF9C">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CF13FB">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C22CB2">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A27C3B">
            <w:pPr>
              <w:widowControl/>
              <w:jc w:val="center"/>
              <w:textAlignment w:val="center"/>
              <w:rPr>
                <w:rFonts w:ascii="宋体" w:cs="宋体"/>
                <w:color w:val="000000"/>
                <w:sz w:val="24"/>
              </w:rPr>
            </w:pPr>
            <w:r>
              <w:rPr>
                <w:rFonts w:hint="eastAsia" w:ascii="宋体" w:cs="宋体"/>
                <w:color w:val="000000"/>
                <w:sz w:val="24"/>
              </w:rPr>
              <w:t>21.87万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1E0B00">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6934CD">
            <w:pPr>
              <w:widowControl/>
              <w:jc w:val="center"/>
              <w:textAlignment w:val="center"/>
              <w:rPr>
                <w:rFonts w:ascii="宋体" w:cs="宋体"/>
                <w:color w:val="000000"/>
                <w:sz w:val="24"/>
              </w:rPr>
            </w:pPr>
            <w:r>
              <w:rPr>
                <w:rFonts w:hint="eastAsia" w:ascii="宋体" w:cs="宋体"/>
                <w:color w:val="000000"/>
                <w:sz w:val="24"/>
              </w:rPr>
              <w:t>21.87万</w:t>
            </w:r>
          </w:p>
        </w:tc>
      </w:tr>
      <w:tr w14:paraId="5CF7A290">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4195CD">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9411BB">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57EC96">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372015">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3CCD7E">
            <w:pPr>
              <w:jc w:val="center"/>
              <w:rPr>
                <w:rFonts w:ascii="宋体" w:cs="宋体"/>
                <w:color w:val="000000"/>
                <w:sz w:val="24"/>
              </w:rPr>
            </w:pPr>
          </w:p>
        </w:tc>
      </w:tr>
      <w:tr w14:paraId="59E8FCF7">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B89767">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86ABEE">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425CBD">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14:paraId="324AC630">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C7B7A5">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7C6531">
            <w:pPr>
              <w:widowControl/>
              <w:jc w:val="center"/>
              <w:textAlignment w:val="center"/>
              <w:rPr>
                <w:rFonts w:ascii="宋体" w:cs="宋体"/>
                <w:color w:val="000000"/>
                <w:sz w:val="24"/>
              </w:rPr>
            </w:pPr>
            <w:r>
              <w:rPr>
                <w:rFonts w:hint="eastAsia" w:ascii="宋体" w:cs="宋体"/>
                <w:color w:val="000000"/>
                <w:sz w:val="24"/>
              </w:rPr>
              <w:t>通过开展铁路护路联防，全力维护辖区铁路的平安稳定运行。</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035A0E">
            <w:pPr>
              <w:widowControl/>
              <w:jc w:val="left"/>
              <w:textAlignment w:val="center"/>
              <w:rPr>
                <w:rFonts w:ascii="宋体" w:hAnsi="宋体" w:cs="宋体"/>
                <w:color w:val="000000"/>
                <w:sz w:val="24"/>
              </w:rPr>
            </w:pPr>
            <w:r>
              <w:rPr>
                <w:rFonts w:ascii="宋体" w:hAnsi="宋体" w:cs="宋体"/>
                <w:color w:val="000000"/>
                <w:sz w:val="24"/>
              </w:rPr>
              <w:t>1、全力维护辖区铁路的平安稳定运行；</w:t>
            </w:r>
          </w:p>
          <w:p w14:paraId="6F213381">
            <w:pPr>
              <w:widowControl/>
              <w:jc w:val="left"/>
              <w:textAlignment w:val="center"/>
              <w:rPr>
                <w:rFonts w:ascii="宋体" w:hAnsi="宋体" w:cs="宋体"/>
                <w:color w:val="000000"/>
                <w:sz w:val="24"/>
              </w:rPr>
            </w:pPr>
            <w:r>
              <w:rPr>
                <w:rFonts w:ascii="宋体" w:hAnsi="宋体" w:cs="宋体"/>
                <w:color w:val="000000"/>
                <w:sz w:val="24"/>
              </w:rPr>
              <w:t>2、铁路沿线群众护路意识不断提升；</w:t>
            </w:r>
          </w:p>
          <w:p w14:paraId="743194F4">
            <w:pPr>
              <w:widowControl/>
              <w:jc w:val="left"/>
              <w:textAlignment w:val="center"/>
              <w:rPr>
                <w:rFonts w:ascii="宋体" w:hAnsi="宋体" w:cs="宋体"/>
                <w:color w:val="000000"/>
                <w:sz w:val="24"/>
              </w:rPr>
            </w:pPr>
            <w:r>
              <w:rPr>
                <w:rFonts w:ascii="宋体" w:hAnsi="宋体" w:cs="宋体"/>
                <w:color w:val="000000"/>
                <w:sz w:val="24"/>
              </w:rPr>
              <w:t>3、联防队员业务提升；</w:t>
            </w:r>
          </w:p>
          <w:p w14:paraId="670B84B7">
            <w:pPr>
              <w:widowControl/>
              <w:jc w:val="left"/>
              <w:textAlignment w:val="center"/>
              <w:rPr>
                <w:rFonts w:ascii="宋体" w:hAnsi="宋体" w:cs="宋体"/>
                <w:color w:val="000000"/>
                <w:sz w:val="24"/>
              </w:rPr>
            </w:pPr>
            <w:r>
              <w:rPr>
                <w:rFonts w:ascii="宋体" w:hAnsi="宋体" w:cs="宋体"/>
                <w:color w:val="000000"/>
                <w:sz w:val="24"/>
              </w:rPr>
              <w:t>4、铁路沿线创“九无”平安铁路示范村；</w:t>
            </w:r>
          </w:p>
          <w:p w14:paraId="1543FD24">
            <w:pPr>
              <w:widowControl/>
              <w:jc w:val="left"/>
              <w:textAlignment w:val="center"/>
              <w:rPr>
                <w:rFonts w:ascii="宋体" w:cs="宋体"/>
                <w:color w:val="000000"/>
                <w:sz w:val="24"/>
              </w:rPr>
            </w:pPr>
            <w:r>
              <w:rPr>
                <w:rFonts w:ascii="宋体" w:hAnsi="宋体" w:cs="宋体"/>
                <w:color w:val="000000"/>
                <w:sz w:val="24"/>
              </w:rPr>
              <w:t>5、资金使用规范。</w:t>
            </w:r>
          </w:p>
        </w:tc>
      </w:tr>
      <w:tr w14:paraId="0DA1D260">
        <w:tblPrEx>
          <w:tblCellMar>
            <w:top w:w="0" w:type="dxa"/>
            <w:left w:w="0" w:type="dxa"/>
            <w:bottom w:w="0" w:type="dxa"/>
            <w:right w:w="0" w:type="dxa"/>
          </w:tblCellMar>
        </w:tblPrEx>
        <w:trPr>
          <w:trHeight w:val="1042" w:hRule="atLeast"/>
          <w:jc w:val="center"/>
        </w:trPr>
        <w:tc>
          <w:tcPr>
            <w:tcW w:w="390" w:type="dxa"/>
            <w:tcBorders>
              <w:top w:val="single" w:color="000000" w:sz="4" w:space="0"/>
              <w:left w:val="single" w:color="000000" w:sz="4" w:space="0"/>
              <w:right w:val="single" w:color="000000" w:sz="4" w:space="0"/>
            </w:tcBorders>
            <w:tcMar>
              <w:top w:w="15" w:type="dxa"/>
              <w:left w:w="15" w:type="dxa"/>
              <w:right w:w="15" w:type="dxa"/>
            </w:tcMar>
            <w:vAlign w:val="center"/>
          </w:tcPr>
          <w:p w14:paraId="17EEEF2B">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91491F">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F43324">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977BD9">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492CD1">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895CDB">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14:paraId="776F9FF1">
        <w:tblPrEx>
          <w:tblCellMar>
            <w:top w:w="0" w:type="dxa"/>
            <w:left w:w="0" w:type="dxa"/>
            <w:bottom w:w="0" w:type="dxa"/>
            <w:right w:w="0" w:type="dxa"/>
          </w:tblCellMar>
        </w:tblPrEx>
        <w:trPr>
          <w:trHeight w:val="953" w:hRule="atLeast"/>
          <w:jc w:val="center"/>
        </w:trPr>
        <w:tc>
          <w:tcPr>
            <w:tcW w:w="390" w:type="dxa"/>
            <w:vMerge w:val="restart"/>
            <w:tcBorders>
              <w:left w:val="single" w:color="000000" w:sz="4" w:space="0"/>
              <w:right w:val="single" w:color="000000" w:sz="4" w:space="0"/>
            </w:tcBorders>
            <w:tcMar>
              <w:top w:w="15" w:type="dxa"/>
              <w:left w:w="15" w:type="dxa"/>
              <w:right w:w="15" w:type="dxa"/>
            </w:tcMar>
            <w:vAlign w:val="center"/>
          </w:tcPr>
          <w:p w14:paraId="11572D7C">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F0E630">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A2137D">
            <w:pPr>
              <w:widowControl/>
              <w:jc w:val="center"/>
              <w:textAlignment w:val="center"/>
              <w:rPr>
                <w:rFonts w:ascii="宋体" w:hAnsi="宋体" w:cs="宋体"/>
                <w:color w:val="000000"/>
                <w:sz w:val="24"/>
              </w:rPr>
            </w:pPr>
            <w:r>
              <w:rPr>
                <w:rFonts w:hint="eastAsia" w:ascii="宋体" w:hAnsi="宋体" w:cs="宋体"/>
                <w:color w:val="000000"/>
                <w:kern w:val="0"/>
                <w:sz w:val="22"/>
                <w:szCs w:val="22"/>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2821AD">
            <w:pPr>
              <w:widowControl/>
              <w:jc w:val="center"/>
              <w:textAlignment w:val="center"/>
              <w:rPr>
                <w:rFonts w:ascii="宋体" w:hAnsi="宋体" w:cs="宋体"/>
                <w:color w:val="000000"/>
                <w:sz w:val="24"/>
              </w:rPr>
            </w:pPr>
            <w:r>
              <w:rPr>
                <w:rFonts w:hint="eastAsia" w:ascii="宋体" w:hAnsi="宋体" w:cs="宋体"/>
                <w:color w:val="000000"/>
                <w:kern w:val="0"/>
                <w:sz w:val="22"/>
                <w:szCs w:val="22"/>
              </w:rPr>
              <w:t>支出率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E3A51B">
            <w:pPr>
              <w:widowControl/>
              <w:jc w:val="left"/>
              <w:textAlignment w:val="center"/>
              <w:rPr>
                <w:rFonts w:ascii="宋体" w:hAnsi="宋体" w:cs="宋体"/>
                <w:color w:val="000000"/>
                <w:sz w:val="24"/>
              </w:rPr>
            </w:pPr>
            <w:r>
              <w:rPr>
                <w:rFonts w:hint="eastAsia" w:ascii="宋体" w:hAnsi="宋体" w:cs="宋体"/>
                <w:color w:val="000000"/>
                <w:kern w:val="0"/>
                <w:sz w:val="22"/>
                <w:szCs w:val="22"/>
              </w:rPr>
              <w:t>全年支出率达100%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E8EE80">
            <w:pPr>
              <w:widowControl/>
              <w:jc w:val="left"/>
              <w:textAlignment w:val="center"/>
              <w:rPr>
                <w:rFonts w:ascii="宋体" w:hAnsi="宋体" w:cs="宋体"/>
                <w:color w:val="000000"/>
                <w:sz w:val="24"/>
              </w:rPr>
            </w:pPr>
            <w:r>
              <w:rPr>
                <w:rFonts w:hint="eastAsia" w:ascii="宋体" w:hAnsi="宋体" w:cs="宋体"/>
                <w:color w:val="000000"/>
                <w:sz w:val="24"/>
              </w:rPr>
              <w:t>支出完成100%</w:t>
            </w:r>
          </w:p>
        </w:tc>
      </w:tr>
      <w:tr w14:paraId="6CF9C53F">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4F4E1DE">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F466EB">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35F253">
            <w:pPr>
              <w:jc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3736E0">
            <w:pPr>
              <w:widowControl/>
              <w:jc w:val="center"/>
              <w:textAlignment w:val="center"/>
              <w:rPr>
                <w:rFonts w:ascii="宋体" w:hAnsi="宋体" w:cs="宋体"/>
                <w:color w:val="000000"/>
                <w:sz w:val="24"/>
              </w:rPr>
            </w:pPr>
            <w:r>
              <w:rPr>
                <w:rFonts w:hint="eastAsia" w:ascii="宋体" w:hAnsi="宋体" w:cs="宋体"/>
                <w:color w:val="000000"/>
                <w:kern w:val="0"/>
                <w:sz w:val="22"/>
                <w:szCs w:val="22"/>
              </w:rPr>
              <w:t>会议培训人数达标率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A358A6">
            <w:pPr>
              <w:widowControl/>
              <w:jc w:val="left"/>
              <w:textAlignment w:val="center"/>
              <w:rPr>
                <w:rFonts w:ascii="宋体" w:hAnsi="宋体" w:cs="宋体"/>
                <w:color w:val="000000"/>
                <w:sz w:val="24"/>
              </w:rPr>
            </w:pPr>
            <w:r>
              <w:rPr>
                <w:rFonts w:hint="eastAsia" w:ascii="宋体" w:hAnsi="宋体" w:cs="宋体"/>
                <w:color w:val="000000"/>
                <w:kern w:val="0"/>
                <w:sz w:val="22"/>
                <w:szCs w:val="22"/>
              </w:rPr>
              <w:t>全年所有护路队员培训2次,培训50人次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478274">
            <w:pPr>
              <w:widowControl/>
              <w:jc w:val="left"/>
              <w:textAlignment w:val="center"/>
              <w:rPr>
                <w:rFonts w:ascii="宋体" w:hAnsi="宋体" w:cs="宋体"/>
                <w:color w:val="000000"/>
                <w:sz w:val="24"/>
              </w:rPr>
            </w:pPr>
            <w:r>
              <w:rPr>
                <w:rFonts w:hint="eastAsia" w:ascii="宋体" w:hAnsi="宋体" w:cs="宋体"/>
                <w:color w:val="000000"/>
                <w:sz w:val="24"/>
              </w:rPr>
              <w:t>开展培训2次，护路宣传5次，培训50余人次</w:t>
            </w:r>
          </w:p>
        </w:tc>
      </w:tr>
      <w:tr w14:paraId="271A217D">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01B8A2D">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039EC8">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5F7EB2">
            <w:pPr>
              <w:jc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CDD7CD">
            <w:pPr>
              <w:widowControl/>
              <w:jc w:val="center"/>
              <w:textAlignment w:val="center"/>
              <w:rPr>
                <w:rFonts w:ascii="宋体" w:hAnsi="宋体" w:cs="宋体"/>
                <w:color w:val="000000"/>
                <w:sz w:val="24"/>
              </w:rPr>
            </w:pPr>
            <w:r>
              <w:rPr>
                <w:rFonts w:hint="eastAsia" w:ascii="宋体" w:hAnsi="宋体" w:cs="宋体"/>
                <w:color w:val="000000"/>
                <w:kern w:val="0"/>
                <w:sz w:val="22"/>
                <w:szCs w:val="22"/>
              </w:rPr>
              <w:t>发放率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08E589">
            <w:pPr>
              <w:widowControl/>
              <w:jc w:val="left"/>
              <w:textAlignment w:val="center"/>
              <w:rPr>
                <w:rFonts w:ascii="宋体" w:hAnsi="宋体" w:cs="宋体"/>
                <w:color w:val="000000"/>
                <w:sz w:val="24"/>
              </w:rPr>
            </w:pPr>
            <w:r>
              <w:rPr>
                <w:rFonts w:hint="eastAsia" w:ascii="宋体" w:hAnsi="宋体" w:cs="宋体"/>
                <w:color w:val="000000"/>
                <w:kern w:val="0"/>
                <w:sz w:val="22"/>
                <w:szCs w:val="22"/>
              </w:rPr>
              <w:t>护路队员误工补助发放率100%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D72C53">
            <w:pPr>
              <w:widowControl/>
              <w:jc w:val="left"/>
              <w:textAlignment w:val="center"/>
              <w:rPr>
                <w:rFonts w:ascii="宋体" w:hAnsi="宋体" w:cs="宋体"/>
                <w:color w:val="000000"/>
                <w:sz w:val="24"/>
              </w:rPr>
            </w:pPr>
            <w:r>
              <w:rPr>
                <w:rFonts w:hint="eastAsia" w:ascii="宋体" w:hAnsi="宋体" w:cs="宋体"/>
                <w:color w:val="000000"/>
                <w:sz w:val="24"/>
              </w:rPr>
              <w:t>及时发放，到位率100%</w:t>
            </w:r>
          </w:p>
        </w:tc>
      </w:tr>
      <w:tr w14:paraId="2BEEA560">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CFB2C59">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2F6D2F">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D5E6DC">
            <w:pPr>
              <w:jc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6F2D93">
            <w:pPr>
              <w:widowControl/>
              <w:jc w:val="center"/>
              <w:textAlignment w:val="center"/>
              <w:rPr>
                <w:rFonts w:ascii="宋体" w:hAnsi="宋体" w:cs="宋体"/>
                <w:color w:val="000000"/>
                <w:sz w:val="24"/>
              </w:rPr>
            </w:pPr>
            <w:r>
              <w:rPr>
                <w:rFonts w:hint="eastAsia" w:ascii="宋体" w:hAnsi="宋体" w:cs="宋体"/>
                <w:color w:val="000000"/>
                <w:kern w:val="0"/>
                <w:sz w:val="22"/>
                <w:szCs w:val="22"/>
              </w:rPr>
              <w:t>支出及时率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ADB4BB">
            <w:pPr>
              <w:widowControl/>
              <w:jc w:val="left"/>
              <w:textAlignment w:val="center"/>
              <w:rPr>
                <w:rFonts w:ascii="宋体" w:hAnsi="宋体" w:cs="宋体"/>
                <w:color w:val="000000"/>
                <w:sz w:val="24"/>
              </w:rPr>
            </w:pPr>
            <w:r>
              <w:rPr>
                <w:rFonts w:hint="eastAsia" w:ascii="宋体" w:hAnsi="宋体" w:cs="宋体"/>
                <w:color w:val="000000"/>
                <w:kern w:val="0"/>
                <w:sz w:val="22"/>
                <w:szCs w:val="22"/>
              </w:rPr>
              <w:t>准确及时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E910FE">
            <w:pPr>
              <w:widowControl/>
              <w:jc w:val="left"/>
              <w:textAlignment w:val="center"/>
              <w:rPr>
                <w:rFonts w:ascii="宋体" w:hAnsi="宋体" w:cs="宋体"/>
                <w:color w:val="000000"/>
                <w:sz w:val="24"/>
              </w:rPr>
            </w:pPr>
            <w:r>
              <w:rPr>
                <w:rFonts w:hint="eastAsia" w:ascii="宋体" w:hAnsi="宋体" w:cs="宋体"/>
                <w:color w:val="000000"/>
                <w:sz w:val="24"/>
              </w:rPr>
              <w:t>准确及是</w:t>
            </w:r>
          </w:p>
        </w:tc>
      </w:tr>
      <w:tr w14:paraId="528921B5">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3A7D017">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AF7CE8">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97A85">
            <w:pPr>
              <w:widowControl/>
              <w:jc w:val="center"/>
              <w:textAlignment w:val="center"/>
              <w:rPr>
                <w:rFonts w:ascii="宋体" w:hAnsi="宋体" w:cs="宋体"/>
                <w:color w:val="000000"/>
                <w:sz w:val="24"/>
              </w:rPr>
            </w:pPr>
            <w:r>
              <w:rPr>
                <w:rFonts w:hint="eastAsia" w:ascii="宋体" w:hAnsi="宋体" w:cs="宋体"/>
                <w:color w:val="000000"/>
                <w:kern w:val="0"/>
                <w:sz w:val="22"/>
                <w:szCs w:val="22"/>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4E908C">
            <w:pPr>
              <w:widowControl/>
              <w:jc w:val="center"/>
              <w:textAlignment w:val="center"/>
              <w:rPr>
                <w:rFonts w:ascii="宋体" w:hAnsi="宋体" w:cs="宋体"/>
                <w:color w:val="000000"/>
                <w:sz w:val="24"/>
              </w:rPr>
            </w:pPr>
            <w:r>
              <w:rPr>
                <w:rFonts w:hint="eastAsia" w:ascii="宋体" w:hAnsi="宋体" w:cs="宋体"/>
                <w:color w:val="000000"/>
                <w:kern w:val="0"/>
                <w:sz w:val="22"/>
                <w:szCs w:val="22"/>
              </w:rPr>
              <w:t>验收合格率(%)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20E0E3">
            <w:pPr>
              <w:widowControl/>
              <w:jc w:val="left"/>
              <w:textAlignment w:val="center"/>
              <w:rPr>
                <w:rFonts w:ascii="宋体" w:hAnsi="宋体" w:cs="宋体"/>
                <w:color w:val="000000"/>
                <w:sz w:val="24"/>
              </w:rPr>
            </w:pPr>
            <w:r>
              <w:rPr>
                <w:rFonts w:hint="eastAsia" w:ascii="宋体" w:hAnsi="宋体" w:cs="宋体"/>
                <w:color w:val="000000"/>
                <w:kern w:val="0"/>
                <w:sz w:val="22"/>
                <w:szCs w:val="22"/>
              </w:rPr>
              <w:t>沿线村全部建成“九无”平安铁路示范村，确保3条铁路线路54.835公里平安稳定运行，项目合格率达95%以上。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0E29DB">
            <w:pPr>
              <w:widowControl/>
              <w:jc w:val="left"/>
              <w:textAlignment w:val="center"/>
              <w:rPr>
                <w:rFonts w:ascii="宋体" w:hAnsi="宋体" w:cs="宋体"/>
                <w:color w:val="000000"/>
                <w:sz w:val="24"/>
              </w:rPr>
            </w:pPr>
            <w:r>
              <w:rPr>
                <w:rFonts w:hint="eastAsia" w:ascii="宋体" w:hAnsi="宋体" w:cs="宋体"/>
                <w:color w:val="000000"/>
                <w:sz w:val="24"/>
              </w:rPr>
              <w:t>全面完成</w:t>
            </w:r>
          </w:p>
        </w:tc>
      </w:tr>
      <w:tr w14:paraId="52CEA241">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E83AA18">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A52C1B">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01FCCB">
            <w:pPr>
              <w:jc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AC7757">
            <w:pPr>
              <w:widowControl/>
              <w:jc w:val="center"/>
              <w:textAlignment w:val="center"/>
              <w:rPr>
                <w:rFonts w:ascii="宋体" w:hAnsi="宋体" w:cs="宋体"/>
                <w:color w:val="000000"/>
                <w:sz w:val="24"/>
              </w:rPr>
            </w:pPr>
            <w:r>
              <w:rPr>
                <w:rFonts w:hint="eastAsia" w:ascii="宋体" w:hAnsi="宋体" w:cs="宋体"/>
                <w:color w:val="000000"/>
                <w:kern w:val="0"/>
                <w:sz w:val="22"/>
                <w:szCs w:val="22"/>
              </w:rPr>
              <w:t>项目完成率(%)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45BB7D">
            <w:pPr>
              <w:widowControl/>
              <w:jc w:val="center"/>
              <w:textAlignment w:val="center"/>
              <w:rPr>
                <w:rFonts w:ascii="宋体" w:hAnsi="宋体" w:cs="宋体"/>
                <w:color w:val="000000"/>
                <w:sz w:val="24"/>
              </w:rPr>
            </w:pPr>
            <w:r>
              <w:rPr>
                <w:rFonts w:hint="eastAsia" w:ascii="宋体" w:hAnsi="宋体" w:cs="宋体"/>
                <w:color w:val="000000"/>
                <w:kern w:val="0"/>
                <w:sz w:val="22"/>
                <w:szCs w:val="22"/>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941EA1">
            <w:pPr>
              <w:widowControl/>
              <w:jc w:val="center"/>
              <w:textAlignment w:val="center"/>
              <w:rPr>
                <w:rFonts w:ascii="宋体" w:hAnsi="宋体" w:cs="宋体"/>
                <w:color w:val="000000"/>
                <w:sz w:val="24"/>
              </w:rPr>
            </w:pPr>
            <w:r>
              <w:rPr>
                <w:rFonts w:hint="eastAsia" w:ascii="宋体" w:hAnsi="宋体" w:cs="宋体"/>
                <w:color w:val="000000"/>
                <w:sz w:val="24"/>
              </w:rPr>
              <w:t>100%。</w:t>
            </w:r>
          </w:p>
        </w:tc>
      </w:tr>
      <w:tr w14:paraId="3BC35072">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4201A72">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E26707">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7D8633">
            <w:pPr>
              <w:widowControl/>
              <w:jc w:val="center"/>
              <w:textAlignment w:val="center"/>
              <w:rPr>
                <w:rFonts w:ascii="宋体" w:hAnsi="宋体" w:cs="宋体"/>
                <w:color w:val="000000"/>
                <w:sz w:val="24"/>
              </w:rPr>
            </w:pPr>
            <w:r>
              <w:rPr>
                <w:rFonts w:hint="eastAsia" w:ascii="宋体" w:hAnsi="宋体" w:cs="宋体"/>
                <w:color w:val="000000"/>
                <w:kern w:val="0"/>
                <w:sz w:val="22"/>
                <w:szCs w:val="22"/>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37F391">
            <w:pPr>
              <w:widowControl/>
              <w:jc w:val="center"/>
              <w:textAlignment w:val="center"/>
              <w:rPr>
                <w:rFonts w:ascii="宋体" w:hAnsi="宋体" w:cs="宋体"/>
                <w:color w:val="000000"/>
                <w:sz w:val="24"/>
              </w:rPr>
            </w:pPr>
            <w:r>
              <w:rPr>
                <w:rFonts w:hint="eastAsia" w:ascii="宋体" w:hAnsi="宋体" w:cs="宋体"/>
                <w:color w:val="000000"/>
                <w:kern w:val="0"/>
                <w:sz w:val="22"/>
                <w:szCs w:val="22"/>
              </w:rPr>
              <w:t>资金支出的及时性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3E79D4">
            <w:pPr>
              <w:widowControl/>
              <w:jc w:val="left"/>
              <w:textAlignment w:val="center"/>
              <w:rPr>
                <w:rFonts w:ascii="宋体" w:hAnsi="宋体" w:cs="宋体"/>
                <w:color w:val="000000"/>
                <w:sz w:val="24"/>
              </w:rPr>
            </w:pPr>
            <w:r>
              <w:rPr>
                <w:rFonts w:hint="eastAsia" w:ascii="宋体" w:hAnsi="宋体" w:cs="宋体"/>
                <w:color w:val="000000"/>
                <w:kern w:val="0"/>
                <w:sz w:val="22"/>
                <w:szCs w:val="22"/>
              </w:rPr>
              <w:t>政法专项经费全部用于铁路护路联防工作，专款专用，准确及时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E5149A">
            <w:pPr>
              <w:widowControl/>
              <w:jc w:val="left"/>
              <w:textAlignment w:val="center"/>
              <w:rPr>
                <w:rFonts w:ascii="宋体" w:hAnsi="宋体" w:cs="宋体"/>
                <w:color w:val="000000"/>
                <w:sz w:val="24"/>
              </w:rPr>
            </w:pPr>
            <w:r>
              <w:rPr>
                <w:rFonts w:hint="eastAsia" w:ascii="宋体" w:hAnsi="宋体" w:cs="宋体"/>
                <w:color w:val="000000"/>
                <w:sz w:val="24"/>
              </w:rPr>
              <w:t xml:space="preserve">准确及时 </w:t>
            </w:r>
          </w:p>
        </w:tc>
      </w:tr>
      <w:tr w14:paraId="30BA5E10">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2C9579A">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A33C08">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F69E49">
            <w:pPr>
              <w:widowControl/>
              <w:jc w:val="center"/>
              <w:textAlignment w:val="center"/>
              <w:rPr>
                <w:rFonts w:ascii="宋体" w:hAnsi="宋体" w:cs="宋体"/>
                <w:color w:val="000000"/>
                <w:sz w:val="24"/>
              </w:rPr>
            </w:pPr>
            <w:r>
              <w:rPr>
                <w:rFonts w:hint="eastAsia" w:ascii="宋体" w:hAnsi="宋体" w:cs="宋体"/>
                <w:color w:val="000000"/>
                <w:kern w:val="0"/>
                <w:sz w:val="22"/>
                <w:szCs w:val="22"/>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95B3D2">
            <w:pPr>
              <w:widowControl/>
              <w:jc w:val="center"/>
              <w:textAlignment w:val="center"/>
              <w:rPr>
                <w:rFonts w:ascii="宋体" w:hAnsi="宋体" w:cs="宋体"/>
                <w:color w:val="000000"/>
                <w:sz w:val="24"/>
              </w:rPr>
            </w:pPr>
            <w:r>
              <w:rPr>
                <w:rFonts w:hint="eastAsia" w:ascii="宋体" w:hAnsi="宋体" w:cs="宋体"/>
                <w:color w:val="000000"/>
                <w:kern w:val="0"/>
                <w:sz w:val="22"/>
                <w:szCs w:val="22"/>
              </w:rPr>
              <w:t>支出相符性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875C79">
            <w:pPr>
              <w:widowControl/>
              <w:jc w:val="left"/>
              <w:textAlignment w:val="center"/>
              <w:rPr>
                <w:rFonts w:ascii="宋体" w:hAnsi="宋体" w:cs="宋体"/>
                <w:color w:val="000000"/>
                <w:sz w:val="24"/>
              </w:rPr>
            </w:pPr>
            <w:r>
              <w:rPr>
                <w:rFonts w:hint="eastAsia" w:ascii="宋体" w:hAnsi="宋体" w:cs="宋体"/>
                <w:color w:val="000000"/>
                <w:kern w:val="0"/>
                <w:sz w:val="22"/>
                <w:szCs w:val="22"/>
              </w:rPr>
              <w:t>支出相符，根据实际情况保障维稳工作人员办公、印刷、差旅、公务用车租赁费用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0E2FF3">
            <w:pPr>
              <w:widowControl/>
              <w:jc w:val="left"/>
              <w:textAlignment w:val="center"/>
              <w:rPr>
                <w:rFonts w:ascii="宋体" w:hAnsi="宋体" w:cs="宋体"/>
                <w:color w:val="000000"/>
                <w:sz w:val="24"/>
              </w:rPr>
            </w:pPr>
            <w:r>
              <w:rPr>
                <w:rFonts w:hint="eastAsia" w:ascii="宋体" w:hAnsi="宋体" w:cs="宋体"/>
                <w:color w:val="000000"/>
                <w:sz w:val="24"/>
              </w:rPr>
              <w:t>全面相符</w:t>
            </w:r>
          </w:p>
        </w:tc>
      </w:tr>
      <w:tr w14:paraId="67F2F8B8">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E63BCBF">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23A322">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2B8F6C">
            <w:pPr>
              <w:widowControl/>
              <w:jc w:val="center"/>
              <w:textAlignment w:val="center"/>
              <w:rPr>
                <w:rFonts w:ascii="宋体" w:hAnsi="宋体" w:cs="宋体"/>
                <w:color w:val="000000"/>
                <w:sz w:val="24"/>
              </w:rPr>
            </w:pPr>
            <w:r>
              <w:rPr>
                <w:rFonts w:hint="eastAsia" w:ascii="宋体" w:hAnsi="宋体" w:cs="宋体"/>
                <w:color w:val="000000"/>
                <w:kern w:val="0"/>
                <w:sz w:val="22"/>
                <w:szCs w:val="22"/>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917CC6">
            <w:pPr>
              <w:jc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518AB0">
            <w:pPr>
              <w:jc w:val="left"/>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0A1F1F">
            <w:pPr>
              <w:widowControl/>
              <w:jc w:val="left"/>
              <w:textAlignment w:val="center"/>
              <w:rPr>
                <w:rFonts w:ascii="宋体" w:hAnsi="宋体" w:cs="宋体"/>
                <w:color w:val="000000"/>
                <w:sz w:val="24"/>
              </w:rPr>
            </w:pPr>
          </w:p>
        </w:tc>
      </w:tr>
      <w:tr w14:paraId="2243F650">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1AD3D40B">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A40744">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364C2D">
            <w:pPr>
              <w:widowControl/>
              <w:jc w:val="center"/>
              <w:textAlignment w:val="center"/>
              <w:rPr>
                <w:rFonts w:ascii="宋体" w:hAnsi="宋体" w:cs="宋体"/>
                <w:color w:val="000000"/>
                <w:sz w:val="24"/>
              </w:rPr>
            </w:pPr>
            <w:r>
              <w:rPr>
                <w:rFonts w:hint="eastAsia" w:ascii="宋体" w:hAnsi="宋体" w:cs="宋体"/>
                <w:color w:val="000000"/>
                <w:kern w:val="0"/>
                <w:sz w:val="22"/>
                <w:szCs w:val="22"/>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A39ABD">
            <w:pPr>
              <w:widowControl/>
              <w:jc w:val="center"/>
              <w:textAlignment w:val="center"/>
              <w:rPr>
                <w:rFonts w:ascii="宋体" w:hAnsi="宋体" w:cs="宋体"/>
                <w:color w:val="000000"/>
                <w:sz w:val="24"/>
              </w:rPr>
            </w:pPr>
            <w:r>
              <w:rPr>
                <w:rFonts w:hint="eastAsia" w:ascii="宋体" w:hAnsi="宋体" w:cs="宋体"/>
                <w:color w:val="000000"/>
                <w:kern w:val="0"/>
                <w:sz w:val="22"/>
                <w:szCs w:val="22"/>
              </w:rPr>
              <w:t>公众满意度(%)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73E48C">
            <w:pPr>
              <w:widowControl/>
              <w:jc w:val="left"/>
              <w:textAlignment w:val="center"/>
              <w:rPr>
                <w:rFonts w:ascii="宋体" w:hAnsi="宋体" w:cs="宋体"/>
                <w:color w:val="000000"/>
                <w:sz w:val="24"/>
              </w:rPr>
            </w:pPr>
            <w:r>
              <w:rPr>
                <w:rFonts w:hint="eastAsia" w:ascii="宋体" w:hAnsi="宋体" w:cs="宋体"/>
                <w:color w:val="000000"/>
                <w:kern w:val="0"/>
                <w:sz w:val="22"/>
                <w:szCs w:val="22"/>
              </w:rPr>
              <w:t>确保昭化境内铁路线平稳运行，群众满意率95%以上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A7A85C">
            <w:pPr>
              <w:widowControl/>
              <w:jc w:val="left"/>
              <w:textAlignment w:val="center"/>
              <w:rPr>
                <w:rFonts w:ascii="宋体" w:hAnsi="宋体" w:cs="宋体"/>
                <w:color w:val="000000"/>
                <w:sz w:val="24"/>
              </w:rPr>
            </w:pPr>
            <w:r>
              <w:rPr>
                <w:rFonts w:hint="eastAsia" w:ascii="宋体" w:hAnsi="宋体" w:cs="宋体"/>
                <w:color w:val="000000"/>
                <w:sz w:val="24"/>
              </w:rPr>
              <w:t>群众满意度在95%以上</w:t>
            </w:r>
          </w:p>
        </w:tc>
      </w:tr>
    </w:tbl>
    <w:p w14:paraId="2F7EF255">
      <w:pPr>
        <w:spacing w:line="580" w:lineRule="exact"/>
        <w:ind w:left="630"/>
        <w:rPr>
          <w:rFonts w:hint="eastAsia" w:ascii="仿宋_GB2312" w:hAnsi="仿宋_GB2312" w:eastAsia="仿宋_GB2312" w:cs="仿宋_GB2312"/>
          <w:sz w:val="32"/>
          <w:szCs w:val="32"/>
        </w:rPr>
      </w:pPr>
    </w:p>
    <w:p w14:paraId="707944D8">
      <w:pPr>
        <w:spacing w:line="580" w:lineRule="exact"/>
        <w:ind w:left="63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14:paraId="403733F7">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年部门整体支出绩效评价情况开展自评，《区委政法发部门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14:paraId="62309A74">
      <w:pPr>
        <w:spacing w:line="580" w:lineRule="exact"/>
        <w:ind w:firstLine="640" w:firstLineChars="200"/>
        <w:rPr>
          <w:rFonts w:ascii="仿宋_GB2312" w:eastAsia="仿宋_GB2312"/>
          <w:color w:val="000000"/>
          <w:sz w:val="32"/>
          <w:szCs w:val="32"/>
        </w:rPr>
      </w:pPr>
      <w:r>
        <w:rPr>
          <w:rFonts w:hint="eastAsia" w:ascii="仿宋_GB2312" w:hAnsi="仿宋_GB2312" w:eastAsia="仿宋_GB2312" w:cs="仿宋_GB2312"/>
          <w:sz w:val="32"/>
          <w:szCs w:val="32"/>
        </w:rPr>
        <w:t>本部门自行组织对政法专项经费开展了绩效评价，《区委政法委项目</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年绩效评价报告》见附件（附件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p>
    <w:p w14:paraId="50820E5F">
      <w:pPr>
        <w:widowControl/>
        <w:jc w:val="left"/>
        <w:rPr>
          <w:rFonts w:ascii="仿宋_GB2312" w:eastAsia="仿宋_GB2312"/>
          <w:color w:val="000000"/>
          <w:sz w:val="32"/>
          <w:szCs w:val="32"/>
        </w:rPr>
      </w:pPr>
      <w:r>
        <w:rPr>
          <w:rFonts w:ascii="仿宋_GB2312" w:eastAsia="仿宋_GB2312"/>
          <w:color w:val="000000"/>
          <w:sz w:val="32"/>
          <w:szCs w:val="32"/>
        </w:rPr>
        <w:br w:type="page"/>
      </w:r>
    </w:p>
    <w:p w14:paraId="361839BC">
      <w:pPr>
        <w:numPr>
          <w:ilvl w:val="0"/>
          <w:numId w:val="4"/>
        </w:numPr>
        <w:spacing w:line="600" w:lineRule="exact"/>
        <w:ind w:firstLine="660" w:firstLineChars="150"/>
        <w:jc w:val="center"/>
        <w:outlineLvl w:val="0"/>
        <w:rPr>
          <w:rStyle w:val="16"/>
          <w:rFonts w:ascii="黑体" w:hAnsi="黑体" w:eastAsia="黑体"/>
          <w:b w:val="0"/>
          <w:bCs w:val="0"/>
        </w:rPr>
      </w:pPr>
      <w:bookmarkStart w:id="75" w:name="_Toc31076"/>
      <w:bookmarkStart w:id="76" w:name="_Toc15396613"/>
      <w:bookmarkStart w:id="77" w:name="_Toc15377225"/>
      <w:bookmarkStart w:id="78" w:name="_Toc8350"/>
      <w:r>
        <w:rPr>
          <w:rFonts w:hint="eastAsia" w:ascii="黑体" w:hAnsi="黑体" w:eastAsia="黑体"/>
          <w:color w:val="000000"/>
          <w:sz w:val="44"/>
          <w:szCs w:val="44"/>
        </w:rPr>
        <w:t>名</w:t>
      </w:r>
      <w:r>
        <w:rPr>
          <w:rStyle w:val="16"/>
          <w:rFonts w:hint="eastAsia" w:ascii="黑体" w:hAnsi="黑体" w:eastAsia="黑体"/>
          <w:b w:val="0"/>
          <w:bCs w:val="0"/>
        </w:rPr>
        <w:t>词解释</w:t>
      </w:r>
      <w:bookmarkEnd w:id="75"/>
      <w:bookmarkEnd w:id="76"/>
      <w:bookmarkEnd w:id="77"/>
      <w:bookmarkEnd w:id="78"/>
    </w:p>
    <w:p w14:paraId="3DF5BD73">
      <w:pPr>
        <w:spacing w:line="600" w:lineRule="exact"/>
        <w:jc w:val="left"/>
        <w:rPr>
          <w:rFonts w:ascii="宋体"/>
          <w:color w:val="000000"/>
          <w:sz w:val="44"/>
          <w:szCs w:val="44"/>
        </w:rPr>
      </w:pPr>
    </w:p>
    <w:p w14:paraId="246CE907">
      <w:pPr>
        <w:pStyle w:val="19"/>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639B45D1">
      <w:pPr>
        <w:pStyle w:val="19"/>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 xml:space="preserve"> 年初结转和结余：指以前年度尚未完成、结转到本年按有关规定继续使用的资金。</w:t>
      </w:r>
    </w:p>
    <w:p w14:paraId="0C5C2A24">
      <w:pPr>
        <w:pStyle w:val="19"/>
        <w:spacing w:line="560" w:lineRule="exact"/>
        <w:ind w:firstLine="640" w:firstLineChars="200"/>
        <w:rPr>
          <w:rFonts w:ascii="仿宋_GB2312" w:eastAsia="仿宋_GB2312"/>
          <w:sz w:val="32"/>
          <w:szCs w:val="32"/>
        </w:rPr>
      </w:pPr>
      <w:r>
        <w:rPr>
          <w:rFonts w:ascii="仿宋_GB2312" w:eastAsia="仿宋_GB2312"/>
          <w:sz w:val="32"/>
          <w:szCs w:val="32"/>
        </w:rPr>
        <w:t xml:space="preserve">3. </w:t>
      </w:r>
      <w:r>
        <w:rPr>
          <w:rFonts w:hint="eastAsia" w:ascii="仿宋_GB2312" w:hAnsi="微软雅黑" w:eastAsia="仿宋_GB2312" w:cs="仿宋_GB2312"/>
          <w:sz w:val="31"/>
          <w:szCs w:val="31"/>
        </w:rPr>
        <w:t>一般</w:t>
      </w:r>
      <w:r>
        <w:rPr>
          <w:rFonts w:ascii="仿宋_GB2312" w:hAnsi="微软雅黑" w:eastAsia="仿宋_GB2312" w:cs="仿宋_GB2312"/>
          <w:sz w:val="31"/>
          <w:szCs w:val="31"/>
        </w:rPr>
        <w:t>公共</w:t>
      </w:r>
      <w:r>
        <w:rPr>
          <w:rFonts w:hint="eastAsia" w:ascii="仿宋_GB2312" w:hAnsi="微软雅黑" w:eastAsia="仿宋_GB2312" w:cs="仿宋_GB2312"/>
          <w:sz w:val="31"/>
          <w:szCs w:val="31"/>
        </w:rPr>
        <w:t>服务</w:t>
      </w:r>
      <w:r>
        <w:rPr>
          <w:rFonts w:ascii="仿宋_GB2312" w:hAnsi="微软雅黑" w:eastAsia="仿宋_GB2312" w:cs="仿宋_GB2312"/>
          <w:sz w:val="31"/>
          <w:szCs w:val="31"/>
        </w:rPr>
        <w:t>（类）</w:t>
      </w:r>
      <w:r>
        <w:rPr>
          <w:rFonts w:hint="eastAsia" w:ascii="仿宋_GB2312" w:hAnsi="微软雅黑" w:eastAsia="仿宋_GB2312" w:cs="仿宋_GB2312"/>
          <w:sz w:val="31"/>
          <w:szCs w:val="31"/>
        </w:rPr>
        <w:t>党委办公厅（室）及相关机构事务</w:t>
      </w:r>
      <w:r>
        <w:rPr>
          <w:rFonts w:ascii="仿宋_GB2312" w:hAnsi="微软雅黑" w:eastAsia="仿宋_GB2312" w:cs="仿宋_GB2312"/>
          <w:sz w:val="31"/>
          <w:szCs w:val="31"/>
        </w:rPr>
        <w:t>（款）行政运行（项）</w:t>
      </w:r>
      <w:r>
        <w:rPr>
          <w:rFonts w:hint="eastAsia" w:ascii="仿宋_GB2312" w:hAnsi="微软雅黑" w:eastAsia="仿宋_GB2312" w:cs="仿宋_GB2312"/>
          <w:sz w:val="31"/>
          <w:szCs w:val="31"/>
        </w:rPr>
        <w:t>：</w:t>
      </w:r>
      <w:r>
        <w:rPr>
          <w:rFonts w:ascii="仿宋_GB2312" w:hAnsi="微软雅黑" w:eastAsia="仿宋_GB2312" w:cs="仿宋_GB2312"/>
          <w:sz w:val="31"/>
          <w:szCs w:val="31"/>
        </w:rPr>
        <w:t>指机关用于保障机构正常运行、开展日常工作的基本支出。</w:t>
      </w:r>
    </w:p>
    <w:p w14:paraId="3EB31C98">
      <w:pPr>
        <w:pStyle w:val="19"/>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 xml:space="preserve">. </w:t>
      </w:r>
      <w:r>
        <w:rPr>
          <w:rFonts w:hint="eastAsia" w:ascii="仿宋_GB2312" w:hAnsi="微软雅黑" w:eastAsia="仿宋_GB2312" w:cs="仿宋_GB2312"/>
          <w:sz w:val="31"/>
          <w:szCs w:val="31"/>
        </w:rPr>
        <w:t>公共安全（类）公安（款）一般行政管理事务（项）</w:t>
      </w:r>
      <w:r>
        <w:rPr>
          <w:rFonts w:ascii="仿宋_GB2312" w:hAnsi="微软雅黑" w:eastAsia="仿宋_GB2312" w:cs="仿宋_GB2312"/>
          <w:sz w:val="31"/>
          <w:szCs w:val="31"/>
        </w:rPr>
        <w:t>：指未单独设置项级科目的项目支出。</w:t>
      </w:r>
    </w:p>
    <w:p w14:paraId="4F81A4B6">
      <w:pPr>
        <w:pStyle w:val="19"/>
        <w:spacing w:line="560" w:lineRule="exact"/>
        <w:ind w:firstLine="640" w:firstLineChars="200"/>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w:t>
      </w:r>
      <w:r>
        <w:rPr>
          <w:rFonts w:hint="eastAsia" w:ascii="仿宋_GB2312" w:hAnsi="微软雅黑" w:eastAsia="仿宋_GB2312" w:cs="仿宋_GB2312"/>
          <w:sz w:val="31"/>
          <w:szCs w:val="31"/>
        </w:rPr>
        <w:t>公共安全（类）公安（款）其他公安支出（项）: 指</w:t>
      </w:r>
      <w:r>
        <w:rPr>
          <w:rFonts w:ascii="仿宋_GB2312" w:hAnsi="微软雅黑" w:eastAsia="仿宋_GB2312" w:cs="仿宋_GB2312"/>
          <w:sz w:val="31"/>
          <w:szCs w:val="31"/>
        </w:rPr>
        <w:t>指未单独设置项级科目的</w:t>
      </w:r>
      <w:r>
        <w:rPr>
          <w:rFonts w:hint="eastAsia" w:ascii="仿宋_GB2312" w:hAnsi="微软雅黑" w:eastAsia="仿宋_GB2312" w:cs="仿宋_GB2312"/>
          <w:sz w:val="31"/>
          <w:szCs w:val="31"/>
        </w:rPr>
        <w:t>其他</w:t>
      </w:r>
      <w:r>
        <w:rPr>
          <w:rFonts w:ascii="仿宋_GB2312" w:hAnsi="微软雅黑" w:eastAsia="仿宋_GB2312" w:cs="仿宋_GB2312"/>
          <w:sz w:val="31"/>
          <w:szCs w:val="31"/>
        </w:rPr>
        <w:t>项目支出</w:t>
      </w:r>
      <w:r>
        <w:rPr>
          <w:rFonts w:hint="eastAsia" w:ascii="仿宋_GB2312" w:hAnsi="微软雅黑" w:eastAsia="仿宋_GB2312" w:cs="仿宋_GB2312"/>
          <w:sz w:val="31"/>
          <w:szCs w:val="31"/>
        </w:rPr>
        <w:t>支出</w:t>
      </w:r>
    </w:p>
    <w:p w14:paraId="641EE47D">
      <w:pPr>
        <w:pStyle w:val="11"/>
        <w:widowControl/>
        <w:spacing w:line="576" w:lineRule="exact"/>
        <w:ind w:firstLine="620"/>
        <w:jc w:val="both"/>
        <w:rPr>
          <w:rFonts w:ascii="仿宋_GB2312" w:hAnsi="微软雅黑" w:eastAsia="仿宋_GB2312" w:cs="仿宋_GB2312"/>
          <w:sz w:val="31"/>
          <w:szCs w:val="31"/>
        </w:rPr>
      </w:pPr>
      <w:r>
        <w:rPr>
          <w:rFonts w:hint="eastAsia" w:ascii="仿宋_GB2312" w:hAnsi="微软雅黑" w:eastAsia="仿宋_GB2312" w:cs="仿宋_GB2312"/>
          <w:sz w:val="31"/>
          <w:szCs w:val="31"/>
        </w:rPr>
        <w:t>6.公共安全（类）其他公共安全支出（款）其他公共安全支出（项）: 指</w:t>
      </w:r>
      <w:r>
        <w:rPr>
          <w:rFonts w:ascii="仿宋_GB2312" w:hAnsi="微软雅黑" w:eastAsia="仿宋_GB2312" w:cs="仿宋_GB2312"/>
          <w:sz w:val="31"/>
          <w:szCs w:val="31"/>
        </w:rPr>
        <w:t>指未单独设置项级科目的</w:t>
      </w:r>
      <w:r>
        <w:rPr>
          <w:rFonts w:hint="eastAsia" w:ascii="仿宋_GB2312" w:hAnsi="微软雅黑" w:eastAsia="仿宋_GB2312" w:cs="仿宋_GB2312"/>
          <w:sz w:val="31"/>
          <w:szCs w:val="31"/>
        </w:rPr>
        <w:t>其他</w:t>
      </w:r>
      <w:r>
        <w:rPr>
          <w:rFonts w:ascii="仿宋_GB2312" w:hAnsi="微软雅黑" w:eastAsia="仿宋_GB2312" w:cs="仿宋_GB2312"/>
          <w:sz w:val="31"/>
          <w:szCs w:val="31"/>
        </w:rPr>
        <w:t>项目支出</w:t>
      </w:r>
      <w:r>
        <w:rPr>
          <w:rFonts w:hint="eastAsia" w:ascii="仿宋_GB2312" w:hAnsi="微软雅黑" w:eastAsia="仿宋_GB2312" w:cs="仿宋_GB2312"/>
          <w:sz w:val="31"/>
          <w:szCs w:val="31"/>
        </w:rPr>
        <w:t>支出。</w:t>
      </w:r>
    </w:p>
    <w:p w14:paraId="359DDF87">
      <w:pPr>
        <w:pStyle w:val="11"/>
        <w:widowControl/>
        <w:spacing w:line="576" w:lineRule="exact"/>
        <w:ind w:firstLine="620"/>
        <w:jc w:val="both"/>
        <w:rPr>
          <w:rFonts w:ascii="仿宋_GB2312" w:hAnsi="微软雅黑" w:eastAsia="仿宋_GB2312" w:cs="仿宋_GB2312"/>
          <w:sz w:val="31"/>
          <w:szCs w:val="31"/>
        </w:rPr>
      </w:pPr>
      <w:r>
        <w:rPr>
          <w:rFonts w:hint="eastAsia" w:ascii="仿宋_GB2312" w:hAnsi="微软雅黑" w:eastAsia="仿宋_GB2312" w:cs="仿宋_GB2312"/>
          <w:sz w:val="31"/>
          <w:szCs w:val="31"/>
        </w:rPr>
        <w:t xml:space="preserve">7.社会保障和就业（类）行政事业单位养老支出（款）机关事业单位基本养老保险缴费支出（项）: </w:t>
      </w:r>
      <w:r>
        <w:rPr>
          <w:rFonts w:ascii="仿宋_GB2312" w:hAnsi="微软雅黑" w:eastAsia="仿宋_GB2312" w:cs="仿宋_GB2312"/>
          <w:sz w:val="31"/>
          <w:szCs w:val="31"/>
        </w:rPr>
        <w:t>指部门实施养老保险制度由单位缴纳的养老保险费的支出。</w:t>
      </w:r>
    </w:p>
    <w:p w14:paraId="6ECF50F1">
      <w:pPr>
        <w:pStyle w:val="11"/>
        <w:widowControl/>
        <w:spacing w:line="576" w:lineRule="exact"/>
        <w:ind w:firstLine="620"/>
        <w:jc w:val="both"/>
        <w:rPr>
          <w:rFonts w:ascii="仿宋_GB2312" w:hAnsi="微软雅黑" w:eastAsia="仿宋_GB2312" w:cs="仿宋_GB2312"/>
          <w:sz w:val="31"/>
          <w:szCs w:val="31"/>
        </w:rPr>
      </w:pPr>
      <w:r>
        <w:rPr>
          <w:rFonts w:hint="eastAsia" w:ascii="仿宋_GB2312" w:hAnsi="微软雅黑" w:eastAsia="仿宋_GB2312" w:cs="仿宋_GB2312"/>
          <w:sz w:val="31"/>
          <w:szCs w:val="31"/>
        </w:rPr>
        <w:t xml:space="preserve">8.社会保障和就业（类）行政事业单位养老支出（款）机关事业单位职业年金缴费支出（项）: </w:t>
      </w:r>
      <w:r>
        <w:rPr>
          <w:rFonts w:ascii="仿宋_GB2312" w:hAnsi="微软雅黑" w:eastAsia="仿宋_GB2312" w:cs="仿宋_GB2312"/>
          <w:sz w:val="31"/>
          <w:szCs w:val="31"/>
        </w:rPr>
        <w:t>指部门实施</w:t>
      </w:r>
      <w:r>
        <w:rPr>
          <w:rFonts w:hint="eastAsia" w:ascii="仿宋_GB2312" w:hAnsi="微软雅黑" w:eastAsia="仿宋_GB2312" w:cs="仿宋_GB2312"/>
          <w:sz w:val="31"/>
          <w:szCs w:val="31"/>
        </w:rPr>
        <w:t>职业年金</w:t>
      </w:r>
      <w:r>
        <w:rPr>
          <w:rFonts w:ascii="仿宋_GB2312" w:hAnsi="微软雅黑" w:eastAsia="仿宋_GB2312" w:cs="仿宋_GB2312"/>
          <w:sz w:val="31"/>
          <w:szCs w:val="31"/>
        </w:rPr>
        <w:t>制度由单位缴纳的</w:t>
      </w:r>
      <w:r>
        <w:rPr>
          <w:rFonts w:hint="eastAsia" w:ascii="仿宋_GB2312" w:hAnsi="微软雅黑" w:eastAsia="仿宋_GB2312" w:cs="仿宋_GB2312"/>
          <w:sz w:val="31"/>
          <w:szCs w:val="31"/>
        </w:rPr>
        <w:t>职业年金</w:t>
      </w:r>
      <w:r>
        <w:rPr>
          <w:rFonts w:ascii="仿宋_GB2312" w:hAnsi="微软雅黑" w:eastAsia="仿宋_GB2312" w:cs="仿宋_GB2312"/>
          <w:sz w:val="31"/>
          <w:szCs w:val="31"/>
        </w:rPr>
        <w:t>的支出。</w:t>
      </w:r>
    </w:p>
    <w:p w14:paraId="0132A3AA">
      <w:pPr>
        <w:pStyle w:val="11"/>
        <w:widowControl/>
        <w:spacing w:line="576" w:lineRule="exact"/>
        <w:ind w:firstLine="620"/>
        <w:jc w:val="both"/>
        <w:rPr>
          <w:rFonts w:ascii="仿宋_GB2312" w:hAnsi="微软雅黑" w:eastAsia="仿宋_GB2312" w:cs="仿宋_GB2312"/>
          <w:sz w:val="31"/>
          <w:szCs w:val="31"/>
        </w:rPr>
      </w:pPr>
      <w:r>
        <w:rPr>
          <w:rFonts w:hint="eastAsia" w:ascii="仿宋_GB2312" w:hAnsi="微软雅黑" w:eastAsia="仿宋_GB2312" w:cs="仿宋_GB2312"/>
          <w:sz w:val="31"/>
          <w:szCs w:val="31"/>
        </w:rPr>
        <w:t xml:space="preserve">9.社会保障和就业（类）其他社会保障和就业支出（款）其他社会保障和就业支出（项）: </w:t>
      </w:r>
      <w:r>
        <w:rPr>
          <w:rFonts w:ascii="仿宋_GB2312" w:hAnsi="微软雅黑" w:eastAsia="仿宋_GB2312" w:cs="仿宋_GB2312"/>
          <w:sz w:val="31"/>
          <w:szCs w:val="31"/>
        </w:rPr>
        <w:t>行政事业单位</w:t>
      </w:r>
      <w:r>
        <w:rPr>
          <w:rFonts w:hint="eastAsia" w:ascii="仿宋_GB2312" w:hAnsi="微软雅黑" w:eastAsia="仿宋_GB2312" w:cs="仿宋_GB2312"/>
          <w:sz w:val="31"/>
          <w:szCs w:val="31"/>
        </w:rPr>
        <w:t>失业、工伤</w:t>
      </w:r>
      <w:r>
        <w:rPr>
          <w:rFonts w:ascii="仿宋_GB2312" w:hAnsi="微软雅黑" w:eastAsia="仿宋_GB2312" w:cs="仿宋_GB2312"/>
          <w:sz w:val="31"/>
          <w:szCs w:val="31"/>
        </w:rPr>
        <w:t>等</w:t>
      </w:r>
      <w:r>
        <w:rPr>
          <w:rFonts w:hint="eastAsia" w:ascii="仿宋_GB2312" w:hAnsi="微软雅黑" w:eastAsia="仿宋_GB2312" w:cs="仿宋_GB2312"/>
          <w:sz w:val="31"/>
          <w:szCs w:val="31"/>
        </w:rPr>
        <w:t>保险</w:t>
      </w:r>
      <w:r>
        <w:rPr>
          <w:rFonts w:ascii="仿宋_GB2312" w:hAnsi="微软雅黑" w:eastAsia="仿宋_GB2312" w:cs="仿宋_GB2312"/>
          <w:sz w:val="31"/>
          <w:szCs w:val="31"/>
        </w:rPr>
        <w:t>方面的支出</w:t>
      </w:r>
      <w:r>
        <w:rPr>
          <w:rFonts w:hint="eastAsia" w:ascii="仿宋_GB2312" w:hAnsi="微软雅黑" w:eastAsia="仿宋_GB2312" w:cs="仿宋_GB2312"/>
          <w:sz w:val="31"/>
          <w:szCs w:val="31"/>
        </w:rPr>
        <w:t>。</w:t>
      </w:r>
      <w:r>
        <w:rPr>
          <w:rFonts w:ascii="仿宋_GB2312" w:hAnsi="微软雅黑" w:eastAsia="仿宋_GB2312" w:cs="仿宋_GB2312"/>
          <w:sz w:val="31"/>
          <w:szCs w:val="31"/>
        </w:rPr>
        <w:t>　</w:t>
      </w:r>
    </w:p>
    <w:p w14:paraId="645592D1">
      <w:pPr>
        <w:pStyle w:val="11"/>
        <w:widowControl/>
        <w:spacing w:line="576" w:lineRule="exact"/>
        <w:ind w:firstLine="620"/>
        <w:jc w:val="both"/>
        <w:rPr>
          <w:rFonts w:ascii="仿宋_GB2312" w:hAnsi="微软雅黑" w:eastAsia="仿宋_GB2312" w:cs="仿宋_GB2312"/>
          <w:sz w:val="31"/>
          <w:szCs w:val="31"/>
        </w:rPr>
      </w:pPr>
      <w:r>
        <w:rPr>
          <w:rFonts w:hint="eastAsia" w:ascii="仿宋_GB2312" w:hAnsi="微软雅黑" w:eastAsia="仿宋_GB2312" w:cs="仿宋_GB2312"/>
          <w:sz w:val="31"/>
          <w:szCs w:val="31"/>
        </w:rPr>
        <w:t>10.卫生健康（类）行政事业单位医疗（款）行政单位医疗（项）: 指</w:t>
      </w:r>
      <w:r>
        <w:rPr>
          <w:rFonts w:ascii="仿宋_GB2312" w:hAnsi="微软雅黑" w:eastAsia="仿宋_GB2312" w:cs="仿宋_GB2312"/>
          <w:sz w:val="31"/>
          <w:szCs w:val="31"/>
        </w:rPr>
        <w:t>按规定由单位缴纳的基本医疗保险支出。</w:t>
      </w:r>
    </w:p>
    <w:p w14:paraId="3FA92501">
      <w:pPr>
        <w:pStyle w:val="11"/>
        <w:widowControl/>
        <w:spacing w:line="576" w:lineRule="exact"/>
        <w:ind w:firstLine="620"/>
        <w:jc w:val="both"/>
        <w:rPr>
          <w:rFonts w:ascii="仿宋_GB2312" w:hAnsi="微软雅黑" w:eastAsia="仿宋_GB2312" w:cs="仿宋_GB2312"/>
          <w:sz w:val="31"/>
          <w:szCs w:val="31"/>
        </w:rPr>
      </w:pPr>
      <w:r>
        <w:rPr>
          <w:rFonts w:hint="eastAsia" w:ascii="仿宋_GB2312" w:hAnsi="微软雅黑" w:eastAsia="仿宋_GB2312" w:cs="仿宋_GB2312"/>
          <w:sz w:val="31"/>
          <w:szCs w:val="31"/>
        </w:rPr>
        <w:t>11.住房保障支出（类）住房改革支出（款）住房公积金（项）:</w:t>
      </w:r>
      <w:r>
        <w:rPr>
          <w:rFonts w:ascii="仿宋_GB2312" w:hAnsi="微软雅黑" w:eastAsia="仿宋_GB2312" w:cs="仿宋_GB2312"/>
          <w:sz w:val="31"/>
          <w:szCs w:val="31"/>
        </w:rPr>
        <w:t>部门按人力资源和社会保障部、财政部规定的基本工资和津贴补贴以及规定比例为职工缴纳的住房公积金支出。</w:t>
      </w:r>
    </w:p>
    <w:p w14:paraId="336ABB9C">
      <w:pPr>
        <w:pStyle w:val="11"/>
        <w:widowControl/>
        <w:spacing w:line="576" w:lineRule="exact"/>
        <w:ind w:firstLine="620"/>
        <w:jc w:val="both"/>
        <w:rPr>
          <w:rFonts w:ascii="仿宋_GB2312" w:hAnsi="微软雅黑" w:eastAsia="仿宋_GB2312" w:cs="仿宋_GB2312"/>
          <w:sz w:val="31"/>
          <w:szCs w:val="31"/>
        </w:rPr>
      </w:pPr>
      <w:r>
        <w:rPr>
          <w:rFonts w:hint="eastAsia" w:ascii="仿宋_GB2312" w:hAnsi="微软雅黑" w:eastAsia="仿宋_GB2312" w:cs="仿宋_GB2312"/>
          <w:sz w:val="31"/>
          <w:szCs w:val="31"/>
        </w:rPr>
        <w:t>12.基本支出：指为保障机构正常运转、完成日常工作任务而发生的人员支出和公用支出。</w:t>
      </w:r>
    </w:p>
    <w:p w14:paraId="5A505A07">
      <w:pPr>
        <w:pStyle w:val="19"/>
        <w:spacing w:line="560" w:lineRule="exact"/>
        <w:ind w:firstLine="640" w:firstLineChars="200"/>
        <w:rPr>
          <w:rFonts w:ascii="仿宋_GB2312" w:eastAsia="仿宋_GB2312"/>
          <w:sz w:val="32"/>
          <w:szCs w:val="32"/>
        </w:rPr>
      </w:pPr>
      <w:r>
        <w:rPr>
          <w:rFonts w:hint="eastAsia" w:ascii="仿宋_GB2312" w:eastAsia="仿宋_GB2312"/>
          <w:sz w:val="32"/>
          <w:szCs w:val="32"/>
        </w:rPr>
        <w:t>13</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1DDE6CF">
      <w:pPr>
        <w:pStyle w:val="19"/>
        <w:spacing w:line="560" w:lineRule="exact"/>
        <w:ind w:firstLine="640" w:firstLineChars="200"/>
        <w:rPr>
          <w:rFonts w:ascii="仿宋_GB2312" w:eastAsia="仿宋_GB2312"/>
          <w:sz w:val="32"/>
          <w:szCs w:val="32"/>
        </w:rPr>
      </w:pPr>
      <w:r>
        <w:rPr>
          <w:rFonts w:hint="eastAsia" w:ascii="仿宋_GB2312" w:eastAsia="仿宋_GB2312"/>
          <w:sz w:val="32"/>
          <w:szCs w:val="32"/>
        </w:rPr>
        <w:t>14</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B253C9F">
      <w:pPr>
        <w:spacing w:line="600" w:lineRule="exact"/>
        <w:jc w:val="center"/>
        <w:outlineLvl w:val="0"/>
        <w:rPr>
          <w:rStyle w:val="16"/>
          <w:rFonts w:ascii="黑体" w:hAnsi="黑体" w:eastAsia="黑体"/>
          <w:b w:val="0"/>
          <w:bCs w:val="0"/>
        </w:rPr>
      </w:pPr>
      <w:bookmarkStart w:id="79" w:name="_Toc15377226"/>
      <w:r>
        <w:rPr>
          <w:rFonts w:ascii="宋体"/>
          <w:color w:val="000000"/>
          <w:sz w:val="44"/>
          <w:szCs w:val="44"/>
        </w:rPr>
        <w:br w:type="page"/>
      </w:r>
      <w:bookmarkStart w:id="80" w:name="_Toc5198"/>
      <w:bookmarkStart w:id="81" w:name="_Toc15396614"/>
      <w:bookmarkStart w:id="82" w:name="_Toc11354"/>
      <w:r>
        <w:rPr>
          <w:rFonts w:hint="eastAsia" w:ascii="黑体" w:hAnsi="黑体" w:eastAsia="黑体"/>
          <w:color w:val="000000"/>
          <w:sz w:val="44"/>
          <w:szCs w:val="44"/>
        </w:rPr>
        <w:t>第</w:t>
      </w:r>
      <w:r>
        <w:rPr>
          <w:rStyle w:val="16"/>
          <w:rFonts w:hint="eastAsia" w:ascii="黑体" w:hAnsi="黑体" w:eastAsia="黑体"/>
          <w:b w:val="0"/>
          <w:bCs w:val="0"/>
        </w:rPr>
        <w:t>四部分</w:t>
      </w:r>
      <w:r>
        <w:rPr>
          <w:rStyle w:val="16"/>
          <w:rFonts w:ascii="黑体" w:hAnsi="黑体" w:eastAsia="黑体"/>
          <w:b w:val="0"/>
          <w:bCs w:val="0"/>
        </w:rPr>
        <w:t xml:space="preserve"> </w:t>
      </w:r>
      <w:r>
        <w:rPr>
          <w:rStyle w:val="16"/>
          <w:rFonts w:hint="eastAsia" w:ascii="黑体" w:hAnsi="黑体" w:eastAsia="黑体"/>
          <w:b w:val="0"/>
          <w:bCs w:val="0"/>
        </w:rPr>
        <w:t>附件</w:t>
      </w:r>
      <w:bookmarkEnd w:id="80"/>
      <w:bookmarkEnd w:id="81"/>
      <w:bookmarkEnd w:id="82"/>
    </w:p>
    <w:p w14:paraId="59A23C16">
      <w:pPr>
        <w:spacing w:line="600" w:lineRule="exact"/>
        <w:jc w:val="left"/>
        <w:outlineLvl w:val="1"/>
        <w:rPr>
          <w:rFonts w:ascii="方正小标宋简体" w:hAnsi="方正小标宋简体" w:eastAsia="方正小标宋简体" w:cs="方正小标宋简体"/>
          <w:sz w:val="32"/>
          <w:szCs w:val="32"/>
        </w:rPr>
      </w:pPr>
      <w:bookmarkStart w:id="83" w:name="_Toc7361"/>
      <w:bookmarkStart w:id="84" w:name="_Toc27288"/>
      <w:r>
        <w:rPr>
          <w:rFonts w:hint="eastAsia" w:ascii="黑体" w:hAnsi="黑体" w:eastAsia="黑体" w:cs="黑体"/>
          <w:sz w:val="32"/>
          <w:szCs w:val="32"/>
        </w:rPr>
        <w:t>附件</w:t>
      </w:r>
      <w:r>
        <w:rPr>
          <w:rFonts w:ascii="黑体" w:hAnsi="黑体" w:eastAsia="黑体" w:cs="黑体"/>
          <w:sz w:val="32"/>
          <w:szCs w:val="32"/>
        </w:rPr>
        <w:t>1</w:t>
      </w:r>
      <w:bookmarkEnd w:id="83"/>
      <w:bookmarkEnd w:id="84"/>
    </w:p>
    <w:p w14:paraId="7E620C80">
      <w:pPr>
        <w:spacing w:line="580" w:lineRule="exact"/>
        <w:jc w:val="center"/>
        <w:rPr>
          <w:rFonts w:ascii="方正小标宋简体" w:hAnsi="方正小标宋简体" w:eastAsia="方正小标宋简体" w:cs="方正小标宋简体"/>
          <w:sz w:val="44"/>
          <w:szCs w:val="44"/>
        </w:rPr>
      </w:pPr>
    </w:p>
    <w:p w14:paraId="2C7A0F4C">
      <w:pPr>
        <w:spacing w:line="600" w:lineRule="exact"/>
        <w:jc w:val="center"/>
        <w:rPr>
          <w:rFonts w:hint="eastAsia"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rPr>
        <w:t>区委政法委</w:t>
      </w:r>
      <w:r>
        <w:rPr>
          <w:rFonts w:hint="eastAsia" w:ascii="方正小标宋简体" w:hAnsi="宋体" w:eastAsia="方正小标宋简体"/>
          <w:color w:val="000000"/>
          <w:kern w:val="0"/>
          <w:sz w:val="40"/>
          <w:szCs w:val="44"/>
          <w:lang w:val="zh-CN"/>
        </w:rPr>
        <w:t>部门</w:t>
      </w:r>
    </w:p>
    <w:p w14:paraId="201B9AB3">
      <w:pPr>
        <w:spacing w:line="60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2020</w:t>
      </w:r>
      <w:r>
        <w:rPr>
          <w:rFonts w:hint="eastAsia"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14:paraId="6839BC6E">
      <w:pPr>
        <w:widowControl/>
        <w:spacing w:line="580" w:lineRule="exact"/>
        <w:ind w:firstLine="640" w:firstLineChars="200"/>
        <w:contextualSpacing/>
        <w:jc w:val="center"/>
        <w:rPr>
          <w:rFonts w:ascii="仿宋_GB2312" w:hAnsi="宋体" w:eastAsia="仿宋_GB2312"/>
          <w:sz w:val="32"/>
          <w:szCs w:val="32"/>
          <w:shd w:val="clear" w:color="auto" w:fill="FFFFFF"/>
        </w:rPr>
      </w:pPr>
    </w:p>
    <w:p w14:paraId="08CF4FF4">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14:paraId="0DF6B1A3">
      <w:pPr>
        <w:widowControl/>
        <w:adjustRightInd w:val="0"/>
        <w:snapToGrid w:val="0"/>
        <w:spacing w:line="580" w:lineRule="exact"/>
        <w:ind w:firstLine="640" w:firstLineChars="200"/>
        <w:contextualSpacing/>
        <w:jc w:val="left"/>
        <w:outlineLvl w:val="1"/>
        <w:rPr>
          <w:rFonts w:ascii="黑体" w:hAnsi="宋体" w:eastAsia="黑体" w:cs="宋体"/>
          <w:color w:val="000000"/>
          <w:kern w:val="0"/>
          <w:sz w:val="32"/>
          <w:szCs w:val="32"/>
          <w:shd w:val="clear" w:color="auto" w:fill="FFFFFF"/>
          <w:lang w:val="zh-CN"/>
        </w:rPr>
      </w:pPr>
      <w:bookmarkStart w:id="85" w:name="_Toc27627"/>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bookmarkEnd w:id="85"/>
    </w:p>
    <w:p w14:paraId="38135B3D">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14:paraId="4C221F54">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区委政法委下设设办公室（统筹督查股）、政治安全维稳和反邪教指导股、综治督导股、政治处4个机构和区政法宣传指导中心、区法学会机关、区综治中心</w:t>
      </w:r>
      <w:r>
        <w:rPr>
          <w:rFonts w:hint="eastAsia" w:ascii="仿宋_GB2312" w:hAnsi="宋体" w:eastAsia="仿宋_GB2312" w:cs="宋体"/>
          <w:color w:val="000000"/>
          <w:kern w:val="0"/>
          <w:sz w:val="32"/>
          <w:szCs w:val="32"/>
          <w:shd w:val="clear" w:color="auto" w:fill="FFFFFF"/>
        </w:rPr>
        <w:t>3</w:t>
      </w:r>
      <w:r>
        <w:rPr>
          <w:rFonts w:hint="eastAsia" w:ascii="仿宋_GB2312" w:hAnsi="宋体" w:eastAsia="仿宋_GB2312" w:cs="宋体"/>
          <w:color w:val="000000"/>
          <w:kern w:val="0"/>
          <w:sz w:val="32"/>
          <w:szCs w:val="32"/>
          <w:shd w:val="clear" w:color="auto" w:fill="FFFFFF"/>
          <w:lang w:val="zh-CN"/>
        </w:rPr>
        <w:t>个事业机构。区扫黑办挂设在区委政法委。</w:t>
      </w:r>
    </w:p>
    <w:p w14:paraId="7063B29D">
      <w:pPr>
        <w:widowControl/>
        <w:numPr>
          <w:ilvl w:val="0"/>
          <w:numId w:val="5"/>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机构职能。</w:t>
      </w:r>
    </w:p>
    <w:p w14:paraId="52029A45">
      <w:pPr>
        <w:spacing w:line="600" w:lineRule="exact"/>
        <w:ind w:firstLine="640" w:firstLineChars="200"/>
        <w:rPr>
          <w:rFonts w:ascii="仿宋_GB2312" w:eastAsia="仿宋_GB2312"/>
          <w:color w:val="000000"/>
          <w:sz w:val="32"/>
          <w:szCs w:val="32"/>
        </w:rPr>
      </w:pPr>
      <w:r>
        <w:rPr>
          <w:rFonts w:eastAsia="仿宋_GB2312"/>
          <w:color w:val="000000"/>
          <w:sz w:val="32"/>
          <w:szCs w:val="32"/>
        </w:rPr>
        <w:t>（</w:t>
      </w:r>
      <w:r>
        <w:rPr>
          <w:rFonts w:hint="eastAsia" w:eastAsia="仿宋_GB2312"/>
          <w:color w:val="000000"/>
          <w:sz w:val="32"/>
          <w:szCs w:val="32"/>
        </w:rPr>
        <w:t>1</w:t>
      </w:r>
      <w:r>
        <w:rPr>
          <w:rFonts w:eastAsia="仿宋_GB2312"/>
          <w:color w:val="000000"/>
          <w:sz w:val="32"/>
          <w:szCs w:val="32"/>
        </w:rPr>
        <w:t>）</w:t>
      </w:r>
      <w:r>
        <w:rPr>
          <w:rFonts w:hint="eastAsia" w:ascii="仿宋_GB2312" w:eastAsia="仿宋_GB2312"/>
          <w:color w:val="000000"/>
          <w:sz w:val="32"/>
          <w:szCs w:val="32"/>
        </w:rPr>
        <w:t>深入贯彻执行党的路线方针政策和决策部署，统一政法单位思想和行动，坚持党对政法工作的绝对领导，坚决维护党中央权威和集中统一领导。</w:t>
      </w:r>
    </w:p>
    <w:p w14:paraId="7136B1FA">
      <w:pPr>
        <w:spacing w:line="60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2</w:t>
      </w:r>
      <w:r>
        <w:rPr>
          <w:rFonts w:eastAsia="仿宋_GB2312"/>
          <w:color w:val="000000"/>
          <w:sz w:val="32"/>
          <w:szCs w:val="32"/>
        </w:rPr>
        <w:t>）深入贯彻党中央、省委、市委和区委决定，对政法工作研究提出全局性部署，推进平安昭化、法治昭化建设，加强过硬队伍建设，深化智能化建设，坚决维护国家政治安全、确保社会大局稳定、促进社会公平正义、保障人民安居乐业、护航经济社会发展。完善和落实政治督察、执法监督、纪律作风督查等工作制度机制。</w:t>
      </w:r>
    </w:p>
    <w:p w14:paraId="5179FA1B">
      <w:pPr>
        <w:spacing w:line="60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3</w:t>
      </w:r>
      <w:r>
        <w:rPr>
          <w:rFonts w:eastAsia="仿宋_GB2312"/>
          <w:color w:val="000000"/>
          <w:sz w:val="32"/>
          <w:szCs w:val="32"/>
        </w:rPr>
        <w:t>）了解掌握和分析研判全区政治安全、反邪教形势动态，协调和指导政法单位、相关部门和乡镇（街道）做好政治安全、反邪教工作。</w:t>
      </w:r>
    </w:p>
    <w:p w14:paraId="07AC3705">
      <w:pPr>
        <w:spacing w:line="60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4</w:t>
      </w:r>
      <w:r>
        <w:rPr>
          <w:rFonts w:eastAsia="仿宋_GB2312"/>
          <w:color w:val="000000"/>
          <w:sz w:val="32"/>
          <w:szCs w:val="32"/>
        </w:rPr>
        <w:t>）了解掌握和分析研判全区社会稳定形势，协调指导政法单位、相关部门和乡镇（街道）开展社会稳定风险评估，协调推动预防、化解影响稳定</w:t>
      </w:r>
      <w:r>
        <w:rPr>
          <w:rFonts w:hint="eastAsia" w:eastAsia="仿宋_GB2312"/>
          <w:color w:val="000000"/>
          <w:sz w:val="32"/>
          <w:szCs w:val="32"/>
        </w:rPr>
        <w:t>的</w:t>
      </w:r>
      <w:r>
        <w:rPr>
          <w:rFonts w:eastAsia="仿宋_GB2312"/>
          <w:color w:val="000000"/>
          <w:sz w:val="32"/>
          <w:szCs w:val="32"/>
        </w:rPr>
        <w:t>各类风险，协调应对和完善处置重大突发事件。</w:t>
      </w:r>
    </w:p>
    <w:p w14:paraId="459620F8">
      <w:pPr>
        <w:spacing w:line="60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5</w:t>
      </w:r>
      <w:r>
        <w:rPr>
          <w:rFonts w:eastAsia="仿宋_GB2312"/>
          <w:color w:val="000000"/>
          <w:sz w:val="32"/>
          <w:szCs w:val="32"/>
        </w:rPr>
        <w:t>）了解掌握和分析研判全区社会治安形势、社会治理情况动态，创新完善多部门参与平安建设工作机制，推动开展基层平安创建、基层社会治理和网格化服务管理工作，统筹指导区、乡镇（街道）、村（社区）三级综治中心建设；构建矛盾纠纷多元化解体系和机制，指导推动预防、化解各类社会矛盾；负责见义勇为宣传、表彰、奖励等工作；负责指导辖区内铁路护路联防工作。</w:t>
      </w:r>
    </w:p>
    <w:p w14:paraId="341A5F7B">
      <w:pPr>
        <w:spacing w:line="600" w:lineRule="exact"/>
        <w:ind w:firstLine="640" w:firstLineChars="200"/>
        <w:rPr>
          <w:rFonts w:ascii="仿宋_GB2312" w:eastAsia="仿宋_GB2312"/>
          <w:color w:val="000000"/>
          <w:sz w:val="32"/>
          <w:szCs w:val="32"/>
        </w:rPr>
      </w:pPr>
      <w:r>
        <w:rPr>
          <w:rFonts w:eastAsia="仿宋_GB2312"/>
          <w:color w:val="000000"/>
          <w:sz w:val="32"/>
          <w:szCs w:val="32"/>
        </w:rPr>
        <w:t>（</w:t>
      </w:r>
      <w:r>
        <w:rPr>
          <w:rFonts w:hint="eastAsia" w:eastAsia="仿宋_GB2312"/>
          <w:color w:val="000000"/>
          <w:sz w:val="32"/>
          <w:szCs w:val="32"/>
        </w:rPr>
        <w:t>6</w:t>
      </w:r>
      <w:r>
        <w:rPr>
          <w:rFonts w:eastAsia="仿宋_GB2312"/>
          <w:color w:val="000000"/>
          <w:sz w:val="32"/>
          <w:szCs w:val="32"/>
        </w:rPr>
        <w:t>）</w:t>
      </w:r>
      <w:r>
        <w:rPr>
          <w:rFonts w:hint="eastAsia" w:ascii="仿宋_GB2312" w:eastAsia="仿宋_GB2312"/>
          <w:color w:val="000000"/>
          <w:sz w:val="32"/>
          <w:szCs w:val="32"/>
        </w:rPr>
        <w:t>加强对政法工作的督查，统筹协调全区维护政治安全、社会治安综合治理、维护社会稳定、反邪教有关法律法规政策的实施工作。</w:t>
      </w:r>
    </w:p>
    <w:p w14:paraId="400FCA24">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7）支持和监督政法单位依法行使职权，检查政法单位执行党的路线方针政策、重大决策部署等情况，指导和协调政法单位密切配合，研究和协调重大、疑难案件，完善与纪检监察机关工作衔接和协作配合机制，推进严格执法、公正司法。</w:t>
      </w:r>
    </w:p>
    <w:p w14:paraId="5293C020">
      <w:pPr>
        <w:spacing w:line="60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8</w:t>
      </w:r>
      <w:r>
        <w:rPr>
          <w:rFonts w:eastAsia="仿宋_GB2312"/>
          <w:color w:val="000000"/>
          <w:sz w:val="32"/>
          <w:szCs w:val="32"/>
        </w:rPr>
        <w:t>）掌握分析政法舆情动态，指导协调政法单位媒体网络宣传工作，指导政法单位做好涉及政法工作的重大宣传和舆论引导工作，指导政法单位网络安全和智能化建设工作，统筹政法宣传和舆情引导工作。</w:t>
      </w:r>
    </w:p>
    <w:p w14:paraId="5F009F3E">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（9）组织开展政法领域调查研究，研究拟定全区政法工作的政策措施，及时向区委提出建议；组织研究政法改革中带有方向性、倾向性和普遍性的重大问题，深化政法改革。</w:t>
      </w:r>
    </w:p>
    <w:p w14:paraId="1F8899BF">
      <w:pPr>
        <w:spacing w:line="60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10</w:t>
      </w:r>
      <w:r>
        <w:rPr>
          <w:rFonts w:eastAsia="仿宋_GB2312"/>
          <w:color w:val="000000"/>
          <w:sz w:val="32"/>
          <w:szCs w:val="32"/>
        </w:rPr>
        <w:t>）指导推动政法</w:t>
      </w:r>
      <w:r>
        <w:rPr>
          <w:rFonts w:hint="eastAsia" w:eastAsia="仿宋_GB2312"/>
          <w:color w:val="000000"/>
          <w:sz w:val="32"/>
          <w:szCs w:val="32"/>
        </w:rPr>
        <w:t>系统</w:t>
      </w:r>
      <w:r>
        <w:rPr>
          <w:rFonts w:eastAsia="仿宋_GB2312"/>
          <w:color w:val="000000"/>
          <w:sz w:val="32"/>
          <w:szCs w:val="32"/>
        </w:rPr>
        <w:t>党的建设和政法队伍建设，协助</w:t>
      </w:r>
      <w:r>
        <w:rPr>
          <w:rFonts w:hint="eastAsia" w:eastAsia="仿宋_GB2312"/>
          <w:color w:val="000000"/>
          <w:sz w:val="32"/>
          <w:szCs w:val="32"/>
        </w:rPr>
        <w:t>区级</w:t>
      </w:r>
      <w:r>
        <w:rPr>
          <w:rFonts w:eastAsia="仿宋_GB2312"/>
          <w:color w:val="000000"/>
          <w:sz w:val="32"/>
          <w:szCs w:val="32"/>
        </w:rPr>
        <w:t>有关职能部门</w:t>
      </w:r>
      <w:r>
        <w:rPr>
          <w:rFonts w:hint="eastAsia" w:eastAsia="仿宋_GB2312"/>
          <w:color w:val="000000"/>
          <w:sz w:val="32"/>
          <w:szCs w:val="32"/>
        </w:rPr>
        <w:t>管理监督政法领导干部，</w:t>
      </w:r>
      <w:r>
        <w:rPr>
          <w:rFonts w:eastAsia="仿宋_GB2312"/>
          <w:color w:val="000000"/>
          <w:sz w:val="32"/>
          <w:szCs w:val="32"/>
        </w:rPr>
        <w:t>代管广元市昭化区法学会。</w:t>
      </w:r>
    </w:p>
    <w:p w14:paraId="1F744E2C">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（11）完成区委交办的其他任务。</w:t>
      </w:r>
    </w:p>
    <w:p w14:paraId="41B75F87">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14:paraId="61DB2EAC">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eastAsia="仿宋_GB2312"/>
          <w:sz w:val="32"/>
          <w:szCs w:val="32"/>
        </w:rPr>
        <w:t>区委政法委共有编制</w:t>
      </w:r>
      <w:r>
        <w:rPr>
          <w:rFonts w:hint="eastAsia" w:eastAsia="仿宋_GB2312"/>
          <w:sz w:val="32"/>
          <w:szCs w:val="32"/>
        </w:rPr>
        <w:t>15</w:t>
      </w:r>
      <w:r>
        <w:rPr>
          <w:rFonts w:eastAsia="仿宋_GB2312"/>
          <w:sz w:val="32"/>
          <w:szCs w:val="32"/>
        </w:rPr>
        <w:t>名，其中：行政编制</w:t>
      </w:r>
      <w:r>
        <w:rPr>
          <w:rFonts w:hint="eastAsia" w:eastAsia="仿宋_GB2312"/>
          <w:sz w:val="32"/>
          <w:szCs w:val="32"/>
        </w:rPr>
        <w:t>8</w:t>
      </w:r>
      <w:r>
        <w:rPr>
          <w:rFonts w:eastAsia="仿宋_GB2312"/>
          <w:sz w:val="32"/>
          <w:szCs w:val="32"/>
        </w:rPr>
        <w:t>人，事业编制7人。20</w:t>
      </w:r>
      <w:r>
        <w:rPr>
          <w:rFonts w:hint="eastAsia" w:eastAsia="仿宋_GB2312"/>
          <w:sz w:val="32"/>
          <w:szCs w:val="32"/>
        </w:rPr>
        <w:t>20</w:t>
      </w:r>
      <w:r>
        <w:rPr>
          <w:rFonts w:eastAsia="仿宋_GB2312"/>
          <w:sz w:val="32"/>
          <w:szCs w:val="32"/>
        </w:rPr>
        <w:t>年</w:t>
      </w:r>
      <w:r>
        <w:rPr>
          <w:rFonts w:hint="eastAsia" w:eastAsia="仿宋_GB2312"/>
          <w:sz w:val="32"/>
          <w:szCs w:val="32"/>
        </w:rPr>
        <w:t>决算</w:t>
      </w:r>
      <w:r>
        <w:rPr>
          <w:rFonts w:eastAsia="仿宋_GB2312"/>
          <w:sz w:val="32"/>
          <w:szCs w:val="32"/>
        </w:rPr>
        <w:t>实有在职编制内人员1</w:t>
      </w:r>
      <w:r>
        <w:rPr>
          <w:rFonts w:hint="eastAsia" w:eastAsia="仿宋_GB2312"/>
          <w:sz w:val="32"/>
          <w:szCs w:val="32"/>
        </w:rPr>
        <w:t>6</w:t>
      </w:r>
      <w:r>
        <w:rPr>
          <w:rFonts w:eastAsia="仿宋_GB2312"/>
          <w:sz w:val="32"/>
          <w:szCs w:val="32"/>
        </w:rPr>
        <w:t>人，较去年</w:t>
      </w:r>
      <w:r>
        <w:rPr>
          <w:rFonts w:hint="eastAsia" w:eastAsia="仿宋_GB2312"/>
          <w:sz w:val="32"/>
          <w:szCs w:val="32"/>
        </w:rPr>
        <w:t>13人增加了3人</w:t>
      </w:r>
      <w:r>
        <w:rPr>
          <w:rFonts w:eastAsia="仿宋_GB2312"/>
          <w:sz w:val="32"/>
          <w:szCs w:val="32"/>
        </w:rPr>
        <w:t>，其中：行政人员</w:t>
      </w:r>
      <w:r>
        <w:rPr>
          <w:rFonts w:hint="eastAsia" w:eastAsia="仿宋_GB2312"/>
          <w:sz w:val="32"/>
          <w:szCs w:val="32"/>
        </w:rPr>
        <w:t>9</w:t>
      </w:r>
      <w:r>
        <w:rPr>
          <w:rFonts w:eastAsia="仿宋_GB2312"/>
          <w:sz w:val="32"/>
          <w:szCs w:val="32"/>
        </w:rPr>
        <w:t>人，事业人员</w:t>
      </w:r>
      <w:r>
        <w:rPr>
          <w:rFonts w:hint="eastAsia" w:eastAsia="仿宋_GB2312"/>
          <w:sz w:val="32"/>
          <w:szCs w:val="32"/>
        </w:rPr>
        <w:t>7</w:t>
      </w:r>
      <w:r>
        <w:rPr>
          <w:rFonts w:eastAsia="仿宋_GB2312"/>
          <w:sz w:val="32"/>
          <w:szCs w:val="32"/>
        </w:rPr>
        <w:t>人。按财政供给率分，财政全额供给</w:t>
      </w:r>
      <w:r>
        <w:rPr>
          <w:rFonts w:hint="eastAsia" w:eastAsia="仿宋_GB2312"/>
          <w:sz w:val="32"/>
          <w:szCs w:val="32"/>
        </w:rPr>
        <w:t>16</w:t>
      </w:r>
      <w:r>
        <w:rPr>
          <w:rFonts w:eastAsia="仿宋_GB2312"/>
          <w:sz w:val="32"/>
          <w:szCs w:val="32"/>
        </w:rPr>
        <w:t>人。退休</w:t>
      </w:r>
      <w:r>
        <w:rPr>
          <w:rFonts w:hint="eastAsia" w:eastAsia="仿宋_GB2312"/>
          <w:sz w:val="32"/>
          <w:szCs w:val="32"/>
        </w:rPr>
        <w:t>人员</w:t>
      </w:r>
      <w:r>
        <w:rPr>
          <w:rFonts w:eastAsia="仿宋_GB2312"/>
          <w:sz w:val="32"/>
          <w:szCs w:val="32"/>
        </w:rPr>
        <w:t>1人。</w:t>
      </w:r>
    </w:p>
    <w:p w14:paraId="13186D17">
      <w:pPr>
        <w:widowControl/>
        <w:adjustRightInd w:val="0"/>
        <w:snapToGrid w:val="0"/>
        <w:spacing w:line="580" w:lineRule="exact"/>
        <w:ind w:firstLine="640" w:firstLineChars="200"/>
        <w:contextualSpacing/>
        <w:jc w:val="left"/>
        <w:outlineLvl w:val="1"/>
        <w:rPr>
          <w:rFonts w:ascii="黑体" w:hAnsi="宋体" w:eastAsia="黑体" w:cs="宋体"/>
          <w:color w:val="000000"/>
          <w:kern w:val="0"/>
          <w:sz w:val="32"/>
          <w:szCs w:val="32"/>
          <w:shd w:val="clear" w:color="auto" w:fill="FFFFFF"/>
        </w:rPr>
      </w:pPr>
      <w:bookmarkStart w:id="86" w:name="_Toc12160"/>
      <w:r>
        <w:rPr>
          <w:rFonts w:hint="eastAsia" w:ascii="黑体" w:hAnsi="宋体" w:eastAsia="黑体" w:cs="宋体"/>
          <w:color w:val="000000"/>
          <w:kern w:val="0"/>
          <w:sz w:val="32"/>
          <w:szCs w:val="32"/>
          <w:shd w:val="clear" w:color="auto" w:fill="FFFFFF"/>
        </w:rPr>
        <w:t>二、部门财政资金收支情况</w:t>
      </w:r>
      <w:bookmarkEnd w:id="86"/>
    </w:p>
    <w:p w14:paraId="4F122F1B">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14:paraId="0002B0B4">
      <w:pPr>
        <w:spacing w:line="600" w:lineRule="exact"/>
        <w:ind w:firstLine="640" w:firstLineChars="200"/>
        <w:rPr>
          <w:rFonts w:ascii="仿宋_GB2312" w:eastAsia="仿宋_GB2312"/>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年本年收入合计732.63万元</w:t>
      </w:r>
      <w:r>
        <w:rPr>
          <w:rFonts w:hint="eastAsia" w:ascii="仿宋_GB2312" w:eastAsia="仿宋_GB2312"/>
          <w:color w:val="000000"/>
          <w:sz w:val="32"/>
          <w:szCs w:val="32"/>
        </w:rPr>
        <w:t>（含上年结转41.80万元）</w:t>
      </w:r>
      <w:r>
        <w:rPr>
          <w:rFonts w:hint="eastAsia" w:ascii="仿宋" w:hAnsi="仿宋" w:eastAsia="仿宋"/>
          <w:color w:val="000000"/>
          <w:sz w:val="32"/>
          <w:szCs w:val="32"/>
        </w:rPr>
        <w:t>，其中：一般公共预算财政拨款收入</w:t>
      </w:r>
      <w:r>
        <w:rPr>
          <w:rFonts w:hint="eastAsia" w:ascii="仿宋_GB2312" w:eastAsia="仿宋_GB2312"/>
          <w:color w:val="000000"/>
          <w:sz w:val="32"/>
          <w:szCs w:val="32"/>
        </w:rPr>
        <w:t>690.83</w:t>
      </w:r>
      <w:r>
        <w:rPr>
          <w:rFonts w:hint="eastAsia" w:ascii="仿宋" w:hAnsi="仿宋" w:eastAsia="仿宋"/>
          <w:color w:val="000000"/>
          <w:sz w:val="32"/>
          <w:szCs w:val="32"/>
        </w:rPr>
        <w:t>万元，占</w:t>
      </w:r>
      <w:r>
        <w:rPr>
          <w:rFonts w:hint="eastAsia" w:ascii="仿宋_GB2312" w:eastAsia="仿宋_GB2312"/>
          <w:color w:val="000000"/>
          <w:sz w:val="32"/>
          <w:szCs w:val="32"/>
        </w:rPr>
        <w:t>94.29</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；上级补助收入0万元，占0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_GB2312" w:eastAsia="仿宋_GB2312"/>
          <w:color w:val="000000"/>
          <w:sz w:val="32"/>
          <w:szCs w:val="32"/>
        </w:rPr>
        <w:t>上年结转41.83万元，占比5.71%。</w:t>
      </w:r>
    </w:p>
    <w:p w14:paraId="3992C6DB">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p>
    <w:p w14:paraId="6F899A46">
      <w:pPr>
        <w:spacing w:line="600" w:lineRule="exact"/>
        <w:ind w:firstLine="640" w:firstLineChars="200"/>
        <w:rPr>
          <w:rFonts w:ascii="仿宋_GB2312" w:hAnsi="宋体" w:eastAsia="仿宋_GB2312" w:cs="宋体"/>
          <w:color w:val="000000"/>
          <w:kern w:val="0"/>
          <w:sz w:val="32"/>
          <w:szCs w:val="32"/>
          <w:shd w:val="clear" w:color="auto" w:fill="FFFFFF"/>
          <w:lang w:val="zh-CN"/>
        </w:rPr>
      </w:pPr>
      <w:r>
        <w:rPr>
          <w:rFonts w:ascii="仿宋" w:hAnsi="仿宋" w:eastAsia="仿宋"/>
          <w:color w:val="000000"/>
          <w:sz w:val="32"/>
          <w:szCs w:val="32"/>
        </w:rPr>
        <w:t>2020</w:t>
      </w:r>
      <w:r>
        <w:rPr>
          <w:rFonts w:hint="eastAsia" w:ascii="仿宋" w:hAnsi="仿宋" w:eastAsia="仿宋"/>
          <w:color w:val="000000"/>
          <w:sz w:val="32"/>
          <w:szCs w:val="32"/>
        </w:rPr>
        <w:t>年本年支出合计</w:t>
      </w:r>
      <w:r>
        <w:rPr>
          <w:rFonts w:ascii="仿宋" w:hAnsi="仿宋" w:eastAsia="仿宋"/>
          <w:color w:val="000000"/>
          <w:sz w:val="32"/>
          <w:szCs w:val="32"/>
        </w:rPr>
        <w:t>732.63</w:t>
      </w:r>
      <w:r>
        <w:rPr>
          <w:rFonts w:hint="eastAsia" w:ascii="仿宋" w:hAnsi="仿宋" w:eastAsia="仿宋"/>
          <w:color w:val="000000"/>
          <w:sz w:val="32"/>
          <w:szCs w:val="32"/>
        </w:rPr>
        <w:t>万元</w:t>
      </w:r>
      <w:r>
        <w:rPr>
          <w:rFonts w:hint="eastAsia" w:ascii="仿宋_GB2312" w:eastAsia="仿宋_GB2312"/>
          <w:color w:val="000000"/>
          <w:sz w:val="32"/>
          <w:szCs w:val="32"/>
        </w:rPr>
        <w:t>（含上年结转41.80万元）</w:t>
      </w:r>
      <w:r>
        <w:rPr>
          <w:rFonts w:hint="eastAsia" w:ascii="仿宋" w:hAnsi="仿宋" w:eastAsia="仿宋"/>
          <w:color w:val="000000"/>
          <w:sz w:val="32"/>
          <w:szCs w:val="32"/>
        </w:rPr>
        <w:t>，其中：基本支出</w:t>
      </w:r>
      <w:r>
        <w:rPr>
          <w:rFonts w:ascii="仿宋" w:hAnsi="仿宋" w:eastAsia="仿宋"/>
          <w:color w:val="000000"/>
          <w:sz w:val="32"/>
          <w:szCs w:val="32"/>
        </w:rPr>
        <w:t>732.63</w:t>
      </w:r>
      <w:r>
        <w:rPr>
          <w:rFonts w:hint="eastAsia" w:ascii="仿宋" w:hAnsi="仿宋" w:eastAsia="仿宋"/>
          <w:color w:val="000000"/>
          <w:sz w:val="32"/>
          <w:szCs w:val="32"/>
        </w:rPr>
        <w:t>万元，占</w:t>
      </w:r>
      <w:r>
        <w:rPr>
          <w:rFonts w:ascii="仿宋" w:hAnsi="仿宋" w:eastAsia="仿宋"/>
          <w:color w:val="000000"/>
          <w:sz w:val="32"/>
          <w:szCs w:val="32"/>
        </w:rPr>
        <w:t>100%</w:t>
      </w:r>
      <w:r>
        <w:rPr>
          <w:rFonts w:hint="eastAsia" w:ascii="仿宋" w:hAnsi="仿宋" w:eastAsia="仿宋"/>
          <w:color w:val="000000"/>
          <w:sz w:val="32"/>
          <w:szCs w:val="32"/>
        </w:rPr>
        <w:t>；项目支出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；上缴上级支出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；对附属单位补助支出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w:t>
      </w:r>
    </w:p>
    <w:p w14:paraId="1F8D508D">
      <w:pPr>
        <w:widowControl/>
        <w:adjustRightInd w:val="0"/>
        <w:snapToGrid w:val="0"/>
        <w:spacing w:line="580" w:lineRule="exact"/>
        <w:ind w:firstLine="640" w:firstLineChars="200"/>
        <w:contextualSpacing/>
        <w:jc w:val="left"/>
        <w:outlineLvl w:val="1"/>
        <w:rPr>
          <w:rFonts w:ascii="黑体" w:hAnsi="宋体" w:eastAsia="黑体" w:cs="宋体"/>
          <w:color w:val="000000"/>
          <w:kern w:val="0"/>
          <w:sz w:val="32"/>
          <w:szCs w:val="32"/>
          <w:shd w:val="clear" w:color="auto" w:fill="FFFFFF"/>
        </w:rPr>
      </w:pPr>
      <w:bookmarkStart w:id="87" w:name="_Toc23302"/>
      <w:r>
        <w:rPr>
          <w:rFonts w:hint="eastAsia" w:ascii="黑体" w:hAnsi="宋体" w:eastAsia="黑体" w:cs="宋体"/>
          <w:color w:val="000000"/>
          <w:kern w:val="0"/>
          <w:sz w:val="32"/>
          <w:szCs w:val="32"/>
          <w:shd w:val="clear" w:color="auto" w:fill="FFFFFF"/>
        </w:rPr>
        <w:t>三、部门整体预算绩效管理情况</w:t>
      </w:r>
      <w:bookmarkEnd w:id="87"/>
    </w:p>
    <w:p w14:paraId="05BCE854">
      <w:pPr>
        <w:spacing w:line="556" w:lineRule="exact"/>
        <w:ind w:firstLine="640" w:firstLineChars="200"/>
        <w:rPr>
          <w:rFonts w:ascii="仿宋" w:hAnsi="仿宋" w:eastAsia="仿宋" w:cs="楷体_GB2312"/>
          <w:color w:val="000000"/>
          <w:sz w:val="32"/>
          <w:szCs w:val="32"/>
        </w:rPr>
      </w:pPr>
      <w:r>
        <w:rPr>
          <w:rFonts w:hint="eastAsia" w:ascii="仿宋_GB2312" w:hAnsi="宋体" w:eastAsia="仿宋_GB2312" w:cs="宋体"/>
          <w:color w:val="000000"/>
          <w:kern w:val="0"/>
          <w:sz w:val="32"/>
          <w:szCs w:val="32"/>
          <w:shd w:val="clear" w:color="auto" w:fill="FFFFFF"/>
          <w:lang w:val="zh-CN"/>
        </w:rPr>
        <w:t>（一）部门预算管理。</w:t>
      </w:r>
      <w:r>
        <w:rPr>
          <w:rFonts w:hint="eastAsia" w:ascii="仿宋_GB2312" w:hAnsi="仿宋" w:eastAsia="仿宋_GB2312"/>
          <w:sz w:val="32"/>
          <w:szCs w:val="32"/>
        </w:rPr>
        <w:t>本单位2020年严格财务管理，</w:t>
      </w:r>
      <w:r>
        <w:rPr>
          <w:rFonts w:hint="eastAsia" w:ascii="仿宋" w:hAnsi="仿宋" w:eastAsia="仿宋" w:cs="楷体_GB2312"/>
          <w:color w:val="000000"/>
          <w:sz w:val="32"/>
          <w:szCs w:val="32"/>
        </w:rPr>
        <w:t>严格按照</w:t>
      </w:r>
      <w:r>
        <w:rPr>
          <w:rFonts w:hint="eastAsia" w:ascii="仿宋_GB2312" w:hAnsi="仿宋" w:eastAsia="仿宋_GB2312"/>
          <w:sz w:val="32"/>
          <w:szCs w:val="32"/>
        </w:rPr>
        <w:t>执行</w:t>
      </w:r>
      <w:r>
        <w:rPr>
          <w:rFonts w:hint="eastAsia" w:ascii="仿宋_GB2312" w:hAnsi="仿宋" w:eastAsia="仿宋_GB2312"/>
          <w:sz w:val="32"/>
          <w:szCs w:val="32"/>
          <w:lang w:eastAsia="zh-CN"/>
        </w:rPr>
        <w:t>中央八项规定</w:t>
      </w:r>
      <w:r>
        <w:rPr>
          <w:rFonts w:hint="eastAsia" w:ascii="仿宋_GB2312" w:hAnsi="仿宋" w:eastAsia="仿宋_GB2312"/>
          <w:sz w:val="32"/>
          <w:szCs w:val="32"/>
        </w:rPr>
        <w:t>和绩效管理、决算组织、编报、审核等相关</w:t>
      </w:r>
      <w:r>
        <w:rPr>
          <w:rFonts w:hint="eastAsia" w:ascii="仿宋" w:hAnsi="仿宋" w:eastAsia="仿宋" w:cs="楷体_GB2312"/>
          <w:color w:val="000000"/>
          <w:sz w:val="32"/>
          <w:szCs w:val="32"/>
        </w:rPr>
        <w:t>规定编制收入预算、支出预算（含基本支出、项目支出）、三公经费预算等。编制准确，正确使用功能科目和经济科目、准确编列资金性质和资金级次、按政府审定的方案规范编制项目支出，不漏报、错报，及时报送区财政局。一是规章制度建立健全，制度执行严格合规，会计核算符合相关规定。二是严格按照有关规定，加强对财政对财政各项资金的监督管理，确保资金及时、足额到位，专款专用，资金支付依据和开支标准合法合规，未出现截留和挤占挪作他用的现象。三是严格执行财政集中支付制度，按规定使用公务卡，严格控制现金支付方式。四是按时上交账户年检表。五是按规定对财政拨付的专项资金进行自检自查，做好资金的项目和资金使用效益工作，充分发挥各项资金的使用效益，财政各项专项工作按时高质量的完成。2020年，我委预算收入</w:t>
      </w:r>
      <w:r>
        <w:rPr>
          <w:rFonts w:hint="eastAsia" w:ascii="仿宋" w:hAnsi="仿宋" w:eastAsia="仿宋" w:cs="仿宋"/>
          <w:color w:val="000000"/>
          <w:sz w:val="32"/>
          <w:szCs w:val="32"/>
        </w:rPr>
        <w:t>732.63</w:t>
      </w:r>
      <w:r>
        <w:rPr>
          <w:rFonts w:hint="eastAsia" w:ascii="仿宋" w:hAnsi="仿宋" w:eastAsia="仿宋" w:cs="楷体_GB2312"/>
          <w:color w:val="000000"/>
          <w:sz w:val="32"/>
          <w:szCs w:val="32"/>
        </w:rPr>
        <w:t>万元,支出732.63万元。预算执行情况。</w:t>
      </w:r>
    </w:p>
    <w:p w14:paraId="045DBA7D">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14:paraId="70A86DF4">
      <w:pPr>
        <w:spacing w:line="580" w:lineRule="exact"/>
        <w:ind w:firstLine="640" w:firstLineChars="200"/>
        <w:rPr>
          <w:rFonts w:ascii="仿宋" w:hAnsi="仿宋" w:eastAsia="仿宋" w:cs="仿宋_GB2312"/>
          <w:sz w:val="32"/>
          <w:szCs w:val="32"/>
        </w:rPr>
      </w:pPr>
      <w:r>
        <w:rPr>
          <w:rFonts w:hint="eastAsia" w:ascii="仿宋" w:hAnsi="仿宋" w:eastAsia="仿宋" w:cs="楷体_GB2312"/>
          <w:color w:val="000000"/>
          <w:sz w:val="32"/>
          <w:szCs w:val="32"/>
        </w:rPr>
        <w:t>评价结果作为年终部门评优及推选先进集体和公务员考核的依据。</w:t>
      </w:r>
    </w:p>
    <w:p w14:paraId="09D2D7D3">
      <w:pPr>
        <w:widowControl/>
        <w:adjustRightInd w:val="0"/>
        <w:snapToGrid w:val="0"/>
        <w:spacing w:line="580" w:lineRule="exact"/>
        <w:ind w:firstLine="640" w:firstLineChars="200"/>
        <w:contextualSpacing/>
        <w:jc w:val="left"/>
        <w:outlineLvl w:val="1"/>
        <w:rPr>
          <w:rFonts w:ascii="黑体" w:hAnsi="宋体" w:eastAsia="黑体" w:cs="宋体"/>
          <w:color w:val="000000"/>
          <w:kern w:val="0"/>
          <w:sz w:val="32"/>
          <w:szCs w:val="32"/>
          <w:shd w:val="clear" w:color="auto" w:fill="FFFFFF"/>
        </w:rPr>
      </w:pPr>
      <w:bookmarkStart w:id="88" w:name="_Toc20182"/>
      <w:r>
        <w:rPr>
          <w:rFonts w:hint="eastAsia" w:ascii="黑体" w:hAnsi="宋体" w:eastAsia="黑体" w:cs="宋体"/>
          <w:color w:val="000000"/>
          <w:kern w:val="0"/>
          <w:sz w:val="32"/>
          <w:szCs w:val="32"/>
          <w:shd w:val="clear" w:color="auto" w:fill="FFFFFF"/>
        </w:rPr>
        <w:t>四、评价结论及建议</w:t>
      </w:r>
      <w:bookmarkEnd w:id="88"/>
    </w:p>
    <w:p w14:paraId="55F1DFE8">
      <w:pPr>
        <w:spacing w:line="580" w:lineRule="exact"/>
        <w:ind w:firstLine="640" w:firstLineChars="200"/>
        <w:rPr>
          <w:rFonts w:ascii="仿宋" w:hAnsi="仿宋" w:eastAsia="仿宋" w:cs="仿宋"/>
          <w:sz w:val="32"/>
          <w:szCs w:val="32"/>
        </w:rPr>
      </w:pPr>
      <w:r>
        <w:rPr>
          <w:rFonts w:hint="eastAsia" w:ascii="仿宋_GB2312" w:hAnsi="宋体" w:eastAsia="仿宋_GB2312" w:cs="宋体"/>
          <w:color w:val="000000"/>
          <w:kern w:val="0"/>
          <w:sz w:val="32"/>
          <w:szCs w:val="32"/>
          <w:shd w:val="clear" w:color="auto" w:fill="FFFFFF"/>
          <w:lang w:val="zh-CN"/>
        </w:rPr>
        <w:t>（一）评价结论。</w:t>
      </w:r>
      <w:r>
        <w:rPr>
          <w:rFonts w:hint="eastAsia" w:ascii="仿宋" w:hAnsi="仿宋" w:eastAsia="仿宋" w:cs="仿宋"/>
          <w:sz w:val="32"/>
          <w:szCs w:val="32"/>
        </w:rPr>
        <w:t>本部门完成了2020年目标管理任务。</w:t>
      </w:r>
    </w:p>
    <w:p w14:paraId="09A8BFEA">
      <w:pPr>
        <w:spacing w:line="580" w:lineRule="exact"/>
        <w:ind w:firstLine="640" w:firstLineChars="200"/>
        <w:rPr>
          <w:rFonts w:ascii="仿宋" w:hAnsi="仿宋" w:eastAsia="仿宋" w:cs="仿宋_GB2312"/>
          <w:sz w:val="32"/>
          <w:szCs w:val="32"/>
        </w:rPr>
      </w:pPr>
      <w:r>
        <w:rPr>
          <w:rFonts w:hint="eastAsia" w:ascii="仿宋_GB2312" w:hAnsi="宋体" w:eastAsia="仿宋_GB2312" w:cs="宋体"/>
          <w:color w:val="000000"/>
          <w:kern w:val="0"/>
          <w:sz w:val="32"/>
          <w:szCs w:val="32"/>
          <w:shd w:val="clear" w:color="auto" w:fill="FFFFFF"/>
          <w:lang w:val="zh-CN"/>
        </w:rPr>
        <w:t>（二）存在问题。在</w:t>
      </w:r>
      <w:r>
        <w:rPr>
          <w:rFonts w:hint="eastAsia" w:ascii="仿宋_GB2312" w:hAnsi="仿宋" w:eastAsia="仿宋_GB2312" w:cs="仿宋_GB2312"/>
          <w:sz w:val="32"/>
          <w:szCs w:val="32"/>
        </w:rPr>
        <w:t>预算执行还没有完全到位，公务卡使用还有待加强。</w:t>
      </w:r>
    </w:p>
    <w:p w14:paraId="4D0EBFBD">
      <w:pPr>
        <w:snapToGrid w:val="0"/>
        <w:spacing w:line="520" w:lineRule="exact"/>
        <w:ind w:firstLine="640" w:firstLineChars="200"/>
        <w:rPr>
          <w:rFonts w:ascii="仿宋_GB2312" w:hAnsi="仿宋" w:eastAsia="仿宋_GB2312" w:cs="仿宋_GB2312"/>
          <w:sz w:val="32"/>
          <w:szCs w:val="32"/>
        </w:rPr>
      </w:pPr>
      <w:r>
        <w:rPr>
          <w:rFonts w:hint="eastAsia" w:ascii="仿宋_GB2312" w:hAnsi="宋体" w:eastAsia="仿宋_GB2312" w:cs="宋体"/>
          <w:color w:val="000000"/>
          <w:kern w:val="0"/>
          <w:sz w:val="32"/>
          <w:szCs w:val="32"/>
          <w:shd w:val="clear" w:color="auto" w:fill="FFFFFF"/>
          <w:lang w:val="zh-CN"/>
        </w:rPr>
        <w:t>（三）改进建议。</w:t>
      </w:r>
      <w:r>
        <w:rPr>
          <w:rFonts w:hint="eastAsia" w:ascii="仿宋_GB2312" w:hAnsi="仿宋" w:eastAsia="仿宋_GB2312" w:cs="仿宋_GB2312"/>
          <w:sz w:val="32"/>
          <w:szCs w:val="32"/>
        </w:rPr>
        <w:t>强化预算绩效管理，做好预算执行，严格公务卡使用。</w:t>
      </w:r>
    </w:p>
    <w:p w14:paraId="372F0889">
      <w:pPr>
        <w:spacing w:line="580" w:lineRule="exact"/>
        <w:ind w:firstLine="640" w:firstLineChars="200"/>
        <w:rPr>
          <w:rFonts w:ascii="仿宋_GB2312" w:hAnsi="仿宋_GB2312" w:eastAsia="仿宋_GB2312" w:cs="仿宋_GB2312"/>
          <w:sz w:val="32"/>
          <w:szCs w:val="32"/>
        </w:rPr>
      </w:pPr>
    </w:p>
    <w:p w14:paraId="284A1523">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14:paraId="55DF7473">
      <w:pPr>
        <w:spacing w:line="580" w:lineRule="exact"/>
        <w:ind w:firstLine="640" w:firstLineChars="200"/>
        <w:rPr>
          <w:rFonts w:ascii="仿宋_GB2312" w:hAnsi="仿宋_GB2312" w:eastAsia="仿宋_GB2312" w:cs="仿宋_GB2312"/>
          <w:sz w:val="32"/>
          <w:szCs w:val="32"/>
        </w:rPr>
      </w:pPr>
    </w:p>
    <w:p w14:paraId="4C62C782">
      <w:pPr>
        <w:spacing w:line="580" w:lineRule="exact"/>
        <w:ind w:firstLine="640" w:firstLineChars="200"/>
        <w:rPr>
          <w:rFonts w:ascii="仿宋_GB2312" w:hAnsi="仿宋_GB2312" w:eastAsia="仿宋_GB2312" w:cs="仿宋_GB2312"/>
          <w:sz w:val="32"/>
          <w:szCs w:val="32"/>
        </w:rPr>
      </w:pPr>
    </w:p>
    <w:p w14:paraId="7151BFA9">
      <w:pPr>
        <w:spacing w:line="580" w:lineRule="exact"/>
        <w:rPr>
          <w:rFonts w:ascii="黑体" w:hAnsi="黑体" w:eastAsia="黑体" w:cs="黑体"/>
          <w:sz w:val="32"/>
          <w:szCs w:val="32"/>
        </w:rPr>
      </w:pPr>
    </w:p>
    <w:p w14:paraId="72FE6309">
      <w:pPr>
        <w:spacing w:line="580" w:lineRule="exact"/>
        <w:rPr>
          <w:rFonts w:ascii="黑体" w:hAnsi="黑体" w:eastAsia="黑体" w:cs="黑体"/>
          <w:sz w:val="32"/>
          <w:szCs w:val="32"/>
        </w:rPr>
      </w:pPr>
    </w:p>
    <w:p w14:paraId="766E1828">
      <w:pPr>
        <w:spacing w:line="580" w:lineRule="exact"/>
        <w:rPr>
          <w:rFonts w:ascii="黑体" w:hAnsi="黑体" w:eastAsia="黑体" w:cs="黑体"/>
          <w:sz w:val="32"/>
          <w:szCs w:val="32"/>
        </w:rPr>
      </w:pPr>
    </w:p>
    <w:p w14:paraId="040BBAC9">
      <w:pPr>
        <w:spacing w:line="580" w:lineRule="exact"/>
        <w:rPr>
          <w:rFonts w:ascii="黑体" w:hAnsi="黑体" w:eastAsia="黑体" w:cs="黑体"/>
          <w:sz w:val="32"/>
          <w:szCs w:val="32"/>
        </w:rPr>
      </w:pPr>
    </w:p>
    <w:p w14:paraId="2844CBEC">
      <w:pPr>
        <w:spacing w:line="580" w:lineRule="exact"/>
        <w:rPr>
          <w:rFonts w:ascii="黑体" w:hAnsi="黑体" w:eastAsia="黑体" w:cs="黑体"/>
          <w:sz w:val="32"/>
          <w:szCs w:val="32"/>
        </w:rPr>
      </w:pPr>
    </w:p>
    <w:p w14:paraId="43670E88">
      <w:pPr>
        <w:spacing w:line="580" w:lineRule="exact"/>
        <w:rPr>
          <w:rFonts w:ascii="黑体" w:hAnsi="黑体" w:eastAsia="黑体" w:cs="黑体"/>
          <w:sz w:val="32"/>
          <w:szCs w:val="32"/>
        </w:rPr>
      </w:pPr>
    </w:p>
    <w:p w14:paraId="36D373C9">
      <w:pPr>
        <w:spacing w:line="580" w:lineRule="exact"/>
        <w:rPr>
          <w:rFonts w:ascii="黑体" w:hAnsi="黑体" w:eastAsia="黑体" w:cs="黑体"/>
          <w:sz w:val="32"/>
          <w:szCs w:val="32"/>
        </w:rPr>
      </w:pPr>
    </w:p>
    <w:p w14:paraId="277F7AA3">
      <w:pPr>
        <w:spacing w:line="580" w:lineRule="exact"/>
        <w:rPr>
          <w:rFonts w:ascii="黑体" w:hAnsi="黑体" w:eastAsia="黑体" w:cs="黑体"/>
          <w:sz w:val="32"/>
          <w:szCs w:val="32"/>
        </w:rPr>
      </w:pPr>
    </w:p>
    <w:p w14:paraId="7C4DF173">
      <w:pPr>
        <w:spacing w:line="580" w:lineRule="exact"/>
        <w:rPr>
          <w:rFonts w:ascii="黑体" w:hAnsi="黑体" w:eastAsia="黑体" w:cs="黑体"/>
          <w:sz w:val="32"/>
          <w:szCs w:val="32"/>
        </w:rPr>
      </w:pPr>
    </w:p>
    <w:p w14:paraId="7B431E44">
      <w:pPr>
        <w:spacing w:line="580" w:lineRule="exact"/>
        <w:rPr>
          <w:rFonts w:ascii="黑体" w:hAnsi="黑体" w:eastAsia="黑体" w:cs="黑体"/>
          <w:sz w:val="32"/>
          <w:szCs w:val="32"/>
        </w:rPr>
      </w:pPr>
    </w:p>
    <w:p w14:paraId="10E6BDDA">
      <w:pPr>
        <w:spacing w:line="580" w:lineRule="exact"/>
        <w:rPr>
          <w:rFonts w:ascii="黑体" w:hAnsi="黑体" w:eastAsia="黑体" w:cs="黑体"/>
          <w:sz w:val="32"/>
          <w:szCs w:val="32"/>
        </w:rPr>
      </w:pPr>
    </w:p>
    <w:p w14:paraId="68FFE67E">
      <w:pPr>
        <w:spacing w:line="580" w:lineRule="exact"/>
        <w:rPr>
          <w:rFonts w:ascii="黑体" w:hAnsi="黑体" w:eastAsia="黑体" w:cs="黑体"/>
          <w:sz w:val="32"/>
          <w:szCs w:val="32"/>
        </w:rPr>
      </w:pPr>
    </w:p>
    <w:p w14:paraId="3F104BA6">
      <w:pPr>
        <w:spacing w:line="580" w:lineRule="exact"/>
        <w:rPr>
          <w:rFonts w:ascii="黑体" w:hAnsi="黑体" w:eastAsia="黑体" w:cs="黑体"/>
          <w:sz w:val="32"/>
          <w:szCs w:val="32"/>
        </w:rPr>
      </w:pPr>
    </w:p>
    <w:p w14:paraId="4BDEE5A7">
      <w:pPr>
        <w:spacing w:line="580" w:lineRule="exact"/>
        <w:outlineLvl w:val="1"/>
        <w:rPr>
          <w:rFonts w:ascii="仿宋_GB2312" w:hAnsi="仿宋_GB2312" w:eastAsia="仿宋_GB2312" w:cs="仿宋_GB2312"/>
          <w:sz w:val="32"/>
          <w:szCs w:val="32"/>
        </w:rPr>
      </w:pPr>
      <w:bookmarkStart w:id="89" w:name="_Toc17583"/>
      <w:r>
        <w:rPr>
          <w:rFonts w:hint="eastAsia" w:ascii="黑体" w:hAnsi="黑体" w:eastAsia="黑体" w:cs="黑体"/>
          <w:sz w:val="32"/>
          <w:szCs w:val="32"/>
        </w:rPr>
        <w:t>附件</w:t>
      </w:r>
      <w:r>
        <w:rPr>
          <w:rFonts w:ascii="黑体" w:hAnsi="黑体" w:eastAsia="黑体" w:cs="黑体"/>
          <w:sz w:val="32"/>
          <w:szCs w:val="32"/>
        </w:rPr>
        <w:t>2</w:t>
      </w:r>
      <w:bookmarkEnd w:id="89"/>
    </w:p>
    <w:p w14:paraId="3396C134">
      <w:pPr>
        <w:spacing w:line="580" w:lineRule="exact"/>
        <w:ind w:firstLine="640" w:firstLineChars="200"/>
        <w:rPr>
          <w:rFonts w:ascii="仿宋_GB2312" w:hAnsi="仿宋_GB2312" w:eastAsia="仿宋_GB2312" w:cs="仿宋_GB2312"/>
          <w:sz w:val="32"/>
          <w:szCs w:val="32"/>
        </w:rPr>
      </w:pPr>
    </w:p>
    <w:p w14:paraId="744FB0C8">
      <w:pPr>
        <w:spacing w:line="600" w:lineRule="exact"/>
        <w:jc w:val="center"/>
        <w:rPr>
          <w:rFonts w:ascii="宋体"/>
          <w:sz w:val="32"/>
          <w:szCs w:val="32"/>
          <w:lang w:val="zh-CN"/>
        </w:rPr>
      </w:pPr>
      <w:r>
        <w:rPr>
          <w:rFonts w:hint="eastAsia" w:ascii="方正小标宋简体" w:hAnsi="宋体" w:eastAsia="方正小标宋简体"/>
          <w:color w:val="000000"/>
          <w:kern w:val="0"/>
          <w:sz w:val="44"/>
          <w:szCs w:val="44"/>
        </w:rPr>
        <w:t>政法专项经费（铁路护路联防</w:t>
      </w:r>
      <w:r>
        <w:rPr>
          <w:rFonts w:hint="eastAsia" w:ascii="方正小标宋简体" w:hAnsi="宋体" w:eastAsia="方正小标宋简体"/>
          <w:color w:val="000000"/>
          <w:kern w:val="0"/>
          <w:sz w:val="44"/>
          <w:szCs w:val="44"/>
          <w:lang w:val="zh-CN"/>
        </w:rPr>
        <w:t>项目）</w:t>
      </w:r>
      <w:r>
        <w:rPr>
          <w:rFonts w:ascii="方正小标宋简体" w:hAnsi="宋体" w:eastAsia="方正小标宋简体"/>
          <w:color w:val="000000"/>
          <w:kern w:val="0"/>
          <w:sz w:val="44"/>
          <w:szCs w:val="44"/>
        </w:rPr>
        <w:t>2020</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zh-CN"/>
        </w:rPr>
        <w:t>绩效评价报告</w:t>
      </w:r>
    </w:p>
    <w:p w14:paraId="675C76D6">
      <w:pPr>
        <w:adjustRightInd w:val="0"/>
        <w:snapToGrid w:val="0"/>
        <w:spacing w:line="600" w:lineRule="exact"/>
        <w:ind w:firstLine="720"/>
        <w:outlineLvl w:val="1"/>
        <w:rPr>
          <w:rFonts w:ascii="黑体" w:hAnsi="宋体" w:eastAsia="黑体"/>
          <w:sz w:val="32"/>
          <w:szCs w:val="32"/>
          <w:lang w:val="zh-CN"/>
        </w:rPr>
      </w:pPr>
      <w:bookmarkStart w:id="90" w:name="_Toc4601"/>
      <w:r>
        <w:rPr>
          <w:rFonts w:hint="eastAsia" w:ascii="黑体" w:hAnsi="宋体" w:eastAsia="黑体"/>
          <w:sz w:val="32"/>
          <w:szCs w:val="32"/>
        </w:rPr>
        <w:t>一、</w:t>
      </w:r>
      <w:r>
        <w:rPr>
          <w:rFonts w:hint="eastAsia" w:ascii="黑体" w:hAnsi="宋体" w:eastAsia="黑体"/>
          <w:sz w:val="32"/>
          <w:szCs w:val="32"/>
          <w:lang w:val="zh-CN"/>
        </w:rPr>
        <w:t>项目概况</w:t>
      </w:r>
      <w:bookmarkEnd w:id="90"/>
    </w:p>
    <w:p w14:paraId="19AE74D3">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（一）项目基本情况。</w:t>
      </w:r>
    </w:p>
    <w:p w14:paraId="48413A14">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1．说明项目主管部门（单位）在该项目管理中的职能。</w:t>
      </w:r>
    </w:p>
    <w:p w14:paraId="0D8C8F64">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昭化区境内铁路护路联防工作职能职责原为区护路办，机构改革后职能职责并入区委政法委，职能职责为铁路护路联防。</w:t>
      </w:r>
    </w:p>
    <w:p w14:paraId="241F85D3">
      <w:pPr>
        <w:numPr>
          <w:ilvl w:val="0"/>
          <w:numId w:val="6"/>
        </w:numPr>
        <w:spacing w:line="58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项目立项、资金申报的依据。</w:t>
      </w:r>
    </w:p>
    <w:p w14:paraId="63978E0A">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省委政法委、财政厅《关于印发&lt;四川省省级铁路护路联防专项资金管理办法&gt;的通知》（川财行[2019]217号）要求落实铁路护路工作经费，主要用于铁路护路队员误工补助，爱路护路宣传，排查整治安全隐患，保障铁路运行安全。</w:t>
      </w:r>
    </w:p>
    <w:p w14:paraId="2E6E3B25">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3．资金管理办法制定情况，资金支持具体项目的条件、范围与支持方式概况。</w:t>
      </w:r>
    </w:p>
    <w:p w14:paraId="5ABDCE6A">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lang w:val="zh-CN"/>
        </w:rPr>
        <w:t>铁路护路联防经费是铁路护路联防工作保障所必须经费，有利于铁路护路联防工作开展，项目申报内容与具体实施内容相符、申报目标合理可行。</w:t>
      </w:r>
    </w:p>
    <w:p w14:paraId="02B0C046">
      <w:pPr>
        <w:numPr>
          <w:ilvl w:val="0"/>
          <w:numId w:val="7"/>
        </w:num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资金分配的原则及考虑因素。</w:t>
      </w:r>
    </w:p>
    <w:p w14:paraId="7FCEF212">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rPr>
        <w:t>基层一线护路队员误工补助标准为（干线标准3500元/公里/年，支线标准2370元/公里/年）。护路联防队员误工补助原则上为每半年通过银行卡转账支付一次。护路联防队员误工补助支付标准为护路实际里程支付，（兰渝铁路多为隧道，按照护路队员总数平均支付）。</w:t>
      </w:r>
    </w:p>
    <w:p w14:paraId="6FA7FF40">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14:paraId="73874F99">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1．项目主要内容。</w:t>
      </w:r>
    </w:p>
    <w:p w14:paraId="4455C8E0">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①</w:t>
      </w:r>
      <w:r>
        <w:rPr>
          <w:rFonts w:ascii="仿宋_GB2312" w:hAnsi="宋体" w:eastAsia="仿宋_GB2312"/>
          <w:sz w:val="32"/>
          <w:szCs w:val="32"/>
        </w:rPr>
        <w:t>全力维护辖区铁路的平安稳定运行；</w:t>
      </w:r>
    </w:p>
    <w:p w14:paraId="3212D205">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②</w:t>
      </w:r>
      <w:r>
        <w:rPr>
          <w:rFonts w:ascii="仿宋_GB2312" w:hAnsi="宋体" w:eastAsia="仿宋_GB2312"/>
          <w:sz w:val="32"/>
          <w:szCs w:val="32"/>
        </w:rPr>
        <w:t>铁路沿线群众护路意识不断提升；</w:t>
      </w:r>
    </w:p>
    <w:p w14:paraId="318353EB">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③</w:t>
      </w:r>
      <w:r>
        <w:rPr>
          <w:rFonts w:ascii="仿宋_GB2312" w:hAnsi="宋体" w:eastAsia="仿宋_GB2312"/>
          <w:sz w:val="32"/>
          <w:szCs w:val="32"/>
        </w:rPr>
        <w:t>联防队员业务提升；</w:t>
      </w:r>
    </w:p>
    <w:p w14:paraId="0011D020">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④</w:t>
      </w:r>
      <w:r>
        <w:rPr>
          <w:rFonts w:ascii="仿宋_GB2312" w:hAnsi="宋体" w:eastAsia="仿宋_GB2312"/>
          <w:sz w:val="32"/>
          <w:szCs w:val="32"/>
        </w:rPr>
        <w:t>铁路沿线村创“九无”平安铁路示范村；</w:t>
      </w:r>
    </w:p>
    <w:p w14:paraId="12388C2A">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⑤</w:t>
      </w:r>
      <w:r>
        <w:rPr>
          <w:rFonts w:ascii="仿宋_GB2312" w:hAnsi="宋体" w:eastAsia="仿宋_GB2312"/>
          <w:sz w:val="32"/>
          <w:szCs w:val="32"/>
        </w:rPr>
        <w:t>资金使用规范。</w:t>
      </w:r>
    </w:p>
    <w:p w14:paraId="5453BDE3">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rPr>
        <w:t>2.</w:t>
      </w:r>
      <w:r>
        <w:rPr>
          <w:rFonts w:hint="eastAsia" w:ascii="仿宋_GB2312" w:hAnsi="宋体" w:eastAsia="仿宋_GB2312"/>
          <w:sz w:val="32"/>
          <w:szCs w:val="32"/>
          <w:lang w:val="zh-CN"/>
        </w:rPr>
        <w:t>项目应实现的具体绩效目标，包括目标的量化、细化情况以及项目实施进度计划等。</w:t>
      </w:r>
    </w:p>
    <w:p w14:paraId="4C8666E1">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保证3条铁路线路54.835公里</w:t>
      </w:r>
      <w:r>
        <w:rPr>
          <w:rFonts w:hint="eastAsia" w:ascii="仿宋_GB2312" w:hAnsi="宋体" w:eastAsia="仿宋_GB2312"/>
          <w:sz w:val="32"/>
          <w:szCs w:val="32"/>
        </w:rPr>
        <w:t>平安稳定运行，开展</w:t>
      </w:r>
      <w:r>
        <w:rPr>
          <w:rFonts w:ascii="仿宋_GB2312" w:hAnsi="宋体" w:eastAsia="仿宋_GB2312"/>
          <w:sz w:val="32"/>
          <w:szCs w:val="32"/>
          <w:lang w:val="zh-CN"/>
        </w:rPr>
        <w:t>护路队员培训2次和护路宣传</w:t>
      </w:r>
      <w:r>
        <w:rPr>
          <w:rFonts w:hint="eastAsia" w:ascii="仿宋_GB2312" w:hAnsi="宋体" w:eastAsia="仿宋_GB2312"/>
          <w:sz w:val="32"/>
          <w:szCs w:val="32"/>
        </w:rPr>
        <w:t>5</w:t>
      </w:r>
      <w:r>
        <w:rPr>
          <w:rFonts w:ascii="仿宋_GB2312" w:hAnsi="宋体" w:eastAsia="仿宋_GB2312"/>
          <w:sz w:val="32"/>
          <w:szCs w:val="32"/>
          <w:lang w:val="zh-CN"/>
        </w:rPr>
        <w:t>次</w:t>
      </w:r>
      <w:r>
        <w:rPr>
          <w:rFonts w:hint="eastAsia" w:ascii="仿宋_GB2312" w:hAnsi="宋体" w:eastAsia="仿宋_GB2312"/>
          <w:sz w:val="32"/>
          <w:szCs w:val="32"/>
          <w:lang w:val="zh-CN"/>
        </w:rPr>
        <w:t>，</w:t>
      </w:r>
      <w:r>
        <w:rPr>
          <w:rFonts w:ascii="仿宋_GB2312" w:hAnsi="宋体" w:eastAsia="仿宋_GB2312"/>
          <w:sz w:val="32"/>
          <w:szCs w:val="32"/>
          <w:lang w:val="zh-CN"/>
        </w:rPr>
        <w:t>昭化区区段</w:t>
      </w:r>
      <w:r>
        <w:rPr>
          <w:rFonts w:hint="eastAsia" w:ascii="仿宋_GB2312" w:hAnsi="宋体" w:eastAsia="仿宋_GB2312"/>
          <w:sz w:val="32"/>
          <w:szCs w:val="32"/>
          <w:lang w:val="zh-CN"/>
        </w:rPr>
        <w:t>被评为省级平安铁道线，</w:t>
      </w:r>
      <w:r>
        <w:rPr>
          <w:rFonts w:hint="eastAsia" w:ascii="仿宋_GB2312" w:hAnsi="宋体" w:eastAsia="仿宋_GB2312"/>
          <w:sz w:val="32"/>
          <w:szCs w:val="32"/>
        </w:rPr>
        <w:t>沿线村被评为</w:t>
      </w:r>
      <w:r>
        <w:rPr>
          <w:rFonts w:ascii="仿宋_GB2312" w:hAnsi="宋体" w:eastAsia="仿宋_GB2312"/>
          <w:sz w:val="32"/>
          <w:szCs w:val="32"/>
          <w:lang w:val="zh-CN"/>
        </w:rPr>
        <w:t>“九无”平安铁路示范村</w:t>
      </w:r>
      <w:r>
        <w:rPr>
          <w:rFonts w:hint="eastAsia" w:ascii="仿宋_GB2312" w:hAnsi="宋体" w:eastAsia="仿宋_GB2312"/>
          <w:sz w:val="32"/>
          <w:szCs w:val="32"/>
          <w:lang w:val="zh-CN"/>
        </w:rPr>
        <w:t>，</w:t>
      </w:r>
      <w:r>
        <w:rPr>
          <w:rFonts w:ascii="仿宋_GB2312" w:hAnsi="宋体" w:eastAsia="仿宋_GB2312"/>
          <w:sz w:val="32"/>
          <w:szCs w:val="32"/>
          <w:lang w:val="zh-CN"/>
        </w:rPr>
        <w:t>护路队员补助</w:t>
      </w:r>
      <w:r>
        <w:rPr>
          <w:rFonts w:hint="eastAsia" w:ascii="仿宋_GB2312" w:hAnsi="宋体" w:eastAsia="仿宋_GB2312"/>
          <w:sz w:val="32"/>
          <w:szCs w:val="32"/>
          <w:lang w:val="zh-CN"/>
        </w:rPr>
        <w:t>全部兑现，支付到铁路护路队员个人。</w:t>
      </w:r>
      <w:r>
        <w:rPr>
          <w:rFonts w:ascii="仿宋_GB2312" w:hAnsi="宋体" w:eastAsia="仿宋_GB2312"/>
          <w:sz w:val="32"/>
          <w:szCs w:val="32"/>
          <w:lang w:val="zh-CN"/>
        </w:rPr>
        <w:t>打防结合，确保安全畅通</w:t>
      </w:r>
      <w:r>
        <w:rPr>
          <w:rFonts w:hint="eastAsia" w:ascii="仿宋_GB2312" w:hAnsi="宋体" w:eastAsia="仿宋_GB2312"/>
          <w:sz w:val="32"/>
          <w:szCs w:val="32"/>
          <w:lang w:val="zh-CN"/>
        </w:rPr>
        <w:t>，确保社会稳定、铁路安全运行，群众满意度在</w:t>
      </w:r>
      <w:r>
        <w:rPr>
          <w:rFonts w:hint="eastAsia" w:ascii="仿宋_GB2312" w:hAnsi="宋体" w:eastAsia="仿宋_GB2312"/>
          <w:sz w:val="32"/>
          <w:szCs w:val="32"/>
        </w:rPr>
        <w:t>95%以上，全面完成年度目标。</w:t>
      </w:r>
    </w:p>
    <w:p w14:paraId="6C95797E">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rPr>
        <w:t>3.</w:t>
      </w:r>
      <w:r>
        <w:rPr>
          <w:rFonts w:hint="eastAsia" w:ascii="仿宋_GB2312" w:hAnsi="宋体" w:eastAsia="仿宋_GB2312"/>
          <w:sz w:val="32"/>
          <w:szCs w:val="32"/>
          <w:lang w:val="zh-CN"/>
        </w:rPr>
        <w:t>项目申报内容与具体实施内容相符、申报目标合理可行。</w:t>
      </w:r>
    </w:p>
    <w:p w14:paraId="2D61338C">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（三）项目自评步骤及方法。</w:t>
      </w:r>
    </w:p>
    <w:p w14:paraId="2C775F82">
      <w:pPr>
        <w:pStyle w:val="5"/>
        <w:ind w:firstLine="640" w:firstLineChars="200"/>
        <w:rPr>
          <w:rFonts w:ascii="仿宋_GB2312" w:hAnsi="宋体" w:eastAsia="仿宋_GB2312"/>
          <w:sz w:val="32"/>
          <w:szCs w:val="32"/>
          <w:lang w:val="zh-CN"/>
        </w:rPr>
      </w:pPr>
      <w:r>
        <w:rPr>
          <w:rFonts w:hint="eastAsia" w:ascii="仿宋" w:hAnsi="仿宋" w:eastAsia="仿宋" w:cs="仿宋"/>
          <w:sz w:val="32"/>
          <w:szCs w:val="32"/>
          <w:lang w:val="zh-CN"/>
        </w:rPr>
        <w:t>统计年初绩效目标数据，确保数据真实，开展自评分析。</w:t>
      </w:r>
    </w:p>
    <w:p w14:paraId="513B7335">
      <w:pPr>
        <w:adjustRightInd w:val="0"/>
        <w:snapToGrid w:val="0"/>
        <w:spacing w:line="600" w:lineRule="exact"/>
        <w:ind w:firstLine="720"/>
        <w:outlineLvl w:val="1"/>
        <w:rPr>
          <w:rFonts w:ascii="黑体" w:hAnsi="宋体" w:eastAsia="黑体"/>
          <w:sz w:val="32"/>
          <w:szCs w:val="32"/>
        </w:rPr>
      </w:pPr>
      <w:bookmarkStart w:id="91" w:name="_Toc30090"/>
      <w:r>
        <w:rPr>
          <w:rFonts w:hint="eastAsia" w:ascii="黑体" w:hAnsi="宋体" w:eastAsia="黑体"/>
          <w:sz w:val="32"/>
          <w:szCs w:val="32"/>
        </w:rPr>
        <w:t>二、项目资金申报及使用情况</w:t>
      </w:r>
      <w:bookmarkEnd w:id="91"/>
    </w:p>
    <w:p w14:paraId="0F6D88B9">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14:paraId="6F1FDC58">
      <w:pPr>
        <w:adjustRightInd w:val="0"/>
        <w:snapToGrid w:val="0"/>
        <w:spacing w:line="560" w:lineRule="exact"/>
        <w:ind w:firstLine="720"/>
        <w:rPr>
          <w:rFonts w:ascii="仿宋_GB2312" w:hAnsi="仿宋" w:eastAsia="仿宋_GB2312" w:cs="仿宋"/>
          <w:sz w:val="32"/>
          <w:szCs w:val="32"/>
        </w:rPr>
      </w:pPr>
      <w:r>
        <w:rPr>
          <w:rFonts w:hint="eastAsia" w:ascii="仿宋_GB2312" w:hAnsi="宋体" w:eastAsia="仿宋_GB2312"/>
          <w:sz w:val="32"/>
          <w:szCs w:val="32"/>
        </w:rPr>
        <w:t>铁路护路联防</w:t>
      </w:r>
      <w:r>
        <w:rPr>
          <w:rFonts w:hint="eastAsia" w:ascii="仿宋_GB2312" w:hAnsi="仿宋" w:eastAsia="仿宋_GB2312" w:cs="仿宋"/>
          <w:sz w:val="32"/>
          <w:szCs w:val="32"/>
          <w:lang w:val="zh-CN"/>
        </w:rPr>
        <w:t>项目于</w:t>
      </w:r>
      <w:r>
        <w:rPr>
          <w:rFonts w:hint="eastAsia" w:ascii="仿宋_GB2312" w:hAnsi="仿宋" w:eastAsia="仿宋_GB2312" w:cs="仿宋"/>
          <w:sz w:val="32"/>
          <w:szCs w:val="32"/>
        </w:rPr>
        <w:t>2020年年初通过预算申报，由财政预算下达指标，共计21.87万元。</w:t>
      </w:r>
    </w:p>
    <w:p w14:paraId="30BAEFA5">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（二）资金计划、到位及使用情况（可用表格形式反映）。</w:t>
      </w:r>
    </w:p>
    <w:p w14:paraId="4B2D03C2">
      <w:pPr>
        <w:adjustRightInd w:val="0"/>
        <w:snapToGrid w:val="0"/>
        <w:spacing w:line="600" w:lineRule="exact"/>
        <w:ind w:firstLine="720"/>
        <w:rPr>
          <w:rFonts w:ascii="仿宋_GB2312" w:hAnsi="宋体" w:eastAsia="仿宋_GB2312"/>
          <w:sz w:val="32"/>
          <w:szCs w:val="32"/>
        </w:rPr>
      </w:pPr>
      <w:r>
        <w:rPr>
          <w:rFonts w:hint="eastAsia" w:ascii="楷体_GB2312" w:hAnsi="宋体" w:eastAsia="楷体_GB2312"/>
          <w:sz w:val="32"/>
          <w:szCs w:val="32"/>
          <w:lang w:val="zh-CN"/>
        </w:rPr>
        <w:t>1．资金计划。</w:t>
      </w:r>
      <w:r>
        <w:rPr>
          <w:rFonts w:hint="eastAsia" w:ascii="仿宋_GB2312" w:hAnsi="宋体" w:eastAsia="仿宋_GB2312"/>
          <w:sz w:val="32"/>
          <w:szCs w:val="32"/>
          <w:lang w:val="zh-CN"/>
        </w:rPr>
        <w:t>铁路护路联防</w:t>
      </w:r>
      <w:r>
        <w:rPr>
          <w:rFonts w:hint="eastAsia" w:ascii="仿宋_GB2312" w:hAnsi="宋体" w:eastAsia="仿宋_GB2312"/>
          <w:sz w:val="32"/>
          <w:szCs w:val="32"/>
        </w:rPr>
        <w:t>经费总计21.87万元</w:t>
      </w:r>
      <w:r>
        <w:rPr>
          <w:rFonts w:hint="eastAsia" w:ascii="仿宋_GB2312" w:hAnsi="宋体" w:eastAsia="仿宋_GB2312"/>
          <w:sz w:val="32"/>
          <w:szCs w:val="32"/>
          <w:lang w:val="zh-CN"/>
        </w:rPr>
        <w:t>于</w:t>
      </w:r>
      <w:r>
        <w:rPr>
          <w:rFonts w:hint="eastAsia" w:ascii="仿宋_GB2312" w:hAnsi="宋体" w:eastAsia="仿宋_GB2312"/>
          <w:sz w:val="32"/>
          <w:szCs w:val="32"/>
        </w:rPr>
        <w:t>2020年财政预算。</w:t>
      </w:r>
    </w:p>
    <w:p w14:paraId="33E97A10">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zh-CN"/>
        </w:rPr>
        <w:t>铁路护路联防</w:t>
      </w:r>
      <w:r>
        <w:rPr>
          <w:rFonts w:hint="eastAsia" w:ascii="仿宋_GB2312" w:hAnsi="宋体" w:eastAsia="仿宋_GB2312"/>
          <w:sz w:val="32"/>
          <w:szCs w:val="32"/>
        </w:rPr>
        <w:t>经费21.87万元全部及时到位，到位率100%，全部由区财政全额预算</w:t>
      </w:r>
      <w:r>
        <w:rPr>
          <w:rFonts w:hint="eastAsia" w:ascii="仿宋_GB2312" w:hAnsi="宋体" w:eastAsia="仿宋_GB2312"/>
          <w:sz w:val="32"/>
          <w:szCs w:val="32"/>
          <w:lang w:val="zh-CN"/>
        </w:rPr>
        <w:t>。</w:t>
      </w:r>
    </w:p>
    <w:p w14:paraId="657BA7A8">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3．资金使用。</w:t>
      </w:r>
    </w:p>
    <w:p w14:paraId="2ECDA3E9">
      <w:pPr>
        <w:tabs>
          <w:tab w:val="left" w:pos="5157"/>
        </w:tabs>
        <w:adjustRightInd w:val="0"/>
        <w:snapToGrid w:val="0"/>
        <w:spacing w:line="540" w:lineRule="exact"/>
        <w:ind w:firstLine="640" w:firstLineChars="200"/>
        <w:outlineLvl w:val="0"/>
        <w:rPr>
          <w:rFonts w:ascii="仿宋_GB2312" w:eastAsia="仿宋_GB2312"/>
          <w:sz w:val="32"/>
          <w:szCs w:val="32"/>
        </w:rPr>
      </w:pPr>
      <w:bookmarkStart w:id="92" w:name="_Toc8376"/>
      <w:bookmarkStart w:id="93" w:name="_Toc20116"/>
      <w:r>
        <w:rPr>
          <w:rFonts w:hint="eastAsia" w:ascii="仿宋_GB2312" w:hAnsi="宋体" w:eastAsia="仿宋_GB2312"/>
          <w:sz w:val="32"/>
          <w:szCs w:val="32"/>
        </w:rPr>
        <w:t>铁路护路经费实际支出21.87万元；</w:t>
      </w:r>
      <w:r>
        <w:rPr>
          <w:rFonts w:hint="eastAsia" w:ascii="仿宋_GB2312" w:hAnsi="宋体" w:eastAsia="仿宋_GB2312"/>
          <w:sz w:val="32"/>
          <w:szCs w:val="32"/>
          <w:lang w:val="zh-CN"/>
        </w:rPr>
        <w:t>资金开支范围：</w:t>
      </w:r>
      <w:r>
        <w:rPr>
          <w:rFonts w:hint="eastAsia" w:ascii="仿宋_GB2312" w:hAnsi="仿宋" w:eastAsia="仿宋_GB2312"/>
          <w:sz w:val="32"/>
          <w:szCs w:val="32"/>
        </w:rPr>
        <w:t>管理责任里程，干线：40.00公里（兰渝36.00公里、西成4.00公里），标准3500元/公里/年；支线：14.85公里（广达铁路），标准2370元/公里/年。</w:t>
      </w:r>
      <w:r>
        <w:rPr>
          <w:rFonts w:hint="eastAsia" w:ascii="楷体_GB2312" w:hAnsi="楷体_GB2312" w:eastAsia="楷体_GB2312" w:cs="楷体_GB2312"/>
          <w:sz w:val="32"/>
          <w:szCs w:val="32"/>
        </w:rPr>
        <w:t>（一）</w:t>
      </w:r>
      <w:r>
        <w:rPr>
          <w:rFonts w:hint="eastAsia" w:ascii="仿宋_GB2312" w:hAnsi="仿宋" w:eastAsia="仿宋_GB2312"/>
          <w:sz w:val="32"/>
          <w:szCs w:val="32"/>
        </w:rPr>
        <w:t>基层一线护路队员误工补助183709元。</w:t>
      </w:r>
      <w:r>
        <w:rPr>
          <w:rFonts w:hint="eastAsia" w:ascii="楷体_GB2312" w:hAnsi="楷体_GB2312" w:eastAsia="楷体_GB2312" w:cs="楷体_GB2312"/>
          <w:sz w:val="32"/>
          <w:szCs w:val="32"/>
        </w:rPr>
        <w:t>（二）</w:t>
      </w:r>
      <w:r>
        <w:rPr>
          <w:rFonts w:hint="eastAsia" w:ascii="仿宋_GB2312" w:hAnsi="仿宋" w:eastAsia="仿宋_GB2312"/>
          <w:sz w:val="32"/>
          <w:szCs w:val="32"/>
        </w:rPr>
        <w:t>公用经费35000元，用于区、乡镇护路办开展铁路护路联防工作所产生的办公费、差旅费、交通费等日常公务支出。</w:t>
      </w:r>
      <w:bookmarkEnd w:id="92"/>
      <w:bookmarkEnd w:id="93"/>
    </w:p>
    <w:p w14:paraId="06E6C901">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（三）项目财务管理情况。</w:t>
      </w:r>
    </w:p>
    <w:p w14:paraId="2304C1F3">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项目财务管理制度执行财务管理制度，未设置项目管理机构，会计核算及账务处理统一纳入委机关管理核算。对照项目资金管理办法，项目严格执行了财务管理制度、财务处理及时、会计核算规范。</w:t>
      </w:r>
    </w:p>
    <w:p w14:paraId="16928E0D">
      <w:pPr>
        <w:adjustRightInd w:val="0"/>
        <w:snapToGrid w:val="0"/>
        <w:spacing w:line="600" w:lineRule="exact"/>
        <w:ind w:firstLine="720"/>
        <w:outlineLvl w:val="1"/>
        <w:rPr>
          <w:rFonts w:ascii="黑体" w:hAnsi="宋体" w:eastAsia="黑体"/>
          <w:sz w:val="32"/>
          <w:szCs w:val="32"/>
        </w:rPr>
      </w:pPr>
      <w:bookmarkStart w:id="94" w:name="_Toc13568"/>
      <w:r>
        <w:rPr>
          <w:rFonts w:hint="eastAsia" w:ascii="黑体" w:hAnsi="宋体" w:eastAsia="黑体"/>
          <w:sz w:val="32"/>
          <w:szCs w:val="32"/>
        </w:rPr>
        <w:t>三、项目实施及管理情况</w:t>
      </w:r>
      <w:bookmarkEnd w:id="94"/>
    </w:p>
    <w:p w14:paraId="12216162">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14:paraId="30144ADF">
      <w:pPr>
        <w:pStyle w:val="5"/>
        <w:ind w:firstLine="640" w:firstLineChars="200"/>
        <w:rPr>
          <w:rFonts w:ascii="仿宋" w:hAnsi="仿宋" w:eastAsia="仿宋" w:cs="仿宋"/>
          <w:sz w:val="32"/>
          <w:szCs w:val="32"/>
        </w:rPr>
      </w:pPr>
      <w:r>
        <w:rPr>
          <w:rFonts w:hint="eastAsia" w:ascii="楷体_GB2312" w:hAnsi="宋体" w:eastAsia="楷体_GB2312"/>
          <w:sz w:val="32"/>
          <w:szCs w:val="32"/>
          <w:lang w:val="zh-CN"/>
        </w:rPr>
        <w:t>（一）项目组织架构及实施流程。</w:t>
      </w:r>
      <w:r>
        <w:rPr>
          <w:rFonts w:hint="eastAsia" w:ascii="仿宋" w:hAnsi="仿宋" w:eastAsia="仿宋" w:cs="仿宋"/>
          <w:sz w:val="32"/>
          <w:szCs w:val="32"/>
          <w:lang w:val="zh-CN"/>
        </w:rPr>
        <w:t>对于项目资金的使用先申请</w:t>
      </w:r>
      <w:r>
        <w:rPr>
          <w:rFonts w:hint="eastAsia" w:ascii="仿宋" w:hAnsi="仿宋" w:eastAsia="仿宋" w:cs="仿宋"/>
          <w:sz w:val="32"/>
          <w:szCs w:val="32"/>
        </w:rPr>
        <w:t>，后审批，并加强事后监管。</w:t>
      </w:r>
    </w:p>
    <w:p w14:paraId="78A765B2">
      <w:pPr>
        <w:adjustRightInd w:val="0"/>
        <w:snapToGrid w:val="0"/>
        <w:spacing w:line="600" w:lineRule="exact"/>
        <w:ind w:firstLine="720"/>
        <w:rPr>
          <w:rFonts w:ascii="仿宋" w:hAnsi="仿宋" w:eastAsia="仿宋" w:cs="仿宋"/>
          <w:sz w:val="32"/>
          <w:szCs w:val="32"/>
          <w:lang w:val="zh-CN"/>
        </w:rPr>
      </w:pPr>
      <w:r>
        <w:rPr>
          <w:rFonts w:hint="eastAsia" w:ascii="楷体_GB2312" w:hAnsi="宋体" w:eastAsia="楷体_GB2312"/>
          <w:sz w:val="32"/>
          <w:szCs w:val="32"/>
          <w:lang w:val="zh-CN"/>
        </w:rPr>
        <w:t>（二）项目管理情况。</w:t>
      </w:r>
      <w:r>
        <w:rPr>
          <w:rFonts w:hint="eastAsia" w:ascii="仿宋" w:hAnsi="仿宋" w:eastAsia="仿宋" w:cs="仿宋"/>
          <w:sz w:val="32"/>
          <w:szCs w:val="32"/>
          <w:lang w:val="zh-CN"/>
        </w:rPr>
        <w:t>我委对于铁路护路联防资金设立了严格的管理审批制度，严格程序和范围使用。</w:t>
      </w:r>
    </w:p>
    <w:p w14:paraId="4ED0AD23">
      <w:pPr>
        <w:pStyle w:val="5"/>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（三）项目监管情况。</w:t>
      </w:r>
      <w:r>
        <w:rPr>
          <w:rFonts w:hint="eastAsia" w:ascii="仿宋" w:hAnsi="仿宋" w:eastAsia="仿宋" w:cs="仿宋"/>
          <w:sz w:val="32"/>
          <w:szCs w:val="32"/>
          <w:lang w:val="zh-CN"/>
        </w:rPr>
        <w:t>我委对于铁路护路联防资金资金的使用审批程序严格，监管及时到位。</w:t>
      </w:r>
    </w:p>
    <w:p w14:paraId="504BBC37">
      <w:pPr>
        <w:adjustRightInd w:val="0"/>
        <w:snapToGrid w:val="0"/>
        <w:spacing w:line="600" w:lineRule="exact"/>
        <w:ind w:firstLine="720"/>
        <w:outlineLvl w:val="1"/>
        <w:rPr>
          <w:rFonts w:ascii="仿宋_GB2312" w:hAnsi="宋体" w:eastAsia="仿宋_GB2312"/>
          <w:sz w:val="32"/>
          <w:szCs w:val="32"/>
          <w:lang w:val="zh-CN"/>
        </w:rPr>
      </w:pPr>
      <w:bookmarkStart w:id="95" w:name="_Toc12383"/>
      <w:r>
        <w:rPr>
          <w:rFonts w:hint="eastAsia" w:ascii="黑体" w:hAnsi="宋体" w:eastAsia="黑体"/>
          <w:sz w:val="32"/>
          <w:szCs w:val="32"/>
        </w:rPr>
        <w:t>四、项目绩效情况</w:t>
      </w:r>
      <w:bookmarkEnd w:id="95"/>
      <w:r>
        <w:rPr>
          <w:rFonts w:ascii="仿宋_GB2312" w:hAnsi="宋体" w:eastAsia="仿宋_GB2312"/>
          <w:sz w:val="32"/>
          <w:szCs w:val="32"/>
          <w:lang w:val="zh-CN"/>
        </w:rPr>
        <w:tab/>
      </w:r>
    </w:p>
    <w:p w14:paraId="71988869">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（一）项目完成情况。</w:t>
      </w:r>
    </w:p>
    <w:p w14:paraId="03DBE1FA">
      <w:pPr>
        <w:adjustRightInd w:val="0"/>
        <w:snapToGrid w:val="0"/>
        <w:spacing w:line="600" w:lineRule="exact"/>
        <w:ind w:firstLine="720"/>
        <w:rPr>
          <w:rFonts w:ascii="仿宋" w:hAnsi="仿宋" w:eastAsia="仿宋" w:cs="仿宋"/>
          <w:sz w:val="32"/>
          <w:szCs w:val="32"/>
          <w:lang w:val="zh-CN"/>
        </w:rPr>
      </w:pPr>
      <w:r>
        <w:rPr>
          <w:rFonts w:hint="eastAsia" w:ascii="仿宋" w:hAnsi="仿宋" w:eastAsia="仿宋" w:cs="仿宋"/>
          <w:sz w:val="32"/>
          <w:szCs w:val="32"/>
          <w:lang w:val="zh-CN"/>
        </w:rPr>
        <w:t>截止</w:t>
      </w:r>
      <w:r>
        <w:rPr>
          <w:rFonts w:hint="eastAsia" w:ascii="仿宋" w:hAnsi="仿宋" w:eastAsia="仿宋" w:cs="仿宋"/>
          <w:sz w:val="32"/>
          <w:szCs w:val="32"/>
        </w:rPr>
        <w:t>2020年12月31日</w:t>
      </w:r>
      <w:r>
        <w:rPr>
          <w:rFonts w:hint="eastAsia" w:ascii="仿宋" w:hAnsi="仿宋" w:eastAsia="仿宋" w:cs="仿宋"/>
          <w:sz w:val="32"/>
          <w:szCs w:val="32"/>
          <w:lang w:val="zh-CN"/>
        </w:rPr>
        <w:t>实际完成额</w:t>
      </w:r>
      <w:r>
        <w:rPr>
          <w:rFonts w:hint="eastAsia" w:ascii="仿宋" w:hAnsi="仿宋" w:eastAsia="仿宋" w:cs="仿宋"/>
          <w:sz w:val="32"/>
          <w:szCs w:val="32"/>
        </w:rPr>
        <w:t>21.87万元，并全部完成绩效目标</w:t>
      </w:r>
      <w:r>
        <w:rPr>
          <w:rFonts w:hint="eastAsia" w:ascii="仿宋" w:hAnsi="仿宋" w:eastAsia="仿宋" w:cs="仿宋"/>
          <w:sz w:val="32"/>
          <w:szCs w:val="32"/>
          <w:lang w:val="zh-CN"/>
        </w:rPr>
        <w:t>。</w:t>
      </w:r>
      <w:bookmarkStart w:id="126" w:name="_GoBack"/>
      <w:bookmarkEnd w:id="126"/>
    </w:p>
    <w:p w14:paraId="4542E072">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（二）项目效益情况。</w:t>
      </w:r>
    </w:p>
    <w:p w14:paraId="13F81EB4">
      <w:pPr>
        <w:spacing w:line="55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通过项目资金支持，切实解决了护路队员补助，办公、差旅、护路宣传等实际困难，充分保障了我区铁路护路联防工作开展，为昭化经济社会健康发展提供了强有力的支撑。</w:t>
      </w:r>
    </w:p>
    <w:p w14:paraId="6572173C">
      <w:pPr>
        <w:adjustRightInd w:val="0"/>
        <w:snapToGrid w:val="0"/>
        <w:spacing w:line="600" w:lineRule="exact"/>
        <w:ind w:firstLine="720"/>
        <w:outlineLvl w:val="1"/>
        <w:rPr>
          <w:rFonts w:ascii="黑体" w:hAnsi="宋体" w:eastAsia="黑体"/>
          <w:sz w:val="32"/>
          <w:szCs w:val="32"/>
        </w:rPr>
      </w:pPr>
      <w:bookmarkStart w:id="96" w:name="_Toc26762"/>
      <w:r>
        <w:rPr>
          <w:rFonts w:hint="eastAsia" w:ascii="黑体" w:hAnsi="宋体" w:eastAsia="黑体"/>
          <w:sz w:val="32"/>
          <w:szCs w:val="32"/>
        </w:rPr>
        <w:t>五、评价结论及建议</w:t>
      </w:r>
      <w:bookmarkEnd w:id="96"/>
    </w:p>
    <w:p w14:paraId="4BEEEFD0">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（一）评价结论。</w:t>
      </w:r>
    </w:p>
    <w:p w14:paraId="78F854FF">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结合项目自身特点、评价重点及管理办法等要求，围绕专项项目支出绩效评价指标体系对项目进行了总体评价，达到了项目预期目标。</w:t>
      </w:r>
    </w:p>
    <w:p w14:paraId="17B2034C">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（二）存在的问题：</w:t>
      </w:r>
      <w:r>
        <w:rPr>
          <w:rFonts w:hint="eastAsia" w:ascii="仿宋_GB2312" w:hAnsi="宋体" w:eastAsia="仿宋_GB2312"/>
          <w:sz w:val="32"/>
          <w:szCs w:val="32"/>
          <w:lang w:val="zh-CN"/>
        </w:rPr>
        <w:t>无。</w:t>
      </w:r>
    </w:p>
    <w:p w14:paraId="61F290BE">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（三）相关建议。</w:t>
      </w:r>
    </w:p>
    <w:p w14:paraId="33211473">
      <w:pPr>
        <w:spacing w:line="580" w:lineRule="exact"/>
        <w:ind w:firstLine="640"/>
        <w:rPr>
          <w:rFonts w:ascii="仿宋_GB2312" w:hAnsi="仿宋_GB2312" w:eastAsia="仿宋_GB2312" w:cs="仿宋_GB2312"/>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val="zh-CN"/>
        </w:rPr>
        <w:t>进一步加强项目资金管理，明确项目资金使用范围及界限。</w:t>
      </w:r>
      <w:r>
        <w:rPr>
          <w:rFonts w:hint="eastAsia" w:ascii="仿宋_GB2312" w:hAnsi="仿宋" w:eastAsia="仿宋_GB2312" w:cs="仿宋"/>
          <w:sz w:val="32"/>
          <w:szCs w:val="32"/>
        </w:rPr>
        <w:t>2.提供经济发展，适当增加项目资金</w:t>
      </w:r>
      <w:r>
        <w:rPr>
          <w:rFonts w:hint="eastAsia" w:ascii="仿宋_GB2312" w:hAnsi="宋体" w:eastAsia="仿宋_GB2312"/>
          <w:sz w:val="32"/>
          <w:szCs w:val="32"/>
          <w:lang w:val="zh-CN"/>
        </w:rPr>
        <w:t>。</w:t>
      </w:r>
    </w:p>
    <w:p w14:paraId="2665EE09">
      <w:pPr>
        <w:widowControl/>
        <w:jc w:val="left"/>
        <w:rPr>
          <w:rStyle w:val="16"/>
          <w:rFonts w:ascii="黑体" w:hAnsi="黑体" w:eastAsia="黑体"/>
          <w:b w:val="0"/>
          <w:bCs w:val="0"/>
        </w:rPr>
      </w:pPr>
    </w:p>
    <w:p w14:paraId="5827A572">
      <w:pPr>
        <w:spacing w:line="600" w:lineRule="exact"/>
        <w:jc w:val="center"/>
        <w:outlineLvl w:val="0"/>
        <w:rPr>
          <w:rStyle w:val="16"/>
          <w:rFonts w:hint="eastAsia" w:ascii="黑体" w:hAnsi="黑体" w:eastAsia="黑体"/>
          <w:b w:val="0"/>
          <w:bCs w:val="0"/>
        </w:rPr>
      </w:pPr>
      <w:bookmarkStart w:id="97" w:name="_Toc13960"/>
      <w:bookmarkStart w:id="98" w:name="_Toc15396618"/>
      <w:bookmarkStart w:id="99" w:name="_Toc2145"/>
      <w:r>
        <w:rPr>
          <w:rFonts w:hint="eastAsia" w:ascii="黑体" w:hAnsi="黑体" w:eastAsia="黑体"/>
          <w:color w:val="000000"/>
          <w:sz w:val="44"/>
          <w:szCs w:val="44"/>
        </w:rPr>
        <w:t>第</w:t>
      </w:r>
      <w:r>
        <w:rPr>
          <w:rStyle w:val="16"/>
          <w:rFonts w:hint="eastAsia" w:ascii="黑体" w:hAnsi="黑体" w:eastAsia="黑体"/>
          <w:b w:val="0"/>
          <w:bCs w:val="0"/>
        </w:rPr>
        <w:t>五部分</w:t>
      </w:r>
      <w:r>
        <w:rPr>
          <w:rStyle w:val="16"/>
          <w:rFonts w:ascii="黑体" w:hAnsi="黑体" w:eastAsia="黑体"/>
          <w:b w:val="0"/>
          <w:bCs w:val="0"/>
        </w:rPr>
        <w:t xml:space="preserve"> </w:t>
      </w:r>
      <w:r>
        <w:rPr>
          <w:rStyle w:val="16"/>
          <w:rFonts w:hint="eastAsia" w:ascii="黑体" w:hAnsi="黑体" w:eastAsia="黑体"/>
          <w:b w:val="0"/>
          <w:bCs w:val="0"/>
        </w:rPr>
        <w:t>附表</w:t>
      </w:r>
      <w:bookmarkEnd w:id="79"/>
      <w:bookmarkEnd w:id="97"/>
      <w:bookmarkEnd w:id="98"/>
      <w:bookmarkEnd w:id="99"/>
      <w:bookmarkStart w:id="100" w:name="_Toc14918"/>
      <w:bookmarkStart w:id="101" w:name="_Toc15396619"/>
    </w:p>
    <w:p w14:paraId="6B649AB9">
      <w:pPr>
        <w:spacing w:line="600" w:lineRule="exact"/>
        <w:outlineLvl w:val="0"/>
        <w:rPr>
          <w:rFonts w:ascii="仿宋_GB2312" w:hAnsi="宋体" w:eastAsia="仿宋_GB2312"/>
          <w:sz w:val="32"/>
          <w:szCs w:val="32"/>
          <w:lang w:val="zh-CN"/>
        </w:rPr>
      </w:pPr>
      <w:r>
        <w:rPr>
          <w:rFonts w:hint="eastAsia" w:ascii="仿宋_GB2312" w:hAnsi="宋体" w:eastAsia="仿宋_GB2312"/>
          <w:sz w:val="32"/>
          <w:szCs w:val="32"/>
          <w:lang w:val="zh-CN"/>
        </w:rPr>
        <w:t>一、收</w:t>
      </w:r>
      <w:r>
        <w:rPr>
          <w:rFonts w:hint="eastAsia" w:ascii="仿宋_GB2312" w:hAnsi="宋体" w:eastAsia="仿宋_GB2312"/>
          <w:bCs/>
          <w:sz w:val="32"/>
          <w:szCs w:val="32"/>
          <w:lang w:val="zh-CN"/>
        </w:rPr>
        <w:t>入支出决算总表</w:t>
      </w:r>
      <w:bookmarkEnd w:id="100"/>
      <w:bookmarkEnd w:id="101"/>
    </w:p>
    <w:p w14:paraId="32B67F9E">
      <w:pPr>
        <w:pStyle w:val="4"/>
        <w:rPr>
          <w:rFonts w:ascii="仿宋_GB2312" w:hAnsi="宋体" w:eastAsia="仿宋_GB2312"/>
          <w:b w:val="0"/>
          <w:bCs w:val="0"/>
          <w:lang w:val="zh-CN"/>
        </w:rPr>
      </w:pPr>
      <w:bookmarkStart w:id="102" w:name="_Toc28942"/>
      <w:bookmarkStart w:id="103" w:name="_Toc15396620"/>
      <w:r>
        <w:rPr>
          <w:rFonts w:hint="eastAsia" w:ascii="仿宋_GB2312" w:hAnsi="宋体" w:eastAsia="仿宋_GB2312"/>
          <w:b w:val="0"/>
          <w:bCs w:val="0"/>
          <w:lang w:val="zh-CN"/>
        </w:rPr>
        <w:t>二、收</w:t>
      </w:r>
      <w:r>
        <w:rPr>
          <w:rFonts w:hint="eastAsia" w:ascii="仿宋_GB2312" w:hAnsi="宋体" w:eastAsia="仿宋_GB2312"/>
          <w:b w:val="0"/>
          <w:lang w:val="zh-CN"/>
        </w:rPr>
        <w:t>入决算表</w:t>
      </w:r>
      <w:bookmarkEnd w:id="102"/>
      <w:bookmarkEnd w:id="103"/>
    </w:p>
    <w:p w14:paraId="30739327">
      <w:pPr>
        <w:pStyle w:val="4"/>
        <w:rPr>
          <w:rFonts w:ascii="仿宋_GB2312" w:hAnsi="宋体" w:eastAsia="仿宋_GB2312"/>
          <w:b w:val="0"/>
          <w:bCs w:val="0"/>
          <w:lang w:val="zh-CN"/>
        </w:rPr>
      </w:pPr>
      <w:bookmarkStart w:id="104" w:name="_Toc9537"/>
      <w:bookmarkStart w:id="105" w:name="_Toc15396621"/>
      <w:r>
        <w:rPr>
          <w:rFonts w:hint="eastAsia" w:ascii="仿宋_GB2312" w:hAnsi="宋体" w:eastAsia="仿宋_GB2312"/>
          <w:b w:val="0"/>
          <w:lang w:val="zh-CN"/>
        </w:rPr>
        <w:t>三、</w:t>
      </w:r>
      <w:r>
        <w:rPr>
          <w:rFonts w:hint="eastAsia" w:ascii="仿宋_GB2312" w:hAnsi="宋体" w:eastAsia="仿宋_GB2312"/>
          <w:b w:val="0"/>
          <w:bCs w:val="0"/>
          <w:lang w:val="zh-CN"/>
        </w:rPr>
        <w:t>支</w:t>
      </w:r>
      <w:r>
        <w:rPr>
          <w:rFonts w:hint="eastAsia" w:ascii="仿宋_GB2312" w:hAnsi="宋体" w:eastAsia="仿宋_GB2312"/>
          <w:b w:val="0"/>
          <w:lang w:val="zh-CN"/>
        </w:rPr>
        <w:t>出决算表</w:t>
      </w:r>
      <w:bookmarkEnd w:id="104"/>
      <w:bookmarkEnd w:id="105"/>
    </w:p>
    <w:p w14:paraId="4D2AB590">
      <w:pPr>
        <w:pStyle w:val="4"/>
        <w:rPr>
          <w:rFonts w:ascii="仿宋_GB2312" w:hAnsi="宋体" w:eastAsia="仿宋_GB2312"/>
          <w:b w:val="0"/>
          <w:bCs w:val="0"/>
          <w:lang w:val="zh-CN"/>
        </w:rPr>
      </w:pPr>
      <w:bookmarkStart w:id="106" w:name="_Toc1332"/>
      <w:bookmarkStart w:id="107" w:name="_Toc15396622"/>
      <w:r>
        <w:rPr>
          <w:rFonts w:hint="eastAsia" w:ascii="仿宋_GB2312" w:hAnsi="宋体" w:eastAsia="仿宋_GB2312"/>
          <w:b w:val="0"/>
          <w:lang w:val="zh-CN"/>
        </w:rPr>
        <w:t>四、</w:t>
      </w:r>
      <w:r>
        <w:rPr>
          <w:rFonts w:hint="eastAsia" w:ascii="仿宋_GB2312" w:hAnsi="宋体" w:eastAsia="仿宋_GB2312"/>
          <w:b w:val="0"/>
          <w:bCs w:val="0"/>
          <w:lang w:val="zh-CN"/>
        </w:rPr>
        <w:t>财</w:t>
      </w:r>
      <w:r>
        <w:rPr>
          <w:rFonts w:hint="eastAsia" w:ascii="仿宋_GB2312" w:hAnsi="宋体" w:eastAsia="仿宋_GB2312"/>
          <w:b w:val="0"/>
          <w:lang w:val="zh-CN"/>
        </w:rPr>
        <w:t>政拨款收入支出决算总表</w:t>
      </w:r>
      <w:bookmarkEnd w:id="106"/>
      <w:bookmarkEnd w:id="107"/>
    </w:p>
    <w:p w14:paraId="57DBEA3C">
      <w:pPr>
        <w:pStyle w:val="4"/>
        <w:rPr>
          <w:rFonts w:ascii="仿宋_GB2312" w:hAnsi="宋体" w:eastAsia="仿宋_GB2312"/>
          <w:b w:val="0"/>
          <w:lang w:val="zh-CN"/>
        </w:rPr>
      </w:pPr>
      <w:bookmarkStart w:id="108" w:name="_Toc7461"/>
      <w:bookmarkStart w:id="109" w:name="_Toc15396623"/>
      <w:r>
        <w:rPr>
          <w:rFonts w:hint="eastAsia" w:ascii="仿宋_GB2312" w:hAnsi="宋体" w:eastAsia="仿宋_GB2312"/>
          <w:b w:val="0"/>
          <w:lang w:val="zh-CN"/>
        </w:rPr>
        <w:t>五、</w:t>
      </w:r>
      <w:r>
        <w:rPr>
          <w:rFonts w:hint="eastAsia" w:ascii="仿宋_GB2312" w:hAnsi="宋体" w:eastAsia="仿宋_GB2312"/>
          <w:b w:val="0"/>
          <w:bCs w:val="0"/>
          <w:lang w:val="zh-CN"/>
        </w:rPr>
        <w:t>财</w:t>
      </w:r>
      <w:r>
        <w:rPr>
          <w:rFonts w:hint="eastAsia" w:ascii="仿宋_GB2312" w:hAnsi="宋体" w:eastAsia="仿宋_GB2312"/>
          <w:b w:val="0"/>
          <w:lang w:val="zh-CN"/>
        </w:rPr>
        <w:t>政拨款支出决算明细表</w:t>
      </w:r>
      <w:bookmarkEnd w:id="108"/>
      <w:bookmarkEnd w:id="109"/>
      <w:bookmarkStart w:id="110" w:name="_Toc15396624"/>
    </w:p>
    <w:p w14:paraId="1DF79AAF">
      <w:pPr>
        <w:pStyle w:val="4"/>
        <w:rPr>
          <w:rFonts w:ascii="仿宋_GB2312" w:hAnsi="宋体" w:eastAsia="仿宋_GB2312"/>
          <w:b w:val="0"/>
          <w:bCs w:val="0"/>
          <w:lang w:val="zh-CN"/>
        </w:rPr>
      </w:pPr>
      <w:bookmarkStart w:id="111" w:name="_Toc26021"/>
      <w:r>
        <w:rPr>
          <w:rFonts w:hint="eastAsia" w:ascii="仿宋_GB2312" w:hAnsi="宋体" w:eastAsia="仿宋_GB2312"/>
          <w:b w:val="0"/>
          <w:lang w:val="zh-CN"/>
        </w:rPr>
        <w:t>六、</w:t>
      </w:r>
      <w:r>
        <w:rPr>
          <w:rFonts w:hint="eastAsia" w:ascii="仿宋_GB2312" w:hAnsi="宋体" w:eastAsia="仿宋_GB2312"/>
          <w:b w:val="0"/>
          <w:bCs w:val="0"/>
          <w:lang w:val="zh-CN"/>
        </w:rPr>
        <w:t>一</w:t>
      </w:r>
      <w:r>
        <w:rPr>
          <w:rFonts w:hint="eastAsia" w:ascii="仿宋_GB2312" w:hAnsi="宋体" w:eastAsia="仿宋_GB2312"/>
          <w:b w:val="0"/>
          <w:lang w:val="zh-CN"/>
        </w:rPr>
        <w:t>般公共预算财政拨款支出决算表</w:t>
      </w:r>
      <w:bookmarkEnd w:id="110"/>
      <w:bookmarkEnd w:id="111"/>
    </w:p>
    <w:p w14:paraId="42350DE0">
      <w:pPr>
        <w:pStyle w:val="4"/>
        <w:rPr>
          <w:rFonts w:ascii="仿宋_GB2312" w:hAnsi="宋体" w:eastAsia="仿宋_GB2312"/>
          <w:b w:val="0"/>
          <w:bCs w:val="0"/>
          <w:lang w:val="zh-CN"/>
        </w:rPr>
      </w:pPr>
      <w:bookmarkStart w:id="112" w:name="_Toc29729"/>
      <w:bookmarkStart w:id="113" w:name="_Toc15396625"/>
      <w:r>
        <w:rPr>
          <w:rFonts w:hint="eastAsia" w:ascii="仿宋_GB2312" w:hAnsi="宋体" w:eastAsia="仿宋_GB2312"/>
          <w:b w:val="0"/>
          <w:lang w:val="zh-CN"/>
        </w:rPr>
        <w:t>七、</w:t>
      </w:r>
      <w:r>
        <w:rPr>
          <w:rFonts w:hint="eastAsia" w:ascii="仿宋_GB2312" w:hAnsi="宋体" w:eastAsia="仿宋_GB2312"/>
          <w:b w:val="0"/>
          <w:bCs w:val="0"/>
          <w:lang w:val="zh-CN"/>
        </w:rPr>
        <w:t>一</w:t>
      </w:r>
      <w:r>
        <w:rPr>
          <w:rFonts w:hint="eastAsia" w:ascii="仿宋_GB2312" w:hAnsi="宋体" w:eastAsia="仿宋_GB2312"/>
          <w:b w:val="0"/>
          <w:lang w:val="zh-CN"/>
        </w:rPr>
        <w:t>般公共预算财政拨款支出决算明细表</w:t>
      </w:r>
      <w:bookmarkEnd w:id="112"/>
      <w:bookmarkEnd w:id="113"/>
    </w:p>
    <w:p w14:paraId="2641F4FD">
      <w:pPr>
        <w:pStyle w:val="4"/>
        <w:rPr>
          <w:rFonts w:ascii="仿宋_GB2312" w:hAnsi="宋体" w:eastAsia="仿宋_GB2312"/>
          <w:b w:val="0"/>
          <w:bCs w:val="0"/>
          <w:lang w:val="zh-CN"/>
        </w:rPr>
      </w:pPr>
      <w:bookmarkStart w:id="114" w:name="_Toc15396626"/>
      <w:bookmarkStart w:id="115" w:name="_Toc1514"/>
      <w:r>
        <w:rPr>
          <w:rFonts w:hint="eastAsia" w:ascii="仿宋_GB2312" w:hAnsi="宋体" w:eastAsia="仿宋_GB2312"/>
          <w:b w:val="0"/>
          <w:lang w:val="zh-CN"/>
        </w:rPr>
        <w:t>八、</w:t>
      </w:r>
      <w:r>
        <w:rPr>
          <w:rFonts w:hint="eastAsia" w:ascii="仿宋_GB2312" w:hAnsi="宋体" w:eastAsia="仿宋_GB2312"/>
          <w:b w:val="0"/>
          <w:bCs w:val="0"/>
          <w:lang w:val="zh-CN"/>
        </w:rPr>
        <w:t>一</w:t>
      </w:r>
      <w:r>
        <w:rPr>
          <w:rFonts w:hint="eastAsia" w:ascii="仿宋_GB2312" w:hAnsi="宋体" w:eastAsia="仿宋_GB2312"/>
          <w:b w:val="0"/>
          <w:lang w:val="zh-CN"/>
        </w:rPr>
        <w:t>般公共预算财政拨款基本支出决算表</w:t>
      </w:r>
      <w:bookmarkEnd w:id="114"/>
      <w:bookmarkEnd w:id="115"/>
    </w:p>
    <w:p w14:paraId="04E94269">
      <w:pPr>
        <w:pStyle w:val="4"/>
        <w:rPr>
          <w:rFonts w:ascii="仿宋_GB2312" w:hAnsi="宋体" w:eastAsia="仿宋_GB2312"/>
          <w:b w:val="0"/>
          <w:bCs w:val="0"/>
          <w:lang w:val="zh-CN"/>
        </w:rPr>
      </w:pPr>
      <w:bookmarkStart w:id="116" w:name="_Toc31046"/>
      <w:bookmarkStart w:id="117" w:name="_Toc15396627"/>
      <w:r>
        <w:rPr>
          <w:rFonts w:hint="eastAsia" w:ascii="仿宋_GB2312" w:hAnsi="宋体" w:eastAsia="仿宋_GB2312"/>
          <w:b w:val="0"/>
          <w:lang w:val="zh-CN"/>
        </w:rPr>
        <w:t>九、</w:t>
      </w:r>
      <w:r>
        <w:rPr>
          <w:rFonts w:hint="eastAsia" w:ascii="仿宋_GB2312" w:hAnsi="宋体" w:eastAsia="仿宋_GB2312"/>
          <w:b w:val="0"/>
          <w:bCs w:val="0"/>
          <w:lang w:val="zh-CN"/>
        </w:rPr>
        <w:t>一</w:t>
      </w:r>
      <w:r>
        <w:rPr>
          <w:rFonts w:hint="eastAsia" w:ascii="仿宋_GB2312" w:hAnsi="宋体" w:eastAsia="仿宋_GB2312"/>
          <w:b w:val="0"/>
          <w:lang w:val="zh-CN"/>
        </w:rPr>
        <w:t>般公共预算财政拨款项目支出决算表</w:t>
      </w:r>
      <w:bookmarkEnd w:id="116"/>
      <w:bookmarkEnd w:id="117"/>
    </w:p>
    <w:p w14:paraId="25A50835">
      <w:pPr>
        <w:pStyle w:val="4"/>
        <w:rPr>
          <w:rFonts w:ascii="仿宋_GB2312" w:hAnsi="宋体" w:eastAsia="仿宋_GB2312"/>
          <w:b w:val="0"/>
          <w:bCs w:val="0"/>
          <w:lang w:val="zh-CN"/>
        </w:rPr>
      </w:pPr>
      <w:bookmarkStart w:id="118" w:name="_Toc15396628"/>
      <w:bookmarkStart w:id="119" w:name="_Toc17337"/>
      <w:r>
        <w:rPr>
          <w:rFonts w:hint="eastAsia" w:ascii="仿宋_GB2312" w:hAnsi="宋体" w:eastAsia="仿宋_GB2312"/>
          <w:b w:val="0"/>
          <w:lang w:val="zh-CN"/>
        </w:rPr>
        <w:t>十、</w:t>
      </w:r>
      <w:r>
        <w:rPr>
          <w:rFonts w:hint="eastAsia" w:ascii="仿宋_GB2312" w:hAnsi="宋体" w:eastAsia="仿宋_GB2312"/>
          <w:b w:val="0"/>
          <w:bCs w:val="0"/>
          <w:lang w:val="zh-CN"/>
        </w:rPr>
        <w:t>一</w:t>
      </w:r>
      <w:r>
        <w:rPr>
          <w:rFonts w:hint="eastAsia" w:ascii="仿宋_GB2312" w:hAnsi="宋体" w:eastAsia="仿宋_GB2312"/>
          <w:b w:val="0"/>
          <w:lang w:val="zh-CN"/>
        </w:rPr>
        <w:t>般公共预算财政拨款“三公”经费支出决算表</w:t>
      </w:r>
      <w:bookmarkEnd w:id="118"/>
      <w:bookmarkEnd w:id="119"/>
    </w:p>
    <w:p w14:paraId="1818371D">
      <w:pPr>
        <w:pStyle w:val="4"/>
        <w:rPr>
          <w:rFonts w:ascii="仿宋_GB2312" w:hAnsi="宋体" w:eastAsia="仿宋_GB2312"/>
          <w:b w:val="0"/>
          <w:bCs w:val="0"/>
          <w:lang w:val="zh-CN"/>
        </w:rPr>
      </w:pPr>
      <w:bookmarkStart w:id="120" w:name="_Toc15396629"/>
      <w:bookmarkStart w:id="121" w:name="_Toc23225"/>
      <w:r>
        <w:rPr>
          <w:rFonts w:hint="eastAsia" w:ascii="仿宋_GB2312" w:hAnsi="宋体" w:eastAsia="仿宋_GB2312"/>
          <w:b w:val="0"/>
          <w:lang w:val="zh-CN"/>
        </w:rPr>
        <w:t>十一、</w:t>
      </w:r>
      <w:r>
        <w:rPr>
          <w:rFonts w:hint="eastAsia" w:ascii="仿宋_GB2312" w:hAnsi="宋体" w:eastAsia="仿宋_GB2312"/>
          <w:b w:val="0"/>
          <w:bCs w:val="0"/>
          <w:lang w:val="zh-CN"/>
        </w:rPr>
        <w:t>政</w:t>
      </w:r>
      <w:r>
        <w:rPr>
          <w:rFonts w:hint="eastAsia" w:ascii="仿宋_GB2312" w:hAnsi="宋体" w:eastAsia="仿宋_GB2312"/>
          <w:b w:val="0"/>
          <w:lang w:val="zh-CN"/>
        </w:rPr>
        <w:t>府性基金预算财政拨款收入支出决算表</w:t>
      </w:r>
      <w:bookmarkEnd w:id="120"/>
      <w:bookmarkEnd w:id="121"/>
    </w:p>
    <w:p w14:paraId="29FA5972">
      <w:pPr>
        <w:pStyle w:val="4"/>
        <w:rPr>
          <w:rFonts w:ascii="仿宋_GB2312" w:hAnsi="宋体" w:eastAsia="仿宋_GB2312"/>
          <w:b w:val="0"/>
          <w:bCs w:val="0"/>
          <w:lang w:val="zh-CN"/>
        </w:rPr>
      </w:pPr>
      <w:bookmarkStart w:id="122" w:name="_Toc18145"/>
      <w:bookmarkStart w:id="123" w:name="_Toc15396630"/>
      <w:r>
        <w:rPr>
          <w:rFonts w:hint="eastAsia" w:ascii="仿宋_GB2312" w:hAnsi="宋体" w:eastAsia="仿宋_GB2312"/>
          <w:b w:val="0"/>
          <w:lang w:val="zh-CN"/>
        </w:rPr>
        <w:t>十二、</w:t>
      </w:r>
      <w:r>
        <w:rPr>
          <w:rFonts w:hint="eastAsia" w:ascii="仿宋_GB2312" w:hAnsi="宋体" w:eastAsia="仿宋_GB2312"/>
          <w:b w:val="0"/>
          <w:bCs w:val="0"/>
          <w:lang w:val="zh-CN"/>
        </w:rPr>
        <w:t>政</w:t>
      </w:r>
      <w:r>
        <w:rPr>
          <w:rFonts w:hint="eastAsia" w:ascii="仿宋_GB2312" w:hAnsi="宋体" w:eastAsia="仿宋_GB2312"/>
          <w:b w:val="0"/>
          <w:lang w:val="zh-CN"/>
        </w:rPr>
        <w:t>府性基金预算财政拨款“三公”经费支出决算表</w:t>
      </w:r>
      <w:bookmarkEnd w:id="122"/>
      <w:bookmarkEnd w:id="123"/>
    </w:p>
    <w:p w14:paraId="57B6B9E8">
      <w:pPr>
        <w:pStyle w:val="4"/>
        <w:rPr>
          <w:rFonts w:hint="eastAsia" w:ascii="仿宋_GB2312" w:hAnsi="宋体" w:eastAsia="仿宋_GB2312"/>
          <w:b w:val="0"/>
          <w:lang w:val="zh-CN"/>
        </w:rPr>
      </w:pPr>
      <w:bookmarkStart w:id="124" w:name="_Toc29275"/>
      <w:bookmarkStart w:id="125" w:name="_Toc15396631"/>
      <w:r>
        <w:rPr>
          <w:rFonts w:hint="eastAsia" w:ascii="仿宋_GB2312" w:hAnsi="宋体" w:eastAsia="仿宋_GB2312"/>
          <w:b w:val="0"/>
          <w:lang w:val="zh-CN"/>
        </w:rPr>
        <w:t>十三、</w:t>
      </w:r>
      <w:r>
        <w:rPr>
          <w:rFonts w:hint="eastAsia" w:ascii="仿宋_GB2312" w:hAnsi="宋体" w:eastAsia="仿宋_GB2312"/>
          <w:b w:val="0"/>
          <w:bCs w:val="0"/>
          <w:lang w:val="zh-CN"/>
        </w:rPr>
        <w:t>国</w:t>
      </w:r>
      <w:r>
        <w:rPr>
          <w:rFonts w:hint="eastAsia" w:ascii="仿宋_GB2312" w:hAnsi="宋体" w:eastAsia="仿宋_GB2312"/>
          <w:b w:val="0"/>
          <w:lang w:val="zh-CN"/>
        </w:rPr>
        <w:t>有资本经营预算财政拨款收入支出决算表</w:t>
      </w:r>
    </w:p>
    <w:p w14:paraId="76B3FC23">
      <w:pPr>
        <w:pStyle w:val="4"/>
        <w:rPr>
          <w:rFonts w:ascii="仿宋" w:hAnsi="仿宋" w:eastAsia="仿宋"/>
          <w:b w:val="0"/>
          <w:bCs w:val="0"/>
          <w:color w:val="000000"/>
        </w:rPr>
      </w:pPr>
      <w:r>
        <w:rPr>
          <w:rFonts w:hint="eastAsia" w:ascii="仿宋_GB2312" w:hAnsi="宋体" w:eastAsia="仿宋_GB2312"/>
          <w:b w:val="0"/>
          <w:lang w:val="zh-CN"/>
        </w:rPr>
        <w:t>十四、</w:t>
      </w:r>
      <w:r>
        <w:rPr>
          <w:rFonts w:hint="eastAsia" w:ascii="仿宋_GB2312" w:hAnsi="宋体" w:eastAsia="仿宋_GB2312"/>
          <w:b w:val="0"/>
          <w:bCs w:val="0"/>
          <w:lang w:val="zh-CN"/>
        </w:rPr>
        <w:t>国</w:t>
      </w:r>
      <w:r>
        <w:rPr>
          <w:rFonts w:hint="eastAsia" w:ascii="仿宋_GB2312" w:hAnsi="宋体" w:eastAsia="仿宋_GB2312"/>
          <w:b w:val="0"/>
          <w:lang w:val="zh-CN"/>
        </w:rPr>
        <w:t>有资本经营预算财政拨款支出决算表表</w:t>
      </w:r>
      <w:bookmarkEnd w:id="124"/>
      <w:bookmarkEnd w:id="125"/>
    </w:p>
    <w:p w14:paraId="360599CC"/>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B4CA2F-9942-498F-B8B2-25DBD8422B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335647E-A4F9-43A9-A17A-14875D692F0F}"/>
  </w:font>
  <w:font w:name="Cambria">
    <w:panose1 w:val="02040503050406030204"/>
    <w:charset w:val="00"/>
    <w:family w:val="roman"/>
    <w:pitch w:val="default"/>
    <w:sig w:usb0="E00006FF" w:usb1="420024FF" w:usb2="02000000" w:usb3="00000000" w:csb0="2000019F" w:csb1="00000000"/>
    <w:embedRegular r:id="rId3" w:fontKey="{B1C35B37-6653-4357-B825-6BEFC4452094}"/>
  </w:font>
  <w:font w:name="仿宋_GB2312">
    <w:altName w:val="仿宋"/>
    <w:panose1 w:val="00000000000000000000"/>
    <w:charset w:val="86"/>
    <w:family w:val="modern"/>
    <w:pitch w:val="default"/>
    <w:sig w:usb0="00000000" w:usb1="00000000" w:usb2="00000000" w:usb3="00000000" w:csb0="00040000" w:csb1="00000000"/>
    <w:embedRegular r:id="rId4" w:fontKey="{19CB367A-75F6-4A69-8EEB-8BA7C6A0379A}"/>
  </w:font>
  <w:font w:name="仿宋">
    <w:panose1 w:val="02010609060101010101"/>
    <w:charset w:val="86"/>
    <w:family w:val="modern"/>
    <w:pitch w:val="default"/>
    <w:sig w:usb0="800002BF" w:usb1="38CF7CFA" w:usb2="00000016" w:usb3="00000000" w:csb0="00040001" w:csb1="00000000"/>
    <w:embedRegular r:id="rId5" w:fontKey="{7C3B8FB1-4C39-4375-ADD4-53321AAA753D}"/>
  </w:font>
  <w:font w:name="方正小标宋简体">
    <w:panose1 w:val="02000000000000000000"/>
    <w:charset w:val="86"/>
    <w:family w:val="script"/>
    <w:pitch w:val="default"/>
    <w:sig w:usb0="00000001" w:usb1="08000000" w:usb2="00000000" w:usb3="00000000" w:csb0="00040000" w:csb1="00000000"/>
    <w:embedRegular r:id="rId6" w:fontKey="{5723256C-78BF-4B23-934D-6F1678D2F215}"/>
  </w:font>
  <w:font w:name="华文仿宋">
    <w:panose1 w:val="02010600040101010101"/>
    <w:charset w:val="86"/>
    <w:family w:val="auto"/>
    <w:pitch w:val="default"/>
    <w:sig w:usb0="00000287" w:usb1="080F0000" w:usb2="00000000" w:usb3="00000000" w:csb0="0004009F" w:csb1="DFD70000"/>
    <w:embedRegular r:id="rId7" w:fontKey="{54663633-9F6A-48A7-AAAF-3D4AB2BC9A72}"/>
  </w:font>
  <w:font w:name="楷体_GB2312">
    <w:panose1 w:val="02010609030101010101"/>
    <w:charset w:val="86"/>
    <w:family w:val="modern"/>
    <w:pitch w:val="default"/>
    <w:sig w:usb0="00000001" w:usb1="080E0000" w:usb2="00000000" w:usb3="00000000" w:csb0="00040000" w:csb1="00000000"/>
    <w:embedRegular r:id="rId8" w:fontKey="{1E41AB19-45DA-4334-ABB6-DC5BC2A7A2D8}"/>
  </w:font>
  <w:font w:name="微软雅黑">
    <w:panose1 w:val="020B0503020204020204"/>
    <w:charset w:val="86"/>
    <w:family w:val="swiss"/>
    <w:pitch w:val="default"/>
    <w:sig w:usb0="80000287" w:usb1="2ACF3C50" w:usb2="00000016" w:usb3="00000000" w:csb0="0004001F" w:csb1="00000000"/>
    <w:embedRegular r:id="rId9" w:fontKey="{ABBA3C9D-BA91-4508-B710-9BB7F2000A1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F8EB7">
    <w:pPr>
      <w:pStyle w:val="7"/>
      <w:jc w:val="center"/>
    </w:pPr>
    <w:r>
      <w:fldChar w:fldCharType="begin"/>
    </w:r>
    <w:r>
      <w:instrText xml:space="preserve">PAGE   \* MERGEFORMAT</w:instrText>
    </w:r>
    <w:r>
      <w:fldChar w:fldCharType="separate"/>
    </w:r>
    <w:r>
      <w:rPr>
        <w:lang w:val="zh-CN"/>
      </w:rPr>
      <w:t>24</w:t>
    </w:r>
    <w:r>
      <w:rPr>
        <w:lang w:val="zh-CN"/>
      </w:rPr>
      <w:fldChar w:fldCharType="end"/>
    </w:r>
  </w:p>
  <w:p w14:paraId="42132D41">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E7EB1">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C046B"/>
    <w:multiLevelType w:val="singleLevel"/>
    <w:tmpl w:val="841C046B"/>
    <w:lvl w:ilvl="0" w:tentative="0">
      <w:start w:val="2"/>
      <w:numFmt w:val="chineseCounting"/>
      <w:suff w:val="nothing"/>
      <w:lvlText w:val="（%1）"/>
      <w:lvlJc w:val="left"/>
      <w:rPr>
        <w:rFonts w:hint="eastAsia"/>
      </w:rPr>
    </w:lvl>
  </w:abstractNum>
  <w:abstractNum w:abstractNumId="1">
    <w:nsid w:val="C5C18E6B"/>
    <w:multiLevelType w:val="singleLevel"/>
    <w:tmpl w:val="C5C18E6B"/>
    <w:lvl w:ilvl="0" w:tentative="0">
      <w:start w:val="1"/>
      <w:numFmt w:val="decimal"/>
      <w:lvlText w:val="%1."/>
      <w:lvlJc w:val="left"/>
      <w:pPr>
        <w:tabs>
          <w:tab w:val="left" w:pos="312"/>
        </w:tabs>
      </w:pPr>
    </w:lvl>
  </w:abstractNum>
  <w:abstractNum w:abstractNumId="2">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3">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5">
    <w:nsid w:val="4E490D12"/>
    <w:multiLevelType w:val="singleLevel"/>
    <w:tmpl w:val="4E490D12"/>
    <w:lvl w:ilvl="0" w:tentative="0">
      <w:start w:val="4"/>
      <w:numFmt w:val="decimal"/>
      <w:lvlText w:val="%1."/>
      <w:lvlJc w:val="left"/>
      <w:pPr>
        <w:tabs>
          <w:tab w:val="left" w:pos="312"/>
        </w:tabs>
      </w:pPr>
    </w:lvl>
  </w:abstractNum>
  <w:abstractNum w:abstractNumId="6">
    <w:nsid w:val="691620ED"/>
    <w:multiLevelType w:val="singleLevel"/>
    <w:tmpl w:val="691620ED"/>
    <w:lvl w:ilvl="0" w:tentative="0">
      <w:start w:val="2"/>
      <w:numFmt w:val="chineseCounting"/>
      <w:suff w:val="nothing"/>
      <w:lvlText w:val="%1、"/>
      <w:lvlJc w:val="left"/>
      <w:rPr>
        <w:rFonts w:hint="eastAsia"/>
      </w:rPr>
    </w:lvl>
  </w:abstractNum>
  <w:num w:numId="1">
    <w:abstractNumId w:val="6"/>
  </w:num>
  <w:num w:numId="2">
    <w:abstractNumId w:val="4"/>
  </w:num>
  <w:num w:numId="3">
    <w:abstractNumId w:val="2"/>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EwMTJiODYzZmNlMDVkODJmMjc0YjkyZjg2ODAyOWYifQ=="/>
  </w:docVars>
  <w:rsids>
    <w:rsidRoot w:val="790206A9"/>
    <w:rsid w:val="0054690E"/>
    <w:rsid w:val="00A30985"/>
    <w:rsid w:val="00BE6739"/>
    <w:rsid w:val="00BF18A3"/>
    <w:rsid w:val="00D17F77"/>
    <w:rsid w:val="0E7F2496"/>
    <w:rsid w:val="166103B0"/>
    <w:rsid w:val="66822395"/>
    <w:rsid w:val="6D530584"/>
    <w:rsid w:val="78EB30BE"/>
    <w:rsid w:val="79020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7"/>
    <w:qFormat/>
    <w:uiPriority w:val="9"/>
    <w:pPr>
      <w:keepNext/>
      <w:keepLines/>
      <w:spacing w:before="260" w:after="260" w:line="416" w:lineRule="auto"/>
      <w:outlineLvl w:val="1"/>
    </w:pPr>
    <w:rPr>
      <w:rFonts w:ascii="Cambria" w:hAnsi="Cambria"/>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beforeLines="30"/>
    </w:pPr>
    <w:rPr>
      <w:rFonts w:ascii="仿宋_GB2312" w:eastAsia="仿宋_GB2312"/>
      <w:kern w:val="0"/>
      <w:sz w:val="24"/>
      <w:szCs w:val="20"/>
    </w:rPr>
  </w:style>
  <w:style w:type="paragraph" w:styleId="5">
    <w:name w:val="Salutation"/>
    <w:basedOn w:val="1"/>
    <w:next w:val="1"/>
    <w:qFormat/>
    <w:uiPriority w:val="99"/>
  </w:style>
  <w:style w:type="paragraph" w:styleId="6">
    <w:name w:val="Balloon Text"/>
    <w:basedOn w:val="1"/>
    <w:link w:val="22"/>
    <w:uiPriority w:val="0"/>
    <w:rPr>
      <w:sz w:val="18"/>
      <w:szCs w:val="18"/>
    </w:rPr>
  </w:style>
  <w:style w:type="paragraph" w:styleId="7">
    <w:name w:val="footer"/>
    <w:basedOn w:val="1"/>
    <w:qFormat/>
    <w:uiPriority w:val="99"/>
    <w:pPr>
      <w:tabs>
        <w:tab w:val="center" w:pos="4153"/>
        <w:tab w:val="right" w:pos="8306"/>
      </w:tabs>
      <w:snapToGrid w:val="0"/>
      <w:jc w:val="left"/>
    </w:pPr>
    <w:rPr>
      <w:kern w:val="0"/>
      <w:sz w:val="18"/>
      <w:szCs w:val="20"/>
    </w:rPr>
  </w:style>
  <w:style w:type="paragraph" w:styleId="8">
    <w:name w:val="header"/>
    <w:basedOn w:val="1"/>
    <w:semiHidden/>
    <w:qFormat/>
    <w:uiPriority w:val="99"/>
    <w:pPr>
      <w:pBdr>
        <w:bottom w:val="single" w:color="auto" w:sz="6" w:space="1"/>
      </w:pBdr>
      <w:tabs>
        <w:tab w:val="center" w:pos="4153"/>
        <w:tab w:val="right" w:pos="8306"/>
      </w:tabs>
      <w:snapToGrid w:val="0"/>
      <w:jc w:val="center"/>
    </w:pPr>
    <w:rPr>
      <w:kern w:val="0"/>
      <w:sz w:val="18"/>
      <w:szCs w:val="20"/>
    </w:rPr>
  </w:style>
  <w:style w:type="paragraph" w:styleId="9">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0">
    <w:name w:val="toc 2"/>
    <w:basedOn w:val="1"/>
    <w:next w:val="1"/>
    <w:unhideWhenUsed/>
    <w:qFormat/>
    <w:uiPriority w:val="39"/>
    <w:pPr>
      <w:tabs>
        <w:tab w:val="right" w:leader="dot" w:pos="8296"/>
      </w:tabs>
      <w:ind w:left="420" w:leftChars="200"/>
    </w:pPr>
  </w:style>
  <w:style w:type="paragraph" w:styleId="11">
    <w:name w:val="Normal (Web)"/>
    <w:basedOn w:val="1"/>
    <w:qFormat/>
    <w:uiPriority w:val="0"/>
    <w:pPr>
      <w:jc w:val="left"/>
    </w:pPr>
    <w:rPr>
      <w:kern w:val="0"/>
      <w:sz w:val="24"/>
    </w:rPr>
  </w:style>
  <w:style w:type="character" w:styleId="14">
    <w:name w:val="Strong"/>
    <w:basedOn w:val="13"/>
    <w:qFormat/>
    <w:uiPriority w:val="99"/>
    <w:rPr>
      <w:rFonts w:cs="Times New Roman"/>
      <w:b/>
    </w:rPr>
  </w:style>
  <w:style w:type="character" w:styleId="15">
    <w:name w:val="Hyperlink"/>
    <w:basedOn w:val="13"/>
    <w:unhideWhenUsed/>
    <w:qFormat/>
    <w:uiPriority w:val="99"/>
    <w:rPr>
      <w:rFonts w:cs="Times New Roman"/>
      <w:color w:val="0000FF"/>
      <w:u w:val="single"/>
    </w:rPr>
  </w:style>
  <w:style w:type="character" w:customStyle="1" w:styleId="16">
    <w:name w:val="标题 1 Char"/>
    <w:basedOn w:val="13"/>
    <w:link w:val="3"/>
    <w:qFormat/>
    <w:locked/>
    <w:uiPriority w:val="9"/>
    <w:rPr>
      <w:b/>
      <w:bCs/>
      <w:kern w:val="44"/>
      <w:sz w:val="44"/>
      <w:szCs w:val="44"/>
    </w:rPr>
  </w:style>
  <w:style w:type="character" w:customStyle="1" w:styleId="17">
    <w:name w:val="标题 2 Char"/>
    <w:basedOn w:val="13"/>
    <w:link w:val="4"/>
    <w:qFormat/>
    <w:locked/>
    <w:uiPriority w:val="9"/>
    <w:rPr>
      <w:rFonts w:ascii="Cambria" w:hAnsi="Cambria"/>
      <w:b/>
      <w:bCs/>
      <w:sz w:val="32"/>
      <w:szCs w:val="32"/>
    </w:rPr>
  </w:style>
  <w:style w:type="paragraph" w:customStyle="1" w:styleId="18">
    <w:name w:val="列出段落1"/>
    <w:basedOn w:val="1"/>
    <w:qFormat/>
    <w:uiPriority w:val="34"/>
    <w:pPr>
      <w:ind w:firstLine="420" w:firstLineChars="200"/>
    </w:pPr>
  </w:style>
  <w:style w:type="paragraph" w:customStyle="1" w:styleId="19">
    <w:name w:val="Default"/>
    <w:qFormat/>
    <w:uiPriority w:val="99"/>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0">
    <w:name w:val="WPSOffice手动目录 1"/>
    <w:qFormat/>
    <w:uiPriority w:val="0"/>
    <w:rPr>
      <w:rFonts w:asciiTheme="minorHAnsi" w:hAnsiTheme="minorHAnsi" w:eastAsiaTheme="minorEastAsia" w:cstheme="minorBidi"/>
      <w:lang w:val="en-US" w:eastAsia="zh-CN" w:bidi="ar-SA"/>
    </w:rPr>
  </w:style>
  <w:style w:type="paragraph" w:customStyle="1" w:styleId="21">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22">
    <w:name w:val="批注框文本 Char"/>
    <w:basedOn w:val="13"/>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3751</Words>
  <Characters>4114</Characters>
  <Lines>104</Lines>
  <Paragraphs>29</Paragraphs>
  <TotalTime>40</TotalTime>
  <ScaleCrop>false</ScaleCrop>
  <LinksUpToDate>false</LinksUpToDate>
  <CharactersWithSpaces>4254</CharactersWithSpaces>
  <Application>WPS Office_12.1.0.20260_F1E327BC-269C-435d-A152-05C5408002CA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2022-09-25T06:44:00Z</dcterms:created>
  <dc:creator>Toujours1420341078</dc:creator>
  <cp:lastModifiedBy>昭化融媒体</cp:lastModifiedBy>
  <dcterms:modified xsi:type="dcterms:W3CDTF">2025-02-21T01:24:15Z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2052-12.1.0.20260</vt:lpwstr>
  </property>
  <property fmtid="{D5CDD505-2E9C-101B-9397-08002B2CF9AE}" pid="3" name="ICV">
    <vt:lpwstr>A9D07D5E85C3498085B15CA2ABB83F6F</vt:lpwstr>
  </property>
  <property fmtid="{D5CDD505-2E9C-101B-9397-08002B2CF9AE}" pid="4" name="KSOTemplateDocerSaveRecord">
    <vt:lpwstr>eyJoZGlkIjoiMGVhYTg4NGNkZWJkODFjNzcyZDRjM2M4Y2UzNjI5ZmUiLCJ1c2VySWQiOiI2MTE2MzEwMDYifQ==</vt:lpwstr>
  </property>
</Properties>
</file>