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40E0D">
      <w:pPr>
        <w:spacing w:line="576" w:lineRule="exact"/>
        <w:jc w:val="center"/>
        <w:outlineLvl w:val="0"/>
        <w:rPr>
          <w:rFonts w:hint="eastAsia" w:ascii="Times New Roman" w:hAnsi="Times New Roman" w:eastAsia="方正小标宋简体" w:cs="Times New Roman"/>
          <w:sz w:val="44"/>
          <w:szCs w:val="44"/>
          <w:lang w:val="en-US" w:eastAsia="zh-CN"/>
        </w:rPr>
      </w:pPr>
      <w:bookmarkStart w:id="0" w:name="_Toc13488"/>
      <w:bookmarkStart w:id="1" w:name="_Toc24339"/>
      <w:bookmarkStart w:id="2" w:name="_Toc13523"/>
      <w:r>
        <w:rPr>
          <w:rFonts w:ascii="Times New Roman" w:hAnsi="Times New Roman" w:eastAsia="方正小标宋简体" w:cs="Times New Roman"/>
          <w:sz w:val="44"/>
          <w:szCs w:val="44"/>
        </w:rPr>
        <w:t>2021年</w:t>
      </w:r>
      <w:r>
        <w:rPr>
          <w:rFonts w:hint="eastAsia" w:ascii="Times New Roman" w:hAnsi="Times New Roman" w:eastAsia="方正小标宋简体" w:cs="Times New Roman"/>
          <w:sz w:val="44"/>
          <w:szCs w:val="44"/>
          <w:lang w:val="en-US" w:eastAsia="zh-CN"/>
        </w:rPr>
        <w:t>度</w:t>
      </w:r>
    </w:p>
    <w:p w14:paraId="277A14C3">
      <w:pPr>
        <w:spacing w:line="576" w:lineRule="exact"/>
        <w:jc w:val="center"/>
        <w:outlineLvl w:val="0"/>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val="en-US" w:eastAsia="zh-CN"/>
        </w:rPr>
        <w:t>四川省</w:t>
      </w:r>
      <w:r>
        <w:rPr>
          <w:rFonts w:ascii="Times New Roman" w:hAnsi="Times New Roman" w:eastAsia="方正小标宋简体" w:cs="Times New Roman"/>
          <w:sz w:val="44"/>
          <w:szCs w:val="44"/>
        </w:rPr>
        <w:t>广元市昭化区发展和改革局</w:t>
      </w:r>
      <w:bookmarkEnd w:id="0"/>
      <w:bookmarkEnd w:id="1"/>
      <w:bookmarkEnd w:id="2"/>
    </w:p>
    <w:p w14:paraId="2B3F6589">
      <w:pPr>
        <w:pStyle w:val="2"/>
        <w:rPr>
          <w:rFonts w:ascii="Times New Roman" w:hAnsi="Times New Roman" w:eastAsia="方正小标宋简体" w:cs="Times New Roman"/>
          <w:sz w:val="44"/>
          <w:szCs w:val="44"/>
        </w:rPr>
      </w:pPr>
    </w:p>
    <w:p w14:paraId="46C44EB6"/>
    <w:p w14:paraId="4C68FBC9">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w:t>
      </w:r>
    </w:p>
    <w:p w14:paraId="074699A6">
      <w:pPr>
        <w:pStyle w:val="2"/>
        <w:rPr>
          <w:sz w:val="72"/>
          <w:szCs w:val="72"/>
        </w:rPr>
      </w:pPr>
    </w:p>
    <w:p w14:paraId="4F9329DA">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门</w:t>
      </w:r>
    </w:p>
    <w:p w14:paraId="09CEA4A6">
      <w:pPr>
        <w:pStyle w:val="2"/>
        <w:rPr>
          <w:sz w:val="72"/>
          <w:szCs w:val="72"/>
        </w:rPr>
      </w:pPr>
    </w:p>
    <w:p w14:paraId="26E0E5DC">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预</w:t>
      </w:r>
    </w:p>
    <w:p w14:paraId="16D0C08E">
      <w:pPr>
        <w:pStyle w:val="2"/>
        <w:rPr>
          <w:sz w:val="72"/>
          <w:szCs w:val="72"/>
        </w:rPr>
      </w:pPr>
    </w:p>
    <w:p w14:paraId="52F2A18B">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ascii="Times New Roman" w:hAnsi="Times New Roman" w:eastAsia="方正小标宋简体" w:cs="Times New Roman"/>
          <w:sz w:val="52"/>
          <w:szCs w:val="52"/>
        </w:rPr>
      </w:pPr>
      <w:r>
        <w:rPr>
          <w:rFonts w:ascii="Times New Roman" w:hAnsi="Times New Roman" w:eastAsia="方正小标宋简体" w:cs="Times New Roman"/>
          <w:sz w:val="72"/>
          <w:szCs w:val="72"/>
        </w:rPr>
        <w:t>算</w:t>
      </w:r>
    </w:p>
    <w:p w14:paraId="015447A5">
      <w:pPr>
        <w:pStyle w:val="2"/>
        <w:outlineLvl w:val="9"/>
        <w:rPr>
          <w:rFonts w:ascii="Times New Roman" w:hAnsi="Times New Roman" w:eastAsia="方正小标宋简体" w:cs="Times New Roman"/>
          <w:sz w:val="44"/>
          <w:szCs w:val="44"/>
        </w:rPr>
      </w:pPr>
    </w:p>
    <w:p w14:paraId="4F8CBCBF">
      <w:pPr>
        <w:rPr>
          <w:rFonts w:ascii="Times New Roman" w:hAnsi="Times New Roman" w:eastAsia="方正小标宋简体" w:cs="Times New Roman"/>
          <w:sz w:val="44"/>
          <w:szCs w:val="44"/>
        </w:rPr>
      </w:pPr>
    </w:p>
    <w:p w14:paraId="253EE537">
      <w:pPr>
        <w:pStyle w:val="2"/>
        <w:outlineLvl w:val="9"/>
        <w:rPr>
          <w:rFonts w:ascii="Times New Roman" w:hAnsi="Times New Roman" w:eastAsia="方正小标宋简体" w:cs="Times New Roman"/>
          <w:sz w:val="44"/>
          <w:szCs w:val="44"/>
        </w:rPr>
      </w:pPr>
    </w:p>
    <w:p w14:paraId="6ADF6206">
      <w:pPr>
        <w:rPr>
          <w:rFonts w:ascii="Times New Roman" w:hAnsi="Times New Roman" w:eastAsia="方正小标宋简体" w:cs="Times New Roman"/>
          <w:sz w:val="44"/>
          <w:szCs w:val="44"/>
        </w:rPr>
      </w:pPr>
    </w:p>
    <w:p w14:paraId="53766E75">
      <w:bookmarkStart w:id="14" w:name="_GoBack"/>
    </w:p>
    <w:bookmarkEnd w:id="14"/>
    <w:p w14:paraId="28C70FA2">
      <w:pPr>
        <w:spacing w:before="0" w:after="0" w:line="240" w:lineRule="auto"/>
        <w:ind w:left="0" w:leftChars="0" w:right="0" w:rightChars="0" w:firstLine="0" w:firstLineChars="0"/>
        <w:jc w:val="center"/>
        <w:rPr>
          <w:sz w:val="24"/>
          <w:szCs w:val="28"/>
        </w:rPr>
      </w:pPr>
      <w:r>
        <w:rPr>
          <w:rFonts w:ascii="宋体" w:hAnsi="宋体" w:eastAsia="宋体"/>
          <w:sz w:val="24"/>
          <w:szCs w:val="28"/>
        </w:rPr>
        <w:t>目</w:t>
      </w:r>
      <w:r>
        <w:rPr>
          <w:rFonts w:hint="eastAsia" w:ascii="宋体" w:hAnsi="宋体" w:eastAsia="宋体"/>
          <w:sz w:val="24"/>
          <w:szCs w:val="28"/>
          <w:lang w:val="en-US" w:eastAsia="zh-CN"/>
        </w:rPr>
        <w:t xml:space="preserve">    </w:t>
      </w:r>
      <w:r>
        <w:rPr>
          <w:rFonts w:ascii="宋体" w:hAnsi="宋体" w:eastAsia="宋体"/>
          <w:sz w:val="24"/>
          <w:szCs w:val="28"/>
        </w:rPr>
        <w:t>录</w:t>
      </w:r>
    </w:p>
    <w:p w14:paraId="5B62B2E3">
      <w:pPr>
        <w:pStyle w:val="13"/>
        <w:keepNext w:val="0"/>
        <w:keepLines w:val="0"/>
        <w:pageBreakBefore w:val="0"/>
        <w:widowControl/>
        <w:tabs>
          <w:tab w:val="right" w:leader="dot" w:pos="8844"/>
        </w:tabs>
        <w:kinsoku/>
        <w:wordWrap/>
        <w:overflowPunct/>
        <w:topLinePunct w:val="0"/>
        <w:autoSpaceDE/>
        <w:autoSpaceDN/>
        <w:bidi w:val="0"/>
        <w:adjustRightInd/>
        <w:snapToGrid/>
        <w:spacing w:line="480" w:lineRule="auto"/>
        <w:textAlignment w:val="auto"/>
      </w:pPr>
      <w:r>
        <w:rPr>
          <w:rFonts w:ascii="Times New Roman" w:hAnsi="黑体" w:eastAsia="黑体" w:cs="Times New Roman"/>
          <w:sz w:val="32"/>
          <w:szCs w:val="32"/>
        </w:rPr>
        <w:fldChar w:fldCharType="begin"/>
      </w:r>
      <w:r>
        <w:rPr>
          <w:rFonts w:ascii="Times New Roman" w:hAnsi="黑体" w:eastAsia="黑体" w:cs="Times New Roman"/>
          <w:sz w:val="32"/>
          <w:szCs w:val="32"/>
        </w:rPr>
        <w:instrText xml:space="preserve">TOC \o "1-1" \h \u </w:instrText>
      </w:r>
      <w:r>
        <w:rPr>
          <w:rFonts w:ascii="Times New Roman" w:hAnsi="黑体" w:eastAsia="黑体" w:cs="Times New Roman"/>
          <w:sz w:val="32"/>
          <w:szCs w:val="32"/>
        </w:rPr>
        <w:fldChar w:fldCharType="separate"/>
      </w:r>
      <w:r>
        <w:rPr>
          <w:rFonts w:ascii="Times New Roman" w:hAnsi="黑体" w:eastAsia="黑体" w:cs="Times New Roman"/>
          <w:szCs w:val="32"/>
        </w:rPr>
        <w:fldChar w:fldCharType="begin"/>
      </w:r>
      <w:r>
        <w:rPr>
          <w:rFonts w:ascii="Times New Roman" w:hAnsi="黑体" w:eastAsia="黑体" w:cs="Times New Roman"/>
          <w:szCs w:val="32"/>
        </w:rPr>
        <w:instrText xml:space="preserve"> HYPERLINK \l _Toc14304 </w:instrText>
      </w:r>
      <w:r>
        <w:rPr>
          <w:rFonts w:ascii="Times New Roman" w:hAnsi="黑体" w:eastAsia="黑体" w:cs="Times New Roman"/>
          <w:szCs w:val="32"/>
        </w:rPr>
        <w:fldChar w:fldCharType="separate"/>
      </w:r>
      <w:r>
        <w:rPr>
          <w:rFonts w:ascii="Times New Roman" w:hAnsi="黑体" w:eastAsia="黑体" w:cs="Times New Roman"/>
          <w:szCs w:val="32"/>
        </w:rPr>
        <w:t>一、基本职能及主要工作</w:t>
      </w:r>
      <w:r>
        <w:tab/>
      </w:r>
      <w:r>
        <w:fldChar w:fldCharType="begin"/>
      </w:r>
      <w:r>
        <w:instrText xml:space="preserve"> PAGEREF _Toc14304 \h </w:instrText>
      </w:r>
      <w:r>
        <w:fldChar w:fldCharType="separate"/>
      </w:r>
      <w:r>
        <w:t>1</w:t>
      </w:r>
      <w:r>
        <w:fldChar w:fldCharType="end"/>
      </w:r>
      <w:r>
        <w:rPr>
          <w:rFonts w:ascii="Times New Roman" w:hAnsi="黑体" w:eastAsia="黑体" w:cs="Times New Roman"/>
          <w:szCs w:val="32"/>
        </w:rPr>
        <w:fldChar w:fldCharType="end"/>
      </w:r>
    </w:p>
    <w:p w14:paraId="518273A6">
      <w:pPr>
        <w:pStyle w:val="13"/>
        <w:keepNext w:val="0"/>
        <w:keepLines w:val="0"/>
        <w:pageBreakBefore w:val="0"/>
        <w:widowControl/>
        <w:tabs>
          <w:tab w:val="right" w:leader="dot" w:pos="8844"/>
        </w:tabs>
        <w:kinsoku/>
        <w:wordWrap/>
        <w:overflowPunct/>
        <w:topLinePunct w:val="0"/>
        <w:autoSpaceDE/>
        <w:autoSpaceDN/>
        <w:bidi w:val="0"/>
        <w:adjustRightInd/>
        <w:snapToGrid/>
        <w:spacing w:line="480" w:lineRule="auto"/>
        <w:textAlignment w:val="auto"/>
      </w:pPr>
      <w:r>
        <w:rPr>
          <w:rFonts w:ascii="Times New Roman" w:hAnsi="黑体" w:eastAsia="黑体" w:cs="Times New Roman"/>
          <w:szCs w:val="32"/>
        </w:rPr>
        <w:fldChar w:fldCharType="begin"/>
      </w:r>
      <w:r>
        <w:rPr>
          <w:rFonts w:ascii="Times New Roman" w:hAnsi="黑体" w:eastAsia="黑体" w:cs="Times New Roman"/>
          <w:szCs w:val="32"/>
        </w:rPr>
        <w:instrText xml:space="preserve"> HYPERLINK \l _Toc125 </w:instrText>
      </w:r>
      <w:r>
        <w:rPr>
          <w:rFonts w:ascii="Times New Roman" w:hAnsi="黑体" w:eastAsia="黑体" w:cs="Times New Roman"/>
          <w:szCs w:val="32"/>
        </w:rPr>
        <w:fldChar w:fldCharType="separate"/>
      </w:r>
      <w:r>
        <w:rPr>
          <w:rFonts w:ascii="Times New Roman" w:hAnsi="黑体" w:eastAsia="黑体" w:cs="Times New Roman"/>
          <w:szCs w:val="32"/>
        </w:rPr>
        <w:t>二、人员编制情况</w:t>
      </w:r>
      <w:r>
        <w:tab/>
      </w:r>
      <w:r>
        <w:fldChar w:fldCharType="begin"/>
      </w:r>
      <w:r>
        <w:instrText xml:space="preserve"> PAGEREF _Toc125 \h </w:instrText>
      </w:r>
      <w:r>
        <w:fldChar w:fldCharType="separate"/>
      </w:r>
      <w:r>
        <w:t>6</w:t>
      </w:r>
      <w:r>
        <w:fldChar w:fldCharType="end"/>
      </w:r>
      <w:r>
        <w:rPr>
          <w:rFonts w:ascii="Times New Roman" w:hAnsi="黑体" w:eastAsia="黑体" w:cs="Times New Roman"/>
          <w:szCs w:val="32"/>
        </w:rPr>
        <w:fldChar w:fldCharType="end"/>
      </w:r>
    </w:p>
    <w:p w14:paraId="4211F208">
      <w:pPr>
        <w:pStyle w:val="13"/>
        <w:keepNext w:val="0"/>
        <w:keepLines w:val="0"/>
        <w:pageBreakBefore w:val="0"/>
        <w:widowControl/>
        <w:tabs>
          <w:tab w:val="right" w:leader="dot" w:pos="8844"/>
        </w:tabs>
        <w:kinsoku/>
        <w:wordWrap/>
        <w:overflowPunct/>
        <w:topLinePunct w:val="0"/>
        <w:autoSpaceDE/>
        <w:autoSpaceDN/>
        <w:bidi w:val="0"/>
        <w:adjustRightInd/>
        <w:snapToGrid/>
        <w:spacing w:line="480" w:lineRule="auto"/>
        <w:textAlignment w:val="auto"/>
      </w:pPr>
      <w:r>
        <w:rPr>
          <w:rFonts w:ascii="Times New Roman" w:hAnsi="黑体" w:eastAsia="黑体" w:cs="Times New Roman"/>
          <w:szCs w:val="32"/>
        </w:rPr>
        <w:fldChar w:fldCharType="begin"/>
      </w:r>
      <w:r>
        <w:rPr>
          <w:rFonts w:ascii="Times New Roman" w:hAnsi="黑体" w:eastAsia="黑体" w:cs="Times New Roman"/>
          <w:szCs w:val="32"/>
        </w:rPr>
        <w:instrText xml:space="preserve"> HYPERLINK \l _Toc27404 </w:instrText>
      </w:r>
      <w:r>
        <w:rPr>
          <w:rFonts w:ascii="Times New Roman" w:hAnsi="黑体" w:eastAsia="黑体" w:cs="Times New Roman"/>
          <w:szCs w:val="32"/>
        </w:rPr>
        <w:fldChar w:fldCharType="separate"/>
      </w:r>
      <w:r>
        <w:rPr>
          <w:rFonts w:ascii="Times New Roman" w:hAnsi="黑体" w:eastAsia="黑体" w:cs="Times New Roman"/>
          <w:szCs w:val="32"/>
        </w:rPr>
        <w:t>三、收支预算情况说明</w:t>
      </w:r>
      <w:r>
        <w:tab/>
      </w:r>
      <w:r>
        <w:fldChar w:fldCharType="begin"/>
      </w:r>
      <w:r>
        <w:instrText xml:space="preserve"> PAGEREF _Toc27404 \h </w:instrText>
      </w:r>
      <w:r>
        <w:fldChar w:fldCharType="separate"/>
      </w:r>
      <w:r>
        <w:t>7</w:t>
      </w:r>
      <w:r>
        <w:fldChar w:fldCharType="end"/>
      </w:r>
      <w:r>
        <w:rPr>
          <w:rFonts w:ascii="Times New Roman" w:hAnsi="黑体" w:eastAsia="黑体" w:cs="Times New Roman"/>
          <w:szCs w:val="32"/>
        </w:rPr>
        <w:fldChar w:fldCharType="end"/>
      </w:r>
    </w:p>
    <w:p w14:paraId="3088A58D">
      <w:pPr>
        <w:pStyle w:val="13"/>
        <w:keepNext w:val="0"/>
        <w:keepLines w:val="0"/>
        <w:pageBreakBefore w:val="0"/>
        <w:widowControl/>
        <w:tabs>
          <w:tab w:val="right" w:leader="dot" w:pos="8844"/>
        </w:tabs>
        <w:kinsoku/>
        <w:wordWrap/>
        <w:overflowPunct/>
        <w:topLinePunct w:val="0"/>
        <w:autoSpaceDE/>
        <w:autoSpaceDN/>
        <w:bidi w:val="0"/>
        <w:adjustRightInd/>
        <w:snapToGrid/>
        <w:spacing w:line="480" w:lineRule="auto"/>
        <w:textAlignment w:val="auto"/>
      </w:pPr>
      <w:r>
        <w:rPr>
          <w:rFonts w:ascii="Times New Roman" w:hAnsi="黑体" w:eastAsia="黑体" w:cs="Times New Roman"/>
          <w:szCs w:val="32"/>
        </w:rPr>
        <w:fldChar w:fldCharType="begin"/>
      </w:r>
      <w:r>
        <w:rPr>
          <w:rFonts w:ascii="Times New Roman" w:hAnsi="黑体" w:eastAsia="黑体" w:cs="Times New Roman"/>
          <w:szCs w:val="32"/>
        </w:rPr>
        <w:instrText xml:space="preserve"> HYPERLINK \l _Toc28951 </w:instrText>
      </w:r>
      <w:r>
        <w:rPr>
          <w:rFonts w:ascii="Times New Roman" w:hAnsi="黑体" w:eastAsia="黑体" w:cs="Times New Roman"/>
          <w:szCs w:val="32"/>
        </w:rPr>
        <w:fldChar w:fldCharType="separate"/>
      </w:r>
      <w:r>
        <w:rPr>
          <w:rFonts w:ascii="Times New Roman" w:hAnsi="黑体" w:eastAsia="黑体" w:cs="Times New Roman"/>
          <w:szCs w:val="32"/>
        </w:rPr>
        <w:t>四、财政拨款收支预算情况说明</w:t>
      </w:r>
      <w:r>
        <w:tab/>
      </w:r>
      <w:r>
        <w:fldChar w:fldCharType="begin"/>
      </w:r>
      <w:r>
        <w:instrText xml:space="preserve"> PAGEREF _Toc28951 \h </w:instrText>
      </w:r>
      <w:r>
        <w:fldChar w:fldCharType="separate"/>
      </w:r>
      <w:r>
        <w:t>7</w:t>
      </w:r>
      <w:r>
        <w:fldChar w:fldCharType="end"/>
      </w:r>
      <w:r>
        <w:rPr>
          <w:rFonts w:ascii="Times New Roman" w:hAnsi="黑体" w:eastAsia="黑体" w:cs="Times New Roman"/>
          <w:szCs w:val="32"/>
        </w:rPr>
        <w:fldChar w:fldCharType="end"/>
      </w:r>
    </w:p>
    <w:p w14:paraId="249891D1">
      <w:pPr>
        <w:pStyle w:val="13"/>
        <w:keepNext w:val="0"/>
        <w:keepLines w:val="0"/>
        <w:pageBreakBefore w:val="0"/>
        <w:widowControl/>
        <w:tabs>
          <w:tab w:val="right" w:leader="dot" w:pos="8844"/>
        </w:tabs>
        <w:kinsoku/>
        <w:wordWrap/>
        <w:overflowPunct/>
        <w:topLinePunct w:val="0"/>
        <w:autoSpaceDE/>
        <w:autoSpaceDN/>
        <w:bidi w:val="0"/>
        <w:adjustRightInd/>
        <w:snapToGrid/>
        <w:spacing w:line="480" w:lineRule="auto"/>
        <w:textAlignment w:val="auto"/>
      </w:pPr>
      <w:r>
        <w:rPr>
          <w:rFonts w:ascii="Times New Roman" w:hAnsi="黑体" w:eastAsia="黑体" w:cs="Times New Roman"/>
          <w:szCs w:val="32"/>
        </w:rPr>
        <w:fldChar w:fldCharType="begin"/>
      </w:r>
      <w:r>
        <w:rPr>
          <w:rFonts w:ascii="Times New Roman" w:hAnsi="黑体" w:eastAsia="黑体" w:cs="Times New Roman"/>
          <w:szCs w:val="32"/>
        </w:rPr>
        <w:instrText xml:space="preserve"> HYPERLINK \l _Toc5375 </w:instrText>
      </w:r>
      <w:r>
        <w:rPr>
          <w:rFonts w:ascii="Times New Roman" w:hAnsi="黑体" w:eastAsia="黑体" w:cs="Times New Roman"/>
          <w:szCs w:val="32"/>
        </w:rPr>
        <w:fldChar w:fldCharType="separate"/>
      </w:r>
      <w:r>
        <w:rPr>
          <w:rFonts w:ascii="Times New Roman" w:hAnsi="黑体" w:eastAsia="黑体" w:cs="Times New Roman"/>
          <w:szCs w:val="32"/>
        </w:rPr>
        <w:t>五、一般公共预算当年拨款情况说明</w:t>
      </w:r>
      <w:r>
        <w:tab/>
      </w:r>
      <w:r>
        <w:fldChar w:fldCharType="begin"/>
      </w:r>
      <w:r>
        <w:instrText xml:space="preserve"> PAGEREF _Toc5375 \h </w:instrText>
      </w:r>
      <w:r>
        <w:fldChar w:fldCharType="separate"/>
      </w:r>
      <w:r>
        <w:t>7</w:t>
      </w:r>
      <w:r>
        <w:fldChar w:fldCharType="end"/>
      </w:r>
      <w:r>
        <w:rPr>
          <w:rFonts w:ascii="Times New Roman" w:hAnsi="黑体" w:eastAsia="黑体" w:cs="Times New Roman"/>
          <w:szCs w:val="32"/>
        </w:rPr>
        <w:fldChar w:fldCharType="end"/>
      </w:r>
    </w:p>
    <w:p w14:paraId="16B29FC3">
      <w:pPr>
        <w:pStyle w:val="13"/>
        <w:keepNext w:val="0"/>
        <w:keepLines w:val="0"/>
        <w:pageBreakBefore w:val="0"/>
        <w:widowControl/>
        <w:tabs>
          <w:tab w:val="right" w:leader="dot" w:pos="8844"/>
        </w:tabs>
        <w:kinsoku/>
        <w:wordWrap/>
        <w:overflowPunct/>
        <w:topLinePunct w:val="0"/>
        <w:autoSpaceDE/>
        <w:autoSpaceDN/>
        <w:bidi w:val="0"/>
        <w:adjustRightInd/>
        <w:snapToGrid/>
        <w:spacing w:line="480" w:lineRule="auto"/>
        <w:textAlignment w:val="auto"/>
      </w:pPr>
      <w:r>
        <w:rPr>
          <w:rFonts w:ascii="Times New Roman" w:hAnsi="黑体" w:eastAsia="黑体" w:cs="Times New Roman"/>
          <w:szCs w:val="32"/>
        </w:rPr>
        <w:fldChar w:fldCharType="begin"/>
      </w:r>
      <w:r>
        <w:rPr>
          <w:rFonts w:ascii="Times New Roman" w:hAnsi="黑体" w:eastAsia="黑体" w:cs="Times New Roman"/>
          <w:szCs w:val="32"/>
        </w:rPr>
        <w:instrText xml:space="preserve"> HYPERLINK \l _Toc12704 </w:instrText>
      </w:r>
      <w:r>
        <w:rPr>
          <w:rFonts w:ascii="Times New Roman" w:hAnsi="黑体" w:eastAsia="黑体" w:cs="Times New Roman"/>
          <w:szCs w:val="32"/>
        </w:rPr>
        <w:fldChar w:fldCharType="separate"/>
      </w:r>
      <w:r>
        <w:rPr>
          <w:rFonts w:ascii="Times New Roman" w:hAnsi="黑体" w:eastAsia="黑体" w:cs="Times New Roman"/>
          <w:szCs w:val="32"/>
        </w:rPr>
        <w:t>六、一般公共预算基本支出情况说明</w:t>
      </w:r>
      <w:r>
        <w:tab/>
      </w:r>
      <w:r>
        <w:fldChar w:fldCharType="begin"/>
      </w:r>
      <w:r>
        <w:instrText xml:space="preserve"> PAGEREF _Toc12704 \h </w:instrText>
      </w:r>
      <w:r>
        <w:fldChar w:fldCharType="separate"/>
      </w:r>
      <w:r>
        <w:t>9</w:t>
      </w:r>
      <w:r>
        <w:fldChar w:fldCharType="end"/>
      </w:r>
      <w:r>
        <w:rPr>
          <w:rFonts w:ascii="Times New Roman" w:hAnsi="黑体" w:eastAsia="黑体" w:cs="Times New Roman"/>
          <w:szCs w:val="32"/>
        </w:rPr>
        <w:fldChar w:fldCharType="end"/>
      </w:r>
    </w:p>
    <w:p w14:paraId="447B556E">
      <w:pPr>
        <w:pStyle w:val="13"/>
        <w:keepNext w:val="0"/>
        <w:keepLines w:val="0"/>
        <w:pageBreakBefore w:val="0"/>
        <w:widowControl/>
        <w:tabs>
          <w:tab w:val="right" w:leader="dot" w:pos="8844"/>
        </w:tabs>
        <w:kinsoku/>
        <w:wordWrap/>
        <w:overflowPunct/>
        <w:topLinePunct w:val="0"/>
        <w:autoSpaceDE/>
        <w:autoSpaceDN/>
        <w:bidi w:val="0"/>
        <w:adjustRightInd/>
        <w:snapToGrid/>
        <w:spacing w:line="480" w:lineRule="auto"/>
        <w:textAlignment w:val="auto"/>
      </w:pPr>
      <w:r>
        <w:rPr>
          <w:rFonts w:ascii="Times New Roman" w:hAnsi="黑体" w:eastAsia="黑体" w:cs="Times New Roman"/>
          <w:szCs w:val="32"/>
        </w:rPr>
        <w:fldChar w:fldCharType="begin"/>
      </w:r>
      <w:r>
        <w:rPr>
          <w:rFonts w:ascii="Times New Roman" w:hAnsi="黑体" w:eastAsia="黑体" w:cs="Times New Roman"/>
          <w:szCs w:val="32"/>
        </w:rPr>
        <w:instrText xml:space="preserve"> HYPERLINK \l _Toc866 </w:instrText>
      </w:r>
      <w:r>
        <w:rPr>
          <w:rFonts w:ascii="Times New Roman" w:hAnsi="黑体" w:eastAsia="黑体" w:cs="Times New Roman"/>
          <w:szCs w:val="32"/>
        </w:rPr>
        <w:fldChar w:fldCharType="separate"/>
      </w:r>
      <w:r>
        <w:rPr>
          <w:rFonts w:ascii="Times New Roman" w:hAnsi="黑体" w:eastAsia="黑体" w:cs="Times New Roman"/>
          <w:szCs w:val="32"/>
        </w:rPr>
        <w:t>七、</w:t>
      </w:r>
      <w:r>
        <w:rPr>
          <w:rFonts w:ascii="Times New Roman" w:hAnsi="Times New Roman" w:eastAsia="黑体" w:cs="Times New Roman"/>
          <w:szCs w:val="32"/>
        </w:rPr>
        <w:t>“</w:t>
      </w:r>
      <w:r>
        <w:rPr>
          <w:rFonts w:ascii="Times New Roman" w:hAnsi="黑体" w:eastAsia="黑体" w:cs="Times New Roman"/>
          <w:szCs w:val="32"/>
        </w:rPr>
        <w:t>三公</w:t>
      </w:r>
      <w:r>
        <w:rPr>
          <w:rFonts w:ascii="Times New Roman" w:hAnsi="Times New Roman" w:eastAsia="黑体" w:cs="Times New Roman"/>
          <w:szCs w:val="32"/>
        </w:rPr>
        <w:t>”</w:t>
      </w:r>
      <w:r>
        <w:rPr>
          <w:rFonts w:ascii="Times New Roman" w:hAnsi="黑体" w:eastAsia="黑体" w:cs="Times New Roman"/>
          <w:szCs w:val="32"/>
        </w:rPr>
        <w:t>经费财政拨款预算安排情况说明</w:t>
      </w:r>
      <w:r>
        <w:tab/>
      </w:r>
      <w:r>
        <w:fldChar w:fldCharType="begin"/>
      </w:r>
      <w:r>
        <w:instrText xml:space="preserve"> PAGEREF _Toc866 \h </w:instrText>
      </w:r>
      <w:r>
        <w:fldChar w:fldCharType="separate"/>
      </w:r>
      <w:r>
        <w:t>9</w:t>
      </w:r>
      <w:r>
        <w:fldChar w:fldCharType="end"/>
      </w:r>
      <w:r>
        <w:rPr>
          <w:rFonts w:ascii="Times New Roman" w:hAnsi="黑体" w:eastAsia="黑体" w:cs="Times New Roman"/>
          <w:szCs w:val="32"/>
        </w:rPr>
        <w:fldChar w:fldCharType="end"/>
      </w:r>
    </w:p>
    <w:p w14:paraId="0DF2CD2F">
      <w:pPr>
        <w:pStyle w:val="13"/>
        <w:keepNext w:val="0"/>
        <w:keepLines w:val="0"/>
        <w:pageBreakBefore w:val="0"/>
        <w:widowControl/>
        <w:tabs>
          <w:tab w:val="right" w:leader="dot" w:pos="8844"/>
        </w:tabs>
        <w:kinsoku/>
        <w:wordWrap/>
        <w:overflowPunct/>
        <w:topLinePunct w:val="0"/>
        <w:autoSpaceDE/>
        <w:autoSpaceDN/>
        <w:bidi w:val="0"/>
        <w:adjustRightInd/>
        <w:snapToGrid/>
        <w:spacing w:line="480" w:lineRule="auto"/>
        <w:textAlignment w:val="auto"/>
      </w:pPr>
      <w:r>
        <w:rPr>
          <w:rFonts w:ascii="Times New Roman" w:hAnsi="黑体" w:eastAsia="黑体" w:cs="Times New Roman"/>
          <w:szCs w:val="32"/>
        </w:rPr>
        <w:fldChar w:fldCharType="begin"/>
      </w:r>
      <w:r>
        <w:rPr>
          <w:rFonts w:ascii="Times New Roman" w:hAnsi="黑体" w:eastAsia="黑体" w:cs="Times New Roman"/>
          <w:szCs w:val="32"/>
        </w:rPr>
        <w:instrText xml:space="preserve"> HYPERLINK \l _Toc5402 </w:instrText>
      </w:r>
      <w:r>
        <w:rPr>
          <w:rFonts w:ascii="Times New Roman" w:hAnsi="黑体" w:eastAsia="黑体" w:cs="Times New Roman"/>
          <w:szCs w:val="32"/>
        </w:rPr>
        <w:fldChar w:fldCharType="separate"/>
      </w:r>
      <w:r>
        <w:rPr>
          <w:rFonts w:ascii="Times New Roman" w:hAnsi="黑体" w:eastAsia="黑体" w:cs="Times New Roman"/>
          <w:szCs w:val="32"/>
        </w:rPr>
        <w:t>八、政府性基金预算支出情况说明</w:t>
      </w:r>
      <w:r>
        <w:tab/>
      </w:r>
      <w:r>
        <w:fldChar w:fldCharType="begin"/>
      </w:r>
      <w:r>
        <w:instrText xml:space="preserve"> PAGEREF _Toc5402 \h </w:instrText>
      </w:r>
      <w:r>
        <w:fldChar w:fldCharType="separate"/>
      </w:r>
      <w:r>
        <w:t>10</w:t>
      </w:r>
      <w:r>
        <w:fldChar w:fldCharType="end"/>
      </w:r>
      <w:r>
        <w:rPr>
          <w:rFonts w:ascii="Times New Roman" w:hAnsi="黑体" w:eastAsia="黑体" w:cs="Times New Roman"/>
          <w:szCs w:val="32"/>
        </w:rPr>
        <w:fldChar w:fldCharType="end"/>
      </w:r>
    </w:p>
    <w:p w14:paraId="542137ED">
      <w:pPr>
        <w:pStyle w:val="13"/>
        <w:keepNext w:val="0"/>
        <w:keepLines w:val="0"/>
        <w:pageBreakBefore w:val="0"/>
        <w:widowControl/>
        <w:tabs>
          <w:tab w:val="right" w:leader="dot" w:pos="8844"/>
        </w:tabs>
        <w:kinsoku/>
        <w:wordWrap/>
        <w:overflowPunct/>
        <w:topLinePunct w:val="0"/>
        <w:autoSpaceDE/>
        <w:autoSpaceDN/>
        <w:bidi w:val="0"/>
        <w:adjustRightInd/>
        <w:snapToGrid/>
        <w:spacing w:line="480" w:lineRule="auto"/>
        <w:textAlignment w:val="auto"/>
      </w:pPr>
      <w:r>
        <w:rPr>
          <w:rFonts w:ascii="Times New Roman" w:hAnsi="黑体" w:eastAsia="黑体" w:cs="Times New Roman"/>
          <w:szCs w:val="32"/>
        </w:rPr>
        <w:fldChar w:fldCharType="begin"/>
      </w:r>
      <w:r>
        <w:rPr>
          <w:rFonts w:ascii="Times New Roman" w:hAnsi="黑体" w:eastAsia="黑体" w:cs="Times New Roman"/>
          <w:szCs w:val="32"/>
        </w:rPr>
        <w:instrText xml:space="preserve"> HYPERLINK \l _Toc4397 </w:instrText>
      </w:r>
      <w:r>
        <w:rPr>
          <w:rFonts w:ascii="Times New Roman" w:hAnsi="黑体" w:eastAsia="黑体" w:cs="Times New Roman"/>
          <w:szCs w:val="32"/>
        </w:rPr>
        <w:fldChar w:fldCharType="separate"/>
      </w:r>
      <w:r>
        <w:rPr>
          <w:rFonts w:ascii="Times New Roman" w:hAnsi="黑体" w:eastAsia="黑体" w:cs="Times New Roman"/>
          <w:szCs w:val="32"/>
        </w:rPr>
        <w:t>九、国有资本经营预算支出情况说明</w:t>
      </w:r>
      <w:r>
        <w:tab/>
      </w:r>
      <w:r>
        <w:fldChar w:fldCharType="begin"/>
      </w:r>
      <w:r>
        <w:instrText xml:space="preserve"> PAGEREF _Toc4397 \h </w:instrText>
      </w:r>
      <w:r>
        <w:fldChar w:fldCharType="separate"/>
      </w:r>
      <w:r>
        <w:t>10</w:t>
      </w:r>
      <w:r>
        <w:fldChar w:fldCharType="end"/>
      </w:r>
      <w:r>
        <w:rPr>
          <w:rFonts w:ascii="Times New Roman" w:hAnsi="黑体" w:eastAsia="黑体" w:cs="Times New Roman"/>
          <w:szCs w:val="32"/>
        </w:rPr>
        <w:fldChar w:fldCharType="end"/>
      </w:r>
    </w:p>
    <w:p w14:paraId="5F0A5B7D">
      <w:pPr>
        <w:pStyle w:val="13"/>
        <w:keepNext w:val="0"/>
        <w:keepLines w:val="0"/>
        <w:pageBreakBefore w:val="0"/>
        <w:widowControl/>
        <w:tabs>
          <w:tab w:val="right" w:leader="dot" w:pos="8844"/>
        </w:tabs>
        <w:kinsoku/>
        <w:wordWrap/>
        <w:overflowPunct/>
        <w:topLinePunct w:val="0"/>
        <w:autoSpaceDE/>
        <w:autoSpaceDN/>
        <w:bidi w:val="0"/>
        <w:adjustRightInd/>
        <w:snapToGrid/>
        <w:spacing w:line="480" w:lineRule="auto"/>
        <w:textAlignment w:val="auto"/>
      </w:pPr>
      <w:r>
        <w:rPr>
          <w:rFonts w:ascii="Times New Roman" w:hAnsi="黑体" w:eastAsia="黑体" w:cs="Times New Roman"/>
          <w:szCs w:val="32"/>
        </w:rPr>
        <w:fldChar w:fldCharType="begin"/>
      </w:r>
      <w:r>
        <w:rPr>
          <w:rFonts w:ascii="Times New Roman" w:hAnsi="黑体" w:eastAsia="黑体" w:cs="Times New Roman"/>
          <w:szCs w:val="32"/>
        </w:rPr>
        <w:instrText xml:space="preserve"> HYPERLINK \l _Toc30382 </w:instrText>
      </w:r>
      <w:r>
        <w:rPr>
          <w:rFonts w:ascii="Times New Roman" w:hAnsi="黑体" w:eastAsia="黑体" w:cs="Times New Roman"/>
          <w:szCs w:val="32"/>
        </w:rPr>
        <w:fldChar w:fldCharType="separate"/>
      </w:r>
      <w:r>
        <w:rPr>
          <w:rFonts w:ascii="Times New Roman" w:hAnsi="黑体" w:eastAsia="黑体" w:cs="Times New Roman"/>
          <w:szCs w:val="32"/>
        </w:rPr>
        <w:t>十、其他重要事项的情况说明</w:t>
      </w:r>
      <w:r>
        <w:tab/>
      </w:r>
      <w:r>
        <w:fldChar w:fldCharType="begin"/>
      </w:r>
      <w:r>
        <w:instrText xml:space="preserve"> PAGEREF _Toc30382 \h </w:instrText>
      </w:r>
      <w:r>
        <w:fldChar w:fldCharType="separate"/>
      </w:r>
      <w:r>
        <w:t>10</w:t>
      </w:r>
      <w:r>
        <w:fldChar w:fldCharType="end"/>
      </w:r>
      <w:r>
        <w:rPr>
          <w:rFonts w:ascii="Times New Roman" w:hAnsi="黑体" w:eastAsia="黑体" w:cs="Times New Roman"/>
          <w:szCs w:val="32"/>
        </w:rPr>
        <w:fldChar w:fldCharType="end"/>
      </w:r>
    </w:p>
    <w:p w14:paraId="1766B5FC">
      <w:pPr>
        <w:pStyle w:val="13"/>
        <w:keepNext w:val="0"/>
        <w:keepLines w:val="0"/>
        <w:pageBreakBefore w:val="0"/>
        <w:widowControl/>
        <w:tabs>
          <w:tab w:val="right" w:leader="dot" w:pos="8844"/>
        </w:tabs>
        <w:kinsoku/>
        <w:wordWrap/>
        <w:overflowPunct/>
        <w:topLinePunct w:val="0"/>
        <w:autoSpaceDE/>
        <w:autoSpaceDN/>
        <w:bidi w:val="0"/>
        <w:adjustRightInd/>
        <w:snapToGrid/>
        <w:spacing w:line="480" w:lineRule="auto"/>
        <w:textAlignment w:val="auto"/>
      </w:pPr>
      <w:r>
        <w:rPr>
          <w:rFonts w:ascii="Times New Roman" w:hAnsi="黑体" w:eastAsia="黑体" w:cs="Times New Roman"/>
          <w:szCs w:val="32"/>
        </w:rPr>
        <w:fldChar w:fldCharType="begin"/>
      </w:r>
      <w:r>
        <w:rPr>
          <w:rFonts w:ascii="Times New Roman" w:hAnsi="黑体" w:eastAsia="黑体" w:cs="Times New Roman"/>
          <w:szCs w:val="32"/>
        </w:rPr>
        <w:instrText xml:space="preserve"> HYPERLINK \l _Toc12460 </w:instrText>
      </w:r>
      <w:r>
        <w:rPr>
          <w:rFonts w:ascii="Times New Roman" w:hAnsi="黑体" w:eastAsia="黑体" w:cs="Times New Roman"/>
          <w:szCs w:val="32"/>
        </w:rPr>
        <w:fldChar w:fldCharType="separate"/>
      </w:r>
      <w:r>
        <w:rPr>
          <w:rFonts w:ascii="Times New Roman" w:hAnsi="黑体" w:eastAsia="黑体" w:cs="Times New Roman"/>
          <w:szCs w:val="32"/>
        </w:rPr>
        <w:t>十一、名词解释</w:t>
      </w:r>
      <w:r>
        <w:tab/>
      </w:r>
      <w:r>
        <w:fldChar w:fldCharType="begin"/>
      </w:r>
      <w:r>
        <w:instrText xml:space="preserve"> PAGEREF _Toc12460 \h </w:instrText>
      </w:r>
      <w:r>
        <w:fldChar w:fldCharType="separate"/>
      </w:r>
      <w:r>
        <w:t>11</w:t>
      </w:r>
      <w:r>
        <w:fldChar w:fldCharType="end"/>
      </w:r>
      <w:r>
        <w:rPr>
          <w:rFonts w:ascii="Times New Roman" w:hAnsi="黑体" w:eastAsia="黑体" w:cs="Times New Roman"/>
          <w:szCs w:val="32"/>
        </w:rPr>
        <w:fldChar w:fldCharType="end"/>
      </w:r>
    </w:p>
    <w:p w14:paraId="412A376F">
      <w:pPr>
        <w:spacing w:line="576" w:lineRule="exact"/>
        <w:ind w:firstLine="420" w:firstLineChars="200"/>
        <w:outlineLvl w:val="9"/>
        <w:rPr>
          <w:rFonts w:ascii="Times New Roman" w:hAnsi="黑体" w:eastAsia="黑体" w:cs="Times New Roman"/>
          <w:sz w:val="32"/>
          <w:szCs w:val="32"/>
        </w:rPr>
      </w:pPr>
      <w:r>
        <w:rPr>
          <w:rFonts w:ascii="Times New Roman" w:hAnsi="黑体" w:eastAsia="黑体" w:cs="Times New Roman"/>
          <w:szCs w:val="32"/>
        </w:rPr>
        <w:fldChar w:fldCharType="end"/>
      </w:r>
    </w:p>
    <w:p w14:paraId="6DB6AB90">
      <w:pPr>
        <w:spacing w:line="576" w:lineRule="exact"/>
        <w:ind w:firstLine="640" w:firstLineChars="200"/>
        <w:outlineLvl w:val="9"/>
        <w:rPr>
          <w:rFonts w:ascii="Times New Roman" w:hAnsi="黑体" w:eastAsia="黑体" w:cs="Times New Roman"/>
          <w:sz w:val="32"/>
          <w:szCs w:val="32"/>
        </w:rPr>
      </w:pPr>
    </w:p>
    <w:p w14:paraId="575CFA30">
      <w:pPr>
        <w:spacing w:line="576" w:lineRule="exact"/>
        <w:ind w:firstLine="640" w:firstLineChars="200"/>
        <w:outlineLvl w:val="9"/>
        <w:rPr>
          <w:rFonts w:ascii="Times New Roman" w:hAnsi="黑体" w:eastAsia="黑体" w:cs="Times New Roman"/>
          <w:sz w:val="32"/>
          <w:szCs w:val="32"/>
        </w:rPr>
      </w:pPr>
    </w:p>
    <w:p w14:paraId="1C2F5DE6">
      <w:pPr>
        <w:spacing w:line="576" w:lineRule="exact"/>
        <w:ind w:firstLine="640" w:firstLineChars="200"/>
        <w:outlineLvl w:val="9"/>
        <w:rPr>
          <w:rFonts w:ascii="Times New Roman" w:hAnsi="黑体" w:eastAsia="黑体" w:cs="Times New Roman"/>
          <w:sz w:val="32"/>
          <w:szCs w:val="32"/>
        </w:rPr>
      </w:pPr>
    </w:p>
    <w:p w14:paraId="47945D51">
      <w:pPr>
        <w:spacing w:line="576" w:lineRule="exact"/>
        <w:outlineLvl w:val="9"/>
        <w:rPr>
          <w:rFonts w:ascii="Times New Roman" w:hAnsi="黑体" w:eastAsia="黑体" w:cs="Times New Roman"/>
          <w:sz w:val="32"/>
          <w:szCs w:val="32"/>
        </w:rPr>
      </w:pPr>
    </w:p>
    <w:p w14:paraId="3563B8D7">
      <w:pPr>
        <w:pStyle w:val="2"/>
        <w:rPr>
          <w:rFonts w:ascii="Times New Roman" w:hAnsi="黑体" w:eastAsia="黑体" w:cs="Times New Roman"/>
          <w:sz w:val="32"/>
          <w:szCs w:val="32"/>
        </w:rPr>
      </w:pPr>
    </w:p>
    <w:p w14:paraId="75874209">
      <w:pPr>
        <w:rPr>
          <w:rFonts w:ascii="Times New Roman" w:hAnsi="黑体" w:eastAsia="黑体" w:cs="Times New Roman"/>
          <w:sz w:val="32"/>
          <w:szCs w:val="32"/>
        </w:rPr>
      </w:pPr>
    </w:p>
    <w:p w14:paraId="73035679">
      <w:pPr>
        <w:pStyle w:val="2"/>
        <w:sectPr>
          <w:footerReference r:id="rId3" w:type="default"/>
          <w:pgSz w:w="11906" w:h="16838"/>
          <w:pgMar w:top="2098" w:right="1474" w:bottom="1984" w:left="1588" w:header="454" w:footer="1531" w:gutter="0"/>
          <w:cols w:space="720" w:num="1"/>
          <w:docGrid w:type="lines" w:linePitch="318" w:charSpace="0"/>
        </w:sectPr>
      </w:pPr>
    </w:p>
    <w:p w14:paraId="1980CB98"/>
    <w:p w14:paraId="273A61EA">
      <w:pPr>
        <w:spacing w:line="576" w:lineRule="exact"/>
        <w:ind w:firstLine="640" w:firstLineChars="200"/>
        <w:outlineLvl w:val="0"/>
        <w:rPr>
          <w:rFonts w:ascii="Times New Roman" w:hAnsi="Times New Roman" w:eastAsia="黑体" w:cs="Times New Roman"/>
          <w:sz w:val="32"/>
          <w:szCs w:val="32"/>
        </w:rPr>
      </w:pPr>
      <w:bookmarkStart w:id="3" w:name="_Toc14304"/>
      <w:r>
        <w:rPr>
          <w:rFonts w:ascii="Times New Roman" w:hAnsi="黑体" w:eastAsia="黑体" w:cs="Times New Roman"/>
          <w:sz w:val="32"/>
          <w:szCs w:val="32"/>
        </w:rPr>
        <w:t>一、基本职能及主要工作</w:t>
      </w:r>
      <w:bookmarkEnd w:id="3"/>
    </w:p>
    <w:p w14:paraId="671B7220">
      <w:pPr>
        <w:spacing w:line="576" w:lineRule="exact"/>
        <w:ind w:firstLine="643" w:firstLineChars="200"/>
        <w:outlineLvl w:val="1"/>
        <w:rPr>
          <w:rFonts w:hint="eastAsia" w:ascii="楷体_GB2312" w:hAnsi="Times New Roman" w:eastAsia="楷体_GB2312" w:cs="Times New Roman"/>
          <w:b/>
          <w:sz w:val="32"/>
          <w:szCs w:val="32"/>
        </w:rPr>
      </w:pPr>
      <w:r>
        <w:rPr>
          <w:rFonts w:hint="eastAsia" w:ascii="楷体_GB2312" w:hAnsi="Times New Roman" w:eastAsia="楷体_GB2312" w:cs="Times New Roman"/>
          <w:b/>
          <w:sz w:val="32"/>
          <w:szCs w:val="32"/>
        </w:rPr>
        <w:t>（一）发改局职能简介</w:t>
      </w:r>
    </w:p>
    <w:p w14:paraId="541348DC">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1.贯彻实施国家有关国民经济和社会发展、经济体制改革的方针、政策和法律、法规。拟订全区有关国民经济和社会发展、经济体制改革的政策措施，负责本系统、本部门依法行政工作，落实行政执法责任制。</w:t>
      </w:r>
    </w:p>
    <w:p w14:paraId="48F750AB">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负责拟订并组织实施全区国民经济和社会发展战略、中长期规划和年度计划，统筹协调全区经济社会发展，研究分析宏观经济形势，提出全区经济社会发展、经济结构优化、价格总水平调控目标和政策建议。受区政府委托向区人大提交国民经济和社会发展计划报告。</w:t>
      </w:r>
    </w:p>
    <w:p w14:paraId="32C8CC3F">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3.负责监测宏观经济和社会发展态势，承担预测预警和信息引导的责任，研究宏观调控重大问题并提出政策建议，搞好总量平衡，综合协调经济社会发展中的重大问题。</w:t>
      </w:r>
    </w:p>
    <w:p w14:paraId="6A02C3BF">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负责汇总和分析全区财政、金融等方面的情况，参与制定财政、金融、土地政策，综合分析政策执行效果，负责全区全口径外债的总量控制、结构优化和监测工作，提出多渠道融资的政策建议，综合协调财政、金融、价格和产业政策等经济杠杆，保证全区国民经济和发展规划的实施。</w:t>
      </w:r>
    </w:p>
    <w:p w14:paraId="250EA99B">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承担指导推进和综合协调全区经济体制改革的责任。研究经济体制改革和对外开放的重大问题，组织拟订综合性经济体制改革方案，协调有关专项经济体制改革方案，会同有关部门搞好重要专项经济体制改革之间的衔接，指导经济体制改革试点和改革试验区工作。</w:t>
      </w:r>
    </w:p>
    <w:p w14:paraId="431FC333">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贯彻实施国家和省价格法律、法规和方针、政策，编制和执行价格调整改革规划，提出年度价格总水平调控目标及价格调控措施并组织实施，管理国家、省、市列名管理的商品和服务价格，监管实行市场调节价的商品和服务价格，承担行政事业性收费管理工作，负责全区价格监督检查、价格成本调查监审、价格监测、价格认证等工作。</w:t>
      </w:r>
    </w:p>
    <w:p w14:paraId="6F554248">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贯彻执行国家以工代赈的方针、政策，制定全区以工代赈的实施意见和管理办法；综合协调全区以工代赈工作，负责管理全区以工代赈建设；负责编制以工代赈中长期计划及年度计划；会同区财政、审计、监察等部门做好全区以工代赈资金使用的监督管理工作；组织有关部门搞好以工代赈项目的规划、论证和可行性研究；组织工程主管部门对全区以工代赈项目工程进行检查、验收和管理。</w:t>
      </w:r>
    </w:p>
    <w:p w14:paraId="59CE07A3">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负责全区投资宏观管理和协调推进重大项目建设。拟订全社会固定资产投资总规模和投资结构的调控目标、政策及措施，安排区级预算内基本建设资金，按规定权限审批、核准、备案或转报固定资产投资项目（企业技术改造项目除外）和资源开发利用、外资、境外投资项目。引导民间投资方向，研究提出利用外资和境外投资的规划、总量平衡和结构优化的目标和政策，指导和协调国外贷款项目实施。组织开展重大建设项目稽察。指导工程咨询业发展。</w:t>
      </w:r>
    </w:p>
    <w:p w14:paraId="07E8A06D">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推进经济结构战略性调整。组织拟订全区综合性产业政策，负责协调第一、二、三产业发展的重大问题，衔接平衡相关发展规划和重大政策，协调农业和农村经济社会发展的重大问题，衔接农村专项规划和政策。拟订重大产业发展规划，引导全区重大生产力合理布局，协调推进全区重大技术装备推广应用和重大产业基地建设，会同有关部门拟订服务业、现代物流业发展战略、规划和重大政策。组织拟订高技术产业发展、产业技术进步的战略、规划和重大政策，指导全区自主创新体系建设发展。</w:t>
      </w:r>
    </w:p>
    <w:p w14:paraId="6D7B28F3">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促进城乡区域协调发展。组织编制全区主体功能区规划并协调规划实施和进行监测评估，组织拟订区域协调发展战略、规划和重大政策，研究提出城镇发展战略和统筹城乡发展的重大政策，负责地区经济协作的统筹协调。</w:t>
      </w:r>
    </w:p>
    <w:p w14:paraId="7DBB62D8">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负责重要商品的总量平衡和宏观调控。研究分析区内外市场和对外贸易运行情况，编制重要农产品、工业品和原材料进出口总量计划并监督计划执行；会同有关部门管理粮食、棉花等重要物资和商品的区级储备工作，提出重要商品市场、生产要素市场的总体布局和发展规划。</w:t>
      </w:r>
    </w:p>
    <w:p w14:paraId="583C4EB1">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负责全区社会发展与国民经济发展的政策衔接。组织拟订社会发展战略、总体规划和年度计划，参与拟订人口和计划生育、科学技术、教育、文化、卫生、民政等发展政策，推进社会事业建设。研究提出促进就业、调整收入分配、完善社会保障与经济协调发展的政策建议，协调社会事业发展和政策中的重大问题及政策。</w:t>
      </w:r>
    </w:p>
    <w:p w14:paraId="659BD72C">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推进可持续发展。负责全区节能减排的综合协调工作，组织拟订并协调实施全区发展循环经济、能源资源节约和综合利用规划及政策措施，参与编制生态环境建设、国土开发整治和保护规划，协调生态建设、能源资源节约和综合利用的重大问题，综合协调环保产业和清洁生产促进有关工作。</w:t>
      </w:r>
    </w:p>
    <w:p w14:paraId="5D1FFE7D">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14.会同有关部门拟定革命老区、贫困地区经济发展规划，会同有关部门制定加快革命老区、贫困地区经济发展的重大政策，协调推进重大项目建设，促进经济社会持续、稳定、协调发展。</w:t>
      </w:r>
    </w:p>
    <w:p w14:paraId="1E5D4559">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15.指导、协调并综合管理全区招标投标工作，按照职责权限对国家、省和市重大建设项目建设过程中的工程招标投标活动实施监督检查。</w:t>
      </w:r>
    </w:p>
    <w:p w14:paraId="517A16B9">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16.负责组织编制全区国民经济动员与装备动员规划、计划，研究国民经济动员与装备动员和国民经济、国防建设的关系，协调相关重大问题，组织实施国民经济动员与装备动员有关工作。</w:t>
      </w:r>
    </w:p>
    <w:p w14:paraId="177244A5">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17.负责粮食流通的行业监督管理；起草全区粮食流通和储备粮管理的政策规定，制定粮食流通、库存监督检查等相关管理制度；监督检查粮食流通法律法规、政策制度的执行情况；负责区级储备粮和其他政策性粮食的库存数量、质量、技术规范执行情况的监督检查；协助在我区的中央储备粮、省级储备粮及国家其他政策性临时储存粮食管理的监督检查工作；承担全区粮食预警监测，粮食质量安全检验监测体系建设；承担粮食行政执法、依法行政、行政诉讼应诉工作；承担全区粮食库存检查工作；监督粮食购销活动；承担粮食安全首长责任制考核日常工作。</w:t>
      </w:r>
    </w:p>
    <w:p w14:paraId="7E0B6A33">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18.承担区创新政府投融资体制和项目融资工作领导小组、区实施西部大开发领导小组、区低碳发展领导小组、区经济动员领导小组的具体工作。</w:t>
      </w:r>
    </w:p>
    <w:p w14:paraId="3867DA35">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19.承办区政府公布的有关行政审批事项。</w:t>
      </w:r>
    </w:p>
    <w:p w14:paraId="69D0E6A1">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20.承办区政府交办的其他事项。</w:t>
      </w:r>
    </w:p>
    <w:p w14:paraId="73BCC416">
      <w:pPr>
        <w:spacing w:line="576" w:lineRule="exact"/>
        <w:ind w:firstLine="643" w:firstLineChars="200"/>
        <w:outlineLvl w:val="1"/>
        <w:rPr>
          <w:rFonts w:ascii="楷体_GB2312" w:hAnsi="Times New Roman" w:eastAsia="楷体_GB2312" w:cs="Times New Roman"/>
          <w:b/>
          <w:sz w:val="32"/>
          <w:szCs w:val="32"/>
        </w:rPr>
      </w:pPr>
      <w:r>
        <w:rPr>
          <w:rFonts w:ascii="楷体_GB2312" w:hAnsi="Times New Roman" w:eastAsia="楷体_GB2312" w:cs="Times New Roman"/>
          <w:b/>
          <w:sz w:val="32"/>
          <w:szCs w:val="32"/>
        </w:rPr>
        <w:t>（二）发改局2021年工作要点</w:t>
      </w:r>
    </w:p>
    <w:p w14:paraId="140008E9">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1.全面落实重点工作任务，推动融入成渝地区双城经济圈建设取得实效。</w:t>
      </w:r>
    </w:p>
    <w:p w14:paraId="76BA69C1">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2.全力做好项目投资“大比武”工作。坚持将项目投资作为经济建设的最大主引擎，奋战经济建设“主战场”，2021年全区全社会固定资产投资将突破70亿元，力争达到75亿元以上，增速力争进入全市前三位。</w:t>
      </w:r>
    </w:p>
    <w:p w14:paraId="496AB638">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3.强力推进重点项目建设，确保2021年省市重点项目完成投资43亿元以上。</w:t>
      </w:r>
    </w:p>
    <w:p w14:paraId="6F31410C">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4.加快经济制度改革步伐。纵深推进经济体制改革，持续抓好已出台方案的落地落实。</w:t>
      </w:r>
    </w:p>
    <w:p w14:paraId="76837442">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5.提升政务服务效能，营造良好营商环境。加大对项目审批、重点项目建设、政府失信等领域的整治力度，将营商环境中存在的不作为、慢作为等行为报区纪委监委备案，切实督导营商环境工作的落实。</w:t>
      </w:r>
    </w:p>
    <w:p w14:paraId="0743DBFE">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6.扎实抓好价格监管，构筑民生保障体系。继续坚持“快速、准确、创新、高效”八字工作法，继续夯实启动、督促民政、人社、教育、退役军人等部门足额发放价格临时补贴，保障低收入群体基本生活。</w:t>
      </w:r>
    </w:p>
    <w:p w14:paraId="3238EFB7">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7.加大后续扶持，持续抓好搬迁群众后续产业就业帮扶，确保脱贫攻坚巩固期和全面推进乡村振兴有效衔接过渡期政策扶持力度不减。</w:t>
      </w:r>
    </w:p>
    <w:p w14:paraId="20D9216A">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8.全力聚焦乡村振兴、巩固脱贫攻坚成效，高质量、高标准完成东西部扶贫协作年度任务。坚持规划引领，坚持优势互补、促进共同发展，努力把龙泉人才资源、资金资源、管理资源，内化为昭化发展动力。</w:t>
      </w:r>
    </w:p>
    <w:p w14:paraId="30ACE567">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9.全力做好驻村帮扶工作，制定帮扶计划和措施，发展集体经济，促进产业，完善软件资料，全面查找问题，做好整改。及时做好职工职级晋升、档案管理、人员招引等工作。</w:t>
      </w:r>
    </w:p>
    <w:p w14:paraId="365A5D74">
      <w:pPr>
        <w:spacing w:line="576" w:lineRule="exact"/>
        <w:ind w:firstLine="640" w:firstLineChars="200"/>
        <w:outlineLvl w:val="0"/>
        <w:rPr>
          <w:rFonts w:ascii="Times New Roman" w:hAnsi="Times New Roman" w:eastAsia="黑体" w:cs="Times New Roman"/>
          <w:sz w:val="32"/>
          <w:szCs w:val="32"/>
        </w:rPr>
      </w:pPr>
      <w:bookmarkStart w:id="4" w:name="_Toc125"/>
      <w:r>
        <w:rPr>
          <w:rFonts w:ascii="Times New Roman" w:hAnsi="黑体" w:eastAsia="黑体" w:cs="Times New Roman"/>
          <w:sz w:val="32"/>
          <w:szCs w:val="32"/>
        </w:rPr>
        <w:t>二、人员编制情况</w:t>
      </w:r>
      <w:bookmarkEnd w:id="4"/>
    </w:p>
    <w:p w14:paraId="1498AF29">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区发展和改革局共有编制32名，其中：行政编制12人，其他事业编制人19人，工勤编制1人。在职人员总数33人，其中：行政人员12人，其他事业人员15人,工勤人员6人。按财政供给率分，均为财政全额供给。退休人员24人。固定资产总额141.4万元。</w:t>
      </w:r>
    </w:p>
    <w:p w14:paraId="73D722B0">
      <w:pPr>
        <w:spacing w:line="576" w:lineRule="exact"/>
        <w:ind w:firstLine="640" w:firstLineChars="200"/>
        <w:outlineLvl w:val="9"/>
        <w:rPr>
          <w:rFonts w:ascii="Times New Roman" w:hAnsi="黑体" w:eastAsia="黑体" w:cs="Times New Roman"/>
          <w:sz w:val="32"/>
          <w:szCs w:val="32"/>
        </w:rPr>
      </w:pPr>
    </w:p>
    <w:p w14:paraId="16325677">
      <w:pPr>
        <w:spacing w:line="576" w:lineRule="exact"/>
        <w:ind w:firstLine="640" w:firstLineChars="200"/>
        <w:outlineLvl w:val="0"/>
        <w:rPr>
          <w:rFonts w:ascii="Times New Roman" w:hAnsi="Times New Roman" w:eastAsia="黑体" w:cs="Times New Roman"/>
          <w:sz w:val="32"/>
          <w:szCs w:val="32"/>
        </w:rPr>
      </w:pPr>
      <w:bookmarkStart w:id="5" w:name="_Toc27404"/>
      <w:r>
        <w:rPr>
          <w:rFonts w:ascii="Times New Roman" w:hAnsi="黑体" w:eastAsia="黑体" w:cs="Times New Roman"/>
          <w:sz w:val="32"/>
          <w:szCs w:val="32"/>
        </w:rPr>
        <w:t>三、收支预算情况说明</w:t>
      </w:r>
      <w:bookmarkEnd w:id="5"/>
    </w:p>
    <w:p w14:paraId="62095B93">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按照综合预算的原则，发改局所有收入和支出均纳入部门预算管理。收入包括：一般公共预算拨款收入；支出包括：行政支出和项目支出。发改局2021年收支总预算750.26万元,比2020年收支预算总数减少249.37万元，主要原因是2021年部门预算减少了预下达项目及人员支出预算。</w:t>
      </w:r>
    </w:p>
    <w:p w14:paraId="5409A368">
      <w:pPr>
        <w:spacing w:line="576" w:lineRule="exact"/>
        <w:ind w:firstLine="643" w:firstLineChars="200"/>
        <w:outlineLvl w:val="1"/>
        <w:rPr>
          <w:rFonts w:ascii="楷体_GB2312" w:hAnsi="Times New Roman" w:eastAsia="楷体_GB2312" w:cs="Times New Roman"/>
          <w:b/>
          <w:sz w:val="32"/>
          <w:szCs w:val="32"/>
        </w:rPr>
      </w:pPr>
      <w:r>
        <w:rPr>
          <w:rFonts w:ascii="楷体_GB2312" w:hAnsi="Times New Roman" w:eastAsia="楷体_GB2312" w:cs="Times New Roman"/>
          <w:b/>
          <w:sz w:val="32"/>
          <w:szCs w:val="32"/>
        </w:rPr>
        <w:t>（一）收入预算情况</w:t>
      </w:r>
    </w:p>
    <w:p w14:paraId="6727E7AD">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发改局2021年收入预算750.26万元，其中：一般公共预算拨款收入750.26万元，占100%。</w:t>
      </w:r>
    </w:p>
    <w:p w14:paraId="0BED06D0">
      <w:pPr>
        <w:spacing w:line="576" w:lineRule="exact"/>
        <w:ind w:firstLine="643" w:firstLineChars="200"/>
        <w:outlineLvl w:val="1"/>
        <w:rPr>
          <w:rFonts w:ascii="楷体_GB2312" w:hAnsi="Times New Roman" w:eastAsia="楷体_GB2312" w:cs="Times New Roman"/>
          <w:b/>
          <w:sz w:val="32"/>
          <w:szCs w:val="32"/>
        </w:rPr>
      </w:pPr>
      <w:r>
        <w:rPr>
          <w:rFonts w:ascii="楷体_GB2312" w:hAnsi="Times New Roman" w:eastAsia="楷体_GB2312" w:cs="Times New Roman"/>
          <w:b/>
          <w:sz w:val="32"/>
          <w:szCs w:val="32"/>
        </w:rPr>
        <w:t>（二）支出预算情况</w:t>
      </w:r>
    </w:p>
    <w:p w14:paraId="61361E0C">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发改局2021年支出预算750.26万元，其中：基本支出650.41万元，占86.69%；项目支出99.85万元，占13.31%。</w:t>
      </w:r>
    </w:p>
    <w:p w14:paraId="31F11021">
      <w:pPr>
        <w:spacing w:line="576" w:lineRule="exact"/>
        <w:ind w:firstLine="640" w:firstLineChars="200"/>
        <w:outlineLvl w:val="0"/>
        <w:rPr>
          <w:rFonts w:ascii="Times New Roman" w:hAnsi="Times New Roman" w:eastAsia="黑体" w:cs="Times New Roman"/>
          <w:sz w:val="32"/>
          <w:szCs w:val="32"/>
        </w:rPr>
      </w:pPr>
      <w:bookmarkStart w:id="6" w:name="_Toc28951"/>
      <w:r>
        <w:rPr>
          <w:rFonts w:ascii="Times New Roman" w:hAnsi="黑体" w:eastAsia="黑体" w:cs="Times New Roman"/>
          <w:sz w:val="32"/>
          <w:szCs w:val="32"/>
        </w:rPr>
        <w:t>四、财政拨款收支预算情况说明</w:t>
      </w:r>
      <w:bookmarkEnd w:id="6"/>
    </w:p>
    <w:p w14:paraId="48868E08">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昭化区发展和改革局2021年财政拨款收支总预算750.26万元,比2020年财政拨款收支总预算减少249.38万元，2021年部门预算中项目资金、人员经费预算减少249.38万元（其中项目前期工作经费减少200万元，人员人头经费49.38万元，收入为本年一般公共预算拨款收入750.26万元，社会保障和就业支出36.52万元、医疗卫生与计划生育支出20.93万元、住房保障支出37.35万元。</w:t>
      </w:r>
    </w:p>
    <w:p w14:paraId="538DFCBB">
      <w:pPr>
        <w:spacing w:line="576" w:lineRule="exact"/>
        <w:ind w:firstLine="640" w:firstLineChars="200"/>
        <w:outlineLvl w:val="0"/>
        <w:rPr>
          <w:rFonts w:ascii="Times New Roman" w:hAnsi="Times New Roman" w:eastAsia="黑体" w:cs="Times New Roman"/>
          <w:sz w:val="32"/>
          <w:szCs w:val="32"/>
        </w:rPr>
      </w:pPr>
      <w:bookmarkStart w:id="7" w:name="_Toc5375"/>
      <w:r>
        <w:rPr>
          <w:rFonts w:ascii="Times New Roman" w:hAnsi="黑体" w:eastAsia="黑体" w:cs="Times New Roman"/>
          <w:sz w:val="32"/>
          <w:szCs w:val="32"/>
        </w:rPr>
        <w:t>五、一般公共预算当年拨款情况说明</w:t>
      </w:r>
      <w:bookmarkEnd w:id="7"/>
    </w:p>
    <w:p w14:paraId="1D19CF91">
      <w:pPr>
        <w:spacing w:line="576" w:lineRule="exact"/>
        <w:ind w:firstLine="643" w:firstLineChars="200"/>
        <w:outlineLvl w:val="1"/>
        <w:rPr>
          <w:rFonts w:ascii="楷体_GB2312" w:hAnsi="Times New Roman" w:eastAsia="楷体_GB2312" w:cs="Times New Roman"/>
          <w:b/>
          <w:sz w:val="32"/>
          <w:szCs w:val="32"/>
        </w:rPr>
      </w:pPr>
      <w:r>
        <w:rPr>
          <w:rFonts w:ascii="楷体_GB2312" w:hAnsi="Times New Roman" w:eastAsia="楷体_GB2312" w:cs="Times New Roman"/>
          <w:b/>
          <w:sz w:val="32"/>
          <w:szCs w:val="32"/>
        </w:rPr>
        <w:t>（一）一般公共预算当年拨款规模变化情况</w:t>
      </w:r>
    </w:p>
    <w:p w14:paraId="3DCA3497">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昭化区发展和改革局2021年一般公共预算当年拨款750.26万元，比2020年财政拨款收支总预算减少249.38万元，主要原因项目前期工作经费及人员经费减少，2021年部门预算中项目前期工作经费减少预算200万元，人员经费减少49.38万元，（其中减少人员人头经费7万元，医疗保险减少0.95万元、人员工资支出减少31.84万元、住房公积金减少2.17万元、养老保险支出增加减少6.64万元、公务人员车补0.78万元）。</w:t>
      </w:r>
    </w:p>
    <w:p w14:paraId="2E572576">
      <w:pPr>
        <w:spacing w:line="576" w:lineRule="exact"/>
        <w:ind w:firstLine="643" w:firstLineChars="200"/>
        <w:outlineLvl w:val="1"/>
        <w:rPr>
          <w:rFonts w:ascii="楷体_GB2312" w:hAnsi="Times New Roman" w:eastAsia="楷体_GB2312" w:cs="Times New Roman"/>
          <w:b/>
          <w:sz w:val="32"/>
          <w:szCs w:val="32"/>
        </w:rPr>
      </w:pPr>
      <w:r>
        <w:rPr>
          <w:rFonts w:ascii="楷体_GB2312" w:hAnsi="Times New Roman" w:eastAsia="楷体_GB2312" w:cs="Times New Roman"/>
          <w:b/>
          <w:sz w:val="32"/>
          <w:szCs w:val="32"/>
        </w:rPr>
        <w:t>（二）一般公共预算当年拨款结构情况</w:t>
      </w:r>
    </w:p>
    <w:p w14:paraId="049917D0">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一般公共服务支出655.46万元，占87.36%；社会保障和就业支出36.52万元，占4.8%；医疗卫生与计划生育支出20.93万元，占2.78%；住房保障支出37.35万元，占4.97%。</w:t>
      </w:r>
    </w:p>
    <w:p w14:paraId="0BEAEC41">
      <w:pPr>
        <w:spacing w:line="576" w:lineRule="exact"/>
        <w:ind w:firstLine="643" w:firstLineChars="200"/>
        <w:outlineLvl w:val="1"/>
        <w:rPr>
          <w:rFonts w:ascii="楷体_GB2312" w:hAnsi="Times New Roman" w:eastAsia="楷体_GB2312" w:cs="Times New Roman"/>
          <w:b/>
          <w:sz w:val="32"/>
          <w:szCs w:val="32"/>
        </w:rPr>
      </w:pPr>
      <w:r>
        <w:rPr>
          <w:rFonts w:ascii="楷体_GB2312" w:hAnsi="Times New Roman" w:eastAsia="楷体_GB2312" w:cs="Times New Roman"/>
          <w:b/>
          <w:sz w:val="32"/>
          <w:szCs w:val="32"/>
        </w:rPr>
        <w:t>（三）一般公共预算当年拨款具体使用情况</w:t>
      </w:r>
    </w:p>
    <w:p w14:paraId="6D9E6709">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 一般公共服务（类）财政事务（款）行政运行（项）2021年预算数为655.46万元，主要用于：局机关单位正常运转的基本支出，包括基本工资、津贴补贴等人员经费以及办公费、印刷费、水电费等日常公用经费,保障部门正常运转。</w:t>
      </w:r>
    </w:p>
    <w:p w14:paraId="14B33C28">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2.社会保障和就业（类）行政事业单位养老支出（款）机关事业单位基本养老保险缴费支出（项）2021年预算数为36.52万元，主要用于：实施养老保险制度由单位缴纳的基本养老保险费支出。</w:t>
      </w:r>
    </w:p>
    <w:p w14:paraId="41A89D64">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 卫生健康支出（类）行政事业单位医疗（款）行政单位医疗（项）2021年预算数为20.93万元，主要用于：局机关行政事业单位按规定由单位缴纳的基本医疗保险支出。</w:t>
      </w:r>
    </w:p>
    <w:p w14:paraId="70D93173">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4.住房保障（类）住房改革支出（款）住房公积金（项）2021年预算数为37.35万元，主要用于：部门按人力资源和社会保障部、财政部规定的基本工资和津贴补贴以及规定比例为职工缴纳的住房公积金支出。</w:t>
      </w:r>
    </w:p>
    <w:p w14:paraId="14A07569">
      <w:pPr>
        <w:spacing w:line="576" w:lineRule="exact"/>
        <w:ind w:firstLine="640" w:firstLineChars="200"/>
        <w:outlineLvl w:val="0"/>
        <w:rPr>
          <w:rFonts w:ascii="Times New Roman" w:hAnsi="Times New Roman" w:eastAsia="黑体" w:cs="Times New Roman"/>
          <w:sz w:val="32"/>
          <w:szCs w:val="32"/>
        </w:rPr>
      </w:pPr>
      <w:bookmarkStart w:id="8" w:name="_Toc12704"/>
      <w:r>
        <w:rPr>
          <w:rFonts w:ascii="Times New Roman" w:hAnsi="黑体" w:eastAsia="黑体" w:cs="Times New Roman"/>
          <w:sz w:val="32"/>
          <w:szCs w:val="32"/>
        </w:rPr>
        <w:t>六、一般公共预算基本支出情况说明</w:t>
      </w:r>
      <w:bookmarkEnd w:id="8"/>
    </w:p>
    <w:p w14:paraId="2BE9EC36">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昭化区发展和改革局2021年一般公共预算基本支655.46万元，其中：人员经费385.61万元，主要包括：基本工资、津贴补贴、奖金、社会保险缴费、离休费、住房公积金等支出。公用经费269.85万元，主要包括：办公费、水费、电费、邮电费、印刷费、差旅费、维修（护）费、物业管理费、劳务费、会议费、培训费、公务用车运行维护费、接待费、其他交通费等支出。</w:t>
      </w:r>
    </w:p>
    <w:p w14:paraId="0E161FEF">
      <w:pPr>
        <w:spacing w:line="576" w:lineRule="exact"/>
        <w:ind w:firstLine="640" w:firstLineChars="200"/>
        <w:outlineLvl w:val="0"/>
        <w:rPr>
          <w:rFonts w:ascii="Times New Roman" w:hAnsi="Times New Roman" w:eastAsia="黑体" w:cs="Times New Roman"/>
          <w:sz w:val="32"/>
          <w:szCs w:val="32"/>
        </w:rPr>
      </w:pPr>
      <w:bookmarkStart w:id="9" w:name="_Toc866"/>
      <w:r>
        <w:rPr>
          <w:rFonts w:ascii="Times New Roman" w:hAnsi="黑体" w:eastAsia="黑体" w:cs="Times New Roman"/>
          <w:sz w:val="32"/>
          <w:szCs w:val="32"/>
        </w:rPr>
        <w:t>七、</w:t>
      </w:r>
      <w:r>
        <w:rPr>
          <w:rFonts w:ascii="Times New Roman" w:hAnsi="Times New Roman" w:eastAsia="黑体" w:cs="Times New Roman"/>
          <w:sz w:val="32"/>
          <w:szCs w:val="32"/>
        </w:rPr>
        <w:t>“</w:t>
      </w:r>
      <w:r>
        <w:rPr>
          <w:rFonts w:ascii="Times New Roman" w:hAnsi="黑体" w:eastAsia="黑体" w:cs="Times New Roman"/>
          <w:sz w:val="32"/>
          <w:szCs w:val="32"/>
        </w:rPr>
        <w:t>三公</w:t>
      </w:r>
      <w:r>
        <w:rPr>
          <w:rFonts w:ascii="Times New Roman" w:hAnsi="Times New Roman" w:eastAsia="黑体" w:cs="Times New Roman"/>
          <w:sz w:val="32"/>
          <w:szCs w:val="32"/>
        </w:rPr>
        <w:t>”</w:t>
      </w:r>
      <w:r>
        <w:rPr>
          <w:rFonts w:ascii="Times New Roman" w:hAnsi="黑体" w:eastAsia="黑体" w:cs="Times New Roman"/>
          <w:sz w:val="32"/>
          <w:szCs w:val="32"/>
        </w:rPr>
        <w:t>经费财政拨款预算安排情况说明</w:t>
      </w:r>
      <w:bookmarkEnd w:id="9"/>
    </w:p>
    <w:p w14:paraId="3ED1006B">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昭化区发展和改革局2021年“三公”经费财政拨款预算数14.8万元，其中：因公出国（境）经费0万元，公务用车购置及运行维护费0万元。</w:t>
      </w:r>
    </w:p>
    <w:p w14:paraId="60ADBF39">
      <w:pPr>
        <w:spacing w:line="576" w:lineRule="exact"/>
        <w:ind w:firstLine="643" w:firstLineChars="200"/>
        <w:rPr>
          <w:rFonts w:ascii="Times New Roman" w:hAnsi="Times New Roman" w:eastAsia="仿宋_GB2312" w:cs="Times New Roman"/>
          <w:sz w:val="32"/>
          <w:szCs w:val="32"/>
        </w:rPr>
      </w:pPr>
      <w:r>
        <w:rPr>
          <w:rFonts w:ascii="楷体_GB2312" w:hAnsi="Times New Roman" w:eastAsia="楷体_GB2312" w:cs="Times New Roman"/>
          <w:b/>
          <w:sz w:val="32"/>
          <w:szCs w:val="32"/>
        </w:rPr>
        <w:t>（一）因公出国（境）经费2021年预算0万元</w:t>
      </w:r>
      <w:r>
        <w:rPr>
          <w:rFonts w:ascii="楷体_GB2312" w:hAnsi="Times New Roman" w:eastAsia="楷体_GB2312" w:cs="Times New Roman"/>
          <w:b/>
          <w:sz w:val="32"/>
          <w:szCs w:val="32"/>
          <w:lang w:val="en-US"/>
        </w:rPr>
        <w:t>，与2020年预算持平</w:t>
      </w:r>
      <w:r>
        <w:rPr>
          <w:rFonts w:ascii="Times New Roman" w:hAnsi="Times New Roman" w:eastAsia="仿宋_GB2312" w:cs="Times New Roman"/>
          <w:sz w:val="32"/>
          <w:szCs w:val="32"/>
        </w:rPr>
        <w:t>。主要原因是按照党中央、国务院关于过“紧日子”和坚持厉行节约反对浪费的要求，进一步减少因公出国（境）任务。</w:t>
      </w:r>
    </w:p>
    <w:p w14:paraId="188ACFB5">
      <w:pPr>
        <w:spacing w:line="576" w:lineRule="exact"/>
        <w:ind w:firstLine="643" w:firstLineChars="200"/>
        <w:rPr>
          <w:rFonts w:ascii="Times New Roman" w:hAnsi="Times New Roman" w:eastAsia="仿宋_GB2312" w:cs="Times New Roman"/>
          <w:sz w:val="32"/>
          <w:szCs w:val="32"/>
        </w:rPr>
      </w:pPr>
      <w:r>
        <w:rPr>
          <w:rFonts w:ascii="楷体_GB2312" w:hAnsi="Times New Roman" w:eastAsia="楷体_GB2312" w:cs="Times New Roman"/>
          <w:b/>
          <w:sz w:val="32"/>
          <w:szCs w:val="32"/>
        </w:rPr>
        <w:t>（二）公务接待费</w:t>
      </w:r>
      <w:r>
        <w:rPr>
          <w:rFonts w:ascii="楷体_GB2312" w:hAnsi="Times New Roman" w:eastAsia="楷体_GB2312" w:cs="Times New Roman"/>
          <w:b/>
          <w:sz w:val="32"/>
          <w:szCs w:val="32"/>
          <w:lang w:val="en-US"/>
        </w:rPr>
        <w:t>2021年预算14.8万元，</w:t>
      </w:r>
      <w:r>
        <w:rPr>
          <w:rFonts w:ascii="楷体_GB2312" w:hAnsi="Times New Roman" w:eastAsia="楷体_GB2312" w:cs="Times New Roman"/>
          <w:b/>
          <w:sz w:val="32"/>
          <w:szCs w:val="32"/>
        </w:rPr>
        <w:t>较2020年预算减少</w:t>
      </w:r>
      <w:r>
        <w:rPr>
          <w:rFonts w:ascii="Times New Roman" w:hAnsi="Times New Roman" w:eastAsia="仿宋_GB2312" w:cs="Times New Roman"/>
          <w:sz w:val="32"/>
          <w:szCs w:val="32"/>
        </w:rPr>
        <w:t>。主要原因是</w:t>
      </w:r>
      <w:r>
        <w:rPr>
          <w:rFonts w:ascii="Times New Roman" w:hAnsi="Times New Roman" w:eastAsia="仿宋_GB2312" w:cs="Times New Roman"/>
          <w:sz w:val="32"/>
          <w:szCs w:val="32"/>
          <w:lang w:val="en-US"/>
        </w:rPr>
        <w:t>按照党中央、国务院关于过”紧日子”和坚持厉行节约反对浪费的要求，</w:t>
      </w:r>
      <w:r>
        <w:rPr>
          <w:rFonts w:ascii="Times New Roman" w:hAnsi="Times New Roman" w:eastAsia="仿宋_GB2312" w:cs="Times New Roman"/>
          <w:sz w:val="32"/>
          <w:szCs w:val="32"/>
        </w:rPr>
        <w:t>接待任务减少，减少预算安排。</w:t>
      </w:r>
    </w:p>
    <w:p w14:paraId="58258281">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2021年公务接待费计划用于执行接待考察调研、检查指导等公务活动开支的交通费、住宿费、用餐费等。</w:t>
      </w:r>
    </w:p>
    <w:p w14:paraId="7A1E9E7D">
      <w:pPr>
        <w:spacing w:line="576" w:lineRule="exact"/>
        <w:ind w:firstLine="643" w:firstLineChars="200"/>
        <w:outlineLvl w:val="1"/>
        <w:rPr>
          <w:rFonts w:ascii="Times New Roman" w:hAnsi="Times New Roman" w:eastAsia="仿宋_GB2312" w:cs="Times New Roman"/>
          <w:sz w:val="32"/>
          <w:szCs w:val="32"/>
        </w:rPr>
      </w:pPr>
      <w:r>
        <w:rPr>
          <w:rFonts w:ascii="楷体_GB2312" w:hAnsi="Times New Roman" w:eastAsia="楷体_GB2312" w:cs="Times New Roman"/>
          <w:b/>
          <w:sz w:val="32"/>
          <w:szCs w:val="32"/>
        </w:rPr>
        <w:t>（三）公务用车购置及运行维护费202</w:t>
      </w:r>
      <w:r>
        <w:rPr>
          <w:rFonts w:ascii="楷体_GB2312" w:hAnsi="Times New Roman" w:eastAsia="楷体_GB2312" w:cs="Times New Roman"/>
          <w:b/>
          <w:sz w:val="32"/>
          <w:szCs w:val="32"/>
          <w:lang w:val="en-US"/>
        </w:rPr>
        <w:t>1</w:t>
      </w:r>
      <w:r>
        <w:rPr>
          <w:rFonts w:ascii="楷体_GB2312" w:hAnsi="Times New Roman" w:eastAsia="楷体_GB2312" w:cs="Times New Roman"/>
          <w:b/>
          <w:sz w:val="32"/>
          <w:szCs w:val="32"/>
        </w:rPr>
        <w:t>年预算0万元</w:t>
      </w:r>
      <w:r>
        <w:rPr>
          <w:rFonts w:ascii="楷体_GB2312" w:hAnsi="Times New Roman" w:eastAsia="楷体_GB2312" w:cs="Times New Roman"/>
          <w:b/>
          <w:sz w:val="32"/>
          <w:szCs w:val="32"/>
          <w:lang w:val="en-US"/>
        </w:rPr>
        <w:t>，与2020年预算持平</w:t>
      </w:r>
      <w:r>
        <w:rPr>
          <w:rFonts w:ascii="楷体_GB2312" w:hAnsi="Times New Roman" w:eastAsia="楷体_GB2312" w:cs="Times New Roman"/>
          <w:b/>
          <w:sz w:val="32"/>
          <w:szCs w:val="32"/>
        </w:rPr>
        <w:t>。</w:t>
      </w:r>
      <w:r>
        <w:rPr>
          <w:rFonts w:ascii="Times New Roman" w:hAnsi="Times New Roman" w:eastAsia="仿宋_GB2312" w:cs="Times New Roman"/>
          <w:sz w:val="32"/>
          <w:szCs w:val="32"/>
          <w:lang w:val="en-US"/>
        </w:rPr>
        <w:t>原因是昭化区一般公务用车编制统一收归于区机关事务管理中心，昭化区发展和改革局也无特种车辆编制。</w:t>
      </w:r>
    </w:p>
    <w:p w14:paraId="7F5D3A7D">
      <w:pPr>
        <w:spacing w:line="576" w:lineRule="exact"/>
        <w:ind w:firstLine="640" w:firstLineChars="200"/>
        <w:outlineLvl w:val="0"/>
        <w:rPr>
          <w:rFonts w:ascii="Times New Roman" w:hAnsi="黑体" w:eastAsia="黑体" w:cs="Times New Roman"/>
          <w:sz w:val="32"/>
          <w:szCs w:val="32"/>
        </w:rPr>
      </w:pPr>
      <w:bookmarkStart w:id="10" w:name="_Toc5402"/>
      <w:r>
        <w:rPr>
          <w:rFonts w:ascii="Times New Roman" w:hAnsi="黑体" w:eastAsia="黑体" w:cs="Times New Roman"/>
          <w:sz w:val="32"/>
          <w:szCs w:val="32"/>
        </w:rPr>
        <w:t>八、政府性基金预算支出情况说明</w:t>
      </w:r>
      <w:bookmarkEnd w:id="10"/>
    </w:p>
    <w:p w14:paraId="7A1495A9">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昭化区发展和改革局2021年没有使用政府性基金预算拨款安排的支出。</w:t>
      </w:r>
      <w:r>
        <w:rPr>
          <w:rFonts w:hint="eastAsia" w:ascii="Times New Roman" w:hAnsi="Times New Roman" w:eastAsia="仿宋_GB2312" w:cs="Times New Roman"/>
          <w:sz w:val="32"/>
          <w:szCs w:val="32"/>
        </w:rPr>
        <w:t>2021年本单位未在政府性基金预算拨款安排</w:t>
      </w:r>
      <w:r>
        <w:rPr>
          <w:rFonts w:hint="eastAsia" w:ascii="Times New Roman" w:hAnsi="Times New Roman" w:eastAsia="仿宋_GB2312" w:cs="Times New Roman"/>
          <w:sz w:val="32"/>
          <w:szCs w:val="32"/>
          <w:lang w:eastAsia="zh-CN"/>
        </w:rPr>
        <w:t>“三公”经费</w:t>
      </w:r>
      <w:r>
        <w:rPr>
          <w:rFonts w:hint="eastAsia" w:ascii="Times New Roman" w:hAnsi="Times New Roman" w:eastAsia="仿宋_GB2312" w:cs="Times New Roman"/>
          <w:sz w:val="32"/>
          <w:szCs w:val="32"/>
        </w:rPr>
        <w:t>支出。</w:t>
      </w:r>
    </w:p>
    <w:p w14:paraId="28A31AA6">
      <w:pPr>
        <w:spacing w:line="576" w:lineRule="exact"/>
        <w:ind w:firstLine="640" w:firstLineChars="200"/>
        <w:outlineLvl w:val="0"/>
        <w:rPr>
          <w:rFonts w:ascii="Times New Roman" w:hAnsi="黑体" w:eastAsia="黑体" w:cs="Times New Roman"/>
          <w:sz w:val="32"/>
          <w:szCs w:val="32"/>
        </w:rPr>
      </w:pPr>
      <w:bookmarkStart w:id="11" w:name="_Toc4397"/>
      <w:r>
        <w:rPr>
          <w:rFonts w:ascii="Times New Roman" w:hAnsi="黑体" w:eastAsia="黑体" w:cs="Times New Roman"/>
          <w:sz w:val="32"/>
          <w:szCs w:val="32"/>
        </w:rPr>
        <w:t>九、国有资本经营预算支出情况说明</w:t>
      </w:r>
      <w:bookmarkEnd w:id="11"/>
    </w:p>
    <w:p w14:paraId="4001D8B4">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昭化区发展和改革局2021年没有使用国有资本经营预算拨款安排的支出。</w:t>
      </w:r>
    </w:p>
    <w:p w14:paraId="57B6FE42">
      <w:pPr>
        <w:spacing w:line="576" w:lineRule="exact"/>
        <w:ind w:firstLine="640" w:firstLineChars="200"/>
        <w:outlineLvl w:val="0"/>
        <w:rPr>
          <w:rFonts w:ascii="Times New Roman" w:hAnsi="Times New Roman" w:eastAsia="黑体" w:cs="Times New Roman"/>
          <w:sz w:val="32"/>
          <w:szCs w:val="32"/>
        </w:rPr>
      </w:pPr>
      <w:bookmarkStart w:id="12" w:name="_Toc30382"/>
      <w:r>
        <w:rPr>
          <w:rFonts w:ascii="Times New Roman" w:hAnsi="黑体" w:eastAsia="黑体" w:cs="Times New Roman"/>
          <w:sz w:val="32"/>
          <w:szCs w:val="32"/>
        </w:rPr>
        <w:t>十、其他重要事项的情况说明</w:t>
      </w:r>
      <w:bookmarkEnd w:id="12"/>
    </w:p>
    <w:p w14:paraId="3C31FF85">
      <w:pPr>
        <w:spacing w:line="576" w:lineRule="exact"/>
        <w:ind w:firstLine="643" w:firstLineChars="200"/>
        <w:outlineLvl w:val="1"/>
        <w:rPr>
          <w:rFonts w:ascii="楷体_GB2312" w:hAnsi="Times New Roman" w:eastAsia="楷体_GB2312" w:cs="Times New Roman"/>
          <w:b/>
          <w:sz w:val="32"/>
          <w:szCs w:val="32"/>
        </w:rPr>
      </w:pPr>
      <w:r>
        <w:rPr>
          <w:rFonts w:ascii="楷体_GB2312" w:hAnsi="Times New Roman" w:eastAsia="楷体_GB2312" w:cs="Times New Roman"/>
          <w:b/>
          <w:sz w:val="32"/>
          <w:szCs w:val="32"/>
        </w:rPr>
        <w:t>（一）机关运行经费</w:t>
      </w:r>
    </w:p>
    <w:p w14:paraId="03B35B81">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2021年，机关运行经费财政拨款预算为655.46万元，比2020年预算同口径减少249.38万元，减少24.95%。主要原因是项目前期工作经费及人员经费减少。</w:t>
      </w:r>
    </w:p>
    <w:p w14:paraId="32FC77DE">
      <w:pPr>
        <w:spacing w:line="576" w:lineRule="exact"/>
        <w:ind w:firstLine="643" w:firstLineChars="200"/>
        <w:outlineLvl w:val="1"/>
        <w:rPr>
          <w:rFonts w:ascii="楷体_GB2312" w:hAnsi="Times New Roman" w:eastAsia="楷体_GB2312" w:cs="Times New Roman"/>
          <w:b/>
          <w:sz w:val="32"/>
          <w:szCs w:val="32"/>
        </w:rPr>
      </w:pPr>
      <w:r>
        <w:rPr>
          <w:rFonts w:ascii="楷体_GB2312" w:hAnsi="Times New Roman" w:eastAsia="楷体_GB2312" w:cs="Times New Roman"/>
          <w:b/>
          <w:sz w:val="32"/>
          <w:szCs w:val="32"/>
        </w:rPr>
        <w:t>（二）项目资金预算</w:t>
      </w:r>
    </w:p>
    <w:p w14:paraId="54268097">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财政拨款项目收支总预算99.85万元,比2020年财政拨款收支总预算减少200万元（其中项目前期工作经费减少200万元）。</w:t>
      </w:r>
    </w:p>
    <w:p w14:paraId="4EE2A132">
      <w:pPr>
        <w:spacing w:line="576" w:lineRule="exact"/>
        <w:ind w:firstLine="643" w:firstLineChars="200"/>
        <w:outlineLvl w:val="1"/>
        <w:rPr>
          <w:rFonts w:ascii="楷体_GB2312" w:hAnsi="Times New Roman" w:eastAsia="楷体_GB2312" w:cs="Times New Roman"/>
          <w:b/>
          <w:sz w:val="32"/>
          <w:szCs w:val="32"/>
        </w:rPr>
      </w:pPr>
      <w:r>
        <w:rPr>
          <w:rFonts w:ascii="楷体_GB2312" w:hAnsi="Times New Roman" w:eastAsia="楷体_GB2312" w:cs="Times New Roman"/>
          <w:b/>
          <w:sz w:val="32"/>
          <w:szCs w:val="32"/>
        </w:rPr>
        <w:t>（三）政府采购情况</w:t>
      </w:r>
    </w:p>
    <w:p w14:paraId="750BEFA0">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2021年，昭化区发展和改革局未安排政府采购预算。</w:t>
      </w:r>
    </w:p>
    <w:p w14:paraId="674BDDD6">
      <w:pPr>
        <w:spacing w:line="576" w:lineRule="exact"/>
        <w:ind w:firstLine="643" w:firstLineChars="200"/>
        <w:outlineLvl w:val="1"/>
        <w:rPr>
          <w:rFonts w:ascii="楷体_GB2312" w:hAnsi="Times New Roman" w:eastAsia="楷体_GB2312" w:cs="Times New Roman"/>
          <w:b/>
          <w:sz w:val="32"/>
          <w:szCs w:val="32"/>
        </w:rPr>
      </w:pPr>
      <w:r>
        <w:rPr>
          <w:rFonts w:ascii="楷体_GB2312" w:hAnsi="Times New Roman" w:eastAsia="楷体_GB2312" w:cs="Times New Roman"/>
          <w:b/>
          <w:sz w:val="32"/>
          <w:szCs w:val="32"/>
        </w:rPr>
        <w:t>（四）国有资产占有使用情况</w:t>
      </w:r>
    </w:p>
    <w:p w14:paraId="57242A18">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截至20</w:t>
      </w: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年底，昭化区发展和改革局未配公务用车。</w:t>
      </w:r>
    </w:p>
    <w:p w14:paraId="2EB0675B">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2020年部门预算未安排购置车辆及单位价值200万元以上大型设备。</w:t>
      </w:r>
    </w:p>
    <w:p w14:paraId="0E877678">
      <w:pPr>
        <w:spacing w:line="576" w:lineRule="exact"/>
        <w:ind w:firstLine="643" w:firstLineChars="200"/>
        <w:outlineLvl w:val="1"/>
        <w:rPr>
          <w:rFonts w:ascii="楷体_GB2312" w:hAnsi="Times New Roman" w:eastAsia="楷体_GB2312" w:cs="Times New Roman"/>
          <w:b/>
          <w:sz w:val="32"/>
          <w:szCs w:val="32"/>
        </w:rPr>
      </w:pPr>
      <w:r>
        <w:rPr>
          <w:rFonts w:ascii="楷体_GB2312" w:hAnsi="Times New Roman" w:eastAsia="楷体_GB2312" w:cs="Times New Roman"/>
          <w:b/>
          <w:sz w:val="32"/>
          <w:szCs w:val="32"/>
        </w:rPr>
        <w:t>（五）绩效目标设置情况</w:t>
      </w:r>
    </w:p>
    <w:p w14:paraId="2297748B">
      <w:pPr>
        <w:spacing w:line="576" w:lineRule="exact"/>
        <w:ind w:firstLine="640" w:firstLineChars="200"/>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绩效目标是预算编制的前提和基础，按照“费随事定”的原则，2021年昭化区发展和改革局对项目前期工作经费、争取资金工作经费、区重点项目工作经费、招商引资工作经费、区级粮油储备费用及利息等项目按要求编制了绩效目标,从项目完成、项目效益、满意度等方面设置了绩效指标，综合反映项目预期完成的数量、成本、时效、质量，预期达到的社会效益、经济效益、生态效益、可持续影响以及服务对象满意度等情况。</w:t>
      </w:r>
      <w:r>
        <w:rPr>
          <w:rFonts w:hint="eastAsia" w:ascii="Times New Roman" w:hAnsi="Times New Roman" w:eastAsia="仿宋_GB2312" w:cs="Times New Roman"/>
          <w:sz w:val="32"/>
          <w:szCs w:val="32"/>
          <w:lang w:val="en-US" w:eastAsia="zh-CN"/>
        </w:rPr>
        <w:t>其中区重点项目工作经费全年需争取完成53个省市区重点项目，投资额达到60亿元以上，计划完成新开工项目建设，且续建项目工程形象进度达到全市平均水平以上，工作经费严格控制在成本7.35万元内。项目建设后，将带动建筑业、运输业等各行业发展，增加就业岗位，同时带动群众增收和财政增税；不断提高基础设施承载能力，不断改善区域生态环境状况，健全区域产业体系，逐步改善人民群众生产生活环境和水平，使得群众满意度高于95%。</w:t>
      </w:r>
    </w:p>
    <w:p w14:paraId="2175831E">
      <w:pPr>
        <w:spacing w:line="576" w:lineRule="exact"/>
        <w:ind w:firstLine="640" w:firstLineChars="200"/>
        <w:outlineLvl w:val="0"/>
        <w:rPr>
          <w:rFonts w:ascii="Times New Roman" w:hAnsi="Times New Roman" w:eastAsia="黑体" w:cs="Times New Roman"/>
          <w:sz w:val="32"/>
          <w:szCs w:val="32"/>
        </w:rPr>
      </w:pPr>
      <w:bookmarkStart w:id="13" w:name="_Toc12460"/>
      <w:r>
        <w:rPr>
          <w:rFonts w:ascii="Times New Roman" w:hAnsi="黑体" w:eastAsia="黑体" w:cs="Times New Roman"/>
          <w:sz w:val="32"/>
          <w:szCs w:val="32"/>
        </w:rPr>
        <w:t>十一、名词解释</w:t>
      </w:r>
      <w:bookmarkEnd w:id="13"/>
    </w:p>
    <w:p w14:paraId="23559E03">
      <w:pPr>
        <w:spacing w:line="576" w:lineRule="exact"/>
        <w:ind w:firstLine="643" w:firstLineChars="200"/>
        <w:outlineLvl w:val="1"/>
        <w:rPr>
          <w:rFonts w:ascii="Times New Roman" w:hAnsi="Times New Roman" w:eastAsia="仿宋_GB2312" w:cs="Times New Roman"/>
          <w:sz w:val="32"/>
          <w:szCs w:val="32"/>
        </w:rPr>
      </w:pPr>
      <w:r>
        <w:rPr>
          <w:rFonts w:ascii="楷体_GB2312" w:hAnsi="Times New Roman" w:eastAsia="楷体_GB2312" w:cs="Times New Roman"/>
          <w:b/>
          <w:sz w:val="32"/>
          <w:szCs w:val="32"/>
        </w:rPr>
        <w:t>（一）一般公共预算拨款收入</w:t>
      </w:r>
      <w:r>
        <w:rPr>
          <w:rFonts w:ascii="Times New Roman" w:hAnsi="Times New Roman" w:eastAsia="仿宋_GB2312" w:cs="Times New Roman"/>
          <w:sz w:val="32"/>
          <w:szCs w:val="32"/>
        </w:rPr>
        <w:t>：指区级财政当年拨付的资金。</w:t>
      </w:r>
    </w:p>
    <w:p w14:paraId="608F6A90">
      <w:pPr>
        <w:spacing w:line="576" w:lineRule="exact"/>
        <w:ind w:firstLine="643" w:firstLineChars="200"/>
        <w:rPr>
          <w:rFonts w:ascii="Times New Roman" w:hAnsi="Times New Roman" w:eastAsia="仿宋_GB2312" w:cs="Times New Roman"/>
          <w:sz w:val="32"/>
          <w:szCs w:val="32"/>
        </w:rPr>
      </w:pPr>
      <w:r>
        <w:rPr>
          <w:rFonts w:ascii="楷体_GB2312" w:hAnsi="Times New Roman" w:eastAsia="楷体_GB2312" w:cs="Times New Roman"/>
          <w:b/>
          <w:sz w:val="32"/>
          <w:szCs w:val="32"/>
        </w:rPr>
        <w:t>（二）社会保障和就业（类）行政事业单位养老支出（款）机关行政事业单位基本养老保险缴费支出（项）：</w:t>
      </w:r>
      <w:r>
        <w:rPr>
          <w:rFonts w:ascii="Times New Roman" w:hAnsi="Times New Roman" w:eastAsia="仿宋_GB2312" w:cs="Times New Roman"/>
          <w:sz w:val="32"/>
          <w:szCs w:val="32"/>
        </w:rPr>
        <w:t>指部门实施养老保险制度由单位缴纳的养老保险费。</w:t>
      </w:r>
    </w:p>
    <w:p w14:paraId="4EC78537">
      <w:pPr>
        <w:spacing w:line="576" w:lineRule="exact"/>
        <w:ind w:firstLine="643" w:firstLineChars="200"/>
        <w:rPr>
          <w:rFonts w:ascii="Times New Roman" w:hAnsi="Times New Roman" w:eastAsia="仿宋_GB2312" w:cs="Times New Roman"/>
          <w:sz w:val="32"/>
          <w:szCs w:val="32"/>
        </w:rPr>
      </w:pPr>
      <w:r>
        <w:rPr>
          <w:rFonts w:ascii="楷体_GB2312" w:hAnsi="Times New Roman" w:eastAsia="楷体_GB2312" w:cs="Times New Roman"/>
          <w:b/>
          <w:sz w:val="32"/>
          <w:szCs w:val="32"/>
        </w:rPr>
        <w:t>（三）卫生健康（类）行政事业单位医疗（款）行政单位医疗（项）：</w:t>
      </w:r>
      <w:r>
        <w:rPr>
          <w:rFonts w:ascii="Times New Roman" w:hAnsi="Times New Roman" w:eastAsia="仿宋_GB2312" w:cs="Times New Roman"/>
          <w:sz w:val="32"/>
          <w:szCs w:val="32"/>
        </w:rPr>
        <w:t>指局机关及参公管理事业单位用于单位应缴纳基本医疗保险支出。</w:t>
      </w:r>
    </w:p>
    <w:p w14:paraId="69F7CF38">
      <w:pPr>
        <w:spacing w:line="576" w:lineRule="exact"/>
        <w:ind w:firstLine="643" w:firstLineChars="200"/>
        <w:rPr>
          <w:rFonts w:ascii="Times New Roman" w:hAnsi="Times New Roman" w:eastAsia="仿宋_GB2312" w:cs="Times New Roman"/>
          <w:sz w:val="32"/>
          <w:szCs w:val="32"/>
        </w:rPr>
      </w:pPr>
      <w:r>
        <w:rPr>
          <w:rFonts w:ascii="楷体_GB2312" w:hAnsi="Times New Roman" w:eastAsia="楷体_GB2312" w:cs="Times New Roman"/>
          <w:b/>
          <w:sz w:val="32"/>
          <w:szCs w:val="32"/>
        </w:rPr>
        <w:t>（四）住房保障（类）住房改革支出（款）住房公积金（项）：</w:t>
      </w:r>
      <w:r>
        <w:rPr>
          <w:rFonts w:ascii="Times New Roman" w:hAnsi="Times New Roman" w:eastAsia="仿宋_GB2312" w:cs="Times New Roman"/>
          <w:sz w:val="32"/>
          <w:szCs w:val="32"/>
        </w:rPr>
        <w:t>指按照《住房公积金管理条例》的规定，由单位及其在职职工缴存的长期住房储金。</w:t>
      </w:r>
    </w:p>
    <w:p w14:paraId="635924BE">
      <w:pPr>
        <w:spacing w:line="576" w:lineRule="exact"/>
        <w:ind w:firstLine="643" w:firstLineChars="200"/>
        <w:rPr>
          <w:rFonts w:ascii="Times New Roman" w:hAnsi="Times New Roman" w:eastAsia="仿宋_GB2312" w:cs="Times New Roman"/>
          <w:sz w:val="32"/>
          <w:szCs w:val="32"/>
        </w:rPr>
      </w:pPr>
      <w:r>
        <w:rPr>
          <w:rFonts w:ascii="楷体_GB2312" w:hAnsi="Times New Roman" w:eastAsia="楷体_GB2312" w:cs="Times New Roman"/>
          <w:b/>
          <w:sz w:val="32"/>
          <w:szCs w:val="32"/>
        </w:rPr>
        <w:t>（五）基本支出：</w:t>
      </w:r>
      <w:r>
        <w:rPr>
          <w:rFonts w:ascii="Times New Roman" w:hAnsi="Times New Roman" w:eastAsia="仿宋_GB2312" w:cs="Times New Roman"/>
          <w:sz w:val="32"/>
          <w:szCs w:val="32"/>
        </w:rPr>
        <w:t>指为保证机构正常运转，完成日常工作任务而发生的人员支出和公用支出。</w:t>
      </w:r>
    </w:p>
    <w:p w14:paraId="5D5F889F">
      <w:pPr>
        <w:spacing w:line="576" w:lineRule="exact"/>
        <w:ind w:firstLine="643" w:firstLineChars="200"/>
        <w:rPr>
          <w:rFonts w:ascii="Times New Roman" w:hAnsi="Times New Roman" w:eastAsia="仿宋_GB2312" w:cs="Times New Roman"/>
          <w:sz w:val="32"/>
          <w:szCs w:val="32"/>
        </w:rPr>
      </w:pPr>
      <w:r>
        <w:rPr>
          <w:rFonts w:ascii="楷体_GB2312" w:hAnsi="Times New Roman" w:eastAsia="楷体_GB2312" w:cs="Times New Roman"/>
          <w:b/>
          <w:sz w:val="32"/>
          <w:szCs w:val="32"/>
        </w:rPr>
        <w:t>（六）项目支出：</w:t>
      </w:r>
      <w:r>
        <w:rPr>
          <w:rFonts w:ascii="Times New Roman" w:hAnsi="Times New Roman" w:eastAsia="仿宋_GB2312" w:cs="Times New Roman"/>
          <w:sz w:val="32"/>
          <w:szCs w:val="32"/>
        </w:rPr>
        <w:t>指在基本支出之外为完成特定行政任务和事业发展目标所发生的支出。</w:t>
      </w:r>
    </w:p>
    <w:p w14:paraId="43F42117">
      <w:pPr>
        <w:spacing w:line="576" w:lineRule="exact"/>
        <w:ind w:firstLine="643" w:firstLineChars="200"/>
        <w:rPr>
          <w:rFonts w:ascii="Times New Roman" w:hAnsi="Times New Roman" w:eastAsia="仿宋_GB2312" w:cs="Times New Roman"/>
          <w:sz w:val="32"/>
          <w:szCs w:val="32"/>
        </w:rPr>
      </w:pPr>
      <w:r>
        <w:rPr>
          <w:rFonts w:ascii="楷体_GB2312" w:hAnsi="Times New Roman" w:eastAsia="楷体_GB2312" w:cs="Times New Roman"/>
          <w:b/>
          <w:sz w:val="32"/>
          <w:szCs w:val="32"/>
        </w:rPr>
        <w:t>（七）“三公”经费：</w:t>
      </w:r>
      <w:r>
        <w:rPr>
          <w:rFonts w:ascii="Times New Roman" w:hAnsi="Times New Roman" w:eastAsia="仿宋_GB2312" w:cs="Times New Roman"/>
          <w:sz w:val="32"/>
          <w:szCs w:val="32"/>
        </w:rPr>
        <w:t>纳入财政厅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8586723">
      <w:pPr>
        <w:spacing w:line="576" w:lineRule="exact"/>
        <w:ind w:firstLine="643" w:firstLineChars="200"/>
        <w:rPr>
          <w:rFonts w:ascii="Times New Roman" w:hAnsi="Times New Roman" w:eastAsia="仿宋_GB2312" w:cs="Times New Roman"/>
          <w:sz w:val="32"/>
          <w:szCs w:val="32"/>
        </w:rPr>
      </w:pPr>
      <w:r>
        <w:rPr>
          <w:rFonts w:ascii="楷体_GB2312" w:hAnsi="Times New Roman" w:eastAsia="楷体_GB2312" w:cs="Times New Roman"/>
          <w:b/>
          <w:sz w:val="32"/>
          <w:szCs w:val="32"/>
        </w:rPr>
        <w:t>（八）机关运行经费：</w:t>
      </w:r>
      <w:r>
        <w:rPr>
          <w:rFonts w:ascii="Times New Roman" w:hAnsi="Times New Roman" w:eastAsia="仿宋_GB2312" w:cs="Times New Roman"/>
          <w:sz w:val="32"/>
          <w:szCs w:val="32"/>
        </w:rPr>
        <w:t>为保障行政单位（包括参照公务员法管理的事业单位）运行用于购买货物和服务的各项资金，包括办公及印刷费、邮电费、差旅费、会议费、培训费、福利费、日常维修费、专用材料及一般设备购置费、办公用房水电费、办公用房取暖费、办公用房物业管理费、公务用车运行维护费以及其他费用。</w:t>
      </w:r>
    </w:p>
    <w:sectPr>
      <w:footerReference r:id="rId4" w:type="default"/>
      <w:pgSz w:w="11906" w:h="16838"/>
      <w:pgMar w:top="2098" w:right="1474" w:bottom="1984" w:left="1588" w:header="454" w:footer="1531" w:gutter="0"/>
      <w:pgNumType w:start="1"/>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A9F3B19-3943-4B73-8037-934E15CD46F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02DBE54-6CCF-4D5C-9E83-28ED740A9A39}"/>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3" w:fontKey="{C6E8B0B1-0CA8-47C3-B3B1-48ACE87CFAAB}"/>
  </w:font>
  <w:font w:name="楷体_GB2312">
    <w:panose1 w:val="02010609030101010101"/>
    <w:charset w:val="86"/>
    <w:family w:val="modern"/>
    <w:pitch w:val="default"/>
    <w:sig w:usb0="00000001" w:usb1="080E0000" w:usb2="00000000" w:usb3="00000000" w:csb0="00040000" w:csb1="00000000"/>
    <w:embedRegular r:id="rId4" w:fontKey="{A88628DD-E557-48A8-830D-83C4B0C717C1}"/>
  </w:font>
  <w:font w:name="仿宋_GB2312">
    <w:panose1 w:val="02010609030101010101"/>
    <w:charset w:val="86"/>
    <w:family w:val="modern"/>
    <w:pitch w:val="default"/>
    <w:sig w:usb0="00000001" w:usb1="080E0000" w:usb2="00000000" w:usb3="00000000" w:csb0="00040000" w:csb1="00000000"/>
    <w:embedRegular r:id="rId5" w:fontKey="{0FACF706-EC7F-4F8D-A623-3C0CAEEBBCB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68D40">
    <w:pPr>
      <w:pStyle w:val="3"/>
      <w:framePr w:wrap="around" w:vAnchor="text" w:hAnchor="margin" w:xAlign="outside" w:y="1"/>
      <w:rPr>
        <w:rStyle w:val="11"/>
        <w:rFonts w:ascii="宋体" w:hAnsi="宋体" w:eastAsia="宋体"/>
        <w:sz w:val="28"/>
        <w:szCs w:val="28"/>
      </w:rPr>
    </w:pPr>
    <w:r>
      <w:rPr>
        <w:rFonts w:hint="eastAsia" w:ascii="宋体" w:hAnsi="宋体" w:eastAsia="宋体"/>
        <w:sz w:val="28"/>
        <w:szCs w:val="28"/>
      </w:rPr>
      <w:t>—</w:t>
    </w: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rPr>
      <w:t>1</w:t>
    </w:r>
    <w:r>
      <w:rPr>
        <w:rFonts w:ascii="宋体" w:hAnsi="宋体"/>
        <w:sz w:val="28"/>
        <w:szCs w:val="28"/>
      </w:rPr>
      <w:fldChar w:fldCharType="end"/>
    </w:r>
    <w:r>
      <w:rPr>
        <w:rFonts w:hint="eastAsia" w:ascii="宋体" w:hAnsi="宋体" w:eastAsia="宋体"/>
        <w:sz w:val="28"/>
        <w:szCs w:val="28"/>
      </w:rPr>
      <w:t>—</w:t>
    </w:r>
  </w:p>
  <w:p w14:paraId="055361F2">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4E50A">
    <w:pPr>
      <w:pStyle w:val="3"/>
      <w:framePr w:wrap="around" w:vAnchor="text" w:hAnchor="margin" w:xAlign="outside" w:y="1"/>
      <w:rPr>
        <w:rStyle w:val="11"/>
        <w:rFonts w:ascii="宋体" w:hAnsi="宋体" w:eastAsia="宋体"/>
        <w:sz w:val="28"/>
        <w:szCs w:val="28"/>
      </w:rPr>
    </w:pPr>
    <w:r>
      <w:rPr>
        <w:rFonts w:hint="eastAsia" w:ascii="宋体" w:hAnsi="宋体" w:eastAsia="宋体"/>
        <w:sz w:val="28"/>
        <w:szCs w:val="28"/>
      </w:rPr>
      <w:t>—</w:t>
    </w: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rPr>
      <w:t>1</w:t>
    </w:r>
    <w:r>
      <w:rPr>
        <w:rFonts w:ascii="宋体" w:hAnsi="宋体"/>
        <w:sz w:val="28"/>
        <w:szCs w:val="28"/>
      </w:rPr>
      <w:fldChar w:fldCharType="end"/>
    </w:r>
    <w:r>
      <w:rPr>
        <w:rFonts w:hint="eastAsia" w:ascii="宋体" w:hAnsi="宋体" w:eastAsia="宋体"/>
        <w:sz w:val="28"/>
        <w:szCs w:val="28"/>
      </w:rPr>
      <w:t>—</w:t>
    </w:r>
  </w:p>
  <w:p w14:paraId="0EF76B35">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RiOGVmNmZlMDNmNmYwZDA3NzY5ZDY5MWIyNjUxNzEifQ=="/>
  </w:docVars>
  <w:rsids>
    <w:rsidRoot w:val="00000000"/>
    <w:rsid w:val="59882E47"/>
    <w:rsid w:val="600562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2">
    <w:name w:val="heading 2"/>
    <w:basedOn w:val="1"/>
    <w:next w:val="1"/>
    <w:qFormat/>
    <w:uiPriority w:val="0"/>
    <w:pPr>
      <w:keepNext/>
      <w:keepLines/>
      <w:spacing w:line="416" w:lineRule="auto"/>
      <w:outlineLvl w:val="1"/>
    </w:pPr>
    <w:rPr>
      <w:rFonts w:ascii="Cambria" w:hAnsi="Cambria" w:cs="Cambria"/>
      <w:b/>
      <w:bCs/>
      <w:sz w:val="32"/>
      <w:szCs w:val="32"/>
    </w:rPr>
  </w:style>
  <w:style w:type="character" w:default="1" w:styleId="10">
    <w:name w:val="Default Paragraph Font"/>
    <w:qFormat/>
    <w:uiPriority w:val="1"/>
  </w:style>
  <w:style w:type="table" w:default="1" w:styleId="9">
    <w:name w:val="Normal Table"/>
    <w:qFormat/>
    <w:uiPriority w:val="99"/>
    <w:tblPr>
      <w:tblCellMar>
        <w:top w:w="0" w:type="dxa"/>
        <w:left w:w="108" w:type="dxa"/>
        <w:bottom w:w="0" w:type="dxa"/>
        <w:right w:w="108" w:type="dxa"/>
      </w:tblCellMar>
    </w:tbl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39"/>
  </w:style>
  <w:style w:type="paragraph" w:styleId="6">
    <w:name w:val="table of figures"/>
    <w:basedOn w:val="1"/>
    <w:next w:val="1"/>
    <w:qFormat/>
    <w:uiPriority w:val="99"/>
    <w:pPr>
      <w:spacing w:before="100" w:beforeAutospacing="1" w:after="100" w:afterAutospacing="1"/>
      <w:ind w:left="200" w:leftChars="200" w:hanging="200" w:hangingChars="200"/>
    </w:pPr>
    <w:rPr>
      <w:rFonts w:ascii="Times New Roman" w:hAnsi="Times New Roman" w:eastAsia="宋体" w:cs="Times New Roman"/>
      <w:szCs w:val="21"/>
    </w:rPr>
  </w:style>
  <w:style w:type="paragraph" w:styleId="7">
    <w:name w:val="toc 2"/>
    <w:basedOn w:val="1"/>
    <w:next w:val="1"/>
    <w:qFormat/>
    <w:uiPriority w:val="39"/>
    <w:pPr>
      <w:ind w:left="420" w:leftChars="200"/>
    </w:pPr>
  </w:style>
  <w:style w:type="paragraph" w:styleId="8">
    <w:name w:val="Normal (Web)"/>
    <w:basedOn w:val="1"/>
    <w:qFormat/>
    <w:uiPriority w:val="0"/>
    <w:pPr>
      <w:jc w:val="left"/>
    </w:pPr>
    <w:rPr>
      <w:rFonts w:cs="Times New Roman"/>
      <w:kern w:val="0"/>
      <w:sz w:val="24"/>
    </w:rPr>
  </w:style>
  <w:style w:type="character" w:styleId="11">
    <w:name w:val="page number"/>
    <w:basedOn w:val="10"/>
    <w:qFormat/>
    <w:uiPriority w:val="0"/>
  </w:style>
  <w:style w:type="character" w:customStyle="1" w:styleId="12">
    <w:name w:val="页脚 Char"/>
    <w:basedOn w:val="10"/>
    <w:link w:val="3"/>
    <w:qFormat/>
    <w:uiPriority w:val="0"/>
    <w:rPr>
      <w:kern w:val="2"/>
      <w:sz w:val="18"/>
      <w:szCs w:val="18"/>
    </w:rPr>
  </w:style>
  <w:style w:type="paragraph" w:customStyle="1" w:styleId="13">
    <w:name w:val="WPSOffice手动目录 1"/>
    <w:qFormat/>
    <w:uiPriority w:val="0"/>
    <w:pPr>
      <w:ind w:leftChars="0"/>
    </w:pPr>
    <w:rPr>
      <w:rFonts w:ascii="Calibri" w:hAnsi="Calibri" w:eastAsia="宋体" w:cs="宋体"/>
      <w:sz w:val="20"/>
      <w:szCs w:val="20"/>
    </w:rPr>
  </w:style>
  <w:style w:type="paragraph" w:customStyle="1" w:styleId="14">
    <w:name w:val="WPSOffice手动目录 2"/>
    <w:qFormat/>
    <w:uiPriority w:val="0"/>
    <w:pPr>
      <w:ind w:leftChars="200"/>
    </w:pPr>
    <w:rPr>
      <w:rFonts w:ascii="Calibri" w:hAnsi="Calibri" w:eastAsia="宋体" w:cs="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ylmfeng.com</Company>
  <Pages>15</Pages>
  <Words>6222</Words>
  <Characters>6618</Characters>
  <Paragraphs>129</Paragraphs>
  <TotalTime>1</TotalTime>
  <ScaleCrop>false</ScaleCrop>
  <LinksUpToDate>false</LinksUpToDate>
  <CharactersWithSpaces>6635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2021-05-14T09:22:00Z</dcterms:created>
  <dc:creator>Administrator</dc:creator>
  <cp:lastModifiedBy>昭化融媒体</cp:lastModifiedBy>
  <dcterms:modified xsi:type="dcterms:W3CDTF">2024-12-25T02:18:02Z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ED179B2C331C46E9B5BB9F413E3EB556</vt:lpwstr>
  </property>
  <property fmtid="{D5CDD505-2E9C-101B-9397-08002B2CF9AE}" pid="4" name="KSOTemplateDocerSaveRecord">
    <vt:lpwstr>eyJoZGlkIjoiMGVhYTg4NGNkZWJkODFjNzcyZDRjM2M4Y2UzNjI5ZmUiLCJ1c2VySWQiOiI2MTE2MzEwMDYifQ==</vt:lpwstr>
  </property>
</Properties>
</file>