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0095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宋体" w:hAnsi="宋体" w:eastAsia="宋体" w:cs="宋体"/>
          <w:b/>
          <w:bCs/>
          <w:i w:val="0"/>
          <w:caps w:val="0"/>
          <w:color w:val="333333"/>
          <w:spacing w:val="0"/>
          <w:kern w:val="0"/>
          <w:sz w:val="52"/>
          <w:szCs w:val="52"/>
          <w:shd w:val="clear" w:color="auto" w:fill="FFFFFF"/>
          <w:lang w:val="en-US" w:eastAsia="zh-CN" w:bidi="ar"/>
        </w:rPr>
      </w:pPr>
    </w:p>
    <w:p w14:paraId="6232C5A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宋体" w:hAnsi="宋体" w:eastAsia="宋体" w:cs="宋体"/>
          <w:b/>
          <w:bCs/>
          <w:i w:val="0"/>
          <w:caps w:val="0"/>
          <w:color w:val="333333"/>
          <w:spacing w:val="0"/>
          <w:kern w:val="0"/>
          <w:sz w:val="52"/>
          <w:szCs w:val="52"/>
          <w:shd w:val="clear" w:color="auto" w:fill="FFFFFF"/>
          <w:lang w:val="en-US" w:eastAsia="zh-CN" w:bidi="ar"/>
        </w:rPr>
      </w:pPr>
    </w:p>
    <w:p w14:paraId="64511FE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default" w:ascii="宋体" w:hAnsi="宋体" w:eastAsia="宋体" w:cs="宋体"/>
          <w:b/>
          <w:bCs/>
          <w:i w:val="0"/>
          <w:caps w:val="0"/>
          <w:color w:val="333333"/>
          <w:spacing w:val="0"/>
          <w:kern w:val="0"/>
          <w:sz w:val="52"/>
          <w:szCs w:val="52"/>
          <w:shd w:val="clear" w:color="auto" w:fill="FFFFFF"/>
          <w:lang w:val="en-US" w:eastAsia="zh-CN" w:bidi="ar"/>
        </w:rPr>
      </w:pPr>
      <w:r>
        <w:rPr>
          <w:rFonts w:hint="eastAsia" w:ascii="宋体" w:hAnsi="宋体" w:eastAsia="宋体" w:cs="宋体"/>
          <w:b/>
          <w:bCs/>
          <w:i w:val="0"/>
          <w:caps w:val="0"/>
          <w:color w:val="333333"/>
          <w:spacing w:val="0"/>
          <w:kern w:val="0"/>
          <w:sz w:val="52"/>
          <w:szCs w:val="52"/>
          <w:shd w:val="clear" w:color="auto" w:fill="FFFFFF"/>
          <w:lang w:val="en-US" w:eastAsia="zh-CN" w:bidi="ar"/>
        </w:rPr>
        <w:t>四川省广元市昭化区委党校</w:t>
      </w:r>
    </w:p>
    <w:p w14:paraId="1F1DD1B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宋体" w:hAnsi="宋体" w:eastAsia="宋体" w:cs="宋体"/>
          <w:b/>
          <w:bCs/>
          <w:i w:val="0"/>
          <w:caps w:val="0"/>
          <w:color w:val="333333"/>
          <w:spacing w:val="0"/>
          <w:sz w:val="72"/>
          <w:szCs w:val="72"/>
        </w:rPr>
      </w:pPr>
      <w:r>
        <w:rPr>
          <w:rFonts w:hint="eastAsia" w:ascii="宋体" w:hAnsi="宋体" w:eastAsia="宋体" w:cs="宋体"/>
          <w:b/>
          <w:bCs/>
          <w:i w:val="0"/>
          <w:caps w:val="0"/>
          <w:color w:val="333333"/>
          <w:spacing w:val="0"/>
          <w:kern w:val="0"/>
          <w:sz w:val="52"/>
          <w:szCs w:val="52"/>
          <w:shd w:val="clear" w:color="auto" w:fill="FFFFFF"/>
          <w:lang w:val="en-US" w:eastAsia="zh-CN" w:bidi="ar"/>
        </w:rPr>
        <w:t>202</w:t>
      </w:r>
      <w:r>
        <w:rPr>
          <w:rFonts w:hint="eastAsia" w:ascii="宋体" w:hAnsi="宋体" w:cs="宋体"/>
          <w:b/>
          <w:bCs/>
          <w:i w:val="0"/>
          <w:caps w:val="0"/>
          <w:color w:val="333333"/>
          <w:spacing w:val="0"/>
          <w:kern w:val="0"/>
          <w:sz w:val="52"/>
          <w:szCs w:val="52"/>
          <w:shd w:val="clear" w:color="auto" w:fill="FFFFFF"/>
          <w:lang w:val="en-US" w:eastAsia="zh-CN" w:bidi="ar"/>
        </w:rPr>
        <w:t>1</w:t>
      </w:r>
      <w:r>
        <w:rPr>
          <w:rFonts w:hint="eastAsia" w:ascii="宋体" w:hAnsi="宋体" w:eastAsia="宋体" w:cs="宋体"/>
          <w:b/>
          <w:bCs/>
          <w:i w:val="0"/>
          <w:caps w:val="0"/>
          <w:color w:val="333333"/>
          <w:spacing w:val="0"/>
          <w:kern w:val="0"/>
          <w:sz w:val="52"/>
          <w:szCs w:val="52"/>
          <w:shd w:val="clear" w:color="auto" w:fill="FFFFFF"/>
          <w:lang w:val="en-US" w:eastAsia="zh-CN" w:bidi="ar"/>
        </w:rPr>
        <w:t>年部门预算</w:t>
      </w:r>
      <w:bookmarkStart w:id="10" w:name="_GoBack"/>
      <w:bookmarkEnd w:id="10"/>
      <w:r>
        <w:rPr>
          <w:rFonts w:hint="eastAsia" w:ascii="宋体" w:hAnsi="宋体" w:eastAsia="宋体" w:cs="宋体"/>
          <w:b/>
          <w:bCs/>
          <w:i w:val="0"/>
          <w:caps w:val="0"/>
          <w:color w:val="333333"/>
          <w:spacing w:val="0"/>
          <w:kern w:val="0"/>
          <w:sz w:val="52"/>
          <w:szCs w:val="52"/>
          <w:shd w:val="clear" w:color="auto" w:fill="FFFFFF"/>
          <w:lang w:val="en-US" w:eastAsia="zh-CN" w:bidi="ar"/>
        </w:rPr>
        <w:t>编制说明</w:t>
      </w:r>
    </w:p>
    <w:p w14:paraId="06D894AD">
      <w:pPr>
        <w:spacing w:before="0" w:beforeLines="0" w:after="0" w:afterLines="0" w:line="240" w:lineRule="auto"/>
        <w:ind w:left="0" w:leftChars="0" w:right="0" w:rightChars="0" w:firstLine="0" w:firstLineChars="0"/>
        <w:jc w:val="center"/>
        <w:rPr>
          <w:rFonts w:hint="eastAsia" w:ascii="黑体" w:hAnsi="黑体" w:eastAsia="黑体" w:cs="黑体"/>
          <w:kern w:val="2"/>
          <w:sz w:val="44"/>
          <w:szCs w:val="44"/>
          <w:lang w:val="en-US" w:eastAsia="zh-CN" w:bidi="ar-SA"/>
        </w:rPr>
        <w:sectPr>
          <w:footerReference r:id="rId3" w:type="default"/>
          <w:pgSz w:w="11906" w:h="16838"/>
          <w:pgMar w:top="1440" w:right="1800" w:bottom="1440" w:left="1800" w:header="851" w:footer="992" w:gutter="0"/>
          <w:cols w:space="425" w:num="1"/>
          <w:docGrid w:type="lines" w:linePitch="312" w:charSpace="0"/>
        </w:sectPr>
      </w:pPr>
    </w:p>
    <w:p w14:paraId="1B4A8BD3">
      <w:pPr>
        <w:pStyle w:val="2"/>
        <w:rPr>
          <w:rFonts w:hint="eastAsia"/>
          <w:lang w:val="en-US" w:eastAsia="zh-CN"/>
        </w:rPr>
      </w:pPr>
    </w:p>
    <w:sdt>
      <w:sdtPr>
        <w:rPr>
          <w:rFonts w:hint="eastAsia" w:ascii="黑体" w:hAnsi="黑体" w:eastAsia="黑体" w:cs="黑体"/>
          <w:kern w:val="2"/>
          <w:sz w:val="44"/>
          <w:szCs w:val="44"/>
          <w:lang w:val="en-US" w:eastAsia="zh-CN" w:bidi="ar-SA"/>
        </w:rPr>
        <w:id w:val="147452114"/>
        <w15:color w:val="DBDBDB"/>
        <w:docPartObj>
          <w:docPartGallery w:val="Table of Contents"/>
          <w:docPartUnique/>
        </w:docPartObj>
      </w:sdtPr>
      <w:sdtEndPr>
        <w:rPr>
          <w:rFonts w:hint="eastAsia" w:ascii="宋体" w:hAnsi="宋体" w:eastAsia="宋体" w:cs="宋体"/>
          <w:kern w:val="2"/>
          <w:sz w:val="28"/>
          <w:szCs w:val="28"/>
          <w:lang w:val="en-US" w:eastAsia="zh-CN" w:bidi="ar-SA"/>
        </w:rPr>
      </w:sdtEndPr>
      <w:sdtContent>
        <w:p w14:paraId="5BD79F50">
          <w:pPr>
            <w:spacing w:before="0" w:beforeLines="0" w:after="0" w:afterLines="0" w:line="240" w:lineRule="auto"/>
            <w:ind w:left="0" w:leftChars="0" w:right="0" w:rightChars="0" w:firstLine="0" w:firstLineChars="0"/>
            <w:jc w:val="center"/>
            <w:rPr>
              <w:rFonts w:hint="eastAsia" w:ascii="黑体" w:hAnsi="黑体" w:eastAsia="黑体" w:cs="黑体"/>
              <w:sz w:val="44"/>
              <w:szCs w:val="44"/>
            </w:rPr>
          </w:pPr>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14:paraId="5F12A288">
          <w:pPr>
            <w:pStyle w:val="5"/>
            <w:keepNext w:val="0"/>
            <w:keepLines w:val="0"/>
            <w:pageBreakBefore w:val="0"/>
            <w:widowControl w:val="0"/>
            <w:tabs>
              <w:tab w:val="right" w:leader="dot" w:pos="8306"/>
            </w:tabs>
            <w:kinsoku/>
            <w:wordWrap/>
            <w:overflowPunct/>
            <w:topLinePunct w:val="0"/>
            <w:autoSpaceDE/>
            <w:autoSpaceDN/>
            <w:bidi w:val="0"/>
            <w:adjustRightInd/>
            <w:snapToGrid/>
            <w:spacing w:line="576"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TOC \o "1-1" \h \u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_Toc26147 </w:instrText>
          </w:r>
          <w:r>
            <w:rPr>
              <w:rFonts w:hint="eastAsia" w:ascii="宋体" w:hAnsi="宋体" w:eastAsia="宋体" w:cs="宋体"/>
              <w:sz w:val="28"/>
              <w:szCs w:val="28"/>
              <w:lang w:val="en-US" w:eastAsia="zh-CN"/>
            </w:rPr>
            <w:fldChar w:fldCharType="separate"/>
          </w:r>
          <w:r>
            <w:rPr>
              <w:rFonts w:hint="eastAsia" w:ascii="宋体" w:hAnsi="宋体" w:eastAsia="宋体" w:cs="宋体"/>
              <w:bCs w:val="0"/>
              <w:kern w:val="2"/>
              <w:sz w:val="28"/>
              <w:szCs w:val="28"/>
              <w:lang w:val="en-US" w:eastAsia="zh-CN" w:bidi="ar-SA"/>
            </w:rPr>
            <w:t>一、基本职能及主要工作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_Toc26147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6BD4850B">
          <w:pPr>
            <w:pStyle w:val="5"/>
            <w:keepNext w:val="0"/>
            <w:keepLines w:val="0"/>
            <w:pageBreakBefore w:val="0"/>
            <w:widowControl w:val="0"/>
            <w:tabs>
              <w:tab w:val="right" w:leader="dot" w:pos="8306"/>
            </w:tabs>
            <w:kinsoku/>
            <w:wordWrap/>
            <w:overflowPunct/>
            <w:topLinePunct w:val="0"/>
            <w:autoSpaceDE/>
            <w:autoSpaceDN/>
            <w:bidi w:val="0"/>
            <w:adjustRightInd/>
            <w:snapToGrid/>
            <w:spacing w:line="576"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_Toc9452 </w:instrText>
          </w:r>
          <w:r>
            <w:rPr>
              <w:rFonts w:hint="eastAsia" w:ascii="宋体" w:hAnsi="宋体" w:eastAsia="宋体" w:cs="宋体"/>
              <w:sz w:val="28"/>
              <w:szCs w:val="28"/>
              <w:lang w:val="en-US" w:eastAsia="zh-CN"/>
            </w:rPr>
            <w:fldChar w:fldCharType="separate"/>
          </w:r>
          <w:r>
            <w:rPr>
              <w:rFonts w:hint="eastAsia" w:ascii="宋体" w:hAnsi="宋体" w:eastAsia="宋体" w:cs="宋体"/>
              <w:bCs w:val="0"/>
              <w:kern w:val="2"/>
              <w:sz w:val="28"/>
              <w:szCs w:val="28"/>
              <w:lang w:val="en-US" w:eastAsia="zh-CN" w:bidi="ar-SA"/>
            </w:rPr>
            <w:t>二、部门预算单位构成</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_Toc9452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54712554">
          <w:pPr>
            <w:pStyle w:val="5"/>
            <w:keepNext w:val="0"/>
            <w:keepLines w:val="0"/>
            <w:pageBreakBefore w:val="0"/>
            <w:widowControl w:val="0"/>
            <w:tabs>
              <w:tab w:val="right" w:leader="dot" w:pos="8306"/>
            </w:tabs>
            <w:kinsoku/>
            <w:wordWrap/>
            <w:overflowPunct/>
            <w:topLinePunct w:val="0"/>
            <w:autoSpaceDE/>
            <w:autoSpaceDN/>
            <w:bidi w:val="0"/>
            <w:adjustRightInd/>
            <w:snapToGrid/>
            <w:spacing w:line="576"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_Toc27192 </w:instrText>
          </w:r>
          <w:r>
            <w:rPr>
              <w:rFonts w:hint="eastAsia" w:ascii="宋体" w:hAnsi="宋体" w:eastAsia="宋体" w:cs="宋体"/>
              <w:sz w:val="28"/>
              <w:szCs w:val="28"/>
              <w:lang w:val="en-US" w:eastAsia="zh-CN"/>
            </w:rPr>
            <w:fldChar w:fldCharType="separate"/>
          </w:r>
          <w:r>
            <w:rPr>
              <w:rFonts w:hint="eastAsia" w:ascii="宋体" w:hAnsi="宋体" w:eastAsia="宋体" w:cs="宋体"/>
              <w:bCs w:val="0"/>
              <w:kern w:val="2"/>
              <w:sz w:val="28"/>
              <w:szCs w:val="28"/>
              <w:lang w:val="en-US" w:eastAsia="zh-CN" w:bidi="ar-SA"/>
            </w:rPr>
            <w:t>三、部门预算情况的总体说明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_Toc27192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2E9AF822">
          <w:pPr>
            <w:pStyle w:val="5"/>
            <w:keepNext w:val="0"/>
            <w:keepLines w:val="0"/>
            <w:pageBreakBefore w:val="0"/>
            <w:widowControl w:val="0"/>
            <w:tabs>
              <w:tab w:val="right" w:leader="dot" w:pos="8306"/>
            </w:tabs>
            <w:kinsoku/>
            <w:wordWrap/>
            <w:overflowPunct/>
            <w:topLinePunct w:val="0"/>
            <w:autoSpaceDE/>
            <w:autoSpaceDN/>
            <w:bidi w:val="0"/>
            <w:adjustRightInd/>
            <w:snapToGrid/>
            <w:spacing w:line="576"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_Toc16332 </w:instrText>
          </w:r>
          <w:r>
            <w:rPr>
              <w:rFonts w:hint="eastAsia" w:ascii="宋体" w:hAnsi="宋体" w:eastAsia="宋体" w:cs="宋体"/>
              <w:sz w:val="28"/>
              <w:szCs w:val="28"/>
              <w:lang w:val="en-US" w:eastAsia="zh-CN"/>
            </w:rPr>
            <w:fldChar w:fldCharType="separate"/>
          </w:r>
          <w:r>
            <w:rPr>
              <w:rFonts w:hint="eastAsia" w:ascii="宋体" w:hAnsi="宋体" w:eastAsia="宋体" w:cs="宋体"/>
              <w:bCs w:val="0"/>
              <w:kern w:val="2"/>
              <w:sz w:val="28"/>
              <w:szCs w:val="28"/>
              <w:lang w:val="en-US" w:eastAsia="zh-CN" w:bidi="ar-SA"/>
            </w:rPr>
            <w:t>四、财政拨款收支预算情况说明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_Toc16332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1E7AA596">
          <w:pPr>
            <w:pStyle w:val="5"/>
            <w:keepNext w:val="0"/>
            <w:keepLines w:val="0"/>
            <w:pageBreakBefore w:val="0"/>
            <w:widowControl w:val="0"/>
            <w:tabs>
              <w:tab w:val="right" w:leader="dot" w:pos="8306"/>
            </w:tabs>
            <w:kinsoku/>
            <w:wordWrap/>
            <w:overflowPunct/>
            <w:topLinePunct w:val="0"/>
            <w:autoSpaceDE/>
            <w:autoSpaceDN/>
            <w:bidi w:val="0"/>
            <w:adjustRightInd/>
            <w:snapToGrid/>
            <w:spacing w:line="576"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_Toc3928 </w:instrText>
          </w:r>
          <w:r>
            <w:rPr>
              <w:rFonts w:hint="eastAsia" w:ascii="宋体" w:hAnsi="宋体" w:eastAsia="宋体" w:cs="宋体"/>
              <w:sz w:val="28"/>
              <w:szCs w:val="28"/>
              <w:lang w:val="en-US" w:eastAsia="zh-CN"/>
            </w:rPr>
            <w:fldChar w:fldCharType="separate"/>
          </w:r>
          <w:r>
            <w:rPr>
              <w:rFonts w:hint="eastAsia" w:ascii="宋体" w:hAnsi="宋体" w:eastAsia="宋体" w:cs="宋体"/>
              <w:bCs w:val="0"/>
              <w:kern w:val="2"/>
              <w:sz w:val="28"/>
              <w:szCs w:val="28"/>
              <w:lang w:val="en-US" w:eastAsia="zh-CN" w:bidi="ar-SA"/>
            </w:rPr>
            <w:t>五、一般公共预算当年拨款情况说明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_Toc3928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1AC36E6F">
          <w:pPr>
            <w:pStyle w:val="5"/>
            <w:keepNext w:val="0"/>
            <w:keepLines w:val="0"/>
            <w:pageBreakBefore w:val="0"/>
            <w:widowControl w:val="0"/>
            <w:tabs>
              <w:tab w:val="right" w:leader="dot" w:pos="8306"/>
            </w:tabs>
            <w:kinsoku/>
            <w:wordWrap/>
            <w:overflowPunct/>
            <w:topLinePunct w:val="0"/>
            <w:autoSpaceDE/>
            <w:autoSpaceDN/>
            <w:bidi w:val="0"/>
            <w:adjustRightInd/>
            <w:snapToGrid/>
            <w:spacing w:line="576"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_Toc11727 </w:instrText>
          </w:r>
          <w:r>
            <w:rPr>
              <w:rFonts w:hint="eastAsia" w:ascii="宋体" w:hAnsi="宋体" w:eastAsia="宋体" w:cs="宋体"/>
              <w:sz w:val="28"/>
              <w:szCs w:val="28"/>
              <w:lang w:val="en-US" w:eastAsia="zh-CN"/>
            </w:rPr>
            <w:fldChar w:fldCharType="separate"/>
          </w:r>
          <w:r>
            <w:rPr>
              <w:rFonts w:hint="eastAsia" w:ascii="宋体" w:hAnsi="宋体" w:eastAsia="宋体" w:cs="宋体"/>
              <w:bCs w:val="0"/>
              <w:kern w:val="2"/>
              <w:sz w:val="28"/>
              <w:szCs w:val="28"/>
              <w:lang w:val="en-US" w:eastAsia="zh-CN" w:bidi="ar-SA"/>
            </w:rPr>
            <w:t>六、一般公共预算基本支出情况说明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_Toc11727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1408B6D3">
          <w:pPr>
            <w:pStyle w:val="5"/>
            <w:keepNext w:val="0"/>
            <w:keepLines w:val="0"/>
            <w:pageBreakBefore w:val="0"/>
            <w:widowControl w:val="0"/>
            <w:tabs>
              <w:tab w:val="right" w:leader="dot" w:pos="8306"/>
            </w:tabs>
            <w:kinsoku/>
            <w:wordWrap/>
            <w:overflowPunct/>
            <w:topLinePunct w:val="0"/>
            <w:autoSpaceDE/>
            <w:autoSpaceDN/>
            <w:bidi w:val="0"/>
            <w:adjustRightInd/>
            <w:snapToGrid/>
            <w:spacing w:line="576"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_Toc28997 </w:instrText>
          </w:r>
          <w:r>
            <w:rPr>
              <w:rFonts w:hint="eastAsia" w:ascii="宋体" w:hAnsi="宋体" w:eastAsia="宋体" w:cs="宋体"/>
              <w:sz w:val="28"/>
              <w:szCs w:val="28"/>
              <w:lang w:val="en-US" w:eastAsia="zh-CN"/>
            </w:rPr>
            <w:fldChar w:fldCharType="separate"/>
          </w:r>
          <w:r>
            <w:rPr>
              <w:rFonts w:hint="eastAsia" w:ascii="宋体" w:hAnsi="宋体" w:eastAsia="宋体" w:cs="宋体"/>
              <w:bCs w:val="0"/>
              <w:kern w:val="2"/>
              <w:sz w:val="28"/>
              <w:szCs w:val="28"/>
              <w:lang w:val="en-US" w:eastAsia="zh-CN" w:bidi="ar-SA"/>
            </w:rPr>
            <w:t>七、“三公”经费财政拨款预算安排情况说明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_Toc28997 \h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23DB9660">
          <w:pPr>
            <w:pStyle w:val="5"/>
            <w:keepNext w:val="0"/>
            <w:keepLines w:val="0"/>
            <w:pageBreakBefore w:val="0"/>
            <w:widowControl w:val="0"/>
            <w:tabs>
              <w:tab w:val="right" w:leader="dot" w:pos="8306"/>
            </w:tabs>
            <w:kinsoku/>
            <w:wordWrap/>
            <w:overflowPunct/>
            <w:topLinePunct w:val="0"/>
            <w:autoSpaceDE/>
            <w:autoSpaceDN/>
            <w:bidi w:val="0"/>
            <w:adjustRightInd/>
            <w:snapToGrid/>
            <w:spacing w:line="576"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_Toc14269 </w:instrText>
          </w:r>
          <w:r>
            <w:rPr>
              <w:rFonts w:hint="eastAsia" w:ascii="宋体" w:hAnsi="宋体" w:eastAsia="宋体" w:cs="宋体"/>
              <w:sz w:val="28"/>
              <w:szCs w:val="28"/>
              <w:lang w:val="en-US" w:eastAsia="zh-CN"/>
            </w:rPr>
            <w:fldChar w:fldCharType="separate"/>
          </w:r>
          <w:r>
            <w:rPr>
              <w:rFonts w:hint="eastAsia" w:ascii="宋体" w:hAnsi="宋体" w:eastAsia="宋体" w:cs="宋体"/>
              <w:bCs w:val="0"/>
              <w:kern w:val="2"/>
              <w:sz w:val="28"/>
              <w:szCs w:val="28"/>
              <w:lang w:val="en-US" w:eastAsia="zh-CN" w:bidi="ar-SA"/>
            </w:rPr>
            <w:t>九、国有资本经营预算支出情况说明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_Toc14269 \h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72F6D4E3">
          <w:pPr>
            <w:pStyle w:val="5"/>
            <w:keepNext w:val="0"/>
            <w:keepLines w:val="0"/>
            <w:pageBreakBefore w:val="0"/>
            <w:widowControl w:val="0"/>
            <w:tabs>
              <w:tab w:val="right" w:leader="dot" w:pos="8306"/>
            </w:tabs>
            <w:kinsoku/>
            <w:wordWrap/>
            <w:overflowPunct/>
            <w:topLinePunct w:val="0"/>
            <w:autoSpaceDE/>
            <w:autoSpaceDN/>
            <w:bidi w:val="0"/>
            <w:adjustRightInd/>
            <w:snapToGrid/>
            <w:spacing w:line="576"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_Toc10616 </w:instrText>
          </w:r>
          <w:r>
            <w:rPr>
              <w:rFonts w:hint="eastAsia" w:ascii="宋体" w:hAnsi="宋体" w:eastAsia="宋体" w:cs="宋体"/>
              <w:sz w:val="28"/>
              <w:szCs w:val="28"/>
              <w:lang w:val="en-US" w:eastAsia="zh-CN"/>
            </w:rPr>
            <w:fldChar w:fldCharType="separate"/>
          </w:r>
          <w:r>
            <w:rPr>
              <w:rFonts w:hint="eastAsia" w:ascii="宋体" w:hAnsi="宋体" w:eastAsia="宋体" w:cs="宋体"/>
              <w:bCs w:val="0"/>
              <w:kern w:val="2"/>
              <w:sz w:val="28"/>
              <w:szCs w:val="28"/>
              <w:lang w:val="en-US" w:eastAsia="zh-CN" w:bidi="ar-SA"/>
            </w:rPr>
            <w:t>十、其他重要事项的情况说明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_Toc10616 \h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5BF9B298">
          <w:pPr>
            <w:pStyle w:val="5"/>
            <w:keepNext w:val="0"/>
            <w:keepLines w:val="0"/>
            <w:pageBreakBefore w:val="0"/>
            <w:widowControl w:val="0"/>
            <w:tabs>
              <w:tab w:val="right" w:leader="dot" w:pos="8306"/>
            </w:tabs>
            <w:kinsoku/>
            <w:wordWrap/>
            <w:overflowPunct/>
            <w:topLinePunct w:val="0"/>
            <w:autoSpaceDE/>
            <w:autoSpaceDN/>
            <w:bidi w:val="0"/>
            <w:adjustRightInd/>
            <w:snapToGrid/>
            <w:spacing w:line="576"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_Toc24019 </w:instrText>
          </w:r>
          <w:r>
            <w:rPr>
              <w:rFonts w:hint="eastAsia" w:ascii="宋体" w:hAnsi="宋体" w:eastAsia="宋体" w:cs="宋体"/>
              <w:sz w:val="28"/>
              <w:szCs w:val="28"/>
              <w:lang w:val="en-US" w:eastAsia="zh-CN"/>
            </w:rPr>
            <w:fldChar w:fldCharType="separate"/>
          </w:r>
          <w:r>
            <w:rPr>
              <w:rFonts w:hint="eastAsia" w:ascii="宋体" w:hAnsi="宋体" w:eastAsia="宋体" w:cs="宋体"/>
              <w:bCs w:val="0"/>
              <w:kern w:val="2"/>
              <w:sz w:val="28"/>
              <w:szCs w:val="28"/>
              <w:lang w:val="en-US" w:eastAsia="zh-CN" w:bidi="ar-SA"/>
            </w:rPr>
            <w:t>十一、名词解释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_Toc24019 \h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7A698BA2">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宋体" w:hAnsi="宋体" w:eastAsia="宋体" w:cs="宋体"/>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28"/>
              <w:szCs w:val="28"/>
              <w:lang w:val="en-US" w:eastAsia="zh-CN"/>
            </w:rPr>
            <w:fldChar w:fldCharType="end"/>
          </w:r>
        </w:p>
      </w:sdtContent>
    </w:sdt>
    <w:p w14:paraId="3315C21E">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b w:val="0"/>
          <w:bCs w:val="0"/>
          <w:color w:val="auto"/>
          <w:kern w:val="2"/>
          <w:sz w:val="32"/>
          <w:szCs w:val="32"/>
          <w:lang w:val="en-US" w:eastAsia="zh-CN" w:bidi="ar-SA"/>
        </w:rPr>
      </w:pPr>
      <w:r>
        <w:rPr>
          <w:rFonts w:hint="default" w:ascii="Times New Roman" w:hAnsi="Times New Roman" w:eastAsia="方正小标宋简体" w:cs="Times New Roman"/>
          <w:sz w:val="44"/>
          <w:szCs w:val="44"/>
          <w:lang w:val="en-US" w:eastAsia="zh-CN"/>
        </w:rPr>
        <w:t>中国共产党广元市昭化区委党校202</w:t>
      </w:r>
      <w:r>
        <w:rPr>
          <w:rFonts w:hint="eastAsia" w:ascii="Times New Roman" w:hAnsi="Times New Roman" w:eastAsia="方正小标宋简体" w:cs="Times New Roman"/>
          <w:sz w:val="44"/>
          <w:szCs w:val="44"/>
          <w:lang w:val="en-US" w:eastAsia="zh-CN"/>
        </w:rPr>
        <w:t>1</w:t>
      </w:r>
      <w:r>
        <w:rPr>
          <w:rFonts w:hint="default" w:ascii="Times New Roman" w:hAnsi="Times New Roman" w:eastAsia="方正小标宋简体" w:cs="Times New Roman"/>
          <w:sz w:val="44"/>
          <w:szCs w:val="44"/>
          <w:lang w:val="en-US" w:eastAsia="zh-CN"/>
        </w:rPr>
        <w:t>年部门综合预算</w:t>
      </w:r>
      <w:r>
        <w:rPr>
          <w:rFonts w:hint="eastAsia" w:ascii="Times New Roman" w:hAnsi="Times New Roman" w:eastAsia="方正小标宋简体" w:cs="Times New Roman"/>
          <w:sz w:val="44"/>
          <w:szCs w:val="44"/>
          <w:lang w:val="en-US" w:eastAsia="zh-CN"/>
        </w:rPr>
        <w:t>编制</w:t>
      </w:r>
      <w:r>
        <w:rPr>
          <w:rFonts w:hint="default" w:ascii="Times New Roman" w:hAnsi="Times New Roman" w:eastAsia="方正小标宋简体" w:cs="Times New Roman"/>
          <w:sz w:val="44"/>
          <w:szCs w:val="44"/>
          <w:lang w:val="en-US" w:eastAsia="zh-CN"/>
        </w:rPr>
        <w:t>情况说明</w:t>
      </w:r>
    </w:p>
    <w:p w14:paraId="1354DFA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0"/>
        <w:rPr>
          <w:rFonts w:hint="eastAsia" w:ascii="黑体" w:hAnsi="黑体" w:eastAsia="黑体" w:cs="黑体"/>
          <w:b w:val="0"/>
          <w:bCs w:val="0"/>
          <w:color w:val="auto"/>
          <w:kern w:val="2"/>
          <w:sz w:val="32"/>
          <w:szCs w:val="32"/>
          <w:lang w:val="en-US" w:eastAsia="zh-CN" w:bidi="ar-SA"/>
        </w:rPr>
      </w:pPr>
      <w:bookmarkStart w:id="0" w:name="_Toc26147"/>
      <w:r>
        <w:rPr>
          <w:rFonts w:hint="eastAsia" w:ascii="黑体" w:hAnsi="黑体" w:eastAsia="黑体" w:cs="黑体"/>
          <w:b w:val="0"/>
          <w:bCs w:val="0"/>
          <w:color w:val="auto"/>
          <w:kern w:val="2"/>
          <w:sz w:val="32"/>
          <w:szCs w:val="32"/>
          <w:lang w:val="en-US" w:eastAsia="zh-CN" w:bidi="ar-SA"/>
        </w:rPr>
        <w:t>一、基本职能及主要工作</w:t>
      </w:r>
      <w:bookmarkEnd w:id="0"/>
    </w:p>
    <w:p w14:paraId="550DE25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（一）区委党校职能简介</w:t>
      </w:r>
    </w:p>
    <w:p w14:paraId="7AB08EA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1.研究、宣传马克思主义、毛泽东思想、邓小平理论、习近平新时代中国特色社会主义思想和党的路线、方针、政策。</w:t>
      </w:r>
    </w:p>
    <w:p w14:paraId="1DB453A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2.培训党员领导干部；培训中青年党员领导干部、意识形态部门领导干部和理论骨干、党员知识分子。</w:t>
      </w:r>
    </w:p>
    <w:p w14:paraId="320B1BB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3.培训村党支部书记、村主任等村三职干部和村级后备干部。</w:t>
      </w:r>
    </w:p>
    <w:p w14:paraId="44D1E1B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4.围绕区委、区政府中心工作和全区经济社会发展的重点、难点、热点问题，举办专题研究班、培训班。</w:t>
      </w:r>
    </w:p>
    <w:p w14:paraId="54E8FB3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5.围绕本区经济、社会发展中出现的新情况、新问题开展区情调研。</w:t>
      </w:r>
    </w:p>
    <w:p w14:paraId="57392E4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6.完成区委、区政府交办的其他工作任务。</w:t>
      </w:r>
    </w:p>
    <w:p w14:paraId="51FDF28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（二）区委党校2021年重点工作</w:t>
      </w:r>
    </w:p>
    <w:p w14:paraId="7DDA05F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1.强化政治自觉，认真贯彻落实重大决策部署</w:t>
      </w:r>
    </w:p>
    <w:p w14:paraId="4C56E29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深入贯彻落实习近平总书记关于党校办学治校系列重要指示精神。始终坚持“党校姓党，从严治校”准则，牢牢把握党校办学政治方向，坚持把党的政治建设作为从严治校的首要任务，引导党员干部自觉用习近平新时代中国特色社会主义思想武装头脑，提高政治意识和政治觉悟。通过集中理论学习，系统领会习近平总书记关于党校办学治校系列重要指示精神暨省、市委关于统筹办学的相关政策要求，紧密结合党校工作实际，配合抓好党校分类改革、突出教学质量提升、科研咨政服务、班子队伍建设等重点工作，不断优化完善管理流程与制度规范，切实提升办学质量。</w:t>
      </w:r>
    </w:p>
    <w:p w14:paraId="213E801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深入贯彻落实中央、省委、市委、区委重要会议精神和重大决策部署。认真学习传达党的十九届五中、省委十一届七次、八次和市委七届十三次全会、区委七届十四次全会等重要会议精神，准确领会精神实质和重大决策部署要求，紧密结合市区一体办学相关要求，系统推进区委党校转型发展。积极发挥干部培训、思想引领、理论建设、决策咨询作用，主动服务区委政府中心工作。</w:t>
      </w:r>
    </w:p>
    <w:p w14:paraId="1ECFA4A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深入开展党史学习教育和意识形态工作。充分发挥学党史、讲党史、懂党史、用党史示范带动作用，切实做到学党史、悟思想、办实事、开新局。突出党史学习教育主题，充分利用区内外红色资源，积极参加党史学习教育征文活动，进一步提升党史学习教育培训实效，全年开展基层宣讲不少于20场次。加强意识形态工作，强化意识形态领域管控力，自觉严守政治纪律、政治规矩，提高政治判断能力。全面抓好中心组理论学习、干部职工思想引领、政治建设、文化涵养、文明提升；积极将意识形态工作向干部教育培训延伸，突出抓好各类干部培训班次集中学习教育，重点加强理论武装、党性教育和开新局能力提升；持续开展理论政策教育宣传宣讲，不断增强意识形态工作实效。</w:t>
      </w:r>
    </w:p>
    <w:p w14:paraId="0D351BA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2．推进市区一体化办学改革，提升党校办学质量水平</w:t>
      </w:r>
    </w:p>
    <w:p w14:paraId="4E2230E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（1）认真贯彻市区一体化办学相关要求。根据 “市区一体化”统筹办学新机制，不断优化完善相关配套政策，主动融入、切实提高办学质量水平。严格执行《市县级党校主体班次办学规范》，不断规范提升干部培训质量。对标对表《县级党校分类改革实施方案》，积极配合完成好县级党校分类建设要求任务，扎实做好办学质量评估的相关工作，确保党校分类改革有力有序有效推进。</w:t>
      </w:r>
    </w:p>
    <w:p w14:paraId="0891ED2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组织实施“五好”创新工程。积极按照市委党校“五好”创新工程的相关要求，贯彻实施好以“好教材”“好课程”“好案例”“好课题”“好文章”为重点的创新工程。科学编制“1+3+5”实施方案，配合编撰干部教育培训教材；积极参与全市党校系统精品课和微党课赛课活动，打造精品课2堂以上；组织专兼职教师编撰典型案例、收集学员工作案例、征集部门或基层工作案例不少于3个；结项调研课题不少于2项，形成决策咨政成果不少于2件；在市级以上公开刊物发表文章不少于2篇，入选市级及以上理论研讨会文章不少于2篇。建立“五好”创新工程成果资源库，充分转化运用于教学培训、咨政服务、理论建设。加强“五好”创新工程成果交流、宣传、推介。</w:t>
      </w:r>
    </w:p>
    <w:p w14:paraId="50CDC87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3.紧盯年度计划，全面完成各类培训任务</w:t>
      </w:r>
    </w:p>
    <w:p w14:paraId="2721CC3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（1）规范组织主体班次培训。统筹制定年度培训计划，规范开展年度主体班培训，全年举办各类主体班次15期，调训 1500人次以上。全面落实党性教育比重不低于教学总课时 20%的培训要求，认真执行领导干部上讲台规定，确保领导干部讲课课时不低于 20%。开展年度主要领导干部读书班、重大决策部署专题研讨班、基层党员骨干示范培训班、入党积极分子和预备党员示范培训班等专题班和其他培训班次。</w:t>
      </w:r>
    </w:p>
    <w:p w14:paraId="2849703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（2）创新举办昭化大讲坛。围绕区委、政府的中心工作，按照党史学习教育相关要求，立足当前国际国内形势和工作实际，坚持提高党员干部党性修养和政治站位，全年举办《昭化大讲坛》4期以上。</w:t>
      </w:r>
    </w:p>
    <w:p w14:paraId="7E36BB4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ascii="宋体" w:hAnsi="宋体" w:eastAsia="宋体" w:cs="宋体"/>
          <w:i w:val="0"/>
          <w:iCs w:val="0"/>
          <w:caps w:val="0"/>
          <w:color w:val="333333"/>
          <w:spacing w:val="0"/>
          <w:sz w:val="32"/>
          <w:szCs w:val="32"/>
        </w:rPr>
      </w:pPr>
      <w:r>
        <w:rPr>
          <w:rFonts w:hint="eastAsia" w:ascii="仿宋_GB2312" w:hAnsi="仿宋_GB2312" w:eastAsia="仿宋_GB2312" w:cs="仿宋_GB2312"/>
          <w:b w:val="0"/>
          <w:bCs w:val="0"/>
          <w:color w:val="auto"/>
          <w:kern w:val="2"/>
          <w:sz w:val="32"/>
          <w:szCs w:val="32"/>
          <w:lang w:val="en-US" w:eastAsia="zh-CN" w:bidi="ar-SA"/>
        </w:rPr>
        <w:t>（3）扎实抓好教学基地建设。依托昭化古城、双凤现代农业园区、天雄村和古蜀道等资源打造昭化文古城文教旅融合的巴蜀文化和红色文化教学基地、乡村治理教学基地；进一步提升太公红军山党性教育基地、滨湖现代农业园区乡村振兴教育基地，规范设置标识标牌、教学流程、教学点位和现场讲解，提升基地现场教学的规范性、针对性和实效性</w:t>
      </w:r>
      <w:r>
        <w:rPr>
          <w:rFonts w:ascii="宋体" w:hAnsi="宋体" w:eastAsia="宋体" w:cs="宋体"/>
          <w:i w:val="0"/>
          <w:iCs w:val="0"/>
          <w:caps w:val="0"/>
          <w:color w:val="333333"/>
          <w:spacing w:val="0"/>
          <w:sz w:val="32"/>
          <w:szCs w:val="32"/>
          <w:shd w:val="clear" w:fill="FFFFFF"/>
        </w:rPr>
        <w:t>。</w:t>
      </w:r>
    </w:p>
    <w:p w14:paraId="24CE3B7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0"/>
        <w:rPr>
          <w:rFonts w:hint="eastAsia" w:ascii="黑体" w:hAnsi="黑体" w:eastAsia="黑体" w:cs="黑体"/>
          <w:b w:val="0"/>
          <w:bCs w:val="0"/>
          <w:color w:val="auto"/>
          <w:kern w:val="2"/>
          <w:sz w:val="32"/>
          <w:szCs w:val="32"/>
          <w:lang w:val="en-US" w:eastAsia="zh-CN" w:bidi="ar-SA"/>
        </w:rPr>
      </w:pPr>
      <w:bookmarkStart w:id="1" w:name="_Toc9452"/>
      <w:r>
        <w:rPr>
          <w:rFonts w:hint="eastAsia" w:ascii="黑体" w:hAnsi="黑体" w:eastAsia="黑体" w:cs="黑体"/>
          <w:b w:val="0"/>
          <w:bCs w:val="0"/>
          <w:color w:val="auto"/>
          <w:kern w:val="2"/>
          <w:sz w:val="32"/>
          <w:szCs w:val="32"/>
          <w:lang w:val="en-US" w:eastAsia="zh-CN" w:bidi="ar-SA"/>
        </w:rPr>
        <w:t>二、部门预算单位构成</w:t>
      </w:r>
      <w:bookmarkEnd w:id="1"/>
    </w:p>
    <w:p w14:paraId="43F52E0F">
      <w:pPr>
        <w:pStyle w:val="10"/>
        <w:numPr>
          <w:ilvl w:val="0"/>
          <w:numId w:val="0"/>
        </w:numPr>
        <w:spacing w:line="576" w:lineRule="exact"/>
        <w:ind w:firstLine="64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区委党校属一级预算单位，</w:t>
      </w:r>
      <w:r>
        <w:rPr>
          <w:rFonts w:hint="eastAsia" w:eastAsia="仿宋_GB2312" w:cs="Times New Roman"/>
          <w:szCs w:val="32"/>
          <w:lang w:val="en-US" w:eastAsia="zh-CN"/>
        </w:rPr>
        <w:t>无下属二级预算单位。</w:t>
      </w:r>
    </w:p>
    <w:p w14:paraId="2EC8A1C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0"/>
        <w:rPr>
          <w:rFonts w:hint="eastAsia" w:ascii="黑体" w:hAnsi="黑体" w:eastAsia="黑体" w:cs="黑体"/>
          <w:b w:val="0"/>
          <w:bCs w:val="0"/>
          <w:color w:val="auto"/>
          <w:kern w:val="2"/>
          <w:sz w:val="32"/>
          <w:szCs w:val="32"/>
          <w:lang w:val="en-US" w:eastAsia="zh-CN" w:bidi="ar-SA"/>
        </w:rPr>
      </w:pPr>
      <w:bookmarkStart w:id="2" w:name="_Toc27192"/>
      <w:r>
        <w:rPr>
          <w:rFonts w:hint="eastAsia" w:ascii="黑体" w:hAnsi="黑体" w:eastAsia="黑体" w:cs="黑体"/>
          <w:b w:val="0"/>
          <w:bCs w:val="0"/>
          <w:color w:val="auto"/>
          <w:kern w:val="2"/>
          <w:sz w:val="32"/>
          <w:szCs w:val="32"/>
          <w:lang w:val="en-US" w:eastAsia="zh-CN" w:bidi="ar-SA"/>
        </w:rPr>
        <w:t>三、部门预算情况的总体说明</w:t>
      </w:r>
      <w:bookmarkEnd w:id="2"/>
    </w:p>
    <w:p w14:paraId="55C835D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按照综合预算的原则，区委党校所有收入和支出均纳入部门预算管理。收入包括：一般公共预算拨款收入。支出包括：教育支出、社会保障和就业支出、医疗卫生与计划生育支出、住房保障支出。区委党校2021年收支总预算253.78万元,比2020年收支预算总数增加21.6万元，主要原因是人员增加。</w:t>
      </w:r>
    </w:p>
    <w:p w14:paraId="380A50B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（一） 收入预算情况</w:t>
      </w:r>
    </w:p>
    <w:p w14:paraId="670DF84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区委党校2021年部门综合预算收入253.78万元，其中：一般公共预算拨款收入253.78万元，占100%。</w:t>
      </w:r>
    </w:p>
    <w:p w14:paraId="3882453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（二）支出预算情况</w:t>
      </w:r>
    </w:p>
    <w:p w14:paraId="15C1F11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区委党校2021年支出预算253.78万元，其中：教育支出216.77万元，占85.4%；社会保障和就业支出14.81万元，占5.8%；卫生健康支出：7.62万元，占3%；住房保障支出：14.58万元，占5.7%。</w:t>
      </w:r>
    </w:p>
    <w:p w14:paraId="1442905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0"/>
        <w:rPr>
          <w:rFonts w:hint="eastAsia" w:ascii="黑体" w:hAnsi="黑体" w:eastAsia="黑体" w:cs="黑体"/>
          <w:b w:val="0"/>
          <w:bCs w:val="0"/>
          <w:color w:val="auto"/>
          <w:kern w:val="2"/>
          <w:sz w:val="32"/>
          <w:szCs w:val="32"/>
          <w:lang w:val="en-US" w:eastAsia="zh-CN" w:bidi="ar-SA"/>
        </w:rPr>
      </w:pPr>
      <w:bookmarkStart w:id="3" w:name="_Toc16332"/>
      <w:r>
        <w:rPr>
          <w:rFonts w:hint="eastAsia" w:ascii="黑体" w:hAnsi="黑体" w:eastAsia="黑体" w:cs="黑体"/>
          <w:b w:val="0"/>
          <w:bCs w:val="0"/>
          <w:color w:val="auto"/>
          <w:kern w:val="2"/>
          <w:sz w:val="32"/>
          <w:szCs w:val="32"/>
          <w:lang w:val="en-US" w:eastAsia="zh-CN" w:bidi="ar-SA"/>
        </w:rPr>
        <w:t>四、财政拨款收支预算情况说明</w:t>
      </w:r>
      <w:bookmarkEnd w:id="3"/>
    </w:p>
    <w:p w14:paraId="16405EA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区委党校2021年财政拨款收支总预算253.78万元,比2020年财政拨款收支总预算增加21.6万元，主要原因是人员增加、2021年公积金比例调整人员经费增加。收入包括：本年一般公共预算拨款收入253.78万元；支出包括：教育支出教育支出216.77万元、社会保障和就业支出14.81万元、卫生健康支出：7.62万元、住房保障支出：14.58万元。</w:t>
      </w:r>
    </w:p>
    <w:p w14:paraId="44540CA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0"/>
        <w:rPr>
          <w:rFonts w:hint="eastAsia" w:ascii="黑体" w:hAnsi="黑体" w:eastAsia="黑体" w:cs="黑体"/>
          <w:b w:val="0"/>
          <w:bCs w:val="0"/>
          <w:color w:val="auto"/>
          <w:kern w:val="2"/>
          <w:sz w:val="32"/>
          <w:szCs w:val="32"/>
          <w:lang w:val="en-US" w:eastAsia="zh-CN" w:bidi="ar-SA"/>
        </w:rPr>
      </w:pPr>
      <w:bookmarkStart w:id="4" w:name="_Toc3928"/>
      <w:r>
        <w:rPr>
          <w:rFonts w:hint="eastAsia" w:ascii="黑体" w:hAnsi="黑体" w:eastAsia="黑体" w:cs="黑体"/>
          <w:b w:val="0"/>
          <w:bCs w:val="0"/>
          <w:color w:val="auto"/>
          <w:kern w:val="2"/>
          <w:sz w:val="32"/>
          <w:szCs w:val="32"/>
          <w:lang w:val="en-US" w:eastAsia="zh-CN" w:bidi="ar-SA"/>
        </w:rPr>
        <w:t>五、一般公共预算当年拨款情况说明</w:t>
      </w:r>
      <w:bookmarkEnd w:id="4"/>
    </w:p>
    <w:p w14:paraId="51F53C2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（一）一般公共预算当年拨款规模变化情况</w:t>
      </w:r>
    </w:p>
    <w:p w14:paraId="3CA09F7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区委党校2021年一般公共预算当年拨款253.78万元，比2020年预算数增加21.6万元，主要原因是人员增加、2021年公积金比例调整人员经费增加。</w:t>
      </w:r>
    </w:p>
    <w:p w14:paraId="06EFD42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（二）一般公共预算当年拨款结构情况</w:t>
      </w:r>
    </w:p>
    <w:p w14:paraId="03AEAAA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教育支出216.77万元，占85.4%；社会保障和就业支出14.81万元，占5.8%；卫生健康支出：7.62万元，占3%；住房保障支出：14.58万元，占5.7%。</w:t>
      </w:r>
    </w:p>
    <w:p w14:paraId="75E20DD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（三）一般公共预算当年拨款具体使用情况</w:t>
      </w:r>
    </w:p>
    <w:p w14:paraId="5C07D61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教育支出（类）进修及培训（款）干部教育（项）2021年预算数为216.77万元，其中：基本支出143.77万元主要用于：行政事业单位正常运转的基本支出，包括基本工资、津贴补贴等人员经费以及办公费、印刷费、水电费等日常公用经费,保障部门正常运转； 其他公用经费支出73万元主要用于：举办全区七类党员干部培训等经费支出以及教师进修费用、科研经费等。</w:t>
      </w:r>
    </w:p>
    <w:p w14:paraId="596878C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2.社会保障和就业（类）行政事业单位养老支出（款）机关事业单位基本养老保险缴费支出（项）2021年预算数为14.2万元，主要用于：实施养老保险制度由单位缴纳的基本养老保险费支出。</w:t>
      </w:r>
    </w:p>
    <w:p w14:paraId="6234CEA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3.社会保障和就业（类）其他社会保障和就业支出（款）其他社会保障和就业支出（项）2021年预算数为0.61万元，主要用于：由单位缴纳的失业、工伤保险支出。   </w:t>
      </w:r>
    </w:p>
    <w:p w14:paraId="3990D60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4.卫生健康支出（类）行政事业单位医疗（款）事业单位医疗（项）2021年预算数为7.62万元，主要用于：机关及事业单位按规定由单位缴纳的基本医疗保险支出。</w:t>
      </w:r>
    </w:p>
    <w:p w14:paraId="09ABDF5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5.住房保障（类）住房改革支出（款）住房公积金（项）2021年预算数为14.58万元，主要用于：部门按人力资源和社会保障部、财政部规定的基本工资和津贴补贴以及规定比例为职工缴纳的住房公积金支出。</w:t>
      </w:r>
    </w:p>
    <w:p w14:paraId="0DF0AFE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0"/>
        <w:rPr>
          <w:rFonts w:hint="eastAsia" w:ascii="黑体" w:hAnsi="黑体" w:eastAsia="黑体" w:cs="黑体"/>
          <w:b w:val="0"/>
          <w:bCs w:val="0"/>
          <w:color w:val="auto"/>
          <w:kern w:val="2"/>
          <w:sz w:val="32"/>
          <w:szCs w:val="32"/>
          <w:lang w:val="en-US" w:eastAsia="zh-CN" w:bidi="ar-SA"/>
        </w:rPr>
      </w:pPr>
      <w:bookmarkStart w:id="5" w:name="_Toc11727"/>
      <w:r>
        <w:rPr>
          <w:rFonts w:hint="eastAsia" w:ascii="黑体" w:hAnsi="黑体" w:eastAsia="黑体" w:cs="黑体"/>
          <w:b w:val="0"/>
          <w:bCs w:val="0"/>
          <w:color w:val="auto"/>
          <w:kern w:val="2"/>
          <w:sz w:val="32"/>
          <w:szCs w:val="32"/>
          <w:lang w:val="en-US" w:eastAsia="zh-CN" w:bidi="ar-SA"/>
        </w:rPr>
        <w:t>六、一般公共预算基本支出情况说明</w:t>
      </w:r>
      <w:bookmarkEnd w:id="5"/>
    </w:p>
    <w:p w14:paraId="7999155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区委党校2021年一般公共预算基本支出253.78万元，其中：人员经费155.45万元，主要包括：基本工资、津贴补贴、奖金、社会保险缴费、离休费、住房公积金等支出。</w:t>
      </w:r>
    </w:p>
    <w:p w14:paraId="416A209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公用经费98.33万元，主要包括：办公费、水费、电费、邮电费、印刷费、差旅费、维修（护）费、物业管理费、劳务费、会议费、培训费、接待费、其他交通费等支出。</w:t>
      </w:r>
    </w:p>
    <w:p w14:paraId="503044B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0"/>
        <w:rPr>
          <w:rFonts w:hint="eastAsia" w:ascii="黑体" w:hAnsi="黑体" w:eastAsia="黑体" w:cs="黑体"/>
          <w:b w:val="0"/>
          <w:bCs w:val="0"/>
          <w:color w:val="auto"/>
          <w:kern w:val="2"/>
          <w:sz w:val="32"/>
          <w:szCs w:val="32"/>
          <w:lang w:val="en-US" w:eastAsia="zh-CN" w:bidi="ar-SA"/>
        </w:rPr>
      </w:pPr>
      <w:bookmarkStart w:id="6" w:name="_Toc28997"/>
      <w:r>
        <w:rPr>
          <w:rFonts w:hint="eastAsia" w:ascii="黑体" w:hAnsi="黑体" w:eastAsia="黑体" w:cs="黑体"/>
          <w:b w:val="0"/>
          <w:bCs w:val="0"/>
          <w:color w:val="auto"/>
          <w:kern w:val="2"/>
          <w:sz w:val="32"/>
          <w:szCs w:val="32"/>
          <w:lang w:val="en-US" w:eastAsia="zh-CN" w:bidi="ar-SA"/>
        </w:rPr>
        <w:t>七、“三公”经费财政拨款预算安排情况说明</w:t>
      </w:r>
      <w:bookmarkEnd w:id="6"/>
    </w:p>
    <w:p w14:paraId="4E4D731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区委党校2021年“三公”经费财政拨款预算数2.33万元，其中：因公出国（境）经费0万元；公务用车运行维护费预算0万元；公务接待费2.33万元，较2020年下降0.85%，主要原因是接待费标准和批次都有所下降。</w:t>
      </w:r>
    </w:p>
    <w:p w14:paraId="1F6E6973">
      <w:pPr>
        <w:pStyle w:val="7"/>
        <w:widowControl/>
        <w:numPr>
          <w:ilvl w:val="0"/>
          <w:numId w:val="0"/>
        </w:numPr>
        <w:spacing w:before="120" w:line="576" w:lineRule="exact"/>
        <w:ind w:left="645" w:leftChars="0" w:right="0" w:rightChars="0"/>
        <w:rPr>
          <w:rFonts w:hint="default"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（一）2021</w:t>
      </w:r>
      <w:r>
        <w:rPr>
          <w:rFonts w:hint="default" w:ascii="Times New Roman" w:hAnsi="Times New Roman" w:eastAsia="楷体" w:cs="Times New Roman"/>
          <w:sz w:val="32"/>
          <w:szCs w:val="32"/>
        </w:rPr>
        <w:t>因公出国（境）经费</w:t>
      </w:r>
      <w:r>
        <w:rPr>
          <w:rFonts w:hint="eastAsia" w:ascii="Times New Roman" w:hAnsi="Times New Roman" w:eastAsia="楷体" w:cs="Times New Roman"/>
          <w:sz w:val="32"/>
          <w:szCs w:val="32"/>
          <w:lang w:val="en-US" w:eastAsia="zh-CN"/>
        </w:rPr>
        <w:t>预算为0，与</w:t>
      </w:r>
      <w:r>
        <w:rPr>
          <w:rFonts w:hint="default" w:ascii="Times New Roman" w:hAnsi="Times New Roman" w:eastAsia="楷体" w:cs="Times New Roman"/>
          <w:sz w:val="32"/>
          <w:szCs w:val="32"/>
        </w:rPr>
        <w:t>20</w:t>
      </w:r>
      <w:r>
        <w:rPr>
          <w:rFonts w:hint="default" w:ascii="Times New Roman" w:hAnsi="Times New Roman" w:eastAsia="楷体" w:cs="Times New Roman"/>
          <w:sz w:val="32"/>
          <w:szCs w:val="32"/>
          <w:lang w:val="en-US" w:eastAsia="zh-CN"/>
        </w:rPr>
        <w:t>20</w:t>
      </w:r>
      <w:r>
        <w:rPr>
          <w:rFonts w:hint="default" w:ascii="Times New Roman" w:hAnsi="Times New Roman" w:eastAsia="楷体" w:cs="Times New Roman"/>
          <w:sz w:val="32"/>
          <w:szCs w:val="32"/>
        </w:rPr>
        <w:t>年预算持平。</w:t>
      </w:r>
    </w:p>
    <w:p w14:paraId="5AD9155E">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公务接待费较2020年预算下降0.85%。</w:t>
      </w:r>
      <w:r>
        <w:rPr>
          <w:rFonts w:hint="eastAsia" w:ascii="仿宋_GB2312" w:hAnsi="仿宋_GB2312" w:eastAsia="仿宋_GB2312" w:cs="仿宋_GB2312"/>
          <w:b w:val="0"/>
          <w:bCs w:val="0"/>
          <w:color w:val="auto"/>
          <w:kern w:val="2"/>
          <w:sz w:val="32"/>
          <w:szCs w:val="32"/>
          <w:lang w:val="en-US" w:eastAsia="zh-CN" w:bidi="ar-SA"/>
        </w:rPr>
        <w:t>主要原因是按照党中央、国务院关于过“紧日子”和坚持厉行节约反对浪费的要求，进一步减少公务接待费支出。2021年公务接待费计划用于执行接待干部培训、考察调研、检查指导等公务活动开支的交通费、住宿费、用餐费等。</w:t>
      </w:r>
    </w:p>
    <w:p w14:paraId="2EBB7077">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Chars="200" w:right="0" w:rightChars="0"/>
        <w:jc w:val="both"/>
        <w:textAlignment w:val="auto"/>
        <w:rPr>
          <w:rFonts w:hint="default" w:ascii="Times New Roman" w:hAnsi="Times New Roman" w:eastAsia="楷体" w:cs="Times New Roman"/>
          <w:sz w:val="32"/>
          <w:szCs w:val="32"/>
        </w:rPr>
      </w:pPr>
      <w:r>
        <w:rPr>
          <w:rFonts w:hint="eastAsia" w:ascii="楷体_GB2312" w:hAnsi="楷体_GB2312" w:eastAsia="楷体_GB2312" w:cs="楷体_GB2312"/>
          <w:b w:val="0"/>
          <w:bCs w:val="0"/>
          <w:color w:val="auto"/>
          <w:kern w:val="2"/>
          <w:sz w:val="32"/>
          <w:szCs w:val="32"/>
          <w:lang w:val="en-US" w:eastAsia="zh-CN" w:bidi="ar-SA"/>
        </w:rPr>
        <w:t>（三）</w:t>
      </w:r>
      <w:r>
        <w:rPr>
          <w:rFonts w:hint="default" w:ascii="Times New Roman" w:hAnsi="Times New Roman" w:eastAsia="楷体" w:cs="Times New Roman"/>
          <w:sz w:val="32"/>
          <w:szCs w:val="32"/>
        </w:rPr>
        <w:t>公务用车购置及运行维护费与20</w:t>
      </w:r>
      <w:r>
        <w:rPr>
          <w:rFonts w:hint="default" w:ascii="Times New Roman" w:hAnsi="Times New Roman" w:eastAsia="楷体" w:cs="Times New Roman"/>
          <w:sz w:val="32"/>
          <w:szCs w:val="32"/>
          <w:lang w:val="en-US" w:eastAsia="zh-CN"/>
        </w:rPr>
        <w:t>20</w:t>
      </w:r>
      <w:r>
        <w:rPr>
          <w:rFonts w:hint="default" w:ascii="Times New Roman" w:hAnsi="Times New Roman" w:eastAsia="楷体" w:cs="Times New Roman"/>
          <w:sz w:val="32"/>
          <w:szCs w:val="32"/>
        </w:rPr>
        <w:t>年预算</w:t>
      </w:r>
      <w:r>
        <w:rPr>
          <w:rFonts w:hint="eastAsia" w:ascii="Times New Roman" w:hAnsi="Times New Roman" w:eastAsia="楷体" w:cs="Times New Roman"/>
          <w:sz w:val="32"/>
          <w:szCs w:val="32"/>
          <w:lang w:eastAsia="zh-CN"/>
        </w:rPr>
        <w:t>持平</w:t>
      </w:r>
      <w:r>
        <w:rPr>
          <w:rFonts w:hint="default" w:ascii="Times New Roman" w:hAnsi="Times New Roman" w:eastAsia="楷体" w:cs="Times New Roman"/>
          <w:sz w:val="32"/>
          <w:szCs w:val="32"/>
        </w:rPr>
        <w:t>。</w:t>
      </w:r>
    </w:p>
    <w:p w14:paraId="1C1E9DD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638" w:leftChars="304" w:right="0" w:firstLine="0" w:firstLineChars="0"/>
        <w:jc w:val="both"/>
        <w:textAlignment w:val="auto"/>
        <w:rPr>
          <w:rFonts w:hint="eastAsia" w:ascii="黑体" w:hAnsi="黑体" w:eastAsia="黑体" w:cs="黑体"/>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本单位2021年未安排公务用车车购置费和运行维护费。</w:t>
      </w:r>
      <w:r>
        <w:rPr>
          <w:rFonts w:hint="eastAsia" w:ascii="黑体" w:hAnsi="黑体" w:eastAsia="黑体" w:cs="黑体"/>
          <w:b w:val="0"/>
          <w:bCs w:val="0"/>
          <w:color w:val="auto"/>
          <w:kern w:val="2"/>
          <w:sz w:val="32"/>
          <w:szCs w:val="32"/>
          <w:lang w:val="en-US" w:eastAsia="zh-CN" w:bidi="ar-SA"/>
        </w:rPr>
        <w:t>八、政府性基金预算支出情况说明</w:t>
      </w:r>
    </w:p>
    <w:p w14:paraId="6ADDB45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区委党校2021年没有使用政府性基金预算拨款安排的支出。2021年本单位未在政府性基金预算拨款安排“三公”经费支出。</w:t>
      </w:r>
    </w:p>
    <w:p w14:paraId="1CBBB86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0"/>
        <w:rPr>
          <w:rFonts w:hint="eastAsia" w:ascii="黑体" w:hAnsi="黑体" w:eastAsia="黑体" w:cs="黑体"/>
          <w:b w:val="0"/>
          <w:bCs w:val="0"/>
          <w:color w:val="auto"/>
          <w:kern w:val="2"/>
          <w:sz w:val="32"/>
          <w:szCs w:val="32"/>
          <w:lang w:val="en-US" w:eastAsia="zh-CN" w:bidi="ar-SA"/>
        </w:rPr>
      </w:pPr>
      <w:bookmarkStart w:id="7" w:name="_Toc14269"/>
      <w:r>
        <w:rPr>
          <w:rFonts w:hint="eastAsia" w:ascii="黑体" w:hAnsi="黑体" w:eastAsia="黑体" w:cs="黑体"/>
          <w:b w:val="0"/>
          <w:bCs w:val="0"/>
          <w:color w:val="auto"/>
          <w:kern w:val="2"/>
          <w:sz w:val="32"/>
          <w:szCs w:val="32"/>
          <w:lang w:val="en-US" w:eastAsia="zh-CN" w:bidi="ar-SA"/>
        </w:rPr>
        <w:t>九、国有资本经营预算支出情况说明</w:t>
      </w:r>
      <w:bookmarkEnd w:id="7"/>
    </w:p>
    <w:p w14:paraId="3F1AF0D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区委党校2021年没有使用国有资本经营预算拨款安排的支出。</w:t>
      </w:r>
    </w:p>
    <w:p w14:paraId="1EFE476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0"/>
        <w:rPr>
          <w:rFonts w:hint="eastAsia" w:ascii="黑体" w:hAnsi="黑体" w:eastAsia="黑体" w:cs="黑体"/>
          <w:b w:val="0"/>
          <w:bCs w:val="0"/>
          <w:color w:val="auto"/>
          <w:kern w:val="2"/>
          <w:sz w:val="32"/>
          <w:szCs w:val="32"/>
          <w:lang w:val="en-US" w:eastAsia="zh-CN" w:bidi="ar-SA"/>
        </w:rPr>
      </w:pPr>
      <w:bookmarkStart w:id="8" w:name="_Toc10616"/>
      <w:r>
        <w:rPr>
          <w:rFonts w:hint="eastAsia" w:ascii="黑体" w:hAnsi="黑体" w:eastAsia="黑体" w:cs="黑体"/>
          <w:b w:val="0"/>
          <w:bCs w:val="0"/>
          <w:color w:val="auto"/>
          <w:kern w:val="2"/>
          <w:sz w:val="32"/>
          <w:szCs w:val="32"/>
          <w:lang w:val="en-US" w:eastAsia="zh-CN" w:bidi="ar-SA"/>
        </w:rPr>
        <w:t>十、其他重要事项的情况说明</w:t>
      </w:r>
      <w:bookmarkEnd w:id="8"/>
    </w:p>
    <w:p w14:paraId="0A5DFD6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（一）机关运行经费</w:t>
      </w:r>
    </w:p>
    <w:p w14:paraId="5A2D419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2021年，区委党校机关运行经费财政拨款预算为98.33万元，较2020年增长4.4%，主要原因是人员增加。</w:t>
      </w:r>
    </w:p>
    <w:p w14:paraId="728CF61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（二）政府采购情况</w:t>
      </w:r>
    </w:p>
    <w:p w14:paraId="60C4C0C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2021年，区委党校没有安排政府采购预算拨款的支出。</w:t>
      </w:r>
    </w:p>
    <w:p w14:paraId="1BEBE39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（三）国有资产占有使用情况</w:t>
      </w:r>
    </w:p>
    <w:p w14:paraId="5694CA5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截至2020年底，单位价值200万元以上大型设备0台（套）。</w:t>
      </w:r>
    </w:p>
    <w:p w14:paraId="1733016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2021年部门预算未安排购置车辆及单位价值200万元以上大型设备。</w:t>
      </w:r>
    </w:p>
    <w:p w14:paraId="6F7272D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（四）绩效目标设置情况</w:t>
      </w:r>
    </w:p>
    <w:p w14:paraId="4530946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绩效目标是预算编制的前提和基础，按照“费随事定”的原则，2021年项目按要求编制了绩效目标,从项目完成、项目效益、满意度等方面设置了绩效指标，综合反映项目预期完成的数量、成本、时效、质量，预期达到的社会效益、经济效益、生态效益、可持续影响以及服务对象满意度等情况。</w:t>
      </w:r>
    </w:p>
    <w:p w14:paraId="308E778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0"/>
        <w:rPr>
          <w:rFonts w:hint="eastAsia" w:ascii="黑体" w:hAnsi="黑体" w:eastAsia="黑体" w:cs="黑体"/>
          <w:b w:val="0"/>
          <w:bCs w:val="0"/>
          <w:color w:val="auto"/>
          <w:kern w:val="2"/>
          <w:sz w:val="32"/>
          <w:szCs w:val="32"/>
          <w:lang w:val="en-US" w:eastAsia="zh-CN" w:bidi="ar-SA"/>
        </w:rPr>
      </w:pPr>
      <w:bookmarkStart w:id="9" w:name="_Toc24019"/>
      <w:r>
        <w:rPr>
          <w:rFonts w:hint="eastAsia" w:ascii="黑体" w:hAnsi="黑体" w:eastAsia="黑体" w:cs="黑体"/>
          <w:b w:val="0"/>
          <w:bCs w:val="0"/>
          <w:color w:val="auto"/>
          <w:kern w:val="2"/>
          <w:sz w:val="32"/>
          <w:szCs w:val="32"/>
          <w:lang w:val="en-US" w:eastAsia="zh-CN" w:bidi="ar-SA"/>
        </w:rPr>
        <w:t>十一、名词解释</w:t>
      </w:r>
      <w:bookmarkEnd w:id="9"/>
    </w:p>
    <w:p w14:paraId="39E0806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（一）一般公共预算拨款收入</w:t>
      </w:r>
      <w:r>
        <w:rPr>
          <w:rFonts w:hint="eastAsia" w:ascii="仿宋_GB2312" w:hAnsi="仿宋_GB2312" w:eastAsia="仿宋_GB2312" w:cs="仿宋_GB2312"/>
          <w:b w:val="0"/>
          <w:bCs w:val="0"/>
          <w:color w:val="auto"/>
          <w:kern w:val="2"/>
          <w:sz w:val="32"/>
          <w:szCs w:val="32"/>
          <w:lang w:val="en-US" w:eastAsia="zh-CN" w:bidi="ar-SA"/>
        </w:rPr>
        <w:t>：指省级财政当年拨付的资金。</w:t>
      </w:r>
    </w:p>
    <w:p w14:paraId="77D0229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（二）教育（类）进修及培训（款）干部教育（项）</w:t>
      </w:r>
      <w:r>
        <w:rPr>
          <w:rFonts w:hint="eastAsia" w:ascii="仿宋_GB2312" w:hAnsi="仿宋_GB2312" w:eastAsia="仿宋_GB2312" w:cs="仿宋_GB2312"/>
          <w:b w:val="0"/>
          <w:bCs w:val="0"/>
          <w:color w:val="auto"/>
          <w:kern w:val="2"/>
          <w:sz w:val="32"/>
          <w:szCs w:val="32"/>
          <w:lang w:val="en-US" w:eastAsia="zh-CN" w:bidi="ar-SA"/>
        </w:rPr>
        <w:t>：指用于保障机构正常运行、开展日常工作的基本支出以及举办各类培训班的支出等。</w:t>
      </w:r>
    </w:p>
    <w:p w14:paraId="4209FEB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（三）社会保障和就业（类）行政事业单位养老支出（款）机关事业单位基本养老保险缴费支出（项）</w:t>
      </w:r>
      <w:r>
        <w:rPr>
          <w:rFonts w:hint="eastAsia" w:ascii="仿宋_GB2312" w:hAnsi="仿宋_GB2312" w:eastAsia="仿宋_GB2312" w:cs="仿宋_GB2312"/>
          <w:b w:val="0"/>
          <w:bCs w:val="0"/>
          <w:color w:val="auto"/>
          <w:kern w:val="2"/>
          <w:sz w:val="32"/>
          <w:szCs w:val="32"/>
          <w:lang w:val="en-US" w:eastAsia="zh-CN" w:bidi="ar-SA"/>
        </w:rPr>
        <w:t>：指部门实施养老保险制度由单位缴纳的养老保险费的支出。</w:t>
      </w:r>
    </w:p>
    <w:p w14:paraId="22620CA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b/>
          <w:bCs/>
          <w:color w:val="auto"/>
          <w:kern w:val="2"/>
          <w:sz w:val="32"/>
          <w:szCs w:val="32"/>
          <w:lang w:val="en-US" w:eastAsia="zh-CN" w:bidi="ar-SA"/>
        </w:rPr>
        <w:t>四）社会保障和就业（类）行政事业单位养老支出（款）机关事业单位职业年金缴费支出（项）：</w:t>
      </w:r>
      <w:r>
        <w:rPr>
          <w:rFonts w:hint="eastAsia" w:ascii="仿宋_GB2312" w:hAnsi="仿宋_GB2312" w:eastAsia="仿宋_GB2312" w:cs="仿宋_GB2312"/>
          <w:b w:val="0"/>
          <w:bCs w:val="0"/>
          <w:color w:val="auto"/>
          <w:kern w:val="2"/>
          <w:sz w:val="32"/>
          <w:szCs w:val="32"/>
          <w:lang w:val="en-US" w:eastAsia="zh-CN" w:bidi="ar-SA"/>
        </w:rPr>
        <w:t>指部门实施养老保险制度由单位缴纳的职业年金的支出。</w:t>
      </w:r>
    </w:p>
    <w:p w14:paraId="27CB308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（五）卫生健康（类）行政事业单位医疗（款）事业单位医疗（项）：</w:t>
      </w:r>
      <w:r>
        <w:rPr>
          <w:rFonts w:hint="eastAsia" w:ascii="仿宋_GB2312" w:hAnsi="仿宋_GB2312" w:eastAsia="仿宋_GB2312" w:cs="仿宋_GB2312"/>
          <w:b w:val="0"/>
          <w:bCs w:val="0"/>
          <w:color w:val="auto"/>
          <w:kern w:val="2"/>
          <w:sz w:val="32"/>
          <w:szCs w:val="32"/>
          <w:lang w:val="en-US" w:eastAsia="zh-CN" w:bidi="ar-SA"/>
        </w:rPr>
        <w:t>指事业单位用于单位应缴纳基本医疗保险支出。</w:t>
      </w:r>
    </w:p>
    <w:p w14:paraId="4A2C247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（六）住房保障（类）住房改革支出（款）住房公积金（项）：</w:t>
      </w:r>
      <w:r>
        <w:rPr>
          <w:rFonts w:hint="eastAsia" w:ascii="仿宋_GB2312" w:hAnsi="仿宋_GB2312" w:eastAsia="仿宋_GB2312" w:cs="仿宋_GB2312"/>
          <w:b w:val="0"/>
          <w:bCs w:val="0"/>
          <w:color w:val="auto"/>
          <w:kern w:val="2"/>
          <w:sz w:val="32"/>
          <w:szCs w:val="32"/>
          <w:lang w:val="en-US" w:eastAsia="zh-CN" w:bidi="ar-SA"/>
        </w:rPr>
        <w:t>指按照《住房公积金管理条例》的规定，由单位及其在职职工缴存的长期住房储金。</w:t>
      </w:r>
    </w:p>
    <w:p w14:paraId="203A3D6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（七）基本支出：</w:t>
      </w:r>
      <w:r>
        <w:rPr>
          <w:rFonts w:hint="eastAsia" w:ascii="仿宋_GB2312" w:hAnsi="仿宋_GB2312" w:eastAsia="仿宋_GB2312" w:cs="仿宋_GB2312"/>
          <w:b w:val="0"/>
          <w:bCs w:val="0"/>
          <w:color w:val="auto"/>
          <w:kern w:val="2"/>
          <w:sz w:val="32"/>
          <w:szCs w:val="32"/>
          <w:lang w:val="en-US" w:eastAsia="zh-CN" w:bidi="ar-SA"/>
        </w:rPr>
        <w:t>指为保证机构正常运转，完成日常工作任务发生的人员支出和公用支出。</w:t>
      </w:r>
    </w:p>
    <w:p w14:paraId="7EE69A0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（八）“三公”经费：</w:t>
      </w:r>
      <w:r>
        <w:rPr>
          <w:rFonts w:hint="eastAsia" w:ascii="仿宋_GB2312" w:hAnsi="仿宋_GB2312" w:eastAsia="仿宋_GB2312" w:cs="仿宋_GB2312"/>
          <w:b w:val="0"/>
          <w:bCs w:val="0"/>
          <w:color w:val="auto"/>
          <w:kern w:val="2"/>
          <w:sz w:val="32"/>
          <w:szCs w:val="32"/>
          <w:lang w:val="en-US" w:eastAsia="zh-CN" w:bidi="ar-SA"/>
        </w:rPr>
        <w:t>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2234A9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（九）机关运行经费：</w:t>
      </w:r>
      <w:r>
        <w:rPr>
          <w:rFonts w:hint="eastAsia" w:ascii="仿宋_GB2312" w:hAnsi="仿宋_GB2312" w:eastAsia="仿宋_GB2312" w:cs="仿宋_GB2312"/>
          <w:b w:val="0"/>
          <w:bCs w:val="0"/>
          <w:color w:val="auto"/>
          <w:kern w:val="2"/>
          <w:sz w:val="32"/>
          <w:szCs w:val="32"/>
          <w:lang w:val="en-US" w:eastAsia="zh-CN" w:bidi="ar-SA"/>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14:paraId="5F37074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B9C404-3860-42DB-9676-8CAD51B012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F966ED08-4E83-4B5E-BF97-F6716B147AC2}"/>
  </w:font>
  <w:font w:name="楷体_GB2312">
    <w:panose1 w:val="02010609030101010101"/>
    <w:charset w:val="86"/>
    <w:family w:val="auto"/>
    <w:pitch w:val="default"/>
    <w:sig w:usb0="00000001" w:usb1="080E0000" w:usb2="00000000" w:usb3="00000000" w:csb0="00040000" w:csb1="00000000"/>
    <w:embedRegular r:id="rId3" w:fontKey="{7062B85B-1514-4FE3-82F5-27126FEFAA5F}"/>
  </w:font>
  <w:font w:name="仿宋_GB2312">
    <w:altName w:val="仿宋"/>
    <w:panose1 w:val="02010609030101010101"/>
    <w:charset w:val="86"/>
    <w:family w:val="auto"/>
    <w:pitch w:val="default"/>
    <w:sig w:usb0="00000000" w:usb1="00000000" w:usb2="00000000" w:usb3="00000000" w:csb0="00040000" w:csb1="00000000"/>
    <w:embedRegular r:id="rId4" w:fontKey="{4772DE6D-7C3F-4041-B826-8FF00BAAECD5}"/>
  </w:font>
  <w:font w:name="楷体">
    <w:panose1 w:val="02010609060101010101"/>
    <w:charset w:val="86"/>
    <w:family w:val="auto"/>
    <w:pitch w:val="default"/>
    <w:sig w:usb0="800002BF" w:usb1="38CF7CFA" w:usb2="00000016" w:usb3="00000000" w:csb0="00040001" w:csb1="00000000"/>
    <w:embedRegular r:id="rId5" w:fontKey="{A2180CA8-DB80-42E1-BF62-659A361F3B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CF73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C49E7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6C49E7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170D6"/>
    <w:multiLevelType w:val="singleLevel"/>
    <w:tmpl w:val="B04170D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3YmJmZjUyYzU0M2ExMmFmYzExMDYxYjAxYjg1MDIifQ=="/>
  </w:docVars>
  <w:rsids>
    <w:rsidRoot w:val="00000000"/>
    <w:rsid w:val="00223060"/>
    <w:rsid w:val="003B0BDB"/>
    <w:rsid w:val="007B16B9"/>
    <w:rsid w:val="00BC5649"/>
    <w:rsid w:val="00BC757B"/>
    <w:rsid w:val="00D5063D"/>
    <w:rsid w:val="00EC119B"/>
    <w:rsid w:val="02482F41"/>
    <w:rsid w:val="031B5A1B"/>
    <w:rsid w:val="03247B3A"/>
    <w:rsid w:val="03EA48E9"/>
    <w:rsid w:val="05906D0A"/>
    <w:rsid w:val="06107EA4"/>
    <w:rsid w:val="06555934"/>
    <w:rsid w:val="06A44D39"/>
    <w:rsid w:val="071B4959"/>
    <w:rsid w:val="07A03F35"/>
    <w:rsid w:val="07BC3E62"/>
    <w:rsid w:val="07C94685"/>
    <w:rsid w:val="08221FFF"/>
    <w:rsid w:val="0837090F"/>
    <w:rsid w:val="089F3CB9"/>
    <w:rsid w:val="08C06C37"/>
    <w:rsid w:val="08C97D60"/>
    <w:rsid w:val="08E21B49"/>
    <w:rsid w:val="095742E5"/>
    <w:rsid w:val="09751228"/>
    <w:rsid w:val="0A0B2D60"/>
    <w:rsid w:val="0A173A74"/>
    <w:rsid w:val="0B7C3584"/>
    <w:rsid w:val="0B90238A"/>
    <w:rsid w:val="0B981358"/>
    <w:rsid w:val="0BAA6A49"/>
    <w:rsid w:val="0C351173"/>
    <w:rsid w:val="0CA024EB"/>
    <w:rsid w:val="0CD72E97"/>
    <w:rsid w:val="0D0D73CD"/>
    <w:rsid w:val="0D1A5BF7"/>
    <w:rsid w:val="0D345B03"/>
    <w:rsid w:val="0D35493D"/>
    <w:rsid w:val="0DB92B81"/>
    <w:rsid w:val="0E060087"/>
    <w:rsid w:val="0E586F81"/>
    <w:rsid w:val="0EC31E58"/>
    <w:rsid w:val="0EFA34EA"/>
    <w:rsid w:val="0F1B30F1"/>
    <w:rsid w:val="0F90020B"/>
    <w:rsid w:val="0FB87EC7"/>
    <w:rsid w:val="10334044"/>
    <w:rsid w:val="104F7F2D"/>
    <w:rsid w:val="10517663"/>
    <w:rsid w:val="10727C56"/>
    <w:rsid w:val="10AC49CA"/>
    <w:rsid w:val="11350486"/>
    <w:rsid w:val="11366ED6"/>
    <w:rsid w:val="1146645B"/>
    <w:rsid w:val="130B7E32"/>
    <w:rsid w:val="13427A12"/>
    <w:rsid w:val="13631AD8"/>
    <w:rsid w:val="13D50C28"/>
    <w:rsid w:val="13EB74FA"/>
    <w:rsid w:val="13F10144"/>
    <w:rsid w:val="13FF4F59"/>
    <w:rsid w:val="141942C9"/>
    <w:rsid w:val="14294AD0"/>
    <w:rsid w:val="14507331"/>
    <w:rsid w:val="1452335F"/>
    <w:rsid w:val="14725791"/>
    <w:rsid w:val="14C50801"/>
    <w:rsid w:val="14CC302A"/>
    <w:rsid w:val="14F52390"/>
    <w:rsid w:val="15523C05"/>
    <w:rsid w:val="155D1127"/>
    <w:rsid w:val="15657D89"/>
    <w:rsid w:val="15CD0665"/>
    <w:rsid w:val="16C5140C"/>
    <w:rsid w:val="16FB525A"/>
    <w:rsid w:val="172F064F"/>
    <w:rsid w:val="178079D4"/>
    <w:rsid w:val="17B65C3B"/>
    <w:rsid w:val="17F3449F"/>
    <w:rsid w:val="19084383"/>
    <w:rsid w:val="1982789A"/>
    <w:rsid w:val="19A3321F"/>
    <w:rsid w:val="19E44220"/>
    <w:rsid w:val="1A420699"/>
    <w:rsid w:val="1A451E6A"/>
    <w:rsid w:val="1A5954E1"/>
    <w:rsid w:val="1A964527"/>
    <w:rsid w:val="1B7E3953"/>
    <w:rsid w:val="1BDB7B53"/>
    <w:rsid w:val="1BEA723A"/>
    <w:rsid w:val="1BF52EC9"/>
    <w:rsid w:val="1BF87390"/>
    <w:rsid w:val="1C073948"/>
    <w:rsid w:val="1C3574A8"/>
    <w:rsid w:val="1C3F3E26"/>
    <w:rsid w:val="1C420E24"/>
    <w:rsid w:val="1C6F4DC0"/>
    <w:rsid w:val="1CB757FA"/>
    <w:rsid w:val="1CBF0632"/>
    <w:rsid w:val="1CCC41A2"/>
    <w:rsid w:val="1CD80866"/>
    <w:rsid w:val="1CE73E0C"/>
    <w:rsid w:val="1D676DED"/>
    <w:rsid w:val="1D7872F2"/>
    <w:rsid w:val="1DC959A4"/>
    <w:rsid w:val="1E1F3B23"/>
    <w:rsid w:val="1EBD3F26"/>
    <w:rsid w:val="1F25605A"/>
    <w:rsid w:val="1F831246"/>
    <w:rsid w:val="1F933D3E"/>
    <w:rsid w:val="1FC01315"/>
    <w:rsid w:val="1FC01ECF"/>
    <w:rsid w:val="20132F7C"/>
    <w:rsid w:val="21061630"/>
    <w:rsid w:val="212064D0"/>
    <w:rsid w:val="212F70BB"/>
    <w:rsid w:val="21642111"/>
    <w:rsid w:val="21C11DCC"/>
    <w:rsid w:val="222F59A7"/>
    <w:rsid w:val="223B50EF"/>
    <w:rsid w:val="22697EA3"/>
    <w:rsid w:val="227B16C4"/>
    <w:rsid w:val="23122DF1"/>
    <w:rsid w:val="23456BDE"/>
    <w:rsid w:val="2372485A"/>
    <w:rsid w:val="237E259C"/>
    <w:rsid w:val="23860A80"/>
    <w:rsid w:val="23F5677C"/>
    <w:rsid w:val="24030E99"/>
    <w:rsid w:val="24044C11"/>
    <w:rsid w:val="24341086"/>
    <w:rsid w:val="24427115"/>
    <w:rsid w:val="24CA0E3C"/>
    <w:rsid w:val="252E7EE3"/>
    <w:rsid w:val="25BC2B0F"/>
    <w:rsid w:val="25CC632A"/>
    <w:rsid w:val="27123F21"/>
    <w:rsid w:val="276F1893"/>
    <w:rsid w:val="278E4F1E"/>
    <w:rsid w:val="28AD4121"/>
    <w:rsid w:val="2910562D"/>
    <w:rsid w:val="29545C9E"/>
    <w:rsid w:val="2A372332"/>
    <w:rsid w:val="2A553B89"/>
    <w:rsid w:val="2AF754E5"/>
    <w:rsid w:val="2B37553A"/>
    <w:rsid w:val="2B667EDA"/>
    <w:rsid w:val="2B9E7139"/>
    <w:rsid w:val="2BB1567F"/>
    <w:rsid w:val="2BB94533"/>
    <w:rsid w:val="2BBB355C"/>
    <w:rsid w:val="2DB12D65"/>
    <w:rsid w:val="2DD71E6B"/>
    <w:rsid w:val="2DF02E38"/>
    <w:rsid w:val="2E7E7650"/>
    <w:rsid w:val="2EA32526"/>
    <w:rsid w:val="2EA74579"/>
    <w:rsid w:val="2F4947B1"/>
    <w:rsid w:val="2F5A7DDB"/>
    <w:rsid w:val="2F8D27F9"/>
    <w:rsid w:val="2FAF6379"/>
    <w:rsid w:val="3065483C"/>
    <w:rsid w:val="30D53BBD"/>
    <w:rsid w:val="30E738F1"/>
    <w:rsid w:val="31181CFC"/>
    <w:rsid w:val="31341314"/>
    <w:rsid w:val="31501496"/>
    <w:rsid w:val="31795D15"/>
    <w:rsid w:val="31E06BA4"/>
    <w:rsid w:val="323E5792"/>
    <w:rsid w:val="32476FE1"/>
    <w:rsid w:val="33696013"/>
    <w:rsid w:val="349319D2"/>
    <w:rsid w:val="350232B1"/>
    <w:rsid w:val="369C5154"/>
    <w:rsid w:val="36B70A0F"/>
    <w:rsid w:val="36C40CF1"/>
    <w:rsid w:val="36C44B13"/>
    <w:rsid w:val="36F823B4"/>
    <w:rsid w:val="37054AD1"/>
    <w:rsid w:val="3710594F"/>
    <w:rsid w:val="37873034"/>
    <w:rsid w:val="37C366EA"/>
    <w:rsid w:val="37F05781"/>
    <w:rsid w:val="38012D4F"/>
    <w:rsid w:val="385950D4"/>
    <w:rsid w:val="38B30861"/>
    <w:rsid w:val="38E30E42"/>
    <w:rsid w:val="38E47094"/>
    <w:rsid w:val="38F41517"/>
    <w:rsid w:val="3A050D5B"/>
    <w:rsid w:val="3A983D89"/>
    <w:rsid w:val="3B12562F"/>
    <w:rsid w:val="3B1D1A8A"/>
    <w:rsid w:val="3BCD6CDE"/>
    <w:rsid w:val="3BCF53FC"/>
    <w:rsid w:val="3BF217C6"/>
    <w:rsid w:val="3C0A06EF"/>
    <w:rsid w:val="3C0E651D"/>
    <w:rsid w:val="3C180D4E"/>
    <w:rsid w:val="3CC15E32"/>
    <w:rsid w:val="3DB62897"/>
    <w:rsid w:val="3E2139C0"/>
    <w:rsid w:val="3E391FE3"/>
    <w:rsid w:val="3E4F473A"/>
    <w:rsid w:val="3E501D7A"/>
    <w:rsid w:val="3F75615C"/>
    <w:rsid w:val="40194CC0"/>
    <w:rsid w:val="402661E4"/>
    <w:rsid w:val="40B63753"/>
    <w:rsid w:val="4101455B"/>
    <w:rsid w:val="410D280C"/>
    <w:rsid w:val="412600DA"/>
    <w:rsid w:val="415F5A01"/>
    <w:rsid w:val="419A0AE2"/>
    <w:rsid w:val="423C0550"/>
    <w:rsid w:val="426217EE"/>
    <w:rsid w:val="428523D4"/>
    <w:rsid w:val="43924FEC"/>
    <w:rsid w:val="448C7ED2"/>
    <w:rsid w:val="44A1408B"/>
    <w:rsid w:val="44BA6EFA"/>
    <w:rsid w:val="452774D8"/>
    <w:rsid w:val="45573F58"/>
    <w:rsid w:val="456F5F37"/>
    <w:rsid w:val="45707563"/>
    <w:rsid w:val="45BF41CB"/>
    <w:rsid w:val="45D0781E"/>
    <w:rsid w:val="4605689B"/>
    <w:rsid w:val="464F7B16"/>
    <w:rsid w:val="46B300A5"/>
    <w:rsid w:val="47363914"/>
    <w:rsid w:val="477C493B"/>
    <w:rsid w:val="478A0909"/>
    <w:rsid w:val="47BA5463"/>
    <w:rsid w:val="47BE5132"/>
    <w:rsid w:val="483A3FCF"/>
    <w:rsid w:val="488600C4"/>
    <w:rsid w:val="48B60C83"/>
    <w:rsid w:val="48E85B3D"/>
    <w:rsid w:val="48FA0FB1"/>
    <w:rsid w:val="48FB7D16"/>
    <w:rsid w:val="49706D54"/>
    <w:rsid w:val="49A34401"/>
    <w:rsid w:val="49BE3629"/>
    <w:rsid w:val="4A6022F2"/>
    <w:rsid w:val="4A995039"/>
    <w:rsid w:val="4AF0731F"/>
    <w:rsid w:val="4B8C1E88"/>
    <w:rsid w:val="4BC647F0"/>
    <w:rsid w:val="4C107B24"/>
    <w:rsid w:val="4CA66FA0"/>
    <w:rsid w:val="4DBE4788"/>
    <w:rsid w:val="4DE90850"/>
    <w:rsid w:val="4E3D4102"/>
    <w:rsid w:val="4E5549A7"/>
    <w:rsid w:val="4ECC43FA"/>
    <w:rsid w:val="4ED26A9D"/>
    <w:rsid w:val="4F5F0DCA"/>
    <w:rsid w:val="4F983E81"/>
    <w:rsid w:val="4F987B64"/>
    <w:rsid w:val="4FC03890"/>
    <w:rsid w:val="501C6279"/>
    <w:rsid w:val="50EA0B67"/>
    <w:rsid w:val="5150368F"/>
    <w:rsid w:val="51A82C42"/>
    <w:rsid w:val="51C35010"/>
    <w:rsid w:val="52CC6882"/>
    <w:rsid w:val="53AF703D"/>
    <w:rsid w:val="540B32CF"/>
    <w:rsid w:val="542E520F"/>
    <w:rsid w:val="54367279"/>
    <w:rsid w:val="5458228C"/>
    <w:rsid w:val="546450D5"/>
    <w:rsid w:val="547B4D49"/>
    <w:rsid w:val="554E399B"/>
    <w:rsid w:val="55563F87"/>
    <w:rsid w:val="55C209CF"/>
    <w:rsid w:val="55ED56A6"/>
    <w:rsid w:val="562419B5"/>
    <w:rsid w:val="5664316A"/>
    <w:rsid w:val="566F441A"/>
    <w:rsid w:val="56890E23"/>
    <w:rsid w:val="568B2FDB"/>
    <w:rsid w:val="56CF4C59"/>
    <w:rsid w:val="574275F8"/>
    <w:rsid w:val="57877110"/>
    <w:rsid w:val="5797131D"/>
    <w:rsid w:val="581F7664"/>
    <w:rsid w:val="58F55AC4"/>
    <w:rsid w:val="59D660F4"/>
    <w:rsid w:val="5A214ADF"/>
    <w:rsid w:val="5A5E26FB"/>
    <w:rsid w:val="5AA377F1"/>
    <w:rsid w:val="5ACF70D5"/>
    <w:rsid w:val="5B7A3696"/>
    <w:rsid w:val="5C0C1D1E"/>
    <w:rsid w:val="5C4B3EEE"/>
    <w:rsid w:val="5C536590"/>
    <w:rsid w:val="5D5654E7"/>
    <w:rsid w:val="5DD40BD5"/>
    <w:rsid w:val="5DF9063C"/>
    <w:rsid w:val="5E2812F2"/>
    <w:rsid w:val="5E3355AF"/>
    <w:rsid w:val="5E407478"/>
    <w:rsid w:val="5F7F1015"/>
    <w:rsid w:val="5FA01271"/>
    <w:rsid w:val="5FBC4DCC"/>
    <w:rsid w:val="6049220E"/>
    <w:rsid w:val="608F5287"/>
    <w:rsid w:val="60B30F76"/>
    <w:rsid w:val="61246A84"/>
    <w:rsid w:val="613B719E"/>
    <w:rsid w:val="6156588C"/>
    <w:rsid w:val="617772CC"/>
    <w:rsid w:val="619F14FA"/>
    <w:rsid w:val="622966B1"/>
    <w:rsid w:val="62A80882"/>
    <w:rsid w:val="62A97959"/>
    <w:rsid w:val="62AE7DF2"/>
    <w:rsid w:val="62D43425"/>
    <w:rsid w:val="632F6B39"/>
    <w:rsid w:val="641C5084"/>
    <w:rsid w:val="646E2095"/>
    <w:rsid w:val="64846130"/>
    <w:rsid w:val="64F41B5D"/>
    <w:rsid w:val="662C6691"/>
    <w:rsid w:val="66A976B6"/>
    <w:rsid w:val="66AC146D"/>
    <w:rsid w:val="673870E9"/>
    <w:rsid w:val="674C308C"/>
    <w:rsid w:val="674F2827"/>
    <w:rsid w:val="67BB0420"/>
    <w:rsid w:val="67F02C98"/>
    <w:rsid w:val="69012A9A"/>
    <w:rsid w:val="69202F63"/>
    <w:rsid w:val="69353455"/>
    <w:rsid w:val="6971150D"/>
    <w:rsid w:val="69733998"/>
    <w:rsid w:val="698A14A5"/>
    <w:rsid w:val="69C965CF"/>
    <w:rsid w:val="6A0A67AB"/>
    <w:rsid w:val="6A0E6649"/>
    <w:rsid w:val="6A4E7652"/>
    <w:rsid w:val="6A5A208E"/>
    <w:rsid w:val="6A950596"/>
    <w:rsid w:val="6AA93199"/>
    <w:rsid w:val="6B193210"/>
    <w:rsid w:val="6B7F5229"/>
    <w:rsid w:val="6E153270"/>
    <w:rsid w:val="6EA06611"/>
    <w:rsid w:val="6EB95717"/>
    <w:rsid w:val="6F10153D"/>
    <w:rsid w:val="6F4A5DE3"/>
    <w:rsid w:val="6F6614EA"/>
    <w:rsid w:val="6FE56C72"/>
    <w:rsid w:val="6FF2379A"/>
    <w:rsid w:val="70171915"/>
    <w:rsid w:val="70860230"/>
    <w:rsid w:val="70943C2D"/>
    <w:rsid w:val="70BD5937"/>
    <w:rsid w:val="712474C5"/>
    <w:rsid w:val="71336B71"/>
    <w:rsid w:val="715E7421"/>
    <w:rsid w:val="71FE401B"/>
    <w:rsid w:val="72437290"/>
    <w:rsid w:val="72451C4A"/>
    <w:rsid w:val="72AB760C"/>
    <w:rsid w:val="734E2E84"/>
    <w:rsid w:val="73965240"/>
    <w:rsid w:val="73A66718"/>
    <w:rsid w:val="75F84062"/>
    <w:rsid w:val="760301D6"/>
    <w:rsid w:val="769E3C6E"/>
    <w:rsid w:val="771E0C93"/>
    <w:rsid w:val="77E630E8"/>
    <w:rsid w:val="78905733"/>
    <w:rsid w:val="78B13B95"/>
    <w:rsid w:val="78ED58E7"/>
    <w:rsid w:val="79610547"/>
    <w:rsid w:val="798C4C0F"/>
    <w:rsid w:val="79B36ED6"/>
    <w:rsid w:val="79C131E2"/>
    <w:rsid w:val="79C478F8"/>
    <w:rsid w:val="79E9786F"/>
    <w:rsid w:val="7ABB62A7"/>
    <w:rsid w:val="7ACE07AD"/>
    <w:rsid w:val="7ADB6ACB"/>
    <w:rsid w:val="7ADF156F"/>
    <w:rsid w:val="7B213BEA"/>
    <w:rsid w:val="7B2F16E9"/>
    <w:rsid w:val="7B305EB8"/>
    <w:rsid w:val="7B7C2474"/>
    <w:rsid w:val="7BA63759"/>
    <w:rsid w:val="7BE0313D"/>
    <w:rsid w:val="7BE42CE7"/>
    <w:rsid w:val="7C866BF5"/>
    <w:rsid w:val="7D9D78DC"/>
    <w:rsid w:val="7DD51489"/>
    <w:rsid w:val="7DEE7639"/>
    <w:rsid w:val="7E4E25C9"/>
    <w:rsid w:val="7E5F4488"/>
    <w:rsid w:val="7E6300F5"/>
    <w:rsid w:val="7EDB4535"/>
    <w:rsid w:val="7EFA71E3"/>
    <w:rsid w:val="7F606315"/>
    <w:rsid w:val="7F6615AE"/>
    <w:rsid w:val="7FBA6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table of figures"/>
    <w:basedOn w:val="1"/>
    <w:next w:val="1"/>
    <w:qFormat/>
    <w:uiPriority w:val="0"/>
    <w:pPr>
      <w:ind w:left="400" w:leftChars="200" w:hanging="200" w:hangingChars="200"/>
    </w:pPr>
    <w:rPr>
      <w:rFonts w:ascii="Times New Roman" w:hAnsi="Times New Roman" w:eastAsia="宋体" w:cs="Times New Roman"/>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No Spacing"/>
    <w:qFormat/>
    <w:uiPriority w:val="1"/>
    <w:pPr>
      <w:widowControl w:val="0"/>
      <w:jc w:val="both"/>
    </w:pPr>
    <w:rPr>
      <w:rFonts w:ascii="Times New Roman" w:hAnsi="Times New Roman" w:eastAsia="仿宋" w:cs="Times New Roman"/>
      <w:kern w:val="2"/>
      <w:sz w:val="32"/>
      <w:szCs w:val="24"/>
      <w:lang w:val="en-US" w:eastAsia="zh-CN" w:bidi="ar-SA"/>
    </w:rPr>
  </w:style>
  <w:style w:type="paragraph" w:customStyle="1" w:styleId="1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4837</Words>
  <Characters>5156</Characters>
  <Lines>0</Lines>
  <Paragraphs>0</Paragraphs>
  <TotalTime>5</TotalTime>
  <ScaleCrop>false</ScaleCrop>
  <LinksUpToDate>false</LinksUpToDate>
  <CharactersWithSpaces>5194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Delmont Xiao</dc:creator>
  <cp:lastModifiedBy>昭化融媒体</cp:lastModifiedBy>
  <dcterms:modified xsi:type="dcterms:W3CDTF">2024-12-27T08:02:27Z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CC9E2E1047E6499DBF020923DE457376</vt:lpwstr>
  </property>
  <property fmtid="{D5CDD505-2E9C-101B-9397-08002B2CF9AE}" pid="4" name="KSOTemplateDocerSaveRecord">
    <vt:lpwstr>eyJoZGlkIjoiMGVhYTg4NGNkZWJkODFjNzcyZDRjM2M4Y2UzNjI5ZmUiLCJ1c2VySWQiOiI2MTE2MzEwMDYifQ==</vt:lpwstr>
  </property>
</Properties>
</file>