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333333"/>
          <w:spacing w:val="0"/>
          <w:sz w:val="44"/>
          <w:szCs w:val="44"/>
        </w:rPr>
      </w:pPr>
      <w:r>
        <w:rPr>
          <w:rStyle w:val="7"/>
          <w:rFonts w:hint="eastAsia" w:ascii="黑体" w:hAnsi="黑体" w:eastAsia="黑体" w:cs="黑体"/>
          <w:b/>
          <w:i w:val="0"/>
          <w:caps w:val="0"/>
          <w:color w:val="333333"/>
          <w:spacing w:val="0"/>
          <w:sz w:val="44"/>
          <w:szCs w:val="44"/>
          <w:shd w:val="clear" w:fill="FFFFFF"/>
        </w:rPr>
        <w:t>共青团广元市昭化区委员会2019年部门综合预算编制情况说明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一、主要职责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团区委负责制定全区团的建设规划，分类指导区直机关、农村以及企事业单位团的思想、组织、作风建设和团员的教育管理工作；负责加强团的领导班子、领导干部的思想政治作风建设；指导各级团组织抓好团员和青年的理论学习、党的路线、方针、政策以及科学文化、专业知识和法律知识的学习；指导各级团组织配合行政领导做好思想政治工作的统战工作；指导各级团组织发扬“全团带队”的传统，做好少先队工作和希望工程工作；完成区委和上级主管部门交办的其他工作。</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二、2019年重点工作</w:t>
      </w:r>
    </w:p>
    <w:p>
      <w:pPr>
        <w:pStyle w:val="2"/>
        <w:spacing w:before="166" w:line="336" w:lineRule="auto"/>
        <w:ind w:left="120" w:right="121" w:firstLine="492"/>
      </w:pPr>
      <w:r>
        <w:rPr>
          <w:rFonts w:hint="eastAsia" w:ascii="楷体" w:hAnsi="楷体" w:eastAsia="楷体"/>
          <w:b/>
          <w:spacing w:val="7"/>
        </w:rPr>
        <w:t>（一）</w:t>
      </w:r>
      <w:r>
        <w:rPr>
          <w:rFonts w:hint="eastAsia" w:ascii="楷体" w:hAnsi="楷体" w:eastAsia="楷体"/>
          <w:b/>
          <w:spacing w:val="5"/>
        </w:rPr>
        <w:t>多方位多路径，强化思想引领。</w:t>
      </w:r>
      <w:r>
        <w:rPr>
          <w:spacing w:val="4"/>
        </w:rPr>
        <w:t>以习近平新时代中国特色社会主义思想为指导，全面学习贯彻党的十九大、团十八次代表大会、省十四次团代会，市委七届七次全会、</w:t>
      </w:r>
      <w:r>
        <w:rPr>
          <w:spacing w:val="-4"/>
        </w:rPr>
        <w:t>区委七届六次全会精神，选树</w:t>
      </w:r>
      <w:bookmarkStart w:id="0" w:name="_GoBack"/>
      <w:bookmarkEnd w:id="0"/>
      <w:r>
        <w:rPr>
          <w:spacing w:val="-4"/>
        </w:rPr>
        <w:t>优秀典型，引导青少年培育和</w:t>
      </w:r>
      <w:r>
        <w:rPr>
          <w:spacing w:val="7"/>
        </w:rPr>
        <w:t>践行社会主义核心价值观。建设清朗网络新空间，以</w:t>
      </w:r>
      <w:r>
        <w:rPr>
          <w:rFonts w:ascii="Times New Roman" w:hAnsi="Times New Roman" w:eastAsia="Times New Roman"/>
          <w:spacing w:val="4"/>
        </w:rPr>
        <w:t>“</w:t>
      </w:r>
      <w:r>
        <w:rPr>
          <w:spacing w:val="3"/>
        </w:rPr>
        <w:t>智慧</w:t>
      </w:r>
      <w:r>
        <w:rPr>
          <w:spacing w:val="8"/>
        </w:rPr>
        <w:t>团建</w:t>
      </w:r>
      <w:r>
        <w:rPr>
          <w:rFonts w:ascii="Times New Roman" w:hAnsi="Times New Roman" w:eastAsia="Times New Roman"/>
          <w:spacing w:val="7"/>
        </w:rPr>
        <w:t>”</w:t>
      </w:r>
      <w:r>
        <w:rPr>
          <w:spacing w:val="7"/>
        </w:rPr>
        <w:t>、</w:t>
      </w:r>
      <w:r>
        <w:rPr>
          <w:rFonts w:ascii="Times New Roman" w:hAnsi="Times New Roman" w:eastAsia="Times New Roman"/>
          <w:spacing w:val="4"/>
        </w:rPr>
        <w:t>“</w:t>
      </w:r>
      <w:r>
        <w:rPr>
          <w:spacing w:val="8"/>
        </w:rPr>
        <w:t>青年之声</w:t>
      </w:r>
      <w:r>
        <w:rPr>
          <w:rFonts w:ascii="Times New Roman" w:hAnsi="Times New Roman" w:eastAsia="Times New Roman"/>
          <w:spacing w:val="4"/>
        </w:rPr>
        <w:t>”</w:t>
      </w:r>
      <w:r>
        <w:rPr>
          <w:spacing w:val="6"/>
        </w:rPr>
        <w:t xml:space="preserve">互动社交平台和网络舆论引导为重点， </w:t>
      </w:r>
      <w:r>
        <w:rPr>
          <w:spacing w:val="-14"/>
          <w:w w:val="95"/>
        </w:rPr>
        <w:t xml:space="preserve">把政治性、先进性、群众性延伸到网络空间与青年互动交流， </w:t>
      </w:r>
      <w:r>
        <w:rPr>
          <w:spacing w:val="4"/>
        </w:rPr>
        <w:t>弘扬主旋律、传递正能量。</w:t>
      </w:r>
    </w:p>
    <w:p>
      <w:pPr>
        <w:pStyle w:val="2"/>
        <w:spacing w:before="17" w:line="336" w:lineRule="auto"/>
        <w:ind w:left="120" w:right="121" w:firstLine="492"/>
      </w:pPr>
      <w:r>
        <w:rPr>
          <w:rFonts w:hint="eastAsia" w:ascii="楷体" w:hAnsi="楷体" w:eastAsia="楷体"/>
          <w:b/>
          <w:spacing w:val="7"/>
        </w:rPr>
        <w:t>（二）</w:t>
      </w:r>
      <w:r>
        <w:rPr>
          <w:rFonts w:hint="eastAsia" w:ascii="楷体" w:hAnsi="楷体" w:eastAsia="楷体"/>
          <w:b/>
          <w:spacing w:val="5"/>
        </w:rPr>
        <w:t>服务大局，进一步引导青年建功立业。</w:t>
      </w:r>
      <w:r>
        <w:rPr>
          <w:spacing w:val="3"/>
        </w:rPr>
        <w:t>开展随手</w:t>
      </w:r>
      <w:r>
        <w:rPr>
          <w:spacing w:val="-15"/>
          <w:w w:val="95"/>
        </w:rPr>
        <w:t xml:space="preserve">公益项目，利用网络线上平台开展小而精的公益活动，目前， </w:t>
      </w:r>
      <w:r>
        <w:rPr>
          <w:spacing w:val="-3"/>
        </w:rPr>
        <w:t>我委已启动开展线上微公益、共享单车、共衣物架等公益活</w:t>
      </w:r>
      <w:r>
        <w:rPr>
          <w:spacing w:val="-2"/>
        </w:rPr>
        <w:t>动；继续开展困难青少年救助和</w:t>
      </w:r>
      <w:r>
        <w:rPr>
          <w:rFonts w:ascii="Times New Roman" w:hAnsi="Times New Roman" w:eastAsia="Times New Roman"/>
        </w:rPr>
        <w:t>“</w:t>
      </w:r>
      <w:r>
        <w:rPr>
          <w:spacing w:val="5"/>
        </w:rPr>
        <w:t>我要上大学</w:t>
      </w:r>
      <w:r>
        <w:rPr>
          <w:rFonts w:ascii="Times New Roman" w:hAnsi="Times New Roman" w:eastAsia="Times New Roman"/>
        </w:rPr>
        <w:t>”</w:t>
      </w:r>
      <w:r>
        <w:rPr>
          <w:spacing w:val="-4"/>
        </w:rPr>
        <w:t>项目，广泛整</w:t>
      </w:r>
      <w:r>
        <w:rPr>
          <w:spacing w:val="4"/>
        </w:rPr>
        <w:t>合社会爱心力量，筹募资金，切实解决困难青少年最关心、</w:t>
      </w:r>
      <w:r>
        <w:rPr>
          <w:spacing w:val="-7"/>
        </w:rPr>
        <w:t>最直接、最现实的利益问题，为更多家庭困难学生提供资助</w:t>
      </w:r>
      <w:r>
        <w:rPr>
          <w:spacing w:val="-6"/>
        </w:rPr>
        <w:t>和帮扶。大力加强大学生西部计划志愿者项目，将继续做好</w:t>
      </w:r>
      <w:r>
        <w:rPr>
          <w:spacing w:val="4"/>
        </w:rPr>
        <w:t xml:space="preserve">志愿者的管理和服务工作，与每位志愿者签订目标责任书， </w:t>
      </w:r>
      <w:r>
        <w:rPr>
          <w:spacing w:val="-6"/>
        </w:rPr>
        <w:t>逗硬考核，组织志愿者定期开展集体活动和志愿服务，把这支队伍管好、用活。大力促进青年就业创业项目。继续实施</w:t>
      </w:r>
      <w:r>
        <w:rPr>
          <w:spacing w:val="5"/>
        </w:rPr>
        <w:t>好</w:t>
      </w:r>
      <w:r>
        <w:rPr>
          <w:rFonts w:ascii="Times New Roman" w:hAnsi="Times New Roman" w:eastAsia="Times New Roman"/>
          <w:spacing w:val="2"/>
        </w:rPr>
        <w:t>“SYE”</w:t>
      </w:r>
      <w:r>
        <w:rPr>
          <w:spacing w:val="5"/>
        </w:rPr>
        <w:t>项目，协调相关部门开展</w:t>
      </w:r>
      <w:r>
        <w:rPr>
          <w:rFonts w:ascii="Times New Roman" w:hAnsi="Times New Roman" w:eastAsia="Times New Roman"/>
          <w:spacing w:val="4"/>
        </w:rPr>
        <w:t>“</w:t>
      </w:r>
      <w:r>
        <w:rPr>
          <w:spacing w:val="5"/>
        </w:rPr>
        <w:t>订单式</w:t>
      </w:r>
      <w:r>
        <w:rPr>
          <w:rFonts w:ascii="Times New Roman" w:hAnsi="Times New Roman" w:eastAsia="Times New Roman"/>
          <w:spacing w:val="4"/>
        </w:rPr>
        <w:t>”</w:t>
      </w:r>
      <w:r>
        <w:rPr>
          <w:spacing w:val="5"/>
        </w:rPr>
        <w:t>、</w:t>
      </w:r>
      <w:r>
        <w:rPr>
          <w:rFonts w:ascii="Times New Roman" w:hAnsi="Times New Roman" w:eastAsia="Times New Roman"/>
          <w:spacing w:val="4"/>
        </w:rPr>
        <w:t>“</w:t>
      </w:r>
      <w:r>
        <w:rPr>
          <w:spacing w:val="5"/>
        </w:rPr>
        <w:t>定向式</w:t>
      </w:r>
      <w:r>
        <w:rPr>
          <w:rFonts w:ascii="Times New Roman" w:hAnsi="Times New Roman" w:eastAsia="Times New Roman"/>
          <w:spacing w:val="4"/>
        </w:rPr>
        <w:t>”</w:t>
      </w:r>
      <w:r>
        <w:rPr>
          <w:spacing w:val="2"/>
        </w:rPr>
        <w:t>就业</w:t>
      </w:r>
      <w:r>
        <w:rPr>
          <w:spacing w:val="-6"/>
        </w:rPr>
        <w:t>技能培训。加大就业创业典型的培养选树，激励广大青年通</w:t>
      </w:r>
      <w:r>
        <w:rPr>
          <w:spacing w:val="4"/>
        </w:rPr>
        <w:t>过劳动创造获取成功和进步。</w:t>
      </w:r>
    </w:p>
    <w:p>
      <w:pPr>
        <w:pStyle w:val="3"/>
        <w:keepNext w:val="0"/>
        <w:keepLines w:val="0"/>
        <w:pageBreakBefore w:val="0"/>
        <w:widowControl w:val="0"/>
        <w:kinsoku/>
        <w:wordWrap/>
        <w:overflowPunct/>
        <w:topLinePunct w:val="0"/>
        <w:autoSpaceDE/>
        <w:autoSpaceDN/>
        <w:bidi w:val="0"/>
        <w:adjustRightInd/>
        <w:snapToGrid/>
        <w:spacing w:before="0" w:line="576" w:lineRule="exact"/>
        <w:ind w:left="0" w:leftChars="0" w:firstLine="643" w:firstLineChars="200"/>
        <w:jc w:val="left"/>
        <w:textAlignment w:val="auto"/>
        <w:rPr>
          <w:rFonts w:ascii="仿宋_GB2312" w:eastAsia="仿宋_GB2312" w:hAnsiTheme="minorHAnsi" w:cstheme="minorBidi"/>
          <w:b w:val="0"/>
          <w:bCs w:val="0"/>
          <w:spacing w:val="4"/>
          <w:kern w:val="0"/>
          <w:sz w:val="30"/>
          <w:szCs w:val="24"/>
          <w:lang w:val="en-US" w:eastAsia="zh-CN" w:bidi="ar-SA"/>
        </w:rPr>
      </w:pPr>
      <w:r>
        <w:t>（三）当好桥梁，进一步帮助青年成长成才。</w:t>
      </w:r>
      <w:r>
        <w:rPr>
          <w:rFonts w:hint="eastAsia" w:ascii="仿宋" w:eastAsia="仿宋"/>
          <w:b w:val="0"/>
        </w:rPr>
        <w:t>抓</w:t>
      </w:r>
      <w:r>
        <w:rPr>
          <w:rFonts w:hint="eastAsia" w:ascii="仿宋_GB2312" w:eastAsia="仿宋_GB2312" w:hAnsiTheme="minorHAnsi" w:cstheme="minorBidi"/>
          <w:b w:val="0"/>
          <w:bCs w:val="0"/>
          <w:spacing w:val="4"/>
          <w:kern w:val="0"/>
          <w:sz w:val="30"/>
          <w:szCs w:val="24"/>
          <w:lang w:val="en-US" w:eastAsia="zh-CN" w:bidi="ar-SA"/>
        </w:rPr>
        <w:t>实预防</w:t>
      </w:r>
      <w:r>
        <w:rPr>
          <w:rFonts w:ascii="仿宋_GB2312" w:eastAsia="仿宋_GB2312" w:hAnsiTheme="minorHAnsi" w:cstheme="minorBidi"/>
          <w:b w:val="0"/>
          <w:bCs w:val="0"/>
          <w:spacing w:val="4"/>
          <w:kern w:val="0"/>
          <w:sz w:val="30"/>
          <w:szCs w:val="24"/>
          <w:lang w:val="en-US" w:eastAsia="zh-CN" w:bidi="ar-SA"/>
        </w:rPr>
        <w:t>青少年违法犯罪工作，充分发挥预青工作小组各成员单位的职能作用及时依法维护青少年的合法权益。丰富青少年业余生活，搭建青年交友平台，满足广大青年在婚恋交友、社会融入方面的现实需要。举办青少年才艺展示等活动，展示新时期青年朝气蓬勃、积极向上的风貌。积极整合社会资源， 深入开展“童伴计划”“青亲加油站”等品牌关爱项目，发挥区乡两级群团中心的枢纽作用，积极协同社会组织参与社会治理，有力实施留守学生志愿服务队伍建设、“城乡社区互助计划”、社区青少年综合服务平台建设项目。</w:t>
      </w:r>
    </w:p>
    <w:p>
      <w:pPr>
        <w:pStyle w:val="2"/>
        <w:spacing w:before="18" w:line="336" w:lineRule="auto"/>
        <w:ind w:left="120" w:right="166" w:firstLine="492"/>
      </w:pPr>
      <w:r>
        <w:rPr>
          <w:rFonts w:hint="eastAsia" w:ascii="楷体" w:hAnsi="楷体" w:eastAsia="楷体"/>
          <w:b/>
          <w:spacing w:val="7"/>
        </w:rPr>
        <w:t>（四</w:t>
      </w:r>
      <w:r>
        <w:rPr>
          <w:rFonts w:hint="eastAsia" w:ascii="楷体" w:hAnsi="楷体" w:eastAsia="楷体"/>
          <w:b/>
          <w:spacing w:val="5"/>
        </w:rPr>
        <w:t>）从严治团，进一步推进落实共青团改革。</w:t>
      </w:r>
      <w:r>
        <w:rPr>
          <w:spacing w:val="4"/>
        </w:rPr>
        <w:t>用习近</w:t>
      </w:r>
      <w:r>
        <w:rPr>
          <w:spacing w:val="-1"/>
        </w:rPr>
        <w:t>平新时代中国特色社会</w:t>
      </w:r>
      <w:r>
        <w:rPr>
          <w:rFonts w:hint="eastAsia"/>
          <w:spacing w:val="-1"/>
          <w:lang w:val="en-US" w:eastAsia="zh-CN"/>
        </w:rPr>
        <w:t>主义</w:t>
      </w:r>
      <w:r>
        <w:rPr>
          <w:spacing w:val="-1"/>
        </w:rPr>
        <w:t>思想指导共青团工作实践，坚定不移</w:t>
      </w:r>
      <w:r>
        <w:rPr>
          <w:spacing w:val="-4"/>
        </w:rPr>
        <w:t>地深化共青团改革攻坚。大力加强团的组织建设，在巩固传统领域团建的基础上，深入推进区域化团建工作，大力开展</w:t>
      </w:r>
      <w:r>
        <w:rPr>
          <w:rFonts w:ascii="Times New Roman" w:hAnsi="Times New Roman" w:eastAsia="Times New Roman"/>
          <w:spacing w:val="-4"/>
        </w:rPr>
        <w:t>“</w:t>
      </w:r>
      <w:r>
        <w:rPr>
          <w:spacing w:val="5"/>
        </w:rPr>
        <w:t>两新</w:t>
      </w:r>
      <w:r>
        <w:rPr>
          <w:rFonts w:ascii="Times New Roman" w:hAnsi="Times New Roman" w:eastAsia="Times New Roman"/>
        </w:rPr>
        <w:t>”</w:t>
      </w:r>
      <w:r>
        <w:rPr>
          <w:spacing w:val="-13"/>
        </w:rPr>
        <w:t>组织建团，不断延伸团组织的工作手臂。大力推进</w:t>
      </w:r>
      <w:r>
        <w:rPr>
          <w:rFonts w:ascii="Times New Roman" w:hAnsi="Times New Roman" w:eastAsia="Times New Roman"/>
          <w:spacing w:val="4"/>
        </w:rPr>
        <w:t>“</w:t>
      </w:r>
      <w:r>
        <w:t>青</w:t>
      </w:r>
      <w:r>
        <w:rPr>
          <w:spacing w:val="7"/>
        </w:rPr>
        <w:t>年之家</w:t>
      </w:r>
      <w:r>
        <w:rPr>
          <w:rFonts w:ascii="Times New Roman" w:hAnsi="Times New Roman" w:eastAsia="Times New Roman"/>
          <w:spacing w:val="4"/>
        </w:rPr>
        <w:t>”</w:t>
      </w:r>
      <w:r>
        <w:rPr>
          <w:spacing w:val="6"/>
        </w:rPr>
        <w:t>综合服务平台建设，积极倾听青年心声、广泛收集</w:t>
      </w:r>
      <w:r>
        <w:rPr>
          <w:spacing w:val="-2"/>
        </w:rPr>
        <w:t>青年意见、有力服务青年需求，打造</w:t>
      </w:r>
      <w:r>
        <w:rPr>
          <w:rFonts w:ascii="Times New Roman" w:hAnsi="Times New Roman" w:eastAsia="Times New Roman"/>
        </w:rPr>
        <w:t>“</w:t>
      </w:r>
      <w:r>
        <w:rPr>
          <w:spacing w:val="5"/>
        </w:rPr>
        <w:t>共青团门店</w:t>
      </w:r>
      <w:r>
        <w:rPr>
          <w:rFonts w:ascii="Times New Roman" w:hAnsi="Times New Roman" w:eastAsia="Times New Roman"/>
        </w:rPr>
        <w:t>”</w:t>
      </w:r>
      <w:r>
        <w:rPr>
          <w:spacing w:val="-4"/>
        </w:rPr>
        <w:t>。持续加</w:t>
      </w:r>
      <w:r>
        <w:rPr>
          <w:spacing w:val="-5"/>
        </w:rPr>
        <w:t>强团干部队伍建设。要大力加强团干部的思想政治教育，坚</w:t>
      </w:r>
      <w:r>
        <w:rPr>
          <w:spacing w:val="5"/>
        </w:rPr>
        <w:t>定理想信念，增强</w:t>
      </w:r>
      <w:r>
        <w:rPr>
          <w:rFonts w:ascii="Times New Roman" w:hAnsi="Times New Roman" w:eastAsia="Times New Roman"/>
        </w:rPr>
        <w:t>“</w:t>
      </w:r>
      <w:r>
        <w:rPr>
          <w:spacing w:val="5"/>
        </w:rPr>
        <w:t>四个意识</w:t>
      </w:r>
      <w:r>
        <w:rPr>
          <w:rFonts w:ascii="Times New Roman" w:hAnsi="Times New Roman" w:eastAsia="Times New Roman"/>
          <w:spacing w:val="3"/>
        </w:rPr>
        <w:t>”</w:t>
      </w:r>
      <w:r>
        <w:rPr>
          <w:spacing w:val="3"/>
        </w:rPr>
        <w:t>，严守政治纪律和政治规矩。</w:t>
      </w:r>
      <w:r>
        <w:rPr>
          <w:spacing w:val="4"/>
          <w:w w:val="95"/>
        </w:rPr>
        <w:t xml:space="preserve">认真落实直接联系青年制度，努力打造青年身边的共青团。 </w:t>
      </w:r>
      <w:r>
        <w:rPr>
          <w:spacing w:val="-4"/>
        </w:rPr>
        <w:t>不断加强团员教育管理。严格发展团员，认真落实《关于加强新形势下发展团员和团员管理工作的意见》，严控初中、</w:t>
      </w:r>
      <w:r>
        <w:rPr>
          <w:spacing w:val="-3"/>
        </w:rPr>
        <w:t>高中阶段毕业班团学比例。加强团员教育管理，保持和增强</w:t>
      </w:r>
      <w:r>
        <w:rPr>
          <w:spacing w:val="7"/>
        </w:rPr>
        <w:t>团员先进性</w:t>
      </w:r>
      <w:r>
        <w:rPr>
          <w:rFonts w:ascii="Times New Roman" w:hAnsi="Times New Roman" w:eastAsia="Times New Roman"/>
          <w:spacing w:val="-1"/>
        </w:rPr>
        <w:t xml:space="preserve">, </w:t>
      </w:r>
      <w:r>
        <w:rPr>
          <w:spacing w:val="7"/>
        </w:rPr>
        <w:t>防止</w:t>
      </w:r>
      <w:r>
        <w:rPr>
          <w:rFonts w:ascii="Times New Roman" w:hAnsi="Times New Roman" w:eastAsia="Times New Roman"/>
          <w:spacing w:val="7"/>
        </w:rPr>
        <w:t>“</w:t>
      </w:r>
      <w:r>
        <w:rPr>
          <w:spacing w:val="7"/>
        </w:rPr>
        <w:t>团、青</w:t>
      </w:r>
      <w:r>
        <w:rPr>
          <w:rFonts w:ascii="Times New Roman" w:hAnsi="Times New Roman" w:eastAsia="Times New Roman"/>
          <w:spacing w:val="7"/>
        </w:rPr>
        <w:t>”</w:t>
      </w:r>
      <w:r>
        <w:rPr>
          <w:spacing w:val="6"/>
        </w:rPr>
        <w:t xml:space="preserve">不分现象；发挥团员模范作用， </w:t>
      </w:r>
      <w:r>
        <w:rPr>
          <w:spacing w:val="4"/>
          <w:w w:val="95"/>
        </w:rPr>
        <w:t>积极开展团员先锋岗、示范岗评选、团员承诺践诺等活动，</w:t>
      </w:r>
      <w:r>
        <w:rPr>
          <w:spacing w:val="9"/>
          <w:w w:val="95"/>
        </w:rPr>
        <w:t>大力推进团员成为注册志愿者、网络文明志愿者工作</w:t>
      </w:r>
      <w:r>
        <w:rPr>
          <w:rFonts w:ascii="Times New Roman" w:eastAsia="Times New Roman"/>
          <w:spacing w:val="9"/>
          <w:w w:val="95"/>
        </w:rPr>
        <w:t>,</w:t>
      </w:r>
      <w:r>
        <w:rPr>
          <w:spacing w:val="4"/>
          <w:w w:val="95"/>
        </w:rPr>
        <w:t xml:space="preserve">充分 </w:t>
      </w:r>
      <w:r>
        <w:rPr>
          <w:spacing w:val="4"/>
        </w:rPr>
        <w:t>发挥团员在青年中的模范作用和对青年的凝聚作用。</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三、部门预算单位构成</w:t>
      </w:r>
    </w:p>
    <w:p>
      <w:pPr>
        <w:ind w:firstLine="640" w:firstLineChars="200"/>
        <w:rPr>
          <w:rFonts w:hint="eastAsia"/>
        </w:rPr>
      </w:pPr>
      <w:r>
        <w:rPr>
          <w:rFonts w:hint="eastAsia" w:ascii="方正仿宋_GB2312" w:hAnsi="方正仿宋_GB2312" w:eastAsia="方正仿宋_GB2312" w:cs="方正仿宋_GB2312"/>
          <w:bCs/>
          <w:color w:val="000000"/>
          <w:kern w:val="0"/>
          <w:sz w:val="32"/>
          <w:szCs w:val="32"/>
          <w:lang w:val="en-US" w:eastAsia="zh-CN" w:bidi="ar"/>
        </w:rPr>
        <w:t>中国共产主义青年团广元市昭化区委员会（以下简称：团区委）属一级预算单位。</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四、收支预算情况说明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eastAsia="宋体"/>
          <w:lang w:val="en-US" w:eastAsia="zh-CN"/>
        </w:rPr>
      </w:pPr>
      <w:r>
        <w:rPr>
          <w:rFonts w:hint="eastAsia" w:ascii="方正仿宋_GB2312" w:hAnsi="方正仿宋_GB2312" w:eastAsia="方正仿宋_GB2312" w:cs="方正仿宋_GB2312"/>
          <w:bCs/>
          <w:color w:val="000000"/>
          <w:kern w:val="0"/>
          <w:sz w:val="32"/>
          <w:szCs w:val="32"/>
          <w:lang w:val="en-US" w:eastAsia="zh-CN" w:bidi="ar"/>
        </w:rPr>
        <w:t>按照综合预算的原则，团区委所有收入和支出均纳入部门预算管理。收入包括：一般公共预算拨款收入、上年结转；支出包括：一般公共服务支出、教育支出、社会保障和就业支出、卫生健康支出、住房保障支出。2019年收支总预算</w:t>
      </w:r>
      <w:r>
        <w:rPr>
          <w:rFonts w:hint="eastAsia" w:ascii="仿宋" w:hAnsi="仿宋" w:eastAsia="仿宋" w:cs="仿宋"/>
          <w:i w:val="0"/>
          <w:caps w:val="0"/>
          <w:color w:val="333333"/>
          <w:spacing w:val="0"/>
          <w:sz w:val="32"/>
          <w:szCs w:val="32"/>
          <w:shd w:val="clear" w:fill="FFFFFF"/>
        </w:rPr>
        <w:t>105.5万元，较2018年部门预算收入总数101.62万元增加3.88万元,增长3.82 %</w:t>
      </w:r>
      <w:r>
        <w:rPr>
          <w:rFonts w:hint="eastAsia" w:ascii="仿宋" w:hAnsi="仿宋" w:eastAsia="仿宋" w:cs="仿宋"/>
          <w:i w:val="0"/>
          <w:caps w:val="0"/>
          <w:color w:val="333333"/>
          <w:spacing w:val="0"/>
          <w:sz w:val="32"/>
          <w:szCs w:val="32"/>
          <w:shd w:val="clear" w:fill="FFFFFF"/>
          <w:lang w:eastAsia="zh-CN"/>
        </w:rPr>
        <w:t>，</w:t>
      </w:r>
      <w:r>
        <w:rPr>
          <w:rFonts w:hint="eastAsia" w:ascii="方正仿宋_GB2312" w:hAnsi="方正仿宋_GB2312" w:eastAsia="方正仿宋_GB2312" w:cs="方正仿宋_GB2312"/>
          <w:bCs/>
          <w:color w:val="000000"/>
          <w:kern w:val="0"/>
          <w:sz w:val="32"/>
          <w:szCs w:val="32"/>
          <w:lang w:val="en-US" w:eastAsia="zh-CN" w:bidi="ar"/>
        </w:rPr>
        <w:t>主要原因是2019年部门预算中增加新增人员相关费用</w:t>
      </w:r>
      <w:r>
        <w:rPr>
          <w:rFonts w:hint="eastAsia" w:ascii="仿宋" w:hAnsi="仿宋" w:eastAsia="仿宋" w:cs="仿宋"/>
          <w:i w:val="0"/>
          <w:caps w:val="0"/>
          <w:color w:val="333333"/>
          <w:spacing w:val="0"/>
          <w:sz w:val="32"/>
          <w:szCs w:val="32"/>
          <w:shd w:val="clear" w:fill="FFFFFF"/>
          <w:lang w:eastAsia="zh-CN"/>
        </w:rPr>
        <w:t>。</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（一）收入预算情况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2019年收入预算</w:t>
      </w:r>
      <w:r>
        <w:rPr>
          <w:rFonts w:hint="eastAsia" w:ascii="仿宋" w:hAnsi="仿宋" w:eastAsia="仿宋" w:cs="仿宋"/>
          <w:i w:val="0"/>
          <w:caps w:val="0"/>
          <w:color w:val="333333"/>
          <w:spacing w:val="0"/>
          <w:sz w:val="32"/>
          <w:szCs w:val="32"/>
          <w:shd w:val="clear" w:fill="FFFFFF"/>
        </w:rPr>
        <w:t>105.5</w:t>
      </w:r>
      <w:r>
        <w:rPr>
          <w:rFonts w:hint="eastAsia" w:ascii="方正仿宋_GB2312" w:hAnsi="方正仿宋_GB2312" w:eastAsia="方正仿宋_GB2312" w:cs="方正仿宋_GB2312"/>
          <w:bCs/>
          <w:color w:val="000000"/>
          <w:kern w:val="0"/>
          <w:sz w:val="32"/>
          <w:szCs w:val="32"/>
          <w:lang w:val="en-US" w:eastAsia="zh-CN" w:bidi="ar"/>
        </w:rPr>
        <w:t>万元，一般公共预算拨款收入</w:t>
      </w:r>
      <w:r>
        <w:rPr>
          <w:rFonts w:hint="eastAsia" w:ascii="仿宋" w:hAnsi="仿宋" w:eastAsia="仿宋" w:cs="仿宋"/>
          <w:i w:val="0"/>
          <w:caps w:val="0"/>
          <w:color w:val="333333"/>
          <w:spacing w:val="0"/>
          <w:sz w:val="32"/>
          <w:szCs w:val="32"/>
          <w:shd w:val="clear" w:fill="FFFFFF"/>
        </w:rPr>
        <w:t>105.5</w:t>
      </w:r>
      <w:r>
        <w:rPr>
          <w:rFonts w:hint="eastAsia" w:ascii="方正仿宋_GB2312" w:hAnsi="方正仿宋_GB2312" w:eastAsia="方正仿宋_GB2312" w:cs="方正仿宋_GB2312"/>
          <w:bCs/>
          <w:color w:val="000000"/>
          <w:kern w:val="0"/>
          <w:sz w:val="32"/>
          <w:szCs w:val="32"/>
          <w:lang w:val="en-US" w:eastAsia="zh-CN" w:bidi="ar"/>
        </w:rPr>
        <w:t>万元，占100%。</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（二）支出预算情况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2019年支出预算</w:t>
      </w:r>
      <w:r>
        <w:rPr>
          <w:rFonts w:hint="eastAsia" w:ascii="仿宋" w:hAnsi="仿宋" w:eastAsia="仿宋" w:cs="仿宋"/>
          <w:i w:val="0"/>
          <w:caps w:val="0"/>
          <w:color w:val="333333"/>
          <w:spacing w:val="0"/>
          <w:sz w:val="32"/>
          <w:szCs w:val="32"/>
          <w:shd w:val="clear" w:fill="FFFFFF"/>
        </w:rPr>
        <w:t>105.5</w:t>
      </w:r>
      <w:r>
        <w:rPr>
          <w:rFonts w:hint="eastAsia" w:ascii="方正仿宋_GB2312" w:hAnsi="方正仿宋_GB2312" w:eastAsia="方正仿宋_GB2312" w:cs="方正仿宋_GB2312"/>
          <w:bCs/>
          <w:color w:val="000000"/>
          <w:kern w:val="0"/>
          <w:sz w:val="32"/>
          <w:szCs w:val="32"/>
          <w:lang w:val="en-US" w:eastAsia="zh-CN" w:bidi="ar"/>
        </w:rPr>
        <w:t>万元，基本支出</w:t>
      </w:r>
      <w:r>
        <w:rPr>
          <w:rFonts w:hint="eastAsia" w:ascii="仿宋" w:hAnsi="仿宋" w:eastAsia="仿宋" w:cs="仿宋"/>
          <w:i w:val="0"/>
          <w:caps w:val="0"/>
          <w:color w:val="333333"/>
          <w:spacing w:val="0"/>
          <w:sz w:val="32"/>
          <w:szCs w:val="32"/>
          <w:shd w:val="clear" w:fill="FFFFFF"/>
        </w:rPr>
        <w:t>105.5</w:t>
      </w:r>
      <w:r>
        <w:rPr>
          <w:rFonts w:hint="eastAsia" w:ascii="方正仿宋_GB2312" w:hAnsi="方正仿宋_GB2312" w:eastAsia="方正仿宋_GB2312" w:cs="方正仿宋_GB2312"/>
          <w:bCs/>
          <w:color w:val="000000"/>
          <w:kern w:val="0"/>
          <w:sz w:val="32"/>
          <w:szCs w:val="32"/>
          <w:lang w:val="en-US" w:eastAsia="zh-CN" w:bidi="ar"/>
        </w:rPr>
        <w:t>万元，占100%。</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五、财政拨款收支预算情况说明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2019年部门预算支出总数105.5万元，较2018年部门预算支出总数101.62万元增加3.88万元,增长3.82 %</w:t>
      </w:r>
      <w:r>
        <w:rPr>
          <w:rFonts w:hint="eastAsia" w:ascii="仿宋" w:hAnsi="仿宋" w:eastAsia="仿宋" w:cs="仿宋"/>
          <w:i w:val="0"/>
          <w:caps w:val="0"/>
          <w:color w:val="333333"/>
          <w:spacing w:val="0"/>
          <w:sz w:val="32"/>
          <w:szCs w:val="32"/>
          <w:shd w:val="clear" w:fill="FFFFFF"/>
          <w:lang w:eastAsia="zh-CN"/>
        </w:rPr>
        <w:t>，</w:t>
      </w:r>
      <w:r>
        <w:rPr>
          <w:rFonts w:hint="eastAsia" w:ascii="方正仿宋_GB2312" w:hAnsi="方正仿宋_GB2312" w:eastAsia="方正仿宋_GB2312" w:cs="方正仿宋_GB2312"/>
          <w:bCs/>
          <w:color w:val="000000"/>
          <w:kern w:val="0"/>
          <w:sz w:val="32"/>
          <w:szCs w:val="32"/>
          <w:lang w:val="en-US" w:eastAsia="zh-CN" w:bidi="ar"/>
        </w:rPr>
        <w:t>主要原因是2019年部门预算中增加新增人员相关费用</w:t>
      </w:r>
      <w:r>
        <w:rPr>
          <w:rFonts w:hint="eastAsia" w:ascii="仿宋" w:hAnsi="仿宋" w:eastAsia="仿宋" w:cs="仿宋"/>
          <w:i w:val="0"/>
          <w:caps w:val="0"/>
          <w:color w:val="333333"/>
          <w:spacing w:val="0"/>
          <w:sz w:val="32"/>
          <w:szCs w:val="32"/>
          <w:shd w:val="clear" w:fill="FFFFFF"/>
          <w:lang w:eastAsia="zh-CN"/>
        </w:rPr>
        <w:t>。</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收</w:t>
      </w:r>
      <w:r>
        <w:rPr>
          <w:rFonts w:hint="eastAsia" w:ascii="方正仿宋_GB2312" w:hAnsi="方正仿宋_GB2312" w:eastAsia="方正仿宋_GB2312" w:cs="方正仿宋_GB2312"/>
          <w:bCs/>
          <w:color w:val="000000" w:themeColor="text1"/>
          <w:kern w:val="0"/>
          <w:sz w:val="32"/>
          <w:szCs w:val="32"/>
          <w:highlight w:val="none"/>
          <w:lang w:val="en-US" w:eastAsia="zh-CN" w:bidi="ar"/>
          <w14:textFill>
            <w14:solidFill>
              <w14:schemeClr w14:val="tx1"/>
            </w14:solidFill>
          </w14:textFill>
        </w:rPr>
        <w:t>入包括：本年一般公共预算拨款收入105.5万元；支出包括：一般公共服务支出96.72万元、社会保障和就业支出4.31万元、卫生健康支出1.74万元、住房保障支出2.73</w:t>
      </w:r>
      <w:r>
        <w:rPr>
          <w:rFonts w:hint="eastAsia" w:ascii="方正仿宋_GB2312" w:hAnsi="方正仿宋_GB2312" w:eastAsia="方正仿宋_GB2312" w:cs="方正仿宋_GB2312"/>
          <w:bCs/>
          <w:color w:val="000000"/>
          <w:kern w:val="0"/>
          <w:sz w:val="32"/>
          <w:szCs w:val="32"/>
          <w:lang w:val="en-US" w:eastAsia="zh-CN" w:bidi="ar"/>
        </w:rPr>
        <w:t>万元。</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六、一般公共预算当年拨款情况说明</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（一）一般公共预算当年拨款规模变化情况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shd w:val="clear" w:fill="FFFFFF"/>
          <w:lang w:eastAsia="zh-CN"/>
        </w:rPr>
      </w:pPr>
      <w:r>
        <w:rPr>
          <w:rFonts w:hint="eastAsia" w:ascii="方正仿宋_GB2312" w:hAnsi="方正仿宋_GB2312" w:eastAsia="方正仿宋_GB2312" w:cs="方正仿宋_GB2312"/>
          <w:bCs/>
          <w:color w:val="000000"/>
          <w:kern w:val="0"/>
          <w:sz w:val="32"/>
          <w:szCs w:val="32"/>
          <w:lang w:val="en-US" w:eastAsia="zh-CN" w:bidi="ar"/>
        </w:rPr>
        <w:t>2019年一般公共预算当年拨款</w:t>
      </w:r>
      <w:r>
        <w:rPr>
          <w:rFonts w:hint="eastAsia" w:ascii="仿宋" w:hAnsi="仿宋" w:eastAsia="仿宋" w:cs="仿宋"/>
          <w:i w:val="0"/>
          <w:caps w:val="0"/>
          <w:color w:val="333333"/>
          <w:spacing w:val="0"/>
          <w:sz w:val="32"/>
          <w:szCs w:val="32"/>
          <w:shd w:val="clear" w:fill="FFFFFF"/>
        </w:rPr>
        <w:t>105.5</w:t>
      </w:r>
      <w:r>
        <w:rPr>
          <w:rFonts w:hint="eastAsia" w:ascii="方正仿宋_GB2312" w:hAnsi="方正仿宋_GB2312" w:eastAsia="方正仿宋_GB2312" w:cs="方正仿宋_GB2312"/>
          <w:bCs/>
          <w:color w:val="000000"/>
          <w:kern w:val="0"/>
          <w:sz w:val="32"/>
          <w:szCs w:val="32"/>
          <w:lang w:val="en-US" w:eastAsia="zh-CN" w:bidi="ar"/>
        </w:rPr>
        <w:t>万元，比2018年预算数增加</w:t>
      </w:r>
      <w:r>
        <w:rPr>
          <w:rFonts w:hint="eastAsia" w:ascii="仿宋" w:hAnsi="仿宋" w:eastAsia="仿宋" w:cs="仿宋"/>
          <w:i w:val="0"/>
          <w:caps w:val="0"/>
          <w:color w:val="333333"/>
          <w:spacing w:val="0"/>
          <w:sz w:val="32"/>
          <w:szCs w:val="32"/>
          <w:shd w:val="clear" w:fill="FFFFFF"/>
        </w:rPr>
        <w:t>3.88万元,增长3.82 %</w:t>
      </w:r>
      <w:r>
        <w:rPr>
          <w:rFonts w:hint="eastAsia" w:ascii="仿宋" w:hAnsi="仿宋" w:eastAsia="仿宋" w:cs="仿宋"/>
          <w:i w:val="0"/>
          <w:caps w:val="0"/>
          <w:color w:val="333333"/>
          <w:spacing w:val="0"/>
          <w:sz w:val="32"/>
          <w:szCs w:val="32"/>
          <w:shd w:val="clear" w:fill="FFFFFF"/>
          <w:lang w:eastAsia="zh-CN"/>
        </w:rPr>
        <w:t>，</w:t>
      </w:r>
      <w:r>
        <w:rPr>
          <w:rFonts w:hint="eastAsia" w:ascii="方正仿宋_GB2312" w:hAnsi="方正仿宋_GB2312" w:eastAsia="方正仿宋_GB2312" w:cs="方正仿宋_GB2312"/>
          <w:bCs/>
          <w:color w:val="000000"/>
          <w:kern w:val="0"/>
          <w:sz w:val="32"/>
          <w:szCs w:val="32"/>
          <w:lang w:val="en-US" w:eastAsia="zh-CN" w:bidi="ar"/>
        </w:rPr>
        <w:t>主要原因是2019年部门预算中增加新增人员相关费用</w:t>
      </w:r>
      <w:r>
        <w:rPr>
          <w:rFonts w:hint="eastAsia" w:ascii="仿宋" w:hAnsi="仿宋" w:eastAsia="仿宋" w:cs="仿宋"/>
          <w:i w:val="0"/>
          <w:caps w:val="0"/>
          <w:color w:val="333333"/>
          <w:spacing w:val="0"/>
          <w:sz w:val="32"/>
          <w:szCs w:val="32"/>
          <w:shd w:val="clear" w:fill="FFFFFF"/>
          <w:lang w:eastAsia="zh-CN"/>
        </w:rPr>
        <w:t>。</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（二）一般公共预算当年拨款结构情况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一般公共服务支出</w:t>
      </w:r>
      <w:r>
        <w:rPr>
          <w:rFonts w:hint="eastAsia" w:ascii="方正仿宋_GB2312" w:hAnsi="方正仿宋_GB2312" w:eastAsia="方正仿宋_GB2312" w:cs="方正仿宋_GB2312"/>
          <w:bCs/>
          <w:color w:val="000000" w:themeColor="text1"/>
          <w:kern w:val="0"/>
          <w:sz w:val="32"/>
          <w:szCs w:val="32"/>
          <w:highlight w:val="none"/>
          <w:lang w:val="en-US" w:eastAsia="zh-CN" w:bidi="ar"/>
          <w14:textFill>
            <w14:solidFill>
              <w14:schemeClr w14:val="tx1"/>
            </w14:solidFill>
          </w14:textFill>
        </w:rPr>
        <w:t>96.72</w:t>
      </w:r>
      <w:r>
        <w:rPr>
          <w:rFonts w:hint="eastAsia" w:ascii="方正仿宋_GB2312" w:hAnsi="方正仿宋_GB2312" w:eastAsia="方正仿宋_GB2312" w:cs="方正仿宋_GB2312"/>
          <w:bCs/>
          <w:color w:val="000000"/>
          <w:kern w:val="0"/>
          <w:sz w:val="32"/>
          <w:szCs w:val="32"/>
          <w:lang w:val="en-US" w:eastAsia="zh-CN" w:bidi="ar"/>
        </w:rPr>
        <w:t>万元，占91.7%；社会保障和就业支出</w:t>
      </w:r>
      <w:r>
        <w:rPr>
          <w:rFonts w:hint="eastAsia" w:ascii="方正仿宋_GB2312" w:hAnsi="方正仿宋_GB2312" w:eastAsia="方正仿宋_GB2312" w:cs="方正仿宋_GB2312"/>
          <w:bCs/>
          <w:color w:val="000000" w:themeColor="text1"/>
          <w:kern w:val="0"/>
          <w:sz w:val="32"/>
          <w:szCs w:val="32"/>
          <w:highlight w:val="none"/>
          <w:lang w:val="en-US" w:eastAsia="zh-CN" w:bidi="ar"/>
          <w14:textFill>
            <w14:solidFill>
              <w14:schemeClr w14:val="tx1"/>
            </w14:solidFill>
          </w14:textFill>
        </w:rPr>
        <w:t>4.31</w:t>
      </w:r>
      <w:r>
        <w:rPr>
          <w:rFonts w:hint="eastAsia" w:ascii="方正仿宋_GB2312" w:hAnsi="方正仿宋_GB2312" w:eastAsia="方正仿宋_GB2312" w:cs="方正仿宋_GB2312"/>
          <w:bCs/>
          <w:color w:val="000000"/>
          <w:kern w:val="0"/>
          <w:sz w:val="32"/>
          <w:szCs w:val="32"/>
          <w:lang w:val="en-US" w:eastAsia="zh-CN" w:bidi="ar"/>
        </w:rPr>
        <w:t>万元，占4.1%；卫生健康支出</w:t>
      </w:r>
      <w:r>
        <w:rPr>
          <w:rFonts w:hint="eastAsia" w:ascii="方正仿宋_GB2312" w:hAnsi="方正仿宋_GB2312" w:eastAsia="方正仿宋_GB2312" w:cs="方正仿宋_GB2312"/>
          <w:bCs/>
          <w:color w:val="000000" w:themeColor="text1"/>
          <w:kern w:val="0"/>
          <w:sz w:val="32"/>
          <w:szCs w:val="32"/>
          <w:highlight w:val="none"/>
          <w:lang w:val="en-US" w:eastAsia="zh-CN" w:bidi="ar"/>
          <w14:textFill>
            <w14:solidFill>
              <w14:schemeClr w14:val="tx1"/>
            </w14:solidFill>
          </w14:textFill>
        </w:rPr>
        <w:t>1.74</w:t>
      </w:r>
      <w:r>
        <w:rPr>
          <w:rFonts w:hint="eastAsia" w:ascii="方正仿宋_GB2312" w:hAnsi="方正仿宋_GB2312" w:eastAsia="方正仿宋_GB2312" w:cs="方正仿宋_GB2312"/>
          <w:bCs/>
          <w:color w:val="000000"/>
          <w:kern w:val="0"/>
          <w:sz w:val="32"/>
          <w:szCs w:val="32"/>
          <w:lang w:val="en-US" w:eastAsia="zh-CN" w:bidi="ar"/>
        </w:rPr>
        <w:t>万元，占1.6%；住房保障支出</w:t>
      </w:r>
      <w:r>
        <w:rPr>
          <w:rFonts w:hint="eastAsia" w:ascii="方正仿宋_GB2312" w:hAnsi="方正仿宋_GB2312" w:eastAsia="方正仿宋_GB2312" w:cs="方正仿宋_GB2312"/>
          <w:bCs/>
          <w:color w:val="000000" w:themeColor="text1"/>
          <w:kern w:val="0"/>
          <w:sz w:val="32"/>
          <w:szCs w:val="32"/>
          <w:highlight w:val="none"/>
          <w:lang w:val="en-US" w:eastAsia="zh-CN" w:bidi="ar"/>
          <w14:textFill>
            <w14:solidFill>
              <w14:schemeClr w14:val="tx1"/>
            </w14:solidFill>
          </w14:textFill>
        </w:rPr>
        <w:t>2.73</w:t>
      </w:r>
      <w:r>
        <w:rPr>
          <w:rFonts w:hint="eastAsia" w:ascii="方正仿宋_GB2312" w:hAnsi="方正仿宋_GB2312" w:eastAsia="方正仿宋_GB2312" w:cs="方正仿宋_GB2312"/>
          <w:bCs/>
          <w:color w:val="000000"/>
          <w:kern w:val="0"/>
          <w:sz w:val="32"/>
          <w:szCs w:val="32"/>
          <w:lang w:val="en-US" w:eastAsia="zh-CN" w:bidi="ar"/>
        </w:rPr>
        <w:t>万元，占2.6%。</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（三）一般公共预算当年拨款具体使用情况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1、一般公共服务（类）群众团体支出（款）行政运行（项）2019年预算数为96.72万元，主要用于：单位正常运转的基本支出，包括基本工资、津贴补贴等人员经费以及办公费、印刷费、水电费等日常公用经费,保障部门正常运转。</w:t>
      </w:r>
    </w:p>
    <w:p>
      <w:pPr>
        <w:ind w:firstLine="537"/>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2.社会保障和就业（类）行政事业单位离退休（款）机关事业单位基本养老保险缴费支出（项）2019年预算数为4.31万元，主要用于：实施养老保险制度后，部门按规定由单位缴纳的基本养老保险费支出。　　</w:t>
      </w:r>
    </w:p>
    <w:p>
      <w:pPr>
        <w:ind w:firstLine="640" w:firstLineChars="200"/>
        <w:rPr>
          <w:rFonts w:hint="eastAsia"/>
          <w:lang w:val="en-US" w:eastAsia="zh-CN"/>
        </w:rPr>
      </w:pPr>
      <w:r>
        <w:rPr>
          <w:rFonts w:hint="eastAsia" w:ascii="方正仿宋_GB2312" w:hAnsi="方正仿宋_GB2312" w:eastAsia="方正仿宋_GB2312" w:cs="方正仿宋_GB2312"/>
          <w:bCs/>
          <w:color w:val="000000"/>
          <w:kern w:val="0"/>
          <w:sz w:val="32"/>
          <w:szCs w:val="32"/>
          <w:lang w:val="en-US" w:eastAsia="zh-CN" w:bidi="ar"/>
        </w:rPr>
        <w:t>3.社会保障和就业（类）其他社会保障和就业（款）其他社会保障和就业支出（项）2019年预算数为0.2万元，主要用于：行政事业单位失业、工伤等保险方面的支出。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4.卫生健康支出（类）行政事业单位医疗（款）行政单位医疗（项）2019年预算数为1.74万元，主要用于：机关事业人员基本医疗保险缴费支出。</w:t>
      </w:r>
      <w:r>
        <w:rPr>
          <w:rFonts w:hint="eastAsia" w:ascii="方正仿宋_GB2312" w:hAnsi="方正仿宋_GB2312" w:eastAsia="方正仿宋_GB2312" w:cs="方正仿宋_GB2312"/>
          <w:bCs/>
          <w:color w:val="000000"/>
          <w:kern w:val="0"/>
          <w:sz w:val="32"/>
          <w:szCs w:val="32"/>
          <w:lang w:val="en-US" w:eastAsia="zh-CN" w:bidi="ar"/>
        </w:rPr>
        <w:tab/>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5.住房保障（类）住房改革支出（款）住房公积金（项）2019年预算数为2.45万元，主要用于：按人力资源和社会保障部、财政部规定的基本工资和津贴补贴以及规定比例为职工缴纳的住房公积金支出。</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七、一般公共预算基本支出情况说明</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2019年一般公共预算基本支出105.5万元，其中：人员经费</w:t>
      </w:r>
      <w:r>
        <w:rPr>
          <w:rFonts w:hint="eastAsia" w:ascii="仿宋" w:hAnsi="仿宋" w:eastAsia="仿宋" w:cs="仿宋"/>
          <w:i w:val="0"/>
          <w:caps w:val="0"/>
          <w:color w:val="333333"/>
          <w:spacing w:val="0"/>
          <w:sz w:val="32"/>
          <w:szCs w:val="32"/>
          <w:shd w:val="clear" w:fill="FFFFFF"/>
        </w:rPr>
        <w:t>42.04</w:t>
      </w:r>
      <w:r>
        <w:rPr>
          <w:rFonts w:hint="eastAsia" w:ascii="方正仿宋_GB2312" w:hAnsi="方正仿宋_GB2312" w:eastAsia="方正仿宋_GB2312" w:cs="方正仿宋_GB2312"/>
          <w:bCs/>
          <w:color w:val="000000"/>
          <w:kern w:val="0"/>
          <w:sz w:val="32"/>
          <w:szCs w:val="32"/>
          <w:lang w:val="en-US" w:eastAsia="zh-CN" w:bidi="ar"/>
        </w:rPr>
        <w:t>万元，主要包括：基本工资、津贴补贴、奖金、社会保险缴费、离休费、住房公积金等支出。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公用</w:t>
      </w:r>
      <w:r>
        <w:rPr>
          <w:rFonts w:hint="eastAsia" w:ascii="仿宋" w:hAnsi="仿宋" w:eastAsia="仿宋" w:cs="仿宋"/>
          <w:i w:val="0"/>
          <w:caps w:val="0"/>
          <w:color w:val="333333"/>
          <w:spacing w:val="0"/>
          <w:sz w:val="32"/>
          <w:szCs w:val="32"/>
          <w:shd w:val="clear" w:fill="FFFFFF"/>
          <w:lang w:val="en-US" w:eastAsia="zh-CN"/>
        </w:rPr>
        <w:t>经费63.46万元，主要</w:t>
      </w:r>
      <w:r>
        <w:rPr>
          <w:rFonts w:hint="eastAsia" w:ascii="方正仿宋_GB2312" w:hAnsi="方正仿宋_GB2312" w:eastAsia="方正仿宋_GB2312" w:cs="方正仿宋_GB2312"/>
          <w:bCs/>
          <w:color w:val="000000"/>
          <w:kern w:val="0"/>
          <w:sz w:val="32"/>
          <w:szCs w:val="32"/>
          <w:lang w:val="en-US" w:eastAsia="zh-CN" w:bidi="ar"/>
        </w:rPr>
        <w:t>包括：办公费、水费、电费、邮电费、印刷费、差旅费、维修（护）费、物业管理费、劳务费、会议费、培训费、接待费、其他交通费等支出。</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八、“三公”经费财政拨款预算安排情况说明</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2019年“三公”经费财政拨款预算数1.1万元，其中：因公出国（境）经费0万元，公务接待费1.1万元，公务用车购置及运行维护费0万元。</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（一）因公出国（境）经费较2018年预算持平。</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（二）公务接待费较2018年预算持平。主要原因是按照党中央、国务院关于过“紧日子”和坚持厉行节约反对浪费的要求，进一步减少公务接待费支出。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2019年公务接待费计划用于执行接待检查指导等公务活动开支的交通费、住宿费、用餐费等。</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（三）公务用车购置及运行维护费与2019年预算持平。</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单位现有公务用车0辆。</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九、政府性基金预算支出情况说明</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2019年没有使用政府性基金预算拨款安排的支出。</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十、国有资本经营预算支出情况说明</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2019年没有使用国有资本经营预算拨款安排的支出。</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十一、其他重要事项的情况说明</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（一）机关运行经费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shd w:val="clear" w:fill="FFFFFF"/>
          <w:lang w:eastAsia="zh-CN"/>
        </w:rPr>
      </w:pPr>
      <w:r>
        <w:rPr>
          <w:rFonts w:hint="eastAsia" w:ascii="方正仿宋_GB2312" w:hAnsi="方正仿宋_GB2312" w:eastAsia="方正仿宋_GB2312" w:cs="方正仿宋_GB2312"/>
          <w:bCs/>
          <w:color w:val="000000"/>
          <w:kern w:val="0"/>
          <w:sz w:val="32"/>
          <w:szCs w:val="32"/>
          <w:lang w:val="en-US" w:eastAsia="zh-CN" w:bidi="ar"/>
        </w:rPr>
        <w:t>2019年，机关运行经费财政拨款预算为96.72万元，比2018年预算增长</w:t>
      </w:r>
      <w:r>
        <w:rPr>
          <w:rFonts w:hint="eastAsia" w:ascii="仿宋" w:hAnsi="仿宋" w:eastAsia="仿宋" w:cs="仿宋"/>
          <w:i w:val="0"/>
          <w:caps w:val="0"/>
          <w:color w:val="333333"/>
          <w:spacing w:val="0"/>
          <w:sz w:val="32"/>
          <w:szCs w:val="32"/>
          <w:shd w:val="clear" w:fill="FFFFFF"/>
        </w:rPr>
        <w:t>3.88万元,增长3.82 %</w:t>
      </w:r>
      <w:r>
        <w:rPr>
          <w:rFonts w:hint="eastAsia" w:ascii="仿宋" w:hAnsi="仿宋" w:eastAsia="仿宋" w:cs="仿宋"/>
          <w:i w:val="0"/>
          <w:caps w:val="0"/>
          <w:color w:val="333333"/>
          <w:spacing w:val="0"/>
          <w:sz w:val="32"/>
          <w:szCs w:val="32"/>
          <w:shd w:val="clear" w:fill="FFFFFF"/>
          <w:lang w:eastAsia="zh-CN"/>
        </w:rPr>
        <w:t>，</w:t>
      </w:r>
      <w:r>
        <w:rPr>
          <w:rFonts w:hint="eastAsia" w:ascii="方正仿宋_GB2312" w:hAnsi="方正仿宋_GB2312" w:eastAsia="方正仿宋_GB2312" w:cs="方正仿宋_GB2312"/>
          <w:bCs/>
          <w:color w:val="000000"/>
          <w:kern w:val="0"/>
          <w:sz w:val="32"/>
          <w:szCs w:val="32"/>
          <w:lang w:val="en-US" w:eastAsia="zh-CN" w:bidi="ar"/>
        </w:rPr>
        <w:t>主要原因是2019年部门预算中增加新增人员相关费用</w:t>
      </w:r>
      <w:r>
        <w:rPr>
          <w:rFonts w:hint="eastAsia" w:ascii="仿宋" w:hAnsi="仿宋" w:eastAsia="仿宋" w:cs="仿宋"/>
          <w:i w:val="0"/>
          <w:caps w:val="0"/>
          <w:color w:val="333333"/>
          <w:spacing w:val="0"/>
          <w:sz w:val="32"/>
          <w:szCs w:val="32"/>
          <w:shd w:val="clear" w:fill="FFFFFF"/>
          <w:lang w:eastAsia="zh-CN"/>
        </w:rPr>
        <w:t>。</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（二）政府采购情况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2019年，无政府采购预算。</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（三）国有资产占有使用情况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截至2018年底，单位无车辆。</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2019年部门预算未安排购置车辆及单位价值200万元以上大型设备。</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（四）绩效目标设置情况</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绩效目标是预算编制的前提和基础，按照“费随事定”的原则，2019年按要求编制了绩效目标,从项目完成、项目效益、满意度等方面设置了绩效指标，综合反映项目预期完成的数量、成本、时效、质量，预期达到的社会效益、经济效益、可持续影响以及服务对象满意度等情况。</w:t>
      </w:r>
    </w:p>
    <w:p>
      <w:pPr>
        <w:ind w:firstLine="640" w:firstLineChars="200"/>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十二、名词解释</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（一）一般公共预算拨款收入：指区级财政当年拨付的资金。</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（二）一般公共服务（类）群众团体支出（款）行政运行（项）：指单位用于保障机构正常运行、开展日常工作的基本支出。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（三）一般公共服务（类）群众团体支出（款）事业运行（项）：指工人文化宫事业人员的基本支出。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（四）社会保障和就业（类）行政事业单位离退休（款）机关事业单位基本养老保险缴费支出（项）：指部门实施养老保险制度由单位缴纳的养老保险费的支出。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（五）社会保障和就业（类）行政事业单位离退休（款）机关事业单位职业年金缴费支出（项）：指部门实施养老保险制度由单位缴纳的职业年金的支出。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（六）卫生健康（类）行政事业单位医疗（款）行政单位医疗（项）：指机关及参公管理事业单位用于缴纳单位基本医疗保险支出。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（七）卫生健康（类）行政事业单位医疗（款）事业单位医疗（项）：指机关及参公管理事业单位用于集中缴纳公务员医疗补助支出。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（八）住房保障（类）住房改革支出（款）住房公积金（项）：指按照《住房公积金管理条例》的规定，由单位及其在职职工缴存的长期住房储金。</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（九）基本支出：指为保证机构正常运转，完成日常工作任务而发生的人员支出和公用支出。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（十）项目支出：指在基本支出之外为完成特定行政任务和事业发展目标所发生的支出。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r>
        <w:rPr>
          <w:rFonts w:hint="eastAsia" w:ascii="方正仿宋_GB2312" w:hAnsi="方正仿宋_GB2312" w:eastAsia="方正仿宋_GB2312" w:cs="方正仿宋_GB2312"/>
          <w:bCs/>
          <w:color w:val="000000"/>
          <w:kern w:val="0"/>
          <w:sz w:val="32"/>
          <w:szCs w:val="32"/>
          <w:lang w:val="en-US" w:eastAsia="zh-CN" w:bidi="ar"/>
        </w:rPr>
        <w:t>（十一）“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方正仿宋_GB2312" w:hAnsi="方正仿宋_GB2312" w:eastAsia="方正仿宋_GB2312" w:cs="方正仿宋_GB2312"/>
          <w:bCs/>
          <w:color w:val="000000"/>
          <w:kern w:val="0"/>
          <w:sz w:val="32"/>
          <w:szCs w:val="32"/>
          <w:lang w:val="en-US" w:eastAsia="zh-CN" w:bidi="ar"/>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ZmE2ODExOTljZmY4NjdiODhlZTYxYTczMTlhNzEifQ=="/>
  </w:docVars>
  <w:rsids>
    <w:rsidRoot w:val="70C27FB8"/>
    <w:rsid w:val="178B74F4"/>
    <w:rsid w:val="354F2E9E"/>
    <w:rsid w:val="46813E54"/>
    <w:rsid w:val="54282495"/>
    <w:rsid w:val="70C27FB8"/>
    <w:rsid w:val="7259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25"/>
      <w:ind w:left="611"/>
      <w:outlineLvl w:val="1"/>
    </w:pPr>
    <w:rPr>
      <w:rFonts w:ascii="楷体" w:hAnsi="楷体" w:eastAsia="楷体" w:cs="楷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3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2021-05-23T02:12:00Z</dcterms:created>
  <dc:creator>Administrator</dc:creator>
  <cp:lastModifiedBy>DELL</cp:lastModifiedBy>
  <dcterms:modified xsi:type="dcterms:W3CDTF">2022-05-07T09:23:25Z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E7692F2FDCF346D380329A25E0CA20CE</vt:lpwstr>
  </property>
</Properties>
</file>