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B14F3E">
      <w:pPr>
        <w:spacing w:line="600" w:lineRule="exact"/>
        <w:jc w:val="center"/>
        <w:outlineLvl w:val="0"/>
        <w:rPr>
          <w:rFonts w:ascii="方正小标宋简体" w:hAnsi="宋体" w:eastAsia="方正小标宋简体"/>
          <w:color w:val="000000"/>
          <w:sz w:val="72"/>
          <w:szCs w:val="72"/>
        </w:rPr>
      </w:pPr>
      <w:bookmarkStart w:id="0" w:name="_Toc15306267"/>
      <w:bookmarkStart w:id="76" w:name="_GoBack"/>
      <w:bookmarkEnd w:id="76"/>
    </w:p>
    <w:p w14:paraId="3A08C608">
      <w:pPr>
        <w:spacing w:line="600" w:lineRule="exact"/>
        <w:jc w:val="center"/>
        <w:outlineLvl w:val="0"/>
        <w:rPr>
          <w:rFonts w:ascii="方正小标宋简体" w:hAnsi="宋体" w:eastAsia="方正小标宋简体"/>
          <w:color w:val="000000"/>
          <w:sz w:val="72"/>
          <w:szCs w:val="72"/>
        </w:rPr>
      </w:pPr>
    </w:p>
    <w:p w14:paraId="37A5DF2D">
      <w:pPr>
        <w:spacing w:line="600" w:lineRule="exact"/>
        <w:jc w:val="center"/>
        <w:outlineLvl w:val="0"/>
        <w:rPr>
          <w:rFonts w:ascii="方正小标宋简体" w:hAnsi="宋体" w:eastAsia="方正小标宋简体"/>
          <w:color w:val="000000"/>
          <w:sz w:val="72"/>
          <w:szCs w:val="72"/>
        </w:rPr>
      </w:pPr>
    </w:p>
    <w:p w14:paraId="2075D045">
      <w:pPr>
        <w:spacing w:line="600" w:lineRule="exact"/>
        <w:jc w:val="center"/>
        <w:outlineLvl w:val="0"/>
        <w:rPr>
          <w:rFonts w:ascii="方正小标宋简体" w:hAnsi="宋体" w:eastAsia="方正小标宋简体"/>
          <w:color w:val="000000"/>
          <w:sz w:val="72"/>
          <w:szCs w:val="72"/>
        </w:rPr>
      </w:pPr>
    </w:p>
    <w:p w14:paraId="5FD8D677">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597"/>
      <w:bookmarkStart w:id="2" w:name="_Toc15396475"/>
      <w:bookmarkStart w:id="3" w:name="_Toc15378441"/>
      <w:bookmarkStart w:id="4" w:name="_Toc15377425"/>
      <w:bookmarkStart w:id="5" w:name="_Toc15377193"/>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14:paraId="3345CB0C">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8442"/>
      <w:bookmarkStart w:id="9" w:name="_Toc15396476"/>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广元市昭化区经济和信息化局部门决算</w:t>
      </w:r>
      <w:bookmarkEnd w:id="6"/>
      <w:bookmarkEnd w:id="7"/>
      <w:bookmarkEnd w:id="8"/>
      <w:bookmarkEnd w:id="9"/>
      <w:bookmarkEnd w:id="10"/>
      <w:bookmarkEnd w:id="11"/>
    </w:p>
    <w:p w14:paraId="216113D3">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78C05A56">
      <w:pPr>
        <w:widowControl/>
        <w:jc w:val="center"/>
        <w:rPr>
          <w:rFonts w:ascii="黑体" w:hAnsi="黑体" w:eastAsia="黑体"/>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4D786F8C">
      <w:pPr>
        <w:pStyle w:val="12"/>
      </w:pPr>
      <w:r>
        <w:rPr>
          <w:rFonts w:hint="eastAsia"/>
        </w:rPr>
        <w:t>公开时间：</w:t>
      </w:r>
      <w:r>
        <w:t>2019</w:t>
      </w:r>
      <w:r>
        <w:rPr>
          <w:rFonts w:hint="eastAsia"/>
        </w:rPr>
        <w:t>年</w:t>
      </w:r>
      <w:r>
        <w:t>9</w:t>
      </w:r>
      <w:r>
        <w:rPr>
          <w:rFonts w:hint="eastAsia"/>
        </w:rPr>
        <w:t>月</w:t>
      </w:r>
      <w:r>
        <w:t>24</w:t>
      </w:r>
      <w:r>
        <w:rPr>
          <w:rFonts w:hint="eastAsia"/>
        </w:rPr>
        <w:t>日</w:t>
      </w:r>
    </w:p>
    <w:p w14:paraId="1A584AA1"/>
    <w:p w14:paraId="5F8EF587">
      <w:pPr>
        <w:pStyle w:val="12"/>
      </w:pPr>
      <w:r>
        <w:fldChar w:fldCharType="begin"/>
      </w:r>
      <w:r>
        <w:instrText xml:space="preserve"> HYPERLINK \l "_Toc15396599" </w:instrText>
      </w:r>
      <w:r>
        <w:fldChar w:fldCharType="separate"/>
      </w:r>
      <w:r>
        <w:rPr>
          <w:rStyle w:val="18"/>
          <w:rFonts w:hint="eastAsia"/>
        </w:rPr>
        <w:t>第一部分</w:t>
      </w:r>
      <w:r>
        <w:rPr>
          <w:rStyle w:val="18"/>
        </w:rPr>
        <w:t xml:space="preserve"> </w:t>
      </w:r>
      <w:r>
        <w:rPr>
          <w:rStyle w:val="18"/>
          <w:rFonts w:hint="eastAsia"/>
        </w:rPr>
        <w:t>部门概况</w:t>
      </w:r>
      <w:r>
        <w:tab/>
      </w:r>
      <w:r>
        <w:t>4</w:t>
      </w:r>
      <w:r>
        <w:fldChar w:fldCharType="end"/>
      </w:r>
    </w:p>
    <w:p w14:paraId="5B967728">
      <w:pPr>
        <w:pStyle w:val="13"/>
        <w:ind w:left="31680"/>
        <w:rPr>
          <w:rFonts w:ascii="仿宋" w:hAnsi="仿宋" w:eastAsia="仿宋"/>
          <w:sz w:val="28"/>
          <w:szCs w:val="28"/>
        </w:rPr>
      </w:pPr>
      <w:r>
        <w:fldChar w:fldCharType="begin"/>
      </w:r>
      <w:r>
        <w:instrText xml:space="preserve"> HYPERLINK \l "_Toc15396600" </w:instrText>
      </w:r>
      <w:r>
        <w:fldChar w:fldCharType="separate"/>
      </w:r>
      <w:r>
        <w:rPr>
          <w:rStyle w:val="18"/>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6DF3C364">
      <w:pPr>
        <w:pStyle w:val="13"/>
        <w:ind w:left="31680"/>
        <w:rPr>
          <w:rFonts w:ascii="仿宋" w:hAnsi="仿宋" w:eastAsia="仿宋"/>
          <w:sz w:val="28"/>
          <w:szCs w:val="28"/>
        </w:rPr>
      </w:pPr>
      <w:r>
        <w:fldChar w:fldCharType="begin"/>
      </w:r>
      <w:r>
        <w:instrText xml:space="preserve"> HYPERLINK \l "_Toc15396601" </w:instrText>
      </w:r>
      <w:r>
        <w:fldChar w:fldCharType="separate"/>
      </w:r>
      <w:r>
        <w:rPr>
          <w:rStyle w:val="18"/>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13</w:t>
      </w:r>
      <w:r>
        <w:rPr>
          <w:rFonts w:ascii="仿宋" w:hAnsi="仿宋" w:eastAsia="仿宋"/>
          <w:sz w:val="28"/>
          <w:szCs w:val="28"/>
        </w:rPr>
        <w:fldChar w:fldCharType="end"/>
      </w:r>
    </w:p>
    <w:p w14:paraId="3B298862">
      <w:pPr>
        <w:pStyle w:val="12"/>
      </w:pPr>
      <w:r>
        <w:fldChar w:fldCharType="begin"/>
      </w:r>
      <w:r>
        <w:instrText xml:space="preserve"> HYPERLINK \l "_Toc15396602" </w:instrText>
      </w:r>
      <w:r>
        <w:fldChar w:fldCharType="separate"/>
      </w:r>
      <w:r>
        <w:rPr>
          <w:rStyle w:val="18"/>
          <w:rFonts w:hint="eastAsia"/>
        </w:rPr>
        <w:t>第二部分</w:t>
      </w:r>
      <w:r>
        <w:rPr>
          <w:rStyle w:val="18"/>
        </w:rPr>
        <w:t xml:space="preserve"> 2018</w:t>
      </w:r>
      <w:r>
        <w:rPr>
          <w:rStyle w:val="18"/>
          <w:rFonts w:hint="eastAsia"/>
        </w:rPr>
        <w:t>年度部门决算情况说明</w:t>
      </w:r>
      <w:r>
        <w:tab/>
      </w:r>
      <w:r>
        <w:t>15</w:t>
      </w:r>
      <w:r>
        <w:fldChar w:fldCharType="end"/>
      </w:r>
    </w:p>
    <w:p w14:paraId="5F5AB684">
      <w:pPr>
        <w:pStyle w:val="13"/>
        <w:ind w:left="31680"/>
        <w:rPr>
          <w:rFonts w:ascii="仿宋" w:hAnsi="仿宋" w:eastAsia="仿宋"/>
          <w:sz w:val="28"/>
          <w:szCs w:val="28"/>
        </w:rPr>
      </w:pPr>
      <w:r>
        <w:fldChar w:fldCharType="begin"/>
      </w:r>
      <w:r>
        <w:instrText xml:space="preserve"> HYPERLINK \l "_Toc15396603" </w:instrText>
      </w:r>
      <w:r>
        <w:fldChar w:fldCharType="separate"/>
      </w:r>
      <w:r>
        <w:rPr>
          <w:rStyle w:val="18"/>
          <w:rFonts w:hint="eastAsia" w:ascii="仿宋" w:hAnsi="仿宋" w:eastAsia="仿宋"/>
          <w:bCs/>
          <w:sz w:val="28"/>
          <w:szCs w:val="28"/>
        </w:rPr>
        <w:t>一、</w:t>
      </w:r>
      <w:r>
        <w:rPr>
          <w:rStyle w:val="18"/>
          <w:rFonts w:hint="eastAsia" w:ascii="仿宋" w:hAnsi="仿宋" w:eastAsia="仿宋"/>
          <w:sz w:val="28"/>
          <w:szCs w:val="28"/>
        </w:rPr>
        <w:t>收</w:t>
      </w:r>
      <w:r>
        <w:rPr>
          <w:rStyle w:val="18"/>
          <w:rFonts w:hint="eastAsia" w:ascii="仿宋" w:hAnsi="仿宋" w:eastAsia="仿宋"/>
          <w:bCs/>
          <w:sz w:val="28"/>
          <w:szCs w:val="28"/>
        </w:rPr>
        <w:t>入支出决算总体情况说明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718F0DE6">
      <w:pPr>
        <w:pStyle w:val="13"/>
        <w:ind w:left="31680"/>
        <w:rPr>
          <w:rFonts w:ascii="仿宋" w:hAnsi="仿宋" w:eastAsia="仿宋"/>
          <w:sz w:val="28"/>
          <w:szCs w:val="28"/>
        </w:rPr>
      </w:pPr>
      <w:r>
        <w:fldChar w:fldCharType="begin"/>
      </w:r>
      <w:r>
        <w:instrText xml:space="preserve"> HYPERLINK \l "_Toc15396604" </w:instrText>
      </w:r>
      <w:r>
        <w:fldChar w:fldCharType="separate"/>
      </w:r>
      <w:r>
        <w:rPr>
          <w:rStyle w:val="18"/>
          <w:rFonts w:hint="eastAsia" w:ascii="仿宋" w:hAnsi="仿宋" w:eastAsia="仿宋"/>
          <w:bCs/>
          <w:sz w:val="28"/>
          <w:szCs w:val="28"/>
        </w:rPr>
        <w:t>二、</w:t>
      </w:r>
      <w:r>
        <w:rPr>
          <w:rStyle w:val="18"/>
          <w:rFonts w:hint="eastAsia" w:ascii="仿宋" w:hAnsi="仿宋" w:eastAsia="仿宋"/>
          <w:sz w:val="28"/>
          <w:szCs w:val="28"/>
        </w:rPr>
        <w:t>收</w:t>
      </w:r>
      <w:r>
        <w:rPr>
          <w:rStyle w:val="18"/>
          <w:rFonts w:hint="eastAsia" w:ascii="仿宋" w:hAnsi="仿宋" w:eastAsia="仿宋"/>
          <w:bCs/>
          <w:sz w:val="28"/>
          <w:szCs w:val="28"/>
        </w:rPr>
        <w:t>入决算情况说明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7A111272">
      <w:pPr>
        <w:pStyle w:val="13"/>
        <w:ind w:left="31680"/>
        <w:rPr>
          <w:rFonts w:ascii="仿宋" w:hAnsi="仿宋" w:eastAsia="仿宋"/>
          <w:sz w:val="28"/>
          <w:szCs w:val="28"/>
        </w:rPr>
      </w:pPr>
      <w:r>
        <w:fldChar w:fldCharType="begin"/>
      </w:r>
      <w:r>
        <w:instrText xml:space="preserve"> HYPERLINK \l "_Toc15396605" </w:instrText>
      </w:r>
      <w:r>
        <w:fldChar w:fldCharType="separate"/>
      </w:r>
      <w:r>
        <w:rPr>
          <w:rStyle w:val="18"/>
          <w:rFonts w:hint="eastAsia" w:ascii="仿宋" w:hAnsi="仿宋" w:eastAsia="仿宋"/>
          <w:bCs/>
          <w:sz w:val="28"/>
          <w:szCs w:val="28"/>
        </w:rPr>
        <w:t>三、</w:t>
      </w:r>
      <w:r>
        <w:rPr>
          <w:rStyle w:val="18"/>
          <w:rFonts w:hint="eastAsia" w:ascii="仿宋" w:hAnsi="仿宋" w:eastAsia="仿宋"/>
          <w:sz w:val="28"/>
          <w:szCs w:val="28"/>
        </w:rPr>
        <w:t>支</w:t>
      </w:r>
      <w:r>
        <w:rPr>
          <w:rStyle w:val="18"/>
          <w:rFonts w:hint="eastAsia" w:ascii="仿宋" w:hAnsi="仿宋" w:eastAsia="仿宋"/>
          <w:bCs/>
          <w:sz w:val="28"/>
          <w:szCs w:val="28"/>
        </w:rPr>
        <w:t>出决算情况说明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0F9776FF">
      <w:pPr>
        <w:pStyle w:val="13"/>
        <w:ind w:left="31680"/>
        <w:rPr>
          <w:rFonts w:ascii="仿宋" w:hAnsi="仿宋" w:eastAsia="仿宋"/>
          <w:sz w:val="28"/>
          <w:szCs w:val="28"/>
        </w:rPr>
      </w:pPr>
      <w:r>
        <w:fldChar w:fldCharType="begin"/>
      </w:r>
      <w:r>
        <w:instrText xml:space="preserve"> HYPERLINK \l "_Toc15396606" </w:instrText>
      </w:r>
      <w:r>
        <w:fldChar w:fldCharType="separate"/>
      </w:r>
      <w:r>
        <w:rPr>
          <w:rStyle w:val="18"/>
          <w:rFonts w:hint="eastAsia" w:ascii="仿宋" w:hAnsi="仿宋" w:eastAsia="仿宋"/>
          <w:sz w:val="28"/>
          <w:szCs w:val="28"/>
        </w:rPr>
        <w:t>四、财</w:t>
      </w:r>
      <w:r>
        <w:rPr>
          <w:rStyle w:val="18"/>
          <w:rFonts w:hint="eastAsia" w:ascii="仿宋" w:hAnsi="仿宋" w:eastAsia="仿宋"/>
          <w:bCs/>
          <w:sz w:val="28"/>
          <w:szCs w:val="28"/>
        </w:rPr>
        <w:t>政拨款收入支出决算总体情况说明</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5289213F">
      <w:pPr>
        <w:pStyle w:val="13"/>
        <w:ind w:left="31680"/>
        <w:rPr>
          <w:rFonts w:ascii="仿宋" w:hAnsi="仿宋" w:eastAsia="仿宋"/>
          <w:sz w:val="28"/>
          <w:szCs w:val="28"/>
        </w:rPr>
      </w:pPr>
      <w:r>
        <w:fldChar w:fldCharType="begin"/>
      </w:r>
      <w:r>
        <w:instrText xml:space="preserve"> HYPERLINK \l "_Toc15396607" </w:instrText>
      </w:r>
      <w:r>
        <w:fldChar w:fldCharType="separate"/>
      </w:r>
      <w:r>
        <w:rPr>
          <w:rStyle w:val="18"/>
          <w:rFonts w:hint="eastAsia" w:ascii="仿宋" w:hAnsi="仿宋" w:eastAsia="仿宋"/>
          <w:sz w:val="28"/>
          <w:szCs w:val="28"/>
        </w:rPr>
        <w:t>五、一</w:t>
      </w:r>
      <w:r>
        <w:rPr>
          <w:rStyle w:val="18"/>
          <w:rFonts w:hint="eastAsia" w:ascii="仿宋" w:hAnsi="仿宋" w:eastAsia="仿宋"/>
          <w:bCs/>
          <w:sz w:val="28"/>
          <w:szCs w:val="28"/>
        </w:rPr>
        <w:t>般公共预算财政拨款支出决算情况说明</w:t>
      </w:r>
      <w:r>
        <w:rPr>
          <w:rFonts w:ascii="仿宋" w:hAnsi="仿宋" w:eastAsia="仿宋"/>
          <w:sz w:val="28"/>
          <w:szCs w:val="28"/>
        </w:rPr>
        <w:tab/>
      </w:r>
      <w:r>
        <w:rPr>
          <w:rFonts w:ascii="仿宋" w:hAnsi="仿宋" w:eastAsia="仿宋"/>
          <w:sz w:val="28"/>
          <w:szCs w:val="28"/>
        </w:rPr>
        <w:t>16</w:t>
      </w:r>
      <w:r>
        <w:rPr>
          <w:rFonts w:ascii="仿宋" w:hAnsi="仿宋" w:eastAsia="仿宋"/>
          <w:sz w:val="28"/>
          <w:szCs w:val="28"/>
        </w:rPr>
        <w:fldChar w:fldCharType="end"/>
      </w:r>
    </w:p>
    <w:p w14:paraId="1EFD39EC">
      <w:pPr>
        <w:pStyle w:val="13"/>
        <w:ind w:left="31680"/>
        <w:rPr>
          <w:rFonts w:ascii="仿宋" w:hAnsi="仿宋" w:eastAsia="仿宋"/>
          <w:sz w:val="28"/>
          <w:szCs w:val="28"/>
        </w:rPr>
      </w:pPr>
      <w:r>
        <w:fldChar w:fldCharType="begin"/>
      </w:r>
      <w:r>
        <w:instrText xml:space="preserve"> HYPERLINK \l "_Toc15396608" </w:instrText>
      </w:r>
      <w:r>
        <w:fldChar w:fldCharType="separate"/>
      </w:r>
      <w:r>
        <w:rPr>
          <w:rStyle w:val="18"/>
          <w:rFonts w:hint="eastAsia" w:ascii="仿宋" w:hAnsi="仿宋" w:eastAsia="仿宋"/>
          <w:sz w:val="28"/>
          <w:szCs w:val="28"/>
        </w:rPr>
        <w:t>六、一</w:t>
      </w:r>
      <w:r>
        <w:rPr>
          <w:rStyle w:val="18"/>
          <w:rFonts w:hint="eastAsia" w:ascii="仿宋" w:hAnsi="仿宋" w:eastAsia="仿宋"/>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17</w:t>
      </w:r>
      <w:r>
        <w:rPr>
          <w:rFonts w:ascii="仿宋" w:hAnsi="仿宋" w:eastAsia="仿宋"/>
          <w:sz w:val="28"/>
          <w:szCs w:val="28"/>
        </w:rPr>
        <w:fldChar w:fldCharType="end"/>
      </w:r>
    </w:p>
    <w:p w14:paraId="75230139">
      <w:pPr>
        <w:pStyle w:val="13"/>
        <w:ind w:left="31680"/>
        <w:rPr>
          <w:rFonts w:ascii="仿宋" w:hAnsi="仿宋" w:eastAsia="仿宋"/>
          <w:sz w:val="28"/>
          <w:szCs w:val="28"/>
        </w:rPr>
      </w:pPr>
      <w:r>
        <w:fldChar w:fldCharType="begin"/>
      </w:r>
      <w:r>
        <w:instrText xml:space="preserve"> HYPERLINK \l "_Toc15396609" </w:instrText>
      </w:r>
      <w:r>
        <w:fldChar w:fldCharType="separate"/>
      </w:r>
      <w:r>
        <w:rPr>
          <w:rStyle w:val="18"/>
          <w:rFonts w:hint="eastAsia" w:ascii="仿宋" w:hAnsi="仿宋" w:eastAsia="仿宋"/>
          <w:sz w:val="28"/>
          <w:szCs w:val="28"/>
        </w:rPr>
        <w:t>七、“</w:t>
      </w:r>
      <w:r>
        <w:rPr>
          <w:rStyle w:val="18"/>
          <w:rFonts w:hint="eastAsia" w:ascii="仿宋" w:hAnsi="仿宋" w:eastAsia="仿宋"/>
          <w:bCs/>
          <w:sz w:val="28"/>
          <w:szCs w:val="28"/>
        </w:rPr>
        <w:t>三公”经费财政拨款支出决算情况说明</w:t>
      </w:r>
      <w:r>
        <w:rPr>
          <w:rFonts w:ascii="仿宋" w:hAnsi="仿宋" w:eastAsia="仿宋"/>
          <w:sz w:val="28"/>
          <w:szCs w:val="28"/>
        </w:rPr>
        <w:tab/>
      </w:r>
      <w:r>
        <w:rPr>
          <w:rFonts w:ascii="仿宋" w:hAnsi="仿宋" w:eastAsia="仿宋"/>
          <w:sz w:val="28"/>
          <w:szCs w:val="28"/>
        </w:rPr>
        <w:t>18</w:t>
      </w:r>
      <w:r>
        <w:rPr>
          <w:rFonts w:ascii="仿宋" w:hAnsi="仿宋" w:eastAsia="仿宋"/>
          <w:sz w:val="28"/>
          <w:szCs w:val="28"/>
        </w:rPr>
        <w:fldChar w:fldCharType="end"/>
      </w:r>
    </w:p>
    <w:p w14:paraId="5D8F79CF">
      <w:pPr>
        <w:pStyle w:val="13"/>
        <w:ind w:left="31680"/>
        <w:rPr>
          <w:rFonts w:ascii="仿宋" w:hAnsi="仿宋" w:eastAsia="仿宋"/>
          <w:sz w:val="28"/>
          <w:szCs w:val="28"/>
        </w:rPr>
      </w:pPr>
      <w:r>
        <w:fldChar w:fldCharType="begin"/>
      </w:r>
      <w:r>
        <w:instrText xml:space="preserve"> HYPERLINK \l "_Toc15396610" </w:instrText>
      </w:r>
      <w:r>
        <w:fldChar w:fldCharType="separate"/>
      </w:r>
      <w:r>
        <w:rPr>
          <w:rStyle w:val="18"/>
          <w:rFonts w:hint="eastAsia" w:ascii="仿宋" w:hAnsi="仿宋" w:eastAsia="仿宋"/>
          <w:sz w:val="28"/>
          <w:szCs w:val="28"/>
        </w:rPr>
        <w:t>八、</w:t>
      </w:r>
      <w:r>
        <w:rPr>
          <w:rStyle w:val="18"/>
          <w:rFonts w:hint="eastAsia" w:ascii="仿宋" w:hAnsi="仿宋" w:eastAsia="仿宋"/>
          <w:bCs/>
          <w:sz w:val="28"/>
          <w:szCs w:val="28"/>
        </w:rPr>
        <w:t>政府性基金预算支出决算情况说明</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50313C65">
      <w:pPr>
        <w:pStyle w:val="13"/>
        <w:ind w:left="31680"/>
      </w:pPr>
      <w:r>
        <w:fldChar w:fldCharType="begin"/>
      </w:r>
      <w:r>
        <w:instrText xml:space="preserve"> HYPERLINK \l "_Toc15396611" </w:instrText>
      </w:r>
      <w:r>
        <w:fldChar w:fldCharType="separate"/>
      </w:r>
      <w:r>
        <w:rPr>
          <w:rStyle w:val="18"/>
          <w:rFonts w:hint="eastAsia" w:ascii="仿宋" w:hAnsi="仿宋" w:eastAsia="仿宋"/>
          <w:bCs/>
          <w:sz w:val="28"/>
          <w:szCs w:val="28"/>
        </w:rPr>
        <w:t>九、</w:t>
      </w:r>
      <w:r>
        <w:rPr>
          <w:rStyle w:val="18"/>
          <w:rFonts w:ascii="仿宋" w:hAnsi="仿宋" w:eastAsia="仿宋"/>
          <w:sz w:val="28"/>
          <w:szCs w:val="28"/>
        </w:rPr>
        <w:t xml:space="preserve"> </w:t>
      </w:r>
      <w:r>
        <w:rPr>
          <w:rStyle w:val="18"/>
          <w:rFonts w:hint="eastAsia" w:ascii="仿宋" w:hAnsi="仿宋" w:eastAsia="仿宋"/>
          <w:sz w:val="28"/>
          <w:szCs w:val="28"/>
        </w:rPr>
        <w:t>国</w:t>
      </w:r>
      <w:r>
        <w:rPr>
          <w:rStyle w:val="18"/>
          <w:rFonts w:hint="eastAsia" w:ascii="仿宋" w:hAnsi="仿宋" w:eastAsia="仿宋"/>
          <w:bCs/>
          <w:sz w:val="28"/>
          <w:szCs w:val="28"/>
        </w:rPr>
        <w:t>有资本经营预算支出决算情况说明</w:t>
      </w:r>
      <w:r>
        <w:rPr>
          <w:rFonts w:ascii="仿宋" w:hAnsi="仿宋" w:eastAsia="仿宋"/>
          <w:sz w:val="28"/>
          <w:szCs w:val="28"/>
        </w:rPr>
        <w:tab/>
      </w:r>
      <w:r>
        <w:rPr>
          <w:rFonts w:ascii="仿宋" w:hAnsi="仿宋" w:eastAsia="仿宋"/>
          <w:sz w:val="28"/>
          <w:szCs w:val="28"/>
        </w:rPr>
        <w:t>20</w:t>
      </w:r>
      <w:r>
        <w:rPr>
          <w:rFonts w:ascii="仿宋" w:hAnsi="仿宋" w:eastAsia="仿宋"/>
          <w:sz w:val="28"/>
          <w:szCs w:val="28"/>
        </w:rPr>
        <w:fldChar w:fldCharType="end"/>
      </w:r>
    </w:p>
    <w:p w14:paraId="453375E4">
      <w:pPr>
        <w:pStyle w:val="13"/>
        <w:ind w:left="31680"/>
        <w:rPr>
          <w:rFonts w:ascii="仿宋" w:hAnsi="仿宋" w:eastAsia="仿宋"/>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bCs/>
          <w:sz w:val="28"/>
          <w:szCs w:val="28"/>
        </w:rPr>
        <w:t>、预算绩效情况说明</w:t>
      </w:r>
      <w:r>
        <w:rPr>
          <w:rFonts w:ascii="仿宋" w:hAnsi="仿宋" w:eastAsia="仿宋"/>
          <w:sz w:val="28"/>
          <w:szCs w:val="28"/>
        </w:rPr>
        <w:tab/>
      </w:r>
      <w:r>
        <w:rPr>
          <w:rFonts w:ascii="仿宋" w:hAnsi="仿宋" w:eastAsia="仿宋"/>
          <w:sz w:val="28"/>
          <w:szCs w:val="28"/>
        </w:rPr>
        <w:t>26</w:t>
      </w:r>
      <w:r>
        <w:rPr>
          <w:rFonts w:ascii="仿宋" w:hAnsi="仿宋" w:eastAsia="仿宋"/>
          <w:sz w:val="28"/>
          <w:szCs w:val="28"/>
        </w:rPr>
        <w:fldChar w:fldCharType="end"/>
      </w:r>
    </w:p>
    <w:p w14:paraId="29708802">
      <w:pPr>
        <w:pStyle w:val="13"/>
        <w:ind w:left="31680"/>
        <w:rPr>
          <w:rFonts w:ascii="仿宋" w:hAnsi="仿宋" w:eastAsia="仿宋"/>
          <w:sz w:val="28"/>
          <w:szCs w:val="28"/>
        </w:rPr>
      </w:pPr>
      <w:r>
        <w:fldChar w:fldCharType="begin"/>
      </w:r>
      <w:r>
        <w:instrText xml:space="preserve"> HYPERLINK \l "_Toc15396612" </w:instrText>
      </w:r>
      <w:r>
        <w:fldChar w:fldCharType="separate"/>
      </w:r>
      <w:r>
        <w:rPr>
          <w:rStyle w:val="18"/>
          <w:rFonts w:hint="eastAsia" w:ascii="仿宋" w:hAnsi="仿宋" w:eastAsia="仿宋"/>
          <w:sz w:val="28"/>
          <w:szCs w:val="28"/>
        </w:rPr>
        <w:t>十</w:t>
      </w:r>
      <w:r>
        <w:rPr>
          <w:rStyle w:val="18"/>
          <w:rFonts w:hint="eastAsia" w:ascii="仿宋" w:hAnsi="仿宋" w:eastAsia="仿宋"/>
          <w:bCs/>
          <w:sz w:val="28"/>
          <w:szCs w:val="28"/>
        </w:rPr>
        <w:t>一、其他重要事项的情况说明</w:t>
      </w:r>
      <w:r>
        <w:rPr>
          <w:rFonts w:ascii="仿宋" w:hAnsi="仿宋" w:eastAsia="仿宋"/>
          <w:sz w:val="28"/>
          <w:szCs w:val="28"/>
        </w:rPr>
        <w:tab/>
      </w:r>
      <w:r>
        <w:rPr>
          <w:rFonts w:ascii="仿宋" w:hAnsi="仿宋" w:eastAsia="仿宋"/>
          <w:sz w:val="28"/>
          <w:szCs w:val="28"/>
        </w:rPr>
        <w:t>26</w:t>
      </w:r>
      <w:r>
        <w:rPr>
          <w:rFonts w:ascii="仿宋" w:hAnsi="仿宋" w:eastAsia="仿宋"/>
          <w:sz w:val="28"/>
          <w:szCs w:val="28"/>
        </w:rPr>
        <w:fldChar w:fldCharType="end"/>
      </w:r>
    </w:p>
    <w:p w14:paraId="7658234C">
      <w:pPr>
        <w:pStyle w:val="12"/>
      </w:pPr>
      <w:r>
        <w:fldChar w:fldCharType="begin"/>
      </w:r>
      <w:r>
        <w:instrText xml:space="preserve"> HYPERLINK \l "_Toc15396613" </w:instrText>
      </w:r>
      <w:r>
        <w:fldChar w:fldCharType="separate"/>
      </w:r>
      <w:r>
        <w:rPr>
          <w:rStyle w:val="18"/>
          <w:rFonts w:hint="eastAsia"/>
          <w:bCs/>
          <w:kern w:val="44"/>
        </w:rPr>
        <w:t>第三部分</w:t>
      </w:r>
      <w:r>
        <w:rPr>
          <w:rStyle w:val="18"/>
        </w:rPr>
        <w:t xml:space="preserve"> </w:t>
      </w:r>
      <w:r>
        <w:rPr>
          <w:rStyle w:val="18"/>
          <w:rFonts w:hint="eastAsia"/>
        </w:rPr>
        <w:t>名</w:t>
      </w:r>
      <w:r>
        <w:rPr>
          <w:rStyle w:val="18"/>
          <w:rFonts w:hint="eastAsia"/>
          <w:bCs/>
          <w:kern w:val="44"/>
        </w:rPr>
        <w:t>词解释</w:t>
      </w:r>
      <w:r>
        <w:tab/>
      </w:r>
      <w:r>
        <w:t>28</w:t>
      </w:r>
      <w:r>
        <w:fldChar w:fldCharType="end"/>
      </w:r>
    </w:p>
    <w:p w14:paraId="2DE8AB33">
      <w:pPr>
        <w:pStyle w:val="12"/>
      </w:pPr>
      <w:r>
        <w:fldChar w:fldCharType="begin"/>
      </w:r>
      <w:r>
        <w:instrText xml:space="preserve"> HYPERLINK \l "_Toc15396614" </w:instrText>
      </w:r>
      <w:r>
        <w:fldChar w:fldCharType="separate"/>
      </w:r>
      <w:r>
        <w:rPr>
          <w:rStyle w:val="18"/>
          <w:rFonts w:hint="eastAsia"/>
        </w:rPr>
        <w:t>第</w:t>
      </w:r>
      <w:r>
        <w:rPr>
          <w:rStyle w:val="18"/>
          <w:rFonts w:hint="eastAsia"/>
          <w:bCs/>
          <w:kern w:val="44"/>
        </w:rPr>
        <w:t>四部分</w:t>
      </w:r>
      <w:r>
        <w:rPr>
          <w:rStyle w:val="18"/>
          <w:bCs/>
          <w:kern w:val="44"/>
        </w:rPr>
        <w:t xml:space="preserve"> </w:t>
      </w:r>
      <w:r>
        <w:rPr>
          <w:rStyle w:val="18"/>
          <w:rFonts w:hint="eastAsia"/>
          <w:bCs/>
          <w:kern w:val="44"/>
        </w:rPr>
        <w:t>附件</w:t>
      </w:r>
      <w:r>
        <w:tab/>
      </w:r>
      <w:r>
        <w:t>30</w:t>
      </w:r>
      <w:r>
        <w:fldChar w:fldCharType="end"/>
      </w:r>
    </w:p>
    <w:p w14:paraId="141EEFE1">
      <w:pPr>
        <w:pStyle w:val="13"/>
        <w:ind w:left="31680"/>
        <w:rPr>
          <w:rFonts w:ascii="仿宋" w:hAnsi="仿宋" w:eastAsia="仿宋"/>
          <w:sz w:val="28"/>
          <w:szCs w:val="28"/>
        </w:rPr>
      </w:pPr>
      <w:r>
        <w:fldChar w:fldCharType="begin"/>
      </w:r>
      <w:r>
        <w:instrText xml:space="preserve"> HYPERLINK \l "_Toc15396615" </w:instrText>
      </w:r>
      <w:r>
        <w:fldChar w:fldCharType="separate"/>
      </w:r>
      <w:r>
        <w:rPr>
          <w:rStyle w:val="18"/>
          <w:rFonts w:hint="eastAsia" w:ascii="仿宋" w:hAnsi="仿宋" w:eastAsia="仿宋"/>
          <w:kern w:val="44"/>
          <w:sz w:val="28"/>
          <w:szCs w:val="28"/>
        </w:rPr>
        <w:t>附件</w:t>
      </w:r>
      <w:r>
        <w:rPr>
          <w:rStyle w:val="18"/>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30</w:t>
      </w:r>
      <w:r>
        <w:rPr>
          <w:rFonts w:ascii="仿宋" w:hAnsi="仿宋" w:eastAsia="仿宋"/>
          <w:sz w:val="28"/>
          <w:szCs w:val="28"/>
        </w:rPr>
        <w:fldChar w:fldCharType="end"/>
      </w:r>
    </w:p>
    <w:p w14:paraId="052F4189">
      <w:pPr>
        <w:pStyle w:val="12"/>
      </w:pPr>
      <w:r>
        <w:fldChar w:fldCharType="begin"/>
      </w:r>
      <w:r>
        <w:instrText xml:space="preserve"> HYPERLINK \l "_Toc15396618" </w:instrText>
      </w:r>
      <w:r>
        <w:fldChar w:fldCharType="separate"/>
      </w:r>
      <w:r>
        <w:rPr>
          <w:rStyle w:val="18"/>
          <w:rFonts w:hint="eastAsia"/>
        </w:rPr>
        <w:t>第</w:t>
      </w:r>
      <w:r>
        <w:rPr>
          <w:rStyle w:val="18"/>
          <w:rFonts w:hint="eastAsia"/>
          <w:bCs/>
          <w:kern w:val="44"/>
        </w:rPr>
        <w:t>五部分</w:t>
      </w:r>
      <w:r>
        <w:rPr>
          <w:rStyle w:val="18"/>
          <w:bCs/>
          <w:kern w:val="44"/>
        </w:rPr>
        <w:t xml:space="preserve"> </w:t>
      </w:r>
      <w:r>
        <w:rPr>
          <w:rStyle w:val="18"/>
          <w:rFonts w:hint="eastAsia"/>
          <w:bCs/>
          <w:kern w:val="44"/>
        </w:rPr>
        <w:t>附表</w:t>
      </w:r>
      <w:r>
        <w:tab/>
      </w:r>
      <w:r>
        <w:t>37</w:t>
      </w:r>
      <w:r>
        <w:fldChar w:fldCharType="end"/>
      </w:r>
    </w:p>
    <w:p w14:paraId="044489E1">
      <w:pPr>
        <w:pStyle w:val="13"/>
        <w:ind w:left="31680"/>
        <w:rPr>
          <w:rFonts w:ascii="仿宋" w:hAnsi="仿宋" w:eastAsia="仿宋"/>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8"/>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4ECF0167">
      <w:pPr>
        <w:pStyle w:val="13"/>
        <w:ind w:left="31680"/>
        <w:rPr>
          <w:rFonts w:ascii="仿宋" w:hAnsi="仿宋" w:eastAsia="仿宋"/>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8"/>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64FC2B8A">
      <w:pPr>
        <w:pStyle w:val="13"/>
        <w:ind w:left="31680"/>
        <w:rPr>
          <w:rFonts w:ascii="仿宋" w:hAnsi="仿宋" w:eastAsia="仿宋"/>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8"/>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12B1314B">
      <w:pPr>
        <w:pStyle w:val="13"/>
        <w:ind w:left="31680"/>
        <w:rPr>
          <w:rFonts w:ascii="仿宋" w:hAnsi="仿宋" w:eastAsia="仿宋"/>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8"/>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09249E96">
      <w:pPr>
        <w:pStyle w:val="13"/>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441134BC">
      <w:pPr>
        <w:pStyle w:val="13"/>
        <w:ind w:left="31680"/>
        <w:rPr>
          <w:rFonts w:ascii="仿宋" w:hAnsi="仿宋" w:eastAsia="仿宋"/>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8"/>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5E3BFE8C">
      <w:pPr>
        <w:pStyle w:val="13"/>
        <w:ind w:left="31680"/>
        <w:rPr>
          <w:rFonts w:ascii="仿宋" w:hAnsi="仿宋" w:eastAsia="仿宋"/>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8"/>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491CA90E">
      <w:pPr>
        <w:pStyle w:val="13"/>
        <w:ind w:left="31680"/>
        <w:rPr>
          <w:rFonts w:ascii="仿宋" w:hAnsi="仿宋" w:eastAsia="仿宋"/>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8"/>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7C5060A0">
      <w:pPr>
        <w:pStyle w:val="13"/>
        <w:ind w:left="31680"/>
        <w:rPr>
          <w:rFonts w:ascii="仿宋" w:hAnsi="仿宋" w:eastAsia="仿宋"/>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8"/>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6FA6B796">
      <w:pPr>
        <w:pStyle w:val="13"/>
        <w:ind w:left="31680"/>
        <w:rPr>
          <w:rFonts w:ascii="仿宋" w:hAnsi="仿宋" w:eastAsia="仿宋"/>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8"/>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5F8F672C">
      <w:pPr>
        <w:pStyle w:val="13"/>
        <w:ind w:left="31680"/>
        <w:rPr>
          <w:rFonts w:ascii="仿宋" w:hAnsi="仿宋" w:eastAsia="仿宋"/>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8"/>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0210A3A4">
      <w:pPr>
        <w:pStyle w:val="13"/>
        <w:ind w:left="31680"/>
        <w:rPr>
          <w:rFonts w:ascii="仿宋" w:hAnsi="仿宋" w:eastAsia="仿宋"/>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8"/>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37CFBCEF">
      <w:pPr>
        <w:pStyle w:val="13"/>
        <w:ind w:left="31680"/>
        <w:rPr>
          <w:rFonts w:ascii="仿宋" w:hAnsi="仿宋" w:eastAsia="仿宋"/>
          <w:sz w:val="28"/>
          <w:szCs w:val="28"/>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8"/>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37</w:t>
      </w:r>
      <w:r>
        <w:rPr>
          <w:rFonts w:ascii="仿宋" w:hAnsi="仿宋" w:eastAsia="仿宋"/>
          <w:sz w:val="28"/>
          <w:szCs w:val="28"/>
        </w:rPr>
        <w:fldChar w:fldCharType="end"/>
      </w:r>
    </w:p>
    <w:p w14:paraId="6589E1E7">
      <w:pPr>
        <w:widowControl/>
        <w:jc w:val="left"/>
        <w:rPr>
          <w:rFonts w:ascii="仿宋" w:hAnsi="仿宋" w:eastAsia="仿宋"/>
          <w:color w:val="000000"/>
          <w:sz w:val="24"/>
        </w:rPr>
      </w:pPr>
      <w:r>
        <w:rPr>
          <w:rFonts w:ascii="黑体" w:hAnsi="黑体" w:eastAsia="黑体"/>
          <w:color w:val="000000"/>
          <w:sz w:val="48"/>
          <w:szCs w:val="48"/>
        </w:rPr>
        <w:fldChar w:fldCharType="end"/>
      </w:r>
    </w:p>
    <w:p w14:paraId="281FE9A6">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1C703910">
      <w:pPr>
        <w:pStyle w:val="4"/>
        <w:jc w:val="center"/>
        <w:rPr>
          <w:rStyle w:val="19"/>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9"/>
          <w:rFonts w:hint="eastAsia" w:ascii="黑体" w:hAnsi="黑体" w:eastAsia="黑体"/>
          <w:b w:val="0"/>
          <w:bCs w:val="0"/>
        </w:rPr>
        <w:t>部门概况</w:t>
      </w:r>
      <w:bookmarkEnd w:id="12"/>
      <w:bookmarkEnd w:id="13"/>
    </w:p>
    <w:p w14:paraId="58F73D8C">
      <w:pPr>
        <w:widowControl/>
        <w:jc w:val="left"/>
        <w:rPr>
          <w:rFonts w:ascii="黑体" w:eastAsia="黑体"/>
          <w:color w:val="000000"/>
          <w:sz w:val="32"/>
          <w:szCs w:val="32"/>
        </w:rPr>
      </w:pPr>
    </w:p>
    <w:p w14:paraId="4F730D8C">
      <w:pPr>
        <w:pStyle w:val="5"/>
        <w:rPr>
          <w:rStyle w:val="20"/>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0"/>
          <w:rFonts w:hint="eastAsia" w:ascii="黑体" w:hAnsi="黑体" w:eastAsia="黑体"/>
          <w:b w:val="0"/>
          <w:bCs w:val="0"/>
        </w:rPr>
        <w:t>本职能及主要工作</w:t>
      </w:r>
      <w:bookmarkEnd w:id="14"/>
      <w:bookmarkEnd w:id="15"/>
    </w:p>
    <w:p w14:paraId="7EB3A1CF">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7198"/>
      <w:bookmarkStart w:id="17" w:name="_Toc15378445"/>
      <w:r>
        <w:rPr>
          <w:rFonts w:hint="eastAsia" w:ascii="仿宋" w:hAnsi="仿宋" w:eastAsia="仿宋"/>
          <w:bCs/>
          <w:color w:val="000000"/>
          <w:sz w:val="32"/>
          <w:szCs w:val="32"/>
        </w:rPr>
        <w:t>（一）主要职能。</w:t>
      </w:r>
      <w:bookmarkEnd w:id="16"/>
      <w:bookmarkEnd w:id="17"/>
    </w:p>
    <w:p w14:paraId="2980924D">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贯彻实施国家有关工业经济、信息化、无线电管理、科学技术、知识产权的方针、政策和法律、法规。</w:t>
      </w:r>
    </w:p>
    <w:p w14:paraId="66D0E7CB">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实施工业强区战略，加强信息化和工业化融合、工业化与城镇化联动，推进全区工业结构调整。参与制订国民经济和社会发展规划，牵头拟定工业、信息化、科学技术和知识产权发展规划，提出相关行业的优先领域和发展重点，制订行业年度发展计划和产业政策、行业技术规范与行业标准并组织实施，指导行业质量管理工作。</w:t>
      </w:r>
    </w:p>
    <w:p w14:paraId="65F9A9AA">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lang w:eastAsia="zh-CN"/>
        </w:rPr>
        <w:t>）</w:t>
      </w:r>
      <w:r>
        <w:rPr>
          <w:rFonts w:hint="eastAsia" w:ascii="仿宋" w:hAnsi="仿宋" w:eastAsia="仿宋"/>
          <w:color w:val="000000"/>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4C10B96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4C655B6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负责全区工业和信息化领域的节能降耗、清洁生产和资源节约与综合利用工作，协调推进工业化与生态环境协调发展中的重大问题。</w:t>
      </w:r>
    </w:p>
    <w:p w14:paraId="5FD00FD8">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24F86AD9">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lang w:eastAsia="zh-CN"/>
        </w:rPr>
        <w:t>）</w:t>
      </w:r>
      <w:r>
        <w:rPr>
          <w:rFonts w:hint="eastAsia" w:ascii="仿宋" w:hAnsi="仿宋" w:eastAsia="仿宋"/>
          <w:color w:val="000000"/>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157C4C3D">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8</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44B7EB0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eastAsia="zh-CN"/>
        </w:rPr>
        <w:t>）</w:t>
      </w:r>
      <w:r>
        <w:rPr>
          <w:rFonts w:hint="eastAsia" w:ascii="仿宋" w:hAnsi="仿宋" w:eastAsia="仿宋"/>
          <w:color w:val="000000"/>
          <w:sz w:val="32"/>
          <w:szCs w:val="32"/>
        </w:rPr>
        <w:t>统筹推进全区信息化工作，制订相关政策并组织实施，指导电子政务、企业信息化、电子商务和物联网发展，推动跨行业、跨部门面向社会服务网络的互联互通和信息资源共享。</w:t>
      </w:r>
    </w:p>
    <w:p w14:paraId="351D9662">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负责全区信息基础设施建设的规划、协调和管理，组织制订通信管线规划并承担相应的管理工作，协调电信市场涉及社会公共利益的重大事项。</w:t>
      </w:r>
    </w:p>
    <w:p w14:paraId="3534AB9C">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11</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组织协调全区信息安全保障体系建设，指导和监督政府部门、重点行业的重要信息系统与信息网络的安全保障工作，指导信息安全防范工作，参与处理网络与信息安全重大事件。</w:t>
      </w:r>
    </w:p>
    <w:p w14:paraId="60187C5F">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12</w:t>
      </w:r>
      <w:r>
        <w:rPr>
          <w:rFonts w:hint="eastAsia" w:ascii="仿宋" w:hAnsi="仿宋" w:eastAsia="仿宋"/>
          <w:color w:val="000000"/>
          <w:sz w:val="32"/>
          <w:szCs w:val="32"/>
          <w:lang w:eastAsia="zh-CN"/>
        </w:rPr>
        <w:t>）</w:t>
      </w:r>
      <w:r>
        <w:rPr>
          <w:rFonts w:hint="eastAsia" w:ascii="仿宋" w:hAnsi="仿宋" w:eastAsia="仿宋"/>
          <w:color w:val="000000"/>
          <w:sz w:val="32"/>
          <w:szCs w:val="32"/>
        </w:rPr>
        <w:t>统一配置和管理全区无线电频谱资源，依法监督管理无线电台</w:t>
      </w:r>
      <w:r>
        <w:rPr>
          <w:rFonts w:ascii="仿宋" w:hAnsi="仿宋" w:eastAsia="仿宋"/>
          <w:color w:val="000000"/>
          <w:sz w:val="32"/>
          <w:szCs w:val="32"/>
        </w:rPr>
        <w:t>(</w:t>
      </w:r>
      <w:r>
        <w:rPr>
          <w:rFonts w:hint="eastAsia" w:ascii="仿宋" w:hAnsi="仿宋" w:eastAsia="仿宋"/>
          <w:color w:val="000000"/>
          <w:sz w:val="32"/>
          <w:szCs w:val="32"/>
        </w:rPr>
        <w:t>站</w:t>
      </w:r>
      <w:r>
        <w:rPr>
          <w:rFonts w:ascii="仿宋" w:hAnsi="仿宋" w:eastAsia="仿宋"/>
          <w:color w:val="000000"/>
          <w:sz w:val="32"/>
          <w:szCs w:val="32"/>
        </w:rPr>
        <w:t>)</w:t>
      </w:r>
      <w:r>
        <w:rPr>
          <w:rFonts w:hint="eastAsia" w:ascii="仿宋" w:hAnsi="仿宋" w:eastAsia="仿宋"/>
          <w:color w:val="000000"/>
          <w:sz w:val="32"/>
          <w:szCs w:val="32"/>
        </w:rPr>
        <w:t>，负责无线电电磁环境保护工作；负责无线电监测、检测和干扰查处，协调军地间和县际间无线电管理相关事宜，维护空中电波秩序，依法组织实施无线电管制。</w:t>
      </w:r>
    </w:p>
    <w:p w14:paraId="4E8EF06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13</w:t>
      </w:r>
      <w:r>
        <w:rPr>
          <w:rFonts w:hint="eastAsia" w:ascii="仿宋" w:hAnsi="仿宋" w:eastAsia="仿宋"/>
          <w:color w:val="000000"/>
          <w:sz w:val="32"/>
          <w:szCs w:val="32"/>
          <w:lang w:eastAsia="zh-CN"/>
        </w:rPr>
        <w:t>）</w:t>
      </w:r>
      <w:r>
        <w:rPr>
          <w:rFonts w:hint="eastAsia" w:ascii="仿宋" w:hAnsi="仿宋" w:eastAsia="仿宋"/>
          <w:color w:val="000000"/>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4472D7B5">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14</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负责组织拟订并实施科技支撑计划、重点基础研究计划、软科学研究计划和统筹协调基础研究、前沿技术研究、重大社会公益性技术研究及关键技术、共性技术研究。</w:t>
      </w:r>
    </w:p>
    <w:p w14:paraId="6C7FBF8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15</w:t>
      </w:r>
      <w:r>
        <w:rPr>
          <w:rFonts w:hint="eastAsia" w:ascii="仿宋" w:hAnsi="仿宋" w:eastAsia="仿宋"/>
          <w:color w:val="000000"/>
          <w:sz w:val="32"/>
          <w:szCs w:val="32"/>
          <w:lang w:eastAsia="zh-CN"/>
        </w:rPr>
        <w:t>）</w:t>
      </w:r>
      <w:r>
        <w:rPr>
          <w:rFonts w:hint="eastAsia" w:ascii="仿宋" w:hAnsi="仿宋" w:eastAsia="仿宋"/>
          <w:color w:val="000000"/>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5625EE81">
      <w:pPr>
        <w:pStyle w:val="7"/>
        <w:adjustRightInd w:val="0"/>
        <w:snapToGrid w:val="0"/>
        <w:spacing w:before="93" w:line="600" w:lineRule="exact"/>
        <w:ind w:firstLine="675" w:firstLineChars="210"/>
        <w:outlineLvl w:val="2"/>
        <w:rPr>
          <w:rFonts w:ascii="仿宋" w:hAnsi="仿宋" w:eastAsia="仿宋"/>
          <w:b/>
          <w:color w:val="000000"/>
          <w:sz w:val="32"/>
          <w:szCs w:val="32"/>
        </w:rPr>
      </w:pPr>
      <w:bookmarkStart w:id="18" w:name="_Toc15377199"/>
      <w:bookmarkStart w:id="19" w:name="_Toc15378446"/>
      <w:r>
        <w:rPr>
          <w:rFonts w:hint="eastAsia" w:ascii="仿宋" w:hAnsi="仿宋" w:eastAsia="仿宋"/>
          <w:b/>
          <w:color w:val="000000"/>
          <w:sz w:val="32"/>
          <w:szCs w:val="32"/>
        </w:rPr>
        <w:t>（二）</w:t>
      </w:r>
      <w:r>
        <w:rPr>
          <w:rFonts w:ascii="仿宋" w:hAnsi="仿宋" w:eastAsia="仿宋"/>
          <w:b/>
          <w:color w:val="000000"/>
          <w:sz w:val="32"/>
          <w:szCs w:val="32"/>
        </w:rPr>
        <w:t>2018</w:t>
      </w:r>
      <w:r>
        <w:rPr>
          <w:rFonts w:hint="eastAsia" w:ascii="仿宋" w:hAnsi="仿宋" w:eastAsia="仿宋"/>
          <w:b/>
          <w:color w:val="000000"/>
          <w:sz w:val="32"/>
          <w:szCs w:val="32"/>
        </w:rPr>
        <w:t>年重点工作完成情况。</w:t>
      </w:r>
      <w:bookmarkEnd w:id="18"/>
      <w:bookmarkEnd w:id="19"/>
    </w:p>
    <w:p w14:paraId="0297BD9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1.</w:t>
      </w:r>
      <w:r>
        <w:rPr>
          <w:rFonts w:hint="eastAsia" w:ascii="仿宋" w:hAnsi="仿宋" w:eastAsia="仿宋"/>
          <w:color w:val="000000"/>
          <w:sz w:val="32"/>
          <w:szCs w:val="32"/>
        </w:rPr>
        <w:t>抓廉政建设锻造素质过硬工业队伍。一是加强理论学习。组织党组会、职工会</w:t>
      </w:r>
      <w:r>
        <w:rPr>
          <w:rFonts w:ascii="仿宋" w:hAnsi="仿宋" w:eastAsia="仿宋"/>
          <w:color w:val="000000"/>
          <w:sz w:val="32"/>
          <w:szCs w:val="32"/>
        </w:rPr>
        <w:t>11</w:t>
      </w:r>
      <w:r>
        <w:rPr>
          <w:rFonts w:hint="eastAsia" w:ascii="仿宋" w:hAnsi="仿宋" w:eastAsia="仿宋"/>
          <w:color w:val="000000"/>
          <w:sz w:val="32"/>
          <w:szCs w:val="32"/>
        </w:rPr>
        <w:t>次，专题学习</w:t>
      </w:r>
      <w:r>
        <w:rPr>
          <w:rFonts w:hint="eastAsia" w:ascii="仿宋" w:hAnsi="仿宋" w:eastAsia="仿宋"/>
          <w:color w:val="000000"/>
          <w:sz w:val="32"/>
          <w:szCs w:val="32"/>
          <w:lang w:eastAsia="zh-CN"/>
        </w:rPr>
        <w:t>党的十九大精神</w:t>
      </w:r>
      <w:r>
        <w:rPr>
          <w:rFonts w:hint="eastAsia" w:ascii="仿宋" w:hAnsi="仿宋" w:eastAsia="仿宋"/>
          <w:color w:val="000000"/>
          <w:sz w:val="32"/>
          <w:szCs w:val="32"/>
        </w:rPr>
        <w:t>、习</w:t>
      </w:r>
      <w:r>
        <w:rPr>
          <w:rFonts w:hint="eastAsia" w:ascii="仿宋" w:hAnsi="仿宋" w:eastAsia="仿宋"/>
          <w:color w:val="000000"/>
          <w:sz w:val="32"/>
          <w:szCs w:val="32"/>
          <w:lang w:val="en-US" w:eastAsia="zh-CN"/>
        </w:rPr>
        <w:t>近平</w:t>
      </w:r>
      <w:r>
        <w:rPr>
          <w:rFonts w:hint="eastAsia" w:ascii="仿宋" w:hAnsi="仿宋" w:eastAsia="仿宋"/>
          <w:color w:val="000000"/>
          <w:sz w:val="32"/>
          <w:szCs w:val="32"/>
        </w:rPr>
        <w:t>总书记来川视察讲话精神、省委彭书记讲话精神、省委十一届三次全会精神等理论知识，并深入企业进行了宣讲，将精神传达到了企业职工。落实讲党课制度，副科级以上领导干部每人讲一次党课。积极创建“网上党支部微信群”等网络教育平台，开展网上党日活动</w:t>
      </w:r>
      <w:r>
        <w:rPr>
          <w:rFonts w:ascii="仿宋" w:hAnsi="仿宋" w:eastAsia="仿宋"/>
          <w:color w:val="000000"/>
          <w:sz w:val="32"/>
          <w:szCs w:val="32"/>
        </w:rPr>
        <w:t>6</w:t>
      </w:r>
      <w:r>
        <w:rPr>
          <w:rFonts w:hint="eastAsia" w:ascii="仿宋" w:hAnsi="仿宋" w:eastAsia="仿宋"/>
          <w:color w:val="000000"/>
          <w:sz w:val="32"/>
          <w:szCs w:val="32"/>
        </w:rPr>
        <w:t>次，组织党员实时互动交流，推动“两学一做”常态化制度化。二是认真履行主体责任。召开</w:t>
      </w:r>
      <w:r>
        <w:rPr>
          <w:rFonts w:ascii="仿宋" w:hAnsi="仿宋" w:eastAsia="仿宋"/>
          <w:color w:val="000000"/>
          <w:sz w:val="32"/>
          <w:szCs w:val="32"/>
        </w:rPr>
        <w:t>12</w:t>
      </w:r>
      <w:r>
        <w:rPr>
          <w:rFonts w:hint="eastAsia" w:ascii="仿宋" w:hAnsi="仿宋" w:eastAsia="仿宋"/>
          <w:color w:val="000000"/>
          <w:sz w:val="32"/>
          <w:szCs w:val="32"/>
        </w:rPr>
        <w:t>次党组会议，</w:t>
      </w:r>
      <w:r>
        <w:rPr>
          <w:rFonts w:ascii="仿宋" w:hAnsi="仿宋" w:eastAsia="仿宋"/>
          <w:color w:val="000000"/>
          <w:sz w:val="32"/>
          <w:szCs w:val="32"/>
        </w:rPr>
        <w:t>4</w:t>
      </w:r>
      <w:r>
        <w:rPr>
          <w:rFonts w:hint="eastAsia" w:ascii="仿宋" w:hAnsi="仿宋" w:eastAsia="仿宋"/>
          <w:color w:val="000000"/>
          <w:sz w:val="32"/>
          <w:szCs w:val="32"/>
        </w:rPr>
        <w:t>次党建专题会议，研究部署党建工作。建设了功能完善、彰显主题的党员活动室，营造了浓厚的党建氛围。坚持遵守“三会一课”、民主评议党员等制度，使支部活动开展经常化。三是强化党员管理。组织开展多种形式的理论知识、业务技能培训</w:t>
      </w:r>
      <w:r>
        <w:rPr>
          <w:rFonts w:ascii="仿宋" w:hAnsi="仿宋" w:eastAsia="仿宋"/>
          <w:color w:val="000000"/>
          <w:sz w:val="32"/>
          <w:szCs w:val="32"/>
        </w:rPr>
        <w:t>10</w:t>
      </w:r>
      <w:r>
        <w:rPr>
          <w:rFonts w:hint="eastAsia" w:ascii="仿宋" w:hAnsi="仿宋" w:eastAsia="仿宋"/>
          <w:color w:val="000000"/>
          <w:sz w:val="32"/>
          <w:szCs w:val="32"/>
        </w:rPr>
        <w:t>次，扎实推进党建</w:t>
      </w:r>
      <w:r>
        <w:rPr>
          <w:rFonts w:ascii="仿宋" w:hAnsi="仿宋" w:eastAsia="仿宋"/>
          <w:color w:val="000000"/>
          <w:sz w:val="32"/>
          <w:szCs w:val="32"/>
        </w:rPr>
        <w:t>11</w:t>
      </w:r>
      <w:r>
        <w:rPr>
          <w:rFonts w:hint="eastAsia" w:ascii="仿宋" w:hAnsi="仿宋" w:eastAsia="仿宋"/>
          <w:color w:val="000000"/>
          <w:sz w:val="32"/>
          <w:szCs w:val="32"/>
        </w:rPr>
        <w:t>项重点工作落实。把“双报到”和党员志愿服务结合，推进党员志愿服务进园区、进企业、进项目等活动。全年开展党员干部志愿服务活动</w:t>
      </w:r>
      <w:r>
        <w:rPr>
          <w:rFonts w:ascii="仿宋" w:hAnsi="仿宋" w:eastAsia="仿宋"/>
          <w:color w:val="000000"/>
          <w:sz w:val="32"/>
          <w:szCs w:val="32"/>
        </w:rPr>
        <w:t>50</w:t>
      </w:r>
      <w:r>
        <w:rPr>
          <w:rFonts w:hint="eastAsia" w:ascii="仿宋" w:hAnsi="仿宋" w:eastAsia="仿宋"/>
          <w:color w:val="000000"/>
          <w:sz w:val="32"/>
          <w:szCs w:val="32"/>
        </w:rPr>
        <w:t>余次。组织了党员突击队冲锋在前，迅速恢复了因暴雨受灾的乡镇群众的用电用网。四是严格落实《条例》《准则》。强化《条例》《准则》执行情况监督，积极配合巡查，主动反映问题，制定问题整改方案，落实问题整改。五是开展了“作风纪律深化年”活动，驰而不息纠“四风”，开展了扶贫领域突出问题、“微腐败”集中整治。开展作风纪律自查自纠活动，组织民主评议，提高了党员干部思想认识，规范了党员干部执政行为。</w:t>
      </w:r>
    </w:p>
    <w:p w14:paraId="6A9E245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w:t>
      </w:r>
      <w:r>
        <w:rPr>
          <w:rFonts w:hint="eastAsia" w:ascii="仿宋" w:hAnsi="仿宋" w:eastAsia="仿宋"/>
          <w:color w:val="000000"/>
          <w:sz w:val="32"/>
          <w:szCs w:val="32"/>
        </w:rPr>
        <w:t>抓平台建设促进工业经济跨越发展。一是紧抓园区载体建设。围绕我区三大主导产业，不断推进中国食品产业重点园发展壮大，园区现有企业</w:t>
      </w:r>
      <w:r>
        <w:rPr>
          <w:rFonts w:ascii="仿宋" w:hAnsi="仿宋" w:eastAsia="仿宋"/>
          <w:color w:val="000000"/>
          <w:sz w:val="32"/>
          <w:szCs w:val="32"/>
        </w:rPr>
        <w:t>74</w:t>
      </w:r>
      <w:r>
        <w:rPr>
          <w:rFonts w:hint="eastAsia" w:ascii="仿宋" w:hAnsi="仿宋" w:eastAsia="仿宋"/>
          <w:color w:val="000000"/>
          <w:sz w:val="32"/>
          <w:szCs w:val="32"/>
        </w:rPr>
        <w:t>家，规上工业企业</w:t>
      </w:r>
      <w:r>
        <w:rPr>
          <w:rFonts w:ascii="仿宋" w:hAnsi="仿宋" w:eastAsia="仿宋"/>
          <w:color w:val="000000"/>
          <w:sz w:val="32"/>
          <w:szCs w:val="32"/>
        </w:rPr>
        <w:t>25</w:t>
      </w:r>
      <w:r>
        <w:rPr>
          <w:rFonts w:hint="eastAsia" w:ascii="仿宋" w:hAnsi="仿宋" w:eastAsia="仿宋"/>
          <w:color w:val="000000"/>
          <w:sz w:val="32"/>
          <w:szCs w:val="32"/>
        </w:rPr>
        <w:t>家，园区规上工业企业产值已达</w:t>
      </w:r>
      <w:r>
        <w:rPr>
          <w:rFonts w:ascii="仿宋" w:hAnsi="仿宋" w:eastAsia="仿宋"/>
          <w:color w:val="000000"/>
          <w:sz w:val="32"/>
          <w:szCs w:val="32"/>
        </w:rPr>
        <w:t>85.34</w:t>
      </w:r>
      <w:r>
        <w:rPr>
          <w:rFonts w:hint="eastAsia" w:ascii="仿宋" w:hAnsi="仿宋" w:eastAsia="仿宋"/>
          <w:color w:val="000000"/>
          <w:sz w:val="32"/>
          <w:szCs w:val="32"/>
        </w:rPr>
        <w:t>亿元。</w:t>
      </w:r>
      <w:r>
        <w:rPr>
          <w:rFonts w:ascii="仿宋" w:hAnsi="仿宋" w:eastAsia="仿宋"/>
          <w:color w:val="000000"/>
          <w:sz w:val="32"/>
          <w:szCs w:val="32"/>
        </w:rPr>
        <w:t>2018</w:t>
      </w:r>
      <w:r>
        <w:rPr>
          <w:rFonts w:hint="eastAsia" w:ascii="仿宋" w:hAnsi="仿宋" w:eastAsia="仿宋"/>
          <w:color w:val="000000"/>
          <w:sz w:val="32"/>
          <w:szCs w:val="32"/>
        </w:rPr>
        <w:t>年该园被评为市级工业产业扶贫示范园区。成功推动中国西部（广元）西部家居产业城纳入了省政府《优化区域产业布局的指导意见》，列为了全省唯一家居产业专业园区、川东北经济区十大重点产业项目之一，同时明确了成都市、广元市共建机制。并在产业城宏大而艰巨的建设任务中，承担了最难协调的天然气、电力、通信管线迁改任务，确保了产业城建设的顺利推进。牵头负责产业城产业导入招商引资，完成了首期入驻项目招商政策的制定，首批项目已入驻开工，进展良好。二是推进科技创新平台建设。加强高新技术企业培育，打造经济发展核心动力。指导飞达模具公司和牛牛生物科技公司完成国家高新技术企业复审，鼓励壮牛农牧和远通汽配申报国家高新技术企业。</w:t>
      </w:r>
      <w:r>
        <w:rPr>
          <w:rFonts w:ascii="仿宋" w:hAnsi="仿宋" w:eastAsia="仿宋"/>
          <w:color w:val="000000"/>
          <w:sz w:val="32"/>
          <w:szCs w:val="32"/>
        </w:rPr>
        <w:t>2018</w:t>
      </w:r>
      <w:r>
        <w:rPr>
          <w:rFonts w:hint="eastAsia" w:ascii="仿宋" w:hAnsi="仿宋" w:eastAsia="仿宋"/>
          <w:color w:val="000000"/>
          <w:sz w:val="32"/>
          <w:szCs w:val="32"/>
        </w:rPr>
        <w:t>年我区高新技术产业总产值实现</w:t>
      </w:r>
      <w:r>
        <w:rPr>
          <w:rFonts w:ascii="仿宋" w:hAnsi="仿宋" w:eastAsia="仿宋"/>
          <w:color w:val="000000"/>
          <w:sz w:val="32"/>
          <w:szCs w:val="32"/>
        </w:rPr>
        <w:t>5.2</w:t>
      </w:r>
      <w:r>
        <w:rPr>
          <w:rFonts w:hint="eastAsia" w:ascii="仿宋" w:hAnsi="仿宋" w:eastAsia="仿宋"/>
          <w:color w:val="000000"/>
          <w:sz w:val="32"/>
          <w:szCs w:val="32"/>
        </w:rPr>
        <w:t>亿元，占规上工业总产值的</w:t>
      </w:r>
      <w:r>
        <w:rPr>
          <w:rFonts w:ascii="仿宋" w:hAnsi="仿宋" w:eastAsia="仿宋"/>
          <w:color w:val="000000"/>
          <w:sz w:val="32"/>
          <w:szCs w:val="32"/>
        </w:rPr>
        <w:t>4.6%</w:t>
      </w:r>
      <w:r>
        <w:rPr>
          <w:rFonts w:hint="eastAsia" w:ascii="仿宋" w:hAnsi="仿宋" w:eastAsia="仿宋"/>
          <w:color w:val="000000"/>
          <w:sz w:val="32"/>
          <w:szCs w:val="32"/>
        </w:rPr>
        <w:t>。推荐蜀惠、黎生、天垠等企业申报市级高新技术企业，引导和支持壮牛农牧、牛牛生物建立市级工程研发中心</w:t>
      </w:r>
      <w:r>
        <w:rPr>
          <w:rFonts w:ascii="仿宋" w:hAnsi="仿宋" w:eastAsia="仿宋"/>
          <w:color w:val="000000"/>
          <w:sz w:val="32"/>
          <w:szCs w:val="32"/>
        </w:rPr>
        <w:t>2</w:t>
      </w:r>
      <w:r>
        <w:rPr>
          <w:rFonts w:hint="eastAsia" w:ascii="仿宋" w:hAnsi="仿宋" w:eastAsia="仿宋"/>
          <w:color w:val="000000"/>
          <w:sz w:val="32"/>
          <w:szCs w:val="32"/>
        </w:rPr>
        <w:t>个，开展以科技政策、科技项目、科技人才入园为主要内容的科技入园活动</w:t>
      </w:r>
      <w:r>
        <w:rPr>
          <w:rFonts w:ascii="仿宋" w:hAnsi="仿宋" w:eastAsia="仿宋"/>
          <w:color w:val="000000"/>
          <w:sz w:val="32"/>
          <w:szCs w:val="32"/>
        </w:rPr>
        <w:t>5</w:t>
      </w:r>
      <w:r>
        <w:rPr>
          <w:rFonts w:hint="eastAsia" w:ascii="仿宋" w:hAnsi="仿宋" w:eastAsia="仿宋"/>
          <w:color w:val="000000"/>
          <w:sz w:val="32"/>
          <w:szCs w:val="32"/>
        </w:rPr>
        <w:t>次，园区企业科技创新能力大幅增强。全区新发展国家级科技型中小企业</w:t>
      </w:r>
      <w:r>
        <w:rPr>
          <w:rFonts w:ascii="仿宋" w:hAnsi="仿宋" w:eastAsia="仿宋"/>
          <w:color w:val="000000"/>
          <w:sz w:val="32"/>
          <w:szCs w:val="32"/>
        </w:rPr>
        <w:t>2</w:t>
      </w:r>
      <w:r>
        <w:rPr>
          <w:rFonts w:hint="eastAsia" w:ascii="仿宋" w:hAnsi="仿宋" w:eastAsia="仿宋"/>
          <w:color w:val="000000"/>
          <w:sz w:val="32"/>
          <w:szCs w:val="32"/>
        </w:rPr>
        <w:t>家，注册市级科技型中小企业</w:t>
      </w:r>
      <w:r>
        <w:rPr>
          <w:rFonts w:ascii="仿宋" w:hAnsi="仿宋" w:eastAsia="仿宋"/>
          <w:color w:val="000000"/>
          <w:sz w:val="32"/>
          <w:szCs w:val="32"/>
        </w:rPr>
        <w:t>81</w:t>
      </w:r>
      <w:r>
        <w:rPr>
          <w:rFonts w:hint="eastAsia" w:ascii="仿宋" w:hAnsi="仿宋" w:eastAsia="仿宋"/>
          <w:color w:val="000000"/>
          <w:sz w:val="32"/>
          <w:szCs w:val="32"/>
        </w:rPr>
        <w:t>家。全区研究与实验发展经费</w:t>
      </w:r>
      <w:r>
        <w:rPr>
          <w:rFonts w:ascii="仿宋" w:hAnsi="仿宋" w:eastAsia="仿宋"/>
          <w:color w:val="000000"/>
          <w:sz w:val="32"/>
          <w:szCs w:val="32"/>
        </w:rPr>
        <w:t>5500</w:t>
      </w:r>
      <w:r>
        <w:rPr>
          <w:rFonts w:hint="eastAsia" w:ascii="仿宋" w:hAnsi="仿宋" w:eastAsia="仿宋"/>
          <w:color w:val="000000"/>
          <w:sz w:val="32"/>
          <w:szCs w:val="32"/>
        </w:rPr>
        <w:t>万元，完成发明专利申请</w:t>
      </w:r>
      <w:r>
        <w:rPr>
          <w:rFonts w:ascii="仿宋" w:hAnsi="仿宋" w:eastAsia="仿宋"/>
          <w:color w:val="000000"/>
          <w:sz w:val="32"/>
          <w:szCs w:val="32"/>
        </w:rPr>
        <w:t>31</w:t>
      </w:r>
      <w:r>
        <w:rPr>
          <w:rFonts w:hint="eastAsia" w:ascii="仿宋" w:hAnsi="仿宋" w:eastAsia="仿宋"/>
          <w:color w:val="000000"/>
          <w:sz w:val="32"/>
          <w:szCs w:val="32"/>
        </w:rPr>
        <w:t>件，取得授权专利</w:t>
      </w:r>
      <w:r>
        <w:rPr>
          <w:rFonts w:ascii="仿宋" w:hAnsi="仿宋" w:eastAsia="仿宋"/>
          <w:color w:val="000000"/>
          <w:sz w:val="32"/>
          <w:szCs w:val="32"/>
        </w:rPr>
        <w:t>78</w:t>
      </w:r>
      <w:r>
        <w:rPr>
          <w:rFonts w:hint="eastAsia" w:ascii="仿宋" w:hAnsi="仿宋" w:eastAsia="仿宋"/>
          <w:color w:val="000000"/>
          <w:sz w:val="32"/>
          <w:szCs w:val="32"/>
        </w:rPr>
        <w:t>件</w:t>
      </w:r>
      <w:r>
        <w:rPr>
          <w:rFonts w:ascii="仿宋" w:hAnsi="仿宋" w:eastAsia="仿宋"/>
          <w:color w:val="000000"/>
          <w:sz w:val="32"/>
          <w:szCs w:val="32"/>
        </w:rPr>
        <w:t>,</w:t>
      </w:r>
      <w:r>
        <w:rPr>
          <w:rFonts w:hint="eastAsia" w:ascii="仿宋" w:hAnsi="仿宋" w:eastAsia="仿宋"/>
          <w:color w:val="000000"/>
          <w:sz w:val="32"/>
          <w:szCs w:val="32"/>
        </w:rPr>
        <w:t>专利实施和转化率不断提高，企业的创新能力不断增强。三是发挥中小企业服务中心作用。推进企业工艺流程再造，加强过程控制，提高制造水平。促进技术改造与技术创新紧密结合，增加产品品种，提高新产品贡献率，走“专精特新”之路。深入推进品牌经济发展，梯次培育一批知名品牌，围绕支柱产业重点打造“曌福”小榨油、“女皇贡米”、“平乐”挂面、大朝乌金猪、昭化泡菜、武媚娘酒等昭化造金字招牌。并组建了企业家协会，建立了“昭化企业家联盟”微信群，不断加强服务，为企业排忧解难。目前，正在构建昭化企业</w:t>
      </w:r>
      <w:r>
        <w:rPr>
          <w:rFonts w:ascii="仿宋" w:hAnsi="仿宋" w:eastAsia="仿宋"/>
          <w:color w:val="000000"/>
          <w:sz w:val="32"/>
          <w:szCs w:val="32"/>
        </w:rPr>
        <w:t>6S</w:t>
      </w:r>
      <w:r>
        <w:rPr>
          <w:rFonts w:hint="eastAsia" w:ascii="仿宋" w:hAnsi="仿宋" w:eastAsia="仿宋"/>
          <w:color w:val="000000"/>
          <w:sz w:val="32"/>
          <w:szCs w:val="32"/>
        </w:rPr>
        <w:t>服务平台，持续优化运行监测和以融资协调为重点的要素保障，让企业家通过软件就能完成企业运行监测、问题反馈和投诉、四上企业申请、法律咨询、融资担保申请、获得市场信息和优惠政策。居智慧物联网也正在搭建中，该平台以构建“原辅材料供应链配套先行、线上线下同步展示优选、一站式采齐、配送到厂”的供应链配套机制和智慧物流体系平台为目标，负责线上产业链、线下大市场的搭建、规划、管理。</w:t>
      </w:r>
    </w:p>
    <w:p w14:paraId="7B68CD3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w:t>
      </w:r>
      <w:r>
        <w:rPr>
          <w:rFonts w:hint="eastAsia" w:ascii="仿宋" w:hAnsi="仿宋" w:eastAsia="仿宋"/>
          <w:color w:val="000000"/>
          <w:sz w:val="32"/>
          <w:szCs w:val="32"/>
        </w:rPr>
        <w:t>月至</w:t>
      </w:r>
      <w:r>
        <w:rPr>
          <w:rFonts w:ascii="仿宋" w:hAnsi="仿宋" w:eastAsia="仿宋"/>
          <w:color w:val="000000"/>
          <w:sz w:val="32"/>
          <w:szCs w:val="32"/>
        </w:rPr>
        <w:t>2019</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月，规上工业总产值完成</w:t>
      </w:r>
      <w:r>
        <w:rPr>
          <w:rFonts w:ascii="仿宋" w:hAnsi="仿宋" w:eastAsia="仿宋"/>
          <w:color w:val="000000"/>
          <w:sz w:val="32"/>
          <w:szCs w:val="32"/>
        </w:rPr>
        <w:t>132.2</w:t>
      </w:r>
      <w:r>
        <w:rPr>
          <w:rFonts w:hint="eastAsia" w:ascii="仿宋" w:hAnsi="仿宋" w:eastAsia="仿宋"/>
          <w:color w:val="000000"/>
          <w:sz w:val="32"/>
          <w:szCs w:val="32"/>
        </w:rPr>
        <w:t>亿元，同比增长</w:t>
      </w:r>
      <w:r>
        <w:rPr>
          <w:rFonts w:ascii="仿宋" w:hAnsi="仿宋" w:eastAsia="仿宋"/>
          <w:color w:val="000000"/>
          <w:sz w:val="32"/>
          <w:szCs w:val="32"/>
        </w:rPr>
        <w:t>17.4%</w:t>
      </w:r>
      <w:r>
        <w:rPr>
          <w:rFonts w:hint="eastAsia" w:ascii="仿宋" w:hAnsi="仿宋" w:eastAsia="仿宋"/>
          <w:color w:val="000000"/>
          <w:sz w:val="32"/>
          <w:szCs w:val="32"/>
        </w:rPr>
        <w:t>。规上工业增加值预计增长</w:t>
      </w:r>
      <w:r>
        <w:rPr>
          <w:rFonts w:ascii="仿宋" w:hAnsi="仿宋" w:eastAsia="仿宋"/>
          <w:color w:val="000000"/>
          <w:sz w:val="32"/>
          <w:szCs w:val="32"/>
        </w:rPr>
        <w:t>11%</w:t>
      </w:r>
      <w:r>
        <w:rPr>
          <w:rFonts w:hint="eastAsia" w:ascii="仿宋" w:hAnsi="仿宋" w:eastAsia="仿宋"/>
          <w:color w:val="000000"/>
          <w:sz w:val="32"/>
          <w:szCs w:val="32"/>
        </w:rPr>
        <w:t>，新增规上工业企业</w:t>
      </w:r>
      <w:r>
        <w:rPr>
          <w:rFonts w:ascii="仿宋" w:hAnsi="仿宋" w:eastAsia="仿宋"/>
          <w:color w:val="000000"/>
          <w:sz w:val="32"/>
          <w:szCs w:val="32"/>
        </w:rPr>
        <w:t>7</w:t>
      </w:r>
      <w:r>
        <w:rPr>
          <w:rFonts w:hint="eastAsia" w:ascii="仿宋" w:hAnsi="仿宋" w:eastAsia="仿宋"/>
          <w:color w:val="000000"/>
          <w:sz w:val="32"/>
          <w:szCs w:val="32"/>
        </w:rPr>
        <w:t>家。新兴产业产值实现</w:t>
      </w:r>
      <w:r>
        <w:rPr>
          <w:rFonts w:ascii="仿宋" w:hAnsi="仿宋" w:eastAsia="仿宋"/>
          <w:color w:val="000000"/>
          <w:sz w:val="32"/>
          <w:szCs w:val="32"/>
        </w:rPr>
        <w:t>8.5</w:t>
      </w:r>
      <w:r>
        <w:rPr>
          <w:rFonts w:hint="eastAsia" w:ascii="仿宋" w:hAnsi="仿宋" w:eastAsia="仿宋"/>
          <w:color w:val="000000"/>
          <w:sz w:val="32"/>
          <w:szCs w:val="32"/>
        </w:rPr>
        <w:t>亿元，同比增长</w:t>
      </w:r>
      <w:r>
        <w:rPr>
          <w:rFonts w:ascii="仿宋" w:hAnsi="仿宋" w:eastAsia="仿宋"/>
          <w:color w:val="000000"/>
          <w:sz w:val="32"/>
          <w:szCs w:val="32"/>
        </w:rPr>
        <w:t>86.3%</w:t>
      </w:r>
      <w:r>
        <w:rPr>
          <w:rFonts w:hint="eastAsia" w:ascii="仿宋" w:hAnsi="仿宋" w:eastAsia="仿宋"/>
          <w:color w:val="000000"/>
          <w:sz w:val="32"/>
          <w:szCs w:val="32"/>
        </w:rPr>
        <w:t>，工业固定资产投资完成</w:t>
      </w:r>
      <w:r>
        <w:rPr>
          <w:rFonts w:ascii="仿宋" w:hAnsi="仿宋" w:eastAsia="仿宋"/>
          <w:color w:val="000000"/>
          <w:sz w:val="32"/>
          <w:szCs w:val="32"/>
        </w:rPr>
        <w:t>5.6</w:t>
      </w:r>
      <w:r>
        <w:rPr>
          <w:rFonts w:hint="eastAsia" w:ascii="仿宋" w:hAnsi="仿宋" w:eastAsia="仿宋"/>
          <w:color w:val="000000"/>
          <w:sz w:val="32"/>
          <w:szCs w:val="32"/>
        </w:rPr>
        <w:t>亿元</w:t>
      </w:r>
      <w:r>
        <w:rPr>
          <w:rFonts w:ascii="仿宋" w:hAnsi="仿宋" w:eastAsia="仿宋"/>
          <w:color w:val="000000"/>
          <w:sz w:val="32"/>
          <w:szCs w:val="32"/>
        </w:rPr>
        <w:t>,</w:t>
      </w:r>
      <w:r>
        <w:rPr>
          <w:rFonts w:hint="eastAsia" w:ascii="仿宋" w:hAnsi="仿宋" w:eastAsia="仿宋"/>
          <w:color w:val="000000"/>
          <w:sz w:val="32"/>
          <w:szCs w:val="32"/>
        </w:rPr>
        <w:t>技改投资预计完成</w:t>
      </w:r>
      <w:r>
        <w:rPr>
          <w:rFonts w:ascii="仿宋" w:hAnsi="仿宋" w:eastAsia="仿宋"/>
          <w:color w:val="000000"/>
          <w:sz w:val="32"/>
          <w:szCs w:val="32"/>
        </w:rPr>
        <w:t>2.1</w:t>
      </w:r>
      <w:r>
        <w:rPr>
          <w:rFonts w:hint="eastAsia" w:ascii="仿宋" w:hAnsi="仿宋" w:eastAsia="仿宋"/>
          <w:color w:val="000000"/>
          <w:sz w:val="32"/>
          <w:szCs w:val="32"/>
        </w:rPr>
        <w:t>亿元。</w:t>
      </w:r>
    </w:p>
    <w:p w14:paraId="4F00F78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3.</w:t>
      </w:r>
      <w:r>
        <w:rPr>
          <w:rFonts w:hint="eastAsia" w:ascii="仿宋" w:hAnsi="仿宋" w:eastAsia="仿宋"/>
          <w:color w:val="000000"/>
          <w:sz w:val="32"/>
          <w:szCs w:val="32"/>
        </w:rPr>
        <w:t>抓经济合作助力供给侧结构性改革。一是大开放大合作推动招商引资成果明显。推广白龙</w:t>
      </w:r>
      <w:r>
        <w:rPr>
          <w:rFonts w:ascii="仿宋" w:hAnsi="仿宋" w:eastAsia="仿宋"/>
          <w:color w:val="000000"/>
          <w:sz w:val="32"/>
          <w:szCs w:val="32"/>
        </w:rPr>
        <w:t>-</w:t>
      </w:r>
      <w:r>
        <w:rPr>
          <w:rFonts w:hint="eastAsia" w:ascii="仿宋" w:hAnsi="仿宋" w:eastAsia="仿宋"/>
          <w:color w:val="000000"/>
          <w:sz w:val="32"/>
          <w:szCs w:val="32"/>
        </w:rPr>
        <w:t>凸酒合作共赢模式，推广佳普</w:t>
      </w:r>
      <w:r>
        <w:rPr>
          <w:rFonts w:ascii="仿宋" w:hAnsi="仿宋" w:eastAsia="仿宋"/>
          <w:color w:val="000000"/>
          <w:sz w:val="32"/>
          <w:szCs w:val="32"/>
        </w:rPr>
        <w:t>-</w:t>
      </w:r>
      <w:r>
        <w:rPr>
          <w:rFonts w:hint="eastAsia" w:ascii="仿宋" w:hAnsi="仿宋" w:eastAsia="仿宋"/>
          <w:color w:val="000000"/>
          <w:sz w:val="32"/>
          <w:szCs w:val="32"/>
        </w:rPr>
        <w:t>维普以商招商成功经验，推广中纺</w:t>
      </w:r>
      <w:r>
        <w:rPr>
          <w:rFonts w:ascii="仿宋" w:hAnsi="仿宋" w:eastAsia="仿宋"/>
          <w:color w:val="000000"/>
          <w:sz w:val="32"/>
          <w:szCs w:val="32"/>
        </w:rPr>
        <w:t>-</w:t>
      </w:r>
      <w:r>
        <w:rPr>
          <w:rFonts w:hint="eastAsia" w:ascii="仿宋" w:hAnsi="仿宋" w:eastAsia="仿宋"/>
          <w:color w:val="000000"/>
          <w:sz w:val="32"/>
          <w:szCs w:val="32"/>
        </w:rPr>
        <w:t>铁骑、壮牛</w:t>
      </w:r>
      <w:r>
        <w:rPr>
          <w:rFonts w:ascii="仿宋" w:hAnsi="仿宋" w:eastAsia="仿宋"/>
          <w:color w:val="000000"/>
          <w:sz w:val="32"/>
          <w:szCs w:val="32"/>
        </w:rPr>
        <w:t>-</w:t>
      </w:r>
      <w:r>
        <w:rPr>
          <w:rFonts w:hint="eastAsia" w:ascii="仿宋" w:hAnsi="仿宋" w:eastAsia="仿宋"/>
          <w:color w:val="000000"/>
          <w:sz w:val="32"/>
          <w:szCs w:val="32"/>
        </w:rPr>
        <w:t>福润产业链上集中发展的模式。紧抓承接成都产业转移、“东西部合作”、一带一路等机遇，解放思想，在政策、服务、要素保障等多方位推陈出新，采取定向招商、登门招商，面对面、点对点对接一批项目的方式，打开产业招商新路子。</w:t>
      </w:r>
      <w:r>
        <w:rPr>
          <w:rFonts w:ascii="仿宋" w:hAnsi="仿宋" w:eastAsia="仿宋"/>
          <w:color w:val="000000"/>
          <w:sz w:val="32"/>
          <w:szCs w:val="32"/>
        </w:rPr>
        <w:t>2018</w:t>
      </w:r>
      <w:r>
        <w:rPr>
          <w:rFonts w:hint="eastAsia" w:ascii="仿宋" w:hAnsi="仿宋" w:eastAsia="仿宋"/>
          <w:color w:val="000000"/>
          <w:sz w:val="32"/>
          <w:szCs w:val="32"/>
        </w:rPr>
        <w:t>年促成维普电子科技有限公司、四川农有实业公司、正元旅游资源开发有限公司与我区签订了项目投资协议，共投资</w:t>
      </w:r>
      <w:r>
        <w:rPr>
          <w:rFonts w:ascii="仿宋" w:hAnsi="仿宋" w:eastAsia="仿宋"/>
          <w:color w:val="000000"/>
          <w:sz w:val="32"/>
          <w:szCs w:val="32"/>
        </w:rPr>
        <w:t>54.3</w:t>
      </w:r>
      <w:r>
        <w:rPr>
          <w:rFonts w:hint="eastAsia" w:ascii="仿宋" w:hAnsi="仿宋" w:eastAsia="仿宋"/>
          <w:color w:val="000000"/>
          <w:sz w:val="32"/>
          <w:szCs w:val="32"/>
        </w:rPr>
        <w:t>亿元。工业项目已签约</w:t>
      </w:r>
      <w:r>
        <w:rPr>
          <w:rFonts w:ascii="仿宋" w:hAnsi="仿宋" w:eastAsia="仿宋"/>
          <w:color w:val="000000"/>
          <w:sz w:val="32"/>
          <w:szCs w:val="32"/>
        </w:rPr>
        <w:t>34</w:t>
      </w:r>
      <w:r>
        <w:rPr>
          <w:rFonts w:hint="eastAsia" w:ascii="仿宋" w:hAnsi="仿宋" w:eastAsia="仿宋"/>
          <w:color w:val="000000"/>
          <w:sz w:val="32"/>
          <w:szCs w:val="32"/>
        </w:rPr>
        <w:t>个，总投资</w:t>
      </w:r>
      <w:r>
        <w:rPr>
          <w:rFonts w:ascii="仿宋" w:hAnsi="仿宋" w:eastAsia="仿宋"/>
          <w:color w:val="000000"/>
          <w:sz w:val="32"/>
          <w:szCs w:val="32"/>
        </w:rPr>
        <w:t>41.17</w:t>
      </w:r>
      <w:r>
        <w:rPr>
          <w:rFonts w:hint="eastAsia" w:ascii="仿宋" w:hAnsi="仿宋" w:eastAsia="仿宋"/>
          <w:color w:val="000000"/>
          <w:sz w:val="32"/>
          <w:szCs w:val="32"/>
        </w:rPr>
        <w:t>亿元，其中家居产业城签约项目</w:t>
      </w:r>
      <w:r>
        <w:rPr>
          <w:rFonts w:ascii="仿宋" w:hAnsi="仿宋" w:eastAsia="仿宋"/>
          <w:color w:val="000000"/>
          <w:sz w:val="32"/>
          <w:szCs w:val="32"/>
        </w:rPr>
        <w:t>24</w:t>
      </w:r>
      <w:r>
        <w:rPr>
          <w:rFonts w:hint="eastAsia" w:ascii="仿宋" w:hAnsi="仿宋" w:eastAsia="仿宋"/>
          <w:color w:val="000000"/>
          <w:sz w:val="32"/>
          <w:szCs w:val="32"/>
        </w:rPr>
        <w:t>个，总投资</w:t>
      </w:r>
      <w:r>
        <w:rPr>
          <w:rFonts w:ascii="仿宋" w:hAnsi="仿宋" w:eastAsia="仿宋"/>
          <w:color w:val="000000"/>
          <w:sz w:val="32"/>
          <w:szCs w:val="32"/>
        </w:rPr>
        <w:t>34.25</w:t>
      </w:r>
      <w:r>
        <w:rPr>
          <w:rFonts w:hint="eastAsia" w:ascii="仿宋" w:hAnsi="仿宋" w:eastAsia="仿宋"/>
          <w:color w:val="000000"/>
          <w:sz w:val="32"/>
          <w:szCs w:val="32"/>
        </w:rPr>
        <w:t>亿元。。二是综合施策分类处置僵尸企业成效明显。全区共处置僵尸企业</w:t>
      </w:r>
      <w:r>
        <w:rPr>
          <w:rFonts w:ascii="仿宋" w:hAnsi="仿宋" w:eastAsia="仿宋"/>
          <w:color w:val="000000"/>
          <w:sz w:val="32"/>
          <w:szCs w:val="32"/>
        </w:rPr>
        <w:t>11</w:t>
      </w:r>
      <w:r>
        <w:rPr>
          <w:rFonts w:hint="eastAsia" w:ascii="仿宋" w:hAnsi="仿宋" w:eastAsia="仿宋"/>
          <w:color w:val="000000"/>
          <w:sz w:val="32"/>
          <w:szCs w:val="32"/>
        </w:rPr>
        <w:t>家，其中：南洋微电子、中基钢构等</w:t>
      </w:r>
      <w:r>
        <w:rPr>
          <w:rFonts w:ascii="仿宋" w:hAnsi="仿宋" w:eastAsia="仿宋"/>
          <w:color w:val="000000"/>
          <w:sz w:val="32"/>
          <w:szCs w:val="32"/>
        </w:rPr>
        <w:t>5</w:t>
      </w:r>
      <w:r>
        <w:rPr>
          <w:rFonts w:hint="eastAsia" w:ascii="仿宋" w:hAnsi="仿宋" w:eastAsia="仿宋"/>
          <w:color w:val="000000"/>
          <w:sz w:val="32"/>
          <w:szCs w:val="32"/>
        </w:rPr>
        <w:t>家停产退库企业通过招商租赁、转产开发经营等方式盘活；白龙酒业、欣妙酒庄等</w:t>
      </w:r>
      <w:r>
        <w:rPr>
          <w:rFonts w:ascii="仿宋" w:hAnsi="仿宋" w:eastAsia="仿宋"/>
          <w:color w:val="000000"/>
          <w:sz w:val="32"/>
          <w:szCs w:val="32"/>
        </w:rPr>
        <w:t>3</w:t>
      </w:r>
      <w:r>
        <w:rPr>
          <w:rFonts w:hint="eastAsia" w:ascii="仿宋" w:hAnsi="仿宋" w:eastAsia="仿宋"/>
          <w:color w:val="000000"/>
          <w:sz w:val="32"/>
          <w:szCs w:val="32"/>
        </w:rPr>
        <w:t>家未达产企业通过招商合作扩大产销，均实现产值、税收大幅增长。佳普建材、飞达模具</w:t>
      </w:r>
      <w:r>
        <w:rPr>
          <w:rFonts w:ascii="仿宋" w:hAnsi="仿宋" w:eastAsia="仿宋"/>
          <w:color w:val="000000"/>
          <w:sz w:val="32"/>
          <w:szCs w:val="32"/>
        </w:rPr>
        <w:t>2</w:t>
      </w:r>
      <w:r>
        <w:rPr>
          <w:rFonts w:hint="eastAsia" w:ascii="仿宋" w:hAnsi="仿宋" w:eastAsia="仿宋"/>
          <w:color w:val="000000"/>
          <w:sz w:val="32"/>
          <w:szCs w:val="32"/>
        </w:rPr>
        <w:t>家企业部分闲置资产进行招商利用，新生成维普电子、阿文食品</w:t>
      </w:r>
      <w:r>
        <w:rPr>
          <w:rFonts w:ascii="仿宋" w:hAnsi="仿宋" w:eastAsia="仿宋"/>
          <w:color w:val="000000"/>
          <w:sz w:val="32"/>
          <w:szCs w:val="32"/>
        </w:rPr>
        <w:t>2</w:t>
      </w:r>
      <w:r>
        <w:rPr>
          <w:rFonts w:hint="eastAsia" w:ascii="仿宋" w:hAnsi="仿宋" w:eastAsia="仿宋"/>
          <w:color w:val="000000"/>
          <w:sz w:val="32"/>
          <w:szCs w:val="32"/>
        </w:rPr>
        <w:t>家工业企业，其中广元市维普电子项目于今年签约落地投产，</w:t>
      </w:r>
      <w:r>
        <w:rPr>
          <w:rFonts w:ascii="仿宋" w:hAnsi="仿宋" w:eastAsia="仿宋"/>
          <w:color w:val="000000"/>
          <w:sz w:val="32"/>
          <w:szCs w:val="32"/>
        </w:rPr>
        <w:t>2018</w:t>
      </w:r>
      <w:r>
        <w:rPr>
          <w:rFonts w:hint="eastAsia" w:ascii="仿宋" w:hAnsi="仿宋" w:eastAsia="仿宋"/>
          <w:color w:val="000000"/>
          <w:sz w:val="32"/>
          <w:szCs w:val="32"/>
        </w:rPr>
        <w:t>年新增产值</w:t>
      </w:r>
      <w:r>
        <w:rPr>
          <w:rFonts w:ascii="仿宋" w:hAnsi="仿宋" w:eastAsia="仿宋"/>
          <w:color w:val="000000"/>
          <w:sz w:val="32"/>
          <w:szCs w:val="32"/>
        </w:rPr>
        <w:t>1.54</w:t>
      </w:r>
      <w:r>
        <w:rPr>
          <w:rFonts w:hint="eastAsia" w:ascii="仿宋" w:hAnsi="仿宋" w:eastAsia="仿宋"/>
          <w:color w:val="000000"/>
          <w:sz w:val="32"/>
          <w:szCs w:val="32"/>
        </w:rPr>
        <w:t>亿元，税收贡献超过</w:t>
      </w:r>
      <w:r>
        <w:rPr>
          <w:rFonts w:ascii="仿宋" w:hAnsi="仿宋" w:eastAsia="仿宋"/>
          <w:color w:val="000000"/>
          <w:sz w:val="32"/>
          <w:szCs w:val="32"/>
        </w:rPr>
        <w:t>630</w:t>
      </w:r>
      <w:r>
        <w:rPr>
          <w:rFonts w:hint="eastAsia" w:ascii="仿宋" w:hAnsi="仿宋" w:eastAsia="仿宋"/>
          <w:color w:val="000000"/>
          <w:sz w:val="32"/>
          <w:szCs w:val="32"/>
        </w:rPr>
        <w:t>万元，</w:t>
      </w:r>
      <w:r>
        <w:rPr>
          <w:rFonts w:ascii="仿宋" w:hAnsi="仿宋" w:eastAsia="仿宋"/>
          <w:color w:val="000000"/>
          <w:sz w:val="32"/>
          <w:szCs w:val="32"/>
        </w:rPr>
        <w:t>2019</w:t>
      </w:r>
      <w:r>
        <w:rPr>
          <w:rFonts w:hint="eastAsia" w:ascii="仿宋" w:hAnsi="仿宋" w:eastAsia="仿宋"/>
          <w:color w:val="000000"/>
          <w:sz w:val="32"/>
          <w:szCs w:val="32"/>
        </w:rPr>
        <w:t>年可望实现产值</w:t>
      </w:r>
      <w:r>
        <w:rPr>
          <w:rFonts w:ascii="仿宋" w:hAnsi="仿宋" w:eastAsia="仿宋"/>
          <w:color w:val="000000"/>
          <w:sz w:val="32"/>
          <w:szCs w:val="32"/>
        </w:rPr>
        <w:t>5</w:t>
      </w:r>
      <w:r>
        <w:rPr>
          <w:rFonts w:hint="eastAsia" w:ascii="仿宋" w:hAnsi="仿宋" w:eastAsia="仿宋"/>
          <w:color w:val="000000"/>
          <w:sz w:val="32"/>
          <w:szCs w:val="32"/>
        </w:rPr>
        <w:t>亿元以上。食典豆豆香合作股东纠纷化解搬迁发展实现产能倍增。星荣焦化关停收储已进入收尾阶段。</w:t>
      </w:r>
    </w:p>
    <w:p w14:paraId="2D08AE3B">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4.</w:t>
      </w:r>
      <w:r>
        <w:rPr>
          <w:rFonts w:hint="eastAsia" w:ascii="仿宋" w:hAnsi="仿宋" w:eastAsia="仿宋"/>
          <w:color w:val="000000"/>
          <w:sz w:val="32"/>
          <w:szCs w:val="32"/>
        </w:rPr>
        <w:t>抓基础建设推进民生工程惠民利民。一是积极参与防汛减灾工作。今年</w:t>
      </w:r>
      <w:r>
        <w:rPr>
          <w:rFonts w:ascii="仿宋" w:hAnsi="仿宋" w:eastAsia="仿宋"/>
          <w:color w:val="000000"/>
          <w:sz w:val="32"/>
          <w:szCs w:val="32"/>
        </w:rPr>
        <w:t>7</w:t>
      </w:r>
      <w:r>
        <w:rPr>
          <w:rFonts w:hint="eastAsia" w:ascii="仿宋" w:hAnsi="仿宋" w:eastAsia="仿宋"/>
          <w:color w:val="000000"/>
          <w:sz w:val="32"/>
          <w:szCs w:val="32"/>
        </w:rPr>
        <w:t>月，昭化暴雨成灾，昭化古城等部分地区停电。我局立即组织电力公司储备抢险车辆</w:t>
      </w:r>
      <w:r>
        <w:rPr>
          <w:rFonts w:ascii="仿宋" w:hAnsi="仿宋" w:eastAsia="仿宋"/>
          <w:color w:val="000000"/>
          <w:sz w:val="32"/>
          <w:szCs w:val="32"/>
        </w:rPr>
        <w:t>18</w:t>
      </w:r>
      <w:r>
        <w:rPr>
          <w:rFonts w:hint="eastAsia" w:ascii="仿宋" w:hAnsi="仿宋" w:eastAsia="仿宋"/>
          <w:color w:val="000000"/>
          <w:sz w:val="32"/>
          <w:szCs w:val="32"/>
        </w:rPr>
        <w:t>辆、发电机</w:t>
      </w:r>
      <w:r>
        <w:rPr>
          <w:rFonts w:ascii="仿宋" w:hAnsi="仿宋" w:eastAsia="仿宋"/>
          <w:color w:val="000000"/>
          <w:sz w:val="32"/>
          <w:szCs w:val="32"/>
        </w:rPr>
        <w:t>16</w:t>
      </w:r>
      <w:r>
        <w:rPr>
          <w:rFonts w:hint="eastAsia" w:ascii="仿宋" w:hAnsi="仿宋" w:eastAsia="仿宋"/>
          <w:color w:val="000000"/>
          <w:sz w:val="32"/>
          <w:szCs w:val="32"/>
        </w:rPr>
        <w:t>台、线缆</w:t>
      </w:r>
      <w:r>
        <w:rPr>
          <w:rFonts w:ascii="仿宋" w:hAnsi="仿宋" w:eastAsia="仿宋"/>
          <w:color w:val="000000"/>
          <w:sz w:val="32"/>
          <w:szCs w:val="32"/>
        </w:rPr>
        <w:t>5000</w:t>
      </w:r>
      <w:r>
        <w:rPr>
          <w:rFonts w:hint="eastAsia" w:ascii="仿宋" w:hAnsi="仿宋" w:eastAsia="仿宋"/>
          <w:color w:val="000000"/>
          <w:sz w:val="32"/>
          <w:szCs w:val="32"/>
        </w:rPr>
        <w:t>米，燃油</w:t>
      </w:r>
      <w:r>
        <w:rPr>
          <w:rFonts w:ascii="仿宋" w:hAnsi="仿宋" w:eastAsia="仿宋"/>
          <w:color w:val="000000"/>
          <w:sz w:val="32"/>
          <w:szCs w:val="32"/>
        </w:rPr>
        <w:t>1.2</w:t>
      </w:r>
      <w:r>
        <w:rPr>
          <w:rFonts w:hint="eastAsia" w:ascii="仿宋" w:hAnsi="仿宋" w:eastAsia="仿宋"/>
          <w:color w:val="000000"/>
          <w:sz w:val="32"/>
          <w:szCs w:val="32"/>
        </w:rPr>
        <w:t>吨、抢险人员</w:t>
      </w:r>
      <w:r>
        <w:rPr>
          <w:rFonts w:ascii="仿宋" w:hAnsi="仿宋" w:eastAsia="仿宋"/>
          <w:color w:val="000000"/>
          <w:sz w:val="32"/>
          <w:szCs w:val="32"/>
        </w:rPr>
        <w:t>100</w:t>
      </w:r>
      <w:r>
        <w:rPr>
          <w:rFonts w:hint="eastAsia" w:ascii="仿宋" w:hAnsi="仿宋" w:eastAsia="仿宋"/>
          <w:color w:val="000000"/>
          <w:sz w:val="32"/>
          <w:szCs w:val="32"/>
        </w:rPr>
        <w:t>余人，投入防洪抢险，迅速恢复了昭化古城等受灾地区的安全用电。二是强化能源保障。根据市场情况及群众的需求，今年新建虎跳加油站、中石化泰和加油站，建成供油后能够有效满足群众用油需求。完成辖区</w:t>
      </w:r>
      <w:r>
        <w:rPr>
          <w:rFonts w:ascii="仿宋" w:hAnsi="仿宋" w:eastAsia="仿宋"/>
          <w:color w:val="000000"/>
          <w:sz w:val="32"/>
          <w:szCs w:val="32"/>
        </w:rPr>
        <w:t>15</w:t>
      </w:r>
      <w:r>
        <w:rPr>
          <w:rFonts w:hint="eastAsia" w:ascii="仿宋" w:hAnsi="仿宋" w:eastAsia="仿宋"/>
          <w:color w:val="000000"/>
          <w:sz w:val="32"/>
          <w:szCs w:val="32"/>
        </w:rPr>
        <w:t>家加油站双层管改造工作。三是全力完成园区天然气管道迁改。多方协调、充分准备、克难攻坚完成了中国西部（广元）绿色家居产业城天然气迁改工程，已顺利实现通气，保障了广元城区居民的用气需求。四是全面完成聚居点线路迁改。完成黄龙乡水磨村新建聚居点的通信线路迁改、完成清水乡清凉村新建聚居点通信线路下地迁改建设，</w:t>
      </w:r>
      <w:r>
        <w:rPr>
          <w:rFonts w:ascii="仿宋" w:hAnsi="仿宋" w:eastAsia="仿宋"/>
          <w:color w:val="000000"/>
          <w:sz w:val="32"/>
          <w:szCs w:val="32"/>
        </w:rPr>
        <w:t>"</w:t>
      </w:r>
      <w:r>
        <w:rPr>
          <w:rFonts w:hint="eastAsia" w:ascii="仿宋" w:hAnsi="仿宋" w:eastAsia="仿宋"/>
          <w:color w:val="000000"/>
          <w:sz w:val="32"/>
          <w:szCs w:val="32"/>
        </w:rPr>
        <w:t>文、柏、清</w:t>
      </w:r>
      <w:r>
        <w:rPr>
          <w:rFonts w:ascii="仿宋" w:hAnsi="仿宋" w:eastAsia="仿宋"/>
          <w:color w:val="000000"/>
          <w:sz w:val="32"/>
          <w:szCs w:val="32"/>
        </w:rPr>
        <w:t>"</w:t>
      </w:r>
      <w:r>
        <w:rPr>
          <w:rFonts w:hint="eastAsia" w:ascii="仿宋" w:hAnsi="仿宋" w:eastAsia="仿宋"/>
          <w:color w:val="000000"/>
          <w:sz w:val="32"/>
          <w:szCs w:val="32"/>
        </w:rPr>
        <w:t>路新建道路的入场施工建设中，</w:t>
      </w:r>
      <w:r>
        <w:rPr>
          <w:rFonts w:ascii="仿宋" w:hAnsi="仿宋" w:eastAsia="仿宋"/>
          <w:color w:val="000000"/>
          <w:sz w:val="32"/>
          <w:szCs w:val="32"/>
        </w:rPr>
        <w:t>"</w:t>
      </w:r>
      <w:r>
        <w:rPr>
          <w:rFonts w:hint="eastAsia" w:ascii="仿宋" w:hAnsi="仿宋" w:eastAsia="仿宋"/>
          <w:color w:val="000000"/>
          <w:sz w:val="32"/>
          <w:szCs w:val="32"/>
        </w:rPr>
        <w:t>两路一遂</w:t>
      </w:r>
      <w:r>
        <w:rPr>
          <w:rFonts w:ascii="仿宋" w:hAnsi="仿宋" w:eastAsia="仿宋"/>
          <w:color w:val="000000"/>
          <w:sz w:val="32"/>
          <w:szCs w:val="32"/>
        </w:rPr>
        <w:t>"</w:t>
      </w:r>
      <w:r>
        <w:rPr>
          <w:rFonts w:hint="eastAsia" w:ascii="仿宋" w:hAnsi="仿宋" w:eastAsia="仿宋"/>
          <w:color w:val="000000"/>
          <w:sz w:val="32"/>
          <w:szCs w:val="32"/>
        </w:rPr>
        <w:t>目前完成规划设计。并完成石井铺、王家方山等多个乡镇的通信线路安全隐患排查整改。五是信息通信基础建设日趋完善。新建</w:t>
      </w:r>
      <w:r>
        <w:rPr>
          <w:rFonts w:ascii="仿宋" w:hAnsi="仿宋" w:eastAsia="仿宋"/>
          <w:color w:val="000000"/>
          <w:sz w:val="32"/>
          <w:szCs w:val="32"/>
        </w:rPr>
        <w:t>4G</w:t>
      </w:r>
      <w:r>
        <w:rPr>
          <w:rFonts w:hint="eastAsia" w:ascii="仿宋" w:hAnsi="仿宋" w:eastAsia="仿宋"/>
          <w:color w:val="000000"/>
          <w:sz w:val="32"/>
          <w:szCs w:val="32"/>
        </w:rPr>
        <w:t>移动通信基站</w:t>
      </w:r>
      <w:r>
        <w:rPr>
          <w:rFonts w:ascii="仿宋" w:hAnsi="仿宋" w:eastAsia="仿宋"/>
          <w:color w:val="000000"/>
          <w:sz w:val="32"/>
          <w:szCs w:val="32"/>
        </w:rPr>
        <w:t>15</w:t>
      </w:r>
      <w:r>
        <w:rPr>
          <w:rFonts w:hint="eastAsia" w:ascii="仿宋" w:hAnsi="仿宋" w:eastAsia="仿宋"/>
          <w:color w:val="000000"/>
          <w:sz w:val="32"/>
          <w:szCs w:val="32"/>
        </w:rPr>
        <w:t>座，改造升级</w:t>
      </w:r>
      <w:r>
        <w:rPr>
          <w:rFonts w:ascii="仿宋" w:hAnsi="仿宋" w:eastAsia="仿宋"/>
          <w:color w:val="000000"/>
          <w:sz w:val="32"/>
          <w:szCs w:val="32"/>
        </w:rPr>
        <w:t>154</w:t>
      </w:r>
      <w:r>
        <w:rPr>
          <w:rFonts w:hint="eastAsia" w:ascii="仿宋" w:hAnsi="仿宋" w:eastAsia="仿宋"/>
          <w:color w:val="000000"/>
          <w:sz w:val="32"/>
          <w:szCs w:val="32"/>
        </w:rPr>
        <w:t>座，实现了所有农户住所所在地</w:t>
      </w:r>
      <w:r>
        <w:rPr>
          <w:rFonts w:ascii="仿宋" w:hAnsi="仿宋" w:eastAsia="仿宋"/>
          <w:color w:val="000000"/>
          <w:sz w:val="32"/>
          <w:szCs w:val="32"/>
        </w:rPr>
        <w:t>300</w:t>
      </w:r>
      <w:r>
        <w:rPr>
          <w:rFonts w:hint="eastAsia" w:ascii="仿宋" w:hAnsi="仿宋" w:eastAsia="仿宋"/>
          <w:color w:val="000000"/>
          <w:sz w:val="32"/>
          <w:szCs w:val="32"/>
        </w:rPr>
        <w:t>米内有手机信号，全区</w:t>
      </w:r>
      <w:r>
        <w:rPr>
          <w:rFonts w:ascii="仿宋" w:hAnsi="仿宋" w:eastAsia="仿宋"/>
          <w:color w:val="000000"/>
          <w:sz w:val="32"/>
          <w:szCs w:val="32"/>
        </w:rPr>
        <w:t>4G</w:t>
      </w:r>
      <w:r>
        <w:rPr>
          <w:rFonts w:hint="eastAsia" w:ascii="仿宋" w:hAnsi="仿宋" w:eastAsia="仿宋"/>
          <w:color w:val="000000"/>
          <w:sz w:val="32"/>
          <w:szCs w:val="32"/>
        </w:rPr>
        <w:t>网络综合覆盖达到</w:t>
      </w:r>
      <w:r>
        <w:rPr>
          <w:rFonts w:ascii="仿宋" w:hAnsi="仿宋" w:eastAsia="仿宋"/>
          <w:color w:val="000000"/>
          <w:sz w:val="32"/>
          <w:szCs w:val="32"/>
        </w:rPr>
        <w:t>85%</w:t>
      </w:r>
      <w:r>
        <w:rPr>
          <w:rFonts w:hint="eastAsia" w:ascii="仿宋" w:hAnsi="仿宋" w:eastAsia="仿宋"/>
          <w:color w:val="000000"/>
          <w:sz w:val="32"/>
          <w:szCs w:val="32"/>
        </w:rPr>
        <w:t>以上，为智慧昭化建设提供基础支撑，促进商务电子、远程教育、智慧工厂大力发展。</w:t>
      </w:r>
    </w:p>
    <w:p w14:paraId="79D794F8">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5.</w:t>
      </w:r>
      <w:r>
        <w:rPr>
          <w:rFonts w:hint="eastAsia" w:ascii="仿宋" w:hAnsi="仿宋" w:eastAsia="仿宋"/>
          <w:color w:val="000000"/>
          <w:sz w:val="32"/>
          <w:szCs w:val="32"/>
        </w:rPr>
        <w:t>抓脱贫攻坚带动贫困户脱贫奔康。一是让贫困户在产业链上受益。建立“公积金、公益金、风险金”三金模式，</w:t>
      </w:r>
      <w:r>
        <w:rPr>
          <w:rFonts w:ascii="仿宋" w:hAnsi="仿宋" w:eastAsia="仿宋"/>
          <w:color w:val="000000"/>
          <w:sz w:val="32"/>
          <w:szCs w:val="32"/>
        </w:rPr>
        <w:t>20%</w:t>
      </w:r>
      <w:r>
        <w:rPr>
          <w:rFonts w:hint="eastAsia" w:ascii="仿宋" w:hAnsi="仿宋" w:eastAsia="仿宋"/>
          <w:color w:val="000000"/>
          <w:sz w:val="32"/>
          <w:szCs w:val="32"/>
        </w:rPr>
        <w:t>公积金、</w:t>
      </w:r>
      <w:r>
        <w:rPr>
          <w:rFonts w:ascii="仿宋" w:hAnsi="仿宋" w:eastAsia="仿宋"/>
          <w:color w:val="000000"/>
          <w:sz w:val="32"/>
          <w:szCs w:val="32"/>
        </w:rPr>
        <w:t>30%</w:t>
      </w:r>
      <w:r>
        <w:rPr>
          <w:rFonts w:hint="eastAsia" w:ascii="仿宋" w:hAnsi="仿宋" w:eastAsia="仿宋"/>
          <w:color w:val="000000"/>
          <w:sz w:val="32"/>
          <w:szCs w:val="32"/>
        </w:rPr>
        <w:t>公益金和</w:t>
      </w:r>
      <w:r>
        <w:rPr>
          <w:rFonts w:ascii="仿宋" w:hAnsi="仿宋" w:eastAsia="仿宋"/>
          <w:color w:val="000000"/>
          <w:sz w:val="32"/>
          <w:szCs w:val="32"/>
        </w:rPr>
        <w:t>50%</w:t>
      </w:r>
      <w:r>
        <w:rPr>
          <w:rFonts w:hint="eastAsia" w:ascii="仿宋" w:hAnsi="仿宋" w:eastAsia="仿宋"/>
          <w:color w:val="000000"/>
          <w:sz w:val="32"/>
          <w:szCs w:val="32"/>
        </w:rPr>
        <w:t>风险金，有效降低了贫困户的种植风险；建立二次分配机制。动员工业企业积极担当，使贫困户通过土地、产业扶持资金入股企业，参与加工流通环节盈利分享，贫困户分享增值盈利</w:t>
      </w:r>
      <w:r>
        <w:rPr>
          <w:rFonts w:ascii="仿宋" w:hAnsi="仿宋" w:eastAsia="仿宋"/>
          <w:color w:val="000000"/>
          <w:sz w:val="32"/>
          <w:szCs w:val="32"/>
        </w:rPr>
        <w:t>30%</w:t>
      </w:r>
      <w:r>
        <w:rPr>
          <w:rFonts w:hint="eastAsia" w:ascii="仿宋" w:hAnsi="仿宋" w:eastAsia="仿宋"/>
          <w:color w:val="000000"/>
          <w:sz w:val="32"/>
          <w:szCs w:val="32"/>
        </w:rPr>
        <w:t>，实现了企业和贫困户的双赢。</w:t>
      </w:r>
      <w:r>
        <w:rPr>
          <w:rFonts w:ascii="仿宋" w:hAnsi="仿宋" w:eastAsia="仿宋"/>
          <w:color w:val="000000"/>
          <w:sz w:val="32"/>
          <w:szCs w:val="32"/>
        </w:rPr>
        <w:t>2018</w:t>
      </w:r>
      <w:r>
        <w:rPr>
          <w:rFonts w:hint="eastAsia" w:ascii="仿宋" w:hAnsi="仿宋" w:eastAsia="仿宋"/>
          <w:color w:val="000000"/>
          <w:sz w:val="32"/>
          <w:szCs w:val="32"/>
        </w:rPr>
        <w:t>年解决贫困户就业</w:t>
      </w:r>
      <w:r>
        <w:rPr>
          <w:rFonts w:ascii="仿宋" w:hAnsi="仿宋" w:eastAsia="仿宋"/>
          <w:color w:val="000000"/>
          <w:sz w:val="32"/>
          <w:szCs w:val="32"/>
        </w:rPr>
        <w:t>110</w:t>
      </w:r>
      <w:r>
        <w:rPr>
          <w:rFonts w:hint="eastAsia" w:ascii="仿宋" w:hAnsi="仿宋" w:eastAsia="仿宋"/>
          <w:color w:val="000000"/>
          <w:sz w:val="32"/>
          <w:szCs w:val="32"/>
        </w:rPr>
        <w:t>人，新增中小微工业企业</w:t>
      </w:r>
      <w:r>
        <w:rPr>
          <w:rFonts w:ascii="仿宋" w:hAnsi="仿宋" w:eastAsia="仿宋"/>
          <w:color w:val="000000"/>
          <w:sz w:val="32"/>
          <w:szCs w:val="32"/>
        </w:rPr>
        <w:t>10</w:t>
      </w:r>
      <w:r>
        <w:rPr>
          <w:rFonts w:hint="eastAsia" w:ascii="仿宋" w:hAnsi="仿宋" w:eastAsia="仿宋"/>
          <w:color w:val="000000"/>
          <w:sz w:val="32"/>
          <w:szCs w:val="32"/>
        </w:rPr>
        <w:t>户。全市工业扶贫工作推进现场会在我区召开，全省工业扶贫现场会在我区选点参观，昭化工业扶贫任务提前一季度完成，工作经验在全市得到了推广。二是让贫困户享受到科技服务。进一步优化提升撍拇萍挤銎对谙哒鸦斯苤行臄平台功能和服务，全区共收到技术咨询信息</w:t>
      </w:r>
      <w:r>
        <w:rPr>
          <w:rFonts w:ascii="仿宋" w:hAnsi="仿宋" w:eastAsia="仿宋"/>
          <w:color w:val="000000"/>
          <w:sz w:val="32"/>
          <w:szCs w:val="32"/>
        </w:rPr>
        <w:t>2800</w:t>
      </w:r>
      <w:r>
        <w:rPr>
          <w:rFonts w:hint="eastAsia" w:ascii="仿宋" w:hAnsi="仿宋" w:eastAsia="仿宋"/>
          <w:color w:val="000000"/>
          <w:sz w:val="32"/>
          <w:szCs w:val="32"/>
        </w:rPr>
        <w:t>条，完结</w:t>
      </w:r>
      <w:r>
        <w:rPr>
          <w:rFonts w:ascii="仿宋" w:hAnsi="仿宋" w:eastAsia="仿宋"/>
          <w:color w:val="000000"/>
          <w:sz w:val="32"/>
          <w:szCs w:val="32"/>
        </w:rPr>
        <w:t>2744</w:t>
      </w:r>
      <w:r>
        <w:rPr>
          <w:rFonts w:hint="eastAsia" w:ascii="仿宋" w:hAnsi="仿宋" w:eastAsia="仿宋"/>
          <w:color w:val="000000"/>
          <w:sz w:val="32"/>
          <w:szCs w:val="32"/>
        </w:rPr>
        <w:t>条，完结率</w:t>
      </w:r>
      <w:r>
        <w:rPr>
          <w:rFonts w:ascii="仿宋" w:hAnsi="仿宋" w:eastAsia="仿宋"/>
          <w:color w:val="000000"/>
          <w:sz w:val="32"/>
          <w:szCs w:val="32"/>
        </w:rPr>
        <w:t>98%</w:t>
      </w:r>
      <w:r>
        <w:rPr>
          <w:rFonts w:hint="eastAsia" w:ascii="仿宋" w:hAnsi="仿宋" w:eastAsia="仿宋"/>
          <w:color w:val="000000"/>
          <w:sz w:val="32"/>
          <w:szCs w:val="32"/>
        </w:rPr>
        <w:t>，回访率</w:t>
      </w:r>
      <w:r>
        <w:rPr>
          <w:rFonts w:ascii="仿宋" w:hAnsi="仿宋" w:eastAsia="仿宋"/>
          <w:color w:val="000000"/>
          <w:sz w:val="32"/>
          <w:szCs w:val="32"/>
        </w:rPr>
        <w:t>100%</w:t>
      </w:r>
      <w:r>
        <w:rPr>
          <w:rFonts w:hint="eastAsia" w:ascii="仿宋" w:hAnsi="仿宋" w:eastAsia="仿宋"/>
          <w:color w:val="000000"/>
          <w:sz w:val="32"/>
          <w:szCs w:val="32"/>
        </w:rPr>
        <w:t>，通过科技扶贫在线平台的使用，贫困户的技术需求得到有效解决。建立科技扶贫示范体系。大力推动沙坝乡照壁村、磨滩镇磨滩村创建省级科技扶贫示范村，建成射箭乡丁角村、王家镇五房村、虎跳镇三公村、朝阳乡灯杆村</w:t>
      </w:r>
      <w:r>
        <w:rPr>
          <w:rFonts w:ascii="仿宋" w:hAnsi="仿宋" w:eastAsia="仿宋"/>
          <w:color w:val="000000"/>
          <w:sz w:val="32"/>
          <w:szCs w:val="32"/>
        </w:rPr>
        <w:t>4</w:t>
      </w:r>
      <w:r>
        <w:rPr>
          <w:rFonts w:hint="eastAsia" w:ascii="仿宋" w:hAnsi="仿宋" w:eastAsia="仿宋"/>
          <w:color w:val="000000"/>
          <w:sz w:val="32"/>
          <w:szCs w:val="32"/>
        </w:rPr>
        <w:t>个科技示范基地，培育科技示范户</w:t>
      </w:r>
      <w:r>
        <w:rPr>
          <w:rFonts w:ascii="仿宋" w:hAnsi="仿宋" w:eastAsia="仿宋"/>
          <w:color w:val="000000"/>
          <w:sz w:val="32"/>
          <w:szCs w:val="32"/>
        </w:rPr>
        <w:t>400</w:t>
      </w:r>
      <w:r>
        <w:rPr>
          <w:rFonts w:hint="eastAsia" w:ascii="仿宋" w:hAnsi="仿宋" w:eastAsia="仿宋"/>
          <w:color w:val="000000"/>
          <w:sz w:val="32"/>
          <w:szCs w:val="32"/>
        </w:rPr>
        <w:t>户。完善科技服务队伍。组建</w:t>
      </w:r>
      <w:r>
        <w:rPr>
          <w:rFonts w:ascii="仿宋" w:hAnsi="仿宋" w:eastAsia="仿宋"/>
          <w:color w:val="000000"/>
          <w:sz w:val="32"/>
          <w:szCs w:val="32"/>
        </w:rPr>
        <w:t>1</w:t>
      </w:r>
      <w:r>
        <w:rPr>
          <w:rFonts w:hint="eastAsia" w:ascii="仿宋" w:hAnsi="仿宋" w:eastAsia="仿宋"/>
          <w:color w:val="000000"/>
          <w:sz w:val="32"/>
          <w:szCs w:val="32"/>
        </w:rPr>
        <w:t>个科技特派团专家服务团队和</w:t>
      </w:r>
      <w:r>
        <w:rPr>
          <w:rFonts w:ascii="仿宋" w:hAnsi="仿宋" w:eastAsia="仿宋"/>
          <w:color w:val="000000"/>
          <w:sz w:val="32"/>
          <w:szCs w:val="32"/>
        </w:rPr>
        <w:t>5</w:t>
      </w:r>
      <w:r>
        <w:rPr>
          <w:rFonts w:hint="eastAsia" w:ascii="仿宋" w:hAnsi="仿宋" w:eastAsia="仿宋"/>
          <w:color w:val="000000"/>
          <w:sz w:val="32"/>
          <w:szCs w:val="32"/>
        </w:rPr>
        <w:t>个科技服务小组，形成由农业技术员、畜牧防疫员、科技示范户组成的撊灰惶鍞科技创业、服务工作机制和服务平台。三是让贫困户使用到安全用电。</w:t>
      </w:r>
      <w:r>
        <w:rPr>
          <w:rFonts w:ascii="仿宋" w:hAnsi="仿宋" w:eastAsia="仿宋"/>
          <w:color w:val="000000"/>
          <w:sz w:val="32"/>
          <w:szCs w:val="32"/>
        </w:rPr>
        <w:t>2018</w:t>
      </w:r>
      <w:r>
        <w:rPr>
          <w:rFonts w:hint="eastAsia" w:ascii="仿宋" w:hAnsi="仿宋" w:eastAsia="仿宋"/>
          <w:color w:val="000000"/>
          <w:sz w:val="32"/>
          <w:szCs w:val="32"/>
        </w:rPr>
        <w:t>年共投入</w:t>
      </w:r>
      <w:r>
        <w:rPr>
          <w:rFonts w:ascii="仿宋" w:hAnsi="仿宋" w:eastAsia="仿宋"/>
          <w:color w:val="000000"/>
          <w:sz w:val="32"/>
          <w:szCs w:val="32"/>
        </w:rPr>
        <w:t>3656</w:t>
      </w:r>
      <w:r>
        <w:rPr>
          <w:rFonts w:hint="eastAsia" w:ascii="仿宋" w:hAnsi="仿宋" w:eastAsia="仿宋"/>
          <w:color w:val="000000"/>
          <w:sz w:val="32"/>
          <w:szCs w:val="32"/>
        </w:rPr>
        <w:t>万元，完成了</w:t>
      </w:r>
      <w:r>
        <w:rPr>
          <w:rFonts w:ascii="仿宋" w:hAnsi="仿宋" w:eastAsia="仿宋"/>
          <w:color w:val="000000"/>
          <w:sz w:val="32"/>
          <w:szCs w:val="32"/>
        </w:rPr>
        <w:t>12</w:t>
      </w:r>
      <w:r>
        <w:rPr>
          <w:rFonts w:hint="eastAsia" w:ascii="仿宋" w:hAnsi="仿宋" w:eastAsia="仿宋"/>
          <w:color w:val="000000"/>
          <w:sz w:val="32"/>
          <w:szCs w:val="32"/>
        </w:rPr>
        <w:t>个贫困村电网升级改造和</w:t>
      </w:r>
      <w:r>
        <w:rPr>
          <w:rFonts w:ascii="仿宋" w:hAnsi="仿宋" w:eastAsia="仿宋"/>
          <w:color w:val="000000"/>
          <w:sz w:val="32"/>
          <w:szCs w:val="32"/>
        </w:rPr>
        <w:t>83</w:t>
      </w:r>
      <w:r>
        <w:rPr>
          <w:rFonts w:hint="eastAsia" w:ascii="仿宋" w:hAnsi="仿宋" w:eastAsia="仿宋"/>
          <w:color w:val="000000"/>
          <w:sz w:val="32"/>
          <w:szCs w:val="32"/>
        </w:rPr>
        <w:t>个聚居点电力配套建设，同时完成了</w:t>
      </w:r>
      <w:r>
        <w:rPr>
          <w:rFonts w:ascii="仿宋" w:hAnsi="仿宋" w:eastAsia="仿宋"/>
          <w:color w:val="000000"/>
          <w:sz w:val="32"/>
          <w:szCs w:val="32"/>
        </w:rPr>
        <w:t>4690</w:t>
      </w:r>
      <w:r>
        <w:rPr>
          <w:rFonts w:hint="eastAsia" w:ascii="仿宋" w:hAnsi="仿宋" w:eastAsia="仿宋"/>
          <w:color w:val="000000"/>
          <w:sz w:val="32"/>
          <w:szCs w:val="32"/>
        </w:rPr>
        <w:t>户土坯房改造户的低压接入和</w:t>
      </w:r>
      <w:r>
        <w:rPr>
          <w:rFonts w:ascii="仿宋" w:hAnsi="仿宋" w:eastAsia="仿宋"/>
          <w:color w:val="000000"/>
          <w:sz w:val="32"/>
          <w:szCs w:val="32"/>
        </w:rPr>
        <w:t>29</w:t>
      </w:r>
      <w:r>
        <w:rPr>
          <w:rFonts w:hint="eastAsia" w:ascii="仿宋" w:hAnsi="仿宋" w:eastAsia="仿宋"/>
          <w:color w:val="000000"/>
          <w:sz w:val="32"/>
          <w:szCs w:val="32"/>
        </w:rPr>
        <w:t>户高压接入，实现了全区农村居民通电率达到</w:t>
      </w:r>
      <w:r>
        <w:rPr>
          <w:rFonts w:ascii="仿宋" w:hAnsi="仿宋" w:eastAsia="仿宋"/>
          <w:color w:val="000000"/>
          <w:sz w:val="32"/>
          <w:szCs w:val="32"/>
        </w:rPr>
        <w:t>100%</w:t>
      </w:r>
      <w:r>
        <w:rPr>
          <w:rFonts w:hint="eastAsia" w:ascii="仿宋" w:hAnsi="仿宋" w:eastAsia="仿宋"/>
          <w:color w:val="000000"/>
          <w:sz w:val="32"/>
          <w:szCs w:val="32"/>
        </w:rPr>
        <w:t>，</w:t>
      </w:r>
      <w:r>
        <w:rPr>
          <w:rFonts w:ascii="仿宋" w:hAnsi="仿宋" w:eastAsia="仿宋"/>
          <w:color w:val="000000"/>
          <w:sz w:val="32"/>
          <w:szCs w:val="32"/>
        </w:rPr>
        <w:t>63</w:t>
      </w:r>
      <w:r>
        <w:rPr>
          <w:rFonts w:hint="eastAsia" w:ascii="仿宋" w:hAnsi="仿宋" w:eastAsia="仿宋"/>
          <w:color w:val="000000"/>
          <w:sz w:val="32"/>
          <w:szCs w:val="32"/>
        </w:rPr>
        <w:t>个贫困村的电网得到全面升级改造。四是让贫困户感受到通信服务便利。</w:t>
      </w:r>
      <w:r>
        <w:rPr>
          <w:rFonts w:ascii="仿宋" w:hAnsi="仿宋" w:eastAsia="仿宋"/>
          <w:color w:val="000000"/>
          <w:sz w:val="32"/>
          <w:szCs w:val="32"/>
        </w:rPr>
        <w:t>63</w:t>
      </w:r>
      <w:r>
        <w:rPr>
          <w:rFonts w:hint="eastAsia" w:ascii="仿宋" w:hAnsi="仿宋" w:eastAsia="仿宋"/>
          <w:color w:val="000000"/>
          <w:sz w:val="32"/>
          <w:szCs w:val="32"/>
        </w:rPr>
        <w:t>个贫困村宽带设施全部建成，实现了宽带网络行政村全覆盖，所有村委会、卫生室、文化室、村小学宽带接入能力均达到了</w:t>
      </w:r>
      <w:r>
        <w:rPr>
          <w:rFonts w:ascii="仿宋" w:hAnsi="仿宋" w:eastAsia="仿宋"/>
          <w:color w:val="000000"/>
          <w:sz w:val="32"/>
          <w:szCs w:val="32"/>
        </w:rPr>
        <w:t>20Mbs</w:t>
      </w:r>
      <w:r>
        <w:rPr>
          <w:rFonts w:hint="eastAsia" w:ascii="仿宋" w:hAnsi="仿宋" w:eastAsia="仿宋"/>
          <w:color w:val="000000"/>
          <w:sz w:val="32"/>
          <w:szCs w:val="32"/>
        </w:rPr>
        <w:t>以上，实现贫困户住所所在地</w:t>
      </w:r>
      <w:r>
        <w:rPr>
          <w:rFonts w:ascii="仿宋" w:hAnsi="仿宋" w:eastAsia="仿宋"/>
          <w:color w:val="000000"/>
          <w:sz w:val="32"/>
          <w:szCs w:val="32"/>
        </w:rPr>
        <w:t>300</w:t>
      </w:r>
      <w:r>
        <w:rPr>
          <w:rFonts w:hint="eastAsia" w:ascii="仿宋" w:hAnsi="仿宋" w:eastAsia="仿宋"/>
          <w:color w:val="000000"/>
          <w:sz w:val="32"/>
          <w:szCs w:val="32"/>
        </w:rPr>
        <w:t>米内均有手机信号。五是帮助帮联村建设文明美丽乡村。建猕猴桃特色产业园区</w:t>
      </w:r>
      <w:r>
        <w:rPr>
          <w:rFonts w:ascii="仿宋" w:hAnsi="仿宋" w:eastAsia="仿宋"/>
          <w:color w:val="000000"/>
          <w:sz w:val="32"/>
          <w:szCs w:val="32"/>
        </w:rPr>
        <w:t>300</w:t>
      </w:r>
      <w:r>
        <w:rPr>
          <w:rFonts w:hint="eastAsia" w:ascii="仿宋" w:hAnsi="仿宋" w:eastAsia="仿宋"/>
          <w:color w:val="000000"/>
          <w:sz w:val="32"/>
          <w:szCs w:val="32"/>
        </w:rPr>
        <w:t>余亩，帮助争取省级科技示范村建设资金</w:t>
      </w:r>
      <w:r>
        <w:rPr>
          <w:rFonts w:ascii="仿宋" w:hAnsi="仿宋" w:eastAsia="仿宋"/>
          <w:color w:val="000000"/>
          <w:sz w:val="32"/>
          <w:szCs w:val="32"/>
        </w:rPr>
        <w:t>50</w:t>
      </w:r>
      <w:r>
        <w:rPr>
          <w:rFonts w:hint="eastAsia" w:ascii="仿宋" w:hAnsi="仿宋" w:eastAsia="仿宋"/>
          <w:color w:val="000000"/>
          <w:sz w:val="32"/>
          <w:szCs w:val="32"/>
        </w:rPr>
        <w:t>万元，四川省财政厅社保处</w:t>
      </w:r>
      <w:r>
        <w:rPr>
          <w:rFonts w:ascii="仿宋" w:hAnsi="仿宋" w:eastAsia="仿宋"/>
          <w:color w:val="000000"/>
          <w:sz w:val="32"/>
          <w:szCs w:val="32"/>
        </w:rPr>
        <w:t>20</w:t>
      </w:r>
      <w:r>
        <w:rPr>
          <w:rFonts w:hint="eastAsia" w:ascii="仿宋" w:hAnsi="仿宋" w:eastAsia="仿宋"/>
          <w:color w:val="000000"/>
          <w:sz w:val="32"/>
          <w:szCs w:val="32"/>
        </w:rPr>
        <w:t>万元的产业发展资金，东西部合作“万企帮万村”产业帮扶资金</w:t>
      </w:r>
      <w:r>
        <w:rPr>
          <w:rFonts w:ascii="仿宋" w:hAnsi="仿宋" w:eastAsia="仿宋"/>
          <w:color w:val="000000"/>
          <w:sz w:val="32"/>
          <w:szCs w:val="32"/>
        </w:rPr>
        <w:t>3</w:t>
      </w:r>
      <w:r>
        <w:rPr>
          <w:rFonts w:hint="eastAsia" w:ascii="仿宋" w:hAnsi="仿宋" w:eastAsia="仿宋"/>
          <w:color w:val="000000"/>
          <w:sz w:val="32"/>
          <w:szCs w:val="32"/>
        </w:rPr>
        <w:t>万元。</w:t>
      </w:r>
      <w:r>
        <w:rPr>
          <w:rFonts w:ascii="仿宋" w:hAnsi="仿宋" w:eastAsia="仿宋"/>
          <w:color w:val="000000"/>
          <w:sz w:val="32"/>
          <w:szCs w:val="32"/>
        </w:rPr>
        <w:t>2018</w:t>
      </w:r>
      <w:r>
        <w:rPr>
          <w:rFonts w:hint="eastAsia" w:ascii="仿宋" w:hAnsi="仿宋" w:eastAsia="仿宋"/>
          <w:color w:val="000000"/>
          <w:sz w:val="32"/>
          <w:szCs w:val="32"/>
        </w:rPr>
        <w:t>年硬化社道</w:t>
      </w:r>
      <w:r>
        <w:rPr>
          <w:rFonts w:ascii="仿宋" w:hAnsi="仿宋" w:eastAsia="仿宋"/>
          <w:color w:val="000000"/>
          <w:sz w:val="32"/>
          <w:szCs w:val="32"/>
        </w:rPr>
        <w:t>2.2</w:t>
      </w:r>
      <w:r>
        <w:rPr>
          <w:rFonts w:hint="eastAsia" w:ascii="仿宋" w:hAnsi="仿宋" w:eastAsia="仿宋"/>
          <w:color w:val="000000"/>
          <w:sz w:val="32"/>
          <w:szCs w:val="32"/>
        </w:rPr>
        <w:t>公里，拓宽村道</w:t>
      </w:r>
      <w:r>
        <w:rPr>
          <w:rFonts w:ascii="仿宋" w:hAnsi="仿宋" w:eastAsia="仿宋"/>
          <w:color w:val="000000"/>
          <w:sz w:val="32"/>
          <w:szCs w:val="32"/>
        </w:rPr>
        <w:t>0.8</w:t>
      </w:r>
      <w:r>
        <w:rPr>
          <w:rFonts w:hint="eastAsia" w:ascii="仿宋" w:hAnsi="仿宋" w:eastAsia="仿宋"/>
          <w:color w:val="000000"/>
          <w:sz w:val="32"/>
          <w:szCs w:val="32"/>
        </w:rPr>
        <w:t>公里。土坯房存量</w:t>
      </w:r>
      <w:r>
        <w:rPr>
          <w:rFonts w:ascii="仿宋" w:hAnsi="仿宋" w:eastAsia="仿宋"/>
          <w:color w:val="000000"/>
          <w:sz w:val="32"/>
          <w:szCs w:val="32"/>
        </w:rPr>
        <w:t>93</w:t>
      </w:r>
      <w:r>
        <w:rPr>
          <w:rFonts w:hint="eastAsia" w:ascii="仿宋" w:hAnsi="仿宋" w:eastAsia="仿宋"/>
          <w:color w:val="000000"/>
          <w:sz w:val="32"/>
          <w:szCs w:val="32"/>
        </w:rPr>
        <w:t>户，全部完成改造和新建。出资</w:t>
      </w:r>
      <w:r>
        <w:rPr>
          <w:rFonts w:ascii="仿宋" w:hAnsi="仿宋" w:eastAsia="仿宋"/>
          <w:color w:val="000000"/>
          <w:sz w:val="32"/>
          <w:szCs w:val="32"/>
        </w:rPr>
        <w:t>18</w:t>
      </w:r>
      <w:r>
        <w:rPr>
          <w:rFonts w:hint="eastAsia" w:ascii="仿宋" w:hAnsi="仿宋" w:eastAsia="仿宋"/>
          <w:color w:val="000000"/>
          <w:sz w:val="32"/>
          <w:szCs w:val="32"/>
        </w:rPr>
        <w:t>余万元，完成了农耕文化广场、停车场、居民集中安置点的绿化。完成</w:t>
      </w:r>
      <w:r>
        <w:rPr>
          <w:rFonts w:ascii="仿宋" w:hAnsi="仿宋" w:eastAsia="仿宋"/>
          <w:color w:val="000000"/>
          <w:sz w:val="32"/>
          <w:szCs w:val="32"/>
        </w:rPr>
        <w:t>13</w:t>
      </w:r>
      <w:r>
        <w:rPr>
          <w:rFonts w:hint="eastAsia" w:ascii="仿宋" w:hAnsi="仿宋" w:eastAsia="仿宋"/>
          <w:color w:val="000000"/>
          <w:sz w:val="32"/>
          <w:szCs w:val="32"/>
        </w:rPr>
        <w:t>户贫困户入户路硬化，</w:t>
      </w:r>
      <w:r>
        <w:rPr>
          <w:rFonts w:ascii="仿宋" w:hAnsi="仿宋" w:eastAsia="仿宋"/>
          <w:color w:val="000000"/>
          <w:sz w:val="32"/>
          <w:szCs w:val="32"/>
        </w:rPr>
        <w:t>16</w:t>
      </w:r>
      <w:r>
        <w:rPr>
          <w:rFonts w:hint="eastAsia" w:ascii="仿宋" w:hAnsi="仿宋" w:eastAsia="仿宋"/>
          <w:color w:val="000000"/>
          <w:sz w:val="32"/>
          <w:szCs w:val="32"/>
        </w:rPr>
        <w:t>户贫困户院坝硬化，</w:t>
      </w:r>
      <w:r>
        <w:rPr>
          <w:rFonts w:ascii="仿宋" w:hAnsi="仿宋" w:eastAsia="仿宋"/>
          <w:color w:val="000000"/>
          <w:sz w:val="32"/>
          <w:szCs w:val="32"/>
        </w:rPr>
        <w:t>80</w:t>
      </w:r>
      <w:r>
        <w:rPr>
          <w:rFonts w:hint="eastAsia" w:ascii="仿宋" w:hAnsi="仿宋" w:eastAsia="仿宋"/>
          <w:color w:val="000000"/>
          <w:sz w:val="32"/>
          <w:szCs w:val="32"/>
        </w:rPr>
        <w:t>户微田园建设。紧密结合家庭道德积分评定，大力培育文明新风，评选“文明示范户”、“好公婆”、“好媳妇”、“好妯娌”、“关爱子女”、“孝敬父母”等活动。大力开展“环境大提升”活动，引导群众养成良好生活习惯，实现房前屋后庭院化、村落民居整洁化。</w:t>
      </w:r>
    </w:p>
    <w:p w14:paraId="0C804BDA">
      <w:pPr>
        <w:pStyle w:val="5"/>
        <w:numPr>
          <w:ilvl w:val="0"/>
          <w:numId w:val="1"/>
        </w:numPr>
        <w:rPr>
          <w:rStyle w:val="20"/>
          <w:rFonts w:ascii="黑体" w:hAnsi="黑体" w:eastAsia="黑体"/>
          <w:b w:val="0"/>
          <w:bCs w:val="0"/>
        </w:rPr>
      </w:pPr>
      <w:bookmarkStart w:id="20" w:name="_Toc15377200"/>
      <w:bookmarkStart w:id="21" w:name="_Toc15396601"/>
      <w:r>
        <w:rPr>
          <w:rFonts w:hint="eastAsia" w:ascii="黑体" w:hAnsi="黑体" w:eastAsia="黑体"/>
          <w:b w:val="0"/>
          <w:color w:val="000000"/>
        </w:rPr>
        <w:t>机</w:t>
      </w:r>
      <w:r>
        <w:rPr>
          <w:rStyle w:val="20"/>
          <w:rFonts w:hint="eastAsia" w:ascii="黑体" w:hAnsi="黑体" w:eastAsia="黑体"/>
          <w:b w:val="0"/>
          <w:bCs w:val="0"/>
        </w:rPr>
        <w:t>构设置</w:t>
      </w:r>
      <w:bookmarkEnd w:id="20"/>
      <w:bookmarkEnd w:id="21"/>
    </w:p>
    <w:p w14:paraId="76785E0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广元市昭化区经济和信息化局设</w:t>
      </w:r>
      <w:r>
        <w:rPr>
          <w:rFonts w:ascii="仿宋" w:hAnsi="仿宋" w:eastAsia="仿宋"/>
          <w:color w:val="000000"/>
          <w:sz w:val="32"/>
          <w:szCs w:val="32"/>
        </w:rPr>
        <w:t>6</w:t>
      </w:r>
      <w:r>
        <w:rPr>
          <w:rFonts w:hint="eastAsia" w:ascii="仿宋" w:hAnsi="仿宋" w:eastAsia="仿宋"/>
          <w:color w:val="000000"/>
          <w:sz w:val="32"/>
          <w:szCs w:val="32"/>
        </w:rPr>
        <w:t>个内设机构：</w:t>
      </w:r>
    </w:p>
    <w:p w14:paraId="61FE714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办公室（行政审批股）负责机关日常党务、政务、文秘、协调、督办、后勤保障和服务等工作。</w:t>
      </w:r>
    </w:p>
    <w:p w14:paraId="5F728E1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工业运行股，拟定工业经济建设的发展战略、结构调整和产业布局规划并组织实施。</w:t>
      </w:r>
    </w:p>
    <w:p w14:paraId="23E7CC6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企业投资股，负责提出工业财政专项资金的安排意见，提出工业投资的规模、方向和计划并组织实施，引导资金投向，促进创业发展。</w:t>
      </w:r>
    </w:p>
    <w:p w14:paraId="712D410A">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能源电力股，实施电力、成品油、天然气行业管理；负责起草能源工业行业规划；对能源企业生产经营实施指导。</w:t>
      </w:r>
    </w:p>
    <w:p w14:paraId="54BFAD15">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信息化股，贯彻执行国家信息化产业政策，牵头编制信息化产业规划并统筹推进实施；负责信息、无线电技术基础设施建设的规划、协调和管理。</w:t>
      </w:r>
    </w:p>
    <w:p w14:paraId="3C2C4FD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科技与知识产权股，组织拟订全区科学技术发展、科技体制改革、知识产权保护有关规划、政策并组织设施。</w:t>
      </w:r>
      <w:r>
        <w:rPr>
          <w:rFonts w:ascii="仿宋" w:hAnsi="仿宋" w:eastAsia="仿宋"/>
          <w:color w:val="000000"/>
          <w:sz w:val="32"/>
          <w:szCs w:val="32"/>
        </w:rPr>
        <w:t xml:space="preserve"> </w:t>
      </w:r>
    </w:p>
    <w:p w14:paraId="5F1F39F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广元市昭化区经济和信息化局下属二级单位</w:t>
      </w:r>
      <w:r>
        <w:rPr>
          <w:rFonts w:ascii="仿宋" w:hAnsi="仿宋" w:eastAsia="仿宋"/>
          <w:color w:val="000000"/>
          <w:sz w:val="32"/>
          <w:szCs w:val="32"/>
        </w:rPr>
        <w:t>2</w:t>
      </w:r>
      <w:r>
        <w:rPr>
          <w:rFonts w:hint="eastAsia" w:ascii="仿宋" w:hAnsi="仿宋" w:eastAsia="仿宋"/>
          <w:color w:val="000000"/>
          <w:sz w:val="32"/>
          <w:szCs w:val="32"/>
        </w:rPr>
        <w:t>个，其中行政单位</w:t>
      </w:r>
      <w:r>
        <w:rPr>
          <w:rFonts w:ascii="仿宋" w:hAnsi="仿宋" w:eastAsia="仿宋"/>
          <w:color w:val="000000"/>
          <w:sz w:val="32"/>
          <w:szCs w:val="32"/>
        </w:rPr>
        <w:t>0</w:t>
      </w:r>
      <w:r>
        <w:rPr>
          <w:rFonts w:hint="eastAsia" w:ascii="仿宋" w:hAnsi="仿宋" w:eastAsia="仿宋"/>
          <w:color w:val="000000"/>
          <w:sz w:val="32"/>
          <w:szCs w:val="32"/>
        </w:rPr>
        <w:t>个，参照公务员法管理的事业单位</w:t>
      </w:r>
      <w:r>
        <w:rPr>
          <w:rFonts w:ascii="仿宋" w:hAnsi="仿宋" w:eastAsia="仿宋"/>
          <w:color w:val="000000"/>
          <w:sz w:val="32"/>
          <w:szCs w:val="32"/>
        </w:rPr>
        <w:t>0</w:t>
      </w:r>
      <w:r>
        <w:rPr>
          <w:rFonts w:hint="eastAsia" w:ascii="仿宋" w:hAnsi="仿宋" w:eastAsia="仿宋"/>
          <w:color w:val="000000"/>
          <w:sz w:val="32"/>
          <w:szCs w:val="32"/>
        </w:rPr>
        <w:t>个，其他事业单位</w:t>
      </w:r>
      <w:r>
        <w:rPr>
          <w:rFonts w:ascii="仿宋" w:hAnsi="仿宋" w:eastAsia="仿宋"/>
          <w:color w:val="000000"/>
          <w:sz w:val="32"/>
          <w:szCs w:val="32"/>
        </w:rPr>
        <w:t>2</w:t>
      </w:r>
      <w:r>
        <w:rPr>
          <w:rFonts w:hint="eastAsia" w:ascii="仿宋" w:hAnsi="仿宋" w:eastAsia="仿宋"/>
          <w:color w:val="000000"/>
          <w:sz w:val="32"/>
          <w:szCs w:val="32"/>
        </w:rPr>
        <w:t>个。</w:t>
      </w:r>
    </w:p>
    <w:p w14:paraId="2D1B8E56">
      <w:pPr>
        <w:widowControl/>
        <w:jc w:val="left"/>
        <w:rPr>
          <w:rFonts w:ascii="仿宋" w:hAnsi="仿宋" w:eastAsia="仿宋"/>
          <w:color w:val="000000"/>
          <w:sz w:val="32"/>
          <w:szCs w:val="32"/>
        </w:rPr>
      </w:pPr>
    </w:p>
    <w:p w14:paraId="2DFD31BB">
      <w:pPr>
        <w:pStyle w:val="2"/>
        <w:ind w:left="31680" w:firstLine="31680"/>
      </w:pPr>
    </w:p>
    <w:p w14:paraId="1553E741">
      <w:pPr>
        <w:pStyle w:val="2"/>
        <w:ind w:left="31680" w:firstLine="31680"/>
      </w:pPr>
    </w:p>
    <w:p w14:paraId="62F71D6F">
      <w:pPr>
        <w:pStyle w:val="2"/>
        <w:ind w:left="31680" w:firstLine="31680"/>
      </w:pPr>
    </w:p>
    <w:p w14:paraId="5E638CF1">
      <w:pPr>
        <w:pStyle w:val="2"/>
        <w:ind w:left="31680" w:firstLine="31680"/>
      </w:pPr>
    </w:p>
    <w:p w14:paraId="48406985">
      <w:pPr>
        <w:pStyle w:val="2"/>
        <w:ind w:left="31680" w:firstLine="31680"/>
      </w:pPr>
    </w:p>
    <w:p w14:paraId="54CF213A">
      <w:pPr>
        <w:pStyle w:val="2"/>
        <w:ind w:left="31680" w:firstLine="31680"/>
      </w:pPr>
    </w:p>
    <w:p w14:paraId="4F0B2B35">
      <w:pPr>
        <w:pStyle w:val="2"/>
        <w:ind w:left="31680" w:firstLine="31680"/>
      </w:pPr>
    </w:p>
    <w:p w14:paraId="0D53913B">
      <w:pPr>
        <w:pStyle w:val="4"/>
        <w:ind w:right="440"/>
        <w:jc w:val="right"/>
        <w:rPr>
          <w:rFonts w:hint="eastAsia" w:ascii="黑体" w:hAnsi="黑体" w:eastAsia="黑体"/>
          <w:b w:val="0"/>
          <w:color w:val="000000"/>
        </w:rPr>
      </w:pPr>
      <w:bookmarkStart w:id="22" w:name="_Toc15377204"/>
      <w:bookmarkStart w:id="23" w:name="_Toc15396602"/>
    </w:p>
    <w:p w14:paraId="70C0B196">
      <w:pPr>
        <w:pStyle w:val="4"/>
        <w:ind w:right="440"/>
        <w:jc w:val="right"/>
        <w:rPr>
          <w:rStyle w:val="19"/>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19"/>
          <w:rFonts w:ascii="黑体" w:hAnsi="黑体" w:eastAsia="黑体"/>
          <w:b w:val="0"/>
          <w:bCs w:val="0"/>
        </w:rPr>
        <w:t>2018</w:t>
      </w:r>
      <w:r>
        <w:rPr>
          <w:rStyle w:val="19"/>
          <w:rFonts w:hint="eastAsia" w:ascii="黑体" w:hAnsi="黑体" w:eastAsia="黑体"/>
          <w:b w:val="0"/>
          <w:bCs w:val="0"/>
        </w:rPr>
        <w:t>年度部门决算情况说明</w:t>
      </w:r>
      <w:bookmarkEnd w:id="22"/>
      <w:bookmarkEnd w:id="23"/>
    </w:p>
    <w:p w14:paraId="6DCF406C"/>
    <w:p w14:paraId="33859EA1">
      <w:pPr>
        <w:pStyle w:val="32"/>
        <w:numPr>
          <w:ilvl w:val="0"/>
          <w:numId w:val="2"/>
        </w:numPr>
        <w:spacing w:line="600" w:lineRule="exact"/>
        <w:ind w:firstLineChars="0"/>
        <w:outlineLvl w:val="1"/>
        <w:rPr>
          <w:rStyle w:val="20"/>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0"/>
          <w:rFonts w:hint="eastAsia" w:ascii="黑体" w:hAnsi="黑体" w:eastAsia="黑体"/>
          <w:b w:val="0"/>
        </w:rPr>
        <w:t>入支出决算总体情况说明</w:t>
      </w:r>
      <w:bookmarkEnd w:id="24"/>
      <w:bookmarkEnd w:id="25"/>
    </w:p>
    <w:p w14:paraId="017B5E8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经信局</w:t>
      </w:r>
      <w:r>
        <w:rPr>
          <w:rFonts w:ascii="仿宋" w:hAnsi="仿宋" w:eastAsia="仿宋"/>
          <w:color w:val="000000"/>
          <w:sz w:val="32"/>
          <w:szCs w:val="32"/>
        </w:rPr>
        <w:t>2018</w:t>
      </w:r>
      <w:r>
        <w:rPr>
          <w:rFonts w:hint="eastAsia" w:ascii="仿宋" w:hAnsi="仿宋" w:eastAsia="仿宋"/>
          <w:color w:val="000000"/>
          <w:sz w:val="32"/>
          <w:szCs w:val="32"/>
        </w:rPr>
        <w:t>年度财政拨款收支总决算</w:t>
      </w:r>
      <w:r>
        <w:rPr>
          <w:rFonts w:ascii="仿宋" w:hAnsi="仿宋" w:eastAsia="仿宋"/>
          <w:color w:val="000000"/>
          <w:sz w:val="32"/>
          <w:szCs w:val="32"/>
        </w:rPr>
        <w:t>2536</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年相比，收、支总计增加</w:t>
      </w:r>
      <w:r>
        <w:rPr>
          <w:rFonts w:ascii="仿宋" w:hAnsi="仿宋" w:eastAsia="仿宋"/>
          <w:color w:val="000000"/>
          <w:sz w:val="32"/>
          <w:szCs w:val="32"/>
        </w:rPr>
        <w:t>1039.34</w:t>
      </w:r>
      <w:r>
        <w:rPr>
          <w:rFonts w:hint="eastAsia" w:ascii="仿宋" w:hAnsi="仿宋" w:eastAsia="仿宋"/>
          <w:color w:val="000000"/>
          <w:sz w:val="32"/>
          <w:szCs w:val="32"/>
        </w:rPr>
        <w:t>万元，增加</w:t>
      </w:r>
      <w:r>
        <w:rPr>
          <w:rFonts w:ascii="仿宋" w:hAnsi="仿宋" w:eastAsia="仿宋"/>
          <w:color w:val="000000"/>
          <w:sz w:val="32"/>
          <w:szCs w:val="32"/>
        </w:rPr>
        <w:t>69.44%</w:t>
      </w:r>
      <w:r>
        <w:rPr>
          <w:rFonts w:hint="eastAsia" w:ascii="仿宋" w:hAnsi="仿宋" w:eastAsia="仿宋"/>
          <w:color w:val="000000"/>
          <w:sz w:val="32"/>
          <w:szCs w:val="32"/>
        </w:rPr>
        <w:t>；主要原因是家居产业城建设。</w:t>
      </w:r>
    </w:p>
    <w:p w14:paraId="5AF572D7">
      <w:pPr>
        <w:pStyle w:val="32"/>
        <w:numPr>
          <w:ilvl w:val="0"/>
          <w:numId w:val="2"/>
        </w:numPr>
        <w:spacing w:line="600" w:lineRule="exact"/>
        <w:ind w:firstLineChars="0"/>
        <w:outlineLvl w:val="1"/>
        <w:rPr>
          <w:rStyle w:val="20"/>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0"/>
          <w:rFonts w:hint="eastAsia" w:ascii="黑体" w:hAnsi="黑体" w:eastAsia="黑体"/>
          <w:b w:val="0"/>
        </w:rPr>
        <w:t>入决算情况说明</w:t>
      </w:r>
      <w:bookmarkEnd w:id="26"/>
      <w:bookmarkEnd w:id="27"/>
    </w:p>
    <w:p w14:paraId="2020525C">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olor w:val="000000"/>
          <w:sz w:val="32"/>
          <w:szCs w:val="32"/>
        </w:rPr>
        <w:t>2536</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1726.14</w:t>
      </w:r>
      <w:r>
        <w:rPr>
          <w:rFonts w:hint="eastAsia" w:ascii="仿宋" w:hAnsi="仿宋" w:eastAsia="仿宋"/>
          <w:color w:val="000000"/>
          <w:sz w:val="32"/>
          <w:szCs w:val="32"/>
        </w:rPr>
        <w:t>万元，占</w:t>
      </w:r>
      <w:r>
        <w:rPr>
          <w:rFonts w:ascii="仿宋" w:hAnsi="仿宋" w:eastAsia="仿宋"/>
          <w:color w:val="000000"/>
          <w:sz w:val="32"/>
          <w:szCs w:val="32"/>
        </w:rPr>
        <w:t>68%</w:t>
      </w:r>
      <w:r>
        <w:rPr>
          <w:rFonts w:hint="eastAsia" w:ascii="仿宋" w:hAnsi="仿宋" w:eastAsia="仿宋"/>
          <w:color w:val="000000"/>
          <w:sz w:val="32"/>
          <w:szCs w:val="32"/>
        </w:rPr>
        <w:t>；政府性基金预算财政拨款收入</w:t>
      </w:r>
      <w:r>
        <w:rPr>
          <w:rFonts w:ascii="仿宋" w:hAnsi="仿宋" w:eastAsia="仿宋"/>
          <w:color w:val="000000"/>
          <w:sz w:val="32"/>
          <w:szCs w:val="32"/>
        </w:rPr>
        <w:t>809.86</w:t>
      </w:r>
      <w:r>
        <w:rPr>
          <w:rFonts w:hint="eastAsia" w:ascii="仿宋" w:hAnsi="仿宋" w:eastAsia="仿宋"/>
          <w:color w:val="000000"/>
          <w:sz w:val="32"/>
          <w:szCs w:val="32"/>
        </w:rPr>
        <w:t>万元，占</w:t>
      </w:r>
      <w:r>
        <w:rPr>
          <w:rFonts w:ascii="仿宋" w:hAnsi="仿宋" w:eastAsia="仿宋"/>
          <w:color w:val="000000"/>
          <w:sz w:val="32"/>
          <w:szCs w:val="32"/>
        </w:rPr>
        <w:t>32%</w:t>
      </w:r>
      <w:r>
        <w:rPr>
          <w:rFonts w:hint="eastAsia" w:ascii="仿宋" w:hAnsi="仿宋" w:eastAsia="仿宋"/>
          <w:color w:val="000000"/>
          <w:sz w:val="32"/>
          <w:szCs w:val="32"/>
        </w:rPr>
        <w:t>；国有资本经营预算财政拨款收入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；事业收入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；附属单位上缴收入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；其他收入</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4D9B7010">
      <w:pPr>
        <w:pStyle w:val="32"/>
        <w:numPr>
          <w:ilvl w:val="0"/>
          <w:numId w:val="2"/>
        </w:numPr>
        <w:spacing w:line="600" w:lineRule="exact"/>
        <w:ind w:firstLineChars="0"/>
        <w:outlineLvl w:val="1"/>
        <w:rPr>
          <w:rStyle w:val="20"/>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0"/>
          <w:rFonts w:hint="eastAsia" w:ascii="黑体" w:hAnsi="黑体" w:eastAsia="黑体"/>
          <w:b w:val="0"/>
        </w:rPr>
        <w:t>出决算情况说明</w:t>
      </w:r>
      <w:bookmarkEnd w:id="28"/>
      <w:bookmarkEnd w:id="29"/>
    </w:p>
    <w:p w14:paraId="41513D9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1968.29</w:t>
      </w:r>
      <w:r>
        <w:rPr>
          <w:rFonts w:hint="eastAsia" w:ascii="仿宋" w:hAnsi="仿宋" w:eastAsia="仿宋"/>
          <w:color w:val="000000"/>
          <w:sz w:val="32"/>
          <w:szCs w:val="32"/>
        </w:rPr>
        <w:t>万元，其中：基本支出</w:t>
      </w:r>
      <w:r>
        <w:rPr>
          <w:rFonts w:ascii="仿宋" w:hAnsi="仿宋" w:eastAsia="仿宋"/>
          <w:color w:val="000000"/>
          <w:sz w:val="32"/>
          <w:szCs w:val="32"/>
        </w:rPr>
        <w:t>456.14</w:t>
      </w:r>
      <w:r>
        <w:rPr>
          <w:rFonts w:hint="eastAsia" w:ascii="仿宋" w:hAnsi="仿宋" w:eastAsia="仿宋"/>
          <w:color w:val="000000"/>
          <w:sz w:val="32"/>
          <w:szCs w:val="32"/>
        </w:rPr>
        <w:t>万元，占</w:t>
      </w:r>
      <w:r>
        <w:rPr>
          <w:rFonts w:ascii="仿宋" w:hAnsi="仿宋" w:eastAsia="仿宋"/>
          <w:color w:val="000000"/>
          <w:sz w:val="32"/>
          <w:szCs w:val="32"/>
        </w:rPr>
        <w:t>23.17%</w:t>
      </w:r>
      <w:r>
        <w:rPr>
          <w:rFonts w:hint="eastAsia" w:ascii="仿宋" w:hAnsi="仿宋" w:eastAsia="仿宋"/>
          <w:color w:val="000000"/>
          <w:sz w:val="32"/>
          <w:szCs w:val="32"/>
        </w:rPr>
        <w:t>；项目支出</w:t>
      </w:r>
      <w:r>
        <w:rPr>
          <w:rFonts w:ascii="仿宋" w:hAnsi="仿宋" w:eastAsia="仿宋"/>
          <w:color w:val="000000"/>
          <w:sz w:val="32"/>
          <w:szCs w:val="32"/>
        </w:rPr>
        <w:t>1512.16</w:t>
      </w:r>
      <w:r>
        <w:rPr>
          <w:rFonts w:hint="eastAsia" w:ascii="仿宋" w:hAnsi="仿宋" w:eastAsia="仿宋"/>
          <w:color w:val="000000"/>
          <w:sz w:val="32"/>
          <w:szCs w:val="32"/>
        </w:rPr>
        <w:t>万元，占</w:t>
      </w:r>
      <w:r>
        <w:rPr>
          <w:rFonts w:ascii="仿宋" w:hAnsi="仿宋" w:eastAsia="仿宋"/>
          <w:color w:val="000000"/>
          <w:sz w:val="32"/>
          <w:szCs w:val="32"/>
        </w:rPr>
        <w:t>76.83%</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33E60FCC">
      <w:pPr>
        <w:spacing w:line="600" w:lineRule="exact"/>
        <w:ind w:firstLine="640" w:firstLineChars="200"/>
        <w:outlineLvl w:val="1"/>
        <w:rPr>
          <w:rStyle w:val="20"/>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0"/>
          <w:rFonts w:hint="eastAsia" w:ascii="黑体" w:hAnsi="黑体" w:eastAsia="黑体"/>
          <w:b w:val="0"/>
        </w:rPr>
        <w:t>政拨款收入支出决算总体情况说明</w:t>
      </w:r>
      <w:bookmarkEnd w:id="30"/>
      <w:bookmarkEnd w:id="31"/>
    </w:p>
    <w:p w14:paraId="645B3DE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年度财政拨款收支总决算</w:t>
      </w:r>
      <w:r>
        <w:rPr>
          <w:rFonts w:ascii="仿宋" w:hAnsi="仿宋" w:eastAsia="仿宋"/>
          <w:color w:val="000000"/>
          <w:sz w:val="32"/>
          <w:szCs w:val="32"/>
        </w:rPr>
        <w:t>2536</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年相比，财政拨款收入增加</w:t>
      </w:r>
      <w:r>
        <w:rPr>
          <w:rFonts w:ascii="仿宋" w:hAnsi="仿宋" w:eastAsia="仿宋"/>
          <w:color w:val="000000"/>
          <w:sz w:val="32"/>
          <w:szCs w:val="32"/>
        </w:rPr>
        <w:t>1039.34</w:t>
      </w:r>
      <w:r>
        <w:rPr>
          <w:rFonts w:hint="eastAsia" w:ascii="仿宋" w:hAnsi="仿宋" w:eastAsia="仿宋"/>
          <w:color w:val="000000"/>
          <w:sz w:val="32"/>
          <w:szCs w:val="32"/>
        </w:rPr>
        <w:t>万元，增加</w:t>
      </w:r>
      <w:r>
        <w:rPr>
          <w:rFonts w:ascii="仿宋" w:hAnsi="仿宋" w:eastAsia="仿宋"/>
          <w:color w:val="000000"/>
          <w:sz w:val="32"/>
          <w:szCs w:val="32"/>
        </w:rPr>
        <w:t>69.44%</w:t>
      </w:r>
      <w:r>
        <w:rPr>
          <w:rFonts w:hint="eastAsia" w:ascii="仿宋" w:hAnsi="仿宋" w:eastAsia="仿宋"/>
          <w:color w:val="000000"/>
          <w:sz w:val="32"/>
          <w:szCs w:val="32"/>
        </w:rPr>
        <w:t>；总支出</w:t>
      </w:r>
      <w:r>
        <w:rPr>
          <w:rFonts w:ascii="仿宋" w:hAnsi="仿宋" w:eastAsia="仿宋"/>
          <w:color w:val="000000"/>
          <w:sz w:val="32"/>
          <w:szCs w:val="32"/>
        </w:rPr>
        <w:t>1968.29</w:t>
      </w:r>
      <w:r>
        <w:rPr>
          <w:rFonts w:hint="eastAsia" w:ascii="仿宋" w:hAnsi="仿宋" w:eastAsia="仿宋"/>
          <w:color w:val="000000"/>
          <w:sz w:val="32"/>
          <w:szCs w:val="32"/>
        </w:rPr>
        <w:t>万元，与</w:t>
      </w:r>
      <w:r>
        <w:rPr>
          <w:rFonts w:ascii="仿宋" w:hAnsi="仿宋" w:eastAsia="仿宋"/>
          <w:color w:val="000000"/>
          <w:sz w:val="32"/>
          <w:szCs w:val="32"/>
        </w:rPr>
        <w:t>2017</w:t>
      </w:r>
      <w:r>
        <w:rPr>
          <w:rFonts w:hint="eastAsia" w:ascii="仿宋" w:hAnsi="仿宋" w:eastAsia="仿宋"/>
          <w:color w:val="000000"/>
          <w:sz w:val="32"/>
          <w:szCs w:val="32"/>
        </w:rPr>
        <w:t>年相比增加</w:t>
      </w:r>
      <w:r>
        <w:rPr>
          <w:rFonts w:ascii="仿宋" w:hAnsi="仿宋" w:eastAsia="仿宋"/>
          <w:color w:val="000000"/>
          <w:sz w:val="32"/>
          <w:szCs w:val="32"/>
        </w:rPr>
        <w:t>990.32</w:t>
      </w:r>
      <w:r>
        <w:rPr>
          <w:rFonts w:hint="eastAsia" w:ascii="仿宋" w:hAnsi="仿宋" w:eastAsia="仿宋"/>
          <w:color w:val="000000"/>
          <w:sz w:val="32"/>
          <w:szCs w:val="32"/>
        </w:rPr>
        <w:t>万元，增加</w:t>
      </w:r>
      <w:r>
        <w:rPr>
          <w:rFonts w:ascii="仿宋" w:hAnsi="仿宋" w:eastAsia="仿宋"/>
          <w:color w:val="000000"/>
          <w:sz w:val="32"/>
          <w:szCs w:val="32"/>
        </w:rPr>
        <w:t>101.26%</w:t>
      </w:r>
      <w:r>
        <w:rPr>
          <w:rFonts w:hint="eastAsia" w:ascii="仿宋" w:hAnsi="仿宋" w:eastAsia="仿宋"/>
          <w:color w:val="000000"/>
          <w:sz w:val="32"/>
          <w:szCs w:val="32"/>
        </w:rPr>
        <w:t>。主要原因是家居产业城建设。</w:t>
      </w:r>
    </w:p>
    <w:p w14:paraId="7ACC90DA">
      <w:pPr>
        <w:spacing w:line="600" w:lineRule="exact"/>
        <w:ind w:firstLine="640" w:firstLineChars="200"/>
        <w:outlineLvl w:val="1"/>
        <w:rPr>
          <w:rStyle w:val="20"/>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0"/>
          <w:rFonts w:hint="eastAsia" w:ascii="黑体" w:hAnsi="黑体" w:eastAsia="黑体"/>
          <w:b w:val="0"/>
        </w:rPr>
        <w:t>般公共预算财政拨款支出决算情况说明</w:t>
      </w:r>
      <w:bookmarkEnd w:id="32"/>
      <w:bookmarkEnd w:id="33"/>
    </w:p>
    <w:p w14:paraId="224266DC">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3BCE9BC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1158.43</w:t>
      </w:r>
      <w:r>
        <w:rPr>
          <w:rFonts w:hint="eastAsia" w:ascii="仿宋" w:hAnsi="仿宋" w:eastAsia="仿宋"/>
          <w:color w:val="000000"/>
          <w:sz w:val="32"/>
          <w:szCs w:val="32"/>
        </w:rPr>
        <w:t>万元，占本年支出合计的</w:t>
      </w:r>
      <w:r>
        <w:rPr>
          <w:rFonts w:ascii="仿宋" w:hAnsi="仿宋" w:eastAsia="仿宋"/>
          <w:color w:val="000000"/>
          <w:sz w:val="32"/>
          <w:szCs w:val="32"/>
        </w:rPr>
        <w:t>58.85%</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年相比，一般公共预算财政拨款减少</w:t>
      </w:r>
      <w:r>
        <w:rPr>
          <w:rFonts w:ascii="仿宋" w:hAnsi="仿宋" w:eastAsia="仿宋"/>
          <w:color w:val="000000"/>
          <w:sz w:val="32"/>
          <w:szCs w:val="32"/>
        </w:rPr>
        <w:t>2005.19</w:t>
      </w:r>
      <w:r>
        <w:rPr>
          <w:rFonts w:hint="eastAsia" w:ascii="仿宋" w:hAnsi="仿宋" w:eastAsia="仿宋"/>
          <w:color w:val="000000"/>
          <w:sz w:val="32"/>
          <w:szCs w:val="32"/>
        </w:rPr>
        <w:t>万元，下降</w:t>
      </w:r>
      <w:r>
        <w:rPr>
          <w:rFonts w:ascii="仿宋" w:hAnsi="仿宋" w:eastAsia="仿宋"/>
          <w:color w:val="000000"/>
          <w:sz w:val="32"/>
          <w:szCs w:val="32"/>
        </w:rPr>
        <w:t>63.38%</w:t>
      </w:r>
      <w:r>
        <w:rPr>
          <w:rFonts w:hint="eastAsia" w:ascii="仿宋" w:hAnsi="仿宋" w:eastAsia="仿宋"/>
          <w:color w:val="000000"/>
          <w:sz w:val="32"/>
          <w:szCs w:val="32"/>
        </w:rPr>
        <w:t>。主要变动原因是</w:t>
      </w:r>
      <w:r>
        <w:rPr>
          <w:rFonts w:ascii="仿宋" w:hAnsi="仿宋" w:eastAsia="仿宋"/>
          <w:color w:val="000000"/>
          <w:sz w:val="32"/>
          <w:szCs w:val="32"/>
        </w:rPr>
        <w:t>2017</w:t>
      </w:r>
      <w:r>
        <w:rPr>
          <w:rFonts w:hint="eastAsia" w:ascii="仿宋" w:hAnsi="仿宋" w:eastAsia="仿宋"/>
          <w:color w:val="000000"/>
          <w:sz w:val="32"/>
          <w:szCs w:val="32"/>
        </w:rPr>
        <w:t>年度柏林沟湿地公园建设和失地农民保险支出金额较大。</w:t>
      </w:r>
    </w:p>
    <w:p w14:paraId="03EAA549">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38E3A8A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1158.43</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olor w:val="000000"/>
          <w:sz w:val="32"/>
          <w:szCs w:val="32"/>
        </w:rPr>
        <w:t>一般公共服务支出</w:t>
      </w:r>
      <w:r>
        <w:rPr>
          <w:rFonts w:ascii="仿宋" w:hAnsi="仿宋" w:eastAsia="仿宋"/>
          <w:color w:val="000000"/>
          <w:sz w:val="32"/>
          <w:szCs w:val="32"/>
        </w:rPr>
        <w:t>413.49</w:t>
      </w:r>
      <w:r>
        <w:rPr>
          <w:rFonts w:hint="eastAsia" w:ascii="仿宋" w:hAnsi="仿宋" w:eastAsia="仿宋"/>
          <w:color w:val="000000"/>
          <w:sz w:val="32"/>
          <w:szCs w:val="32"/>
        </w:rPr>
        <w:t>万元，占</w:t>
      </w:r>
      <w:r>
        <w:rPr>
          <w:rFonts w:ascii="仿宋" w:hAnsi="仿宋" w:eastAsia="仿宋"/>
          <w:color w:val="000000"/>
          <w:sz w:val="32"/>
          <w:szCs w:val="32"/>
        </w:rPr>
        <w:t>21.01%</w:t>
      </w:r>
      <w:r>
        <w:rPr>
          <w:rFonts w:hint="eastAsia" w:ascii="仿宋" w:hAnsi="仿宋" w:eastAsia="仿宋"/>
          <w:color w:val="000000"/>
          <w:sz w:val="32"/>
          <w:szCs w:val="32"/>
        </w:rPr>
        <w:t>；科学技术支出</w:t>
      </w:r>
      <w:r>
        <w:rPr>
          <w:rFonts w:ascii="仿宋" w:hAnsi="仿宋" w:eastAsia="仿宋"/>
          <w:color w:val="000000"/>
          <w:sz w:val="32"/>
          <w:szCs w:val="32"/>
        </w:rPr>
        <w:t>281.98</w:t>
      </w:r>
      <w:r>
        <w:rPr>
          <w:rFonts w:hint="eastAsia" w:ascii="仿宋" w:hAnsi="仿宋" w:eastAsia="仿宋"/>
          <w:color w:val="000000"/>
          <w:sz w:val="32"/>
          <w:szCs w:val="32"/>
        </w:rPr>
        <w:t>万元，占</w:t>
      </w:r>
      <w:r>
        <w:rPr>
          <w:rFonts w:ascii="仿宋" w:hAnsi="仿宋" w:eastAsia="仿宋"/>
          <w:color w:val="000000"/>
          <w:sz w:val="32"/>
          <w:szCs w:val="32"/>
        </w:rPr>
        <w:t>14.33%;</w:t>
      </w:r>
      <w:r>
        <w:rPr>
          <w:rFonts w:hint="eastAsia" w:ascii="仿宋" w:hAnsi="仿宋" w:eastAsia="仿宋"/>
          <w:color w:val="000000"/>
          <w:sz w:val="32"/>
          <w:szCs w:val="32"/>
        </w:rPr>
        <w:t>社会保障和就业支出</w:t>
      </w:r>
      <w:r>
        <w:rPr>
          <w:rFonts w:ascii="仿宋" w:hAnsi="仿宋" w:eastAsia="仿宋"/>
          <w:color w:val="000000"/>
          <w:sz w:val="32"/>
          <w:szCs w:val="32"/>
        </w:rPr>
        <w:t>58.53</w:t>
      </w:r>
      <w:r>
        <w:rPr>
          <w:rFonts w:hint="eastAsia" w:ascii="仿宋" w:hAnsi="仿宋" w:eastAsia="仿宋"/>
          <w:color w:val="000000"/>
          <w:sz w:val="32"/>
          <w:szCs w:val="32"/>
        </w:rPr>
        <w:t>万元，占</w:t>
      </w:r>
      <w:r>
        <w:rPr>
          <w:rFonts w:ascii="仿宋" w:hAnsi="仿宋" w:eastAsia="仿宋"/>
          <w:color w:val="000000"/>
          <w:sz w:val="32"/>
          <w:szCs w:val="32"/>
        </w:rPr>
        <w:t>2.97%</w:t>
      </w:r>
      <w:r>
        <w:rPr>
          <w:rFonts w:hint="eastAsia" w:ascii="仿宋" w:hAnsi="仿宋" w:eastAsia="仿宋"/>
          <w:color w:val="000000"/>
          <w:sz w:val="32"/>
          <w:szCs w:val="32"/>
        </w:rPr>
        <w:t>；医疗卫生支出</w:t>
      </w:r>
      <w:r>
        <w:rPr>
          <w:rFonts w:ascii="仿宋" w:hAnsi="仿宋" w:eastAsia="仿宋"/>
          <w:color w:val="000000"/>
          <w:sz w:val="32"/>
          <w:szCs w:val="32"/>
        </w:rPr>
        <w:t>17.55</w:t>
      </w:r>
      <w:r>
        <w:rPr>
          <w:rFonts w:hint="eastAsia" w:ascii="仿宋" w:hAnsi="仿宋" w:eastAsia="仿宋"/>
          <w:color w:val="000000"/>
          <w:sz w:val="32"/>
          <w:szCs w:val="32"/>
        </w:rPr>
        <w:t>万元，占</w:t>
      </w:r>
      <w:r>
        <w:rPr>
          <w:rFonts w:ascii="仿宋" w:hAnsi="仿宋" w:eastAsia="仿宋"/>
          <w:color w:val="000000"/>
          <w:sz w:val="32"/>
          <w:szCs w:val="32"/>
        </w:rPr>
        <w:t>0.89%</w:t>
      </w:r>
      <w:r>
        <w:rPr>
          <w:rFonts w:hint="eastAsia" w:ascii="仿宋" w:hAnsi="仿宋" w:eastAsia="仿宋"/>
          <w:color w:val="000000"/>
          <w:sz w:val="32"/>
          <w:szCs w:val="32"/>
        </w:rPr>
        <w:t>；农林水支出</w:t>
      </w:r>
      <w:r>
        <w:rPr>
          <w:rFonts w:ascii="仿宋" w:hAnsi="仿宋" w:eastAsia="仿宋"/>
          <w:color w:val="000000"/>
          <w:sz w:val="32"/>
          <w:szCs w:val="32"/>
        </w:rPr>
        <w:t>10</w:t>
      </w:r>
      <w:r>
        <w:rPr>
          <w:rFonts w:hint="eastAsia" w:ascii="仿宋" w:hAnsi="仿宋" w:eastAsia="仿宋"/>
          <w:color w:val="000000"/>
          <w:sz w:val="32"/>
          <w:szCs w:val="32"/>
        </w:rPr>
        <w:t>万元，占</w:t>
      </w:r>
      <w:r>
        <w:rPr>
          <w:rFonts w:ascii="仿宋" w:hAnsi="仿宋" w:eastAsia="仿宋"/>
          <w:color w:val="000000"/>
          <w:sz w:val="32"/>
          <w:szCs w:val="32"/>
        </w:rPr>
        <w:t>0.51%</w:t>
      </w:r>
      <w:r>
        <w:rPr>
          <w:rFonts w:hint="eastAsia" w:ascii="仿宋" w:hAnsi="仿宋" w:eastAsia="仿宋"/>
          <w:color w:val="000000"/>
          <w:sz w:val="32"/>
          <w:szCs w:val="32"/>
        </w:rPr>
        <w:t>；资源勘探信息等支出</w:t>
      </w:r>
      <w:r>
        <w:rPr>
          <w:rFonts w:ascii="仿宋" w:hAnsi="仿宋" w:eastAsia="仿宋"/>
          <w:color w:val="000000"/>
          <w:sz w:val="32"/>
          <w:szCs w:val="32"/>
        </w:rPr>
        <w:t>341.32</w:t>
      </w:r>
      <w:r>
        <w:rPr>
          <w:rFonts w:hint="eastAsia" w:ascii="仿宋" w:hAnsi="仿宋" w:eastAsia="仿宋"/>
          <w:color w:val="000000"/>
          <w:sz w:val="32"/>
          <w:szCs w:val="32"/>
        </w:rPr>
        <w:t>万元，占</w:t>
      </w:r>
      <w:r>
        <w:rPr>
          <w:rFonts w:ascii="仿宋" w:hAnsi="仿宋" w:eastAsia="仿宋"/>
          <w:color w:val="000000"/>
          <w:sz w:val="32"/>
          <w:szCs w:val="32"/>
        </w:rPr>
        <w:t>17.34%</w:t>
      </w:r>
      <w:r>
        <w:rPr>
          <w:rFonts w:hint="eastAsia" w:ascii="仿宋" w:hAnsi="仿宋" w:eastAsia="仿宋"/>
          <w:color w:val="000000"/>
          <w:sz w:val="32"/>
          <w:szCs w:val="32"/>
        </w:rPr>
        <w:t>；住房保障支出</w:t>
      </w:r>
      <w:r>
        <w:rPr>
          <w:rFonts w:ascii="仿宋" w:hAnsi="仿宋" w:eastAsia="仿宋"/>
          <w:color w:val="000000"/>
          <w:sz w:val="32"/>
          <w:szCs w:val="32"/>
        </w:rPr>
        <w:t>35.57</w:t>
      </w:r>
      <w:r>
        <w:rPr>
          <w:rFonts w:hint="eastAsia" w:ascii="仿宋" w:hAnsi="仿宋" w:eastAsia="仿宋"/>
          <w:color w:val="000000"/>
          <w:sz w:val="32"/>
          <w:szCs w:val="32"/>
        </w:rPr>
        <w:t>万元，占</w:t>
      </w:r>
      <w:r>
        <w:rPr>
          <w:rFonts w:ascii="仿宋" w:hAnsi="仿宋" w:eastAsia="仿宋"/>
          <w:color w:val="000000"/>
          <w:sz w:val="32"/>
          <w:szCs w:val="32"/>
        </w:rPr>
        <w:t>1.81%</w:t>
      </w:r>
      <w:r>
        <w:rPr>
          <w:rFonts w:hint="eastAsia" w:ascii="仿宋" w:hAnsi="仿宋" w:eastAsia="仿宋"/>
          <w:color w:val="000000"/>
          <w:sz w:val="32"/>
          <w:szCs w:val="32"/>
        </w:rPr>
        <w:t>。</w:t>
      </w:r>
    </w:p>
    <w:p w14:paraId="75C83ED6">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31BAA5F0">
      <w:pPr>
        <w:spacing w:line="600" w:lineRule="exact"/>
        <w:ind w:firstLine="643" w:firstLineChars="200"/>
        <w:outlineLvl w:val="2"/>
        <w:rPr>
          <w:rFonts w:ascii="仿宋" w:hAnsi="仿宋" w:eastAsia="仿宋"/>
          <w:color w:val="FF0000"/>
          <w:sz w:val="32"/>
          <w:szCs w:val="32"/>
        </w:rPr>
      </w:pPr>
      <w:bookmarkStart w:id="37" w:name="_Toc15377213"/>
      <w:bookmarkStart w:id="38" w:name="_Toc15377444"/>
      <w:bookmarkStart w:id="39" w:name="_Toc15378460"/>
      <w:r>
        <w:rPr>
          <w:rFonts w:ascii="仿宋" w:hAnsi="仿宋" w:eastAsia="仿宋"/>
          <w:b/>
          <w:color w:val="000000"/>
          <w:sz w:val="32"/>
          <w:szCs w:val="32"/>
        </w:rPr>
        <w:t>2018</w:t>
      </w:r>
      <w:r>
        <w:rPr>
          <w:rFonts w:hint="eastAsia" w:ascii="仿宋" w:hAnsi="仿宋" w:eastAsia="仿宋"/>
          <w:b/>
          <w:color w:val="000000"/>
          <w:sz w:val="32"/>
          <w:szCs w:val="32"/>
        </w:rPr>
        <w:t>年一般公共预算支出决算数为</w:t>
      </w:r>
      <w:r>
        <w:rPr>
          <w:rFonts w:ascii="仿宋" w:hAnsi="仿宋" w:eastAsia="仿宋"/>
          <w:b/>
          <w:color w:val="000000"/>
          <w:sz w:val="32"/>
          <w:szCs w:val="32"/>
        </w:rPr>
        <w:t>1158.43</w:t>
      </w:r>
      <w:r>
        <w:rPr>
          <w:rFonts w:hint="eastAsia" w:ascii="仿宋" w:hAnsi="仿宋" w:eastAsia="仿宋"/>
          <w:b/>
          <w:color w:val="000000"/>
          <w:sz w:val="32"/>
          <w:szCs w:val="32"/>
        </w:rPr>
        <w:t>万元</w:t>
      </w:r>
      <w:r>
        <w:rPr>
          <w:rFonts w:hint="eastAsia" w:ascii="仿宋" w:hAnsi="仿宋" w:eastAsia="仿宋"/>
          <w:color w:val="000000"/>
          <w:sz w:val="32"/>
          <w:szCs w:val="32"/>
        </w:rPr>
        <w:t>，</w:t>
      </w:r>
      <w:r>
        <w:rPr>
          <w:rStyle w:val="17"/>
          <w:rFonts w:hint="eastAsia" w:ascii="仿宋" w:hAnsi="仿宋" w:eastAsia="仿宋"/>
          <w:bCs/>
          <w:color w:val="000000"/>
          <w:sz w:val="32"/>
          <w:szCs w:val="32"/>
        </w:rPr>
        <w:t>完成预算</w:t>
      </w:r>
      <w:r>
        <w:rPr>
          <w:rStyle w:val="17"/>
          <w:rFonts w:ascii="仿宋" w:hAnsi="仿宋" w:eastAsia="仿宋"/>
          <w:bCs/>
          <w:color w:val="000000"/>
          <w:sz w:val="32"/>
          <w:szCs w:val="32"/>
        </w:rPr>
        <w:t>100%</w:t>
      </w:r>
      <w:r>
        <w:rPr>
          <w:rStyle w:val="17"/>
          <w:rFonts w:hint="eastAsia" w:ascii="仿宋" w:hAnsi="仿宋" w:eastAsia="仿宋"/>
          <w:bCs/>
          <w:color w:val="000000"/>
          <w:sz w:val="32"/>
          <w:szCs w:val="32"/>
        </w:rPr>
        <w:t>。其中：</w:t>
      </w:r>
      <w:bookmarkEnd w:id="37"/>
      <w:bookmarkEnd w:id="38"/>
      <w:bookmarkEnd w:id="39"/>
    </w:p>
    <w:p w14:paraId="129D7F7E">
      <w:pPr>
        <w:spacing w:line="600" w:lineRule="exact"/>
        <w:ind w:firstLine="643" w:firstLineChars="200"/>
        <w:rPr>
          <w:rStyle w:val="17"/>
          <w:rFonts w:ascii="仿宋" w:hAnsi="仿宋" w:eastAsia="仿宋"/>
          <w:bCs/>
          <w:color w:val="000000"/>
          <w:sz w:val="32"/>
          <w:szCs w:val="32"/>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一般公共服务（类）商贸事务（款）行政运行（项）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344.49</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r>
        <w:rPr>
          <w:rStyle w:val="17"/>
          <w:rFonts w:hint="eastAsia" w:ascii="仿宋" w:hAnsi="仿宋" w:eastAsia="仿宋"/>
          <w:bCs/>
          <w:color w:val="000000"/>
          <w:sz w:val="32"/>
          <w:szCs w:val="32"/>
        </w:rPr>
        <w:t>一般公共服务（类）商贸事务（款）一般行政管理事务（项）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68.99</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r>
        <w:rPr>
          <w:rStyle w:val="17"/>
          <w:rFonts w:ascii="仿宋" w:hAnsi="仿宋" w:eastAsia="仿宋"/>
          <w:bCs/>
          <w:color w:val="000000"/>
          <w:sz w:val="32"/>
          <w:szCs w:val="32"/>
        </w:rPr>
        <w:t xml:space="preserve"> </w:t>
      </w:r>
    </w:p>
    <w:p w14:paraId="6CEDA088">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2.</w:t>
      </w:r>
      <w:r>
        <w:rPr>
          <w:rStyle w:val="17"/>
          <w:rFonts w:hint="eastAsia" w:ascii="仿宋" w:hAnsi="仿宋" w:eastAsia="仿宋"/>
          <w:bCs/>
          <w:color w:val="000000"/>
          <w:sz w:val="32"/>
          <w:szCs w:val="32"/>
        </w:rPr>
        <w:t>科学技术（类）其他科学技术支出（款）其他科学技术支出（项）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281.98</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5CD57818">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3.</w:t>
      </w:r>
      <w:r>
        <w:rPr>
          <w:rStyle w:val="17"/>
          <w:rFonts w:hint="eastAsia" w:ascii="仿宋" w:hAnsi="仿宋" w:eastAsia="仿宋"/>
          <w:bCs/>
          <w:color w:val="000000"/>
          <w:sz w:val="32"/>
          <w:szCs w:val="32"/>
        </w:rPr>
        <w:t>社会保障和就业（类）行政事业单位离退休（款）机关事业单位基本养老保险缴费支出（项）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58.53</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51766D40">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4.</w:t>
      </w:r>
      <w:r>
        <w:rPr>
          <w:rStyle w:val="17"/>
          <w:rFonts w:hint="eastAsia" w:ascii="仿宋" w:hAnsi="仿宋" w:eastAsia="仿宋"/>
          <w:bCs/>
          <w:color w:val="000000"/>
          <w:sz w:val="32"/>
          <w:szCs w:val="32"/>
        </w:rPr>
        <w:t>医疗卫生与计划生育（类）行政事业单位医疗（款）行政单位医疗（项）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17.55</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757A0611">
      <w:pPr>
        <w:spacing w:line="600" w:lineRule="exact"/>
        <w:ind w:firstLine="643" w:firstLineChars="200"/>
        <w:rPr>
          <w:rFonts w:ascii="仿宋" w:hAnsi="仿宋" w:eastAsia="仿宋"/>
          <w:b/>
          <w:color w:val="000000"/>
          <w:sz w:val="32"/>
          <w:szCs w:val="32"/>
        </w:rPr>
      </w:pPr>
      <w:r>
        <w:rPr>
          <w:rFonts w:ascii="仿宋" w:hAnsi="仿宋" w:eastAsia="仿宋"/>
          <w:b/>
          <w:color w:val="000000"/>
          <w:sz w:val="32"/>
          <w:szCs w:val="32"/>
        </w:rPr>
        <w:t>5</w:t>
      </w:r>
      <w:r>
        <w:rPr>
          <w:rFonts w:ascii="仿宋" w:hAnsi="仿宋" w:eastAsia="仿宋"/>
          <w:color w:val="000000"/>
          <w:sz w:val="32"/>
          <w:szCs w:val="32"/>
        </w:rPr>
        <w:t>.</w:t>
      </w:r>
      <w:r>
        <w:rPr>
          <w:rFonts w:hint="eastAsia" w:ascii="仿宋" w:hAnsi="仿宋" w:eastAsia="仿宋"/>
          <w:b/>
          <w:bCs/>
          <w:color w:val="000000"/>
          <w:sz w:val="32"/>
          <w:szCs w:val="32"/>
        </w:rPr>
        <w:t>农林水支出（类）扶贫</w:t>
      </w:r>
      <w:r>
        <w:rPr>
          <w:rStyle w:val="17"/>
          <w:rFonts w:hint="eastAsia" w:ascii="仿宋" w:hAnsi="仿宋" w:eastAsia="仿宋"/>
          <w:bCs/>
          <w:color w:val="000000"/>
          <w:sz w:val="32"/>
          <w:szCs w:val="32"/>
        </w:rPr>
        <w:t>（款）其他扶贫支出（项）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10.00</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4C184D60">
      <w:pPr>
        <w:spacing w:line="600" w:lineRule="exact"/>
        <w:ind w:firstLine="643" w:firstLineChars="200"/>
        <w:rPr>
          <w:rFonts w:ascii="仿宋" w:hAnsi="仿宋" w:eastAsia="仿宋"/>
          <w:b/>
          <w:color w:val="000000"/>
          <w:sz w:val="32"/>
          <w:szCs w:val="32"/>
        </w:rPr>
      </w:pPr>
      <w:r>
        <w:rPr>
          <w:rFonts w:ascii="仿宋" w:hAnsi="仿宋" w:eastAsia="仿宋"/>
          <w:b/>
          <w:color w:val="000000"/>
          <w:sz w:val="32"/>
          <w:szCs w:val="32"/>
        </w:rPr>
        <w:t>6.</w:t>
      </w:r>
      <w:r>
        <w:rPr>
          <w:rFonts w:hint="eastAsia" w:ascii="仿宋" w:hAnsi="仿宋" w:eastAsia="仿宋"/>
          <w:b/>
          <w:bCs/>
          <w:color w:val="000000"/>
          <w:sz w:val="32"/>
          <w:szCs w:val="32"/>
        </w:rPr>
        <w:t>资源勘探信息等支出（类）制造业</w:t>
      </w:r>
      <w:r>
        <w:rPr>
          <w:rStyle w:val="17"/>
          <w:rFonts w:hint="eastAsia" w:ascii="仿宋" w:hAnsi="仿宋" w:eastAsia="仿宋"/>
          <w:bCs/>
          <w:color w:val="000000"/>
          <w:sz w:val="32"/>
          <w:szCs w:val="32"/>
        </w:rPr>
        <w:t>（款）其他制造业支出（项）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313.32</w:t>
      </w:r>
      <w:r>
        <w:rPr>
          <w:rStyle w:val="17"/>
          <w:rFonts w:hint="eastAsia" w:ascii="仿宋" w:hAnsi="仿宋" w:eastAsia="仿宋"/>
          <w:b w:val="0"/>
          <w:bCs/>
          <w:color w:val="000000"/>
          <w:sz w:val="32"/>
          <w:szCs w:val="32"/>
        </w:rPr>
        <w:t>万</w:t>
      </w:r>
      <w:r>
        <w:rPr>
          <w:rStyle w:val="17"/>
          <w:rFonts w:hint="eastAsia" w:ascii="仿宋" w:hAnsi="仿宋" w:eastAsia="仿宋"/>
          <w:bCs/>
          <w:color w:val="000000"/>
          <w:sz w:val="32"/>
          <w:szCs w:val="32"/>
        </w:rPr>
        <w:t>元，</w:t>
      </w:r>
      <w:r>
        <w:rPr>
          <w:rStyle w:val="17"/>
          <w:rFonts w:hint="eastAsia" w:ascii="仿宋" w:hAnsi="仿宋" w:eastAsia="仿宋"/>
          <w:b w:val="0"/>
          <w:bCs/>
          <w:color w:val="000000"/>
          <w:sz w:val="32"/>
          <w:szCs w:val="32"/>
        </w:rPr>
        <w:t>完成预算</w:t>
      </w:r>
      <w:r>
        <w:rPr>
          <w:rStyle w:val="17"/>
          <w:rFonts w:ascii="仿宋" w:hAnsi="仿宋" w:eastAsia="仿宋"/>
          <w:b w:val="0"/>
          <w:bCs/>
          <w:color w:val="000000"/>
          <w:sz w:val="32"/>
          <w:szCs w:val="32"/>
        </w:rPr>
        <w:t>60.41%</w:t>
      </w:r>
      <w:r>
        <w:rPr>
          <w:rStyle w:val="17"/>
          <w:rFonts w:hint="eastAsia" w:ascii="仿宋" w:hAnsi="仿宋" w:eastAsia="仿宋"/>
          <w:b w:val="0"/>
          <w:bCs/>
          <w:color w:val="000000"/>
          <w:sz w:val="32"/>
          <w:szCs w:val="32"/>
        </w:rPr>
        <w:t>，决算数小于预算数的主要原因是部分项目未完工，项目资金结转下年。</w:t>
      </w:r>
      <w:r>
        <w:rPr>
          <w:rFonts w:hint="eastAsia" w:ascii="仿宋" w:hAnsi="仿宋" w:eastAsia="仿宋"/>
          <w:b/>
          <w:bCs/>
          <w:color w:val="000000"/>
          <w:sz w:val="32"/>
          <w:szCs w:val="32"/>
        </w:rPr>
        <w:t>资源勘探信息等支出（类）支持中小企业发展和管理支出</w:t>
      </w:r>
      <w:r>
        <w:rPr>
          <w:rStyle w:val="17"/>
          <w:rFonts w:hint="eastAsia" w:ascii="仿宋" w:hAnsi="仿宋" w:eastAsia="仿宋"/>
          <w:bCs/>
          <w:color w:val="000000"/>
          <w:sz w:val="32"/>
          <w:szCs w:val="32"/>
        </w:rPr>
        <w:t>（款）中小企业发展专项（项）</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28</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5BE2C0B4">
      <w:pPr>
        <w:spacing w:line="600" w:lineRule="exact"/>
        <w:ind w:firstLine="643" w:firstLineChars="200"/>
        <w:rPr>
          <w:rFonts w:ascii="仿宋" w:hAnsi="仿宋" w:eastAsia="仿宋"/>
          <w:b/>
          <w:color w:val="000000"/>
          <w:sz w:val="32"/>
          <w:szCs w:val="32"/>
        </w:rPr>
      </w:pPr>
      <w:r>
        <w:rPr>
          <w:rFonts w:ascii="仿宋" w:hAnsi="仿宋" w:eastAsia="仿宋"/>
          <w:b/>
          <w:color w:val="000000"/>
          <w:sz w:val="32"/>
          <w:szCs w:val="32"/>
        </w:rPr>
        <w:t>7.</w:t>
      </w:r>
      <w:r>
        <w:rPr>
          <w:rFonts w:hint="eastAsia" w:ascii="仿宋" w:hAnsi="仿宋" w:eastAsia="仿宋"/>
          <w:b/>
          <w:bCs/>
          <w:color w:val="000000"/>
          <w:sz w:val="32"/>
          <w:szCs w:val="32"/>
        </w:rPr>
        <w:t>住房保障支出（类）住房改革支出</w:t>
      </w:r>
      <w:r>
        <w:rPr>
          <w:rStyle w:val="17"/>
          <w:rFonts w:hint="eastAsia" w:ascii="仿宋" w:hAnsi="仿宋" w:eastAsia="仿宋"/>
          <w:bCs/>
          <w:color w:val="000000"/>
          <w:sz w:val="32"/>
          <w:szCs w:val="32"/>
        </w:rPr>
        <w:t>（款）住房公积金（项）</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ascii="仿宋" w:hAnsi="仿宋" w:eastAsia="仿宋"/>
          <w:b w:val="0"/>
          <w:bCs/>
          <w:color w:val="000000"/>
          <w:sz w:val="32"/>
          <w:szCs w:val="32"/>
        </w:rPr>
        <w:t>35.57</w:t>
      </w:r>
      <w:r>
        <w:rPr>
          <w:rStyle w:val="17"/>
          <w:rFonts w:hint="eastAsia" w:ascii="仿宋" w:hAnsi="仿宋" w:eastAsia="仿宋"/>
          <w:b w:val="0"/>
          <w:bCs/>
          <w:color w:val="000000"/>
          <w:sz w:val="32"/>
          <w:szCs w:val="32"/>
        </w:rPr>
        <w:t>万元，完成预算</w:t>
      </w:r>
      <w:r>
        <w:rPr>
          <w:rStyle w:val="17"/>
          <w:rFonts w:ascii="仿宋" w:hAnsi="仿宋" w:eastAsia="仿宋"/>
          <w:b w:val="0"/>
          <w:bCs/>
          <w:color w:val="000000"/>
          <w:sz w:val="32"/>
          <w:szCs w:val="32"/>
        </w:rPr>
        <w:t>100%</w:t>
      </w:r>
      <w:r>
        <w:rPr>
          <w:rStyle w:val="17"/>
          <w:rFonts w:hint="eastAsia" w:ascii="仿宋" w:hAnsi="仿宋" w:eastAsia="仿宋"/>
          <w:b w:val="0"/>
          <w:bCs/>
          <w:color w:val="000000"/>
          <w:sz w:val="32"/>
          <w:szCs w:val="32"/>
        </w:rPr>
        <w:t>。</w:t>
      </w:r>
    </w:p>
    <w:p w14:paraId="37BB4F9D">
      <w:pPr>
        <w:tabs>
          <w:tab w:val="right" w:pos="8306"/>
        </w:tabs>
        <w:spacing w:line="600" w:lineRule="exact"/>
        <w:ind w:firstLine="640"/>
        <w:outlineLvl w:val="1"/>
        <w:rPr>
          <w:rStyle w:val="20"/>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0"/>
          <w:rFonts w:hint="eastAsia" w:ascii="黑体" w:hAnsi="黑体" w:eastAsia="黑体"/>
          <w:b w:val="0"/>
        </w:rPr>
        <w:t>般公共预算财政拨款基本支出决算情况说明</w:t>
      </w:r>
      <w:bookmarkEnd w:id="40"/>
      <w:bookmarkEnd w:id="41"/>
      <w:r>
        <w:rPr>
          <w:rStyle w:val="20"/>
          <w:rFonts w:ascii="黑体" w:hAnsi="黑体" w:eastAsia="黑体"/>
          <w:b w:val="0"/>
        </w:rPr>
        <w:tab/>
      </w:r>
    </w:p>
    <w:p w14:paraId="6CBE9C63">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456.14</w:t>
      </w:r>
      <w:r>
        <w:rPr>
          <w:rFonts w:hint="eastAsia" w:ascii="仿宋" w:hAnsi="仿宋" w:eastAsia="仿宋"/>
          <w:color w:val="000000"/>
          <w:sz w:val="32"/>
          <w:szCs w:val="32"/>
        </w:rPr>
        <w:t>万元，其中：</w:t>
      </w:r>
    </w:p>
    <w:p w14:paraId="108D8803">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ascii="仿宋" w:hAnsi="仿宋" w:eastAsia="仿宋"/>
          <w:color w:val="000000"/>
          <w:sz w:val="32"/>
          <w:szCs w:val="32"/>
        </w:rPr>
        <w:t>303.94</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291FF58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w:t>
      </w:r>
      <w:r>
        <w:rPr>
          <w:rFonts w:ascii="仿宋" w:hAnsi="仿宋" w:eastAsia="仿宋"/>
          <w:color w:val="000000"/>
          <w:sz w:val="32"/>
          <w:szCs w:val="32"/>
        </w:rPr>
        <w:t>152.20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A58B545">
      <w:pPr>
        <w:spacing w:line="600" w:lineRule="exact"/>
        <w:ind w:firstLine="640"/>
        <w:outlineLvl w:val="1"/>
        <w:rPr>
          <w:rStyle w:val="20"/>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0"/>
          <w:rFonts w:hint="eastAsia" w:ascii="黑体" w:hAnsi="黑体" w:eastAsia="黑体"/>
        </w:rPr>
        <w:t>“</w:t>
      </w:r>
      <w:r>
        <w:rPr>
          <w:rStyle w:val="20"/>
          <w:rFonts w:hint="eastAsia" w:ascii="黑体" w:hAnsi="黑体" w:eastAsia="黑体"/>
          <w:b w:val="0"/>
        </w:rPr>
        <w:t>三公”经费财政拨款支出决算情况说明</w:t>
      </w:r>
      <w:bookmarkEnd w:id="42"/>
      <w:bookmarkEnd w:id="43"/>
    </w:p>
    <w:p w14:paraId="0AE33C3D">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1E07BD28">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12.8</w:t>
      </w:r>
      <w:r>
        <w:rPr>
          <w:rFonts w:hint="eastAsia" w:ascii="仿宋" w:hAnsi="仿宋" w:eastAsia="仿宋"/>
          <w:color w:val="000000"/>
          <w:sz w:val="32"/>
          <w:szCs w:val="32"/>
        </w:rPr>
        <w:t>万元，完成预算</w:t>
      </w:r>
      <w:r>
        <w:rPr>
          <w:rFonts w:ascii="仿宋" w:hAnsi="仿宋" w:eastAsia="仿宋"/>
          <w:color w:val="000000"/>
          <w:sz w:val="32"/>
          <w:szCs w:val="32"/>
        </w:rPr>
        <w:t>98.57%</w:t>
      </w:r>
      <w:r>
        <w:rPr>
          <w:rFonts w:hint="eastAsia" w:ascii="仿宋" w:hAnsi="仿宋" w:eastAsia="仿宋"/>
          <w:color w:val="000000"/>
          <w:sz w:val="32"/>
          <w:szCs w:val="32"/>
        </w:rPr>
        <w:t>，决算数小于预算数的主要原因是严格遵守国务院办公厅《进一步做好党政机关厉行节约工作的通知》的要求。</w:t>
      </w:r>
    </w:p>
    <w:p w14:paraId="197F941F">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301CE045">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12.8</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7BD730C1">
      <w:pPr>
        <w:spacing w:line="600" w:lineRule="exact"/>
        <w:ind w:firstLine="640"/>
        <w:rPr>
          <w:rFonts w:ascii="仿宋" w:hAnsi="仿宋"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hint="eastAsia" w:ascii="仿宋" w:hAnsi="仿宋" w:eastAsia="仿宋"/>
          <w:color w:val="000000"/>
          <w:sz w:val="32"/>
          <w:szCs w:val="32"/>
        </w:rPr>
        <w:t>完成预算</w:t>
      </w:r>
      <w:r>
        <w:rPr>
          <w:rFonts w:ascii="仿宋" w:hAnsi="仿宋" w:eastAsia="仿宋"/>
          <w:color w:val="000000"/>
          <w:sz w:val="32"/>
          <w:szCs w:val="32"/>
        </w:rPr>
        <w:t>0%</w:t>
      </w:r>
      <w:r>
        <w:rPr>
          <w:rFonts w:hint="eastAsia" w:ascii="仿宋" w:hAnsi="仿宋" w:eastAsia="仿宋"/>
          <w:color w:val="000000"/>
          <w:sz w:val="32"/>
          <w:szCs w:val="32"/>
        </w:rPr>
        <w:t>。全年安排因公出国（境）团组</w:t>
      </w:r>
      <w:r>
        <w:rPr>
          <w:rFonts w:ascii="仿宋" w:hAnsi="仿宋" w:eastAsia="仿宋"/>
          <w:color w:val="000000"/>
          <w:sz w:val="32"/>
          <w:szCs w:val="32"/>
        </w:rPr>
        <w:t>0</w:t>
      </w:r>
      <w:r>
        <w:rPr>
          <w:rFonts w:hint="eastAsia" w:ascii="仿宋" w:hAnsi="仿宋" w:eastAsia="仿宋"/>
          <w:color w:val="000000"/>
          <w:sz w:val="32"/>
          <w:szCs w:val="32"/>
        </w:rPr>
        <w:t>次，出国（境）</w:t>
      </w:r>
      <w:r>
        <w:rPr>
          <w:rFonts w:ascii="仿宋" w:hAnsi="仿宋" w:eastAsia="仿宋"/>
          <w:color w:val="000000"/>
          <w:sz w:val="32"/>
          <w:szCs w:val="32"/>
        </w:rPr>
        <w:t>0</w:t>
      </w:r>
      <w:r>
        <w:rPr>
          <w:rFonts w:hint="eastAsia" w:ascii="仿宋" w:hAnsi="仿宋" w:eastAsia="仿宋"/>
          <w:color w:val="000000"/>
          <w:sz w:val="32"/>
          <w:szCs w:val="32"/>
        </w:rPr>
        <w:t>人。因公出国（境）支出决算比</w:t>
      </w:r>
      <w:r>
        <w:rPr>
          <w:rFonts w:ascii="仿宋" w:hAnsi="仿宋" w:eastAsia="仿宋"/>
          <w:color w:val="000000"/>
          <w:sz w:val="32"/>
          <w:szCs w:val="32"/>
        </w:rPr>
        <w:t>2017</w:t>
      </w:r>
      <w:r>
        <w:rPr>
          <w:rFonts w:hint="eastAsia" w:ascii="仿宋" w:hAnsi="仿宋" w:eastAsia="仿宋"/>
          <w:color w:val="000000"/>
          <w:sz w:val="32"/>
          <w:szCs w:val="32"/>
        </w:rPr>
        <w:t>年增加</w:t>
      </w:r>
      <w:r>
        <w:rPr>
          <w:rFonts w:ascii="仿宋" w:hAnsi="仿宋" w:eastAsia="仿宋"/>
          <w:color w:val="000000"/>
          <w:sz w:val="32"/>
          <w:szCs w:val="32"/>
        </w:rPr>
        <w:t>0</w:t>
      </w:r>
      <w:r>
        <w:rPr>
          <w:rFonts w:hint="eastAsia" w:ascii="仿宋" w:hAnsi="仿宋" w:eastAsia="仿宋"/>
          <w:color w:val="000000"/>
          <w:sz w:val="32"/>
          <w:szCs w:val="32"/>
        </w:rPr>
        <w:t>万元，增长</w:t>
      </w:r>
      <w:r>
        <w:rPr>
          <w:rFonts w:ascii="仿宋" w:hAnsi="仿宋" w:eastAsia="仿宋"/>
          <w:color w:val="000000"/>
          <w:sz w:val="32"/>
          <w:szCs w:val="32"/>
        </w:rPr>
        <w:t>0%</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主要原因是无人因公出国</w:t>
      </w:r>
      <w:r>
        <w:rPr>
          <w:rFonts w:hint="eastAsia" w:ascii="仿宋" w:hAnsi="仿宋" w:eastAsia="仿宋"/>
          <w:color w:val="000000"/>
          <w:sz w:val="32"/>
          <w:szCs w:val="32"/>
        </w:rPr>
        <w:t>。</w:t>
      </w:r>
    </w:p>
    <w:p w14:paraId="3B070DAC">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 w:hAnsi="仿宋" w:eastAsia="仿宋"/>
          <w:color w:val="000000"/>
          <w:sz w:val="32"/>
          <w:szCs w:val="32"/>
        </w:rPr>
        <w:t>完成预算</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与</w:t>
      </w:r>
      <w:r>
        <w:rPr>
          <w:rFonts w:ascii="仿宋" w:hAnsi="仿宋" w:eastAsia="仿宋"/>
          <w:color w:val="000000"/>
          <w:sz w:val="32"/>
          <w:szCs w:val="32"/>
        </w:rPr>
        <w:t>2017</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持平</w:t>
      </w:r>
      <w:r>
        <w:rPr>
          <w:rFonts w:hint="eastAsia" w:ascii="仿宋" w:hAnsi="仿宋" w:eastAsia="仿宋"/>
          <w:color w:val="000000"/>
          <w:sz w:val="32"/>
          <w:szCs w:val="32"/>
        </w:rPr>
        <w:t>。</w:t>
      </w:r>
    </w:p>
    <w:p w14:paraId="02FB5A8A">
      <w:pPr>
        <w:spacing w:line="600" w:lineRule="exact"/>
        <w:ind w:firstLine="640" w:firstLineChars="200"/>
        <w:rPr>
          <w:rFonts w:ascii="仿宋" w:hAnsi="仿宋" w:eastAsia="仿宋"/>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ascii="仿宋_GB2312" w:eastAsia="仿宋_GB2312"/>
          <w:b/>
          <w:color w:val="000000"/>
          <w:sz w:val="32"/>
          <w:szCs w:val="32"/>
        </w:rPr>
        <w:t>0</w:t>
      </w:r>
      <w:r>
        <w:rPr>
          <w:rFonts w:hint="eastAsia" w:ascii="仿宋_GB2312" w:eastAsia="仿宋_GB2312"/>
          <w:b/>
          <w:color w:val="000000"/>
          <w:sz w:val="32"/>
          <w:szCs w:val="32"/>
        </w:rPr>
        <w:t>万元。</w:t>
      </w:r>
      <w:r>
        <w:rPr>
          <w:rFonts w:hint="eastAsia" w:ascii="仿宋" w:hAnsi="仿宋" w:eastAsia="仿宋"/>
          <w:color w:val="000000"/>
          <w:sz w:val="32"/>
          <w:szCs w:val="32"/>
        </w:rPr>
        <w:t>全年按规定更新购置公务用车</w:t>
      </w:r>
      <w:r>
        <w:rPr>
          <w:rFonts w:ascii="仿宋" w:hAnsi="仿宋" w:eastAsia="仿宋"/>
          <w:color w:val="000000"/>
          <w:sz w:val="32"/>
          <w:szCs w:val="32"/>
        </w:rPr>
        <w:t>0</w:t>
      </w:r>
      <w:r>
        <w:rPr>
          <w:rFonts w:hint="eastAsia" w:ascii="仿宋" w:hAnsi="仿宋" w:eastAsia="仿宋"/>
          <w:color w:val="000000"/>
          <w:sz w:val="32"/>
          <w:szCs w:val="32"/>
        </w:rPr>
        <w:t>辆，其中：轿车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万元，越野车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万元，载客汽车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szCs w:val="32"/>
        </w:rPr>
        <w:t>0</w:t>
      </w:r>
      <w:r>
        <w:rPr>
          <w:rFonts w:hint="eastAsia" w:ascii="仿宋" w:hAnsi="仿宋" w:eastAsia="仿宋"/>
          <w:color w:val="000000"/>
          <w:sz w:val="32"/>
          <w:szCs w:val="32"/>
        </w:rPr>
        <w:t>辆，其中：轿车</w:t>
      </w:r>
      <w:r>
        <w:rPr>
          <w:rFonts w:ascii="仿宋" w:hAnsi="仿宋" w:eastAsia="仿宋"/>
          <w:color w:val="000000"/>
          <w:sz w:val="32"/>
          <w:szCs w:val="32"/>
        </w:rPr>
        <w:t>0</w:t>
      </w:r>
      <w:r>
        <w:rPr>
          <w:rFonts w:hint="eastAsia" w:ascii="仿宋" w:hAnsi="仿宋" w:eastAsia="仿宋"/>
          <w:color w:val="000000"/>
          <w:sz w:val="32"/>
          <w:szCs w:val="32"/>
        </w:rPr>
        <w:t>辆、越野车</w:t>
      </w:r>
      <w:r>
        <w:rPr>
          <w:rFonts w:ascii="仿宋" w:hAnsi="仿宋" w:eastAsia="仿宋"/>
          <w:color w:val="000000"/>
          <w:sz w:val="32"/>
          <w:szCs w:val="32"/>
        </w:rPr>
        <w:t>0</w:t>
      </w:r>
      <w:r>
        <w:rPr>
          <w:rFonts w:hint="eastAsia" w:ascii="仿宋" w:hAnsi="仿宋" w:eastAsia="仿宋"/>
          <w:color w:val="000000"/>
          <w:sz w:val="32"/>
          <w:szCs w:val="32"/>
        </w:rPr>
        <w:t>辆、载客汽车</w:t>
      </w:r>
      <w:r>
        <w:rPr>
          <w:rFonts w:ascii="仿宋" w:hAnsi="仿宋" w:eastAsia="仿宋"/>
          <w:color w:val="000000"/>
          <w:sz w:val="32"/>
          <w:szCs w:val="32"/>
        </w:rPr>
        <w:t>0</w:t>
      </w:r>
      <w:r>
        <w:rPr>
          <w:rFonts w:hint="eastAsia" w:ascii="仿宋" w:hAnsi="仿宋" w:eastAsia="仿宋"/>
          <w:color w:val="000000"/>
          <w:sz w:val="32"/>
          <w:szCs w:val="32"/>
        </w:rPr>
        <w:t>辆。</w:t>
      </w:r>
    </w:p>
    <w:p w14:paraId="5C693415">
      <w:pPr>
        <w:spacing w:line="600" w:lineRule="exact"/>
        <w:ind w:firstLine="643" w:firstLineChars="200"/>
        <w:rPr>
          <w:rFonts w:ascii="仿宋_GB2312" w:eastAsia="仿宋_GB2312"/>
          <w:b/>
          <w:color w:val="000000"/>
          <w:sz w:val="32"/>
          <w:szCs w:val="32"/>
        </w:rPr>
      </w:pPr>
      <w:r>
        <w:rPr>
          <w:rFonts w:hint="eastAsia" w:ascii="仿宋_GB2312" w:eastAsia="仿宋_GB2312"/>
          <w:b/>
          <w:color w:val="000000"/>
          <w:sz w:val="32"/>
          <w:szCs w:val="32"/>
        </w:rPr>
        <w:t>公务用车运行维护费支出</w:t>
      </w:r>
      <w:r>
        <w:rPr>
          <w:rFonts w:ascii="仿宋_GB2312" w:eastAsia="仿宋_GB2312"/>
          <w:b/>
          <w:color w:val="000000"/>
          <w:sz w:val="32"/>
          <w:szCs w:val="32"/>
        </w:rPr>
        <w:t>0</w:t>
      </w:r>
      <w:r>
        <w:rPr>
          <w:rFonts w:hint="eastAsia" w:ascii="仿宋_GB2312" w:eastAsia="仿宋_GB2312"/>
          <w:b/>
          <w:color w:val="000000"/>
          <w:sz w:val="32"/>
          <w:szCs w:val="32"/>
        </w:rPr>
        <w:t>万元。</w:t>
      </w:r>
    </w:p>
    <w:p w14:paraId="6CADA08A">
      <w:pPr>
        <w:spacing w:line="600" w:lineRule="exact"/>
        <w:ind w:firstLine="643" w:firstLineChars="200"/>
        <w:rPr>
          <w:rFonts w:ascii="仿宋" w:hAnsi="仿宋" w:eastAsia="仿宋"/>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 w:hAnsi="仿宋" w:eastAsia="仿宋"/>
          <w:color w:val="000000"/>
          <w:sz w:val="32"/>
          <w:szCs w:val="32"/>
        </w:rPr>
        <w:t>12.8</w:t>
      </w:r>
      <w:r>
        <w:rPr>
          <w:rFonts w:hint="eastAsia" w:ascii="仿宋" w:hAnsi="仿宋" w:eastAsia="仿宋"/>
          <w:color w:val="000000"/>
          <w:sz w:val="32"/>
          <w:szCs w:val="32"/>
        </w:rPr>
        <w:t>万元，完成预算</w:t>
      </w:r>
      <w:r>
        <w:rPr>
          <w:rFonts w:ascii="仿宋" w:hAnsi="仿宋" w:eastAsia="仿宋"/>
          <w:color w:val="000000"/>
          <w:sz w:val="32"/>
          <w:szCs w:val="32"/>
        </w:rPr>
        <w:t>98.57%</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年增加增加了</w:t>
      </w:r>
      <w:r>
        <w:rPr>
          <w:rFonts w:ascii="仿宋" w:hAnsi="仿宋" w:eastAsia="仿宋"/>
          <w:color w:val="000000"/>
          <w:sz w:val="32"/>
          <w:szCs w:val="32"/>
        </w:rPr>
        <w:t>2.43</w:t>
      </w:r>
      <w:r>
        <w:rPr>
          <w:rFonts w:hint="eastAsia" w:ascii="仿宋" w:hAnsi="仿宋" w:eastAsia="仿宋"/>
          <w:color w:val="000000"/>
          <w:sz w:val="32"/>
          <w:szCs w:val="32"/>
        </w:rPr>
        <w:t>万元，增加了</w:t>
      </w:r>
      <w:r>
        <w:rPr>
          <w:rFonts w:ascii="仿宋" w:hAnsi="仿宋" w:eastAsia="仿宋"/>
          <w:color w:val="000000"/>
          <w:sz w:val="32"/>
          <w:szCs w:val="32"/>
        </w:rPr>
        <w:t>23.43%</w:t>
      </w:r>
      <w:r>
        <w:rPr>
          <w:rFonts w:hint="eastAsia" w:ascii="仿宋" w:hAnsi="仿宋" w:eastAsia="仿宋"/>
          <w:color w:val="000000"/>
          <w:sz w:val="32"/>
          <w:szCs w:val="32"/>
        </w:rPr>
        <w:t>，主要原因是家居产业城建设，招商引资接待任务增加所致。</w:t>
      </w:r>
    </w:p>
    <w:p w14:paraId="3B2C5E8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w:t>
      </w:r>
      <w:r>
        <w:rPr>
          <w:rFonts w:ascii="仿宋" w:hAnsi="仿宋" w:eastAsia="仿宋"/>
          <w:color w:val="000000"/>
          <w:sz w:val="32"/>
          <w:szCs w:val="32"/>
        </w:rPr>
        <w:t>145</w:t>
      </w:r>
      <w:r>
        <w:rPr>
          <w:rFonts w:hint="eastAsia" w:ascii="仿宋" w:hAnsi="仿宋" w:eastAsia="仿宋"/>
          <w:color w:val="000000"/>
          <w:sz w:val="32"/>
          <w:szCs w:val="32"/>
        </w:rPr>
        <w:t>批次，</w:t>
      </w:r>
      <w:r>
        <w:rPr>
          <w:rFonts w:ascii="仿宋" w:hAnsi="仿宋" w:eastAsia="仿宋"/>
          <w:color w:val="000000"/>
          <w:sz w:val="32"/>
          <w:szCs w:val="32"/>
        </w:rPr>
        <w:t>1950</w:t>
      </w:r>
      <w:r>
        <w:rPr>
          <w:rFonts w:hint="eastAsia" w:ascii="仿宋" w:hAnsi="仿宋" w:eastAsia="仿宋"/>
          <w:color w:val="000000"/>
          <w:sz w:val="32"/>
          <w:szCs w:val="32"/>
        </w:rPr>
        <w:t>人次（不包括陪同人员），共计支出</w:t>
      </w:r>
      <w:r>
        <w:rPr>
          <w:rFonts w:ascii="仿宋" w:hAnsi="仿宋" w:eastAsia="仿宋"/>
          <w:color w:val="000000"/>
          <w:sz w:val="32"/>
          <w:szCs w:val="32"/>
        </w:rPr>
        <w:t>12.8</w:t>
      </w:r>
      <w:r>
        <w:rPr>
          <w:rFonts w:hint="eastAsia" w:ascii="仿宋" w:hAnsi="仿宋" w:eastAsia="仿宋"/>
          <w:color w:val="000000"/>
          <w:sz w:val="32"/>
          <w:szCs w:val="32"/>
        </w:rPr>
        <w:t>万元，具体内容包括：日常公务接待、招商引资接待。其中：</w:t>
      </w:r>
    </w:p>
    <w:p w14:paraId="3AEC20B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szCs w:val="32"/>
        </w:rPr>
        <w:t>0</w:t>
      </w:r>
      <w:r>
        <w:rPr>
          <w:rFonts w:hint="eastAsia" w:ascii="仿宋" w:hAnsi="仿宋" w:eastAsia="仿宋"/>
          <w:color w:val="000000"/>
          <w:sz w:val="32"/>
          <w:szCs w:val="32"/>
        </w:rPr>
        <w:t>万元，外事接待</w:t>
      </w:r>
      <w:r>
        <w:rPr>
          <w:rFonts w:ascii="仿宋" w:hAnsi="仿宋" w:eastAsia="仿宋"/>
          <w:color w:val="000000"/>
          <w:sz w:val="32"/>
          <w:szCs w:val="32"/>
        </w:rPr>
        <w:t>0</w:t>
      </w:r>
      <w:r>
        <w:rPr>
          <w:rFonts w:hint="eastAsia" w:ascii="仿宋" w:hAnsi="仿宋" w:eastAsia="仿宋"/>
          <w:color w:val="000000"/>
          <w:sz w:val="32"/>
          <w:szCs w:val="32"/>
        </w:rPr>
        <w:t>批次，</w:t>
      </w:r>
      <w:r>
        <w:rPr>
          <w:rFonts w:ascii="仿宋" w:hAnsi="仿宋" w:eastAsia="仿宋"/>
          <w:color w:val="000000"/>
          <w:sz w:val="32"/>
          <w:szCs w:val="32"/>
        </w:rPr>
        <w:t>0</w:t>
      </w:r>
      <w:r>
        <w:rPr>
          <w:rFonts w:hint="eastAsia" w:ascii="仿宋" w:hAnsi="仿宋" w:eastAsia="仿宋"/>
          <w:color w:val="000000"/>
          <w:sz w:val="32"/>
          <w:szCs w:val="32"/>
        </w:rPr>
        <w:t>人，共计支出</w:t>
      </w:r>
      <w:r>
        <w:rPr>
          <w:rFonts w:ascii="仿宋" w:hAnsi="仿宋" w:eastAsia="仿宋"/>
          <w:color w:val="000000"/>
          <w:sz w:val="32"/>
          <w:szCs w:val="32"/>
        </w:rPr>
        <w:t>0</w:t>
      </w:r>
      <w:r>
        <w:rPr>
          <w:rFonts w:hint="eastAsia" w:ascii="仿宋" w:hAnsi="仿宋" w:eastAsia="仿宋"/>
          <w:color w:val="000000"/>
          <w:sz w:val="32"/>
          <w:szCs w:val="32"/>
        </w:rPr>
        <w:t>万元。</w:t>
      </w:r>
    </w:p>
    <w:p w14:paraId="6EEA7614">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12.8</w:t>
      </w:r>
      <w:r>
        <w:rPr>
          <w:rFonts w:hint="eastAsia" w:ascii="仿宋" w:hAnsi="仿宋" w:eastAsia="仿宋"/>
          <w:color w:val="000000"/>
          <w:sz w:val="32"/>
          <w:szCs w:val="32"/>
        </w:rPr>
        <w:t>万元，主要用于日常公务接待、招商引资接待。</w:t>
      </w:r>
    </w:p>
    <w:p w14:paraId="4A8042E4">
      <w:pPr>
        <w:spacing w:line="600" w:lineRule="exact"/>
        <w:ind w:firstLine="640" w:firstLineChars="200"/>
        <w:outlineLvl w:val="1"/>
        <w:rPr>
          <w:rStyle w:val="20"/>
          <w:rFonts w:ascii="黑体" w:hAnsi="黑体" w:eastAsia="黑体"/>
        </w:rPr>
      </w:pPr>
      <w:bookmarkStart w:id="46" w:name="_Toc15377218"/>
      <w:bookmarkStart w:id="47" w:name="_Toc15396610"/>
      <w:r>
        <w:rPr>
          <w:rFonts w:hint="eastAsia" w:ascii="黑体" w:eastAsia="黑体"/>
          <w:color w:val="000000"/>
          <w:sz w:val="32"/>
          <w:szCs w:val="32"/>
        </w:rPr>
        <w:t>八、</w:t>
      </w:r>
      <w:r>
        <w:rPr>
          <w:rStyle w:val="20"/>
          <w:rFonts w:hint="eastAsia" w:ascii="黑体" w:hAnsi="黑体" w:eastAsia="黑体"/>
          <w:b w:val="0"/>
        </w:rPr>
        <w:t>政府性基金预算支出决算情况说明</w:t>
      </w:r>
      <w:bookmarkEnd w:id="46"/>
      <w:bookmarkEnd w:id="47"/>
    </w:p>
    <w:p w14:paraId="372D044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年政府性基金预算拨款支出</w:t>
      </w:r>
      <w:r>
        <w:rPr>
          <w:rFonts w:ascii="仿宋" w:hAnsi="仿宋" w:eastAsia="仿宋"/>
          <w:color w:val="000000"/>
          <w:sz w:val="32"/>
          <w:szCs w:val="32"/>
        </w:rPr>
        <w:t>809.86</w:t>
      </w:r>
      <w:r>
        <w:rPr>
          <w:rFonts w:hint="eastAsia" w:ascii="仿宋" w:hAnsi="仿宋" w:eastAsia="仿宋"/>
          <w:color w:val="000000"/>
          <w:sz w:val="32"/>
          <w:szCs w:val="32"/>
        </w:rPr>
        <w:t>万元。</w:t>
      </w:r>
    </w:p>
    <w:p w14:paraId="04CCB354">
      <w:pPr>
        <w:spacing w:line="600" w:lineRule="exact"/>
        <w:ind w:firstLine="640"/>
        <w:rPr>
          <w:rFonts w:ascii="仿宋_GB2312" w:eastAsia="仿宋_GB2312"/>
          <w:color w:val="000000"/>
          <w:sz w:val="32"/>
          <w:szCs w:val="32"/>
        </w:rPr>
      </w:pPr>
    </w:p>
    <w:p w14:paraId="61518D04">
      <w:pPr>
        <w:numPr>
          <w:ilvl w:val="0"/>
          <w:numId w:val="3"/>
        </w:numPr>
        <w:spacing w:line="600" w:lineRule="exact"/>
        <w:ind w:firstLine="640"/>
        <w:outlineLvl w:val="1"/>
        <w:rPr>
          <w:rStyle w:val="20"/>
          <w:rFonts w:ascii="黑体" w:hAnsi="黑体" w:eastAsia="黑体"/>
          <w:b w:val="0"/>
        </w:rPr>
      </w:pPr>
      <w:bookmarkStart w:id="48" w:name="_Toc15377219"/>
      <w:bookmarkStart w:id="49" w:name="_Toc15396611"/>
      <w:r>
        <w:rPr>
          <w:rStyle w:val="20"/>
          <w:rFonts w:hint="eastAsia" w:ascii="黑体" w:hAnsi="黑体" w:eastAsia="黑体"/>
          <w:b w:val="0"/>
        </w:rPr>
        <w:t>国有资本经营预算支出决算情况说明</w:t>
      </w:r>
      <w:bookmarkEnd w:id="48"/>
      <w:bookmarkEnd w:id="49"/>
    </w:p>
    <w:p w14:paraId="6684D8A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年国有资本经营预算拨款支出</w:t>
      </w:r>
      <w:r>
        <w:rPr>
          <w:rFonts w:ascii="仿宋" w:hAnsi="仿宋" w:eastAsia="仿宋"/>
          <w:color w:val="000000"/>
          <w:sz w:val="32"/>
          <w:szCs w:val="32"/>
        </w:rPr>
        <w:t>0</w:t>
      </w:r>
      <w:r>
        <w:rPr>
          <w:rFonts w:hint="eastAsia" w:ascii="仿宋" w:hAnsi="仿宋" w:eastAsia="仿宋"/>
          <w:color w:val="000000"/>
          <w:sz w:val="32"/>
          <w:szCs w:val="32"/>
        </w:rPr>
        <w:t>万元。</w:t>
      </w:r>
    </w:p>
    <w:p w14:paraId="311F0643">
      <w:pPr>
        <w:pStyle w:val="32"/>
        <w:numPr>
          <w:ilvl w:val="0"/>
          <w:numId w:val="4"/>
        </w:numPr>
        <w:spacing w:line="580" w:lineRule="exact"/>
        <w:ind w:firstLineChars="0"/>
        <w:rPr>
          <w:rStyle w:val="20"/>
          <w:rFonts w:ascii="黑体" w:hAnsi="黑体" w:eastAsia="黑体"/>
          <w:b w:val="0"/>
        </w:rPr>
      </w:pPr>
      <w:r>
        <w:rPr>
          <w:rStyle w:val="20"/>
          <w:rFonts w:hint="eastAsia" w:ascii="黑体" w:hAnsi="黑体" w:eastAsia="黑体"/>
          <w:b w:val="0"/>
        </w:rPr>
        <w:t>预算绩效情况说明</w:t>
      </w:r>
    </w:p>
    <w:p w14:paraId="68DCB8A9">
      <w:pPr>
        <w:numPr>
          <w:ilvl w:val="0"/>
          <w:numId w:val="5"/>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0B371732">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根据预算绩效管理要求，本部门（单位）在年初预算编制阶段，组织对科技推广与产业发展项目开展了预算事前绩效评估，对</w:t>
      </w:r>
      <w:r>
        <w:rPr>
          <w:rFonts w:ascii="仿宋" w:hAnsi="仿宋" w:eastAsia="仿宋"/>
          <w:color w:val="000000"/>
          <w:sz w:val="32"/>
          <w:szCs w:val="32"/>
        </w:rPr>
        <w:t>1</w:t>
      </w:r>
      <w:r>
        <w:rPr>
          <w:rFonts w:hint="eastAsia" w:ascii="仿宋" w:hAnsi="仿宋" w:eastAsia="仿宋"/>
          <w:color w:val="000000"/>
          <w:sz w:val="32"/>
          <w:szCs w:val="32"/>
        </w:rPr>
        <w:t>个项目编制了绩效目标，预算执行过程中，选取</w:t>
      </w:r>
      <w:r>
        <w:rPr>
          <w:rFonts w:ascii="仿宋" w:hAnsi="仿宋" w:eastAsia="仿宋"/>
          <w:color w:val="000000"/>
          <w:sz w:val="32"/>
          <w:szCs w:val="32"/>
        </w:rPr>
        <w:t>1</w:t>
      </w:r>
      <w:r>
        <w:rPr>
          <w:rFonts w:hint="eastAsia" w:ascii="仿宋" w:hAnsi="仿宋" w:eastAsia="仿宋"/>
          <w:color w:val="000000"/>
          <w:sz w:val="32"/>
          <w:szCs w:val="32"/>
        </w:rPr>
        <w:t>个项目开展绩效监控，年终执行完毕后，对</w:t>
      </w:r>
      <w:r>
        <w:rPr>
          <w:rFonts w:ascii="仿宋" w:hAnsi="仿宋" w:eastAsia="仿宋"/>
          <w:color w:val="000000"/>
          <w:sz w:val="32"/>
          <w:szCs w:val="32"/>
        </w:rPr>
        <w:t>1</w:t>
      </w:r>
      <w:r>
        <w:rPr>
          <w:rFonts w:hint="eastAsia" w:ascii="仿宋" w:hAnsi="仿宋" w:eastAsia="仿宋"/>
          <w:color w:val="000000"/>
          <w:sz w:val="32"/>
          <w:szCs w:val="32"/>
        </w:rPr>
        <w:t>个项目开展了绩效目标完成情况梳理填报。</w:t>
      </w:r>
    </w:p>
    <w:p w14:paraId="59BBBA8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2018</w:t>
      </w:r>
      <w:r>
        <w:rPr>
          <w:rFonts w:hint="eastAsia" w:ascii="仿宋" w:hAnsi="仿宋" w:eastAsia="仿宋"/>
          <w:color w:val="000000"/>
          <w:sz w:val="32"/>
          <w:szCs w:val="32"/>
        </w:rPr>
        <w:t>年部门整体支出开展绩效自评，从评价情况来看，我局对各工作的开展有了更深层次的了解，对各项目工作的年初预算控制数有一个总体把握，增强了绩效管理理念，促进了财政资金分配和使用更加科学有效，提高我局资金的使用效益。</w:t>
      </w:r>
    </w:p>
    <w:p w14:paraId="161FAC58">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本部门还自行组织了</w:t>
      </w:r>
      <w:r>
        <w:rPr>
          <w:rFonts w:ascii="仿宋" w:hAnsi="仿宋" w:eastAsia="仿宋"/>
          <w:color w:val="000000"/>
          <w:sz w:val="32"/>
          <w:szCs w:val="32"/>
        </w:rPr>
        <w:t>,2</w:t>
      </w:r>
      <w:r>
        <w:rPr>
          <w:rFonts w:hint="eastAsia" w:ascii="仿宋" w:hAnsi="仿宋" w:eastAsia="仿宋"/>
          <w:color w:val="000000"/>
          <w:sz w:val="32"/>
          <w:szCs w:val="32"/>
        </w:rPr>
        <w:t>个项目绩效评价，从评价情况来看：完成较好。</w:t>
      </w:r>
    </w:p>
    <w:p w14:paraId="6D276527">
      <w:pPr>
        <w:spacing w:line="600" w:lineRule="exact"/>
        <w:ind w:firstLine="643" w:firstLineChars="200"/>
        <w:outlineLvl w:val="1"/>
        <w:rPr>
          <w:rFonts w:hint="eastAsia" w:ascii="仿宋" w:hAnsi="仿宋" w:eastAsia="仿宋" w:cs="楷体_GB2312"/>
          <w:b/>
          <w:bCs/>
          <w:sz w:val="32"/>
          <w:szCs w:val="32"/>
          <w:lang w:eastAsia="zh-CN"/>
        </w:rPr>
      </w:pPr>
      <w:r>
        <w:rPr>
          <w:rFonts w:hint="eastAsia" w:ascii="仿宋" w:hAnsi="仿宋" w:eastAsia="仿宋" w:cs="楷体_GB2312"/>
          <w:b/>
          <w:bCs/>
          <w:sz w:val="32"/>
          <w:szCs w:val="32"/>
        </w:rPr>
        <w:t>项目绩效目标完成情况。</w:t>
      </w:r>
    </w:p>
    <w:p w14:paraId="54C60446">
      <w:pPr>
        <w:spacing w:line="600" w:lineRule="exact"/>
        <w:ind w:firstLine="640" w:firstLineChars="200"/>
        <w:outlineLvl w:val="1"/>
        <w:rPr>
          <w:rFonts w:ascii="仿宋" w:hAnsi="仿宋" w:eastAsia="仿宋"/>
          <w:color w:val="000000"/>
          <w:sz w:val="32"/>
          <w:szCs w:val="32"/>
        </w:rPr>
      </w:pPr>
      <w:r>
        <w:rPr>
          <w:rFonts w:ascii="仿宋_GB2312" w:hAnsi="仿宋_GB2312" w:eastAsia="仿宋_GB2312" w:cs="仿宋_GB2312"/>
          <w:sz w:val="32"/>
          <w:szCs w:val="32"/>
        </w:rPr>
        <w:t xml:space="preserve">    </w:t>
      </w:r>
      <w:r>
        <w:rPr>
          <w:rFonts w:hint="eastAsia" w:ascii="仿宋" w:hAnsi="仿宋" w:eastAsia="仿宋"/>
          <w:color w:val="000000"/>
          <w:sz w:val="32"/>
          <w:szCs w:val="32"/>
        </w:rPr>
        <w:t>本部门在</w:t>
      </w:r>
      <w:r>
        <w:rPr>
          <w:rFonts w:ascii="仿宋" w:hAnsi="仿宋" w:eastAsia="仿宋"/>
          <w:color w:val="000000"/>
          <w:sz w:val="32"/>
          <w:szCs w:val="32"/>
        </w:rPr>
        <w:t>2018</w:t>
      </w:r>
      <w:r>
        <w:rPr>
          <w:rFonts w:hint="eastAsia" w:ascii="仿宋" w:hAnsi="仿宋" w:eastAsia="仿宋"/>
          <w:color w:val="000000"/>
          <w:sz w:val="32"/>
          <w:szCs w:val="32"/>
        </w:rPr>
        <w:t>年度部门决算中反映“科技推广与产业发展”“昭化万头优质生猪生态养殖示范场建设”“</w:t>
      </w:r>
      <w:bookmarkStart w:id="50" w:name="_Hlk4011138"/>
      <w:r>
        <w:rPr>
          <w:rFonts w:hint="eastAsia" w:ascii="仿宋" w:hAnsi="仿宋" w:eastAsia="仿宋"/>
          <w:color w:val="000000"/>
          <w:sz w:val="32"/>
          <w:szCs w:val="32"/>
        </w:rPr>
        <w:t>年产</w:t>
      </w:r>
      <w:r>
        <w:rPr>
          <w:rFonts w:ascii="仿宋" w:hAnsi="仿宋" w:eastAsia="仿宋"/>
          <w:color w:val="000000"/>
          <w:sz w:val="32"/>
          <w:szCs w:val="32"/>
        </w:rPr>
        <w:t>6</w:t>
      </w:r>
      <w:r>
        <w:rPr>
          <w:rFonts w:hint="eastAsia" w:ascii="仿宋" w:hAnsi="仿宋" w:eastAsia="仿宋"/>
          <w:color w:val="000000"/>
          <w:sz w:val="32"/>
          <w:szCs w:val="32"/>
        </w:rPr>
        <w:t>万吨包装食用油技改</w:t>
      </w:r>
      <w:bookmarkEnd w:id="50"/>
      <w:r>
        <w:rPr>
          <w:rFonts w:hint="eastAsia" w:ascii="仿宋" w:hAnsi="仿宋" w:eastAsia="仿宋"/>
          <w:color w:val="000000"/>
          <w:sz w:val="32"/>
          <w:szCs w:val="32"/>
        </w:rPr>
        <w:t>”等</w:t>
      </w:r>
      <w:r>
        <w:rPr>
          <w:rFonts w:ascii="仿宋" w:hAnsi="仿宋" w:eastAsia="仿宋"/>
          <w:color w:val="000000"/>
          <w:sz w:val="32"/>
          <w:szCs w:val="32"/>
        </w:rPr>
        <w:t>3</w:t>
      </w:r>
      <w:r>
        <w:rPr>
          <w:rFonts w:hint="eastAsia" w:ascii="仿宋" w:hAnsi="仿宋" w:eastAsia="仿宋"/>
          <w:color w:val="000000"/>
          <w:sz w:val="32"/>
          <w:szCs w:val="32"/>
        </w:rPr>
        <w:t>个项目绩效目标实际完成情况。（本单位部门项目绩效目标个数在</w:t>
      </w:r>
      <w:r>
        <w:rPr>
          <w:rFonts w:ascii="仿宋" w:hAnsi="仿宋" w:eastAsia="仿宋"/>
          <w:color w:val="000000"/>
          <w:sz w:val="32"/>
          <w:szCs w:val="32"/>
        </w:rPr>
        <w:t>5</w:t>
      </w:r>
      <w:r>
        <w:rPr>
          <w:rFonts w:hint="eastAsia" w:ascii="仿宋" w:hAnsi="仿宋" w:eastAsia="仿宋"/>
          <w:color w:val="000000"/>
          <w:sz w:val="32"/>
          <w:szCs w:val="32"/>
        </w:rPr>
        <w:t>个以上的，选取</w:t>
      </w:r>
      <w:r>
        <w:rPr>
          <w:rFonts w:ascii="仿宋" w:hAnsi="仿宋" w:eastAsia="仿宋"/>
          <w:color w:val="000000"/>
          <w:sz w:val="32"/>
          <w:szCs w:val="32"/>
        </w:rPr>
        <w:t>5</w:t>
      </w:r>
      <w:r>
        <w:rPr>
          <w:rFonts w:hint="eastAsia" w:ascii="仿宋" w:hAnsi="仿宋" w:eastAsia="仿宋"/>
          <w:color w:val="000000"/>
          <w:sz w:val="32"/>
          <w:szCs w:val="32"/>
        </w:rPr>
        <w:t>个项目进行公开，目标个数在</w:t>
      </w:r>
      <w:r>
        <w:rPr>
          <w:rFonts w:ascii="仿宋" w:hAnsi="仿宋" w:eastAsia="仿宋"/>
          <w:color w:val="000000"/>
          <w:sz w:val="32"/>
          <w:szCs w:val="32"/>
        </w:rPr>
        <w:t>5</w:t>
      </w:r>
      <w:r>
        <w:rPr>
          <w:rFonts w:hint="eastAsia" w:ascii="仿宋" w:hAnsi="仿宋" w:eastAsia="仿宋"/>
          <w:color w:val="000000"/>
          <w:sz w:val="32"/>
          <w:szCs w:val="32"/>
        </w:rPr>
        <w:t>个以下的，全部进行公开，公开内容包括完成情况综述和完成情况表）。</w:t>
      </w:r>
    </w:p>
    <w:p w14:paraId="2E09B334">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“科技推广与产业发展”项目绩效目标完成情况综述。项目全年预算数</w:t>
      </w:r>
      <w:r>
        <w:rPr>
          <w:rFonts w:ascii="仿宋" w:hAnsi="仿宋" w:eastAsia="仿宋"/>
          <w:color w:val="000000"/>
          <w:sz w:val="32"/>
          <w:szCs w:val="32"/>
        </w:rPr>
        <w:t>18</w:t>
      </w:r>
      <w:r>
        <w:rPr>
          <w:rFonts w:hint="eastAsia" w:ascii="仿宋" w:hAnsi="仿宋" w:eastAsia="仿宋"/>
          <w:color w:val="000000"/>
          <w:sz w:val="32"/>
          <w:szCs w:val="32"/>
        </w:rPr>
        <w:t>万元，执行数为</w:t>
      </w:r>
      <w:r>
        <w:rPr>
          <w:rFonts w:ascii="仿宋" w:hAnsi="仿宋" w:eastAsia="仿宋"/>
          <w:color w:val="000000"/>
          <w:sz w:val="32"/>
          <w:szCs w:val="32"/>
        </w:rPr>
        <w:t>18</w:t>
      </w:r>
      <w:r>
        <w:rPr>
          <w:rFonts w:hint="eastAsia" w:ascii="仿宋" w:hAnsi="仿宋" w:eastAsia="仿宋"/>
          <w:color w:val="000000"/>
          <w:sz w:val="32"/>
          <w:szCs w:val="32"/>
        </w:rPr>
        <w:t>万元，完成预算的</w:t>
      </w:r>
      <w:r>
        <w:rPr>
          <w:rFonts w:ascii="仿宋" w:hAnsi="仿宋" w:eastAsia="仿宋"/>
          <w:color w:val="000000"/>
          <w:sz w:val="32"/>
          <w:szCs w:val="32"/>
        </w:rPr>
        <w:t>100%</w:t>
      </w:r>
      <w:r>
        <w:rPr>
          <w:rFonts w:hint="eastAsia" w:ascii="仿宋" w:hAnsi="仿宋" w:eastAsia="仿宋"/>
          <w:color w:val="000000"/>
          <w:sz w:val="32"/>
          <w:szCs w:val="32"/>
        </w:rPr>
        <w:t>。通过项目实施，有效提高了科技服务业服务效果，有效增强产业与社会发展的创新能力和核心竞争力。有效促进科技服务业多元化发展。发现的主要问题：目标实际完成值受年度统计时限影响，暂时无法提供客观的评价结论。下一步改进措施：对于实施跨度大的项目，待项目完成后，再开展项目完成绩效评价，更能准确、客观体现项目实施绩效。</w:t>
      </w:r>
    </w:p>
    <w:p w14:paraId="7795548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“年产</w:t>
      </w:r>
      <w:r>
        <w:rPr>
          <w:rFonts w:ascii="仿宋" w:hAnsi="仿宋" w:eastAsia="仿宋"/>
          <w:color w:val="000000"/>
          <w:sz w:val="32"/>
          <w:szCs w:val="32"/>
        </w:rPr>
        <w:t>6</w:t>
      </w:r>
      <w:r>
        <w:rPr>
          <w:rFonts w:hint="eastAsia" w:ascii="仿宋" w:hAnsi="仿宋" w:eastAsia="仿宋"/>
          <w:color w:val="000000"/>
          <w:sz w:val="32"/>
          <w:szCs w:val="32"/>
        </w:rPr>
        <w:t>万吨包装食用油技改”项目绩效目标完成情况综述。项目全年预算数</w:t>
      </w:r>
      <w:r>
        <w:rPr>
          <w:rFonts w:ascii="仿宋" w:hAnsi="仿宋" w:eastAsia="仿宋"/>
          <w:color w:val="000000"/>
          <w:sz w:val="32"/>
          <w:szCs w:val="32"/>
        </w:rPr>
        <w:t>120</w:t>
      </w:r>
      <w:r>
        <w:rPr>
          <w:rFonts w:hint="eastAsia" w:ascii="仿宋" w:hAnsi="仿宋" w:eastAsia="仿宋"/>
          <w:color w:val="000000"/>
          <w:sz w:val="32"/>
          <w:szCs w:val="32"/>
        </w:rPr>
        <w:t>万元，执行数为</w:t>
      </w:r>
      <w:r>
        <w:rPr>
          <w:rFonts w:ascii="仿宋" w:hAnsi="仿宋" w:eastAsia="仿宋"/>
          <w:color w:val="000000"/>
          <w:sz w:val="32"/>
          <w:szCs w:val="32"/>
        </w:rPr>
        <w:t>115</w:t>
      </w:r>
      <w:r>
        <w:rPr>
          <w:rFonts w:hint="eastAsia" w:ascii="仿宋" w:hAnsi="仿宋" w:eastAsia="仿宋"/>
          <w:color w:val="000000"/>
          <w:sz w:val="32"/>
          <w:szCs w:val="32"/>
        </w:rPr>
        <w:t>万元，完成预算的</w:t>
      </w:r>
      <w:r>
        <w:rPr>
          <w:rFonts w:ascii="仿宋" w:hAnsi="仿宋" w:eastAsia="仿宋"/>
          <w:color w:val="000000"/>
          <w:sz w:val="32"/>
          <w:szCs w:val="32"/>
        </w:rPr>
        <w:t>95.83%</w:t>
      </w:r>
      <w:r>
        <w:rPr>
          <w:rFonts w:hint="eastAsia" w:ascii="仿宋" w:hAnsi="仿宋" w:eastAsia="仿宋"/>
          <w:color w:val="000000"/>
          <w:sz w:val="32"/>
          <w:szCs w:val="32"/>
        </w:rPr>
        <w:t>。通过项目实施，有助于当地粮油加工产业的健康有序发展，促进农民增收。同时，也能带动就业，有利于维护社会稳定。将在今后的发展中通过自身的品牌影响力和综合实力带动当地一方的经济发展，尤其会在粮油经济上作出卓越贡献。发现的主要问题：有些指标未完成的原因在于项目刚处于竣工调试阶段，有些指标要在运营以后方能逐渐体现。下一步改进措施：在项目运营以后将会不断改善生产工艺，提供优质粮油。同时，进行技术改造和产业升级，不断提高产能。</w:t>
      </w:r>
    </w:p>
    <w:p w14:paraId="4A1AAFC5">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“昭化万头优质生猪生态养殖示范场建设”项目绩效目标完成情况综述。项目全年预算数</w:t>
      </w:r>
      <w:r>
        <w:rPr>
          <w:rFonts w:ascii="仿宋" w:hAnsi="仿宋" w:eastAsia="仿宋"/>
          <w:color w:val="000000"/>
          <w:sz w:val="32"/>
          <w:szCs w:val="32"/>
        </w:rPr>
        <w:t>100</w:t>
      </w:r>
      <w:r>
        <w:rPr>
          <w:rFonts w:hint="eastAsia" w:ascii="仿宋" w:hAnsi="仿宋" w:eastAsia="仿宋"/>
          <w:color w:val="000000"/>
          <w:sz w:val="32"/>
          <w:szCs w:val="32"/>
        </w:rPr>
        <w:t>万元，执行数为</w:t>
      </w:r>
      <w:r>
        <w:rPr>
          <w:rFonts w:ascii="仿宋" w:hAnsi="仿宋" w:eastAsia="仿宋"/>
          <w:color w:val="000000"/>
          <w:sz w:val="32"/>
          <w:szCs w:val="32"/>
        </w:rPr>
        <w:t>90</w:t>
      </w:r>
      <w:r>
        <w:rPr>
          <w:rFonts w:hint="eastAsia" w:ascii="仿宋" w:hAnsi="仿宋" w:eastAsia="仿宋"/>
          <w:color w:val="000000"/>
          <w:sz w:val="32"/>
          <w:szCs w:val="32"/>
        </w:rPr>
        <w:t>万元，完成预算的</w:t>
      </w:r>
      <w:r>
        <w:rPr>
          <w:rFonts w:ascii="仿宋" w:hAnsi="仿宋" w:eastAsia="仿宋"/>
          <w:color w:val="000000"/>
          <w:sz w:val="32"/>
          <w:szCs w:val="32"/>
        </w:rPr>
        <w:t>90%</w:t>
      </w:r>
      <w:r>
        <w:rPr>
          <w:rFonts w:hint="eastAsia" w:ascii="仿宋" w:hAnsi="仿宋" w:eastAsia="仿宋"/>
          <w:color w:val="000000"/>
          <w:sz w:val="32"/>
          <w:szCs w:val="32"/>
        </w:rPr>
        <w:t>。通过项目实施，保障生猪养殖技术提高</w:t>
      </w:r>
      <w:r>
        <w:rPr>
          <w:rFonts w:ascii="仿宋" w:hAnsi="仿宋" w:eastAsia="仿宋"/>
          <w:color w:val="000000"/>
          <w:sz w:val="32"/>
          <w:szCs w:val="32"/>
        </w:rPr>
        <w:t>80%</w:t>
      </w:r>
      <w:r>
        <w:rPr>
          <w:rFonts w:hint="eastAsia" w:ascii="仿宋" w:hAnsi="仿宋" w:eastAsia="仿宋"/>
          <w:color w:val="000000"/>
          <w:sz w:val="32"/>
          <w:szCs w:val="32"/>
        </w:rPr>
        <w:t>，带动农户</w:t>
      </w:r>
      <w:r>
        <w:rPr>
          <w:rFonts w:ascii="仿宋" w:hAnsi="仿宋" w:eastAsia="仿宋"/>
          <w:color w:val="000000"/>
          <w:sz w:val="32"/>
          <w:szCs w:val="32"/>
        </w:rPr>
        <w:t>25</w:t>
      </w:r>
      <w:r>
        <w:rPr>
          <w:rFonts w:hint="eastAsia" w:ascii="仿宋" w:hAnsi="仿宋" w:eastAsia="仿宋"/>
          <w:color w:val="000000"/>
          <w:sz w:val="32"/>
          <w:szCs w:val="32"/>
        </w:rPr>
        <w:t>户，农户增收</w:t>
      </w:r>
      <w:r>
        <w:rPr>
          <w:rFonts w:ascii="仿宋" w:hAnsi="仿宋" w:eastAsia="仿宋"/>
          <w:color w:val="000000"/>
          <w:sz w:val="32"/>
          <w:szCs w:val="32"/>
        </w:rPr>
        <w:t>1850</w:t>
      </w:r>
      <w:r>
        <w:rPr>
          <w:rFonts w:hint="eastAsia" w:ascii="仿宋" w:hAnsi="仿宋" w:eastAsia="仿宋"/>
          <w:color w:val="000000"/>
          <w:sz w:val="32"/>
          <w:szCs w:val="32"/>
        </w:rPr>
        <w:t>元，提高了生猪养殖和防疫技术。发现的主要问题：</w:t>
      </w:r>
      <w:r>
        <w:rPr>
          <w:rFonts w:ascii="仿宋" w:hAnsi="仿宋" w:eastAsia="仿宋"/>
          <w:color w:val="000000"/>
          <w:sz w:val="32"/>
          <w:szCs w:val="32"/>
        </w:rPr>
        <w:t>2018</w:t>
      </w:r>
      <w:r>
        <w:rPr>
          <w:rFonts w:hint="eastAsia" w:ascii="仿宋" w:hAnsi="仿宋" w:eastAsia="仿宋"/>
          <w:color w:val="000000"/>
          <w:sz w:val="32"/>
          <w:szCs w:val="32"/>
        </w:rPr>
        <w:t>年下半年发生的非洲猪瘟的认识和防范不足。下一步改进措施：搞好示范基地的推广实施和技术完善，加强养殖和防疫技术的培训，积极培育生猪养殖科技示范户</w:t>
      </w:r>
      <w:r>
        <w:rPr>
          <w:rFonts w:ascii="仿宋" w:hAnsi="仿宋" w:eastAsia="仿宋"/>
          <w:color w:val="000000"/>
          <w:sz w:val="32"/>
          <w:szCs w:val="32"/>
        </w:rPr>
        <w:t>15</w:t>
      </w:r>
      <w:r>
        <w:rPr>
          <w:rFonts w:hint="eastAsia" w:ascii="仿宋" w:hAnsi="仿宋" w:eastAsia="仿宋"/>
          <w:color w:val="000000"/>
          <w:sz w:val="32"/>
          <w:szCs w:val="32"/>
        </w:rPr>
        <w:t>户，加大专业技术团队对养殖户帮扶指导。</w:t>
      </w:r>
    </w:p>
    <w:tbl>
      <w:tblPr>
        <w:tblStyle w:val="15"/>
        <w:tblpPr w:leftFromText="180" w:rightFromText="180" w:vertAnchor="text" w:horzAnchor="page" w:tblpXSpec="center" w:tblpY="423"/>
        <w:tblOverlap w:val="never"/>
        <w:tblW w:w="10065" w:type="dxa"/>
        <w:tblInd w:w="0" w:type="dxa"/>
        <w:tblLayout w:type="fixed"/>
        <w:tblCellMar>
          <w:top w:w="0" w:type="dxa"/>
          <w:left w:w="0" w:type="dxa"/>
          <w:bottom w:w="0" w:type="dxa"/>
          <w:right w:w="0" w:type="dxa"/>
        </w:tblCellMar>
      </w:tblPr>
      <w:tblGrid>
        <w:gridCol w:w="390"/>
        <w:gridCol w:w="1367"/>
        <w:gridCol w:w="1025"/>
        <w:gridCol w:w="2392"/>
        <w:gridCol w:w="2394"/>
        <w:gridCol w:w="2392"/>
        <w:gridCol w:w="105"/>
      </w:tblGrid>
      <w:tr w14:paraId="1744F75E">
        <w:tblPrEx>
          <w:tblCellMar>
            <w:top w:w="0" w:type="dxa"/>
            <w:left w:w="0" w:type="dxa"/>
            <w:bottom w:w="0" w:type="dxa"/>
            <w:right w:w="0" w:type="dxa"/>
          </w:tblCellMar>
        </w:tblPrEx>
        <w:trPr>
          <w:gridAfter w:val="1"/>
          <w:wAfter w:w="105" w:type="dxa"/>
          <w:trHeight w:val="1034" w:hRule="atLeast"/>
        </w:trPr>
        <w:tc>
          <w:tcPr>
            <w:tcW w:w="9960" w:type="dxa"/>
            <w:gridSpan w:val="6"/>
            <w:tcMar>
              <w:top w:w="15" w:type="dxa"/>
              <w:left w:w="15" w:type="dxa"/>
              <w:bottom w:w="0" w:type="dxa"/>
              <w:right w:w="15" w:type="dxa"/>
            </w:tcMar>
            <w:vAlign w:val="center"/>
          </w:tcPr>
          <w:p w14:paraId="789F008F">
            <w:pPr>
              <w:pStyle w:val="32"/>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5DAAEC4E">
            <w:pPr>
              <w:pStyle w:val="32"/>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6E0FFFD0">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2C03D7">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808E63">
            <w:pPr>
              <w:widowControl/>
              <w:jc w:val="center"/>
              <w:textAlignment w:val="center"/>
              <w:rPr>
                <w:rFonts w:ascii="宋体" w:cs="宋体"/>
                <w:color w:val="000000"/>
                <w:sz w:val="24"/>
              </w:rPr>
            </w:pPr>
            <w:r>
              <w:rPr>
                <w:rFonts w:hint="eastAsia" w:ascii="仿宋_GB2312" w:hAnsi="仿宋_GB2312" w:eastAsia="仿宋_GB2312" w:cs="仿宋_GB2312"/>
                <w:sz w:val="32"/>
                <w:szCs w:val="32"/>
              </w:rPr>
              <w:t>科技推广与产业发展</w:t>
            </w:r>
          </w:p>
        </w:tc>
      </w:tr>
      <w:tr w14:paraId="43374098">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202A5E">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295FE8">
            <w:pPr>
              <w:widowControl/>
              <w:jc w:val="center"/>
              <w:textAlignment w:val="center"/>
              <w:rPr>
                <w:rFonts w:ascii="宋体" w:cs="宋体"/>
                <w:color w:val="000000"/>
                <w:sz w:val="24"/>
              </w:rPr>
            </w:pPr>
            <w:r>
              <w:rPr>
                <w:rFonts w:hint="eastAsia" w:ascii="宋体" w:hAnsi="宋体" w:cs="宋体"/>
                <w:color w:val="000000"/>
                <w:sz w:val="24"/>
              </w:rPr>
              <w:t>区经信局</w:t>
            </w:r>
          </w:p>
        </w:tc>
      </w:tr>
      <w:tr w14:paraId="4A4C25F0">
        <w:tblPrEx>
          <w:tblCellMar>
            <w:top w:w="0" w:type="dxa"/>
            <w:left w:w="0" w:type="dxa"/>
            <w:bottom w:w="0" w:type="dxa"/>
            <w:right w:w="0" w:type="dxa"/>
          </w:tblCellMar>
        </w:tblPrEx>
        <w:trPr>
          <w:gridAfter w:val="1"/>
          <w:wAfter w:w="105" w:type="dxa"/>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171A44">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7C3424">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9E6BE3">
            <w:pPr>
              <w:widowControl/>
              <w:jc w:val="center"/>
              <w:textAlignment w:val="center"/>
              <w:rPr>
                <w:rFonts w:ascii="宋体" w:cs="宋体"/>
                <w:color w:val="000000"/>
                <w:sz w:val="24"/>
              </w:rPr>
            </w:pPr>
            <w:r>
              <w:rPr>
                <w:rFonts w:ascii="宋体" w:hAnsi="宋体" w:cs="宋体"/>
                <w:color w:val="000000"/>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CBB97C">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EABA72">
            <w:pPr>
              <w:widowControl/>
              <w:jc w:val="center"/>
              <w:textAlignment w:val="center"/>
              <w:rPr>
                <w:rFonts w:ascii="宋体" w:cs="宋体"/>
                <w:color w:val="000000"/>
                <w:sz w:val="24"/>
              </w:rPr>
            </w:pPr>
            <w:r>
              <w:rPr>
                <w:rFonts w:ascii="宋体" w:hAnsi="宋体" w:cs="宋体"/>
                <w:color w:val="000000"/>
                <w:sz w:val="24"/>
              </w:rPr>
              <w:t>18</w:t>
            </w:r>
          </w:p>
        </w:tc>
      </w:tr>
      <w:tr w14:paraId="3B7C9315">
        <w:tblPrEx>
          <w:tblCellMar>
            <w:top w:w="0" w:type="dxa"/>
            <w:left w:w="0" w:type="dxa"/>
            <w:bottom w:w="0" w:type="dxa"/>
            <w:right w:w="0" w:type="dxa"/>
          </w:tblCellMar>
        </w:tblPrEx>
        <w:trPr>
          <w:gridAfter w:val="1"/>
          <w:wAfter w:w="105" w:type="dxa"/>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626D91E">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3174F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BC4872">
            <w:pPr>
              <w:widowControl/>
              <w:jc w:val="center"/>
              <w:textAlignment w:val="center"/>
              <w:rPr>
                <w:rFonts w:ascii="宋体" w:cs="宋体"/>
                <w:color w:val="000000"/>
                <w:sz w:val="24"/>
              </w:rPr>
            </w:pPr>
            <w:r>
              <w:rPr>
                <w:rFonts w:ascii="宋体" w:hAnsi="宋体" w:cs="宋体"/>
                <w:color w:val="000000"/>
                <w:sz w:val="24"/>
              </w:rPr>
              <w:t>18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88575B">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D813FB">
            <w:pPr>
              <w:widowControl/>
              <w:jc w:val="center"/>
              <w:textAlignment w:val="center"/>
              <w:rPr>
                <w:rFonts w:ascii="宋体" w:cs="宋体"/>
                <w:color w:val="000000"/>
                <w:sz w:val="24"/>
              </w:rPr>
            </w:pPr>
            <w:r>
              <w:rPr>
                <w:rFonts w:ascii="宋体" w:hAnsi="宋体" w:cs="宋体"/>
                <w:color w:val="000000"/>
                <w:sz w:val="24"/>
              </w:rPr>
              <w:t>18</w:t>
            </w:r>
          </w:p>
        </w:tc>
      </w:tr>
      <w:tr w14:paraId="1BB18D18">
        <w:tblPrEx>
          <w:tblCellMar>
            <w:top w:w="0" w:type="dxa"/>
            <w:left w:w="0" w:type="dxa"/>
            <w:bottom w:w="0" w:type="dxa"/>
            <w:right w:w="0" w:type="dxa"/>
          </w:tblCellMar>
        </w:tblPrEx>
        <w:trPr>
          <w:gridAfter w:val="1"/>
          <w:wAfter w:w="105" w:type="dxa"/>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1065056">
            <w:pPr>
              <w:widowControl/>
              <w:jc w:val="left"/>
              <w:rPr>
                <w:rFonts w:asci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B26625">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6559E3">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A8147C">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5C669A">
            <w:pPr>
              <w:jc w:val="center"/>
              <w:rPr>
                <w:rFonts w:ascii="宋体" w:cs="宋体"/>
                <w:color w:val="000000"/>
                <w:sz w:val="24"/>
              </w:rPr>
            </w:pPr>
          </w:p>
        </w:tc>
      </w:tr>
      <w:tr w14:paraId="01BC76ED">
        <w:tblPrEx>
          <w:tblCellMar>
            <w:top w:w="0" w:type="dxa"/>
            <w:left w:w="0" w:type="dxa"/>
            <w:bottom w:w="0" w:type="dxa"/>
            <w:right w:w="0" w:type="dxa"/>
          </w:tblCellMar>
        </w:tblPrEx>
        <w:trPr>
          <w:gridAfter w:val="1"/>
          <w:wAfter w:w="105" w:type="dxa"/>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F41C47">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436C4E">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4E55A0">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44D9D23E">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FF0E4EB">
            <w:pPr>
              <w:widowControl/>
              <w:jc w:val="left"/>
              <w:rPr>
                <w:rFonts w:asci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5B6E4E">
            <w:pPr>
              <w:spacing w:line="520" w:lineRule="exact"/>
              <w:ind w:firstLine="420" w:firstLineChars="200"/>
              <w:rPr>
                <w:rFonts w:ascii="仿宋_GB2312"/>
              </w:rPr>
            </w:pPr>
            <w:r>
              <w:rPr>
                <w:rFonts w:hint="eastAsia" w:ascii="仿宋_GB2312"/>
              </w:rPr>
              <w:t>围绕我区建设创新型城市的目标，建立面向需求、公共服务能力需强化的专业技术服务平台，鼓励建设科技企业孵化器，完善专业技术服务链，加快科技创新创业平台建设，增强自主创新能力；开展新农村科技示范村、科技服务体系和服务能力建设；开展一批品牌科普活动。引进新品种一个以上，应用新技术一项以上、建立新品种、新技术示范基地一个以上，培训一批技术人员及农民群众；基地开展科普活动</w:t>
            </w:r>
            <w:r>
              <w:rPr>
                <w:rFonts w:ascii="仿宋_GB2312"/>
              </w:rPr>
              <w:t xml:space="preserve"> 10</w:t>
            </w:r>
            <w:r>
              <w:rPr>
                <w:rFonts w:hint="eastAsia" w:ascii="仿宋_GB2312"/>
              </w:rPr>
              <w:t>期以上。</w:t>
            </w:r>
          </w:p>
          <w:p w14:paraId="0EA93470">
            <w:pPr>
              <w:widowControl/>
              <w:jc w:val="center"/>
              <w:textAlignment w:val="center"/>
              <w:rPr>
                <w:rFonts w:ascii="宋体" w:cs="宋体"/>
                <w:color w:val="000000"/>
                <w:sz w:val="24"/>
              </w:rPr>
            </w:pPr>
          </w:p>
        </w:tc>
        <w:tc>
          <w:tcPr>
            <w:tcW w:w="489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3ACBFC">
            <w:pPr>
              <w:spacing w:line="520" w:lineRule="exact"/>
              <w:ind w:firstLine="420" w:firstLineChars="200"/>
              <w:rPr>
                <w:rFonts w:ascii="仿宋_GB2312"/>
              </w:rPr>
            </w:pPr>
            <w:r>
              <w:rPr>
                <w:rFonts w:hint="eastAsia" w:ascii="仿宋_GB2312"/>
              </w:rPr>
              <w:t>围绕我区建设创新型城市的目标，建立面向需求、公共服务能力需强化的专业技术服务平台，鼓励建设科技企业孵化器，完善专业技术服务链，加快科技创新创业平台建设，增强自主创新能力；开展新农村科技示范村、科技服务体系和服务能力建设；开展一批品牌科普活动。引进新品种一个以上，应用新技术一项以上、建立新品种、新技术示范基地一个以上，培训一批技术人员及农民群众；基地开展科普活动</w:t>
            </w:r>
            <w:r>
              <w:rPr>
                <w:rFonts w:ascii="仿宋_GB2312"/>
              </w:rPr>
              <w:t xml:space="preserve"> 10</w:t>
            </w:r>
            <w:r>
              <w:rPr>
                <w:rFonts w:hint="eastAsia" w:ascii="仿宋_GB2312"/>
              </w:rPr>
              <w:t>期以上。</w:t>
            </w:r>
          </w:p>
          <w:p w14:paraId="3B55A12D">
            <w:pPr>
              <w:widowControl/>
              <w:jc w:val="center"/>
              <w:textAlignment w:val="center"/>
              <w:rPr>
                <w:rFonts w:ascii="宋体" w:cs="宋体"/>
                <w:color w:val="000000"/>
                <w:sz w:val="24"/>
              </w:rPr>
            </w:pPr>
          </w:p>
        </w:tc>
      </w:tr>
      <w:tr w14:paraId="65F108D0">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660C0B">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545358">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2FEF71">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FDEDB0">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E7B869">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1480C">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0065334C">
        <w:tblPrEx>
          <w:tblCellMar>
            <w:top w:w="0" w:type="dxa"/>
            <w:left w:w="0" w:type="dxa"/>
            <w:bottom w:w="0" w:type="dxa"/>
            <w:right w:w="0" w:type="dxa"/>
          </w:tblCellMar>
        </w:tblPrEx>
        <w:trPr>
          <w:trHeight w:val="147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354E429">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25CFD9">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ACDBE6">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56143">
            <w:pPr>
              <w:widowControl/>
              <w:jc w:val="center"/>
              <w:textAlignment w:val="center"/>
              <w:rPr>
                <w:rFonts w:ascii="仿宋" w:hAnsi="仿宋" w:eastAsia="仿宋" w:cs="仿宋"/>
                <w:color w:val="000000"/>
                <w:sz w:val="24"/>
              </w:rPr>
            </w:pPr>
            <w:r>
              <w:rPr>
                <w:rFonts w:hint="eastAsia" w:ascii="仿宋" w:hAnsi="仿宋" w:eastAsia="仿宋" w:cs="仿宋"/>
                <w:color w:val="313131"/>
                <w:sz w:val="24"/>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70F909">
            <w:pPr>
              <w:widowControl/>
              <w:jc w:val="center"/>
              <w:textAlignment w:val="center"/>
              <w:rPr>
                <w:rFonts w:ascii="仿宋" w:hAnsi="仿宋" w:eastAsia="仿宋" w:cs="仿宋"/>
                <w:color w:val="000000"/>
                <w:sz w:val="24"/>
              </w:rPr>
            </w:pPr>
            <w:r>
              <w:rPr>
                <w:rFonts w:hint="eastAsia" w:ascii="仿宋" w:hAnsi="仿宋" w:eastAsia="仿宋" w:cs="仿宋"/>
                <w:color w:val="313131"/>
                <w:sz w:val="24"/>
              </w:rPr>
              <w:t>培育发展一批优势特色产业，形成新的增长点。</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DE116">
            <w:pPr>
              <w:widowControl/>
              <w:jc w:val="center"/>
              <w:textAlignment w:val="center"/>
              <w:rPr>
                <w:rFonts w:ascii="仿宋" w:hAnsi="仿宋" w:eastAsia="仿宋" w:cs="仿宋"/>
                <w:color w:val="000000"/>
                <w:sz w:val="24"/>
              </w:rPr>
            </w:pPr>
            <w:r>
              <w:rPr>
                <w:rFonts w:hint="eastAsia" w:ascii="仿宋" w:hAnsi="仿宋" w:eastAsia="仿宋" w:cs="仿宋"/>
                <w:color w:val="313131"/>
                <w:sz w:val="24"/>
              </w:rPr>
              <w:t>培育发展一批优势特色产业，形成新的增长点。</w:t>
            </w:r>
          </w:p>
        </w:tc>
      </w:tr>
      <w:tr w14:paraId="2C56390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B61C09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02D86">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25F014">
            <w:pPr>
              <w:widowControl/>
              <w:jc w:val="center"/>
              <w:textAlignment w:val="center"/>
              <w:rPr>
                <w:rFonts w:ascii="宋体" w:cs="宋体"/>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49F1D">
            <w:pPr>
              <w:widowControl/>
              <w:jc w:val="center"/>
              <w:textAlignment w:val="center"/>
              <w:rPr>
                <w:rFonts w:ascii="宋体" w:cs="宋体"/>
                <w:color w:val="000000"/>
                <w:sz w:val="24"/>
              </w:rPr>
            </w:pPr>
            <w:r>
              <w:rPr>
                <w:rFonts w:hint="eastAsia" w:ascii="仿宋" w:hAnsi="仿宋" w:eastAsia="仿宋" w:cs="仿宋"/>
                <w:color w:val="313131"/>
                <w:sz w:val="24"/>
              </w:rPr>
              <w:t>优化产业结构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80A24C">
            <w:pPr>
              <w:widowControl/>
              <w:jc w:val="center"/>
              <w:textAlignment w:val="center"/>
              <w:rPr>
                <w:rFonts w:ascii="仿宋" w:hAnsi="仿宋" w:eastAsia="仿宋" w:cs="仿宋"/>
                <w:color w:val="000000"/>
                <w:sz w:val="24"/>
              </w:rPr>
            </w:pPr>
            <w:r>
              <w:rPr>
                <w:rFonts w:hint="eastAsia" w:ascii="仿宋" w:hAnsi="仿宋" w:eastAsia="仿宋" w:cs="仿宋"/>
                <w:color w:val="313131"/>
                <w:sz w:val="24"/>
              </w:rPr>
              <w:t>实施中药材、蔬菜、核桃、猕猴桃等产业技术支撑示范项目</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AF2E90">
            <w:pPr>
              <w:widowControl/>
              <w:jc w:val="center"/>
              <w:textAlignment w:val="center"/>
              <w:rPr>
                <w:rFonts w:ascii="仿宋" w:hAnsi="仿宋" w:eastAsia="仿宋" w:cs="仿宋"/>
                <w:color w:val="000000"/>
                <w:sz w:val="24"/>
              </w:rPr>
            </w:pPr>
            <w:r>
              <w:rPr>
                <w:rFonts w:hint="eastAsia" w:ascii="仿宋" w:hAnsi="仿宋" w:eastAsia="仿宋" w:cs="仿宋"/>
                <w:color w:val="313131"/>
                <w:sz w:val="24"/>
              </w:rPr>
              <w:t>实施中药材、蔬菜、核桃、猕猴桃等产业技术支撑示范项目</w:t>
            </w:r>
          </w:p>
        </w:tc>
      </w:tr>
      <w:tr w14:paraId="7FD46AF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B15D79B">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1C4853">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88996E">
            <w:pPr>
              <w:widowControl/>
              <w:jc w:val="center"/>
              <w:textAlignment w:val="center"/>
              <w:rPr>
                <w:rFonts w:asci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046931">
            <w:pPr>
              <w:widowControl/>
              <w:jc w:val="center"/>
              <w:textAlignment w:val="center"/>
              <w:rPr>
                <w:rFonts w:ascii="宋体" w:cs="宋体"/>
                <w:color w:val="000000"/>
                <w:sz w:val="24"/>
              </w:rPr>
            </w:pPr>
            <w:r>
              <w:rPr>
                <w:rFonts w:hint="eastAsia" w:ascii="仿宋_GB2312" w:hAnsi="宋体"/>
                <w:lang w:val="zh-CN"/>
              </w:rPr>
              <w:t>建立示范基地、示范推广新品种、新技术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C0F9B5">
            <w:pPr>
              <w:widowControl/>
              <w:jc w:val="center"/>
              <w:textAlignment w:val="center"/>
              <w:rPr>
                <w:rFonts w:ascii="宋体" w:cs="宋体"/>
                <w:color w:val="000000"/>
                <w:sz w:val="24"/>
              </w:rPr>
            </w:pPr>
            <w:r>
              <w:rPr>
                <w:rFonts w:hint="eastAsia" w:ascii="仿宋_GB2312" w:hAnsi="宋体"/>
                <w:lang w:val="zh-CN"/>
              </w:rPr>
              <w:t>点解决制约我区工业、农业、民生、专利产业化等领域发展的重大、关键技术难题</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F40792">
            <w:pPr>
              <w:widowControl/>
              <w:jc w:val="center"/>
              <w:textAlignment w:val="center"/>
              <w:rPr>
                <w:rFonts w:ascii="宋体" w:cs="宋体"/>
                <w:color w:val="000000"/>
                <w:sz w:val="24"/>
              </w:rPr>
            </w:pPr>
            <w:r>
              <w:rPr>
                <w:rFonts w:hint="eastAsia" w:ascii="仿宋_GB2312" w:hAnsi="宋体"/>
                <w:lang w:val="zh-CN"/>
              </w:rPr>
              <w:t>点解决制约我区工业、农业、民生、专利产业化等领域发展的重大、关键技术难题</w:t>
            </w:r>
          </w:p>
        </w:tc>
      </w:tr>
      <w:tr w14:paraId="77F03B37">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2190BA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617FBF">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66C2C0">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658924">
            <w:pPr>
              <w:widowControl/>
              <w:jc w:val="center"/>
              <w:textAlignment w:val="center"/>
              <w:rPr>
                <w:rFonts w:ascii="宋体" w:cs="宋体"/>
                <w:color w:val="000000"/>
                <w:sz w:val="24"/>
              </w:rPr>
            </w:pPr>
            <w:r>
              <w:rPr>
                <w:rFonts w:hint="eastAsia" w:ascii="仿宋_GB2312"/>
              </w:rPr>
              <w:t>有效增强产业与社会发展的创新能力和核心竞争力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E7692E">
            <w:pPr>
              <w:adjustRightInd w:val="0"/>
              <w:snapToGrid w:val="0"/>
              <w:spacing w:line="560" w:lineRule="exact"/>
              <w:ind w:firstLine="720"/>
              <w:rPr>
                <w:rFonts w:ascii="仿宋_GB2312" w:hAnsi="宋体"/>
                <w:lang w:val="zh-CN"/>
              </w:rPr>
            </w:pPr>
            <w:r>
              <w:rPr>
                <w:rFonts w:hint="eastAsia" w:ascii="仿宋_GB2312" w:hAnsi="宋体"/>
                <w:lang w:val="zh-CN"/>
              </w:rPr>
              <w:t>对促进我区经济结构调整和转型起到了关键支撑作用。</w:t>
            </w:r>
          </w:p>
          <w:p w14:paraId="6020820B">
            <w:pPr>
              <w:widowControl/>
              <w:jc w:val="center"/>
              <w:textAlignment w:val="center"/>
              <w:rPr>
                <w:rFonts w:ascii="宋体" w:cs="宋体"/>
                <w:color w:val="000000"/>
                <w:sz w:val="24"/>
              </w:rPr>
            </w:pP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A63B9">
            <w:pPr>
              <w:adjustRightInd w:val="0"/>
              <w:snapToGrid w:val="0"/>
              <w:spacing w:line="560" w:lineRule="exact"/>
              <w:ind w:firstLine="720"/>
              <w:rPr>
                <w:rFonts w:ascii="仿宋_GB2312" w:hAnsi="宋体"/>
                <w:lang w:val="zh-CN"/>
              </w:rPr>
            </w:pPr>
            <w:r>
              <w:rPr>
                <w:rFonts w:hint="eastAsia" w:ascii="仿宋_GB2312" w:hAnsi="宋体"/>
                <w:lang w:val="zh-CN"/>
              </w:rPr>
              <w:t>对促进我区经济结构调整和转型起到了关键支撑作用。</w:t>
            </w:r>
          </w:p>
          <w:p w14:paraId="7EAC6A30">
            <w:pPr>
              <w:widowControl/>
              <w:jc w:val="center"/>
              <w:textAlignment w:val="center"/>
              <w:rPr>
                <w:rFonts w:ascii="宋体" w:cs="宋体"/>
                <w:color w:val="000000"/>
                <w:sz w:val="24"/>
              </w:rPr>
            </w:pPr>
          </w:p>
        </w:tc>
      </w:tr>
      <w:tr w14:paraId="281BED99">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03FBC8">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591346">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6C77A4">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B8F7B4">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FC6E8D">
            <w:pPr>
              <w:widowControl/>
              <w:jc w:val="center"/>
              <w:textAlignment w:val="center"/>
              <w:rPr>
                <w:rFonts w:ascii="宋体" w:cs="宋体"/>
                <w:color w:val="000000"/>
                <w:sz w:val="24"/>
              </w:rPr>
            </w:pPr>
            <w:r>
              <w:rPr>
                <w:rFonts w:ascii="宋体" w:hAnsi="宋体" w:cs="宋体"/>
                <w:color w:val="000000"/>
                <w:sz w:val="24"/>
              </w:rPr>
              <w:t>100%</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D1930">
            <w:pPr>
              <w:widowControl/>
              <w:jc w:val="center"/>
              <w:textAlignment w:val="center"/>
              <w:rPr>
                <w:rFonts w:ascii="宋体" w:cs="宋体"/>
                <w:color w:val="000000"/>
                <w:sz w:val="24"/>
              </w:rPr>
            </w:pPr>
            <w:r>
              <w:rPr>
                <w:rFonts w:ascii="宋体" w:hAnsi="宋体" w:cs="宋体"/>
                <w:color w:val="000000"/>
                <w:sz w:val="24"/>
              </w:rPr>
              <w:t>100%</w:t>
            </w:r>
          </w:p>
        </w:tc>
      </w:tr>
    </w:tbl>
    <w:p w14:paraId="36B4CC57">
      <w:pPr>
        <w:rPr>
          <w:rFonts w:ascii="Calibri" w:hAnsi="Calibri"/>
        </w:rPr>
      </w:pPr>
    </w:p>
    <w:tbl>
      <w:tblPr>
        <w:tblStyle w:val="15"/>
        <w:tblpPr w:leftFromText="180" w:rightFromText="180" w:vertAnchor="text" w:horzAnchor="page" w:tblpXSpec="center" w:tblpY="423"/>
        <w:tblOverlap w:val="never"/>
        <w:tblW w:w="10065" w:type="dxa"/>
        <w:tblInd w:w="0" w:type="dxa"/>
        <w:tblLayout w:type="fixed"/>
        <w:tblCellMar>
          <w:top w:w="0" w:type="dxa"/>
          <w:left w:w="0" w:type="dxa"/>
          <w:bottom w:w="0" w:type="dxa"/>
          <w:right w:w="0" w:type="dxa"/>
        </w:tblCellMar>
      </w:tblPr>
      <w:tblGrid>
        <w:gridCol w:w="613"/>
        <w:gridCol w:w="1144"/>
        <w:gridCol w:w="1025"/>
        <w:gridCol w:w="2392"/>
        <w:gridCol w:w="2394"/>
        <w:gridCol w:w="2392"/>
        <w:gridCol w:w="105"/>
      </w:tblGrid>
      <w:tr w14:paraId="1A181C47">
        <w:tblPrEx>
          <w:tblCellMar>
            <w:top w:w="0" w:type="dxa"/>
            <w:left w:w="0" w:type="dxa"/>
            <w:bottom w:w="0" w:type="dxa"/>
            <w:right w:w="0" w:type="dxa"/>
          </w:tblCellMar>
        </w:tblPrEx>
        <w:trPr>
          <w:gridAfter w:val="1"/>
          <w:wAfter w:w="105" w:type="dxa"/>
          <w:trHeight w:val="1034" w:hRule="atLeast"/>
        </w:trPr>
        <w:tc>
          <w:tcPr>
            <w:tcW w:w="9960" w:type="dxa"/>
            <w:gridSpan w:val="6"/>
            <w:tcMar>
              <w:top w:w="15" w:type="dxa"/>
              <w:left w:w="15" w:type="dxa"/>
              <w:bottom w:w="0" w:type="dxa"/>
              <w:right w:w="15" w:type="dxa"/>
            </w:tcMar>
            <w:vAlign w:val="center"/>
          </w:tcPr>
          <w:p w14:paraId="665DFF72">
            <w:pPr>
              <w:pStyle w:val="32"/>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680C9178">
            <w:pPr>
              <w:pStyle w:val="32"/>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465694D0">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3D3754">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9DFFD">
            <w:pPr>
              <w:widowControl/>
              <w:jc w:val="center"/>
              <w:textAlignment w:val="center"/>
              <w:rPr>
                <w:rFonts w:ascii="宋体" w:cs="宋体"/>
                <w:color w:val="000000"/>
                <w:sz w:val="24"/>
              </w:rPr>
            </w:pPr>
            <w:r>
              <w:rPr>
                <w:rFonts w:hint="eastAsia" w:ascii="仿宋" w:hAnsi="仿宋" w:eastAsia="仿宋" w:cs="仿宋"/>
                <w:bCs/>
                <w:sz w:val="32"/>
                <w:szCs w:val="32"/>
              </w:rPr>
              <w:t>年产</w:t>
            </w:r>
            <w:r>
              <w:rPr>
                <w:rFonts w:ascii="仿宋" w:hAnsi="仿宋" w:eastAsia="仿宋" w:cs="仿宋"/>
                <w:bCs/>
                <w:sz w:val="32"/>
                <w:szCs w:val="32"/>
              </w:rPr>
              <w:t>6</w:t>
            </w:r>
            <w:r>
              <w:rPr>
                <w:rFonts w:hint="eastAsia" w:ascii="仿宋" w:hAnsi="仿宋" w:eastAsia="仿宋" w:cs="仿宋"/>
                <w:bCs/>
                <w:sz w:val="32"/>
                <w:szCs w:val="32"/>
              </w:rPr>
              <w:t>万吨包装食用油技改</w:t>
            </w:r>
          </w:p>
        </w:tc>
      </w:tr>
      <w:tr w14:paraId="6F24A97D">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3B0E5B">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EBC8F7">
            <w:pPr>
              <w:widowControl/>
              <w:jc w:val="center"/>
              <w:textAlignment w:val="center"/>
              <w:rPr>
                <w:rFonts w:ascii="宋体" w:cs="宋体"/>
                <w:color w:val="000000"/>
                <w:sz w:val="24"/>
              </w:rPr>
            </w:pPr>
            <w:r>
              <w:rPr>
                <w:rFonts w:hint="eastAsia" w:ascii="宋体" w:hAnsi="宋体" w:cs="宋体"/>
                <w:color w:val="000000"/>
                <w:sz w:val="24"/>
              </w:rPr>
              <w:t>区经信局</w:t>
            </w:r>
          </w:p>
        </w:tc>
      </w:tr>
      <w:tr w14:paraId="537E220F">
        <w:tblPrEx>
          <w:tblCellMar>
            <w:top w:w="0" w:type="dxa"/>
            <w:left w:w="0" w:type="dxa"/>
            <w:bottom w:w="0" w:type="dxa"/>
            <w:right w:w="0" w:type="dxa"/>
          </w:tblCellMar>
        </w:tblPrEx>
        <w:trPr>
          <w:gridAfter w:val="1"/>
          <w:wAfter w:w="105" w:type="dxa"/>
          <w:trHeight w:val="276"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F94F2F">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A0480C">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F09A6">
            <w:pPr>
              <w:widowControl/>
              <w:jc w:val="center"/>
              <w:textAlignment w:val="center"/>
              <w:rPr>
                <w:rFonts w:ascii="宋体" w:cs="宋体"/>
                <w:color w:val="000000"/>
                <w:sz w:val="24"/>
              </w:rPr>
            </w:pPr>
            <w:r>
              <w:rPr>
                <w:rFonts w:ascii="宋体" w:hAnsi="宋体" w:cs="宋体"/>
                <w:color w:val="000000"/>
                <w:sz w:val="24"/>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3C855">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16D64E">
            <w:pPr>
              <w:widowControl/>
              <w:jc w:val="center"/>
              <w:textAlignment w:val="center"/>
              <w:rPr>
                <w:rFonts w:ascii="宋体" w:cs="宋体"/>
                <w:color w:val="000000"/>
                <w:sz w:val="24"/>
              </w:rPr>
            </w:pPr>
            <w:r>
              <w:rPr>
                <w:rFonts w:ascii="宋体" w:hAnsi="宋体" w:cs="宋体"/>
                <w:color w:val="000000"/>
                <w:sz w:val="24"/>
              </w:rPr>
              <w:t>115</w:t>
            </w:r>
          </w:p>
        </w:tc>
      </w:tr>
      <w:tr w14:paraId="2C124A74">
        <w:tblPrEx>
          <w:tblCellMar>
            <w:top w:w="0" w:type="dxa"/>
            <w:left w:w="0" w:type="dxa"/>
            <w:bottom w:w="0" w:type="dxa"/>
            <w:right w:w="0" w:type="dxa"/>
          </w:tblCellMar>
        </w:tblPrEx>
        <w:trPr>
          <w:gridAfter w:val="1"/>
          <w:wAfter w:w="105" w:type="dxa"/>
          <w:trHeight w:val="276"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5FC78AD1">
            <w:pPr>
              <w:widowControl/>
              <w:jc w:val="left"/>
              <w:rPr>
                <w:rFonts w:ascii="宋体" w:cs="宋体"/>
                <w:color w:val="000000"/>
                <w:sz w:val="24"/>
              </w:rPr>
            </w:pP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3433A1">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060A09">
            <w:pPr>
              <w:widowControl/>
              <w:jc w:val="center"/>
              <w:textAlignment w:val="center"/>
              <w:rPr>
                <w:rFonts w:ascii="宋体" w:cs="宋体"/>
                <w:color w:val="000000"/>
                <w:sz w:val="24"/>
              </w:rPr>
            </w:pPr>
            <w:r>
              <w:rPr>
                <w:rFonts w:ascii="宋体" w:hAnsi="宋体" w:cs="宋体"/>
                <w:color w:val="000000"/>
                <w:sz w:val="24"/>
              </w:rPr>
              <w:t>120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9C8C5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82C776">
            <w:pPr>
              <w:widowControl/>
              <w:jc w:val="center"/>
              <w:textAlignment w:val="center"/>
              <w:rPr>
                <w:rFonts w:ascii="宋体" w:cs="宋体"/>
                <w:color w:val="000000"/>
                <w:sz w:val="24"/>
              </w:rPr>
            </w:pPr>
            <w:r>
              <w:rPr>
                <w:rFonts w:ascii="宋体" w:hAnsi="宋体" w:cs="宋体"/>
                <w:color w:val="000000"/>
                <w:sz w:val="24"/>
              </w:rPr>
              <w:t>115</w:t>
            </w:r>
          </w:p>
        </w:tc>
      </w:tr>
      <w:tr w14:paraId="01E740AB">
        <w:tblPrEx>
          <w:tblCellMar>
            <w:top w:w="0" w:type="dxa"/>
            <w:left w:w="0" w:type="dxa"/>
            <w:bottom w:w="0" w:type="dxa"/>
            <w:right w:w="0" w:type="dxa"/>
          </w:tblCellMar>
        </w:tblPrEx>
        <w:trPr>
          <w:gridAfter w:val="1"/>
          <w:wAfter w:w="105" w:type="dxa"/>
          <w:trHeight w:val="1511"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1E277D9F">
            <w:pPr>
              <w:widowControl/>
              <w:jc w:val="left"/>
              <w:rPr>
                <w:rFonts w:ascii="宋体" w:cs="宋体"/>
                <w:color w:val="000000"/>
                <w:sz w:val="24"/>
              </w:rPr>
            </w:pP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A4999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9046F8">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84F89D">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012D47">
            <w:pPr>
              <w:jc w:val="center"/>
              <w:rPr>
                <w:rFonts w:ascii="宋体" w:cs="宋体"/>
                <w:color w:val="000000"/>
                <w:sz w:val="24"/>
              </w:rPr>
            </w:pPr>
          </w:p>
        </w:tc>
      </w:tr>
      <w:tr w14:paraId="43DCD4F6">
        <w:tblPrEx>
          <w:tblCellMar>
            <w:top w:w="0" w:type="dxa"/>
            <w:left w:w="0" w:type="dxa"/>
            <w:bottom w:w="0" w:type="dxa"/>
            <w:right w:w="0" w:type="dxa"/>
          </w:tblCellMar>
        </w:tblPrEx>
        <w:trPr>
          <w:gridAfter w:val="1"/>
          <w:wAfter w:w="105" w:type="dxa"/>
          <w:trHeight w:val="276"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0A079">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E66051">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2123C1">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020B5A2D">
        <w:tblPrEx>
          <w:tblCellMar>
            <w:top w:w="0" w:type="dxa"/>
            <w:left w:w="0" w:type="dxa"/>
            <w:bottom w:w="0" w:type="dxa"/>
            <w:right w:w="0" w:type="dxa"/>
          </w:tblCellMar>
        </w:tblPrEx>
        <w:trPr>
          <w:trHeight w:val="1159"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0A889CFF">
            <w:pPr>
              <w:widowControl/>
              <w:jc w:val="left"/>
              <w:rPr>
                <w:rFonts w:ascii="宋体" w:cs="宋体"/>
                <w:color w:val="000000"/>
                <w:sz w:val="24"/>
              </w:rPr>
            </w:pPr>
          </w:p>
        </w:tc>
        <w:tc>
          <w:tcPr>
            <w:tcW w:w="45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855AB5">
            <w:pPr>
              <w:spacing w:line="520" w:lineRule="exact"/>
              <w:ind w:firstLine="480" w:firstLineChars="200"/>
              <w:rPr>
                <w:rFonts w:ascii="仿宋" w:hAnsi="仿宋" w:eastAsia="仿宋" w:cs="仿宋"/>
                <w:sz w:val="24"/>
              </w:rPr>
            </w:pPr>
            <w:r>
              <w:rPr>
                <w:rFonts w:hint="eastAsia" w:ascii="仿宋" w:hAnsi="仿宋" w:eastAsia="仿宋" w:cs="仿宋"/>
                <w:sz w:val="24"/>
              </w:rPr>
              <w:t>建设</w:t>
            </w:r>
            <w:r>
              <w:rPr>
                <w:rFonts w:ascii="仿宋" w:hAnsi="仿宋" w:eastAsia="仿宋" w:cs="仿宋"/>
                <w:sz w:val="24"/>
              </w:rPr>
              <w:t>5L</w:t>
            </w:r>
            <w:r>
              <w:rPr>
                <w:rFonts w:hint="eastAsia" w:ascii="仿宋" w:hAnsi="仿宋" w:eastAsia="仿宋" w:cs="仿宋"/>
                <w:sz w:val="24"/>
              </w:rPr>
              <w:t>小包装油和</w:t>
            </w:r>
            <w:r>
              <w:rPr>
                <w:rFonts w:ascii="仿宋" w:hAnsi="仿宋" w:eastAsia="仿宋" w:cs="仿宋"/>
                <w:sz w:val="24"/>
              </w:rPr>
              <w:t>10L</w:t>
            </w:r>
            <w:r>
              <w:rPr>
                <w:rFonts w:hint="eastAsia" w:ascii="仿宋" w:hAnsi="仿宋" w:eastAsia="仿宋" w:cs="仿宋"/>
                <w:sz w:val="24"/>
              </w:rPr>
              <w:t>中包装油生产线各一条。</w:t>
            </w:r>
          </w:p>
          <w:p w14:paraId="2B29FFCE">
            <w:pPr>
              <w:widowControl/>
              <w:jc w:val="center"/>
              <w:textAlignment w:val="center"/>
              <w:rPr>
                <w:rFonts w:ascii="仿宋" w:hAnsi="仿宋" w:eastAsia="仿宋" w:cs="仿宋"/>
                <w:color w:val="000000"/>
                <w:sz w:val="24"/>
              </w:rPr>
            </w:pPr>
          </w:p>
        </w:tc>
        <w:tc>
          <w:tcPr>
            <w:tcW w:w="489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64012E">
            <w:pPr>
              <w:widowControl/>
              <w:jc w:val="center"/>
              <w:textAlignment w:val="center"/>
              <w:rPr>
                <w:rFonts w:ascii="仿宋" w:hAnsi="仿宋" w:eastAsia="仿宋" w:cs="仿宋"/>
                <w:color w:val="000000"/>
                <w:sz w:val="24"/>
              </w:rPr>
            </w:pPr>
            <w:r>
              <w:rPr>
                <w:rFonts w:hint="eastAsia" w:ascii="仿宋" w:hAnsi="仿宋" w:eastAsia="仿宋" w:cs="仿宋"/>
                <w:sz w:val="24"/>
              </w:rPr>
              <w:t>建设</w:t>
            </w:r>
            <w:r>
              <w:rPr>
                <w:rFonts w:ascii="仿宋" w:hAnsi="仿宋" w:eastAsia="仿宋" w:cs="仿宋"/>
                <w:sz w:val="24"/>
              </w:rPr>
              <w:t>5L</w:t>
            </w:r>
            <w:r>
              <w:rPr>
                <w:rFonts w:hint="eastAsia" w:ascii="仿宋" w:hAnsi="仿宋" w:eastAsia="仿宋" w:cs="仿宋"/>
                <w:sz w:val="24"/>
              </w:rPr>
              <w:t>小包装油和</w:t>
            </w:r>
            <w:r>
              <w:rPr>
                <w:rFonts w:ascii="仿宋" w:hAnsi="仿宋" w:eastAsia="仿宋" w:cs="仿宋"/>
                <w:sz w:val="24"/>
              </w:rPr>
              <w:t>10L</w:t>
            </w:r>
            <w:r>
              <w:rPr>
                <w:rFonts w:hint="eastAsia" w:ascii="仿宋" w:hAnsi="仿宋" w:eastAsia="仿宋" w:cs="仿宋"/>
                <w:sz w:val="24"/>
              </w:rPr>
              <w:t>中包装油生产线各一条。</w:t>
            </w:r>
          </w:p>
        </w:tc>
      </w:tr>
      <w:tr w14:paraId="3CC5F3D5">
        <w:tblPrEx>
          <w:tblCellMar>
            <w:top w:w="0" w:type="dxa"/>
            <w:left w:w="0" w:type="dxa"/>
            <w:bottom w:w="0" w:type="dxa"/>
            <w:right w:w="0" w:type="dxa"/>
          </w:tblCellMar>
        </w:tblPrEx>
        <w:trPr>
          <w:trHeight w:val="1042"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236D77">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5DAC87">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1CEBBB">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7E9E98">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9B4BEA">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4D6792">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1F536B14">
        <w:tblPrEx>
          <w:tblCellMar>
            <w:top w:w="0" w:type="dxa"/>
            <w:left w:w="0" w:type="dxa"/>
            <w:bottom w:w="0" w:type="dxa"/>
            <w:right w:w="0" w:type="dxa"/>
          </w:tblCellMar>
        </w:tblPrEx>
        <w:trPr>
          <w:trHeight w:val="1472"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6F7E1A58">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3CA97">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1FE8FC">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4EBAE">
            <w:pPr>
              <w:widowControl/>
              <w:jc w:val="center"/>
              <w:textAlignment w:val="center"/>
              <w:rPr>
                <w:rFonts w:ascii="仿宋" w:hAnsi="仿宋" w:eastAsia="仿宋" w:cs="仿宋"/>
                <w:color w:val="000000"/>
                <w:sz w:val="24"/>
              </w:rPr>
            </w:pPr>
            <w:r>
              <w:rPr>
                <w:rFonts w:hint="eastAsia" w:ascii="仿宋" w:hAnsi="仿宋" w:eastAsia="仿宋" w:cs="仿宋"/>
                <w:sz w:val="24"/>
              </w:rPr>
              <w:t>按期按质量的完成项目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645F45">
            <w:pPr>
              <w:widowControl/>
              <w:jc w:val="center"/>
              <w:textAlignment w:val="center"/>
              <w:rPr>
                <w:rFonts w:ascii="仿宋" w:hAnsi="仿宋" w:eastAsia="仿宋" w:cs="仿宋"/>
                <w:color w:val="000000"/>
                <w:sz w:val="24"/>
              </w:rPr>
            </w:pPr>
            <w:r>
              <w:rPr>
                <w:rFonts w:hint="eastAsia" w:ascii="仿宋" w:hAnsi="仿宋" w:eastAsia="仿宋" w:cs="仿宋"/>
                <w:sz w:val="24"/>
              </w:rPr>
              <w:t>在正式投入运营后，将会丰富公司的产品结构和油品业务细化，走向终端市场，增强盈利能力。</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084F88">
            <w:pPr>
              <w:widowControl/>
              <w:jc w:val="center"/>
              <w:textAlignment w:val="center"/>
              <w:rPr>
                <w:rFonts w:ascii="仿宋" w:hAnsi="仿宋" w:eastAsia="仿宋" w:cs="仿宋"/>
                <w:color w:val="000000"/>
                <w:sz w:val="24"/>
              </w:rPr>
            </w:pPr>
            <w:r>
              <w:rPr>
                <w:rFonts w:hint="eastAsia" w:ascii="仿宋" w:hAnsi="仿宋" w:eastAsia="仿宋" w:cs="仿宋"/>
                <w:sz w:val="24"/>
              </w:rPr>
              <w:t>在正式投入运营后，将会丰富公司的产品结构和油品业务细化，走向终端市场，增强盈利能力。</w:t>
            </w:r>
          </w:p>
        </w:tc>
      </w:tr>
      <w:tr w14:paraId="6006EC96">
        <w:tblPrEx>
          <w:tblCellMar>
            <w:top w:w="0" w:type="dxa"/>
            <w:left w:w="0" w:type="dxa"/>
            <w:bottom w:w="0" w:type="dxa"/>
            <w:right w:w="0" w:type="dxa"/>
          </w:tblCellMar>
        </w:tblPrEx>
        <w:trPr>
          <w:trHeight w:val="1297"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67BCD550">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712A69">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692E4C">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7D0F4">
            <w:pPr>
              <w:widowControl/>
              <w:jc w:val="center"/>
              <w:textAlignment w:val="center"/>
              <w:rPr>
                <w:rFonts w:ascii="仿宋" w:hAnsi="仿宋" w:eastAsia="仿宋" w:cs="仿宋"/>
                <w:color w:val="000000"/>
                <w:sz w:val="24"/>
              </w:rPr>
            </w:pPr>
            <w:r>
              <w:rPr>
                <w:rFonts w:hint="eastAsia" w:ascii="仿宋" w:hAnsi="仿宋" w:eastAsia="仿宋" w:cs="仿宋"/>
                <w:sz w:val="24"/>
              </w:rPr>
              <w:t>按期按质量的完成项目</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02370F">
            <w:pPr>
              <w:spacing w:line="576" w:lineRule="exact"/>
              <w:ind w:firstLine="480" w:firstLineChars="200"/>
              <w:rPr>
                <w:rFonts w:ascii="仿宋" w:hAnsi="仿宋" w:eastAsia="仿宋" w:cs="仿宋"/>
                <w:sz w:val="24"/>
              </w:rPr>
            </w:pPr>
            <w:r>
              <w:rPr>
                <w:rFonts w:hint="eastAsia" w:ascii="仿宋" w:hAnsi="仿宋" w:eastAsia="仿宋" w:cs="仿宋"/>
                <w:sz w:val="24"/>
              </w:rPr>
              <w:t>在全面投产以后将新增年产值近</w:t>
            </w:r>
            <w:r>
              <w:rPr>
                <w:rFonts w:ascii="仿宋" w:hAnsi="仿宋" w:eastAsia="仿宋" w:cs="仿宋"/>
                <w:sz w:val="24"/>
              </w:rPr>
              <w:t>4</w:t>
            </w:r>
            <w:r>
              <w:rPr>
                <w:rFonts w:hint="eastAsia" w:ascii="仿宋" w:hAnsi="仿宋" w:eastAsia="仿宋" w:cs="仿宋"/>
                <w:sz w:val="24"/>
              </w:rPr>
              <w:t>个亿和新增利润近</w:t>
            </w:r>
            <w:r>
              <w:rPr>
                <w:rFonts w:ascii="仿宋" w:hAnsi="仿宋" w:eastAsia="仿宋" w:cs="仿宋"/>
                <w:sz w:val="24"/>
              </w:rPr>
              <w:t>700</w:t>
            </w:r>
            <w:r>
              <w:rPr>
                <w:rFonts w:hint="eastAsia" w:ascii="仿宋" w:hAnsi="仿宋" w:eastAsia="仿宋" w:cs="仿宋"/>
                <w:sz w:val="24"/>
              </w:rPr>
              <w:t>万元的贡献。</w:t>
            </w:r>
          </w:p>
          <w:p w14:paraId="6BD55290">
            <w:pPr>
              <w:widowControl/>
              <w:jc w:val="center"/>
              <w:textAlignment w:val="center"/>
              <w:rPr>
                <w:rFonts w:ascii="仿宋" w:hAnsi="仿宋" w:eastAsia="仿宋" w:cs="仿宋"/>
                <w:color w:val="000000"/>
                <w:sz w:val="24"/>
              </w:rPr>
            </w:pP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D9D98">
            <w:pPr>
              <w:spacing w:line="576" w:lineRule="exact"/>
              <w:ind w:firstLine="480" w:firstLineChars="200"/>
              <w:rPr>
                <w:rFonts w:ascii="仿宋" w:hAnsi="仿宋" w:eastAsia="仿宋" w:cs="仿宋"/>
                <w:sz w:val="24"/>
              </w:rPr>
            </w:pPr>
            <w:r>
              <w:rPr>
                <w:rFonts w:hint="eastAsia" w:ascii="仿宋" w:hAnsi="仿宋" w:eastAsia="仿宋" w:cs="仿宋"/>
                <w:sz w:val="24"/>
              </w:rPr>
              <w:t>在全面投产以后将新增年产值近</w:t>
            </w:r>
            <w:r>
              <w:rPr>
                <w:rFonts w:ascii="仿宋" w:hAnsi="仿宋" w:eastAsia="仿宋" w:cs="仿宋"/>
                <w:sz w:val="24"/>
              </w:rPr>
              <w:t>4</w:t>
            </w:r>
            <w:r>
              <w:rPr>
                <w:rFonts w:hint="eastAsia" w:ascii="仿宋" w:hAnsi="仿宋" w:eastAsia="仿宋" w:cs="仿宋"/>
                <w:sz w:val="24"/>
              </w:rPr>
              <w:t>个亿和新增利润近</w:t>
            </w:r>
            <w:r>
              <w:rPr>
                <w:rFonts w:ascii="仿宋" w:hAnsi="仿宋" w:eastAsia="仿宋" w:cs="仿宋"/>
                <w:sz w:val="24"/>
              </w:rPr>
              <w:t>700</w:t>
            </w:r>
            <w:r>
              <w:rPr>
                <w:rFonts w:hint="eastAsia" w:ascii="仿宋" w:hAnsi="仿宋" w:eastAsia="仿宋" w:cs="仿宋"/>
                <w:sz w:val="24"/>
              </w:rPr>
              <w:t>万元的贡献。</w:t>
            </w:r>
          </w:p>
          <w:p w14:paraId="798FA293">
            <w:pPr>
              <w:widowControl/>
              <w:jc w:val="center"/>
              <w:textAlignment w:val="center"/>
              <w:rPr>
                <w:rFonts w:ascii="仿宋" w:hAnsi="仿宋" w:eastAsia="仿宋" w:cs="仿宋"/>
                <w:color w:val="000000"/>
                <w:sz w:val="24"/>
              </w:rPr>
            </w:pPr>
          </w:p>
        </w:tc>
      </w:tr>
      <w:tr w14:paraId="400F6BC8">
        <w:tblPrEx>
          <w:tblCellMar>
            <w:top w:w="0" w:type="dxa"/>
            <w:left w:w="0" w:type="dxa"/>
            <w:bottom w:w="0" w:type="dxa"/>
            <w:right w:w="0" w:type="dxa"/>
          </w:tblCellMar>
        </w:tblPrEx>
        <w:trPr>
          <w:trHeight w:val="1042"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2014B06A">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4048B8">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C81BEC">
            <w:pPr>
              <w:widowControl/>
              <w:jc w:val="center"/>
              <w:textAlignment w:val="center"/>
              <w:rPr>
                <w:rFonts w:asci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7C82EF">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促进增收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8BA292">
            <w:pPr>
              <w:widowControl/>
              <w:jc w:val="center"/>
              <w:textAlignment w:val="center"/>
              <w:rPr>
                <w:rFonts w:ascii="仿宋" w:hAnsi="仿宋" w:eastAsia="仿宋" w:cs="仿宋"/>
                <w:color w:val="000000"/>
                <w:sz w:val="24"/>
              </w:rPr>
            </w:pPr>
            <w:r>
              <w:rPr>
                <w:rFonts w:hint="eastAsia" w:ascii="仿宋" w:hAnsi="仿宋" w:eastAsia="仿宋" w:cs="仿宋"/>
                <w:sz w:val="24"/>
              </w:rPr>
              <w:t>有助于当地粮油加工产业的健康有序发展，促进农民增收</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E73F1">
            <w:pPr>
              <w:widowControl/>
              <w:jc w:val="center"/>
              <w:textAlignment w:val="center"/>
              <w:rPr>
                <w:rFonts w:ascii="仿宋" w:hAnsi="仿宋" w:eastAsia="仿宋" w:cs="仿宋"/>
                <w:color w:val="000000"/>
                <w:sz w:val="24"/>
              </w:rPr>
            </w:pPr>
            <w:r>
              <w:rPr>
                <w:rFonts w:hint="eastAsia" w:ascii="仿宋" w:hAnsi="仿宋" w:eastAsia="仿宋" w:cs="仿宋"/>
                <w:sz w:val="24"/>
              </w:rPr>
              <w:t>有助于当地粮油加工产业的健康有序发展，促进农民增收</w:t>
            </w:r>
          </w:p>
        </w:tc>
      </w:tr>
      <w:tr w14:paraId="087F5C98">
        <w:tblPrEx>
          <w:tblCellMar>
            <w:top w:w="0" w:type="dxa"/>
            <w:left w:w="0" w:type="dxa"/>
            <w:bottom w:w="0" w:type="dxa"/>
            <w:right w:w="0" w:type="dxa"/>
          </w:tblCellMar>
        </w:tblPrEx>
        <w:trPr>
          <w:trHeight w:val="1297"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0F797E7B">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BBB923">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45BAE0">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5CD37">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带动就业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F9EDB7">
            <w:pPr>
              <w:widowControl/>
              <w:jc w:val="center"/>
              <w:textAlignment w:val="center"/>
              <w:rPr>
                <w:rFonts w:ascii="仿宋" w:hAnsi="仿宋" w:eastAsia="仿宋" w:cs="仿宋"/>
                <w:color w:val="000000"/>
                <w:sz w:val="24"/>
              </w:rPr>
            </w:pPr>
            <w:r>
              <w:rPr>
                <w:rFonts w:hint="eastAsia" w:ascii="仿宋" w:hAnsi="仿宋" w:eastAsia="仿宋" w:cs="仿宋"/>
                <w:sz w:val="24"/>
              </w:rPr>
              <w:t>带动就业，有利于维护社会稳定。将在今后的发展中通过自身的品牌影响力和综合实力带动当地一方的经济发展</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DD94E9">
            <w:pPr>
              <w:widowControl/>
              <w:jc w:val="center"/>
              <w:textAlignment w:val="center"/>
              <w:rPr>
                <w:rFonts w:ascii="仿宋" w:hAnsi="仿宋" w:eastAsia="仿宋" w:cs="仿宋"/>
                <w:color w:val="000000"/>
                <w:sz w:val="24"/>
              </w:rPr>
            </w:pPr>
            <w:r>
              <w:rPr>
                <w:rFonts w:hint="eastAsia" w:ascii="仿宋" w:hAnsi="仿宋" w:eastAsia="仿宋" w:cs="仿宋"/>
                <w:sz w:val="24"/>
              </w:rPr>
              <w:t>带动就业，有利于维护社会稳定。将在今后的发展中通过自身的品牌影响力和综合实力带动当地一方的经济发展</w:t>
            </w:r>
          </w:p>
        </w:tc>
      </w:tr>
      <w:tr w14:paraId="1E9EA5A2">
        <w:tblPrEx>
          <w:tblCellMar>
            <w:top w:w="0" w:type="dxa"/>
            <w:left w:w="0" w:type="dxa"/>
            <w:bottom w:w="0" w:type="dxa"/>
            <w:right w:w="0" w:type="dxa"/>
          </w:tblCellMar>
        </w:tblPrEx>
        <w:trPr>
          <w:trHeight w:val="1050"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49B93248">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C29389">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CB1FB">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4F8D28">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EC3B07">
            <w:pPr>
              <w:widowControl/>
              <w:jc w:val="center"/>
              <w:textAlignment w:val="center"/>
              <w:rPr>
                <w:rFonts w:ascii="宋体" w:cs="宋体"/>
                <w:color w:val="000000"/>
                <w:sz w:val="24"/>
              </w:rPr>
            </w:pPr>
            <w:r>
              <w:rPr>
                <w:rFonts w:ascii="宋体" w:hAnsi="宋体" w:cs="宋体"/>
                <w:color w:val="000000"/>
                <w:sz w:val="24"/>
              </w:rPr>
              <w:t>100%</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6A1ED8">
            <w:pPr>
              <w:widowControl/>
              <w:jc w:val="center"/>
              <w:textAlignment w:val="center"/>
              <w:rPr>
                <w:rFonts w:ascii="宋体" w:cs="宋体"/>
                <w:color w:val="000000"/>
                <w:sz w:val="24"/>
              </w:rPr>
            </w:pPr>
            <w:r>
              <w:rPr>
                <w:rFonts w:ascii="宋体" w:hAnsi="宋体" w:cs="宋体"/>
                <w:color w:val="000000"/>
                <w:sz w:val="24"/>
              </w:rPr>
              <w:t>100%</w:t>
            </w:r>
          </w:p>
        </w:tc>
      </w:tr>
      <w:tr w14:paraId="75F6201A">
        <w:tblPrEx>
          <w:tblCellMar>
            <w:top w:w="0" w:type="dxa"/>
            <w:left w:w="0" w:type="dxa"/>
            <w:bottom w:w="0" w:type="dxa"/>
            <w:right w:w="0" w:type="dxa"/>
          </w:tblCellMar>
        </w:tblPrEx>
        <w:trPr>
          <w:gridAfter w:val="1"/>
          <w:wAfter w:w="105" w:type="dxa"/>
          <w:trHeight w:val="1034" w:hRule="atLeast"/>
        </w:trPr>
        <w:tc>
          <w:tcPr>
            <w:tcW w:w="9960" w:type="dxa"/>
            <w:gridSpan w:val="6"/>
            <w:tcMar>
              <w:top w:w="15" w:type="dxa"/>
              <w:left w:w="15" w:type="dxa"/>
              <w:bottom w:w="0" w:type="dxa"/>
              <w:right w:w="15" w:type="dxa"/>
            </w:tcMar>
            <w:vAlign w:val="center"/>
          </w:tcPr>
          <w:p w14:paraId="65765B1C">
            <w:pPr>
              <w:pStyle w:val="32"/>
              <w:widowControl/>
              <w:ind w:left="4173" w:leftChars="1310" w:hanging="1422" w:hangingChars="395"/>
              <w:textAlignment w:val="center"/>
              <w:rPr>
                <w:rFonts w:hint="eastAsia" w:ascii="黑体" w:hAnsi="黑体" w:eastAsia="黑体" w:cs="宋体"/>
                <w:bCs/>
                <w:color w:val="000000"/>
                <w:kern w:val="0"/>
                <w:sz w:val="36"/>
                <w:szCs w:val="36"/>
                <w:lang w:eastAsia="zh-CN"/>
              </w:rPr>
            </w:pPr>
            <w:r>
              <w:rPr>
                <w:rFonts w:hint="eastAsia" w:ascii="黑体" w:hAnsi="黑体" w:eastAsia="黑体" w:cs="宋体"/>
                <w:bCs/>
                <w:color w:val="000000"/>
                <w:kern w:val="0"/>
                <w:sz w:val="36"/>
                <w:szCs w:val="36"/>
              </w:rPr>
              <w:t>项目支出绩效目标完成情况表</w:t>
            </w:r>
          </w:p>
          <w:p w14:paraId="14E30729">
            <w:pPr>
              <w:pStyle w:val="32"/>
              <w:widowControl/>
              <w:ind w:left="4173" w:leftChars="1310" w:hanging="1422" w:hangingChars="395"/>
              <w:textAlignment w:val="center"/>
              <w:rPr>
                <w:rFonts w:ascii="宋体" w:cs="宋体"/>
                <w:color w:val="000000"/>
                <w:sz w:val="36"/>
                <w:szCs w:val="36"/>
              </w:rPr>
            </w:pP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16338C3F">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04A261">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63FCF">
            <w:pPr>
              <w:widowControl/>
              <w:jc w:val="center"/>
              <w:textAlignment w:val="center"/>
              <w:rPr>
                <w:rFonts w:ascii="宋体" w:cs="宋体"/>
                <w:color w:val="000000"/>
                <w:sz w:val="24"/>
              </w:rPr>
            </w:pPr>
            <w:r>
              <w:rPr>
                <w:rFonts w:hint="eastAsia" w:ascii="仿宋" w:hAnsi="仿宋" w:eastAsia="仿宋" w:cs="仿宋"/>
                <w:bCs/>
                <w:color w:val="000000"/>
                <w:sz w:val="32"/>
                <w:szCs w:val="32"/>
              </w:rPr>
              <w:t>昭化万头优质生猪生态养殖示范场建设</w:t>
            </w:r>
          </w:p>
        </w:tc>
      </w:tr>
      <w:tr w14:paraId="1E690A51">
        <w:tblPrEx>
          <w:tblCellMar>
            <w:top w:w="0" w:type="dxa"/>
            <w:left w:w="0" w:type="dxa"/>
            <w:bottom w:w="0" w:type="dxa"/>
            <w:right w:w="0" w:type="dxa"/>
          </w:tblCellMar>
        </w:tblPrEx>
        <w:trPr>
          <w:gridAfter w:val="1"/>
          <w:wAfter w:w="105" w:type="dxa"/>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0D295F">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5CD01E">
            <w:pPr>
              <w:widowControl/>
              <w:jc w:val="center"/>
              <w:textAlignment w:val="center"/>
              <w:rPr>
                <w:rFonts w:ascii="宋体" w:cs="宋体"/>
                <w:color w:val="000000"/>
                <w:sz w:val="24"/>
              </w:rPr>
            </w:pPr>
            <w:r>
              <w:rPr>
                <w:rFonts w:hint="eastAsia" w:ascii="宋体" w:hAnsi="宋体" w:cs="宋体"/>
                <w:color w:val="000000"/>
                <w:sz w:val="24"/>
              </w:rPr>
              <w:t>区经信局</w:t>
            </w:r>
          </w:p>
        </w:tc>
      </w:tr>
      <w:tr w14:paraId="5622BA27">
        <w:tblPrEx>
          <w:tblCellMar>
            <w:top w:w="0" w:type="dxa"/>
            <w:left w:w="0" w:type="dxa"/>
            <w:bottom w:w="0" w:type="dxa"/>
            <w:right w:w="0" w:type="dxa"/>
          </w:tblCellMar>
        </w:tblPrEx>
        <w:trPr>
          <w:gridAfter w:val="1"/>
          <w:wAfter w:w="105" w:type="dxa"/>
          <w:trHeight w:val="276"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C5C13D">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6D129A">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55CE40">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74769B">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DCA9D1">
            <w:pPr>
              <w:widowControl/>
              <w:jc w:val="center"/>
              <w:textAlignment w:val="center"/>
              <w:rPr>
                <w:rFonts w:ascii="宋体" w:cs="宋体"/>
                <w:color w:val="000000"/>
                <w:sz w:val="24"/>
              </w:rPr>
            </w:pPr>
            <w:r>
              <w:rPr>
                <w:rFonts w:ascii="宋体" w:hAnsi="宋体" w:cs="宋体"/>
                <w:color w:val="000000"/>
                <w:sz w:val="24"/>
              </w:rPr>
              <w:t>90</w:t>
            </w:r>
          </w:p>
        </w:tc>
      </w:tr>
      <w:tr w14:paraId="275FAD7A">
        <w:tblPrEx>
          <w:tblCellMar>
            <w:top w:w="0" w:type="dxa"/>
            <w:left w:w="0" w:type="dxa"/>
            <w:bottom w:w="0" w:type="dxa"/>
            <w:right w:w="0" w:type="dxa"/>
          </w:tblCellMar>
        </w:tblPrEx>
        <w:trPr>
          <w:gridAfter w:val="1"/>
          <w:wAfter w:w="105" w:type="dxa"/>
          <w:trHeight w:val="276"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661DAF39">
            <w:pPr>
              <w:widowControl/>
              <w:jc w:val="left"/>
              <w:rPr>
                <w:rFonts w:ascii="宋体" w:cs="宋体"/>
                <w:color w:val="000000"/>
                <w:sz w:val="24"/>
              </w:rPr>
            </w:pP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6BFEBA">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E2E597">
            <w:pPr>
              <w:widowControl/>
              <w:jc w:val="center"/>
              <w:textAlignment w:val="center"/>
              <w:rPr>
                <w:rFonts w:ascii="宋体" w:cs="宋体"/>
                <w:color w:val="000000"/>
                <w:sz w:val="24"/>
              </w:rPr>
            </w:pPr>
            <w:r>
              <w:rPr>
                <w:rFonts w:ascii="宋体" w:hAnsi="宋体" w:cs="宋体"/>
                <w:color w:val="000000"/>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07B4BC">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CF47A3">
            <w:pPr>
              <w:widowControl/>
              <w:jc w:val="center"/>
              <w:textAlignment w:val="center"/>
              <w:rPr>
                <w:rFonts w:ascii="宋体" w:cs="宋体"/>
                <w:color w:val="000000"/>
                <w:sz w:val="24"/>
              </w:rPr>
            </w:pPr>
            <w:r>
              <w:rPr>
                <w:rFonts w:ascii="宋体" w:hAnsi="宋体" w:cs="宋体"/>
                <w:color w:val="000000"/>
                <w:sz w:val="24"/>
              </w:rPr>
              <w:t>90</w:t>
            </w:r>
          </w:p>
        </w:tc>
      </w:tr>
      <w:tr w14:paraId="26B31FBC">
        <w:tblPrEx>
          <w:tblCellMar>
            <w:top w:w="0" w:type="dxa"/>
            <w:left w:w="0" w:type="dxa"/>
            <w:bottom w:w="0" w:type="dxa"/>
            <w:right w:w="0" w:type="dxa"/>
          </w:tblCellMar>
        </w:tblPrEx>
        <w:trPr>
          <w:gridAfter w:val="1"/>
          <w:wAfter w:w="105" w:type="dxa"/>
          <w:trHeight w:val="808"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182BB4B0">
            <w:pPr>
              <w:widowControl/>
              <w:jc w:val="left"/>
              <w:rPr>
                <w:rFonts w:ascii="宋体" w:cs="宋体"/>
                <w:color w:val="000000"/>
                <w:sz w:val="24"/>
              </w:rPr>
            </w:pPr>
          </w:p>
        </w:tc>
        <w:tc>
          <w:tcPr>
            <w:tcW w:w="2169"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F16F7C">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C433F6">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73100">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418779">
            <w:pPr>
              <w:jc w:val="center"/>
              <w:rPr>
                <w:rFonts w:ascii="宋体" w:cs="宋体"/>
                <w:color w:val="000000"/>
                <w:sz w:val="24"/>
              </w:rPr>
            </w:pPr>
          </w:p>
        </w:tc>
      </w:tr>
      <w:tr w14:paraId="2C5A1781">
        <w:tblPrEx>
          <w:tblCellMar>
            <w:top w:w="0" w:type="dxa"/>
            <w:left w:w="0" w:type="dxa"/>
            <w:bottom w:w="0" w:type="dxa"/>
            <w:right w:w="0" w:type="dxa"/>
          </w:tblCellMar>
        </w:tblPrEx>
        <w:trPr>
          <w:gridAfter w:val="1"/>
          <w:wAfter w:w="105" w:type="dxa"/>
          <w:trHeight w:val="276"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A1484D">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3D6067">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6EDAD0">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14:paraId="1BD1DF91">
        <w:tblPrEx>
          <w:tblCellMar>
            <w:top w:w="0" w:type="dxa"/>
            <w:left w:w="0" w:type="dxa"/>
            <w:bottom w:w="0" w:type="dxa"/>
            <w:right w:w="0" w:type="dxa"/>
          </w:tblCellMar>
        </w:tblPrEx>
        <w:trPr>
          <w:trHeight w:val="1159"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213A38F1">
            <w:pPr>
              <w:widowControl/>
              <w:jc w:val="left"/>
              <w:rPr>
                <w:rFonts w:ascii="宋体" w:cs="宋体"/>
                <w:color w:val="000000"/>
                <w:sz w:val="24"/>
              </w:rPr>
            </w:pPr>
          </w:p>
        </w:tc>
        <w:tc>
          <w:tcPr>
            <w:tcW w:w="456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F2CD37">
            <w:pPr>
              <w:widowControl/>
              <w:jc w:val="center"/>
              <w:textAlignment w:val="center"/>
              <w:rPr>
                <w:rFonts w:ascii="宋体" w:cs="宋体"/>
                <w:color w:val="000000"/>
                <w:sz w:val="24"/>
              </w:rPr>
            </w:pPr>
            <w:r>
              <w:rPr>
                <w:rFonts w:hint="eastAsia"/>
                <w:color w:val="000000"/>
              </w:rPr>
              <w:t>建立万头优质生猪示范养殖基地</w:t>
            </w:r>
            <w:r>
              <w:rPr>
                <w:color w:val="000000"/>
              </w:rPr>
              <w:t>1</w:t>
            </w:r>
            <w:r>
              <w:rPr>
                <w:rFonts w:hint="eastAsia"/>
                <w:color w:val="000000"/>
              </w:rPr>
              <w:t>个，建立生猪产业技、物配送中心</w:t>
            </w:r>
            <w:r>
              <w:rPr>
                <w:color w:val="000000"/>
              </w:rPr>
              <w:t>1</w:t>
            </w:r>
            <w:r>
              <w:rPr>
                <w:rFonts w:hint="eastAsia"/>
                <w:color w:val="000000"/>
              </w:rPr>
              <w:t>个，建立市级科技养殖示范村</w:t>
            </w:r>
            <w:r>
              <w:rPr>
                <w:color w:val="000000"/>
              </w:rPr>
              <w:t>1</w:t>
            </w:r>
            <w:r>
              <w:rPr>
                <w:rFonts w:hint="eastAsia"/>
                <w:color w:val="000000"/>
              </w:rPr>
              <w:t>个，引进新丹系种猪</w:t>
            </w:r>
            <w:r>
              <w:rPr>
                <w:color w:val="000000"/>
              </w:rPr>
              <w:t>1200</w:t>
            </w:r>
            <w:r>
              <w:rPr>
                <w:rFonts w:hint="eastAsia"/>
                <w:color w:val="000000"/>
              </w:rPr>
              <w:t>头。举办养殖技术培训</w:t>
            </w:r>
            <w:r>
              <w:rPr>
                <w:color w:val="000000"/>
              </w:rPr>
              <w:t>3</w:t>
            </w:r>
            <w:r>
              <w:rPr>
                <w:rFonts w:hint="eastAsia"/>
                <w:color w:val="000000"/>
              </w:rPr>
              <w:t>次均</w:t>
            </w:r>
            <w:r>
              <w:rPr>
                <w:color w:val="000000"/>
              </w:rPr>
              <w:t>120</w:t>
            </w:r>
            <w:r>
              <w:rPr>
                <w:rFonts w:hint="eastAsia"/>
                <w:color w:val="000000"/>
              </w:rPr>
              <w:t>人次，专业技术团队</w:t>
            </w:r>
            <w:r>
              <w:rPr>
                <w:color w:val="000000"/>
              </w:rPr>
              <w:t>5</w:t>
            </w:r>
            <w:r>
              <w:rPr>
                <w:rFonts w:hint="eastAsia"/>
                <w:color w:val="000000"/>
              </w:rPr>
              <w:t>人服务多次。通过该项目的实施，形成</w:t>
            </w:r>
            <w:r>
              <w:rPr>
                <w:color w:val="000000"/>
              </w:rPr>
              <w:t>1</w:t>
            </w:r>
            <w:r>
              <w:rPr>
                <w:rFonts w:hint="eastAsia"/>
                <w:color w:val="000000"/>
              </w:rPr>
              <w:t>个市级科技养殖示范村，</w:t>
            </w:r>
            <w:r>
              <w:rPr>
                <w:rFonts w:hint="eastAsia"/>
                <w:color w:val="000000"/>
                <w:spacing w:val="15"/>
                <w:kern w:val="0"/>
              </w:rPr>
              <w:t>户均增收</w:t>
            </w:r>
            <w:r>
              <w:rPr>
                <w:color w:val="000000"/>
                <w:spacing w:val="15"/>
                <w:kern w:val="0"/>
              </w:rPr>
              <w:t>1850</w:t>
            </w:r>
            <w:r>
              <w:rPr>
                <w:rFonts w:hint="eastAsia"/>
                <w:color w:val="000000"/>
                <w:spacing w:val="15"/>
                <w:kern w:val="0"/>
              </w:rPr>
              <w:t>元以上。</w:t>
            </w:r>
          </w:p>
        </w:tc>
        <w:tc>
          <w:tcPr>
            <w:tcW w:w="4891"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D5563C">
            <w:pPr>
              <w:widowControl/>
              <w:jc w:val="center"/>
              <w:textAlignment w:val="center"/>
              <w:rPr>
                <w:rFonts w:ascii="宋体" w:cs="宋体"/>
                <w:color w:val="000000"/>
                <w:sz w:val="24"/>
              </w:rPr>
            </w:pPr>
            <w:r>
              <w:rPr>
                <w:rFonts w:hint="eastAsia"/>
                <w:color w:val="000000"/>
              </w:rPr>
              <w:t>建立万头优质生猪示范养殖基地</w:t>
            </w:r>
            <w:r>
              <w:rPr>
                <w:color w:val="000000"/>
              </w:rPr>
              <w:t>1</w:t>
            </w:r>
            <w:r>
              <w:rPr>
                <w:rFonts w:hint="eastAsia"/>
                <w:color w:val="000000"/>
              </w:rPr>
              <w:t>个，建立生猪产业技、物配送中心</w:t>
            </w:r>
            <w:r>
              <w:rPr>
                <w:color w:val="000000"/>
              </w:rPr>
              <w:t>1</w:t>
            </w:r>
            <w:r>
              <w:rPr>
                <w:rFonts w:hint="eastAsia"/>
                <w:color w:val="000000"/>
              </w:rPr>
              <w:t>个，建立市级科技养殖示范村</w:t>
            </w:r>
            <w:r>
              <w:rPr>
                <w:color w:val="000000"/>
              </w:rPr>
              <w:t>1</w:t>
            </w:r>
            <w:r>
              <w:rPr>
                <w:rFonts w:hint="eastAsia"/>
                <w:color w:val="000000"/>
              </w:rPr>
              <w:t>个，引进新丹系种猪</w:t>
            </w:r>
            <w:r>
              <w:rPr>
                <w:color w:val="000000"/>
              </w:rPr>
              <w:t>1200</w:t>
            </w:r>
            <w:r>
              <w:rPr>
                <w:rFonts w:hint="eastAsia"/>
                <w:color w:val="000000"/>
              </w:rPr>
              <w:t>头。举办养殖技术培训</w:t>
            </w:r>
            <w:r>
              <w:rPr>
                <w:color w:val="000000"/>
              </w:rPr>
              <w:t>3</w:t>
            </w:r>
            <w:r>
              <w:rPr>
                <w:rFonts w:hint="eastAsia"/>
                <w:color w:val="000000"/>
              </w:rPr>
              <w:t>次均</w:t>
            </w:r>
            <w:r>
              <w:rPr>
                <w:color w:val="000000"/>
              </w:rPr>
              <w:t>120</w:t>
            </w:r>
            <w:r>
              <w:rPr>
                <w:rFonts w:hint="eastAsia"/>
                <w:color w:val="000000"/>
              </w:rPr>
              <w:t>人次，专业技术团队</w:t>
            </w:r>
            <w:r>
              <w:rPr>
                <w:color w:val="000000"/>
              </w:rPr>
              <w:t>5</w:t>
            </w:r>
            <w:r>
              <w:rPr>
                <w:rFonts w:hint="eastAsia"/>
                <w:color w:val="000000"/>
              </w:rPr>
              <w:t>人服务多次。通过该项目的实施，形成</w:t>
            </w:r>
            <w:r>
              <w:rPr>
                <w:color w:val="000000"/>
              </w:rPr>
              <w:t>1</w:t>
            </w:r>
            <w:r>
              <w:rPr>
                <w:rFonts w:hint="eastAsia"/>
                <w:color w:val="000000"/>
              </w:rPr>
              <w:t>个市级科技养殖示范村，</w:t>
            </w:r>
            <w:r>
              <w:rPr>
                <w:rFonts w:hint="eastAsia"/>
                <w:color w:val="000000"/>
                <w:spacing w:val="15"/>
                <w:kern w:val="0"/>
              </w:rPr>
              <w:t>户均增收</w:t>
            </w:r>
            <w:r>
              <w:rPr>
                <w:color w:val="000000"/>
                <w:spacing w:val="15"/>
                <w:kern w:val="0"/>
              </w:rPr>
              <w:t>1850</w:t>
            </w:r>
            <w:r>
              <w:rPr>
                <w:rFonts w:hint="eastAsia"/>
                <w:color w:val="000000"/>
                <w:spacing w:val="15"/>
                <w:kern w:val="0"/>
              </w:rPr>
              <w:t>元以上。</w:t>
            </w:r>
          </w:p>
        </w:tc>
      </w:tr>
      <w:tr w14:paraId="76768BB2">
        <w:tblPrEx>
          <w:tblCellMar>
            <w:top w:w="0" w:type="dxa"/>
            <w:left w:w="0" w:type="dxa"/>
            <w:bottom w:w="0" w:type="dxa"/>
            <w:right w:w="0" w:type="dxa"/>
          </w:tblCellMar>
        </w:tblPrEx>
        <w:trPr>
          <w:trHeight w:val="1042" w:hRule="atLeast"/>
        </w:trPr>
        <w:tc>
          <w:tcPr>
            <w:tcW w:w="613"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BBD423">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43ED48">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4BEFEA">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A70A54">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6F0940">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B79D89">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07FBDB36">
        <w:tblPrEx>
          <w:tblCellMar>
            <w:top w:w="0" w:type="dxa"/>
            <w:left w:w="0" w:type="dxa"/>
            <w:bottom w:w="0" w:type="dxa"/>
            <w:right w:w="0" w:type="dxa"/>
          </w:tblCellMar>
        </w:tblPrEx>
        <w:trPr>
          <w:trHeight w:val="1472"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40A34D62">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E20E73">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D60B60">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0F99F9">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建立养殖示范基地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0A4549">
            <w:pPr>
              <w:widowControl/>
              <w:jc w:val="center"/>
              <w:textAlignment w:val="center"/>
              <w:rPr>
                <w:rFonts w:ascii="仿宋" w:hAnsi="仿宋" w:eastAsia="仿宋" w:cs="仿宋"/>
                <w:color w:val="000000"/>
                <w:sz w:val="24"/>
              </w:rPr>
            </w:pPr>
            <w:r>
              <w:rPr>
                <w:rFonts w:hint="eastAsia"/>
                <w:color w:val="000000"/>
              </w:rPr>
              <w:t>建立万头优质生猪示范养殖基地</w:t>
            </w:r>
            <w:r>
              <w:rPr>
                <w:color w:val="000000"/>
              </w:rPr>
              <w:t>1</w:t>
            </w:r>
            <w:r>
              <w:rPr>
                <w:rFonts w:hint="eastAsia"/>
                <w:color w:val="000000"/>
              </w:rPr>
              <w:t>个，建立生猪产业技、物配送中心</w:t>
            </w:r>
            <w:r>
              <w:rPr>
                <w:color w:val="000000"/>
              </w:rPr>
              <w:t>1</w:t>
            </w:r>
            <w:r>
              <w:rPr>
                <w:rFonts w:hint="eastAsia"/>
                <w:color w:val="000000"/>
              </w:rPr>
              <w:t>个，建立市级科技养殖示范村</w:t>
            </w:r>
            <w:r>
              <w:rPr>
                <w:color w:val="000000"/>
              </w:rPr>
              <w:t>1</w:t>
            </w:r>
            <w:r>
              <w:rPr>
                <w:rFonts w:hint="eastAsia"/>
                <w:color w:val="000000"/>
              </w:rPr>
              <w:t>个，引进新丹系种猪</w:t>
            </w:r>
            <w:r>
              <w:rPr>
                <w:color w:val="000000"/>
              </w:rPr>
              <w:t>1200</w:t>
            </w:r>
            <w:r>
              <w:rPr>
                <w:rFonts w:hint="eastAsia"/>
                <w:color w:val="000000"/>
              </w:rPr>
              <w:t>头。</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1CF9D">
            <w:pPr>
              <w:widowControl/>
              <w:jc w:val="center"/>
              <w:textAlignment w:val="center"/>
              <w:rPr>
                <w:rFonts w:ascii="仿宋" w:hAnsi="仿宋" w:eastAsia="仿宋" w:cs="仿宋"/>
                <w:color w:val="000000"/>
                <w:sz w:val="24"/>
              </w:rPr>
            </w:pPr>
            <w:r>
              <w:rPr>
                <w:rFonts w:hint="eastAsia"/>
                <w:color w:val="000000"/>
              </w:rPr>
              <w:t>建立万头优质生猪示范养殖基地</w:t>
            </w:r>
            <w:r>
              <w:rPr>
                <w:color w:val="000000"/>
              </w:rPr>
              <w:t>1</w:t>
            </w:r>
            <w:r>
              <w:rPr>
                <w:rFonts w:hint="eastAsia"/>
                <w:color w:val="000000"/>
              </w:rPr>
              <w:t>个，建立生猪产业技、物配送中心</w:t>
            </w:r>
            <w:r>
              <w:rPr>
                <w:color w:val="000000"/>
              </w:rPr>
              <w:t>1</w:t>
            </w:r>
            <w:r>
              <w:rPr>
                <w:rFonts w:hint="eastAsia"/>
                <w:color w:val="000000"/>
              </w:rPr>
              <w:t>个，建立市级科技养殖示范村</w:t>
            </w:r>
            <w:r>
              <w:rPr>
                <w:color w:val="000000"/>
              </w:rPr>
              <w:t>1</w:t>
            </w:r>
            <w:r>
              <w:rPr>
                <w:rFonts w:hint="eastAsia"/>
                <w:color w:val="000000"/>
              </w:rPr>
              <w:t>个，引进新丹系种猪</w:t>
            </w:r>
            <w:r>
              <w:rPr>
                <w:color w:val="000000"/>
              </w:rPr>
              <w:t>1200</w:t>
            </w:r>
            <w:r>
              <w:rPr>
                <w:rFonts w:hint="eastAsia"/>
                <w:color w:val="000000"/>
              </w:rPr>
              <w:t>头。</w:t>
            </w:r>
          </w:p>
        </w:tc>
      </w:tr>
      <w:tr w14:paraId="2846DE6B">
        <w:tblPrEx>
          <w:tblCellMar>
            <w:top w:w="0" w:type="dxa"/>
            <w:left w:w="0" w:type="dxa"/>
            <w:bottom w:w="0" w:type="dxa"/>
            <w:right w:w="0" w:type="dxa"/>
          </w:tblCellMar>
        </w:tblPrEx>
        <w:trPr>
          <w:trHeight w:val="1297"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559811A8">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DB1801">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E48438">
            <w:pPr>
              <w:widowControl/>
              <w:jc w:val="center"/>
              <w:textAlignment w:val="center"/>
              <w:rPr>
                <w:rFonts w:ascii="宋体" w:cs="宋体"/>
                <w:color w:val="000000"/>
                <w:sz w:val="24"/>
              </w:rPr>
            </w:pPr>
            <w:r>
              <w:rPr>
                <w:rFonts w:hint="eastAsia" w:ascii="仿宋" w:hAnsi="仿宋" w:eastAsia="仿宋" w:cs="仿宋"/>
                <w:color w:val="000000"/>
                <w:sz w:val="24"/>
              </w:rPr>
              <w:t>项目产出</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B18FB6">
            <w:pPr>
              <w:widowControl/>
              <w:jc w:val="center"/>
              <w:textAlignment w:val="center"/>
              <w:rPr>
                <w:rFonts w:ascii="宋体" w:cs="宋体"/>
                <w:color w:val="000000"/>
                <w:sz w:val="24"/>
              </w:rPr>
            </w:pPr>
            <w:r>
              <w:rPr>
                <w:rFonts w:hint="eastAsia" w:ascii="宋体" w:hAnsi="宋体" w:cs="宋体"/>
                <w:color w:val="000000"/>
                <w:sz w:val="24"/>
              </w:rPr>
              <w:t>开展培训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852A8">
            <w:pPr>
              <w:widowControl/>
              <w:jc w:val="center"/>
              <w:textAlignment w:val="center"/>
              <w:rPr>
                <w:rFonts w:ascii="仿宋" w:hAnsi="仿宋" w:eastAsia="仿宋" w:cs="仿宋"/>
                <w:color w:val="000000"/>
                <w:sz w:val="24"/>
              </w:rPr>
            </w:pPr>
            <w:r>
              <w:rPr>
                <w:rFonts w:hint="eastAsia"/>
                <w:color w:val="000000"/>
              </w:rPr>
              <w:t>开展技术培训</w:t>
            </w:r>
            <w:r>
              <w:rPr>
                <w:color w:val="000000"/>
              </w:rPr>
              <w:t>3</w:t>
            </w:r>
            <w:r>
              <w:rPr>
                <w:rFonts w:hint="eastAsia"/>
                <w:color w:val="000000"/>
              </w:rPr>
              <w:t>場，培训均</w:t>
            </w:r>
            <w:r>
              <w:rPr>
                <w:color w:val="000000"/>
              </w:rPr>
              <w:t>120</w:t>
            </w:r>
            <w:r>
              <w:rPr>
                <w:rFonts w:hint="eastAsia"/>
                <w:color w:val="000000"/>
              </w:rPr>
              <w:t>人次。</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38C34">
            <w:pPr>
              <w:widowControl/>
              <w:jc w:val="center"/>
              <w:textAlignment w:val="center"/>
              <w:rPr>
                <w:rFonts w:ascii="仿宋" w:hAnsi="仿宋" w:eastAsia="仿宋" w:cs="仿宋"/>
                <w:color w:val="000000"/>
                <w:sz w:val="24"/>
              </w:rPr>
            </w:pPr>
            <w:r>
              <w:rPr>
                <w:rFonts w:hint="eastAsia"/>
                <w:color w:val="000000"/>
              </w:rPr>
              <w:t>开展技术培训</w:t>
            </w:r>
            <w:r>
              <w:rPr>
                <w:color w:val="000000"/>
              </w:rPr>
              <w:t>3</w:t>
            </w:r>
            <w:r>
              <w:rPr>
                <w:rFonts w:hint="eastAsia"/>
                <w:color w:val="000000"/>
              </w:rPr>
              <w:t>場，培训均</w:t>
            </w:r>
            <w:r>
              <w:rPr>
                <w:color w:val="000000"/>
              </w:rPr>
              <w:t>120</w:t>
            </w:r>
            <w:r>
              <w:rPr>
                <w:rFonts w:hint="eastAsia"/>
                <w:color w:val="000000"/>
              </w:rPr>
              <w:t>人次。</w:t>
            </w:r>
          </w:p>
        </w:tc>
      </w:tr>
      <w:tr w14:paraId="6920EF3B">
        <w:tblPrEx>
          <w:tblCellMar>
            <w:top w:w="0" w:type="dxa"/>
            <w:left w:w="0" w:type="dxa"/>
            <w:bottom w:w="0" w:type="dxa"/>
            <w:right w:w="0" w:type="dxa"/>
          </w:tblCellMar>
        </w:tblPrEx>
        <w:trPr>
          <w:trHeight w:val="1042"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5BFC88A4">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007CFB">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786EA7">
            <w:pPr>
              <w:widowControl/>
              <w:jc w:val="center"/>
              <w:textAlignment w:val="center"/>
              <w:rPr>
                <w:rFonts w:ascii="宋体" w:cs="宋体"/>
                <w:color w:val="000000"/>
                <w:sz w:val="24"/>
              </w:rPr>
            </w:pPr>
            <w:r>
              <w:rPr>
                <w:rFonts w:hint="eastAsia" w:ascii="宋体" w:hAnsi="宋体" w:cs="宋体"/>
                <w:color w:val="000000"/>
                <w:sz w:val="24"/>
              </w:rPr>
              <w:t>经济效益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9FA6AF">
            <w:pPr>
              <w:widowControl/>
              <w:jc w:val="center"/>
              <w:textAlignment w:val="center"/>
              <w:rPr>
                <w:rFonts w:ascii="宋体" w:cs="宋体"/>
                <w:color w:val="000000"/>
                <w:sz w:val="24"/>
              </w:rPr>
            </w:pPr>
            <w:r>
              <w:rPr>
                <w:rFonts w:hint="eastAsia" w:ascii="仿宋" w:hAnsi="仿宋" w:eastAsia="仿宋" w:cs="仿宋"/>
                <w:color w:val="000000"/>
                <w:sz w:val="24"/>
              </w:rPr>
              <w:t>促进农民增收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43F81B">
            <w:pPr>
              <w:widowControl/>
              <w:jc w:val="center"/>
              <w:textAlignment w:val="center"/>
              <w:rPr>
                <w:rFonts w:ascii="宋体" w:cs="宋体"/>
                <w:color w:val="000000"/>
                <w:sz w:val="24"/>
              </w:rPr>
            </w:pPr>
            <w:r>
              <w:rPr>
                <w:rFonts w:hint="eastAsia"/>
                <w:color w:val="000000"/>
              </w:rPr>
              <w:t>带动农户</w:t>
            </w:r>
            <w:r>
              <w:rPr>
                <w:color w:val="000000"/>
              </w:rPr>
              <w:t>25</w:t>
            </w:r>
            <w:r>
              <w:rPr>
                <w:rFonts w:hint="eastAsia"/>
                <w:color w:val="000000"/>
              </w:rPr>
              <w:t>户，农户增收</w:t>
            </w:r>
            <w:r>
              <w:rPr>
                <w:color w:val="000000"/>
              </w:rPr>
              <w:t>1850</w:t>
            </w:r>
            <w:r>
              <w:rPr>
                <w:rFonts w:hint="eastAsia"/>
                <w:color w:val="000000"/>
              </w:rPr>
              <w:t>元，</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582E49">
            <w:pPr>
              <w:widowControl/>
              <w:jc w:val="center"/>
              <w:textAlignment w:val="center"/>
              <w:rPr>
                <w:rFonts w:ascii="宋体" w:cs="宋体"/>
                <w:color w:val="000000"/>
                <w:sz w:val="24"/>
              </w:rPr>
            </w:pPr>
            <w:r>
              <w:rPr>
                <w:rFonts w:hint="eastAsia"/>
                <w:color w:val="000000"/>
              </w:rPr>
              <w:t>带动农户</w:t>
            </w:r>
            <w:r>
              <w:rPr>
                <w:color w:val="000000"/>
              </w:rPr>
              <w:t>25</w:t>
            </w:r>
            <w:r>
              <w:rPr>
                <w:rFonts w:hint="eastAsia"/>
                <w:color w:val="000000"/>
              </w:rPr>
              <w:t>户，农户增收</w:t>
            </w:r>
            <w:r>
              <w:rPr>
                <w:color w:val="000000"/>
              </w:rPr>
              <w:t>1850</w:t>
            </w:r>
            <w:r>
              <w:rPr>
                <w:rFonts w:hint="eastAsia"/>
                <w:color w:val="000000"/>
              </w:rPr>
              <w:t>元，</w:t>
            </w:r>
          </w:p>
        </w:tc>
      </w:tr>
      <w:tr w14:paraId="2FD3DDF5">
        <w:tblPrEx>
          <w:tblCellMar>
            <w:top w:w="0" w:type="dxa"/>
            <w:left w:w="0" w:type="dxa"/>
            <w:bottom w:w="0" w:type="dxa"/>
            <w:right w:w="0" w:type="dxa"/>
          </w:tblCellMar>
        </w:tblPrEx>
        <w:trPr>
          <w:trHeight w:val="1297"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2058E958">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6498D6">
            <w:pPr>
              <w:widowControl/>
              <w:jc w:val="center"/>
              <w:textAlignment w:val="center"/>
              <w:rPr>
                <w:rFonts w:asci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C43504">
            <w:pPr>
              <w:widowControl/>
              <w:jc w:val="center"/>
              <w:textAlignment w:val="center"/>
              <w:rPr>
                <w:rFonts w:ascii="宋体" w:cs="宋体"/>
                <w:color w:val="000000"/>
                <w:sz w:val="24"/>
              </w:rPr>
            </w:pPr>
            <w:r>
              <w:rPr>
                <w:rFonts w:hint="eastAsia" w:ascii="宋体" w:hAnsi="宋体" w:cs="宋体"/>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75873A">
            <w:pPr>
              <w:widowControl/>
              <w:jc w:val="center"/>
              <w:textAlignment w:val="center"/>
              <w:rPr>
                <w:rFonts w:ascii="宋体" w:cs="宋体"/>
                <w:color w:val="000000"/>
                <w:sz w:val="24"/>
              </w:rPr>
            </w:pPr>
            <w:r>
              <w:rPr>
                <w:rFonts w:hint="eastAsia"/>
                <w:color w:val="000000"/>
              </w:rPr>
              <w:t>生猪养殖和防疫技术提高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E6AC66">
            <w:pPr>
              <w:spacing w:line="551" w:lineRule="exact"/>
              <w:ind w:firstLine="420" w:firstLineChars="200"/>
              <w:rPr>
                <w:color w:val="000000"/>
              </w:rPr>
            </w:pPr>
            <w:r>
              <w:rPr>
                <w:rFonts w:hint="eastAsia"/>
                <w:color w:val="000000"/>
              </w:rPr>
              <w:t>生猪养殖和防疫技术提高，生猪养殖技术提高</w:t>
            </w:r>
            <w:r>
              <w:rPr>
                <w:color w:val="000000"/>
              </w:rPr>
              <w:t>80%</w:t>
            </w:r>
          </w:p>
          <w:p w14:paraId="694B4EE8">
            <w:pPr>
              <w:widowControl/>
              <w:jc w:val="center"/>
              <w:textAlignment w:val="center"/>
              <w:rPr>
                <w:rFonts w:ascii="宋体" w:cs="宋体"/>
                <w:color w:val="000000"/>
                <w:sz w:val="24"/>
              </w:rPr>
            </w:pP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FF66D0">
            <w:pPr>
              <w:spacing w:line="551" w:lineRule="exact"/>
              <w:ind w:firstLine="420" w:firstLineChars="200"/>
              <w:rPr>
                <w:color w:val="000000"/>
              </w:rPr>
            </w:pPr>
            <w:r>
              <w:rPr>
                <w:rFonts w:hint="eastAsia"/>
                <w:color w:val="000000"/>
              </w:rPr>
              <w:t>生猪养殖和防疫技术提高，生猪养殖技术提高</w:t>
            </w:r>
            <w:r>
              <w:rPr>
                <w:color w:val="000000"/>
              </w:rPr>
              <w:t>80%</w:t>
            </w:r>
          </w:p>
          <w:p w14:paraId="723CA2EF">
            <w:pPr>
              <w:widowControl/>
              <w:jc w:val="center"/>
              <w:textAlignment w:val="center"/>
              <w:rPr>
                <w:rFonts w:ascii="宋体" w:cs="宋体"/>
                <w:color w:val="000000"/>
                <w:sz w:val="24"/>
              </w:rPr>
            </w:pPr>
          </w:p>
        </w:tc>
      </w:tr>
      <w:tr w14:paraId="2FB4BEAC">
        <w:tblPrEx>
          <w:tblCellMar>
            <w:top w:w="0" w:type="dxa"/>
            <w:left w:w="0" w:type="dxa"/>
            <w:bottom w:w="0" w:type="dxa"/>
            <w:right w:w="0" w:type="dxa"/>
          </w:tblCellMar>
        </w:tblPrEx>
        <w:trPr>
          <w:trHeight w:val="1050" w:hRule="atLeast"/>
        </w:trPr>
        <w:tc>
          <w:tcPr>
            <w:tcW w:w="613" w:type="dxa"/>
            <w:vMerge w:val="continue"/>
            <w:tcBorders>
              <w:top w:val="single" w:color="000000" w:sz="4" w:space="0"/>
              <w:left w:val="single" w:color="000000" w:sz="4" w:space="0"/>
              <w:bottom w:val="single" w:color="000000" w:sz="4" w:space="0"/>
              <w:right w:val="single" w:color="000000" w:sz="4" w:space="0"/>
            </w:tcBorders>
            <w:vAlign w:val="center"/>
          </w:tcPr>
          <w:p w14:paraId="7C0AD5AA">
            <w:pPr>
              <w:widowControl/>
              <w:jc w:val="left"/>
              <w:rPr>
                <w:rFonts w:ascii="宋体" w:cs="宋体"/>
                <w:color w:val="000000"/>
                <w:sz w:val="24"/>
              </w:rPr>
            </w:pPr>
          </w:p>
        </w:tc>
        <w:tc>
          <w:tcPr>
            <w:tcW w:w="114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DF6103">
            <w:pPr>
              <w:widowControl/>
              <w:jc w:val="center"/>
              <w:textAlignment w:val="center"/>
              <w:rPr>
                <w:rFonts w:asci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3D53C7">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0DCD3F">
            <w:pPr>
              <w:widowControl/>
              <w:jc w:val="center"/>
              <w:textAlignment w:val="center"/>
              <w:rPr>
                <w:rFonts w:ascii="宋体" w:cs="宋体"/>
                <w:color w:val="000000"/>
                <w:sz w:val="24"/>
              </w:rPr>
            </w:pPr>
            <w:r>
              <w:rPr>
                <w:rFonts w:hint="eastAsia" w:ascii="宋体" w:hAnsi="宋体" w:cs="宋体"/>
                <w:color w:val="000000"/>
                <w:sz w:val="24"/>
              </w:rPr>
              <w:t>政府满意度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261AC8">
            <w:pPr>
              <w:widowControl/>
              <w:jc w:val="center"/>
              <w:textAlignment w:val="center"/>
              <w:rPr>
                <w:rFonts w:ascii="宋体" w:cs="宋体"/>
                <w:color w:val="000000"/>
                <w:sz w:val="24"/>
              </w:rPr>
            </w:pPr>
            <w:r>
              <w:rPr>
                <w:rFonts w:ascii="宋体" w:hAnsi="宋体" w:cs="宋体"/>
                <w:color w:val="000000"/>
                <w:sz w:val="24"/>
              </w:rPr>
              <w:t>100%</w:t>
            </w:r>
          </w:p>
        </w:tc>
        <w:tc>
          <w:tcPr>
            <w:tcW w:w="249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49DA2EE">
            <w:pPr>
              <w:widowControl/>
              <w:jc w:val="center"/>
              <w:textAlignment w:val="center"/>
              <w:rPr>
                <w:rFonts w:ascii="宋体" w:cs="宋体"/>
                <w:color w:val="000000"/>
                <w:sz w:val="24"/>
              </w:rPr>
            </w:pPr>
            <w:r>
              <w:rPr>
                <w:rFonts w:ascii="宋体" w:hAnsi="宋体" w:cs="宋体"/>
                <w:color w:val="000000"/>
                <w:sz w:val="24"/>
              </w:rPr>
              <w:t>100%</w:t>
            </w:r>
          </w:p>
        </w:tc>
      </w:tr>
    </w:tbl>
    <w:p w14:paraId="7380502B">
      <w:pPr>
        <w:spacing w:line="580" w:lineRule="exact"/>
        <w:rPr>
          <w:rFonts w:ascii="仿宋_GB2312" w:hAnsi="仿宋_GB2312" w:eastAsia="仿宋_GB2312" w:cs="仿宋_GB2312"/>
          <w:sz w:val="32"/>
          <w:szCs w:val="32"/>
        </w:rPr>
      </w:pPr>
    </w:p>
    <w:p w14:paraId="1A970B6C">
      <w:pPr>
        <w:numPr>
          <w:ilvl w:val="0"/>
          <w:numId w:val="5"/>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7C797B5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本部门按要求对</w:t>
      </w:r>
      <w:r>
        <w:rPr>
          <w:rFonts w:ascii="仿宋" w:hAnsi="仿宋" w:eastAsia="仿宋"/>
          <w:color w:val="000000"/>
          <w:sz w:val="32"/>
          <w:szCs w:val="32"/>
        </w:rPr>
        <w:t>2018</w:t>
      </w:r>
      <w:r>
        <w:rPr>
          <w:rFonts w:hint="eastAsia" w:ascii="仿宋" w:hAnsi="仿宋" w:eastAsia="仿宋"/>
          <w:color w:val="000000"/>
          <w:sz w:val="32"/>
          <w:szCs w:val="32"/>
        </w:rPr>
        <w:t>年部门整体支出绩效评价情况开展自评，《区经信局</w:t>
      </w:r>
      <w:r>
        <w:rPr>
          <w:rFonts w:ascii="仿宋" w:hAnsi="仿宋" w:eastAsia="仿宋"/>
          <w:color w:val="000000"/>
          <w:sz w:val="32"/>
          <w:szCs w:val="32"/>
        </w:rPr>
        <w:t>2018</w:t>
      </w:r>
      <w:r>
        <w:rPr>
          <w:rFonts w:hint="eastAsia" w:ascii="仿宋" w:hAnsi="仿宋" w:eastAsia="仿宋"/>
          <w:color w:val="000000"/>
          <w:sz w:val="32"/>
          <w:szCs w:val="32"/>
        </w:rPr>
        <w:t>年部门整体支出绩效评价报告》见附件。</w:t>
      </w:r>
    </w:p>
    <w:p w14:paraId="2470558D">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本部门自行组织对年产“</w:t>
      </w:r>
      <w:r>
        <w:rPr>
          <w:rFonts w:ascii="仿宋" w:hAnsi="仿宋" w:eastAsia="仿宋"/>
          <w:color w:val="000000"/>
          <w:sz w:val="32"/>
          <w:szCs w:val="32"/>
        </w:rPr>
        <w:t>6</w:t>
      </w:r>
      <w:r>
        <w:rPr>
          <w:rFonts w:hint="eastAsia" w:ascii="仿宋" w:hAnsi="仿宋" w:eastAsia="仿宋"/>
          <w:color w:val="000000"/>
          <w:sz w:val="32"/>
          <w:szCs w:val="32"/>
        </w:rPr>
        <w:t>万吨包装食用油技改”项目、“昭化万头优质生猪生态养殖示范场建设”项目开展了绩效评价，《“</w:t>
      </w:r>
      <w:r>
        <w:rPr>
          <w:rFonts w:ascii="仿宋" w:hAnsi="仿宋" w:eastAsia="仿宋"/>
          <w:color w:val="000000"/>
          <w:sz w:val="32"/>
          <w:szCs w:val="32"/>
        </w:rPr>
        <w:t>6</w:t>
      </w:r>
      <w:r>
        <w:rPr>
          <w:rFonts w:hint="eastAsia" w:ascii="仿宋" w:hAnsi="仿宋" w:eastAsia="仿宋"/>
          <w:color w:val="000000"/>
          <w:sz w:val="32"/>
          <w:szCs w:val="32"/>
        </w:rPr>
        <w:t>万吨包装食用油技改”项目</w:t>
      </w:r>
      <w:r>
        <w:rPr>
          <w:rFonts w:ascii="仿宋" w:hAnsi="仿宋" w:eastAsia="仿宋"/>
          <w:color w:val="000000"/>
          <w:sz w:val="32"/>
          <w:szCs w:val="32"/>
        </w:rPr>
        <w:t>2018</w:t>
      </w:r>
      <w:r>
        <w:rPr>
          <w:rFonts w:hint="eastAsia" w:ascii="仿宋" w:hAnsi="仿宋" w:eastAsia="仿宋"/>
          <w:color w:val="000000"/>
          <w:sz w:val="32"/>
          <w:szCs w:val="32"/>
        </w:rPr>
        <w:t>年绩效评价报告》、《“昭化万头优质生猪生态养殖示范场建设”项目</w:t>
      </w:r>
      <w:r>
        <w:rPr>
          <w:rFonts w:ascii="仿宋" w:hAnsi="仿宋" w:eastAsia="仿宋"/>
          <w:color w:val="000000"/>
          <w:sz w:val="32"/>
          <w:szCs w:val="32"/>
        </w:rPr>
        <w:t>2018</w:t>
      </w:r>
      <w:r>
        <w:rPr>
          <w:rFonts w:hint="eastAsia" w:ascii="仿宋" w:hAnsi="仿宋" w:eastAsia="仿宋"/>
          <w:color w:val="000000"/>
          <w:sz w:val="32"/>
          <w:szCs w:val="32"/>
        </w:rPr>
        <w:t>年绩效评价报告》见附件。</w:t>
      </w:r>
    </w:p>
    <w:p w14:paraId="78596176">
      <w:pPr>
        <w:spacing w:line="600" w:lineRule="exact"/>
        <w:ind w:firstLine="800" w:firstLineChars="250"/>
        <w:outlineLvl w:val="1"/>
        <w:rPr>
          <w:rStyle w:val="20"/>
          <w:rFonts w:ascii="黑体" w:hAnsi="黑体" w:eastAsia="黑体"/>
        </w:rPr>
      </w:pPr>
      <w:bookmarkStart w:id="51" w:name="_Toc15377221"/>
      <w:bookmarkStart w:id="52" w:name="_Toc15396612"/>
      <w:r>
        <w:rPr>
          <w:rFonts w:hint="eastAsia" w:ascii="黑体" w:hAnsi="黑体" w:eastAsia="黑体"/>
          <w:color w:val="000000"/>
          <w:sz w:val="32"/>
          <w:szCs w:val="32"/>
        </w:rPr>
        <w:t>十</w:t>
      </w:r>
      <w:r>
        <w:rPr>
          <w:rStyle w:val="20"/>
          <w:rFonts w:hint="eastAsia" w:ascii="黑体" w:hAnsi="黑体" w:eastAsia="黑体"/>
        </w:rPr>
        <w:t>一、</w:t>
      </w:r>
      <w:r>
        <w:rPr>
          <w:rStyle w:val="20"/>
          <w:rFonts w:hint="eastAsia" w:ascii="黑体" w:hAnsi="黑体" w:eastAsia="黑体"/>
          <w:b w:val="0"/>
        </w:rPr>
        <w:t>其他重要事项的情况说明</w:t>
      </w:r>
      <w:bookmarkEnd w:id="51"/>
      <w:bookmarkEnd w:id="52"/>
    </w:p>
    <w:p w14:paraId="20D4E0E0">
      <w:pPr>
        <w:spacing w:line="600" w:lineRule="exact"/>
        <w:ind w:firstLine="643" w:firstLineChars="200"/>
        <w:outlineLvl w:val="2"/>
        <w:rPr>
          <w:rFonts w:ascii="仿宋" w:hAnsi="仿宋" w:eastAsia="仿宋"/>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14:paraId="462D139E">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年，广元市昭化区经济和信息化局机关运行经费支出</w:t>
      </w:r>
      <w:r>
        <w:rPr>
          <w:rFonts w:ascii="仿宋" w:hAnsi="仿宋" w:eastAsia="仿宋"/>
          <w:color w:val="000000"/>
          <w:sz w:val="32"/>
          <w:szCs w:val="32"/>
        </w:rPr>
        <w:t>152.2</w:t>
      </w:r>
      <w:r>
        <w:rPr>
          <w:rFonts w:hint="eastAsia" w:ascii="仿宋" w:hAnsi="仿宋" w:eastAsia="仿宋"/>
          <w:color w:val="000000"/>
          <w:sz w:val="32"/>
          <w:szCs w:val="32"/>
        </w:rPr>
        <w:t>万元，比</w:t>
      </w:r>
      <w:r>
        <w:rPr>
          <w:rFonts w:ascii="仿宋" w:hAnsi="仿宋" w:eastAsia="仿宋"/>
          <w:color w:val="000000"/>
          <w:sz w:val="32"/>
          <w:szCs w:val="32"/>
        </w:rPr>
        <w:t>2017</w:t>
      </w:r>
      <w:r>
        <w:rPr>
          <w:rFonts w:hint="eastAsia" w:ascii="仿宋" w:hAnsi="仿宋" w:eastAsia="仿宋"/>
          <w:color w:val="000000"/>
          <w:sz w:val="32"/>
          <w:szCs w:val="32"/>
        </w:rPr>
        <w:t>年增加了</w:t>
      </w:r>
      <w:r>
        <w:rPr>
          <w:rFonts w:ascii="仿宋" w:hAnsi="仿宋" w:eastAsia="仿宋"/>
          <w:color w:val="000000"/>
          <w:sz w:val="32"/>
          <w:szCs w:val="32"/>
        </w:rPr>
        <w:t>16.11</w:t>
      </w:r>
      <w:r>
        <w:rPr>
          <w:rFonts w:hint="eastAsia" w:ascii="仿宋" w:hAnsi="仿宋" w:eastAsia="仿宋"/>
          <w:color w:val="000000"/>
          <w:sz w:val="32"/>
          <w:szCs w:val="32"/>
        </w:rPr>
        <w:t>万元，增加了</w:t>
      </w:r>
      <w:r>
        <w:rPr>
          <w:rFonts w:ascii="仿宋" w:hAnsi="仿宋" w:eastAsia="仿宋"/>
          <w:color w:val="000000"/>
          <w:sz w:val="32"/>
          <w:szCs w:val="32"/>
        </w:rPr>
        <w:t>11.84%</w:t>
      </w:r>
      <w:r>
        <w:rPr>
          <w:rFonts w:hint="eastAsia" w:ascii="仿宋" w:hAnsi="仿宋" w:eastAsia="仿宋"/>
          <w:color w:val="000000"/>
          <w:sz w:val="32"/>
          <w:szCs w:val="32"/>
        </w:rPr>
        <w:t>。主要原因是招商引资任务加重，机关运行经费增加。</w:t>
      </w:r>
    </w:p>
    <w:p w14:paraId="55F1B69A">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14:paraId="3C71C99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年，广元市昭化区经济和信息化局政府采购支出总额</w:t>
      </w:r>
      <w:r>
        <w:rPr>
          <w:rFonts w:ascii="仿宋" w:hAnsi="仿宋" w:eastAsia="仿宋"/>
          <w:color w:val="000000"/>
          <w:sz w:val="32"/>
          <w:szCs w:val="32"/>
        </w:rPr>
        <w:t>0</w:t>
      </w:r>
      <w:r>
        <w:rPr>
          <w:rFonts w:hint="eastAsia" w:ascii="仿宋" w:hAnsi="仿宋" w:eastAsia="仿宋"/>
          <w:color w:val="000000"/>
          <w:sz w:val="32"/>
          <w:szCs w:val="32"/>
        </w:rPr>
        <w:t>万元，其中：政府采购货物支出</w:t>
      </w:r>
      <w:r>
        <w:rPr>
          <w:rFonts w:ascii="仿宋" w:hAnsi="仿宋" w:eastAsia="仿宋"/>
          <w:color w:val="000000"/>
          <w:sz w:val="32"/>
          <w:szCs w:val="32"/>
        </w:rPr>
        <w:t>0</w:t>
      </w:r>
      <w:r>
        <w:rPr>
          <w:rFonts w:hint="eastAsia" w:ascii="仿宋" w:hAnsi="仿宋" w:eastAsia="仿宋"/>
          <w:color w:val="000000"/>
          <w:sz w:val="32"/>
          <w:szCs w:val="32"/>
        </w:rPr>
        <w:t>万元、政府采购工程支出</w:t>
      </w:r>
      <w:r>
        <w:rPr>
          <w:rFonts w:ascii="仿宋" w:hAnsi="仿宋" w:eastAsia="仿宋"/>
          <w:color w:val="000000"/>
          <w:sz w:val="32"/>
          <w:szCs w:val="32"/>
        </w:rPr>
        <w:t>0</w:t>
      </w:r>
      <w:r>
        <w:rPr>
          <w:rFonts w:hint="eastAsia" w:ascii="仿宋" w:hAnsi="仿宋" w:eastAsia="仿宋"/>
          <w:color w:val="000000"/>
          <w:sz w:val="32"/>
          <w:szCs w:val="32"/>
        </w:rPr>
        <w:t>万元、政府采购服务支出</w:t>
      </w:r>
      <w:r>
        <w:rPr>
          <w:rFonts w:ascii="仿宋" w:hAnsi="仿宋" w:eastAsia="仿宋"/>
          <w:color w:val="000000"/>
          <w:sz w:val="32"/>
          <w:szCs w:val="32"/>
        </w:rPr>
        <w:t>0</w:t>
      </w:r>
      <w:r>
        <w:rPr>
          <w:rFonts w:hint="eastAsia" w:ascii="仿宋" w:hAnsi="仿宋" w:eastAsia="仿宋"/>
          <w:color w:val="000000"/>
          <w:sz w:val="32"/>
          <w:szCs w:val="32"/>
        </w:rPr>
        <w:t>万元。占政府采购支出总额的</w:t>
      </w:r>
      <w:r>
        <w:rPr>
          <w:rFonts w:ascii="仿宋" w:hAnsi="仿宋" w:eastAsia="仿宋"/>
          <w:color w:val="000000"/>
          <w:sz w:val="32"/>
          <w:szCs w:val="32"/>
        </w:rPr>
        <w:t>0%</w:t>
      </w:r>
      <w:r>
        <w:rPr>
          <w:rFonts w:hint="eastAsia" w:ascii="仿宋" w:hAnsi="仿宋" w:eastAsia="仿宋"/>
          <w:color w:val="000000"/>
          <w:sz w:val="32"/>
          <w:szCs w:val="32"/>
        </w:rPr>
        <w:t>，其中：授予小微企业合同金额</w:t>
      </w:r>
      <w:r>
        <w:rPr>
          <w:rFonts w:ascii="仿宋" w:hAnsi="仿宋" w:eastAsia="仿宋"/>
          <w:color w:val="000000"/>
          <w:sz w:val="32"/>
          <w:szCs w:val="32"/>
        </w:rPr>
        <w:t>0</w:t>
      </w:r>
      <w:r>
        <w:rPr>
          <w:rFonts w:hint="eastAsia" w:ascii="仿宋" w:hAnsi="仿宋" w:eastAsia="仿宋"/>
          <w:color w:val="000000"/>
          <w:sz w:val="32"/>
          <w:szCs w:val="32"/>
        </w:rPr>
        <w:t>万元，占政府采购支出总额的</w:t>
      </w:r>
      <w:r>
        <w:rPr>
          <w:rFonts w:ascii="仿宋" w:hAnsi="仿宋" w:eastAsia="仿宋"/>
          <w:color w:val="000000"/>
          <w:sz w:val="32"/>
          <w:szCs w:val="32"/>
        </w:rPr>
        <w:t>0%</w:t>
      </w:r>
      <w:r>
        <w:rPr>
          <w:rFonts w:hint="eastAsia" w:ascii="仿宋" w:hAnsi="仿宋" w:eastAsia="仿宋"/>
          <w:color w:val="000000"/>
          <w:sz w:val="32"/>
          <w:szCs w:val="32"/>
        </w:rPr>
        <w:t>。</w:t>
      </w:r>
    </w:p>
    <w:p w14:paraId="793406E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4"/>
      <w:r>
        <w:rPr>
          <w:rFonts w:hint="eastAsia" w:ascii="仿宋" w:hAnsi="仿宋" w:eastAsia="仿宋"/>
          <w:b/>
          <w:color w:val="000000"/>
          <w:sz w:val="32"/>
          <w:szCs w:val="32"/>
        </w:rPr>
        <w:t>（三）国有资产占有使用情况</w:t>
      </w:r>
      <w:bookmarkEnd w:id="55"/>
    </w:p>
    <w:p w14:paraId="1143F03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szCs w:val="32"/>
        </w:rPr>
        <w:t>0</w:t>
      </w:r>
      <w:r>
        <w:rPr>
          <w:rFonts w:hint="eastAsia" w:ascii="仿宋" w:hAnsi="仿宋" w:eastAsia="仿宋"/>
          <w:color w:val="000000"/>
          <w:sz w:val="32"/>
          <w:szCs w:val="32"/>
        </w:rPr>
        <w:t>辆，其中：部级领导干部用车</w:t>
      </w:r>
      <w:r>
        <w:rPr>
          <w:rFonts w:ascii="仿宋" w:hAnsi="仿宋" w:eastAsia="仿宋"/>
          <w:color w:val="000000"/>
          <w:sz w:val="32"/>
          <w:szCs w:val="32"/>
        </w:rPr>
        <w:t>0</w:t>
      </w:r>
      <w:r>
        <w:rPr>
          <w:rFonts w:hint="eastAsia" w:ascii="仿宋" w:hAnsi="仿宋" w:eastAsia="仿宋"/>
          <w:color w:val="000000"/>
          <w:sz w:val="32"/>
          <w:szCs w:val="32"/>
        </w:rPr>
        <w:t>辆、一般公务用车</w:t>
      </w:r>
      <w:r>
        <w:rPr>
          <w:rFonts w:ascii="仿宋" w:hAnsi="仿宋" w:eastAsia="仿宋"/>
          <w:color w:val="000000"/>
          <w:sz w:val="32"/>
          <w:szCs w:val="32"/>
        </w:rPr>
        <w:t>0</w:t>
      </w:r>
      <w:r>
        <w:rPr>
          <w:rFonts w:hint="eastAsia" w:ascii="仿宋" w:hAnsi="仿宋" w:eastAsia="仿宋"/>
          <w:color w:val="000000"/>
          <w:sz w:val="32"/>
          <w:szCs w:val="32"/>
        </w:rPr>
        <w:t>辆、一般执法执勤用车</w:t>
      </w:r>
      <w:r>
        <w:rPr>
          <w:rFonts w:ascii="仿宋" w:hAnsi="仿宋" w:eastAsia="仿宋"/>
          <w:color w:val="000000"/>
          <w:sz w:val="32"/>
          <w:szCs w:val="32"/>
        </w:rPr>
        <w:t>0</w:t>
      </w:r>
      <w:r>
        <w:rPr>
          <w:rFonts w:hint="eastAsia" w:ascii="仿宋" w:hAnsi="仿宋" w:eastAsia="仿宋"/>
          <w:color w:val="000000"/>
          <w:sz w:val="32"/>
          <w:szCs w:val="32"/>
        </w:rPr>
        <w:t>辆、特种专业技术用车</w:t>
      </w:r>
      <w:r>
        <w:rPr>
          <w:rFonts w:ascii="仿宋" w:hAnsi="仿宋" w:eastAsia="仿宋"/>
          <w:color w:val="000000"/>
          <w:sz w:val="32"/>
          <w:szCs w:val="32"/>
        </w:rPr>
        <w:t>0</w:t>
      </w:r>
      <w:r>
        <w:rPr>
          <w:rFonts w:hint="eastAsia" w:ascii="仿宋" w:hAnsi="仿宋" w:eastAsia="仿宋"/>
          <w:color w:val="000000"/>
          <w:sz w:val="32"/>
          <w:szCs w:val="32"/>
        </w:rPr>
        <w:t>辆、其他用车</w:t>
      </w:r>
      <w:r>
        <w:rPr>
          <w:rFonts w:ascii="仿宋" w:hAnsi="仿宋" w:eastAsia="仿宋"/>
          <w:color w:val="000000"/>
          <w:sz w:val="32"/>
          <w:szCs w:val="32"/>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szCs w:val="32"/>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szCs w:val="32"/>
        </w:rPr>
        <w:t>0</w:t>
      </w:r>
      <w:r>
        <w:rPr>
          <w:rFonts w:hint="eastAsia" w:ascii="仿宋" w:hAnsi="仿宋" w:eastAsia="仿宋"/>
          <w:color w:val="000000"/>
          <w:sz w:val="32"/>
          <w:szCs w:val="32"/>
        </w:rPr>
        <w:t>台（套）。</w:t>
      </w:r>
    </w:p>
    <w:p w14:paraId="0F523E48">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6389663F">
      <w:pPr>
        <w:numPr>
          <w:ilvl w:val="0"/>
          <w:numId w:val="6"/>
        </w:numPr>
        <w:spacing w:line="600" w:lineRule="exact"/>
        <w:ind w:firstLine="663" w:firstLineChars="150"/>
        <w:jc w:val="center"/>
        <w:outlineLvl w:val="0"/>
        <w:rPr>
          <w:rStyle w:val="19"/>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19"/>
          <w:rFonts w:hint="eastAsia" w:ascii="黑体" w:hAnsi="黑体" w:eastAsia="黑体"/>
          <w:b w:val="0"/>
        </w:rPr>
        <w:t>词解释</w:t>
      </w:r>
      <w:bookmarkEnd w:id="56"/>
      <w:bookmarkEnd w:id="57"/>
    </w:p>
    <w:p w14:paraId="4B83BD2A">
      <w:pPr>
        <w:spacing w:line="600" w:lineRule="exact"/>
        <w:jc w:val="left"/>
        <w:rPr>
          <w:rFonts w:ascii="宋体"/>
          <w:b/>
          <w:color w:val="000000"/>
          <w:sz w:val="44"/>
          <w:szCs w:val="44"/>
        </w:rPr>
      </w:pPr>
    </w:p>
    <w:p w14:paraId="352CED85">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27D6283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711B8236">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6A383327">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r>
        <w:rPr>
          <w:rFonts w:ascii="仿宋" w:hAnsi="仿宋" w:eastAsia="仿宋"/>
          <w:color w:val="000000"/>
          <w:sz w:val="32"/>
          <w:szCs w:val="32"/>
        </w:rPr>
        <w:t xml:space="preserve"> </w:t>
      </w:r>
    </w:p>
    <w:p w14:paraId="30439F04">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7A8FAC7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04AFFAE0">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4B1F16CF">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8.</w:t>
      </w:r>
      <w:r>
        <w:rPr>
          <w:rFonts w:hint="eastAsia" w:ascii="仿宋" w:hAnsi="仿宋" w:eastAsia="仿宋"/>
          <w:color w:val="000000"/>
          <w:sz w:val="32"/>
          <w:szCs w:val="32"/>
        </w:rPr>
        <w:t>年末结转和结余：指单位按有关规定结转到下年或以后年度继续使用的资金。</w:t>
      </w:r>
    </w:p>
    <w:p w14:paraId="4958CC1A">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基本支出：指为保障机构正常运转、完成日常工作任务而发生的人员支出和公用支出。</w:t>
      </w:r>
    </w:p>
    <w:p w14:paraId="3B69AF82">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14:paraId="5CCF5ED1">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经营支出：指事业单位在专业业务活动及其辅助活动之外开展非独立核算经营活动发生的支出。</w:t>
      </w:r>
    </w:p>
    <w:p w14:paraId="7254C034">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0A3CF3C">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F3C452B">
      <w:pPr>
        <w:spacing w:line="600" w:lineRule="exact"/>
        <w:ind w:firstLine="640" w:firstLineChars="200"/>
        <w:outlineLvl w:val="1"/>
        <w:rPr>
          <w:rFonts w:ascii="仿宋" w:hAnsi="仿宋" w:eastAsia="仿宋"/>
          <w:color w:val="000000"/>
          <w:sz w:val="32"/>
          <w:szCs w:val="32"/>
        </w:rPr>
      </w:pPr>
      <w:bookmarkStart w:id="58" w:name="_Toc15396614"/>
      <w:bookmarkStart w:id="59" w:name="_Toc15377226"/>
    </w:p>
    <w:p w14:paraId="5131B1F5">
      <w:pPr>
        <w:spacing w:line="600" w:lineRule="exact"/>
        <w:ind w:firstLine="640" w:firstLineChars="200"/>
        <w:outlineLvl w:val="1"/>
        <w:rPr>
          <w:rFonts w:ascii="仿宋" w:hAnsi="仿宋" w:eastAsia="仿宋"/>
          <w:color w:val="000000"/>
          <w:sz w:val="32"/>
          <w:szCs w:val="32"/>
        </w:rPr>
      </w:pPr>
    </w:p>
    <w:p w14:paraId="0687037F">
      <w:pPr>
        <w:spacing w:line="600" w:lineRule="exact"/>
        <w:ind w:firstLine="640" w:firstLineChars="200"/>
        <w:outlineLvl w:val="1"/>
        <w:rPr>
          <w:rFonts w:ascii="仿宋" w:hAnsi="仿宋" w:eastAsia="仿宋"/>
          <w:color w:val="000000"/>
          <w:sz w:val="32"/>
          <w:szCs w:val="32"/>
        </w:rPr>
      </w:pPr>
    </w:p>
    <w:p w14:paraId="072C02EE">
      <w:pPr>
        <w:spacing w:line="600" w:lineRule="exact"/>
        <w:ind w:firstLine="640" w:firstLineChars="200"/>
        <w:outlineLvl w:val="1"/>
        <w:rPr>
          <w:rFonts w:ascii="仿宋" w:hAnsi="仿宋" w:eastAsia="仿宋"/>
          <w:color w:val="000000"/>
          <w:sz w:val="32"/>
          <w:szCs w:val="32"/>
        </w:rPr>
      </w:pPr>
    </w:p>
    <w:p w14:paraId="1C609F60">
      <w:pPr>
        <w:spacing w:line="600" w:lineRule="exact"/>
        <w:ind w:firstLine="880" w:firstLineChars="200"/>
        <w:jc w:val="center"/>
        <w:outlineLvl w:val="1"/>
        <w:rPr>
          <w:rStyle w:val="19"/>
          <w:rFonts w:ascii="黑体" w:hAnsi="黑体" w:eastAsia="黑体"/>
          <w:b w:val="0"/>
        </w:rPr>
      </w:pPr>
      <w:r>
        <w:rPr>
          <w:rFonts w:hint="eastAsia" w:ascii="黑体" w:hAnsi="黑体" w:eastAsia="黑体"/>
          <w:color w:val="000000"/>
          <w:sz w:val="44"/>
          <w:szCs w:val="44"/>
        </w:rPr>
        <w:t>第</w:t>
      </w:r>
      <w:r>
        <w:rPr>
          <w:rStyle w:val="19"/>
          <w:rFonts w:hint="eastAsia" w:ascii="黑体" w:hAnsi="黑体" w:eastAsia="黑体"/>
          <w:b w:val="0"/>
        </w:rPr>
        <w:t>四部分</w:t>
      </w:r>
      <w:r>
        <w:rPr>
          <w:rStyle w:val="19"/>
          <w:rFonts w:ascii="黑体" w:hAnsi="黑体" w:eastAsia="黑体"/>
          <w:b w:val="0"/>
        </w:rPr>
        <w:t xml:space="preserve"> </w:t>
      </w:r>
      <w:r>
        <w:rPr>
          <w:rStyle w:val="19"/>
          <w:rFonts w:hint="eastAsia" w:ascii="黑体" w:hAnsi="黑体" w:eastAsia="黑体"/>
          <w:b w:val="0"/>
        </w:rPr>
        <w:t>附件</w:t>
      </w:r>
      <w:bookmarkEnd w:id="58"/>
    </w:p>
    <w:p w14:paraId="14BAD97E">
      <w:pPr>
        <w:spacing w:line="600" w:lineRule="exact"/>
        <w:jc w:val="center"/>
        <w:outlineLvl w:val="0"/>
        <w:rPr>
          <w:rStyle w:val="19"/>
        </w:rPr>
      </w:pPr>
    </w:p>
    <w:p w14:paraId="11C7F824">
      <w:pPr>
        <w:pStyle w:val="5"/>
        <w:rPr>
          <w:rStyle w:val="19"/>
          <w:rFonts w:ascii="仿宋" w:hAnsi="仿宋" w:eastAsia="仿宋"/>
          <w:b w:val="0"/>
          <w:bCs w:val="0"/>
          <w:sz w:val="32"/>
          <w:szCs w:val="32"/>
        </w:rPr>
      </w:pPr>
      <w:bookmarkStart w:id="60" w:name="_Toc15396615"/>
      <w:r>
        <w:rPr>
          <w:rStyle w:val="19"/>
          <w:rFonts w:hint="eastAsia" w:ascii="仿宋" w:hAnsi="仿宋" w:eastAsia="仿宋"/>
          <w:b w:val="0"/>
          <w:bCs w:val="0"/>
          <w:sz w:val="32"/>
          <w:szCs w:val="32"/>
        </w:rPr>
        <w:t>附件</w:t>
      </w:r>
      <w:r>
        <w:rPr>
          <w:rStyle w:val="19"/>
          <w:rFonts w:ascii="仿宋" w:hAnsi="仿宋" w:eastAsia="仿宋"/>
          <w:b w:val="0"/>
          <w:bCs w:val="0"/>
          <w:sz w:val="32"/>
          <w:szCs w:val="32"/>
        </w:rPr>
        <w:t>1</w:t>
      </w:r>
      <w:bookmarkEnd w:id="60"/>
    </w:p>
    <w:p w14:paraId="76377400">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广元市昭化区经济和信息化局部门</w:t>
      </w:r>
      <w:r>
        <w:rPr>
          <w:rFonts w:ascii="黑体" w:hAnsi="黑体" w:eastAsia="黑体" w:cs="方正小标宋简体"/>
          <w:sz w:val="36"/>
          <w:szCs w:val="36"/>
        </w:rPr>
        <w:t>2018</w:t>
      </w:r>
      <w:r>
        <w:rPr>
          <w:rFonts w:hint="eastAsia" w:ascii="黑体" w:hAnsi="黑体" w:eastAsia="黑体" w:cs="方正小标宋简体"/>
          <w:sz w:val="36"/>
          <w:szCs w:val="36"/>
        </w:rPr>
        <w:t>年部门整体支出绩效评价报告</w:t>
      </w:r>
      <w:bookmarkEnd w:id="61"/>
    </w:p>
    <w:p w14:paraId="7F28ED2E">
      <w:pPr>
        <w:spacing w:line="580" w:lineRule="exact"/>
        <w:ind w:firstLine="640" w:firstLineChars="200"/>
        <w:rPr>
          <w:rFonts w:ascii="黑体" w:hAnsi="黑体" w:eastAsia="黑体" w:cs="黑体"/>
          <w:sz w:val="32"/>
          <w:szCs w:val="32"/>
        </w:rPr>
      </w:pPr>
    </w:p>
    <w:p w14:paraId="50EE5870">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511F7B3E">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（一）机构组成。</w:t>
      </w:r>
    </w:p>
    <w:p w14:paraId="14A917E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广元市昭化区经济和信息化局设</w:t>
      </w:r>
      <w:r>
        <w:rPr>
          <w:rFonts w:ascii="仿宋" w:hAnsi="仿宋" w:eastAsia="仿宋"/>
          <w:color w:val="000000"/>
          <w:sz w:val="32"/>
          <w:szCs w:val="32"/>
        </w:rPr>
        <w:t>6</w:t>
      </w:r>
      <w:r>
        <w:rPr>
          <w:rFonts w:hint="eastAsia" w:ascii="仿宋" w:hAnsi="仿宋" w:eastAsia="仿宋"/>
          <w:color w:val="000000"/>
          <w:sz w:val="32"/>
          <w:szCs w:val="32"/>
        </w:rPr>
        <w:t>个内设机构：</w:t>
      </w:r>
    </w:p>
    <w:p w14:paraId="661283D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1.</w:t>
      </w:r>
      <w:r>
        <w:rPr>
          <w:rFonts w:hint="eastAsia" w:ascii="仿宋" w:hAnsi="仿宋" w:eastAsia="仿宋"/>
          <w:color w:val="000000"/>
          <w:sz w:val="32"/>
          <w:szCs w:val="32"/>
        </w:rPr>
        <w:t>办公室（行政审批股）负责机关日常党务、政务、文秘、协调、督办、后勤保障和服务等工作。</w:t>
      </w:r>
    </w:p>
    <w:p w14:paraId="39376B8F">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2.</w:t>
      </w:r>
      <w:r>
        <w:rPr>
          <w:rFonts w:hint="eastAsia" w:ascii="仿宋" w:hAnsi="仿宋" w:eastAsia="仿宋"/>
          <w:color w:val="000000"/>
          <w:sz w:val="32"/>
          <w:szCs w:val="32"/>
        </w:rPr>
        <w:t>工业运行股，拟定工业经济建设的发展战略、结构调整和产业布局规划并组织实施。</w:t>
      </w:r>
    </w:p>
    <w:p w14:paraId="48B737D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3.</w:t>
      </w:r>
      <w:r>
        <w:rPr>
          <w:rFonts w:hint="eastAsia" w:ascii="仿宋" w:hAnsi="仿宋" w:eastAsia="仿宋"/>
          <w:color w:val="000000"/>
          <w:sz w:val="32"/>
          <w:szCs w:val="32"/>
        </w:rPr>
        <w:t>企业投资股，负责提出工业财政专项资金的安排意见，提出工业投资的规模、方向和计划并组织实施，引导资金投向，促进创业发展。</w:t>
      </w:r>
    </w:p>
    <w:p w14:paraId="314E9D49">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4.</w:t>
      </w:r>
      <w:r>
        <w:rPr>
          <w:rFonts w:hint="eastAsia" w:ascii="仿宋" w:hAnsi="仿宋" w:eastAsia="仿宋"/>
          <w:color w:val="000000"/>
          <w:sz w:val="32"/>
          <w:szCs w:val="32"/>
        </w:rPr>
        <w:t>能源电力股，实施电力、成品油、天然气行业管理；负责起草能源工业行业规划；对能源企业生产经营实施指导。</w:t>
      </w:r>
    </w:p>
    <w:p w14:paraId="3F22066B">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lang w:eastAsia="zh-CN"/>
        </w:rPr>
        <w:t>5.</w:t>
      </w:r>
      <w:r>
        <w:rPr>
          <w:rFonts w:hint="eastAsia" w:ascii="仿宋" w:hAnsi="仿宋" w:eastAsia="仿宋"/>
          <w:color w:val="000000"/>
          <w:sz w:val="32"/>
          <w:szCs w:val="32"/>
        </w:rPr>
        <w:t>信息化股，贯彻执行国家信息化产业政策，牵头编制信息化产业规划并统筹推进实施；负责信息、无线电技术基础设施建设的规划、协调和管理。</w:t>
      </w:r>
    </w:p>
    <w:p w14:paraId="1DB3CC45">
      <w:pPr>
        <w:spacing w:line="600" w:lineRule="exact"/>
        <w:ind w:firstLine="640" w:firstLineChars="200"/>
        <w:outlineLvl w:val="1"/>
      </w:pPr>
      <w:r>
        <w:rPr>
          <w:rFonts w:hint="eastAsia" w:ascii="仿宋" w:hAnsi="仿宋" w:eastAsia="仿宋"/>
          <w:color w:val="000000"/>
          <w:sz w:val="32"/>
          <w:szCs w:val="32"/>
          <w:lang w:eastAsia="zh-CN"/>
        </w:rPr>
        <w:t>6.</w:t>
      </w:r>
      <w:r>
        <w:rPr>
          <w:rFonts w:hint="eastAsia" w:ascii="仿宋" w:hAnsi="仿宋" w:eastAsia="仿宋"/>
          <w:color w:val="000000"/>
          <w:sz w:val="32"/>
          <w:szCs w:val="32"/>
        </w:rPr>
        <w:t>科技与知识产权股，组织拟订全区科学技术发展、科技体制改革、知识产权保护有关规划、政策并组织设施。</w:t>
      </w:r>
      <w:r>
        <w:rPr>
          <w:rFonts w:ascii="仿宋" w:hAnsi="仿宋" w:eastAsia="仿宋"/>
          <w:color w:val="000000"/>
          <w:sz w:val="32"/>
          <w:szCs w:val="32"/>
        </w:rPr>
        <w:t xml:space="preserve"> </w:t>
      </w:r>
      <w:r>
        <w:rPr>
          <w:rFonts w:ascii="仿宋_GB2312" w:hAnsi="仿宋" w:eastAsia="仿宋_GB2312"/>
          <w:sz w:val="32"/>
          <w:szCs w:val="32"/>
        </w:rPr>
        <w:t xml:space="preserve">   </w:t>
      </w:r>
    </w:p>
    <w:p w14:paraId="11C0CF2C">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（二）机构职能。</w:t>
      </w:r>
    </w:p>
    <w:p w14:paraId="55BE2595">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lang w:eastAsia="zh-CN"/>
        </w:rPr>
        <w:t>）</w:t>
      </w:r>
      <w:r>
        <w:rPr>
          <w:rFonts w:hint="eastAsia" w:ascii="仿宋" w:hAnsi="仿宋" w:eastAsia="仿宋"/>
          <w:color w:val="000000"/>
          <w:sz w:val="32"/>
          <w:szCs w:val="32"/>
        </w:rPr>
        <w:t>贯彻实施国家有关工业经济、信息化、无线电管理、科学技术、知识产权的方针、政策和法律、法规。</w:t>
      </w:r>
    </w:p>
    <w:p w14:paraId="069ECFF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实施工业强区战略，加强信息化和工业化融合、工业化与城镇化联动，推进全区工业结构调整。参与制订国民经济和社会发展规划，牵头拟定工业、信息化、科学技术和知识产权发展规划，提出相关行业的优先领域和发展重点，制订行业年度发展计划和产业政策、行业技术规范与行业标准并组织实施，指导行业质量管理工作。</w:t>
      </w:r>
    </w:p>
    <w:p w14:paraId="2AA0E4BF">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3</w:t>
      </w:r>
      <w:r>
        <w:rPr>
          <w:rFonts w:hint="eastAsia" w:ascii="仿宋" w:hAnsi="仿宋" w:eastAsia="仿宋"/>
          <w:color w:val="000000"/>
          <w:sz w:val="32"/>
          <w:szCs w:val="32"/>
          <w:lang w:eastAsia="zh-CN"/>
        </w:rPr>
        <w:t>）</w:t>
      </w:r>
      <w:r>
        <w:rPr>
          <w:rFonts w:hint="eastAsia" w:ascii="仿宋" w:hAnsi="仿宋" w:eastAsia="仿宋"/>
          <w:color w:val="000000"/>
          <w:sz w:val="32"/>
          <w:szCs w:val="32"/>
        </w:rPr>
        <w:t>建立全区工业经济运行预警机制，监测、分析经济运行态势和质量，协调解决新型工业化进程中的重大问题；负责电力、成品油、天然气等重要物资综合调控、紧急调度和交通运输协调工作，负责区级医药储备的监督管理，承办年度工业经济目标责任考核。</w:t>
      </w:r>
    </w:p>
    <w:p w14:paraId="4182559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4</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企业技术改造推进工作，组织制订并实施全区企业技术改造投资规划和政策，制订并发布全区企业技术改造投资项目引导目录。提出工业和信息化固定资产投资规模的意见，按照规定权限审批、核准、备案规划内全区企业技术改造项目，组织企业技术改造项目申报国家、省、市有关专项计划并组织实施。</w:t>
      </w:r>
    </w:p>
    <w:p w14:paraId="1FFD3561">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5</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负责全区工业和信息化领域的节能降耗、清洁生产和资源节约与综合利用工作，协调推进工业化与生态环境协调发展中的重大问题。</w:t>
      </w:r>
    </w:p>
    <w:p w14:paraId="3BB2A73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6</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推进企业信用制度建设，负责中小企业信用担保和融资体系建设并实施行业监管，制订工业发展资金等财政专项资金使用计划，负责企业技术改造、技术创新、生产运行等涉及财政、信贷、税收、保险等方面问题的协调，指导工业企业直接融资工作，负责企业上市培育工作。</w:t>
      </w:r>
    </w:p>
    <w:p w14:paraId="4028A13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7</w:t>
      </w:r>
      <w:r>
        <w:rPr>
          <w:rFonts w:hint="eastAsia" w:ascii="仿宋" w:hAnsi="仿宋" w:eastAsia="仿宋"/>
          <w:color w:val="000000"/>
          <w:sz w:val="32"/>
          <w:szCs w:val="32"/>
          <w:lang w:eastAsia="zh-CN"/>
        </w:rPr>
        <w:t>）</w:t>
      </w:r>
      <w:r>
        <w:rPr>
          <w:rFonts w:hint="eastAsia" w:ascii="仿宋" w:hAnsi="仿宋" w:eastAsia="仿宋"/>
          <w:color w:val="000000"/>
          <w:sz w:val="32"/>
          <w:szCs w:val="32"/>
        </w:rPr>
        <w:t>对国家重大工业经济政策实施情况进行督查，指导企业建立现代企业制度、改组改造、兼并重组，负责全区企业治乱减负工作，指导企业经营管理人员、．专业技术人员培训，负责全区大企业大集团和龙头骨干企业的培育工作，负责全区中小企业发展的指导推进工作，组织拟订促进中小企业发展的政策措施，负责推进中小企业服务体系建设。</w:t>
      </w:r>
    </w:p>
    <w:p w14:paraId="1A2D1CF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8</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对全区工业各行业实施行业管理，制订相关政策措施并组织实施，拟订新材料、节能环保、航空航天、生物医药等战略性新兴产业发展规划、年度计划、政策措施并组织实施。拟订加快农产品加工业发展的政策措施，参与推进农业产业化龙头企业建设，参与推进农业现代化和新农村建设。</w:t>
      </w:r>
    </w:p>
    <w:p w14:paraId="1F1352A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9</w:t>
      </w:r>
      <w:r>
        <w:rPr>
          <w:rFonts w:hint="eastAsia" w:ascii="仿宋" w:hAnsi="仿宋" w:eastAsia="仿宋"/>
          <w:color w:val="000000"/>
          <w:sz w:val="32"/>
          <w:szCs w:val="32"/>
          <w:lang w:eastAsia="zh-CN"/>
        </w:rPr>
        <w:t>）</w:t>
      </w:r>
      <w:r>
        <w:rPr>
          <w:rFonts w:hint="eastAsia" w:ascii="仿宋" w:hAnsi="仿宋" w:eastAsia="仿宋"/>
          <w:color w:val="000000"/>
          <w:sz w:val="32"/>
          <w:szCs w:val="32"/>
        </w:rPr>
        <w:t>统筹推进全区信息化工作，制订相关政策并组织实施，指导电子政务、企业信息化、电子商务和物联网发展，推动跨行业、跨部门面向社会服务网络的互联互通和信息资源共享。</w:t>
      </w:r>
    </w:p>
    <w:p w14:paraId="68EC35D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10</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负责全区信息基础设施建设的规划、协调和管理，组织制订通信管线规划并承担相应的管理工作，协调电信市场涉及社会公共利益的重大事项。</w:t>
      </w:r>
    </w:p>
    <w:p w14:paraId="6ED88285">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11</w:t>
      </w:r>
      <w:r>
        <w:rPr>
          <w:rFonts w:hint="eastAsia" w:ascii="仿宋" w:hAnsi="仿宋" w:eastAsia="仿宋"/>
          <w:color w:val="000000"/>
          <w:sz w:val="32"/>
          <w:szCs w:val="32"/>
          <w:lang w:eastAsia="zh-CN"/>
        </w:rPr>
        <w:t>）</w:t>
      </w:r>
      <w:r>
        <w:rPr>
          <w:rFonts w:hint="eastAsia" w:ascii="仿宋" w:hAnsi="仿宋" w:eastAsia="仿宋"/>
          <w:color w:val="000000"/>
          <w:sz w:val="32"/>
          <w:szCs w:val="32"/>
        </w:rPr>
        <w:t>组织协调全区信息安全保障体系建设，指导和监督政府部门、重点行业的重要信息系统与信息网络的安全保障工作，指导信息安全防范工作，参与处理网络与信息安全重大事件。</w:t>
      </w:r>
    </w:p>
    <w:p w14:paraId="2D94EF1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12</w:t>
      </w:r>
      <w:r>
        <w:rPr>
          <w:rFonts w:hint="eastAsia" w:ascii="仿宋" w:hAnsi="仿宋" w:eastAsia="仿宋"/>
          <w:color w:val="000000"/>
          <w:sz w:val="32"/>
          <w:szCs w:val="32"/>
          <w:lang w:eastAsia="zh-CN"/>
        </w:rPr>
        <w:t>）</w:t>
      </w:r>
      <w:r>
        <w:rPr>
          <w:rFonts w:hint="eastAsia" w:ascii="仿宋" w:hAnsi="仿宋" w:eastAsia="仿宋"/>
          <w:color w:val="000000"/>
          <w:sz w:val="32"/>
          <w:szCs w:val="32"/>
        </w:rPr>
        <w:t>统一配置和管理全区无线电频谱资源，依法监督管理无线电台</w:t>
      </w:r>
      <w:r>
        <w:rPr>
          <w:rFonts w:ascii="仿宋" w:hAnsi="仿宋" w:eastAsia="仿宋"/>
          <w:color w:val="000000"/>
          <w:sz w:val="32"/>
          <w:szCs w:val="32"/>
        </w:rPr>
        <w:t>(</w:t>
      </w:r>
      <w:r>
        <w:rPr>
          <w:rFonts w:hint="eastAsia" w:ascii="仿宋" w:hAnsi="仿宋" w:eastAsia="仿宋"/>
          <w:color w:val="000000"/>
          <w:sz w:val="32"/>
          <w:szCs w:val="32"/>
        </w:rPr>
        <w:t>站</w:t>
      </w:r>
      <w:r>
        <w:rPr>
          <w:rFonts w:ascii="仿宋" w:hAnsi="仿宋" w:eastAsia="仿宋"/>
          <w:color w:val="000000"/>
          <w:sz w:val="32"/>
          <w:szCs w:val="32"/>
        </w:rPr>
        <w:t>)</w:t>
      </w:r>
      <w:r>
        <w:rPr>
          <w:rFonts w:hint="eastAsia" w:ascii="仿宋" w:hAnsi="仿宋" w:eastAsia="仿宋"/>
          <w:color w:val="000000"/>
          <w:sz w:val="32"/>
          <w:szCs w:val="32"/>
        </w:rPr>
        <w:t>，负责无线电电磁环境保护工作；负责无线电监测、检测和干扰查处，协调军地间和县际间无线电管理相关事宜，维护空中电波秩序，依法组织实施无线电管制。</w:t>
      </w:r>
    </w:p>
    <w:p w14:paraId="3C77B752">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13</w:t>
      </w:r>
      <w:r>
        <w:rPr>
          <w:rFonts w:hint="eastAsia" w:ascii="仿宋" w:hAnsi="仿宋" w:eastAsia="仿宋"/>
          <w:color w:val="000000"/>
          <w:sz w:val="32"/>
          <w:szCs w:val="32"/>
          <w:lang w:eastAsia="zh-CN"/>
        </w:rPr>
        <w:t>）</w:t>
      </w:r>
      <w:r>
        <w:rPr>
          <w:rFonts w:hint="eastAsia" w:ascii="仿宋" w:hAnsi="仿宋" w:eastAsia="仿宋"/>
          <w:color w:val="000000"/>
          <w:sz w:val="32"/>
          <w:szCs w:val="32"/>
        </w:rPr>
        <w:t>会同有关部门提出工业和信息化领域对外开放和利用外资的政策建议，参与区域经济合作和承接产业转移工作。指导工业和信息化企业开展对外交流与合作、国际化经营、境外投资及兼并重组。</w:t>
      </w:r>
    </w:p>
    <w:p w14:paraId="197F073F">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14</w:t>
      </w:r>
      <w:r>
        <w:rPr>
          <w:rFonts w:hint="eastAsia" w:ascii="仿宋" w:hAnsi="仿宋" w:eastAsia="仿宋"/>
          <w:color w:val="000000"/>
          <w:sz w:val="32"/>
          <w:szCs w:val="32"/>
          <w:lang w:eastAsia="zh-CN"/>
        </w:rPr>
        <w:t>）</w:t>
      </w:r>
      <w:r>
        <w:rPr>
          <w:rFonts w:hint="eastAsia" w:ascii="仿宋" w:hAnsi="仿宋" w:eastAsia="仿宋"/>
          <w:color w:val="000000"/>
          <w:sz w:val="32"/>
          <w:szCs w:val="32"/>
        </w:rPr>
        <w:t>负责组织拟订并实施科技支撑计划、重点基础研究计划、软科学研究计划和统筹协调基础研究、前沿技术研究、重大社会公益性技术研究及关键技术、共性技术研究。</w:t>
      </w:r>
    </w:p>
    <w:p w14:paraId="57DBD7C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15</w:t>
      </w:r>
      <w:r>
        <w:rPr>
          <w:rFonts w:hint="eastAsia" w:ascii="仿宋" w:hAnsi="仿宋" w:eastAsia="仿宋"/>
          <w:color w:val="000000"/>
          <w:sz w:val="32"/>
          <w:szCs w:val="32"/>
          <w:lang w:eastAsia="zh-CN"/>
        </w:rPr>
        <w:t>）</w:t>
      </w:r>
      <w:r>
        <w:rPr>
          <w:rFonts w:hint="eastAsia" w:ascii="仿宋" w:hAnsi="仿宋" w:eastAsia="仿宋"/>
          <w:color w:val="000000"/>
          <w:sz w:val="32"/>
          <w:szCs w:val="32"/>
        </w:rPr>
        <w:t>牵头组织经济社会发展重要领域的重大关键性技术攻关；会同有关部门组织科技重大专项实施中的方案论证、综合平衡、评估验收和拟订相关配套政策，对科技重大专项实施中的重大调整提出建议。</w:t>
      </w:r>
    </w:p>
    <w:p w14:paraId="5B5CC46B">
      <w:pPr>
        <w:pStyle w:val="2"/>
        <w:ind w:left="31680" w:firstLine="31680"/>
      </w:pPr>
    </w:p>
    <w:p w14:paraId="193E2E3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（三）人员概况。</w:t>
      </w:r>
    </w:p>
    <w:p w14:paraId="4413D69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区经济和信息化局共有编制</w:t>
      </w:r>
      <w:r>
        <w:rPr>
          <w:rFonts w:ascii="仿宋" w:hAnsi="仿宋" w:eastAsia="仿宋"/>
          <w:color w:val="000000"/>
          <w:sz w:val="32"/>
          <w:szCs w:val="32"/>
        </w:rPr>
        <w:t>22</w:t>
      </w:r>
      <w:r>
        <w:rPr>
          <w:rFonts w:hint="eastAsia" w:ascii="仿宋" w:hAnsi="仿宋" w:eastAsia="仿宋"/>
          <w:color w:val="000000"/>
          <w:sz w:val="32"/>
          <w:szCs w:val="32"/>
        </w:rPr>
        <w:t>名，其中：行政编制</w:t>
      </w:r>
      <w:r>
        <w:rPr>
          <w:rFonts w:ascii="仿宋" w:hAnsi="仿宋" w:eastAsia="仿宋"/>
          <w:color w:val="000000"/>
          <w:sz w:val="32"/>
          <w:szCs w:val="32"/>
        </w:rPr>
        <w:t>14</w:t>
      </w:r>
      <w:r>
        <w:rPr>
          <w:rFonts w:hint="eastAsia" w:ascii="仿宋" w:hAnsi="仿宋" w:eastAsia="仿宋"/>
          <w:color w:val="000000"/>
          <w:sz w:val="32"/>
          <w:szCs w:val="32"/>
        </w:rPr>
        <w:t>人，其他事业编制人</w:t>
      </w:r>
      <w:r>
        <w:rPr>
          <w:rFonts w:ascii="仿宋" w:hAnsi="仿宋" w:eastAsia="仿宋"/>
          <w:color w:val="000000"/>
          <w:sz w:val="32"/>
          <w:szCs w:val="32"/>
        </w:rPr>
        <w:t>8</w:t>
      </w:r>
      <w:r>
        <w:rPr>
          <w:rFonts w:hint="eastAsia" w:ascii="仿宋" w:hAnsi="仿宋" w:eastAsia="仿宋"/>
          <w:color w:val="000000"/>
          <w:sz w:val="32"/>
          <w:szCs w:val="32"/>
        </w:rPr>
        <w:t>人。</w:t>
      </w:r>
      <w:r>
        <w:rPr>
          <w:rFonts w:ascii="仿宋" w:hAnsi="仿宋" w:eastAsia="仿宋"/>
          <w:color w:val="000000"/>
          <w:sz w:val="32"/>
          <w:szCs w:val="32"/>
        </w:rPr>
        <w:t>2017</w:t>
      </w:r>
      <w:r>
        <w:rPr>
          <w:rFonts w:hint="eastAsia" w:ascii="仿宋" w:hAnsi="仿宋" w:eastAsia="仿宋"/>
          <w:color w:val="000000"/>
          <w:sz w:val="32"/>
          <w:szCs w:val="32"/>
        </w:rPr>
        <w:t>年末实有在职编制内人员</w:t>
      </w:r>
      <w:r>
        <w:rPr>
          <w:rFonts w:ascii="仿宋" w:hAnsi="仿宋" w:eastAsia="仿宋"/>
          <w:color w:val="000000"/>
          <w:sz w:val="32"/>
          <w:szCs w:val="32"/>
        </w:rPr>
        <w:t>20</w:t>
      </w:r>
      <w:r>
        <w:rPr>
          <w:rFonts w:hint="eastAsia" w:ascii="仿宋" w:hAnsi="仿宋" w:eastAsia="仿宋"/>
          <w:color w:val="000000"/>
          <w:sz w:val="32"/>
          <w:szCs w:val="32"/>
        </w:rPr>
        <w:t>人，其中：行政人员</w:t>
      </w:r>
      <w:r>
        <w:rPr>
          <w:rFonts w:ascii="仿宋" w:hAnsi="仿宋" w:eastAsia="仿宋"/>
          <w:color w:val="000000"/>
          <w:sz w:val="32"/>
          <w:szCs w:val="32"/>
        </w:rPr>
        <w:t>12</w:t>
      </w:r>
      <w:r>
        <w:rPr>
          <w:rFonts w:hint="eastAsia" w:ascii="仿宋" w:hAnsi="仿宋" w:eastAsia="仿宋"/>
          <w:color w:val="000000"/>
          <w:sz w:val="32"/>
          <w:szCs w:val="32"/>
        </w:rPr>
        <w:t>人，其他事业人员</w:t>
      </w:r>
      <w:r>
        <w:rPr>
          <w:rFonts w:ascii="仿宋" w:hAnsi="仿宋" w:eastAsia="仿宋"/>
          <w:color w:val="000000"/>
          <w:sz w:val="32"/>
          <w:szCs w:val="32"/>
        </w:rPr>
        <w:t>8</w:t>
      </w:r>
      <w:r>
        <w:rPr>
          <w:rFonts w:hint="eastAsia" w:ascii="仿宋" w:hAnsi="仿宋" w:eastAsia="仿宋"/>
          <w:color w:val="000000"/>
          <w:sz w:val="32"/>
          <w:szCs w:val="32"/>
        </w:rPr>
        <w:t>人。较去年</w:t>
      </w:r>
      <w:r>
        <w:rPr>
          <w:rFonts w:ascii="仿宋" w:hAnsi="仿宋" w:eastAsia="仿宋"/>
          <w:color w:val="000000"/>
          <w:sz w:val="32"/>
          <w:szCs w:val="32"/>
        </w:rPr>
        <w:t>23</w:t>
      </w:r>
      <w:r>
        <w:rPr>
          <w:rFonts w:hint="eastAsia" w:ascii="仿宋" w:hAnsi="仿宋" w:eastAsia="仿宋"/>
          <w:color w:val="000000"/>
          <w:sz w:val="32"/>
          <w:szCs w:val="32"/>
        </w:rPr>
        <w:t>人减少了</w:t>
      </w:r>
      <w:r>
        <w:rPr>
          <w:rFonts w:ascii="仿宋" w:hAnsi="仿宋" w:eastAsia="仿宋"/>
          <w:color w:val="000000"/>
          <w:sz w:val="32"/>
          <w:szCs w:val="32"/>
        </w:rPr>
        <w:t>3</w:t>
      </w:r>
      <w:r>
        <w:rPr>
          <w:rFonts w:hint="eastAsia" w:ascii="仿宋" w:hAnsi="仿宋" w:eastAsia="仿宋"/>
          <w:color w:val="000000"/>
          <w:sz w:val="32"/>
          <w:szCs w:val="32"/>
        </w:rPr>
        <w:t>人，人员增加主要原因是，调入</w:t>
      </w:r>
      <w:r>
        <w:rPr>
          <w:rFonts w:ascii="仿宋" w:hAnsi="仿宋" w:eastAsia="仿宋"/>
          <w:color w:val="000000"/>
          <w:sz w:val="32"/>
          <w:szCs w:val="32"/>
        </w:rPr>
        <w:t>1</w:t>
      </w:r>
      <w:r>
        <w:rPr>
          <w:rFonts w:hint="eastAsia" w:ascii="仿宋" w:hAnsi="仿宋" w:eastAsia="仿宋"/>
          <w:color w:val="000000"/>
          <w:sz w:val="32"/>
          <w:szCs w:val="32"/>
        </w:rPr>
        <w:t>人。按财政供给率分，财政全额供给</w:t>
      </w:r>
      <w:r>
        <w:rPr>
          <w:rFonts w:ascii="仿宋" w:hAnsi="仿宋" w:eastAsia="仿宋"/>
          <w:color w:val="000000"/>
          <w:sz w:val="32"/>
          <w:szCs w:val="32"/>
        </w:rPr>
        <w:t>20</w:t>
      </w:r>
      <w:r>
        <w:rPr>
          <w:rFonts w:hint="eastAsia" w:ascii="仿宋" w:hAnsi="仿宋" w:eastAsia="仿宋"/>
          <w:color w:val="000000"/>
          <w:sz w:val="32"/>
          <w:szCs w:val="32"/>
        </w:rPr>
        <w:t>人。区经济和信息化局退休</w:t>
      </w:r>
      <w:r>
        <w:rPr>
          <w:rFonts w:ascii="仿宋" w:hAnsi="仿宋" w:eastAsia="仿宋"/>
          <w:color w:val="000000"/>
          <w:sz w:val="32"/>
          <w:szCs w:val="32"/>
        </w:rPr>
        <w:t>13</w:t>
      </w:r>
      <w:r>
        <w:rPr>
          <w:rFonts w:hint="eastAsia" w:ascii="仿宋" w:hAnsi="仿宋" w:eastAsia="仿宋"/>
          <w:color w:val="000000"/>
          <w:sz w:val="32"/>
          <w:szCs w:val="32"/>
        </w:rPr>
        <w:t>人，行政人员</w:t>
      </w:r>
      <w:r>
        <w:rPr>
          <w:rFonts w:ascii="仿宋" w:hAnsi="仿宋" w:eastAsia="仿宋"/>
          <w:color w:val="000000"/>
          <w:sz w:val="32"/>
          <w:szCs w:val="32"/>
        </w:rPr>
        <w:t>10</w:t>
      </w:r>
      <w:r>
        <w:rPr>
          <w:rFonts w:hint="eastAsia" w:ascii="仿宋" w:hAnsi="仿宋" w:eastAsia="仿宋"/>
          <w:color w:val="000000"/>
          <w:sz w:val="32"/>
          <w:szCs w:val="32"/>
        </w:rPr>
        <w:t>人，其他事业人员</w:t>
      </w:r>
      <w:r>
        <w:rPr>
          <w:rFonts w:ascii="仿宋" w:hAnsi="仿宋" w:eastAsia="仿宋"/>
          <w:color w:val="000000"/>
          <w:sz w:val="32"/>
          <w:szCs w:val="32"/>
        </w:rPr>
        <w:t>3</w:t>
      </w:r>
      <w:r>
        <w:rPr>
          <w:rFonts w:hint="eastAsia" w:ascii="仿宋" w:hAnsi="仿宋" w:eastAsia="仿宋"/>
          <w:color w:val="000000"/>
          <w:sz w:val="32"/>
          <w:szCs w:val="32"/>
        </w:rPr>
        <w:t>人。</w:t>
      </w:r>
    </w:p>
    <w:p w14:paraId="51EAD2B9">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二、部门财政资金收支情况</w:t>
      </w:r>
    </w:p>
    <w:p w14:paraId="327BD73E">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（一）部门财政资金收入情况。</w:t>
      </w:r>
    </w:p>
    <w:p w14:paraId="08876D0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区经信局</w:t>
      </w:r>
      <w:r>
        <w:rPr>
          <w:rFonts w:ascii="仿宋" w:hAnsi="仿宋" w:eastAsia="仿宋"/>
          <w:color w:val="000000"/>
          <w:sz w:val="32"/>
          <w:szCs w:val="32"/>
        </w:rPr>
        <w:t>2017</w:t>
      </w:r>
      <w:r>
        <w:rPr>
          <w:rFonts w:hint="eastAsia" w:ascii="仿宋" w:hAnsi="仿宋" w:eastAsia="仿宋"/>
          <w:color w:val="000000"/>
          <w:sz w:val="32"/>
          <w:szCs w:val="32"/>
        </w:rPr>
        <w:t>年部门综合预算收入</w:t>
      </w:r>
      <w:r>
        <w:rPr>
          <w:rFonts w:ascii="仿宋" w:hAnsi="仿宋" w:eastAsia="仿宋"/>
          <w:color w:val="000000"/>
          <w:sz w:val="32"/>
          <w:szCs w:val="32"/>
        </w:rPr>
        <w:t>442.71</w:t>
      </w:r>
      <w:r>
        <w:rPr>
          <w:rFonts w:hint="eastAsia" w:ascii="仿宋" w:hAnsi="仿宋" w:eastAsia="仿宋"/>
          <w:color w:val="000000"/>
          <w:sz w:val="32"/>
          <w:szCs w:val="32"/>
        </w:rPr>
        <w:t>万元，支出</w:t>
      </w:r>
      <w:r>
        <w:rPr>
          <w:rFonts w:ascii="仿宋" w:hAnsi="仿宋" w:eastAsia="仿宋"/>
          <w:color w:val="000000"/>
          <w:sz w:val="32"/>
          <w:szCs w:val="32"/>
        </w:rPr>
        <w:t>442.71</w:t>
      </w:r>
      <w:r>
        <w:rPr>
          <w:rFonts w:hint="eastAsia" w:ascii="仿宋" w:hAnsi="仿宋" w:eastAsia="仿宋"/>
          <w:color w:val="000000"/>
          <w:sz w:val="32"/>
          <w:szCs w:val="32"/>
        </w:rPr>
        <w:t>万元，其中：人员经费支出</w:t>
      </w:r>
      <w:r>
        <w:rPr>
          <w:rFonts w:ascii="仿宋" w:hAnsi="仿宋" w:eastAsia="仿宋"/>
          <w:color w:val="000000"/>
          <w:sz w:val="32"/>
          <w:szCs w:val="32"/>
        </w:rPr>
        <w:t>266.24</w:t>
      </w:r>
      <w:r>
        <w:rPr>
          <w:rFonts w:hint="eastAsia" w:ascii="仿宋" w:hAnsi="仿宋" w:eastAsia="仿宋"/>
          <w:color w:val="000000"/>
          <w:sz w:val="32"/>
          <w:szCs w:val="32"/>
        </w:rPr>
        <w:t>万元，公用经费支出</w:t>
      </w:r>
      <w:r>
        <w:rPr>
          <w:rFonts w:ascii="仿宋" w:hAnsi="仿宋" w:eastAsia="仿宋"/>
          <w:color w:val="000000"/>
          <w:sz w:val="32"/>
          <w:szCs w:val="32"/>
        </w:rPr>
        <w:t>176.47</w:t>
      </w:r>
      <w:r>
        <w:rPr>
          <w:rFonts w:hint="eastAsia" w:ascii="仿宋" w:hAnsi="仿宋" w:eastAsia="仿宋"/>
          <w:color w:val="000000"/>
          <w:sz w:val="32"/>
          <w:szCs w:val="32"/>
        </w:rPr>
        <w:t>万元，三公经费</w:t>
      </w:r>
      <w:r>
        <w:rPr>
          <w:rFonts w:ascii="仿宋" w:hAnsi="仿宋" w:eastAsia="仿宋"/>
          <w:color w:val="000000"/>
          <w:sz w:val="32"/>
          <w:szCs w:val="32"/>
        </w:rPr>
        <w:t>13</w:t>
      </w:r>
      <w:r>
        <w:rPr>
          <w:rFonts w:hint="eastAsia" w:ascii="仿宋" w:hAnsi="仿宋" w:eastAsia="仿宋"/>
          <w:color w:val="000000"/>
          <w:sz w:val="32"/>
          <w:szCs w:val="32"/>
        </w:rPr>
        <w:t>万元，其中公务接待费</w:t>
      </w:r>
      <w:r>
        <w:rPr>
          <w:rFonts w:ascii="仿宋" w:hAnsi="仿宋" w:eastAsia="仿宋"/>
          <w:color w:val="000000"/>
          <w:sz w:val="32"/>
          <w:szCs w:val="32"/>
        </w:rPr>
        <w:t>13</w:t>
      </w:r>
      <w:r>
        <w:rPr>
          <w:rFonts w:hint="eastAsia" w:ascii="仿宋" w:hAnsi="仿宋" w:eastAsia="仿宋"/>
          <w:color w:val="000000"/>
          <w:sz w:val="32"/>
          <w:szCs w:val="32"/>
        </w:rPr>
        <w:t>万元，</w:t>
      </w:r>
      <w:r>
        <w:rPr>
          <w:rFonts w:ascii="仿宋" w:hAnsi="仿宋" w:eastAsia="仿宋"/>
          <w:color w:val="000000"/>
          <w:sz w:val="32"/>
          <w:szCs w:val="32"/>
        </w:rPr>
        <w:t xml:space="preserve"> 2017</w:t>
      </w:r>
      <w:r>
        <w:rPr>
          <w:rFonts w:hint="eastAsia" w:ascii="仿宋" w:hAnsi="仿宋" w:eastAsia="仿宋"/>
          <w:color w:val="000000"/>
          <w:sz w:val="32"/>
          <w:szCs w:val="32"/>
        </w:rPr>
        <w:t>年预算无政府采购。</w:t>
      </w:r>
    </w:p>
    <w:p w14:paraId="3E6FE65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（二）部门财政资金支出情况。</w:t>
      </w:r>
    </w:p>
    <w:p w14:paraId="4B995E26">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三、部门整体预算绩效管理情况（根据适用指标体系进行调整）</w:t>
      </w:r>
    </w:p>
    <w:p w14:paraId="751333E7">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（一）部门预算管理。</w:t>
      </w:r>
    </w:p>
    <w:p w14:paraId="15DE9E1F">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 xml:space="preserve">1. </w:t>
      </w:r>
      <w:r>
        <w:rPr>
          <w:rFonts w:hint="eastAsia" w:ascii="仿宋" w:hAnsi="仿宋" w:eastAsia="仿宋"/>
          <w:color w:val="000000"/>
          <w:sz w:val="32"/>
          <w:szCs w:val="32"/>
        </w:rPr>
        <w:t>加强内部控制。我单位历来重视单位内部管理制度建设及监督，加强财务管理，强化财务监督，增强法纪观念，遵守规章制度。为保证财务管理工作规范有序进行，</w:t>
      </w:r>
      <w:r>
        <w:rPr>
          <w:rFonts w:ascii="仿宋" w:hAnsi="仿宋" w:eastAsia="仿宋"/>
          <w:color w:val="000000"/>
          <w:sz w:val="32"/>
          <w:szCs w:val="32"/>
        </w:rPr>
        <w:t>2018</w:t>
      </w:r>
      <w:r>
        <w:rPr>
          <w:rFonts w:hint="eastAsia" w:ascii="仿宋" w:hAnsi="仿宋" w:eastAsia="仿宋"/>
          <w:color w:val="000000"/>
          <w:sz w:val="32"/>
          <w:szCs w:val="32"/>
        </w:rPr>
        <w:t>年我们加强内部控制和监督。对各项资金的管理、经费收支审批等均作了明确规定，正确组织资金的筹集、调度和使用，债权债务及时结算、结清。各项经费支出实行限额把关、一支笔审批制度。</w:t>
      </w:r>
    </w:p>
    <w:p w14:paraId="2FC120FE">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 xml:space="preserve">2. </w:t>
      </w:r>
      <w:r>
        <w:rPr>
          <w:rFonts w:hint="eastAsia" w:ascii="仿宋" w:hAnsi="仿宋" w:eastAsia="仿宋"/>
          <w:color w:val="000000"/>
          <w:sz w:val="32"/>
          <w:szCs w:val="32"/>
        </w:rPr>
        <w:t>强化制度执行。切实做好厉行节约工作，全面落实各项管理制度要求，努力降低行政成本。严格公务接待费、差旅费、会议费和培训费审核审批程序，加强对公务用车的管理，实行限额把关、一支笔审批制度，做到一事一公函、一事一审批、一事一结账，会议费和培训费严格按年初计划和制度规定的标准执行。</w:t>
      </w:r>
      <w:r>
        <w:rPr>
          <w:rFonts w:ascii="仿宋" w:hAnsi="仿宋" w:eastAsia="仿宋"/>
          <w:color w:val="000000"/>
          <w:sz w:val="32"/>
          <w:szCs w:val="32"/>
        </w:rPr>
        <w:t xml:space="preserve"> </w:t>
      </w:r>
      <w:r>
        <w:rPr>
          <w:rFonts w:hint="eastAsia" w:ascii="仿宋" w:hAnsi="仿宋" w:eastAsia="仿宋"/>
          <w:color w:val="000000"/>
          <w:sz w:val="32"/>
          <w:szCs w:val="32"/>
        </w:rPr>
        <w:t>“三公”经费较好地控制在预算范围之内。</w:t>
      </w:r>
    </w:p>
    <w:p w14:paraId="6CD7A1B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（二）专项预算管理。</w:t>
      </w:r>
    </w:p>
    <w:p w14:paraId="71D49B70">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专项经费预算项目程序严密、规划合理、结果符合、分配科学、分配及时。专项预算绩效实行目标完成绩效评价体制、实施绩效进行考核评分，严格按照项目规范程序实施，严格项目款项拨付进度和程序，一年来专项预算经费管理无违规违纪现象。</w:t>
      </w:r>
    </w:p>
    <w:p w14:paraId="3CE843B3">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（三）结果应用情况。</w:t>
      </w:r>
    </w:p>
    <w:p w14:paraId="676AC99E">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我局对部门预算管理工作开展情况认真进行了自查自评。将评价结果作为预算安排的重要依据，参照项目年度预算执行情况、“三年滚动规划””执行情况统筹项目支出需求，保障重点支出，调整支出结构，优化财政资金配置，不断强化绩效理念，推动我局部门整体绩效管理水平不断提升。</w:t>
      </w:r>
    </w:p>
    <w:p w14:paraId="4322A731">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四、评价结论及建议</w:t>
      </w:r>
    </w:p>
    <w:p w14:paraId="79BDCB7E">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（一）评价结论。</w:t>
      </w:r>
    </w:p>
    <w:p w14:paraId="4682C812">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年我局部门整体支出绩效评价自查自评结果良好，全年基本支出保证了部门的正常运行和日常工作的正常开展，项目支出保障了重点工作的开展，达到预期绩效目标。按照《财政厅关于开展</w:t>
      </w:r>
      <w:r>
        <w:rPr>
          <w:rFonts w:ascii="仿宋" w:hAnsi="仿宋" w:eastAsia="仿宋"/>
          <w:color w:val="000000"/>
          <w:sz w:val="32"/>
          <w:szCs w:val="32"/>
        </w:rPr>
        <w:t>2019</w:t>
      </w:r>
      <w:r>
        <w:rPr>
          <w:rFonts w:hint="eastAsia" w:ascii="仿宋" w:hAnsi="仿宋" w:eastAsia="仿宋"/>
          <w:color w:val="000000"/>
          <w:sz w:val="32"/>
          <w:szCs w:val="32"/>
        </w:rPr>
        <w:t>年部门整体支出绩效评价工作的通知》（川财绩</w:t>
      </w:r>
      <w:r>
        <w:rPr>
          <w:rFonts w:ascii="仿宋" w:hAnsi="仿宋" w:eastAsia="仿宋"/>
          <w:color w:val="000000"/>
          <w:sz w:val="32"/>
          <w:szCs w:val="32"/>
        </w:rPr>
        <w:t>[2019]4</w:t>
      </w:r>
      <w:r>
        <w:rPr>
          <w:rFonts w:hint="eastAsia" w:ascii="仿宋" w:hAnsi="仿宋" w:eastAsia="仿宋"/>
          <w:color w:val="000000"/>
          <w:sz w:val="32"/>
          <w:szCs w:val="32"/>
        </w:rPr>
        <w:t>号）新出台的绩效评价指标体系进行了自评。</w:t>
      </w:r>
    </w:p>
    <w:p w14:paraId="1B3781D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（二）存在问题。</w:t>
      </w:r>
    </w:p>
    <w:p w14:paraId="0A50EABE">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1</w:t>
      </w:r>
      <w:r>
        <w:rPr>
          <w:rFonts w:hint="eastAsia" w:ascii="仿宋" w:hAnsi="仿宋" w:eastAsia="仿宋"/>
          <w:color w:val="000000"/>
          <w:sz w:val="32"/>
          <w:szCs w:val="32"/>
        </w:rPr>
        <w:t>）绩效目标设定有待更科学更合理。</w:t>
      </w:r>
    </w:p>
    <w:p w14:paraId="6E9B1726">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w:t>
      </w:r>
      <w:r>
        <w:rPr>
          <w:rFonts w:ascii="仿宋" w:hAnsi="仿宋" w:eastAsia="仿宋"/>
          <w:color w:val="000000"/>
          <w:sz w:val="32"/>
          <w:szCs w:val="32"/>
        </w:rPr>
        <w:t>2</w:t>
      </w:r>
      <w:r>
        <w:rPr>
          <w:rFonts w:hint="eastAsia" w:ascii="仿宋" w:hAnsi="仿宋" w:eastAsia="仿宋"/>
          <w:color w:val="000000"/>
          <w:sz w:val="32"/>
          <w:szCs w:val="32"/>
        </w:rPr>
        <w:t>）日常办公开支公务卡结算比率有待提高。</w:t>
      </w:r>
    </w:p>
    <w:p w14:paraId="12B56DD4">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（三）改进建议。</w:t>
      </w:r>
    </w:p>
    <w:p w14:paraId="17AB984E">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t>针对存在的问题，我局将进一步科学设定绩效目标，加强预算执行管理。一是改进部门收支预算编制，夯实预算基础工作，提高预算编制质量；二是认真研究政策，加强项目绩效目标审核，力求科学合理；三是认真研究重点项目的执行，特别是涉及政府采购的项目，提高规划，提前实施，确保项目顺利实施，提高财政资金的使用效益。</w:t>
      </w:r>
    </w:p>
    <w:p w14:paraId="34D4D9B3">
      <w:pPr>
        <w:spacing w:line="600" w:lineRule="exact"/>
        <w:ind w:firstLine="640" w:firstLineChars="200"/>
        <w:outlineLvl w:val="1"/>
        <w:rPr>
          <w:rFonts w:ascii="仿宋" w:hAnsi="仿宋" w:eastAsia="仿宋"/>
          <w:color w:val="000000"/>
          <w:sz w:val="32"/>
          <w:szCs w:val="32"/>
        </w:rPr>
      </w:pPr>
    </w:p>
    <w:p w14:paraId="65434D97">
      <w:pPr>
        <w:spacing w:line="600" w:lineRule="exact"/>
        <w:jc w:val="center"/>
        <w:outlineLvl w:val="0"/>
        <w:rPr>
          <w:rStyle w:val="19"/>
          <w:rFonts w:ascii="黑体" w:hAnsi="黑体" w:eastAsia="黑体"/>
          <w:b w:val="0"/>
        </w:rPr>
      </w:pPr>
      <w:r>
        <w:br w:type="page"/>
      </w:r>
      <w:bookmarkEnd w:id="59"/>
      <w:bookmarkStart w:id="62" w:name="_Toc15396618"/>
      <w:r>
        <w:rPr>
          <w:rFonts w:hint="eastAsia" w:ascii="黑体" w:hAnsi="黑体" w:eastAsia="黑体"/>
          <w:color w:val="000000"/>
          <w:sz w:val="44"/>
          <w:szCs w:val="44"/>
        </w:rPr>
        <w:t>第</w:t>
      </w:r>
      <w:r>
        <w:rPr>
          <w:rStyle w:val="19"/>
          <w:rFonts w:hint="eastAsia" w:ascii="黑体" w:hAnsi="黑体" w:eastAsia="黑体"/>
          <w:b w:val="0"/>
        </w:rPr>
        <w:t>五部分</w:t>
      </w:r>
      <w:r>
        <w:rPr>
          <w:rStyle w:val="19"/>
          <w:rFonts w:ascii="黑体" w:hAnsi="黑体" w:eastAsia="黑体"/>
          <w:b w:val="0"/>
        </w:rPr>
        <w:t xml:space="preserve"> </w:t>
      </w:r>
      <w:r>
        <w:rPr>
          <w:rStyle w:val="19"/>
          <w:rFonts w:hint="eastAsia" w:ascii="黑体" w:hAnsi="黑体" w:eastAsia="黑体"/>
          <w:b w:val="0"/>
        </w:rPr>
        <w:t>附表</w:t>
      </w:r>
      <w:bookmarkEnd w:id="62"/>
    </w:p>
    <w:p w14:paraId="4FA3FA4F">
      <w:pPr>
        <w:spacing w:line="600" w:lineRule="exact"/>
        <w:jc w:val="center"/>
        <w:outlineLvl w:val="0"/>
        <w:rPr>
          <w:rFonts w:ascii="仿宋" w:hAnsi="仿宋" w:eastAsia="仿宋"/>
          <w:b/>
          <w:color w:val="000000"/>
          <w:sz w:val="44"/>
          <w:szCs w:val="44"/>
        </w:rPr>
      </w:pPr>
    </w:p>
    <w:p w14:paraId="04C3DFBF">
      <w:pPr>
        <w:pStyle w:val="5"/>
        <w:rPr>
          <w:rFonts w:ascii="仿宋" w:hAnsi="仿宋" w:eastAsia="仿宋"/>
          <w:color w:val="000000"/>
        </w:rPr>
      </w:pPr>
      <w:bookmarkStart w:id="63" w:name="_Toc15396619"/>
      <w:r>
        <w:rPr>
          <w:rFonts w:hint="eastAsia" w:ascii="仿宋" w:hAnsi="仿宋" w:eastAsia="仿宋"/>
          <w:b w:val="0"/>
          <w:color w:val="000000"/>
        </w:rPr>
        <w:t>一、收</w:t>
      </w:r>
      <w:r>
        <w:rPr>
          <w:rStyle w:val="20"/>
          <w:rFonts w:hint="eastAsia" w:ascii="仿宋" w:hAnsi="仿宋" w:eastAsia="仿宋"/>
          <w:b w:val="0"/>
          <w:bCs w:val="0"/>
        </w:rPr>
        <w:t>入支出决算总表</w:t>
      </w:r>
      <w:bookmarkEnd w:id="63"/>
    </w:p>
    <w:p w14:paraId="70B87A92">
      <w:pPr>
        <w:pStyle w:val="5"/>
        <w:rPr>
          <w:rFonts w:ascii="仿宋" w:hAnsi="仿宋" w:eastAsia="仿宋"/>
          <w:color w:val="000000"/>
        </w:rPr>
      </w:pPr>
      <w:bookmarkStart w:id="64" w:name="_Toc15396620"/>
      <w:r>
        <w:rPr>
          <w:rFonts w:hint="eastAsia" w:ascii="仿宋" w:hAnsi="仿宋" w:eastAsia="仿宋"/>
          <w:b w:val="0"/>
          <w:color w:val="000000"/>
        </w:rPr>
        <w:t>二、收</w:t>
      </w:r>
      <w:r>
        <w:rPr>
          <w:rStyle w:val="20"/>
          <w:rFonts w:hint="eastAsia" w:ascii="仿宋" w:hAnsi="仿宋" w:eastAsia="仿宋"/>
          <w:b w:val="0"/>
          <w:bCs w:val="0"/>
        </w:rPr>
        <w:t>入总表</w:t>
      </w:r>
      <w:bookmarkEnd w:id="64"/>
    </w:p>
    <w:p w14:paraId="786C5419">
      <w:pPr>
        <w:pStyle w:val="5"/>
        <w:rPr>
          <w:rFonts w:ascii="仿宋" w:hAnsi="仿宋" w:eastAsia="仿宋"/>
          <w:color w:val="000000"/>
        </w:rPr>
      </w:pPr>
      <w:bookmarkStart w:id="65" w:name="_Toc15396621"/>
      <w:r>
        <w:rPr>
          <w:rStyle w:val="20"/>
          <w:rFonts w:hint="eastAsia" w:ascii="仿宋" w:hAnsi="仿宋" w:eastAsia="仿宋"/>
          <w:b w:val="0"/>
          <w:bCs w:val="0"/>
        </w:rPr>
        <w:t>三、</w:t>
      </w:r>
      <w:r>
        <w:rPr>
          <w:rFonts w:hint="eastAsia" w:ascii="仿宋" w:hAnsi="仿宋" w:eastAsia="仿宋"/>
          <w:b w:val="0"/>
          <w:color w:val="000000"/>
        </w:rPr>
        <w:t>支</w:t>
      </w:r>
      <w:r>
        <w:rPr>
          <w:rStyle w:val="20"/>
          <w:rFonts w:hint="eastAsia" w:ascii="仿宋" w:hAnsi="仿宋" w:eastAsia="仿宋"/>
          <w:b w:val="0"/>
          <w:bCs w:val="0"/>
        </w:rPr>
        <w:t>出总表</w:t>
      </w:r>
      <w:bookmarkEnd w:id="65"/>
    </w:p>
    <w:p w14:paraId="57D9496A">
      <w:pPr>
        <w:pStyle w:val="5"/>
        <w:rPr>
          <w:rFonts w:ascii="仿宋" w:hAnsi="仿宋" w:eastAsia="仿宋"/>
          <w:b w:val="0"/>
          <w:color w:val="000000"/>
        </w:rPr>
      </w:pPr>
      <w:bookmarkStart w:id="66" w:name="_Toc15396622"/>
      <w:r>
        <w:rPr>
          <w:rStyle w:val="20"/>
          <w:rFonts w:hint="eastAsia" w:ascii="仿宋" w:hAnsi="仿宋" w:eastAsia="仿宋"/>
          <w:b w:val="0"/>
          <w:bCs w:val="0"/>
        </w:rPr>
        <w:t>四、</w:t>
      </w:r>
      <w:r>
        <w:rPr>
          <w:rFonts w:hint="eastAsia" w:ascii="仿宋" w:hAnsi="仿宋" w:eastAsia="仿宋"/>
          <w:b w:val="0"/>
          <w:color w:val="000000"/>
        </w:rPr>
        <w:t>财</w:t>
      </w:r>
      <w:r>
        <w:rPr>
          <w:rStyle w:val="20"/>
          <w:rFonts w:hint="eastAsia" w:ascii="仿宋" w:hAnsi="仿宋" w:eastAsia="仿宋"/>
          <w:b w:val="0"/>
          <w:bCs w:val="0"/>
        </w:rPr>
        <w:t>政拨款收入支出决算总表</w:t>
      </w:r>
      <w:bookmarkEnd w:id="66"/>
    </w:p>
    <w:p w14:paraId="7E653111">
      <w:pPr>
        <w:pStyle w:val="5"/>
        <w:rPr>
          <w:rFonts w:ascii="仿宋" w:hAnsi="仿宋" w:eastAsia="仿宋"/>
          <w:color w:val="000000"/>
        </w:rPr>
      </w:pPr>
      <w:bookmarkStart w:id="67" w:name="_Toc15396623"/>
      <w:r>
        <w:rPr>
          <w:rStyle w:val="20"/>
          <w:rFonts w:hint="eastAsia" w:ascii="仿宋" w:hAnsi="仿宋" w:eastAsia="仿宋"/>
          <w:b w:val="0"/>
          <w:bCs w:val="0"/>
        </w:rPr>
        <w:t>五、</w:t>
      </w:r>
      <w:r>
        <w:rPr>
          <w:rFonts w:hint="eastAsia" w:ascii="仿宋" w:hAnsi="仿宋" w:eastAsia="仿宋"/>
          <w:b w:val="0"/>
          <w:color w:val="000000"/>
        </w:rPr>
        <w:t>财</w:t>
      </w:r>
      <w:r>
        <w:rPr>
          <w:rStyle w:val="20"/>
          <w:rFonts w:hint="eastAsia" w:ascii="仿宋" w:hAnsi="仿宋" w:eastAsia="仿宋"/>
          <w:b w:val="0"/>
          <w:bCs w:val="0"/>
        </w:rPr>
        <w:t>政拨款支出决算明细表（政府经济分类科目）</w:t>
      </w:r>
      <w:bookmarkEnd w:id="67"/>
    </w:p>
    <w:p w14:paraId="116079CE">
      <w:pPr>
        <w:pStyle w:val="5"/>
        <w:rPr>
          <w:rFonts w:ascii="仿宋" w:hAnsi="仿宋" w:eastAsia="仿宋"/>
          <w:color w:val="000000"/>
        </w:rPr>
      </w:pPr>
      <w:bookmarkStart w:id="68" w:name="_Toc15396624"/>
      <w:r>
        <w:rPr>
          <w:rStyle w:val="20"/>
          <w:rFonts w:hint="eastAsia" w:ascii="仿宋" w:hAnsi="仿宋" w:eastAsia="仿宋"/>
          <w:b w:val="0"/>
          <w:bCs w:val="0"/>
        </w:rPr>
        <w:t>六、</w:t>
      </w:r>
      <w:r>
        <w:rPr>
          <w:rFonts w:hint="eastAsia" w:ascii="仿宋" w:hAnsi="仿宋" w:eastAsia="仿宋"/>
          <w:b w:val="0"/>
          <w:color w:val="000000"/>
        </w:rPr>
        <w:t>一</w:t>
      </w:r>
      <w:r>
        <w:rPr>
          <w:rStyle w:val="20"/>
          <w:rFonts w:hint="eastAsia" w:ascii="仿宋" w:hAnsi="仿宋" w:eastAsia="仿宋"/>
          <w:b w:val="0"/>
          <w:bCs w:val="0"/>
        </w:rPr>
        <w:t>般公共预算财政拨款支出决算表</w:t>
      </w:r>
      <w:bookmarkEnd w:id="68"/>
    </w:p>
    <w:p w14:paraId="5F2B0899">
      <w:pPr>
        <w:pStyle w:val="5"/>
        <w:rPr>
          <w:rFonts w:ascii="仿宋" w:hAnsi="仿宋" w:eastAsia="仿宋"/>
          <w:color w:val="000000"/>
        </w:rPr>
      </w:pPr>
      <w:bookmarkStart w:id="69" w:name="_Toc15396625"/>
      <w:r>
        <w:rPr>
          <w:rStyle w:val="20"/>
          <w:rFonts w:hint="eastAsia" w:ascii="仿宋" w:hAnsi="仿宋" w:eastAsia="仿宋"/>
          <w:b w:val="0"/>
          <w:bCs w:val="0"/>
        </w:rPr>
        <w:t>七、</w:t>
      </w:r>
      <w:r>
        <w:rPr>
          <w:rFonts w:hint="eastAsia" w:ascii="仿宋" w:hAnsi="仿宋" w:eastAsia="仿宋"/>
          <w:b w:val="0"/>
          <w:color w:val="000000"/>
        </w:rPr>
        <w:t>一</w:t>
      </w:r>
      <w:r>
        <w:rPr>
          <w:rStyle w:val="20"/>
          <w:rFonts w:hint="eastAsia" w:ascii="仿宋" w:hAnsi="仿宋" w:eastAsia="仿宋"/>
          <w:b w:val="0"/>
          <w:bCs w:val="0"/>
        </w:rPr>
        <w:t>般公共预算财政拨款支出决算明细表</w:t>
      </w:r>
      <w:bookmarkEnd w:id="69"/>
    </w:p>
    <w:p w14:paraId="26A5CDF7">
      <w:pPr>
        <w:pStyle w:val="5"/>
        <w:rPr>
          <w:rFonts w:ascii="仿宋" w:hAnsi="仿宋" w:eastAsia="仿宋"/>
          <w:color w:val="000000"/>
        </w:rPr>
      </w:pPr>
      <w:bookmarkStart w:id="70" w:name="_Toc15396626"/>
      <w:r>
        <w:rPr>
          <w:rStyle w:val="20"/>
          <w:rFonts w:hint="eastAsia" w:ascii="仿宋" w:hAnsi="仿宋" w:eastAsia="仿宋"/>
          <w:b w:val="0"/>
          <w:bCs w:val="0"/>
        </w:rPr>
        <w:t>八、</w:t>
      </w:r>
      <w:r>
        <w:rPr>
          <w:rFonts w:hint="eastAsia" w:ascii="仿宋" w:hAnsi="仿宋" w:eastAsia="仿宋"/>
          <w:b w:val="0"/>
          <w:color w:val="000000"/>
        </w:rPr>
        <w:t>一</w:t>
      </w:r>
      <w:r>
        <w:rPr>
          <w:rStyle w:val="20"/>
          <w:rFonts w:hint="eastAsia" w:ascii="仿宋" w:hAnsi="仿宋" w:eastAsia="仿宋"/>
          <w:b w:val="0"/>
          <w:bCs w:val="0"/>
        </w:rPr>
        <w:t>般公共预算财政拨款基本支出决算表</w:t>
      </w:r>
      <w:bookmarkEnd w:id="70"/>
    </w:p>
    <w:p w14:paraId="53A4FC14">
      <w:pPr>
        <w:pStyle w:val="5"/>
        <w:rPr>
          <w:rFonts w:ascii="仿宋" w:hAnsi="仿宋" w:eastAsia="仿宋"/>
          <w:color w:val="000000"/>
        </w:rPr>
      </w:pPr>
      <w:bookmarkStart w:id="71" w:name="_Toc15396627"/>
      <w:r>
        <w:rPr>
          <w:rStyle w:val="20"/>
          <w:rFonts w:hint="eastAsia" w:ascii="仿宋" w:hAnsi="仿宋" w:eastAsia="仿宋"/>
          <w:b w:val="0"/>
          <w:bCs w:val="0"/>
        </w:rPr>
        <w:t>九、</w:t>
      </w:r>
      <w:r>
        <w:rPr>
          <w:rFonts w:hint="eastAsia" w:ascii="仿宋" w:hAnsi="仿宋" w:eastAsia="仿宋"/>
          <w:b w:val="0"/>
          <w:color w:val="000000"/>
        </w:rPr>
        <w:t>一</w:t>
      </w:r>
      <w:r>
        <w:rPr>
          <w:rStyle w:val="20"/>
          <w:rFonts w:hint="eastAsia" w:ascii="仿宋" w:hAnsi="仿宋" w:eastAsia="仿宋"/>
          <w:b w:val="0"/>
          <w:bCs w:val="0"/>
        </w:rPr>
        <w:t>般公共预算财政拨款项目支出决算表</w:t>
      </w:r>
      <w:bookmarkEnd w:id="71"/>
    </w:p>
    <w:p w14:paraId="43868B7E">
      <w:pPr>
        <w:pStyle w:val="5"/>
        <w:rPr>
          <w:rFonts w:ascii="仿宋" w:hAnsi="仿宋" w:eastAsia="仿宋"/>
          <w:color w:val="000000"/>
        </w:rPr>
      </w:pPr>
      <w:bookmarkStart w:id="72" w:name="_Toc15396628"/>
      <w:r>
        <w:rPr>
          <w:rStyle w:val="20"/>
          <w:rFonts w:hint="eastAsia" w:ascii="仿宋" w:hAnsi="仿宋" w:eastAsia="仿宋"/>
          <w:b w:val="0"/>
          <w:bCs w:val="0"/>
        </w:rPr>
        <w:t>十、</w:t>
      </w:r>
      <w:r>
        <w:rPr>
          <w:rFonts w:hint="eastAsia" w:ascii="仿宋" w:hAnsi="仿宋" w:eastAsia="仿宋"/>
          <w:b w:val="0"/>
          <w:color w:val="000000"/>
        </w:rPr>
        <w:t>一</w:t>
      </w:r>
      <w:r>
        <w:rPr>
          <w:rStyle w:val="20"/>
          <w:rFonts w:hint="eastAsia" w:ascii="仿宋" w:hAnsi="仿宋" w:eastAsia="仿宋"/>
          <w:b w:val="0"/>
          <w:bCs w:val="0"/>
        </w:rPr>
        <w:t>般公共预算财政拨款“三公”经费支出决算表</w:t>
      </w:r>
      <w:bookmarkEnd w:id="72"/>
    </w:p>
    <w:p w14:paraId="189FE6E4">
      <w:pPr>
        <w:pStyle w:val="5"/>
        <w:rPr>
          <w:rFonts w:ascii="仿宋" w:hAnsi="仿宋" w:eastAsia="仿宋"/>
          <w:color w:val="000000"/>
        </w:rPr>
      </w:pPr>
      <w:bookmarkStart w:id="73" w:name="_Toc15396629"/>
      <w:r>
        <w:rPr>
          <w:rStyle w:val="20"/>
          <w:rFonts w:hint="eastAsia" w:ascii="仿宋" w:hAnsi="仿宋" w:eastAsia="仿宋"/>
          <w:b w:val="0"/>
          <w:bCs w:val="0"/>
        </w:rPr>
        <w:t>十一、</w:t>
      </w:r>
      <w:r>
        <w:rPr>
          <w:rFonts w:hint="eastAsia" w:ascii="仿宋" w:hAnsi="仿宋" w:eastAsia="仿宋"/>
          <w:b w:val="0"/>
          <w:color w:val="000000"/>
        </w:rPr>
        <w:t>政</w:t>
      </w:r>
      <w:r>
        <w:rPr>
          <w:rStyle w:val="20"/>
          <w:rFonts w:hint="eastAsia" w:ascii="仿宋" w:hAnsi="仿宋" w:eastAsia="仿宋"/>
          <w:b w:val="0"/>
          <w:bCs w:val="0"/>
        </w:rPr>
        <w:t>府性基金预算财政拨款收入支出决算表</w:t>
      </w:r>
      <w:bookmarkEnd w:id="73"/>
    </w:p>
    <w:p w14:paraId="7385573D">
      <w:pPr>
        <w:pStyle w:val="5"/>
        <w:rPr>
          <w:rFonts w:ascii="仿宋" w:hAnsi="仿宋" w:eastAsia="仿宋"/>
          <w:color w:val="000000"/>
        </w:rPr>
      </w:pPr>
      <w:bookmarkStart w:id="74" w:name="_Toc15396630"/>
      <w:r>
        <w:rPr>
          <w:rStyle w:val="20"/>
          <w:rFonts w:hint="eastAsia" w:ascii="仿宋" w:hAnsi="仿宋" w:eastAsia="仿宋"/>
          <w:b w:val="0"/>
          <w:bCs w:val="0"/>
        </w:rPr>
        <w:t>十二、</w:t>
      </w:r>
      <w:r>
        <w:rPr>
          <w:rFonts w:hint="eastAsia" w:ascii="仿宋" w:hAnsi="仿宋" w:eastAsia="仿宋"/>
          <w:b w:val="0"/>
          <w:color w:val="000000"/>
        </w:rPr>
        <w:t>政</w:t>
      </w:r>
      <w:r>
        <w:rPr>
          <w:rStyle w:val="20"/>
          <w:rFonts w:hint="eastAsia" w:ascii="仿宋" w:hAnsi="仿宋" w:eastAsia="仿宋"/>
          <w:b w:val="0"/>
          <w:bCs w:val="0"/>
        </w:rPr>
        <w:t>府性基金预算财政拨款“三公”经费支出决算表</w:t>
      </w:r>
      <w:bookmarkEnd w:id="74"/>
    </w:p>
    <w:p w14:paraId="66255820">
      <w:pPr>
        <w:pStyle w:val="5"/>
        <w:rPr>
          <w:rFonts w:ascii="仿宋" w:hAnsi="仿宋" w:eastAsia="仿宋"/>
          <w:color w:val="000000"/>
        </w:rPr>
      </w:pPr>
      <w:bookmarkStart w:id="75" w:name="_Toc15396631"/>
      <w:r>
        <w:rPr>
          <w:rStyle w:val="20"/>
          <w:rFonts w:hint="eastAsia" w:ascii="仿宋" w:hAnsi="仿宋" w:eastAsia="仿宋"/>
          <w:b w:val="0"/>
          <w:bCs w:val="0"/>
        </w:rPr>
        <w:t>十三、</w:t>
      </w:r>
      <w:r>
        <w:rPr>
          <w:rFonts w:hint="eastAsia" w:ascii="仿宋" w:hAnsi="仿宋" w:eastAsia="仿宋"/>
          <w:b w:val="0"/>
          <w:color w:val="000000"/>
        </w:rPr>
        <w:t>国</w:t>
      </w:r>
      <w:r>
        <w:rPr>
          <w:rStyle w:val="20"/>
          <w:rFonts w:hint="eastAsia" w:ascii="仿宋" w:hAnsi="仿宋" w:eastAsia="仿宋"/>
          <w:b w:val="0"/>
          <w:bCs w:val="0"/>
        </w:rPr>
        <w:t>有资本经营预算支出决算表</w:t>
      </w:r>
      <w:bookmarkEnd w:id="75"/>
    </w:p>
    <w:p w14:paraId="6CC09F91">
      <w:pPr>
        <w:spacing w:line="600" w:lineRule="exact"/>
        <w:ind w:firstLine="420" w:firstLineChars="200"/>
        <w:outlineLvl w:val="1"/>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8AD2FD-DBAE-4615-97A1-15A2E35C2D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EE9D456-F04C-435D-B20E-8ABB39378660}"/>
  </w:font>
  <w:font w:name="Cambria">
    <w:panose1 w:val="02040503050406030204"/>
    <w:charset w:val="00"/>
    <w:family w:val="roman"/>
    <w:pitch w:val="default"/>
    <w:sig w:usb0="E00006FF" w:usb1="420024FF" w:usb2="02000000" w:usb3="00000000" w:csb0="2000019F" w:csb1="00000000"/>
    <w:embedRegular r:id="rId3" w:fontKey="{8F0D04DA-A1DC-4AAA-8BF2-3500CFF3373A}"/>
  </w:font>
  <w:font w:name="仿宋_GB2312">
    <w:altName w:val="仿宋"/>
    <w:panose1 w:val="00000000000000000000"/>
    <w:charset w:val="86"/>
    <w:family w:val="modern"/>
    <w:pitch w:val="default"/>
    <w:sig w:usb0="00000000" w:usb1="00000000" w:usb2="00000010" w:usb3="00000000" w:csb0="00040000" w:csb1="00000000"/>
    <w:embedRegular r:id="rId4" w:fontKey="{D0592B26-7E31-473C-8376-2BD84D96E318}"/>
  </w:font>
  <w:font w:name="仿宋">
    <w:panose1 w:val="02010609060101010101"/>
    <w:charset w:val="86"/>
    <w:family w:val="auto"/>
    <w:pitch w:val="default"/>
    <w:sig w:usb0="800002BF" w:usb1="38CF7CFA" w:usb2="00000016" w:usb3="00000000" w:csb0="00040001" w:csb1="00000000"/>
    <w:embedRegular r:id="rId5" w:fontKey="{06C76463-A429-426E-B7A8-F07218839B31}"/>
  </w:font>
  <w:font w:name="方正小标宋简体">
    <w:panose1 w:val="02000000000000000000"/>
    <w:charset w:val="86"/>
    <w:family w:val="auto"/>
    <w:pitch w:val="default"/>
    <w:sig w:usb0="00000001" w:usb1="08000000" w:usb2="00000000" w:usb3="00000000" w:csb0="00040000" w:csb1="00000000"/>
    <w:embedRegular r:id="rId6" w:fontKey="{CE392224-7152-4B87-BCE3-92CC3611B703}"/>
  </w:font>
  <w:font w:name="楷体_GB2312">
    <w:panose1 w:val="02010609030101010101"/>
    <w:charset w:val="86"/>
    <w:family w:val="auto"/>
    <w:pitch w:val="default"/>
    <w:sig w:usb0="00000001" w:usb1="080E0000" w:usb2="00000000" w:usb3="00000000" w:csb0="00040000" w:csb1="00000000"/>
    <w:embedRegular r:id="rId7" w:fontKey="{20493D21-B3B5-4BBE-B710-BD2733CF2E2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871BE">
    <w:pPr>
      <w:pStyle w:val="10"/>
      <w:jc w:val="center"/>
    </w:pPr>
    <w:r>
      <w:fldChar w:fldCharType="begin"/>
    </w:r>
    <w:r>
      <w:instrText xml:space="preserve">PAGE   \* MERGEFORMAT</w:instrText>
    </w:r>
    <w:r>
      <w:fldChar w:fldCharType="separate"/>
    </w:r>
    <w:r>
      <w:rPr>
        <w:lang w:val="zh-CN"/>
      </w:rPr>
      <w:t>3</w:t>
    </w:r>
    <w:r>
      <w:rPr>
        <w:lang w:val="zh-CN"/>
      </w:rPr>
      <w:fldChar w:fldCharType="end"/>
    </w:r>
  </w:p>
  <w:p w14:paraId="2B0BC30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CFED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4">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abstractNum w:abstractNumId="5">
    <w:nsid w:val="5D818CD9"/>
    <w:multiLevelType w:val="singleLevel"/>
    <w:tmpl w:val="5D818CD9"/>
    <w:lvl w:ilvl="0" w:tentative="0">
      <w:start w:val="2"/>
      <w:numFmt w:val="chineseCounting"/>
      <w:suff w:val="nothing"/>
      <w:lvlText w:val="%1、"/>
      <w:lvlJc w:val="left"/>
      <w:rPr>
        <w:rFonts w:cs="Times New Roman"/>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03F72"/>
    <w:rsid w:val="000222C6"/>
    <w:rsid w:val="0002549F"/>
    <w:rsid w:val="0006487A"/>
    <w:rsid w:val="00065F8F"/>
    <w:rsid w:val="000768F2"/>
    <w:rsid w:val="00077BA9"/>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15B7D"/>
    <w:rsid w:val="001368FF"/>
    <w:rsid w:val="0014729F"/>
    <w:rsid w:val="00157BAB"/>
    <w:rsid w:val="001654D1"/>
    <w:rsid w:val="0018106D"/>
    <w:rsid w:val="001877A7"/>
    <w:rsid w:val="00191536"/>
    <w:rsid w:val="00196687"/>
    <w:rsid w:val="001A70B7"/>
    <w:rsid w:val="001C0962"/>
    <w:rsid w:val="001D7471"/>
    <w:rsid w:val="001D7531"/>
    <w:rsid w:val="001E737D"/>
    <w:rsid w:val="001F0592"/>
    <w:rsid w:val="001F7506"/>
    <w:rsid w:val="002006CD"/>
    <w:rsid w:val="00202B36"/>
    <w:rsid w:val="00204B7A"/>
    <w:rsid w:val="0021101A"/>
    <w:rsid w:val="00220536"/>
    <w:rsid w:val="00235629"/>
    <w:rsid w:val="00260C38"/>
    <w:rsid w:val="002616C0"/>
    <w:rsid w:val="002662AA"/>
    <w:rsid w:val="002671DC"/>
    <w:rsid w:val="00280496"/>
    <w:rsid w:val="00293DFE"/>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2795"/>
    <w:rsid w:val="005664BB"/>
    <w:rsid w:val="0057481D"/>
    <w:rsid w:val="0058486E"/>
    <w:rsid w:val="0059378A"/>
    <w:rsid w:val="005D1C8B"/>
    <w:rsid w:val="005D5CED"/>
    <w:rsid w:val="005F1A4C"/>
    <w:rsid w:val="00605688"/>
    <w:rsid w:val="006070AF"/>
    <w:rsid w:val="00607E6C"/>
    <w:rsid w:val="006101B1"/>
    <w:rsid w:val="00614E44"/>
    <w:rsid w:val="00622830"/>
    <w:rsid w:val="00630AEF"/>
    <w:rsid w:val="006325F8"/>
    <w:rsid w:val="00634C9A"/>
    <w:rsid w:val="006440E4"/>
    <w:rsid w:val="00660A30"/>
    <w:rsid w:val="0066343B"/>
    <w:rsid w:val="00664777"/>
    <w:rsid w:val="00674273"/>
    <w:rsid w:val="006748A4"/>
    <w:rsid w:val="00683E73"/>
    <w:rsid w:val="006A3141"/>
    <w:rsid w:val="006A5B91"/>
    <w:rsid w:val="006A5E34"/>
    <w:rsid w:val="006B2422"/>
    <w:rsid w:val="006B2B9A"/>
    <w:rsid w:val="006C1937"/>
    <w:rsid w:val="006F020C"/>
    <w:rsid w:val="006F7F55"/>
    <w:rsid w:val="007030D5"/>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2D02"/>
    <w:rsid w:val="0083706E"/>
    <w:rsid w:val="008423A5"/>
    <w:rsid w:val="00850625"/>
    <w:rsid w:val="00853718"/>
    <w:rsid w:val="00855221"/>
    <w:rsid w:val="00860645"/>
    <w:rsid w:val="008616A8"/>
    <w:rsid w:val="00871F71"/>
    <w:rsid w:val="00885AF4"/>
    <w:rsid w:val="008939CD"/>
    <w:rsid w:val="008B768C"/>
    <w:rsid w:val="008C4DB1"/>
    <w:rsid w:val="008C4EAF"/>
    <w:rsid w:val="008C5176"/>
    <w:rsid w:val="008C7FD0"/>
    <w:rsid w:val="008E1DE7"/>
    <w:rsid w:val="008E707C"/>
    <w:rsid w:val="008E717A"/>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43EE3"/>
    <w:rsid w:val="00A46F12"/>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D6730"/>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03C84"/>
    <w:rsid w:val="00D20620"/>
    <w:rsid w:val="00D26091"/>
    <w:rsid w:val="00D34E7C"/>
    <w:rsid w:val="00D35489"/>
    <w:rsid w:val="00D51276"/>
    <w:rsid w:val="00D5416E"/>
    <w:rsid w:val="00D7035F"/>
    <w:rsid w:val="00DA65AC"/>
    <w:rsid w:val="00DB1913"/>
    <w:rsid w:val="00DC410D"/>
    <w:rsid w:val="00DC68CA"/>
    <w:rsid w:val="00DC7191"/>
    <w:rsid w:val="00DC7CBA"/>
    <w:rsid w:val="00DD73B7"/>
    <w:rsid w:val="00DF28BC"/>
    <w:rsid w:val="00DF34B9"/>
    <w:rsid w:val="00E01053"/>
    <w:rsid w:val="00E07ACF"/>
    <w:rsid w:val="00E331A1"/>
    <w:rsid w:val="00E33202"/>
    <w:rsid w:val="00E336A9"/>
    <w:rsid w:val="00E50624"/>
    <w:rsid w:val="00E568DF"/>
    <w:rsid w:val="00E64269"/>
    <w:rsid w:val="00E76461"/>
    <w:rsid w:val="00E82267"/>
    <w:rsid w:val="00EA010F"/>
    <w:rsid w:val="00EA4977"/>
    <w:rsid w:val="00ED1B63"/>
    <w:rsid w:val="00ED3C1F"/>
    <w:rsid w:val="00ED4085"/>
    <w:rsid w:val="00ED420E"/>
    <w:rsid w:val="00EE2F57"/>
    <w:rsid w:val="00EF4C34"/>
    <w:rsid w:val="00EF77C6"/>
    <w:rsid w:val="00F05438"/>
    <w:rsid w:val="00F1361C"/>
    <w:rsid w:val="00F160C7"/>
    <w:rsid w:val="00F25142"/>
    <w:rsid w:val="00F36D8F"/>
    <w:rsid w:val="00F417B1"/>
    <w:rsid w:val="00F602DF"/>
    <w:rsid w:val="00F81FD9"/>
    <w:rsid w:val="00F841AA"/>
    <w:rsid w:val="00FA23E8"/>
    <w:rsid w:val="00FC2690"/>
    <w:rsid w:val="00FD22BD"/>
    <w:rsid w:val="00FD3CC1"/>
    <w:rsid w:val="00FF1E02"/>
    <w:rsid w:val="00FF30B4"/>
    <w:rsid w:val="011F2B94"/>
    <w:rsid w:val="05184E62"/>
    <w:rsid w:val="067D6624"/>
    <w:rsid w:val="0A455EBE"/>
    <w:rsid w:val="0B20425A"/>
    <w:rsid w:val="0D2068F0"/>
    <w:rsid w:val="0F1E0D62"/>
    <w:rsid w:val="10C055FF"/>
    <w:rsid w:val="14B74AF4"/>
    <w:rsid w:val="16BB723D"/>
    <w:rsid w:val="17F02885"/>
    <w:rsid w:val="1A6D0B2E"/>
    <w:rsid w:val="240371BF"/>
    <w:rsid w:val="24164E75"/>
    <w:rsid w:val="27107B9E"/>
    <w:rsid w:val="29FD04D3"/>
    <w:rsid w:val="2B81488E"/>
    <w:rsid w:val="2E165C1F"/>
    <w:rsid w:val="2FFF50DC"/>
    <w:rsid w:val="319F7F4E"/>
    <w:rsid w:val="354A10E9"/>
    <w:rsid w:val="361E5503"/>
    <w:rsid w:val="37312CF2"/>
    <w:rsid w:val="376610AB"/>
    <w:rsid w:val="3D6D2A3E"/>
    <w:rsid w:val="3E636F6B"/>
    <w:rsid w:val="40BC0B3C"/>
    <w:rsid w:val="41AB75DA"/>
    <w:rsid w:val="42E15411"/>
    <w:rsid w:val="43830BBD"/>
    <w:rsid w:val="4C9D0155"/>
    <w:rsid w:val="4D553060"/>
    <w:rsid w:val="50154975"/>
    <w:rsid w:val="51791C46"/>
    <w:rsid w:val="531C1E36"/>
    <w:rsid w:val="542652F7"/>
    <w:rsid w:val="55D62DE4"/>
    <w:rsid w:val="569151A3"/>
    <w:rsid w:val="56EB2E2F"/>
    <w:rsid w:val="57C72A0B"/>
    <w:rsid w:val="58062365"/>
    <w:rsid w:val="5946428C"/>
    <w:rsid w:val="6910660F"/>
    <w:rsid w:val="6AFA7100"/>
    <w:rsid w:val="6CE04C2B"/>
    <w:rsid w:val="6D3821E3"/>
    <w:rsid w:val="6E294482"/>
    <w:rsid w:val="6EE721E3"/>
    <w:rsid w:val="71923E70"/>
    <w:rsid w:val="72801530"/>
    <w:rsid w:val="729266F1"/>
    <w:rsid w:val="73E11273"/>
    <w:rsid w:val="76D26A28"/>
    <w:rsid w:val="7728471D"/>
    <w:rsid w:val="7A625A2B"/>
    <w:rsid w:val="7AC12991"/>
    <w:rsid w:val="7AD754FC"/>
    <w:rsid w:val="7AF156A1"/>
    <w:rsid w:val="7B4A7333"/>
    <w:rsid w:val="7DE00B8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20"/>
    <w:qFormat/>
    <w:uiPriority w:val="99"/>
    <w:pPr>
      <w:keepNext/>
      <w:keepLines/>
      <w:spacing w:before="260" w:after="260" w:line="416" w:lineRule="auto"/>
      <w:outlineLvl w:val="1"/>
    </w:pPr>
    <w:rPr>
      <w:rFonts w:ascii="Cambria" w:hAnsi="Cambria"/>
      <w:b/>
      <w:bCs/>
      <w:sz w:val="32"/>
      <w:szCs w:val="32"/>
    </w:rPr>
  </w:style>
  <w:style w:type="paragraph" w:styleId="6">
    <w:name w:val="heading 3"/>
    <w:basedOn w:val="1"/>
    <w:next w:val="1"/>
    <w:link w:val="21"/>
    <w:qFormat/>
    <w:uiPriority w:val="99"/>
    <w:pPr>
      <w:keepNext/>
      <w:keepLines/>
      <w:spacing w:before="260" w:after="260" w:line="416" w:lineRule="auto"/>
      <w:outlineLvl w:val="2"/>
    </w:pPr>
    <w:rPr>
      <w:b/>
      <w:bCs/>
      <w:sz w:val="32"/>
      <w:szCs w:val="32"/>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3"/>
    <w:qFormat/>
    <w:uiPriority w:val="99"/>
    <w:pPr>
      <w:ind w:firstLine="420" w:firstLineChars="200"/>
    </w:pPr>
  </w:style>
  <w:style w:type="paragraph" w:styleId="3">
    <w:name w:val="Body Text Indent"/>
    <w:basedOn w:val="1"/>
    <w:link w:val="22"/>
    <w:qFormat/>
    <w:uiPriority w:val="99"/>
    <w:pPr>
      <w:ind w:left="420" w:leftChars="200"/>
    </w:pPr>
  </w:style>
  <w:style w:type="paragraph" w:styleId="7">
    <w:name w:val="Body Text"/>
    <w:basedOn w:val="1"/>
    <w:link w:val="30"/>
    <w:qFormat/>
    <w:uiPriority w:val="99"/>
    <w:pPr>
      <w:spacing w:beforeLines="30"/>
    </w:pPr>
    <w:rPr>
      <w:rFonts w:ascii="仿宋_GB2312" w:eastAsia="仿宋_GB2312"/>
      <w:kern w:val="0"/>
      <w:sz w:val="24"/>
      <w:szCs w:val="20"/>
    </w:rPr>
  </w:style>
  <w:style w:type="paragraph" w:styleId="8">
    <w:name w:val="toc 3"/>
    <w:basedOn w:val="1"/>
    <w:next w:val="1"/>
    <w:qFormat/>
    <w:uiPriority w:val="99"/>
    <w:pPr>
      <w:tabs>
        <w:tab w:val="right" w:leader="dot" w:pos="8296"/>
      </w:tabs>
      <w:ind w:left="840" w:leftChars="400"/>
    </w:pPr>
  </w:style>
  <w:style w:type="paragraph" w:styleId="9">
    <w:name w:val="Balloon Text"/>
    <w:basedOn w:val="1"/>
    <w:link w:val="25"/>
    <w:uiPriority w:val="99"/>
    <w:rPr>
      <w:sz w:val="18"/>
      <w:szCs w:val="18"/>
    </w:rPr>
  </w:style>
  <w:style w:type="paragraph" w:styleId="10">
    <w:name w:val="footer"/>
    <w:basedOn w:val="1"/>
    <w:link w:val="29"/>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link w:val="28"/>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3">
    <w:name w:val="toc 2"/>
    <w:basedOn w:val="1"/>
    <w:next w:val="1"/>
    <w:qFormat/>
    <w:uiPriority w:val="99"/>
    <w:pPr>
      <w:tabs>
        <w:tab w:val="right" w:leader="dot" w:pos="8296"/>
      </w:tabs>
      <w:ind w:left="420" w:leftChars="200"/>
    </w:p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7">
    <w:name w:val="Strong"/>
    <w:basedOn w:val="16"/>
    <w:qFormat/>
    <w:uiPriority w:val="99"/>
    <w:rPr>
      <w:rFonts w:cs="Times New Roman"/>
      <w:b/>
    </w:rPr>
  </w:style>
  <w:style w:type="character" w:styleId="18">
    <w:name w:val="Hyperlink"/>
    <w:basedOn w:val="16"/>
    <w:qFormat/>
    <w:uiPriority w:val="99"/>
    <w:rPr>
      <w:rFonts w:cs="Times New Roman"/>
      <w:color w:val="0000FF"/>
      <w:u w:val="single"/>
    </w:rPr>
  </w:style>
  <w:style w:type="character" w:customStyle="1" w:styleId="19">
    <w:name w:val="Heading 1 Char"/>
    <w:basedOn w:val="16"/>
    <w:link w:val="4"/>
    <w:qFormat/>
    <w:locked/>
    <w:uiPriority w:val="99"/>
    <w:rPr>
      <w:rFonts w:ascii="Times New Roman" w:hAnsi="Times New Roman" w:cs="Times New Roman"/>
      <w:b/>
      <w:bCs/>
      <w:kern w:val="44"/>
      <w:sz w:val="44"/>
      <w:szCs w:val="44"/>
    </w:rPr>
  </w:style>
  <w:style w:type="character" w:customStyle="1" w:styleId="20">
    <w:name w:val="Heading 2 Char"/>
    <w:basedOn w:val="16"/>
    <w:link w:val="5"/>
    <w:qFormat/>
    <w:locked/>
    <w:uiPriority w:val="99"/>
    <w:rPr>
      <w:rFonts w:ascii="Cambria" w:hAnsi="Cambria" w:eastAsia="宋体" w:cs="Times New Roman"/>
      <w:b/>
      <w:bCs/>
      <w:kern w:val="2"/>
      <w:sz w:val="32"/>
      <w:szCs w:val="32"/>
    </w:rPr>
  </w:style>
  <w:style w:type="character" w:customStyle="1" w:styleId="21">
    <w:name w:val="Heading 3 Char"/>
    <w:basedOn w:val="16"/>
    <w:link w:val="6"/>
    <w:locked/>
    <w:uiPriority w:val="99"/>
    <w:rPr>
      <w:rFonts w:ascii="Times New Roman" w:hAnsi="Times New Roman" w:cs="Times New Roman"/>
      <w:b/>
      <w:bCs/>
      <w:kern w:val="2"/>
      <w:sz w:val="32"/>
      <w:szCs w:val="32"/>
    </w:rPr>
  </w:style>
  <w:style w:type="character" w:customStyle="1" w:styleId="22">
    <w:name w:val="Body Text Indent Char"/>
    <w:basedOn w:val="16"/>
    <w:link w:val="3"/>
    <w:semiHidden/>
    <w:locked/>
    <w:uiPriority w:val="99"/>
    <w:rPr>
      <w:rFonts w:ascii="Times New Roman" w:hAnsi="Times New Roman" w:cs="Times New Roman"/>
      <w:sz w:val="24"/>
      <w:szCs w:val="24"/>
    </w:rPr>
  </w:style>
  <w:style w:type="character" w:customStyle="1" w:styleId="23">
    <w:name w:val="Body Text First Indent 2 Char"/>
    <w:basedOn w:val="22"/>
    <w:link w:val="2"/>
    <w:semiHidden/>
    <w:qFormat/>
    <w:locked/>
    <w:uiPriority w:val="99"/>
  </w:style>
  <w:style w:type="character" w:customStyle="1" w:styleId="24">
    <w:name w:val="Body Text Char"/>
    <w:basedOn w:val="16"/>
    <w:link w:val="7"/>
    <w:semiHidden/>
    <w:qFormat/>
    <w:locked/>
    <w:uiPriority w:val="99"/>
    <w:rPr>
      <w:rFonts w:ascii="Times New Roman" w:hAnsi="Times New Roman" w:cs="Times New Roman"/>
      <w:sz w:val="24"/>
      <w:szCs w:val="24"/>
    </w:rPr>
  </w:style>
  <w:style w:type="character" w:customStyle="1" w:styleId="25">
    <w:name w:val="Balloon Text Char"/>
    <w:basedOn w:val="16"/>
    <w:link w:val="9"/>
    <w:semiHidden/>
    <w:qFormat/>
    <w:locked/>
    <w:uiPriority w:val="99"/>
    <w:rPr>
      <w:rFonts w:ascii="Times New Roman" w:hAnsi="Times New Roman" w:cs="Times New Roman"/>
      <w:kern w:val="2"/>
      <w:sz w:val="18"/>
      <w:szCs w:val="18"/>
    </w:rPr>
  </w:style>
  <w:style w:type="character" w:customStyle="1" w:styleId="26">
    <w:name w:val="Footer Char"/>
    <w:basedOn w:val="16"/>
    <w:link w:val="10"/>
    <w:semiHidden/>
    <w:qFormat/>
    <w:locked/>
    <w:uiPriority w:val="99"/>
    <w:rPr>
      <w:rFonts w:ascii="Times New Roman" w:hAnsi="Times New Roman" w:cs="Times New Roman"/>
      <w:sz w:val="18"/>
      <w:szCs w:val="18"/>
    </w:rPr>
  </w:style>
  <w:style w:type="character" w:customStyle="1" w:styleId="27">
    <w:name w:val="Header Char"/>
    <w:basedOn w:val="16"/>
    <w:link w:val="11"/>
    <w:semiHidden/>
    <w:qFormat/>
    <w:locked/>
    <w:uiPriority w:val="99"/>
    <w:rPr>
      <w:rFonts w:ascii="Times New Roman" w:hAnsi="Times New Roman" w:cs="Times New Roman"/>
      <w:sz w:val="18"/>
      <w:szCs w:val="18"/>
    </w:rPr>
  </w:style>
  <w:style w:type="character" w:customStyle="1" w:styleId="28">
    <w:name w:val="Header Char1"/>
    <w:link w:val="11"/>
    <w:semiHidden/>
    <w:qFormat/>
    <w:locked/>
    <w:uiPriority w:val="99"/>
    <w:rPr>
      <w:sz w:val="18"/>
    </w:rPr>
  </w:style>
  <w:style w:type="character" w:customStyle="1" w:styleId="29">
    <w:name w:val="Footer Char1"/>
    <w:link w:val="10"/>
    <w:qFormat/>
    <w:locked/>
    <w:uiPriority w:val="99"/>
    <w:rPr>
      <w:sz w:val="18"/>
    </w:rPr>
  </w:style>
  <w:style w:type="character" w:customStyle="1" w:styleId="30">
    <w:name w:val="Body Text Char1"/>
    <w:link w:val="7"/>
    <w:qFormat/>
    <w:locked/>
    <w:uiPriority w:val="99"/>
    <w:rPr>
      <w:rFonts w:ascii="仿宋_GB2312" w:hAnsi="Times New Roman" w:eastAsia="仿宋_GB2312"/>
      <w:sz w:val="24"/>
    </w:rPr>
  </w:style>
  <w:style w:type="paragraph" w:customStyle="1" w:styleId="31">
    <w:name w:val="Defaul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32">
    <w:name w:val="List Paragraph"/>
    <w:basedOn w:val="1"/>
    <w:qFormat/>
    <w:uiPriority w:val="99"/>
    <w:pPr>
      <w:ind w:firstLine="420" w:firstLineChars="200"/>
    </w:pPr>
  </w:style>
  <w:style w:type="paragraph" w:customStyle="1" w:styleId="33">
    <w:name w:val="TOC Heading1"/>
    <w:basedOn w:val="4"/>
    <w:next w:val="1"/>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36</Pages>
  <Words>16389</Words>
  <Characters>17284</Characters>
  <Lines>0</Lines>
  <Paragraphs>0</Paragraphs>
  <TotalTime>1</TotalTime>
  <ScaleCrop>false</ScaleCrop>
  <LinksUpToDate>false</LinksUpToDate>
  <CharactersWithSpaces>17359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2024-08-02T02:59:48Z</dcterms:modified>
  <dc:title>四川省***</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2BE89CE56A05408E95912D87E38303ED</vt:lpwstr>
  </property>
</Properties>
</file>