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76" w:lineRule="exact"/>
        <w:jc w:val="center"/>
        <w:outlineLvl w:val="0"/>
        <w:rPr>
          <w:rFonts w:ascii="方正小标宋简体" w:hAnsi="宋体" w:eastAsia="方正小标宋简体"/>
          <w:color w:val="000000"/>
          <w:sz w:val="72"/>
          <w:szCs w:val="72"/>
        </w:rPr>
      </w:pPr>
      <w:bookmarkStart w:id="0" w:name="_Toc15306267"/>
    </w:p>
    <w:p>
      <w:pPr>
        <w:pageBreakBefore w:val="0"/>
        <w:kinsoku/>
        <w:wordWrap/>
        <w:overflowPunct/>
        <w:topLinePunct w:val="0"/>
        <w:bidi w:val="0"/>
        <w:spacing w:line="576" w:lineRule="exact"/>
        <w:jc w:val="center"/>
        <w:outlineLvl w:val="0"/>
        <w:rPr>
          <w:rFonts w:ascii="方正小标宋简体" w:hAnsi="宋体" w:eastAsia="方正小标宋简体"/>
          <w:color w:val="000000"/>
          <w:sz w:val="72"/>
          <w:szCs w:val="72"/>
        </w:rPr>
      </w:pPr>
    </w:p>
    <w:p>
      <w:pPr>
        <w:pageBreakBefore w:val="0"/>
        <w:kinsoku/>
        <w:wordWrap/>
        <w:overflowPunct/>
        <w:topLinePunct w:val="0"/>
        <w:bidi w:val="0"/>
        <w:spacing w:line="576" w:lineRule="exact"/>
        <w:jc w:val="center"/>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spacing w:line="616" w:lineRule="exact"/>
        <w:jc w:val="center"/>
        <w:textAlignment w:val="auto"/>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pPr>
      <w:bookmarkStart w:id="1" w:name="_Toc15396475"/>
      <w:bookmarkStart w:id="2" w:name="_Toc15377193"/>
      <w:bookmarkStart w:id="3" w:name="_Toc15378441"/>
      <w:bookmarkStart w:id="4" w:name="_Toc15377425"/>
      <w:bookmarkStart w:id="5" w:name="_Toc15396597"/>
      <w:r>
        <w:rPr>
          <w:rFonts w:ascii="黑体" w:hAnsi="黑体" w:eastAsia="黑体"/>
          <w:color w:val="000000"/>
          <w:sz w:val="56"/>
          <w:szCs w:val="56"/>
        </w:rPr>
        <w:t>201</w:t>
      </w:r>
      <w:r>
        <w:rPr>
          <w:rFonts w:hint="eastAsia" w:ascii="黑体" w:hAnsi="黑体" w:eastAsia="黑体"/>
          <w:color w:val="000000"/>
          <w:sz w:val="56"/>
          <w:szCs w:val="56"/>
        </w:rPr>
        <w:t>8</w:t>
      </w:r>
      <w:r>
        <w:rPr>
          <w:rFonts w:hint="eastAsia" w:ascii="方正小标宋简体" w:hAnsi="宋体" w:eastAsia="方正小标宋简体"/>
          <w:color w:val="000000"/>
          <w:sz w:val="56"/>
          <w:szCs w:val="56"/>
        </w:rPr>
        <w:t>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宋体" w:eastAsia="方正小标宋简体"/>
          <w:color w:val="000000"/>
          <w:sz w:val="56"/>
          <w:szCs w:val="56"/>
          <w:lang w:val="en-US" w:eastAsia="zh-CN"/>
        </w:rPr>
      </w:pPr>
      <w:bookmarkStart w:id="6" w:name="_Toc15378442"/>
      <w:bookmarkStart w:id="7" w:name="_Toc15396598"/>
      <w:bookmarkStart w:id="8" w:name="_Toc15306268"/>
      <w:bookmarkStart w:id="9" w:name="_Toc15377194"/>
      <w:bookmarkStart w:id="10" w:name="_Toc15396476"/>
      <w:bookmarkStart w:id="11" w:name="_Toc15377426"/>
      <w:r>
        <w:rPr>
          <w:rFonts w:hint="eastAsia" w:ascii="方正小标宋简体" w:hAnsi="宋体" w:eastAsia="方正小标宋简体"/>
          <w:color w:val="000000"/>
          <w:sz w:val="56"/>
          <w:szCs w:val="56"/>
          <w:lang w:val="en-US" w:eastAsia="zh-CN"/>
        </w:rPr>
        <w:t>中国共产主义青年团</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宋体" w:eastAsia="方正小标宋简体"/>
          <w:color w:val="000000"/>
          <w:sz w:val="56"/>
          <w:szCs w:val="56"/>
          <w:lang w:val="en-US" w:eastAsia="zh-CN"/>
        </w:rPr>
      </w:pPr>
      <w:r>
        <w:rPr>
          <w:rFonts w:hint="eastAsia" w:ascii="方正小标宋简体" w:hAnsi="宋体" w:eastAsia="方正小标宋简体"/>
          <w:color w:val="000000"/>
          <w:sz w:val="56"/>
          <w:szCs w:val="56"/>
          <w:lang w:val="en-US" w:eastAsia="zh-CN"/>
        </w:rPr>
        <w:t>四川省广元市昭化区委员会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宋体" w:eastAsia="方正小标宋简体"/>
          <w:color w:val="000000"/>
          <w:sz w:val="56"/>
          <w:szCs w:val="56"/>
          <w:lang w:val="en-US" w:eastAsia="zh-CN"/>
        </w:rPr>
      </w:pPr>
      <w:r>
        <w:rPr>
          <w:rFonts w:hint="eastAsia" w:ascii="方正小标宋简体" w:hAnsi="宋体" w:eastAsia="方正小标宋简体"/>
          <w:color w:val="000000"/>
          <w:sz w:val="56"/>
          <w:szCs w:val="56"/>
        </w:rPr>
        <w:t>部门决算</w:t>
      </w:r>
      <w:bookmarkEnd w:id="6"/>
      <w:bookmarkEnd w:id="7"/>
      <w:bookmarkEnd w:id="8"/>
      <w:bookmarkEnd w:id="9"/>
      <w:bookmarkEnd w:id="10"/>
      <w:bookmarkEnd w:id="11"/>
      <w:r>
        <w:rPr>
          <w:rFonts w:hint="eastAsia" w:ascii="方正小标宋简体" w:hAnsi="宋体" w:eastAsia="方正小标宋简体"/>
          <w:color w:val="000000"/>
          <w:sz w:val="56"/>
          <w:szCs w:val="56"/>
          <w:lang w:val="en-US" w:eastAsia="zh-CN"/>
        </w:rPr>
        <w:t xml:space="preserve"> </w:t>
      </w:r>
    </w:p>
    <w:p>
      <w:pPr>
        <w:pageBreakBefore w:val="0"/>
        <w:widowControl/>
        <w:kinsoku/>
        <w:wordWrap/>
        <w:overflowPunct/>
        <w:topLinePunct w:val="0"/>
        <w:bidi w:val="0"/>
        <w:spacing w:line="576" w:lineRule="exact"/>
        <w:jc w:val="center"/>
        <w:rPr>
          <w:rFonts w:ascii="黑体" w:hAnsi="黑体" w:eastAsia="黑体"/>
          <w:color w:val="000000"/>
          <w:sz w:val="48"/>
          <w:szCs w:val="48"/>
        </w:rPr>
      </w:pPr>
      <w:r>
        <w:rPr>
          <w:rFonts w:ascii="方正小标宋简体" w:hAnsi="宋体" w:eastAsia="方正小标宋简体"/>
          <w:color w:val="000000"/>
          <w:sz w:val="28"/>
          <w:szCs w:val="28"/>
        </w:rPr>
        <w:br w:type="page"/>
      </w:r>
      <w:r>
        <w:rPr>
          <w:rFonts w:hint="eastAsia" w:ascii="黑体" w:hAnsi="黑体" w:eastAsia="黑体"/>
          <w:color w:val="000000"/>
          <w:sz w:val="48"/>
          <w:szCs w:val="48"/>
        </w:rPr>
        <w:t>目录</w:t>
      </w:r>
    </w:p>
    <w:p>
      <w:pPr>
        <w:pageBreakBefore w:val="0"/>
        <w:widowControl/>
        <w:kinsoku/>
        <w:wordWrap/>
        <w:overflowPunct/>
        <w:topLinePunct w:val="0"/>
        <w:bidi w:val="0"/>
        <w:spacing w:line="576" w:lineRule="exact"/>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ageBreakBefore w:val="0"/>
        <w:kinsoku/>
        <w:wordWrap/>
        <w:overflowPunct/>
        <w:topLinePunct w:val="0"/>
        <w:bidi w:val="0"/>
        <w:spacing w:line="576" w:lineRule="exact"/>
        <w:jc w:val="both"/>
      </w:pPr>
    </w:p>
    <w:p>
      <w:pPr>
        <w:pStyle w:val="10"/>
        <w:pageBreakBefore w:val="0"/>
        <w:kinsoku/>
        <w:wordWrap/>
        <w:overflowPunct/>
        <w:topLinePunct w:val="0"/>
        <w:bidi w:val="0"/>
        <w:spacing w:line="576" w:lineRule="exact"/>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pageBreakBefore w:val="0"/>
        <w:kinsoku/>
        <w:wordWrap/>
        <w:overflowPunct/>
        <w:topLinePunct w:val="0"/>
        <w:bidi w:val="0"/>
        <w:spacing w:line="576" w:lineRule="exact"/>
        <w:rPr>
          <w:rFonts w:hint="eastAsia" w:ascii="仿宋" w:hAnsi="仿宋" w:eastAsia="仿宋" w:cstheme="minorBidi"/>
          <w:sz w:val="28"/>
          <w:szCs w:val="28"/>
          <w:lang w:val="en-US" w:eastAsia="zh-CN"/>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pPr>
        <w:pStyle w:val="10"/>
        <w:pageBreakBefore w:val="0"/>
        <w:kinsoku/>
        <w:wordWrap/>
        <w:overflowPunct/>
        <w:topLinePunct w:val="0"/>
        <w:bidi w:val="0"/>
        <w:spacing w:line="576" w:lineRule="exact"/>
        <w:rPr>
          <w:rFonts w:hint="eastAsia" w:eastAsia="仿宋"/>
          <w:lang w:val="en-US" w:eastAsia="zh-CN"/>
        </w:rPr>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rPr>
          <w:rFonts w:hint="eastAsia"/>
          <w:lang w:val="en-US" w:eastAsia="zh-CN"/>
        </w:rPr>
        <w:t>1</w:t>
      </w:r>
      <w:r>
        <w:fldChar w:fldCharType="end"/>
      </w:r>
      <w:r>
        <w:rPr>
          <w:rFonts w:hint="eastAsia"/>
          <w:lang w:val="en-US" w:eastAsia="zh-CN"/>
        </w:rPr>
        <w:t>3</w:t>
      </w:r>
    </w:p>
    <w:p>
      <w:pPr>
        <w:pStyle w:val="11"/>
        <w:pageBreakBefore w:val="0"/>
        <w:kinsoku/>
        <w:wordWrap/>
        <w:overflowPunct/>
        <w:topLinePunct w:val="0"/>
        <w:bidi w:val="0"/>
        <w:spacing w:line="576" w:lineRule="exact"/>
        <w:rPr>
          <w:rFonts w:hint="default"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pageBreakBefore w:val="0"/>
        <w:kinsoku/>
        <w:wordWrap/>
        <w:overflowPunct/>
        <w:topLinePunct w:val="0"/>
        <w:bidi w:val="0"/>
        <w:spacing w:line="576" w:lineRule="exact"/>
        <w:rPr>
          <w:rFonts w:hint="eastAsia" w:ascii="仿宋" w:hAnsi="仿宋" w:eastAsia="仿宋" w:cstheme="minorBidi"/>
          <w:sz w:val="28"/>
          <w:szCs w:val="28"/>
          <w:lang w:val="en-US" w:eastAsia="zh-CN"/>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pageBreakBefore w:val="0"/>
        <w:kinsoku/>
        <w:wordWrap/>
        <w:overflowPunct/>
        <w:topLinePunct w:val="0"/>
        <w:bidi w:val="0"/>
        <w:spacing w:line="576" w:lineRule="exact"/>
        <w:rPr>
          <w:rFonts w:hint="eastAsia" w:ascii="仿宋" w:hAnsi="仿宋" w:eastAsia="仿宋" w:cstheme="minorBidi"/>
          <w:sz w:val="28"/>
          <w:szCs w:val="28"/>
          <w:lang w:val="en-US" w:eastAsia="zh-CN"/>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13</w:t>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pageBreakBefore w:val="0"/>
        <w:kinsoku/>
        <w:wordWrap/>
        <w:overflowPunct/>
        <w:topLinePunct w:val="0"/>
        <w:bidi w:val="0"/>
        <w:spacing w:line="576" w:lineRule="exact"/>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pageBreakBefore w:val="0"/>
        <w:kinsoku/>
        <w:wordWrap/>
        <w:overflowPunct/>
        <w:topLinePunct w:val="0"/>
        <w:bidi w:val="0"/>
        <w:spacing w:line="576" w:lineRule="exact"/>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pPr>
        <w:pStyle w:val="11"/>
        <w:pageBreakBefore w:val="0"/>
        <w:kinsoku/>
        <w:wordWrap/>
        <w:overflowPunct/>
        <w:topLinePunct w:val="0"/>
        <w:bidi w:val="0"/>
        <w:spacing w:line="576" w:lineRule="exact"/>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pPr>
        <w:pStyle w:val="11"/>
        <w:pageBreakBefore w:val="0"/>
        <w:kinsoku/>
        <w:wordWrap/>
        <w:overflowPunct/>
        <w:topLinePunct w:val="0"/>
        <w:bidi w:val="0"/>
        <w:spacing w:line="576" w:lineRule="exact"/>
        <w:rPr>
          <w:rFonts w:hint="eastAsia"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pageBreakBefore w:val="0"/>
        <w:kinsoku/>
        <w:wordWrap/>
        <w:overflowPunct/>
        <w:topLinePunct w:val="0"/>
        <w:bidi w:val="0"/>
        <w:spacing w:line="576" w:lineRule="exact"/>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6</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10"/>
        <w:pageBreakBefore w:val="0"/>
        <w:kinsoku/>
        <w:wordWrap/>
        <w:overflowPunct/>
        <w:topLinePunct w:val="0"/>
        <w:bidi w:val="0"/>
        <w:spacing w:line="576" w:lineRule="exact"/>
        <w:rPr>
          <w:rFonts w:hint="eastAsia" w:eastAsia="仿宋" w:cstheme="minorBidi"/>
          <w:lang w:val="en-US" w:eastAsia="zh-CN"/>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rPr>
          <w:rFonts w:hint="eastAsia"/>
          <w:lang w:val="en-US" w:eastAsia="zh-CN"/>
        </w:rPr>
        <w:t>2</w:t>
      </w:r>
      <w:r>
        <w:fldChar w:fldCharType="end"/>
      </w:r>
      <w:r>
        <w:fldChar w:fldCharType="end"/>
      </w:r>
      <w:r>
        <w:rPr>
          <w:rFonts w:hint="eastAsia"/>
          <w:lang w:val="en-US" w:eastAsia="zh-CN"/>
        </w:rPr>
        <w:t>1</w:t>
      </w:r>
    </w:p>
    <w:p>
      <w:pPr>
        <w:pStyle w:val="10"/>
        <w:pageBreakBefore w:val="0"/>
        <w:kinsoku/>
        <w:wordWrap/>
        <w:overflowPunct/>
        <w:topLinePunct w:val="0"/>
        <w:bidi w:val="0"/>
        <w:spacing w:line="576" w:lineRule="exact"/>
        <w:rPr>
          <w:rFonts w:hint="eastAsia" w:eastAsia="仿宋" w:cstheme="minorBidi"/>
          <w:lang w:val="en-US" w:eastAsia="zh-CN"/>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rPr>
          <w:rFonts w:hint="eastAsia"/>
          <w:lang w:val="en-US" w:eastAsia="zh-CN"/>
        </w:rPr>
        <w:t>2</w:t>
      </w:r>
      <w:r>
        <w:fldChar w:fldCharType="end"/>
      </w:r>
      <w:r>
        <w:rPr>
          <w:rFonts w:hint="eastAsia"/>
          <w:lang w:val="en-US" w:eastAsia="zh-CN"/>
        </w:rPr>
        <w:t>3</w:t>
      </w:r>
    </w:p>
    <w:p>
      <w:pPr>
        <w:pStyle w:val="11"/>
        <w:pageBreakBefore w:val="0"/>
        <w:kinsoku/>
        <w:wordWrap/>
        <w:overflowPunct/>
        <w:topLinePunct w:val="0"/>
        <w:bidi w:val="0"/>
        <w:spacing w:line="576" w:lineRule="exact"/>
        <w:rPr>
          <w:rFonts w:hint="eastAsia" w:ascii="仿宋" w:hAnsi="仿宋" w:eastAsia="仿宋" w:cstheme="minorBidi"/>
          <w:sz w:val="28"/>
          <w:szCs w:val="28"/>
          <w:lang w:val="en-US" w:eastAsia="zh-CN"/>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4</w:t>
      </w:r>
    </w:p>
    <w:p>
      <w:pPr>
        <w:pStyle w:val="11"/>
        <w:pageBreakBefore w:val="0"/>
        <w:kinsoku/>
        <w:wordWrap/>
        <w:overflowPunct/>
        <w:topLinePunct w:val="0"/>
        <w:bidi w:val="0"/>
        <w:spacing w:line="576" w:lineRule="exact"/>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pPr>
        <w:pStyle w:val="10"/>
        <w:pageBreakBefore w:val="0"/>
        <w:kinsoku/>
        <w:wordWrap/>
        <w:overflowPunct/>
        <w:topLinePunct w:val="0"/>
        <w:bidi w:val="0"/>
        <w:spacing w:line="576" w:lineRule="exact"/>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w:t>
      </w:r>
      <w:r>
        <w:rPr>
          <w:rFonts w:hint="eastAsia"/>
          <w:lang w:val="en-US" w:eastAsia="zh-CN"/>
        </w:rPr>
        <w:t>9</w:t>
      </w:r>
      <w:r>
        <w:fldChar w:fldCharType="end"/>
      </w:r>
      <w: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Style w:val="11"/>
        <w:pageBreakBefore w:val="0"/>
        <w:kinsoku/>
        <w:wordWrap/>
        <w:overflowPunct/>
        <w:topLinePunct w:val="0"/>
        <w:bidi w:val="0"/>
        <w:spacing w:line="576" w:lineRule="exact"/>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fldChar w:fldCharType="end"/>
      </w:r>
      <w:r>
        <w:rPr>
          <w:rFonts w:ascii="仿宋" w:hAnsi="仿宋" w:eastAsia="仿宋"/>
          <w:sz w:val="28"/>
          <w:szCs w:val="28"/>
        </w:rPr>
        <w:fldChar w:fldCharType="end"/>
      </w:r>
    </w:p>
    <w:p>
      <w:pPr>
        <w:pageBreakBefore w:val="0"/>
        <w:widowControl/>
        <w:kinsoku/>
        <w:wordWrap/>
        <w:overflowPunct/>
        <w:topLinePunct w:val="0"/>
        <w:bidi w:val="0"/>
        <w:spacing w:line="576" w:lineRule="exact"/>
        <w:jc w:val="left"/>
        <w:rPr>
          <w:rFonts w:ascii="仿宋" w:hAnsi="仿宋" w:eastAsia="仿宋"/>
          <w:color w:val="000000"/>
          <w:sz w:val="24"/>
        </w:rPr>
      </w:pPr>
      <w:r>
        <w:rPr>
          <w:rFonts w:ascii="仿宋" w:hAnsi="仿宋" w:eastAsia="仿宋"/>
          <w:color w:val="000000"/>
          <w:sz w:val="24"/>
        </w:rPr>
        <w:fldChar w:fldCharType="end"/>
      </w:r>
    </w:p>
    <w:p>
      <w:pPr>
        <w:pageBreakBefore w:val="0"/>
        <w:widowControl/>
        <w:kinsoku/>
        <w:wordWrap/>
        <w:overflowPunct/>
        <w:topLinePunct w:val="0"/>
        <w:bidi w:val="0"/>
        <w:spacing w:line="576" w:lineRule="exact"/>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3"/>
        <w:pageBreakBefore w:val="0"/>
        <w:kinsoku/>
        <w:wordWrap/>
        <w:overflowPunct/>
        <w:topLinePunct w:val="0"/>
        <w:bidi w:val="0"/>
        <w:spacing w:line="576" w:lineRule="exact"/>
        <w:jc w:val="center"/>
        <w:rPr>
          <w:rFonts w:ascii="黑体" w:eastAsia="黑体"/>
          <w:color w:val="000000"/>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4"/>
        <w:pageBreakBefore w:val="0"/>
        <w:kinsoku/>
        <w:wordWrap/>
        <w:overflowPunct/>
        <w:topLinePunct w:val="0"/>
        <w:bidi w:val="0"/>
        <w:spacing w:line="576" w:lineRule="exact"/>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2"/>
        <w:pageBreakBefore w:val="0"/>
        <w:kinsoku/>
        <w:wordWrap/>
        <w:overflowPunct/>
        <w:topLinePunct w:val="0"/>
        <w:bidi w:val="0"/>
        <w:adjustRightInd w:val="0"/>
        <w:snapToGrid w:val="0"/>
        <w:spacing w:before="93" w:line="576" w:lineRule="exact"/>
        <w:ind w:firstLine="672" w:firstLineChars="210"/>
        <w:outlineLvl w:val="2"/>
        <w:rPr>
          <w:rFonts w:hint="eastAsia" w:ascii="楷体" w:hAnsi="楷体" w:eastAsia="楷体" w:cs="楷体"/>
          <w:bCs/>
          <w:color w:val="000000"/>
          <w:sz w:val="32"/>
          <w:szCs w:val="32"/>
        </w:rPr>
      </w:pPr>
      <w:bookmarkStart w:id="16" w:name="_Toc15377198"/>
      <w:bookmarkStart w:id="17" w:name="_Toc15378445"/>
      <w:r>
        <w:rPr>
          <w:rFonts w:hint="eastAsia" w:ascii="楷体" w:hAnsi="楷体" w:eastAsia="楷体" w:cs="楷体"/>
          <w:bCs/>
          <w:color w:val="000000"/>
          <w:sz w:val="32"/>
          <w:szCs w:val="32"/>
        </w:rPr>
        <w:t>（一）主要职能</w:t>
      </w:r>
      <w:bookmarkEnd w:id="16"/>
      <w:bookmarkEnd w:id="17"/>
      <w:bookmarkStart w:id="18" w:name="_Toc15378446"/>
      <w:bookmarkStart w:id="19" w:name="_Toc15377199"/>
    </w:p>
    <w:p>
      <w:pPr>
        <w:pageBreakBefore w:val="0"/>
        <w:kinsoku/>
        <w:wordWrap/>
        <w:overflowPunct/>
        <w:topLinePunct w:val="0"/>
        <w:bidi w:val="0"/>
        <w:spacing w:line="576" w:lineRule="exact"/>
        <w:ind w:firstLine="627" w:firstLineChars="196"/>
        <w:rPr>
          <w:rFonts w:hint="eastAsia" w:ascii="仿宋" w:hAnsi="仿宋" w:eastAsia="仿宋"/>
          <w:bCs/>
          <w:color w:val="000000"/>
          <w:sz w:val="32"/>
          <w:szCs w:val="32"/>
        </w:rPr>
      </w:pPr>
      <w:r>
        <w:rPr>
          <w:rFonts w:hint="eastAsia" w:eastAsia="仿宋_GB2312"/>
          <w:sz w:val="32"/>
          <w:szCs w:val="32"/>
          <w:lang w:eastAsia="zh-CN"/>
        </w:rPr>
        <w:t>中国共产主义青年团四川省广元市昭化区委员会（以下简称：团区委）</w:t>
      </w:r>
      <w:r>
        <w:rPr>
          <w:rFonts w:hint="eastAsia" w:eastAsia="仿宋_GB2312"/>
          <w:sz w:val="32"/>
          <w:szCs w:val="32"/>
        </w:rPr>
        <w:t>负责制定全区团的建设规划，分类指导区直机关、农村以及企事业单位团的思想、组织、作风建设和团员的教育管理工作；负责加强团的领导班子、领导干部的思想政治作风建设；指导各级团组织抓好团员和青年的理论学习、党的路线、方针、政策以及科学文化、专业知识和法律知识的学习；指导各级团组织配合行政领导做好思想政治工作的统战工作；指导各级团组织发扬“全团带队”的传统，做好少先队工作和希望工程工作；完成区委和上级主管部门交办的其他工作。</w:t>
      </w:r>
    </w:p>
    <w:p>
      <w:pPr>
        <w:pStyle w:val="2"/>
        <w:pageBreakBefore w:val="0"/>
        <w:kinsoku/>
        <w:wordWrap/>
        <w:overflowPunct/>
        <w:topLinePunct w:val="0"/>
        <w:bidi w:val="0"/>
        <w:adjustRightInd w:val="0"/>
        <w:snapToGrid w:val="0"/>
        <w:spacing w:before="93" w:line="576" w:lineRule="exact"/>
        <w:ind w:firstLine="672" w:firstLineChars="210"/>
        <w:outlineLvl w:val="2"/>
        <w:rPr>
          <w:rFonts w:hint="eastAsia" w:ascii="楷体" w:hAnsi="楷体" w:eastAsia="楷体" w:cs="楷体"/>
          <w:bCs/>
          <w:color w:val="000000"/>
          <w:sz w:val="32"/>
          <w:szCs w:val="32"/>
        </w:rPr>
      </w:pPr>
      <w:r>
        <w:rPr>
          <w:rFonts w:hint="eastAsia" w:ascii="楷体" w:hAnsi="楷体" w:eastAsia="楷体" w:cs="楷体"/>
          <w:bCs/>
          <w:color w:val="000000"/>
          <w:sz w:val="32"/>
          <w:szCs w:val="32"/>
        </w:rPr>
        <w:t>（二）2018年重点工作完成情况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一、突出主线，明确方向，强化思想政治引领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（一）以思想教育为主线，强化政治引领。</w:t>
      </w:r>
      <w:r>
        <w:rPr>
          <w:rFonts w:hint="eastAsia" w:ascii="仿宋_GB2312" w:hAnsi="仿宋_GB2312" w:eastAsia="仿宋_GB2312" w:cs="仿宋_GB2312"/>
          <w:sz w:val="32"/>
          <w:szCs w:val="32"/>
        </w:rPr>
        <w:t>以实施“青 年大学习”行动为载体，深入开展“大学习、大讨论、大调研”  主题活动，组织参与全市“大学习、大讨论、大调研”活动知 识竞赛，并获得三等奖；组织全区青年开展学习“习近平总 书记来川视察重要讲话精神”、“习近平总书记7.2重要讲话精神”、“团的十八大重要精神”等活动，累计覆盖团干部200余人次；组织全区团干部参加由共青团中央发起的“青年大 学习网上主题团课教育”8 次，覆盖人数500 余人，进一步提高了全区各级团干部思想政治认识和服务广大青年的意识。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（二）以青年活动为载体，突出价值引领。</w:t>
      </w:r>
      <w:r>
        <w:rPr>
          <w:rFonts w:hint="eastAsia" w:ascii="仿宋_GB2312" w:hAnsi="仿宋_GB2312" w:eastAsia="仿宋_GB2312" w:cs="仿宋_GB2312"/>
          <w:sz w:val="32"/>
          <w:szCs w:val="32"/>
        </w:rPr>
        <w:t>开展“学习宣传贯彻习近平总书记给陕西、北京少年儿童来信的回信及  勉励精神”、“不忘初心跟党走，青春建功新时代”、离队入团等教育主题活动20余次，覆盖人数1500余人，使社会主义核心价值观植根青少年成长的每一个过程；发挥榜样先锋引领作用，成功推荐全国“动感中队活动”先进集体3个、四川省寻找最美中学生1名、省级优秀共青团员1名、省级优秀大学生西部计划志愿者5名、市级省运会先进集体1个、先进个人1名、优秀志愿者5个，选树先进集体和先进典型共计17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（三）以网络媒体为依托，创新方式引领。</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eastAsia="zh-CN"/>
        </w:rPr>
        <w:t>官方</w:t>
      </w:r>
      <w:r>
        <w:rPr>
          <w:rFonts w:hint="eastAsia" w:ascii="仿宋_GB2312" w:hAnsi="仿宋_GB2312" w:eastAsia="仿宋_GB2312" w:cs="仿宋_GB2312"/>
          <w:sz w:val="32"/>
          <w:szCs w:val="32"/>
        </w:rPr>
        <w:t>微信（昭化共青团）、微博（昭化青年）关注人数共计3944人，全年发布信息4105条，阅读量14569余次，点赞6500余次。利用网络优势，组建了100余人的东西部扶贫协作农村电商学员队伍，先后邀请天津大学深圳研究院首席代表、常务副院长，中国国际电子商务中心电商扶贫相关专家讲师，举办专题培训班，落实通过互联网、电商，提升乡镇干部和农村致富能手开展扶贫工作的能力和水平；组建“我为昭化添光彩”交友联谊队伍，进群职工人数共计200余人，切实为全区青年干部解决婚恋难题；搭建由180名青年组建的青年创业交流群，由青年创业顾问不定期在群里发布创业信息和专业知识，为我区正在创业青年答疑解惑和提供资金保障，也为我区有创业想法的青年提供专业顾问和学习平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二、细化措施，强力攻坚，持续推进共青团改革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（一）蹄疾步稳推进改革，强“三性”。</w:t>
      </w:r>
      <w:r>
        <w:rPr>
          <w:rFonts w:hint="eastAsia" w:ascii="仿宋_GB2312" w:hAnsi="仿宋_GB2312" w:eastAsia="仿宋_GB2312" w:cs="仿宋_GB2312"/>
          <w:sz w:val="32"/>
          <w:szCs w:val="32"/>
        </w:rPr>
        <w:t>强化团干部和团员队伍建设，严格团员管理，加强党建带团建。着力塑造团干部新风貌，推进团组织党的建设，强化党的领导，切实增强“四个意识”，严格遵守党的政治纪律和政治规矩，不断增强团干部的政治性；将团干部培训纳入全区干部培训计划， 全年累计组织全区团干部集中学习、培训、实践活动共计200 余人次进行，让基层团干进一步明确职责使命，提升工作激情，不断增强团干部的先进性；常态化开展落实“1+100”团干部联系青年制度，全区152名团干部通过网络联系青年1600余人，建立青年联系服务微信群12个，累计开展线上</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40余次，开展线下活动10余次，不断增强团干部的群众性。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（二）从严从实管团治团，去“四化”。</w:t>
      </w:r>
      <w:r>
        <w:rPr>
          <w:rFonts w:hint="eastAsia" w:ascii="仿宋_GB2312" w:hAnsi="仿宋_GB2312" w:eastAsia="仿宋_GB2312" w:cs="仿宋_GB2312"/>
          <w:sz w:val="32"/>
          <w:szCs w:val="32"/>
        </w:rPr>
        <w:t>团区委坚持从严治团，规范团的组织生活，扎实推进共青团改革工作。树立抓基层工作导向，以推进农村区域化团建为基层团建改革突破口，不断优化组织格局，完善制度机制，转变工作方式，有力去除团干部“机关化、行政化、贵族化、娱乐化”陋习。同时，全面贯彻落实《关于加强新形势下发展团员和团员管理工作的意见》，严格发展团员，对入团未满13周岁、入团程序仪式不规范、团籍档案不齐全、团员编号缺失等情况进行的重点核查，共清理整改违规发展的团员50余名；加强团前教育和推优入团工作，严把关口，控制增量，提升质量，实现初中阶段毕业班团学比控制在30%以内；落实“三会两制一课”制度，严肃团的组织生活，推动团员成为注册志愿者工作的开展；严格按照团费收缴和使用管理办法，在全面摸底团员数量的基础上，按照比例进行团费收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rPr>
        <w:t>（三）坚持党建带团建，夯实团的基层基础。</w:t>
      </w:r>
      <w:r>
        <w:rPr>
          <w:rFonts w:hint="eastAsia" w:ascii="仿宋_GB2312" w:hAnsi="仿宋_GB2312" w:eastAsia="仿宋_GB2312" w:cs="仿宋_GB2312"/>
          <w:sz w:val="32"/>
          <w:szCs w:val="32"/>
        </w:rPr>
        <w:t>全区各级团组织坚持党建带团建原则，坚持党建带团建的责任制度、目标管理制度和督查制度不动摇。按照团省委、团市委关于做好“智慧团建”工作相关要求，我委对全区基层团组织、团干部、团员进行全面摸排、统计，逐步建立起含52个直属基层团委（团支部）的团组织构架树，并高质量完成全区团干部录入工作，共计录入有效团员3835个，有效推进了昭化共青团组织建设工作。同时，探索推进我区中（职）学校“双线”晋升工作，将团建工作纳入学校党建工作整体规划</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三、围绕中心、服务大局，扎实推进重点工作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（一）深入推进脱贫攻坚。</w:t>
      </w:r>
      <w:r>
        <w:rPr>
          <w:rFonts w:hint="eastAsia" w:ascii="仿宋_GB2312" w:hAnsi="仿宋_GB2312" w:eastAsia="仿宋_GB2312" w:cs="仿宋_GB2312"/>
          <w:sz w:val="32"/>
          <w:szCs w:val="32"/>
        </w:rPr>
        <w:t>一是团区委扎实做好石井铺镇八庙村驻村帮扶工作，结对帮扶29户贫困户，选派第一书记1名、驻村工作队长1名，驻村工作队员2名，长期开展驻村帮扶工作，2018年向八庙村提供帮扶资金支持3万元，用于“村十好、社六好”贫困户脱贫致富典型奖励、村“两委”基础设施建设等。二是联合区总工会、区妇联，共同举办“我为昭化添光彩”系列主题活动4期，来自全区各机关、企事业单位600余名青年积极参与，切实发挥了团结凝聚青年优势，团结带领广大青年奋力投身全区脱贫攻坚、项目投 资、产业发展经济建设“三大主战场”。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（二）加快推动龙泉·昭化东西部扶贫协作农村电商扶贫项目。</w:t>
      </w:r>
      <w:r>
        <w:rPr>
          <w:rFonts w:hint="eastAsia" w:ascii="仿宋_GB2312" w:hAnsi="仿宋_GB2312" w:eastAsia="仿宋_GB2312" w:cs="仿宋_GB2312"/>
          <w:sz w:val="32"/>
          <w:szCs w:val="32"/>
        </w:rPr>
        <w:t>团区委以农村电商扶贫为“重心”，突出人才培育、 电商业态“双轮”驱动，推动龙泉、昭化“两翼”齐飞，成果显著。截至目前，已建成“四川昭化原产地直供馆”、“龙泉·昭化电商扶贫飞地”各1处；昭化输送21名创业青年赴“飞地”学习，成立淘宝店铺4家，月均销2万元以上，发展龙泉本地合作网店3个；协助举办龙泉·广元昭化农特产“走亲”会1场；举办“网红暨微商培训”、“乡村振兴暨青年干部培训”、“微商培训进农村”等讲座8场；重点扶持驻村第一书记、微商创业人员开展众筹活动4起；已建成微商示范村1处；自主搭建“昭化严选”供货平台1各，带动170余名贫困人口增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（三）打造好志愿服务品牌亮点。</w:t>
      </w:r>
      <w:r>
        <w:rPr>
          <w:rFonts w:hint="eastAsia" w:ascii="仿宋_GB2312" w:hAnsi="仿宋_GB2312" w:eastAsia="仿宋_GB2312" w:cs="仿宋_GB2312"/>
          <w:sz w:val="32"/>
          <w:szCs w:val="32"/>
        </w:rPr>
        <w:t>近年来，我区青年</w:t>
      </w:r>
      <w:r>
        <w:rPr>
          <w:rFonts w:hint="eastAsia" w:ascii="仿宋_GB2312" w:hAnsi="仿宋_GB2312" w:eastAsia="仿宋_GB2312" w:cs="仿宋_GB2312"/>
          <w:sz w:val="32"/>
          <w:szCs w:val="32"/>
          <w:lang w:eastAsia="zh-CN"/>
        </w:rPr>
        <w:t>志愿者</w:t>
      </w:r>
      <w:r>
        <w:rPr>
          <w:rFonts w:hint="eastAsia" w:ascii="仿宋_GB2312" w:hAnsi="仿宋_GB2312" w:eastAsia="仿宋_GB2312" w:cs="仿宋_GB2312"/>
          <w:sz w:val="32"/>
          <w:szCs w:val="32"/>
        </w:rPr>
        <w:t>队伍不断壮大，今年新招募大学生西部计划志愿者11人，开展西部计划志愿者工作半年总结1次，表彰先进6人。团区委按照“政治上培养、工作上支持、生活上照顾、安全上保障”的方针，积极指导志愿者立足本职工作岗位，开展各类志愿服务工作。今年，先后组织全区青年志愿者慰问关爱留守儿童活动、参加市、区农业现场会，区元宵节、迎新晚会、脱贫攻坚晚会等大型会议及活动志愿服务工作10余次，特别是在省第十三届运会广元昭化赛事的志愿服务工作中，我委共招募省运会志愿者100余名，开展培训6次，圆满完成省第十三届运会昭化赛区志愿服务的各项工作任务， 广泛了弘扬“奉献、友爱、互助、进步”精神，同时也提升了共青团在承接党委、政府社会事务中的组织承载力。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四、聚集需求，开拓思路，拓宽服务青年渠道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（一）坚持紧密联系青年，让青年“想得起”。</w:t>
      </w:r>
      <w:r>
        <w:rPr>
          <w:rFonts w:hint="eastAsia" w:ascii="仿宋_GB2312" w:hAnsi="仿宋_GB2312" w:eastAsia="仿宋_GB2312" w:cs="仿宋_GB2312"/>
          <w:sz w:val="32"/>
          <w:szCs w:val="32"/>
        </w:rPr>
        <w:t>在青年聚集的新兴网络阵地联系加强与青年的互动交流，成效显著。一是以“青年之声”互动社交平台建设为抓手，进一步畅通团组织、团员双向联系的互通渠道；二是利用“青年之家”阵地建设，实现线上收集诉求，线下开展服务，全年共计开展活动40余次；三是利用团属微信公众号、微博号等新媒体宣传党团工作，增强团的影响力和号召力；四是开展“团情大调研”，定期深入基层走访调研，及时了解青年现状和需求，不断适时调整全区团组织服务青年的工作导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（二）坚持广泛覆盖青年，让青年“找得到”。</w:t>
      </w:r>
      <w:r>
        <w:rPr>
          <w:rFonts w:hint="eastAsia" w:ascii="仿宋_GB2312" w:hAnsi="仿宋_GB2312" w:eastAsia="仿宋_GB2312" w:cs="仿宋_GB2312"/>
          <w:sz w:val="32"/>
          <w:szCs w:val="32"/>
        </w:rPr>
        <w:t>全力打造共青团直接联系服务青年的阵地，争取团中央</w:t>
      </w:r>
      <w:r>
        <w:rPr>
          <w:rFonts w:hint="eastAsia" w:ascii="仿宋_GB2312" w:hAnsi="仿宋_GB2312" w:eastAsia="仿宋_GB2312" w:cs="仿宋_GB2312"/>
          <w:sz w:val="32"/>
          <w:szCs w:val="32"/>
          <w:lang w:eastAsia="zh-CN"/>
        </w:rPr>
        <w:t>“青年之家”项目</w:t>
      </w:r>
      <w:r>
        <w:rPr>
          <w:rFonts w:hint="eastAsia" w:ascii="仿宋_GB2312" w:hAnsi="仿宋_GB2312" w:eastAsia="仿宋_GB2312" w:cs="仿宋_GB2312"/>
          <w:sz w:val="32"/>
          <w:szCs w:val="32"/>
        </w:rPr>
        <w:t>建设专项经费10万元，建设省级青年之家门店——拣</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银岩社区门店，今年组织开展活动10余次，覆盖社区青年300 余人。成功举办“青春微课堂”，开展事业单位（公务员）备考、摄影技术等知识讲座、兴趣课堂等线上线下活动40次，覆盖人数825人，切实服务青少年成长成才；新建元坝收费站、中纺粮油两所“青年之家”，进一步扩大了共青团品牌在企业中的覆盖范围和影响力，青年随时、随地找到团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（三）坚持竭诚服务青年，让青年“靠得住”。</w:t>
      </w:r>
      <w:r>
        <w:rPr>
          <w:rFonts w:hint="eastAsia" w:ascii="仿宋_GB2312" w:hAnsi="仿宋_GB2312" w:eastAsia="仿宋_GB2312" w:cs="仿宋_GB2312"/>
          <w:sz w:val="32"/>
          <w:szCs w:val="32"/>
        </w:rPr>
        <w:t>一是全力推动青年创新创业。强化服务意识，提升服务能力，积极为广大创新创业青年提供良好的工作空间、网络空间、社交空间和资源共享空间，深入开展四川青年创业促进计划（SYE），充分发挥优秀青年导师的示范引领作用，推荐我区2名青年为广元市优秀青年创新创业导师；二是主动关切困难青少年群体。指导区青协积极申报、实施共青团关爱留守儿童志愿服务队建设项目，争取资金3万余元，完成微心愿200个，为留守儿童创造了良好的环境；实施“护青行动”，定期组织青年志愿者，围绕学业辅导、亲情陪伴、自护教育等常态化开展系列活动20余次，覆盖人数800余人；落实好“希望工程”捐资助学项目，2018年，争取“天九共享集团希望工程”、“国酒·茅台”助学项目、东西部扶贫协作助学金，共资助我区贫困家庭的小学、初中生581名，高中生156名，大学生27名，共计资金107.8万余元；持续开展“小海星” 帮扶特殊困境留守学生工作，联系社会爱心人士结对帮扶</w:t>
      </w:r>
      <w:r>
        <w:rPr>
          <w:rFonts w:hint="eastAsia" w:ascii="仿宋_GB2312" w:hAnsi="仿宋_GB2312" w:eastAsia="仿宋_GB2312" w:cs="仿宋_GB2312"/>
          <w:sz w:val="32"/>
          <w:szCs w:val="32"/>
          <w:lang w:eastAsia="zh-CN"/>
        </w:rPr>
        <w:t>困难</w:t>
      </w:r>
      <w:r>
        <w:rPr>
          <w:rFonts w:hint="eastAsia" w:ascii="仿宋_GB2312" w:hAnsi="仿宋_GB2312" w:eastAsia="仿宋_GB2312" w:cs="仿宋_GB2312"/>
          <w:sz w:val="32"/>
          <w:szCs w:val="32"/>
        </w:rPr>
        <w:t>留守儿童10名，捐赠资金在年前下发；三是优化青年成长环境。以宣传《未成年人保护法》《预防青少年犯罪法》、青少年自护教育专题讲座等为重点，深入开展“法律七进”活动，进一步加强了预防青少年犯罪工作，提高了未成年人的</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意识，累计深入学校、社区、企业开展宣传教育15余场，惠及青少年2万人次。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五、从严治团，落实责任，推进党风廉政建设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（一）党风廉政深入开展。</w:t>
      </w:r>
      <w:r>
        <w:rPr>
          <w:rFonts w:hint="eastAsia" w:ascii="仿宋_GB2312" w:hAnsi="仿宋_GB2312" w:eastAsia="仿宋_GB2312" w:cs="仿宋_GB2312"/>
          <w:sz w:val="32"/>
          <w:szCs w:val="32"/>
        </w:rPr>
        <w:t>层层签订党风廉政责任书， 全面落实“一把手”第一责任和班子成员“一岗双责”体系。着力开展转变工作作风、创新工作方法，持续开展政风肃纪和专项治理工作。严格执行“三重一大”财务管理制度，严把支出票据审核关，确保财务支出严格透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（二）理论学习不断加强。</w:t>
      </w:r>
      <w:r>
        <w:rPr>
          <w:rFonts w:hint="eastAsia" w:ascii="仿宋_GB2312" w:hAnsi="仿宋_GB2312" w:eastAsia="仿宋_GB2312" w:cs="仿宋_GB2312"/>
          <w:sz w:val="32"/>
          <w:szCs w:val="32"/>
        </w:rPr>
        <w:t>严格落实“三会一课”制度， 开展党组中心学习活动，坚持党组会、职工会会前学纪学法。 扎实开展“两学一做”学习教育常态化制度和学习贯彻党的十九大精神，习近平总书记系列重要讲话精神，省委十一届三次全会、市委七届七次全会、区委七届六次全会等会议精神为重点，制定学习计划，开展集中讨论，撰写心得报告， 全年共开展学习、讨论24次、共计撰写心得体会24篇。入八庙村开展讲党课、农民夜校等24次，开展党员谈心谈话活动4次，及时完成了党费收缴任务和党建资料归档。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eastAsia="宋体"/>
          <w:lang w:eastAsia="zh-CN"/>
        </w:rPr>
      </w:pPr>
      <w:r>
        <w:rPr>
          <w:rFonts w:hint="eastAsia" w:ascii="楷体" w:hAnsi="楷体" w:eastAsia="楷体" w:cs="楷体"/>
          <w:sz w:val="32"/>
          <w:szCs w:val="32"/>
        </w:rPr>
        <w:t>（三）组织建设全面加强。</w:t>
      </w:r>
      <w:r>
        <w:rPr>
          <w:rFonts w:hint="eastAsia" w:ascii="仿宋_GB2312" w:hAnsi="仿宋_GB2312" w:eastAsia="仿宋_GB2312" w:cs="仿宋_GB2312"/>
          <w:sz w:val="32"/>
          <w:szCs w:val="32"/>
        </w:rPr>
        <w:t>出台党建工作相关规章制度， 逐一细化党组班子、党组书记和党组成员的党建工作责任制。注重队伍建设，成立共青团广元市昭化区委党组，</w:t>
      </w:r>
      <w:r>
        <w:rPr>
          <w:rFonts w:hint="eastAsia" w:ascii="仿宋_GB2312" w:hAnsi="仿宋_GB2312" w:eastAsia="仿宋_GB2312" w:cs="仿宋_GB2312"/>
          <w:sz w:val="32"/>
          <w:szCs w:val="32"/>
          <w:lang w:eastAsia="zh-CN"/>
        </w:rPr>
        <w:t>核定党组</w:t>
      </w:r>
      <w:r>
        <w:rPr>
          <w:rFonts w:hint="eastAsia" w:ascii="仿宋_GB2312" w:hAnsi="仿宋_GB2312" w:eastAsia="仿宋_GB2312" w:cs="仿宋_GB2312"/>
          <w:sz w:val="32"/>
          <w:szCs w:val="32"/>
        </w:rPr>
        <w:t>书记1名，党组成员3名，召开党组会议7次。</w:t>
      </w:r>
    </w:p>
    <w:p>
      <w:pPr>
        <w:pStyle w:val="4"/>
        <w:pageBreakBefore w:val="0"/>
        <w:kinsoku/>
        <w:wordWrap/>
        <w:overflowPunct/>
        <w:topLinePunct w:val="0"/>
        <w:bidi w:val="0"/>
        <w:spacing w:line="576" w:lineRule="exact"/>
        <w:ind w:firstLine="640" w:firstLineChars="200"/>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640" w:firstLineChars="200"/>
        <w:rPr>
          <w:rFonts w:hint="eastAsia" w:ascii="仿宋_GB2312" w:hAnsi="仿宋_GB2312" w:eastAsia="仿宋_GB2312" w:cs="仿宋_GB2312"/>
          <w:sz w:val="32"/>
          <w:szCs w:val="32"/>
        </w:rPr>
      </w:pPr>
      <w:bookmarkStart w:id="22" w:name="_Toc15396602"/>
      <w:bookmarkStart w:id="23" w:name="_Toc15377204"/>
      <w:r>
        <w:rPr>
          <w:rFonts w:hint="eastAsia" w:ascii="仿宋_GB2312" w:hAnsi="仿宋_GB2312" w:eastAsia="仿宋_GB2312" w:cs="仿宋_GB2312"/>
          <w:sz w:val="32"/>
          <w:szCs w:val="32"/>
          <w:lang w:val="en-US" w:eastAsia="zh-CN"/>
        </w:rPr>
        <w:t>团区委属独立的财务一级预算党群部门，下属公益一类事业单位1个，为“广元市昭化区青少年服务中心”，无二级预算单位。</w:t>
      </w:r>
    </w:p>
    <w:p>
      <w:pPr>
        <w:pStyle w:val="3"/>
        <w:pageBreakBefore w:val="0"/>
        <w:kinsoku/>
        <w:wordWrap/>
        <w:overflowPunct/>
        <w:topLinePunct w:val="0"/>
        <w:bidi w:val="0"/>
        <w:spacing w:line="576" w:lineRule="exact"/>
        <w:ind w:right="440"/>
        <w:jc w:val="right"/>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2018年度部门决算情况说明</w:t>
      </w:r>
      <w:bookmarkEnd w:id="22"/>
      <w:bookmarkEnd w:id="23"/>
    </w:p>
    <w:p>
      <w:pPr>
        <w:pStyle w:val="23"/>
        <w:pageBreakBefore w:val="0"/>
        <w:numPr>
          <w:ilvl w:val="0"/>
          <w:numId w:val="1"/>
        </w:numPr>
        <w:kinsoku/>
        <w:wordWrap/>
        <w:overflowPunct/>
        <w:topLinePunct w:val="0"/>
        <w:bidi w:val="0"/>
        <w:spacing w:line="576"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2018年度收、支总计501.31万元。与2017年相比，收、支总计增加</w:t>
      </w:r>
      <w:r>
        <w:rPr>
          <w:rFonts w:hint="eastAsia" w:ascii="仿宋_GB2312" w:hAnsi="仿宋_GB2312" w:eastAsia="仿宋_GB2312" w:cs="仿宋_GB2312"/>
          <w:color w:val="auto"/>
          <w:sz w:val="32"/>
          <w:szCs w:val="32"/>
          <w:lang w:val="en-US" w:eastAsia="zh-CN"/>
        </w:rPr>
        <w:t>404</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415.17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color w:val="auto"/>
          <w:sz w:val="32"/>
          <w:szCs w:val="32"/>
          <w:lang w:val="en-US" w:eastAsia="zh-CN"/>
        </w:rPr>
        <w:t>393.23万元，</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363.83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val="en-US" w:eastAsia="zh-CN"/>
        </w:rPr>
        <w:t>2018年增加龙泉·昭化东西部扶贫农村电商扶贫项目资金400万元。</w:t>
      </w:r>
    </w:p>
    <w:p>
      <w:pPr>
        <w:pStyle w:val="23"/>
        <w:pageBreakBefore w:val="0"/>
        <w:numPr>
          <w:ilvl w:val="0"/>
          <w:numId w:val="1"/>
        </w:numPr>
        <w:kinsoku/>
        <w:wordWrap/>
        <w:overflowPunct/>
        <w:topLinePunct w:val="0"/>
        <w:bidi w:val="0"/>
        <w:spacing w:line="576"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pageBreakBefore w:val="0"/>
        <w:kinsoku/>
        <w:wordWrap/>
        <w:overflowPunct/>
        <w:topLinePunct w:val="0"/>
        <w:bidi w:val="0"/>
        <w:spacing w:line="576"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2018年本年收入合计501.31万元，其中：一般公共预算财政拨款收入501.31万元，占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%；国有资本经营预算财政拨款收入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pStyle w:val="23"/>
        <w:pageBreakBefore w:val="0"/>
        <w:numPr>
          <w:ilvl w:val="0"/>
          <w:numId w:val="1"/>
        </w:numPr>
        <w:kinsoku/>
        <w:wordWrap/>
        <w:overflowPunct/>
        <w:topLinePunct w:val="0"/>
        <w:bidi w:val="0"/>
        <w:spacing w:line="576"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pageBreakBefore w:val="0"/>
        <w:kinsoku/>
        <w:wordWrap/>
        <w:overflowPunct/>
        <w:topLinePunct w:val="0"/>
        <w:bidi w:val="0"/>
        <w:spacing w:line="576" w:lineRule="exact"/>
        <w:ind w:firstLine="640"/>
        <w:rPr>
          <w:rFonts w:hint="eastAsia"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color w:val="000000"/>
          <w:sz w:val="32"/>
          <w:szCs w:val="32"/>
        </w:rPr>
        <w:t>2018年本年支出合计501.31万元，其中：基本支出501.31万元，占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%；上缴上级支出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%；对附属单位补助支出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76"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2018年财政拨款收、支总计501.31万元。与2017年相比，</w:t>
      </w:r>
      <w:r>
        <w:rPr>
          <w:rFonts w:hint="eastAsia" w:ascii="仿宋_GB2312" w:hAnsi="仿宋_GB2312" w:eastAsia="仿宋_GB2312" w:cs="仿宋_GB2312"/>
          <w:color w:val="auto"/>
          <w:sz w:val="32"/>
          <w:szCs w:val="32"/>
          <w:lang w:eastAsia="zh-CN"/>
        </w:rPr>
        <w:t>收入</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color w:val="auto"/>
          <w:sz w:val="32"/>
          <w:szCs w:val="32"/>
          <w:lang w:val="en-US" w:eastAsia="zh-CN"/>
        </w:rPr>
        <w:t>404</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415.17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color w:val="auto"/>
          <w:sz w:val="32"/>
          <w:szCs w:val="32"/>
          <w:lang w:val="en-US" w:eastAsia="zh-CN"/>
        </w:rPr>
        <w:t>393.23万元，</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363.83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val="en-US" w:eastAsia="zh-CN"/>
        </w:rPr>
        <w:t>2018年增加龙泉·昭化东西部扶贫农村电商扶贫项目资金400万元。</w:t>
      </w:r>
    </w:p>
    <w:p>
      <w:pPr>
        <w:pageBreakBefore w:val="0"/>
        <w:kinsoku/>
        <w:wordWrap/>
        <w:overflowPunct/>
        <w:topLinePunct w:val="0"/>
        <w:bidi w:val="0"/>
        <w:spacing w:line="576"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pageBreakBefore w:val="0"/>
        <w:kinsoku/>
        <w:wordWrap/>
        <w:overflowPunct/>
        <w:topLinePunct w:val="0"/>
        <w:bidi w:val="0"/>
        <w:spacing w:line="576" w:lineRule="exact"/>
        <w:ind w:firstLine="640" w:firstLineChars="200"/>
        <w:outlineLvl w:val="2"/>
        <w:rPr>
          <w:rFonts w:hint="eastAsia" w:ascii="楷体" w:hAnsi="楷体" w:eastAsia="楷体" w:cs="楷体"/>
          <w:b w:val="0"/>
          <w:bCs/>
          <w:color w:val="000000"/>
          <w:sz w:val="32"/>
          <w:szCs w:val="32"/>
        </w:rPr>
      </w:pPr>
      <w:bookmarkStart w:id="34" w:name="_Toc15377210"/>
      <w:r>
        <w:rPr>
          <w:rFonts w:hint="eastAsia" w:ascii="楷体" w:hAnsi="楷体" w:eastAsia="楷体" w:cs="楷体"/>
          <w:b w:val="0"/>
          <w:bCs/>
          <w:color w:val="000000"/>
          <w:sz w:val="32"/>
          <w:szCs w:val="32"/>
        </w:rPr>
        <w:t>（一）一般公共预算财政拨款支出决算总体情况</w:t>
      </w:r>
      <w:bookmarkEnd w:id="34"/>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2018年一般公共预算财政拨款支出501.31万元，占本年支出合计的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%。与2017年相比，一般公共预算财政拨款增加</w:t>
      </w:r>
      <w:r>
        <w:rPr>
          <w:rFonts w:hint="eastAsia" w:ascii="仿宋_GB2312" w:hAnsi="仿宋_GB2312" w:eastAsia="仿宋_GB2312" w:cs="仿宋_GB2312"/>
          <w:color w:val="auto"/>
          <w:sz w:val="32"/>
          <w:szCs w:val="32"/>
          <w:lang w:val="en-US" w:eastAsia="zh-CN"/>
        </w:rPr>
        <w:t>387.99</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342.38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主要原因：增加龙泉·昭化东西部扶贫农村电商扶贫项目资金。</w:t>
      </w:r>
    </w:p>
    <w:p>
      <w:pPr>
        <w:pageBreakBefore w:val="0"/>
        <w:kinsoku/>
        <w:wordWrap/>
        <w:overflowPunct/>
        <w:topLinePunct w:val="0"/>
        <w:bidi w:val="0"/>
        <w:spacing w:line="576" w:lineRule="exact"/>
        <w:ind w:firstLine="640" w:firstLineChars="200"/>
        <w:outlineLvl w:val="2"/>
        <w:rPr>
          <w:rFonts w:hint="eastAsia" w:ascii="楷体" w:hAnsi="楷体" w:eastAsia="楷体" w:cs="楷体"/>
          <w:b w:val="0"/>
          <w:bCs/>
          <w:color w:val="000000"/>
          <w:sz w:val="32"/>
          <w:szCs w:val="32"/>
        </w:rPr>
      </w:pPr>
      <w:bookmarkStart w:id="35" w:name="_Toc15377211"/>
      <w:r>
        <w:rPr>
          <w:rFonts w:hint="eastAsia" w:ascii="楷体" w:hAnsi="楷体" w:eastAsia="楷体" w:cs="楷体"/>
          <w:b w:val="0"/>
          <w:bCs/>
          <w:color w:val="000000"/>
          <w:sz w:val="32"/>
          <w:szCs w:val="32"/>
        </w:rPr>
        <w:t>（二）一般公共预算财政拨款支出决算结构情况</w:t>
      </w:r>
      <w:bookmarkEnd w:id="35"/>
    </w:p>
    <w:p>
      <w:pPr>
        <w:pageBreakBefore w:val="0"/>
        <w:kinsoku/>
        <w:wordWrap/>
        <w:overflowPunct/>
        <w:topLinePunct w:val="0"/>
        <w:bidi w:val="0"/>
        <w:spacing w:line="576" w:lineRule="exact"/>
        <w:ind w:firstLine="64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ascii="仿宋" w:hAnsi="仿宋" w:eastAsia="仿宋"/>
          <w:b w:val="0"/>
          <w:bCs w:val="0"/>
          <w:color w:val="000000"/>
          <w:sz w:val="32"/>
          <w:szCs w:val="32"/>
        </w:rPr>
        <w:t>201</w:t>
      </w:r>
      <w:r>
        <w:rPr>
          <w:rFonts w:hint="eastAsia" w:ascii="仿宋" w:hAnsi="仿宋" w:eastAsia="仿宋"/>
          <w:b w:val="0"/>
          <w:bCs w:val="0"/>
          <w:color w:val="000000"/>
          <w:sz w:val="32"/>
          <w:szCs w:val="32"/>
        </w:rPr>
        <w:t>8年一般公共预算财</w:t>
      </w:r>
      <w:r>
        <w:rPr>
          <w:rFonts w:hint="eastAsia" w:ascii="仿宋" w:hAnsi="仿宋" w:eastAsia="仿宋"/>
          <w:b w:val="0"/>
          <w:bCs w:val="0"/>
          <w:color w:val="000000" w:themeColor="text1"/>
          <w:sz w:val="32"/>
          <w:szCs w:val="32"/>
          <w14:textFill>
            <w14:solidFill>
              <w14:schemeClr w14:val="tx1"/>
            </w14:solidFill>
          </w14:textFill>
        </w:rPr>
        <w:t>政拨款支出</w:t>
      </w:r>
      <w:r>
        <w:rPr>
          <w:rFonts w:hint="eastAsia" w:ascii="仿宋" w:hAnsi="仿宋" w:eastAsia="仿宋"/>
          <w:b w:val="0"/>
          <w:bCs w:val="0"/>
          <w:color w:val="000000"/>
          <w:sz w:val="32"/>
          <w:szCs w:val="32"/>
        </w:rPr>
        <w:t>501.31</w:t>
      </w:r>
      <w:r>
        <w:rPr>
          <w:rFonts w:hint="eastAsia" w:ascii="仿宋" w:hAnsi="仿宋" w:eastAsia="仿宋"/>
          <w:b w:val="0"/>
          <w:bCs w:val="0"/>
          <w:color w:val="000000" w:themeColor="text1"/>
          <w:sz w:val="32"/>
          <w:szCs w:val="32"/>
          <w14:textFill>
            <w14:solidFill>
              <w14:schemeClr w14:val="tx1"/>
            </w14:solidFill>
          </w14:textFill>
        </w:rPr>
        <w:t>万元，主要用</w:t>
      </w:r>
      <w:r>
        <w:rPr>
          <w:rFonts w:hint="eastAsia" w:ascii="仿宋_GB2312" w:hAnsi="仿宋_GB2312" w:eastAsia="仿宋_GB2312" w:cs="仿宋_GB2312"/>
          <w:b w:val="0"/>
          <w:bCs w:val="0"/>
          <w:color w:val="000000" w:themeColor="text1"/>
          <w:sz w:val="32"/>
          <w:szCs w:val="32"/>
          <w14:textFill>
            <w14:solidFill>
              <w14:schemeClr w14:val="tx1"/>
            </w14:solidFill>
          </w14:textFill>
        </w:rPr>
        <w:t>于以下方面:一般公共服务（类）支出493.13万元，占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98.36</w:t>
      </w:r>
      <w:r>
        <w:rPr>
          <w:rFonts w:hint="eastAsia" w:ascii="仿宋_GB2312" w:hAnsi="仿宋_GB2312" w:eastAsia="仿宋_GB2312" w:cs="仿宋_GB2312"/>
          <w:b w:val="0"/>
          <w:bCs w:val="0"/>
          <w:color w:val="000000" w:themeColor="text1"/>
          <w:sz w:val="32"/>
          <w:szCs w:val="32"/>
          <w14:textFill>
            <w14:solidFill>
              <w14:schemeClr w14:val="tx1"/>
            </w14:solidFill>
          </w14:textFill>
        </w:rPr>
        <w:t>%；教育支出（类）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%；科学技术（类）支出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%；社会保障和就业（类）支出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4.09</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0.82</w:t>
      </w:r>
      <w:r>
        <w:rPr>
          <w:rFonts w:hint="eastAsia" w:ascii="仿宋_GB2312" w:hAnsi="仿宋_GB2312" w:eastAsia="仿宋_GB2312" w:cs="仿宋_GB2312"/>
          <w:b w:val="0"/>
          <w:bCs w:val="0"/>
          <w:color w:val="000000" w:themeColor="text1"/>
          <w:sz w:val="32"/>
          <w:szCs w:val="32"/>
          <w14:textFill>
            <w14:solidFill>
              <w14:schemeClr w14:val="tx1"/>
            </w14:solidFill>
          </w14:textFill>
        </w:rPr>
        <w:t>%；医疗卫生支出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1.62</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0.32</w:t>
      </w:r>
      <w:r>
        <w:rPr>
          <w:rFonts w:hint="eastAsia" w:ascii="仿宋_GB2312" w:hAnsi="仿宋_GB2312" w:eastAsia="仿宋_GB2312" w:cs="仿宋_GB2312"/>
          <w:b w:val="0"/>
          <w:bCs w:val="0"/>
          <w:color w:val="000000" w:themeColor="text1"/>
          <w:sz w:val="32"/>
          <w:szCs w:val="32"/>
          <w14:textFill>
            <w14:solidFill>
              <w14:schemeClr w14:val="tx1"/>
            </w14:solidFill>
          </w14:textFill>
        </w:rPr>
        <w:t>%；住房保障支出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2.47</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0.5</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ageBreakBefore w:val="0"/>
        <w:kinsoku/>
        <w:wordWrap/>
        <w:overflowPunct/>
        <w:topLinePunct w:val="0"/>
        <w:bidi w:val="0"/>
        <w:spacing w:line="576" w:lineRule="exact"/>
        <w:ind w:firstLine="640" w:firstLineChars="200"/>
        <w:outlineLvl w:val="2"/>
        <w:rPr>
          <w:rFonts w:hint="eastAsia" w:ascii="楷体" w:hAnsi="楷体" w:eastAsia="楷体" w:cs="楷体"/>
          <w:b w:val="0"/>
          <w:bCs/>
          <w:color w:val="000000"/>
          <w:sz w:val="32"/>
          <w:szCs w:val="32"/>
        </w:rPr>
      </w:pPr>
      <w:bookmarkStart w:id="36" w:name="_Toc15377212"/>
      <w:r>
        <w:rPr>
          <w:rFonts w:hint="eastAsia" w:ascii="楷体" w:hAnsi="楷体" w:eastAsia="楷体" w:cs="楷体"/>
          <w:b w:val="0"/>
          <w:bCs/>
          <w:color w:val="000000"/>
          <w:sz w:val="32"/>
          <w:szCs w:val="32"/>
        </w:rPr>
        <w:t>（三）一般公共预算财政拨款支出决算具体情况</w:t>
      </w:r>
      <w:bookmarkEnd w:id="36"/>
    </w:p>
    <w:p>
      <w:pPr>
        <w:pageBreakBefore w:val="0"/>
        <w:kinsoku/>
        <w:wordWrap/>
        <w:overflowPunct/>
        <w:topLinePunct w:val="0"/>
        <w:bidi w:val="0"/>
        <w:spacing w:line="576" w:lineRule="exact"/>
        <w:ind w:firstLine="640" w:firstLineChars="200"/>
        <w:outlineLvl w:val="2"/>
        <w:rPr>
          <w:rFonts w:hint="eastAsia" w:ascii="仿宋_GB2312" w:hAnsi="仿宋_GB2312" w:eastAsia="仿宋_GB2312" w:cs="仿宋_GB2312"/>
          <w:b w:val="0"/>
          <w:bCs/>
          <w:color w:val="FF0000"/>
          <w:sz w:val="32"/>
          <w:szCs w:val="32"/>
        </w:rPr>
      </w:pPr>
      <w:bookmarkStart w:id="37" w:name="_Toc15377444"/>
      <w:bookmarkStart w:id="38" w:name="_Toc15378460"/>
      <w:bookmarkStart w:id="39" w:name="_Toc15377213"/>
      <w:r>
        <w:rPr>
          <w:rFonts w:hint="eastAsia" w:ascii="仿宋_GB2312" w:hAnsi="仿宋_GB2312" w:eastAsia="仿宋_GB2312" w:cs="仿宋_GB2312"/>
          <w:b w:val="0"/>
          <w:bCs/>
          <w:color w:val="000000" w:themeColor="text1"/>
          <w:sz w:val="32"/>
          <w:szCs w:val="32"/>
          <w14:textFill>
            <w14:solidFill>
              <w14:schemeClr w14:val="tx1"/>
            </w14:solidFill>
          </w14:textFill>
        </w:rPr>
        <w:t>2018年般公共预算支出决算数为</w:t>
      </w:r>
      <w:r>
        <w:rPr>
          <w:rFonts w:hint="eastAsia" w:ascii="仿宋_GB2312" w:hAnsi="仿宋_GB2312" w:eastAsia="仿宋_GB2312" w:cs="仿宋_GB2312"/>
          <w:b w:val="0"/>
          <w:bCs/>
          <w:color w:val="000000"/>
          <w:sz w:val="32"/>
          <w:szCs w:val="32"/>
        </w:rPr>
        <w:t>501.31</w:t>
      </w:r>
      <w:r>
        <w:rPr>
          <w:rFonts w:hint="eastAsia" w:ascii="仿宋_GB2312" w:hAnsi="仿宋_GB2312" w:eastAsia="仿宋_GB2312" w:cs="仿宋_GB2312"/>
          <w:b w:val="0"/>
          <w:bCs/>
          <w:color w:val="000000"/>
          <w:sz w:val="32"/>
          <w:szCs w:val="32"/>
          <w:lang w:val="en-US" w:eastAsia="zh-CN"/>
        </w:rPr>
        <w:t>万元</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完成</w:t>
      </w:r>
      <w:r>
        <w:rPr>
          <w:rStyle w:val="14"/>
          <w:rFonts w:hint="eastAsia" w:ascii="仿宋_GB2312" w:hAnsi="仿宋_GB2312" w:eastAsia="仿宋_GB2312" w:cs="仿宋_GB2312"/>
          <w:b w:val="0"/>
          <w:bCs/>
          <w:color w:val="000000"/>
          <w:sz w:val="32"/>
          <w:szCs w:val="32"/>
        </w:rPr>
        <w:t>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%。其中：</w:t>
      </w:r>
      <w:bookmarkEnd w:id="37"/>
      <w:bookmarkEnd w:id="38"/>
      <w:bookmarkEnd w:id="39"/>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1.一般公共服务（类）群众团体事务（款）行政运行（项）: 支出决算为493.13万元，完成预算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2</w:t>
      </w:r>
      <w:r>
        <w:rPr>
          <w:rStyle w:val="14"/>
          <w:rFonts w:hint="eastAsia" w:ascii="仿宋_GB2312" w:hAnsi="仿宋_GB2312" w:eastAsia="仿宋_GB2312" w:cs="仿宋_GB2312"/>
          <w:b w:val="0"/>
          <w:bCs/>
          <w:color w:val="000000"/>
          <w:sz w:val="32"/>
          <w:szCs w:val="32"/>
        </w:rPr>
        <w:t>.社会保障和就业（类）行政事业单位离退休（款） 机关事业单位基本养老保险缴费支出（项）: 支出决算为4.09万元，完成预算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76" w:lineRule="exact"/>
        <w:ind w:firstLine="640"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3</w:t>
      </w:r>
      <w:r>
        <w:rPr>
          <w:rStyle w:val="14"/>
          <w:rFonts w:hint="eastAsia" w:ascii="仿宋_GB2312" w:hAnsi="仿宋_GB2312" w:eastAsia="仿宋_GB2312" w:cs="仿宋_GB2312"/>
          <w:b w:val="0"/>
          <w:bCs/>
          <w:color w:val="000000"/>
          <w:sz w:val="32"/>
          <w:szCs w:val="32"/>
        </w:rPr>
        <w:t>.医疗卫生与计划生育（类）行政事业单位医疗（款）行政单位医疗（项）:支出决算为1.62万元，完成预算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4</w:t>
      </w:r>
      <w:r>
        <w:rPr>
          <w:rStyle w:val="14"/>
          <w:rFonts w:hint="eastAsia" w:ascii="仿宋_GB2312" w:hAnsi="仿宋_GB2312" w:eastAsia="仿宋_GB2312" w:cs="仿宋_GB2312"/>
          <w:b w:val="0"/>
          <w:bCs/>
          <w:color w:val="000000"/>
          <w:sz w:val="32"/>
          <w:szCs w:val="32"/>
        </w:rPr>
        <w:t>.住房保障支出（类）住房改革支出（款） 住房公积金（项）:支出决算为2.47万元，完成预算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pageBreakBefore w:val="0"/>
        <w:tabs>
          <w:tab w:val="right" w:pos="8306"/>
        </w:tabs>
        <w:kinsoku/>
        <w:wordWrap/>
        <w:overflowPunct/>
        <w:topLinePunct w:val="0"/>
        <w:bidi w:val="0"/>
        <w:spacing w:line="576"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2018年一般公共预算财政拨款基本支出501.31万元，其中：</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64.29</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公用经费</w:t>
      </w:r>
      <w:r>
        <w:rPr>
          <w:rFonts w:hint="eastAsia" w:ascii="仿宋_GB2312" w:hAnsi="仿宋_GB2312" w:eastAsia="仿宋_GB2312" w:cs="仿宋_GB2312"/>
          <w:color w:val="000000"/>
          <w:sz w:val="32"/>
          <w:szCs w:val="32"/>
          <w:lang w:val="en-US" w:eastAsia="zh-CN"/>
        </w:rPr>
        <w:t>437.02</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76"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pageBreakBefore w:val="0"/>
        <w:kinsoku/>
        <w:wordWrap/>
        <w:overflowPunct/>
        <w:topLinePunct w:val="0"/>
        <w:bidi w:val="0"/>
        <w:spacing w:line="576" w:lineRule="exact"/>
        <w:ind w:firstLine="640"/>
        <w:outlineLvl w:val="2"/>
        <w:rPr>
          <w:rFonts w:hint="eastAsia" w:ascii="楷体" w:hAnsi="楷体" w:eastAsia="楷体" w:cs="楷体"/>
          <w:b w:val="0"/>
          <w:bCs/>
          <w:color w:val="000000"/>
          <w:sz w:val="32"/>
          <w:szCs w:val="32"/>
        </w:rPr>
      </w:pPr>
      <w:bookmarkStart w:id="44" w:name="_Toc15377216"/>
      <w:r>
        <w:rPr>
          <w:rFonts w:hint="eastAsia" w:ascii="楷体" w:hAnsi="楷体" w:eastAsia="楷体" w:cs="楷体"/>
          <w:b w:val="0"/>
          <w:bCs/>
          <w:color w:val="000000"/>
          <w:sz w:val="32"/>
          <w:szCs w:val="32"/>
        </w:rPr>
        <w:t>（一）“三公”经费财政拨款支出决算总体情况说明</w:t>
      </w:r>
      <w:bookmarkEnd w:id="44"/>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2018年“三公”经费财政拨款支出决算为1.04万元，完成预算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%。决算数与预算数持平主要原因为严格控制公务接待。</w:t>
      </w:r>
    </w:p>
    <w:p>
      <w:pPr>
        <w:pageBreakBefore w:val="0"/>
        <w:kinsoku/>
        <w:wordWrap/>
        <w:overflowPunct/>
        <w:topLinePunct w:val="0"/>
        <w:bidi w:val="0"/>
        <w:spacing w:line="576" w:lineRule="exact"/>
        <w:ind w:firstLine="640"/>
        <w:outlineLvl w:val="2"/>
        <w:rPr>
          <w:rFonts w:hint="eastAsia" w:ascii="楷体" w:hAnsi="楷体" w:eastAsia="楷体" w:cs="楷体"/>
          <w:b w:val="0"/>
          <w:bCs/>
          <w:color w:val="000000"/>
          <w:sz w:val="32"/>
          <w:szCs w:val="32"/>
        </w:rPr>
      </w:pPr>
      <w:bookmarkStart w:id="45" w:name="_Toc15377217"/>
      <w:r>
        <w:rPr>
          <w:rFonts w:hint="eastAsia" w:ascii="楷体" w:hAnsi="楷体" w:eastAsia="楷体" w:cs="楷体"/>
          <w:b w:val="0"/>
          <w:bCs/>
          <w:color w:val="000000"/>
          <w:sz w:val="32"/>
          <w:szCs w:val="32"/>
        </w:rPr>
        <w:t>（二）“三公”经费财政拨款支出决算具体情况说明</w:t>
      </w:r>
      <w:bookmarkEnd w:id="45"/>
    </w:p>
    <w:p>
      <w:pPr>
        <w:pageBreakBefore w:val="0"/>
        <w:kinsoku/>
        <w:wordWrap/>
        <w:overflowPunct/>
        <w:topLinePunct w:val="0"/>
        <w:bidi w:val="0"/>
        <w:spacing w:line="576"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%；公务接待费支出决算1.04万元，占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%。具体情况如下：</w:t>
      </w:r>
    </w:p>
    <w:p>
      <w:pPr>
        <w:pageBreakBefore w:val="0"/>
        <w:kinsoku/>
        <w:wordWrap/>
        <w:overflowPunct/>
        <w:topLinePunct w:val="0"/>
        <w:bidi w:val="0"/>
        <w:spacing w:line="576"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0</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全年安排因公出国（境）团组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次，出国（境）</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auto"/>
          <w:sz w:val="32"/>
          <w:szCs w:val="32"/>
        </w:rPr>
        <w:t>。因公出国（境）支出决算</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2017年</w:t>
      </w:r>
      <w:r>
        <w:rPr>
          <w:rFonts w:hint="eastAsia" w:ascii="仿宋_GB2312" w:hAnsi="仿宋_GB2312" w:eastAsia="仿宋_GB2312" w:cs="仿宋_GB2312"/>
          <w:color w:val="auto"/>
          <w:sz w:val="32"/>
          <w:szCs w:val="32"/>
          <w:lang w:val="en-US" w:eastAsia="zh-CN"/>
        </w:rPr>
        <w:t>持平</w:t>
      </w:r>
      <w:r>
        <w:rPr>
          <w:rFonts w:hint="eastAsia" w:ascii="仿宋_GB2312" w:hAnsi="仿宋_GB2312" w:eastAsia="仿宋_GB2312" w:cs="仿宋_GB2312"/>
          <w:color w:val="auto"/>
          <w:sz w:val="32"/>
          <w:szCs w:val="32"/>
        </w:rPr>
        <w:t>。</w:t>
      </w:r>
    </w:p>
    <w:p>
      <w:pPr>
        <w:pageBreakBefore w:val="0"/>
        <w:kinsoku/>
        <w:wordWrap/>
        <w:overflowPunct/>
        <w:topLinePunct w:val="0"/>
        <w:bidi w:val="0"/>
        <w:spacing w:line="576"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0</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2017年</w:t>
      </w:r>
      <w:r>
        <w:rPr>
          <w:rFonts w:hint="eastAsia" w:ascii="仿宋_GB2312" w:hAnsi="仿宋_GB2312" w:eastAsia="仿宋_GB2312" w:cs="仿宋_GB2312"/>
          <w:color w:val="auto"/>
          <w:sz w:val="32"/>
          <w:szCs w:val="32"/>
          <w:lang w:val="en-US" w:eastAsia="zh-CN"/>
        </w:rPr>
        <w:t>持平</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万元。全年按规定更新购置公务用车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万元。截至2018年12月底，单位共有公务用车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p>
    <w:p>
      <w:pPr>
        <w:pageBreakBefore w:val="0"/>
        <w:kinsoku/>
        <w:wordWrap/>
        <w:overflowPunct/>
        <w:topLinePunct w:val="0"/>
        <w:bidi w:val="0"/>
        <w:spacing w:line="576"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pageBreakBefore w:val="0"/>
        <w:numPr>
          <w:ilvl w:val="0"/>
          <w:numId w:val="0"/>
        </w:numPr>
        <w:kinsoku/>
        <w:wordWrap/>
        <w:overflowPunct/>
        <w:topLinePunct w:val="0"/>
        <w:bidi w:val="0"/>
        <w:spacing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公务接待费支出</w:t>
      </w:r>
      <w:r>
        <w:rPr>
          <w:rFonts w:hint="eastAsia" w:ascii="仿宋_GB2312" w:hAnsi="仿宋_GB2312" w:eastAsia="仿宋_GB2312" w:cs="仿宋_GB2312"/>
          <w:color w:val="auto"/>
          <w:sz w:val="32"/>
          <w:szCs w:val="32"/>
        </w:rPr>
        <w:t>1.04万元，</w:t>
      </w:r>
      <w:r>
        <w:rPr>
          <w:rStyle w:val="14"/>
          <w:rFonts w:hint="eastAsia" w:ascii="仿宋_GB2312" w:hAnsi="仿宋_GB2312" w:eastAsia="仿宋_GB2312" w:cs="仿宋_GB2312"/>
          <w:b w:val="0"/>
          <w:bCs/>
          <w:color w:val="auto"/>
          <w:sz w:val="32"/>
          <w:szCs w:val="32"/>
        </w:rPr>
        <w:t>完成预算</w:t>
      </w:r>
      <w:r>
        <w:rPr>
          <w:rStyle w:val="14"/>
          <w:rFonts w:hint="eastAsia" w:ascii="仿宋_GB2312" w:hAnsi="仿宋_GB2312" w:eastAsia="仿宋_GB2312" w:cs="仿宋_GB2312"/>
          <w:b w:val="0"/>
          <w:bCs/>
          <w:color w:val="auto"/>
          <w:sz w:val="32"/>
          <w:szCs w:val="32"/>
          <w:lang w:val="en-US" w:eastAsia="zh-CN"/>
        </w:rPr>
        <w:t>100</w:t>
      </w:r>
      <w:r>
        <w:rPr>
          <w:rStyle w:val="14"/>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公务接待费支出决算比2017年增加</w:t>
      </w:r>
      <w:r>
        <w:rPr>
          <w:rFonts w:hint="eastAsia" w:ascii="仿宋_GB2312" w:hAnsi="仿宋_GB2312" w:eastAsia="仿宋_GB2312" w:cs="仿宋_GB2312"/>
          <w:color w:val="auto"/>
          <w:sz w:val="32"/>
          <w:szCs w:val="32"/>
          <w:lang w:val="en-US" w:eastAsia="zh-CN"/>
        </w:rPr>
        <w:t>0.14</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15.56</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龙泉·昭化东西部扶贫农村电商扶贫项目相关会议、交流活动，召开全区</w:t>
      </w:r>
      <w:r>
        <w:rPr>
          <w:rFonts w:hint="eastAsia" w:ascii="仿宋_GB2312" w:hAnsi="仿宋_GB2312" w:eastAsia="仿宋_GB2312" w:cs="仿宋_GB2312"/>
          <w:color w:val="auto"/>
          <w:sz w:val="32"/>
          <w:szCs w:val="32"/>
        </w:rPr>
        <w:t>纪念“五四运动”99周年优秀青年代表座谈会</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主要用于执行公务、开展业务活动开支的交通费、住宿费、用餐费等。国内公务接待</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人次（不包括陪同人员），共计支出1.04万元。其中：</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auto"/>
          <w:sz w:val="32"/>
          <w:szCs w:val="32"/>
        </w:rPr>
        <w:t>外事</w:t>
      </w:r>
      <w:r>
        <w:rPr>
          <w:rFonts w:hint="eastAsia" w:ascii="仿宋_GB2312" w:hAnsi="仿宋_GB2312" w:eastAsia="仿宋_GB2312" w:cs="仿宋_GB2312"/>
          <w:b/>
          <w:color w:val="000000"/>
          <w:sz w:val="32"/>
          <w:szCs w:val="32"/>
        </w:rPr>
        <w:t>接待</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b/>
          <w:color w:val="auto"/>
          <w:sz w:val="32"/>
          <w:szCs w:val="32"/>
          <w:lang w:val="en-US" w:eastAsia="zh-CN"/>
        </w:rPr>
        <w:t>0</w:t>
      </w:r>
      <w:r>
        <w:rPr>
          <w:rFonts w:hint="eastAsia" w:ascii="仿宋_GB2312" w:hAnsi="仿宋_GB2312" w:eastAsia="仿宋_GB2312" w:cs="仿宋_GB2312"/>
          <w:color w:val="auto"/>
          <w:sz w:val="32"/>
          <w:szCs w:val="32"/>
        </w:rPr>
        <w:t>万元，外事接待</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76"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auto"/>
          <w:sz w:val="32"/>
          <w:szCs w:val="32"/>
        </w:rPr>
        <w:t>其他国内公务接待支出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bookmarkStart w:id="46" w:name="_Toc15377218"/>
      <w:bookmarkStart w:id="47" w:name="_Toc15396610"/>
    </w:p>
    <w:p>
      <w:pPr>
        <w:pageBreakBefore w:val="0"/>
        <w:kinsoku/>
        <w:wordWrap/>
        <w:overflowPunct/>
        <w:topLinePunct w:val="0"/>
        <w:bidi w:val="0"/>
        <w:spacing w:line="576"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pageBreakBefore w:val="0"/>
        <w:kinsoku/>
        <w:wordWrap/>
        <w:overflowPunct/>
        <w:topLinePunct w:val="0"/>
        <w:bidi w:val="0"/>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numPr>
          <w:ilvl w:val="0"/>
          <w:numId w:val="2"/>
        </w:numPr>
        <w:kinsoku/>
        <w:wordWrap/>
        <w:overflowPunct/>
        <w:topLinePunct w:val="0"/>
        <w:bidi w:val="0"/>
        <w:spacing w:line="576"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pageBreakBefore w:val="0"/>
        <w:kinsoku/>
        <w:wordWrap/>
        <w:overflowPunct/>
        <w:topLinePunct w:val="0"/>
        <w:bidi w:val="0"/>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23"/>
        <w:pageBreakBefore w:val="0"/>
        <w:numPr>
          <w:ilvl w:val="0"/>
          <w:numId w:val="3"/>
        </w:numPr>
        <w:kinsoku/>
        <w:wordWrap/>
        <w:overflowPunct/>
        <w:topLinePunct w:val="0"/>
        <w:bidi w:val="0"/>
        <w:spacing w:line="576" w:lineRule="exact"/>
        <w:ind w:firstLineChars="0"/>
        <w:rPr>
          <w:rStyle w:val="25"/>
          <w:rFonts w:ascii="黑体" w:hAnsi="黑体" w:eastAsia="黑体"/>
          <w:b w:val="0"/>
        </w:rPr>
      </w:pPr>
      <w:r>
        <w:rPr>
          <w:rStyle w:val="25"/>
          <w:rFonts w:hint="eastAsia" w:ascii="黑体" w:hAnsi="黑体" w:eastAsia="黑体"/>
          <w:b w:val="0"/>
        </w:rPr>
        <w:t>预算绩效情况说明</w:t>
      </w:r>
    </w:p>
    <w:p>
      <w:pPr>
        <w:pageBreakBefore w:val="0"/>
        <w:numPr>
          <w:ilvl w:val="0"/>
          <w:numId w:val="4"/>
        </w:numPr>
        <w:kinsoku/>
        <w:wordWrap/>
        <w:overflowPunct/>
        <w:topLinePunct w:val="0"/>
        <w:bidi w:val="0"/>
        <w:spacing w:line="576"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val="en-US" w:eastAsia="zh-CN"/>
        </w:rPr>
        <w:t>龙泉·昭化东西部扶贫农村电商扶贫项目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sz w:val="32"/>
          <w:szCs w:val="32"/>
        </w:rPr>
        <w:t>开展了绩效目标完成情况梳理填报。</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lang w:val="en-US" w:eastAsia="zh-CN"/>
        </w:rPr>
        <w:t>2018年财务支出符合国家财经法规和财务管理制度规定以及有关专项资金管理办法的规定，资金的拨付有完整的审批过程和手续，支出基本符合部门预算批复的用途，</w:t>
      </w:r>
      <w:r>
        <w:rPr>
          <w:rFonts w:hint="eastAsia" w:ascii="仿宋_GB2312" w:hAnsi="仿宋_GB2312" w:eastAsia="仿宋_GB2312" w:cs="仿宋_GB2312"/>
          <w:sz w:val="32"/>
          <w:szCs w:val="32"/>
        </w:rPr>
        <w:t>资金使用无截留、挤占、挪用、虚列支出等情况。根据区政府绩效考核文件精神，绩效目标在2018年基本完成，在保障机关运转、履行职能职责上整体情况良好。综合评价结果为良级。本部门还自行组织了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个项目绩效评价，从评价情况来看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pageBreakBefore w:val="0"/>
        <w:numPr>
          <w:ilvl w:val="0"/>
          <w:numId w:val="4"/>
        </w:numPr>
        <w:kinsoku/>
        <w:wordWrap/>
        <w:overflowPunct/>
        <w:topLinePunct w:val="0"/>
        <w:bidi w:val="0"/>
        <w:spacing w:line="576"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p>
    <w:p>
      <w:pPr>
        <w:pageBreakBefore w:val="0"/>
        <w:numPr>
          <w:ilvl w:val="0"/>
          <w:numId w:val="4"/>
        </w:numPr>
        <w:kinsoku/>
        <w:wordWrap/>
        <w:overflowPunct/>
        <w:topLinePunct w:val="0"/>
        <w:bidi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本部门在2018年度部门决算中反映</w:t>
      </w:r>
      <w:r>
        <w:rPr>
          <w:rFonts w:hint="eastAsia" w:ascii="仿宋_GB2312" w:hAnsi="仿宋_GB2312" w:eastAsia="仿宋_GB2312" w:cs="仿宋_GB2312"/>
          <w:sz w:val="32"/>
          <w:szCs w:val="32"/>
          <w:lang w:val="en-US" w:eastAsia="zh-CN"/>
        </w:rPr>
        <w:t>龙泉·昭化东西部扶贫农村电商扶贫项目1</w:t>
      </w:r>
      <w:r>
        <w:rPr>
          <w:rFonts w:hint="eastAsia" w:ascii="仿宋_GB2312" w:hAnsi="仿宋_GB2312" w:eastAsia="仿宋_GB2312" w:cs="仿宋_GB2312"/>
          <w:sz w:val="32"/>
          <w:szCs w:val="32"/>
        </w:rPr>
        <w:t>个项目绩效目标实际完成情况。</w:t>
      </w:r>
    </w:p>
    <w:p>
      <w:pPr>
        <w:pageBreakBefore w:val="0"/>
        <w:numPr>
          <w:ilvl w:val="0"/>
          <w:numId w:val="0"/>
        </w:numPr>
        <w:kinsoku/>
        <w:wordWrap/>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龙泉·昭化东西部扶贫农村电商扶贫项目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%。通过项目实施，打通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电商销货渠道、</w:t>
      </w:r>
      <w:r>
        <w:rPr>
          <w:rFonts w:hint="eastAsia" w:ascii="仿宋_GB2312" w:hAnsi="仿宋_GB2312" w:eastAsia="仿宋_GB2312" w:cs="仿宋_GB2312"/>
          <w:sz w:val="32"/>
          <w:szCs w:val="32"/>
          <w:lang w:eastAsia="zh-CN"/>
        </w:rPr>
        <w:t>建立了</w:t>
      </w:r>
      <w:r>
        <w:rPr>
          <w:rFonts w:hint="eastAsia" w:ascii="仿宋_GB2312" w:hAnsi="仿宋_GB2312" w:eastAsia="仿宋_GB2312" w:cs="仿宋_GB2312"/>
          <w:sz w:val="32"/>
          <w:szCs w:val="32"/>
        </w:rPr>
        <w:t>贫困户新型链接机制、</w:t>
      </w:r>
      <w:r>
        <w:rPr>
          <w:rFonts w:hint="eastAsia" w:ascii="仿宋_GB2312" w:hAnsi="仿宋_GB2312" w:eastAsia="仿宋_GB2312" w:cs="仿宋_GB2312"/>
          <w:sz w:val="32"/>
          <w:szCs w:val="32"/>
          <w:lang w:eastAsia="zh-CN"/>
        </w:rPr>
        <w:t>促进了</w:t>
      </w:r>
      <w:r>
        <w:rPr>
          <w:rFonts w:hint="eastAsia" w:ascii="仿宋_GB2312" w:hAnsi="仿宋_GB2312" w:eastAsia="仿宋_GB2312" w:cs="仿宋_GB2312"/>
          <w:sz w:val="32"/>
          <w:szCs w:val="32"/>
        </w:rPr>
        <w:t>新型劳动力就业创业，特别是提高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农产品电商销售整体能力，助推</w:t>
      </w:r>
      <w:r>
        <w:rPr>
          <w:rFonts w:hint="eastAsia" w:ascii="仿宋_GB2312" w:hAnsi="仿宋_GB2312" w:eastAsia="仿宋_GB2312" w:cs="仿宋_GB2312"/>
          <w:sz w:val="32"/>
          <w:szCs w:val="32"/>
          <w:lang w:eastAsia="zh-CN"/>
        </w:rPr>
        <w:t>了我区</w:t>
      </w:r>
      <w:r>
        <w:rPr>
          <w:rFonts w:hint="eastAsia" w:ascii="仿宋_GB2312" w:hAnsi="仿宋_GB2312" w:eastAsia="仿宋_GB2312" w:cs="仿宋_GB2312"/>
          <w:sz w:val="32"/>
          <w:szCs w:val="32"/>
        </w:rPr>
        <w:t>精准扶贫、精准脱贫。发现的主要问题：</w:t>
      </w:r>
      <w:r>
        <w:rPr>
          <w:rFonts w:hint="eastAsia" w:ascii="仿宋_GB2312" w:hAnsi="仿宋_GB2312" w:eastAsia="仿宋_GB2312" w:cs="仿宋_GB2312"/>
          <w:sz w:val="32"/>
          <w:szCs w:val="32"/>
          <w:lang w:val="en-US" w:eastAsia="zh-CN"/>
        </w:rPr>
        <w:t>项目绩效目标资金拨付不够即时，还需进一步提高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完善项目绩效目标，建立健全项目管理制度。</w:t>
      </w:r>
    </w:p>
    <w:p>
      <w:pPr>
        <w:pageBreakBefore w:val="0"/>
        <w:numPr>
          <w:ilvl w:val="0"/>
          <w:numId w:val="0"/>
        </w:numPr>
        <w:kinsoku/>
        <w:wordWrap/>
        <w:overflowPunct/>
        <w:topLinePunct w:val="0"/>
        <w:bidi w:val="0"/>
        <w:spacing w:line="576" w:lineRule="exact"/>
        <w:ind w:firstLine="640" w:firstLineChars="200"/>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p>
      <w:pPr>
        <w:pageBreakBefore w:val="0"/>
        <w:tabs>
          <w:tab w:val="left" w:pos="312"/>
        </w:tabs>
        <w:kinsoku/>
        <w:wordWrap/>
        <w:overflowPunct/>
        <w:topLinePunct w:val="0"/>
        <w:bidi w:val="0"/>
        <w:spacing w:line="576" w:lineRule="exact"/>
        <w:rPr>
          <w:rFonts w:ascii="仿宋_GB2312" w:hAnsi="仿宋_GB2312" w:eastAsia="仿宋_GB2312" w:cs="仿宋_GB2312"/>
          <w:color w:val="auto"/>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hint="eastAsia" w:ascii="黑体" w:hAnsi="黑体" w:eastAsia="黑体" w:cs="宋体"/>
                <w:bCs/>
                <w:color w:val="auto"/>
                <w:kern w:val="0"/>
                <w:sz w:val="36"/>
                <w:szCs w:val="36"/>
                <w:lang w:eastAsia="zh-CN" w:bidi="ar"/>
              </w:rPr>
            </w:pPr>
            <w:r>
              <w:rPr>
                <w:rFonts w:hint="eastAsia" w:ascii="黑体" w:hAnsi="黑体" w:eastAsia="黑体" w:cs="宋体"/>
                <w:bCs/>
                <w:color w:val="auto"/>
                <w:kern w:val="0"/>
                <w:sz w:val="36"/>
                <w:szCs w:val="36"/>
                <w:lang w:bidi="ar"/>
              </w:rPr>
              <w:t>项目支出绩效目标完成情况表</w:t>
            </w:r>
          </w:p>
          <w:p>
            <w:pPr>
              <w:pStyle w:val="23"/>
              <w:widowControl/>
              <w:ind w:left="4173" w:leftChars="1310" w:hanging="1422" w:hangingChars="395"/>
              <w:textAlignment w:val="center"/>
              <w:rPr>
                <w:rFonts w:ascii="宋体" w:hAnsi="宋体" w:cs="宋体"/>
                <w:color w:val="auto"/>
                <w:sz w:val="36"/>
                <w:szCs w:val="36"/>
              </w:rPr>
            </w:pPr>
            <w:r>
              <w:rPr>
                <w:rFonts w:hint="eastAsia" w:ascii="宋体" w:hAnsi="宋体" w:cs="宋体"/>
                <w:color w:val="auto"/>
                <w:kern w:val="0"/>
                <w:sz w:val="36"/>
                <w:szCs w:val="36"/>
                <w:lang w:bidi="ar"/>
              </w:rPr>
              <w:t>(2018年度)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color w:val="auto"/>
                <w:sz w:val="24"/>
                <w:szCs w:val="24"/>
                <w:lang w:val="en-US" w:eastAsia="zh-CN"/>
              </w:rPr>
              <w:t>龙泉·昭化东西部扶贫农村电商扶贫项目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中国共产主义青年团四川省广元市昭化区委员会</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400万元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auto"/>
                <w:sz w:val="24"/>
                <w:lang w:eastAsia="zh-CN"/>
              </w:rPr>
            </w:pPr>
            <w:r>
              <w:rPr>
                <w:rFonts w:hint="eastAsia"/>
                <w:color w:val="auto"/>
                <w:sz w:val="24"/>
                <w:szCs w:val="24"/>
              </w:rPr>
              <w:t>项目预期</w:t>
            </w:r>
            <w:r>
              <w:rPr>
                <w:rFonts w:hint="eastAsia"/>
                <w:color w:val="auto"/>
                <w:sz w:val="24"/>
                <w:szCs w:val="24"/>
                <w:lang w:eastAsia="zh-CN"/>
              </w:rPr>
              <w:t>在</w:t>
            </w:r>
            <w:r>
              <w:rPr>
                <w:rFonts w:hint="eastAsia"/>
                <w:color w:val="auto"/>
                <w:sz w:val="24"/>
                <w:szCs w:val="24"/>
                <w:lang w:val="en-US" w:eastAsia="zh-CN"/>
              </w:rPr>
              <w:t>2019年结项前，</w:t>
            </w:r>
            <w:r>
              <w:rPr>
                <w:rFonts w:hint="eastAsia"/>
                <w:color w:val="auto"/>
                <w:sz w:val="24"/>
                <w:szCs w:val="24"/>
              </w:rPr>
              <w:t>建成龙泉昭化电商飞地1个，深度培育农村电商从业人才121名，</w:t>
            </w:r>
            <w:r>
              <w:rPr>
                <w:rFonts w:hint="eastAsia"/>
                <w:color w:val="auto"/>
                <w:sz w:val="24"/>
                <w:szCs w:val="24"/>
                <w:lang w:eastAsia="zh-CN"/>
              </w:rPr>
              <w:t>其中贫困人口</w:t>
            </w:r>
            <w:r>
              <w:rPr>
                <w:rFonts w:hint="eastAsia"/>
                <w:color w:val="auto"/>
                <w:sz w:val="24"/>
                <w:szCs w:val="24"/>
                <w:lang w:val="en-US" w:eastAsia="zh-CN"/>
              </w:rPr>
              <w:t>20人，</w:t>
            </w:r>
            <w:r>
              <w:rPr>
                <w:rFonts w:hint="eastAsia"/>
                <w:color w:val="auto"/>
                <w:sz w:val="24"/>
                <w:szCs w:val="24"/>
              </w:rPr>
              <w:t>孵化具有代表性电商企业（网商）2个以上；建成昭化电商扶贫综合平台，</w:t>
            </w:r>
            <w:r>
              <w:rPr>
                <w:rFonts w:hint="eastAsia"/>
                <w:color w:val="auto"/>
                <w:sz w:val="24"/>
                <w:szCs w:val="24"/>
                <w:lang w:eastAsia="zh-CN"/>
              </w:rPr>
              <w:t>建成</w:t>
            </w:r>
            <w:r>
              <w:rPr>
                <w:rFonts w:hint="eastAsia"/>
                <w:color w:val="auto"/>
                <w:sz w:val="24"/>
                <w:szCs w:val="24"/>
              </w:rPr>
              <w:t>微商村2个，</w:t>
            </w:r>
            <w:r>
              <w:rPr>
                <w:rFonts w:hint="eastAsia"/>
                <w:color w:val="auto"/>
                <w:sz w:val="24"/>
                <w:szCs w:val="24"/>
                <w:lang w:eastAsia="zh-CN"/>
              </w:rPr>
              <w:t>实现农产品销售额超</w:t>
            </w:r>
            <w:r>
              <w:rPr>
                <w:rFonts w:hint="eastAsia"/>
                <w:color w:val="auto"/>
                <w:sz w:val="24"/>
                <w:szCs w:val="24"/>
                <w:lang w:val="en-US" w:eastAsia="zh-CN"/>
              </w:rPr>
              <w:t>400万，</w:t>
            </w:r>
            <w:r>
              <w:rPr>
                <w:rFonts w:hint="eastAsia"/>
                <w:color w:val="auto"/>
                <w:sz w:val="24"/>
                <w:szCs w:val="24"/>
                <w:lang w:eastAsia="zh-CN"/>
              </w:rPr>
              <w:t>带动</w:t>
            </w:r>
            <w:r>
              <w:rPr>
                <w:rFonts w:hint="eastAsia"/>
                <w:color w:val="auto"/>
                <w:sz w:val="24"/>
                <w:szCs w:val="24"/>
                <w:lang w:val="en-US" w:eastAsia="zh-CN"/>
              </w:rPr>
              <w:t>200个建档立卡贫困户销售产品，实现增收</w:t>
            </w:r>
            <w:r>
              <w:rPr>
                <w:rFonts w:hint="eastAsia"/>
                <w:color w:val="auto"/>
                <w:sz w:val="24"/>
                <w:szCs w:val="24"/>
              </w:rPr>
              <w:t>；建成丽水、成都、广元等3地昭化农特产品直营专区，开展农产品推介活动12次，实现网络推介300万人次</w:t>
            </w:r>
            <w:r>
              <w:rPr>
                <w:color w:val="auto"/>
                <w:sz w:val="24"/>
                <w:szCs w:val="24"/>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hint="eastAsia" w:eastAsia="宋体"/>
                <w:color w:val="auto"/>
                <w:sz w:val="24"/>
                <w:szCs w:val="24"/>
                <w:lang w:val="en-US" w:eastAsia="zh-CN"/>
              </w:rPr>
            </w:pPr>
            <w:r>
              <w:rPr>
                <w:rFonts w:hint="eastAsia"/>
                <w:color w:val="auto"/>
                <w:sz w:val="24"/>
                <w:szCs w:val="24"/>
              </w:rPr>
              <w:t>建成龙泉昭化电商飞地1个</w:t>
            </w:r>
            <w:r>
              <w:rPr>
                <w:rFonts w:hint="eastAsia"/>
                <w:color w:val="auto"/>
                <w:sz w:val="24"/>
                <w:szCs w:val="24"/>
                <w:lang w:eastAsia="zh-CN"/>
              </w:rPr>
              <w:t>；</w:t>
            </w:r>
            <w:r>
              <w:rPr>
                <w:rFonts w:hint="eastAsia"/>
                <w:color w:val="auto"/>
                <w:sz w:val="24"/>
                <w:szCs w:val="24"/>
              </w:rPr>
              <w:t>深度培育农村电商从业人才21名</w:t>
            </w:r>
            <w:r>
              <w:rPr>
                <w:rFonts w:hint="eastAsia"/>
                <w:color w:val="auto"/>
                <w:sz w:val="24"/>
                <w:szCs w:val="24"/>
                <w:lang w:eastAsia="zh-CN"/>
              </w:rPr>
              <w:t>；</w:t>
            </w:r>
            <w:r>
              <w:rPr>
                <w:rFonts w:hint="eastAsia"/>
                <w:color w:val="auto"/>
                <w:sz w:val="24"/>
                <w:szCs w:val="24"/>
              </w:rPr>
              <w:t>建成昭化电商扶贫综合平台</w:t>
            </w:r>
            <w:r>
              <w:rPr>
                <w:rFonts w:hint="eastAsia"/>
                <w:color w:val="auto"/>
                <w:sz w:val="24"/>
                <w:szCs w:val="24"/>
                <w:lang w:eastAsia="zh-CN"/>
              </w:rPr>
              <w:t>“昭化严选”</w:t>
            </w:r>
            <w:r>
              <w:rPr>
                <w:rFonts w:hint="eastAsia"/>
                <w:color w:val="auto"/>
                <w:sz w:val="24"/>
                <w:szCs w:val="24"/>
              </w:rPr>
              <w:t>，累计免费为</w:t>
            </w:r>
            <w:r>
              <w:rPr>
                <w:rFonts w:hint="eastAsia"/>
                <w:color w:val="auto"/>
                <w:sz w:val="24"/>
                <w:szCs w:val="24"/>
                <w:lang w:val="en-US"/>
              </w:rPr>
              <w:t>30多</w:t>
            </w:r>
            <w:r>
              <w:rPr>
                <w:rFonts w:hint="eastAsia"/>
                <w:color w:val="auto"/>
                <w:sz w:val="24"/>
                <w:szCs w:val="24"/>
              </w:rPr>
              <w:t>个专合社提供产品展示平台</w:t>
            </w:r>
            <w:r>
              <w:rPr>
                <w:rFonts w:hint="eastAsia"/>
                <w:color w:val="auto"/>
                <w:sz w:val="24"/>
                <w:szCs w:val="24"/>
                <w:lang w:eastAsia="zh-CN"/>
              </w:rPr>
              <w:t>，带动</w:t>
            </w:r>
            <w:r>
              <w:rPr>
                <w:rFonts w:hint="eastAsia"/>
                <w:color w:val="auto"/>
                <w:sz w:val="24"/>
                <w:szCs w:val="24"/>
                <w:lang w:val="en-US"/>
              </w:rPr>
              <w:t>1</w:t>
            </w:r>
            <w:r>
              <w:rPr>
                <w:rFonts w:hint="eastAsia"/>
                <w:color w:val="auto"/>
                <w:sz w:val="24"/>
                <w:szCs w:val="24"/>
                <w:lang w:val="en-US" w:eastAsia="zh-CN"/>
              </w:rPr>
              <w:t>70余</w:t>
            </w:r>
            <w:r>
              <w:rPr>
                <w:rFonts w:hint="eastAsia"/>
                <w:color w:val="auto"/>
                <w:sz w:val="24"/>
                <w:szCs w:val="24"/>
                <w:lang w:eastAsia="zh-CN"/>
              </w:rPr>
              <w:t>名贫困人口增收；建成“</w:t>
            </w:r>
            <w:r>
              <w:rPr>
                <w:rFonts w:hint="eastAsia"/>
                <w:color w:val="auto"/>
                <w:sz w:val="24"/>
                <w:szCs w:val="24"/>
              </w:rPr>
              <w:t>微商村</w:t>
            </w: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rPr>
              <w:t>个</w:t>
            </w:r>
            <w:r>
              <w:rPr>
                <w:rFonts w:hint="eastAsia"/>
                <w:color w:val="auto"/>
                <w:sz w:val="24"/>
                <w:szCs w:val="24"/>
                <w:lang w:eastAsia="zh-CN"/>
              </w:rPr>
              <w:t>（</w:t>
            </w:r>
            <w:r>
              <w:rPr>
                <w:rFonts w:hint="eastAsia"/>
                <w:color w:val="auto"/>
                <w:sz w:val="24"/>
                <w:szCs w:val="24"/>
              </w:rPr>
              <w:t>梅树乡春花村</w:t>
            </w:r>
            <w:r>
              <w:rPr>
                <w:rFonts w:hint="eastAsia"/>
                <w:color w:val="auto"/>
                <w:sz w:val="24"/>
                <w:szCs w:val="24"/>
                <w:lang w:eastAsia="zh-CN"/>
              </w:rPr>
              <w:t>），</w:t>
            </w:r>
            <w:r>
              <w:rPr>
                <w:rFonts w:hint="eastAsia"/>
                <w:color w:val="auto"/>
                <w:sz w:val="24"/>
                <w:szCs w:val="24"/>
              </w:rPr>
              <w:t>乌鸡蛋销售实现返利8200余元</w:t>
            </w:r>
            <w:r>
              <w:rPr>
                <w:rFonts w:hint="eastAsia"/>
                <w:color w:val="auto"/>
                <w:sz w:val="24"/>
                <w:szCs w:val="24"/>
                <w:lang w:eastAsia="zh-CN"/>
              </w:rPr>
              <w:t>；</w:t>
            </w:r>
            <w:r>
              <w:rPr>
                <w:rFonts w:hint="eastAsia"/>
                <w:color w:val="auto"/>
                <w:sz w:val="24"/>
                <w:szCs w:val="24"/>
              </w:rPr>
              <w:t>昭化产品入驻“丽水山耕”线下销售平台和“四川昭化原产地直供馆”，广泛开展特色产品“走亲会”“交流展”等活动，“直供馆”销售额达50万元以上</w:t>
            </w:r>
            <w:r>
              <w:rPr>
                <w:rFonts w:hint="eastAsia"/>
                <w:color w:val="auto"/>
                <w:sz w:val="24"/>
                <w:szCs w:val="24"/>
                <w:lang w:eastAsia="zh-CN"/>
              </w:rPr>
              <w:t>；</w:t>
            </w:r>
            <w:r>
              <w:rPr>
                <w:rFonts w:hint="eastAsia"/>
                <w:color w:val="auto"/>
                <w:sz w:val="24"/>
                <w:szCs w:val="24"/>
              </w:rPr>
              <w:t>举办微商网红培训班、短视频微商大赛，开设抖音、微博话题“山水太极大美昭化”，累计阅读量超过10万人次，网红现场直播观看人数3万余人</w:t>
            </w:r>
            <w:r>
              <w:rPr>
                <w:rFonts w:hint="eastAsia"/>
                <w:color w:val="auto"/>
                <w:sz w:val="24"/>
                <w:szCs w:val="24"/>
                <w:lang w:eastAsia="zh-CN"/>
              </w:rPr>
              <w:t>。</w:t>
            </w:r>
          </w:p>
          <w:p>
            <w:pPr>
              <w:rPr>
                <w:rFonts w:hint="eastAsia"/>
                <w:color w:val="auto"/>
                <w:sz w:val="24"/>
                <w:szCs w:val="24"/>
                <w:lang w:eastAsia="zh-CN"/>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项目成效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color w:val="auto"/>
                <w:sz w:val="24"/>
                <w:szCs w:val="24"/>
              </w:rPr>
              <w:t>项目预期</w:t>
            </w:r>
            <w:r>
              <w:rPr>
                <w:rFonts w:hint="eastAsia"/>
                <w:color w:val="auto"/>
                <w:sz w:val="24"/>
                <w:szCs w:val="24"/>
                <w:lang w:eastAsia="zh-CN"/>
              </w:rPr>
              <w:t>在</w:t>
            </w:r>
            <w:r>
              <w:rPr>
                <w:rFonts w:hint="eastAsia"/>
                <w:color w:val="auto"/>
                <w:sz w:val="24"/>
                <w:szCs w:val="24"/>
                <w:lang w:val="en-US" w:eastAsia="zh-CN"/>
              </w:rPr>
              <w:t>2019年结项前，</w:t>
            </w:r>
            <w:r>
              <w:rPr>
                <w:rFonts w:hint="eastAsia"/>
                <w:color w:val="auto"/>
                <w:sz w:val="24"/>
                <w:szCs w:val="24"/>
              </w:rPr>
              <w:t>建成龙泉昭化电商飞地1个，深度培育农村电商从业人才121名，</w:t>
            </w:r>
            <w:r>
              <w:rPr>
                <w:rFonts w:hint="eastAsia"/>
                <w:color w:val="auto"/>
                <w:sz w:val="24"/>
                <w:szCs w:val="24"/>
                <w:lang w:eastAsia="zh-CN"/>
              </w:rPr>
              <w:t>其中贫困人口</w:t>
            </w:r>
            <w:r>
              <w:rPr>
                <w:rFonts w:hint="eastAsia"/>
                <w:color w:val="auto"/>
                <w:sz w:val="24"/>
                <w:szCs w:val="24"/>
                <w:lang w:val="en-US" w:eastAsia="zh-CN"/>
              </w:rPr>
              <w:t>20人，</w:t>
            </w:r>
            <w:r>
              <w:rPr>
                <w:rFonts w:hint="eastAsia"/>
                <w:color w:val="auto"/>
                <w:sz w:val="24"/>
                <w:szCs w:val="24"/>
              </w:rPr>
              <w:t>孵化具有代表性电商企业（网商）2个以上；建成昭化电商扶贫综合平台，</w:t>
            </w:r>
            <w:r>
              <w:rPr>
                <w:rFonts w:hint="eastAsia"/>
                <w:color w:val="auto"/>
                <w:sz w:val="24"/>
                <w:szCs w:val="24"/>
                <w:lang w:eastAsia="zh-CN"/>
              </w:rPr>
              <w:t>建成</w:t>
            </w:r>
            <w:r>
              <w:rPr>
                <w:rFonts w:hint="eastAsia"/>
                <w:color w:val="auto"/>
                <w:sz w:val="24"/>
                <w:szCs w:val="24"/>
              </w:rPr>
              <w:t>微商村2个，</w:t>
            </w:r>
            <w:r>
              <w:rPr>
                <w:rFonts w:hint="eastAsia"/>
                <w:color w:val="auto"/>
                <w:sz w:val="24"/>
                <w:szCs w:val="24"/>
                <w:lang w:eastAsia="zh-CN"/>
              </w:rPr>
              <w:t>实现农产品销售额超</w:t>
            </w:r>
            <w:r>
              <w:rPr>
                <w:rFonts w:hint="eastAsia"/>
                <w:color w:val="auto"/>
                <w:sz w:val="24"/>
                <w:szCs w:val="24"/>
                <w:lang w:val="en-US" w:eastAsia="zh-CN"/>
              </w:rPr>
              <w:t>400万，</w:t>
            </w:r>
            <w:r>
              <w:rPr>
                <w:rFonts w:hint="eastAsia"/>
                <w:color w:val="auto"/>
                <w:sz w:val="24"/>
                <w:szCs w:val="24"/>
                <w:lang w:eastAsia="zh-CN"/>
              </w:rPr>
              <w:t>带动</w:t>
            </w:r>
            <w:r>
              <w:rPr>
                <w:rFonts w:hint="eastAsia"/>
                <w:color w:val="auto"/>
                <w:sz w:val="24"/>
                <w:szCs w:val="24"/>
                <w:lang w:val="en-US" w:eastAsia="zh-CN"/>
              </w:rPr>
              <w:t>200个建档立卡贫困户销售产品，实现增收</w:t>
            </w:r>
            <w:r>
              <w:rPr>
                <w:rFonts w:hint="eastAsia"/>
                <w:color w:val="auto"/>
                <w:sz w:val="24"/>
                <w:szCs w:val="24"/>
              </w:rPr>
              <w:t>；建成丽水、成都、广元等3地昭化农特产品直营专区，开展农产品推介活动12次，实现网络推介300万人次</w:t>
            </w:r>
            <w:r>
              <w:rPr>
                <w:color w:val="auto"/>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auto"/>
                <w:sz w:val="24"/>
                <w:lang w:val="en-US" w:eastAsia="zh-CN"/>
              </w:rPr>
            </w:pPr>
            <w:r>
              <w:rPr>
                <w:rFonts w:hint="eastAsia"/>
                <w:color w:val="auto"/>
                <w:sz w:val="24"/>
                <w:szCs w:val="24"/>
                <w:lang w:eastAsia="zh-CN"/>
              </w:rPr>
              <w:t>已建</w:t>
            </w:r>
            <w:r>
              <w:rPr>
                <w:rFonts w:hint="eastAsia"/>
                <w:color w:val="auto"/>
                <w:sz w:val="24"/>
                <w:szCs w:val="24"/>
              </w:rPr>
              <w:t>成龙泉昭化电商飞地1个</w:t>
            </w:r>
            <w:r>
              <w:rPr>
                <w:rFonts w:hint="eastAsia"/>
                <w:color w:val="auto"/>
                <w:sz w:val="24"/>
                <w:szCs w:val="24"/>
                <w:lang w:eastAsia="zh-CN"/>
              </w:rPr>
              <w:t>；</w:t>
            </w:r>
            <w:r>
              <w:rPr>
                <w:rFonts w:hint="eastAsia"/>
                <w:color w:val="auto"/>
                <w:sz w:val="24"/>
                <w:szCs w:val="24"/>
              </w:rPr>
              <w:t>深度培育农村电商从业人才21名</w:t>
            </w:r>
            <w:r>
              <w:rPr>
                <w:rFonts w:hint="eastAsia"/>
                <w:color w:val="auto"/>
                <w:sz w:val="24"/>
                <w:szCs w:val="24"/>
                <w:lang w:eastAsia="zh-CN"/>
              </w:rPr>
              <w:t>；</w:t>
            </w:r>
            <w:r>
              <w:rPr>
                <w:rFonts w:hint="eastAsia"/>
                <w:color w:val="auto"/>
                <w:sz w:val="24"/>
                <w:szCs w:val="24"/>
              </w:rPr>
              <w:t>建成昭化电商扶贫综合平台</w:t>
            </w:r>
            <w:r>
              <w:rPr>
                <w:rFonts w:hint="eastAsia"/>
                <w:color w:val="auto"/>
                <w:sz w:val="24"/>
                <w:szCs w:val="24"/>
                <w:lang w:eastAsia="zh-CN"/>
              </w:rPr>
              <w:t>“昭化严选”</w:t>
            </w:r>
            <w:r>
              <w:rPr>
                <w:rFonts w:hint="eastAsia"/>
                <w:color w:val="auto"/>
                <w:sz w:val="24"/>
                <w:szCs w:val="24"/>
              </w:rPr>
              <w:t>，累计免费为</w:t>
            </w:r>
            <w:r>
              <w:rPr>
                <w:rFonts w:hint="eastAsia"/>
                <w:color w:val="auto"/>
                <w:sz w:val="24"/>
                <w:szCs w:val="24"/>
                <w:lang w:val="en-US"/>
              </w:rPr>
              <w:t>30多</w:t>
            </w:r>
            <w:r>
              <w:rPr>
                <w:rFonts w:hint="eastAsia"/>
                <w:color w:val="auto"/>
                <w:sz w:val="24"/>
                <w:szCs w:val="24"/>
              </w:rPr>
              <w:t>个专合社提供产品展示平台</w:t>
            </w:r>
            <w:r>
              <w:rPr>
                <w:rFonts w:hint="eastAsia"/>
                <w:color w:val="auto"/>
                <w:sz w:val="24"/>
                <w:szCs w:val="24"/>
                <w:lang w:eastAsia="zh-CN"/>
              </w:rPr>
              <w:t>，带动</w:t>
            </w:r>
            <w:r>
              <w:rPr>
                <w:rFonts w:hint="eastAsia"/>
                <w:color w:val="auto"/>
                <w:sz w:val="24"/>
                <w:szCs w:val="24"/>
                <w:lang w:val="en-US"/>
              </w:rPr>
              <w:t>1</w:t>
            </w:r>
            <w:r>
              <w:rPr>
                <w:rFonts w:hint="eastAsia"/>
                <w:color w:val="auto"/>
                <w:sz w:val="24"/>
                <w:szCs w:val="24"/>
                <w:lang w:val="en-US" w:eastAsia="zh-CN"/>
              </w:rPr>
              <w:t>70余</w:t>
            </w:r>
            <w:r>
              <w:rPr>
                <w:rFonts w:hint="eastAsia"/>
                <w:color w:val="auto"/>
                <w:sz w:val="24"/>
                <w:szCs w:val="24"/>
                <w:lang w:eastAsia="zh-CN"/>
              </w:rPr>
              <w:t>名贫困人口增收；建成“</w:t>
            </w:r>
            <w:r>
              <w:rPr>
                <w:rFonts w:hint="eastAsia"/>
                <w:color w:val="auto"/>
                <w:sz w:val="24"/>
                <w:szCs w:val="24"/>
              </w:rPr>
              <w:t>微商村</w:t>
            </w: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rPr>
              <w:t>个</w:t>
            </w:r>
            <w:r>
              <w:rPr>
                <w:rFonts w:hint="eastAsia"/>
                <w:color w:val="auto"/>
                <w:sz w:val="24"/>
                <w:szCs w:val="24"/>
                <w:lang w:eastAsia="zh-CN"/>
              </w:rPr>
              <w:t>（</w:t>
            </w:r>
            <w:r>
              <w:rPr>
                <w:rFonts w:hint="eastAsia"/>
                <w:color w:val="auto"/>
                <w:sz w:val="24"/>
                <w:szCs w:val="24"/>
              </w:rPr>
              <w:t>梅树乡春花村</w:t>
            </w:r>
            <w:r>
              <w:rPr>
                <w:rFonts w:hint="eastAsia"/>
                <w:color w:val="auto"/>
                <w:sz w:val="24"/>
                <w:szCs w:val="24"/>
                <w:lang w:eastAsia="zh-CN"/>
              </w:rPr>
              <w:t>），</w:t>
            </w:r>
            <w:r>
              <w:rPr>
                <w:rFonts w:hint="eastAsia"/>
                <w:color w:val="auto"/>
                <w:sz w:val="24"/>
                <w:szCs w:val="24"/>
              </w:rPr>
              <w:t>乌鸡蛋销售实现返利8200余元</w:t>
            </w:r>
            <w:r>
              <w:rPr>
                <w:rFonts w:hint="eastAsia"/>
                <w:color w:val="auto"/>
                <w:sz w:val="24"/>
                <w:szCs w:val="24"/>
                <w:lang w:eastAsia="zh-CN"/>
              </w:rPr>
              <w:t>；</w:t>
            </w:r>
            <w:r>
              <w:rPr>
                <w:rFonts w:hint="eastAsia"/>
                <w:color w:val="auto"/>
                <w:sz w:val="24"/>
                <w:szCs w:val="24"/>
              </w:rPr>
              <w:t>昭化产品入驻“丽水山耕”线下销售平台和“四川昭化原产地直供馆”，广泛开展特色产品“走亲会”“交流展”等活动，“直供馆”销售额达50万元以上</w:t>
            </w:r>
            <w:r>
              <w:rPr>
                <w:rFonts w:hint="eastAsia"/>
                <w:color w:val="auto"/>
                <w:sz w:val="24"/>
                <w:szCs w:val="24"/>
                <w:lang w:eastAsia="zh-CN"/>
              </w:rPr>
              <w:t>；</w:t>
            </w:r>
            <w:r>
              <w:rPr>
                <w:rFonts w:hint="eastAsia"/>
                <w:color w:val="auto"/>
                <w:sz w:val="24"/>
                <w:szCs w:val="24"/>
              </w:rPr>
              <w:t>举办微商网红培训班、短视频微商大赛，开设抖音、微博话题“山水太极大美昭化”，累计阅读量超过10万人次，网红现场直播观看人数3万余人</w:t>
            </w:r>
            <w:r>
              <w:rPr>
                <w:rFonts w:hint="eastAsia"/>
                <w:color w:val="auto"/>
                <w:sz w:val="24"/>
                <w:szCs w:val="24"/>
                <w:lang w:eastAsia="zh-CN"/>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sz w:val="24"/>
                <w:szCs w:val="24"/>
                <w:lang w:val="en-US" w:eastAsia="zh-CN"/>
              </w:rPr>
            </w:pPr>
            <w:r>
              <w:rPr>
                <w:rFonts w:hint="eastAsia"/>
                <w:sz w:val="24"/>
                <w:szCs w:val="24"/>
                <w:lang w:val="en-US" w:eastAsia="zh-CN"/>
              </w:rPr>
              <w:t>2019年11月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sz w:val="24"/>
                <w:szCs w:val="24"/>
              </w:rPr>
            </w:pPr>
            <w:r>
              <w:rPr>
                <w:rFonts w:hint="eastAsia"/>
                <w:sz w:val="24"/>
                <w:szCs w:val="24"/>
                <w:lang w:val="en-US" w:eastAsia="zh-CN"/>
              </w:rPr>
              <w:t>2019年11月</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预算指标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2018年</w:t>
            </w:r>
            <w:r>
              <w:rPr>
                <w:rFonts w:hint="eastAsia" w:ascii="宋体" w:hAnsi="宋体" w:cs="宋体"/>
                <w:color w:val="auto"/>
                <w:sz w:val="24"/>
                <w:lang w:eastAsia="zh-CN"/>
              </w:rPr>
              <w:t>项目资金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400万元</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95%</w:t>
            </w:r>
          </w:p>
        </w:tc>
      </w:tr>
    </w:tbl>
    <w:p>
      <w:pPr>
        <w:pageBreakBefore w:val="0"/>
        <w:kinsoku/>
        <w:wordWrap/>
        <w:overflowPunct/>
        <w:topLinePunct w:val="0"/>
        <w:bidi w:val="0"/>
        <w:spacing w:line="576" w:lineRule="exact"/>
        <w:rPr>
          <w:rFonts w:ascii="仿宋_GB2312" w:hAnsi="仿宋_GB2312" w:eastAsia="仿宋_GB2312" w:cs="仿宋_GB2312"/>
          <w:sz w:val="32"/>
          <w:szCs w:val="32"/>
        </w:rPr>
      </w:pPr>
    </w:p>
    <w:p>
      <w:pPr>
        <w:pageBreakBefore w:val="0"/>
        <w:numPr>
          <w:ilvl w:val="0"/>
          <w:numId w:val="4"/>
        </w:numPr>
        <w:kinsoku/>
        <w:wordWrap/>
        <w:overflowPunct/>
        <w:topLinePunct w:val="0"/>
        <w:bidi w:val="0"/>
        <w:spacing w:line="576"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部门开展绩效评价结果</w:t>
      </w:r>
    </w:p>
    <w:p>
      <w:pPr>
        <w:pageBreakBefore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2018年部门整体支出绩效评价报告》见附件。</w:t>
      </w:r>
    </w:p>
    <w:p>
      <w:pPr>
        <w:pageBreakBefore w:val="0"/>
        <w:kinsoku/>
        <w:wordWrap/>
        <w:overflowPunct/>
        <w:topLinePunct w:val="0"/>
        <w:bidi w:val="0"/>
        <w:snapToGrid/>
        <w:spacing w:line="576" w:lineRule="exact"/>
        <w:ind w:firstLine="640" w:firstLineChars="200"/>
        <w:textAlignment w:val="auto"/>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龙泉·昭化东西部扶贫农村电商扶贫项目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val="en-US" w:eastAsia="zh-CN"/>
        </w:rPr>
        <w:t>龙泉·昭化东西部扶贫农村电商扶贫</w:t>
      </w:r>
      <w:r>
        <w:rPr>
          <w:rFonts w:hint="eastAsia" w:ascii="仿宋_GB2312" w:hAnsi="仿宋_GB2312" w:eastAsia="仿宋_GB2312" w:cs="仿宋_GB2312"/>
          <w:sz w:val="32"/>
          <w:szCs w:val="32"/>
        </w:rPr>
        <w:t>项目2018年绩效评价报告》见附件。</w:t>
      </w:r>
    </w:p>
    <w:p>
      <w:pPr>
        <w:pageBreakBefore w:val="0"/>
        <w:kinsoku/>
        <w:wordWrap/>
        <w:overflowPunct/>
        <w:topLinePunct w:val="0"/>
        <w:bidi w:val="0"/>
        <w:snapToGrid/>
        <w:spacing w:line="576" w:lineRule="exact"/>
        <w:ind w:firstLine="800" w:firstLineChars="250"/>
        <w:textAlignment w:val="auto"/>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0"/>
      <w:bookmarkEnd w:id="51"/>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rPr>
        <w:t>8年，</w:t>
      </w:r>
      <w:r>
        <w:rPr>
          <w:rFonts w:hint="eastAsia" w:ascii="仿宋_GB2312" w:eastAsia="仿宋_GB2312"/>
          <w:color w:val="auto"/>
          <w:sz w:val="32"/>
          <w:szCs w:val="32"/>
          <w:lang w:val="en-US" w:eastAsia="zh-CN"/>
        </w:rPr>
        <w:t>团区委</w:t>
      </w:r>
      <w:r>
        <w:rPr>
          <w:rFonts w:hint="eastAsia" w:ascii="仿宋_GB2312" w:eastAsia="仿宋_GB2312"/>
          <w:color w:val="auto"/>
          <w:sz w:val="32"/>
          <w:szCs w:val="32"/>
        </w:rPr>
        <w:t>运行经费支出</w:t>
      </w:r>
      <w:r>
        <w:rPr>
          <w:rFonts w:hint="eastAsia" w:ascii="仿宋_GB2312" w:eastAsia="仿宋_GB2312"/>
          <w:color w:val="auto"/>
          <w:sz w:val="32"/>
          <w:szCs w:val="32"/>
          <w:lang w:val="en-US" w:eastAsia="zh-CN"/>
        </w:rPr>
        <w:t>437.02</w:t>
      </w:r>
      <w:r>
        <w:rPr>
          <w:rFonts w:hint="eastAsia" w:ascii="仿宋_GB2312" w:eastAsia="仿宋_GB2312"/>
          <w:color w:val="auto"/>
          <w:sz w:val="32"/>
          <w:szCs w:val="32"/>
        </w:rPr>
        <w:t>万元，比</w:t>
      </w:r>
      <w:r>
        <w:rPr>
          <w:rFonts w:ascii="仿宋_GB2312" w:eastAsia="仿宋_GB2312"/>
          <w:color w:val="auto"/>
          <w:sz w:val="32"/>
          <w:szCs w:val="32"/>
        </w:rPr>
        <w:t>201</w:t>
      </w:r>
      <w:r>
        <w:rPr>
          <w:rFonts w:hint="eastAsia" w:ascii="仿宋_GB2312" w:eastAsia="仿宋_GB2312"/>
          <w:color w:val="auto"/>
          <w:sz w:val="32"/>
          <w:szCs w:val="32"/>
        </w:rPr>
        <w:t>7年增加</w:t>
      </w:r>
      <w:r>
        <w:rPr>
          <w:rFonts w:hint="eastAsia" w:ascii="仿宋_GB2312" w:eastAsia="仿宋_GB2312"/>
          <w:color w:val="auto"/>
          <w:sz w:val="32"/>
          <w:szCs w:val="32"/>
          <w:lang w:val="en-US" w:eastAsia="zh-CN"/>
        </w:rPr>
        <w:t>383.97</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723.79</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增加</w:t>
      </w:r>
      <w:r>
        <w:rPr>
          <w:rFonts w:hint="eastAsia" w:ascii="仿宋_GB2312" w:hAnsi="仿宋_GB2312" w:eastAsia="仿宋_GB2312" w:cs="仿宋_GB2312"/>
          <w:color w:val="auto"/>
          <w:sz w:val="32"/>
          <w:szCs w:val="32"/>
          <w:lang w:val="en-US" w:eastAsia="zh-CN"/>
        </w:rPr>
        <w:t>龙泉·昭化东西部扶贫农村电商扶贫项目支出。</w:t>
      </w:r>
    </w:p>
    <w:p>
      <w:pPr>
        <w:pageBreakBefore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pageBreakBefore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val="en-US" w:eastAsia="zh-CN"/>
        </w:rPr>
        <w:t>团区委</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团区委</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辆，其中：部级领导干部用车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widowControl/>
        <w:kinsoku/>
        <w:wordWrap/>
        <w:overflowPunct/>
        <w:topLinePunct w:val="0"/>
        <w:bidi w:val="0"/>
        <w:snapToGrid/>
        <w:spacing w:line="576" w:lineRule="exact"/>
        <w:jc w:val="left"/>
        <w:textAlignment w:val="auto"/>
        <w:rPr>
          <w:rFonts w:ascii="仿宋_GB2312" w:eastAsia="仿宋_GB2312"/>
          <w:b/>
          <w:color w:val="000000"/>
          <w:sz w:val="32"/>
          <w:szCs w:val="32"/>
        </w:rPr>
      </w:pPr>
      <w:r>
        <w:rPr>
          <w:rFonts w:ascii="仿宋_GB2312" w:eastAsia="仿宋_GB2312"/>
          <w:b/>
          <w:color w:val="000000"/>
          <w:sz w:val="32"/>
          <w:szCs w:val="32"/>
        </w:rPr>
        <w:br w:type="page"/>
      </w:r>
    </w:p>
    <w:p>
      <w:pPr>
        <w:pageBreakBefore w:val="0"/>
        <w:numPr>
          <w:ilvl w:val="0"/>
          <w:numId w:val="5"/>
        </w:numPr>
        <w:kinsoku/>
        <w:wordWrap/>
        <w:overflowPunct/>
        <w:topLinePunct w:val="0"/>
        <w:bidi w:val="0"/>
        <w:snapToGrid/>
        <w:spacing w:line="576" w:lineRule="exact"/>
        <w:ind w:firstLine="663" w:firstLineChars="150"/>
        <w:jc w:val="center"/>
        <w:textAlignment w:val="auto"/>
        <w:outlineLvl w:val="0"/>
        <w:rPr>
          <w:rStyle w:val="2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pageBreakBefore w:val="0"/>
        <w:kinsoku/>
        <w:wordWrap/>
        <w:overflowPunct/>
        <w:topLinePunct w:val="0"/>
        <w:bidi w:val="0"/>
        <w:snapToGrid/>
        <w:spacing w:line="576" w:lineRule="exact"/>
        <w:jc w:val="left"/>
        <w:textAlignment w:val="auto"/>
        <w:rPr>
          <w:rFonts w:ascii="宋体"/>
          <w:b/>
          <w:color w:val="000000"/>
          <w:sz w:val="44"/>
          <w:szCs w:val="44"/>
        </w:rPr>
      </w:pPr>
    </w:p>
    <w:p>
      <w:pPr>
        <w:pStyle w:val="22"/>
        <w:pageBreakBefore w:val="0"/>
        <w:kinsoku/>
        <w:wordWrap/>
        <w:overflowPunct/>
        <w:topLinePunct w:val="0"/>
        <w:bidi w:val="0"/>
        <w:snapToGrid/>
        <w:spacing w:line="576"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财政拨款收入：指单位从同级财政部门取得的财政预算资金。</w:t>
      </w:r>
    </w:p>
    <w:p>
      <w:pPr>
        <w:pStyle w:val="22"/>
        <w:pageBreakBefore w:val="0"/>
        <w:kinsoku/>
        <w:wordWrap/>
        <w:overflowPunct/>
        <w:topLinePunct w:val="0"/>
        <w:bidi w:val="0"/>
        <w:snapToGrid/>
        <w:spacing w:line="576"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年初结转和结余：指以前年度尚未完成、结转到本年按有关规定继续使用的资金。</w:t>
      </w:r>
      <w:r>
        <w:rPr>
          <w:rFonts w:ascii="仿宋_GB2312" w:eastAsia="仿宋_GB2312"/>
          <w:sz w:val="32"/>
          <w:szCs w:val="32"/>
          <w:highlight w:val="none"/>
        </w:rPr>
        <w:t xml:space="preserve"> </w:t>
      </w:r>
    </w:p>
    <w:p>
      <w:pPr>
        <w:pStyle w:val="22"/>
        <w:pageBreakBefore w:val="0"/>
        <w:kinsoku/>
        <w:wordWrap/>
        <w:overflowPunct/>
        <w:topLinePunct w:val="0"/>
        <w:bidi w:val="0"/>
        <w:snapToGrid/>
        <w:spacing w:line="576"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年末结转和结余：指单位按有关规定结转到下年或以后年度继续使用的资金。</w:t>
      </w:r>
    </w:p>
    <w:p>
      <w:pPr>
        <w:pageBreakBefore w:val="0"/>
        <w:kinsoku/>
        <w:wordWrap/>
        <w:overflowPunct/>
        <w:topLinePunct w:val="0"/>
        <w:bidi w:val="0"/>
        <w:snapToGrid/>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归口管理的单位离退休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实行归口管理管理的行政单位开支的离退休经费</w:t>
      </w:r>
      <w:r>
        <w:rPr>
          <w:rFonts w:hint="eastAsia" w:ascii="仿宋_GB2312" w:eastAsia="仿宋_GB2312"/>
          <w:color w:val="000000"/>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行政事业单位基本养老保险缴费</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机关事业单位实施养老保险制度由单位缴纳的基本养老保险费支出</w:t>
      </w:r>
      <w:r>
        <w:rPr>
          <w:rFonts w:hint="eastAsia" w:ascii="仿宋_GB2312" w:eastAsia="仿宋_GB2312"/>
          <w:color w:val="000000"/>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财政部门安排的行政单位基本医疗保险缴费经费，未参加医疗保险的行政单位的公费医疗经费，按国家规定享受离休人员、红军老战士待遇人员的医疗经费</w:t>
      </w:r>
      <w:r>
        <w:rPr>
          <w:rFonts w:hint="eastAsia" w:ascii="仿宋_GB2312" w:eastAsia="仿宋_GB2312"/>
          <w:color w:val="000000"/>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pageBreakBefore w:val="0"/>
        <w:kinsoku/>
        <w:wordWrap/>
        <w:overflowPunct/>
        <w:topLinePunct w:val="0"/>
        <w:bidi w:val="0"/>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000000"/>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pStyle w:val="2"/>
        <w:pageBreakBefore w:val="0"/>
        <w:kinsoku/>
        <w:wordWrap/>
        <w:overflowPunct/>
        <w:topLinePunct w:val="0"/>
        <w:bidi w:val="0"/>
        <w:snapToGrid/>
        <w:spacing w:line="576" w:lineRule="exact"/>
        <w:ind w:firstLine="640" w:firstLineChars="200"/>
        <w:textAlignment w:val="auto"/>
        <w:rPr>
          <w:color w:val="auto"/>
        </w:rPr>
      </w:pPr>
      <w:r>
        <w:rPr>
          <w:rFonts w:hint="eastAsia"/>
          <w:color w:val="auto"/>
          <w:sz w:val="32"/>
          <w:szCs w:val="32"/>
          <w:lang w:val="en-US" w:eastAsia="zh-CN"/>
        </w:rPr>
        <w:t>9.</w:t>
      </w:r>
      <w:r>
        <w:rPr>
          <w:rFonts w:hint="eastAsia" w:ascii="仿宋_GB2312" w:eastAsia="仿宋_GB2312"/>
          <w:color w:val="auto"/>
          <w:sz w:val="32"/>
          <w:szCs w:val="32"/>
        </w:rPr>
        <w:t>项目支出：指在基本支出之外为完成特定行政任务和事业发展目标所发生的支出。</w:t>
      </w:r>
    </w:p>
    <w:p>
      <w:pPr>
        <w:pStyle w:val="22"/>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pageBreakBefore w:val="0"/>
        <w:kinsoku/>
        <w:wordWrap/>
        <w:overflowPunct/>
        <w:topLinePunct w:val="0"/>
        <w:bidi w:val="0"/>
        <w:snapToGrid/>
        <w:spacing w:line="576" w:lineRule="exact"/>
        <w:ind w:firstLine="640" w:firstLineChars="200"/>
        <w:textAlignment w:val="auto"/>
        <w:rPr>
          <w:rFonts w:ascii="仿宋_GB2312" w:eastAsia="仿宋_GB2312" w:cs="黑体"/>
          <w:sz w:val="32"/>
          <w:szCs w:val="32"/>
        </w:rPr>
      </w:pPr>
    </w:p>
    <w:p>
      <w:pPr>
        <w:pStyle w:val="22"/>
        <w:pageBreakBefore w:val="0"/>
        <w:kinsoku/>
        <w:wordWrap/>
        <w:overflowPunct/>
        <w:topLinePunct w:val="0"/>
        <w:bidi w:val="0"/>
        <w:snapToGrid/>
        <w:spacing w:line="576" w:lineRule="exact"/>
        <w:textAlignment w:val="auto"/>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pageBreakBefore w:val="0"/>
        <w:kinsoku/>
        <w:wordWrap/>
        <w:overflowPunct/>
        <w:topLinePunct w:val="0"/>
        <w:bidi w:val="0"/>
        <w:snapToGrid/>
        <w:spacing w:line="576" w:lineRule="exact"/>
        <w:jc w:val="center"/>
        <w:textAlignment w:val="auto"/>
        <w:outlineLvl w:val="0"/>
        <w:rPr>
          <w:rStyle w:val="24"/>
        </w:rPr>
      </w:pPr>
    </w:p>
    <w:p>
      <w:pPr>
        <w:pStyle w:val="4"/>
        <w:pageBreakBefore w:val="0"/>
        <w:kinsoku/>
        <w:wordWrap/>
        <w:overflowPunct/>
        <w:topLinePunct w:val="0"/>
        <w:bidi w:val="0"/>
        <w:snapToGrid/>
        <w:spacing w:line="576" w:lineRule="exact"/>
        <w:textAlignment w:val="auto"/>
        <w:rPr>
          <w:rStyle w:val="24"/>
          <w:rFonts w:hint="eastAsia"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bookmarkStart w:id="60" w:name="_Toc15396616"/>
    </w:p>
    <w:p>
      <w:pPr>
        <w:pStyle w:val="4"/>
        <w:pageBreakBefore w:val="0"/>
        <w:kinsoku/>
        <w:wordWrap/>
        <w:overflowPunct/>
        <w:topLinePunct w:val="0"/>
        <w:bidi w:val="0"/>
        <w:snapToGrid/>
        <w:spacing w:line="576" w:lineRule="exact"/>
        <w:jc w:val="center"/>
        <w:textAlignment w:val="auto"/>
        <w:rPr>
          <w:rFonts w:ascii="黑体" w:hAnsi="黑体" w:eastAsia="黑体" w:cs="方正小标宋简体"/>
          <w:b w:val="0"/>
          <w:bCs w:val="0"/>
          <w:sz w:val="44"/>
          <w:szCs w:val="44"/>
        </w:rPr>
      </w:pPr>
      <w:r>
        <w:rPr>
          <w:rFonts w:hint="eastAsia" w:ascii="黑体" w:hAnsi="黑体" w:eastAsia="黑体" w:cs="方正小标宋简体"/>
          <w:b w:val="0"/>
          <w:bCs w:val="0"/>
          <w:sz w:val="44"/>
          <w:szCs w:val="44"/>
          <w:lang w:eastAsia="zh-CN"/>
        </w:rPr>
        <w:t>团区委</w:t>
      </w:r>
      <w:r>
        <w:rPr>
          <w:rFonts w:hint="eastAsia" w:ascii="黑体" w:hAnsi="黑体" w:eastAsia="黑体" w:cs="方正小标宋简体"/>
          <w:b w:val="0"/>
          <w:bCs w:val="0"/>
          <w:sz w:val="44"/>
          <w:szCs w:val="44"/>
        </w:rPr>
        <w:t>2018年部门整体支出绩效评价报告</w:t>
      </w:r>
      <w:bookmarkEnd w:id="60"/>
    </w:p>
    <w:p>
      <w:pPr>
        <w:pageBreakBefore w:val="0"/>
        <w:kinsoku/>
        <w:wordWrap/>
        <w:overflowPunct/>
        <w:topLinePunct w:val="0"/>
        <w:bidi w:val="0"/>
        <w:snapToGrid/>
        <w:spacing w:line="576" w:lineRule="exact"/>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一、部门（单位）概况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（一）机构组成</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auto"/>
          <w:sz w:val="32"/>
          <w:szCs w:val="32"/>
        </w:rPr>
      </w:pPr>
      <w:r>
        <w:rPr>
          <w:rFonts w:hint="eastAsia" w:hAnsi="仿宋_GB2312" w:cs="仿宋_GB2312"/>
          <w:color w:val="auto"/>
          <w:sz w:val="32"/>
          <w:szCs w:val="32"/>
          <w:lang w:val="en-US" w:eastAsia="zh-CN"/>
        </w:rPr>
        <w:t>团区委</w:t>
      </w:r>
      <w:r>
        <w:rPr>
          <w:rFonts w:hint="eastAsia" w:ascii="仿宋_GB2312" w:hAnsi="仿宋_GB2312" w:eastAsia="仿宋_GB2312" w:cs="仿宋_GB2312"/>
          <w:color w:val="auto"/>
          <w:sz w:val="32"/>
          <w:szCs w:val="32"/>
          <w:lang w:val="en-US" w:eastAsia="zh-CN"/>
        </w:rPr>
        <w:t>属独立的财务一级预算党群部门。</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机构职能</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color w:val="auto"/>
        </w:rPr>
      </w:pPr>
      <w:r>
        <w:rPr>
          <w:rFonts w:hint="eastAsia" w:eastAsia="仿宋_GB2312"/>
          <w:color w:val="auto"/>
          <w:sz w:val="32"/>
          <w:szCs w:val="32"/>
        </w:rPr>
        <w:t>团区委负责制定全区团的建设规划，分类指导区直机关、农村以及企事业单位团的思想、组织、作风建设和团员的教育管理工作；负责加强团的领导班子、领导干部的思想政治作风建设；指导各级团组织抓好团员和青年的理论学习、党的路线、方针、政策以及科学文化、专业知识和法律知识的学习；指导各级团组织配合行政领导做好思想政治工作的统战工作；指导各级团组织发扬“全团带队”的传统，做好少先队工作和希望工程工作；完成区委和上级主管部门交办的其他工作。</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人员概况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有行政编制2名，其中：书记1名，副书记1名；机关工勤人员事业编制1名（空）。2016年经区委批准设立公益一类事业单位“广元市昭化区青少年服务中心”，核定事业编制2名，设主任1名。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auto"/>
        </w:rPr>
      </w:pPr>
      <w:r>
        <w:rPr>
          <w:rFonts w:hint="eastAsia" w:ascii="仿宋_GB2312" w:hAnsi="仿宋_GB2312" w:eastAsia="仿宋_GB2312" w:cs="仿宋_GB2312"/>
          <w:sz w:val="32"/>
          <w:szCs w:val="32"/>
          <w:lang w:val="en-US" w:eastAsia="zh-CN"/>
        </w:rPr>
        <w:t>2018年，团区委</w:t>
      </w:r>
      <w:r>
        <w:rPr>
          <w:rFonts w:hint="eastAsia" w:ascii="仿宋_GB2312" w:hAnsi="仿宋_GB2312" w:eastAsia="仿宋_GB2312" w:cs="仿宋_GB2312"/>
          <w:sz w:val="32"/>
          <w:szCs w:val="32"/>
        </w:rPr>
        <w:t>实际在职4人，2人占用行政机关编制，2人</w:t>
      </w:r>
      <w:r>
        <w:rPr>
          <w:rFonts w:hint="eastAsia" w:ascii="仿宋_GB2312" w:hAnsi="仿宋_GB2312" w:eastAsia="仿宋_GB2312" w:cs="仿宋_GB2312"/>
          <w:color w:val="auto"/>
          <w:sz w:val="32"/>
          <w:szCs w:val="32"/>
        </w:rPr>
        <w:t>占用事业编制。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二、部门财政资金收支情况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color w:val="auto"/>
          <w:sz w:val="32"/>
          <w:szCs w:val="32"/>
        </w:rPr>
      </w:pPr>
      <w:r>
        <w:rPr>
          <w:rFonts w:hint="eastAsia" w:ascii="楷体" w:hAnsi="楷体" w:eastAsia="楷体" w:cs="楷体"/>
          <w:color w:val="auto"/>
          <w:sz w:val="32"/>
          <w:szCs w:val="32"/>
        </w:rPr>
        <w:t>（一）部门财政资金收入情况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2018年本年收入合计501.31万元，其中：一般公共预算财政拨款收入501.31万元，占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%；国有资本经营预算财政拨款收入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部门财政资金支出情况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2018年本年支出合计501.31万元，其中：基本支出501.31万元，占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%；上缴上级支出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%；对附属单位补助支出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（一）部门预算管理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部门预算编制情况。我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严格按照规定编制收入预算、支出预算（含基本支出、项目支出）、三公经费预算等。编制准确，正确使用功能科目和经济科目、准确编列资金性质和资金级次、按政府审定的方案规范编制项目支出，不漏报、错报，及时报送区财政局。2018年，预算收入501.31万元,其中：公共预算基本支出501.31万元、项目支出</w:t>
      </w:r>
      <w:r>
        <w:rPr>
          <w:rFonts w:hint="eastAsia" w:ascii="仿宋_GB2312" w:hAnsi="仿宋_GB2312" w:eastAsia="仿宋_GB2312" w:cs="仿宋_GB2312"/>
          <w:color w:val="000000"/>
          <w:sz w:val="32"/>
          <w:szCs w:val="32"/>
          <w:lang w:val="en-US" w:eastAsia="zh-CN"/>
        </w:rPr>
        <w:t>0万元</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高质量的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（二）专项预算管理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按照经费管理制度，加强对</w:t>
      </w:r>
      <w:r>
        <w:rPr>
          <w:rFonts w:hint="eastAsia" w:ascii="仿宋_GB2312" w:hAnsi="仿宋_GB2312" w:eastAsia="仿宋_GB2312" w:cs="仿宋_GB2312"/>
          <w:sz w:val="32"/>
          <w:szCs w:val="32"/>
          <w:lang w:val="en-US" w:eastAsia="zh-CN"/>
        </w:rPr>
        <w:t>团区委</w:t>
      </w:r>
      <w:r>
        <w:rPr>
          <w:rFonts w:hint="eastAsia" w:ascii="仿宋_GB2312" w:hAnsi="仿宋_GB2312" w:eastAsia="仿宋_GB2312" w:cs="仿宋_GB2312"/>
          <w:sz w:val="32"/>
          <w:szCs w:val="32"/>
        </w:rPr>
        <w:t>预算执行管理，及时跟进各项目资金使用情况，</w:t>
      </w:r>
      <w:r>
        <w:rPr>
          <w:rFonts w:hint="eastAsia" w:ascii="仿宋_GB2312" w:hAnsi="仿宋_GB2312" w:eastAsia="仿宋_GB2312" w:cs="仿宋_GB2312"/>
          <w:sz w:val="32"/>
          <w:szCs w:val="32"/>
          <w:lang w:val="en-US" w:eastAsia="zh-CN"/>
        </w:rPr>
        <w:t>建立项目专项资金台账</w:t>
      </w:r>
      <w:r>
        <w:rPr>
          <w:rFonts w:hint="eastAsia" w:ascii="仿宋_GB2312" w:hAnsi="仿宋_GB2312" w:eastAsia="仿宋_GB2312" w:cs="仿宋_GB2312"/>
          <w:sz w:val="32"/>
          <w:szCs w:val="32"/>
        </w:rPr>
        <w:t>。对于执行进度缓慢或无法执行的项目预算按规定程序及时进行调整。完善项目资金使用审批手续，坚持先审批，后使用，确保专项资金专款专用。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（三）结果应用情况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评价结果作为年终部门评优依据。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ascii="黑体" w:hAnsi="黑体" w:eastAsia="黑体" w:cs="黑体"/>
          <w:sz w:val="32"/>
          <w:szCs w:val="32"/>
        </w:rPr>
        <w:t>四、评价结论及建议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本部门基本完成了</w:t>
      </w:r>
      <w:r>
        <w:rPr>
          <w:rFonts w:hint="eastAsia" w:ascii="仿宋_GB2312" w:hAnsi="仿宋_GB2312" w:eastAsia="仿宋_GB2312" w:cs="仿宋_GB2312"/>
          <w:sz w:val="32"/>
          <w:szCs w:val="32"/>
          <w:lang w:val="en-US" w:eastAsia="zh-CN"/>
        </w:rPr>
        <w:t>2018年目标管理任务；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（二）存在问题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1、公务卡使用不达标；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2、财务内部管理不完善。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1、加强公务卡的使用，能够使用公务卡支付的尽量使用公务卡支付；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2、进一步完善单位财务管理制度，并做到严格执行。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pageBreakBefore w:val="0"/>
        <w:kinsoku/>
        <w:wordWrap/>
        <w:overflowPunct/>
        <w:topLinePunct w:val="0"/>
        <w:bidi w:val="0"/>
        <w:spacing w:line="576" w:lineRule="exact"/>
        <w:rPr>
          <w:rStyle w:val="24"/>
          <w:rFonts w:ascii="仿宋" w:hAnsi="仿宋" w:eastAsia="仿宋"/>
          <w:b w:val="0"/>
          <w:bCs w:val="0"/>
          <w:sz w:val="32"/>
          <w:szCs w:val="32"/>
        </w:rPr>
      </w:pPr>
      <w:bookmarkStart w:id="61" w:name="_Toc15396617"/>
      <w:r>
        <w:rPr>
          <w:rStyle w:val="24"/>
          <w:rFonts w:hint="eastAsia" w:ascii="仿宋" w:hAnsi="仿宋" w:eastAsia="仿宋"/>
          <w:b w:val="0"/>
          <w:bCs w:val="0"/>
          <w:sz w:val="32"/>
          <w:szCs w:val="32"/>
        </w:rPr>
        <w:t>附件2</w:t>
      </w:r>
      <w:bookmarkEnd w:id="61"/>
    </w:p>
    <w:p>
      <w:pPr>
        <w:pageBreakBefore w:val="0"/>
        <w:kinsoku/>
        <w:wordWrap/>
        <w:overflowPunct/>
        <w:topLinePunct w:val="0"/>
        <w:bidi w:val="0"/>
        <w:spacing w:line="576"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w:t>
      </w:r>
      <w:r>
        <w:rPr>
          <w:rFonts w:hint="eastAsia" w:ascii="黑体" w:hAnsi="黑体" w:eastAsia="黑体" w:cs="方正小标宋简体"/>
          <w:sz w:val="44"/>
          <w:szCs w:val="44"/>
          <w:lang w:eastAsia="zh-CN"/>
        </w:rPr>
        <w:t>团区委</w:t>
      </w:r>
      <w:r>
        <w:rPr>
          <w:rFonts w:hint="eastAsia" w:ascii="黑体" w:hAnsi="黑体" w:eastAsia="黑体" w:cs="方正小标宋简体"/>
          <w:sz w:val="44"/>
          <w:szCs w:val="44"/>
        </w:rPr>
        <w:t>项目支出绩效评价报告</w:t>
      </w:r>
    </w:p>
    <w:p>
      <w:pPr>
        <w:pageBreakBefore w:val="0"/>
        <w:kinsoku/>
        <w:wordWrap/>
        <w:overflowPunct/>
        <w:topLinePunct w:val="0"/>
        <w:bidi w:val="0"/>
        <w:spacing w:line="576" w:lineRule="exact"/>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一、评价工作开展及项目情况</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团区委</w:t>
      </w:r>
      <w:r>
        <w:rPr>
          <w:rFonts w:hint="eastAsia" w:ascii="仿宋_GB2312" w:hAnsi="仿宋_GB2312" w:eastAsia="仿宋_GB2312" w:cs="仿宋_GB2312"/>
          <w:sz w:val="32"/>
          <w:szCs w:val="32"/>
        </w:rPr>
        <w:t>以政府购买服务与市场运营相结合的形式</w:t>
      </w:r>
      <w:r>
        <w:rPr>
          <w:rFonts w:hint="eastAsia" w:ascii="仿宋_GB2312" w:hAnsi="仿宋_GB2312" w:eastAsia="仿宋_GB2312" w:cs="仿宋_GB2312"/>
          <w:sz w:val="32"/>
          <w:szCs w:val="32"/>
          <w:lang w:eastAsia="zh-CN"/>
        </w:rPr>
        <w:t>，扎实推进</w:t>
      </w:r>
      <w:r>
        <w:rPr>
          <w:rFonts w:hint="eastAsia" w:ascii="仿宋_GB2312" w:hAnsi="仿宋_GB2312" w:eastAsia="仿宋_GB2312" w:cs="仿宋_GB2312"/>
          <w:sz w:val="32"/>
          <w:szCs w:val="32"/>
        </w:rPr>
        <w:t>龙泉·昭化东西部扶贫协作农村电商扶贫项目</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重点开展“人才培养</w:t>
      </w:r>
      <w:r>
        <w:rPr>
          <w:rFonts w:hint="eastAsia" w:ascii="仿宋_GB2312" w:hAnsi="仿宋_GB2312" w:eastAsia="仿宋_GB2312" w:cs="仿宋_GB2312"/>
          <w:sz w:val="32"/>
          <w:szCs w:val="32"/>
          <w:lang w:eastAsia="zh-CN"/>
        </w:rPr>
        <w:t>孵化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微商村</w:t>
      </w:r>
      <w:r>
        <w:rPr>
          <w:rFonts w:hint="eastAsia" w:ascii="仿宋_GB2312" w:hAnsi="仿宋_GB2312" w:eastAsia="仿宋_GB2312" w:cs="仿宋_GB2312"/>
          <w:sz w:val="32"/>
          <w:szCs w:val="32"/>
        </w:rPr>
        <w:t>试点打造、</w:t>
      </w:r>
      <w:r>
        <w:rPr>
          <w:rFonts w:hint="eastAsia" w:ascii="仿宋_GB2312" w:hAnsi="仿宋_GB2312" w:eastAsia="仿宋_GB2312" w:cs="仿宋_GB2312"/>
          <w:sz w:val="32"/>
          <w:szCs w:val="32"/>
          <w:lang w:eastAsia="zh-CN"/>
        </w:rPr>
        <w:t>农特产</w:t>
      </w:r>
      <w:r>
        <w:rPr>
          <w:rFonts w:hint="eastAsia" w:ascii="仿宋_GB2312" w:hAnsi="仿宋_GB2312" w:eastAsia="仿宋_GB2312" w:cs="仿宋_GB2312"/>
          <w:sz w:val="32"/>
          <w:szCs w:val="32"/>
        </w:rPr>
        <w:t>渠道建设、电商扶贫</w:t>
      </w:r>
      <w:r>
        <w:rPr>
          <w:rFonts w:hint="eastAsia" w:ascii="仿宋_GB2312" w:hAnsi="仿宋_GB2312" w:eastAsia="仿宋_GB2312" w:cs="仿宋_GB2312"/>
          <w:sz w:val="32"/>
          <w:szCs w:val="32"/>
          <w:lang w:eastAsia="zh-CN"/>
        </w:rPr>
        <w:t>平台搭建和农村电商政策扶持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五大内容</w:t>
      </w:r>
      <w:r>
        <w:rPr>
          <w:rFonts w:hint="eastAsia" w:ascii="仿宋_GB2312" w:hAnsi="仿宋_GB2312" w:eastAsia="仿宋_GB2312" w:cs="仿宋_GB2312"/>
          <w:sz w:val="32"/>
          <w:szCs w:val="32"/>
        </w:rPr>
        <w:t>，培养一支懂电商业务、会经营网店、能带头致富的农村电商人才队伍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快速提升昭化区的电子商务应用水平。</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color w:val="000000"/>
          <w:kern w:val="0"/>
          <w:sz w:val="32"/>
          <w:szCs w:val="32"/>
          <w:lang w:eastAsia="zh-CN"/>
        </w:rPr>
        <w:t>项目支出绩效评价小组</w:t>
      </w:r>
      <w:r>
        <w:rPr>
          <w:rFonts w:hint="eastAsia" w:ascii="仿宋_GB2312" w:hAnsi="仿宋_GB2312" w:eastAsia="仿宋_GB2312" w:cs="仿宋_GB2312"/>
          <w:color w:val="000000"/>
          <w:kern w:val="0"/>
          <w:sz w:val="32"/>
          <w:szCs w:val="32"/>
        </w:rPr>
        <w:t>以相关资料为基础，经过认真审核和核对，分析得出自评结果，形成自评结论。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二、评价结论及绩效分析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2" w:name="_Toc15396618"/>
      <w:r>
        <w:rPr>
          <w:rFonts w:hint="eastAsia" w:ascii="仿宋_GB2312" w:hAnsi="仿宋_GB2312" w:eastAsia="仿宋_GB2312" w:cs="仿宋_GB2312"/>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 w:hAnsi="仿宋" w:eastAsia="仿宋_GB2312" w:cs="仿宋"/>
          <w:b w:val="0"/>
          <w:bCs/>
          <w:sz w:val="32"/>
          <w:szCs w:val="32"/>
          <w:lang w:val="en-US" w:eastAsia="zh-CN"/>
        </w:rPr>
      </w:pPr>
      <w:r>
        <w:rPr>
          <w:rFonts w:hint="eastAsia" w:ascii="仿宋" w:hAnsi="仿宋" w:eastAsia="仿宋" w:cs="仿宋"/>
          <w:b/>
          <w:sz w:val="32"/>
          <w:szCs w:val="32"/>
          <w:lang w:val="zh-CN"/>
        </w:rPr>
        <w:t>1、项目决策。</w:t>
      </w:r>
      <w:r>
        <w:rPr>
          <w:rFonts w:ascii="Times New Roman" w:hAnsi="Times New Roman" w:eastAsia="仿宋_GB2312"/>
          <w:sz w:val="32"/>
          <w:szCs w:val="32"/>
        </w:rPr>
        <w:t>龙泉·昭化东西部扶贫协作农村电商扶贫项目</w:t>
      </w:r>
      <w:r>
        <w:rPr>
          <w:rFonts w:hint="eastAsia" w:ascii="Times New Roman" w:hAnsi="Times New Roman" w:eastAsia="仿宋_GB2312"/>
          <w:sz w:val="32"/>
          <w:szCs w:val="32"/>
          <w:lang w:val="en-US" w:eastAsia="zh-CN"/>
        </w:rPr>
        <w:t>2018年财政预算资金400万元，到位100%。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sz w:val="32"/>
          <w:szCs w:val="32"/>
          <w:lang w:val="zh-CN"/>
        </w:rPr>
      </w:pPr>
      <w:r>
        <w:rPr>
          <w:rFonts w:hint="eastAsia" w:ascii="仿宋" w:hAnsi="仿宋" w:eastAsia="仿宋" w:cs="仿宋"/>
          <w:b w:val="0"/>
          <w:bCs/>
          <w:sz w:val="32"/>
          <w:szCs w:val="32"/>
          <w:lang w:val="en-US" w:eastAsia="zh-CN"/>
        </w:rPr>
        <w:t>2、</w:t>
      </w:r>
      <w:r>
        <w:rPr>
          <w:rFonts w:hint="eastAsia" w:ascii="仿宋" w:hAnsi="仿宋" w:eastAsia="仿宋" w:cs="仿宋"/>
          <w:b/>
          <w:sz w:val="32"/>
          <w:szCs w:val="32"/>
          <w:lang w:val="zh-CN"/>
        </w:rPr>
        <w:t>项目管理</w:t>
      </w:r>
      <w:r>
        <w:rPr>
          <w:rFonts w:hint="eastAsia" w:ascii="仿宋" w:hAnsi="仿宋" w:eastAsia="仿宋" w:cs="仿宋"/>
          <w:b w:val="0"/>
          <w:bCs/>
          <w:sz w:val="32"/>
          <w:szCs w:val="32"/>
          <w:lang w:val="en-US" w:eastAsia="zh-CN"/>
        </w:rPr>
        <w:t>。团区委为保证项目取得预期效果，于2018年公开招标广元讯唯电子商务有限公司具体负责项目实施，团区委根据合同规定及项目实施进度拨付资金保障运行，并做好监督工作。团区委</w:t>
      </w:r>
      <w:r>
        <w:rPr>
          <w:rFonts w:hint="eastAsia" w:ascii="仿宋" w:hAnsi="仿宋" w:eastAsia="仿宋" w:cs="仿宋"/>
          <w:sz w:val="32"/>
          <w:szCs w:val="32"/>
          <w:lang w:val="zh-CN"/>
        </w:rPr>
        <w:t>对照项目资金管理办法，项目严格执行了财务管理制度、财务处理及时、会计核算规范。</w:t>
      </w:r>
    </w:p>
    <w:p>
      <w:pPr>
        <w:ind w:firstLine="643" w:firstLineChars="200"/>
        <w:rPr>
          <w:rFonts w:hint="eastAsia" w:ascii="仿宋_GB2312" w:hAnsi="仿宋_GB2312" w:eastAsia="仿宋_GB2312" w:cs="仿宋_GB2312"/>
          <w:sz w:val="32"/>
          <w:szCs w:val="32"/>
          <w:lang w:val="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项目</w:t>
      </w:r>
      <w:r>
        <w:rPr>
          <w:rFonts w:hint="eastAsia" w:ascii="仿宋" w:hAnsi="仿宋" w:eastAsia="仿宋" w:cs="仿宋"/>
          <w:b/>
          <w:bCs/>
          <w:sz w:val="32"/>
          <w:szCs w:val="32"/>
          <w:lang w:eastAsia="zh-CN"/>
        </w:rPr>
        <w:t>绩效。</w:t>
      </w:r>
      <w:r>
        <w:rPr>
          <w:rFonts w:hint="eastAsia" w:ascii="仿宋_GB2312" w:hAnsi="仿宋_GB2312" w:eastAsia="仿宋_GB2312" w:cs="仿宋_GB2312"/>
          <w:b w:val="0"/>
          <w:bCs w:val="0"/>
          <w:sz w:val="32"/>
          <w:szCs w:val="32"/>
          <w:lang w:eastAsia="zh-CN"/>
        </w:rPr>
        <w:t>截至</w:t>
      </w:r>
      <w:r>
        <w:rPr>
          <w:rFonts w:hint="eastAsia" w:ascii="仿宋_GB2312" w:hAnsi="仿宋_GB2312" w:eastAsia="仿宋_GB2312" w:cs="仿宋_GB2312"/>
          <w:b w:val="0"/>
          <w:bCs w:val="0"/>
          <w:sz w:val="32"/>
          <w:szCs w:val="32"/>
          <w:lang w:val="en-US" w:eastAsia="zh-CN"/>
        </w:rPr>
        <w:t>2018年底，</w:t>
      </w:r>
      <w:r>
        <w:rPr>
          <w:rFonts w:hint="eastAsia" w:ascii="仿宋_GB2312" w:hAnsi="仿宋_GB2312" w:eastAsia="仿宋_GB2312" w:cs="仿宋_GB2312"/>
          <w:b w:val="0"/>
          <w:bCs w:val="0"/>
          <w:sz w:val="32"/>
          <w:szCs w:val="32"/>
        </w:rPr>
        <w:t>建</w:t>
      </w:r>
      <w:r>
        <w:rPr>
          <w:rFonts w:hint="eastAsia" w:ascii="仿宋_GB2312" w:hAnsi="仿宋_GB2312" w:eastAsia="仿宋_GB2312" w:cs="仿宋_GB2312"/>
          <w:sz w:val="32"/>
          <w:szCs w:val="32"/>
        </w:rPr>
        <w:t>成龙泉昭化电商飞地1个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深度培育农村电商从业人才21名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建成昭化电商扶贫综合平台</w:t>
      </w:r>
      <w:r>
        <w:rPr>
          <w:rFonts w:hint="eastAsia" w:ascii="仿宋_GB2312" w:hAnsi="仿宋_GB2312" w:eastAsia="仿宋_GB2312" w:cs="仿宋_GB2312"/>
          <w:sz w:val="32"/>
          <w:szCs w:val="32"/>
          <w:lang w:eastAsia="zh-CN"/>
        </w:rPr>
        <w:t>“昭化严选”</w:t>
      </w:r>
      <w:r>
        <w:rPr>
          <w:rFonts w:hint="eastAsia" w:ascii="仿宋_GB2312" w:hAnsi="仿宋_GB2312" w:eastAsia="仿宋_GB2312" w:cs="仿宋_GB2312"/>
          <w:sz w:val="32"/>
          <w:szCs w:val="32"/>
        </w:rPr>
        <w:t>，累计免费为</w:t>
      </w:r>
      <w:r>
        <w:rPr>
          <w:rFonts w:hint="eastAsia" w:ascii="仿宋_GB2312" w:hAnsi="仿宋_GB2312" w:eastAsia="仿宋_GB2312" w:cs="仿宋_GB2312"/>
          <w:sz w:val="32"/>
          <w:szCs w:val="32"/>
          <w:lang w:val="en-US"/>
        </w:rPr>
        <w:t>30多</w:t>
      </w:r>
      <w:r>
        <w:rPr>
          <w:rFonts w:hint="eastAsia" w:ascii="仿宋_GB2312" w:hAnsi="仿宋_GB2312" w:eastAsia="仿宋_GB2312" w:cs="仿宋_GB2312"/>
          <w:sz w:val="32"/>
          <w:szCs w:val="32"/>
        </w:rPr>
        <w:t>个专合社提供产品展示平台</w:t>
      </w:r>
      <w:r>
        <w:rPr>
          <w:rFonts w:hint="eastAsia" w:ascii="仿宋_GB2312" w:hAnsi="仿宋_GB2312" w:eastAsia="仿宋_GB2312" w:cs="仿宋_GB2312"/>
          <w:sz w:val="32"/>
          <w:szCs w:val="32"/>
          <w:lang w:eastAsia="zh-CN"/>
        </w:rPr>
        <w:t>，带动</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70余</w:t>
      </w:r>
      <w:r>
        <w:rPr>
          <w:rFonts w:hint="eastAsia" w:ascii="仿宋_GB2312" w:hAnsi="仿宋_GB2312" w:eastAsia="仿宋_GB2312" w:cs="仿宋_GB2312"/>
          <w:sz w:val="32"/>
          <w:szCs w:val="32"/>
          <w:lang w:eastAsia="zh-CN"/>
        </w:rPr>
        <w:t>名贫困人口增收；建成“</w:t>
      </w:r>
      <w:r>
        <w:rPr>
          <w:rFonts w:hint="eastAsia" w:ascii="仿宋_GB2312" w:hAnsi="仿宋_GB2312" w:eastAsia="仿宋_GB2312" w:cs="仿宋_GB2312"/>
          <w:sz w:val="32"/>
          <w:szCs w:val="32"/>
        </w:rPr>
        <w:t>微商村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梅树乡春花村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乌鸡蛋销售实现返利8200余元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昭化产品入驻“丽水山耕”线下销售平台和“四川昭化原产地直供馆”，广泛开展特色产品“走亲会”“交流展”等活动，“直供馆”销售额达50万元以上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举办微商网红培训班、短视频微商大赛，开设抖音、微博话题“山水太极大美昭化”，累计阅读量超过10万人次，网红现场直播观看人数3万余人</w:t>
      </w:r>
      <w:r>
        <w:rPr>
          <w:rFonts w:hint="eastAsia" w:ascii="仿宋_GB2312" w:hAnsi="仿宋_GB2312" w:eastAsia="仿宋_GB2312" w:cs="仿宋_GB2312"/>
          <w:sz w:val="32"/>
          <w:szCs w:val="32"/>
          <w:lang w:eastAsia="zh-CN"/>
        </w:rPr>
        <w:t>。</w:t>
      </w:r>
    </w:p>
    <w:p>
      <w:pPr>
        <w:numPr>
          <w:ilvl w:val="0"/>
          <w:numId w:val="1"/>
        </w:numPr>
        <w:spacing w:line="580" w:lineRule="exact"/>
        <w:ind w:left="1360" w:leftChars="0" w:hanging="720"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存在主要问题</w:t>
      </w:r>
    </w:p>
    <w:p>
      <w:pPr>
        <w:pageBreakBefore w:val="0"/>
        <w:numPr>
          <w:ilvl w:val="0"/>
          <w:numId w:val="0"/>
        </w:numPr>
        <w:kinsoku/>
        <w:wordWrap/>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资金拨付不够即时，还需进一步提高</w:t>
      </w:r>
      <w:r>
        <w:rPr>
          <w:rFonts w:hint="eastAsia" w:ascii="仿宋_GB2312" w:hAnsi="仿宋_GB2312" w:eastAsia="仿宋_GB2312" w:cs="仿宋_GB2312"/>
          <w:sz w:val="32"/>
          <w:szCs w:val="32"/>
        </w:rPr>
        <w:t>。</w:t>
      </w:r>
    </w:p>
    <w:p>
      <w:pPr>
        <w:numPr>
          <w:ilvl w:val="0"/>
          <w:numId w:val="0"/>
        </w:numPr>
        <w:spacing w:line="580" w:lineRule="exact"/>
        <w:ind w:left="640" w:leftChars="0"/>
        <w:rPr>
          <w:rFonts w:ascii="仿宋" w:hAnsi="仿宋" w:eastAsia="仿宋" w:cs="仿宋_GB2312"/>
          <w:b/>
          <w:bCs/>
          <w:sz w:val="32"/>
          <w:szCs w:val="32"/>
        </w:rPr>
      </w:pPr>
      <w:r>
        <w:rPr>
          <w:rFonts w:hint="eastAsia" w:ascii="仿宋" w:hAnsi="仿宋" w:eastAsia="仿宋" w:cs="仿宋_GB2312"/>
          <w:b/>
          <w:bCs/>
          <w:sz w:val="32"/>
          <w:szCs w:val="32"/>
          <w:lang w:eastAsia="zh-CN"/>
        </w:rPr>
        <w:t>四、</w:t>
      </w:r>
      <w:r>
        <w:rPr>
          <w:rFonts w:ascii="仿宋" w:hAnsi="仿宋" w:eastAsia="仿宋" w:cs="仿宋_GB2312"/>
          <w:b/>
          <w:bCs/>
          <w:sz w:val="32"/>
          <w:szCs w:val="32"/>
        </w:rPr>
        <w:t>相关措施建议</w:t>
      </w:r>
    </w:p>
    <w:p>
      <w:pPr>
        <w:pageBreakBefore w:val="0"/>
        <w:numPr>
          <w:ilvl w:val="0"/>
          <w:numId w:val="0"/>
        </w:numPr>
        <w:kinsoku/>
        <w:wordWrap/>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完善项目绩效目标，建立健全项目管理制度。</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bookmarkStart w:id="76" w:name="_GoBack"/>
      <w:bookmarkEnd w:id="76"/>
    </w:p>
    <w:p>
      <w:pPr>
        <w:pStyle w:val="2"/>
        <w:rPr>
          <w:rFonts w:hint="eastAsia" w:ascii="仿宋_GB2312" w:hAnsi="仿宋_GB2312" w:eastAsia="仿宋_GB2312" w:cs="仿宋_GB2312"/>
          <w:sz w:val="32"/>
          <w:szCs w:val="32"/>
          <w:lang w:val="en-US" w:eastAsia="zh-CN"/>
        </w:rPr>
      </w:pPr>
    </w:p>
    <w:p>
      <w:pPr>
        <w:pageBreakBefore w:val="0"/>
        <w:kinsoku/>
        <w:wordWrap/>
        <w:overflowPunct/>
        <w:topLinePunct w:val="0"/>
        <w:bidi w:val="0"/>
        <w:spacing w:line="576"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2"/>
    </w:p>
    <w:p>
      <w:pPr>
        <w:pageBreakBefore w:val="0"/>
        <w:kinsoku/>
        <w:wordWrap/>
        <w:overflowPunct/>
        <w:topLinePunct w:val="0"/>
        <w:bidi w:val="0"/>
        <w:spacing w:line="576" w:lineRule="exact"/>
        <w:jc w:val="center"/>
        <w:outlineLvl w:val="0"/>
        <w:rPr>
          <w:rFonts w:ascii="仿宋" w:hAnsi="仿宋" w:eastAsia="仿宋"/>
          <w:b/>
          <w:color w:val="000000"/>
          <w:sz w:val="44"/>
          <w:szCs w:val="44"/>
        </w:rPr>
      </w:pPr>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3" w:name="_Toc15396619"/>
      <w:r>
        <w:rPr>
          <w:rFonts w:hint="eastAsia" w:ascii="仿宋_GB2312" w:hAnsi="仿宋_GB2312" w:eastAsia="仿宋_GB2312" w:cs="仿宋_GB2312"/>
          <w:b w:val="0"/>
          <w:color w:val="000000"/>
        </w:rPr>
        <w:t>一、收</w:t>
      </w:r>
      <w:r>
        <w:rPr>
          <w:rStyle w:val="25"/>
          <w:rFonts w:hint="eastAsia" w:ascii="仿宋_GB2312" w:hAnsi="仿宋_GB2312" w:eastAsia="仿宋_GB2312" w:cs="仿宋_GB2312"/>
          <w:b w:val="0"/>
          <w:bCs w:val="0"/>
        </w:rPr>
        <w:t>入支出决算总表</w:t>
      </w:r>
      <w:bookmarkEnd w:id="63"/>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4" w:name="_Toc15396620"/>
      <w:r>
        <w:rPr>
          <w:rFonts w:hint="eastAsia" w:ascii="仿宋_GB2312" w:hAnsi="仿宋_GB2312" w:eastAsia="仿宋_GB2312" w:cs="仿宋_GB2312"/>
          <w:b w:val="0"/>
          <w:color w:val="000000"/>
        </w:rPr>
        <w:t>二、收</w:t>
      </w:r>
      <w:r>
        <w:rPr>
          <w:rStyle w:val="25"/>
          <w:rFonts w:hint="eastAsia" w:ascii="仿宋_GB2312" w:hAnsi="仿宋_GB2312" w:eastAsia="仿宋_GB2312" w:cs="仿宋_GB2312"/>
          <w:b w:val="0"/>
          <w:bCs w:val="0"/>
        </w:rPr>
        <w:t>入总表</w:t>
      </w:r>
      <w:bookmarkEnd w:id="64"/>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5" w:name="_Toc15396621"/>
      <w:r>
        <w:rPr>
          <w:rStyle w:val="25"/>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5"/>
          <w:rFonts w:hint="eastAsia" w:ascii="仿宋_GB2312" w:hAnsi="仿宋_GB2312" w:eastAsia="仿宋_GB2312" w:cs="仿宋_GB2312"/>
          <w:b w:val="0"/>
          <w:bCs w:val="0"/>
        </w:rPr>
        <w:t>出总表</w:t>
      </w:r>
      <w:bookmarkEnd w:id="65"/>
    </w:p>
    <w:p>
      <w:pPr>
        <w:pStyle w:val="4"/>
        <w:pageBreakBefore w:val="0"/>
        <w:kinsoku/>
        <w:wordWrap/>
        <w:overflowPunct/>
        <w:topLinePunct w:val="0"/>
        <w:bidi w:val="0"/>
        <w:spacing w:line="576" w:lineRule="exact"/>
        <w:rPr>
          <w:rFonts w:hint="eastAsia" w:ascii="仿宋_GB2312" w:hAnsi="仿宋_GB2312" w:eastAsia="仿宋_GB2312" w:cs="仿宋_GB2312"/>
          <w:b w:val="0"/>
          <w:color w:val="000000"/>
        </w:rPr>
      </w:pPr>
      <w:bookmarkStart w:id="66" w:name="_Toc15396622"/>
      <w:r>
        <w:rPr>
          <w:rStyle w:val="25"/>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政拨款收入支出决算总表</w:t>
      </w:r>
      <w:bookmarkEnd w:id="66"/>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7" w:name="_Toc15396623"/>
      <w:r>
        <w:rPr>
          <w:rStyle w:val="25"/>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政拨款支出决算明细表（政府经济分类科目）</w:t>
      </w:r>
      <w:bookmarkEnd w:id="67"/>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8" w:name="_Toc15396624"/>
      <w:r>
        <w:rPr>
          <w:rStyle w:val="25"/>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般公共预算财政拨款支出决算表</w:t>
      </w:r>
      <w:bookmarkEnd w:id="68"/>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9" w:name="_Toc15396625"/>
      <w:r>
        <w:rPr>
          <w:rStyle w:val="25"/>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般公共预算财政拨款支出决算明细表</w:t>
      </w:r>
      <w:bookmarkEnd w:id="69"/>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70" w:name="_Toc15396626"/>
      <w:r>
        <w:rPr>
          <w:rStyle w:val="25"/>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般公共预算财政拨款基本支出决算表</w:t>
      </w:r>
      <w:bookmarkEnd w:id="70"/>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71" w:name="_Toc15396627"/>
      <w:r>
        <w:rPr>
          <w:rStyle w:val="25"/>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般公共预算财政拨款项目支出决算表</w:t>
      </w:r>
      <w:bookmarkEnd w:id="71"/>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72" w:name="_Toc15396628"/>
      <w:r>
        <w:rPr>
          <w:rStyle w:val="25"/>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般公共预算财政拨款“三公”经费支出决算表</w:t>
      </w:r>
      <w:bookmarkEnd w:id="72"/>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73" w:name="_Toc15396629"/>
      <w:r>
        <w:rPr>
          <w:rStyle w:val="25"/>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5"/>
          <w:rFonts w:hint="eastAsia" w:ascii="仿宋_GB2312" w:hAnsi="仿宋_GB2312" w:eastAsia="仿宋_GB2312" w:cs="仿宋_GB2312"/>
          <w:b w:val="0"/>
          <w:bCs w:val="0"/>
        </w:rPr>
        <w:t>府性基金预算财政拨款收入支出决算表</w:t>
      </w:r>
      <w:bookmarkEnd w:id="73"/>
    </w:p>
    <w:p>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74" w:name="_Toc15396630"/>
      <w:r>
        <w:rPr>
          <w:rStyle w:val="25"/>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5"/>
          <w:rFonts w:hint="eastAsia" w:ascii="仿宋_GB2312" w:hAnsi="仿宋_GB2312" w:eastAsia="仿宋_GB2312" w:cs="仿宋_GB2312"/>
          <w:b w:val="0"/>
          <w:bCs w:val="0"/>
        </w:rPr>
        <w:t>府性基金预算财政拨款“三公”经费支出决算表</w:t>
      </w:r>
      <w:bookmarkEnd w:id="74"/>
    </w:p>
    <w:p>
      <w:pPr>
        <w:pStyle w:val="4"/>
        <w:pageBreakBefore w:val="0"/>
        <w:kinsoku/>
        <w:wordWrap/>
        <w:overflowPunct/>
        <w:topLinePunct w:val="0"/>
        <w:bidi w:val="0"/>
        <w:spacing w:line="576" w:lineRule="exact"/>
        <w:rPr>
          <w:rFonts w:hint="eastAsia" w:ascii="仿宋_GB2312" w:hAnsi="仿宋_GB2312" w:eastAsia="仿宋_GB2312" w:cs="仿宋_GB2312"/>
          <w:color w:val="000000" w:themeColor="text1"/>
          <w14:textFill>
            <w14:solidFill>
              <w14:schemeClr w14:val="tx1"/>
            </w14:solidFill>
          </w14:textFill>
        </w:rPr>
      </w:pPr>
      <w:bookmarkStart w:id="75" w:name="_Toc15396631"/>
      <w:r>
        <w:rPr>
          <w:rStyle w:val="25"/>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5"/>
          <w:rFonts w:hint="eastAsia" w:ascii="仿宋_GB2312" w:hAnsi="仿宋_GB2312" w:eastAsia="仿宋_GB2312" w:cs="仿宋_GB2312"/>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F0286F3B"/>
    <w:multiLevelType w:val="singleLevel"/>
    <w:tmpl w:val="F0286F3B"/>
    <w:lvl w:ilvl="0" w:tentative="0">
      <w:start w:val="2"/>
      <w:numFmt w:val="chineseCounting"/>
      <w:suff w:val="nothing"/>
      <w:lvlText w:val="（%1）"/>
      <w:lvlJc w:val="left"/>
      <w:rPr>
        <w:rFonts w:hint="eastAsia"/>
      </w:rPr>
    </w:lvl>
  </w:abstractNum>
  <w:abstractNum w:abstractNumId="4">
    <w:nsid w:val="10A5D853"/>
    <w:multiLevelType w:val="singleLevel"/>
    <w:tmpl w:val="10A5D853"/>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586160D"/>
    <w:rsid w:val="06812246"/>
    <w:rsid w:val="074B3B81"/>
    <w:rsid w:val="09743130"/>
    <w:rsid w:val="10C055FF"/>
    <w:rsid w:val="15765357"/>
    <w:rsid w:val="16BB723D"/>
    <w:rsid w:val="18070334"/>
    <w:rsid w:val="1CF4499A"/>
    <w:rsid w:val="205D1C87"/>
    <w:rsid w:val="231F5067"/>
    <w:rsid w:val="240371BF"/>
    <w:rsid w:val="27BB4B31"/>
    <w:rsid w:val="28CF61DC"/>
    <w:rsid w:val="29FD04D3"/>
    <w:rsid w:val="319F7F4E"/>
    <w:rsid w:val="3442067A"/>
    <w:rsid w:val="3CCA402D"/>
    <w:rsid w:val="3F2E4F4A"/>
    <w:rsid w:val="3FFA515F"/>
    <w:rsid w:val="41DF3066"/>
    <w:rsid w:val="54094014"/>
    <w:rsid w:val="54A51024"/>
    <w:rsid w:val="56EF589F"/>
    <w:rsid w:val="57FE0930"/>
    <w:rsid w:val="58882539"/>
    <w:rsid w:val="5E992A14"/>
    <w:rsid w:val="60CA305F"/>
    <w:rsid w:val="6CE80365"/>
    <w:rsid w:val="6FB01A4B"/>
    <w:rsid w:val="730805C6"/>
    <w:rsid w:val="77F64927"/>
    <w:rsid w:val="7D895B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BodyText1I2"/>
    <w:basedOn w:val="30"/>
    <w:qFormat/>
    <w:uiPriority w:val="0"/>
    <w:pPr>
      <w:spacing w:line="240" w:lineRule="auto"/>
      <w:ind w:left="420" w:leftChars="200" w:firstLine="420" w:firstLineChars="200"/>
      <w:jc w:val="both"/>
      <w:textAlignment w:val="baseline"/>
    </w:pPr>
  </w:style>
  <w:style w:type="paragraph" w:customStyle="1" w:styleId="30">
    <w:name w:val="BodyTextIndent"/>
    <w:basedOn w:val="1"/>
    <w:qFormat/>
    <w:uiPriority w:val="0"/>
    <w:pPr>
      <w:spacing w:line="240" w:lineRule="auto"/>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0</TotalTime>
  <ScaleCrop>false</ScaleCrop>
  <LinksUpToDate>false</LinksUpToDate>
  <CharactersWithSpaces>9641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DELL</cp:lastModifiedBy>
  <cp:lastPrinted>2019-08-01T00:48:00Z</cp:lastPrinted>
  <dcterms:modified xsi:type="dcterms:W3CDTF">2022-01-11T07:59:27Z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823D36447C4E43559180CA8334CC1C77</vt:lpwstr>
  </property>
</Properties>
</file>