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s="Times New Roman"/>
          <w:sz w:val="52"/>
          <w:szCs w:val="52"/>
        </w:rPr>
      </w:pPr>
    </w:p>
    <w:p>
      <w:pPr>
        <w:jc w:val="center"/>
        <w:rPr>
          <w:rFonts w:ascii="方正小标宋简体" w:eastAsia="方正小标宋简体" w:cs="Times New Roman"/>
          <w:sz w:val="52"/>
          <w:szCs w:val="52"/>
        </w:rPr>
      </w:pPr>
    </w:p>
    <w:p>
      <w:pPr>
        <w:jc w:val="center"/>
        <w:rPr>
          <w:rFonts w:ascii="方正小标宋简体" w:eastAsia="方正小标宋简体" w:cs="Times New Roman"/>
          <w:sz w:val="52"/>
          <w:szCs w:val="52"/>
        </w:rPr>
      </w:pPr>
      <w:bookmarkStart w:id="0" w:name="_GoBack"/>
      <w:bookmarkEnd w:id="0"/>
    </w:p>
    <w:p>
      <w:pPr>
        <w:jc w:val="center"/>
        <w:rPr>
          <w:rFonts w:ascii="方正小标宋简体" w:eastAsia="方正小标宋简体" w:cs="Times New Roman"/>
          <w:sz w:val="52"/>
          <w:szCs w:val="52"/>
        </w:rPr>
      </w:pPr>
    </w:p>
    <w:p>
      <w:pPr>
        <w:jc w:val="center"/>
        <w:rPr>
          <w:rFonts w:ascii="方正小标宋简体" w:eastAsia="方正小标宋简体" w:cs="Times New Roman"/>
          <w:sz w:val="52"/>
          <w:szCs w:val="52"/>
        </w:rPr>
      </w:pPr>
    </w:p>
    <w:p>
      <w:pPr>
        <w:jc w:val="center"/>
        <w:rPr>
          <w:rFonts w:ascii="方正小标宋简体" w:eastAsia="方正小标宋简体" w:cs="Times New Roman"/>
          <w:sz w:val="52"/>
          <w:szCs w:val="52"/>
        </w:rPr>
      </w:pPr>
      <w:r>
        <w:rPr>
          <w:rFonts w:hint="eastAsia" w:ascii="方正小标宋简体" w:eastAsia="方正小标宋简体" w:cs="Times New Roman"/>
          <w:sz w:val="52"/>
          <w:szCs w:val="52"/>
        </w:rPr>
        <w:t>2019年度四川省广元市</w:t>
      </w:r>
    </w:p>
    <w:p>
      <w:pPr>
        <w:jc w:val="center"/>
        <w:rPr>
          <w:rFonts w:ascii="方正小标宋简体" w:eastAsia="方正小标宋简体" w:cs="Times New Roman"/>
          <w:sz w:val="52"/>
          <w:szCs w:val="52"/>
        </w:rPr>
      </w:pPr>
      <w:r>
        <w:rPr>
          <w:rFonts w:hint="eastAsia" w:ascii="方正小标宋简体" w:eastAsia="方正小标宋简体" w:cs="Times New Roman"/>
          <w:sz w:val="52"/>
          <w:szCs w:val="52"/>
        </w:rPr>
        <w:t>昭化区红十字会部门决算</w:t>
      </w:r>
    </w:p>
    <w:p>
      <w:pPr>
        <w:widowControl/>
        <w:jc w:val="left"/>
        <w:rPr>
          <w:rFonts w:ascii="微软雅黑" w:hAnsi="微软雅黑" w:eastAsia="微软雅黑" w:cs="微软雅黑"/>
          <w:color w:val="333333"/>
          <w:kern w:val="0"/>
          <w:szCs w:val="21"/>
          <w:shd w:val="clear" w:color="auto" w:fill="FFFFFF"/>
        </w:rPr>
      </w:pPr>
      <w:r>
        <w:rPr>
          <w:rFonts w:ascii="微软雅黑" w:hAnsi="微软雅黑" w:eastAsia="微软雅黑" w:cs="微软雅黑"/>
          <w:color w:val="333333"/>
          <w:kern w:val="0"/>
          <w:szCs w:val="21"/>
          <w:shd w:val="clear" w:color="auto" w:fill="FFFFFF"/>
        </w:rPr>
        <w:br w:type="page"/>
      </w:r>
    </w:p>
    <w:p>
      <w:pPr>
        <w:widowControl/>
        <w:shd w:val="clear" w:color="auto" w:fill="FFFFFF"/>
        <w:jc w:val="center"/>
        <w:rPr>
          <w:rFonts w:hint="eastAsia" w:ascii="方正小标宋简体" w:hAnsi="微软雅黑" w:eastAsia="方正小标宋简体" w:cs="微软雅黑"/>
          <w:color w:val="333333"/>
          <w:kern w:val="0"/>
          <w:sz w:val="44"/>
          <w:szCs w:val="44"/>
          <w:shd w:val="clear" w:color="auto" w:fill="FFFFFF"/>
        </w:rPr>
      </w:pPr>
      <w:r>
        <w:rPr>
          <w:rFonts w:hint="eastAsia" w:ascii="方正小标宋简体" w:hAnsi="微软雅黑" w:eastAsia="方正小标宋简体" w:cs="微软雅黑"/>
          <w:color w:val="333333"/>
          <w:kern w:val="0"/>
          <w:sz w:val="44"/>
          <w:szCs w:val="44"/>
          <w:shd w:val="clear" w:color="auto" w:fill="FFFFFF"/>
        </w:rPr>
        <w:t>目   录</w:t>
      </w:r>
    </w:p>
    <w:p>
      <w:pPr>
        <w:widowControl/>
        <w:shd w:val="clear" w:color="auto" w:fill="FFFFFF"/>
        <w:jc w:val="center"/>
        <w:rPr>
          <w:rFonts w:ascii="方正小标宋简体" w:hAnsi="微软雅黑" w:eastAsia="方正小标宋简体" w:cs="微软雅黑"/>
          <w:color w:val="333333"/>
          <w:sz w:val="44"/>
          <w:szCs w:val="44"/>
        </w:rPr>
      </w:pP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第一部分 部门概况</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1</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一、基本职能及主要工作</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1</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二、机构设置</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2</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第二部分 部门决算情况说明</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4</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一、收入支出决算总体情况说明</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4</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二、收入决算情况说明</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4</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三、支出决算情况说明</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4</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四、财政拨款收入支出决算总体情况说明</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4</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五、一般公共预算财政拨款支出决算情况说明</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5</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六、一般公共预算财政拨款基本支出决算情况说明</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6</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七、“三公”经费财政拨款支出决算情况说明</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6</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八、政府性基金预算支出决算情况说明</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7</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九、 国有资本经营预算支出决算情况说明</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8</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十一、其他重要事项的情况说明</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8</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第三部分 名词解释</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13</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第四部分 附件</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16</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附件1</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16</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附件2</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20</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第五部分 附表</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23</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一、收入支出决算总表</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23</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二、收入总表</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23</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三、支出总表</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23</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四、财政拨款收入支出决算总表</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23</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五、财政拨款支出决算明细表（政府经济分类科目）</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23</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六、一般公共预算财政拨款支出决算表</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23</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七、一般公共预算财政拨款支出决算明细表</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23</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八、一般公共预算财政拨款基本支出决算表</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23</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九、一般公共预算财政拨款项目支出决算表</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23</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十、一般公共预算财政拨款“三公”经费支出决算表</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23</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十一、政府性基金预算财政拨款收入支出决算表</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23</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十二、政府性基金预算财政拨款“三公”经费支出决算表</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23</w:t>
      </w:r>
    </w:p>
    <w:p>
      <w:pPr>
        <w:widowControl/>
        <w:shd w:val="clear" w:color="auto" w:fill="FFFFFF"/>
        <w:tabs>
          <w:tab w:val="right" w:leader="dot" w:pos="8820"/>
        </w:tabs>
        <w:ind w:firstLine="560" w:firstLineChars="200"/>
        <w:rPr>
          <w:rFonts w:cs="微软雅黑" w:asciiTheme="minorEastAsia" w:hAnsiTheme="minorEastAsia"/>
          <w:color w:val="333333"/>
          <w:sz w:val="28"/>
          <w:szCs w:val="28"/>
        </w:rPr>
      </w:pPr>
      <w:r>
        <w:rPr>
          <w:rFonts w:hint="eastAsia" w:cs="微软雅黑" w:asciiTheme="minorEastAsia" w:hAnsiTheme="minorEastAsia"/>
          <w:color w:val="333333"/>
          <w:kern w:val="0"/>
          <w:sz w:val="28"/>
          <w:szCs w:val="28"/>
          <w:shd w:val="clear" w:color="auto" w:fill="FFFFFF"/>
        </w:rPr>
        <w:t>十三、国有资本经营预算支出决算表</w:t>
      </w:r>
      <w:r>
        <w:rPr>
          <w:rFonts w:hint="eastAsia" w:cs="微软雅黑" w:asciiTheme="minorEastAsia" w:hAnsiTheme="minorEastAsia"/>
          <w:color w:val="333333"/>
          <w:kern w:val="0"/>
          <w:sz w:val="28"/>
          <w:szCs w:val="28"/>
          <w:shd w:val="clear" w:color="auto" w:fill="FFFFFF"/>
        </w:rPr>
        <w:tab/>
      </w:r>
      <w:r>
        <w:rPr>
          <w:rFonts w:hint="eastAsia" w:cs="微软雅黑" w:asciiTheme="minorEastAsia" w:hAnsiTheme="minorEastAsia"/>
          <w:color w:val="333333"/>
          <w:kern w:val="0"/>
          <w:sz w:val="28"/>
          <w:szCs w:val="28"/>
          <w:shd w:val="clear" w:color="auto" w:fill="FFFFFF"/>
        </w:rPr>
        <w:t>23</w:t>
      </w:r>
    </w:p>
    <w:p>
      <w:pPr>
        <w:widowControl/>
        <w:jc w:val="left"/>
        <w:rPr>
          <w:rFonts w:ascii="微软雅黑" w:hAnsi="微软雅黑" w:eastAsia="微软雅黑" w:cs="微软雅黑"/>
          <w:color w:val="333333"/>
          <w:kern w:val="0"/>
          <w:szCs w:val="21"/>
          <w:shd w:val="clear" w:color="auto" w:fill="FFFFFF"/>
        </w:rPr>
        <w:sectPr>
          <w:footerReference r:id="rId3" w:type="default"/>
          <w:pgSz w:w="11906" w:h="16838"/>
          <w:pgMar w:top="2098" w:right="1474" w:bottom="1985" w:left="1588" w:header="851" w:footer="1588" w:gutter="0"/>
          <w:cols w:space="425" w:num="1"/>
          <w:docGrid w:type="lines" w:linePitch="312" w:charSpace="0"/>
        </w:sectPr>
      </w:pPr>
      <w:r>
        <w:rPr>
          <w:rFonts w:ascii="微软雅黑" w:hAnsi="微软雅黑" w:eastAsia="微软雅黑" w:cs="微软雅黑"/>
          <w:color w:val="333333"/>
          <w:kern w:val="0"/>
          <w:szCs w:val="21"/>
          <w:shd w:val="clear" w:color="auto" w:fill="FFFFFF"/>
        </w:rPr>
        <w:br w:type="textWrapping"/>
      </w:r>
    </w:p>
    <w:p>
      <w:pPr>
        <w:widowControl/>
        <w:shd w:val="clear" w:color="auto" w:fill="FFFFFF"/>
        <w:jc w:val="center"/>
        <w:rPr>
          <w:rFonts w:ascii="方正小标宋简体" w:hAnsi="黑体" w:eastAsia="方正小标宋简体" w:cs="Times New Roman"/>
          <w:color w:val="333333"/>
          <w:sz w:val="44"/>
          <w:szCs w:val="44"/>
        </w:rPr>
      </w:pPr>
      <w:r>
        <w:rPr>
          <w:rFonts w:hint="eastAsia" w:ascii="方正小标宋简体" w:hAnsi="黑体" w:eastAsia="方正小标宋简体" w:cs="Times New Roman"/>
          <w:color w:val="333333"/>
          <w:kern w:val="0"/>
          <w:sz w:val="44"/>
          <w:szCs w:val="44"/>
          <w:shd w:val="clear" w:color="auto" w:fill="FFFFFF"/>
        </w:rPr>
        <w:t>第一部分</w:t>
      </w:r>
      <w:r>
        <w:rPr>
          <w:rFonts w:hint="eastAsia" w:ascii="Times New Roman" w:hAnsi="Times New Roman" w:eastAsia="方正小标宋简体" w:cs="Times New Roman"/>
          <w:color w:val="333333"/>
          <w:kern w:val="0"/>
          <w:sz w:val="44"/>
          <w:szCs w:val="44"/>
          <w:shd w:val="clear" w:color="auto" w:fill="FFFFFF"/>
        </w:rPr>
        <w:t> </w:t>
      </w:r>
      <w:r>
        <w:rPr>
          <w:rFonts w:hint="eastAsia" w:ascii="方正小标宋简体" w:hAnsi="黑体" w:eastAsia="方正小标宋简体" w:cs="Times New Roman"/>
          <w:color w:val="333333"/>
          <w:kern w:val="0"/>
          <w:sz w:val="44"/>
          <w:szCs w:val="44"/>
          <w:shd w:val="clear" w:color="auto" w:fill="FFFFFF"/>
        </w:rPr>
        <w:t>部门概况</w:t>
      </w:r>
    </w:p>
    <w:p>
      <w:pPr>
        <w:widowControl/>
        <w:shd w:val="clear" w:color="auto" w:fill="FFFFFF"/>
        <w:ind w:firstLine="700"/>
        <w:rPr>
          <w:rFonts w:ascii="Times New Roman" w:hAnsi="Times New Roman" w:eastAsia="仿宋_GB2312" w:cs="Times New Roman"/>
          <w:color w:val="333333"/>
          <w:kern w:val="0"/>
          <w:sz w:val="32"/>
          <w:szCs w:val="32"/>
          <w:shd w:val="clear" w:color="auto" w:fill="FFFFFF"/>
        </w:rPr>
      </w:pPr>
    </w:p>
    <w:p>
      <w:pPr>
        <w:widowControl/>
        <w:shd w:val="clear" w:color="auto" w:fill="FFFFFF"/>
        <w:ind w:firstLine="700"/>
        <w:rPr>
          <w:rFonts w:ascii="黑体" w:hAnsi="黑体" w:eastAsia="黑体" w:cs="Times New Roman"/>
          <w:color w:val="333333"/>
          <w:sz w:val="32"/>
          <w:szCs w:val="32"/>
        </w:rPr>
      </w:pPr>
      <w:r>
        <w:rPr>
          <w:rFonts w:ascii="黑体" w:hAnsi="黑体" w:eastAsia="黑体" w:cs="Times New Roman"/>
          <w:color w:val="333333"/>
          <w:kern w:val="0"/>
          <w:sz w:val="32"/>
          <w:szCs w:val="32"/>
          <w:shd w:val="clear" w:color="auto" w:fill="FFFFFF"/>
        </w:rPr>
        <w:t>一、基本职能及主要工作</w:t>
      </w:r>
    </w:p>
    <w:p>
      <w:pPr>
        <w:widowControl/>
        <w:shd w:val="clear" w:color="auto" w:fill="FFFFFF"/>
        <w:ind w:firstLine="42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（一）主要职能。一是传播国际红十字会运动和国际人道主义法，宣传、执行《</w:t>
      </w:r>
      <w:r>
        <w:rPr>
          <w:rFonts w:hint="eastAsia" w:ascii="Times New Roman" w:hAnsi="Times New Roman" w:eastAsia="仿宋_GB2312" w:cs="Times New Roman"/>
          <w:color w:val="333333"/>
          <w:kern w:val="0"/>
          <w:sz w:val="32"/>
          <w:szCs w:val="32"/>
          <w:shd w:val="clear" w:color="auto" w:fill="FFFFFF"/>
          <w:lang w:eastAsia="zh-CN"/>
        </w:rPr>
        <w:t>中华人民共和国红十字会法</w:t>
      </w:r>
      <w:r>
        <w:rPr>
          <w:rFonts w:ascii="Times New Roman" w:hAnsi="Times New Roman" w:eastAsia="仿宋_GB2312" w:cs="Times New Roman"/>
          <w:color w:val="333333"/>
          <w:kern w:val="0"/>
          <w:sz w:val="32"/>
          <w:szCs w:val="32"/>
          <w:shd w:val="clear" w:color="auto" w:fill="FFFFFF"/>
        </w:rPr>
        <w:t>》和《四川省实施&lt;</w:t>
      </w:r>
      <w:r>
        <w:rPr>
          <w:rFonts w:hint="eastAsia" w:ascii="Times New Roman" w:hAnsi="Times New Roman" w:eastAsia="仿宋_GB2312" w:cs="Times New Roman"/>
          <w:color w:val="333333"/>
          <w:kern w:val="0"/>
          <w:sz w:val="32"/>
          <w:szCs w:val="32"/>
          <w:shd w:val="clear" w:color="auto" w:fill="FFFFFF"/>
          <w:lang w:eastAsia="zh-CN"/>
        </w:rPr>
        <w:t>中华人民共和国红十字会法</w:t>
      </w:r>
      <w:r>
        <w:rPr>
          <w:rFonts w:ascii="Times New Roman" w:hAnsi="Times New Roman" w:eastAsia="仿宋_GB2312" w:cs="Times New Roman"/>
          <w:color w:val="333333"/>
          <w:kern w:val="0"/>
          <w:sz w:val="32"/>
          <w:szCs w:val="32"/>
          <w:shd w:val="clear" w:color="auto" w:fill="FFFFFF"/>
        </w:rPr>
        <w:t>&gt;办法》等法律、法规，遵循《中国红十字会章程》，依法建会、治会、兴会；二是开展备灾救灾工作，有效利用和发挥备灾救灾设施功能，在自然灾害和突发事件中，开展对受害者的救护和救助；三是开展人道领域的社会公益服务活动和卫生救护、防病常识的宣传普及，组织社会救助，进行初级卫生救护培训，组织群众参加现场救护，推动无偿献血和非血缘关系骨髓移植工作；四是组织对公民特别是青少年进行人道主义和社会主义精神文明教育活动；五是参与艾滋病防治、吸毒危害等宣传教育工作，提高公民自我防范的意识和能力；六是参与少数民族地区、贫困地区的医疗服务和扶贫工作；七是负责海峡两岸的查人转信及有关人员的遣返和见证事务；八是与境内外红十字会和组织进行友好往来，开展人道领域的合作与交流，争取援助；九是根据四川省红十字会的部署，参加国际和国内的人道主义救援工作；十是承办区政府交办的其他事项。</w:t>
      </w:r>
    </w:p>
    <w:p>
      <w:pPr>
        <w:widowControl/>
        <w:shd w:val="clear" w:color="auto" w:fill="FFFFFF"/>
        <w:ind w:firstLine="411"/>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（二）2019年重点工作完成情况。</w:t>
      </w:r>
    </w:p>
    <w:p>
      <w:pPr>
        <w:pStyle w:val="6"/>
        <w:widowControl/>
        <w:shd w:val="clear" w:color="auto" w:fill="FFFFFF"/>
        <w:ind w:firstLine="588"/>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shd w:val="clear" w:color="auto" w:fill="FFFFFF"/>
        </w:rPr>
        <w:t>2019年，在区委、区政府的坚强领导下，在市红十字会指导下，在区委、区政府分管领导关心帮助下，区红十字以脱贫攻坚工作为中心，以“三救三献、志愿服务”工作为主线，以关注民生，服务弱势群体为己任，精诚团结，转作风务实效，较好的完成了全年工作。一是全力以赴开展脱贫攻坚工作，热心服务贫困群众；二是着力抓好公益性初级卫生救护培训民生工程，完成市、区下达的8000人目标任务；三是扎实开展人道救助工作，募集资金40.5万元，救助大病患者、贫困学生及慰问困难群众等129人，救助金额13.5万元。</w:t>
      </w:r>
    </w:p>
    <w:p>
      <w:pPr>
        <w:widowControl/>
        <w:shd w:val="clear" w:color="auto" w:fill="FFFFFF"/>
        <w:ind w:firstLine="700"/>
        <w:rPr>
          <w:rFonts w:ascii="黑体" w:hAnsi="黑体" w:eastAsia="黑体" w:cs="Times New Roman"/>
          <w:color w:val="333333"/>
          <w:kern w:val="0"/>
          <w:sz w:val="32"/>
          <w:szCs w:val="32"/>
          <w:shd w:val="clear" w:color="auto" w:fill="FFFFFF"/>
        </w:rPr>
      </w:pPr>
      <w:r>
        <w:rPr>
          <w:rFonts w:ascii="黑体" w:hAnsi="黑体" w:eastAsia="黑体" w:cs="Times New Roman"/>
          <w:color w:val="333333"/>
          <w:kern w:val="0"/>
          <w:sz w:val="32"/>
          <w:szCs w:val="32"/>
          <w:shd w:val="clear" w:color="auto" w:fill="FFFFFF"/>
        </w:rPr>
        <w:t>二、机构设置</w:t>
      </w:r>
    </w:p>
    <w:p>
      <w:pPr>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根据广元市机构编制委员会《关于完善&lt;全市红十字会机构编制&gt;的通知》（广编发〔2008〕76号）和元编委发〔2008〕20号文件精神，我会于2008年12月完善机构编制。从2010年起纳入参公管理和一级财政全额预算单位，为区政府领导直接联系的依法独立从事人道主义工作的社会救助团体。设置2个职能股室，即办公室（含事业发展职能）、赈济部。核定事业编制5名,2016年减编1人后现有编制4人，在编人员4人，其中:公务员1人，参公人员2人，工勤人员1人。</w:t>
      </w:r>
    </w:p>
    <w:p>
      <w:pPr>
        <w:widowControl/>
        <w:shd w:val="clear" w:color="auto" w:fill="FFFFFF"/>
        <w:ind w:firstLine="70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下属二级单位0个，其中行政单位0个，参照公务员法管理的事业单位0个，其他事业单位0个。</w:t>
      </w:r>
    </w:p>
    <w:p>
      <w:pPr>
        <w:pStyle w:val="6"/>
        <w:widowControl/>
        <w:shd w:val="clear" w:color="auto" w:fill="FFFFFF"/>
        <w:ind w:firstLine="420"/>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shd w:val="clear" w:color="auto" w:fill="FFFFFF"/>
        </w:rPr>
        <w:t>纳入2019年度部门决算编制范围的二级预算单位没有。</w:t>
      </w:r>
    </w:p>
    <w:p>
      <w:pPr>
        <w:widowControl/>
        <w:shd w:val="clear" w:color="auto" w:fill="FFFFFF"/>
        <w:rPr>
          <w:rFonts w:ascii="Times New Roman" w:hAnsi="Times New Roman" w:eastAsia="仿宋_GB2312" w:cs="Times New Roman"/>
          <w:color w:val="333333"/>
          <w:sz w:val="32"/>
          <w:szCs w:val="32"/>
        </w:rPr>
      </w:pPr>
    </w:p>
    <w:p>
      <w:pPr>
        <w:widowControl/>
        <w:jc w:val="left"/>
        <w:rPr>
          <w:rFonts w:ascii="Times New Roman" w:hAnsi="Times New Roman" w:eastAsia="仿宋_GB2312" w:cs="Times New Roman"/>
          <w:color w:val="333333"/>
          <w:kern w:val="0"/>
          <w:sz w:val="32"/>
          <w:szCs w:val="32"/>
          <w:shd w:val="clear" w:color="auto" w:fill="FFFFFF"/>
        </w:rPr>
      </w:pPr>
      <w:r>
        <w:rPr>
          <w:rFonts w:ascii="Times New Roman" w:hAnsi="Times New Roman" w:eastAsia="仿宋_GB2312" w:cs="Times New Roman"/>
          <w:color w:val="333333"/>
          <w:kern w:val="0"/>
          <w:sz w:val="32"/>
          <w:szCs w:val="32"/>
          <w:shd w:val="clear" w:color="auto" w:fill="FFFFFF"/>
        </w:rPr>
        <w:br w:type="page"/>
      </w:r>
    </w:p>
    <w:p>
      <w:pPr>
        <w:widowControl/>
        <w:shd w:val="clear" w:color="auto" w:fill="FFFFFF"/>
        <w:jc w:val="center"/>
        <w:rPr>
          <w:rFonts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kern w:val="0"/>
          <w:sz w:val="44"/>
          <w:szCs w:val="44"/>
          <w:shd w:val="clear" w:color="auto" w:fill="FFFFFF"/>
        </w:rPr>
        <w:t>第二部分 2019年度部门决算情况说明</w:t>
      </w:r>
    </w:p>
    <w:p>
      <w:pPr>
        <w:widowControl/>
        <w:shd w:val="clear" w:color="auto" w:fill="FFFFFF"/>
        <w:rPr>
          <w:rFonts w:ascii="Times New Roman" w:hAnsi="Times New Roman" w:eastAsia="仿宋_GB2312" w:cs="Times New Roman"/>
          <w:color w:val="333333"/>
          <w:sz w:val="32"/>
          <w:szCs w:val="32"/>
        </w:rPr>
      </w:pPr>
    </w:p>
    <w:p>
      <w:pPr>
        <w:widowControl/>
        <w:shd w:val="clear" w:color="auto" w:fill="FFFFFF"/>
        <w:ind w:firstLine="700"/>
        <w:rPr>
          <w:rFonts w:ascii="黑体" w:hAnsi="黑体" w:eastAsia="黑体" w:cs="Times New Roman"/>
          <w:color w:val="333333"/>
          <w:kern w:val="0"/>
          <w:sz w:val="32"/>
          <w:szCs w:val="32"/>
          <w:shd w:val="clear" w:color="auto" w:fill="FFFFFF"/>
        </w:rPr>
      </w:pPr>
      <w:r>
        <w:rPr>
          <w:rFonts w:ascii="黑体" w:hAnsi="黑体" w:eastAsia="黑体" w:cs="Times New Roman"/>
          <w:color w:val="333333"/>
          <w:kern w:val="0"/>
          <w:sz w:val="32"/>
          <w:szCs w:val="32"/>
          <w:shd w:val="clear" w:color="auto" w:fill="FFFFFF"/>
        </w:rPr>
        <w:t>一、收入支出决算总体情况说明</w:t>
      </w:r>
    </w:p>
    <w:p>
      <w:pPr>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2019年度收、支总计65.74万元。与2018年相比，收、支总计各增加2.39万元，增长3.77%。主要变动原因是调资及机关运行经费提高。</w:t>
      </w:r>
    </w:p>
    <w:p>
      <w:pPr>
        <w:widowControl/>
        <w:shd w:val="clear" w:color="auto" w:fill="FFFFFF"/>
        <w:ind w:firstLine="700"/>
        <w:rPr>
          <w:rFonts w:ascii="黑体" w:hAnsi="黑体" w:eastAsia="黑体" w:cs="Times New Roman"/>
          <w:color w:val="333333"/>
          <w:kern w:val="0"/>
          <w:sz w:val="32"/>
          <w:szCs w:val="32"/>
          <w:shd w:val="clear" w:color="auto" w:fill="FFFFFF"/>
        </w:rPr>
      </w:pPr>
      <w:r>
        <w:rPr>
          <w:rFonts w:ascii="黑体" w:hAnsi="黑体" w:eastAsia="黑体" w:cs="Times New Roman"/>
          <w:color w:val="333333"/>
          <w:kern w:val="0"/>
          <w:sz w:val="32"/>
          <w:szCs w:val="32"/>
          <w:shd w:val="clear" w:color="auto" w:fill="FFFFFF"/>
        </w:rPr>
        <w:t>二、 收入决算情况说明</w:t>
      </w:r>
    </w:p>
    <w:p>
      <w:pPr>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2019年本年收入合计65.75万元，其中：一般公共预算财政拨款收入65.75万元，占100%；政府性基金预算财政拨款收入0万元，占0%；国有资本经营预算财政拨款收入0万元，占0%；事业收入0万元，占0%；经营收入0万元，占0%；附属单位上缴收入0万元，占0%；其他收入0万元，占0%。</w:t>
      </w:r>
    </w:p>
    <w:p>
      <w:pPr>
        <w:widowControl/>
        <w:shd w:val="clear" w:color="auto" w:fill="FFFFFF"/>
        <w:ind w:firstLine="700"/>
        <w:rPr>
          <w:rFonts w:ascii="黑体" w:hAnsi="黑体" w:eastAsia="黑体" w:cs="Times New Roman"/>
          <w:color w:val="333333"/>
          <w:kern w:val="0"/>
          <w:sz w:val="32"/>
          <w:szCs w:val="32"/>
          <w:shd w:val="clear" w:color="auto" w:fill="FFFFFF"/>
        </w:rPr>
      </w:pPr>
      <w:r>
        <w:rPr>
          <w:rFonts w:ascii="黑体" w:hAnsi="黑体" w:eastAsia="黑体" w:cs="Times New Roman"/>
          <w:color w:val="333333"/>
          <w:kern w:val="0"/>
          <w:sz w:val="32"/>
          <w:szCs w:val="32"/>
          <w:shd w:val="clear" w:color="auto" w:fill="FFFFFF"/>
        </w:rPr>
        <w:t>三、 支出决算情况说明</w:t>
      </w:r>
    </w:p>
    <w:p>
      <w:pPr>
        <w:shd w:val="clear" w:color="auto" w:fill="FFFFFF"/>
        <w:ind w:firstLine="64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2019年本年支出合计67.54万元，其中：基本支出55.75万元，占82.54%；项目支出11.79万元，占17.46%；上缴上级支出0万元，占0%；经营支出0万元，占0%；对附属单位补助支出0万元，占0%。</w:t>
      </w:r>
    </w:p>
    <w:p>
      <w:pPr>
        <w:widowControl/>
        <w:shd w:val="clear" w:color="auto" w:fill="FFFFFF"/>
        <w:ind w:firstLine="700"/>
        <w:rPr>
          <w:rFonts w:ascii="黑体" w:hAnsi="黑体" w:eastAsia="黑体" w:cs="Times New Roman"/>
          <w:color w:val="333333"/>
          <w:kern w:val="0"/>
          <w:sz w:val="32"/>
          <w:szCs w:val="32"/>
          <w:shd w:val="clear" w:color="auto" w:fill="FFFFFF"/>
        </w:rPr>
      </w:pPr>
      <w:r>
        <w:rPr>
          <w:rFonts w:ascii="黑体" w:hAnsi="黑体" w:eastAsia="黑体" w:cs="Times New Roman"/>
          <w:color w:val="333333"/>
          <w:kern w:val="0"/>
          <w:sz w:val="32"/>
          <w:szCs w:val="32"/>
          <w:shd w:val="clear" w:color="auto" w:fill="FFFFFF"/>
        </w:rPr>
        <w:t>四、财政拨款收入支出决算总体情况说明</w:t>
      </w:r>
    </w:p>
    <w:p>
      <w:pPr>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2019年财政拨款收、支总计133.29万元。与2018年相比，财政拨款收、支总计各增加8.36万元，增长6.69%。主要变动原因是调资及机关运行经费提高。</w:t>
      </w:r>
    </w:p>
    <w:p>
      <w:pPr>
        <w:widowControl/>
        <w:shd w:val="clear" w:color="auto" w:fill="FFFFFF"/>
        <w:ind w:firstLine="700"/>
        <w:rPr>
          <w:rFonts w:ascii="黑体" w:hAnsi="黑体" w:eastAsia="黑体" w:cs="Times New Roman"/>
          <w:color w:val="333333"/>
          <w:kern w:val="0"/>
          <w:sz w:val="32"/>
          <w:szCs w:val="32"/>
          <w:shd w:val="clear" w:color="auto" w:fill="FFFFFF"/>
        </w:rPr>
      </w:pPr>
      <w:r>
        <w:rPr>
          <w:rFonts w:ascii="黑体" w:hAnsi="黑体" w:eastAsia="黑体" w:cs="Times New Roman"/>
          <w:color w:val="333333"/>
          <w:kern w:val="0"/>
          <w:sz w:val="32"/>
          <w:szCs w:val="32"/>
          <w:shd w:val="clear" w:color="auto" w:fill="FFFFFF"/>
        </w:rPr>
        <w:t>五、一般公共预算财政拨款支出决算情况说明</w:t>
      </w:r>
    </w:p>
    <w:p>
      <w:pPr>
        <w:shd w:val="clear" w:color="auto" w:fill="FFFFFF"/>
        <w:ind w:firstLine="562"/>
        <w:rPr>
          <w:rFonts w:ascii="Times New Roman" w:hAnsi="Times New Roman" w:eastAsia="仿宋_GB2312" w:cs="Times New Roman"/>
          <w:color w:val="333333"/>
          <w:sz w:val="32"/>
          <w:szCs w:val="32"/>
        </w:rPr>
      </w:pPr>
      <w:r>
        <w:rPr>
          <w:rFonts w:ascii="Times New Roman" w:hAnsi="Times New Roman" w:eastAsia="仿宋_GB2312" w:cs="Times New Roman"/>
          <w:b/>
          <w:bCs/>
          <w:color w:val="333333"/>
          <w:kern w:val="0"/>
          <w:sz w:val="32"/>
          <w:szCs w:val="32"/>
          <w:shd w:val="clear" w:color="auto" w:fill="FFFFFF"/>
        </w:rPr>
        <w:t>（一）一般公共预算财政拨款支出决算总体情况</w:t>
      </w:r>
    </w:p>
    <w:p>
      <w:pPr>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2019年一般公共预算财政拨款支出67.54万元，占本年支出合计的100%。与2018年相比，一般公共预算财政拨款增加5.97万元，增长9.69%。主要变动原因是调资及机关运行经费提高。</w:t>
      </w:r>
    </w:p>
    <w:p>
      <w:pPr>
        <w:shd w:val="clear" w:color="auto" w:fill="FFFFFF"/>
        <w:ind w:firstLine="562"/>
        <w:rPr>
          <w:rFonts w:ascii="Times New Roman" w:hAnsi="Times New Roman" w:eastAsia="仿宋_GB2312" w:cs="Times New Roman"/>
          <w:color w:val="333333"/>
          <w:sz w:val="32"/>
          <w:szCs w:val="32"/>
        </w:rPr>
      </w:pPr>
      <w:r>
        <w:rPr>
          <w:rFonts w:ascii="Times New Roman" w:hAnsi="Times New Roman" w:eastAsia="仿宋_GB2312" w:cs="Times New Roman"/>
          <w:b/>
          <w:bCs/>
          <w:color w:val="333333"/>
          <w:kern w:val="0"/>
          <w:sz w:val="32"/>
          <w:szCs w:val="32"/>
          <w:shd w:val="clear" w:color="auto" w:fill="FFFFFF"/>
        </w:rPr>
        <w:t>（二）一般公共预算财政拨款支出决算结构情况</w:t>
      </w:r>
    </w:p>
    <w:p>
      <w:pPr>
        <w:shd w:val="clear" w:color="auto" w:fill="FFFFFF"/>
        <w:ind w:firstLine="64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2019年一般公共预算财政拨款支出67.54万元，主要用于以下方面:</w:t>
      </w:r>
      <w:r>
        <w:rPr>
          <w:rFonts w:ascii="Times New Roman" w:hAnsi="Times New Roman" w:eastAsia="仿宋_GB2312" w:cs="Times New Roman"/>
          <w:b/>
          <w:bCs/>
          <w:color w:val="333333"/>
          <w:kern w:val="0"/>
          <w:sz w:val="32"/>
          <w:szCs w:val="32"/>
          <w:shd w:val="clear" w:color="auto" w:fill="FFFFFF"/>
        </w:rPr>
        <w:t>一般公共服务（类）</w:t>
      </w:r>
      <w:r>
        <w:rPr>
          <w:rFonts w:ascii="Times New Roman" w:hAnsi="Times New Roman" w:eastAsia="仿宋_GB2312" w:cs="Times New Roman"/>
          <w:color w:val="333333"/>
          <w:kern w:val="0"/>
          <w:sz w:val="32"/>
          <w:szCs w:val="32"/>
          <w:shd w:val="clear" w:color="auto" w:fill="FFFFFF"/>
        </w:rPr>
        <w:t>支出0万元，占0%；</w:t>
      </w:r>
      <w:r>
        <w:rPr>
          <w:rFonts w:ascii="Times New Roman" w:hAnsi="Times New Roman" w:eastAsia="仿宋_GB2312" w:cs="Times New Roman"/>
          <w:b/>
          <w:bCs/>
          <w:color w:val="333333"/>
          <w:kern w:val="0"/>
          <w:sz w:val="32"/>
          <w:szCs w:val="32"/>
          <w:shd w:val="clear" w:color="auto" w:fill="FFFFFF"/>
        </w:rPr>
        <w:t>教育支出（类）</w:t>
      </w:r>
      <w:r>
        <w:rPr>
          <w:rFonts w:ascii="Times New Roman" w:hAnsi="Times New Roman" w:eastAsia="仿宋_GB2312" w:cs="Times New Roman"/>
          <w:color w:val="333333"/>
          <w:kern w:val="0"/>
          <w:sz w:val="32"/>
          <w:szCs w:val="32"/>
          <w:shd w:val="clear" w:color="auto" w:fill="FFFFFF"/>
        </w:rPr>
        <w:t>0万元，占0%；</w:t>
      </w:r>
      <w:r>
        <w:rPr>
          <w:rFonts w:ascii="Times New Roman" w:hAnsi="Times New Roman" w:eastAsia="仿宋_GB2312" w:cs="Times New Roman"/>
          <w:b/>
          <w:bCs/>
          <w:color w:val="333333"/>
          <w:kern w:val="0"/>
          <w:sz w:val="32"/>
          <w:szCs w:val="32"/>
          <w:shd w:val="clear" w:color="auto" w:fill="FFFFFF"/>
        </w:rPr>
        <w:t>科学技术（类）</w:t>
      </w:r>
      <w:r>
        <w:rPr>
          <w:rFonts w:ascii="Times New Roman" w:hAnsi="Times New Roman" w:eastAsia="仿宋_GB2312" w:cs="Times New Roman"/>
          <w:color w:val="333333"/>
          <w:kern w:val="0"/>
          <w:sz w:val="32"/>
          <w:szCs w:val="32"/>
          <w:shd w:val="clear" w:color="auto" w:fill="FFFFFF"/>
        </w:rPr>
        <w:t>支出0万元，占0%；</w:t>
      </w:r>
      <w:r>
        <w:rPr>
          <w:rFonts w:ascii="Times New Roman" w:hAnsi="Times New Roman" w:eastAsia="仿宋_GB2312" w:cs="Times New Roman"/>
          <w:b/>
          <w:bCs/>
          <w:color w:val="333333"/>
          <w:kern w:val="0"/>
          <w:sz w:val="32"/>
          <w:szCs w:val="32"/>
          <w:shd w:val="clear" w:color="auto" w:fill="FFFFFF"/>
        </w:rPr>
        <w:t>社会保障和就业（类）</w:t>
      </w:r>
      <w:r>
        <w:rPr>
          <w:rFonts w:ascii="Times New Roman" w:hAnsi="Times New Roman" w:eastAsia="仿宋_GB2312" w:cs="Times New Roman"/>
          <w:color w:val="333333"/>
          <w:kern w:val="0"/>
          <w:sz w:val="32"/>
          <w:szCs w:val="32"/>
          <w:shd w:val="clear" w:color="auto" w:fill="FFFFFF"/>
        </w:rPr>
        <w:t>支出62.05万元，占92%；医疗卫生支出2.21万元，占3%；住房保障支出3.28万元，占5%。</w:t>
      </w:r>
    </w:p>
    <w:p>
      <w:pPr>
        <w:shd w:val="clear" w:color="auto" w:fill="FFFFFF"/>
        <w:ind w:firstLine="562"/>
        <w:rPr>
          <w:rFonts w:ascii="Times New Roman" w:hAnsi="Times New Roman" w:eastAsia="仿宋_GB2312" w:cs="Times New Roman"/>
          <w:color w:val="333333"/>
          <w:sz w:val="32"/>
          <w:szCs w:val="32"/>
        </w:rPr>
      </w:pPr>
      <w:r>
        <w:rPr>
          <w:rFonts w:ascii="Times New Roman" w:hAnsi="Times New Roman" w:eastAsia="仿宋_GB2312" w:cs="Times New Roman"/>
          <w:b/>
          <w:bCs/>
          <w:color w:val="333333"/>
          <w:kern w:val="0"/>
          <w:sz w:val="32"/>
          <w:szCs w:val="32"/>
          <w:shd w:val="clear" w:color="auto" w:fill="FFFFFF"/>
        </w:rPr>
        <w:t>（三）一般公共预算财政拨款支出决算具体情况</w:t>
      </w:r>
    </w:p>
    <w:p>
      <w:pPr>
        <w:shd w:val="clear" w:color="auto" w:fill="FFFFFF"/>
        <w:ind w:firstLine="562"/>
        <w:rPr>
          <w:rFonts w:ascii="Times New Roman" w:hAnsi="Times New Roman" w:eastAsia="仿宋_GB2312" w:cs="Times New Roman"/>
          <w:color w:val="333333"/>
          <w:sz w:val="32"/>
          <w:szCs w:val="32"/>
        </w:rPr>
      </w:pPr>
      <w:r>
        <w:rPr>
          <w:rFonts w:ascii="Times New Roman" w:hAnsi="Times New Roman" w:eastAsia="仿宋_GB2312" w:cs="Times New Roman"/>
          <w:b/>
          <w:bCs/>
          <w:color w:val="333333"/>
          <w:kern w:val="0"/>
          <w:sz w:val="32"/>
          <w:szCs w:val="32"/>
          <w:shd w:val="clear" w:color="auto" w:fill="FFFFFF"/>
        </w:rPr>
        <w:t>2019年般公共预算支出决算数为67.54</w:t>
      </w:r>
      <w:r>
        <w:rPr>
          <w:rFonts w:ascii="Times New Roman" w:hAnsi="Times New Roman" w:eastAsia="仿宋_GB2312" w:cs="Times New Roman"/>
          <w:color w:val="333333"/>
          <w:kern w:val="0"/>
          <w:sz w:val="32"/>
          <w:szCs w:val="32"/>
          <w:shd w:val="clear" w:color="auto" w:fill="FFFFFF"/>
        </w:rPr>
        <w:t>，</w:t>
      </w:r>
      <w:r>
        <w:rPr>
          <w:rFonts w:ascii="Times New Roman" w:hAnsi="Times New Roman" w:eastAsia="仿宋_GB2312" w:cs="Times New Roman"/>
          <w:b/>
          <w:bCs/>
          <w:color w:val="333333"/>
          <w:kern w:val="0"/>
          <w:sz w:val="32"/>
          <w:szCs w:val="32"/>
          <w:shd w:val="clear" w:color="auto" w:fill="FFFFFF"/>
        </w:rPr>
        <w:t>完成预算102.72%。其中：</w:t>
      </w:r>
    </w:p>
    <w:p>
      <w:pPr>
        <w:shd w:val="clear" w:color="auto" w:fill="FFFFFF"/>
        <w:ind w:firstLine="562"/>
        <w:rPr>
          <w:rFonts w:ascii="Times New Roman" w:hAnsi="Times New Roman" w:eastAsia="仿宋_GB2312" w:cs="Times New Roman"/>
          <w:color w:val="333333"/>
          <w:sz w:val="32"/>
          <w:szCs w:val="32"/>
        </w:rPr>
      </w:pPr>
      <w:r>
        <w:rPr>
          <w:rFonts w:ascii="Times New Roman" w:hAnsi="Times New Roman" w:eastAsia="仿宋_GB2312" w:cs="Times New Roman"/>
          <w:b/>
          <w:bCs/>
          <w:color w:val="333333"/>
          <w:kern w:val="0"/>
          <w:sz w:val="32"/>
          <w:szCs w:val="32"/>
          <w:shd w:val="clear" w:color="auto" w:fill="FFFFFF"/>
        </w:rPr>
        <w:t>1.社会保障和就业支出（类）行政事业单位离退休（款）机关事业单位基本养老保险缴费支出（项）:</w:t>
      </w:r>
      <w:r>
        <w:rPr>
          <w:rFonts w:ascii="Times New Roman" w:hAnsi="Times New Roman" w:eastAsia="仿宋_GB2312" w:cs="Times New Roman"/>
          <w:color w:val="333333"/>
          <w:kern w:val="0"/>
          <w:sz w:val="32"/>
          <w:szCs w:val="32"/>
          <w:shd w:val="clear" w:color="auto" w:fill="FFFFFF"/>
        </w:rPr>
        <w:t> 支出决算为4.58万元，完成预算100%。</w:t>
      </w:r>
    </w:p>
    <w:p>
      <w:pPr>
        <w:shd w:val="clear" w:color="auto" w:fill="FFFFFF"/>
        <w:ind w:firstLine="562"/>
        <w:rPr>
          <w:rFonts w:ascii="Times New Roman" w:hAnsi="Times New Roman" w:eastAsia="仿宋_GB2312" w:cs="Times New Roman"/>
          <w:color w:val="333333"/>
          <w:sz w:val="32"/>
          <w:szCs w:val="32"/>
        </w:rPr>
      </w:pPr>
      <w:r>
        <w:rPr>
          <w:rFonts w:ascii="Times New Roman" w:hAnsi="Times New Roman" w:eastAsia="仿宋_GB2312" w:cs="Times New Roman"/>
          <w:b/>
          <w:bCs/>
          <w:color w:val="333333"/>
          <w:kern w:val="0"/>
          <w:sz w:val="32"/>
          <w:szCs w:val="32"/>
          <w:shd w:val="clear" w:color="auto" w:fill="FFFFFF"/>
        </w:rPr>
        <w:t>2. 社会保障和就业支出（类）红十字事业（款）行政运行（项）:</w:t>
      </w:r>
      <w:r>
        <w:rPr>
          <w:rFonts w:ascii="Times New Roman" w:hAnsi="Times New Roman" w:eastAsia="仿宋_GB2312" w:cs="Times New Roman"/>
          <w:color w:val="333333"/>
          <w:kern w:val="0"/>
          <w:sz w:val="32"/>
          <w:szCs w:val="32"/>
          <w:shd w:val="clear" w:color="auto" w:fill="FFFFFF"/>
        </w:rPr>
        <w:t> 支出决算为45.68万元，完成预算100%。</w:t>
      </w:r>
    </w:p>
    <w:p>
      <w:pPr>
        <w:shd w:val="clear" w:color="auto" w:fill="FFFFFF"/>
        <w:ind w:firstLine="562"/>
        <w:rPr>
          <w:rFonts w:ascii="Times New Roman" w:hAnsi="Times New Roman" w:eastAsia="仿宋_GB2312" w:cs="Times New Roman"/>
          <w:color w:val="333333"/>
          <w:sz w:val="32"/>
          <w:szCs w:val="32"/>
        </w:rPr>
      </w:pPr>
      <w:r>
        <w:rPr>
          <w:rFonts w:ascii="Times New Roman" w:hAnsi="Times New Roman" w:eastAsia="仿宋_GB2312" w:cs="Times New Roman"/>
          <w:b/>
          <w:bCs/>
          <w:color w:val="333333"/>
          <w:kern w:val="0"/>
          <w:sz w:val="32"/>
          <w:szCs w:val="32"/>
          <w:shd w:val="clear" w:color="auto" w:fill="FFFFFF"/>
        </w:rPr>
        <w:t>3. 社会保障和就业支出（类）红十字事业（款）其他红十字事业支出（项）：</w:t>
      </w:r>
      <w:r>
        <w:rPr>
          <w:rFonts w:ascii="Times New Roman" w:hAnsi="Times New Roman" w:eastAsia="仿宋_GB2312" w:cs="Times New Roman"/>
          <w:color w:val="333333"/>
          <w:kern w:val="0"/>
          <w:sz w:val="32"/>
          <w:szCs w:val="32"/>
          <w:shd w:val="clear" w:color="auto" w:fill="FFFFFF"/>
        </w:rPr>
        <w:t> 支出决算为11.79万元，完成预算117.9%,决算数大于预算数的主要原因是百万培训项目经费2018年有结余。</w:t>
      </w:r>
    </w:p>
    <w:p>
      <w:pPr>
        <w:shd w:val="clear" w:color="auto" w:fill="FFFFFF"/>
        <w:ind w:firstLine="562"/>
        <w:rPr>
          <w:rFonts w:ascii="Times New Roman" w:hAnsi="Times New Roman" w:eastAsia="仿宋_GB2312" w:cs="Times New Roman"/>
          <w:color w:val="333333"/>
          <w:sz w:val="32"/>
          <w:szCs w:val="32"/>
        </w:rPr>
      </w:pPr>
      <w:r>
        <w:rPr>
          <w:rFonts w:ascii="Times New Roman" w:hAnsi="Times New Roman" w:eastAsia="仿宋_GB2312" w:cs="Times New Roman"/>
          <w:b/>
          <w:bCs/>
          <w:color w:val="333333"/>
          <w:kern w:val="0"/>
          <w:sz w:val="32"/>
          <w:szCs w:val="32"/>
          <w:shd w:val="clear" w:color="auto" w:fill="FFFFFF"/>
        </w:rPr>
        <w:t>4.医疗卫生与计划生育支出（类）行政事业单位医疗（款）事业单位医疗（项）：</w:t>
      </w:r>
      <w:r>
        <w:rPr>
          <w:rFonts w:ascii="Times New Roman" w:hAnsi="Times New Roman" w:eastAsia="仿宋_GB2312" w:cs="Times New Roman"/>
          <w:color w:val="333333"/>
          <w:kern w:val="0"/>
          <w:sz w:val="32"/>
          <w:szCs w:val="32"/>
          <w:shd w:val="clear" w:color="auto" w:fill="FFFFFF"/>
        </w:rPr>
        <w:t>支出决算为2.21万元，完成预算100%。</w:t>
      </w:r>
    </w:p>
    <w:p>
      <w:pPr>
        <w:shd w:val="clear" w:color="auto" w:fill="FFFFFF"/>
        <w:ind w:firstLine="562"/>
        <w:rPr>
          <w:rFonts w:ascii="Times New Roman" w:hAnsi="Times New Roman" w:eastAsia="仿宋_GB2312" w:cs="Times New Roman"/>
          <w:color w:val="333333"/>
          <w:sz w:val="32"/>
          <w:szCs w:val="32"/>
        </w:rPr>
      </w:pPr>
      <w:r>
        <w:rPr>
          <w:rFonts w:ascii="Times New Roman" w:hAnsi="Times New Roman" w:eastAsia="仿宋_GB2312" w:cs="Times New Roman"/>
          <w:b/>
          <w:bCs/>
          <w:color w:val="333333"/>
          <w:kern w:val="0"/>
          <w:sz w:val="32"/>
          <w:szCs w:val="32"/>
          <w:shd w:val="clear" w:color="auto" w:fill="FFFFFF"/>
        </w:rPr>
        <w:t>5. 住房保障支出（类）住房改革支出（款）住房公积金（项）：</w:t>
      </w:r>
      <w:r>
        <w:rPr>
          <w:rFonts w:ascii="Times New Roman" w:hAnsi="Times New Roman" w:eastAsia="仿宋_GB2312" w:cs="Times New Roman"/>
          <w:color w:val="333333"/>
          <w:kern w:val="0"/>
          <w:sz w:val="32"/>
          <w:szCs w:val="32"/>
          <w:shd w:val="clear" w:color="auto" w:fill="FFFFFF"/>
        </w:rPr>
        <w:t>支出决算为3.28万元，完成预算100%。</w:t>
      </w:r>
    </w:p>
    <w:p>
      <w:pPr>
        <w:widowControl/>
        <w:shd w:val="clear" w:color="auto" w:fill="FFFFFF"/>
        <w:ind w:firstLine="700"/>
        <w:rPr>
          <w:rFonts w:ascii="黑体" w:hAnsi="黑体" w:eastAsia="黑体" w:cs="Times New Roman"/>
          <w:color w:val="333333"/>
          <w:kern w:val="0"/>
          <w:sz w:val="32"/>
          <w:szCs w:val="32"/>
          <w:shd w:val="clear" w:color="auto" w:fill="FFFFFF"/>
        </w:rPr>
      </w:pPr>
      <w:r>
        <w:rPr>
          <w:rFonts w:ascii="黑体" w:hAnsi="黑体" w:eastAsia="黑体" w:cs="Times New Roman"/>
          <w:color w:val="333333"/>
          <w:kern w:val="0"/>
          <w:sz w:val="32"/>
          <w:szCs w:val="32"/>
          <w:shd w:val="clear" w:color="auto" w:fill="FFFFFF"/>
        </w:rPr>
        <w:t>六、一般公共预算财政拨款基本支出决算情况说明</w:t>
      </w:r>
    </w:p>
    <w:p>
      <w:pPr>
        <w:shd w:val="clear" w:color="auto" w:fill="FFFFFF"/>
        <w:ind w:firstLine="645"/>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2019年一般公共预算财政拨款基本支出55.75万元，其中：</w:t>
      </w:r>
    </w:p>
    <w:p>
      <w:pPr>
        <w:shd w:val="clear" w:color="auto" w:fill="FFFFFF"/>
        <w:ind w:firstLine="645"/>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人员经费46.92万元，主要包括：基本工资、津贴补贴、奖金、绩效工资、机关事业单位基本养老保险缴费、职工基本医疗保险缴费、其他社会保障缴费、住房公积金、其他工资福利支出、奖励金。</w:t>
      </w:r>
      <w:r>
        <w:rPr>
          <w:rFonts w:ascii="Times New Roman" w:hAnsi="Times New Roman" w:eastAsia="仿宋_GB2312" w:cs="Times New Roman"/>
          <w:color w:val="333333"/>
          <w:kern w:val="0"/>
          <w:sz w:val="32"/>
          <w:szCs w:val="32"/>
          <w:shd w:val="clear" w:color="auto" w:fill="FFFFFF"/>
        </w:rPr>
        <w:br w:type="textWrapping"/>
      </w:r>
      <w:r>
        <w:rPr>
          <w:rFonts w:ascii="Times New Roman" w:hAnsi="Times New Roman" w:eastAsia="仿宋_GB2312" w:cs="Times New Roman"/>
          <w:color w:val="333333"/>
          <w:kern w:val="0"/>
          <w:sz w:val="32"/>
          <w:szCs w:val="32"/>
          <w:shd w:val="clear" w:color="auto" w:fill="FFFFFF"/>
        </w:rPr>
        <w:t>  公用经费8.83万元，主要包括：办公费、印刷费、咨询费、水费、电费、邮电费、差旅费、会议费、培训费、公务接待费、其他交通费。</w:t>
      </w:r>
    </w:p>
    <w:p>
      <w:pPr>
        <w:widowControl/>
        <w:shd w:val="clear" w:color="auto" w:fill="FFFFFF"/>
        <w:ind w:firstLine="700"/>
        <w:rPr>
          <w:rFonts w:ascii="黑体" w:hAnsi="黑体" w:eastAsia="黑体" w:cs="Times New Roman"/>
          <w:color w:val="333333"/>
          <w:kern w:val="0"/>
          <w:sz w:val="32"/>
          <w:szCs w:val="32"/>
          <w:shd w:val="clear" w:color="auto" w:fill="FFFFFF"/>
        </w:rPr>
      </w:pPr>
      <w:r>
        <w:rPr>
          <w:rFonts w:ascii="黑体" w:hAnsi="黑体" w:eastAsia="黑体" w:cs="Times New Roman"/>
          <w:color w:val="333333"/>
          <w:kern w:val="0"/>
          <w:sz w:val="32"/>
          <w:szCs w:val="32"/>
          <w:shd w:val="clear" w:color="auto" w:fill="FFFFFF"/>
        </w:rPr>
        <w:t>七、“三公”经费财政拨款支出决算情况说明</w:t>
      </w:r>
    </w:p>
    <w:p>
      <w:pPr>
        <w:shd w:val="clear" w:color="auto" w:fill="FFFFFF"/>
        <w:ind w:firstLine="640"/>
        <w:rPr>
          <w:rFonts w:ascii="Times New Roman" w:hAnsi="Times New Roman" w:eastAsia="仿宋_GB2312" w:cs="Times New Roman"/>
          <w:color w:val="333333"/>
          <w:sz w:val="32"/>
          <w:szCs w:val="32"/>
        </w:rPr>
      </w:pPr>
      <w:r>
        <w:rPr>
          <w:rFonts w:ascii="Times New Roman" w:hAnsi="Times New Roman" w:eastAsia="仿宋_GB2312" w:cs="Times New Roman"/>
          <w:b/>
          <w:bCs/>
          <w:color w:val="333333"/>
          <w:kern w:val="0"/>
          <w:sz w:val="32"/>
          <w:szCs w:val="32"/>
          <w:shd w:val="clear" w:color="auto" w:fill="FFFFFF"/>
        </w:rPr>
        <w:t>（一）“三公”经费财政拨款支出决算总体情况说明</w:t>
      </w:r>
    </w:p>
    <w:p>
      <w:pPr>
        <w:shd w:val="clear" w:color="auto" w:fill="FFFFFF"/>
        <w:ind w:firstLine="64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2019年“三公”经费财政拨款支出决算为0.44万元，完成预算100% 。</w:t>
      </w:r>
    </w:p>
    <w:p>
      <w:pPr>
        <w:shd w:val="clear" w:color="auto" w:fill="FFFFFF"/>
        <w:ind w:firstLine="640"/>
        <w:rPr>
          <w:rFonts w:ascii="Times New Roman" w:hAnsi="Times New Roman" w:eastAsia="仿宋_GB2312" w:cs="Times New Roman"/>
          <w:color w:val="333333"/>
          <w:sz w:val="32"/>
          <w:szCs w:val="32"/>
        </w:rPr>
      </w:pPr>
      <w:r>
        <w:rPr>
          <w:rFonts w:ascii="Times New Roman" w:hAnsi="Times New Roman" w:eastAsia="仿宋_GB2312" w:cs="Times New Roman"/>
          <w:b/>
          <w:bCs/>
          <w:color w:val="333333"/>
          <w:kern w:val="0"/>
          <w:sz w:val="32"/>
          <w:szCs w:val="32"/>
          <w:shd w:val="clear" w:color="auto" w:fill="FFFFFF"/>
        </w:rPr>
        <w:t>（二）“三公”经费财政拨款支出决算具体情况说明</w:t>
      </w:r>
    </w:p>
    <w:p>
      <w:pPr>
        <w:shd w:val="clear" w:color="auto" w:fill="FFFFFF"/>
        <w:ind w:firstLine="64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2019年“三公”经费财政拨款支出决算中，因公出国（境）费支出决算0万元，占0%；公务用车购置及运行维护费支出决算0万元，占0%；公务接待费支出决算0.44万元，占100%。具体情况如下：</w:t>
      </w:r>
    </w:p>
    <w:p>
      <w:pPr>
        <w:shd w:val="clear" w:color="auto" w:fill="FFFFFF"/>
        <w:ind w:firstLine="640"/>
        <w:rPr>
          <w:rFonts w:ascii="Times New Roman" w:hAnsi="Times New Roman" w:eastAsia="仿宋_GB2312" w:cs="Times New Roman"/>
          <w:color w:val="333333"/>
          <w:sz w:val="32"/>
          <w:szCs w:val="32"/>
        </w:rPr>
      </w:pPr>
      <w:r>
        <w:rPr>
          <w:rFonts w:ascii="Times New Roman" w:hAnsi="Times New Roman" w:eastAsia="仿宋_GB2312" w:cs="Times New Roman"/>
          <w:b/>
          <w:bCs/>
          <w:color w:val="333333"/>
          <w:kern w:val="0"/>
          <w:sz w:val="32"/>
          <w:szCs w:val="32"/>
          <w:shd w:val="clear" w:color="auto" w:fill="FFFFFF"/>
        </w:rPr>
        <w:t>1.因公出国（境）经费支出</w:t>
      </w:r>
      <w:r>
        <w:rPr>
          <w:rFonts w:ascii="Times New Roman" w:hAnsi="Times New Roman" w:eastAsia="仿宋_GB2312" w:cs="Times New Roman"/>
          <w:color w:val="333333"/>
          <w:kern w:val="0"/>
          <w:sz w:val="32"/>
          <w:szCs w:val="32"/>
          <w:shd w:val="clear" w:color="auto" w:fill="FFFFFF"/>
        </w:rPr>
        <w:t>0万元，完成预算0%。</w:t>
      </w:r>
    </w:p>
    <w:p>
      <w:pPr>
        <w:shd w:val="clear" w:color="auto" w:fill="FFFFFF"/>
        <w:ind w:firstLine="640"/>
        <w:rPr>
          <w:rFonts w:ascii="Times New Roman" w:hAnsi="Times New Roman" w:eastAsia="仿宋_GB2312" w:cs="Times New Roman"/>
          <w:color w:val="333333"/>
          <w:sz w:val="32"/>
          <w:szCs w:val="32"/>
        </w:rPr>
      </w:pPr>
      <w:r>
        <w:rPr>
          <w:rFonts w:ascii="Times New Roman" w:hAnsi="Times New Roman" w:eastAsia="仿宋_GB2312" w:cs="Times New Roman"/>
          <w:b/>
          <w:bCs/>
          <w:color w:val="333333"/>
          <w:kern w:val="0"/>
          <w:sz w:val="32"/>
          <w:szCs w:val="32"/>
          <w:shd w:val="clear" w:color="auto" w:fill="FFFFFF"/>
        </w:rPr>
        <w:t>2.公务用车购置及运行维护费支出</w:t>
      </w:r>
      <w:r>
        <w:rPr>
          <w:rFonts w:ascii="Times New Roman" w:hAnsi="Times New Roman" w:eastAsia="仿宋_GB2312" w:cs="Times New Roman"/>
          <w:color w:val="333333"/>
          <w:kern w:val="0"/>
          <w:sz w:val="32"/>
          <w:szCs w:val="32"/>
          <w:shd w:val="clear" w:color="auto" w:fill="FFFFFF"/>
        </w:rPr>
        <w:t>0万元,完成预算0%。。</w:t>
      </w:r>
    </w:p>
    <w:p>
      <w:pPr>
        <w:shd w:val="clear" w:color="auto" w:fill="FFFFFF"/>
        <w:ind w:firstLine="640"/>
        <w:rPr>
          <w:rFonts w:ascii="Times New Roman" w:hAnsi="Times New Roman" w:eastAsia="仿宋_GB2312" w:cs="Times New Roman"/>
          <w:color w:val="333333"/>
          <w:sz w:val="32"/>
          <w:szCs w:val="32"/>
        </w:rPr>
      </w:pPr>
      <w:r>
        <w:rPr>
          <w:rFonts w:ascii="Times New Roman" w:hAnsi="Times New Roman" w:eastAsia="仿宋_GB2312" w:cs="Times New Roman"/>
          <w:b/>
          <w:bCs/>
          <w:color w:val="333333"/>
          <w:kern w:val="0"/>
          <w:sz w:val="32"/>
          <w:szCs w:val="32"/>
          <w:shd w:val="clear" w:color="auto" w:fill="FFFFFF"/>
        </w:rPr>
        <w:t>3.公务接待费支出</w:t>
      </w:r>
      <w:r>
        <w:rPr>
          <w:rFonts w:ascii="Times New Roman" w:hAnsi="Times New Roman" w:eastAsia="仿宋_GB2312" w:cs="Times New Roman"/>
          <w:color w:val="333333"/>
          <w:kern w:val="0"/>
          <w:sz w:val="32"/>
          <w:szCs w:val="32"/>
          <w:shd w:val="clear" w:color="auto" w:fill="FFFFFF"/>
        </w:rPr>
        <w:t>0.44万元，完成预算100%。公务接待费支出决算与2018年持平。</w:t>
      </w:r>
    </w:p>
    <w:p>
      <w:pPr>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主要用于执行公务、开展业务活动开支的交通费、住宿费、用餐费等。国内公务接待18批次，125人次（不包括陪同人员），共计支出0.44万元，具体内容包括：联挂乡镇帮扶村来区上联系工作及办事接待开支。其中：</w:t>
      </w:r>
    </w:p>
    <w:p>
      <w:pPr>
        <w:shd w:val="clear" w:color="auto" w:fill="FFFFFF"/>
        <w:ind w:firstLine="562"/>
        <w:rPr>
          <w:rFonts w:ascii="Times New Roman" w:hAnsi="Times New Roman" w:eastAsia="仿宋_GB2312" w:cs="Times New Roman"/>
          <w:color w:val="333333"/>
          <w:sz w:val="32"/>
          <w:szCs w:val="32"/>
        </w:rPr>
      </w:pPr>
      <w:r>
        <w:rPr>
          <w:rFonts w:ascii="Times New Roman" w:hAnsi="Times New Roman" w:eastAsia="仿宋_GB2312" w:cs="Times New Roman"/>
          <w:b/>
          <w:bCs/>
          <w:color w:val="333333"/>
          <w:kern w:val="0"/>
          <w:sz w:val="32"/>
          <w:szCs w:val="32"/>
          <w:shd w:val="clear" w:color="auto" w:fill="FFFFFF"/>
        </w:rPr>
        <w:t>外事接待支出</w:t>
      </w:r>
      <w:r>
        <w:rPr>
          <w:rFonts w:ascii="Times New Roman" w:hAnsi="Times New Roman" w:eastAsia="仿宋_GB2312" w:cs="Times New Roman"/>
          <w:color w:val="333333"/>
          <w:kern w:val="0"/>
          <w:sz w:val="32"/>
          <w:szCs w:val="32"/>
          <w:shd w:val="clear" w:color="auto" w:fill="FFFFFF"/>
        </w:rPr>
        <w:t>0万元，外事接待0批次，0人，共计支出0万元。</w:t>
      </w:r>
    </w:p>
    <w:p>
      <w:pPr>
        <w:shd w:val="clear" w:color="auto" w:fill="FFFFFF"/>
        <w:ind w:firstLine="640"/>
        <w:rPr>
          <w:rFonts w:ascii="Times New Roman" w:hAnsi="Times New Roman" w:eastAsia="仿宋_GB2312" w:cs="Times New Roman"/>
          <w:color w:val="333333"/>
          <w:sz w:val="32"/>
          <w:szCs w:val="32"/>
        </w:rPr>
      </w:pPr>
      <w:r>
        <w:rPr>
          <w:rFonts w:ascii="Times New Roman" w:hAnsi="Times New Roman" w:eastAsia="仿宋_GB2312" w:cs="Times New Roman"/>
          <w:b/>
          <w:bCs/>
          <w:color w:val="333333"/>
          <w:kern w:val="0"/>
          <w:sz w:val="32"/>
          <w:szCs w:val="32"/>
          <w:shd w:val="clear" w:color="auto" w:fill="FFFFFF"/>
        </w:rPr>
        <w:t>其他国内公务接待支出</w:t>
      </w:r>
      <w:r>
        <w:rPr>
          <w:rFonts w:ascii="Times New Roman" w:hAnsi="Times New Roman" w:eastAsia="仿宋_GB2312" w:cs="Times New Roman"/>
          <w:color w:val="333333"/>
          <w:kern w:val="0"/>
          <w:sz w:val="32"/>
          <w:szCs w:val="32"/>
          <w:shd w:val="clear" w:color="auto" w:fill="FFFFFF"/>
        </w:rPr>
        <w:t>0.44万元，主要用于联挂乡镇帮扶村来区上联系工作及办事接待开支。</w:t>
      </w:r>
    </w:p>
    <w:p>
      <w:pPr>
        <w:widowControl/>
        <w:shd w:val="clear" w:color="auto" w:fill="FFFFFF"/>
        <w:ind w:firstLine="700"/>
        <w:rPr>
          <w:rFonts w:ascii="黑体" w:hAnsi="黑体" w:eastAsia="黑体" w:cs="Times New Roman"/>
          <w:color w:val="333333"/>
          <w:kern w:val="0"/>
          <w:sz w:val="32"/>
          <w:szCs w:val="32"/>
          <w:shd w:val="clear" w:color="auto" w:fill="FFFFFF"/>
        </w:rPr>
      </w:pPr>
      <w:r>
        <w:rPr>
          <w:rFonts w:ascii="黑体" w:hAnsi="黑体" w:eastAsia="黑体" w:cs="Times New Roman"/>
          <w:color w:val="333333"/>
          <w:kern w:val="0"/>
          <w:sz w:val="32"/>
          <w:szCs w:val="32"/>
          <w:shd w:val="clear" w:color="auto" w:fill="FFFFFF"/>
        </w:rPr>
        <w:t>八、政府性基金预算支出决算情况说明</w:t>
      </w:r>
    </w:p>
    <w:p>
      <w:pPr>
        <w:shd w:val="clear" w:color="auto" w:fill="FFFFFF"/>
        <w:ind w:firstLine="64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2019年政府性基金预算拨款支出0万元。</w:t>
      </w:r>
    </w:p>
    <w:p>
      <w:pPr>
        <w:widowControl/>
        <w:shd w:val="clear" w:color="auto" w:fill="FFFFFF"/>
        <w:ind w:firstLine="700"/>
        <w:rPr>
          <w:rFonts w:ascii="黑体" w:hAnsi="黑体" w:eastAsia="黑体" w:cs="Times New Roman"/>
          <w:color w:val="333333"/>
          <w:kern w:val="0"/>
          <w:sz w:val="32"/>
          <w:szCs w:val="32"/>
          <w:shd w:val="clear" w:color="auto" w:fill="FFFFFF"/>
        </w:rPr>
      </w:pPr>
      <w:r>
        <w:rPr>
          <w:rFonts w:ascii="黑体" w:hAnsi="黑体" w:eastAsia="黑体" w:cs="Times New Roman"/>
          <w:color w:val="333333"/>
          <w:kern w:val="0"/>
          <w:sz w:val="32"/>
          <w:szCs w:val="32"/>
          <w:shd w:val="clear" w:color="auto" w:fill="FFFFFF"/>
        </w:rPr>
        <w:t>九、国有资本经营预算支出决算情况说明</w:t>
      </w:r>
    </w:p>
    <w:p>
      <w:pPr>
        <w:shd w:val="clear" w:color="auto" w:fill="FFFFFF"/>
        <w:ind w:firstLine="64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2019年国有资本经营预算拨款支出0万元。</w:t>
      </w:r>
    </w:p>
    <w:p>
      <w:pPr>
        <w:widowControl/>
        <w:shd w:val="clear" w:color="auto" w:fill="FFFFFF"/>
        <w:ind w:firstLine="700"/>
        <w:rPr>
          <w:rFonts w:ascii="黑体" w:hAnsi="黑体" w:eastAsia="黑体" w:cs="Times New Roman"/>
          <w:color w:val="333333"/>
          <w:kern w:val="0"/>
          <w:sz w:val="32"/>
          <w:szCs w:val="32"/>
          <w:shd w:val="clear" w:color="auto" w:fill="FFFFFF"/>
        </w:rPr>
      </w:pPr>
      <w:r>
        <w:rPr>
          <w:rFonts w:ascii="黑体" w:hAnsi="黑体" w:eastAsia="黑体" w:cs="Times New Roman"/>
          <w:color w:val="333333"/>
          <w:kern w:val="0"/>
          <w:sz w:val="32"/>
          <w:szCs w:val="32"/>
          <w:shd w:val="clear" w:color="auto" w:fill="FFFFFF"/>
        </w:rPr>
        <w:t>十、 预算绩效情况说明</w:t>
      </w:r>
    </w:p>
    <w:p>
      <w:pPr>
        <w:shd w:val="clear" w:color="auto" w:fill="FFFFFF"/>
        <w:ind w:firstLine="562"/>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（一）</w:t>
      </w:r>
      <w:r>
        <w:rPr>
          <w:rFonts w:ascii="Times New Roman" w:hAnsi="Times New Roman" w:eastAsia="仿宋_GB2312" w:cs="Times New Roman"/>
          <w:b/>
          <w:bCs/>
          <w:color w:val="333333"/>
          <w:kern w:val="0"/>
          <w:sz w:val="32"/>
          <w:szCs w:val="32"/>
          <w:shd w:val="clear" w:color="auto" w:fill="FFFFFF"/>
        </w:rPr>
        <w:t>预算绩效管理工作开展情况</w:t>
      </w:r>
    </w:p>
    <w:p>
      <w:pPr>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根据预算绩效管理要求，本部门在年初预算编制阶段，组织对百万培训项目开展了预算事前绩效评估，对1个项目编制了绩效目标，预算执行过程中，选取1个项目开展绩效监控，年终执行完毕后，对1个项目开展了绩效目标完成情况梳理填报。</w:t>
      </w:r>
    </w:p>
    <w:p>
      <w:pPr>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本部门按要求对2019年部门整体支出开展绩效自评，从评价情况来看：2019年区红十字会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2019年基本完成，在保障机关运转、履行职能职责上整体情况优良。</w:t>
      </w:r>
    </w:p>
    <w:p>
      <w:pPr>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本部门还自行组织了1个项目绩效评价，从评价情况来看：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w:t>
      </w:r>
    </w:p>
    <w:p>
      <w:pPr>
        <w:shd w:val="clear" w:color="auto" w:fill="FFFFFF"/>
        <w:ind w:firstLine="562"/>
        <w:rPr>
          <w:rFonts w:ascii="Times New Roman" w:hAnsi="Times New Roman" w:eastAsia="仿宋_GB2312" w:cs="Times New Roman"/>
          <w:color w:val="333333"/>
          <w:sz w:val="32"/>
          <w:szCs w:val="32"/>
        </w:rPr>
      </w:pPr>
      <w:r>
        <w:rPr>
          <w:rFonts w:ascii="Times New Roman" w:hAnsi="Times New Roman" w:eastAsia="仿宋_GB2312" w:cs="Times New Roman"/>
          <w:b/>
          <w:bCs/>
          <w:color w:val="333333"/>
          <w:kern w:val="0"/>
          <w:sz w:val="32"/>
          <w:szCs w:val="32"/>
          <w:shd w:val="clear" w:color="auto" w:fill="FFFFFF"/>
        </w:rPr>
        <w:t>（二）项目绩效目标完成情况</w:t>
      </w:r>
    </w:p>
    <w:p>
      <w:pPr>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本部门在2019年度部门决算中反映“其他红十字事业支出-百万培训项目” 1个项目绩效目标实际完成情况。</w:t>
      </w:r>
    </w:p>
    <w:p>
      <w:pPr>
        <w:shd w:val="clear" w:color="auto" w:fill="FFFFFF"/>
        <w:ind w:firstLine="560"/>
        <w:rPr>
          <w:rFonts w:ascii="Times New Roman" w:hAnsi="Times New Roman" w:eastAsia="仿宋_GB2312" w:cs="Times New Roman"/>
          <w:color w:val="333333"/>
          <w:kern w:val="0"/>
          <w:sz w:val="32"/>
          <w:szCs w:val="32"/>
          <w:shd w:val="clear" w:color="auto" w:fill="FFFFFF"/>
        </w:rPr>
      </w:pPr>
      <w:r>
        <w:rPr>
          <w:rFonts w:ascii="Times New Roman" w:hAnsi="Times New Roman" w:eastAsia="仿宋_GB2312" w:cs="Times New Roman"/>
          <w:color w:val="333333"/>
          <w:kern w:val="0"/>
          <w:sz w:val="32"/>
          <w:szCs w:val="32"/>
          <w:shd w:val="clear" w:color="auto" w:fill="FFFFFF"/>
        </w:rPr>
        <w:t>1. 百万培训项目绩效目标完成情况综述。百万培训项目绩效目标完成应急救护培训8000人，项目全年预算数10万元，执行数为11.79万元，完成预算的117.9%。通过项目实施，增强广大群众和中小学生面对各种突发意外事件的自救互救能力，保护因意外事件受伤人员的生命和健康，助推了精准扶贫，为加快建设“五个昭化”作出了积极的贡献。</w:t>
      </w:r>
    </w:p>
    <w:p>
      <w:pPr>
        <w:jc w:val="left"/>
        <w:rPr>
          <w:rFonts w:ascii="Times New Roman" w:hAnsi="Times New Roman" w:eastAsia="仿宋_GB2312" w:cs="Times New Roman"/>
          <w:color w:val="333333"/>
          <w:kern w:val="0"/>
          <w:sz w:val="32"/>
          <w:szCs w:val="32"/>
          <w:shd w:val="clear" w:color="auto" w:fill="FFFFFF"/>
        </w:rPr>
      </w:pPr>
      <w:r>
        <w:rPr>
          <w:rFonts w:ascii="Times New Roman" w:hAnsi="Times New Roman" w:eastAsia="仿宋_GB2312" w:cs="Times New Roman"/>
          <w:color w:val="333333"/>
          <w:kern w:val="0"/>
          <w:sz w:val="32"/>
          <w:szCs w:val="32"/>
          <w:shd w:val="clear" w:color="auto" w:fill="FFFFFF"/>
        </w:rPr>
        <w:br w:type="page"/>
      </w:r>
    </w:p>
    <w:p>
      <w:pPr>
        <w:pStyle w:val="6"/>
        <w:widowControl/>
        <w:jc w:val="center"/>
        <w:textAlignment w:val="center"/>
      </w:pPr>
      <w:r>
        <w:rPr>
          <w:rFonts w:hint="eastAsia" w:ascii="方正小标宋简体" w:hAnsi="宋体" w:eastAsia="方正小标宋简体" w:cs="宋体"/>
          <w:color w:val="333333"/>
          <w:sz w:val="44"/>
          <w:szCs w:val="44"/>
        </w:rPr>
        <w:t>项目支出绩效目标完成情况表</w:t>
      </w:r>
      <w:r>
        <w:rPr>
          <w:rFonts w:hint="eastAsia" w:ascii="方正小标宋简体" w:hAnsi="宋体" w:eastAsia="方正小标宋简体" w:cs="宋体"/>
          <w:b/>
          <w:bCs/>
          <w:color w:val="333333"/>
          <w:sz w:val="44"/>
          <w:szCs w:val="44"/>
        </w:rPr>
        <w:br w:type="textWrapping"/>
      </w:r>
      <w:r>
        <w:rPr>
          <w:rFonts w:hint="eastAsia" w:ascii="宋体" w:hAnsi="宋体" w:eastAsia="宋体" w:cs="宋体"/>
          <w:color w:val="333333"/>
          <w:sz w:val="28"/>
          <w:szCs w:val="28"/>
        </w:rPr>
        <w:t>(2019年度)</w:t>
      </w:r>
    </w:p>
    <w:tbl>
      <w:tblPr>
        <w:tblStyle w:val="7"/>
        <w:tblW w:w="99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autofit"/>
        <w:tblCellMar>
          <w:top w:w="0" w:type="dxa"/>
          <w:left w:w="0" w:type="dxa"/>
          <w:bottom w:w="0" w:type="dxa"/>
          <w:right w:w="0" w:type="dxa"/>
        </w:tblCellMar>
      </w:tblPr>
      <w:tblGrid>
        <w:gridCol w:w="700"/>
        <w:gridCol w:w="1098"/>
        <w:gridCol w:w="1015"/>
        <w:gridCol w:w="2372"/>
        <w:gridCol w:w="2372"/>
        <w:gridCol w:w="240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jc w:val="center"/>
        </w:trPr>
        <w:tc>
          <w:tcPr>
            <w:tcW w:w="2813" w:type="dxa"/>
            <w:gridSpan w:val="3"/>
            <w:shd w:val="clear" w:color="auto" w:fill="FFFFFF"/>
            <w:vAlign w:val="center"/>
          </w:tcPr>
          <w:p>
            <w:pPr>
              <w:widowControl/>
              <w:jc w:val="center"/>
              <w:textAlignment w:val="center"/>
            </w:pPr>
            <w:r>
              <w:rPr>
                <w:rFonts w:hint="eastAsia" w:ascii="宋体" w:hAnsi="宋体" w:eastAsia="宋体" w:cs="宋体"/>
                <w:color w:val="333333"/>
                <w:kern w:val="0"/>
                <w:sz w:val="28"/>
                <w:szCs w:val="28"/>
              </w:rPr>
              <w:t>项目名称</w:t>
            </w:r>
          </w:p>
        </w:tc>
        <w:tc>
          <w:tcPr>
            <w:tcW w:w="7147" w:type="dxa"/>
            <w:gridSpan w:val="3"/>
            <w:shd w:val="clear" w:color="auto" w:fill="FFFFFF"/>
            <w:vAlign w:val="center"/>
          </w:tcPr>
          <w:p>
            <w:pPr>
              <w:widowControl/>
              <w:textAlignment w:val="center"/>
            </w:pPr>
            <w:r>
              <w:rPr>
                <w:rFonts w:hint="eastAsia" w:ascii="宋体" w:hAnsi="宋体" w:eastAsia="宋体" w:cs="宋体"/>
                <w:color w:val="333333"/>
                <w:kern w:val="0"/>
                <w:sz w:val="28"/>
                <w:szCs w:val="28"/>
              </w:rPr>
              <w:t>其他红十字事业（百万培训项目）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jc w:val="center"/>
        </w:trPr>
        <w:tc>
          <w:tcPr>
            <w:tcW w:w="2813" w:type="dxa"/>
            <w:gridSpan w:val="3"/>
            <w:shd w:val="clear" w:color="auto" w:fill="FFFFFF"/>
            <w:vAlign w:val="center"/>
          </w:tcPr>
          <w:p>
            <w:pPr>
              <w:widowControl/>
              <w:jc w:val="center"/>
              <w:textAlignment w:val="center"/>
            </w:pPr>
            <w:r>
              <w:rPr>
                <w:rFonts w:hint="eastAsia" w:ascii="宋体" w:hAnsi="宋体" w:eastAsia="宋体" w:cs="宋体"/>
                <w:color w:val="333333"/>
                <w:kern w:val="0"/>
                <w:sz w:val="28"/>
                <w:szCs w:val="28"/>
              </w:rPr>
              <w:t>预算单位</w:t>
            </w:r>
          </w:p>
        </w:tc>
        <w:tc>
          <w:tcPr>
            <w:tcW w:w="7147" w:type="dxa"/>
            <w:gridSpan w:val="3"/>
            <w:shd w:val="clear" w:color="auto" w:fill="FFFFFF"/>
            <w:vAlign w:val="center"/>
          </w:tcPr>
          <w:p>
            <w:pPr>
              <w:widowControl/>
              <w:textAlignment w:val="center"/>
            </w:pPr>
            <w:r>
              <w:rPr>
                <w:rFonts w:hint="eastAsia" w:ascii="宋体" w:hAnsi="宋体" w:eastAsia="宋体" w:cs="宋体"/>
                <w:color w:val="333333"/>
                <w:kern w:val="0"/>
                <w:sz w:val="28"/>
                <w:szCs w:val="28"/>
              </w:rPr>
              <w:t>区红十字会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jc w:val="center"/>
        </w:trPr>
        <w:tc>
          <w:tcPr>
            <w:tcW w:w="700" w:type="dxa"/>
            <w:vMerge w:val="restart"/>
            <w:shd w:val="clear" w:color="auto" w:fill="FFFFFF"/>
            <w:vAlign w:val="center"/>
          </w:tcPr>
          <w:p>
            <w:pPr>
              <w:widowControl/>
              <w:jc w:val="center"/>
              <w:textAlignment w:val="center"/>
            </w:pPr>
            <w:r>
              <w:rPr>
                <w:rFonts w:hint="eastAsia" w:ascii="宋体" w:hAnsi="宋体" w:eastAsia="宋体" w:cs="宋体"/>
                <w:color w:val="333333"/>
                <w:kern w:val="0"/>
                <w:sz w:val="28"/>
                <w:szCs w:val="28"/>
              </w:rPr>
              <w:t>预算执行情况(万元)</w:t>
            </w:r>
          </w:p>
        </w:tc>
        <w:tc>
          <w:tcPr>
            <w:tcW w:w="2113" w:type="dxa"/>
            <w:gridSpan w:val="2"/>
            <w:shd w:val="clear" w:color="auto" w:fill="FFFFFF"/>
            <w:vAlign w:val="center"/>
          </w:tcPr>
          <w:p>
            <w:pPr>
              <w:widowControl/>
              <w:jc w:val="center"/>
              <w:textAlignment w:val="center"/>
            </w:pPr>
            <w:r>
              <w:rPr>
                <w:rFonts w:hint="eastAsia" w:ascii="宋体" w:hAnsi="宋体" w:eastAsia="宋体" w:cs="宋体"/>
                <w:color w:val="333333"/>
                <w:kern w:val="0"/>
                <w:sz w:val="28"/>
                <w:szCs w:val="28"/>
              </w:rPr>
              <w:t>预算数:</w:t>
            </w:r>
          </w:p>
        </w:tc>
        <w:tc>
          <w:tcPr>
            <w:tcW w:w="2372" w:type="dxa"/>
            <w:shd w:val="clear" w:color="auto" w:fill="FFFFFF"/>
            <w:vAlign w:val="center"/>
          </w:tcPr>
          <w:p>
            <w:pPr>
              <w:widowControl/>
              <w:textAlignment w:val="center"/>
            </w:pPr>
            <w:r>
              <w:rPr>
                <w:rFonts w:hint="eastAsia" w:ascii="宋体" w:hAnsi="宋体" w:eastAsia="宋体" w:cs="宋体"/>
                <w:color w:val="333333"/>
                <w:kern w:val="0"/>
                <w:sz w:val="28"/>
                <w:szCs w:val="28"/>
              </w:rPr>
              <w:t>10</w:t>
            </w:r>
          </w:p>
        </w:tc>
        <w:tc>
          <w:tcPr>
            <w:tcW w:w="2372" w:type="dxa"/>
            <w:shd w:val="clear" w:color="auto" w:fill="FFFFFF"/>
            <w:vAlign w:val="center"/>
          </w:tcPr>
          <w:p>
            <w:pPr>
              <w:widowControl/>
              <w:textAlignment w:val="center"/>
            </w:pPr>
            <w:r>
              <w:rPr>
                <w:rFonts w:hint="eastAsia" w:ascii="宋体" w:hAnsi="宋体" w:eastAsia="宋体" w:cs="宋体"/>
                <w:color w:val="333333"/>
                <w:kern w:val="0"/>
                <w:sz w:val="28"/>
                <w:szCs w:val="28"/>
              </w:rPr>
              <w:t>执行数:</w:t>
            </w:r>
          </w:p>
        </w:tc>
        <w:tc>
          <w:tcPr>
            <w:tcW w:w="2403" w:type="dxa"/>
            <w:shd w:val="clear" w:color="auto" w:fill="FFFFFF"/>
            <w:vAlign w:val="center"/>
          </w:tcPr>
          <w:p>
            <w:pPr>
              <w:widowControl/>
              <w:textAlignment w:val="center"/>
            </w:pPr>
            <w:r>
              <w:rPr>
                <w:rFonts w:hint="eastAsia" w:ascii="宋体" w:hAnsi="宋体" w:eastAsia="宋体" w:cs="宋体"/>
                <w:color w:val="333333"/>
                <w:kern w:val="0"/>
                <w:sz w:val="28"/>
                <w:szCs w:val="28"/>
              </w:rPr>
              <w:t>11.79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jc w:val="center"/>
        </w:trPr>
        <w:tc>
          <w:tcPr>
            <w:tcW w:w="700" w:type="dxa"/>
            <w:vMerge w:val="continue"/>
            <w:shd w:val="clear" w:color="auto" w:fill="FFFFFF"/>
            <w:vAlign w:val="center"/>
          </w:tcPr>
          <w:p>
            <w:pPr>
              <w:rPr>
                <w:rFonts w:ascii="微软雅黑" w:hAnsi="微软雅黑" w:eastAsia="微软雅黑" w:cs="微软雅黑"/>
                <w:color w:val="333333"/>
                <w:sz w:val="18"/>
                <w:szCs w:val="18"/>
              </w:rPr>
            </w:pPr>
          </w:p>
        </w:tc>
        <w:tc>
          <w:tcPr>
            <w:tcW w:w="2113" w:type="dxa"/>
            <w:gridSpan w:val="2"/>
            <w:shd w:val="clear" w:color="auto" w:fill="FFFFFF"/>
            <w:vAlign w:val="center"/>
          </w:tcPr>
          <w:p>
            <w:pPr>
              <w:widowControl/>
              <w:jc w:val="center"/>
              <w:textAlignment w:val="center"/>
            </w:pPr>
            <w:r>
              <w:rPr>
                <w:rFonts w:hint="eastAsia" w:ascii="宋体" w:hAnsi="宋体" w:eastAsia="宋体" w:cs="宋体"/>
                <w:color w:val="333333"/>
                <w:kern w:val="0"/>
                <w:sz w:val="28"/>
                <w:szCs w:val="28"/>
              </w:rPr>
              <w:t>其中-财政拨款:</w:t>
            </w:r>
          </w:p>
        </w:tc>
        <w:tc>
          <w:tcPr>
            <w:tcW w:w="2372" w:type="dxa"/>
            <w:shd w:val="clear" w:color="auto" w:fill="FFFFFF"/>
            <w:vAlign w:val="center"/>
          </w:tcPr>
          <w:p>
            <w:pPr>
              <w:widowControl/>
              <w:textAlignment w:val="center"/>
            </w:pPr>
            <w:r>
              <w:rPr>
                <w:rFonts w:hint="eastAsia" w:ascii="宋体" w:hAnsi="宋体" w:eastAsia="宋体" w:cs="宋体"/>
                <w:color w:val="333333"/>
                <w:kern w:val="0"/>
                <w:sz w:val="28"/>
                <w:szCs w:val="28"/>
              </w:rPr>
              <w:t>10</w:t>
            </w:r>
          </w:p>
        </w:tc>
        <w:tc>
          <w:tcPr>
            <w:tcW w:w="2372" w:type="dxa"/>
            <w:shd w:val="clear" w:color="auto" w:fill="FFFFFF"/>
            <w:vAlign w:val="center"/>
          </w:tcPr>
          <w:p>
            <w:pPr>
              <w:widowControl/>
              <w:textAlignment w:val="center"/>
            </w:pPr>
            <w:r>
              <w:rPr>
                <w:rFonts w:hint="eastAsia" w:ascii="宋体" w:hAnsi="宋体" w:eastAsia="宋体" w:cs="宋体"/>
                <w:color w:val="333333"/>
                <w:kern w:val="0"/>
                <w:sz w:val="28"/>
                <w:szCs w:val="28"/>
              </w:rPr>
              <w:t>其中-财政拨款:</w:t>
            </w:r>
          </w:p>
        </w:tc>
        <w:tc>
          <w:tcPr>
            <w:tcW w:w="2403" w:type="dxa"/>
            <w:shd w:val="clear" w:color="auto" w:fill="FFFFFF"/>
            <w:vAlign w:val="center"/>
          </w:tcPr>
          <w:p>
            <w:pPr>
              <w:widowControl/>
              <w:textAlignment w:val="center"/>
            </w:pPr>
            <w:r>
              <w:rPr>
                <w:rFonts w:hint="eastAsia" w:ascii="宋体" w:hAnsi="宋体" w:eastAsia="宋体" w:cs="宋体"/>
                <w:color w:val="333333"/>
                <w:kern w:val="0"/>
                <w:sz w:val="28"/>
                <w:szCs w:val="28"/>
              </w:rPr>
              <w:t>11.79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jc w:val="center"/>
        </w:trPr>
        <w:tc>
          <w:tcPr>
            <w:tcW w:w="700" w:type="dxa"/>
            <w:vMerge w:val="continue"/>
            <w:shd w:val="clear" w:color="auto" w:fill="FFFFFF"/>
            <w:vAlign w:val="center"/>
          </w:tcPr>
          <w:p>
            <w:pPr>
              <w:rPr>
                <w:rFonts w:ascii="微软雅黑" w:hAnsi="微软雅黑" w:eastAsia="微软雅黑" w:cs="微软雅黑"/>
                <w:color w:val="333333"/>
                <w:sz w:val="18"/>
                <w:szCs w:val="18"/>
              </w:rPr>
            </w:pPr>
          </w:p>
        </w:tc>
        <w:tc>
          <w:tcPr>
            <w:tcW w:w="2113" w:type="dxa"/>
            <w:gridSpan w:val="2"/>
            <w:shd w:val="clear" w:color="auto" w:fill="FFFFFF"/>
            <w:vAlign w:val="center"/>
          </w:tcPr>
          <w:p>
            <w:pPr>
              <w:widowControl/>
              <w:jc w:val="center"/>
              <w:textAlignment w:val="center"/>
            </w:pPr>
            <w:r>
              <w:rPr>
                <w:rFonts w:hint="eastAsia" w:ascii="宋体" w:hAnsi="宋体" w:eastAsia="宋体" w:cs="宋体"/>
                <w:color w:val="333333"/>
                <w:kern w:val="0"/>
                <w:sz w:val="28"/>
                <w:szCs w:val="28"/>
              </w:rPr>
              <w:t>其它资金:</w:t>
            </w:r>
          </w:p>
        </w:tc>
        <w:tc>
          <w:tcPr>
            <w:tcW w:w="2372" w:type="dxa"/>
            <w:shd w:val="clear" w:color="auto" w:fill="FFFFFF"/>
            <w:vAlign w:val="center"/>
          </w:tcPr>
          <w:p>
            <w:pPr>
              <w:widowControl/>
              <w:textAlignment w:val="center"/>
            </w:pPr>
            <w:r>
              <w:rPr>
                <w:rFonts w:hint="eastAsia" w:ascii="宋体" w:hAnsi="宋体" w:eastAsia="宋体" w:cs="宋体"/>
                <w:color w:val="333333"/>
                <w:kern w:val="0"/>
                <w:sz w:val="28"/>
                <w:szCs w:val="28"/>
              </w:rPr>
              <w:t>0</w:t>
            </w:r>
          </w:p>
        </w:tc>
        <w:tc>
          <w:tcPr>
            <w:tcW w:w="2372" w:type="dxa"/>
            <w:shd w:val="clear" w:color="auto" w:fill="FFFFFF"/>
            <w:vAlign w:val="center"/>
          </w:tcPr>
          <w:p>
            <w:pPr>
              <w:widowControl/>
              <w:textAlignment w:val="center"/>
            </w:pPr>
            <w:r>
              <w:rPr>
                <w:rFonts w:hint="eastAsia" w:ascii="宋体" w:hAnsi="宋体" w:eastAsia="宋体" w:cs="宋体"/>
                <w:color w:val="333333"/>
                <w:kern w:val="0"/>
                <w:sz w:val="28"/>
                <w:szCs w:val="28"/>
              </w:rPr>
              <w:t>其它资金:</w:t>
            </w:r>
          </w:p>
        </w:tc>
        <w:tc>
          <w:tcPr>
            <w:tcW w:w="2403" w:type="dxa"/>
            <w:shd w:val="clear" w:color="auto" w:fill="FFFFFF"/>
            <w:vAlign w:val="center"/>
          </w:tcPr>
          <w:p>
            <w:pPr>
              <w:widowControl/>
            </w:pPr>
            <w:r>
              <w:rPr>
                <w:rFonts w:hint="eastAsia" w:ascii="宋体" w:hAnsi="宋体" w:eastAsia="宋体" w:cs="宋体"/>
                <w:color w:val="333333"/>
                <w:kern w:val="0"/>
                <w:sz w:val="28"/>
                <w:szCs w:val="2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jc w:val="center"/>
        </w:trPr>
        <w:tc>
          <w:tcPr>
            <w:tcW w:w="700" w:type="dxa"/>
            <w:vMerge w:val="restart"/>
            <w:shd w:val="clear" w:color="auto" w:fill="FFFFFF"/>
            <w:vAlign w:val="center"/>
          </w:tcPr>
          <w:p>
            <w:pPr>
              <w:widowControl/>
              <w:jc w:val="center"/>
              <w:textAlignment w:val="center"/>
            </w:pPr>
            <w:r>
              <w:rPr>
                <w:rFonts w:hint="eastAsia" w:ascii="宋体" w:hAnsi="宋体" w:eastAsia="宋体" w:cs="宋体"/>
                <w:color w:val="333333"/>
                <w:kern w:val="0"/>
                <w:sz w:val="28"/>
                <w:szCs w:val="28"/>
              </w:rPr>
              <w:t>年度目标完成情况</w:t>
            </w:r>
          </w:p>
        </w:tc>
        <w:tc>
          <w:tcPr>
            <w:tcW w:w="4485" w:type="dxa"/>
            <w:gridSpan w:val="3"/>
            <w:shd w:val="clear" w:color="auto" w:fill="FFFFFF"/>
            <w:vAlign w:val="center"/>
          </w:tcPr>
          <w:p>
            <w:pPr>
              <w:widowControl/>
              <w:textAlignment w:val="center"/>
            </w:pPr>
            <w:r>
              <w:rPr>
                <w:rFonts w:hint="eastAsia" w:ascii="宋体" w:hAnsi="宋体" w:eastAsia="宋体" w:cs="宋体"/>
                <w:color w:val="333333"/>
                <w:kern w:val="0"/>
                <w:sz w:val="28"/>
                <w:szCs w:val="28"/>
              </w:rPr>
              <w:t>预期目标</w:t>
            </w:r>
          </w:p>
        </w:tc>
        <w:tc>
          <w:tcPr>
            <w:tcW w:w="4775" w:type="dxa"/>
            <w:gridSpan w:val="2"/>
            <w:shd w:val="clear" w:color="auto" w:fill="FFFFFF"/>
            <w:vAlign w:val="center"/>
          </w:tcPr>
          <w:p>
            <w:pPr>
              <w:widowControl/>
              <w:textAlignment w:val="center"/>
            </w:pPr>
            <w:r>
              <w:rPr>
                <w:rFonts w:hint="eastAsia" w:ascii="宋体" w:hAnsi="宋体" w:eastAsia="宋体" w:cs="宋体"/>
                <w:color w:val="333333"/>
                <w:kern w:val="0"/>
                <w:sz w:val="28"/>
                <w:szCs w:val="28"/>
              </w:rPr>
              <w:t>实际完成目标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jc w:val="center"/>
        </w:trPr>
        <w:tc>
          <w:tcPr>
            <w:tcW w:w="700" w:type="dxa"/>
            <w:vMerge w:val="continue"/>
            <w:shd w:val="clear" w:color="auto" w:fill="FFFFFF"/>
            <w:vAlign w:val="center"/>
          </w:tcPr>
          <w:p>
            <w:pPr>
              <w:rPr>
                <w:rFonts w:ascii="微软雅黑" w:hAnsi="微软雅黑" w:eastAsia="微软雅黑" w:cs="微软雅黑"/>
                <w:color w:val="333333"/>
                <w:sz w:val="18"/>
                <w:szCs w:val="18"/>
              </w:rPr>
            </w:pPr>
          </w:p>
        </w:tc>
        <w:tc>
          <w:tcPr>
            <w:tcW w:w="4485" w:type="dxa"/>
            <w:gridSpan w:val="3"/>
            <w:shd w:val="clear" w:color="auto" w:fill="FFFFFF"/>
            <w:vAlign w:val="center"/>
          </w:tcPr>
          <w:p>
            <w:pPr>
              <w:widowControl/>
              <w:textAlignment w:val="center"/>
            </w:pPr>
            <w:r>
              <w:rPr>
                <w:rFonts w:hint="eastAsia" w:ascii="宋体" w:hAnsi="宋体" w:eastAsia="宋体" w:cs="宋体"/>
                <w:color w:val="333333"/>
                <w:kern w:val="0"/>
                <w:sz w:val="28"/>
                <w:szCs w:val="28"/>
              </w:rPr>
              <w:t>培训8000人</w:t>
            </w:r>
          </w:p>
        </w:tc>
        <w:tc>
          <w:tcPr>
            <w:tcW w:w="4775" w:type="dxa"/>
            <w:gridSpan w:val="2"/>
            <w:shd w:val="clear" w:color="auto" w:fill="FFFFFF"/>
            <w:vAlign w:val="center"/>
          </w:tcPr>
          <w:p>
            <w:pPr>
              <w:widowControl/>
              <w:textAlignment w:val="center"/>
            </w:pPr>
            <w:r>
              <w:rPr>
                <w:rFonts w:hint="eastAsia" w:ascii="宋体" w:hAnsi="宋体" w:eastAsia="宋体" w:cs="宋体"/>
                <w:color w:val="333333"/>
                <w:kern w:val="0"/>
                <w:sz w:val="28"/>
                <w:szCs w:val="28"/>
              </w:rPr>
              <w:t>培训8000人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jc w:val="center"/>
        </w:trPr>
        <w:tc>
          <w:tcPr>
            <w:tcW w:w="700" w:type="dxa"/>
            <w:vMerge w:val="restart"/>
            <w:shd w:val="clear" w:color="auto" w:fill="FFFFFF"/>
            <w:vAlign w:val="center"/>
          </w:tcPr>
          <w:p>
            <w:pPr>
              <w:widowControl/>
              <w:jc w:val="center"/>
              <w:textAlignment w:val="center"/>
            </w:pPr>
            <w:r>
              <w:rPr>
                <w:rFonts w:hint="eastAsia" w:ascii="宋体" w:hAnsi="宋体" w:eastAsia="宋体" w:cs="宋体"/>
                <w:color w:val="333333"/>
                <w:kern w:val="0"/>
                <w:sz w:val="28"/>
                <w:szCs w:val="28"/>
              </w:rPr>
              <w:t>绩效指标完成情况</w:t>
            </w:r>
          </w:p>
        </w:tc>
        <w:tc>
          <w:tcPr>
            <w:tcW w:w="1098" w:type="dxa"/>
            <w:shd w:val="clear" w:color="auto" w:fill="FFFFFF"/>
            <w:vAlign w:val="center"/>
          </w:tcPr>
          <w:p>
            <w:pPr>
              <w:widowControl/>
              <w:jc w:val="center"/>
              <w:textAlignment w:val="center"/>
            </w:pPr>
            <w:r>
              <w:rPr>
                <w:rFonts w:hint="eastAsia" w:ascii="宋体" w:hAnsi="宋体" w:eastAsia="宋体" w:cs="宋体"/>
                <w:color w:val="333333"/>
                <w:kern w:val="0"/>
                <w:sz w:val="28"/>
                <w:szCs w:val="28"/>
              </w:rPr>
              <w:t>一级指标</w:t>
            </w:r>
          </w:p>
        </w:tc>
        <w:tc>
          <w:tcPr>
            <w:tcW w:w="1015" w:type="dxa"/>
            <w:shd w:val="clear" w:color="auto" w:fill="FFFFFF"/>
            <w:vAlign w:val="center"/>
          </w:tcPr>
          <w:p>
            <w:pPr>
              <w:widowControl/>
              <w:jc w:val="center"/>
              <w:textAlignment w:val="center"/>
            </w:pPr>
            <w:r>
              <w:rPr>
                <w:rFonts w:hint="eastAsia" w:ascii="宋体" w:hAnsi="宋体" w:eastAsia="宋体" w:cs="宋体"/>
                <w:color w:val="333333"/>
                <w:kern w:val="0"/>
                <w:sz w:val="28"/>
                <w:szCs w:val="28"/>
              </w:rPr>
              <w:t>二级指标</w:t>
            </w:r>
          </w:p>
        </w:tc>
        <w:tc>
          <w:tcPr>
            <w:tcW w:w="2372" w:type="dxa"/>
            <w:shd w:val="clear" w:color="auto" w:fill="FFFFFF"/>
            <w:vAlign w:val="center"/>
          </w:tcPr>
          <w:p>
            <w:pPr>
              <w:widowControl/>
              <w:textAlignment w:val="center"/>
            </w:pPr>
            <w:r>
              <w:rPr>
                <w:rFonts w:hint="eastAsia" w:ascii="宋体" w:hAnsi="宋体" w:eastAsia="宋体" w:cs="宋体"/>
                <w:color w:val="333333"/>
                <w:kern w:val="0"/>
                <w:sz w:val="28"/>
                <w:szCs w:val="28"/>
              </w:rPr>
              <w:t>三级指标</w:t>
            </w:r>
          </w:p>
        </w:tc>
        <w:tc>
          <w:tcPr>
            <w:tcW w:w="2372" w:type="dxa"/>
            <w:shd w:val="clear" w:color="auto" w:fill="FFFFFF"/>
            <w:vAlign w:val="center"/>
          </w:tcPr>
          <w:p>
            <w:pPr>
              <w:widowControl/>
              <w:textAlignment w:val="center"/>
            </w:pPr>
            <w:r>
              <w:rPr>
                <w:rFonts w:hint="eastAsia" w:ascii="宋体" w:hAnsi="宋体" w:eastAsia="宋体" w:cs="宋体"/>
                <w:color w:val="333333"/>
                <w:kern w:val="0"/>
                <w:sz w:val="28"/>
                <w:szCs w:val="28"/>
              </w:rPr>
              <w:t>预期指标值(包含数字及文字描述)</w:t>
            </w:r>
          </w:p>
        </w:tc>
        <w:tc>
          <w:tcPr>
            <w:tcW w:w="2403" w:type="dxa"/>
            <w:shd w:val="clear" w:color="auto" w:fill="FFFFFF"/>
            <w:vAlign w:val="center"/>
          </w:tcPr>
          <w:p>
            <w:pPr>
              <w:widowControl/>
              <w:textAlignment w:val="center"/>
            </w:pPr>
            <w:r>
              <w:rPr>
                <w:rFonts w:hint="eastAsia" w:ascii="宋体" w:hAnsi="宋体" w:eastAsia="宋体" w:cs="宋体"/>
                <w:color w:val="333333"/>
                <w:kern w:val="0"/>
                <w:sz w:val="28"/>
                <w:szCs w:val="28"/>
              </w:rPr>
              <w:t>实际完成指标值(包含数字及文字描述)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jc w:val="center"/>
        </w:trPr>
        <w:tc>
          <w:tcPr>
            <w:tcW w:w="700" w:type="dxa"/>
            <w:vMerge w:val="continue"/>
            <w:shd w:val="clear" w:color="auto" w:fill="FFFFFF"/>
            <w:vAlign w:val="center"/>
          </w:tcPr>
          <w:p>
            <w:pPr>
              <w:rPr>
                <w:rFonts w:ascii="微软雅黑" w:hAnsi="微软雅黑" w:eastAsia="微软雅黑" w:cs="微软雅黑"/>
                <w:color w:val="333333"/>
                <w:sz w:val="18"/>
                <w:szCs w:val="18"/>
              </w:rPr>
            </w:pPr>
          </w:p>
        </w:tc>
        <w:tc>
          <w:tcPr>
            <w:tcW w:w="1098" w:type="dxa"/>
            <w:shd w:val="clear" w:color="auto" w:fill="FFFFFF"/>
            <w:vAlign w:val="center"/>
          </w:tcPr>
          <w:p>
            <w:pPr>
              <w:widowControl/>
              <w:jc w:val="center"/>
              <w:textAlignment w:val="center"/>
            </w:pPr>
            <w:r>
              <w:rPr>
                <w:rFonts w:hint="eastAsia" w:ascii="宋体" w:hAnsi="宋体" w:eastAsia="宋体" w:cs="宋体"/>
                <w:color w:val="333333"/>
                <w:kern w:val="0"/>
                <w:sz w:val="28"/>
                <w:szCs w:val="28"/>
              </w:rPr>
              <w:t>项目完成指标</w:t>
            </w:r>
          </w:p>
        </w:tc>
        <w:tc>
          <w:tcPr>
            <w:tcW w:w="1015" w:type="dxa"/>
            <w:shd w:val="clear" w:color="auto" w:fill="FFFFFF"/>
            <w:vAlign w:val="center"/>
          </w:tcPr>
          <w:p>
            <w:pPr>
              <w:widowControl/>
              <w:jc w:val="center"/>
            </w:pPr>
            <w:r>
              <w:rPr>
                <w:rFonts w:hint="eastAsia" w:ascii="宋体" w:hAnsi="宋体" w:eastAsia="宋体" w:cs="宋体"/>
                <w:color w:val="333333"/>
                <w:kern w:val="0"/>
                <w:sz w:val="28"/>
                <w:szCs w:val="28"/>
              </w:rPr>
              <w:t>数量指标</w:t>
            </w:r>
          </w:p>
        </w:tc>
        <w:tc>
          <w:tcPr>
            <w:tcW w:w="2372" w:type="dxa"/>
            <w:shd w:val="clear" w:color="auto" w:fill="FFFFFF"/>
            <w:vAlign w:val="center"/>
          </w:tcPr>
          <w:p>
            <w:pPr>
              <w:widowControl/>
            </w:pPr>
            <w:r>
              <w:rPr>
                <w:rFonts w:hint="eastAsia" w:ascii="宋体" w:hAnsi="宋体" w:eastAsia="宋体" w:cs="宋体"/>
                <w:color w:val="333333"/>
                <w:kern w:val="0"/>
                <w:sz w:val="28"/>
                <w:szCs w:val="28"/>
              </w:rPr>
              <w:t>培训人次</w:t>
            </w:r>
          </w:p>
        </w:tc>
        <w:tc>
          <w:tcPr>
            <w:tcW w:w="2372" w:type="dxa"/>
            <w:shd w:val="clear" w:color="auto" w:fill="FFFFFF"/>
            <w:vAlign w:val="center"/>
          </w:tcPr>
          <w:p>
            <w:pPr>
              <w:widowControl/>
            </w:pPr>
            <w:r>
              <w:rPr>
                <w:rFonts w:hint="eastAsia" w:ascii="宋体" w:hAnsi="宋体" w:eastAsia="宋体" w:cs="宋体"/>
                <w:color w:val="333333"/>
                <w:kern w:val="0"/>
                <w:sz w:val="28"/>
                <w:szCs w:val="28"/>
              </w:rPr>
              <w:t>8000</w:t>
            </w:r>
          </w:p>
        </w:tc>
        <w:tc>
          <w:tcPr>
            <w:tcW w:w="2403" w:type="dxa"/>
            <w:shd w:val="clear" w:color="auto" w:fill="FFFFFF"/>
            <w:vAlign w:val="center"/>
          </w:tcPr>
          <w:p>
            <w:pPr>
              <w:widowControl/>
            </w:pPr>
            <w:r>
              <w:rPr>
                <w:rFonts w:hint="eastAsia" w:ascii="宋体" w:hAnsi="宋体" w:eastAsia="宋体" w:cs="宋体"/>
                <w:color w:val="333333"/>
                <w:kern w:val="0"/>
                <w:sz w:val="28"/>
                <w:szCs w:val="28"/>
              </w:rPr>
              <w:t>8000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jc w:val="center"/>
        </w:trPr>
        <w:tc>
          <w:tcPr>
            <w:tcW w:w="700" w:type="dxa"/>
            <w:vMerge w:val="continue"/>
            <w:shd w:val="clear" w:color="auto" w:fill="FFFFFF"/>
            <w:vAlign w:val="center"/>
          </w:tcPr>
          <w:p>
            <w:pPr>
              <w:rPr>
                <w:rFonts w:ascii="微软雅黑" w:hAnsi="微软雅黑" w:eastAsia="微软雅黑" w:cs="微软雅黑"/>
                <w:color w:val="333333"/>
                <w:sz w:val="18"/>
                <w:szCs w:val="18"/>
              </w:rPr>
            </w:pPr>
          </w:p>
        </w:tc>
        <w:tc>
          <w:tcPr>
            <w:tcW w:w="1098" w:type="dxa"/>
            <w:shd w:val="clear" w:color="auto" w:fill="FFFFFF"/>
            <w:vAlign w:val="center"/>
          </w:tcPr>
          <w:p>
            <w:pPr>
              <w:widowControl/>
              <w:jc w:val="center"/>
              <w:textAlignment w:val="center"/>
            </w:pPr>
            <w:r>
              <w:rPr>
                <w:rFonts w:hint="eastAsia" w:ascii="宋体" w:hAnsi="宋体" w:eastAsia="宋体" w:cs="宋体"/>
                <w:color w:val="333333"/>
                <w:kern w:val="0"/>
                <w:sz w:val="28"/>
                <w:szCs w:val="28"/>
              </w:rPr>
              <w:t>项目完成指标</w:t>
            </w:r>
          </w:p>
        </w:tc>
        <w:tc>
          <w:tcPr>
            <w:tcW w:w="1015" w:type="dxa"/>
            <w:shd w:val="clear" w:color="auto" w:fill="FFFFFF"/>
            <w:vAlign w:val="center"/>
          </w:tcPr>
          <w:p>
            <w:pPr>
              <w:widowControl/>
              <w:jc w:val="center"/>
            </w:pPr>
            <w:r>
              <w:rPr>
                <w:rFonts w:hint="eastAsia" w:ascii="宋体" w:hAnsi="宋体" w:eastAsia="宋体" w:cs="宋体"/>
                <w:color w:val="333333"/>
                <w:kern w:val="0"/>
                <w:sz w:val="28"/>
                <w:szCs w:val="28"/>
              </w:rPr>
              <w:t>质量指标</w:t>
            </w:r>
          </w:p>
        </w:tc>
        <w:tc>
          <w:tcPr>
            <w:tcW w:w="2372" w:type="dxa"/>
            <w:shd w:val="clear" w:color="auto" w:fill="FFFFFF"/>
            <w:vAlign w:val="center"/>
          </w:tcPr>
          <w:p>
            <w:pPr>
              <w:widowControl/>
            </w:pPr>
            <w:r>
              <w:rPr>
                <w:rFonts w:hint="eastAsia" w:ascii="宋体" w:hAnsi="宋体" w:eastAsia="宋体" w:cs="宋体"/>
                <w:color w:val="333333"/>
                <w:kern w:val="0"/>
                <w:sz w:val="28"/>
                <w:szCs w:val="28"/>
              </w:rPr>
              <w:t>教学质量达标，学员培训合格。</w:t>
            </w:r>
          </w:p>
        </w:tc>
        <w:tc>
          <w:tcPr>
            <w:tcW w:w="2372" w:type="dxa"/>
            <w:shd w:val="clear" w:color="auto" w:fill="FFFFFF"/>
            <w:vAlign w:val="center"/>
          </w:tcPr>
          <w:p>
            <w:pPr>
              <w:widowControl/>
            </w:pPr>
            <w:r>
              <w:rPr>
                <w:rFonts w:hint="eastAsia" w:ascii="宋体" w:hAnsi="宋体" w:eastAsia="宋体" w:cs="宋体"/>
                <w:color w:val="333333"/>
                <w:kern w:val="0"/>
                <w:sz w:val="28"/>
                <w:szCs w:val="28"/>
              </w:rPr>
              <w:t>受训人员考试合格</w:t>
            </w:r>
          </w:p>
        </w:tc>
        <w:tc>
          <w:tcPr>
            <w:tcW w:w="2403" w:type="dxa"/>
            <w:shd w:val="clear" w:color="auto" w:fill="FFFFFF"/>
            <w:vAlign w:val="center"/>
          </w:tcPr>
          <w:p>
            <w:pPr>
              <w:widowControl/>
            </w:pPr>
            <w:r>
              <w:rPr>
                <w:rFonts w:hint="eastAsia" w:ascii="宋体" w:hAnsi="宋体" w:eastAsia="宋体" w:cs="宋体"/>
                <w:color w:val="333333"/>
                <w:kern w:val="0"/>
                <w:sz w:val="28"/>
                <w:szCs w:val="28"/>
              </w:rPr>
              <w:t>受训人员考试合格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jc w:val="center"/>
        </w:trPr>
        <w:tc>
          <w:tcPr>
            <w:tcW w:w="700" w:type="dxa"/>
            <w:vMerge w:val="restart"/>
            <w:shd w:val="clear" w:color="auto" w:fill="FFFFFF"/>
            <w:vAlign w:val="center"/>
          </w:tcPr>
          <w:p>
            <w:pPr>
              <w:rPr>
                <w:rFonts w:ascii="微软雅黑" w:hAnsi="微软雅黑" w:eastAsia="微软雅黑" w:cs="微软雅黑"/>
                <w:color w:val="333333"/>
                <w:sz w:val="18"/>
                <w:szCs w:val="18"/>
              </w:rPr>
            </w:pPr>
            <w:r>
              <w:rPr>
                <w:rFonts w:hint="eastAsia" w:ascii="宋体" w:hAnsi="宋体" w:eastAsia="宋体" w:cs="宋体"/>
                <w:color w:val="333333"/>
                <w:kern w:val="0"/>
                <w:sz w:val="28"/>
                <w:szCs w:val="28"/>
              </w:rPr>
              <w:t>绩效指标完成情况</w:t>
            </w:r>
          </w:p>
        </w:tc>
        <w:tc>
          <w:tcPr>
            <w:tcW w:w="1098" w:type="dxa"/>
            <w:shd w:val="clear" w:color="auto" w:fill="FFFFFF"/>
            <w:vAlign w:val="center"/>
          </w:tcPr>
          <w:p>
            <w:pPr>
              <w:widowControl/>
              <w:jc w:val="center"/>
              <w:textAlignment w:val="center"/>
            </w:pPr>
            <w:r>
              <w:rPr>
                <w:rFonts w:hint="eastAsia" w:ascii="宋体" w:hAnsi="宋体" w:eastAsia="宋体" w:cs="宋体"/>
                <w:color w:val="333333"/>
                <w:kern w:val="0"/>
                <w:sz w:val="28"/>
                <w:szCs w:val="28"/>
              </w:rPr>
              <w:t>项目完成指标</w:t>
            </w:r>
          </w:p>
        </w:tc>
        <w:tc>
          <w:tcPr>
            <w:tcW w:w="1015" w:type="dxa"/>
            <w:shd w:val="clear" w:color="auto" w:fill="FFFFFF"/>
            <w:vAlign w:val="center"/>
          </w:tcPr>
          <w:p>
            <w:pPr>
              <w:widowControl/>
              <w:jc w:val="center"/>
            </w:pPr>
            <w:r>
              <w:rPr>
                <w:rFonts w:hint="eastAsia" w:ascii="宋体" w:hAnsi="宋体" w:eastAsia="宋体" w:cs="宋体"/>
                <w:color w:val="333333"/>
                <w:kern w:val="0"/>
                <w:sz w:val="28"/>
                <w:szCs w:val="28"/>
              </w:rPr>
              <w:t>时效指标</w:t>
            </w:r>
          </w:p>
        </w:tc>
        <w:tc>
          <w:tcPr>
            <w:tcW w:w="2372" w:type="dxa"/>
            <w:shd w:val="clear" w:color="auto" w:fill="FFFFFF"/>
            <w:vAlign w:val="center"/>
          </w:tcPr>
          <w:p>
            <w:pPr>
              <w:widowControl/>
            </w:pPr>
            <w:r>
              <w:rPr>
                <w:rFonts w:hint="eastAsia" w:ascii="宋体" w:hAnsi="宋体" w:eastAsia="宋体" w:cs="宋体"/>
                <w:color w:val="333333"/>
                <w:kern w:val="0"/>
                <w:sz w:val="28"/>
                <w:szCs w:val="28"/>
              </w:rPr>
              <w:t>完成时间</w:t>
            </w:r>
          </w:p>
        </w:tc>
        <w:tc>
          <w:tcPr>
            <w:tcW w:w="2372" w:type="dxa"/>
            <w:shd w:val="clear" w:color="auto" w:fill="FFFFFF"/>
            <w:vAlign w:val="center"/>
          </w:tcPr>
          <w:p>
            <w:pPr>
              <w:widowControl/>
            </w:pPr>
            <w:r>
              <w:rPr>
                <w:rFonts w:hint="eastAsia" w:ascii="宋体" w:hAnsi="宋体" w:eastAsia="宋体" w:cs="宋体"/>
                <w:color w:val="333333"/>
                <w:kern w:val="0"/>
                <w:sz w:val="28"/>
                <w:szCs w:val="28"/>
              </w:rPr>
              <w:t>12月31日前</w:t>
            </w:r>
          </w:p>
        </w:tc>
        <w:tc>
          <w:tcPr>
            <w:tcW w:w="2403" w:type="dxa"/>
            <w:shd w:val="clear" w:color="auto" w:fill="FFFFFF"/>
            <w:vAlign w:val="center"/>
          </w:tcPr>
          <w:p>
            <w:pPr>
              <w:widowControl/>
            </w:pPr>
            <w:r>
              <w:rPr>
                <w:rFonts w:hint="eastAsia" w:ascii="宋体" w:hAnsi="宋体" w:eastAsia="宋体" w:cs="宋体"/>
                <w:color w:val="333333"/>
                <w:kern w:val="0"/>
                <w:sz w:val="28"/>
                <w:szCs w:val="28"/>
              </w:rPr>
              <w:t>12月31日前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jc w:val="center"/>
        </w:trPr>
        <w:tc>
          <w:tcPr>
            <w:tcW w:w="700" w:type="dxa"/>
            <w:vMerge w:val="continue"/>
            <w:shd w:val="clear" w:color="auto" w:fill="FFFFFF"/>
            <w:vAlign w:val="center"/>
          </w:tcPr>
          <w:p>
            <w:pPr>
              <w:rPr>
                <w:rFonts w:ascii="微软雅黑" w:hAnsi="微软雅黑" w:eastAsia="微软雅黑" w:cs="微软雅黑"/>
                <w:color w:val="333333"/>
                <w:sz w:val="18"/>
                <w:szCs w:val="18"/>
              </w:rPr>
            </w:pPr>
          </w:p>
        </w:tc>
        <w:tc>
          <w:tcPr>
            <w:tcW w:w="1098" w:type="dxa"/>
            <w:shd w:val="clear" w:color="auto" w:fill="FFFFFF"/>
            <w:vAlign w:val="center"/>
          </w:tcPr>
          <w:p>
            <w:pPr>
              <w:widowControl/>
              <w:jc w:val="center"/>
              <w:textAlignment w:val="center"/>
            </w:pPr>
            <w:r>
              <w:rPr>
                <w:rFonts w:hint="eastAsia" w:ascii="宋体" w:hAnsi="宋体" w:eastAsia="宋体" w:cs="宋体"/>
                <w:color w:val="333333"/>
                <w:kern w:val="0"/>
                <w:sz w:val="28"/>
                <w:szCs w:val="28"/>
              </w:rPr>
              <w:t>项目完成指标</w:t>
            </w:r>
          </w:p>
        </w:tc>
        <w:tc>
          <w:tcPr>
            <w:tcW w:w="1015" w:type="dxa"/>
            <w:shd w:val="clear" w:color="auto" w:fill="FFFFFF"/>
            <w:vAlign w:val="center"/>
          </w:tcPr>
          <w:p>
            <w:pPr>
              <w:widowControl/>
              <w:jc w:val="center"/>
            </w:pPr>
            <w:r>
              <w:rPr>
                <w:rFonts w:hint="eastAsia" w:ascii="宋体" w:hAnsi="宋体" w:eastAsia="宋体" w:cs="宋体"/>
                <w:color w:val="333333"/>
                <w:kern w:val="0"/>
                <w:sz w:val="28"/>
                <w:szCs w:val="28"/>
              </w:rPr>
              <w:t>成本指标</w:t>
            </w:r>
          </w:p>
        </w:tc>
        <w:tc>
          <w:tcPr>
            <w:tcW w:w="2372" w:type="dxa"/>
            <w:shd w:val="clear" w:color="auto" w:fill="FFFFFF"/>
            <w:vAlign w:val="center"/>
          </w:tcPr>
          <w:p>
            <w:pPr>
              <w:widowControl/>
            </w:pPr>
            <w:r>
              <w:rPr>
                <w:rFonts w:hint="eastAsia" w:ascii="宋体" w:hAnsi="宋体" w:eastAsia="宋体" w:cs="宋体"/>
                <w:color w:val="333333"/>
                <w:kern w:val="0"/>
                <w:sz w:val="28"/>
                <w:szCs w:val="28"/>
              </w:rPr>
              <w:t>教材、器材、讲课费、交通费、资料费、制证费等</w:t>
            </w:r>
          </w:p>
        </w:tc>
        <w:tc>
          <w:tcPr>
            <w:tcW w:w="2372" w:type="dxa"/>
            <w:shd w:val="clear" w:color="auto" w:fill="FFFFFF"/>
            <w:vAlign w:val="center"/>
          </w:tcPr>
          <w:p>
            <w:pPr>
              <w:widowControl/>
            </w:pPr>
            <w:r>
              <w:rPr>
                <w:rFonts w:hint="eastAsia" w:ascii="宋体" w:hAnsi="宋体" w:eastAsia="宋体" w:cs="宋体"/>
                <w:color w:val="333333"/>
                <w:kern w:val="0"/>
                <w:sz w:val="28"/>
                <w:szCs w:val="28"/>
              </w:rPr>
              <w:t>20元/人</w:t>
            </w:r>
          </w:p>
        </w:tc>
        <w:tc>
          <w:tcPr>
            <w:tcW w:w="2403" w:type="dxa"/>
            <w:shd w:val="clear" w:color="auto" w:fill="FFFFFF"/>
            <w:vAlign w:val="center"/>
          </w:tcPr>
          <w:p>
            <w:pPr>
              <w:widowControl/>
            </w:pPr>
            <w:r>
              <w:rPr>
                <w:rFonts w:hint="eastAsia" w:ascii="宋体" w:hAnsi="宋体" w:eastAsia="宋体" w:cs="宋体"/>
                <w:color w:val="333333"/>
                <w:kern w:val="0"/>
                <w:sz w:val="28"/>
                <w:szCs w:val="28"/>
              </w:rPr>
              <w:t>20元/人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jc w:val="center"/>
        </w:trPr>
        <w:tc>
          <w:tcPr>
            <w:tcW w:w="700" w:type="dxa"/>
            <w:vMerge w:val="continue"/>
            <w:shd w:val="clear" w:color="auto" w:fill="FFFFFF"/>
            <w:vAlign w:val="center"/>
          </w:tcPr>
          <w:p>
            <w:pPr>
              <w:rPr>
                <w:rFonts w:ascii="微软雅黑" w:hAnsi="微软雅黑" w:eastAsia="微软雅黑" w:cs="微软雅黑"/>
                <w:color w:val="333333"/>
                <w:sz w:val="18"/>
                <w:szCs w:val="18"/>
              </w:rPr>
            </w:pPr>
          </w:p>
        </w:tc>
        <w:tc>
          <w:tcPr>
            <w:tcW w:w="1098" w:type="dxa"/>
            <w:shd w:val="clear" w:color="auto" w:fill="FFFFFF"/>
            <w:vAlign w:val="center"/>
          </w:tcPr>
          <w:p>
            <w:pPr>
              <w:widowControl/>
              <w:jc w:val="center"/>
              <w:textAlignment w:val="center"/>
            </w:pPr>
            <w:r>
              <w:rPr>
                <w:rFonts w:hint="eastAsia" w:ascii="宋体" w:hAnsi="宋体" w:eastAsia="宋体" w:cs="宋体"/>
                <w:color w:val="333333"/>
                <w:kern w:val="0"/>
                <w:sz w:val="28"/>
                <w:szCs w:val="28"/>
              </w:rPr>
              <w:t>效益指标</w:t>
            </w:r>
          </w:p>
        </w:tc>
        <w:tc>
          <w:tcPr>
            <w:tcW w:w="1015" w:type="dxa"/>
            <w:shd w:val="clear" w:color="auto" w:fill="FFFFFF"/>
            <w:vAlign w:val="center"/>
          </w:tcPr>
          <w:p>
            <w:pPr>
              <w:widowControl/>
              <w:jc w:val="center"/>
              <w:textAlignment w:val="center"/>
            </w:pPr>
            <w:r>
              <w:rPr>
                <w:rFonts w:hint="eastAsia" w:ascii="宋体" w:hAnsi="宋体" w:eastAsia="宋体" w:cs="宋体"/>
                <w:color w:val="333333"/>
                <w:kern w:val="0"/>
                <w:sz w:val="28"/>
                <w:szCs w:val="28"/>
              </w:rPr>
              <w:t>社会效益指标</w:t>
            </w:r>
          </w:p>
        </w:tc>
        <w:tc>
          <w:tcPr>
            <w:tcW w:w="2372" w:type="dxa"/>
            <w:shd w:val="clear" w:color="auto" w:fill="FFFFFF"/>
            <w:vAlign w:val="center"/>
          </w:tcPr>
          <w:p>
            <w:pPr>
              <w:widowControl/>
              <w:textAlignment w:val="center"/>
            </w:pPr>
            <w:r>
              <w:rPr>
                <w:rFonts w:hint="eastAsia" w:ascii="宋体" w:hAnsi="宋体" w:eastAsia="宋体" w:cs="宋体"/>
                <w:color w:val="333333"/>
                <w:kern w:val="0"/>
                <w:sz w:val="28"/>
                <w:szCs w:val="28"/>
              </w:rPr>
              <w:t>现场救护知识与技能水平，群众自救互救意识和能力</w:t>
            </w:r>
          </w:p>
        </w:tc>
        <w:tc>
          <w:tcPr>
            <w:tcW w:w="2372" w:type="dxa"/>
            <w:shd w:val="clear" w:color="auto" w:fill="FFFFFF"/>
            <w:vAlign w:val="center"/>
          </w:tcPr>
          <w:p>
            <w:pPr>
              <w:widowControl/>
              <w:textAlignment w:val="center"/>
            </w:pPr>
            <w:r>
              <w:rPr>
                <w:rFonts w:hint="eastAsia" w:ascii="宋体" w:hAnsi="宋体" w:eastAsia="宋体" w:cs="宋体"/>
                <w:color w:val="333333"/>
                <w:kern w:val="0"/>
                <w:sz w:val="28"/>
                <w:szCs w:val="28"/>
              </w:rPr>
              <w:t>现场救护知识与技能得普及，群众自救互救意识和能力增强</w:t>
            </w:r>
          </w:p>
        </w:tc>
        <w:tc>
          <w:tcPr>
            <w:tcW w:w="2403" w:type="dxa"/>
            <w:shd w:val="clear" w:color="auto" w:fill="FFFFFF"/>
            <w:vAlign w:val="center"/>
          </w:tcPr>
          <w:p>
            <w:pPr>
              <w:widowControl/>
              <w:textAlignment w:val="center"/>
            </w:pPr>
            <w:r>
              <w:rPr>
                <w:rFonts w:hint="eastAsia" w:ascii="宋体" w:hAnsi="宋体" w:eastAsia="宋体" w:cs="宋体"/>
                <w:color w:val="333333"/>
                <w:kern w:val="0"/>
                <w:sz w:val="28"/>
                <w:szCs w:val="28"/>
              </w:rPr>
              <w:t>现场救护知识与技能得普及，群众自救互救意识和能力增强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jc w:val="center"/>
        </w:trPr>
        <w:tc>
          <w:tcPr>
            <w:tcW w:w="700" w:type="dxa"/>
            <w:vMerge w:val="continue"/>
            <w:shd w:val="clear" w:color="auto" w:fill="FFFFFF"/>
            <w:vAlign w:val="center"/>
          </w:tcPr>
          <w:p>
            <w:pPr>
              <w:rPr>
                <w:rFonts w:ascii="微软雅黑" w:hAnsi="微软雅黑" w:eastAsia="微软雅黑" w:cs="微软雅黑"/>
                <w:color w:val="333333"/>
                <w:sz w:val="18"/>
                <w:szCs w:val="18"/>
              </w:rPr>
            </w:pPr>
          </w:p>
        </w:tc>
        <w:tc>
          <w:tcPr>
            <w:tcW w:w="1098" w:type="dxa"/>
            <w:shd w:val="clear" w:color="auto" w:fill="FFFFFF"/>
            <w:vAlign w:val="center"/>
          </w:tcPr>
          <w:p>
            <w:pPr>
              <w:widowControl/>
              <w:jc w:val="center"/>
              <w:textAlignment w:val="center"/>
            </w:pPr>
            <w:r>
              <w:rPr>
                <w:rFonts w:hint="eastAsia" w:ascii="宋体" w:hAnsi="宋体" w:eastAsia="宋体" w:cs="宋体"/>
                <w:color w:val="333333"/>
                <w:kern w:val="0"/>
                <w:sz w:val="28"/>
                <w:szCs w:val="28"/>
              </w:rPr>
              <w:t>满意度指标</w:t>
            </w:r>
          </w:p>
        </w:tc>
        <w:tc>
          <w:tcPr>
            <w:tcW w:w="1015" w:type="dxa"/>
            <w:shd w:val="clear" w:color="auto" w:fill="FFFFFF"/>
            <w:vAlign w:val="center"/>
          </w:tcPr>
          <w:p>
            <w:pPr>
              <w:widowControl/>
              <w:jc w:val="center"/>
              <w:textAlignment w:val="center"/>
            </w:pPr>
            <w:r>
              <w:rPr>
                <w:rFonts w:hint="eastAsia" w:ascii="宋体" w:hAnsi="宋体" w:eastAsia="宋体" w:cs="宋体"/>
                <w:color w:val="333333"/>
                <w:kern w:val="0"/>
                <w:sz w:val="28"/>
                <w:szCs w:val="28"/>
              </w:rPr>
              <w:t>服务对象满意度指标</w:t>
            </w:r>
          </w:p>
        </w:tc>
        <w:tc>
          <w:tcPr>
            <w:tcW w:w="2372" w:type="dxa"/>
            <w:shd w:val="clear" w:color="auto" w:fill="FFFFFF"/>
            <w:vAlign w:val="center"/>
          </w:tcPr>
          <w:p>
            <w:pPr>
              <w:widowControl/>
              <w:textAlignment w:val="center"/>
            </w:pPr>
            <w:r>
              <w:rPr>
                <w:rFonts w:hint="eastAsia" w:ascii="宋体" w:hAnsi="宋体" w:eastAsia="宋体" w:cs="宋体"/>
                <w:color w:val="333333"/>
                <w:kern w:val="0"/>
                <w:sz w:val="28"/>
                <w:szCs w:val="28"/>
              </w:rPr>
              <w:t>受训人员满意度</w:t>
            </w:r>
          </w:p>
        </w:tc>
        <w:tc>
          <w:tcPr>
            <w:tcW w:w="2372" w:type="dxa"/>
            <w:shd w:val="clear" w:color="auto" w:fill="FFFFFF"/>
            <w:vAlign w:val="center"/>
          </w:tcPr>
          <w:p>
            <w:pPr>
              <w:widowControl/>
              <w:textAlignment w:val="center"/>
            </w:pPr>
            <w:r>
              <w:rPr>
                <w:rFonts w:hint="eastAsia" w:ascii="宋体" w:hAnsi="宋体" w:eastAsia="宋体" w:cs="宋体"/>
                <w:color w:val="333333"/>
                <w:kern w:val="0"/>
                <w:sz w:val="28"/>
                <w:szCs w:val="28"/>
              </w:rPr>
              <w:t>100%</w:t>
            </w:r>
          </w:p>
        </w:tc>
        <w:tc>
          <w:tcPr>
            <w:tcW w:w="2403" w:type="dxa"/>
            <w:shd w:val="clear" w:color="auto" w:fill="FFFFFF"/>
            <w:vAlign w:val="center"/>
          </w:tcPr>
          <w:p>
            <w:pPr>
              <w:widowControl/>
              <w:textAlignment w:val="center"/>
            </w:pPr>
            <w:r>
              <w:rPr>
                <w:rFonts w:hint="eastAsia" w:ascii="宋体" w:hAnsi="宋体" w:eastAsia="宋体" w:cs="宋体"/>
                <w:color w:val="333333"/>
                <w:kern w:val="0"/>
                <w:sz w:val="28"/>
                <w:szCs w:val="28"/>
              </w:rPr>
              <w:t>100%</w:t>
            </w:r>
          </w:p>
        </w:tc>
      </w:tr>
    </w:tbl>
    <w:p>
      <w:pPr>
        <w:widowControl/>
        <w:shd w:val="clear" w:color="auto" w:fill="FFFFFF"/>
        <w:ind w:firstLine="562"/>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（二）</w:t>
      </w:r>
      <w:r>
        <w:rPr>
          <w:rFonts w:ascii="Times New Roman" w:hAnsi="Times New Roman" w:eastAsia="仿宋_GB2312" w:cs="Times New Roman"/>
          <w:b/>
          <w:bCs/>
          <w:color w:val="333333"/>
          <w:kern w:val="0"/>
          <w:sz w:val="32"/>
          <w:szCs w:val="32"/>
          <w:shd w:val="clear" w:color="auto" w:fill="FFFFFF"/>
        </w:rPr>
        <w:t>部门开展绩效评价结果</w:t>
      </w:r>
    </w:p>
    <w:p>
      <w:pPr>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本部门按要求对2019年部门整体支出绩效评价情况开展自评，《区红十字会2019年部门整体支出绩效评价报告》见附件。</w:t>
      </w:r>
    </w:p>
    <w:p>
      <w:pPr>
        <w:widowControl/>
        <w:shd w:val="clear" w:color="auto" w:fill="FFFFFF"/>
        <w:ind w:firstLine="70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本部门自行组织对百万培训项目开展了绩效评价，《区红十字会2019年百万培训项目支出绩效评价报告》见附件。</w:t>
      </w:r>
    </w:p>
    <w:p>
      <w:pPr>
        <w:widowControl/>
        <w:shd w:val="clear" w:color="auto" w:fill="FFFFFF"/>
        <w:ind w:firstLine="70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十</w:t>
      </w:r>
      <w:r>
        <w:rPr>
          <w:rFonts w:ascii="Times New Roman" w:hAnsi="Times New Roman" w:eastAsia="仿宋_GB2312" w:cs="Times New Roman"/>
          <w:b/>
          <w:bCs/>
          <w:color w:val="333333"/>
          <w:kern w:val="0"/>
          <w:sz w:val="32"/>
          <w:szCs w:val="32"/>
          <w:shd w:val="clear" w:color="auto" w:fill="FFFFFF"/>
        </w:rPr>
        <w:t>一、</w:t>
      </w:r>
      <w:r>
        <w:rPr>
          <w:rFonts w:ascii="Times New Roman" w:hAnsi="Times New Roman" w:eastAsia="仿宋_GB2312" w:cs="Times New Roman"/>
          <w:color w:val="333333"/>
          <w:kern w:val="0"/>
          <w:sz w:val="32"/>
          <w:szCs w:val="32"/>
          <w:shd w:val="clear" w:color="auto" w:fill="FFFFFF"/>
        </w:rPr>
        <w:t>其他重要事项的情况说明</w:t>
      </w:r>
    </w:p>
    <w:p>
      <w:pPr>
        <w:widowControl/>
        <w:shd w:val="clear" w:color="auto" w:fill="FFFFFF"/>
        <w:ind w:firstLine="562"/>
        <w:rPr>
          <w:rFonts w:ascii="Times New Roman" w:hAnsi="Times New Roman" w:eastAsia="仿宋_GB2312" w:cs="Times New Roman"/>
          <w:color w:val="333333"/>
          <w:sz w:val="32"/>
          <w:szCs w:val="32"/>
        </w:rPr>
      </w:pPr>
      <w:r>
        <w:rPr>
          <w:rFonts w:ascii="Times New Roman" w:hAnsi="Times New Roman" w:eastAsia="仿宋_GB2312" w:cs="Times New Roman"/>
          <w:b/>
          <w:bCs/>
          <w:color w:val="333333"/>
          <w:kern w:val="0"/>
          <w:sz w:val="32"/>
          <w:szCs w:val="32"/>
          <w:shd w:val="clear" w:color="auto" w:fill="FFFFFF"/>
        </w:rPr>
        <w:t>（一）机关运行经费支出情况</w:t>
      </w:r>
    </w:p>
    <w:p>
      <w:pPr>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2019年，区红十字会机关运行经费支出8.83万元，比2018年增加1.6万元，增长22%。主要原因是2019年公用经费标准提高。</w:t>
      </w:r>
    </w:p>
    <w:p>
      <w:pPr>
        <w:widowControl/>
        <w:shd w:val="clear" w:color="auto" w:fill="FFFFFF"/>
        <w:ind w:firstLine="562"/>
        <w:rPr>
          <w:rFonts w:ascii="Times New Roman" w:hAnsi="Times New Roman" w:eastAsia="仿宋_GB2312" w:cs="Times New Roman"/>
          <w:color w:val="333333"/>
          <w:sz w:val="32"/>
          <w:szCs w:val="32"/>
        </w:rPr>
      </w:pPr>
      <w:r>
        <w:rPr>
          <w:rFonts w:ascii="Times New Roman" w:hAnsi="Times New Roman" w:eastAsia="仿宋_GB2312" w:cs="Times New Roman"/>
          <w:b/>
          <w:bCs/>
          <w:color w:val="333333"/>
          <w:kern w:val="0"/>
          <w:sz w:val="32"/>
          <w:szCs w:val="32"/>
          <w:shd w:val="clear" w:color="auto" w:fill="FFFFFF"/>
        </w:rPr>
        <w:t>（二）政府采购支出情况</w:t>
      </w:r>
    </w:p>
    <w:p>
      <w:pPr>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2019年，区红十字会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widowControl/>
        <w:shd w:val="clear" w:color="auto" w:fill="FFFFFF"/>
        <w:ind w:firstLine="562"/>
        <w:rPr>
          <w:rFonts w:ascii="Times New Roman" w:hAnsi="Times New Roman" w:eastAsia="仿宋_GB2312" w:cs="Times New Roman"/>
          <w:color w:val="333333"/>
          <w:sz w:val="32"/>
          <w:szCs w:val="32"/>
        </w:rPr>
      </w:pPr>
      <w:r>
        <w:rPr>
          <w:rFonts w:ascii="Times New Roman" w:hAnsi="Times New Roman" w:eastAsia="仿宋_GB2312" w:cs="Times New Roman"/>
          <w:b/>
          <w:bCs/>
          <w:color w:val="333333"/>
          <w:kern w:val="0"/>
          <w:sz w:val="32"/>
          <w:szCs w:val="32"/>
          <w:shd w:val="clear" w:color="auto" w:fill="FFFFFF"/>
        </w:rPr>
        <w:t>（三）国有资产占有使用情况</w:t>
      </w:r>
    </w:p>
    <w:p>
      <w:pPr>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截至2019年12月31日，区红十字会共有车辆0辆，其中：部级领导干部用车0辆、一般公务用车0辆、一般执法执勤用车0辆、特种专业技术用车0辆、其他用车0辆。单价50万元以上通用设备0台，单价100万元以上专用设备0台。</w:t>
      </w:r>
    </w:p>
    <w:p>
      <w:pPr>
        <w:widowControl/>
        <w:shd w:val="clear" w:color="auto" w:fill="FFFFFF"/>
        <w:rPr>
          <w:rFonts w:ascii="Times New Roman" w:hAnsi="Times New Roman" w:eastAsia="仿宋_GB2312" w:cs="Times New Roman"/>
          <w:color w:val="333333"/>
          <w:sz w:val="32"/>
          <w:szCs w:val="32"/>
        </w:rPr>
      </w:pPr>
    </w:p>
    <w:p>
      <w:pPr>
        <w:widowControl/>
        <w:shd w:val="clear" w:color="auto" w:fill="FFFFFF"/>
        <w:ind w:firstLine="422"/>
        <w:jc w:val="center"/>
        <w:rPr>
          <w:rFonts w:ascii="Times New Roman" w:hAnsi="Times New Roman" w:eastAsia="仿宋_GB2312" w:cs="Times New Roman"/>
          <w:color w:val="333333"/>
          <w:kern w:val="0"/>
          <w:sz w:val="32"/>
          <w:szCs w:val="32"/>
          <w:shd w:val="clear" w:color="auto" w:fill="FFFFFF"/>
        </w:rPr>
      </w:pPr>
    </w:p>
    <w:p>
      <w:pPr>
        <w:widowControl/>
        <w:shd w:val="clear" w:color="auto" w:fill="FFFFFF"/>
        <w:ind w:firstLine="422"/>
        <w:jc w:val="center"/>
        <w:rPr>
          <w:rFonts w:ascii="Times New Roman" w:hAnsi="Times New Roman" w:eastAsia="仿宋_GB2312" w:cs="Times New Roman"/>
          <w:color w:val="333333"/>
          <w:kern w:val="0"/>
          <w:sz w:val="32"/>
          <w:szCs w:val="32"/>
          <w:shd w:val="clear" w:color="auto" w:fill="FFFFFF"/>
        </w:rPr>
      </w:pPr>
    </w:p>
    <w:p>
      <w:pPr>
        <w:widowControl/>
        <w:jc w:val="left"/>
        <w:rPr>
          <w:rFonts w:ascii="Times New Roman" w:hAnsi="Times New Roman" w:eastAsia="仿宋_GB2312" w:cs="Times New Roman"/>
          <w:color w:val="333333"/>
          <w:kern w:val="0"/>
          <w:sz w:val="32"/>
          <w:szCs w:val="32"/>
          <w:shd w:val="clear" w:color="auto" w:fill="FFFFFF"/>
        </w:rPr>
      </w:pPr>
      <w:r>
        <w:rPr>
          <w:rFonts w:ascii="Times New Roman" w:hAnsi="Times New Roman" w:eastAsia="仿宋_GB2312" w:cs="Times New Roman"/>
          <w:color w:val="333333"/>
          <w:kern w:val="0"/>
          <w:sz w:val="32"/>
          <w:szCs w:val="32"/>
          <w:shd w:val="clear" w:color="auto" w:fill="FFFFFF"/>
        </w:rPr>
        <w:br w:type="page"/>
      </w:r>
    </w:p>
    <w:p>
      <w:pPr>
        <w:widowControl/>
        <w:shd w:val="clear" w:color="auto" w:fill="FFFFFF"/>
        <w:jc w:val="center"/>
        <w:rPr>
          <w:rFonts w:ascii="方正小标宋简体" w:hAnsi="Times New Roman" w:eastAsia="方正小标宋简体" w:cs="Times New Roman"/>
          <w:color w:val="333333"/>
          <w:sz w:val="44"/>
          <w:szCs w:val="44"/>
        </w:rPr>
      </w:pPr>
      <w:r>
        <w:rPr>
          <w:rFonts w:hint="eastAsia" w:ascii="方正小标宋简体" w:hAnsi="Times New Roman" w:eastAsia="方正小标宋简体" w:cs="Times New Roman"/>
          <w:color w:val="333333"/>
          <w:kern w:val="0"/>
          <w:sz w:val="44"/>
          <w:szCs w:val="44"/>
          <w:shd w:val="clear" w:color="auto" w:fill="FFFFFF"/>
        </w:rPr>
        <w:t>第三部分</w:t>
      </w:r>
      <w:r>
        <w:rPr>
          <w:rFonts w:hint="eastAsia" w:ascii="Times New Roman" w:hAnsi="Times New Roman" w:eastAsia="方正小标宋简体" w:cs="Times New Roman"/>
          <w:color w:val="333333"/>
          <w:kern w:val="0"/>
          <w:sz w:val="44"/>
          <w:szCs w:val="44"/>
          <w:shd w:val="clear" w:color="auto" w:fill="FFFFFF"/>
        </w:rPr>
        <w:t xml:space="preserve">  </w:t>
      </w:r>
      <w:r>
        <w:rPr>
          <w:rFonts w:hint="eastAsia" w:ascii="方正小标宋简体" w:hAnsi="Times New Roman" w:eastAsia="方正小标宋简体" w:cs="Times New Roman"/>
          <w:b/>
          <w:bCs/>
          <w:color w:val="333333"/>
          <w:kern w:val="0"/>
          <w:sz w:val="44"/>
          <w:szCs w:val="44"/>
          <w:shd w:val="clear" w:color="auto" w:fill="FFFFFF"/>
        </w:rPr>
        <w:t>名</w:t>
      </w:r>
      <w:r>
        <w:rPr>
          <w:rFonts w:hint="eastAsia" w:ascii="方正小标宋简体" w:hAnsi="Times New Roman" w:eastAsia="方正小标宋简体" w:cs="Times New Roman"/>
          <w:color w:val="333333"/>
          <w:kern w:val="0"/>
          <w:sz w:val="44"/>
          <w:szCs w:val="44"/>
          <w:shd w:val="clear" w:color="auto" w:fill="FFFFFF"/>
        </w:rPr>
        <w:t>词解释</w:t>
      </w:r>
    </w:p>
    <w:p>
      <w:pPr>
        <w:pStyle w:val="6"/>
        <w:widowControl/>
        <w:shd w:val="clear" w:color="auto" w:fill="FFFFFF"/>
        <w:ind w:firstLine="560"/>
        <w:rPr>
          <w:rFonts w:ascii="Times New Roman" w:hAnsi="Times New Roman" w:eastAsia="仿宋_GB2312" w:cs="Times New Roman"/>
          <w:color w:val="333333"/>
          <w:sz w:val="32"/>
          <w:szCs w:val="32"/>
          <w:shd w:val="clear" w:color="auto" w:fill="FFFFFF"/>
        </w:rPr>
      </w:pPr>
    </w:p>
    <w:p>
      <w:pPr>
        <w:pStyle w:val="6"/>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shd w:val="clear" w:color="auto" w:fill="FFFFFF"/>
        </w:rPr>
        <w:t>1.财政拨款收入：指单位从同级财政部门取得的财政预算资金。</w:t>
      </w:r>
    </w:p>
    <w:p>
      <w:pPr>
        <w:pStyle w:val="6"/>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shd w:val="clear" w:color="auto" w:fill="FFFFFF"/>
        </w:rPr>
        <w:t>2.事业收入：指事业单位开展专业业务活动及辅助活动取得的收入。</w:t>
      </w:r>
    </w:p>
    <w:p>
      <w:pPr>
        <w:pStyle w:val="6"/>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shd w:val="clear" w:color="auto" w:fill="FFFFFF"/>
        </w:rPr>
        <w:t>3.经营收入：指事业单位在专业业务活动及其辅助活动之外开展非独立核算经营活动取得的收入。</w:t>
      </w:r>
    </w:p>
    <w:p>
      <w:pPr>
        <w:pStyle w:val="6"/>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shd w:val="clear" w:color="auto" w:fill="FFFFFF"/>
        </w:rPr>
        <w:t>4.其他收入：指单位取得的除上述收入以外的各项收入。</w:t>
      </w:r>
    </w:p>
    <w:p>
      <w:pPr>
        <w:pStyle w:val="6"/>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shd w:val="clear" w:color="auto" w:fill="FFFFFF"/>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6"/>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shd w:val="clear" w:color="auto" w:fill="FFFFFF"/>
        </w:rPr>
        <w:t>6.年初结转和结余：指以前年度尚未完成、结转到本年按有关规定继续使用的资金。</w:t>
      </w:r>
    </w:p>
    <w:p>
      <w:pPr>
        <w:pStyle w:val="6"/>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shd w:val="clear" w:color="auto" w:fill="FFFFFF"/>
        </w:rPr>
        <w:t>7.结余分配：指事业单位按照事业单位会计制度的规定从非财政补助结余中分配的事业基金和职工福利基金等。</w:t>
      </w:r>
    </w:p>
    <w:p>
      <w:pPr>
        <w:pStyle w:val="6"/>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shd w:val="clear" w:color="auto" w:fill="FFFFFF"/>
        </w:rPr>
        <w:t>8、年末结转和结余：指单位按有关规定结转到下年或以后年度继续使用的资金。</w:t>
      </w:r>
    </w:p>
    <w:p>
      <w:pPr>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9.社会保障和就业（208）行政事业单位离退休（20805）机关事业单位基本养老保险（2080505）：反映机关事业单位实施养老保险制度由单位缴纳的基本养老保险费支出。</w:t>
      </w:r>
    </w:p>
    <w:p>
      <w:pPr>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10.社会保障和就业（208）红十字事业（20816）行政运行（2081601）：反映行政单位（包括实行公务员管理的事业单位）的基本支出。</w:t>
      </w:r>
    </w:p>
    <w:p>
      <w:pPr>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11.社会保障和就业（208）红十字事业（20816）其他红十字事业（2081699）：反映其他用于红十字事业方面的支出。</w:t>
      </w:r>
    </w:p>
    <w:p>
      <w:pPr>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12.医疗卫生与计划生育（210）医疗保障（21005）事业单位医疗（2100502）：反映财政部门集中安排的事业单位基本养老保险缴费经费，未参加养老保险的事业单位的公费医疗经费，按国家规定享受离休人员待遇人员的医疗经费。</w:t>
      </w:r>
    </w:p>
    <w:p>
      <w:pPr>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13.住房保障（221）住房改革（22102）住房公积金（2210201）：反映行政事业单位按人力资源和社会保障部、财政部规定的基本工资和津贴补贴以及规定比例为职工缴纳的住房公积金。</w:t>
      </w:r>
    </w:p>
    <w:p>
      <w:pPr>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14.基本支出：指为保障机构正常运转、完成日常工作任务而发生的人员支出和公用支出。</w:t>
      </w:r>
    </w:p>
    <w:p>
      <w:pPr>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15.项目支出：指在基本支出之外为完成特定行政任务和事业发展目标所发生的支出。</w:t>
      </w:r>
    </w:p>
    <w:p>
      <w:pPr>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16.经营支出：指事业单位在专业业务活动及其辅助活动之外开展非独立核算经营活动发生的支出。</w:t>
      </w:r>
    </w:p>
    <w:p>
      <w:pPr>
        <w:pStyle w:val="6"/>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shd w:val="clear" w:color="auto" w:fill="FFFFFF"/>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6"/>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shd w:val="clear" w:color="auto" w:fill="FFFFFF"/>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hd w:val="clear" w:color="auto" w:fill="FFFFFF"/>
        <w:jc w:val="center"/>
        <w:rPr>
          <w:rFonts w:ascii="Times New Roman" w:hAnsi="Times New Roman" w:eastAsia="仿宋_GB2312" w:cs="Times New Roman"/>
          <w:b/>
          <w:bCs/>
          <w:color w:val="333333"/>
          <w:kern w:val="0"/>
          <w:sz w:val="32"/>
          <w:szCs w:val="32"/>
          <w:shd w:val="clear" w:color="auto" w:fill="FFFFFF"/>
        </w:rPr>
      </w:pPr>
      <w:r>
        <w:rPr>
          <w:rFonts w:ascii="Times New Roman" w:hAnsi="Times New Roman" w:eastAsia="仿宋_GB2312" w:cs="Times New Roman"/>
          <w:b/>
          <w:bCs/>
          <w:color w:val="333333"/>
          <w:kern w:val="0"/>
          <w:sz w:val="32"/>
          <w:szCs w:val="32"/>
          <w:shd w:val="clear" w:color="auto" w:fill="FFFFFF"/>
        </w:rPr>
        <w:br w:type="textWrapping"/>
      </w:r>
    </w:p>
    <w:p>
      <w:pPr>
        <w:widowControl/>
        <w:jc w:val="left"/>
        <w:rPr>
          <w:rFonts w:ascii="Times New Roman" w:hAnsi="Times New Roman" w:eastAsia="仿宋_GB2312" w:cs="Times New Roman"/>
          <w:color w:val="333333"/>
          <w:kern w:val="0"/>
          <w:sz w:val="32"/>
          <w:szCs w:val="32"/>
          <w:shd w:val="clear" w:color="auto" w:fill="FFFFFF"/>
        </w:rPr>
      </w:pPr>
      <w:r>
        <w:rPr>
          <w:rFonts w:ascii="Times New Roman" w:hAnsi="Times New Roman" w:eastAsia="仿宋_GB2312" w:cs="Times New Roman"/>
          <w:color w:val="333333"/>
          <w:kern w:val="0"/>
          <w:sz w:val="32"/>
          <w:szCs w:val="32"/>
          <w:shd w:val="clear" w:color="auto" w:fill="FFFFFF"/>
        </w:rPr>
        <w:br w:type="page"/>
      </w:r>
    </w:p>
    <w:p>
      <w:pPr>
        <w:shd w:val="clear" w:color="auto" w:fill="FFFFFF"/>
        <w:spacing w:line="600" w:lineRule="exact"/>
        <w:jc w:val="center"/>
        <w:rPr>
          <w:rFonts w:ascii="方正小标宋简体" w:hAnsi="Times New Roman" w:eastAsia="方正小标宋简体" w:cs="Times New Roman"/>
          <w:color w:val="333333"/>
          <w:sz w:val="44"/>
          <w:szCs w:val="44"/>
        </w:rPr>
      </w:pPr>
      <w:r>
        <w:rPr>
          <w:rFonts w:hint="eastAsia" w:ascii="方正小标宋简体" w:hAnsi="Times New Roman" w:eastAsia="方正小标宋简体" w:cs="Times New Roman"/>
          <w:color w:val="333333"/>
          <w:kern w:val="0"/>
          <w:sz w:val="44"/>
          <w:szCs w:val="44"/>
          <w:shd w:val="clear" w:color="auto" w:fill="FFFFFF"/>
        </w:rPr>
        <w:t>第四部分  附件</w:t>
      </w:r>
    </w:p>
    <w:p>
      <w:pPr>
        <w:shd w:val="clear" w:color="auto" w:fill="FFFFFF"/>
        <w:spacing w:line="600" w:lineRule="exact"/>
        <w:jc w:val="left"/>
        <w:rPr>
          <w:rFonts w:hint="eastAsia" w:ascii="黑体" w:hAnsi="黑体" w:eastAsia="黑体" w:cs="Times New Roman"/>
          <w:color w:val="333333"/>
          <w:kern w:val="0"/>
          <w:sz w:val="32"/>
          <w:szCs w:val="32"/>
          <w:shd w:val="clear" w:color="auto" w:fill="FFFFFF"/>
        </w:rPr>
      </w:pPr>
      <w:r>
        <w:rPr>
          <w:rFonts w:hint="eastAsia" w:ascii="黑体" w:hAnsi="黑体" w:eastAsia="黑体" w:cs="Times New Roman"/>
          <w:color w:val="333333"/>
          <w:kern w:val="0"/>
          <w:sz w:val="32"/>
          <w:szCs w:val="32"/>
          <w:shd w:val="clear" w:color="auto" w:fill="FFFFFF"/>
        </w:rPr>
        <w:t>附件1</w:t>
      </w:r>
    </w:p>
    <w:p>
      <w:pPr>
        <w:shd w:val="clear" w:color="auto" w:fill="FFFFFF"/>
        <w:spacing w:line="600" w:lineRule="exact"/>
        <w:jc w:val="center"/>
        <w:rPr>
          <w:rFonts w:ascii="黑体" w:hAnsi="黑体" w:eastAsia="黑体" w:cs="Times New Roman"/>
          <w:color w:val="333333"/>
          <w:sz w:val="32"/>
          <w:szCs w:val="32"/>
        </w:rPr>
      </w:pPr>
      <w:r>
        <w:rPr>
          <w:rFonts w:ascii="黑体" w:hAnsi="黑体" w:eastAsia="黑体" w:cs="Times New Roman"/>
          <w:color w:val="333333"/>
          <w:kern w:val="0"/>
          <w:sz w:val="32"/>
          <w:szCs w:val="32"/>
          <w:shd w:val="clear" w:color="auto" w:fill="FFFFFF"/>
        </w:rPr>
        <w:t>区红十字会2019年部门整体支出绩效评价报告</w:t>
      </w:r>
    </w:p>
    <w:p>
      <w:pPr>
        <w:shd w:val="clear" w:color="auto" w:fill="FFFFFF"/>
        <w:spacing w:line="600" w:lineRule="exact"/>
        <w:ind w:firstLine="560"/>
        <w:rPr>
          <w:rFonts w:ascii="黑体" w:hAnsi="黑体" w:eastAsia="黑体" w:cs="Times New Roman"/>
          <w:color w:val="333333"/>
          <w:sz w:val="32"/>
          <w:szCs w:val="32"/>
        </w:rPr>
      </w:pPr>
    </w:p>
    <w:p>
      <w:pPr>
        <w:widowControl/>
        <w:shd w:val="clear" w:color="auto" w:fill="FFFFFF"/>
        <w:ind w:firstLine="700"/>
        <w:rPr>
          <w:rFonts w:ascii="黑体" w:hAnsi="黑体" w:eastAsia="黑体" w:cs="Times New Roman"/>
          <w:color w:val="333333"/>
          <w:kern w:val="0"/>
          <w:sz w:val="32"/>
          <w:szCs w:val="32"/>
          <w:shd w:val="clear" w:color="auto" w:fill="FFFFFF"/>
        </w:rPr>
      </w:pPr>
      <w:r>
        <w:rPr>
          <w:rFonts w:ascii="黑体" w:hAnsi="黑体" w:eastAsia="黑体" w:cs="Times New Roman"/>
          <w:color w:val="333333"/>
          <w:kern w:val="0"/>
          <w:sz w:val="32"/>
          <w:szCs w:val="32"/>
          <w:shd w:val="clear" w:color="auto" w:fill="FFFFFF"/>
        </w:rPr>
        <w:t>一、部门概况</w:t>
      </w:r>
    </w:p>
    <w:p>
      <w:pPr>
        <w:shd w:val="clear" w:color="auto" w:fill="FFFFFF"/>
        <w:spacing w:line="600" w:lineRule="exact"/>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一）机构组成。根据广元市机构编制委员会《关于完善&lt;全市红十字会机构编制&gt;的通知》（广编发〔2008〕76号）和元编委发〔2008〕20号文件精神，我会于2008年12月完善机构编制。从2010年起纳入参公管理和一级财政全额预算单位，为区政府领导直接联系的依法独立从事人道主义工作的社会救助团体。设置2个职能股室，即办公室（含事业发展职能）、赈济部。核定事业编制5名,2016年减编1人后现有编制4人，在编人员4人，其中:公务员1人，参公人员2人，工勤人员1人。</w:t>
      </w:r>
    </w:p>
    <w:p>
      <w:pPr>
        <w:shd w:val="clear" w:color="auto" w:fill="FFFFFF"/>
        <w:spacing w:line="600" w:lineRule="exact"/>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（二）机构职能。一是传播国际红十字会运动和国际人道主义法，宣传、执行《</w:t>
      </w:r>
      <w:r>
        <w:rPr>
          <w:rFonts w:hint="eastAsia" w:ascii="Times New Roman" w:hAnsi="Times New Roman" w:eastAsia="仿宋_GB2312" w:cs="Times New Roman"/>
          <w:color w:val="333333"/>
          <w:kern w:val="0"/>
          <w:sz w:val="32"/>
          <w:szCs w:val="32"/>
          <w:shd w:val="clear" w:color="auto" w:fill="FFFFFF"/>
          <w:lang w:eastAsia="zh-CN"/>
        </w:rPr>
        <w:t>中华人民共和国红十字会法</w:t>
      </w:r>
      <w:r>
        <w:rPr>
          <w:rFonts w:ascii="Times New Roman" w:hAnsi="Times New Roman" w:eastAsia="仿宋_GB2312" w:cs="Times New Roman"/>
          <w:color w:val="333333"/>
          <w:kern w:val="0"/>
          <w:sz w:val="32"/>
          <w:szCs w:val="32"/>
          <w:shd w:val="clear" w:color="auto" w:fill="FFFFFF"/>
        </w:rPr>
        <w:t>》和《四川省实施&lt;</w:t>
      </w:r>
      <w:r>
        <w:rPr>
          <w:rFonts w:hint="eastAsia" w:ascii="Times New Roman" w:hAnsi="Times New Roman" w:eastAsia="仿宋_GB2312" w:cs="Times New Roman"/>
          <w:color w:val="333333"/>
          <w:kern w:val="0"/>
          <w:sz w:val="32"/>
          <w:szCs w:val="32"/>
          <w:shd w:val="clear" w:color="auto" w:fill="FFFFFF"/>
          <w:lang w:eastAsia="zh-CN"/>
        </w:rPr>
        <w:t>中华人民共和国红十字会法</w:t>
      </w:r>
      <w:r>
        <w:rPr>
          <w:rFonts w:ascii="Times New Roman" w:hAnsi="Times New Roman" w:eastAsia="仿宋_GB2312" w:cs="Times New Roman"/>
          <w:color w:val="333333"/>
          <w:kern w:val="0"/>
          <w:sz w:val="32"/>
          <w:szCs w:val="32"/>
          <w:shd w:val="clear" w:color="auto" w:fill="FFFFFF"/>
        </w:rPr>
        <w:t>&gt;办法》等法律、法规，遵循《中国红十字会章程》，依法建会、治会、兴会；二是开展备灾救灾工作，有效利用和发挥备灾救灾设施功能，在自然灾害和突发事件中，开展对受害者的救护和救助；三是开展人道领域的社会公益服务活动和卫生救护、防病常识的宣传普及，组织社会救助，进行初级卫生救护培训，组织群众参加现场救护，推动无偿献血和非血缘关系骨髓移植工作；四是组织对公民特别是青少年进行人道主义和社会主义精神文明教育活动；五是参与艾滋病防治、吸毒危害等宣传教育工作，提高公民自我防范的意识和能力；六是参与少数民族地区、贫困地区的医疗服务和扶贫工作；七是负责海峡两岸的查人转信及有关人员的遣返和见证事务；八是与境内外红十字会和组织进行友好往来，开展人道领域的合作与交流，争取援助；九是根据四川省红十字会的部署，参加国际和国内的人道主义救援工作；十是承办区政府交办的其他事项。</w:t>
      </w:r>
    </w:p>
    <w:p>
      <w:pPr>
        <w:shd w:val="clear" w:color="auto" w:fill="FFFFFF"/>
        <w:spacing w:line="600" w:lineRule="exact"/>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（三）人员概况。2019年在编人员4人，其中:公务员1人，参公人员2人，工勤人员1人。</w:t>
      </w:r>
    </w:p>
    <w:p>
      <w:pPr>
        <w:widowControl/>
        <w:shd w:val="clear" w:color="auto" w:fill="FFFFFF"/>
        <w:ind w:firstLine="700"/>
        <w:rPr>
          <w:rFonts w:ascii="黑体" w:hAnsi="黑体" w:eastAsia="黑体" w:cs="Times New Roman"/>
          <w:color w:val="333333"/>
          <w:kern w:val="0"/>
          <w:sz w:val="32"/>
          <w:szCs w:val="32"/>
          <w:shd w:val="clear" w:color="auto" w:fill="FFFFFF"/>
        </w:rPr>
      </w:pPr>
      <w:r>
        <w:rPr>
          <w:rFonts w:ascii="黑体" w:hAnsi="黑体" w:eastAsia="黑体" w:cs="Times New Roman"/>
          <w:color w:val="333333"/>
          <w:kern w:val="0"/>
          <w:sz w:val="32"/>
          <w:szCs w:val="32"/>
          <w:shd w:val="clear" w:color="auto" w:fill="FFFFFF"/>
        </w:rPr>
        <w:t>二、部门财政资金收支情况</w:t>
      </w:r>
    </w:p>
    <w:p>
      <w:pPr>
        <w:shd w:val="clear" w:color="auto" w:fill="FFFFFF"/>
        <w:spacing w:line="600" w:lineRule="exact"/>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（一）部门财政资金收入情况。单位的各项收入做到应收尽收，所有收入均纳入账簿，各项收入无虚挂往来现象，并做到了及时入账。</w:t>
      </w:r>
    </w:p>
    <w:p>
      <w:pPr>
        <w:shd w:val="clear" w:color="auto" w:fill="FFFFFF"/>
        <w:spacing w:line="600" w:lineRule="exact"/>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（二）部门财政资金支出情况</w:t>
      </w:r>
    </w:p>
    <w:p>
      <w:pPr>
        <w:shd w:val="clear" w:color="auto" w:fill="FFFFFF"/>
        <w:spacing w:line="600" w:lineRule="exact"/>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预算支出未发现无预算、超预算支出，未发现虚列支出和预算科目间相互挤占问题，所有财政资金支出均履行了严格审批手续，未发现挤占、挪用、转移财政资金行为。基本支出严格执行国家有关政策及规定，无擅自扩大开支范围的提高开支标准，单位津补贴、奖金和福利均按照国家或地方的规定发放，项目支出均按照批准的项目和用途以及项目实施方案执行，无自行改变项目内容，扩大支出范围现象。无自行调整项目支出预算问题，所有项目支出均合理合规。未发现利用财政或自由资金对外借、贷款问题。</w:t>
      </w:r>
    </w:p>
    <w:p>
      <w:pPr>
        <w:widowControl/>
        <w:shd w:val="clear" w:color="auto" w:fill="FFFFFF"/>
        <w:ind w:firstLine="700"/>
        <w:rPr>
          <w:rFonts w:ascii="黑体" w:hAnsi="黑体" w:eastAsia="黑体" w:cs="Times New Roman"/>
          <w:color w:val="333333"/>
          <w:kern w:val="0"/>
          <w:sz w:val="32"/>
          <w:szCs w:val="32"/>
          <w:shd w:val="clear" w:color="auto" w:fill="FFFFFF"/>
        </w:rPr>
      </w:pPr>
      <w:r>
        <w:rPr>
          <w:rFonts w:ascii="黑体" w:hAnsi="黑体" w:eastAsia="黑体" w:cs="Times New Roman"/>
          <w:color w:val="333333"/>
          <w:kern w:val="0"/>
          <w:sz w:val="32"/>
          <w:szCs w:val="32"/>
          <w:shd w:val="clear" w:color="auto" w:fill="FFFFFF"/>
        </w:rPr>
        <w:t>三、部门整体预算绩效管理情况</w:t>
      </w:r>
    </w:p>
    <w:p>
      <w:pPr>
        <w:shd w:val="clear" w:color="auto" w:fill="FFFFFF"/>
        <w:spacing w:line="600" w:lineRule="exact"/>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（一）部门预算管理。区红十字会部门绩效目标制定合理、目标完成良好、预算编制准确，支出控制、预算动态调整、执行进度合理，预算完成情况良好。</w:t>
      </w:r>
    </w:p>
    <w:p>
      <w:pPr>
        <w:shd w:val="clear" w:color="auto" w:fill="FFFFFF"/>
        <w:spacing w:line="600" w:lineRule="exact"/>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（二）专项预算管理。区红十字会专项预算项目程序严密、规划合理、结果符合、分配科学、分配及时，专项预算绩效目标完成良好。</w:t>
      </w:r>
    </w:p>
    <w:p>
      <w:pPr>
        <w:shd w:val="clear" w:color="auto" w:fill="FFFFFF"/>
        <w:spacing w:line="600" w:lineRule="exact"/>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（三）结果应用情况。区红十字会自评质量良好、绩效目标公开和自评公开、评价结果整改到位，评价结果应用合理。</w:t>
      </w:r>
    </w:p>
    <w:p>
      <w:pPr>
        <w:widowControl/>
        <w:shd w:val="clear" w:color="auto" w:fill="FFFFFF"/>
        <w:ind w:firstLine="700"/>
        <w:rPr>
          <w:rFonts w:ascii="黑体" w:hAnsi="黑体" w:eastAsia="黑体" w:cs="Times New Roman"/>
          <w:color w:val="333333"/>
          <w:kern w:val="0"/>
          <w:sz w:val="32"/>
          <w:szCs w:val="32"/>
          <w:shd w:val="clear" w:color="auto" w:fill="FFFFFF"/>
        </w:rPr>
      </w:pPr>
      <w:r>
        <w:rPr>
          <w:rFonts w:ascii="黑体" w:hAnsi="黑体" w:eastAsia="黑体" w:cs="Times New Roman"/>
          <w:color w:val="333333"/>
          <w:kern w:val="0"/>
          <w:sz w:val="32"/>
          <w:szCs w:val="32"/>
          <w:shd w:val="clear" w:color="auto" w:fill="FFFFFF"/>
        </w:rPr>
        <w:t>四、评价结论及建议</w:t>
      </w:r>
    </w:p>
    <w:p>
      <w:pPr>
        <w:shd w:val="clear" w:color="auto" w:fill="FFFFFF"/>
        <w:spacing w:line="600" w:lineRule="exact"/>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（一）评价结论</w:t>
      </w:r>
    </w:p>
    <w:p>
      <w:pPr>
        <w:shd w:val="clear" w:color="auto" w:fill="FFFFFF"/>
        <w:spacing w:line="600" w:lineRule="exact"/>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1、财务管理绩效总评价结果</w:t>
      </w:r>
    </w:p>
    <w:p>
      <w:pPr>
        <w:shd w:val="clear" w:color="auto" w:fill="FFFFFF"/>
        <w:spacing w:line="600" w:lineRule="exact"/>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2019年区红十字会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2019年基本完成，在保障机关运转、履行职能职责上整体情况优良。</w:t>
      </w:r>
    </w:p>
    <w:p>
      <w:pPr>
        <w:shd w:val="clear" w:color="auto" w:fill="FFFFFF"/>
        <w:spacing w:line="600" w:lineRule="exact"/>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通过对区红十字会2019年部门财务管理三级指标的分析考评，区红十字会2019年部门财务管理绩效评价得分为98分，综合评价结果为优级。</w:t>
      </w:r>
    </w:p>
    <w:p>
      <w:pPr>
        <w:shd w:val="clear" w:color="auto" w:fill="FFFFFF"/>
        <w:spacing w:line="600" w:lineRule="exact"/>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2、项目绩效总评价结果</w:t>
      </w:r>
    </w:p>
    <w:p>
      <w:pPr>
        <w:shd w:val="clear" w:color="auto" w:fill="FFFFFF"/>
        <w:spacing w:line="600" w:lineRule="exact"/>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w:t>
      </w:r>
    </w:p>
    <w:p>
      <w:pPr>
        <w:shd w:val="clear" w:color="auto" w:fill="FFFFFF"/>
        <w:spacing w:line="600" w:lineRule="exact"/>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通过该项目三级指标的分析考评，该项目的绩效评价得分为96 分，综合评价结果为优级。</w:t>
      </w:r>
    </w:p>
    <w:p>
      <w:pPr>
        <w:shd w:val="clear" w:color="auto" w:fill="FFFFFF"/>
        <w:spacing w:line="600" w:lineRule="exact"/>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（二）存在问题</w:t>
      </w:r>
    </w:p>
    <w:p>
      <w:pPr>
        <w:shd w:val="clear" w:color="auto" w:fill="FFFFFF"/>
        <w:spacing w:line="600" w:lineRule="exact"/>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单位固定资产没有定期盘点记录，没有专人管理。</w:t>
      </w:r>
    </w:p>
    <w:p>
      <w:pPr>
        <w:shd w:val="clear" w:color="auto" w:fill="FFFFFF"/>
        <w:spacing w:line="600" w:lineRule="exact"/>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（三）改进建议</w:t>
      </w:r>
    </w:p>
    <w:p>
      <w:pPr>
        <w:shd w:val="clear" w:color="auto" w:fill="FFFFFF"/>
        <w:spacing w:line="600" w:lineRule="exact"/>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规范和完善固定资产管理，确定实物资产管理人，根据实物资产建立固定资产卡片，如存在划拨资产、盘盈盘亏情况，应根据相关划拨单、盘点表及相关内部盘点结果处理情况进行账务处理。</w:t>
      </w:r>
    </w:p>
    <w:p>
      <w:pPr>
        <w:shd w:val="clear" w:color="auto" w:fill="FFFFFF"/>
        <w:spacing w:line="600" w:lineRule="exact"/>
        <w:ind w:firstLine="560"/>
        <w:rPr>
          <w:rFonts w:ascii="Times New Roman" w:hAnsi="Times New Roman" w:eastAsia="仿宋_GB2312" w:cs="Times New Roman"/>
          <w:color w:val="333333"/>
          <w:sz w:val="32"/>
          <w:szCs w:val="32"/>
        </w:rPr>
      </w:pPr>
    </w:p>
    <w:p>
      <w:pPr>
        <w:widowControl/>
        <w:shd w:val="clear" w:color="auto" w:fill="FFFFFF"/>
        <w:rPr>
          <w:rFonts w:ascii="Times New Roman" w:hAnsi="Times New Roman" w:eastAsia="仿宋_GB2312" w:cs="Times New Roman"/>
          <w:color w:val="333333"/>
          <w:sz w:val="32"/>
          <w:szCs w:val="32"/>
        </w:rPr>
      </w:pPr>
    </w:p>
    <w:p>
      <w:pPr>
        <w:widowControl/>
        <w:jc w:val="left"/>
        <w:rPr>
          <w:rFonts w:ascii="Times New Roman" w:hAnsi="Times New Roman" w:eastAsia="仿宋_GB2312" w:cs="Times New Roman"/>
          <w:color w:val="333333"/>
          <w:kern w:val="0"/>
          <w:sz w:val="32"/>
          <w:szCs w:val="32"/>
          <w:shd w:val="clear" w:color="auto" w:fill="FFFFFF"/>
        </w:rPr>
      </w:pPr>
      <w:r>
        <w:rPr>
          <w:rFonts w:ascii="Times New Roman" w:hAnsi="Times New Roman" w:eastAsia="仿宋_GB2312" w:cs="Times New Roman"/>
          <w:color w:val="333333"/>
          <w:kern w:val="0"/>
          <w:sz w:val="32"/>
          <w:szCs w:val="32"/>
          <w:shd w:val="clear" w:color="auto" w:fill="FFFFFF"/>
        </w:rPr>
        <w:br w:type="page"/>
      </w:r>
    </w:p>
    <w:p>
      <w:pPr>
        <w:widowControl/>
        <w:shd w:val="clear" w:color="auto" w:fill="FFFFFF"/>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附件2</w:t>
      </w:r>
    </w:p>
    <w:p>
      <w:pPr>
        <w:widowControl/>
        <w:shd w:val="clear" w:color="auto" w:fill="FFFFFF"/>
        <w:spacing w:line="600" w:lineRule="exact"/>
        <w:jc w:val="center"/>
        <w:rPr>
          <w:rFonts w:ascii="方正小标宋简体" w:hAnsi="Times New Roman" w:eastAsia="方正小标宋简体" w:cs="Times New Roman"/>
          <w:color w:val="333333"/>
          <w:sz w:val="44"/>
          <w:szCs w:val="44"/>
        </w:rPr>
      </w:pPr>
      <w:r>
        <w:rPr>
          <w:rFonts w:hint="eastAsia" w:ascii="方正小标宋简体" w:hAnsi="Times New Roman" w:eastAsia="方正小标宋简体" w:cs="Times New Roman"/>
          <w:color w:val="333333"/>
          <w:kern w:val="0"/>
          <w:sz w:val="44"/>
          <w:szCs w:val="44"/>
          <w:shd w:val="clear" w:color="auto" w:fill="FFFFFF"/>
        </w:rPr>
        <w:t>区红十字会2019年百万培训项目支出</w:t>
      </w:r>
    </w:p>
    <w:p>
      <w:pPr>
        <w:widowControl/>
        <w:shd w:val="clear" w:color="auto" w:fill="FFFFFF"/>
        <w:spacing w:line="600" w:lineRule="exact"/>
        <w:jc w:val="center"/>
        <w:rPr>
          <w:rFonts w:ascii="方正小标宋简体" w:hAnsi="Times New Roman" w:eastAsia="方正小标宋简体" w:cs="Times New Roman"/>
          <w:color w:val="333333"/>
          <w:sz w:val="44"/>
          <w:szCs w:val="44"/>
        </w:rPr>
      </w:pPr>
      <w:r>
        <w:rPr>
          <w:rFonts w:hint="eastAsia" w:ascii="方正小标宋简体" w:hAnsi="Times New Roman" w:eastAsia="方正小标宋简体" w:cs="Times New Roman"/>
          <w:color w:val="333333"/>
          <w:kern w:val="0"/>
          <w:sz w:val="44"/>
          <w:szCs w:val="44"/>
          <w:shd w:val="clear" w:color="auto" w:fill="FFFFFF"/>
        </w:rPr>
        <w:t>绩效评价报告</w:t>
      </w:r>
    </w:p>
    <w:p>
      <w:pPr>
        <w:widowControl/>
        <w:shd w:val="clear" w:color="auto" w:fill="FFFFFF"/>
        <w:ind w:firstLine="560"/>
        <w:rPr>
          <w:rFonts w:ascii="Times New Roman" w:hAnsi="Times New Roman" w:eastAsia="仿宋_GB2312" w:cs="Times New Roman"/>
          <w:color w:val="333333"/>
          <w:sz w:val="32"/>
          <w:szCs w:val="32"/>
        </w:rPr>
      </w:pPr>
    </w:p>
    <w:p>
      <w:pPr>
        <w:widowControl/>
        <w:shd w:val="clear" w:color="auto" w:fill="FFFFFF"/>
        <w:ind w:firstLine="700"/>
        <w:rPr>
          <w:rFonts w:ascii="黑体" w:hAnsi="黑体" w:eastAsia="黑体" w:cs="Times New Roman"/>
          <w:color w:val="333333"/>
          <w:kern w:val="0"/>
          <w:sz w:val="32"/>
          <w:szCs w:val="32"/>
          <w:shd w:val="clear" w:color="auto" w:fill="FFFFFF"/>
        </w:rPr>
      </w:pPr>
      <w:r>
        <w:rPr>
          <w:rFonts w:ascii="黑体" w:hAnsi="黑体" w:eastAsia="黑体" w:cs="Times New Roman"/>
          <w:color w:val="333333"/>
          <w:kern w:val="0"/>
          <w:sz w:val="32"/>
          <w:szCs w:val="32"/>
          <w:shd w:val="clear" w:color="auto" w:fill="FFFFFF"/>
        </w:rPr>
        <w:t>一、评价工作开展及项目情况</w:t>
      </w:r>
    </w:p>
    <w:p>
      <w:pPr>
        <w:widowControl/>
        <w:shd w:val="clear" w:color="auto" w:fill="FFFFFF"/>
        <w:ind w:firstLine="70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成立项目管理绩效评价领导小组，综合运用了成本效益分析法、比较法、因素分析法、最低成本法、问卷调查法、访谈法、抽样调查、调阅资料、实地调查等方法开展项目支出绩效评价和政策评估，通过对单位项目所涉及的部门预算、部门决算、收入、支出、资产管理、信息公开、项目支出凭证、项目计划、项目实施等资料进行检查、审阅、整理、分析、汇总。</w:t>
      </w:r>
    </w:p>
    <w:p>
      <w:pPr>
        <w:widowControl/>
        <w:shd w:val="clear" w:color="auto" w:fill="FFFFFF"/>
        <w:ind w:firstLine="700"/>
        <w:rPr>
          <w:rFonts w:ascii="黑体" w:hAnsi="黑体" w:eastAsia="黑体" w:cs="Times New Roman"/>
          <w:color w:val="333333"/>
          <w:kern w:val="0"/>
          <w:sz w:val="32"/>
          <w:szCs w:val="32"/>
          <w:shd w:val="clear" w:color="auto" w:fill="FFFFFF"/>
        </w:rPr>
      </w:pPr>
      <w:r>
        <w:rPr>
          <w:rFonts w:ascii="黑体" w:hAnsi="黑体" w:eastAsia="黑体" w:cs="Times New Roman"/>
          <w:color w:val="333333"/>
          <w:kern w:val="0"/>
          <w:sz w:val="32"/>
          <w:szCs w:val="32"/>
          <w:shd w:val="clear" w:color="auto" w:fill="FFFFFF"/>
        </w:rPr>
        <w:t>二、评价结论及绩效分析</w:t>
      </w:r>
    </w:p>
    <w:p>
      <w:pPr>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（一）评价结论</w:t>
      </w:r>
    </w:p>
    <w:p>
      <w:pPr>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通过该项目三级指标的分析考评，该项目的绩效评价得分为96 分，综合评价结果为优级。</w:t>
      </w:r>
    </w:p>
    <w:p>
      <w:pPr>
        <w:widowControl/>
        <w:shd w:val="clear" w:color="auto" w:fill="FFFFFF"/>
        <w:ind w:firstLine="560"/>
        <w:rPr>
          <w:rFonts w:ascii="Times New Roman" w:hAnsi="Times New Roman" w:eastAsia="仿宋_GB2312" w:cs="Times New Roman"/>
          <w:color w:val="333333"/>
          <w:sz w:val="32"/>
          <w:szCs w:val="32"/>
        </w:rPr>
      </w:pPr>
    </w:p>
    <w:p>
      <w:pPr>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（二）绩效分析</w:t>
      </w:r>
    </w:p>
    <w:p>
      <w:pPr>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1、项目决策</w:t>
      </w:r>
    </w:p>
    <w:p>
      <w:pPr>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按照批准的项目和用途以及项目实施方案执行，无自行改变项目内容，扩大支出范围现象。无自行调整项目支出预算问题，所有项目支出均合理合规。</w:t>
      </w:r>
    </w:p>
    <w:p>
      <w:pPr>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2、项目管理</w:t>
      </w:r>
    </w:p>
    <w:p>
      <w:pPr>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资金分配情况科学合理，项目资金管理、使用科学规范。</w:t>
      </w:r>
    </w:p>
    <w:p>
      <w:pPr>
        <w:widowControl/>
        <w:shd w:val="clear" w:color="auto" w:fill="FFFFFF"/>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执行国家有关财经法规，厉行节约，量入为出，降低行政事业成本，提高资金使用效益。</w:t>
      </w:r>
    </w:p>
    <w:p>
      <w:pPr>
        <w:widowControl/>
        <w:shd w:val="clear" w:color="auto" w:fill="FFFFFF"/>
        <w:ind w:firstLine="42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3、项目绩效</w:t>
      </w:r>
    </w:p>
    <w:p>
      <w:pPr>
        <w:widowControl/>
        <w:shd w:val="clear" w:color="auto" w:fill="FFFFFF"/>
        <w:ind w:firstLine="56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通过在全区行政村、学校实施公益性初级应急救护“百万培训项目”，不断提高救护知识普及率，增强广大群众和中小学生面对各种突发意外事件的自救互救能力，保护因意外事件受伤人员的生命和健康，助推精准扶贫，为加快建设“五个昭化”建设。全区2019年完成培训人数8000人。</w:t>
      </w:r>
    </w:p>
    <w:p>
      <w:pPr>
        <w:widowControl/>
        <w:shd w:val="clear" w:color="auto" w:fill="FFFFFF"/>
        <w:ind w:firstLine="700"/>
        <w:rPr>
          <w:rFonts w:ascii="黑体" w:hAnsi="黑体" w:eastAsia="黑体" w:cs="Times New Roman"/>
          <w:color w:val="333333"/>
          <w:kern w:val="0"/>
          <w:sz w:val="32"/>
          <w:szCs w:val="32"/>
          <w:shd w:val="clear" w:color="auto" w:fill="FFFFFF"/>
        </w:rPr>
      </w:pPr>
      <w:r>
        <w:rPr>
          <w:rFonts w:ascii="黑体" w:hAnsi="黑体" w:eastAsia="黑体" w:cs="Times New Roman"/>
          <w:color w:val="333333"/>
          <w:kern w:val="0"/>
          <w:sz w:val="32"/>
          <w:szCs w:val="32"/>
          <w:shd w:val="clear" w:color="auto" w:fill="FFFFFF"/>
        </w:rPr>
        <w:t>三、存在主要问题</w:t>
      </w:r>
    </w:p>
    <w:p>
      <w:pPr>
        <w:widowControl/>
        <w:shd w:val="clear" w:color="auto" w:fill="FFFFFF"/>
        <w:ind w:firstLine="544"/>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绩效目标未完全实现，需要进一步加强宣传倡导。</w:t>
      </w:r>
    </w:p>
    <w:p>
      <w:pPr>
        <w:widowControl/>
        <w:shd w:val="clear" w:color="auto" w:fill="FFFFFF"/>
        <w:ind w:left="1360" w:hanging="720"/>
        <w:rPr>
          <w:rFonts w:ascii="黑体" w:hAnsi="黑体" w:eastAsia="黑体" w:cs="Times New Roman"/>
          <w:color w:val="333333"/>
          <w:sz w:val="32"/>
          <w:szCs w:val="32"/>
        </w:rPr>
      </w:pPr>
      <w:r>
        <w:rPr>
          <w:rFonts w:ascii="黑体" w:hAnsi="黑体" w:eastAsia="黑体" w:cs="Times New Roman"/>
          <w:color w:val="333333"/>
          <w:kern w:val="0"/>
          <w:sz w:val="32"/>
          <w:szCs w:val="32"/>
          <w:shd w:val="clear" w:color="auto" w:fill="FFFFFF"/>
        </w:rPr>
        <w:t>四、</w:t>
      </w:r>
      <w:r>
        <w:rPr>
          <w:rFonts w:ascii="Times New Roman" w:hAnsi="Times New Roman" w:eastAsia="黑体" w:cs="Times New Roman"/>
          <w:color w:val="333333"/>
          <w:kern w:val="0"/>
          <w:sz w:val="32"/>
          <w:szCs w:val="32"/>
          <w:shd w:val="clear" w:color="auto" w:fill="FFFFFF"/>
        </w:rPr>
        <w:t> </w:t>
      </w:r>
      <w:r>
        <w:rPr>
          <w:rFonts w:ascii="黑体" w:hAnsi="黑体" w:eastAsia="黑体" w:cs="Times New Roman"/>
          <w:color w:val="333333"/>
          <w:kern w:val="0"/>
          <w:sz w:val="32"/>
          <w:szCs w:val="32"/>
          <w:shd w:val="clear" w:color="auto" w:fill="FFFFFF"/>
        </w:rPr>
        <w:t>相关措施建议</w:t>
      </w:r>
    </w:p>
    <w:p>
      <w:pPr>
        <w:widowControl/>
        <w:shd w:val="clear" w:color="auto" w:fill="FFFFFF"/>
        <w:ind w:firstLine="544"/>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在以后年度的项目实施过程中，细化实施方案，加强项目实施管理，实现当年度绩效目标。同时加强宣传力度，提升老百姓的认知度和对该项目的满意度。</w:t>
      </w:r>
    </w:p>
    <w:p>
      <w:pPr>
        <w:widowControl/>
        <w:shd w:val="clear" w:color="auto" w:fill="FFFFFF"/>
        <w:ind w:left="640"/>
        <w:rPr>
          <w:rFonts w:ascii="Times New Roman" w:hAnsi="Times New Roman" w:eastAsia="仿宋_GB2312" w:cs="Times New Roman"/>
          <w:color w:val="333333"/>
          <w:sz w:val="32"/>
          <w:szCs w:val="32"/>
        </w:rPr>
      </w:pPr>
    </w:p>
    <w:p>
      <w:pPr>
        <w:widowControl/>
        <w:shd w:val="clear" w:color="auto" w:fill="FFFFFF"/>
        <w:ind w:left="640"/>
        <w:rPr>
          <w:rFonts w:ascii="Times New Roman" w:hAnsi="Times New Roman" w:eastAsia="仿宋_GB2312" w:cs="Times New Roman"/>
          <w:color w:val="333333"/>
          <w:sz w:val="32"/>
          <w:szCs w:val="32"/>
        </w:rPr>
      </w:pPr>
    </w:p>
    <w:p>
      <w:pPr>
        <w:widowControl/>
        <w:jc w:val="left"/>
        <w:rPr>
          <w:rFonts w:ascii="Times New Roman" w:hAnsi="Times New Roman" w:eastAsia="仿宋_GB2312" w:cs="Times New Roman"/>
          <w:color w:val="333333"/>
          <w:kern w:val="0"/>
          <w:sz w:val="32"/>
          <w:szCs w:val="32"/>
          <w:shd w:val="clear" w:color="auto" w:fill="FFFFFF"/>
        </w:rPr>
      </w:pPr>
      <w:r>
        <w:rPr>
          <w:rFonts w:ascii="Times New Roman" w:hAnsi="Times New Roman" w:eastAsia="仿宋_GB2312" w:cs="Times New Roman"/>
          <w:color w:val="333333"/>
          <w:kern w:val="0"/>
          <w:sz w:val="32"/>
          <w:szCs w:val="32"/>
          <w:shd w:val="clear" w:color="auto" w:fill="FFFFFF"/>
        </w:rPr>
        <w:br w:type="page"/>
      </w:r>
    </w:p>
    <w:p>
      <w:pPr>
        <w:widowControl/>
        <w:shd w:val="clear" w:color="auto" w:fill="FFFFFF"/>
        <w:jc w:val="center"/>
        <w:rPr>
          <w:rFonts w:ascii="方正小标宋简体" w:hAnsi="Times New Roman" w:eastAsia="方正小标宋简体" w:cs="Times New Roman"/>
          <w:color w:val="333333"/>
          <w:kern w:val="0"/>
          <w:sz w:val="44"/>
          <w:szCs w:val="44"/>
          <w:shd w:val="clear" w:color="auto" w:fill="FFFFFF"/>
        </w:rPr>
      </w:pPr>
      <w:r>
        <w:rPr>
          <w:rFonts w:hint="eastAsia" w:ascii="方正小标宋简体" w:hAnsi="Times New Roman" w:eastAsia="方正小标宋简体" w:cs="Times New Roman"/>
          <w:color w:val="333333"/>
          <w:kern w:val="0"/>
          <w:sz w:val="44"/>
          <w:szCs w:val="44"/>
          <w:shd w:val="clear" w:color="auto" w:fill="FFFFFF"/>
        </w:rPr>
        <w:t xml:space="preserve">第五部分  </w:t>
      </w:r>
      <w:r>
        <w:rPr>
          <w:rFonts w:hint="eastAsia" w:ascii="Times New Roman" w:hAnsi="Times New Roman" w:eastAsia="方正小标宋简体" w:cs="Times New Roman"/>
          <w:color w:val="333333"/>
          <w:kern w:val="0"/>
          <w:sz w:val="44"/>
          <w:szCs w:val="44"/>
          <w:shd w:val="clear" w:color="auto" w:fill="FFFFFF"/>
        </w:rPr>
        <w:t> </w:t>
      </w:r>
      <w:r>
        <w:rPr>
          <w:rFonts w:hint="eastAsia" w:ascii="方正小标宋简体" w:hAnsi="Times New Roman" w:eastAsia="方正小标宋简体" w:cs="Times New Roman"/>
          <w:color w:val="333333"/>
          <w:kern w:val="0"/>
          <w:sz w:val="44"/>
          <w:szCs w:val="44"/>
          <w:shd w:val="clear" w:color="auto" w:fill="FFFFFF"/>
        </w:rPr>
        <w:t>附表</w:t>
      </w:r>
    </w:p>
    <w:p>
      <w:pPr>
        <w:widowControl/>
        <w:shd w:val="clear" w:color="auto" w:fill="FFFFFF"/>
        <w:jc w:val="center"/>
        <w:rPr>
          <w:rFonts w:ascii="方正小标宋简体" w:hAnsi="Times New Roman" w:eastAsia="方正小标宋简体" w:cs="Times New Roman"/>
          <w:color w:val="333333"/>
          <w:sz w:val="44"/>
          <w:szCs w:val="44"/>
        </w:rPr>
      </w:pPr>
    </w:p>
    <w:p>
      <w:pPr>
        <w:widowControl/>
        <w:shd w:val="clear" w:color="auto" w:fill="FFFFFF"/>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一、收入支出决算总表</w:t>
      </w:r>
    </w:p>
    <w:p>
      <w:pPr>
        <w:widowControl/>
        <w:shd w:val="clear" w:color="auto" w:fill="FFFFFF"/>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二、收入总表</w:t>
      </w:r>
    </w:p>
    <w:p>
      <w:pPr>
        <w:widowControl/>
        <w:shd w:val="clear" w:color="auto" w:fill="FFFFFF"/>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三、支出总表</w:t>
      </w:r>
    </w:p>
    <w:p>
      <w:pPr>
        <w:widowControl/>
        <w:shd w:val="clear" w:color="auto" w:fill="FFFFFF"/>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四、财政拨款收入支出决算总表</w:t>
      </w:r>
    </w:p>
    <w:p>
      <w:pPr>
        <w:widowControl/>
        <w:shd w:val="clear" w:color="auto" w:fill="FFFFFF"/>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五、财政拨款支出决算明细表（政府经济分类科目）</w:t>
      </w:r>
    </w:p>
    <w:p>
      <w:pPr>
        <w:widowControl/>
        <w:shd w:val="clear" w:color="auto" w:fill="FFFFFF"/>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六、一般公共预算财政拨款支出决算表</w:t>
      </w:r>
    </w:p>
    <w:p>
      <w:pPr>
        <w:widowControl/>
        <w:shd w:val="clear" w:color="auto" w:fill="FFFFFF"/>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七、一般公共预算财政拨款支出决算明细表</w:t>
      </w:r>
    </w:p>
    <w:p>
      <w:pPr>
        <w:widowControl/>
        <w:shd w:val="clear" w:color="auto" w:fill="FFFFFF"/>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八、一般公共预算财政拨款基本支出决算表</w:t>
      </w:r>
    </w:p>
    <w:p>
      <w:pPr>
        <w:widowControl/>
        <w:shd w:val="clear" w:color="auto" w:fill="FFFFFF"/>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九、一般公共预算财政拨款项目支出决算表</w:t>
      </w:r>
    </w:p>
    <w:p>
      <w:pPr>
        <w:widowControl/>
        <w:shd w:val="clear" w:color="auto" w:fill="FFFFFF"/>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十、一般公共预算财政拨款“三公”经费支出决算表</w:t>
      </w:r>
    </w:p>
    <w:p>
      <w:pPr>
        <w:widowControl/>
        <w:shd w:val="clear" w:color="auto" w:fill="FFFFFF"/>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十一、政府性基金预算财政拨款收入支出决算表</w:t>
      </w:r>
    </w:p>
    <w:p>
      <w:pPr>
        <w:widowControl/>
        <w:shd w:val="clear" w:color="auto" w:fill="FFFFFF"/>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十二、政府性基金预算财政拨款“三公”经费支出决算表</w:t>
      </w:r>
    </w:p>
    <w:p>
      <w:pPr>
        <w:widowControl/>
        <w:shd w:val="clear" w:color="auto" w:fill="FFFFFF"/>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十三、国有资本经营预算支出决算表</w:t>
      </w:r>
    </w:p>
    <w:p>
      <w:pPr>
        <w:rPr>
          <w:rFonts w:ascii="Times New Roman" w:hAnsi="Times New Roman" w:eastAsia="仿宋_GB2312" w:cs="Times New Roman"/>
          <w:sz w:val="32"/>
          <w:szCs w:val="32"/>
        </w:rPr>
      </w:pPr>
    </w:p>
    <w:sectPr>
      <w:footerReference r:id="rId4" w:type="default"/>
      <w:pgSz w:w="11906" w:h="16838"/>
      <w:pgMar w:top="2098" w:right="1474" w:bottom="1985" w:left="1588" w:header="851" w:footer="1588"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3075" o:spid="_x0000_s3075"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4"/>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w:r>
    <w:r>
      <w:pict>
        <v:shape id="_x0000_s3076" o:spid="_x0000_s3076"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VhYTg4NGNkZWJkODFjNzcyZDRjM2M4Y2UzNjI5ZmUifQ=="/>
  </w:docVars>
  <w:rsids>
    <w:rsidRoot w:val="00953600"/>
    <w:rsid w:val="00102519"/>
    <w:rsid w:val="00125400"/>
    <w:rsid w:val="00202C3A"/>
    <w:rsid w:val="00494A02"/>
    <w:rsid w:val="004B259C"/>
    <w:rsid w:val="00590A8C"/>
    <w:rsid w:val="0059233F"/>
    <w:rsid w:val="00817B90"/>
    <w:rsid w:val="00953600"/>
    <w:rsid w:val="00962C24"/>
    <w:rsid w:val="00C80116"/>
    <w:rsid w:val="00E41446"/>
    <w:rsid w:val="2A67362C"/>
    <w:rsid w:val="3938248C"/>
    <w:rsid w:val="4A294220"/>
    <w:rsid w:val="5EFA7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page number"/>
    <w:basedOn w:val="8"/>
    <w:qFormat/>
    <w:uiPriority w:val="0"/>
  </w:style>
  <w:style w:type="character" w:customStyle="1" w:styleId="10">
    <w:name w:val="页眉 Char"/>
    <w:basedOn w:val="8"/>
    <w:link w:val="5"/>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character" w:customStyle="1" w:styleId="12">
    <w:name w:val="标题 1 Char"/>
    <w:basedOn w:val="8"/>
    <w:link w:val="2"/>
    <w:qFormat/>
    <w:uiPriority w:val="0"/>
    <w:rPr>
      <w:rFonts w:asciiTheme="minorHAnsi" w:hAnsiTheme="minorHAnsi" w:eastAsiaTheme="minorEastAsia" w:cstheme="minorBidi"/>
      <w:b/>
      <w:bCs/>
      <w:kern w:val="44"/>
      <w:sz w:val="44"/>
      <w:szCs w:val="44"/>
    </w:rPr>
  </w:style>
  <w:style w:type="paragraph" w:customStyle="1" w:styleId="13">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character" w:customStyle="1" w:styleId="14">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5"/>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22527A-81C7-4D40-9B53-90091C31E042}">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8501</Words>
  <Characters>9049</Characters>
  <Lines>66</Lines>
  <Paragraphs>18</Paragraphs>
  <TotalTime>0</TotalTime>
  <ScaleCrop>false</ScaleCrop>
  <LinksUpToDate>false</LinksUpToDate>
  <CharactersWithSpaces>9114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2021-05-23T08:53:00Z</dcterms:created>
  <dc:creator>猕猴桃</dc:creator>
  <cp:lastModifiedBy>DELL</cp:lastModifiedBy>
  <dcterms:modified xsi:type="dcterms:W3CDTF">2023-09-26T09:44:51Z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6F8E36A7C3FC4F42AE7B19A532AEEA6C</vt:lpwstr>
  </property>
</Properties>
</file>