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240" w:lineRule="auto"/>
        <w:ind w:left="0" w:leftChars="0" w:right="0" w:rightChars="0" w:firstLine="0" w:firstLineChars="0"/>
        <w:jc w:val="left"/>
        <w:outlineLvl w:val="9"/>
        <w:rPr>
          <w:rFonts w:ascii="方正小标宋简体" w:hAnsi="宋体" w:eastAsia="方正小标宋简体"/>
          <w:color w:val="000000"/>
          <w:sz w:val="72"/>
          <w:szCs w:val="72"/>
        </w:rPr>
      </w:pPr>
      <w:bookmarkStart w:id="0" w:name="_Toc15306267"/>
    </w:p>
    <w:p>
      <w:pPr>
        <w:pageBreakBefore w:val="0"/>
        <w:kinsoku/>
        <w:wordWrap/>
        <w:overflowPunct/>
        <w:topLinePunct w:val="0"/>
        <w:bidi w:val="0"/>
        <w:snapToGrid/>
        <w:spacing w:line="240" w:lineRule="auto"/>
        <w:ind w:left="0" w:leftChars="0" w:right="0" w:rightChars="0" w:firstLine="0" w:firstLineChars="0"/>
        <w:jc w:val="left"/>
        <w:outlineLvl w:val="9"/>
        <w:rPr>
          <w:rFonts w:ascii="方正小标宋简体" w:hAnsi="宋体" w:eastAsia="方正小标宋简体"/>
          <w:color w:val="000000"/>
          <w:sz w:val="72"/>
          <w:szCs w:val="72"/>
        </w:rPr>
      </w:pPr>
    </w:p>
    <w:p>
      <w:pPr>
        <w:pageBreakBefore w:val="0"/>
        <w:kinsoku/>
        <w:wordWrap/>
        <w:overflowPunct/>
        <w:topLinePunct w:val="0"/>
        <w:bidi w:val="0"/>
        <w:snapToGrid/>
        <w:spacing w:line="240" w:lineRule="auto"/>
        <w:ind w:left="0" w:leftChars="0" w:right="0" w:rightChars="0" w:firstLine="0" w:firstLineChars="0"/>
        <w:jc w:val="left"/>
        <w:outlineLvl w:val="9"/>
        <w:rPr>
          <w:rFonts w:ascii="方正小标宋简体" w:hAnsi="宋体" w:eastAsia="方正小标宋简体"/>
          <w:color w:val="000000"/>
          <w:sz w:val="72"/>
          <w:szCs w:val="72"/>
        </w:rPr>
      </w:pPr>
    </w:p>
    <w:p>
      <w:pPr>
        <w:pageBreakBefore w:val="0"/>
        <w:kinsoku/>
        <w:wordWrap/>
        <w:overflowPunct/>
        <w:topLinePunct w:val="0"/>
        <w:bidi w:val="0"/>
        <w:snapToGrid/>
        <w:spacing w:line="240" w:lineRule="auto"/>
        <w:ind w:left="0" w:leftChars="0" w:right="0" w:rightChars="0" w:firstLine="0" w:firstLineChars="0"/>
        <w:jc w:val="left"/>
        <w:outlineLvl w:val="9"/>
        <w:rPr>
          <w:rFonts w:ascii="方正小标宋简体" w:hAnsi="宋体" w:eastAsia="方正小标宋简体"/>
          <w:color w:val="000000"/>
          <w:sz w:val="144"/>
          <w:szCs w:val="144"/>
        </w:rPr>
      </w:pPr>
    </w:p>
    <w:p>
      <w:pPr>
        <w:pageBreakBefore w:val="0"/>
        <w:kinsoku/>
        <w:wordWrap/>
        <w:overflowPunct/>
        <w:topLinePunct w:val="0"/>
        <w:bidi w:val="0"/>
        <w:adjustRightInd w:val="0"/>
        <w:snapToGrid/>
        <w:spacing w:line="240" w:lineRule="auto"/>
        <w:ind w:left="0" w:leftChars="0" w:right="0" w:rightChars="0" w:firstLine="0" w:firstLineChars="0"/>
        <w:jc w:val="center"/>
        <w:outlineLvl w:val="9"/>
        <w:rPr>
          <w:rFonts w:hint="eastAsia" w:ascii="方正小标宋简体" w:hAnsi="方正小标宋简体" w:eastAsia="方正小标宋简体" w:cs="方正小标宋简体"/>
          <w:color w:val="000000"/>
          <w:sz w:val="56"/>
          <w:szCs w:val="56"/>
        </w:rPr>
      </w:pPr>
      <w:bookmarkStart w:id="1" w:name="_Toc15396475"/>
      <w:bookmarkStart w:id="2" w:name="_Toc15378441"/>
      <w:bookmarkStart w:id="3" w:name="_Toc15377425"/>
      <w:bookmarkStart w:id="4" w:name="_Toc15396597"/>
      <w:bookmarkStart w:id="5" w:name="_Toc15377193"/>
      <w:r>
        <w:rPr>
          <w:rFonts w:hint="eastAsia" w:ascii="方正小标宋简体" w:hAnsi="方正小标宋简体" w:eastAsia="方正小标宋简体" w:cs="方正小标宋简体"/>
          <w:color w:val="000000"/>
          <w:sz w:val="56"/>
          <w:szCs w:val="56"/>
        </w:rPr>
        <w:t>2019年度</w:t>
      </w:r>
      <w:bookmarkEnd w:id="1"/>
      <w:bookmarkEnd w:id="2"/>
      <w:bookmarkEnd w:id="3"/>
      <w:bookmarkEnd w:id="4"/>
      <w:bookmarkEnd w:id="5"/>
    </w:p>
    <w:bookmarkEnd w:id="0"/>
    <w:p>
      <w:pPr>
        <w:pageBreakBefore w:val="0"/>
        <w:kinsoku/>
        <w:wordWrap/>
        <w:overflowPunct/>
        <w:topLinePunct w:val="0"/>
        <w:bidi w:val="0"/>
        <w:adjustRightInd w:val="0"/>
        <w:snapToGrid/>
        <w:spacing w:line="240" w:lineRule="auto"/>
        <w:ind w:left="0" w:leftChars="0" w:right="0" w:rightChars="0" w:firstLine="0" w:firstLineChars="0"/>
        <w:jc w:val="center"/>
        <w:outlineLvl w:val="9"/>
        <w:rPr>
          <w:rFonts w:hint="eastAsia" w:ascii="方正小标宋简体" w:hAnsi="方正小标宋简体" w:eastAsia="方正小标宋简体" w:cs="方正小标宋简体"/>
          <w:color w:val="000000"/>
          <w:sz w:val="56"/>
          <w:szCs w:val="56"/>
        </w:rPr>
      </w:pPr>
      <w:bookmarkStart w:id="6" w:name="_Toc15377426"/>
      <w:bookmarkStart w:id="7" w:name="_Toc15396598"/>
      <w:bookmarkStart w:id="8" w:name="_Toc15306268"/>
      <w:bookmarkStart w:id="9" w:name="_Toc15377194"/>
      <w:bookmarkStart w:id="10" w:name="_Toc15396476"/>
      <w:bookmarkStart w:id="11" w:name="_Toc15378442"/>
      <w:r>
        <w:rPr>
          <w:rFonts w:hint="eastAsia" w:ascii="方正小标宋简体" w:hAnsi="方正小标宋简体" w:eastAsia="方正小标宋简体" w:cs="方正小标宋简体"/>
          <w:color w:val="000000"/>
          <w:sz w:val="56"/>
          <w:szCs w:val="56"/>
        </w:rPr>
        <w:t>中共广元市昭化区委宣传部</w:t>
      </w:r>
    </w:p>
    <w:p>
      <w:pPr>
        <w:pageBreakBefore w:val="0"/>
        <w:kinsoku/>
        <w:wordWrap/>
        <w:overflowPunct/>
        <w:topLinePunct w:val="0"/>
        <w:bidi w:val="0"/>
        <w:adjustRightInd w:val="0"/>
        <w:snapToGrid/>
        <w:spacing w:line="240" w:lineRule="auto"/>
        <w:ind w:left="0" w:leftChars="0" w:right="0" w:rightChars="0" w:firstLine="0" w:firstLineChars="0"/>
        <w:jc w:val="center"/>
        <w:outlineLvl w:val="9"/>
        <w:rPr>
          <w:rFonts w:hint="eastAsia" w:ascii="方正小标宋简体" w:hAnsi="方正小标宋简体" w:eastAsia="方正小标宋简体" w:cs="方正小标宋简体"/>
          <w:color w:val="000000"/>
          <w:sz w:val="56"/>
          <w:szCs w:val="56"/>
          <w:lang w:val="en-US" w:eastAsia="zh-CN"/>
        </w:rPr>
      </w:pPr>
      <w:r>
        <w:rPr>
          <w:rFonts w:hint="eastAsia" w:ascii="方正小标宋简体" w:hAnsi="方正小标宋简体" w:eastAsia="方正小标宋简体" w:cs="方正小标宋简体"/>
          <w:color w:val="000000"/>
          <w:sz w:val="56"/>
          <w:szCs w:val="56"/>
        </w:rPr>
        <w:t>部门决算</w:t>
      </w:r>
      <w:bookmarkEnd w:id="6"/>
      <w:bookmarkEnd w:id="7"/>
      <w:bookmarkEnd w:id="8"/>
      <w:bookmarkEnd w:id="9"/>
      <w:bookmarkEnd w:id="10"/>
      <w:bookmarkEnd w:id="11"/>
      <w:r>
        <w:rPr>
          <w:rFonts w:hint="eastAsia" w:ascii="方正小标宋简体" w:hAnsi="方正小标宋简体" w:eastAsia="方正小标宋简体" w:cs="方正小标宋简体"/>
          <w:color w:val="000000"/>
          <w:sz w:val="56"/>
          <w:szCs w:val="56"/>
          <w:lang w:val="en-US" w:eastAsia="zh-CN"/>
        </w:rPr>
        <w:t>公开</w:t>
      </w:r>
    </w:p>
    <w:p>
      <w:pPr>
        <w:pageBreakBefore w:val="0"/>
        <w:widowControl/>
        <w:kinsoku/>
        <w:wordWrap/>
        <w:overflowPunct/>
        <w:topLinePunct w:val="0"/>
        <w:bidi w:val="0"/>
        <w:snapToGrid/>
        <w:spacing w:line="240" w:lineRule="auto"/>
        <w:ind w:left="0" w:leftChars="0" w:right="0" w:rightChars="0" w:firstLine="0" w:firstLineChars="0"/>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sdt>
      <w:sdtPr>
        <w:rPr>
          <w:rFonts w:ascii="宋体" w:hAnsi="宋体" w:eastAsia="宋体" w:cs="Times New Roman"/>
          <w:kern w:val="2"/>
          <w:sz w:val="21"/>
          <w:szCs w:val="24"/>
          <w:lang w:val="en-US" w:eastAsia="zh-CN" w:bidi="ar-SA"/>
        </w:rPr>
        <w:id w:val="14746662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pageBreakBefore w:val="0"/>
            <w:kinsoku/>
            <w:wordWrap/>
            <w:overflowPunct/>
            <w:topLinePunct w:val="0"/>
            <w:bidi w:val="0"/>
            <w:snapToGrid/>
            <w:spacing w:line="240" w:lineRule="auto"/>
            <w:ind w:left="0" w:leftChars="0" w:right="0" w:rightChars="0" w:firstLine="0" w:firstLineChars="0"/>
            <w:jc w:val="center"/>
          </w:pPr>
          <w:bookmarkStart w:id="12" w:name="_Toc15377196"/>
          <w:bookmarkStart w:id="13" w:name="_Toc15396599"/>
          <w:r>
            <w:rPr>
              <w:rFonts w:ascii="宋体" w:hAnsi="宋体" w:eastAsia="宋体"/>
              <w:sz w:val="21"/>
            </w:rPr>
            <w:t>目录</w:t>
          </w:r>
        </w:p>
        <w:p>
          <w:pPr>
            <w:pStyle w:val="12"/>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_Toc13502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_Toc13502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_Toc21179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_Toc21179 </w:instrText>
          </w:r>
          <w:r>
            <w:fldChar w:fldCharType="separate"/>
          </w:r>
          <w:r>
            <w:t>4</w:t>
          </w:r>
          <w:r>
            <w:fldChar w:fldCharType="end"/>
          </w:r>
          <w:r>
            <w:fldChar w:fldCharType="end"/>
          </w:r>
        </w:p>
        <w:p>
          <w:pPr>
            <w:pStyle w:val="8"/>
            <w:tabs>
              <w:tab w:val="right" w:leader="dot" w:pos="8306"/>
              <w:tab w:val="clear" w:pos="8296"/>
            </w:tabs>
          </w:pPr>
          <w:r>
            <w:fldChar w:fldCharType="begin"/>
          </w:r>
          <w:r>
            <w:instrText xml:space="preserve"> HYPERLINK \l _Toc16501 </w:instrText>
          </w:r>
          <w:r>
            <w:fldChar w:fldCharType="separate"/>
          </w:r>
          <w:r>
            <w:rPr>
              <w:rFonts w:hint="eastAsia" w:ascii="仿宋_GB2312" w:hAnsi="仿宋_GB2312" w:eastAsia="仿宋_GB2312" w:cs="仿宋_GB2312"/>
              <w:bCs w:val="0"/>
              <w:szCs w:val="30"/>
            </w:rPr>
            <w:t>（一）主要职能。</w:t>
          </w:r>
          <w:r>
            <w:tab/>
          </w:r>
          <w:r>
            <w:fldChar w:fldCharType="begin"/>
          </w:r>
          <w:r>
            <w:instrText xml:space="preserve"> PAGEREF _Toc16501 </w:instrText>
          </w:r>
          <w:r>
            <w:fldChar w:fldCharType="separate"/>
          </w:r>
          <w:r>
            <w:t>4</w:t>
          </w:r>
          <w:r>
            <w:fldChar w:fldCharType="end"/>
          </w:r>
          <w:r>
            <w:fldChar w:fldCharType="end"/>
          </w:r>
        </w:p>
        <w:p>
          <w:pPr>
            <w:pStyle w:val="8"/>
            <w:tabs>
              <w:tab w:val="right" w:leader="dot" w:pos="8306"/>
              <w:tab w:val="clear" w:pos="8296"/>
            </w:tabs>
          </w:pPr>
          <w:r>
            <w:fldChar w:fldCharType="begin"/>
          </w:r>
          <w:r>
            <w:instrText xml:space="preserve"> HYPERLINK \l _Toc22630 </w:instrText>
          </w:r>
          <w:r>
            <w:fldChar w:fldCharType="separate"/>
          </w:r>
          <w:r>
            <w:rPr>
              <w:rFonts w:hint="eastAsia" w:ascii="仿宋_GB2312" w:hAnsi="仿宋_GB2312" w:eastAsia="仿宋_GB2312" w:cs="仿宋_GB2312"/>
              <w:bCs w:val="0"/>
              <w:szCs w:val="30"/>
            </w:rPr>
            <w:t>（二）2019年重点工作完成情况。</w:t>
          </w:r>
          <w:r>
            <w:tab/>
          </w:r>
          <w:r>
            <w:fldChar w:fldCharType="begin"/>
          </w:r>
          <w:r>
            <w:instrText xml:space="preserve"> PAGEREF _Toc22630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_Toc1190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_Toc1190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_Toc7516 </w:instrText>
          </w:r>
          <w:r>
            <w:fldChar w:fldCharType="separate"/>
          </w:r>
          <w:r>
            <w:rPr>
              <w:rFonts w:hint="eastAsia" w:ascii="黑体" w:hAnsi="黑体" w:eastAsia="黑体"/>
            </w:rPr>
            <w:t xml:space="preserve">第二部分 </w:t>
          </w:r>
          <w:r>
            <w:rPr>
              <w:rFonts w:hint="eastAsia" w:ascii="黑体" w:hAnsi="黑体" w:eastAsia="黑体"/>
              <w:bCs w:val="0"/>
            </w:rPr>
            <w:t>2019年度部门决算情况说明</w:t>
          </w:r>
          <w:r>
            <w:tab/>
          </w:r>
          <w:r>
            <w:fldChar w:fldCharType="begin"/>
          </w:r>
          <w:r>
            <w:instrText xml:space="preserve"> PAGEREF _Toc7516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_Toc19906 </w:instrText>
          </w:r>
          <w:r>
            <w:fldChar w:fldCharType="separate"/>
          </w:r>
          <w:r>
            <w:rPr>
              <w:rFonts w:hint="default" w:ascii="黑体" w:hAnsi="黑体" w:eastAsia="黑体" w:cs="黑体"/>
              <w:bCs/>
              <w:szCs w:val="30"/>
            </w:rPr>
            <w:t xml:space="preserve">一、 </w:t>
          </w:r>
          <w:r>
            <w:rPr>
              <w:rFonts w:hint="eastAsia" w:ascii="黑体" w:hAnsi="黑体" w:eastAsia="黑体" w:cs="黑体"/>
              <w:bCs/>
              <w:szCs w:val="30"/>
            </w:rPr>
            <w:t>收入支出决算总体情况说明</w:t>
          </w:r>
          <w:r>
            <w:tab/>
          </w:r>
          <w:r>
            <w:fldChar w:fldCharType="begin"/>
          </w:r>
          <w:r>
            <w:instrText xml:space="preserve"> PAGEREF _Toc19906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_Toc5160 </w:instrText>
          </w:r>
          <w:r>
            <w:fldChar w:fldCharType="separate"/>
          </w:r>
          <w:r>
            <w:rPr>
              <w:rFonts w:hint="default" w:ascii="黑体" w:hAnsi="黑体" w:eastAsia="黑体" w:cs="黑体"/>
              <w:bCs/>
              <w:szCs w:val="30"/>
            </w:rPr>
            <w:t xml:space="preserve">二、 </w:t>
          </w:r>
          <w:r>
            <w:rPr>
              <w:rFonts w:hint="eastAsia" w:ascii="黑体" w:hAnsi="黑体" w:eastAsia="黑体" w:cs="黑体"/>
              <w:bCs/>
              <w:szCs w:val="30"/>
            </w:rPr>
            <w:t>收入决算情况说明</w:t>
          </w:r>
          <w:r>
            <w:tab/>
          </w:r>
          <w:r>
            <w:fldChar w:fldCharType="begin"/>
          </w:r>
          <w:r>
            <w:instrText xml:space="preserve"> PAGEREF _Toc5160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_Toc9375 </w:instrText>
          </w:r>
          <w:r>
            <w:fldChar w:fldCharType="separate"/>
          </w:r>
          <w:r>
            <w:rPr>
              <w:rFonts w:hint="default" w:ascii="黑体" w:hAnsi="黑体" w:eastAsia="黑体" w:cs="黑体"/>
              <w:szCs w:val="30"/>
            </w:rPr>
            <w:t xml:space="preserve">三、 </w:t>
          </w:r>
          <w:r>
            <w:rPr>
              <w:rFonts w:hint="eastAsia" w:ascii="黑体" w:hAnsi="黑体" w:eastAsia="黑体" w:cs="黑体"/>
              <w:szCs w:val="30"/>
            </w:rPr>
            <w:t>支出决算情况说明</w:t>
          </w:r>
          <w:r>
            <w:tab/>
          </w:r>
          <w:r>
            <w:fldChar w:fldCharType="begin"/>
          </w:r>
          <w:r>
            <w:instrText xml:space="preserve"> PAGEREF _Toc9375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_Toc18675 </w:instrText>
          </w:r>
          <w:r>
            <w:fldChar w:fldCharType="separate"/>
          </w:r>
          <w:r>
            <w:rPr>
              <w:rFonts w:hint="default" w:ascii="仿宋_GB2312" w:hAnsi="仿宋_GB2312" w:eastAsia="仿宋_GB2312" w:cs="仿宋_GB2312"/>
              <w:szCs w:val="30"/>
            </w:rPr>
            <w:t xml:space="preserve">四、 </w:t>
          </w:r>
          <w:r>
            <w:rPr>
              <w:rFonts w:hint="eastAsia" w:ascii="黑体" w:hAnsi="黑体" w:eastAsia="黑体" w:cs="黑体"/>
              <w:szCs w:val="30"/>
            </w:rPr>
            <w:t>财政拨款收入支出决算总体情况说明</w:t>
          </w:r>
          <w:r>
            <w:tab/>
          </w:r>
          <w:r>
            <w:fldChar w:fldCharType="begin"/>
          </w:r>
          <w:r>
            <w:instrText xml:space="preserve"> PAGEREF _Toc18675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_Toc6338 </w:instrText>
          </w:r>
          <w:r>
            <w:fldChar w:fldCharType="separate"/>
          </w:r>
          <w:r>
            <w:rPr>
              <w:rFonts w:hint="default" w:ascii="仿宋_GB2312" w:hAnsi="仿宋_GB2312" w:eastAsia="仿宋_GB2312" w:cs="仿宋_GB2312"/>
              <w:szCs w:val="30"/>
            </w:rPr>
            <w:t xml:space="preserve">五、 </w:t>
          </w:r>
          <w:r>
            <w:rPr>
              <w:rFonts w:hint="eastAsia" w:ascii="黑体" w:hAnsi="黑体" w:eastAsia="黑体" w:cs="黑体"/>
              <w:szCs w:val="30"/>
            </w:rPr>
            <w:t>一般公共预算财政拨款支出决算情况说明</w:t>
          </w:r>
          <w:r>
            <w:tab/>
          </w:r>
          <w:r>
            <w:fldChar w:fldCharType="begin"/>
          </w:r>
          <w:r>
            <w:instrText xml:space="preserve"> PAGEREF _Toc6338 </w:instrText>
          </w:r>
          <w:r>
            <w:fldChar w:fldCharType="separate"/>
          </w:r>
          <w:r>
            <w:t>13</w:t>
          </w:r>
          <w:r>
            <w:fldChar w:fldCharType="end"/>
          </w:r>
          <w:r>
            <w:fldChar w:fldCharType="end"/>
          </w:r>
        </w:p>
        <w:p>
          <w:pPr>
            <w:pStyle w:val="8"/>
            <w:tabs>
              <w:tab w:val="right" w:leader="dot" w:pos="8306"/>
              <w:tab w:val="clear" w:pos="8296"/>
            </w:tabs>
          </w:pPr>
          <w:r>
            <w:fldChar w:fldCharType="begin"/>
          </w:r>
          <w:r>
            <w:instrText xml:space="preserve"> HYPERLINK \l _Toc31010 </w:instrText>
          </w:r>
          <w:r>
            <w:fldChar w:fldCharType="separate"/>
          </w:r>
          <w:r>
            <w:rPr>
              <w:rFonts w:hint="eastAsia" w:ascii="仿宋_GB2312" w:hAnsi="仿宋_GB2312" w:eastAsia="仿宋_GB2312" w:cs="仿宋_GB2312"/>
              <w:szCs w:val="30"/>
            </w:rPr>
            <w:t>（一）一般公共预算财政拨款支出决算总体情况</w:t>
          </w:r>
          <w:r>
            <w:tab/>
          </w:r>
          <w:r>
            <w:fldChar w:fldCharType="begin"/>
          </w:r>
          <w:r>
            <w:instrText xml:space="preserve"> PAGEREF _Toc31010 </w:instrText>
          </w:r>
          <w:r>
            <w:fldChar w:fldCharType="separate"/>
          </w:r>
          <w:r>
            <w:t>13</w:t>
          </w:r>
          <w:r>
            <w:fldChar w:fldCharType="end"/>
          </w:r>
          <w:r>
            <w:fldChar w:fldCharType="end"/>
          </w:r>
        </w:p>
        <w:p>
          <w:pPr>
            <w:pStyle w:val="8"/>
            <w:tabs>
              <w:tab w:val="right" w:leader="dot" w:pos="8306"/>
              <w:tab w:val="clear" w:pos="8296"/>
            </w:tabs>
          </w:pPr>
          <w:r>
            <w:fldChar w:fldCharType="begin"/>
          </w:r>
          <w:r>
            <w:instrText xml:space="preserve"> HYPERLINK \l _Toc5645 </w:instrText>
          </w:r>
          <w:r>
            <w:fldChar w:fldCharType="separate"/>
          </w:r>
          <w:r>
            <w:rPr>
              <w:rFonts w:hint="eastAsia" w:ascii="仿宋_GB2312" w:hAnsi="仿宋_GB2312" w:eastAsia="仿宋_GB2312" w:cs="仿宋_GB2312"/>
              <w:szCs w:val="30"/>
            </w:rPr>
            <w:t>（二）一般公共预算财政拨款支出决算结构情况</w:t>
          </w:r>
          <w:r>
            <w:tab/>
          </w:r>
          <w:r>
            <w:fldChar w:fldCharType="begin"/>
          </w:r>
          <w:r>
            <w:instrText xml:space="preserve"> PAGEREF _Toc5645 </w:instrText>
          </w:r>
          <w:r>
            <w:fldChar w:fldCharType="separate"/>
          </w:r>
          <w:r>
            <w:t>13</w:t>
          </w:r>
          <w:r>
            <w:fldChar w:fldCharType="end"/>
          </w:r>
          <w:r>
            <w:fldChar w:fldCharType="end"/>
          </w:r>
        </w:p>
        <w:p>
          <w:pPr>
            <w:pStyle w:val="8"/>
            <w:tabs>
              <w:tab w:val="right" w:leader="dot" w:pos="8306"/>
              <w:tab w:val="clear" w:pos="8296"/>
            </w:tabs>
          </w:pPr>
          <w:r>
            <w:fldChar w:fldCharType="begin"/>
          </w:r>
          <w:r>
            <w:instrText xml:space="preserve"> HYPERLINK \l _Toc15581 </w:instrText>
          </w:r>
          <w:r>
            <w:fldChar w:fldCharType="separate"/>
          </w:r>
          <w:r>
            <w:rPr>
              <w:rFonts w:hint="eastAsia" w:ascii="仿宋_GB2312" w:hAnsi="仿宋_GB2312" w:eastAsia="仿宋_GB2312" w:cs="仿宋_GB2312"/>
              <w:szCs w:val="30"/>
            </w:rPr>
            <w:t>（三）一般公共预算财政拨款支出决算具体情况</w:t>
          </w:r>
          <w:r>
            <w:tab/>
          </w:r>
          <w:r>
            <w:fldChar w:fldCharType="begin"/>
          </w:r>
          <w:r>
            <w:instrText xml:space="preserve"> PAGEREF _Toc15581 </w:instrText>
          </w:r>
          <w:r>
            <w:fldChar w:fldCharType="separate"/>
          </w:r>
          <w:r>
            <w:t>13</w:t>
          </w:r>
          <w:r>
            <w:fldChar w:fldCharType="end"/>
          </w:r>
          <w:r>
            <w:fldChar w:fldCharType="end"/>
          </w:r>
        </w:p>
        <w:p>
          <w:pPr>
            <w:pStyle w:val="14"/>
            <w:tabs>
              <w:tab w:val="right" w:leader="dot" w:pos="8306"/>
              <w:tab w:val="clear" w:pos="8296"/>
            </w:tabs>
          </w:pPr>
          <w:r>
            <w:fldChar w:fldCharType="begin"/>
          </w:r>
          <w:r>
            <w:instrText xml:space="preserve"> HYPERLINK \l _Toc26790 </w:instrText>
          </w:r>
          <w:r>
            <w:fldChar w:fldCharType="separate"/>
          </w:r>
          <w:r>
            <w:rPr>
              <w:rFonts w:hint="default" w:ascii="仿宋_GB2312" w:hAnsi="仿宋_GB2312" w:eastAsia="仿宋_GB2312" w:cs="仿宋_GB2312"/>
              <w:szCs w:val="30"/>
            </w:rPr>
            <w:t xml:space="preserve">六、 </w:t>
          </w:r>
          <w:r>
            <w:rPr>
              <w:rFonts w:hint="eastAsia" w:ascii="黑体" w:hAnsi="黑体" w:eastAsia="黑体" w:cs="黑体"/>
              <w:szCs w:val="30"/>
            </w:rPr>
            <w:t>一般公共预算财政拨款基本支出决算情况说明</w:t>
          </w:r>
          <w:r>
            <w:tab/>
          </w:r>
          <w:r>
            <w:fldChar w:fldCharType="begin"/>
          </w:r>
          <w:r>
            <w:instrText xml:space="preserve"> PAGEREF _Toc26790 </w:instrText>
          </w:r>
          <w:r>
            <w:fldChar w:fldCharType="separate"/>
          </w:r>
          <w:r>
            <w:t>14</w:t>
          </w:r>
          <w:r>
            <w:fldChar w:fldCharType="end"/>
          </w:r>
          <w:r>
            <w:fldChar w:fldCharType="end"/>
          </w:r>
        </w:p>
        <w:p>
          <w:pPr>
            <w:pStyle w:val="14"/>
            <w:tabs>
              <w:tab w:val="right" w:leader="dot" w:pos="8306"/>
              <w:tab w:val="clear" w:pos="8296"/>
            </w:tabs>
          </w:pPr>
          <w:r>
            <w:fldChar w:fldCharType="begin"/>
          </w:r>
          <w:r>
            <w:instrText xml:space="preserve"> HYPERLINK \l _Toc31177 </w:instrText>
          </w:r>
          <w:r>
            <w:fldChar w:fldCharType="separate"/>
          </w:r>
          <w:r>
            <w:rPr>
              <w:rFonts w:hint="default" w:ascii="黑体" w:hAnsi="黑体" w:eastAsia="黑体" w:cs="黑体"/>
              <w:bCs/>
              <w:szCs w:val="30"/>
            </w:rPr>
            <w:t xml:space="preserve">七、 </w:t>
          </w:r>
          <w:r>
            <w:rPr>
              <w:rFonts w:hint="eastAsia" w:ascii="黑体" w:hAnsi="黑体" w:eastAsia="黑体" w:cs="黑体"/>
              <w:szCs w:val="30"/>
            </w:rPr>
            <w:t>“三公”经费财政拨款支出决算情况说明</w:t>
          </w:r>
          <w:r>
            <w:tab/>
          </w:r>
          <w:r>
            <w:fldChar w:fldCharType="begin"/>
          </w:r>
          <w:r>
            <w:instrText xml:space="preserve"> PAGEREF _Toc31177 </w:instrText>
          </w:r>
          <w:r>
            <w:fldChar w:fldCharType="separate"/>
          </w:r>
          <w:r>
            <w:t>15</w:t>
          </w:r>
          <w:r>
            <w:fldChar w:fldCharType="end"/>
          </w:r>
          <w:r>
            <w:fldChar w:fldCharType="end"/>
          </w:r>
        </w:p>
        <w:p>
          <w:pPr>
            <w:pStyle w:val="8"/>
            <w:tabs>
              <w:tab w:val="right" w:leader="dot" w:pos="8306"/>
              <w:tab w:val="clear" w:pos="8296"/>
            </w:tabs>
          </w:pPr>
          <w:r>
            <w:fldChar w:fldCharType="begin"/>
          </w:r>
          <w:r>
            <w:instrText xml:space="preserve"> HYPERLINK \l _Toc26969 </w:instrText>
          </w:r>
          <w:r>
            <w:fldChar w:fldCharType="separate"/>
          </w:r>
          <w:r>
            <w:rPr>
              <w:rFonts w:hint="eastAsia" w:ascii="仿宋_GB2312" w:hAnsi="仿宋_GB2312" w:eastAsia="仿宋_GB2312" w:cs="仿宋_GB2312"/>
              <w:szCs w:val="30"/>
            </w:rPr>
            <w:t>（一）“三公”经费财政拨款支出决算总体情况说明</w:t>
          </w:r>
          <w:r>
            <w:tab/>
          </w:r>
          <w:r>
            <w:fldChar w:fldCharType="begin"/>
          </w:r>
          <w:r>
            <w:instrText xml:space="preserve"> PAGEREF _Toc26969 </w:instrText>
          </w:r>
          <w:r>
            <w:fldChar w:fldCharType="separate"/>
          </w:r>
          <w:r>
            <w:t>15</w:t>
          </w:r>
          <w:r>
            <w:fldChar w:fldCharType="end"/>
          </w:r>
          <w:r>
            <w:fldChar w:fldCharType="end"/>
          </w:r>
        </w:p>
        <w:p>
          <w:pPr>
            <w:pStyle w:val="8"/>
            <w:tabs>
              <w:tab w:val="right" w:leader="dot" w:pos="8306"/>
              <w:tab w:val="clear" w:pos="8296"/>
            </w:tabs>
          </w:pPr>
          <w:r>
            <w:fldChar w:fldCharType="begin"/>
          </w:r>
          <w:r>
            <w:instrText xml:space="preserve"> HYPERLINK \l _Toc20593 </w:instrText>
          </w:r>
          <w:r>
            <w:fldChar w:fldCharType="separate"/>
          </w:r>
          <w:r>
            <w:rPr>
              <w:rFonts w:hint="eastAsia" w:ascii="仿宋_GB2312" w:hAnsi="仿宋_GB2312" w:eastAsia="仿宋_GB2312" w:cs="仿宋_GB2312"/>
              <w:szCs w:val="30"/>
            </w:rPr>
            <w:t>（二）“三公”经费财政拨款支出决算具体情况说明</w:t>
          </w:r>
          <w:r>
            <w:tab/>
          </w:r>
          <w:r>
            <w:fldChar w:fldCharType="begin"/>
          </w:r>
          <w:r>
            <w:instrText xml:space="preserve"> PAGEREF _Toc20593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_Toc24000 </w:instrText>
          </w:r>
          <w:r>
            <w:fldChar w:fldCharType="separate"/>
          </w:r>
          <w:r>
            <w:rPr>
              <w:rFonts w:hint="default" w:ascii="黑体" w:hAnsi="黑体" w:eastAsia="黑体" w:cs="黑体"/>
              <w:bCs/>
              <w:szCs w:val="30"/>
            </w:rPr>
            <w:t xml:space="preserve">八、 </w:t>
          </w:r>
          <w:r>
            <w:rPr>
              <w:rFonts w:hint="eastAsia" w:ascii="黑体" w:hAnsi="黑体" w:eastAsia="黑体" w:cs="黑体"/>
              <w:bCs/>
              <w:szCs w:val="30"/>
            </w:rPr>
            <w:t>政府性基金预算支出决算情况说明</w:t>
          </w:r>
          <w:r>
            <w:tab/>
          </w:r>
          <w:r>
            <w:fldChar w:fldCharType="begin"/>
          </w:r>
          <w:r>
            <w:instrText xml:space="preserve"> PAGEREF _Toc24000 </w:instrText>
          </w:r>
          <w:r>
            <w:fldChar w:fldCharType="separate"/>
          </w:r>
          <w:r>
            <w:t>16</w:t>
          </w:r>
          <w:r>
            <w:fldChar w:fldCharType="end"/>
          </w:r>
          <w:r>
            <w:fldChar w:fldCharType="end"/>
          </w:r>
        </w:p>
        <w:p>
          <w:pPr>
            <w:pStyle w:val="14"/>
            <w:tabs>
              <w:tab w:val="right" w:leader="dot" w:pos="8306"/>
              <w:tab w:val="clear" w:pos="8296"/>
            </w:tabs>
          </w:pPr>
          <w:r>
            <w:fldChar w:fldCharType="begin"/>
          </w:r>
          <w:r>
            <w:instrText xml:space="preserve"> HYPERLINK \l _Toc574 </w:instrText>
          </w:r>
          <w:r>
            <w:fldChar w:fldCharType="separate"/>
          </w:r>
          <w:r>
            <w:rPr>
              <w:rFonts w:hint="default" w:ascii="黑体" w:hAnsi="黑体" w:eastAsia="黑体" w:cs="黑体"/>
              <w:szCs w:val="30"/>
            </w:rPr>
            <w:t xml:space="preserve">九、 </w:t>
          </w:r>
          <w:r>
            <w:rPr>
              <w:rFonts w:hint="eastAsia" w:ascii="黑体" w:hAnsi="黑体" w:eastAsia="黑体" w:cs="黑体"/>
              <w:bCs/>
              <w:szCs w:val="30"/>
            </w:rPr>
            <w:t>国有资本经营预算支出决算情况说明</w:t>
          </w:r>
          <w:r>
            <w:tab/>
          </w:r>
          <w:r>
            <w:fldChar w:fldCharType="begin"/>
          </w:r>
          <w:r>
            <w:instrText xml:space="preserve"> PAGEREF _Toc574 </w:instrText>
          </w:r>
          <w:r>
            <w:fldChar w:fldCharType="separate"/>
          </w:r>
          <w:r>
            <w:t>16</w:t>
          </w:r>
          <w:r>
            <w:fldChar w:fldCharType="end"/>
          </w:r>
          <w:r>
            <w:fldChar w:fldCharType="end"/>
          </w:r>
        </w:p>
        <w:p>
          <w:pPr>
            <w:pStyle w:val="14"/>
            <w:tabs>
              <w:tab w:val="right" w:leader="dot" w:pos="8306"/>
              <w:tab w:val="clear" w:pos="8296"/>
            </w:tabs>
          </w:pPr>
          <w:r>
            <w:fldChar w:fldCharType="begin"/>
          </w:r>
          <w:r>
            <w:instrText xml:space="preserve"> HYPERLINK \l _Toc13044 </w:instrText>
          </w:r>
          <w:r>
            <w:fldChar w:fldCharType="separate"/>
          </w:r>
          <w:r>
            <w:rPr>
              <w:rFonts w:hint="default" w:ascii="黑体" w:hAnsi="黑体" w:eastAsia="黑体" w:cs="黑体"/>
              <w:szCs w:val="30"/>
            </w:rPr>
            <w:t xml:space="preserve">十、 </w:t>
          </w:r>
          <w:r>
            <w:rPr>
              <w:rFonts w:hint="eastAsia" w:ascii="黑体" w:hAnsi="黑体" w:eastAsia="黑体" w:cs="黑体"/>
              <w:szCs w:val="30"/>
            </w:rPr>
            <w:t>其他重要事项的情况说明</w:t>
          </w:r>
          <w:r>
            <w:tab/>
          </w:r>
          <w:r>
            <w:fldChar w:fldCharType="begin"/>
          </w:r>
          <w:r>
            <w:instrText xml:space="preserve"> PAGEREF _Toc13044 </w:instrText>
          </w:r>
          <w:r>
            <w:fldChar w:fldCharType="separate"/>
          </w:r>
          <w:r>
            <w:t>16</w:t>
          </w:r>
          <w:r>
            <w:fldChar w:fldCharType="end"/>
          </w:r>
          <w:r>
            <w:fldChar w:fldCharType="end"/>
          </w:r>
        </w:p>
        <w:p>
          <w:pPr>
            <w:pStyle w:val="8"/>
            <w:tabs>
              <w:tab w:val="right" w:leader="dot" w:pos="8306"/>
              <w:tab w:val="clear" w:pos="8296"/>
            </w:tabs>
          </w:pPr>
          <w:r>
            <w:fldChar w:fldCharType="begin"/>
          </w:r>
          <w:r>
            <w:instrText xml:space="preserve"> HYPERLINK \l _Toc31726 </w:instrText>
          </w:r>
          <w:r>
            <w:fldChar w:fldCharType="separate"/>
          </w:r>
          <w:r>
            <w:rPr>
              <w:rFonts w:hint="eastAsia" w:ascii="仿宋_GB2312" w:hAnsi="仿宋_GB2312" w:eastAsia="仿宋_GB2312" w:cs="仿宋_GB2312"/>
              <w:szCs w:val="30"/>
            </w:rPr>
            <w:t>（一）机关运行经费支出情况</w:t>
          </w:r>
          <w:r>
            <w:tab/>
          </w:r>
          <w:r>
            <w:fldChar w:fldCharType="begin"/>
          </w:r>
          <w:r>
            <w:instrText xml:space="preserve"> PAGEREF _Toc31726 </w:instrText>
          </w:r>
          <w:r>
            <w:fldChar w:fldCharType="separate"/>
          </w:r>
          <w:r>
            <w:t>16</w:t>
          </w:r>
          <w:r>
            <w:fldChar w:fldCharType="end"/>
          </w:r>
          <w:r>
            <w:fldChar w:fldCharType="end"/>
          </w:r>
        </w:p>
        <w:p>
          <w:pPr>
            <w:pStyle w:val="8"/>
            <w:tabs>
              <w:tab w:val="right" w:leader="dot" w:pos="8306"/>
              <w:tab w:val="clear" w:pos="8296"/>
            </w:tabs>
          </w:pPr>
          <w:r>
            <w:fldChar w:fldCharType="begin"/>
          </w:r>
          <w:r>
            <w:instrText xml:space="preserve"> HYPERLINK \l _Toc11935 </w:instrText>
          </w:r>
          <w:r>
            <w:fldChar w:fldCharType="separate"/>
          </w:r>
          <w:r>
            <w:rPr>
              <w:rFonts w:hint="eastAsia" w:ascii="仿宋_GB2312" w:hAnsi="仿宋_GB2312" w:eastAsia="仿宋_GB2312" w:cs="仿宋_GB2312"/>
              <w:szCs w:val="30"/>
            </w:rPr>
            <w:t>（二）政府采购支出情况</w:t>
          </w:r>
          <w:r>
            <w:tab/>
          </w:r>
          <w:r>
            <w:fldChar w:fldCharType="begin"/>
          </w:r>
          <w:r>
            <w:instrText xml:space="preserve"> PAGEREF _Toc11935 </w:instrText>
          </w:r>
          <w:r>
            <w:fldChar w:fldCharType="separate"/>
          </w:r>
          <w:r>
            <w:t>16</w:t>
          </w:r>
          <w:r>
            <w:fldChar w:fldCharType="end"/>
          </w:r>
          <w:r>
            <w:fldChar w:fldCharType="end"/>
          </w:r>
        </w:p>
        <w:p>
          <w:pPr>
            <w:pStyle w:val="8"/>
            <w:tabs>
              <w:tab w:val="right" w:leader="dot" w:pos="8306"/>
              <w:tab w:val="clear" w:pos="8296"/>
            </w:tabs>
          </w:pPr>
          <w:r>
            <w:fldChar w:fldCharType="begin"/>
          </w:r>
          <w:r>
            <w:instrText xml:space="preserve"> HYPERLINK \l _Toc20702 </w:instrText>
          </w:r>
          <w:r>
            <w:fldChar w:fldCharType="separate"/>
          </w:r>
          <w:r>
            <w:rPr>
              <w:rFonts w:hint="eastAsia" w:ascii="仿宋_GB2312" w:hAnsi="仿宋_GB2312" w:eastAsia="仿宋_GB2312" w:cs="仿宋_GB2312"/>
              <w:szCs w:val="30"/>
            </w:rPr>
            <w:t>（三）国有资产占有使用情况</w:t>
          </w:r>
          <w:r>
            <w:tab/>
          </w:r>
          <w:r>
            <w:fldChar w:fldCharType="begin"/>
          </w:r>
          <w:r>
            <w:instrText xml:space="preserve"> PAGEREF _Toc20702 </w:instrText>
          </w:r>
          <w:r>
            <w:fldChar w:fldCharType="separate"/>
          </w:r>
          <w:r>
            <w:t>17</w:t>
          </w:r>
          <w:r>
            <w:fldChar w:fldCharType="end"/>
          </w:r>
          <w:r>
            <w:fldChar w:fldCharType="end"/>
          </w:r>
        </w:p>
        <w:p>
          <w:pPr>
            <w:pStyle w:val="8"/>
            <w:tabs>
              <w:tab w:val="right" w:leader="dot" w:pos="8306"/>
              <w:tab w:val="clear" w:pos="8296"/>
            </w:tabs>
          </w:pPr>
          <w:r>
            <w:fldChar w:fldCharType="begin"/>
          </w:r>
          <w:r>
            <w:instrText xml:space="preserve"> HYPERLINK \l _Toc20889 </w:instrText>
          </w:r>
          <w:r>
            <w:fldChar w:fldCharType="separate"/>
          </w:r>
          <w:r>
            <w:rPr>
              <w:rFonts w:hint="eastAsia" w:ascii="仿宋_GB2312" w:hAnsi="仿宋_GB2312" w:eastAsia="仿宋_GB2312" w:cs="仿宋_GB2312"/>
              <w:szCs w:val="30"/>
            </w:rPr>
            <w:t>（四）预算绩效管理情况。</w:t>
          </w:r>
          <w:r>
            <w:tab/>
          </w:r>
          <w:r>
            <w:fldChar w:fldCharType="begin"/>
          </w:r>
          <w:r>
            <w:instrText xml:space="preserve"> PAGEREF _Toc20889 </w:instrText>
          </w:r>
          <w:r>
            <w:fldChar w:fldCharType="separate"/>
          </w:r>
          <w:r>
            <w:t>17</w:t>
          </w:r>
          <w:r>
            <w:fldChar w:fldCharType="end"/>
          </w:r>
          <w:r>
            <w:fldChar w:fldCharType="end"/>
          </w:r>
        </w:p>
        <w:p>
          <w:pPr>
            <w:pStyle w:val="12"/>
            <w:tabs>
              <w:tab w:val="right" w:leader="dot" w:pos="8306"/>
              <w:tab w:val="clear" w:pos="8296"/>
            </w:tabs>
          </w:pPr>
          <w:r>
            <w:fldChar w:fldCharType="begin"/>
          </w:r>
          <w:r>
            <w:instrText xml:space="preserve"> HYPERLINK \l _Toc5553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_Toc5553 </w:instrText>
          </w:r>
          <w:r>
            <w:fldChar w:fldCharType="separate"/>
          </w:r>
          <w:r>
            <w:t>20</w:t>
          </w:r>
          <w:r>
            <w:fldChar w:fldCharType="end"/>
          </w:r>
          <w:r>
            <w:fldChar w:fldCharType="end"/>
          </w:r>
        </w:p>
        <w:p>
          <w:pPr>
            <w:pStyle w:val="12"/>
            <w:tabs>
              <w:tab w:val="right" w:leader="dot" w:pos="8306"/>
              <w:tab w:val="clear" w:pos="8296"/>
            </w:tabs>
          </w:pPr>
          <w:r>
            <w:fldChar w:fldCharType="begin"/>
          </w:r>
          <w:r>
            <w:instrText xml:space="preserve"> HYPERLINK \l _Toc16508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_Toc16508 </w:instrText>
          </w:r>
          <w:r>
            <w:fldChar w:fldCharType="separate"/>
          </w:r>
          <w:r>
            <w:t>23</w:t>
          </w:r>
          <w:r>
            <w:fldChar w:fldCharType="end"/>
          </w:r>
          <w:r>
            <w:fldChar w:fldCharType="end"/>
          </w:r>
        </w:p>
        <w:p>
          <w:pPr>
            <w:pStyle w:val="14"/>
            <w:tabs>
              <w:tab w:val="right" w:leader="dot" w:pos="8306"/>
              <w:tab w:val="clear" w:pos="8296"/>
            </w:tabs>
          </w:pPr>
          <w:r>
            <w:fldChar w:fldCharType="begin"/>
          </w:r>
          <w:r>
            <w:instrText xml:space="preserve"> HYPERLINK \l _Toc15637 </w:instrText>
          </w:r>
          <w:r>
            <w:fldChar w:fldCharType="separate"/>
          </w:r>
          <w:r>
            <w:rPr>
              <w:rFonts w:hint="eastAsia" w:ascii="黑体" w:hAnsi="黑体" w:eastAsia="黑体" w:cs="黑体"/>
              <w:szCs w:val="30"/>
              <w:highlight w:val="none"/>
              <w:lang w:eastAsia="zh-CN"/>
            </w:rPr>
            <w:t>附件：1.</w:t>
          </w:r>
          <w:r>
            <w:rPr>
              <w:rFonts w:hint="eastAsia" w:ascii="黑体" w:hAnsi="黑体" w:eastAsia="黑体" w:cs="黑体"/>
              <w:szCs w:val="30"/>
              <w:lang w:eastAsia="zh-CN"/>
            </w:rPr>
            <w:t>2019年区委宣传部部门整体支出绩效评价报告</w:t>
          </w:r>
          <w:r>
            <w:tab/>
          </w:r>
          <w:r>
            <w:fldChar w:fldCharType="begin"/>
          </w:r>
          <w:r>
            <w:instrText xml:space="preserve"> PAGEREF _Toc15637 </w:instrText>
          </w:r>
          <w:r>
            <w:fldChar w:fldCharType="separate"/>
          </w:r>
          <w:r>
            <w:t>23</w:t>
          </w:r>
          <w:r>
            <w:fldChar w:fldCharType="end"/>
          </w:r>
          <w:r>
            <w:fldChar w:fldCharType="end"/>
          </w:r>
        </w:p>
        <w:p>
          <w:pPr>
            <w:pStyle w:val="14"/>
            <w:tabs>
              <w:tab w:val="right" w:leader="dot" w:pos="8306"/>
              <w:tab w:val="clear" w:pos="8296"/>
            </w:tabs>
          </w:pPr>
          <w:r>
            <w:fldChar w:fldCharType="begin"/>
          </w:r>
          <w:r>
            <w:instrText xml:space="preserve"> HYPERLINK \l _Toc27091 </w:instrText>
          </w:r>
          <w:r>
            <w:fldChar w:fldCharType="separate"/>
          </w:r>
          <w:r>
            <w:rPr>
              <w:rFonts w:hint="eastAsia" w:ascii="黑体" w:hAnsi="黑体" w:eastAsia="黑体" w:cs="黑体"/>
              <w:szCs w:val="30"/>
              <w:highlight w:val="none"/>
              <w:lang w:eastAsia="zh-CN"/>
            </w:rPr>
            <w:t>附件：2.</w:t>
          </w:r>
          <w:r>
            <w:rPr>
              <w:rFonts w:hint="eastAsia" w:ascii="黑体" w:hAnsi="黑体" w:eastAsia="黑体" w:cs="黑体"/>
              <w:szCs w:val="30"/>
            </w:rPr>
            <w:t>2019年</w:t>
          </w:r>
          <w:r>
            <w:rPr>
              <w:rFonts w:hint="eastAsia" w:ascii="黑体" w:hAnsi="黑体" w:eastAsia="黑体" w:cs="黑体"/>
              <w:szCs w:val="30"/>
              <w:lang w:val="en-US" w:eastAsia="zh-CN"/>
            </w:rPr>
            <w:t>度</w:t>
          </w:r>
          <w:r>
            <w:rPr>
              <w:rFonts w:hint="eastAsia" w:ascii="黑体" w:hAnsi="黑体" w:eastAsia="黑体" w:cs="黑体"/>
              <w:szCs w:val="30"/>
            </w:rPr>
            <w:t>外宣工作绩效评价报告</w:t>
          </w:r>
          <w:r>
            <w:tab/>
          </w:r>
          <w:r>
            <w:fldChar w:fldCharType="begin"/>
          </w:r>
          <w:r>
            <w:instrText xml:space="preserve"> PAGEREF _Toc27091 </w:instrText>
          </w:r>
          <w:r>
            <w:fldChar w:fldCharType="separate"/>
          </w:r>
          <w:r>
            <w:t>28</w:t>
          </w:r>
          <w:r>
            <w:fldChar w:fldCharType="end"/>
          </w:r>
          <w:r>
            <w:fldChar w:fldCharType="end"/>
          </w:r>
        </w:p>
        <w:p>
          <w:pPr>
            <w:pStyle w:val="14"/>
            <w:tabs>
              <w:tab w:val="right" w:leader="dot" w:pos="8306"/>
              <w:tab w:val="clear" w:pos="8296"/>
            </w:tabs>
          </w:pPr>
          <w:r>
            <w:fldChar w:fldCharType="begin"/>
          </w:r>
          <w:r>
            <w:instrText xml:space="preserve"> HYPERLINK \l _Toc28588 </w:instrText>
          </w:r>
          <w:r>
            <w:fldChar w:fldCharType="separate"/>
          </w:r>
          <w:r>
            <w:rPr>
              <w:rFonts w:hint="eastAsia" w:ascii="黑体" w:hAnsi="黑体" w:eastAsia="黑体" w:cs="黑体"/>
              <w:szCs w:val="30"/>
              <w:highlight w:val="none"/>
              <w:lang w:eastAsia="zh-CN"/>
            </w:rPr>
            <w:t>附件：3.</w:t>
          </w:r>
          <w:r>
            <w:rPr>
              <w:rFonts w:hint="eastAsia" w:ascii="黑体" w:hAnsi="黑体" w:eastAsia="黑体" w:cs="黑体"/>
              <w:szCs w:val="30"/>
            </w:rPr>
            <w:t>2019年国家电影事业发展专项资金项目绩效评价报告</w:t>
          </w:r>
          <w:r>
            <w:tab/>
          </w:r>
          <w:r>
            <w:fldChar w:fldCharType="begin"/>
          </w:r>
          <w:r>
            <w:instrText xml:space="preserve"> PAGEREF _Toc28588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_Toc7893 </w:instrText>
          </w:r>
          <w:r>
            <w:fldChar w:fldCharType="separate"/>
          </w:r>
          <w:r>
            <w:rPr>
              <w:rFonts w:hint="eastAsia" w:ascii="黑体" w:hAnsi="黑体" w:eastAsia="黑体" w:cs="黑体"/>
              <w:szCs w:val="30"/>
            </w:rPr>
            <w:t>附件</w:t>
          </w:r>
          <w:r>
            <w:rPr>
              <w:rFonts w:hint="eastAsia" w:ascii="黑体" w:hAnsi="黑体" w:eastAsia="黑体" w:cs="黑体"/>
              <w:szCs w:val="30"/>
              <w:lang w:eastAsia="zh-CN"/>
            </w:rPr>
            <w:t>：</w:t>
          </w:r>
          <w:r>
            <w:rPr>
              <w:rFonts w:hint="eastAsia" w:ascii="黑体" w:hAnsi="黑体" w:eastAsia="黑体" w:cs="黑体"/>
              <w:szCs w:val="30"/>
              <w:lang w:val="en-US" w:eastAsia="zh-CN"/>
            </w:rPr>
            <w:t>4.2019年农村公益电影放映项目度绩效自评报告</w:t>
          </w:r>
          <w:r>
            <w:tab/>
          </w:r>
          <w:r>
            <w:fldChar w:fldCharType="begin"/>
          </w:r>
          <w:r>
            <w:instrText xml:space="preserve"> PAGEREF _Toc7893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_Toc24690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_Toc24690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_Toc15040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_Toc15040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_Toc26899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_Toc26899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_Toc5719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_Toc5719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_Toc22017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_Toc22017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_Toc12308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_Toc12308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_Toc18520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_Toc18520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_Toc30465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_Toc30465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_Toc981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_Toc981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_Toc21856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_Toc21856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_Toc29018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_Toc29018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_Toc16775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_Toc16775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_Toc8932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_Toc8932 </w:instrText>
          </w:r>
          <w:r>
            <w:fldChar w:fldCharType="separate"/>
          </w:r>
          <w:r>
            <w:t>43</w:t>
          </w:r>
          <w:r>
            <w:fldChar w:fldCharType="end"/>
          </w:r>
          <w:r>
            <w:fldChar w:fldCharType="end"/>
          </w:r>
        </w:p>
        <w:p>
          <w:pPr>
            <w:pStyle w:val="14"/>
            <w:tabs>
              <w:tab w:val="right" w:leader="dot" w:pos="8306"/>
              <w:tab w:val="clear" w:pos="8296"/>
            </w:tabs>
          </w:pPr>
          <w:r>
            <w:fldChar w:fldCharType="begin"/>
          </w:r>
          <w:r>
            <w:instrText xml:space="preserve"> HYPERLINK \l _Toc3733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有资本经营预算支出决算表</w:t>
          </w:r>
          <w:r>
            <w:tab/>
          </w:r>
          <w:r>
            <w:fldChar w:fldCharType="begin"/>
          </w:r>
          <w:r>
            <w:instrText xml:space="preserve"> PAGEREF _Toc3733 </w:instrText>
          </w:r>
          <w:r>
            <w:fldChar w:fldCharType="separate"/>
          </w:r>
          <w:r>
            <w:t>43</w:t>
          </w:r>
          <w:r>
            <w:fldChar w:fldCharType="end"/>
          </w:r>
          <w:r>
            <w:fldChar w:fldCharType="end"/>
          </w:r>
        </w:p>
        <w:p>
          <w:pPr>
            <w:pageBreakBefore w:val="0"/>
            <w:kinsoku/>
            <w:wordWrap/>
            <w:overflowPunct/>
            <w:topLinePunct w:val="0"/>
            <w:bidi w:val="0"/>
            <w:snapToGrid/>
            <w:spacing w:before="0" w:beforeLines="0" w:after="0" w:afterLines="0" w:line="240" w:lineRule="auto"/>
            <w:ind w:left="0" w:leftChars="0" w:right="0" w:rightChars="0" w:firstLine="0" w:firstLineChars="0"/>
            <w:jc w:val="left"/>
          </w:pPr>
          <w:r>
            <w:fldChar w:fldCharType="end"/>
          </w:r>
        </w:p>
      </w:sdtContent>
    </w:sdt>
    <w:p>
      <w:pPr>
        <w:pageBreakBefore w:val="0"/>
        <w:widowControl/>
        <w:kinsoku/>
        <w:wordWrap/>
        <w:overflowPunct/>
        <w:topLinePunct w:val="0"/>
        <w:bidi w:val="0"/>
        <w:snapToGrid/>
        <w:spacing w:line="240" w:lineRule="auto"/>
        <w:ind w:left="0" w:leftChars="0" w:right="0" w:rightChars="0" w:firstLine="0" w:firstLineChars="0"/>
        <w:jc w:val="left"/>
        <w:rPr>
          <w:rFonts w:ascii="仿宋" w:hAnsi="仿宋" w:eastAsia="仿宋"/>
          <w:bCs/>
          <w:kern w:val="44"/>
          <w:sz w:val="24"/>
        </w:rPr>
      </w:pPr>
      <w:r>
        <w:rPr>
          <w:rFonts w:ascii="仿宋" w:hAnsi="仿宋" w:eastAsia="仿宋"/>
          <w:b/>
          <w:sz w:val="24"/>
        </w:rPr>
        <w:br w:type="page"/>
      </w:r>
    </w:p>
    <w:p>
      <w:pPr>
        <w:pStyle w:val="3"/>
        <w:pageBreakBefore w:val="0"/>
        <w:kinsoku/>
        <w:wordWrap/>
        <w:overflowPunct/>
        <w:topLinePunct w:val="0"/>
        <w:bidi w:val="0"/>
        <w:snapToGrid/>
        <w:spacing w:before="0" w:after="0" w:line="240" w:lineRule="auto"/>
        <w:ind w:left="0" w:leftChars="0" w:right="0" w:rightChars="0" w:firstLine="0" w:firstLineChars="0"/>
        <w:jc w:val="center"/>
        <w:outlineLvl w:val="0"/>
        <w:rPr>
          <w:rStyle w:val="30"/>
          <w:rFonts w:ascii="黑体" w:hAnsi="黑体" w:eastAsia="黑体"/>
          <w:b/>
          <w:bCs w:val="0"/>
        </w:rPr>
      </w:pPr>
      <w:bookmarkStart w:id="14" w:name="_Toc13502"/>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bookmarkEnd w:id="14"/>
    </w:p>
    <w:p>
      <w:pPr>
        <w:pStyle w:val="4"/>
        <w:pageBreakBefore w:val="0"/>
        <w:kinsoku/>
        <w:wordWrap/>
        <w:overflowPunct/>
        <w:topLinePunct w:val="0"/>
        <w:bidi w:val="0"/>
        <w:snapToGrid/>
        <w:spacing w:before="0" w:after="0" w:line="240" w:lineRule="auto"/>
        <w:ind w:left="0" w:leftChars="0" w:right="0" w:rightChars="0" w:firstLine="0" w:firstLineChars="0"/>
        <w:jc w:val="center"/>
        <w:outlineLvl w:val="1"/>
        <w:rPr>
          <w:rStyle w:val="31"/>
          <w:rFonts w:ascii="仿宋" w:hAnsi="仿宋" w:eastAsia="仿宋"/>
          <w:b w:val="0"/>
          <w:bCs w:val="0"/>
        </w:rPr>
      </w:pPr>
      <w:bookmarkStart w:id="15" w:name="_Toc15396600"/>
      <w:bookmarkStart w:id="16" w:name="_Toc15377197"/>
      <w:bookmarkStart w:id="17" w:name="_Toc21179"/>
      <w:r>
        <w:rPr>
          <w:rFonts w:hint="eastAsia" w:ascii="黑体" w:hAnsi="黑体" w:eastAsia="黑体"/>
          <w:b w:val="0"/>
          <w:color w:val="000000"/>
        </w:rPr>
        <w:t>一、基</w:t>
      </w:r>
      <w:r>
        <w:rPr>
          <w:rStyle w:val="31"/>
          <w:rFonts w:hint="eastAsia" w:ascii="黑体" w:hAnsi="黑体" w:eastAsia="黑体"/>
          <w:b w:val="0"/>
          <w:bCs w:val="0"/>
        </w:rPr>
        <w:t>本职能及主要工作</w:t>
      </w:r>
      <w:bookmarkEnd w:id="15"/>
      <w:bookmarkEnd w:id="16"/>
      <w:bookmarkEnd w:id="17"/>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2" w:firstLineChars="200"/>
        <w:jc w:val="left"/>
        <w:textAlignment w:val="auto"/>
        <w:outlineLvl w:val="2"/>
        <w:rPr>
          <w:rFonts w:hint="eastAsia" w:ascii="仿宋_GB2312" w:hAnsi="仿宋_GB2312" w:eastAsia="仿宋_GB2312" w:cs="仿宋_GB2312"/>
          <w:b/>
          <w:bCs w:val="0"/>
          <w:color w:val="000000"/>
          <w:sz w:val="30"/>
          <w:szCs w:val="30"/>
        </w:rPr>
      </w:pPr>
      <w:bookmarkStart w:id="18" w:name="_Toc15378445"/>
      <w:bookmarkStart w:id="19" w:name="_Toc15377198"/>
      <w:bookmarkStart w:id="20" w:name="_Toc16501"/>
      <w:r>
        <w:rPr>
          <w:rFonts w:hint="eastAsia" w:ascii="仿宋_GB2312" w:hAnsi="仿宋_GB2312" w:eastAsia="仿宋_GB2312" w:cs="仿宋_GB2312"/>
          <w:b/>
          <w:bCs w:val="0"/>
          <w:color w:val="000000"/>
          <w:sz w:val="30"/>
          <w:szCs w:val="30"/>
        </w:rPr>
        <w:t>（一）主要职能。</w:t>
      </w:r>
      <w:bookmarkEnd w:id="18"/>
      <w:bookmarkEnd w:id="19"/>
      <w:bookmarkEnd w:id="20"/>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 xml:space="preserve">主要职能职责如下： </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拟订全区宣传思想文化工作重大政策和事业产业发展总体规划，统筹协调推进宣传思想文化领域法治建设，按照区委统一部署，协调宣传思想文化系统各部门（单位）之间的工作。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统筹协调全区党的意识形态工作，贯彻落实党中央和省委、市委、区委的决策部署，组织协调意识形态工作责任制落实的日常监督检查，分析研判意识形态领域情况，配合巡视巡察工作开展专项检查。</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统筹指导全区理论研究、理论学习和理论宣传工作。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规划、部署全区性的思想政治工作任务，配合区委组织部做好党员教育工作，会同有关部门研究和改进群众思想教育工作。从宏观上指导全区各级各类学校的德育、政治理论课教学和思想政治工作。组织重大先进典型的学习和推广。</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受区委委托，会同区委组织部管理区级理论、新闻出版、文化体育、旅游、广播电视、电影、哲学和社会科学、互联网信息等区级部门的领导干部，指导宣传文化系统各单位工作。对全区宣传干部的任免提出意见和建议，制定全区宣传干部和有关宣传文化系统业务骨干的培训规划，并组织实施。配合有关部门做好理论、新闻、文化、文艺等方面优秀人才的选拔、培养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从宏观上指导精神文化产品的生产，协调组织中华优秀传统文化和昭化特色文化传承发展工作，指导协调推动群众性文化建设。</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统筹指导社会舆论引导。组织开展党和国家路线、方针、政策和经济社会发展等方面的宣传教育和形势教育，组织协调重大社会宣传活动。负责组织协调重大新闻宣传活动和重大突发公共事件应急新闻工作。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统筹协调全区对外宣传工作，指导协调区级新闻单位工作和全区对外文化交流工作。会同上级部门做好境外</w:t>
      </w:r>
      <w:r>
        <w:rPr>
          <w:rFonts w:hint="eastAsia" w:ascii="仿宋_GB2312" w:hAnsi="仿宋_GB2312" w:eastAsia="仿宋_GB2312" w:cs="仿宋_GB2312"/>
          <w:b w:val="0"/>
          <w:bCs/>
          <w:color w:val="000000"/>
          <w:sz w:val="30"/>
          <w:szCs w:val="30"/>
          <w:highlight w:val="none"/>
        </w:rPr>
        <w:t>来昭</w:t>
      </w:r>
      <w:r>
        <w:rPr>
          <w:rFonts w:hint="eastAsia" w:ascii="仿宋_GB2312" w:hAnsi="仿宋_GB2312" w:eastAsia="仿宋_GB2312" w:cs="仿宋_GB2312"/>
          <w:b w:val="0"/>
          <w:bCs/>
          <w:color w:val="000000"/>
          <w:sz w:val="30"/>
          <w:szCs w:val="30"/>
        </w:rPr>
        <w:t>记者采访事务方面的工作。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负责管理新闻出版行政事务和所涉及的行政审批工作，监督管理出版物内容和质量，监督管理印刷业、管理著作权等。组织指导协调“扫黄打非”工作。负责区外媒体记者</w:t>
      </w:r>
      <w:r>
        <w:rPr>
          <w:rFonts w:hint="eastAsia" w:ascii="仿宋_GB2312" w:hAnsi="仿宋_GB2312" w:eastAsia="仿宋_GB2312" w:cs="仿宋_GB2312"/>
          <w:b w:val="0"/>
          <w:bCs/>
          <w:color w:val="000000"/>
          <w:sz w:val="30"/>
          <w:szCs w:val="30"/>
          <w:highlight w:val="none"/>
        </w:rPr>
        <w:t>来昭</w:t>
      </w:r>
      <w:r>
        <w:rPr>
          <w:rFonts w:hint="eastAsia" w:ascii="仿宋_GB2312" w:hAnsi="仿宋_GB2312" w:eastAsia="仿宋_GB2312" w:cs="仿宋_GB2312"/>
          <w:b w:val="0"/>
          <w:bCs/>
          <w:color w:val="000000"/>
          <w:sz w:val="30"/>
          <w:szCs w:val="30"/>
        </w:rPr>
        <w:t>工作的监督管理。</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协调全区网络安全和信息化工作，推进网络安全信息化、标准化建设。统筹协调网络意识形态工作，负责指导、督促、检查网络意识形态工作责任制的贯彻落实。负责新媒体的建设与管理，负责全区互联网内容管理、宣传管理和舆论引导。组织协调开展舆论信息收集分析研判工作，跟踪了解、研究掌握宣传舆情动态。</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负责管理电影行政事务和所涉及的行政审批工作，指导监管电影制片、发行、放映工作，组织对电影内容进行审查，指导协调全区性重大电影活动等。</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承担区精神文明建设委员会的日常工作。统筹组织协调全区精神文明建设工作，协调推动精神文明创建、公民思想道德建设和志愿服务工作。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对新闻出版、文化艺术、广播电视、电影和旅游业改革发展提出政策性建议，统筹指导推进文化体制改革和文化事业、文化产业及旅游业发展。</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归口领导区文化旅游和体育局、区广播电视局等宣传思想文化单位和旅游单位。受区委委托，代管区文联、区作协、区社科联。</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负责组织协调重大新闻宣传报道活动，承担区委、区政府新闻发布相关组织协调工作，研究拟订我区重大问题宣传口径。</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组织协调开展人权宣传和反邪教等方面对外宣传和舆论斗争工作。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完成区委交办的其他任务。</w:t>
      </w:r>
    </w:p>
    <w:p>
      <w:pPr>
        <w:pStyle w:val="2"/>
        <w:keepNext w:val="0"/>
        <w:keepLines w:val="0"/>
        <w:pageBreakBefore w:val="0"/>
        <w:kinsoku/>
        <w:wordWrap/>
        <w:overflowPunct/>
        <w:topLinePunct w:val="0"/>
        <w:autoSpaceDE/>
        <w:autoSpaceDN/>
        <w:bidi w:val="0"/>
        <w:adjustRightInd w:val="0"/>
        <w:snapToGrid/>
        <w:spacing w:beforeLines="0" w:line="240" w:lineRule="auto"/>
        <w:ind w:left="0" w:leftChars="0" w:right="0" w:rightChars="0" w:firstLine="602" w:firstLineChars="200"/>
        <w:jc w:val="left"/>
        <w:textAlignment w:val="auto"/>
        <w:outlineLvl w:val="2"/>
        <w:rPr>
          <w:rFonts w:hint="eastAsia" w:ascii="仿宋_GB2312" w:hAnsi="仿宋_GB2312" w:eastAsia="仿宋_GB2312" w:cs="仿宋_GB2312"/>
          <w:b/>
          <w:bCs w:val="0"/>
          <w:color w:val="000000"/>
          <w:sz w:val="30"/>
          <w:szCs w:val="30"/>
        </w:rPr>
      </w:pPr>
      <w:bookmarkStart w:id="21" w:name="_Toc15378446"/>
      <w:bookmarkStart w:id="22" w:name="_Toc15377199"/>
      <w:bookmarkStart w:id="23" w:name="_Toc22630"/>
      <w:r>
        <w:rPr>
          <w:rFonts w:hint="eastAsia" w:ascii="仿宋_GB2312" w:hAnsi="仿宋_GB2312" w:eastAsia="仿宋_GB2312" w:cs="仿宋_GB2312"/>
          <w:b/>
          <w:bCs w:val="0"/>
          <w:color w:val="000000"/>
          <w:sz w:val="30"/>
          <w:szCs w:val="30"/>
        </w:rPr>
        <w:t>（二）2019年重点工作完成情况。</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kern w:val="0"/>
          <w:sz w:val="30"/>
          <w:szCs w:val="30"/>
        </w:rPr>
        <w:t>扎实推进理论武装再上新台阶。</w:t>
      </w:r>
      <w:r>
        <w:rPr>
          <w:rFonts w:hint="eastAsia" w:ascii="仿宋_GB2312" w:hAnsi="仿宋_GB2312" w:eastAsia="仿宋_GB2312" w:cs="仿宋_GB2312"/>
          <w:b w:val="0"/>
          <w:bCs/>
          <w:color w:val="000000"/>
          <w:sz w:val="30"/>
          <w:szCs w:val="30"/>
        </w:rPr>
        <w:t>一是强化理论学习。</w:t>
      </w:r>
      <w:r>
        <w:rPr>
          <w:rFonts w:hint="eastAsia" w:ascii="仿宋_GB2312" w:hAnsi="仿宋_GB2312" w:eastAsia="仿宋_GB2312" w:cs="仿宋_GB2312"/>
          <w:b w:val="0"/>
          <w:bCs/>
          <w:spacing w:val="0"/>
          <w:w w:val="100"/>
          <w:sz w:val="30"/>
          <w:szCs w:val="30"/>
          <w:lang w:val="en-US" w:eastAsia="zh-CN"/>
        </w:rPr>
        <w:t>举办区委中心组（扩大）学习会议12次，其中集中学习研讨4次</w:t>
      </w:r>
      <w:r>
        <w:rPr>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spacing w:val="0"/>
          <w:w w:val="100"/>
          <w:sz w:val="30"/>
          <w:szCs w:val="30"/>
          <w:lang w:val="en-US" w:eastAsia="zh-CN"/>
        </w:rPr>
        <w:t>全力推进中宣部“学习强国”平台的推广和运用，全区12011名党员干部、群众纳入学习组织，我区稿件被学习强国采用130篇，全国平台8篇。</w:t>
      </w:r>
      <w:r>
        <w:rPr>
          <w:rFonts w:hint="eastAsia" w:ascii="仿宋_GB2312" w:hAnsi="仿宋_GB2312" w:eastAsia="仿宋_GB2312" w:cs="仿宋_GB2312"/>
          <w:b w:val="0"/>
          <w:bCs/>
          <w:color w:val="000000"/>
          <w:sz w:val="30"/>
          <w:szCs w:val="30"/>
        </w:rPr>
        <w:t>二是深化理论宣讲普及。充分利用官方“两微一端”</w:t>
      </w:r>
      <w:r>
        <w:rPr>
          <w:rFonts w:hint="eastAsia" w:ascii="仿宋_GB2312" w:hAnsi="仿宋_GB2312" w:eastAsia="仿宋_GB2312" w:cs="仿宋_GB2312"/>
          <w:b w:val="0"/>
          <w:bCs/>
          <w:sz w:val="30"/>
          <w:szCs w:val="30"/>
        </w:rPr>
        <w:t>系统阐释习近平新时代中国特色社会主义思想，宣讲普及</w:t>
      </w:r>
      <w:r>
        <w:rPr>
          <w:rFonts w:hint="eastAsia" w:ascii="仿宋_GB2312" w:hAnsi="仿宋_GB2312" w:eastAsia="仿宋_GB2312" w:cs="仿宋_GB2312"/>
          <w:b w:val="0"/>
          <w:bCs/>
          <w:sz w:val="30"/>
          <w:szCs w:val="30"/>
          <w:lang w:val="en-US" w:eastAsia="zh-CN"/>
        </w:rPr>
        <w:t>中央</w:t>
      </w:r>
      <w:r>
        <w:rPr>
          <w:rFonts w:hint="eastAsia" w:ascii="仿宋_GB2312" w:hAnsi="仿宋_GB2312" w:eastAsia="仿宋_GB2312" w:cs="仿宋_GB2312"/>
          <w:b w:val="0"/>
          <w:bCs/>
          <w:sz w:val="30"/>
          <w:szCs w:val="30"/>
        </w:rPr>
        <w:t>省委市委区委全会精神300余场次。</w:t>
      </w:r>
      <w:r>
        <w:rPr>
          <w:rFonts w:hint="eastAsia" w:ascii="仿宋_GB2312" w:hAnsi="仿宋_GB2312" w:eastAsia="仿宋_GB2312" w:cs="仿宋_GB2312"/>
          <w:b w:val="0"/>
          <w:bCs/>
          <w:spacing w:val="0"/>
          <w:w w:val="100"/>
          <w:sz w:val="30"/>
          <w:szCs w:val="30"/>
          <w:lang w:val="en-US" w:eastAsia="zh-CN"/>
        </w:rPr>
        <w:t>按照上级统一部署，积极做好党的十九届四中全会精神宣讲工作。</w:t>
      </w:r>
      <w:r>
        <w:rPr>
          <w:rFonts w:hint="eastAsia" w:ascii="仿宋_GB2312" w:hAnsi="仿宋_GB2312" w:eastAsia="仿宋_GB2312" w:cs="仿宋_GB2312"/>
          <w:b w:val="0"/>
          <w:bCs/>
          <w:color w:val="000000"/>
          <w:sz w:val="30"/>
          <w:szCs w:val="30"/>
        </w:rPr>
        <w:t>三是加强理论研究。</w:t>
      </w:r>
      <w:r>
        <w:rPr>
          <w:rFonts w:hint="eastAsia" w:ascii="仿宋_GB2312" w:hAnsi="仿宋_GB2312" w:eastAsia="仿宋_GB2312" w:cs="仿宋_GB2312"/>
          <w:b w:val="0"/>
          <w:bCs/>
          <w:spacing w:val="0"/>
          <w:w w:val="100"/>
          <w:sz w:val="30"/>
          <w:szCs w:val="30"/>
          <w:lang w:val="en-US" w:eastAsia="zh-CN"/>
        </w:rPr>
        <w:t>在《广元日报》刊发《70年奋斗不息恰是风华正茂》</w:t>
      </w:r>
      <w:r>
        <w:rPr>
          <w:rFonts w:hint="eastAsia" w:ascii="仿宋_GB2312" w:hAnsi="仿宋_GB2312" w:eastAsia="仿宋_GB2312" w:cs="仿宋_GB2312"/>
          <w:b w:val="0"/>
          <w:bCs/>
          <w:spacing w:val="0"/>
          <w:w w:val="100"/>
          <w:sz w:val="30"/>
          <w:szCs w:val="30"/>
          <w:highlight w:val="none"/>
          <w:lang w:val="en-US" w:eastAsia="zh-CN"/>
        </w:rPr>
        <w:t>《</w:t>
      </w:r>
      <w:r>
        <w:rPr>
          <w:rFonts w:hint="eastAsia" w:ascii="仿宋_GB2312" w:hAnsi="仿宋_GB2312" w:eastAsia="仿宋_GB2312" w:cs="仿宋_GB2312"/>
          <w:b w:val="0"/>
          <w:bCs/>
          <w:spacing w:val="0"/>
          <w:w w:val="100"/>
          <w:sz w:val="30"/>
          <w:szCs w:val="30"/>
          <w:lang w:val="en-US" w:eastAsia="zh-CN"/>
        </w:rPr>
        <w:t>生猪稳产保供要处理好“十对关系”</w:t>
      </w:r>
      <w:r>
        <w:rPr>
          <w:rFonts w:hint="eastAsia" w:ascii="仿宋_GB2312" w:hAnsi="仿宋_GB2312" w:eastAsia="仿宋_GB2312" w:cs="仿宋_GB2312"/>
          <w:b w:val="0"/>
          <w:bCs/>
          <w:spacing w:val="0"/>
          <w:w w:val="100"/>
          <w:sz w:val="30"/>
          <w:szCs w:val="30"/>
          <w:highlight w:val="none"/>
          <w:lang w:val="en-US" w:eastAsia="zh-CN"/>
        </w:rPr>
        <w:t>》</w:t>
      </w:r>
      <w:r>
        <w:rPr>
          <w:rFonts w:hint="eastAsia" w:ascii="仿宋_GB2312" w:hAnsi="仿宋_GB2312" w:eastAsia="仿宋_GB2312" w:cs="仿宋_GB2312"/>
          <w:b w:val="0"/>
          <w:bCs/>
          <w:spacing w:val="0"/>
          <w:w w:val="100"/>
          <w:sz w:val="30"/>
          <w:szCs w:val="30"/>
          <w:lang w:val="en-US" w:eastAsia="zh-CN"/>
        </w:rPr>
        <w:t>《领导干部带头讲思政课落实立德树人根本任务》等理论文章3篇，积极撰写广元蓝皮书课题《昭化区特色文化小镇建设研究——以昭化古城为例》。四是推动理论宣传。征订下发《新中国发展面对面》《习近平新时代中国特色社会主义思想学习纲要》等理论辅导书籍5300册。</w:t>
      </w:r>
    </w:p>
    <w:p>
      <w:pPr>
        <w:pStyle w:val="16"/>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kern w:val="0"/>
          <w:sz w:val="30"/>
          <w:szCs w:val="30"/>
        </w:rPr>
        <w:t>有效落实意识形态工作责任制。</w:t>
      </w:r>
      <w:r>
        <w:rPr>
          <w:rFonts w:hint="eastAsia" w:ascii="仿宋_GB2312" w:hAnsi="仿宋_GB2312" w:eastAsia="仿宋_GB2312" w:cs="仿宋_GB2312"/>
          <w:b w:val="0"/>
          <w:bCs/>
          <w:color w:val="000000"/>
          <w:sz w:val="30"/>
          <w:szCs w:val="30"/>
          <w:lang w:val="en-US" w:eastAsia="zh-CN"/>
        </w:rPr>
        <w:t>一是强化研判提示。建立意识形态工作定期研判提示制度，</w:t>
      </w:r>
      <w:r>
        <w:rPr>
          <w:rFonts w:hint="eastAsia" w:ascii="仿宋_GB2312" w:hAnsi="仿宋_GB2312" w:eastAsia="仿宋_GB2312" w:cs="仿宋_GB2312"/>
          <w:b w:val="0"/>
          <w:bCs/>
          <w:i w:val="0"/>
          <w:caps w:val="0"/>
          <w:color w:val="auto"/>
          <w:spacing w:val="0"/>
          <w:sz w:val="30"/>
          <w:szCs w:val="30"/>
          <w:shd w:val="clear" w:color="080000" w:fill="auto"/>
          <w:lang w:val="en-US" w:eastAsia="zh-CN"/>
        </w:rPr>
        <w:t>发送短信提示11次，季度书面定期提示4次，针对10余个行业部门以及辖区内的网络大V实行不定期区别提示40次。</w:t>
      </w:r>
      <w:r>
        <w:rPr>
          <w:rFonts w:hint="eastAsia" w:ascii="仿宋_GB2312" w:hAnsi="仿宋_GB2312" w:eastAsia="仿宋_GB2312" w:cs="仿宋_GB2312"/>
          <w:b w:val="0"/>
          <w:bCs/>
          <w:color w:val="000000"/>
          <w:sz w:val="30"/>
          <w:szCs w:val="30"/>
          <w:lang w:val="en-US" w:eastAsia="zh-CN"/>
        </w:rPr>
        <w:t>今年以来，区委常委会4次专题研究意识形态工作。二是</w:t>
      </w:r>
      <w:r>
        <w:rPr>
          <w:rFonts w:hint="eastAsia" w:ascii="仿宋_GB2312" w:hAnsi="仿宋_GB2312" w:eastAsia="仿宋_GB2312" w:cs="仿宋_GB2312"/>
          <w:b w:val="0"/>
          <w:bCs/>
          <w:spacing w:val="0"/>
          <w:w w:val="100"/>
          <w:sz w:val="30"/>
          <w:szCs w:val="30"/>
          <w:lang w:val="en-US" w:eastAsia="zh-CN"/>
        </w:rPr>
        <w:t>强化督促检查。</w:t>
      </w:r>
      <w:r>
        <w:rPr>
          <w:rFonts w:hint="eastAsia" w:ascii="仿宋_GB2312" w:hAnsi="仿宋_GB2312" w:eastAsia="仿宋_GB2312" w:cs="仿宋_GB2312"/>
          <w:b w:val="0"/>
          <w:bCs/>
          <w:color w:val="000000"/>
          <w:sz w:val="30"/>
          <w:szCs w:val="30"/>
          <w:lang w:val="en-US" w:eastAsia="zh-CN"/>
        </w:rPr>
        <w:t>7月底对各乡镇（街道）上半年意识形态工作开展情况进行全面督查，并将督查结果向区委常委会报告。三是</w:t>
      </w:r>
      <w:r>
        <w:rPr>
          <w:rFonts w:hint="eastAsia" w:ascii="仿宋_GB2312" w:hAnsi="仿宋_GB2312" w:eastAsia="仿宋_GB2312" w:cs="仿宋_GB2312"/>
          <w:b w:val="0"/>
          <w:bCs/>
          <w:i w:val="0"/>
          <w:caps w:val="0"/>
          <w:color w:val="auto"/>
          <w:spacing w:val="0"/>
          <w:sz w:val="30"/>
          <w:szCs w:val="30"/>
          <w:shd w:val="clear" w:color="080000" w:fill="auto"/>
          <w:lang w:val="en-US" w:eastAsia="zh-CN"/>
        </w:rPr>
        <w:t>持续开展落实意识形态工作责任制示范单位创建活动。区政府办党组等11个基层党组织严格按照“六有四定期”工作要求，积极参与创建。</w:t>
      </w:r>
      <w:r>
        <w:rPr>
          <w:rFonts w:hint="eastAsia" w:ascii="仿宋_GB2312" w:hAnsi="仿宋_GB2312" w:eastAsia="仿宋_GB2312" w:cs="仿宋_GB2312"/>
          <w:b w:val="0"/>
          <w:bCs/>
          <w:sz w:val="30"/>
          <w:szCs w:val="30"/>
          <w:lang w:val="en-US" w:eastAsia="zh-CN"/>
        </w:rPr>
        <w:t>四</w:t>
      </w:r>
      <w:r>
        <w:rPr>
          <w:rFonts w:hint="eastAsia" w:ascii="仿宋_GB2312" w:hAnsi="仿宋_GB2312" w:eastAsia="仿宋_GB2312" w:cs="仿宋_GB2312"/>
          <w:b w:val="0"/>
          <w:bCs/>
          <w:sz w:val="30"/>
          <w:szCs w:val="30"/>
        </w:rPr>
        <w:t>是强化阵地管理。依法依规管好思想理论阵地、新闻舆论阵地、文化活动阵地和宗教阵地，营造良好的思想舆论氛围。实行中心组学习课前政治纪律提示，加强对区内</w:t>
      </w:r>
      <w:r>
        <w:rPr>
          <w:rFonts w:hint="eastAsia" w:ascii="仿宋_GB2312" w:hAnsi="仿宋_GB2312" w:eastAsia="仿宋_GB2312" w:cs="仿宋_GB2312"/>
          <w:b w:val="0"/>
          <w:bCs/>
          <w:sz w:val="30"/>
          <w:szCs w:val="30"/>
          <w:lang w:val="en-US" w:eastAsia="zh-CN"/>
        </w:rPr>
        <w:t>各类学习会、报告会</w:t>
      </w:r>
      <w:r>
        <w:rPr>
          <w:rFonts w:hint="eastAsia" w:ascii="仿宋_GB2312" w:hAnsi="仿宋_GB2312" w:eastAsia="仿宋_GB2312" w:cs="仿宋_GB2312"/>
          <w:b w:val="0"/>
          <w:bCs/>
          <w:sz w:val="30"/>
          <w:szCs w:val="30"/>
        </w:rPr>
        <w:t>的管理。完善新媒体管理制度，定期召开新媒体运维工作会。</w:t>
      </w:r>
      <w:r>
        <w:rPr>
          <w:rFonts w:hint="eastAsia" w:ascii="仿宋_GB2312" w:hAnsi="仿宋_GB2312" w:eastAsia="仿宋_GB2312" w:cs="仿宋_GB2312"/>
          <w:b w:val="0"/>
          <w:bCs/>
          <w:color w:val="000000"/>
          <w:sz w:val="30"/>
          <w:szCs w:val="30"/>
          <w:lang w:val="en-US" w:eastAsia="zh-CN"/>
        </w:rPr>
        <w:t>落实“扫黄打非”专项行动，开展文化市场环境专项整治。充分发挥爱国主义教育基地作用，开展爱国爱教教育</w:t>
      </w:r>
      <w:r>
        <w:rPr>
          <w:rFonts w:hint="eastAsia" w:ascii="仿宋_GB2312" w:hAnsi="仿宋_GB2312" w:eastAsia="仿宋_GB2312" w:cs="仿宋_GB2312"/>
          <w:b w:val="0"/>
          <w:bCs/>
          <w:sz w:val="30"/>
          <w:szCs w:val="30"/>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kern w:val="0"/>
          <w:sz w:val="30"/>
          <w:szCs w:val="30"/>
        </w:rPr>
        <w:t>大力倡树社会主义核心价值观。</w:t>
      </w:r>
      <w:r>
        <w:rPr>
          <w:rFonts w:hint="eastAsia" w:ascii="仿宋_GB2312" w:hAnsi="仿宋_GB2312" w:eastAsia="仿宋_GB2312" w:cs="仿宋_GB2312"/>
          <w:b w:val="0"/>
          <w:bCs/>
          <w:sz w:val="30"/>
          <w:szCs w:val="30"/>
        </w:rPr>
        <w:t>一是加强基层宣传细胞建设。健全和更新各部门新闻发言人队伍、各乡镇宣传干部队伍。加强党政宣传标语“建管用”，做好昭化主城区26个规范广告位维护更新，组织各乡镇新建1批规范广告位。元坝中学、昭化镇天雄村创建为市级社会主义核心价值观示范点。二是加强社会氛围营造。围绕依法治区、扫黑除恶等重点工作，开展集中宣传60余场次，利用LED显示屏设置宣传标语200余条。三是加强公民思想道德建设。积极开展“感动广元（昭化）十大人物”评选活动，龙泉市帮扶昭化医疗扶贫团队被评为感动广元十大人物。精心组织开展“我和我的祖国”群众性主题宣传教育活动，录制“快闪”作品3部，推荐短视频5个。</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kern w:val="0"/>
          <w:sz w:val="30"/>
          <w:szCs w:val="30"/>
        </w:rPr>
        <w:t>全方位提升昭化宣传力影响力。</w:t>
      </w:r>
      <w:r>
        <w:rPr>
          <w:rFonts w:hint="eastAsia" w:ascii="仿宋_GB2312" w:hAnsi="仿宋_GB2312" w:eastAsia="仿宋_GB2312" w:cs="仿宋_GB2312"/>
          <w:b w:val="0"/>
          <w:bCs/>
          <w:color w:val="auto"/>
          <w:sz w:val="30"/>
          <w:szCs w:val="30"/>
        </w:rPr>
        <w:t>一是精心组织对内宣传。围绕增强“四力”教育实践活动，区电视台、区记者站、官方新媒体持续深入基层一线宣传报道。区级媒体统一开设“壮丽70年·奋斗新时代”专栏，开展专题报道200余期，发布稿件3000余条。二是着力开展对外宣传。</w:t>
      </w:r>
      <w:r>
        <w:rPr>
          <w:rFonts w:hint="eastAsia" w:ascii="仿宋_GB2312" w:hAnsi="仿宋_GB2312" w:eastAsia="仿宋_GB2312" w:cs="仿宋_GB2312"/>
          <w:b w:val="0"/>
          <w:bCs/>
          <w:color w:val="auto"/>
          <w:sz w:val="30"/>
          <w:szCs w:val="30"/>
          <w:highlight w:val="none"/>
          <w:lang w:eastAsia="zh-CN"/>
        </w:rPr>
        <w:t>截至11月</w:t>
      </w:r>
      <w:r>
        <w:rPr>
          <w:rFonts w:hint="eastAsia" w:ascii="仿宋_GB2312" w:hAnsi="仿宋_GB2312" w:eastAsia="仿宋_GB2312" w:cs="仿宋_GB2312"/>
          <w:b w:val="0"/>
          <w:bCs/>
          <w:color w:val="auto"/>
          <w:sz w:val="30"/>
          <w:szCs w:val="30"/>
        </w:rPr>
        <w:t>，在省级以上报刊和广电主流媒体发稿456条、网络媒体发稿1100余条。其中，《人民日报》头版以“雷厉风行久久为功，各地打好城市黑臭水体治理标志性重大战役”，《人民日报》海外版5次报道我区工作；《四川日报》发稿14条，四川电视台四川新闻发稿19条。三是大力开展主题宣传。召开新闻媒体季度会商会</w:t>
      </w:r>
      <w:r>
        <w:rPr>
          <w:rFonts w:hint="eastAsia" w:ascii="仿宋_GB2312" w:hAnsi="仿宋_GB2312" w:eastAsia="仿宋_GB2312" w:cs="仿宋_GB2312"/>
          <w:b w:val="0"/>
          <w:bCs/>
          <w:color w:val="auto"/>
          <w:sz w:val="30"/>
          <w:szCs w:val="30"/>
          <w:lang w:val="en-US" w:eastAsia="zh-CN"/>
        </w:rPr>
        <w:t>4</w:t>
      </w:r>
      <w:r>
        <w:rPr>
          <w:rFonts w:hint="eastAsia" w:ascii="仿宋_GB2312" w:hAnsi="仿宋_GB2312" w:eastAsia="仿宋_GB2312" w:cs="仿宋_GB2312"/>
          <w:b w:val="0"/>
          <w:bCs/>
          <w:color w:val="auto"/>
          <w:sz w:val="30"/>
          <w:szCs w:val="30"/>
        </w:rPr>
        <w:t>次，邀请中央省级主流媒体40余家</w:t>
      </w:r>
      <w:r>
        <w:rPr>
          <w:rFonts w:hint="eastAsia" w:ascii="仿宋_GB2312" w:hAnsi="仿宋_GB2312" w:eastAsia="仿宋_GB2312" w:cs="仿宋_GB2312"/>
          <w:b w:val="0"/>
          <w:bCs/>
          <w:color w:val="auto"/>
          <w:sz w:val="30"/>
          <w:szCs w:val="30"/>
          <w:lang w:val="en-US" w:eastAsia="zh-CN"/>
        </w:rPr>
        <w:t>做客昭化</w:t>
      </w:r>
      <w:r>
        <w:rPr>
          <w:rFonts w:hint="eastAsia" w:ascii="仿宋_GB2312" w:hAnsi="仿宋_GB2312" w:eastAsia="仿宋_GB2312" w:cs="仿宋_GB2312"/>
          <w:b w:val="0"/>
          <w:bCs/>
          <w:color w:val="auto"/>
          <w:sz w:val="30"/>
          <w:szCs w:val="30"/>
        </w:rPr>
        <w:t>。主动策划俄罗斯媒体四川广元昭化行、CCTV-4《城市1对1》走进昭化、央视国际频道《记住乡愁》走进昭化古城等重大外宣活动11次。四是加快建设融媒体中心。我区融媒体中心已于11月7日正式授牌运行。融媒体中心建设经验先后两次在省市融媒体建设现场会上交流</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省委外宣办（省政府新闻办）副主任代光举一行</w:t>
      </w:r>
      <w:r>
        <w:rPr>
          <w:rFonts w:hint="eastAsia" w:ascii="仿宋_GB2312" w:hAnsi="仿宋_GB2312" w:eastAsia="仿宋_GB2312" w:cs="仿宋_GB2312"/>
          <w:b w:val="0"/>
          <w:bCs/>
          <w:color w:val="auto"/>
          <w:sz w:val="30"/>
          <w:szCs w:val="30"/>
          <w:lang w:val="en-US" w:eastAsia="zh-CN"/>
        </w:rPr>
        <w:t>对我区融媒体中心进行调研</w:t>
      </w:r>
      <w:r>
        <w:rPr>
          <w:rFonts w:hint="eastAsia" w:ascii="仿宋_GB2312" w:hAnsi="仿宋_GB2312" w:eastAsia="仿宋_GB2312" w:cs="仿宋_GB2312"/>
          <w:b w:val="0"/>
          <w:bCs/>
          <w:color w:val="auto"/>
          <w:sz w:val="30"/>
          <w:szCs w:val="30"/>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kern w:val="0"/>
          <w:sz w:val="30"/>
          <w:szCs w:val="30"/>
          <w:lang w:val="en-US" w:eastAsia="zh-CN"/>
        </w:rPr>
        <w:t>全域</w:t>
      </w:r>
      <w:r>
        <w:rPr>
          <w:rFonts w:hint="eastAsia" w:ascii="仿宋_GB2312" w:hAnsi="仿宋_GB2312" w:eastAsia="仿宋_GB2312" w:cs="仿宋_GB2312"/>
          <w:b w:val="0"/>
          <w:bCs/>
          <w:color w:val="auto"/>
          <w:kern w:val="0"/>
          <w:sz w:val="30"/>
          <w:szCs w:val="30"/>
        </w:rPr>
        <w:t>开展精神文明创建。</w:t>
      </w:r>
      <w:r>
        <w:rPr>
          <w:rFonts w:hint="eastAsia" w:ascii="仿宋_GB2312" w:hAnsi="仿宋_GB2312" w:eastAsia="仿宋_GB2312" w:cs="仿宋_GB2312"/>
          <w:b w:val="0"/>
          <w:bCs/>
          <w:color w:val="auto"/>
          <w:sz w:val="30"/>
          <w:szCs w:val="30"/>
        </w:rPr>
        <w:t>一是推进群众性精神文明建设。大力开展第六届全国文明城市创建工作，</w:t>
      </w:r>
      <w:r>
        <w:rPr>
          <w:rFonts w:hint="eastAsia" w:ascii="仿宋_GB2312" w:hAnsi="仿宋_GB2312" w:eastAsia="仿宋_GB2312" w:cs="仿宋_GB2312"/>
          <w:b w:val="0"/>
          <w:bCs/>
          <w:color w:val="auto"/>
          <w:sz w:val="30"/>
          <w:szCs w:val="30"/>
          <w:lang w:val="en-US" w:eastAsia="zh-CN"/>
        </w:rPr>
        <w:t>举办</w:t>
      </w:r>
      <w:r>
        <w:rPr>
          <w:rFonts w:hint="eastAsia" w:ascii="仿宋_GB2312" w:hAnsi="仿宋_GB2312" w:eastAsia="仿宋_GB2312" w:cs="仿宋_GB2312"/>
          <w:b w:val="0"/>
          <w:bCs/>
          <w:color w:val="auto"/>
          <w:sz w:val="30"/>
          <w:szCs w:val="30"/>
        </w:rPr>
        <w:t>社会主义核心价值观“我牢记</w:t>
      </w:r>
      <w:r>
        <w:rPr>
          <w:rFonts w:hint="eastAsia" w:ascii="仿宋_GB2312" w:hAnsi="仿宋_GB2312" w:eastAsia="仿宋_GB2312" w:cs="仿宋_GB2312"/>
          <w:b w:val="0"/>
          <w:bCs/>
          <w:color w:val="auto"/>
          <w:sz w:val="30"/>
          <w:szCs w:val="30"/>
          <w:lang w:val="en-US" w:eastAsia="zh-CN"/>
        </w:rPr>
        <w:t>·</w:t>
      </w:r>
      <w:r>
        <w:rPr>
          <w:rFonts w:hint="eastAsia" w:ascii="仿宋_GB2312" w:hAnsi="仿宋_GB2312" w:eastAsia="仿宋_GB2312" w:cs="仿宋_GB2312"/>
          <w:b w:val="0"/>
          <w:bCs/>
          <w:color w:val="auto"/>
          <w:sz w:val="30"/>
          <w:szCs w:val="30"/>
        </w:rPr>
        <w:t>我践行”及“交通文明我先行 志愿服务我践行”活动。分类、分批次对30余所中小学</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城区200余家经营业主、四个社区居民、各</w:t>
      </w:r>
      <w:r>
        <w:rPr>
          <w:rFonts w:hint="eastAsia" w:ascii="仿宋_GB2312" w:hAnsi="仿宋_GB2312" w:eastAsia="仿宋_GB2312" w:cs="仿宋_GB2312"/>
          <w:b w:val="0"/>
          <w:bCs/>
          <w:color w:val="auto"/>
          <w:sz w:val="30"/>
          <w:szCs w:val="30"/>
          <w:lang w:val="en-US" w:eastAsia="zh-CN"/>
        </w:rPr>
        <w:t>机关</w:t>
      </w:r>
      <w:r>
        <w:rPr>
          <w:rFonts w:hint="eastAsia" w:ascii="仿宋_GB2312" w:hAnsi="仿宋_GB2312" w:eastAsia="仿宋_GB2312" w:cs="仿宋_GB2312"/>
          <w:b w:val="0"/>
          <w:bCs/>
          <w:color w:val="auto"/>
          <w:sz w:val="30"/>
          <w:szCs w:val="30"/>
        </w:rPr>
        <w:t>单位进行文明素质提升培训，培训</w:t>
      </w:r>
      <w:r>
        <w:rPr>
          <w:rFonts w:hint="eastAsia" w:ascii="仿宋_GB2312" w:hAnsi="仿宋_GB2312" w:eastAsia="仿宋_GB2312" w:cs="仿宋_GB2312"/>
          <w:b w:val="0"/>
          <w:bCs/>
          <w:color w:val="auto"/>
          <w:sz w:val="30"/>
          <w:szCs w:val="30"/>
          <w:lang w:val="en-US" w:eastAsia="zh-CN"/>
        </w:rPr>
        <w:t>达</w:t>
      </w:r>
      <w:r>
        <w:rPr>
          <w:rFonts w:hint="eastAsia" w:ascii="仿宋_GB2312" w:hAnsi="仿宋_GB2312" w:eastAsia="仿宋_GB2312" w:cs="仿宋_GB2312"/>
          <w:b w:val="0"/>
          <w:bCs/>
          <w:color w:val="auto"/>
          <w:sz w:val="30"/>
          <w:szCs w:val="30"/>
        </w:rPr>
        <w:t>4000余人次。成功创建市级文明乡镇</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村</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11个</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文明单位5个。1人成功入选见义勇为类四川好人，3人被评为广元市第四届</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孝敬父母</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关爱子女</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模范。二是加强未成年人思想道德建设。继续加大未成年人心理指导中心建设。积极开展文明校园创建工作，申报中央乡村学校少年宫项目1个，从严考核已建成的15所乡村少年宫学校，入选四川省优秀乡村学校少年宫1个。</w:t>
      </w:r>
      <w:r>
        <w:rPr>
          <w:rFonts w:hint="eastAsia" w:ascii="仿宋_GB2312" w:hAnsi="仿宋_GB2312" w:eastAsia="仿宋_GB2312" w:cs="仿宋_GB2312"/>
          <w:b w:val="0"/>
          <w:bCs/>
          <w:color w:val="auto"/>
          <w:sz w:val="30"/>
          <w:szCs w:val="30"/>
          <w:lang w:val="en-US" w:eastAsia="zh-CN"/>
        </w:rPr>
        <w:t>三</w:t>
      </w:r>
      <w:r>
        <w:rPr>
          <w:rFonts w:hint="eastAsia" w:ascii="仿宋_GB2312" w:hAnsi="仿宋_GB2312" w:eastAsia="仿宋_GB2312" w:cs="仿宋_GB2312"/>
          <w:b w:val="0"/>
          <w:bCs/>
          <w:color w:val="auto"/>
          <w:sz w:val="30"/>
          <w:szCs w:val="30"/>
        </w:rPr>
        <w:t>是</w:t>
      </w:r>
      <w:r>
        <w:rPr>
          <w:rFonts w:hint="eastAsia" w:ascii="仿宋_GB2312" w:hAnsi="仿宋_GB2312" w:eastAsia="仿宋_GB2312" w:cs="仿宋_GB2312"/>
          <w:b w:val="0"/>
          <w:bCs/>
          <w:color w:val="auto"/>
          <w:sz w:val="30"/>
          <w:szCs w:val="30"/>
          <w:lang w:val="en-US" w:eastAsia="zh-CN"/>
        </w:rPr>
        <w:t>推进</w:t>
      </w:r>
      <w:r>
        <w:rPr>
          <w:rFonts w:hint="eastAsia" w:ascii="仿宋_GB2312" w:hAnsi="仿宋_GB2312" w:eastAsia="仿宋_GB2312" w:cs="仿宋_GB2312"/>
          <w:b w:val="0"/>
          <w:bCs/>
          <w:color w:val="auto"/>
          <w:sz w:val="30"/>
          <w:szCs w:val="30"/>
        </w:rPr>
        <w:t>农村精神文明建设。持续推进家庭道德积分评定活动全覆盖，继续抓实文明健康示范村（户）评选</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培育社会主义核心价值观宣传员五支队伍，大力</w:t>
      </w:r>
      <w:r>
        <w:rPr>
          <w:rFonts w:hint="eastAsia" w:ascii="仿宋_GB2312" w:hAnsi="仿宋_GB2312" w:eastAsia="仿宋_GB2312" w:cs="仿宋_GB2312"/>
          <w:b w:val="0"/>
          <w:bCs/>
          <w:color w:val="auto"/>
          <w:sz w:val="30"/>
          <w:szCs w:val="30"/>
          <w:lang w:val="en-US" w:eastAsia="zh-CN"/>
        </w:rPr>
        <w:t>倡树</w:t>
      </w:r>
      <w:r>
        <w:rPr>
          <w:rFonts w:hint="eastAsia" w:ascii="仿宋_GB2312" w:hAnsi="仿宋_GB2312" w:eastAsia="仿宋_GB2312" w:cs="仿宋_GB2312"/>
          <w:b w:val="0"/>
          <w:bCs/>
          <w:color w:val="auto"/>
          <w:sz w:val="30"/>
          <w:szCs w:val="30"/>
        </w:rPr>
        <w:t>移风易俗，推进乡风文明建设。</w:t>
      </w:r>
      <w:r>
        <w:rPr>
          <w:rFonts w:hint="eastAsia" w:ascii="仿宋_GB2312" w:hAnsi="仿宋_GB2312" w:eastAsia="仿宋_GB2312" w:cs="仿宋_GB2312"/>
          <w:b w:val="0"/>
          <w:bCs/>
          <w:color w:val="auto"/>
          <w:sz w:val="30"/>
          <w:szCs w:val="30"/>
          <w:lang w:val="en-US" w:eastAsia="zh-CN"/>
        </w:rPr>
        <w:t>四</w:t>
      </w:r>
      <w:r>
        <w:rPr>
          <w:rFonts w:hint="eastAsia" w:ascii="仿宋_GB2312" w:hAnsi="仿宋_GB2312" w:eastAsia="仿宋_GB2312" w:cs="仿宋_GB2312"/>
          <w:b w:val="0"/>
          <w:bCs/>
          <w:color w:val="auto"/>
          <w:sz w:val="30"/>
          <w:szCs w:val="30"/>
        </w:rPr>
        <w:t>是持续开展志愿服务工作。常态化开展系列志愿服务活动，走访慰问2000余人次，到敬老院开展慰问活动5次。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kern w:val="0"/>
          <w:sz w:val="30"/>
          <w:szCs w:val="30"/>
        </w:rPr>
        <w:t>构建网络治理良好格局。</w:t>
      </w:r>
      <w:r>
        <w:rPr>
          <w:rFonts w:hint="eastAsia" w:ascii="仿宋_GB2312" w:hAnsi="仿宋_GB2312" w:eastAsia="仿宋_GB2312" w:cs="仿宋_GB2312"/>
          <w:b w:val="0"/>
          <w:bCs/>
          <w:color w:val="000000"/>
          <w:kern w:val="0"/>
          <w:sz w:val="30"/>
          <w:szCs w:val="30"/>
        </w:rPr>
        <w:t>一是建立健</w:t>
      </w:r>
      <w:r>
        <w:rPr>
          <w:rFonts w:hint="eastAsia" w:ascii="仿宋_GB2312" w:hAnsi="仿宋_GB2312" w:eastAsia="仿宋_GB2312" w:cs="仿宋_GB2312"/>
          <w:b w:val="0"/>
          <w:bCs/>
          <w:color w:val="000000"/>
          <w:kern w:val="0"/>
          <w:sz w:val="30"/>
          <w:szCs w:val="30"/>
          <w:lang w:val="en-US" w:eastAsia="zh-CN"/>
        </w:rPr>
        <w:t>网络</w:t>
      </w:r>
      <w:r>
        <w:rPr>
          <w:rFonts w:hint="eastAsia" w:ascii="仿宋_GB2312" w:hAnsi="仿宋_GB2312" w:eastAsia="仿宋_GB2312" w:cs="仿宋_GB2312"/>
          <w:b w:val="0"/>
          <w:bCs/>
          <w:color w:val="000000"/>
          <w:kern w:val="0"/>
          <w:sz w:val="30"/>
          <w:szCs w:val="30"/>
        </w:rPr>
        <w:t>管理体系。组建区委网信委，召开网络安全和信息化委员会第一次会议</w:t>
      </w:r>
      <w:r>
        <w:rPr>
          <w:rFonts w:hint="eastAsia" w:ascii="仿宋_GB2312" w:hAnsi="仿宋_GB2312" w:eastAsia="仿宋_GB2312" w:cs="仿宋_GB2312"/>
          <w:b w:val="0"/>
          <w:bCs/>
          <w:color w:val="000000"/>
          <w:kern w:val="0"/>
          <w:sz w:val="30"/>
          <w:szCs w:val="30"/>
          <w:lang w:eastAsia="zh-CN"/>
        </w:rPr>
        <w:t>。</w:t>
      </w:r>
      <w:r>
        <w:rPr>
          <w:rFonts w:hint="eastAsia" w:ascii="仿宋_GB2312" w:hAnsi="仿宋_GB2312" w:eastAsia="仿宋_GB2312" w:cs="仿宋_GB2312"/>
          <w:b w:val="0"/>
          <w:bCs/>
          <w:color w:val="000000"/>
          <w:kern w:val="0"/>
          <w:sz w:val="30"/>
          <w:szCs w:val="30"/>
        </w:rPr>
        <w:t>印发《昭化区网络信息安全管理办法（试行）》</w:t>
      </w:r>
      <w:r>
        <w:rPr>
          <w:rFonts w:hint="eastAsia" w:ascii="仿宋_GB2312" w:hAnsi="仿宋_GB2312" w:eastAsia="仿宋_GB2312" w:cs="仿宋_GB2312"/>
          <w:b w:val="0"/>
          <w:bCs/>
          <w:color w:val="000000"/>
          <w:kern w:val="0"/>
          <w:sz w:val="30"/>
          <w:szCs w:val="30"/>
          <w:lang w:eastAsia="zh-CN"/>
        </w:rPr>
        <w:t>，召开</w:t>
      </w:r>
      <w:r>
        <w:rPr>
          <w:rFonts w:hint="eastAsia" w:ascii="仿宋_GB2312" w:hAnsi="仿宋_GB2312" w:eastAsia="仿宋_GB2312" w:cs="仿宋_GB2312"/>
          <w:b w:val="0"/>
          <w:bCs/>
          <w:color w:val="000000"/>
          <w:kern w:val="0"/>
          <w:sz w:val="30"/>
          <w:szCs w:val="30"/>
          <w:lang w:val="en-US" w:eastAsia="zh-CN"/>
        </w:rPr>
        <w:t>2次全区</w:t>
      </w:r>
      <w:r>
        <w:rPr>
          <w:rFonts w:hint="eastAsia" w:ascii="仿宋_GB2312" w:hAnsi="仿宋_GB2312" w:eastAsia="仿宋_GB2312" w:cs="仿宋_GB2312"/>
          <w:b w:val="0"/>
          <w:bCs/>
          <w:color w:val="000000"/>
          <w:kern w:val="0"/>
          <w:sz w:val="30"/>
          <w:szCs w:val="30"/>
          <w:lang w:eastAsia="zh-CN"/>
        </w:rPr>
        <w:t>网络安全管理培训会</w:t>
      </w:r>
      <w:r>
        <w:rPr>
          <w:rFonts w:hint="eastAsia" w:ascii="仿宋_GB2312" w:hAnsi="仿宋_GB2312" w:eastAsia="仿宋_GB2312" w:cs="仿宋_GB2312"/>
          <w:b w:val="0"/>
          <w:bCs/>
          <w:color w:val="000000"/>
          <w:kern w:val="0"/>
          <w:sz w:val="30"/>
          <w:szCs w:val="30"/>
          <w:lang w:val="en-US" w:eastAsia="zh-CN"/>
        </w:rPr>
        <w:t>，</w:t>
      </w:r>
      <w:r>
        <w:rPr>
          <w:rFonts w:hint="eastAsia" w:ascii="仿宋_GB2312" w:hAnsi="仿宋_GB2312" w:eastAsia="仿宋_GB2312" w:cs="仿宋_GB2312"/>
          <w:b w:val="0"/>
          <w:bCs/>
          <w:color w:val="000000"/>
          <w:kern w:val="0"/>
          <w:sz w:val="30"/>
          <w:szCs w:val="30"/>
        </w:rPr>
        <w:t>逐步建立起网络内容</w:t>
      </w:r>
      <w:r>
        <w:rPr>
          <w:rFonts w:hint="eastAsia" w:ascii="仿宋_GB2312" w:hAnsi="仿宋_GB2312" w:eastAsia="仿宋_GB2312" w:cs="仿宋_GB2312"/>
          <w:b w:val="0"/>
          <w:bCs/>
          <w:color w:val="000000"/>
          <w:kern w:val="0"/>
          <w:sz w:val="30"/>
          <w:szCs w:val="30"/>
          <w:lang w:val="en-US" w:eastAsia="zh-CN"/>
        </w:rPr>
        <w:t>管理</w:t>
      </w:r>
      <w:r>
        <w:rPr>
          <w:rFonts w:hint="eastAsia" w:ascii="仿宋_GB2312" w:hAnsi="仿宋_GB2312" w:eastAsia="仿宋_GB2312" w:cs="仿宋_GB2312"/>
          <w:b w:val="0"/>
          <w:bCs/>
          <w:color w:val="000000"/>
          <w:kern w:val="0"/>
          <w:sz w:val="30"/>
          <w:szCs w:val="30"/>
        </w:rPr>
        <w:t>制度体系。</w:t>
      </w:r>
      <w:r>
        <w:rPr>
          <w:rFonts w:hint="eastAsia" w:ascii="仿宋_GB2312" w:hAnsi="仿宋_GB2312" w:eastAsia="仿宋_GB2312" w:cs="仿宋_GB2312"/>
          <w:b w:val="0"/>
          <w:bCs/>
          <w:color w:val="000000"/>
          <w:kern w:val="0"/>
          <w:sz w:val="30"/>
          <w:szCs w:val="30"/>
          <w:lang w:val="en-US" w:eastAsia="zh-CN"/>
        </w:rPr>
        <w:t>我区</w:t>
      </w:r>
      <w:r>
        <w:rPr>
          <w:rFonts w:hint="eastAsia" w:ascii="仿宋_GB2312" w:hAnsi="仿宋_GB2312" w:eastAsia="仿宋_GB2312" w:cs="仿宋_GB2312"/>
          <w:b w:val="0"/>
          <w:bCs/>
          <w:color w:val="000000"/>
          <w:kern w:val="0"/>
          <w:sz w:val="30"/>
          <w:szCs w:val="30"/>
        </w:rPr>
        <w:t>互联网行业党委</w:t>
      </w:r>
      <w:r>
        <w:rPr>
          <w:rFonts w:hint="eastAsia" w:ascii="仿宋_GB2312" w:hAnsi="仿宋_GB2312" w:eastAsia="仿宋_GB2312" w:cs="仿宋_GB2312"/>
          <w:b w:val="0"/>
          <w:bCs/>
          <w:color w:val="000000"/>
          <w:kern w:val="0"/>
          <w:sz w:val="30"/>
          <w:szCs w:val="30"/>
          <w:lang w:val="en-US" w:eastAsia="zh-CN"/>
        </w:rPr>
        <w:t>正在</w:t>
      </w:r>
      <w:r>
        <w:rPr>
          <w:rFonts w:hint="eastAsia" w:ascii="仿宋_GB2312" w:hAnsi="仿宋_GB2312" w:eastAsia="仿宋_GB2312" w:cs="仿宋_GB2312"/>
          <w:b w:val="0"/>
          <w:bCs/>
          <w:color w:val="000000"/>
          <w:kern w:val="0"/>
          <w:sz w:val="30"/>
          <w:szCs w:val="30"/>
        </w:rPr>
        <w:t>组建</w:t>
      </w:r>
      <w:r>
        <w:rPr>
          <w:rFonts w:hint="eastAsia" w:ascii="仿宋_GB2312" w:hAnsi="仿宋_GB2312" w:eastAsia="仿宋_GB2312" w:cs="仿宋_GB2312"/>
          <w:b w:val="0"/>
          <w:bCs/>
          <w:color w:val="000000"/>
          <w:kern w:val="0"/>
          <w:sz w:val="30"/>
          <w:szCs w:val="30"/>
          <w:lang w:val="en-US" w:eastAsia="zh-CN"/>
        </w:rPr>
        <w:t>中，预计12月底成立。</w:t>
      </w:r>
      <w:r>
        <w:rPr>
          <w:rFonts w:hint="eastAsia" w:ascii="仿宋_GB2312" w:hAnsi="仿宋_GB2312" w:eastAsia="仿宋_GB2312" w:cs="仿宋_GB2312"/>
          <w:b w:val="0"/>
          <w:bCs/>
          <w:color w:val="000000"/>
          <w:kern w:val="0"/>
          <w:sz w:val="30"/>
          <w:szCs w:val="30"/>
        </w:rPr>
        <w:t>二是有序推进网络舆情应对处置。针对各重要节点和敏感时段，分别成立网络舆情应对专班3个，制定应急预案</w:t>
      </w:r>
      <w:r>
        <w:rPr>
          <w:rFonts w:hint="eastAsia" w:ascii="仿宋_GB2312" w:hAnsi="仿宋_GB2312" w:eastAsia="仿宋_GB2312" w:cs="仿宋_GB2312"/>
          <w:b w:val="0"/>
          <w:bCs/>
          <w:color w:val="000000"/>
          <w:kern w:val="0"/>
          <w:sz w:val="30"/>
          <w:szCs w:val="30"/>
          <w:lang w:val="en-US" w:eastAsia="zh-CN"/>
        </w:rPr>
        <w:t>6</w:t>
      </w:r>
      <w:r>
        <w:rPr>
          <w:rFonts w:hint="eastAsia" w:ascii="仿宋_GB2312" w:hAnsi="仿宋_GB2312" w:eastAsia="仿宋_GB2312" w:cs="仿宋_GB2312"/>
          <w:b w:val="0"/>
          <w:bCs/>
          <w:color w:val="000000"/>
          <w:kern w:val="0"/>
          <w:sz w:val="30"/>
          <w:szCs w:val="30"/>
        </w:rPr>
        <w:t>个。</w:t>
      </w:r>
      <w:r>
        <w:rPr>
          <w:rFonts w:hint="eastAsia" w:ascii="仿宋_GB2312" w:hAnsi="仿宋_GB2312" w:eastAsia="仿宋_GB2312" w:cs="仿宋_GB2312"/>
          <w:b w:val="0"/>
          <w:bCs/>
          <w:color w:val="000000"/>
          <w:kern w:val="0"/>
          <w:sz w:val="30"/>
          <w:szCs w:val="30"/>
          <w:highlight w:val="none"/>
          <w:lang w:eastAsia="zh-CN"/>
        </w:rPr>
        <w:t>截至11月</w:t>
      </w:r>
      <w:r>
        <w:rPr>
          <w:rFonts w:hint="eastAsia" w:ascii="仿宋_GB2312" w:hAnsi="仿宋_GB2312" w:eastAsia="仿宋_GB2312" w:cs="仿宋_GB2312"/>
          <w:b w:val="0"/>
          <w:bCs/>
          <w:color w:val="000000"/>
          <w:kern w:val="0"/>
          <w:sz w:val="30"/>
          <w:szCs w:val="30"/>
          <w:lang w:val="en-US" w:eastAsia="zh-CN"/>
        </w:rPr>
        <w:t>27日</w:t>
      </w:r>
      <w:r>
        <w:rPr>
          <w:rFonts w:hint="eastAsia" w:ascii="仿宋_GB2312" w:hAnsi="仿宋_GB2312" w:eastAsia="仿宋_GB2312" w:cs="仿宋_GB2312"/>
          <w:b w:val="0"/>
          <w:bCs/>
          <w:color w:val="000000"/>
          <w:kern w:val="0"/>
          <w:sz w:val="30"/>
          <w:szCs w:val="30"/>
        </w:rPr>
        <w:t>，共收到互联网舆情</w:t>
      </w:r>
      <w:r>
        <w:rPr>
          <w:rFonts w:hint="eastAsia" w:ascii="仿宋_GB2312" w:hAnsi="仿宋_GB2312" w:eastAsia="仿宋_GB2312" w:cs="仿宋_GB2312"/>
          <w:b w:val="0"/>
          <w:bCs/>
          <w:color w:val="000000"/>
          <w:kern w:val="0"/>
          <w:sz w:val="30"/>
          <w:szCs w:val="30"/>
          <w:lang w:val="en-US" w:eastAsia="zh-CN"/>
        </w:rPr>
        <w:t>202</w:t>
      </w:r>
      <w:r>
        <w:rPr>
          <w:rFonts w:hint="eastAsia" w:ascii="仿宋_GB2312" w:hAnsi="仿宋_GB2312" w:eastAsia="仿宋_GB2312" w:cs="仿宋_GB2312"/>
          <w:b w:val="0"/>
          <w:bCs/>
          <w:color w:val="000000"/>
          <w:kern w:val="0"/>
          <w:sz w:val="30"/>
          <w:szCs w:val="30"/>
        </w:rPr>
        <w:t>件，市（区）级信箱</w:t>
      </w:r>
      <w:r>
        <w:rPr>
          <w:rFonts w:hint="eastAsia" w:ascii="仿宋_GB2312" w:hAnsi="仿宋_GB2312" w:eastAsia="仿宋_GB2312" w:cs="仿宋_GB2312"/>
          <w:b w:val="0"/>
          <w:bCs/>
          <w:color w:val="000000"/>
          <w:kern w:val="0"/>
          <w:sz w:val="30"/>
          <w:szCs w:val="30"/>
          <w:lang w:val="en-US" w:eastAsia="zh-CN"/>
        </w:rPr>
        <w:t>283</w:t>
      </w:r>
      <w:r>
        <w:rPr>
          <w:rFonts w:hint="eastAsia" w:ascii="仿宋_GB2312" w:hAnsi="仿宋_GB2312" w:eastAsia="仿宋_GB2312" w:cs="仿宋_GB2312"/>
          <w:b w:val="0"/>
          <w:bCs/>
          <w:color w:val="000000"/>
          <w:kern w:val="0"/>
          <w:sz w:val="30"/>
          <w:szCs w:val="30"/>
        </w:rPr>
        <w:t>件，回应率9</w:t>
      </w:r>
      <w:r>
        <w:rPr>
          <w:rFonts w:hint="eastAsia" w:ascii="仿宋_GB2312" w:hAnsi="仿宋_GB2312" w:eastAsia="仿宋_GB2312" w:cs="仿宋_GB2312"/>
          <w:b w:val="0"/>
          <w:bCs/>
          <w:color w:val="000000"/>
          <w:kern w:val="0"/>
          <w:sz w:val="30"/>
          <w:szCs w:val="30"/>
          <w:lang w:val="en-US" w:eastAsia="zh-CN"/>
        </w:rPr>
        <w:t>6</w:t>
      </w:r>
      <w:r>
        <w:rPr>
          <w:rFonts w:hint="eastAsia" w:ascii="仿宋_GB2312" w:hAnsi="仿宋_GB2312" w:eastAsia="仿宋_GB2312" w:cs="仿宋_GB2312"/>
          <w:b w:val="0"/>
          <w:bCs/>
          <w:color w:val="000000"/>
          <w:kern w:val="0"/>
          <w:sz w:val="30"/>
          <w:szCs w:val="30"/>
        </w:rPr>
        <w:t>%以上，</w:t>
      </w:r>
      <w:r>
        <w:rPr>
          <w:rFonts w:hint="eastAsia" w:ascii="仿宋_GB2312" w:hAnsi="仿宋_GB2312" w:eastAsia="仿宋_GB2312" w:cs="仿宋_GB2312"/>
          <w:b w:val="0"/>
          <w:bCs/>
          <w:color w:val="000000"/>
          <w:kern w:val="0"/>
          <w:sz w:val="30"/>
          <w:szCs w:val="30"/>
          <w:lang w:val="en-US" w:eastAsia="zh-CN"/>
        </w:rPr>
        <w:t>无重大负面舆情发生。</w:t>
      </w:r>
      <w:r>
        <w:rPr>
          <w:rFonts w:hint="eastAsia" w:ascii="仿宋_GB2312" w:hAnsi="仿宋_GB2312" w:eastAsia="仿宋_GB2312" w:cs="仿宋_GB2312"/>
          <w:b w:val="0"/>
          <w:bCs/>
          <w:color w:val="000000"/>
          <w:kern w:val="0"/>
          <w:sz w:val="30"/>
          <w:szCs w:val="30"/>
        </w:rPr>
        <w:t>三是</w:t>
      </w:r>
      <w:r>
        <w:rPr>
          <w:rFonts w:hint="eastAsia" w:ascii="仿宋_GB2312" w:hAnsi="仿宋_GB2312" w:eastAsia="仿宋_GB2312" w:cs="仿宋_GB2312"/>
          <w:b w:val="0"/>
          <w:bCs/>
          <w:color w:val="000000"/>
          <w:kern w:val="0"/>
          <w:sz w:val="30"/>
          <w:szCs w:val="30"/>
          <w:lang w:val="en-US" w:eastAsia="zh-CN"/>
        </w:rPr>
        <w:t>扎实筑牢网络安全防火墙。与区公安分局联合开展关键信息基础设施安全检查3次，下发整改通知书144份。扎实开展“清朗”专项行动，对假冒新闻网站、政治有害类信息、区外涉黄网站进行举报与处理。四是</w:t>
      </w:r>
      <w:r>
        <w:rPr>
          <w:rFonts w:hint="eastAsia" w:ascii="仿宋_GB2312" w:hAnsi="仿宋_GB2312" w:eastAsia="仿宋_GB2312" w:cs="仿宋_GB2312"/>
          <w:b w:val="0"/>
          <w:bCs/>
          <w:color w:val="000000"/>
          <w:kern w:val="0"/>
          <w:sz w:val="30"/>
          <w:szCs w:val="30"/>
        </w:rPr>
        <w:t>逐步提高网络舆论引导水平。开展政策、法律法规及应急知识等内容宣传，积极评论、转发</w:t>
      </w:r>
      <w:r>
        <w:rPr>
          <w:rFonts w:hint="eastAsia" w:ascii="仿宋_GB2312" w:hAnsi="仿宋_GB2312" w:eastAsia="仿宋_GB2312" w:cs="仿宋_GB2312"/>
          <w:b w:val="0"/>
          <w:bCs/>
          <w:color w:val="000000"/>
          <w:kern w:val="0"/>
          <w:sz w:val="30"/>
          <w:szCs w:val="30"/>
          <w:lang w:val="en-US" w:eastAsia="zh-CN"/>
        </w:rPr>
        <w:t>1020余</w:t>
      </w:r>
      <w:r>
        <w:rPr>
          <w:rFonts w:hint="eastAsia" w:ascii="仿宋_GB2312" w:hAnsi="仿宋_GB2312" w:eastAsia="仿宋_GB2312" w:cs="仿宋_GB2312"/>
          <w:b w:val="0"/>
          <w:bCs/>
          <w:color w:val="000000"/>
          <w:kern w:val="0"/>
          <w:sz w:val="30"/>
          <w:szCs w:val="30"/>
        </w:rPr>
        <w:t>次。</w:t>
      </w:r>
      <w:r>
        <w:rPr>
          <w:rFonts w:hint="eastAsia" w:ascii="仿宋_GB2312" w:hAnsi="仿宋_GB2312" w:eastAsia="仿宋_GB2312" w:cs="仿宋_GB2312"/>
          <w:b w:val="0"/>
          <w:bCs/>
          <w:color w:val="000000"/>
          <w:kern w:val="0"/>
          <w:sz w:val="30"/>
          <w:szCs w:val="30"/>
          <w:lang w:val="en-US" w:eastAsia="zh-CN"/>
        </w:rPr>
        <w:t>五</w:t>
      </w:r>
      <w:r>
        <w:rPr>
          <w:rFonts w:hint="eastAsia" w:ascii="仿宋_GB2312" w:hAnsi="仿宋_GB2312" w:eastAsia="仿宋_GB2312" w:cs="仿宋_GB2312"/>
          <w:b w:val="0"/>
          <w:bCs/>
          <w:color w:val="000000"/>
          <w:kern w:val="0"/>
          <w:sz w:val="30"/>
          <w:szCs w:val="30"/>
        </w:rPr>
        <w:t>是</w:t>
      </w:r>
      <w:r>
        <w:rPr>
          <w:rFonts w:hint="eastAsia" w:ascii="仿宋_GB2312" w:hAnsi="仿宋_GB2312" w:eastAsia="仿宋_GB2312" w:cs="仿宋_GB2312"/>
          <w:b w:val="0"/>
          <w:bCs/>
          <w:color w:val="000000"/>
          <w:kern w:val="0"/>
          <w:sz w:val="30"/>
          <w:szCs w:val="30"/>
          <w:lang w:eastAsia="zh-CN"/>
        </w:rPr>
        <w:t>着力优化</w:t>
      </w:r>
      <w:r>
        <w:rPr>
          <w:rFonts w:hint="eastAsia" w:ascii="仿宋_GB2312" w:hAnsi="仿宋_GB2312" w:eastAsia="仿宋_GB2312" w:cs="仿宋_GB2312"/>
          <w:b w:val="0"/>
          <w:bCs/>
          <w:color w:val="000000"/>
          <w:kern w:val="0"/>
          <w:sz w:val="30"/>
          <w:szCs w:val="30"/>
        </w:rPr>
        <w:t>网络传播质量</w:t>
      </w:r>
      <w:r>
        <w:rPr>
          <w:rFonts w:hint="eastAsia" w:ascii="仿宋_GB2312" w:hAnsi="仿宋_GB2312" w:eastAsia="仿宋_GB2312" w:cs="仿宋_GB2312"/>
          <w:b w:val="0"/>
          <w:bCs/>
          <w:color w:val="000000"/>
          <w:kern w:val="0"/>
          <w:sz w:val="30"/>
          <w:szCs w:val="30"/>
          <w:lang w:eastAsia="zh-CN"/>
        </w:rPr>
        <w:t>。</w:t>
      </w:r>
      <w:r>
        <w:rPr>
          <w:rFonts w:hint="eastAsia" w:ascii="仿宋_GB2312" w:hAnsi="仿宋_GB2312" w:eastAsia="仿宋_GB2312" w:cs="仿宋_GB2312"/>
          <w:b w:val="0"/>
          <w:bCs/>
          <w:color w:val="000000"/>
          <w:kern w:val="0"/>
          <w:sz w:val="30"/>
          <w:szCs w:val="30"/>
        </w:rPr>
        <w:t>创新网上重大主题宣传策划</w:t>
      </w:r>
      <w:r>
        <w:rPr>
          <w:rFonts w:hint="eastAsia" w:ascii="仿宋_GB2312" w:hAnsi="仿宋_GB2312" w:eastAsia="仿宋_GB2312" w:cs="仿宋_GB2312"/>
          <w:b w:val="0"/>
          <w:bCs/>
          <w:color w:val="000000"/>
          <w:kern w:val="0"/>
          <w:sz w:val="30"/>
          <w:szCs w:val="30"/>
          <w:lang w:eastAsia="zh-CN"/>
        </w:rPr>
        <w:t>，</w:t>
      </w:r>
      <w:r>
        <w:rPr>
          <w:rFonts w:hint="eastAsia" w:ascii="仿宋_GB2312" w:hAnsi="仿宋_GB2312" w:eastAsia="仿宋_GB2312" w:cs="仿宋_GB2312"/>
          <w:b w:val="0"/>
          <w:bCs/>
          <w:color w:val="000000"/>
          <w:kern w:val="0"/>
          <w:sz w:val="30"/>
          <w:szCs w:val="30"/>
        </w:rPr>
        <w:t>扎实开展国家网络安全宣传周系列活动</w:t>
      </w:r>
      <w:r>
        <w:rPr>
          <w:rFonts w:hint="eastAsia" w:ascii="仿宋_GB2312" w:hAnsi="仿宋_GB2312" w:eastAsia="仿宋_GB2312" w:cs="仿宋_GB2312"/>
          <w:b w:val="0"/>
          <w:bCs/>
          <w:color w:val="000000"/>
          <w:kern w:val="0"/>
          <w:sz w:val="30"/>
          <w:szCs w:val="30"/>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Times New Roman" w:hAnsi="Times New Roman" w:eastAsia="仿宋_GB2312"/>
          <w:color w:val="000000"/>
          <w:sz w:val="32"/>
          <w:szCs w:val="32"/>
        </w:rPr>
      </w:pPr>
      <w:r>
        <w:rPr>
          <w:rFonts w:hint="eastAsia" w:ascii="仿宋_GB2312" w:hAnsi="仿宋_GB2312" w:eastAsia="仿宋_GB2312" w:cs="仿宋_GB2312"/>
          <w:b w:val="0"/>
          <w:bCs/>
          <w:kern w:val="0"/>
          <w:sz w:val="30"/>
          <w:szCs w:val="30"/>
        </w:rPr>
        <w:t>高质量推进文化强区建设。</w:t>
      </w:r>
      <w:r>
        <w:rPr>
          <w:rFonts w:hint="eastAsia" w:ascii="仿宋_GB2312" w:hAnsi="仿宋_GB2312" w:eastAsia="仿宋_GB2312" w:cs="仿宋_GB2312"/>
          <w:b w:val="0"/>
          <w:bCs/>
          <w:sz w:val="30"/>
          <w:szCs w:val="30"/>
        </w:rPr>
        <w:t>一是积极申报文化项目。申报三国文化体验园、栖凤峡休闲园、卡尔城文化产业园等项目，三国文化体验园成功进入四川省文化产业项目库，目前正在申报进入国家库。二是强化现代公共文化服务体系</w:t>
      </w:r>
      <w:r>
        <w:rPr>
          <w:rFonts w:hint="eastAsia" w:ascii="仿宋_GB2312" w:hAnsi="仿宋_GB2312" w:eastAsia="仿宋_GB2312" w:cs="仿宋_GB2312"/>
          <w:b w:val="0"/>
          <w:bCs/>
          <w:sz w:val="30"/>
          <w:szCs w:val="30"/>
          <w:lang w:val="en-US" w:eastAsia="zh-CN"/>
        </w:rPr>
        <w:t>建设</w:t>
      </w:r>
      <w:r>
        <w:rPr>
          <w:rFonts w:hint="eastAsia" w:ascii="仿宋_GB2312" w:hAnsi="仿宋_GB2312" w:eastAsia="仿宋_GB2312" w:cs="仿宋_GB2312"/>
          <w:b w:val="0"/>
          <w:bCs/>
          <w:sz w:val="30"/>
          <w:szCs w:val="30"/>
        </w:rPr>
        <w:t>。全面完成108个村的文化阵地建设，启动余下102个非贫困村文化室和24个社区文化服务中心的阵地建设。紫云等4个乡镇综合文化站设施设备升级全面完成。三是着力精神文化产品生产。开展各类主题创作活动10余次，开展培训20余次，创作《半亩原乡》《风车》等10余部优秀文艺作品。高质量完成</w:t>
      </w:r>
      <w:r>
        <w:rPr>
          <w:rFonts w:hint="eastAsia" w:ascii="仿宋_GB2312" w:hAnsi="仿宋_GB2312" w:eastAsia="仿宋_GB2312" w:cs="仿宋_GB2312"/>
          <w:b w:val="0"/>
          <w:bCs/>
          <w:sz w:val="30"/>
          <w:szCs w:val="30"/>
          <w:highlight w:val="none"/>
          <w:lang w:eastAsia="zh-CN"/>
        </w:rPr>
        <w:t>“五个一工程”奖</w:t>
      </w:r>
      <w:r>
        <w:rPr>
          <w:rFonts w:hint="eastAsia" w:ascii="仿宋_GB2312" w:hAnsi="仿宋_GB2312" w:eastAsia="仿宋_GB2312" w:cs="仿宋_GB2312"/>
          <w:b w:val="0"/>
          <w:bCs/>
          <w:sz w:val="30"/>
          <w:szCs w:val="30"/>
        </w:rPr>
        <w:t>“巴蜀文艺奖”申报工作。四是</w:t>
      </w:r>
      <w:r>
        <w:rPr>
          <w:rFonts w:hint="eastAsia" w:ascii="仿宋_GB2312" w:hAnsi="仿宋_GB2312" w:eastAsia="仿宋_GB2312" w:cs="仿宋_GB2312"/>
          <w:b w:val="0"/>
          <w:bCs/>
          <w:sz w:val="30"/>
          <w:szCs w:val="30"/>
          <w:lang w:val="en-US" w:eastAsia="zh-CN"/>
        </w:rPr>
        <w:t>丰富开展大型文化活动。</w:t>
      </w:r>
      <w:r>
        <w:rPr>
          <w:rFonts w:hint="eastAsia" w:ascii="仿宋_GB2312" w:hAnsi="仿宋_GB2312" w:eastAsia="仿宋_GB2312" w:cs="仿宋_GB2312"/>
          <w:b w:val="0"/>
          <w:bCs/>
          <w:sz w:val="30"/>
          <w:szCs w:val="30"/>
        </w:rPr>
        <w:t>组建“川音·昭化文艺小分队”深入太公镇、清水乡、昭化镇等10余个乡镇、村社，开展“庆祝中华人民共和国成立70周年”综合性文化活动。成功举办2019年迎新春文艺晚会、昭化区“2018</w:t>
      </w:r>
      <w:r>
        <w:rPr>
          <w:rFonts w:hint="eastAsia" w:ascii="仿宋_GB2312" w:hAnsi="仿宋_GB2312" w:eastAsia="仿宋_GB2312" w:cs="仿宋_GB2312"/>
          <w:b w:val="0"/>
          <w:bCs/>
          <w:sz w:val="30"/>
          <w:szCs w:val="30"/>
          <w:highlight w:val="none"/>
          <w:lang w:eastAsia="zh-CN"/>
        </w:rPr>
        <w:t>—2019年</w:t>
      </w:r>
      <w:r>
        <w:rPr>
          <w:rFonts w:hint="eastAsia" w:ascii="仿宋_GB2312" w:hAnsi="仿宋_GB2312" w:eastAsia="仿宋_GB2312" w:cs="仿宋_GB2312"/>
          <w:b w:val="0"/>
          <w:bCs/>
          <w:sz w:val="30"/>
          <w:szCs w:val="30"/>
        </w:rPr>
        <w:t>感动昭化十大人物”颁奖典礼</w:t>
      </w:r>
      <w:r>
        <w:rPr>
          <w:rFonts w:hint="eastAsia" w:ascii="仿宋_GB2312" w:hAnsi="仿宋_GB2312" w:eastAsia="仿宋_GB2312" w:cs="仿宋_GB2312"/>
          <w:b w:val="0"/>
          <w:bCs/>
          <w:sz w:val="30"/>
          <w:szCs w:val="30"/>
          <w:lang w:eastAsia="zh-CN"/>
        </w:rPr>
        <w:t>。</w:t>
      </w:r>
    </w:p>
    <w:p>
      <w:pPr>
        <w:pStyle w:val="4"/>
        <w:pageBreakBefore w:val="0"/>
        <w:kinsoku/>
        <w:wordWrap/>
        <w:overflowPunct/>
        <w:topLinePunct w:val="0"/>
        <w:bidi w:val="0"/>
        <w:snapToGrid/>
        <w:spacing w:before="0" w:after="0" w:line="240" w:lineRule="auto"/>
        <w:ind w:left="0" w:leftChars="0" w:right="0" w:rightChars="0" w:firstLine="0" w:firstLineChars="0"/>
        <w:jc w:val="center"/>
        <w:rPr>
          <w:rStyle w:val="31"/>
          <w:b w:val="0"/>
          <w:bCs w:val="0"/>
        </w:rPr>
      </w:pPr>
      <w:bookmarkStart w:id="24" w:name="_Toc15377200"/>
      <w:bookmarkStart w:id="25" w:name="_Toc15396601"/>
      <w:bookmarkStart w:id="26" w:name="_Toc1190"/>
      <w:r>
        <w:rPr>
          <w:rFonts w:hint="eastAsia" w:ascii="黑体" w:eastAsia="黑体"/>
          <w:b w:val="0"/>
          <w:color w:val="000000"/>
        </w:rPr>
        <w:t>二、</w:t>
      </w:r>
      <w:r>
        <w:rPr>
          <w:rFonts w:hint="eastAsia" w:ascii="黑体" w:hAnsi="黑体" w:eastAsia="黑体"/>
          <w:b w:val="0"/>
          <w:color w:val="000000"/>
        </w:rPr>
        <w:t>机</w:t>
      </w:r>
      <w:r>
        <w:rPr>
          <w:rStyle w:val="31"/>
          <w:rFonts w:hint="eastAsia" w:ascii="黑体" w:hAnsi="黑体" w:eastAsia="黑体"/>
          <w:b w:val="0"/>
          <w:bCs w:val="0"/>
        </w:rPr>
        <w:t>构设置</w:t>
      </w:r>
      <w:bookmarkEnd w:id="24"/>
      <w:bookmarkEnd w:id="25"/>
      <w:bookmarkEnd w:id="26"/>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中国共产党广元市昭化区委员会宣传部下属二级单位</w:t>
      </w:r>
      <w:r>
        <w:rPr>
          <w:rFonts w:hint="eastAsia" w:ascii="仿宋_GB2312" w:hAnsi="仿宋_GB2312" w:eastAsia="仿宋_GB2312" w:cs="仿宋_GB2312"/>
          <w:b w:val="0"/>
          <w:bCs/>
          <w:sz w:val="30"/>
          <w:szCs w:val="30"/>
          <w:lang w:val="en-US" w:eastAsia="zh-CN"/>
        </w:rPr>
        <w:t>0</w:t>
      </w:r>
      <w:r>
        <w:rPr>
          <w:rFonts w:hint="eastAsia" w:ascii="仿宋_GB2312" w:hAnsi="仿宋_GB2312" w:eastAsia="仿宋_GB2312" w:cs="仿宋_GB2312"/>
          <w:b w:val="0"/>
          <w:bCs/>
          <w:sz w:val="30"/>
          <w:szCs w:val="30"/>
        </w:rPr>
        <w:t>个，其中行政单位0个，参照公务员法管理的事业单位0个，其他事业单位</w:t>
      </w:r>
      <w:r>
        <w:rPr>
          <w:rFonts w:hint="eastAsia" w:ascii="仿宋_GB2312" w:hAnsi="仿宋_GB2312" w:eastAsia="仿宋_GB2312" w:cs="仿宋_GB2312"/>
          <w:b w:val="0"/>
          <w:bCs/>
          <w:sz w:val="30"/>
          <w:szCs w:val="30"/>
          <w:lang w:val="en-US" w:eastAsia="zh-CN"/>
        </w:rPr>
        <w:t>0</w:t>
      </w:r>
      <w:r>
        <w:rPr>
          <w:rFonts w:hint="eastAsia" w:ascii="仿宋_GB2312" w:hAnsi="仿宋_GB2312" w:eastAsia="仿宋_GB2312" w:cs="仿宋_GB2312"/>
          <w:b w:val="0"/>
          <w:bCs/>
          <w:sz w:val="30"/>
          <w:szCs w:val="30"/>
        </w:rPr>
        <w:t>个。</w:t>
      </w:r>
    </w:p>
    <w:p>
      <w:pPr>
        <w:pageBreakBefore w:val="0"/>
        <w:widowControl/>
        <w:kinsoku/>
        <w:wordWrap/>
        <w:overflowPunct/>
        <w:topLinePunct w:val="0"/>
        <w:bidi w:val="0"/>
        <w:snapToGrid/>
        <w:spacing w:line="240" w:lineRule="auto"/>
        <w:ind w:left="0" w:leftChars="0" w:right="0" w:rightChars="0" w:firstLine="0" w:firstLineChars="0"/>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pageBreakBefore w:val="0"/>
        <w:kinsoku/>
        <w:wordWrap/>
        <w:overflowPunct/>
        <w:topLinePunct w:val="0"/>
        <w:bidi w:val="0"/>
        <w:snapToGrid/>
        <w:spacing w:before="0" w:after="0" w:line="240" w:lineRule="auto"/>
        <w:ind w:left="0" w:leftChars="0" w:right="0" w:rightChars="0" w:firstLine="0" w:firstLineChars="0"/>
        <w:jc w:val="center"/>
        <w:rPr>
          <w:rStyle w:val="30"/>
          <w:rFonts w:ascii="黑体" w:hAnsi="黑体" w:eastAsia="黑体"/>
          <w:b w:val="0"/>
          <w:bCs w:val="0"/>
        </w:rPr>
      </w:pPr>
      <w:bookmarkStart w:id="27" w:name="_Toc7516"/>
      <w:bookmarkStart w:id="28" w:name="_Toc15396602"/>
      <w:bookmarkStart w:id="29"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30"/>
          <w:rFonts w:hint="eastAsia" w:ascii="黑体" w:hAnsi="黑体" w:eastAsia="黑体"/>
          <w:b w:val="0"/>
          <w:bCs w:val="0"/>
        </w:rPr>
        <w:t>2019年度部门决算情况说明</w:t>
      </w:r>
      <w:bookmarkEnd w:id="27"/>
      <w:bookmarkEnd w:id="28"/>
      <w:bookmarkEnd w:id="29"/>
    </w:p>
    <w:p>
      <w:pPr>
        <w:pageBreakBefore w:val="0"/>
        <w:kinsoku/>
        <w:wordWrap/>
        <w:overflowPunct/>
        <w:topLinePunct w:val="0"/>
        <w:bidi w:val="0"/>
        <w:snapToGrid/>
        <w:spacing w:line="240" w:lineRule="auto"/>
        <w:ind w:left="0" w:leftChars="0" w:right="0" w:rightChars="0" w:firstLine="0" w:firstLineChars="0"/>
        <w:jc w:val="left"/>
      </w:pP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2" w:firstLineChars="200"/>
        <w:jc w:val="left"/>
        <w:textAlignment w:val="auto"/>
        <w:outlineLvl w:val="1"/>
        <w:rPr>
          <w:rStyle w:val="31"/>
          <w:rFonts w:hint="eastAsia" w:ascii="黑体" w:hAnsi="黑体" w:eastAsia="黑体" w:cs="黑体"/>
          <w:b/>
          <w:bCs/>
          <w:sz w:val="30"/>
          <w:szCs w:val="30"/>
        </w:rPr>
      </w:pPr>
      <w:bookmarkStart w:id="30" w:name="_Toc15377205"/>
      <w:bookmarkStart w:id="31" w:name="_Toc19906"/>
      <w:bookmarkStart w:id="32" w:name="_Toc15396603"/>
      <w:r>
        <w:rPr>
          <w:rFonts w:hint="eastAsia" w:ascii="黑体" w:hAnsi="黑体" w:eastAsia="黑体" w:cs="黑体"/>
          <w:b/>
          <w:bCs/>
          <w:color w:val="000000"/>
          <w:sz w:val="30"/>
          <w:szCs w:val="30"/>
        </w:rPr>
        <w:t>收</w:t>
      </w:r>
      <w:r>
        <w:rPr>
          <w:rStyle w:val="31"/>
          <w:rFonts w:hint="eastAsia" w:ascii="黑体" w:hAnsi="黑体" w:eastAsia="黑体" w:cs="黑体"/>
          <w:b/>
          <w:bCs/>
          <w:sz w:val="30"/>
          <w:szCs w:val="30"/>
        </w:rPr>
        <w:t>入支出决算总体情况说明</w:t>
      </w:r>
      <w:bookmarkEnd w:id="30"/>
      <w:bookmarkEnd w:id="31"/>
      <w:bookmarkEnd w:id="32"/>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2019年度收、支总计</w:t>
      </w:r>
      <w:r>
        <w:rPr>
          <w:rFonts w:hint="eastAsia" w:ascii="仿宋_GB2312" w:hAnsi="仿宋_GB2312" w:eastAsia="仿宋_GB2312" w:cs="仿宋_GB2312"/>
          <w:color w:val="000000"/>
          <w:sz w:val="30"/>
          <w:szCs w:val="30"/>
          <w:lang w:val="en-US" w:eastAsia="zh-CN"/>
        </w:rPr>
        <w:t>466.14</w:t>
      </w:r>
      <w:r>
        <w:rPr>
          <w:rFonts w:hint="eastAsia" w:ascii="仿宋_GB2312" w:hAnsi="仿宋_GB2312" w:eastAsia="仿宋_GB2312" w:cs="仿宋_GB2312"/>
          <w:color w:val="000000"/>
          <w:sz w:val="30"/>
          <w:szCs w:val="30"/>
        </w:rPr>
        <w:t>万元。与2018年相比，收、支总计各减少</w:t>
      </w:r>
      <w:r>
        <w:rPr>
          <w:rFonts w:hint="eastAsia" w:ascii="仿宋_GB2312" w:hAnsi="仿宋_GB2312" w:eastAsia="仿宋_GB2312" w:cs="仿宋_GB2312"/>
          <w:color w:val="000000"/>
          <w:sz w:val="30"/>
          <w:szCs w:val="30"/>
          <w:lang w:val="en-US" w:eastAsia="zh-CN"/>
        </w:rPr>
        <w:t>26.18</w:t>
      </w:r>
      <w:r>
        <w:rPr>
          <w:rFonts w:hint="eastAsia" w:ascii="仿宋_GB2312" w:hAnsi="仿宋_GB2312" w:eastAsia="仿宋_GB2312" w:cs="仿宋_GB2312"/>
          <w:color w:val="000000"/>
          <w:sz w:val="30"/>
          <w:szCs w:val="30"/>
        </w:rPr>
        <w:t>万元，下降</w:t>
      </w:r>
      <w:r>
        <w:rPr>
          <w:rFonts w:hint="eastAsia" w:ascii="仿宋_GB2312" w:hAnsi="仿宋_GB2312" w:eastAsia="仿宋_GB2312" w:cs="仿宋_GB2312"/>
          <w:color w:val="000000"/>
          <w:sz w:val="30"/>
          <w:szCs w:val="30"/>
          <w:lang w:val="en-US" w:eastAsia="zh-CN"/>
        </w:rPr>
        <w:t>5.32</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变动的主要原因是严把“三公”经费支出和办公费差旅费等日常支出，</w:t>
      </w:r>
      <w:r>
        <w:rPr>
          <w:rFonts w:hint="eastAsia" w:ascii="仿宋_GB2312" w:hAnsi="仿宋_GB2312" w:eastAsia="仿宋_GB2312" w:cs="仿宋_GB2312"/>
          <w:color w:val="000000"/>
          <w:sz w:val="30"/>
          <w:szCs w:val="30"/>
          <w:lang w:val="en-US" w:eastAsia="zh-CN"/>
        </w:rPr>
        <w:t>以及政务外网运营等基本支出减少</w:t>
      </w:r>
      <w:r>
        <w:rPr>
          <w:rFonts w:hint="eastAsia" w:ascii="仿宋_GB2312" w:hAnsi="仿宋_GB2312" w:eastAsia="仿宋_GB2312" w:cs="仿宋_GB2312"/>
          <w:color w:val="000000"/>
          <w:sz w:val="30"/>
          <w:szCs w:val="30"/>
          <w:lang w:eastAsia="zh-CN"/>
        </w:rPr>
        <w:t>。</w:t>
      </w: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2" w:firstLineChars="200"/>
        <w:jc w:val="left"/>
        <w:textAlignment w:val="auto"/>
        <w:outlineLvl w:val="1"/>
        <w:rPr>
          <w:rStyle w:val="31"/>
          <w:rFonts w:hint="eastAsia" w:ascii="黑体" w:hAnsi="黑体" w:eastAsia="黑体" w:cs="黑体"/>
          <w:b/>
          <w:bCs/>
          <w:sz w:val="30"/>
          <w:szCs w:val="30"/>
        </w:rPr>
      </w:pPr>
      <w:bookmarkStart w:id="33" w:name="_Toc5160"/>
      <w:bookmarkStart w:id="34" w:name="_Toc15377206"/>
      <w:bookmarkStart w:id="35" w:name="_Toc15396604"/>
      <w:r>
        <w:rPr>
          <w:rFonts w:hint="eastAsia" w:ascii="黑体" w:hAnsi="黑体" w:eastAsia="黑体" w:cs="黑体"/>
          <w:b/>
          <w:bCs/>
          <w:color w:val="000000"/>
          <w:sz w:val="30"/>
          <w:szCs w:val="30"/>
        </w:rPr>
        <w:t>收</w:t>
      </w:r>
      <w:r>
        <w:rPr>
          <w:rStyle w:val="31"/>
          <w:rFonts w:hint="eastAsia" w:ascii="黑体" w:hAnsi="黑体" w:eastAsia="黑体" w:cs="黑体"/>
          <w:b/>
          <w:bCs/>
          <w:sz w:val="30"/>
          <w:szCs w:val="30"/>
        </w:rPr>
        <w:t>入决算情况说明</w:t>
      </w:r>
      <w:bookmarkEnd w:id="33"/>
      <w:bookmarkEnd w:id="34"/>
      <w:bookmarkEnd w:id="35"/>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2019年本年收入合计</w:t>
      </w:r>
      <w:r>
        <w:rPr>
          <w:rFonts w:hint="eastAsia" w:ascii="仿宋_GB2312" w:hAnsi="仿宋_GB2312" w:eastAsia="仿宋_GB2312" w:cs="仿宋_GB2312"/>
          <w:color w:val="000000"/>
          <w:sz w:val="30"/>
          <w:szCs w:val="30"/>
          <w:lang w:val="en-US" w:eastAsia="zh-CN"/>
        </w:rPr>
        <w:t>466.14</w:t>
      </w:r>
      <w:r>
        <w:rPr>
          <w:rFonts w:hint="eastAsia" w:ascii="仿宋_GB2312" w:hAnsi="仿宋_GB2312" w:eastAsia="仿宋_GB2312" w:cs="仿宋_GB2312"/>
          <w:color w:val="000000"/>
          <w:sz w:val="30"/>
          <w:szCs w:val="30"/>
        </w:rPr>
        <w:t>万元，其中：一般公共预算财政拨款收入</w:t>
      </w:r>
      <w:r>
        <w:rPr>
          <w:rFonts w:hint="eastAsia" w:ascii="仿宋_GB2312" w:hAnsi="仿宋_GB2312" w:eastAsia="仿宋_GB2312" w:cs="仿宋_GB2312"/>
          <w:color w:val="000000"/>
          <w:sz w:val="30"/>
          <w:szCs w:val="30"/>
          <w:lang w:val="en-US" w:eastAsia="zh-CN"/>
        </w:rPr>
        <w:t>464.29</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99.6</w:t>
      </w:r>
      <w:r>
        <w:rPr>
          <w:rFonts w:hint="eastAsia" w:ascii="仿宋_GB2312" w:hAnsi="仿宋_GB2312" w:eastAsia="仿宋_GB2312" w:cs="仿宋_GB2312"/>
          <w:color w:val="000000"/>
          <w:sz w:val="30"/>
          <w:szCs w:val="30"/>
        </w:rPr>
        <w:t>%；政府性基金预算财政拨款收入1.85万元，占</w:t>
      </w:r>
      <w:r>
        <w:rPr>
          <w:rFonts w:hint="eastAsia" w:ascii="仿宋_GB2312" w:hAnsi="仿宋_GB2312" w:eastAsia="仿宋_GB2312" w:cs="仿宋_GB2312"/>
          <w:color w:val="000000"/>
          <w:sz w:val="30"/>
          <w:szCs w:val="30"/>
          <w:lang w:val="en-US" w:eastAsia="zh-CN"/>
        </w:rPr>
        <w:t>0.4</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themeColor="text1"/>
          <w:sz w:val="30"/>
          <w:szCs w:val="30"/>
        </w:rPr>
        <w:t>上级补助收入</w:t>
      </w:r>
      <w:r>
        <w:rPr>
          <w:rFonts w:hint="eastAsia" w:ascii="仿宋_GB2312" w:hAnsi="仿宋_GB2312" w:eastAsia="仿宋_GB2312" w:cs="仿宋_GB2312"/>
          <w:color w:val="000000" w:themeColor="text1"/>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%；事业收入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%；经营收入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%；附属单位上缴收入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%；其他收入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w:t>
      </w: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0" w:firstLineChars="200"/>
        <w:jc w:val="left"/>
        <w:textAlignment w:val="auto"/>
        <w:outlineLvl w:val="1"/>
        <w:rPr>
          <w:rStyle w:val="31"/>
          <w:rFonts w:hint="eastAsia" w:ascii="黑体" w:hAnsi="黑体" w:eastAsia="黑体" w:cs="黑体"/>
          <w:b w:val="0"/>
          <w:sz w:val="30"/>
          <w:szCs w:val="30"/>
        </w:rPr>
      </w:pPr>
      <w:bookmarkStart w:id="36" w:name="_Toc15377207"/>
      <w:bookmarkStart w:id="37" w:name="_Toc9375"/>
      <w:bookmarkStart w:id="38" w:name="_Toc15396605"/>
      <w:r>
        <w:rPr>
          <w:rFonts w:hint="eastAsia" w:ascii="黑体" w:hAnsi="黑体" w:eastAsia="黑体" w:cs="黑体"/>
          <w:color w:val="000000"/>
          <w:sz w:val="30"/>
          <w:szCs w:val="30"/>
        </w:rPr>
        <w:t>支</w:t>
      </w:r>
      <w:r>
        <w:rPr>
          <w:rStyle w:val="31"/>
          <w:rFonts w:hint="eastAsia" w:ascii="黑体" w:hAnsi="黑体" w:eastAsia="黑体" w:cs="黑体"/>
          <w:b w:val="0"/>
          <w:sz w:val="30"/>
          <w:szCs w:val="30"/>
        </w:rPr>
        <w:t>出决算情况说明</w:t>
      </w:r>
      <w:bookmarkEnd w:id="36"/>
      <w:bookmarkEnd w:id="37"/>
      <w:bookmarkEnd w:id="38"/>
      <w:bookmarkStart w:id="39" w:name="_Toc15377208"/>
      <w:bookmarkStart w:id="40" w:name="_Toc15396606"/>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rStyle w:val="31"/>
          <w:rFonts w:hint="eastAsia" w:ascii="黑体" w:hAnsi="黑体" w:eastAsia="黑体" w:cs="黑体"/>
          <w:b w:val="0"/>
          <w:color w:val="auto"/>
          <w:sz w:val="30"/>
          <w:szCs w:val="30"/>
        </w:rPr>
      </w:pPr>
      <w:r>
        <w:rPr>
          <w:rFonts w:hint="eastAsia" w:ascii="仿宋_GB2312" w:hAnsi="仿宋_GB2312" w:eastAsia="仿宋_GB2312" w:cs="仿宋_GB2312"/>
          <w:color w:val="auto"/>
          <w:sz w:val="30"/>
          <w:szCs w:val="30"/>
        </w:rPr>
        <w:t>2019年本年支出合计</w:t>
      </w:r>
      <w:r>
        <w:rPr>
          <w:rFonts w:hint="eastAsia" w:ascii="仿宋_GB2312" w:hAnsi="仿宋_GB2312" w:eastAsia="仿宋_GB2312" w:cs="仿宋_GB2312"/>
          <w:color w:val="auto"/>
          <w:sz w:val="30"/>
          <w:szCs w:val="30"/>
          <w:lang w:val="en-US" w:eastAsia="zh-CN"/>
        </w:rPr>
        <w:t>466.14</w:t>
      </w:r>
      <w:r>
        <w:rPr>
          <w:rFonts w:hint="eastAsia" w:ascii="仿宋_GB2312" w:hAnsi="仿宋_GB2312" w:eastAsia="仿宋_GB2312" w:cs="仿宋_GB2312"/>
          <w:color w:val="auto"/>
          <w:sz w:val="30"/>
          <w:szCs w:val="30"/>
        </w:rPr>
        <w:t>万元，其中：基本支出391.42万元，占</w:t>
      </w:r>
      <w:r>
        <w:rPr>
          <w:rFonts w:hint="eastAsia" w:ascii="仿宋_GB2312" w:hAnsi="仿宋_GB2312" w:eastAsia="仿宋_GB2312" w:cs="仿宋_GB2312"/>
          <w:color w:val="auto"/>
          <w:sz w:val="30"/>
          <w:szCs w:val="30"/>
          <w:lang w:val="en-US" w:eastAsia="zh-CN"/>
        </w:rPr>
        <w:t>83.97</w:t>
      </w:r>
      <w:r>
        <w:rPr>
          <w:rFonts w:hint="eastAsia" w:ascii="仿宋_GB2312" w:hAnsi="仿宋_GB2312" w:eastAsia="仿宋_GB2312" w:cs="仿宋_GB2312"/>
          <w:color w:val="auto"/>
          <w:sz w:val="30"/>
          <w:szCs w:val="30"/>
        </w:rPr>
        <w:t>%；项目支出</w:t>
      </w:r>
      <w:r>
        <w:rPr>
          <w:rFonts w:hint="eastAsia" w:ascii="仿宋_GB2312" w:hAnsi="仿宋_GB2312" w:eastAsia="仿宋_GB2312" w:cs="仿宋_GB2312"/>
          <w:color w:val="auto"/>
          <w:sz w:val="30"/>
          <w:szCs w:val="30"/>
          <w:lang w:val="en-US" w:eastAsia="zh-CN"/>
        </w:rPr>
        <w:t>74.72</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16.03</w:t>
      </w:r>
      <w:r>
        <w:rPr>
          <w:rFonts w:hint="eastAsia" w:ascii="仿宋_GB2312" w:hAnsi="仿宋_GB2312" w:eastAsia="仿宋_GB2312" w:cs="仿宋_GB2312"/>
          <w:color w:val="auto"/>
          <w:sz w:val="30"/>
          <w:szCs w:val="30"/>
        </w:rPr>
        <w:t>%；上缴上级支出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%；经营支出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%；对附属单位补助支出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w:t>
      </w: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0" w:firstLineChars="200"/>
        <w:jc w:val="left"/>
        <w:textAlignment w:val="auto"/>
        <w:outlineLvl w:val="1"/>
        <w:rPr>
          <w:rStyle w:val="31"/>
          <w:rFonts w:hint="eastAsia" w:ascii="仿宋_GB2312" w:hAnsi="仿宋_GB2312" w:eastAsia="仿宋_GB2312" w:cs="仿宋_GB2312"/>
          <w:b w:val="0"/>
          <w:sz w:val="30"/>
          <w:szCs w:val="30"/>
        </w:rPr>
      </w:pPr>
      <w:bookmarkStart w:id="41" w:name="_Toc18675"/>
      <w:r>
        <w:rPr>
          <w:rFonts w:hint="eastAsia" w:ascii="黑体" w:hAnsi="黑体" w:eastAsia="黑体" w:cs="黑体"/>
          <w:color w:val="000000"/>
          <w:sz w:val="30"/>
          <w:szCs w:val="30"/>
        </w:rPr>
        <w:t>财</w:t>
      </w:r>
      <w:r>
        <w:rPr>
          <w:rStyle w:val="31"/>
          <w:rFonts w:hint="eastAsia" w:ascii="黑体" w:hAnsi="黑体" w:eastAsia="黑体" w:cs="黑体"/>
          <w:b w:val="0"/>
          <w:sz w:val="30"/>
          <w:szCs w:val="30"/>
        </w:rPr>
        <w:t>政拨款收入支出决算总体情况说明</w:t>
      </w:r>
      <w:bookmarkEnd w:id="39"/>
      <w:bookmarkEnd w:id="40"/>
      <w:bookmarkEnd w:id="41"/>
      <w:bookmarkStart w:id="42" w:name="_Toc15377209"/>
      <w:bookmarkStart w:id="43" w:name="_Toc15396607"/>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31"/>
          <w:rFonts w:hint="eastAsia" w:ascii="仿宋_GB2312" w:hAnsi="仿宋_GB2312" w:eastAsia="仿宋_GB2312" w:cs="仿宋_GB2312"/>
          <w:b w:val="0"/>
          <w:sz w:val="30"/>
          <w:szCs w:val="30"/>
        </w:rPr>
      </w:pPr>
      <w:r>
        <w:rPr>
          <w:rFonts w:hint="eastAsia" w:ascii="仿宋_GB2312" w:hAnsi="仿宋_GB2312" w:eastAsia="仿宋_GB2312" w:cs="仿宋_GB2312"/>
          <w:color w:val="000000"/>
          <w:sz w:val="30"/>
          <w:szCs w:val="30"/>
        </w:rPr>
        <w:t>2019年财政拨款收、支总计</w:t>
      </w:r>
      <w:r>
        <w:rPr>
          <w:rFonts w:hint="eastAsia" w:ascii="仿宋_GB2312" w:hAnsi="仿宋_GB2312" w:eastAsia="仿宋_GB2312" w:cs="仿宋_GB2312"/>
          <w:color w:val="000000"/>
          <w:sz w:val="30"/>
          <w:szCs w:val="30"/>
          <w:lang w:val="en-US" w:eastAsia="zh-CN"/>
        </w:rPr>
        <w:t>466.14</w:t>
      </w:r>
      <w:r>
        <w:rPr>
          <w:rFonts w:hint="eastAsia" w:ascii="仿宋_GB2312" w:hAnsi="仿宋_GB2312" w:eastAsia="仿宋_GB2312" w:cs="仿宋_GB2312"/>
          <w:color w:val="000000"/>
          <w:sz w:val="30"/>
          <w:szCs w:val="30"/>
        </w:rPr>
        <w:t>万元。与2018年相比，财政拨款收、支总计各减少26.18万元，下降5.32%。</w:t>
      </w:r>
      <w:r>
        <w:rPr>
          <w:rFonts w:hint="eastAsia" w:ascii="仿宋_GB2312" w:hAnsi="仿宋_GB2312" w:eastAsia="仿宋_GB2312" w:cs="仿宋_GB2312"/>
          <w:color w:val="000000"/>
          <w:sz w:val="30"/>
          <w:szCs w:val="30"/>
          <w:lang w:eastAsia="zh-CN"/>
        </w:rPr>
        <w:t>变动的主要原因是严把“三公”经费支出和办公费差旅费等日常支出，</w:t>
      </w:r>
      <w:r>
        <w:rPr>
          <w:rFonts w:hint="eastAsia" w:ascii="仿宋_GB2312" w:hAnsi="仿宋_GB2312" w:eastAsia="仿宋_GB2312" w:cs="仿宋_GB2312"/>
          <w:color w:val="000000"/>
          <w:sz w:val="30"/>
          <w:szCs w:val="30"/>
          <w:lang w:val="en-US" w:eastAsia="zh-CN"/>
        </w:rPr>
        <w:t>以及政务外网运营等基本支出减少</w:t>
      </w:r>
      <w:r>
        <w:rPr>
          <w:rFonts w:hint="eastAsia" w:ascii="仿宋_GB2312" w:hAnsi="仿宋_GB2312" w:eastAsia="仿宋_GB2312" w:cs="仿宋_GB2312"/>
          <w:color w:val="000000"/>
          <w:sz w:val="30"/>
          <w:szCs w:val="30"/>
          <w:lang w:eastAsia="zh-CN"/>
        </w:rPr>
        <w:t>。</w:t>
      </w: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2" w:firstLineChars="200"/>
        <w:jc w:val="left"/>
        <w:textAlignment w:val="auto"/>
        <w:outlineLvl w:val="1"/>
        <w:rPr>
          <w:rStyle w:val="31"/>
          <w:rFonts w:hint="eastAsia" w:ascii="仿宋_GB2312" w:hAnsi="仿宋_GB2312" w:eastAsia="仿宋_GB2312" w:cs="仿宋_GB2312"/>
          <w:sz w:val="30"/>
          <w:szCs w:val="30"/>
        </w:rPr>
      </w:pPr>
      <w:bookmarkStart w:id="44" w:name="_Toc6338"/>
      <w:r>
        <w:rPr>
          <w:rFonts w:hint="eastAsia" w:ascii="黑体" w:hAnsi="黑体" w:eastAsia="黑体" w:cs="黑体"/>
          <w:b/>
          <w:color w:val="000000"/>
          <w:sz w:val="30"/>
          <w:szCs w:val="30"/>
        </w:rPr>
        <w:t>一</w:t>
      </w:r>
      <w:r>
        <w:rPr>
          <w:rStyle w:val="31"/>
          <w:rFonts w:hint="eastAsia" w:ascii="黑体" w:hAnsi="黑体" w:eastAsia="黑体" w:cs="黑体"/>
          <w:b w:val="0"/>
          <w:sz w:val="30"/>
          <w:szCs w:val="30"/>
        </w:rPr>
        <w:t>般公共预算财政拨款支出决算情况说明</w:t>
      </w:r>
      <w:bookmarkEnd w:id="42"/>
      <w:bookmarkEnd w:id="43"/>
      <w:bookmarkEnd w:id="44"/>
      <w:bookmarkStart w:id="45" w:name="_Toc15396608"/>
      <w:bookmarkStart w:id="46" w:name="_Toc15377214"/>
    </w:p>
    <w:p>
      <w:pPr>
        <w:keepNext w:val="0"/>
        <w:keepLines w:val="0"/>
        <w:pageBreakBefore w:val="0"/>
        <w:widowControl w:val="0"/>
        <w:kinsoku/>
        <w:wordWrap/>
        <w:overflowPunct/>
        <w:topLinePunct w:val="0"/>
        <w:bidi w:val="0"/>
        <w:snapToGrid/>
        <w:spacing w:line="240" w:lineRule="auto"/>
        <w:ind w:left="0" w:leftChars="0" w:right="0" w:rightChars="0" w:firstLine="602" w:firstLineChars="200"/>
        <w:jc w:val="left"/>
        <w:textAlignment w:val="auto"/>
        <w:outlineLvl w:val="2"/>
        <w:rPr>
          <w:rFonts w:hint="eastAsia" w:ascii="仿宋_GB2312" w:hAnsi="仿宋_GB2312" w:eastAsia="仿宋_GB2312" w:cs="仿宋_GB2312"/>
          <w:b/>
          <w:color w:val="000000"/>
          <w:sz w:val="30"/>
          <w:szCs w:val="30"/>
        </w:rPr>
      </w:pPr>
      <w:bookmarkStart w:id="47" w:name="_Toc31010"/>
      <w:bookmarkStart w:id="48" w:name="_Toc15377210"/>
      <w:r>
        <w:rPr>
          <w:rFonts w:hint="eastAsia" w:ascii="仿宋_GB2312" w:hAnsi="仿宋_GB2312" w:eastAsia="仿宋_GB2312" w:cs="仿宋_GB2312"/>
          <w:b/>
          <w:color w:val="000000"/>
          <w:sz w:val="30"/>
          <w:szCs w:val="30"/>
        </w:rPr>
        <w:t>（一）一般公共预算财政拨款支出决算总体情况</w:t>
      </w:r>
      <w:bookmarkEnd w:id="47"/>
      <w:bookmarkEnd w:id="48"/>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2019年一般公共预算财政拨款支出</w:t>
      </w:r>
      <w:r>
        <w:rPr>
          <w:rFonts w:hint="eastAsia" w:ascii="仿宋_GB2312" w:hAnsi="仿宋_GB2312" w:eastAsia="仿宋_GB2312" w:cs="仿宋_GB2312"/>
          <w:color w:val="000000"/>
          <w:sz w:val="30"/>
          <w:szCs w:val="30"/>
          <w:lang w:val="en-US" w:eastAsia="zh-CN"/>
        </w:rPr>
        <w:t>464.29</w:t>
      </w:r>
      <w:r>
        <w:rPr>
          <w:rFonts w:hint="eastAsia" w:ascii="仿宋_GB2312" w:hAnsi="仿宋_GB2312" w:eastAsia="仿宋_GB2312" w:cs="仿宋_GB2312"/>
          <w:color w:val="000000"/>
          <w:sz w:val="30"/>
          <w:szCs w:val="30"/>
        </w:rPr>
        <w:t>万元，占本年支出合计的99.60%。与2018年相比，一般公共预算财政拨款减</w:t>
      </w:r>
      <w:r>
        <w:rPr>
          <w:rFonts w:hint="eastAsia" w:ascii="仿宋_GB2312" w:hAnsi="仿宋_GB2312" w:eastAsia="仿宋_GB2312" w:cs="仿宋_GB2312"/>
          <w:color w:val="000000"/>
          <w:sz w:val="30"/>
          <w:szCs w:val="30"/>
          <w:lang w:val="en-US" w:eastAsia="zh-CN"/>
        </w:rPr>
        <w:t>28.03</w:t>
      </w:r>
      <w:r>
        <w:rPr>
          <w:rFonts w:hint="eastAsia" w:ascii="仿宋_GB2312" w:hAnsi="仿宋_GB2312" w:eastAsia="仿宋_GB2312" w:cs="仿宋_GB2312"/>
          <w:color w:val="000000"/>
          <w:sz w:val="30"/>
          <w:szCs w:val="30"/>
        </w:rPr>
        <w:t>万元，下降</w:t>
      </w:r>
      <w:r>
        <w:rPr>
          <w:rFonts w:hint="eastAsia" w:ascii="仿宋_GB2312" w:hAnsi="仿宋_GB2312" w:eastAsia="仿宋_GB2312" w:cs="仿宋_GB2312"/>
          <w:color w:val="000000"/>
          <w:sz w:val="30"/>
          <w:szCs w:val="30"/>
          <w:lang w:val="en-US" w:eastAsia="zh-CN"/>
        </w:rPr>
        <w:t>5.69</w:t>
      </w:r>
      <w:r>
        <w:rPr>
          <w:rFonts w:hint="eastAsia" w:ascii="仿宋_GB2312" w:hAnsi="仿宋_GB2312" w:eastAsia="仿宋_GB2312" w:cs="仿宋_GB2312"/>
          <w:color w:val="000000"/>
          <w:sz w:val="30"/>
          <w:szCs w:val="30"/>
        </w:rPr>
        <w:t>%。主要变动的主要原因是严把“三公”经费支出和办公费差旅费等日常支出，以及政务外网运营等基本支出减少。</w:t>
      </w:r>
    </w:p>
    <w:p>
      <w:pPr>
        <w:keepNext w:val="0"/>
        <w:keepLines w:val="0"/>
        <w:pageBreakBefore w:val="0"/>
        <w:widowControl w:val="0"/>
        <w:kinsoku/>
        <w:wordWrap/>
        <w:overflowPunct/>
        <w:topLinePunct w:val="0"/>
        <w:bidi w:val="0"/>
        <w:snapToGrid/>
        <w:spacing w:line="240" w:lineRule="auto"/>
        <w:ind w:left="0" w:leftChars="0" w:right="0" w:rightChars="0" w:firstLine="602" w:firstLineChars="200"/>
        <w:jc w:val="left"/>
        <w:textAlignment w:val="auto"/>
        <w:outlineLvl w:val="2"/>
        <w:rPr>
          <w:rFonts w:hint="eastAsia" w:ascii="仿宋_GB2312" w:hAnsi="仿宋_GB2312" w:eastAsia="仿宋_GB2312" w:cs="仿宋_GB2312"/>
          <w:b/>
          <w:color w:val="000000"/>
          <w:sz w:val="30"/>
          <w:szCs w:val="30"/>
        </w:rPr>
      </w:pPr>
      <w:bookmarkStart w:id="49" w:name="_Toc5645"/>
      <w:bookmarkStart w:id="50" w:name="_Toc15377211"/>
      <w:r>
        <w:rPr>
          <w:rFonts w:hint="eastAsia" w:ascii="仿宋_GB2312" w:hAnsi="仿宋_GB2312" w:eastAsia="仿宋_GB2312" w:cs="仿宋_GB2312"/>
          <w:b/>
          <w:color w:val="000000"/>
          <w:sz w:val="30"/>
          <w:szCs w:val="30"/>
        </w:rPr>
        <w:t>（二）一般公共预算财政拨款支出决算结构情况</w:t>
      </w:r>
      <w:bookmarkEnd w:id="49"/>
      <w:bookmarkEnd w:id="50"/>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val="0"/>
          <w:color w:val="000000" w:themeColor="text1"/>
          <w:sz w:val="30"/>
          <w:szCs w:val="30"/>
        </w:rPr>
      </w:pPr>
      <w:r>
        <w:rPr>
          <w:rFonts w:hint="eastAsia" w:ascii="仿宋_GB2312" w:hAnsi="仿宋_GB2312" w:eastAsia="仿宋_GB2312" w:cs="仿宋_GB2312"/>
          <w:b w:val="0"/>
          <w:bCs w:val="0"/>
          <w:color w:val="000000"/>
          <w:sz w:val="30"/>
          <w:szCs w:val="30"/>
        </w:rPr>
        <w:t>2019年一般公共预算财</w:t>
      </w:r>
      <w:r>
        <w:rPr>
          <w:rFonts w:hint="eastAsia" w:ascii="仿宋_GB2312" w:hAnsi="仿宋_GB2312" w:eastAsia="仿宋_GB2312" w:cs="仿宋_GB2312"/>
          <w:b w:val="0"/>
          <w:bCs w:val="0"/>
          <w:color w:val="000000" w:themeColor="text1"/>
          <w:sz w:val="30"/>
          <w:szCs w:val="30"/>
        </w:rPr>
        <w:t>政拨款支出</w:t>
      </w:r>
      <w:r>
        <w:rPr>
          <w:rFonts w:hint="eastAsia" w:ascii="仿宋_GB2312" w:hAnsi="仿宋_GB2312" w:eastAsia="仿宋_GB2312" w:cs="仿宋_GB2312"/>
          <w:b w:val="0"/>
          <w:bCs w:val="0"/>
          <w:color w:val="000000"/>
          <w:sz w:val="30"/>
          <w:szCs w:val="30"/>
          <w:lang w:val="en-US" w:eastAsia="zh-CN"/>
        </w:rPr>
        <w:t>464.29</w:t>
      </w:r>
      <w:r>
        <w:rPr>
          <w:rFonts w:hint="eastAsia" w:ascii="仿宋_GB2312" w:hAnsi="仿宋_GB2312" w:eastAsia="仿宋_GB2312" w:cs="仿宋_GB2312"/>
          <w:b w:val="0"/>
          <w:bCs w:val="0"/>
          <w:color w:val="000000" w:themeColor="text1"/>
          <w:sz w:val="30"/>
          <w:szCs w:val="30"/>
        </w:rPr>
        <w:t>万元，主要用于以下方面:一般公共服务（类）支出338.02万元，占72.80%；文化旅游体育与传媒（类）支出72.87万元，占15.69%；社会保障和就业（类）支出25.61万元，占5.52%；卫生健康支出10.70 万元，占2.30%；住房保障支出17.09万元，占3.68%。</w:t>
      </w:r>
    </w:p>
    <w:p>
      <w:pPr>
        <w:keepNext w:val="0"/>
        <w:keepLines w:val="0"/>
        <w:pageBreakBefore w:val="0"/>
        <w:widowControl w:val="0"/>
        <w:kinsoku/>
        <w:wordWrap/>
        <w:overflowPunct/>
        <w:topLinePunct w:val="0"/>
        <w:bidi w:val="0"/>
        <w:snapToGrid/>
        <w:spacing w:line="240" w:lineRule="auto"/>
        <w:ind w:left="0" w:leftChars="0" w:right="0" w:rightChars="0" w:firstLine="602" w:firstLineChars="200"/>
        <w:jc w:val="left"/>
        <w:textAlignment w:val="auto"/>
        <w:outlineLvl w:val="2"/>
        <w:rPr>
          <w:rFonts w:hint="eastAsia" w:ascii="仿宋_GB2312" w:hAnsi="仿宋_GB2312" w:eastAsia="仿宋_GB2312" w:cs="仿宋_GB2312"/>
          <w:b/>
          <w:color w:val="000000"/>
          <w:sz w:val="30"/>
          <w:szCs w:val="30"/>
        </w:rPr>
      </w:pPr>
      <w:bookmarkStart w:id="51" w:name="_Toc15377212"/>
      <w:bookmarkStart w:id="52" w:name="_Toc15581"/>
      <w:r>
        <w:rPr>
          <w:rFonts w:hint="eastAsia" w:ascii="仿宋_GB2312" w:hAnsi="仿宋_GB2312" w:eastAsia="仿宋_GB2312" w:cs="仿宋_GB2312"/>
          <w:b/>
          <w:color w:val="000000"/>
          <w:sz w:val="30"/>
          <w:szCs w:val="30"/>
        </w:rPr>
        <w:t>（三）一般公共预算财政拨款支出决算具体情况</w:t>
      </w:r>
      <w:bookmarkEnd w:id="51"/>
      <w:bookmarkEnd w:id="52"/>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FF0000"/>
          <w:sz w:val="30"/>
          <w:szCs w:val="30"/>
        </w:rPr>
      </w:pPr>
      <w:bookmarkStart w:id="53" w:name="_Toc15377444"/>
      <w:bookmarkStart w:id="54" w:name="_Toc15378460"/>
      <w:bookmarkStart w:id="55" w:name="_Toc15377213"/>
      <w:r>
        <w:rPr>
          <w:rFonts w:hint="eastAsia" w:ascii="仿宋_GB2312" w:hAnsi="仿宋_GB2312" w:eastAsia="仿宋_GB2312" w:cs="仿宋_GB2312"/>
          <w:b w:val="0"/>
          <w:bCs/>
          <w:color w:val="000000" w:themeColor="text1"/>
          <w:sz w:val="30"/>
          <w:szCs w:val="30"/>
        </w:rPr>
        <w:t>2019年般公共预算支出决算数为</w:t>
      </w:r>
      <w:r>
        <w:rPr>
          <w:rFonts w:hint="eastAsia" w:ascii="仿宋_GB2312" w:hAnsi="仿宋_GB2312" w:eastAsia="仿宋_GB2312" w:cs="仿宋_GB2312"/>
          <w:b w:val="0"/>
          <w:bCs/>
          <w:color w:val="000000"/>
          <w:sz w:val="30"/>
          <w:szCs w:val="30"/>
          <w:lang w:val="en-US" w:eastAsia="zh-CN"/>
        </w:rPr>
        <w:t>464.29</w:t>
      </w:r>
      <w:r>
        <w:rPr>
          <w:rFonts w:hint="eastAsia" w:ascii="仿宋_GB2312" w:hAnsi="仿宋_GB2312" w:eastAsia="仿宋_GB2312" w:cs="仿宋_GB2312"/>
          <w:b w:val="0"/>
          <w:bCs/>
          <w:color w:val="000000" w:themeColor="text1"/>
          <w:sz w:val="30"/>
          <w:szCs w:val="30"/>
        </w:rPr>
        <w:t>，</w:t>
      </w:r>
      <w:r>
        <w:rPr>
          <w:rStyle w:val="19"/>
          <w:rFonts w:hint="eastAsia" w:ascii="仿宋_GB2312" w:hAnsi="仿宋_GB2312" w:eastAsia="仿宋_GB2312" w:cs="仿宋_GB2312"/>
          <w:b w:val="0"/>
          <w:bCs/>
          <w:color w:val="000000" w:themeColor="text1"/>
          <w:sz w:val="30"/>
          <w:szCs w:val="30"/>
        </w:rPr>
        <w:t>完成</w:t>
      </w:r>
      <w:r>
        <w:rPr>
          <w:rStyle w:val="19"/>
          <w:rFonts w:hint="eastAsia" w:ascii="仿宋_GB2312" w:hAnsi="仿宋_GB2312" w:eastAsia="仿宋_GB2312" w:cs="仿宋_GB2312"/>
          <w:b w:val="0"/>
          <w:bCs/>
          <w:color w:val="000000"/>
          <w:sz w:val="30"/>
          <w:szCs w:val="30"/>
        </w:rPr>
        <w:t>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%。其中：</w:t>
      </w:r>
      <w:bookmarkEnd w:id="53"/>
      <w:bookmarkEnd w:id="54"/>
      <w:bookmarkEnd w:id="55"/>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color w:val="000000"/>
          <w:sz w:val="30"/>
          <w:szCs w:val="30"/>
        </w:rPr>
      </w:pPr>
      <w:r>
        <w:rPr>
          <w:rStyle w:val="19"/>
          <w:rFonts w:hint="eastAsia" w:ascii="仿宋_GB2312" w:hAnsi="仿宋_GB2312" w:eastAsia="仿宋_GB2312" w:cs="仿宋_GB2312"/>
          <w:b w:val="0"/>
          <w:bCs/>
          <w:color w:val="000000"/>
          <w:sz w:val="30"/>
          <w:szCs w:val="30"/>
        </w:rPr>
        <w:t>1.一般公共服务（类）宣传事务（款）行政运行（项）: 支出决算为</w:t>
      </w:r>
      <w:r>
        <w:rPr>
          <w:rFonts w:hint="eastAsia" w:ascii="仿宋_GB2312" w:hAnsi="仿宋_GB2312" w:eastAsia="仿宋_GB2312" w:cs="仿宋_GB2312"/>
          <w:b w:val="0"/>
          <w:bCs/>
          <w:color w:val="000000" w:themeColor="text1"/>
          <w:sz w:val="30"/>
          <w:szCs w:val="30"/>
        </w:rPr>
        <w:t>338.02</w:t>
      </w:r>
      <w:r>
        <w:rPr>
          <w:rStyle w:val="19"/>
          <w:rFonts w:hint="eastAsia" w:ascii="仿宋_GB2312" w:hAnsi="仿宋_GB2312" w:eastAsia="仿宋_GB2312" w:cs="仿宋_GB2312"/>
          <w:b w:val="0"/>
          <w:bCs/>
          <w:color w:val="000000"/>
          <w:sz w:val="30"/>
          <w:szCs w:val="30"/>
        </w:rPr>
        <w:t>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19"/>
          <w:rFonts w:hint="eastAsia" w:ascii="仿宋_GB2312" w:hAnsi="仿宋_GB2312" w:eastAsia="仿宋_GB2312" w:cs="仿宋_GB2312"/>
          <w:b w:val="0"/>
          <w:bCs/>
          <w:color w:val="000000"/>
          <w:sz w:val="30"/>
          <w:szCs w:val="30"/>
        </w:rPr>
      </w:pPr>
      <w:r>
        <w:rPr>
          <w:rStyle w:val="19"/>
          <w:rFonts w:hint="eastAsia" w:ascii="仿宋_GB2312" w:hAnsi="仿宋_GB2312" w:eastAsia="仿宋_GB2312" w:cs="仿宋_GB2312"/>
          <w:b w:val="0"/>
          <w:bCs/>
          <w:color w:val="000000"/>
          <w:sz w:val="30"/>
          <w:szCs w:val="30"/>
        </w:rPr>
        <w:t>2.文化旅游体育与传媒（类）新闻出版电影（款）电影（项）: 支出决算为45.87万元，完成预算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19"/>
          <w:rFonts w:hint="eastAsia" w:ascii="仿宋_GB2312" w:hAnsi="仿宋_GB2312" w:eastAsia="仿宋_GB2312" w:cs="仿宋_GB2312"/>
          <w:b w:val="0"/>
          <w:bCs/>
          <w:color w:val="000000"/>
          <w:sz w:val="30"/>
          <w:szCs w:val="30"/>
        </w:rPr>
      </w:pPr>
      <w:r>
        <w:rPr>
          <w:rStyle w:val="19"/>
          <w:rFonts w:hint="eastAsia" w:ascii="仿宋_GB2312" w:hAnsi="仿宋_GB2312" w:eastAsia="仿宋_GB2312" w:cs="仿宋_GB2312"/>
          <w:b w:val="0"/>
          <w:bCs/>
          <w:color w:val="000000"/>
          <w:sz w:val="30"/>
          <w:szCs w:val="30"/>
          <w:lang w:val="en-US" w:eastAsia="zh-CN"/>
        </w:rPr>
        <w:t>3</w:t>
      </w:r>
      <w:r>
        <w:rPr>
          <w:rStyle w:val="19"/>
          <w:rFonts w:hint="eastAsia" w:ascii="仿宋_GB2312" w:hAnsi="仿宋_GB2312" w:eastAsia="仿宋_GB2312" w:cs="仿宋_GB2312"/>
          <w:b w:val="0"/>
          <w:bCs/>
          <w:color w:val="000000"/>
          <w:sz w:val="30"/>
          <w:szCs w:val="30"/>
        </w:rPr>
        <w:t>.文化旅游体育与传媒（类）新闻出版电影（款）其他新闻出版电影支出（项）: 支出决算为</w:t>
      </w:r>
      <w:r>
        <w:rPr>
          <w:rStyle w:val="19"/>
          <w:rFonts w:hint="eastAsia" w:ascii="仿宋_GB2312" w:hAnsi="仿宋_GB2312" w:eastAsia="仿宋_GB2312" w:cs="仿宋_GB2312"/>
          <w:b w:val="0"/>
          <w:bCs/>
          <w:color w:val="000000"/>
          <w:sz w:val="30"/>
          <w:szCs w:val="30"/>
          <w:lang w:val="en-US" w:eastAsia="zh-CN"/>
        </w:rPr>
        <w:t>5</w:t>
      </w:r>
      <w:r>
        <w:rPr>
          <w:rStyle w:val="19"/>
          <w:rFonts w:hint="eastAsia" w:ascii="仿宋_GB2312" w:hAnsi="仿宋_GB2312" w:eastAsia="仿宋_GB2312" w:cs="仿宋_GB2312"/>
          <w:b w:val="0"/>
          <w:bCs/>
          <w:color w:val="000000"/>
          <w:sz w:val="30"/>
          <w:szCs w:val="30"/>
        </w:rPr>
        <w:t>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19"/>
          <w:rFonts w:hint="eastAsia" w:ascii="仿宋_GB2312" w:hAnsi="仿宋_GB2312" w:eastAsia="仿宋_GB2312" w:cs="仿宋_GB2312"/>
          <w:b w:val="0"/>
          <w:bCs/>
          <w:color w:val="000000"/>
          <w:sz w:val="30"/>
          <w:szCs w:val="30"/>
        </w:rPr>
      </w:pPr>
      <w:r>
        <w:rPr>
          <w:rStyle w:val="19"/>
          <w:rFonts w:hint="eastAsia" w:ascii="仿宋_GB2312" w:hAnsi="仿宋_GB2312" w:eastAsia="仿宋_GB2312" w:cs="仿宋_GB2312"/>
          <w:b w:val="0"/>
          <w:bCs/>
          <w:color w:val="000000"/>
          <w:sz w:val="30"/>
          <w:szCs w:val="30"/>
          <w:lang w:val="en-US" w:eastAsia="zh-CN"/>
        </w:rPr>
        <w:t>4.</w:t>
      </w:r>
      <w:r>
        <w:rPr>
          <w:rStyle w:val="19"/>
          <w:rFonts w:hint="eastAsia" w:ascii="仿宋_GB2312" w:hAnsi="仿宋_GB2312" w:eastAsia="仿宋_GB2312" w:cs="仿宋_GB2312"/>
          <w:b w:val="0"/>
          <w:bCs/>
          <w:color w:val="000000"/>
          <w:sz w:val="30"/>
          <w:szCs w:val="30"/>
        </w:rPr>
        <w:t>文化旅游体育与传媒（类）其他文化体育与传媒支出（款）宣传文化发展专项支出（项）:支出决算为</w:t>
      </w:r>
      <w:r>
        <w:rPr>
          <w:rStyle w:val="19"/>
          <w:rFonts w:hint="eastAsia" w:ascii="仿宋_GB2312" w:hAnsi="仿宋_GB2312" w:eastAsia="仿宋_GB2312" w:cs="仿宋_GB2312"/>
          <w:b w:val="0"/>
          <w:bCs/>
          <w:color w:val="000000"/>
          <w:sz w:val="30"/>
          <w:szCs w:val="30"/>
          <w:lang w:val="en-US" w:eastAsia="zh-CN"/>
        </w:rPr>
        <w:t>18</w:t>
      </w:r>
      <w:r>
        <w:rPr>
          <w:rStyle w:val="19"/>
          <w:rFonts w:hint="eastAsia" w:ascii="仿宋_GB2312" w:hAnsi="仿宋_GB2312" w:eastAsia="仿宋_GB2312" w:cs="仿宋_GB2312"/>
          <w:b w:val="0"/>
          <w:bCs/>
          <w:color w:val="000000"/>
          <w:sz w:val="30"/>
          <w:szCs w:val="30"/>
        </w:rPr>
        <w:t>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19"/>
          <w:rFonts w:hint="eastAsia" w:ascii="仿宋_GB2312" w:hAnsi="仿宋_GB2312" w:eastAsia="仿宋_GB2312" w:cs="仿宋_GB2312"/>
          <w:b w:val="0"/>
          <w:bCs/>
          <w:color w:val="000000"/>
          <w:sz w:val="30"/>
          <w:szCs w:val="30"/>
        </w:rPr>
      </w:pPr>
      <w:r>
        <w:rPr>
          <w:rStyle w:val="19"/>
          <w:rFonts w:hint="eastAsia" w:ascii="仿宋_GB2312" w:hAnsi="仿宋_GB2312" w:eastAsia="仿宋_GB2312" w:cs="仿宋_GB2312"/>
          <w:b w:val="0"/>
          <w:bCs/>
          <w:color w:val="000000"/>
          <w:sz w:val="30"/>
          <w:szCs w:val="30"/>
          <w:lang w:val="en-US" w:eastAsia="zh-CN"/>
        </w:rPr>
        <w:t>5.</w:t>
      </w:r>
      <w:r>
        <w:rPr>
          <w:rStyle w:val="19"/>
          <w:rFonts w:hint="eastAsia" w:ascii="仿宋_GB2312" w:hAnsi="仿宋_GB2312" w:eastAsia="仿宋_GB2312" w:cs="仿宋_GB2312"/>
          <w:b w:val="0"/>
          <w:bCs/>
          <w:color w:val="000000"/>
          <w:sz w:val="30"/>
          <w:szCs w:val="30"/>
        </w:rPr>
        <w:t>文化旅游体育与传媒（类）其他文化体育与传媒支出（款）其他文化体育与传媒支出（项）:支出决算为</w:t>
      </w:r>
      <w:r>
        <w:rPr>
          <w:rStyle w:val="19"/>
          <w:rFonts w:hint="eastAsia" w:ascii="仿宋_GB2312" w:hAnsi="仿宋_GB2312" w:eastAsia="仿宋_GB2312" w:cs="仿宋_GB2312"/>
          <w:b w:val="0"/>
          <w:bCs/>
          <w:color w:val="000000"/>
          <w:sz w:val="30"/>
          <w:szCs w:val="30"/>
          <w:lang w:val="en-US" w:eastAsia="zh-CN"/>
        </w:rPr>
        <w:t>4</w:t>
      </w:r>
      <w:r>
        <w:rPr>
          <w:rStyle w:val="19"/>
          <w:rFonts w:hint="eastAsia" w:ascii="仿宋_GB2312" w:hAnsi="仿宋_GB2312" w:eastAsia="仿宋_GB2312" w:cs="仿宋_GB2312"/>
          <w:b w:val="0"/>
          <w:bCs/>
          <w:color w:val="000000"/>
          <w:sz w:val="30"/>
          <w:szCs w:val="30"/>
        </w:rPr>
        <w:t>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19"/>
          <w:rFonts w:hint="eastAsia" w:ascii="仿宋_GB2312" w:hAnsi="仿宋_GB2312" w:eastAsia="仿宋_GB2312" w:cs="仿宋_GB2312"/>
          <w:b w:val="0"/>
          <w:bCs/>
          <w:color w:val="000000"/>
          <w:sz w:val="30"/>
          <w:szCs w:val="30"/>
        </w:rPr>
      </w:pPr>
      <w:r>
        <w:rPr>
          <w:rStyle w:val="19"/>
          <w:rFonts w:hint="eastAsia" w:ascii="仿宋_GB2312" w:hAnsi="仿宋_GB2312" w:eastAsia="仿宋_GB2312" w:cs="仿宋_GB2312"/>
          <w:b w:val="0"/>
          <w:bCs/>
          <w:color w:val="000000"/>
          <w:sz w:val="30"/>
          <w:szCs w:val="30"/>
          <w:lang w:val="en-US" w:eastAsia="zh-CN"/>
        </w:rPr>
        <w:t>5</w:t>
      </w:r>
      <w:r>
        <w:rPr>
          <w:rStyle w:val="19"/>
          <w:rFonts w:hint="eastAsia" w:ascii="仿宋_GB2312" w:hAnsi="仿宋_GB2312" w:eastAsia="仿宋_GB2312" w:cs="仿宋_GB2312"/>
          <w:b w:val="0"/>
          <w:bCs/>
          <w:color w:val="000000"/>
          <w:sz w:val="30"/>
          <w:szCs w:val="30"/>
        </w:rPr>
        <w:t>.社会保障和就业（类）行政事业单位离退休（款）归口管理的行政单位离退休（项）: 支出决算为</w:t>
      </w:r>
      <w:r>
        <w:rPr>
          <w:rStyle w:val="19"/>
          <w:rFonts w:hint="eastAsia" w:ascii="仿宋_GB2312" w:hAnsi="仿宋_GB2312" w:eastAsia="仿宋_GB2312" w:cs="仿宋_GB2312"/>
          <w:b w:val="0"/>
          <w:bCs/>
          <w:color w:val="000000"/>
          <w:sz w:val="30"/>
          <w:szCs w:val="30"/>
          <w:lang w:val="en-US" w:eastAsia="zh-CN"/>
        </w:rPr>
        <w:t>1.4</w:t>
      </w:r>
      <w:r>
        <w:rPr>
          <w:rStyle w:val="19"/>
          <w:rFonts w:hint="eastAsia" w:ascii="仿宋_GB2312" w:hAnsi="仿宋_GB2312" w:eastAsia="仿宋_GB2312" w:cs="仿宋_GB2312"/>
          <w:b w:val="0"/>
          <w:bCs/>
          <w:color w:val="000000"/>
          <w:sz w:val="30"/>
          <w:szCs w:val="30"/>
        </w:rPr>
        <w:t>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19"/>
          <w:rFonts w:hint="eastAsia" w:ascii="仿宋_GB2312" w:hAnsi="仿宋_GB2312" w:eastAsia="仿宋_GB2312" w:cs="仿宋_GB2312"/>
          <w:b w:val="0"/>
          <w:bCs/>
          <w:color w:val="000000"/>
          <w:sz w:val="30"/>
          <w:szCs w:val="30"/>
        </w:rPr>
      </w:pPr>
      <w:r>
        <w:rPr>
          <w:rStyle w:val="19"/>
          <w:rFonts w:hint="eastAsia" w:ascii="仿宋_GB2312" w:hAnsi="仿宋_GB2312" w:eastAsia="仿宋_GB2312" w:cs="仿宋_GB2312"/>
          <w:b w:val="0"/>
          <w:bCs/>
          <w:color w:val="000000"/>
          <w:sz w:val="30"/>
          <w:szCs w:val="30"/>
          <w:lang w:val="en-US" w:eastAsia="zh-CN"/>
        </w:rPr>
        <w:t>6</w:t>
      </w:r>
      <w:r>
        <w:rPr>
          <w:rStyle w:val="19"/>
          <w:rFonts w:hint="eastAsia" w:ascii="仿宋_GB2312" w:hAnsi="仿宋_GB2312" w:eastAsia="仿宋_GB2312" w:cs="仿宋_GB2312"/>
          <w:b w:val="0"/>
          <w:bCs/>
          <w:color w:val="000000"/>
          <w:sz w:val="30"/>
          <w:szCs w:val="30"/>
        </w:rPr>
        <w:t>.社会保障和就业（类）行政事业单位离退休（款）机关事业单位基本养老保险缴费支出（项）:支出决算为</w:t>
      </w:r>
      <w:r>
        <w:rPr>
          <w:rStyle w:val="19"/>
          <w:rFonts w:hint="eastAsia" w:ascii="仿宋_GB2312" w:hAnsi="仿宋_GB2312" w:eastAsia="仿宋_GB2312" w:cs="仿宋_GB2312"/>
          <w:b w:val="0"/>
          <w:bCs/>
          <w:color w:val="000000"/>
          <w:sz w:val="30"/>
          <w:szCs w:val="30"/>
          <w:lang w:val="en-US" w:eastAsia="zh-CN"/>
        </w:rPr>
        <w:t>23.78</w:t>
      </w:r>
      <w:r>
        <w:rPr>
          <w:rStyle w:val="19"/>
          <w:rFonts w:hint="eastAsia" w:ascii="仿宋_GB2312" w:hAnsi="仿宋_GB2312" w:eastAsia="仿宋_GB2312" w:cs="仿宋_GB2312"/>
          <w:b w:val="0"/>
          <w:bCs/>
          <w:color w:val="000000"/>
          <w:sz w:val="30"/>
          <w:szCs w:val="30"/>
        </w:rPr>
        <w:t>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19"/>
          <w:rFonts w:hint="eastAsia" w:ascii="仿宋_GB2312" w:hAnsi="仿宋_GB2312" w:eastAsia="仿宋_GB2312" w:cs="仿宋_GB2312"/>
          <w:b w:val="0"/>
          <w:bCs/>
          <w:color w:val="000000"/>
          <w:sz w:val="30"/>
          <w:szCs w:val="30"/>
        </w:rPr>
      </w:pPr>
      <w:r>
        <w:rPr>
          <w:rStyle w:val="19"/>
          <w:rFonts w:hint="eastAsia" w:ascii="仿宋_GB2312" w:hAnsi="仿宋_GB2312" w:eastAsia="仿宋_GB2312" w:cs="仿宋_GB2312"/>
          <w:b w:val="0"/>
          <w:bCs/>
          <w:color w:val="000000"/>
          <w:sz w:val="30"/>
          <w:szCs w:val="30"/>
          <w:lang w:val="en-US" w:eastAsia="zh-CN"/>
        </w:rPr>
        <w:t>7</w:t>
      </w:r>
      <w:r>
        <w:rPr>
          <w:rStyle w:val="19"/>
          <w:rFonts w:hint="eastAsia" w:ascii="仿宋_GB2312" w:hAnsi="仿宋_GB2312" w:eastAsia="仿宋_GB2312" w:cs="仿宋_GB2312"/>
          <w:b w:val="0"/>
          <w:bCs/>
          <w:color w:val="000000"/>
          <w:sz w:val="30"/>
          <w:szCs w:val="30"/>
        </w:rPr>
        <w:t>.社会保障和就业（类）行政事业单位离退休（款）机关事业单位职业年金缴费支出（项）:支出决算为</w:t>
      </w:r>
      <w:r>
        <w:rPr>
          <w:rStyle w:val="19"/>
          <w:rFonts w:hint="eastAsia" w:ascii="仿宋_GB2312" w:hAnsi="仿宋_GB2312" w:eastAsia="仿宋_GB2312" w:cs="仿宋_GB2312"/>
          <w:b w:val="0"/>
          <w:bCs/>
          <w:color w:val="000000"/>
          <w:sz w:val="30"/>
          <w:szCs w:val="30"/>
          <w:lang w:val="en-US" w:eastAsia="zh-CN"/>
        </w:rPr>
        <w:t>0.43</w:t>
      </w:r>
      <w:r>
        <w:rPr>
          <w:rStyle w:val="19"/>
          <w:rFonts w:hint="eastAsia" w:ascii="仿宋_GB2312" w:hAnsi="仿宋_GB2312" w:eastAsia="仿宋_GB2312" w:cs="仿宋_GB2312"/>
          <w:b w:val="0"/>
          <w:bCs/>
          <w:color w:val="000000"/>
          <w:sz w:val="30"/>
          <w:szCs w:val="30"/>
        </w:rPr>
        <w:t>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19"/>
          <w:rFonts w:hint="eastAsia" w:ascii="仿宋_GB2312" w:hAnsi="仿宋_GB2312" w:eastAsia="仿宋_GB2312" w:cs="仿宋_GB2312"/>
          <w:b w:val="0"/>
          <w:bCs/>
          <w:color w:val="000000"/>
          <w:sz w:val="30"/>
          <w:szCs w:val="30"/>
        </w:rPr>
      </w:pPr>
      <w:r>
        <w:rPr>
          <w:rStyle w:val="19"/>
          <w:rFonts w:hint="eastAsia" w:ascii="仿宋_GB2312" w:hAnsi="仿宋_GB2312" w:eastAsia="仿宋_GB2312" w:cs="仿宋_GB2312"/>
          <w:b w:val="0"/>
          <w:bCs/>
          <w:color w:val="000000"/>
          <w:sz w:val="30"/>
          <w:szCs w:val="30"/>
          <w:lang w:val="en-US" w:eastAsia="zh-CN"/>
        </w:rPr>
        <w:t>8</w:t>
      </w:r>
      <w:r>
        <w:rPr>
          <w:rStyle w:val="19"/>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color w:val="000000" w:themeColor="text1"/>
          <w:sz w:val="30"/>
          <w:szCs w:val="30"/>
        </w:rPr>
        <w:t>卫生健康</w:t>
      </w:r>
      <w:r>
        <w:rPr>
          <w:rStyle w:val="19"/>
          <w:rFonts w:hint="eastAsia" w:ascii="仿宋_GB2312" w:hAnsi="仿宋_GB2312" w:eastAsia="仿宋_GB2312" w:cs="仿宋_GB2312"/>
          <w:b w:val="0"/>
          <w:bCs/>
          <w:color w:val="000000"/>
          <w:sz w:val="30"/>
          <w:szCs w:val="30"/>
        </w:rPr>
        <w:t>（类）行政事业单位医疗（款）行政单位医疗（项）:支出决算为</w:t>
      </w:r>
      <w:r>
        <w:rPr>
          <w:rStyle w:val="19"/>
          <w:rFonts w:hint="eastAsia" w:ascii="仿宋_GB2312" w:hAnsi="仿宋_GB2312" w:eastAsia="仿宋_GB2312" w:cs="仿宋_GB2312"/>
          <w:b w:val="0"/>
          <w:bCs/>
          <w:color w:val="000000"/>
          <w:sz w:val="30"/>
          <w:szCs w:val="30"/>
          <w:lang w:val="en-US" w:eastAsia="zh-CN"/>
        </w:rPr>
        <w:t>10.7</w:t>
      </w:r>
      <w:r>
        <w:rPr>
          <w:rStyle w:val="19"/>
          <w:rFonts w:hint="eastAsia" w:ascii="仿宋_GB2312" w:hAnsi="仿宋_GB2312" w:eastAsia="仿宋_GB2312" w:cs="仿宋_GB2312"/>
          <w:b w:val="0"/>
          <w:bCs/>
          <w:color w:val="000000"/>
          <w:sz w:val="30"/>
          <w:szCs w:val="30"/>
        </w:rPr>
        <w:t>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31"/>
          <w:rFonts w:hint="eastAsia" w:ascii="仿宋_GB2312" w:hAnsi="仿宋_GB2312" w:eastAsia="仿宋_GB2312" w:cs="仿宋_GB2312"/>
          <w:sz w:val="30"/>
          <w:szCs w:val="30"/>
        </w:rPr>
      </w:pPr>
      <w:r>
        <w:rPr>
          <w:rStyle w:val="19"/>
          <w:rFonts w:hint="eastAsia" w:ascii="仿宋_GB2312" w:hAnsi="仿宋_GB2312" w:eastAsia="仿宋_GB2312" w:cs="仿宋_GB2312"/>
          <w:b w:val="0"/>
          <w:bCs/>
          <w:color w:val="000000"/>
          <w:sz w:val="30"/>
          <w:szCs w:val="30"/>
          <w:lang w:val="en-US" w:eastAsia="zh-CN"/>
        </w:rPr>
        <w:t>9</w:t>
      </w:r>
      <w:r>
        <w:rPr>
          <w:rStyle w:val="19"/>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color w:val="000000" w:themeColor="text1"/>
          <w:sz w:val="30"/>
          <w:szCs w:val="30"/>
        </w:rPr>
        <w:t>住房保障</w:t>
      </w:r>
      <w:r>
        <w:rPr>
          <w:rStyle w:val="19"/>
          <w:rFonts w:hint="eastAsia" w:ascii="仿宋_GB2312" w:hAnsi="仿宋_GB2312" w:eastAsia="仿宋_GB2312" w:cs="仿宋_GB2312"/>
          <w:b w:val="0"/>
          <w:bCs/>
          <w:color w:val="000000"/>
          <w:sz w:val="30"/>
          <w:szCs w:val="30"/>
        </w:rPr>
        <w:t>（类）住房改革（款）住房公积金（项）:支出决算为</w:t>
      </w:r>
      <w:r>
        <w:rPr>
          <w:rStyle w:val="19"/>
          <w:rFonts w:hint="eastAsia" w:ascii="仿宋_GB2312" w:hAnsi="仿宋_GB2312" w:eastAsia="仿宋_GB2312" w:cs="仿宋_GB2312"/>
          <w:b w:val="0"/>
          <w:bCs/>
          <w:color w:val="000000"/>
          <w:sz w:val="30"/>
          <w:szCs w:val="30"/>
          <w:lang w:val="en-US" w:eastAsia="zh-CN"/>
        </w:rPr>
        <w:t>17.09</w:t>
      </w:r>
      <w:r>
        <w:rPr>
          <w:rStyle w:val="19"/>
          <w:rFonts w:hint="eastAsia" w:ascii="仿宋_GB2312" w:hAnsi="仿宋_GB2312" w:eastAsia="仿宋_GB2312" w:cs="仿宋_GB2312"/>
          <w:b w:val="0"/>
          <w:bCs/>
          <w:color w:val="000000"/>
          <w:sz w:val="30"/>
          <w:szCs w:val="30"/>
        </w:rPr>
        <w:t>万元，完成预算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2" w:firstLineChars="200"/>
        <w:jc w:val="left"/>
        <w:textAlignment w:val="auto"/>
        <w:outlineLvl w:val="1"/>
        <w:rPr>
          <w:rStyle w:val="31"/>
          <w:rFonts w:hint="eastAsia" w:ascii="黑体" w:hAnsi="黑体" w:eastAsia="黑体" w:cs="黑体"/>
          <w:b w:val="0"/>
          <w:sz w:val="30"/>
          <w:szCs w:val="30"/>
        </w:rPr>
      </w:pPr>
      <w:bookmarkStart w:id="56" w:name="_Toc26790"/>
      <w:r>
        <w:rPr>
          <w:rFonts w:hint="eastAsia" w:ascii="黑体" w:hAnsi="黑体" w:eastAsia="黑体" w:cs="黑体"/>
          <w:b/>
          <w:color w:val="000000"/>
          <w:sz w:val="30"/>
          <w:szCs w:val="30"/>
        </w:rPr>
        <w:t>一</w:t>
      </w:r>
      <w:r>
        <w:rPr>
          <w:rStyle w:val="31"/>
          <w:rFonts w:hint="eastAsia" w:ascii="黑体" w:hAnsi="黑体" w:eastAsia="黑体" w:cs="黑体"/>
          <w:b w:val="0"/>
          <w:sz w:val="30"/>
          <w:szCs w:val="30"/>
        </w:rPr>
        <w:t>般公共预算财政拨款基本支出决算情况说明</w:t>
      </w:r>
      <w:bookmarkEnd w:id="45"/>
      <w:bookmarkEnd w:id="46"/>
      <w:bookmarkEnd w:id="56"/>
      <w:r>
        <w:rPr>
          <w:rStyle w:val="31"/>
          <w:rFonts w:hint="eastAsia" w:ascii="仿宋_GB2312" w:hAnsi="仿宋_GB2312" w:eastAsia="仿宋_GB2312" w:cs="仿宋_GB2312"/>
          <w:b w:val="0"/>
          <w:sz w:val="30"/>
          <w:szCs w:val="30"/>
        </w:rPr>
        <w:tab/>
      </w:r>
      <w:bookmarkStart w:id="57" w:name="_Toc15396609"/>
      <w:bookmarkStart w:id="58" w:name="_Toc15377215"/>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2019年一般公共预算财政拨款基本支出464.29万元，其中：</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人员经费195.97万元，主要包括：基本工资77.61</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、津贴补贴31.28</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、奖金3.79</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、绩效工资29.47</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、机关事业单位基本养老保险缴费23.78</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、职业年金缴费0.43</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、职工基本医疗保险缴费1</w:t>
      </w:r>
      <w:bookmarkStart w:id="118" w:name="_GoBack"/>
      <w:bookmarkEnd w:id="118"/>
      <w:r>
        <w:rPr>
          <w:rFonts w:hint="eastAsia" w:ascii="仿宋_GB2312" w:hAnsi="仿宋_GB2312" w:eastAsia="仿宋_GB2312" w:cs="仿宋_GB2312"/>
          <w:color w:val="auto"/>
          <w:sz w:val="30"/>
          <w:szCs w:val="30"/>
        </w:rPr>
        <w:t>0.70</w:t>
      </w:r>
      <w:r>
        <w:rPr>
          <w:rFonts w:hint="eastAsia" w:ascii="仿宋_GB2312" w:hAnsi="仿宋_GB2312" w:eastAsia="仿宋_GB2312" w:cs="仿宋_GB2312"/>
          <w:color w:val="auto"/>
          <w:sz w:val="30"/>
          <w:szCs w:val="30"/>
          <w:lang w:val="en-US" w:eastAsia="zh-CN"/>
        </w:rPr>
        <w:t>万元、住房公积金17.09万元、</w:t>
      </w:r>
      <w:r>
        <w:rPr>
          <w:rFonts w:hint="eastAsia" w:ascii="仿宋_GB2312" w:hAnsi="仿宋_GB2312" w:eastAsia="仿宋_GB2312" w:cs="仿宋_GB2312"/>
          <w:color w:val="auto"/>
          <w:sz w:val="30"/>
          <w:szCs w:val="30"/>
        </w:rPr>
        <w:t>生活补助1.82</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等。</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31"/>
          <w:rFonts w:hint="eastAsia" w:ascii="黑体" w:hAnsi="黑体" w:eastAsia="黑体" w:cs="黑体"/>
          <w:b w:val="0"/>
          <w:color w:val="auto"/>
          <w:sz w:val="30"/>
          <w:szCs w:val="30"/>
        </w:rPr>
      </w:pPr>
      <w:r>
        <w:rPr>
          <w:rFonts w:hint="eastAsia" w:ascii="仿宋_GB2312" w:hAnsi="仿宋_GB2312" w:eastAsia="仿宋_GB2312" w:cs="仿宋_GB2312"/>
          <w:color w:val="auto"/>
          <w:sz w:val="30"/>
          <w:szCs w:val="30"/>
        </w:rPr>
        <w:t>日常公用经费195.45万元，主要包括：办公费57.35</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、印刷费21.00</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、咨询费2.90</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、邮电费4.56、差旅费36.41</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、维修（护）费7.78</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、租赁费1.50</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、会议费2.93</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、培训费2.10</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、公务接待费8.63</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、劳务费3.00</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、委托业务费46.00</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其他交通费1.29</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等。</w:t>
      </w: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2" w:firstLineChars="200"/>
        <w:jc w:val="left"/>
        <w:textAlignment w:val="auto"/>
        <w:outlineLvl w:val="1"/>
        <w:rPr>
          <w:rStyle w:val="31"/>
          <w:rFonts w:hint="eastAsia" w:ascii="黑体" w:hAnsi="黑体" w:eastAsia="黑体" w:cs="黑体"/>
          <w:b w:val="0"/>
          <w:bCs/>
          <w:sz w:val="30"/>
          <w:szCs w:val="30"/>
        </w:rPr>
      </w:pPr>
      <w:bookmarkStart w:id="59" w:name="_Toc31177"/>
      <w:r>
        <w:rPr>
          <w:rStyle w:val="31"/>
          <w:rFonts w:hint="eastAsia" w:ascii="黑体" w:hAnsi="黑体" w:eastAsia="黑体" w:cs="黑体"/>
          <w:sz w:val="30"/>
          <w:szCs w:val="30"/>
        </w:rPr>
        <w:t>“</w:t>
      </w:r>
      <w:r>
        <w:rPr>
          <w:rStyle w:val="31"/>
          <w:rFonts w:hint="eastAsia" w:ascii="黑体" w:hAnsi="黑体" w:eastAsia="黑体" w:cs="黑体"/>
          <w:b w:val="0"/>
          <w:sz w:val="30"/>
          <w:szCs w:val="30"/>
        </w:rPr>
        <w:t>三公”经费财政拨款支出决算情况说明</w:t>
      </w:r>
      <w:bookmarkEnd w:id="57"/>
      <w:bookmarkEnd w:id="58"/>
      <w:bookmarkEnd w:id="59"/>
      <w:bookmarkStart w:id="60" w:name="_Toc15377218"/>
      <w:bookmarkStart w:id="61" w:name="_Toc15396610"/>
    </w:p>
    <w:p>
      <w:pPr>
        <w:keepNext w:val="0"/>
        <w:keepLines w:val="0"/>
        <w:pageBreakBefore w:val="0"/>
        <w:widowControl w:val="0"/>
        <w:kinsoku/>
        <w:wordWrap/>
        <w:overflowPunct/>
        <w:topLinePunct w:val="0"/>
        <w:bidi w:val="0"/>
        <w:snapToGrid/>
        <w:spacing w:line="240" w:lineRule="auto"/>
        <w:ind w:left="0" w:leftChars="0" w:right="0" w:rightChars="0" w:firstLine="602" w:firstLineChars="200"/>
        <w:jc w:val="left"/>
        <w:textAlignment w:val="auto"/>
        <w:outlineLvl w:val="2"/>
        <w:rPr>
          <w:rFonts w:hint="eastAsia" w:ascii="仿宋_GB2312" w:hAnsi="仿宋_GB2312" w:eastAsia="仿宋_GB2312" w:cs="仿宋_GB2312"/>
          <w:b/>
          <w:color w:val="000000"/>
          <w:sz w:val="30"/>
          <w:szCs w:val="30"/>
        </w:rPr>
      </w:pPr>
      <w:bookmarkStart w:id="62" w:name="_Toc15377216"/>
      <w:bookmarkStart w:id="63" w:name="_Toc26969"/>
      <w:r>
        <w:rPr>
          <w:rFonts w:hint="eastAsia" w:ascii="仿宋_GB2312" w:hAnsi="仿宋_GB2312" w:eastAsia="仿宋_GB2312" w:cs="仿宋_GB2312"/>
          <w:b/>
          <w:color w:val="000000"/>
          <w:sz w:val="30"/>
          <w:szCs w:val="30"/>
        </w:rPr>
        <w:t>（一）“三公”经费财政拨款支出决算总体情况说明</w:t>
      </w:r>
      <w:bookmarkEnd w:id="62"/>
      <w:bookmarkEnd w:id="63"/>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2019年“三公”经费财政拨款支出决算为8.63万元，完成预算</w:t>
      </w:r>
      <w:r>
        <w:rPr>
          <w:rFonts w:hint="eastAsia" w:ascii="仿宋_GB2312" w:hAnsi="仿宋_GB2312" w:eastAsia="仿宋_GB2312" w:cs="仿宋_GB2312"/>
          <w:color w:val="000000"/>
          <w:sz w:val="30"/>
          <w:szCs w:val="30"/>
          <w:lang w:val="en-US" w:eastAsia="zh-CN"/>
        </w:rPr>
        <w:t>95.89</w:t>
      </w:r>
      <w:r>
        <w:rPr>
          <w:rFonts w:hint="eastAsia" w:ascii="仿宋_GB2312" w:hAnsi="仿宋_GB2312" w:eastAsia="仿宋_GB2312" w:cs="仿宋_GB2312"/>
          <w:color w:val="000000"/>
          <w:sz w:val="30"/>
          <w:szCs w:val="30"/>
        </w:rPr>
        <w:t>%。决算数小于预算数的主要原因是公务接待费严格控制标准、严把“三公”经费支出审批关，杜绝超预算支出现象。</w:t>
      </w:r>
    </w:p>
    <w:p>
      <w:pPr>
        <w:keepNext w:val="0"/>
        <w:keepLines w:val="0"/>
        <w:pageBreakBefore w:val="0"/>
        <w:widowControl w:val="0"/>
        <w:kinsoku/>
        <w:wordWrap/>
        <w:overflowPunct/>
        <w:topLinePunct w:val="0"/>
        <w:bidi w:val="0"/>
        <w:snapToGrid/>
        <w:spacing w:line="240" w:lineRule="auto"/>
        <w:ind w:left="0" w:leftChars="0" w:right="0" w:rightChars="0" w:firstLine="602" w:firstLineChars="200"/>
        <w:jc w:val="left"/>
        <w:textAlignment w:val="auto"/>
        <w:outlineLvl w:val="2"/>
        <w:rPr>
          <w:rFonts w:hint="eastAsia" w:ascii="仿宋_GB2312" w:hAnsi="仿宋_GB2312" w:eastAsia="仿宋_GB2312" w:cs="仿宋_GB2312"/>
          <w:b/>
          <w:color w:val="000000"/>
          <w:sz w:val="30"/>
          <w:szCs w:val="30"/>
        </w:rPr>
      </w:pPr>
      <w:bookmarkStart w:id="64" w:name="_Toc20593"/>
      <w:bookmarkStart w:id="65" w:name="_Toc15377217"/>
      <w:r>
        <w:rPr>
          <w:rFonts w:hint="eastAsia" w:ascii="仿宋_GB2312" w:hAnsi="仿宋_GB2312" w:eastAsia="仿宋_GB2312" w:cs="仿宋_GB2312"/>
          <w:b/>
          <w:color w:val="000000"/>
          <w:sz w:val="30"/>
          <w:szCs w:val="30"/>
        </w:rPr>
        <w:t>（二）“三公”经费财政拨款支出决算具体情况说明</w:t>
      </w:r>
      <w:bookmarkEnd w:id="64"/>
      <w:bookmarkEnd w:id="65"/>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2019年“三公”经费财政拨款支出决算中，因公出国（境）费支出决算</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%；公务用车购置及运行维护费支出决算</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%；公务接待费支出决算8.63万元，占</w:t>
      </w:r>
      <w:r>
        <w:rPr>
          <w:rFonts w:hint="eastAsia" w:ascii="仿宋_GB2312" w:hAnsi="仿宋_GB2312" w:eastAsia="仿宋_GB2312" w:cs="仿宋_GB2312"/>
          <w:color w:val="000000"/>
          <w:sz w:val="30"/>
          <w:szCs w:val="30"/>
          <w:lang w:val="en-US" w:eastAsia="zh-CN"/>
        </w:rPr>
        <w:t>100</w:t>
      </w:r>
      <w:r>
        <w:rPr>
          <w:rFonts w:hint="eastAsia" w:ascii="仿宋_GB2312" w:hAnsi="仿宋_GB2312" w:eastAsia="仿宋_GB2312" w:cs="仿宋_GB2312"/>
          <w:color w:val="000000"/>
          <w:sz w:val="30"/>
          <w:szCs w:val="30"/>
        </w:rPr>
        <w:t>%。具体情况如下：</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1.因公出国（境）经费支出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r>
        <w:rPr>
          <w:rStyle w:val="19"/>
          <w:rFonts w:hint="eastAsia" w:ascii="仿宋_GB2312" w:hAnsi="仿宋_GB2312" w:eastAsia="仿宋_GB2312" w:cs="仿宋_GB2312"/>
          <w:b w:val="0"/>
          <w:bCs/>
          <w:color w:val="000000"/>
          <w:sz w:val="30"/>
          <w:szCs w:val="30"/>
        </w:rPr>
        <w:t>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color w:val="000000"/>
          <w:sz w:val="30"/>
          <w:szCs w:val="30"/>
        </w:rPr>
        <w:t>2.公务用车购置及运行维护费支出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r>
        <w:rPr>
          <w:rStyle w:val="19"/>
          <w:rFonts w:hint="eastAsia" w:ascii="仿宋_GB2312" w:hAnsi="仿宋_GB2312" w:eastAsia="仿宋_GB2312" w:cs="仿宋_GB2312"/>
          <w:b w:val="0"/>
          <w:bCs/>
          <w:color w:val="000000"/>
          <w:sz w:val="30"/>
          <w:szCs w:val="30"/>
        </w:rPr>
        <w:t>完成预算</w:t>
      </w:r>
      <w:r>
        <w:rPr>
          <w:rStyle w:val="19"/>
          <w:rFonts w:hint="eastAsia" w:ascii="仿宋_GB2312" w:hAnsi="仿宋_GB2312" w:eastAsia="仿宋_GB2312" w:cs="仿宋_GB2312"/>
          <w:b w:val="0"/>
          <w:bCs/>
          <w:color w:val="000000"/>
          <w:sz w:val="30"/>
          <w:szCs w:val="30"/>
          <w:lang w:val="en-US" w:eastAsia="zh-CN"/>
        </w:rPr>
        <w:t>100</w:t>
      </w:r>
      <w:r>
        <w:rPr>
          <w:rStyle w:val="19"/>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3.公务接待费支出8.63万元，</w:t>
      </w:r>
      <w:r>
        <w:rPr>
          <w:rStyle w:val="19"/>
          <w:rFonts w:hint="eastAsia" w:ascii="仿宋_GB2312" w:hAnsi="仿宋_GB2312" w:eastAsia="仿宋_GB2312" w:cs="仿宋_GB2312"/>
          <w:b w:val="0"/>
          <w:bCs/>
          <w:color w:val="000000"/>
          <w:sz w:val="30"/>
          <w:szCs w:val="30"/>
        </w:rPr>
        <w:t>完成预算</w:t>
      </w:r>
      <w:r>
        <w:rPr>
          <w:rFonts w:hint="eastAsia" w:ascii="仿宋_GB2312" w:hAnsi="仿宋_GB2312" w:eastAsia="仿宋_GB2312" w:cs="仿宋_GB2312"/>
          <w:b w:val="0"/>
          <w:bCs/>
          <w:color w:val="000000"/>
          <w:sz w:val="30"/>
          <w:szCs w:val="30"/>
          <w:lang w:val="en-US" w:eastAsia="zh-CN"/>
        </w:rPr>
        <w:t>95.89</w:t>
      </w:r>
      <w:r>
        <w:rPr>
          <w:rStyle w:val="19"/>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color w:val="000000"/>
          <w:sz w:val="30"/>
          <w:szCs w:val="30"/>
        </w:rPr>
        <w:t>公务接待费支出决算比2018年减少</w:t>
      </w:r>
      <w:r>
        <w:rPr>
          <w:rFonts w:hint="eastAsia" w:ascii="仿宋_GB2312" w:hAnsi="仿宋_GB2312" w:eastAsia="仿宋_GB2312" w:cs="仿宋_GB2312"/>
          <w:b w:val="0"/>
          <w:bCs/>
          <w:color w:val="000000"/>
          <w:sz w:val="30"/>
          <w:szCs w:val="30"/>
          <w:lang w:val="en-US" w:eastAsia="zh-CN"/>
        </w:rPr>
        <w:t>1.97</w:t>
      </w:r>
      <w:r>
        <w:rPr>
          <w:rFonts w:hint="eastAsia" w:ascii="仿宋_GB2312" w:hAnsi="仿宋_GB2312" w:eastAsia="仿宋_GB2312" w:cs="仿宋_GB2312"/>
          <w:b w:val="0"/>
          <w:bCs/>
          <w:color w:val="000000"/>
          <w:sz w:val="30"/>
          <w:szCs w:val="30"/>
        </w:rPr>
        <w:t>万元，下降</w:t>
      </w:r>
      <w:r>
        <w:rPr>
          <w:rFonts w:hint="eastAsia" w:ascii="仿宋_GB2312" w:hAnsi="仿宋_GB2312" w:eastAsia="仿宋_GB2312" w:cs="仿宋_GB2312"/>
          <w:b w:val="0"/>
          <w:bCs/>
          <w:color w:val="000000"/>
          <w:sz w:val="30"/>
          <w:szCs w:val="30"/>
          <w:lang w:val="en-US" w:eastAsia="zh-CN"/>
        </w:rPr>
        <w:t>18.58</w:t>
      </w:r>
      <w:r>
        <w:rPr>
          <w:rFonts w:hint="eastAsia" w:ascii="仿宋_GB2312" w:hAnsi="仿宋_GB2312" w:eastAsia="仿宋_GB2312" w:cs="仿宋_GB2312"/>
          <w:b w:val="0"/>
          <w:bCs/>
          <w:color w:val="000000"/>
          <w:sz w:val="30"/>
          <w:szCs w:val="30"/>
        </w:rPr>
        <w:t>%。主要原因是严格缩减一般性公务接待,严格压减支出</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000000"/>
          <w:sz w:val="30"/>
          <w:szCs w:val="30"/>
        </w:rPr>
        <w:t>控制接待标准。其中：</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rStyle w:val="31"/>
          <w:rFonts w:hint="eastAsia" w:ascii="黑体" w:hAnsi="黑体" w:eastAsia="黑体" w:cs="黑体"/>
          <w:b w:val="0"/>
          <w:bCs/>
          <w:sz w:val="30"/>
          <w:szCs w:val="30"/>
        </w:rPr>
      </w:pPr>
      <w:r>
        <w:rPr>
          <w:rFonts w:hint="eastAsia" w:ascii="仿宋_GB2312" w:hAnsi="仿宋_GB2312" w:eastAsia="仿宋_GB2312" w:cs="仿宋_GB2312"/>
          <w:b w:val="0"/>
          <w:bCs/>
          <w:color w:val="000000"/>
          <w:sz w:val="30"/>
          <w:szCs w:val="30"/>
        </w:rPr>
        <w:t>国内公务接待支出8.63万元，主要用于中央、省、市领导调研，</w:t>
      </w:r>
      <w:r>
        <w:rPr>
          <w:rFonts w:hint="eastAsia" w:ascii="仿宋_GB2312" w:hAnsi="仿宋_GB2312" w:eastAsia="仿宋_GB2312" w:cs="仿宋_GB2312"/>
          <w:b w:val="0"/>
          <w:bCs/>
          <w:color w:val="000000"/>
          <w:sz w:val="30"/>
          <w:szCs w:val="30"/>
          <w:lang w:val="en-US" w:eastAsia="zh-CN"/>
        </w:rPr>
        <w:t>新闻记者采访和</w:t>
      </w:r>
      <w:r>
        <w:rPr>
          <w:rFonts w:hint="eastAsia" w:ascii="仿宋_GB2312" w:hAnsi="仿宋_GB2312" w:eastAsia="仿宋_GB2312" w:cs="仿宋_GB2312"/>
          <w:b w:val="0"/>
          <w:bCs/>
          <w:color w:val="000000"/>
          <w:sz w:val="30"/>
          <w:szCs w:val="30"/>
        </w:rPr>
        <w:t>上级对口部门考察</w:t>
      </w:r>
      <w:r>
        <w:rPr>
          <w:rFonts w:hint="eastAsia" w:ascii="仿宋_GB2312" w:hAnsi="仿宋_GB2312" w:eastAsia="仿宋_GB2312" w:cs="仿宋_GB2312"/>
          <w:b w:val="0"/>
          <w:bCs/>
          <w:color w:val="000000"/>
          <w:sz w:val="30"/>
          <w:szCs w:val="30"/>
          <w:lang w:eastAsia="zh-CN"/>
        </w:rPr>
        <w:t>调研产生的生活费</w:t>
      </w:r>
      <w:r>
        <w:rPr>
          <w:rFonts w:hint="eastAsia" w:ascii="仿宋_GB2312" w:hAnsi="仿宋_GB2312" w:eastAsia="仿宋_GB2312" w:cs="仿宋_GB2312"/>
          <w:b w:val="0"/>
          <w:bCs/>
          <w:color w:val="000000"/>
          <w:sz w:val="30"/>
          <w:szCs w:val="30"/>
        </w:rPr>
        <w:t>。国内公务接待</w:t>
      </w:r>
      <w:r>
        <w:rPr>
          <w:rFonts w:hint="eastAsia" w:ascii="仿宋_GB2312" w:hAnsi="仿宋_GB2312" w:eastAsia="仿宋_GB2312" w:cs="仿宋_GB2312"/>
          <w:b w:val="0"/>
          <w:bCs/>
          <w:color w:val="000000"/>
          <w:sz w:val="30"/>
          <w:szCs w:val="30"/>
          <w:lang w:val="en-US" w:eastAsia="zh-CN"/>
        </w:rPr>
        <w:t>112</w:t>
      </w:r>
      <w:r>
        <w:rPr>
          <w:rFonts w:hint="eastAsia" w:ascii="仿宋_GB2312" w:hAnsi="仿宋_GB2312" w:eastAsia="仿宋_GB2312" w:cs="仿宋_GB2312"/>
          <w:b w:val="0"/>
          <w:bCs/>
          <w:color w:val="000000"/>
          <w:sz w:val="30"/>
          <w:szCs w:val="30"/>
        </w:rPr>
        <w:t>批次，</w:t>
      </w:r>
      <w:r>
        <w:rPr>
          <w:rFonts w:hint="eastAsia" w:ascii="仿宋_GB2312" w:hAnsi="仿宋_GB2312" w:eastAsia="仿宋_GB2312" w:cs="仿宋_GB2312"/>
          <w:b w:val="0"/>
          <w:bCs/>
          <w:color w:val="000000"/>
          <w:sz w:val="30"/>
          <w:szCs w:val="30"/>
          <w:lang w:val="en-US" w:eastAsia="zh-CN"/>
        </w:rPr>
        <w:t>1587</w:t>
      </w:r>
      <w:r>
        <w:rPr>
          <w:rFonts w:hint="eastAsia" w:ascii="仿宋_GB2312" w:hAnsi="仿宋_GB2312" w:eastAsia="仿宋_GB2312" w:cs="仿宋_GB2312"/>
          <w:b w:val="0"/>
          <w:bCs/>
          <w:color w:val="000000"/>
          <w:sz w:val="30"/>
          <w:szCs w:val="30"/>
        </w:rPr>
        <w:t>人次，共计支出</w:t>
      </w:r>
      <w:r>
        <w:rPr>
          <w:rFonts w:hint="eastAsia" w:ascii="仿宋_GB2312" w:hAnsi="仿宋_GB2312" w:eastAsia="仿宋_GB2312" w:cs="仿宋_GB2312"/>
          <w:b w:val="0"/>
          <w:bCs/>
          <w:color w:val="000000"/>
          <w:sz w:val="30"/>
          <w:szCs w:val="30"/>
          <w:lang w:val="en-US" w:eastAsia="zh-CN"/>
        </w:rPr>
        <w:t>8.63</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auto"/>
          <w:sz w:val="30"/>
          <w:szCs w:val="30"/>
          <w:highlight w:val="none"/>
        </w:rPr>
        <w:t>具体内容包括：</w:t>
      </w:r>
      <w:r>
        <w:rPr>
          <w:rFonts w:hint="eastAsia" w:ascii="仿宋_GB2312" w:hAnsi="仿宋_GB2312" w:eastAsia="仿宋_GB2312" w:cs="仿宋_GB2312"/>
          <w:b w:val="0"/>
          <w:bCs/>
          <w:color w:val="auto"/>
          <w:sz w:val="30"/>
          <w:szCs w:val="30"/>
          <w:highlight w:val="none"/>
          <w:lang w:val="en-US" w:eastAsia="zh-CN"/>
        </w:rPr>
        <w:t>宣传</w:t>
      </w:r>
      <w:r>
        <w:rPr>
          <w:rFonts w:hint="eastAsia" w:ascii="仿宋_GB2312" w:hAnsi="仿宋_GB2312" w:eastAsia="仿宋_GB2312" w:cs="仿宋_GB2312"/>
          <w:b w:val="0"/>
          <w:bCs/>
          <w:color w:val="auto"/>
          <w:sz w:val="30"/>
          <w:szCs w:val="30"/>
          <w:highlight w:val="none"/>
          <w:lang w:eastAsia="zh-CN"/>
        </w:rPr>
        <w:t>工作</w:t>
      </w:r>
      <w:r>
        <w:rPr>
          <w:rFonts w:hint="eastAsia" w:ascii="仿宋_GB2312" w:hAnsi="仿宋_GB2312" w:eastAsia="仿宋_GB2312" w:cs="仿宋_GB2312"/>
          <w:b w:val="0"/>
          <w:bCs/>
          <w:color w:val="auto"/>
          <w:sz w:val="30"/>
          <w:szCs w:val="30"/>
          <w:highlight w:val="none"/>
          <w:lang w:val="en-US" w:eastAsia="zh-CN"/>
        </w:rPr>
        <w:t>5.05万元</w:t>
      </w:r>
      <w:r>
        <w:rPr>
          <w:rFonts w:hint="eastAsia" w:ascii="仿宋_GB2312" w:hAnsi="仿宋_GB2312" w:eastAsia="仿宋_GB2312" w:cs="仿宋_GB2312"/>
          <w:b w:val="0"/>
          <w:bCs/>
          <w:color w:val="auto"/>
          <w:sz w:val="30"/>
          <w:szCs w:val="30"/>
          <w:highlight w:val="none"/>
          <w:lang w:eastAsia="zh-CN"/>
        </w:rPr>
        <w:t>、</w:t>
      </w:r>
      <w:r>
        <w:rPr>
          <w:rFonts w:hint="eastAsia" w:ascii="仿宋_GB2312" w:hAnsi="仿宋_GB2312" w:eastAsia="仿宋_GB2312" w:cs="仿宋_GB2312"/>
          <w:b w:val="0"/>
          <w:bCs/>
          <w:color w:val="auto"/>
          <w:sz w:val="30"/>
          <w:szCs w:val="30"/>
          <w:highlight w:val="none"/>
          <w:lang w:val="en-US" w:eastAsia="zh-CN"/>
        </w:rPr>
        <w:t>文联作协工作2.18万元、精神文明工作1.4万元。</w:t>
      </w: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0" w:firstLineChars="200"/>
        <w:jc w:val="left"/>
        <w:textAlignment w:val="auto"/>
        <w:outlineLvl w:val="1"/>
        <w:rPr>
          <w:rStyle w:val="31"/>
          <w:rFonts w:hint="eastAsia" w:ascii="黑体" w:hAnsi="黑体" w:eastAsia="黑体" w:cs="黑体"/>
          <w:b w:val="0"/>
          <w:bCs/>
          <w:sz w:val="30"/>
          <w:szCs w:val="30"/>
        </w:rPr>
      </w:pPr>
      <w:bookmarkStart w:id="66" w:name="_Toc24000"/>
      <w:r>
        <w:rPr>
          <w:rStyle w:val="31"/>
          <w:rFonts w:hint="eastAsia" w:ascii="黑体" w:hAnsi="黑体" w:eastAsia="黑体" w:cs="黑体"/>
          <w:b w:val="0"/>
          <w:bCs/>
          <w:sz w:val="30"/>
          <w:szCs w:val="30"/>
        </w:rPr>
        <w:t>政府性基金预算支出决算情况说明</w:t>
      </w:r>
      <w:bookmarkEnd w:id="60"/>
      <w:bookmarkEnd w:id="61"/>
      <w:bookmarkEnd w:id="66"/>
      <w:bookmarkStart w:id="67" w:name="_Toc15396611"/>
      <w:bookmarkStart w:id="68" w:name="_Toc15377219"/>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2019年政府性基金预算拨款支出</w:t>
      </w:r>
      <w:r>
        <w:rPr>
          <w:rFonts w:hint="eastAsia" w:ascii="仿宋_GB2312" w:hAnsi="仿宋_GB2312" w:eastAsia="仿宋_GB2312" w:cs="仿宋_GB2312"/>
          <w:b w:val="0"/>
          <w:bCs/>
          <w:color w:val="000000"/>
          <w:sz w:val="30"/>
          <w:szCs w:val="30"/>
          <w:lang w:val="en-US" w:eastAsia="zh-CN"/>
        </w:rPr>
        <w:t>1.85</w:t>
      </w:r>
      <w:r>
        <w:rPr>
          <w:rFonts w:hint="eastAsia" w:ascii="仿宋_GB2312" w:hAnsi="仿宋_GB2312" w:eastAsia="仿宋_GB2312" w:cs="仿宋_GB2312"/>
          <w:b w:val="0"/>
          <w:bCs/>
          <w:color w:val="000000"/>
          <w:sz w:val="30"/>
          <w:szCs w:val="30"/>
        </w:rPr>
        <w:t>万元。</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Style w:val="31"/>
          <w:rFonts w:hint="eastAsia" w:ascii="黑体" w:hAnsi="黑体" w:eastAsia="黑体" w:cs="黑体"/>
          <w:b w:val="0"/>
          <w:bCs/>
          <w:sz w:val="30"/>
          <w:szCs w:val="30"/>
        </w:rPr>
      </w:pPr>
      <w:r>
        <w:rPr>
          <w:rFonts w:hint="eastAsia" w:ascii="仿宋_GB2312" w:hAnsi="仿宋_GB2312" w:eastAsia="仿宋_GB2312" w:cs="仿宋_GB2312"/>
          <w:b w:val="0"/>
          <w:bCs/>
          <w:color w:val="000000"/>
          <w:sz w:val="30"/>
          <w:szCs w:val="30"/>
          <w:lang w:val="en-US" w:eastAsia="zh-CN"/>
        </w:rPr>
        <w:t>主要是国家电影事业发展专项资金安排的支出1.85万元，其中资助国产影片放映1万元，其他国家电影事业发展专项资金支出的资助国产影片放映0.85万元。</w:t>
      </w: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0" w:firstLineChars="200"/>
        <w:jc w:val="left"/>
        <w:textAlignment w:val="auto"/>
        <w:outlineLvl w:val="1"/>
        <w:rPr>
          <w:rStyle w:val="31"/>
          <w:rFonts w:hint="eastAsia" w:ascii="黑体" w:hAnsi="黑体" w:eastAsia="黑体" w:cs="黑体"/>
          <w:sz w:val="30"/>
          <w:szCs w:val="30"/>
        </w:rPr>
      </w:pPr>
      <w:bookmarkStart w:id="69" w:name="_Toc574"/>
      <w:r>
        <w:rPr>
          <w:rStyle w:val="31"/>
          <w:rFonts w:hint="eastAsia" w:ascii="黑体" w:hAnsi="黑体" w:eastAsia="黑体" w:cs="黑体"/>
          <w:b w:val="0"/>
          <w:bCs/>
          <w:sz w:val="30"/>
          <w:szCs w:val="30"/>
        </w:rPr>
        <w:t>国有资本经营预算支出决算情况说明</w:t>
      </w:r>
      <w:bookmarkEnd w:id="67"/>
      <w:bookmarkEnd w:id="68"/>
      <w:bookmarkEnd w:id="69"/>
      <w:bookmarkStart w:id="70" w:name="_Toc15377221"/>
      <w:bookmarkStart w:id="71" w:name="_Toc15396612"/>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color w:val="000000"/>
          <w:sz w:val="30"/>
          <w:szCs w:val="30"/>
        </w:rPr>
        <w:t>2019年国有资本经营预算拨款支出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p>
    <w:p>
      <w:pPr>
        <w:pStyle w:val="29"/>
        <w:keepNext w:val="0"/>
        <w:keepLines w:val="0"/>
        <w:pageBreakBefore w:val="0"/>
        <w:widowControl w:val="0"/>
        <w:numPr>
          <w:ilvl w:val="0"/>
          <w:numId w:val="1"/>
        </w:numPr>
        <w:kinsoku/>
        <w:wordWrap/>
        <w:overflowPunct/>
        <w:topLinePunct w:val="0"/>
        <w:bidi w:val="0"/>
        <w:snapToGrid/>
        <w:spacing w:line="240" w:lineRule="auto"/>
        <w:ind w:left="0" w:leftChars="0" w:right="0" w:rightChars="0" w:firstLine="600" w:firstLineChars="200"/>
        <w:jc w:val="left"/>
        <w:textAlignment w:val="auto"/>
        <w:outlineLvl w:val="1"/>
        <w:rPr>
          <w:rStyle w:val="31"/>
          <w:rFonts w:hint="eastAsia" w:ascii="黑体" w:hAnsi="黑体" w:eastAsia="黑体" w:cs="黑体"/>
          <w:sz w:val="30"/>
          <w:szCs w:val="30"/>
        </w:rPr>
      </w:pPr>
      <w:bookmarkStart w:id="72" w:name="_Toc13044"/>
      <w:r>
        <w:rPr>
          <w:rStyle w:val="31"/>
          <w:rFonts w:hint="eastAsia" w:ascii="黑体" w:hAnsi="黑体" w:eastAsia="黑体" w:cs="黑体"/>
          <w:b w:val="0"/>
          <w:sz w:val="30"/>
          <w:szCs w:val="30"/>
        </w:rPr>
        <w:t>其他重要事项的情况说明</w:t>
      </w:r>
      <w:bookmarkEnd w:id="70"/>
      <w:bookmarkEnd w:id="71"/>
      <w:bookmarkEnd w:id="72"/>
    </w:p>
    <w:p>
      <w:pPr>
        <w:keepNext w:val="0"/>
        <w:keepLines w:val="0"/>
        <w:pageBreakBefore w:val="0"/>
        <w:widowControl w:val="0"/>
        <w:kinsoku/>
        <w:wordWrap/>
        <w:overflowPunct/>
        <w:topLinePunct w:val="0"/>
        <w:bidi w:val="0"/>
        <w:snapToGrid/>
        <w:spacing w:line="240" w:lineRule="auto"/>
        <w:ind w:left="0" w:leftChars="0" w:right="0" w:rightChars="0" w:firstLine="602" w:firstLineChars="200"/>
        <w:jc w:val="left"/>
        <w:textAlignment w:val="auto"/>
        <w:outlineLvl w:val="2"/>
        <w:rPr>
          <w:rFonts w:hint="eastAsia" w:ascii="仿宋_GB2312" w:hAnsi="仿宋_GB2312" w:eastAsia="仿宋_GB2312" w:cs="仿宋_GB2312"/>
          <w:color w:val="000000"/>
          <w:sz w:val="30"/>
          <w:szCs w:val="30"/>
        </w:rPr>
      </w:pPr>
      <w:bookmarkStart w:id="73" w:name="_Toc31726"/>
      <w:bookmarkStart w:id="74" w:name="_Toc15377222"/>
      <w:r>
        <w:rPr>
          <w:rFonts w:hint="eastAsia" w:ascii="仿宋_GB2312" w:hAnsi="仿宋_GB2312" w:eastAsia="仿宋_GB2312" w:cs="仿宋_GB2312"/>
          <w:b/>
          <w:color w:val="000000"/>
          <w:sz w:val="30"/>
          <w:szCs w:val="30"/>
        </w:rPr>
        <w:t>（一）机关运行经费支出情况</w:t>
      </w:r>
      <w:bookmarkEnd w:id="73"/>
      <w:bookmarkEnd w:id="74"/>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2019年，</w:t>
      </w:r>
      <w:r>
        <w:rPr>
          <w:rFonts w:hint="eastAsia" w:ascii="仿宋_GB2312" w:hAnsi="仿宋_GB2312" w:eastAsia="仿宋_GB2312" w:cs="仿宋_GB2312"/>
          <w:color w:val="auto"/>
          <w:sz w:val="30"/>
          <w:szCs w:val="30"/>
          <w:highlight w:val="none"/>
          <w:lang w:eastAsia="zh-CN"/>
        </w:rPr>
        <w:t>区委宣传部机关</w:t>
      </w:r>
      <w:r>
        <w:rPr>
          <w:rFonts w:hint="eastAsia" w:ascii="仿宋_GB2312" w:hAnsi="仿宋_GB2312" w:eastAsia="仿宋_GB2312" w:cs="仿宋_GB2312"/>
          <w:color w:val="000000"/>
          <w:sz w:val="30"/>
          <w:szCs w:val="30"/>
        </w:rPr>
        <w:t>运行经费支出</w:t>
      </w:r>
      <w:r>
        <w:rPr>
          <w:rFonts w:hint="eastAsia" w:ascii="仿宋_GB2312" w:hAnsi="仿宋_GB2312" w:eastAsia="仿宋_GB2312" w:cs="仿宋_GB2312"/>
          <w:color w:val="000000"/>
          <w:sz w:val="30"/>
          <w:szCs w:val="30"/>
          <w:lang w:val="en-US" w:eastAsia="zh-CN"/>
        </w:rPr>
        <w:t>195.45</w:t>
      </w:r>
      <w:r>
        <w:rPr>
          <w:rFonts w:hint="eastAsia" w:ascii="仿宋_GB2312" w:hAnsi="仿宋_GB2312" w:eastAsia="仿宋_GB2312" w:cs="仿宋_GB2312"/>
          <w:color w:val="000000"/>
          <w:sz w:val="30"/>
          <w:szCs w:val="30"/>
        </w:rPr>
        <w:t>万元，比2018年减少</w:t>
      </w:r>
      <w:r>
        <w:rPr>
          <w:rFonts w:hint="eastAsia" w:ascii="仿宋_GB2312" w:hAnsi="仿宋_GB2312" w:eastAsia="仿宋_GB2312" w:cs="仿宋_GB2312"/>
          <w:color w:val="000000"/>
          <w:sz w:val="30"/>
          <w:szCs w:val="30"/>
          <w:lang w:val="en-US" w:eastAsia="zh-CN"/>
        </w:rPr>
        <w:t>38.21</w:t>
      </w:r>
      <w:r>
        <w:rPr>
          <w:rFonts w:hint="eastAsia" w:ascii="仿宋_GB2312" w:hAnsi="仿宋_GB2312" w:eastAsia="仿宋_GB2312" w:cs="仿宋_GB2312"/>
          <w:color w:val="000000"/>
          <w:sz w:val="30"/>
          <w:szCs w:val="30"/>
        </w:rPr>
        <w:t>万元，下降</w:t>
      </w:r>
      <w:r>
        <w:rPr>
          <w:rFonts w:hint="eastAsia" w:ascii="仿宋_GB2312" w:hAnsi="仿宋_GB2312" w:eastAsia="仿宋_GB2312" w:cs="仿宋_GB2312"/>
          <w:color w:val="000000"/>
          <w:sz w:val="30"/>
          <w:szCs w:val="30"/>
          <w:lang w:val="en-US" w:eastAsia="zh-CN"/>
        </w:rPr>
        <w:t>16.35</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auto"/>
          <w:sz w:val="30"/>
          <w:szCs w:val="30"/>
          <w:highlight w:val="none"/>
        </w:rPr>
        <w:t>主要原因是</w:t>
      </w:r>
      <w:r>
        <w:rPr>
          <w:rFonts w:hint="eastAsia" w:ascii="仿宋_GB2312" w:hAnsi="仿宋_GB2312" w:eastAsia="仿宋_GB2312" w:cs="仿宋_GB2312"/>
          <w:color w:val="auto"/>
          <w:sz w:val="30"/>
          <w:szCs w:val="30"/>
          <w:highlight w:val="none"/>
          <w:lang w:eastAsia="zh-CN"/>
        </w:rPr>
        <w:t>严格单位预算管理，缩减</w:t>
      </w:r>
      <w:r>
        <w:rPr>
          <w:rFonts w:hint="eastAsia" w:ascii="仿宋_GB2312" w:hAnsi="仿宋_GB2312" w:eastAsia="仿宋_GB2312" w:cs="仿宋_GB2312"/>
          <w:color w:val="auto"/>
          <w:sz w:val="30"/>
          <w:szCs w:val="30"/>
          <w:highlight w:val="none"/>
          <w:lang w:val="en-US" w:eastAsia="zh-CN"/>
        </w:rPr>
        <w:t>一般</w:t>
      </w:r>
      <w:r>
        <w:rPr>
          <w:rFonts w:hint="eastAsia" w:ascii="仿宋_GB2312" w:hAnsi="仿宋_GB2312" w:eastAsia="仿宋_GB2312" w:cs="仿宋_GB2312"/>
          <w:color w:val="auto"/>
          <w:sz w:val="30"/>
          <w:szCs w:val="30"/>
          <w:highlight w:val="none"/>
          <w:lang w:eastAsia="zh-CN"/>
        </w:rPr>
        <w:t>支出，</w:t>
      </w:r>
      <w:r>
        <w:rPr>
          <w:rFonts w:hint="eastAsia" w:ascii="仿宋_GB2312" w:hAnsi="仿宋_GB2312" w:eastAsia="仿宋_GB2312" w:cs="仿宋_GB2312"/>
          <w:color w:val="auto"/>
          <w:sz w:val="30"/>
          <w:szCs w:val="30"/>
          <w:highlight w:val="none"/>
          <w:lang w:val="en-US" w:eastAsia="zh-CN"/>
        </w:rPr>
        <w:t>政务外网运行支出减少</w:t>
      </w:r>
      <w:r>
        <w:rPr>
          <w:rFonts w:hint="eastAsia" w:ascii="仿宋_GB2312" w:hAnsi="仿宋_GB2312" w:eastAsia="仿宋_GB2312" w:cs="仿宋_GB2312"/>
          <w:color w:val="auto"/>
          <w:sz w:val="30"/>
          <w:szCs w:val="30"/>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02" w:firstLineChars="200"/>
        <w:jc w:val="left"/>
        <w:textAlignment w:val="auto"/>
        <w:outlineLvl w:val="2"/>
        <w:rPr>
          <w:rFonts w:hint="eastAsia" w:ascii="仿宋_GB2312" w:hAnsi="仿宋_GB2312" w:eastAsia="仿宋_GB2312" w:cs="仿宋_GB2312"/>
          <w:b/>
          <w:color w:val="000000"/>
          <w:sz w:val="30"/>
          <w:szCs w:val="30"/>
        </w:rPr>
      </w:pPr>
      <w:bookmarkStart w:id="75" w:name="_Toc15377223"/>
      <w:bookmarkStart w:id="76" w:name="_Toc11935"/>
      <w:r>
        <w:rPr>
          <w:rFonts w:hint="eastAsia" w:ascii="仿宋_GB2312" w:hAnsi="仿宋_GB2312" w:eastAsia="仿宋_GB2312" w:cs="仿宋_GB2312"/>
          <w:b/>
          <w:color w:val="000000"/>
          <w:sz w:val="30"/>
          <w:szCs w:val="30"/>
        </w:rPr>
        <w:t>（二）政府采购支出情况</w:t>
      </w:r>
      <w:bookmarkEnd w:id="75"/>
      <w:bookmarkEnd w:id="76"/>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2019年，</w:t>
      </w:r>
      <w:r>
        <w:rPr>
          <w:rFonts w:hint="eastAsia" w:ascii="仿宋_GB2312" w:hAnsi="仿宋_GB2312" w:eastAsia="仿宋_GB2312" w:cs="仿宋_GB2312"/>
          <w:color w:val="auto"/>
          <w:sz w:val="30"/>
          <w:szCs w:val="30"/>
          <w:highlight w:val="none"/>
          <w:lang w:eastAsia="zh-CN"/>
        </w:rPr>
        <w:t>区委宣传部</w:t>
      </w:r>
      <w:r>
        <w:rPr>
          <w:rFonts w:hint="eastAsia" w:ascii="仿宋_GB2312" w:hAnsi="仿宋_GB2312" w:eastAsia="仿宋_GB2312" w:cs="仿宋_GB2312"/>
          <w:color w:val="000000"/>
          <w:sz w:val="30"/>
          <w:szCs w:val="30"/>
        </w:rPr>
        <w:t>政府采购支出总额</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万元，其中：政府采购货物支出</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万元、政府采购工程支出</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万元、政府采购服务支出</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highlight w:val="none"/>
          <w:lang w:eastAsia="zh-CN"/>
        </w:rPr>
        <w:t>。</w:t>
      </w:r>
      <w:r>
        <w:rPr>
          <w:rFonts w:hint="eastAsia" w:ascii="仿宋_GB2312" w:hAnsi="仿宋_GB2312" w:eastAsia="仿宋_GB2312" w:cs="仿宋_GB2312"/>
          <w:color w:val="000000"/>
          <w:sz w:val="30"/>
          <w:szCs w:val="30"/>
        </w:rPr>
        <w:t>授予中小企业合同金额</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万元，占政府采购支出总额的</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%，其中：授予小微企业合同金额</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万元，占政府采购支出总额的</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02" w:firstLineChars="200"/>
        <w:jc w:val="left"/>
        <w:textAlignment w:val="auto"/>
        <w:outlineLvl w:val="2"/>
        <w:rPr>
          <w:rFonts w:hint="eastAsia" w:ascii="仿宋_GB2312" w:hAnsi="仿宋_GB2312" w:eastAsia="仿宋_GB2312" w:cs="仿宋_GB2312"/>
          <w:b/>
          <w:color w:val="000000"/>
          <w:sz w:val="30"/>
          <w:szCs w:val="30"/>
        </w:rPr>
      </w:pPr>
      <w:bookmarkStart w:id="77" w:name="_Toc20702"/>
      <w:bookmarkStart w:id="78" w:name="_Toc15377224"/>
      <w:r>
        <w:rPr>
          <w:rFonts w:hint="eastAsia" w:ascii="仿宋_GB2312" w:hAnsi="仿宋_GB2312" w:eastAsia="仿宋_GB2312" w:cs="仿宋_GB2312"/>
          <w:b/>
          <w:color w:val="000000"/>
          <w:sz w:val="30"/>
          <w:szCs w:val="30"/>
        </w:rPr>
        <w:t>（三）国有资产占有使用情况</w:t>
      </w:r>
      <w:bookmarkEnd w:id="77"/>
      <w:bookmarkEnd w:id="78"/>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00" w:firstLineChars="200"/>
        <w:jc w:val="left"/>
        <w:textAlignment w:val="auto"/>
        <w:rPr>
          <w:rFonts w:hint="eastAsia" w:ascii="仿宋_GB2312" w:hAnsi="仿宋_GB2312" w:eastAsia="仿宋_GB2312" w:cs="仿宋_GB2312"/>
          <w:b/>
          <w:color w:val="FF0000"/>
          <w:sz w:val="30"/>
          <w:szCs w:val="30"/>
          <w:lang w:eastAsia="zh-CN"/>
        </w:rPr>
      </w:pPr>
      <w:r>
        <w:rPr>
          <w:rFonts w:hint="eastAsia" w:ascii="仿宋_GB2312" w:hAnsi="仿宋_GB2312" w:eastAsia="仿宋_GB2312" w:cs="仿宋_GB2312"/>
          <w:color w:val="000000"/>
          <w:sz w:val="30"/>
          <w:szCs w:val="30"/>
        </w:rPr>
        <w:t>截至2019年12月31日，</w:t>
      </w:r>
      <w:r>
        <w:rPr>
          <w:rFonts w:hint="eastAsia" w:ascii="仿宋_GB2312" w:hAnsi="仿宋_GB2312" w:eastAsia="仿宋_GB2312" w:cs="仿宋_GB2312"/>
          <w:color w:val="auto"/>
          <w:sz w:val="30"/>
          <w:szCs w:val="30"/>
          <w:highlight w:val="none"/>
          <w:lang w:eastAsia="zh-CN"/>
        </w:rPr>
        <w:t>区委宣传部</w:t>
      </w:r>
      <w:r>
        <w:rPr>
          <w:rFonts w:hint="eastAsia" w:ascii="仿宋_GB2312" w:hAnsi="仿宋_GB2312" w:eastAsia="仿宋_GB2312" w:cs="仿宋_GB2312"/>
          <w:color w:val="000000"/>
          <w:sz w:val="30"/>
          <w:szCs w:val="30"/>
        </w:rPr>
        <w:t>共有车辆</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辆</w:t>
      </w:r>
      <w:r>
        <w:rPr>
          <w:rFonts w:hint="eastAsia" w:ascii="仿宋_GB2312" w:hAnsi="仿宋_GB2312" w:eastAsia="仿宋_GB2312" w:cs="仿宋_GB2312"/>
          <w:color w:val="000000"/>
          <w:sz w:val="30"/>
          <w:szCs w:val="30"/>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02" w:firstLineChars="200"/>
        <w:jc w:val="left"/>
        <w:textAlignment w:val="auto"/>
        <w:outlineLvl w:val="2"/>
        <w:rPr>
          <w:rFonts w:hint="eastAsia" w:ascii="仿宋_GB2312" w:hAnsi="仿宋_GB2312" w:eastAsia="仿宋_GB2312" w:cs="仿宋_GB2312"/>
          <w:b/>
          <w:color w:val="000000"/>
          <w:sz w:val="30"/>
          <w:szCs w:val="30"/>
        </w:rPr>
      </w:pPr>
      <w:bookmarkStart w:id="79" w:name="_Toc20889"/>
      <w:r>
        <w:rPr>
          <w:rFonts w:hint="eastAsia" w:ascii="仿宋_GB2312" w:hAnsi="仿宋_GB2312" w:eastAsia="仿宋_GB2312" w:cs="仿宋_GB2312"/>
          <w:b/>
          <w:color w:val="000000"/>
          <w:sz w:val="30"/>
          <w:szCs w:val="30"/>
        </w:rPr>
        <w:t>（四）预算绩效管理情况。</w:t>
      </w:r>
      <w:bookmarkEnd w:id="79"/>
    </w:p>
    <w:p>
      <w:pPr>
        <w:keepNext w:val="0"/>
        <w:keepLines w:val="0"/>
        <w:pageBreakBefore w:val="0"/>
        <w:widowControl w:val="0"/>
        <w:numPr>
          <w:ilvl w:val="0"/>
          <w:numId w:val="0"/>
        </w:numPr>
        <w:kinsoku/>
        <w:wordWrap/>
        <w:overflowPunct/>
        <w:topLinePunct w:val="0"/>
        <w:autoSpaceDN/>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根据预算绩效管理要求，本部门（单位）在年初预算编制阶段，组织对外宣工作</w:t>
      </w:r>
      <w:r>
        <w:rPr>
          <w:rFonts w:hint="eastAsia" w:ascii="仿宋_GB2312" w:hAnsi="仿宋_GB2312" w:eastAsia="仿宋_GB2312" w:cs="仿宋_GB2312"/>
          <w:color w:val="auto"/>
          <w:sz w:val="30"/>
          <w:szCs w:val="30"/>
          <w:lang w:val="en-US" w:eastAsia="zh-CN"/>
        </w:rPr>
        <w:t>项目</w:t>
      </w:r>
      <w:r>
        <w:rPr>
          <w:rFonts w:hint="eastAsia" w:ascii="仿宋_GB2312" w:hAnsi="仿宋_GB2312" w:eastAsia="仿宋_GB2312" w:cs="仿宋_GB2312"/>
          <w:color w:val="auto"/>
          <w:sz w:val="30"/>
          <w:szCs w:val="30"/>
        </w:rPr>
        <w:t>开展了预算事前绩效评估，对</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个项目编制了绩效目标，预算执行过程中，选取</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个项目开展绩效监控，年终执行完毕后，对</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个项目开展了绩效目标完成情况自评。</w:t>
      </w:r>
    </w:p>
    <w:p>
      <w:pPr>
        <w:keepNext w:val="0"/>
        <w:keepLines w:val="0"/>
        <w:pageBreakBefore w:val="0"/>
        <w:widowControl w:val="0"/>
        <w:numPr>
          <w:ilvl w:val="0"/>
          <w:numId w:val="0"/>
        </w:numPr>
        <w:kinsoku/>
        <w:wordWrap/>
        <w:overflowPunct/>
        <w:topLinePunct w:val="0"/>
        <w:autoSpaceDN/>
        <w:bidi w:val="0"/>
        <w:snapToGrid/>
        <w:spacing w:line="240" w:lineRule="auto"/>
        <w:ind w:left="0" w:leftChars="0" w:right="0" w:rightChars="0" w:firstLine="600" w:firstLineChars="200"/>
        <w:jc w:val="left"/>
        <w:textAlignment w:val="auto"/>
        <w:outlineLvl w:val="9"/>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本部门在201</w:t>
      </w: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color w:val="auto"/>
          <w:sz w:val="30"/>
          <w:szCs w:val="30"/>
        </w:rPr>
        <w:t>年度部门决算中反映“外宣工作”</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个项目绩效目标实际完成情况。本部门</w:t>
      </w:r>
      <w:r>
        <w:rPr>
          <w:rFonts w:hint="eastAsia" w:ascii="仿宋_GB2312" w:hAnsi="仿宋_GB2312" w:eastAsia="仿宋_GB2312" w:cs="仿宋_GB2312"/>
          <w:color w:val="auto"/>
          <w:sz w:val="30"/>
          <w:szCs w:val="30"/>
          <w:lang w:val="en-US" w:eastAsia="zh-CN"/>
        </w:rPr>
        <w:t>还根据安排对2019年国家电影事业发展专项资金项目和农村公益电影放映2019年项目</w:t>
      </w:r>
      <w:r>
        <w:rPr>
          <w:rFonts w:hint="eastAsia" w:ascii="仿宋_GB2312" w:hAnsi="仿宋_GB2312" w:eastAsia="仿宋_GB2312" w:cs="仿宋_GB2312"/>
          <w:color w:val="auto"/>
          <w:sz w:val="30"/>
          <w:szCs w:val="30"/>
        </w:rPr>
        <w:t>自行组织项目绩效评价</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val="en-US" w:eastAsia="zh-CN"/>
        </w:rPr>
        <w:t>报告见附件。</w:t>
      </w:r>
    </w:p>
    <w:p>
      <w:pPr>
        <w:keepNext w:val="0"/>
        <w:keepLines w:val="0"/>
        <w:pageBreakBefore w:val="0"/>
        <w:widowControl w:val="0"/>
        <w:kinsoku/>
        <w:wordWrap/>
        <w:overflowPunct/>
        <w:topLinePunct w:val="0"/>
        <w:autoSpaceDN/>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1、部门整体绩效评价。</w:t>
      </w:r>
      <w:r>
        <w:rPr>
          <w:rFonts w:hint="eastAsia" w:ascii="仿宋_GB2312" w:hAnsi="仿宋_GB2312" w:eastAsia="仿宋_GB2312" w:cs="仿宋_GB2312"/>
          <w:color w:val="auto"/>
          <w:sz w:val="30"/>
          <w:szCs w:val="30"/>
        </w:rPr>
        <w:t>本部门按要求对201</w:t>
      </w: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color w:val="auto"/>
          <w:sz w:val="30"/>
          <w:szCs w:val="30"/>
        </w:rPr>
        <w:t>年部门整体支出开展绩效自评，从评价情况来看</w:t>
      </w:r>
      <w:r>
        <w:rPr>
          <w:rFonts w:hint="eastAsia" w:ascii="仿宋_GB2312" w:hAnsi="仿宋_GB2312" w:eastAsia="仿宋_GB2312" w:cs="仿宋_GB2312"/>
          <w:color w:val="auto"/>
          <w:sz w:val="30"/>
          <w:szCs w:val="30"/>
          <w:lang w:eastAsia="zh-CN"/>
        </w:rPr>
        <w:t>，通过各项经费的使用，保障了干部职工的基本利益，提高了干部职工的工作积极性和责任心；保障了部门各项业务工作的</w:t>
      </w:r>
      <w:r>
        <w:rPr>
          <w:rFonts w:hint="eastAsia" w:ascii="仿宋_GB2312" w:hAnsi="仿宋_GB2312" w:eastAsia="仿宋_GB2312" w:cs="仿宋_GB2312"/>
          <w:color w:val="auto"/>
          <w:sz w:val="30"/>
          <w:szCs w:val="30"/>
          <w:lang w:val="en-US" w:eastAsia="zh-CN"/>
        </w:rPr>
        <w:t>正常开展</w:t>
      </w:r>
      <w:r>
        <w:rPr>
          <w:rFonts w:hint="eastAsia" w:ascii="仿宋_GB2312" w:hAnsi="仿宋_GB2312" w:eastAsia="仿宋_GB2312" w:cs="仿宋_GB2312"/>
          <w:color w:val="auto"/>
          <w:sz w:val="30"/>
          <w:szCs w:val="30"/>
          <w:lang w:eastAsia="zh-CN"/>
        </w:rPr>
        <w:t>，实现了年初制定的目标，通过建立一系列制度，从项目决策、项目管理、项目完成和项目效果来看，都较好地达到了预期的效果。实现了年初制定的目标，从项目决策、项目管理、项目完成和项目效果来看，都较好地达到了预期的效果。</w:t>
      </w:r>
    </w:p>
    <w:p>
      <w:pPr>
        <w:keepNext w:val="0"/>
        <w:keepLines w:val="0"/>
        <w:pageBreakBefore w:val="0"/>
        <w:widowControl w:val="0"/>
        <w:kinsoku/>
        <w:wordWrap/>
        <w:overflowPunct/>
        <w:topLinePunct w:val="0"/>
        <w:autoSpaceDN/>
        <w:bidi w:val="0"/>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.外宣工作项目绩效目标完成情况。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外宣工作</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项目绩效目标完成情况综述。项目全年预算数</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万元，执行数为</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万元，完成预算的</w:t>
      </w:r>
      <w:r>
        <w:rPr>
          <w:rFonts w:hint="eastAsia" w:ascii="仿宋_GB2312" w:hAnsi="仿宋_GB2312" w:eastAsia="仿宋_GB2312" w:cs="仿宋_GB2312"/>
          <w:color w:val="auto"/>
          <w:sz w:val="30"/>
          <w:szCs w:val="30"/>
          <w:lang w:val="en-US" w:eastAsia="zh-CN"/>
        </w:rPr>
        <w:t>100</w:t>
      </w:r>
      <w:r>
        <w:rPr>
          <w:rFonts w:hint="eastAsia" w:ascii="仿宋_GB2312" w:hAnsi="仿宋_GB2312" w:eastAsia="仿宋_GB2312" w:cs="仿宋_GB2312"/>
          <w:color w:val="auto"/>
          <w:sz w:val="30"/>
          <w:szCs w:val="30"/>
        </w:rPr>
        <w:t>%。通过项</w:t>
      </w:r>
      <w:r>
        <w:rPr>
          <w:rFonts w:hint="eastAsia" w:ascii="仿宋_GB2312" w:hAnsi="仿宋_GB2312" w:eastAsia="仿宋_GB2312" w:cs="仿宋_GB2312"/>
          <w:b w:val="0"/>
          <w:bCs/>
          <w:color w:val="auto"/>
          <w:sz w:val="30"/>
          <w:szCs w:val="30"/>
        </w:rPr>
        <w:t>目实施，</w:t>
      </w:r>
      <w:r>
        <w:rPr>
          <w:rFonts w:hint="eastAsia" w:ascii="仿宋_GB2312" w:hAnsi="仿宋_GB2312" w:eastAsia="仿宋_GB2312" w:cs="仿宋_GB2312"/>
          <w:b w:val="0"/>
          <w:bCs/>
          <w:color w:val="auto"/>
          <w:sz w:val="30"/>
          <w:szCs w:val="30"/>
          <w:lang w:val="en-US" w:eastAsia="zh-CN"/>
        </w:rPr>
        <w:t>全</w:t>
      </w:r>
      <w:r>
        <w:rPr>
          <w:rFonts w:hint="eastAsia" w:ascii="仿宋_GB2312" w:hAnsi="仿宋_GB2312" w:eastAsia="仿宋_GB2312" w:cs="仿宋_GB2312"/>
          <w:b w:val="0"/>
          <w:bCs/>
          <w:color w:val="auto"/>
          <w:kern w:val="0"/>
          <w:sz w:val="30"/>
          <w:szCs w:val="30"/>
        </w:rPr>
        <w:t>方位提升昭化宣传力影响力。</w:t>
      </w:r>
      <w:r>
        <w:rPr>
          <w:rFonts w:hint="eastAsia" w:ascii="仿宋_GB2312" w:hAnsi="仿宋_GB2312" w:eastAsia="仿宋_GB2312" w:cs="仿宋_GB2312"/>
          <w:b w:val="0"/>
          <w:bCs/>
          <w:color w:val="auto"/>
          <w:sz w:val="30"/>
          <w:szCs w:val="30"/>
        </w:rPr>
        <w:t>在省级以上报刊和广电主流媒体发稿456条、网络媒体发稿1100余条。其中，《人民日报》头版以“雷厉风行久久为功，各地打好城市黑臭水体治理标志性重大战役”，《人民日报》海外版5次报道我区工作；《四川日报》发稿14条，四川电视台四川新闻发稿19条。大力开展主题宣传。召开新闻媒体季度会商会</w:t>
      </w:r>
      <w:r>
        <w:rPr>
          <w:rFonts w:hint="eastAsia" w:ascii="仿宋_GB2312" w:hAnsi="仿宋_GB2312" w:eastAsia="仿宋_GB2312" w:cs="仿宋_GB2312"/>
          <w:b w:val="0"/>
          <w:bCs/>
          <w:color w:val="auto"/>
          <w:sz w:val="30"/>
          <w:szCs w:val="30"/>
          <w:lang w:val="en-US" w:eastAsia="zh-CN"/>
        </w:rPr>
        <w:t>4</w:t>
      </w:r>
      <w:r>
        <w:rPr>
          <w:rFonts w:hint="eastAsia" w:ascii="仿宋_GB2312" w:hAnsi="仿宋_GB2312" w:eastAsia="仿宋_GB2312" w:cs="仿宋_GB2312"/>
          <w:b w:val="0"/>
          <w:bCs/>
          <w:color w:val="auto"/>
          <w:sz w:val="30"/>
          <w:szCs w:val="30"/>
        </w:rPr>
        <w:t>次，邀请中央省级主流媒体40余家</w:t>
      </w:r>
      <w:r>
        <w:rPr>
          <w:rFonts w:hint="eastAsia" w:ascii="仿宋_GB2312" w:hAnsi="仿宋_GB2312" w:eastAsia="仿宋_GB2312" w:cs="仿宋_GB2312"/>
          <w:b w:val="0"/>
          <w:bCs/>
          <w:color w:val="auto"/>
          <w:sz w:val="30"/>
          <w:szCs w:val="30"/>
          <w:lang w:val="en-US" w:eastAsia="zh-CN"/>
        </w:rPr>
        <w:t>做客昭化</w:t>
      </w:r>
      <w:r>
        <w:rPr>
          <w:rFonts w:hint="eastAsia" w:ascii="仿宋_GB2312" w:hAnsi="仿宋_GB2312" w:eastAsia="仿宋_GB2312" w:cs="仿宋_GB2312"/>
          <w:b w:val="0"/>
          <w:bCs/>
          <w:color w:val="auto"/>
          <w:sz w:val="30"/>
          <w:szCs w:val="30"/>
        </w:rPr>
        <w:t>。主动策划俄罗斯媒体四川广元昭化行、CCTV-4《城市1对1》走进昭化、央视国际频道《记住乡愁》走进昭化古城等重大外宣活动11次。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lang w:val="en-US" w:eastAsia="zh-CN"/>
        </w:rPr>
        <w:t>3、2019年国家电影事业发展专项资金项目</w:t>
      </w:r>
      <w:r>
        <w:rPr>
          <w:rFonts w:hint="eastAsia" w:ascii="仿宋_GB2312" w:hAnsi="仿宋_GB2312" w:eastAsia="仿宋_GB2312" w:cs="仿宋_GB2312"/>
          <w:b w:val="0"/>
          <w:bCs/>
          <w:color w:val="auto"/>
          <w:sz w:val="30"/>
          <w:szCs w:val="30"/>
        </w:rPr>
        <w:t>目标完成情况</w:t>
      </w:r>
      <w:r>
        <w:rPr>
          <w:rFonts w:hint="eastAsia" w:ascii="仿宋_GB2312" w:hAnsi="仿宋_GB2312" w:eastAsia="仿宋_GB2312" w:cs="仿宋_GB2312"/>
          <w:b w:val="0"/>
          <w:bCs/>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t>2019年中央、省级下达昭化区的国家电影事业发展专项资金共计1.85万元，专项用于广元市昭化区太平洋影业有限公司国产影片放映成绩突出影院奖励。通过项目的实施推动了广元市昭化区电影事业可持续发展、有力促进了地方文化产业。提升了企业的服务质量，</w:t>
      </w:r>
      <w:r>
        <w:rPr>
          <w:rFonts w:hint="eastAsia" w:ascii="仿宋_GB2312" w:hAnsi="仿宋_GB2312" w:eastAsia="仿宋_GB2312" w:cs="仿宋_GB2312"/>
          <w:b w:val="0"/>
          <w:bCs/>
          <w:color w:val="auto"/>
          <w:sz w:val="30"/>
          <w:szCs w:val="30"/>
          <w:highlight w:val="none"/>
          <w:lang w:eastAsia="zh-CN"/>
        </w:rPr>
        <w:t>极大地丰富</w:t>
      </w:r>
      <w:r>
        <w:rPr>
          <w:rFonts w:hint="eastAsia" w:ascii="仿宋_GB2312" w:hAnsi="仿宋_GB2312" w:eastAsia="仿宋_GB2312" w:cs="仿宋_GB2312"/>
          <w:b w:val="0"/>
          <w:bCs/>
          <w:color w:val="auto"/>
          <w:sz w:val="30"/>
          <w:szCs w:val="30"/>
        </w:rPr>
        <w:t>了昭化城区城居民群众文化生活。</w:t>
      </w:r>
      <w:r>
        <w:rPr>
          <w:rFonts w:hint="eastAsia" w:ascii="仿宋_GB2312" w:hAnsi="仿宋_GB2312" w:eastAsia="仿宋_GB2312" w:cs="仿宋_GB2312"/>
          <w:b w:val="0"/>
          <w:bCs/>
          <w:color w:val="auto"/>
          <w:sz w:val="30"/>
          <w:szCs w:val="30"/>
          <w:lang w:val="en-US" w:eastAsia="zh-CN"/>
        </w:rPr>
        <w:t>该影院</w:t>
      </w:r>
      <w:r>
        <w:rPr>
          <w:rFonts w:hint="eastAsia" w:ascii="仿宋_GB2312" w:hAnsi="仿宋_GB2312" w:eastAsia="仿宋_GB2312" w:cs="仿宋_GB2312"/>
          <w:b w:val="0"/>
          <w:bCs/>
          <w:color w:val="auto"/>
          <w:sz w:val="30"/>
          <w:szCs w:val="30"/>
        </w:rPr>
        <w:t>2018年全年实际放映365天</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放映国产影片票房收入占票房总收入的80.8%。影院全年放映国产影片率68%</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票房总收入52.3万元，国产影片票房收入增长37.2%，国产影片观影人次增长率46.50%，国产影片观影场次增长率17.70%，观众对影院的满意度95%，观众对影院举报投诉率1%，均完成绩效目标。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lang w:val="en-US" w:eastAsia="zh-CN"/>
        </w:rPr>
        <w:t>4、</w:t>
      </w:r>
      <w:r>
        <w:rPr>
          <w:rFonts w:hint="eastAsia" w:ascii="仿宋_GB2312" w:hAnsi="仿宋_GB2312" w:eastAsia="仿宋_GB2312" w:cs="仿宋_GB2312"/>
          <w:b w:val="0"/>
          <w:bCs/>
          <w:color w:val="auto"/>
          <w:sz w:val="30"/>
          <w:szCs w:val="30"/>
        </w:rPr>
        <w:t>昭化区农村公益电影</w:t>
      </w:r>
      <w:r>
        <w:rPr>
          <w:rFonts w:hint="eastAsia" w:ascii="仿宋_GB2312" w:hAnsi="仿宋_GB2312" w:eastAsia="仿宋_GB2312" w:cs="仿宋_GB2312"/>
          <w:b w:val="0"/>
          <w:bCs/>
          <w:color w:val="auto"/>
          <w:sz w:val="30"/>
          <w:szCs w:val="30"/>
          <w:lang w:val="en-US" w:eastAsia="zh-CN"/>
        </w:rPr>
        <w:t>放映项目</w:t>
      </w:r>
      <w:r>
        <w:rPr>
          <w:rFonts w:hint="eastAsia" w:ascii="仿宋_GB2312" w:hAnsi="仿宋_GB2312" w:eastAsia="仿宋_GB2312" w:cs="仿宋_GB2312"/>
          <w:b w:val="0"/>
          <w:bCs/>
          <w:color w:val="auto"/>
          <w:sz w:val="30"/>
          <w:szCs w:val="30"/>
        </w:rPr>
        <w:t>2019年度目标完成情况</w:t>
      </w:r>
      <w:r>
        <w:rPr>
          <w:rFonts w:hint="eastAsia" w:ascii="仿宋_GB2312" w:hAnsi="仿宋_GB2312" w:eastAsia="仿宋_GB2312" w:cs="仿宋_GB2312"/>
          <w:b w:val="0"/>
          <w:bCs/>
          <w:color w:val="auto"/>
          <w:sz w:val="30"/>
          <w:szCs w:val="30"/>
          <w:lang w:val="en-US" w:eastAsia="zh-CN"/>
        </w:rPr>
        <w:t>。</w:t>
      </w:r>
      <w:r>
        <w:rPr>
          <w:rFonts w:hint="eastAsia" w:ascii="仿宋_GB2312" w:hAnsi="仿宋_GB2312" w:eastAsia="仿宋_GB2312" w:cs="仿宋_GB2312"/>
          <w:b w:val="0"/>
          <w:bCs/>
          <w:color w:val="auto"/>
          <w:sz w:val="30"/>
          <w:szCs w:val="30"/>
        </w:rPr>
        <w:t>中、省、市、区四级资金均按时足额到位50.41万元，到位率100%。项目资金由区财政安排到区委宣传部，再由区委宣传部拨专到全市统一确定的放映单位：广元市凤凰院线，资金使用率100%。该项目实施过程中，由区委宣传部对每一场放映质量进行技术监管核实，项目资金使用坚持专款专用，无挤占挪用现象，拨付采取财政直接支付，资金拨付提请了区政府常务会审定同意，资金管理安全。2019年昭化区在210个行政村放映农村公益电影有效场次2712场，完成全年放映任务的108%，农村观影群众50815人次，放映质量好，社会效益明显增强，极大地丰富了农村留守群众的文化生活，特别是孝老爱亲、科技推广、爱国主义教育等题材非常受欢迎。我区</w:t>
      </w:r>
      <w:r>
        <w:rPr>
          <w:rFonts w:hint="eastAsia" w:ascii="仿宋_GB2312" w:hAnsi="仿宋_GB2312" w:eastAsia="仿宋_GB2312" w:cs="仿宋_GB2312"/>
          <w:b w:val="0"/>
          <w:bCs/>
          <w:color w:val="auto"/>
          <w:sz w:val="30"/>
          <w:szCs w:val="30"/>
          <w:lang w:val="en-US" w:eastAsia="zh-CN"/>
        </w:rPr>
        <w:t>还</w:t>
      </w:r>
      <w:r>
        <w:rPr>
          <w:rFonts w:hint="eastAsia" w:ascii="仿宋_GB2312" w:hAnsi="仿宋_GB2312" w:eastAsia="仿宋_GB2312" w:cs="仿宋_GB2312"/>
          <w:b w:val="0"/>
          <w:bCs/>
          <w:color w:val="auto"/>
          <w:sz w:val="30"/>
          <w:szCs w:val="30"/>
        </w:rPr>
        <w:t>与区知客协会联动，将农村公益电影与农村红事结合，在农村红白事期间播放农村公益电影，可增加观影人数，增加社会效益，确保农村公益电影持续影响力不断加强。</w:t>
      </w:r>
    </w:p>
    <w:p>
      <w:pPr>
        <w:pStyle w:val="6"/>
        <w:rPr>
          <w:rFonts w:hint="default"/>
          <w:lang w:val="en-US" w:eastAsia="zh-CN"/>
        </w:rPr>
      </w:pPr>
    </w:p>
    <w:p>
      <w:pPr>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br w:type="page"/>
      </w:r>
    </w:p>
    <w:p>
      <w:pPr>
        <w:pageBreakBefore w:val="0"/>
        <w:numPr>
          <w:ilvl w:val="0"/>
          <w:numId w:val="2"/>
        </w:numPr>
        <w:kinsoku/>
        <w:wordWrap/>
        <w:overflowPunct/>
        <w:topLinePunct w:val="0"/>
        <w:bidi w:val="0"/>
        <w:snapToGrid/>
        <w:spacing w:line="240" w:lineRule="auto"/>
        <w:ind w:left="0" w:leftChars="0" w:right="0" w:rightChars="0" w:firstLine="0" w:firstLineChars="0"/>
        <w:jc w:val="left"/>
        <w:outlineLvl w:val="0"/>
        <w:rPr>
          <w:rStyle w:val="30"/>
          <w:rFonts w:ascii="黑体" w:hAnsi="黑体" w:eastAsia="黑体"/>
          <w:b w:val="0"/>
        </w:rPr>
      </w:pPr>
      <w:bookmarkStart w:id="80" w:name="_Toc15396613"/>
      <w:bookmarkStart w:id="81" w:name="_Toc15377225"/>
      <w:bookmarkStart w:id="82" w:name="_Toc5553"/>
      <w:r>
        <w:rPr>
          <w:rFonts w:hint="eastAsia" w:ascii="黑体" w:hAnsi="黑体" w:eastAsia="黑体"/>
          <w:color w:val="000000"/>
          <w:sz w:val="44"/>
          <w:szCs w:val="44"/>
        </w:rPr>
        <w:t>名</w:t>
      </w:r>
      <w:r>
        <w:rPr>
          <w:rStyle w:val="30"/>
          <w:rFonts w:hint="eastAsia" w:ascii="黑体" w:hAnsi="黑体" w:eastAsia="黑体"/>
          <w:b w:val="0"/>
        </w:rPr>
        <w:t>词解释</w:t>
      </w:r>
      <w:bookmarkEnd w:id="80"/>
      <w:bookmarkEnd w:id="81"/>
      <w:bookmarkEnd w:id="82"/>
    </w:p>
    <w:p>
      <w:pPr>
        <w:pageBreakBefore w:val="0"/>
        <w:kinsoku/>
        <w:wordWrap/>
        <w:overflowPunct/>
        <w:topLinePunct w:val="0"/>
        <w:bidi w:val="0"/>
        <w:snapToGrid/>
        <w:spacing w:line="240" w:lineRule="auto"/>
        <w:ind w:left="0" w:leftChars="0" w:right="0" w:rightChars="0" w:firstLine="0" w:firstLineChars="0"/>
        <w:jc w:val="left"/>
        <w:rPr>
          <w:rFonts w:ascii="宋体"/>
          <w:b/>
          <w:color w:val="000000"/>
          <w:sz w:val="44"/>
          <w:szCs w:val="44"/>
        </w:rPr>
      </w:pP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财政拨款收入：指单位从同级财政部门取得的财政预算资金。</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事业收入：指事业单位开展专业业务活动及辅助活动取得的收入。</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经营收入：指事业单位在专业业务活动及其辅助活动之外开展非独立核算经营活动取得的收入。</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其他收入：指单位取得的除上述收入以外的各项收入。</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年初结转和结余：指以前年度尚未完成、结转到本年按有关规定继续使用的资金。</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结余分配：指事业单位按照事业单位会计制度的规定从非财政补助结余中分配的事业基金和职工福利基金等。</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sz w:val="30"/>
          <w:szCs w:val="30"/>
        </w:rPr>
        <w:t>年末结转和结余：指单位按有关规定结转到下年或以后年度继续使用的资金。</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一般公共服务支出（类）宣传事务（款）行政运行（项）:指本部门行政单位（包括实行公务员管理的事业单位）的基本支出。</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文化旅游体育与传媒（类）新闻出版电影（款）电影（项）:</w:t>
      </w:r>
      <w:r>
        <w:rPr>
          <w:rFonts w:hint="eastAsia" w:ascii="仿宋_GB2312" w:hAnsi="仿宋_GB2312" w:eastAsia="仿宋_GB2312" w:cs="仿宋_GB2312"/>
          <w:sz w:val="30"/>
          <w:szCs w:val="30"/>
          <w:lang w:val="en-US" w:eastAsia="zh-CN"/>
        </w:rPr>
        <w:t>指反映电影制片、发行、放映等方面的支出</w:t>
      </w:r>
      <w:r>
        <w:rPr>
          <w:rFonts w:hint="eastAsia" w:ascii="仿宋_GB2312" w:hAnsi="仿宋_GB2312" w:eastAsia="仿宋_GB2312" w:cs="仿宋_GB2312"/>
          <w:sz w:val="30"/>
          <w:szCs w:val="30"/>
        </w:rPr>
        <w:t>。</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文化旅游体育与传媒（类）新闻出版电影（款）其他新闻出版电影支出（项）:</w:t>
      </w:r>
      <w:r>
        <w:rPr>
          <w:rFonts w:hint="eastAsia" w:ascii="仿宋_GB2312" w:hAnsi="仿宋_GB2312" w:eastAsia="仿宋_GB2312" w:cs="仿宋_GB2312"/>
          <w:sz w:val="30"/>
          <w:szCs w:val="30"/>
          <w:lang w:val="en-US" w:eastAsia="zh-CN"/>
        </w:rPr>
        <w:t>指用于新闻出版电影方面的其他支出</w:t>
      </w:r>
      <w:r>
        <w:rPr>
          <w:rFonts w:hint="eastAsia" w:ascii="仿宋_GB2312" w:hAnsi="仿宋_GB2312" w:eastAsia="仿宋_GB2312" w:cs="仿宋_GB2312"/>
          <w:sz w:val="30"/>
          <w:szCs w:val="30"/>
        </w:rPr>
        <w:t>。</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文化旅游体育与传媒（类）其他文化体育与传媒支出（款）宣传文化发展专项支出（项）:</w:t>
      </w:r>
      <w:r>
        <w:rPr>
          <w:rFonts w:hint="eastAsia" w:ascii="仿宋_GB2312" w:hAnsi="仿宋_GB2312" w:eastAsia="仿宋_GB2312" w:cs="仿宋_GB2312"/>
          <w:sz w:val="30"/>
          <w:szCs w:val="30"/>
          <w:lang w:val="en-US" w:eastAsia="zh-CN"/>
        </w:rPr>
        <w:t>指国家有关政策支出宣传文化单位发展的专项支出。</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文化旅游体育与传媒（类）其他文化体育与传媒支出（款）其他文化体育与传媒支出（项）:</w:t>
      </w:r>
      <w:r>
        <w:rPr>
          <w:rFonts w:hint="eastAsia" w:ascii="仿宋_GB2312" w:hAnsi="仿宋_GB2312" w:eastAsia="仿宋_GB2312" w:cs="仿宋_GB2312"/>
          <w:sz w:val="30"/>
          <w:szCs w:val="30"/>
          <w:lang w:val="en-US" w:eastAsia="zh-CN"/>
        </w:rPr>
        <w:t>指用于其他文化旅游体育和传媒方面的支出</w:t>
      </w:r>
      <w:r>
        <w:rPr>
          <w:rFonts w:hint="eastAsia" w:ascii="仿宋_GB2312" w:hAnsi="仿宋_GB2312" w:eastAsia="仿宋_GB2312" w:cs="仿宋_GB2312"/>
          <w:sz w:val="30"/>
          <w:szCs w:val="30"/>
        </w:rPr>
        <w:t>。</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社会保障和就业（类）行政事业单位离退休（款）归口管理的行政单位离退休（项）:指</w:t>
      </w:r>
      <w:r>
        <w:rPr>
          <w:rFonts w:hint="eastAsia" w:ascii="仿宋_GB2312" w:hAnsi="仿宋_GB2312" w:eastAsia="仿宋_GB2312" w:cs="仿宋_GB2312"/>
          <w:sz w:val="30"/>
          <w:szCs w:val="30"/>
          <w:lang w:eastAsia="zh-CN"/>
        </w:rPr>
        <w:t>实行归口</w:t>
      </w:r>
      <w:r>
        <w:rPr>
          <w:rFonts w:hint="eastAsia" w:ascii="仿宋_GB2312" w:hAnsi="仿宋_GB2312" w:eastAsia="仿宋_GB2312" w:cs="仿宋_GB2312"/>
          <w:sz w:val="30"/>
          <w:szCs w:val="30"/>
          <w:highlight w:val="none"/>
          <w:lang w:eastAsia="zh-CN"/>
        </w:rPr>
        <w:t>管理的</w:t>
      </w:r>
      <w:r>
        <w:rPr>
          <w:rFonts w:hint="eastAsia" w:ascii="仿宋_GB2312" w:hAnsi="仿宋_GB2312" w:eastAsia="仿宋_GB2312" w:cs="仿宋_GB2312"/>
          <w:sz w:val="30"/>
          <w:szCs w:val="30"/>
          <w:lang w:eastAsia="zh-CN"/>
        </w:rPr>
        <w:t>行政单位开支的离退休经费</w:t>
      </w:r>
      <w:r>
        <w:rPr>
          <w:rFonts w:hint="eastAsia" w:ascii="仿宋_GB2312" w:hAnsi="仿宋_GB2312" w:eastAsia="仿宋_GB2312" w:cs="仿宋_GB2312"/>
          <w:sz w:val="30"/>
          <w:szCs w:val="30"/>
        </w:rPr>
        <w:t>。</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社会保障和就业（类）行政事业单位离退休（款）机关事业单位基本养老保险缴费支出（项）:指</w:t>
      </w:r>
      <w:r>
        <w:rPr>
          <w:rFonts w:hint="eastAsia" w:ascii="仿宋_GB2312" w:hAnsi="仿宋_GB2312" w:eastAsia="仿宋_GB2312" w:cs="仿宋_GB2312"/>
          <w:sz w:val="30"/>
          <w:szCs w:val="30"/>
          <w:lang w:eastAsia="zh-CN"/>
        </w:rPr>
        <w:t>机关事业单位实施养老保险制度由单位缴纳的基本养老保险费支出。</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社会保障和就业（类）行政事业单位离退休（款）机关事业单位职业年金缴费支出（项）:指</w:t>
      </w:r>
      <w:r>
        <w:rPr>
          <w:rFonts w:hint="eastAsia" w:ascii="仿宋_GB2312" w:hAnsi="仿宋_GB2312" w:eastAsia="仿宋_GB2312" w:cs="仿宋_GB2312"/>
          <w:sz w:val="30"/>
          <w:szCs w:val="30"/>
          <w:lang w:eastAsia="zh-CN"/>
        </w:rPr>
        <w:t>机关事业单位</w:t>
      </w:r>
      <w:r>
        <w:rPr>
          <w:rFonts w:hint="eastAsia" w:ascii="仿宋_GB2312" w:hAnsi="仿宋_GB2312" w:eastAsia="仿宋_GB2312" w:cs="仿宋_GB2312"/>
          <w:sz w:val="30"/>
          <w:szCs w:val="30"/>
          <w:lang w:val="en-US" w:eastAsia="zh-CN"/>
        </w:rPr>
        <w:t>用于</w:t>
      </w:r>
      <w:r>
        <w:rPr>
          <w:rFonts w:hint="eastAsia" w:ascii="仿宋_GB2312" w:hAnsi="仿宋_GB2312" w:eastAsia="仿宋_GB2312" w:cs="仿宋_GB2312"/>
          <w:sz w:val="30"/>
          <w:szCs w:val="30"/>
        </w:rPr>
        <w:t>职业年金缴费</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lang w:eastAsia="zh-CN"/>
        </w:rPr>
        <w:t>支出。</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b/>
          <w:color w:val="000000"/>
          <w:sz w:val="30"/>
          <w:szCs w:val="30"/>
        </w:rPr>
      </w:pPr>
      <w:r>
        <w:rPr>
          <w:rFonts w:hint="eastAsia" w:ascii="仿宋_GB2312" w:hAnsi="仿宋_GB2312" w:eastAsia="仿宋_GB2312" w:cs="仿宋_GB2312"/>
          <w:sz w:val="30"/>
          <w:szCs w:val="30"/>
        </w:rPr>
        <w:t>卫生健康（类）行政事业单位医疗（款）行政单位医疗（项）:指</w:t>
      </w:r>
      <w:r>
        <w:rPr>
          <w:rFonts w:hint="eastAsia" w:ascii="仿宋_GB2312" w:hAnsi="仿宋_GB2312" w:eastAsia="仿宋_GB2312" w:cs="仿宋_GB2312"/>
          <w:sz w:val="30"/>
          <w:szCs w:val="30"/>
          <w:lang w:eastAsia="zh-CN"/>
        </w:rPr>
        <w:t>财政部门安排的行政单位基本医疗保险缴</w:t>
      </w:r>
      <w:r>
        <w:rPr>
          <w:rFonts w:hint="eastAsia" w:ascii="仿宋_GB2312" w:hAnsi="仿宋_GB2312" w:eastAsia="仿宋_GB2312" w:cs="仿宋_GB2312"/>
          <w:color w:val="000000"/>
          <w:sz w:val="30"/>
          <w:szCs w:val="30"/>
          <w:lang w:eastAsia="zh-CN"/>
        </w:rPr>
        <w:t>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0"/>
          <w:szCs w:val="30"/>
        </w:rPr>
        <w:t>。</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color w:val="000000" w:themeColor="text1"/>
          <w:sz w:val="30"/>
          <w:szCs w:val="30"/>
        </w:rPr>
        <w:t>住房保障</w:t>
      </w:r>
      <w:r>
        <w:rPr>
          <w:rStyle w:val="19"/>
          <w:rFonts w:hint="eastAsia" w:ascii="仿宋_GB2312" w:hAnsi="仿宋_GB2312" w:eastAsia="仿宋_GB2312" w:cs="仿宋_GB2312"/>
          <w:b w:val="0"/>
          <w:bCs w:val="0"/>
          <w:color w:val="000000"/>
          <w:sz w:val="30"/>
          <w:szCs w:val="30"/>
        </w:rPr>
        <w:t>（类）住房改革（款）住房公积金（项）:支出决算为</w:t>
      </w:r>
      <w:r>
        <w:rPr>
          <w:rStyle w:val="19"/>
          <w:rFonts w:hint="eastAsia" w:ascii="仿宋_GB2312" w:hAnsi="仿宋_GB2312" w:eastAsia="仿宋_GB2312" w:cs="仿宋_GB2312"/>
          <w:b w:val="0"/>
          <w:bCs w:val="0"/>
          <w:color w:val="000000"/>
          <w:sz w:val="30"/>
          <w:szCs w:val="30"/>
          <w:lang w:val="en-US" w:eastAsia="zh-CN"/>
        </w:rPr>
        <w:t>17.09</w:t>
      </w:r>
      <w:r>
        <w:rPr>
          <w:rStyle w:val="19"/>
          <w:rFonts w:hint="eastAsia" w:ascii="仿宋_GB2312" w:hAnsi="仿宋_GB2312" w:eastAsia="仿宋_GB2312" w:cs="仿宋_GB2312"/>
          <w:b w:val="0"/>
          <w:bCs w:val="0"/>
          <w:color w:val="000000"/>
          <w:sz w:val="30"/>
          <w:szCs w:val="30"/>
        </w:rPr>
        <w:t>万元，完成预算</w:t>
      </w:r>
      <w:r>
        <w:rPr>
          <w:rStyle w:val="19"/>
          <w:rFonts w:hint="eastAsia" w:ascii="仿宋_GB2312" w:hAnsi="仿宋_GB2312" w:eastAsia="仿宋_GB2312" w:cs="仿宋_GB2312"/>
          <w:b w:val="0"/>
          <w:bCs w:val="0"/>
          <w:color w:val="000000"/>
          <w:sz w:val="30"/>
          <w:szCs w:val="30"/>
          <w:lang w:val="en-US" w:eastAsia="zh-CN"/>
        </w:rPr>
        <w:t>100</w:t>
      </w:r>
      <w:r>
        <w:rPr>
          <w:rStyle w:val="19"/>
          <w:rFonts w:hint="eastAsia" w:ascii="仿宋_GB2312" w:hAnsi="仿宋_GB2312" w:eastAsia="仿宋_GB2312" w:cs="仿宋_GB2312"/>
          <w:b w:val="0"/>
          <w:bCs w:val="0"/>
          <w:color w:val="000000"/>
          <w:sz w:val="30"/>
          <w:szCs w:val="30"/>
        </w:rPr>
        <w:t>%。</w:t>
      </w:r>
      <w:r>
        <w:rPr>
          <w:rFonts w:hint="eastAsia" w:ascii="仿宋_GB2312" w:hAnsi="仿宋_GB2312" w:eastAsia="仿宋_GB2312" w:cs="仿宋_GB2312"/>
          <w:b w:val="0"/>
          <w:bCs w:val="0"/>
          <w:color w:val="000000"/>
          <w:sz w:val="30"/>
          <w:szCs w:val="30"/>
        </w:rPr>
        <w:t>指</w:t>
      </w:r>
      <w:r>
        <w:rPr>
          <w:rFonts w:hint="eastAsia" w:ascii="仿宋_GB2312" w:hAnsi="仿宋_GB2312" w:eastAsia="仿宋_GB2312" w:cs="仿宋_GB2312"/>
          <w:b w:val="0"/>
          <w:bCs w:val="0"/>
          <w:color w:val="000000"/>
          <w:sz w:val="30"/>
          <w:szCs w:val="30"/>
          <w:lang w:eastAsia="zh-CN"/>
        </w:rPr>
        <w:t>反映行政事业单位按人力资源和社会保障部、财政部规定的基本工资和津贴补贴以及规定比例为职工缴纳的住房公积金</w:t>
      </w:r>
      <w:r>
        <w:rPr>
          <w:rFonts w:hint="eastAsia" w:ascii="仿宋_GB2312" w:hAnsi="仿宋_GB2312" w:eastAsia="仿宋_GB2312" w:cs="仿宋_GB2312"/>
          <w:b w:val="0"/>
          <w:bCs w:val="0"/>
          <w:color w:val="000000"/>
          <w:sz w:val="30"/>
          <w:szCs w:val="30"/>
        </w:rPr>
        <w:t>。</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基本支出：指为保障机构正常运转、完成日常工作任务而发生的人员支出和公用支出。</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项目支出：指在基本支出之外为完成特定行政任务和事业发展目标所发生的支出。</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经营支出：指事业单位在专业业务活动及其辅助活动之外开展非独立核算经营活动发生的支出。</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pageBreakBefore w:val="0"/>
        <w:numPr>
          <w:ilvl w:val="0"/>
          <w:numId w:val="3"/>
        </w:numPr>
        <w:kinsoku/>
        <w:wordWrap/>
        <w:overflowPunct/>
        <w:topLinePunct w:val="0"/>
        <w:bidi w:val="0"/>
        <w:snapToGrid/>
        <w:spacing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napToGrid/>
        <w:spacing w:line="240" w:lineRule="auto"/>
        <w:ind w:left="0" w:leftChars="0" w:right="0" w:rightChars="0" w:firstLine="0" w:firstLineChars="0"/>
        <w:jc w:val="center"/>
        <w:outlineLvl w:val="0"/>
        <w:rPr>
          <w:rStyle w:val="30"/>
          <w:rFonts w:ascii="黑体" w:hAnsi="黑体" w:eastAsia="黑体"/>
          <w:b w:val="0"/>
        </w:rPr>
      </w:pPr>
      <w:bookmarkStart w:id="83" w:name="_Toc15377226"/>
      <w:r>
        <w:rPr>
          <w:rFonts w:ascii="宋体"/>
          <w:b/>
          <w:color w:val="000000"/>
          <w:sz w:val="44"/>
          <w:szCs w:val="44"/>
        </w:rPr>
        <w:br w:type="page"/>
      </w:r>
      <w:bookmarkStart w:id="84" w:name="_Toc15396614"/>
      <w:bookmarkStart w:id="85" w:name="_Toc16508"/>
      <w:r>
        <w:rPr>
          <w:rFonts w:hint="eastAsia" w:ascii="黑体" w:hAnsi="黑体" w:eastAsia="黑体"/>
          <w:color w:val="000000"/>
          <w:sz w:val="44"/>
          <w:szCs w:val="44"/>
        </w:rPr>
        <w:t>第</w:t>
      </w:r>
      <w:r>
        <w:rPr>
          <w:rStyle w:val="30"/>
          <w:rFonts w:hint="eastAsia" w:ascii="黑体" w:hAnsi="黑体" w:eastAsia="黑体"/>
          <w:b w:val="0"/>
        </w:rPr>
        <w:t>四部分 附件</w:t>
      </w:r>
      <w:bookmarkEnd w:id="84"/>
      <w:bookmarkEnd w:id="85"/>
    </w:p>
    <w:p>
      <w:pPr>
        <w:pageBreakBefore w:val="0"/>
        <w:kinsoku/>
        <w:wordWrap/>
        <w:overflowPunct/>
        <w:topLinePunct w:val="0"/>
        <w:bidi w:val="0"/>
        <w:snapToGrid/>
        <w:spacing w:line="240" w:lineRule="auto"/>
        <w:ind w:left="0" w:leftChars="0" w:right="0" w:rightChars="0" w:firstLine="0" w:firstLineChars="0"/>
        <w:jc w:val="left"/>
        <w:outlineLvl w:val="1"/>
        <w:rPr>
          <w:rFonts w:hint="eastAsia" w:ascii="黑体" w:hAnsi="黑体" w:eastAsia="黑体" w:cs="黑体"/>
          <w:sz w:val="30"/>
          <w:szCs w:val="30"/>
          <w:lang w:eastAsia="zh-CN"/>
        </w:rPr>
      </w:pPr>
      <w:bookmarkStart w:id="86" w:name="_Toc15637"/>
      <w:r>
        <w:rPr>
          <w:rFonts w:hint="eastAsia" w:ascii="黑体" w:hAnsi="黑体" w:eastAsia="黑体" w:cs="黑体"/>
          <w:sz w:val="30"/>
          <w:szCs w:val="30"/>
          <w:highlight w:val="none"/>
          <w:lang w:eastAsia="zh-CN"/>
        </w:rPr>
        <w:t>附件：1.</w:t>
      </w:r>
      <w:r>
        <w:rPr>
          <w:rFonts w:hint="eastAsia" w:ascii="黑体" w:hAnsi="黑体" w:eastAsia="黑体" w:cs="黑体"/>
          <w:sz w:val="30"/>
          <w:szCs w:val="30"/>
          <w:lang w:eastAsia="zh-CN"/>
        </w:rPr>
        <w:t>2019年区委宣传部部门整体支出绩效评价报告</w:t>
      </w:r>
      <w:bookmarkEnd w:id="86"/>
    </w:p>
    <w:p>
      <w:pPr>
        <w:pStyle w:val="6"/>
        <w:rPr>
          <w:rFonts w:hint="eastAsia"/>
          <w:lang w:eastAsia="zh-CN"/>
        </w:rPr>
      </w:pPr>
    </w:p>
    <w:p>
      <w:pPr>
        <w:pageBreakBefore w:val="0"/>
        <w:kinsoku/>
        <w:wordWrap/>
        <w:overflowPunct/>
        <w:topLinePunct w:val="0"/>
        <w:bidi w:val="0"/>
        <w:snapToGrid/>
        <w:spacing w:line="240" w:lineRule="auto"/>
        <w:ind w:left="0" w:leftChars="0" w:right="0" w:rightChars="0" w:firstLine="0" w:firstLineChars="0"/>
        <w:jc w:val="center"/>
        <w:outlineLvl w:val="9"/>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w:t>
      </w:r>
      <w:r>
        <w:rPr>
          <w:rFonts w:hint="eastAsia" w:ascii="方正小标宋简体" w:hAnsi="宋体" w:eastAsia="方正小标宋简体"/>
          <w:color w:val="000000"/>
          <w:kern w:val="0"/>
          <w:sz w:val="40"/>
          <w:szCs w:val="44"/>
          <w:lang w:val="en-US" w:eastAsia="zh-CN"/>
        </w:rPr>
        <w:t>区委宣传部</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pPr>
        <w:pageBreakBefore w:val="0"/>
        <w:widowControl/>
        <w:kinsoku/>
        <w:wordWrap/>
        <w:overflowPunct/>
        <w:topLinePunct w:val="0"/>
        <w:bidi w:val="0"/>
        <w:adjustRightInd w:val="0"/>
        <w:snapToGrid/>
        <w:spacing w:line="240" w:lineRule="auto"/>
        <w:ind w:left="0" w:leftChars="0" w:right="0" w:rightChars="0" w:firstLine="0" w:firstLineChars="0"/>
        <w:contextualSpacing/>
        <w:jc w:val="left"/>
        <w:rPr>
          <w:rFonts w:ascii="黑体" w:hAnsi="宋体" w:eastAsia="黑体" w:cs="宋体"/>
          <w:color w:val="000000"/>
          <w:kern w:val="0"/>
          <w:sz w:val="24"/>
          <w:szCs w:val="32"/>
          <w:shd w:val="clear" w:color="auto" w:fill="FFFFFF"/>
        </w:rPr>
      </w:pPr>
    </w:p>
    <w:p>
      <w:pPr>
        <w:pageBreakBefore w:val="0"/>
        <w:widowControl/>
        <w:kinsoku/>
        <w:wordWrap/>
        <w:overflowPunct/>
        <w:topLinePunct w:val="0"/>
        <w:bidi w:val="0"/>
        <w:adjustRightInd w:val="0"/>
        <w:snapToGrid/>
        <w:spacing w:line="240" w:lineRule="auto"/>
        <w:ind w:left="0" w:leftChars="0" w:right="0" w:rightChars="0" w:firstLine="0" w:firstLineChars="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pageBreakBefore w:val="0"/>
        <w:widowControl/>
        <w:kinsoku/>
        <w:wordWrap/>
        <w:overflowPunct/>
        <w:topLinePunct w:val="0"/>
        <w:bidi w:val="0"/>
        <w:adjustRightInd w:val="0"/>
        <w:snapToGrid/>
        <w:spacing w:line="240" w:lineRule="auto"/>
        <w:ind w:left="0" w:leftChars="0" w:right="0" w:righ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ageBreakBefore w:val="0"/>
        <w:widowControl/>
        <w:kinsoku/>
        <w:wordWrap/>
        <w:overflowPunct/>
        <w:topLinePunct w:val="0"/>
        <w:bidi w:val="0"/>
        <w:adjustRightInd w:val="0"/>
        <w:snapToGrid/>
        <w:spacing w:line="240" w:lineRule="auto"/>
        <w:ind w:left="0" w:leftChars="0" w:right="0" w:rightChars="0" w:firstLine="60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b w:val="0"/>
          <w:bCs/>
          <w:sz w:val="30"/>
          <w:szCs w:val="30"/>
        </w:rPr>
        <w:t>中国共产党广元市昭化区委员会宣传部</w:t>
      </w:r>
      <w:r>
        <w:rPr>
          <w:rFonts w:hint="eastAsia" w:ascii="仿宋_GB2312" w:hAnsi="仿宋_GB2312" w:eastAsia="仿宋_GB2312" w:cs="仿宋_GB2312"/>
          <w:sz w:val="30"/>
          <w:szCs w:val="30"/>
        </w:rPr>
        <w:t>2019年行政独立机构编制数1个，下属事业单位</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个</w:t>
      </w:r>
      <w:r>
        <w:rPr>
          <w:rFonts w:hint="eastAsia" w:ascii="仿宋_GB2312" w:hAnsi="仿宋_GB2312" w:eastAsia="仿宋_GB2312" w:cs="仿宋_GB2312"/>
          <w:color w:val="FF0000"/>
          <w:sz w:val="30"/>
          <w:szCs w:val="30"/>
        </w:rPr>
        <w:t>。</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right="0" w:rightChars="0" w:firstLine="640" w:firstLineChars="200"/>
        <w:jc w:val="left"/>
        <w:textAlignment w:val="auto"/>
        <w:outlineLvl w:val="9"/>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拟订全区宣传思想文化工作重大政策和事业产业发展总体规划，统筹协调推进宣传思想文化领域法治建设，按照区委统一部署，协调宣传思想文化系统各部门（单位）之间的工作。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统筹协调全区党的意识形态工作，贯彻落实党中央和省委、市委、区委的决策部署，组织协调意识形态工作责任制落实的日常监督检查，分析研判意识形态领域情况，配合巡视巡察工作开展专项检查。</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统筹指导全区理论研究、理论学习和理论宣传工作。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规划、部署全区性的思想政治工作任务，配合区委组织部做好党员教育工作，会同有关部门研究和改进群众思想教育工作。从宏观上指导全区各级各类学校的德育、政治理论课教学和思想政治工作。组织重大先进典型的学习和推广。</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受区委委托，会同区委组织部管理区级理论、新闻出版、文化体育、旅游、广播电视、电影、哲学和社会科学、互联网信息等区级部门的领导干部，指导宣传文化系统各单位工作。对全区宣传干部的任免提出意见和建议，制定全区宣传干部和有关宣传文化系统业务骨干的培训规划，并组织实施。配合有关部门做好理论、新闻、文化、文艺等方面优秀人才的选拔、培养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从宏观上指导精神文化产品的生产，协调组织中华优秀传统文化和昭化特色文化传承发展工作，指导协调推动群众性文化建设。</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统筹指导社会舆论引导。组织开展党和国家路线、方针、政策和经济社会发展等方面的宣传教育和形势教育，组织协调重大社会宣传活动。负责组织协调重大新闻宣传活动和重大突发公共事件应急新闻工作。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统筹协调全区对外宣传工作，指导协调区级新闻单位工作和全区对外文化交流工作。会同上级部门做好境外</w:t>
      </w:r>
      <w:r>
        <w:rPr>
          <w:rFonts w:hint="eastAsia" w:ascii="仿宋_GB2312" w:hAnsi="仿宋_GB2312" w:eastAsia="仿宋_GB2312" w:cs="仿宋_GB2312"/>
          <w:b w:val="0"/>
          <w:bCs/>
          <w:color w:val="000000"/>
          <w:sz w:val="30"/>
          <w:szCs w:val="30"/>
          <w:highlight w:val="none"/>
        </w:rPr>
        <w:t>来昭</w:t>
      </w:r>
      <w:r>
        <w:rPr>
          <w:rFonts w:hint="eastAsia" w:ascii="仿宋_GB2312" w:hAnsi="仿宋_GB2312" w:eastAsia="仿宋_GB2312" w:cs="仿宋_GB2312"/>
          <w:b w:val="0"/>
          <w:bCs/>
          <w:color w:val="000000"/>
          <w:sz w:val="30"/>
          <w:szCs w:val="30"/>
        </w:rPr>
        <w:t>记者采访事务方面的工作。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负责管理新闻出版行政事务和所涉及的行政审批工作，监督管理出版物内容和质量，监督管理印刷业、管理著作权等。组织指导协调“扫黄打非”工作。负责区外媒体记者</w:t>
      </w:r>
      <w:r>
        <w:rPr>
          <w:rFonts w:hint="eastAsia" w:ascii="仿宋_GB2312" w:hAnsi="仿宋_GB2312" w:eastAsia="仿宋_GB2312" w:cs="仿宋_GB2312"/>
          <w:b w:val="0"/>
          <w:bCs/>
          <w:color w:val="000000"/>
          <w:sz w:val="30"/>
          <w:szCs w:val="30"/>
          <w:highlight w:val="none"/>
        </w:rPr>
        <w:t>来昭</w:t>
      </w:r>
      <w:r>
        <w:rPr>
          <w:rFonts w:hint="eastAsia" w:ascii="仿宋_GB2312" w:hAnsi="仿宋_GB2312" w:eastAsia="仿宋_GB2312" w:cs="仿宋_GB2312"/>
          <w:b w:val="0"/>
          <w:bCs/>
          <w:color w:val="000000"/>
          <w:sz w:val="30"/>
          <w:szCs w:val="30"/>
        </w:rPr>
        <w:t>工作的监督管理。</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协调全区网络安全和信息化工作，推进网络安全信息化、标准化建设。统筹协调网络意识形态工作，负责指导、督促、检查网络意识形态工作责任制的贯彻落实。负责新媒体的建设与管理，负责全区互联网内容管理、宣传管理和舆论引导。组织协调开展舆论信息收集分析研判工作，跟踪了解、研究掌握宣传舆情动态。</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负责管理电影行政事务和所涉及的行政审批工作，指导监管电影制片、发行、放映工作，组织对电影内容进行审查，指导协调全区性重大电影活动等。</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承担区精神文明建设委员会的日常工作。统筹组织协调全区精神文明建设工作，协调推动精神文明创建、公民思想道德建设和志愿服务工作。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对新闻出版、文化艺术、广播电视、电影和旅游业改革发展提出政策性建议，统筹指导推进文化体制改革和文化事业、文化产业及旅游业发展。</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归口领导区文化旅游和体育局、区广播电视局等宣传思想文化单位和旅游单位。受区委委托，代管区文联、区作协、区社科联。</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负责组织协调重大新闻宣传报道活动，承担区委、区政府新闻发布相关组织协调工作，研究拟订我区重大问题宣传口径。</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组织协调开展人权宣传和反邪教等方面对外宣传和舆论斗争工作。</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完成区委交办的其他任务。</w:t>
      </w:r>
    </w:p>
    <w:p>
      <w:pPr>
        <w:pStyle w:val="2"/>
        <w:keepNext w:val="0"/>
        <w:keepLines w:val="0"/>
        <w:pageBreakBefore w:val="0"/>
        <w:widowControl w:val="0"/>
        <w:kinsoku/>
        <w:wordWrap/>
        <w:overflowPunct/>
        <w:topLinePunct w:val="0"/>
        <w:autoSpaceDE/>
        <w:autoSpaceDN/>
        <w:bidi w:val="0"/>
        <w:adjustRightInd w:val="0"/>
        <w:snapToGrid/>
        <w:spacing w:beforeLines="0" w:line="240" w:lineRule="auto"/>
        <w:ind w:left="0" w:leftChars="0" w:right="0" w:rightChars="0" w:firstLine="640" w:firstLineChars="200"/>
        <w:jc w:val="left"/>
        <w:textAlignment w:val="auto"/>
        <w:outlineLvl w:val="9"/>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eastAsia="仿宋_GB2312"/>
          <w:sz w:val="32"/>
          <w:szCs w:val="32"/>
        </w:rPr>
        <w:t>2019年实有在职人员</w:t>
      </w:r>
      <w:r>
        <w:rPr>
          <w:rFonts w:hint="eastAsia"/>
          <w:sz w:val="32"/>
          <w:szCs w:val="32"/>
          <w:lang w:val="en-US" w:eastAsia="zh-CN"/>
        </w:rPr>
        <w:t>22</w:t>
      </w:r>
      <w:r>
        <w:rPr>
          <w:rFonts w:hint="eastAsia" w:ascii="仿宋_GB2312" w:eastAsia="仿宋_GB2312"/>
          <w:sz w:val="32"/>
          <w:szCs w:val="32"/>
        </w:rPr>
        <w:t>人，较去年</w:t>
      </w:r>
      <w:r>
        <w:rPr>
          <w:rFonts w:hint="eastAsia"/>
          <w:sz w:val="32"/>
          <w:szCs w:val="32"/>
          <w:lang w:val="en-US" w:eastAsia="zh-CN"/>
        </w:rPr>
        <w:t>未变化</w:t>
      </w:r>
      <w:r>
        <w:rPr>
          <w:rFonts w:hint="eastAsia" w:ascii="仿宋_GB2312" w:eastAsia="仿宋_GB2312"/>
          <w:sz w:val="32"/>
          <w:szCs w:val="32"/>
        </w:rPr>
        <w:t>。其中行政人员</w:t>
      </w:r>
      <w:r>
        <w:rPr>
          <w:rFonts w:hint="eastAsia"/>
          <w:sz w:val="32"/>
          <w:szCs w:val="32"/>
          <w:lang w:val="en-US" w:eastAsia="zh-CN"/>
        </w:rPr>
        <w:t>11</w:t>
      </w:r>
      <w:r>
        <w:rPr>
          <w:rFonts w:hint="eastAsia" w:ascii="仿宋_GB2312" w:eastAsia="仿宋_GB2312"/>
          <w:sz w:val="32"/>
          <w:szCs w:val="32"/>
        </w:rPr>
        <w:t>人</w:t>
      </w:r>
      <w:r>
        <w:rPr>
          <w:rFonts w:hint="eastAsia"/>
          <w:sz w:val="32"/>
          <w:szCs w:val="32"/>
          <w:lang w:eastAsia="zh-CN"/>
        </w:rPr>
        <w:t>，</w:t>
      </w:r>
      <w:r>
        <w:rPr>
          <w:rFonts w:hint="eastAsia"/>
          <w:sz w:val="32"/>
          <w:szCs w:val="32"/>
          <w:lang w:val="en-US" w:eastAsia="zh-CN"/>
        </w:rPr>
        <w:t>事业人员11人</w:t>
      </w:r>
      <w:r>
        <w:rPr>
          <w:rFonts w:hint="eastAsia" w:ascii="仿宋_GB2312" w:eastAsia="仿宋_GB2312"/>
          <w:sz w:val="32"/>
          <w:szCs w:val="32"/>
        </w:rPr>
        <w:t>。上述人员均为财政全额供养人员</w:t>
      </w:r>
    </w:p>
    <w:p>
      <w:pPr>
        <w:pageBreakBefore w:val="0"/>
        <w:widowControl/>
        <w:kinsoku/>
        <w:wordWrap/>
        <w:overflowPunct/>
        <w:topLinePunct w:val="0"/>
        <w:bidi w:val="0"/>
        <w:adjustRightInd w:val="0"/>
        <w:snapToGrid/>
        <w:spacing w:line="240" w:lineRule="auto"/>
        <w:ind w:left="0" w:leftChars="0" w:right="0" w:rightChars="0" w:firstLine="0" w:firstLineChars="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ageBreakBefore w:val="0"/>
        <w:widowControl/>
        <w:kinsoku/>
        <w:wordWrap/>
        <w:overflowPunct/>
        <w:topLinePunct w:val="0"/>
        <w:bidi w:val="0"/>
        <w:adjustRightInd w:val="0"/>
        <w:snapToGrid/>
        <w:spacing w:line="240" w:lineRule="auto"/>
        <w:ind w:left="0" w:leftChars="0" w:right="0" w:righ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keepNext w:val="0"/>
        <w:keepLines w:val="0"/>
        <w:pageBreakBefore w:val="0"/>
        <w:widowControl w:val="0"/>
        <w:kinsoku/>
        <w:wordWrap/>
        <w:overflowPunct/>
        <w:topLinePunct w:val="0"/>
        <w:bidi w:val="0"/>
        <w:snapToGrid/>
        <w:spacing w:line="240" w:lineRule="auto"/>
        <w:ind w:left="0" w:leftChars="0" w:right="0" w:rightChars="0" w:firstLine="600" w:firstLineChars="200"/>
        <w:jc w:val="left"/>
        <w:textAlignment w:val="auto"/>
        <w:outlineLvl w:val="9"/>
        <w:rPr>
          <w:lang w:val="zh-CN"/>
        </w:rPr>
      </w:pPr>
      <w:r>
        <w:rPr>
          <w:rFonts w:hint="eastAsia" w:ascii="仿宋_GB2312" w:hAnsi="仿宋_GB2312" w:eastAsia="仿宋_GB2312" w:cs="仿宋_GB2312"/>
          <w:color w:val="000000"/>
          <w:sz w:val="30"/>
          <w:szCs w:val="30"/>
        </w:rPr>
        <w:t>2019年本年收入合计</w:t>
      </w:r>
      <w:r>
        <w:rPr>
          <w:rFonts w:hint="eastAsia" w:ascii="仿宋_GB2312" w:hAnsi="仿宋_GB2312" w:eastAsia="仿宋_GB2312" w:cs="仿宋_GB2312"/>
          <w:color w:val="000000"/>
          <w:sz w:val="30"/>
          <w:szCs w:val="30"/>
          <w:lang w:val="en-US" w:eastAsia="zh-CN"/>
        </w:rPr>
        <w:t>466.14</w:t>
      </w:r>
      <w:r>
        <w:rPr>
          <w:rFonts w:hint="eastAsia" w:ascii="仿宋_GB2312" w:hAnsi="仿宋_GB2312" w:eastAsia="仿宋_GB2312" w:cs="仿宋_GB2312"/>
          <w:color w:val="000000"/>
          <w:sz w:val="30"/>
          <w:szCs w:val="30"/>
        </w:rPr>
        <w:t>万元，其中：一般公共预算财政拨款收入</w:t>
      </w:r>
      <w:r>
        <w:rPr>
          <w:rFonts w:hint="eastAsia" w:ascii="仿宋_GB2312" w:hAnsi="仿宋_GB2312" w:eastAsia="仿宋_GB2312" w:cs="仿宋_GB2312"/>
          <w:color w:val="000000"/>
          <w:sz w:val="30"/>
          <w:szCs w:val="30"/>
          <w:lang w:val="en-US" w:eastAsia="zh-CN"/>
        </w:rPr>
        <w:t>464.29</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99.6</w:t>
      </w:r>
      <w:r>
        <w:rPr>
          <w:rFonts w:hint="eastAsia" w:ascii="仿宋_GB2312" w:hAnsi="仿宋_GB2312" w:eastAsia="仿宋_GB2312" w:cs="仿宋_GB2312"/>
          <w:color w:val="000000"/>
          <w:sz w:val="30"/>
          <w:szCs w:val="30"/>
        </w:rPr>
        <w:t>%；政府性基金预算财政拨款收入1.85万元，占</w:t>
      </w:r>
      <w:r>
        <w:rPr>
          <w:rFonts w:hint="eastAsia" w:ascii="仿宋_GB2312" w:hAnsi="仿宋_GB2312" w:eastAsia="仿宋_GB2312" w:cs="仿宋_GB2312"/>
          <w:color w:val="000000"/>
          <w:sz w:val="30"/>
          <w:szCs w:val="30"/>
          <w:lang w:val="en-US" w:eastAsia="zh-CN"/>
        </w:rPr>
        <w:t>0.4</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themeColor="text1"/>
          <w:sz w:val="30"/>
          <w:szCs w:val="30"/>
        </w:rPr>
        <w:t>上级补助收入</w:t>
      </w:r>
      <w:r>
        <w:rPr>
          <w:rFonts w:hint="eastAsia" w:ascii="仿宋_GB2312" w:hAnsi="仿宋_GB2312" w:eastAsia="仿宋_GB2312" w:cs="仿宋_GB2312"/>
          <w:color w:val="000000" w:themeColor="text1"/>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%；事业收入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%；经营收入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%；附属单位上缴收入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%；其他收入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w:t>
      </w:r>
    </w:p>
    <w:p>
      <w:pPr>
        <w:pageBreakBefore w:val="0"/>
        <w:widowControl/>
        <w:kinsoku/>
        <w:wordWrap/>
        <w:overflowPunct/>
        <w:topLinePunct w:val="0"/>
        <w:bidi w:val="0"/>
        <w:adjustRightInd w:val="0"/>
        <w:snapToGrid/>
        <w:spacing w:line="240" w:lineRule="auto"/>
        <w:ind w:left="0" w:leftChars="0" w:right="0" w:righ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pStyle w:val="6"/>
        <w:ind w:firstLine="600" w:firstLineChars="200"/>
        <w:rPr>
          <w:rFonts w:hint="eastAsia" w:ascii="仿宋_GB2312" w:hAnsi="仿宋_GB2312" w:eastAsia="仿宋_GB2312" w:cs="仿宋_GB2312"/>
          <w:color w:val="000000"/>
          <w:kern w:val="2"/>
          <w:sz w:val="30"/>
          <w:szCs w:val="30"/>
          <w:lang w:val="zh-CN" w:eastAsia="zh-CN" w:bidi="ar-SA"/>
        </w:rPr>
      </w:pPr>
      <w:r>
        <w:rPr>
          <w:rFonts w:hint="eastAsia" w:ascii="仿宋_GB2312" w:hAnsi="仿宋_GB2312" w:eastAsia="仿宋_GB2312" w:cs="仿宋_GB2312"/>
          <w:color w:val="000000"/>
          <w:kern w:val="2"/>
          <w:sz w:val="30"/>
          <w:szCs w:val="30"/>
          <w:lang w:val="zh-CN" w:eastAsia="zh-CN" w:bidi="ar-SA"/>
        </w:rPr>
        <w:t>2019年本年支出合计466.14万元，其中：基本支出391.42万元，占84.31%；项目支出72.87万元，占15.69%；上缴上级支出0万元，占0%；经营支出0万元，占0%；对附属单位补助支出0万元，占0%。</w:t>
      </w:r>
    </w:p>
    <w:p>
      <w:pPr>
        <w:pageBreakBefore w:val="0"/>
        <w:widowControl/>
        <w:kinsoku/>
        <w:wordWrap/>
        <w:overflowPunct/>
        <w:topLinePunct w:val="0"/>
        <w:bidi w:val="0"/>
        <w:adjustRightInd w:val="0"/>
        <w:snapToGrid/>
        <w:spacing w:line="240" w:lineRule="auto"/>
        <w:ind w:left="0" w:leftChars="0" w:right="0" w:rightChars="0" w:firstLine="0" w:firstLineChars="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pageBreakBefore w:val="0"/>
        <w:widowControl/>
        <w:kinsoku/>
        <w:wordWrap/>
        <w:overflowPunct/>
        <w:topLinePunct w:val="0"/>
        <w:bidi w:val="0"/>
        <w:adjustRightInd w:val="0"/>
        <w:snapToGrid/>
        <w:spacing w:line="240" w:lineRule="auto"/>
        <w:ind w:left="0" w:leftChars="0" w:right="0" w:rightChars="0" w:firstLine="600" w:firstLineChars="200"/>
        <w:contextualSpacing/>
        <w:jc w:val="left"/>
        <w:rPr>
          <w:rFonts w:hint="eastAsia" w:ascii="仿宋_GB2312" w:hAnsi="仿宋_GB2312" w:eastAsia="仿宋_GB2312" w:cs="仿宋_GB2312"/>
          <w:color w:val="000000"/>
          <w:kern w:val="2"/>
          <w:sz w:val="30"/>
          <w:szCs w:val="30"/>
          <w:lang w:val="zh-CN" w:eastAsia="zh-CN" w:bidi="ar-SA"/>
        </w:rPr>
      </w:pPr>
      <w:r>
        <w:rPr>
          <w:rFonts w:hint="eastAsia" w:ascii="仿宋_GB2312" w:hAnsi="仿宋_GB2312" w:eastAsia="仿宋_GB2312" w:cs="仿宋_GB2312"/>
          <w:color w:val="000000"/>
          <w:kern w:val="2"/>
          <w:sz w:val="30"/>
          <w:szCs w:val="30"/>
          <w:lang w:val="zh-CN" w:eastAsia="zh-CN" w:bidi="ar-SA"/>
        </w:rPr>
        <w:t>（一）部门预算管理。</w:t>
      </w:r>
    </w:p>
    <w:p>
      <w:pPr>
        <w:pageBreakBefore w:val="0"/>
        <w:widowControl/>
        <w:kinsoku/>
        <w:wordWrap/>
        <w:overflowPunct/>
        <w:topLinePunct w:val="0"/>
        <w:bidi w:val="0"/>
        <w:adjustRightInd w:val="0"/>
        <w:snapToGrid/>
        <w:spacing w:line="240" w:lineRule="auto"/>
        <w:ind w:right="0" w:rightChars="0" w:firstLine="600" w:firstLineChars="200"/>
        <w:contextualSpacing/>
        <w:jc w:val="left"/>
        <w:rPr>
          <w:rFonts w:hint="eastAsia" w:ascii="仿宋_GB2312" w:hAnsi="仿宋_GB2312" w:eastAsia="仿宋_GB2312" w:cs="仿宋_GB2312"/>
          <w:color w:val="000000"/>
          <w:kern w:val="2"/>
          <w:sz w:val="30"/>
          <w:szCs w:val="30"/>
          <w:lang w:val="zh-CN" w:eastAsia="zh-CN" w:bidi="ar-SA"/>
        </w:rPr>
      </w:pPr>
      <w:r>
        <w:rPr>
          <w:rFonts w:hint="eastAsia" w:ascii="仿宋_GB2312" w:hAnsi="仿宋_GB2312" w:eastAsia="仿宋_GB2312" w:cs="仿宋_GB2312"/>
          <w:color w:val="000000"/>
          <w:kern w:val="2"/>
          <w:sz w:val="30"/>
          <w:szCs w:val="30"/>
          <w:lang w:val="zh-CN" w:eastAsia="zh-CN" w:bidi="ar-SA"/>
        </w:rPr>
        <w:t>2019年</w:t>
      </w:r>
      <w:r>
        <w:rPr>
          <w:rFonts w:hint="eastAsia" w:ascii="仿宋_GB2312" w:hAnsi="仿宋_GB2312" w:eastAsia="仿宋_GB2312" w:cs="仿宋_GB2312"/>
          <w:color w:val="000000"/>
          <w:kern w:val="2"/>
          <w:sz w:val="30"/>
          <w:szCs w:val="30"/>
          <w:lang w:val="en-US" w:eastAsia="zh-CN" w:bidi="ar-SA"/>
        </w:rPr>
        <w:t>我部门</w:t>
      </w:r>
      <w:r>
        <w:rPr>
          <w:rFonts w:hint="eastAsia" w:ascii="仿宋_GB2312" w:hAnsi="仿宋_GB2312" w:eastAsia="仿宋_GB2312" w:cs="仿宋_GB2312"/>
          <w:color w:val="000000"/>
          <w:kern w:val="2"/>
          <w:sz w:val="30"/>
          <w:szCs w:val="30"/>
          <w:lang w:val="zh-CN" w:eastAsia="zh-CN" w:bidi="ar-SA"/>
        </w:rPr>
        <w:t>严格结合单位实际工作开展情况和上年决算情况编制部门预算。围绕中心工作任务，严格按照预算编制要求，完成部门预算基础库更新，分项分解预算目标任务，预算编制准确。年初制定支出计划，每月按照支出计划列支支出。严格按照单位规章制度列支，最大发挥财政资金使用效益。</w:t>
      </w:r>
    </w:p>
    <w:p>
      <w:pPr>
        <w:pageBreakBefore w:val="0"/>
        <w:widowControl/>
        <w:kinsoku/>
        <w:wordWrap/>
        <w:overflowPunct/>
        <w:topLinePunct w:val="0"/>
        <w:bidi w:val="0"/>
        <w:adjustRightInd w:val="0"/>
        <w:snapToGrid/>
        <w:spacing w:line="240" w:lineRule="auto"/>
        <w:ind w:right="0" w:rightChars="0" w:firstLine="600" w:firstLineChars="200"/>
        <w:contextualSpacing/>
        <w:jc w:val="left"/>
        <w:rPr>
          <w:rFonts w:hint="eastAsia" w:ascii="仿宋_GB2312" w:hAnsi="仿宋_GB2312" w:eastAsia="仿宋_GB2312" w:cs="仿宋_GB2312"/>
          <w:color w:val="000000"/>
          <w:kern w:val="2"/>
          <w:sz w:val="30"/>
          <w:szCs w:val="30"/>
          <w:lang w:val="zh-CN" w:eastAsia="zh-CN" w:bidi="ar-SA"/>
        </w:rPr>
      </w:pPr>
      <w:r>
        <w:rPr>
          <w:rFonts w:hint="eastAsia" w:ascii="仿宋_GB2312" w:hAnsi="仿宋_GB2312" w:eastAsia="仿宋_GB2312" w:cs="仿宋_GB2312"/>
          <w:color w:val="000000"/>
          <w:kern w:val="2"/>
          <w:sz w:val="30"/>
          <w:szCs w:val="30"/>
          <w:lang w:val="zh-CN" w:eastAsia="zh-CN" w:bidi="ar-SA"/>
        </w:rPr>
        <w:t>（二）结果应用情况。</w:t>
      </w:r>
    </w:p>
    <w:p>
      <w:pPr>
        <w:spacing w:line="580" w:lineRule="exact"/>
        <w:ind w:firstLine="600" w:firstLineChars="200"/>
        <w:outlineLvl w:val="9"/>
        <w:rPr>
          <w:rFonts w:hint="eastAsia" w:ascii="仿宋_GB2312" w:hAnsi="仿宋_GB2312" w:eastAsia="仿宋_GB2312" w:cs="仿宋_GB2312"/>
          <w:color w:val="000000"/>
          <w:kern w:val="2"/>
          <w:sz w:val="30"/>
          <w:szCs w:val="30"/>
          <w:lang w:val="zh-CN" w:eastAsia="zh-CN" w:bidi="ar-SA"/>
        </w:rPr>
      </w:pPr>
      <w:r>
        <w:rPr>
          <w:rFonts w:hint="eastAsia" w:ascii="仿宋_GB2312" w:hAnsi="仿宋_GB2312" w:eastAsia="仿宋_GB2312" w:cs="仿宋_GB2312"/>
          <w:color w:val="000000"/>
          <w:kern w:val="2"/>
          <w:sz w:val="30"/>
          <w:szCs w:val="30"/>
          <w:lang w:val="en-US" w:eastAsia="zh-CN" w:bidi="ar-SA"/>
        </w:rPr>
        <w:t>我单位</w:t>
      </w:r>
      <w:r>
        <w:rPr>
          <w:rFonts w:hint="eastAsia" w:ascii="仿宋_GB2312" w:hAnsi="仿宋_GB2312" w:eastAsia="仿宋_GB2312" w:cs="仿宋_GB2312"/>
          <w:color w:val="000000"/>
          <w:kern w:val="2"/>
          <w:sz w:val="30"/>
          <w:szCs w:val="30"/>
          <w:lang w:val="zh-CN" w:eastAsia="zh-CN" w:bidi="ar-SA"/>
        </w:rPr>
        <w:t>结合决算支出情况开展了</w:t>
      </w:r>
      <w:r>
        <w:rPr>
          <w:rFonts w:hint="eastAsia" w:ascii="仿宋_GB2312" w:hAnsi="仿宋_GB2312" w:eastAsia="仿宋_GB2312" w:cs="仿宋_GB2312"/>
          <w:color w:val="000000"/>
          <w:kern w:val="2"/>
          <w:sz w:val="30"/>
          <w:szCs w:val="30"/>
          <w:lang w:val="en-US" w:eastAsia="zh-CN" w:bidi="ar-SA"/>
        </w:rPr>
        <w:t>部门整体</w:t>
      </w:r>
      <w:r>
        <w:rPr>
          <w:rFonts w:hint="eastAsia" w:ascii="仿宋_GB2312" w:hAnsi="仿宋_GB2312" w:eastAsia="仿宋_GB2312" w:cs="仿宋_GB2312"/>
          <w:color w:val="000000"/>
          <w:kern w:val="2"/>
          <w:sz w:val="30"/>
          <w:szCs w:val="30"/>
          <w:lang w:val="zh-CN" w:eastAsia="zh-CN" w:bidi="ar-SA"/>
        </w:rPr>
        <w:t>绩效自评，针对</w:t>
      </w:r>
      <w:r>
        <w:rPr>
          <w:rFonts w:hint="eastAsia" w:ascii="仿宋_GB2312" w:hAnsi="仿宋_GB2312" w:eastAsia="仿宋_GB2312" w:cs="仿宋_GB2312"/>
          <w:color w:val="000000"/>
          <w:kern w:val="2"/>
          <w:sz w:val="30"/>
          <w:szCs w:val="30"/>
          <w:lang w:val="en-US" w:eastAsia="zh-CN" w:bidi="ar-SA"/>
        </w:rPr>
        <w:t>3个项目</w:t>
      </w:r>
      <w:r>
        <w:rPr>
          <w:rFonts w:hint="eastAsia" w:ascii="仿宋_GB2312" w:hAnsi="仿宋_GB2312" w:eastAsia="仿宋_GB2312" w:cs="仿宋_GB2312"/>
          <w:color w:val="000000"/>
          <w:kern w:val="2"/>
          <w:sz w:val="30"/>
          <w:szCs w:val="30"/>
          <w:lang w:val="zh-CN" w:eastAsia="zh-CN" w:bidi="ar-SA"/>
        </w:rPr>
        <w:t>开展了详细的支出评估，按要求公开本部门的预算、决算、</w:t>
      </w:r>
      <w:r>
        <w:rPr>
          <w:rFonts w:hint="eastAsia" w:ascii="仿宋_GB2312" w:hAnsi="仿宋_GB2312" w:eastAsia="仿宋_GB2312" w:cs="仿宋_GB2312"/>
          <w:color w:val="000000"/>
          <w:kern w:val="2"/>
          <w:sz w:val="30"/>
          <w:szCs w:val="30"/>
          <w:lang w:val="en-US" w:eastAsia="zh-CN" w:bidi="ar-SA"/>
        </w:rPr>
        <w:t>绩效等</w:t>
      </w:r>
      <w:r>
        <w:rPr>
          <w:rFonts w:hint="eastAsia" w:ascii="仿宋_GB2312" w:hAnsi="仿宋_GB2312" w:eastAsia="仿宋_GB2312" w:cs="仿宋_GB2312"/>
          <w:color w:val="000000"/>
          <w:kern w:val="2"/>
          <w:sz w:val="30"/>
          <w:szCs w:val="30"/>
          <w:lang w:val="zh-CN" w:eastAsia="zh-CN" w:bidi="ar-SA"/>
        </w:rPr>
        <w:t>。对2020年的预算起到了很好的基础打底作用。</w:t>
      </w:r>
    </w:p>
    <w:p>
      <w:pPr>
        <w:pageBreakBefore w:val="0"/>
        <w:widowControl/>
        <w:kinsoku/>
        <w:wordWrap/>
        <w:overflowPunct/>
        <w:topLinePunct w:val="0"/>
        <w:bidi w:val="0"/>
        <w:adjustRightInd w:val="0"/>
        <w:snapToGrid/>
        <w:spacing w:line="240" w:lineRule="auto"/>
        <w:ind w:left="0" w:leftChars="0" w:right="0" w:rightChars="0" w:firstLine="0" w:firstLineChars="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ageBreakBefore w:val="0"/>
        <w:widowControl/>
        <w:kinsoku/>
        <w:wordWrap/>
        <w:overflowPunct/>
        <w:topLinePunct w:val="0"/>
        <w:bidi w:val="0"/>
        <w:adjustRightInd w:val="0"/>
        <w:snapToGrid/>
        <w:spacing w:line="240" w:lineRule="auto"/>
        <w:ind w:left="0" w:leftChars="0" w:right="0" w:rightChars="0" w:firstLine="600" w:firstLineChars="200"/>
        <w:contextualSpacing/>
        <w:jc w:val="left"/>
        <w:rPr>
          <w:rFonts w:hint="eastAsia" w:ascii="仿宋_GB2312" w:hAnsi="宋体" w:eastAsia="仿宋_GB2312" w:cs="宋体"/>
          <w:color w:val="000000"/>
          <w:kern w:val="0"/>
          <w:sz w:val="30"/>
          <w:szCs w:val="30"/>
          <w:shd w:val="clear" w:color="auto" w:fill="FFFFFF"/>
          <w:lang w:val="zh-CN"/>
        </w:rPr>
      </w:pPr>
      <w:r>
        <w:rPr>
          <w:rFonts w:hint="eastAsia" w:ascii="仿宋_GB2312" w:hAnsi="宋体" w:eastAsia="仿宋_GB2312" w:cs="宋体"/>
          <w:color w:val="000000"/>
          <w:kern w:val="0"/>
          <w:sz w:val="30"/>
          <w:szCs w:val="30"/>
          <w:shd w:val="clear" w:color="auto" w:fill="FFFFFF"/>
          <w:lang w:val="zh-CN"/>
        </w:rPr>
        <w:t>（一）评价结论。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00" w:firstLineChars="200"/>
        <w:textAlignment w:val="auto"/>
        <w:rPr>
          <w:sz w:val="30"/>
          <w:szCs w:val="30"/>
          <w:lang w:val="zh-CN"/>
        </w:rPr>
      </w:pPr>
      <w:r>
        <w:rPr>
          <w:rFonts w:hint="eastAsia" w:ascii="仿宋_GB2312" w:hAnsi="仿宋_GB2312" w:eastAsia="仿宋_GB2312" w:cs="仿宋_GB2312"/>
          <w:color w:val="000000" w:themeColor="text1"/>
          <w:sz w:val="30"/>
          <w:szCs w:val="30"/>
          <w:lang w:val="en-US" w:eastAsia="zh-CN"/>
        </w:rPr>
        <w:t>我单位</w:t>
      </w:r>
      <w:r>
        <w:rPr>
          <w:rFonts w:hint="eastAsia" w:ascii="仿宋_GB2312" w:hAnsi="仿宋_GB2312" w:eastAsia="仿宋_GB2312" w:cs="仿宋_GB2312"/>
          <w:color w:val="000000" w:themeColor="text1"/>
          <w:sz w:val="30"/>
          <w:szCs w:val="30"/>
        </w:rPr>
        <w:t>预决算编制较为准确，预算执行良好；支出管理规范，内控制度不断完善，基本支出保证了机关的正常运转及日常工作顺利开展，项目经费保障了重点工作的开展，达到了预期的绩效目标</w:t>
      </w:r>
      <w:r>
        <w:rPr>
          <w:rFonts w:hint="eastAsia" w:ascii="仿宋_GB2312" w:hAnsi="宋体" w:eastAsia="仿宋_GB2312" w:cs="宋体"/>
          <w:color w:val="000000"/>
          <w:kern w:val="0"/>
          <w:sz w:val="30"/>
          <w:szCs w:val="30"/>
          <w:shd w:val="clear" w:color="auto" w:fill="FFFFFF"/>
          <w:lang w:val="zh-CN"/>
        </w:rPr>
        <w:t>。</w:t>
      </w:r>
    </w:p>
    <w:p>
      <w:pPr>
        <w:pageBreakBefore w:val="0"/>
        <w:widowControl/>
        <w:numPr>
          <w:ilvl w:val="0"/>
          <w:numId w:val="4"/>
        </w:numPr>
        <w:kinsoku/>
        <w:wordWrap/>
        <w:overflowPunct/>
        <w:topLinePunct w:val="0"/>
        <w:bidi w:val="0"/>
        <w:adjustRightInd w:val="0"/>
        <w:snapToGrid/>
        <w:spacing w:line="240" w:lineRule="auto"/>
        <w:ind w:left="0" w:leftChars="0" w:right="0" w:rightChars="0" w:firstLine="600" w:firstLineChars="200"/>
        <w:contextualSpacing/>
        <w:jc w:val="left"/>
        <w:rPr>
          <w:rFonts w:hint="eastAsia" w:ascii="仿宋_GB2312" w:hAnsi="宋体" w:eastAsia="仿宋_GB2312" w:cs="宋体"/>
          <w:color w:val="000000"/>
          <w:kern w:val="0"/>
          <w:sz w:val="30"/>
          <w:szCs w:val="30"/>
          <w:shd w:val="clear" w:color="auto" w:fill="FFFFFF"/>
          <w:lang w:val="zh-CN"/>
        </w:rPr>
      </w:pPr>
      <w:r>
        <w:rPr>
          <w:rFonts w:hint="eastAsia" w:ascii="仿宋_GB2312" w:hAnsi="宋体" w:eastAsia="仿宋_GB2312" w:cs="宋体"/>
          <w:color w:val="000000"/>
          <w:kern w:val="0"/>
          <w:sz w:val="30"/>
          <w:szCs w:val="30"/>
          <w:shd w:val="clear" w:color="auto" w:fill="FFFFFF"/>
          <w:lang w:val="zh-CN"/>
        </w:rPr>
        <w:t>存在问题。</w:t>
      </w:r>
    </w:p>
    <w:p>
      <w:pPr>
        <w:pStyle w:val="2"/>
        <w:numPr>
          <w:ilvl w:val="0"/>
          <w:numId w:val="0"/>
        </w:numPr>
        <w:ind w:firstLine="600" w:firstLineChars="200"/>
        <w:rPr>
          <w:sz w:val="30"/>
          <w:szCs w:val="30"/>
          <w:lang w:val="zh-CN"/>
        </w:rPr>
      </w:pPr>
      <w:r>
        <w:rPr>
          <w:rFonts w:hint="eastAsia" w:ascii="仿宋_GB2312" w:hAnsi="宋体" w:eastAsia="仿宋_GB2312" w:cs="宋体"/>
          <w:color w:val="000000"/>
          <w:kern w:val="0"/>
          <w:sz w:val="30"/>
          <w:szCs w:val="30"/>
          <w:shd w:val="clear" w:color="auto" w:fill="FFFFFF"/>
          <w:lang w:val="zh-CN"/>
        </w:rPr>
        <w:t>采用公务卡支出结算率较低。</w:t>
      </w:r>
      <w:r>
        <w:rPr>
          <w:rFonts w:hint="eastAsia" w:ascii="仿宋_GB2312" w:hAnsi="仿宋_GB2312" w:eastAsia="仿宋_GB2312" w:cs="仿宋_GB2312"/>
          <w:color w:val="000000" w:themeColor="text1"/>
          <w:sz w:val="30"/>
          <w:szCs w:val="30"/>
        </w:rPr>
        <w:t>资金效益发挥不太好</w:t>
      </w:r>
    </w:p>
    <w:p>
      <w:pPr>
        <w:pageBreakBefore w:val="0"/>
        <w:widowControl/>
        <w:kinsoku/>
        <w:wordWrap/>
        <w:overflowPunct/>
        <w:topLinePunct w:val="0"/>
        <w:bidi w:val="0"/>
        <w:adjustRightInd w:val="0"/>
        <w:snapToGrid/>
        <w:spacing w:line="240" w:lineRule="auto"/>
        <w:ind w:left="0" w:leftChars="0" w:right="0" w:rightChars="0" w:firstLine="600" w:firstLineChars="200"/>
        <w:contextualSpacing/>
        <w:jc w:val="left"/>
        <w:rPr>
          <w:rFonts w:hint="eastAsia" w:ascii="仿宋_GB2312" w:hAnsi="宋体" w:eastAsia="仿宋_GB2312" w:cs="宋体"/>
          <w:color w:val="000000"/>
          <w:kern w:val="0"/>
          <w:sz w:val="30"/>
          <w:szCs w:val="30"/>
          <w:shd w:val="clear" w:color="auto" w:fill="FFFFFF"/>
          <w:lang w:val="zh-CN"/>
        </w:rPr>
      </w:pPr>
      <w:r>
        <w:rPr>
          <w:rFonts w:hint="eastAsia" w:ascii="仿宋_GB2312" w:hAnsi="宋体" w:eastAsia="仿宋_GB2312" w:cs="宋体"/>
          <w:color w:val="000000"/>
          <w:kern w:val="0"/>
          <w:sz w:val="30"/>
          <w:szCs w:val="30"/>
          <w:shd w:val="clear" w:color="auto" w:fill="FFFFFF"/>
          <w:lang w:val="zh-CN"/>
        </w:rPr>
        <w:t>（三）改进建议。</w:t>
      </w:r>
    </w:p>
    <w:p>
      <w:pPr>
        <w:pStyle w:val="22"/>
        <w:pageBreakBefore w:val="0"/>
        <w:kinsoku/>
        <w:wordWrap/>
        <w:overflowPunct/>
        <w:topLinePunct w:val="0"/>
        <w:bidi w:val="0"/>
        <w:snapToGrid/>
        <w:spacing w:line="240" w:lineRule="auto"/>
        <w:ind w:left="0" w:leftChars="0" w:right="0" w:rightChars="0" w:firstLine="0" w:firstLineChars="0"/>
        <w:jc w:val="left"/>
        <w:rPr>
          <w:sz w:val="30"/>
          <w:szCs w:val="30"/>
        </w:rPr>
      </w:pPr>
      <w:r>
        <w:rPr>
          <w:rFonts w:hint="eastAsia" w:ascii="仿宋_GB2312" w:hAnsi="仿宋_GB2312" w:eastAsia="仿宋_GB2312" w:cs="仿宋_GB2312"/>
          <w:color w:val="000000" w:themeColor="text1"/>
          <w:sz w:val="30"/>
          <w:szCs w:val="30"/>
        </w:rPr>
        <w:t>一是提高预算编制的准确性。二是</w:t>
      </w:r>
      <w:r>
        <w:rPr>
          <w:rFonts w:hint="eastAsia" w:ascii="仿宋_GB2312" w:hAnsi="宋体" w:eastAsia="仿宋_GB2312" w:cs="宋体"/>
          <w:color w:val="000000"/>
          <w:kern w:val="0"/>
          <w:sz w:val="30"/>
          <w:szCs w:val="30"/>
          <w:shd w:val="clear" w:color="auto" w:fill="FFFFFF"/>
          <w:lang w:val="zh-CN"/>
        </w:rPr>
        <w:t>进一步提高公务卡结算率，强化内部控制管理。</w:t>
      </w:r>
    </w:p>
    <w:p>
      <w:pPr>
        <w:rPr>
          <w:rFonts w:ascii="黑体" w:hAnsi="宋体" w:eastAsia="黑体" w:cs="宋体"/>
          <w:color w:val="000000"/>
          <w:kern w:val="0"/>
          <w:sz w:val="24"/>
          <w:szCs w:val="32"/>
          <w:shd w:val="clear" w:color="auto" w:fill="FFFFFF"/>
        </w:rPr>
      </w:pPr>
      <w:r>
        <w:rPr>
          <w:rFonts w:ascii="黑体" w:hAnsi="宋体" w:eastAsia="黑体" w:cs="宋体"/>
          <w:color w:val="000000"/>
          <w:kern w:val="0"/>
          <w:sz w:val="24"/>
          <w:szCs w:val="32"/>
          <w:shd w:val="clear" w:color="auto" w:fill="FFFFFF"/>
        </w:rPr>
        <w:br w:type="page"/>
      </w:r>
    </w:p>
    <w:p>
      <w:pPr>
        <w:pageBreakBefore w:val="0"/>
        <w:kinsoku/>
        <w:wordWrap/>
        <w:overflowPunct/>
        <w:topLinePunct w:val="0"/>
        <w:bidi w:val="0"/>
        <w:snapToGrid/>
        <w:spacing w:line="240" w:lineRule="auto"/>
        <w:ind w:left="0" w:leftChars="0" w:right="0" w:rightChars="0" w:firstLine="0" w:firstLineChars="0"/>
        <w:jc w:val="both"/>
        <w:outlineLvl w:val="1"/>
        <w:rPr>
          <w:rFonts w:hint="eastAsia" w:ascii="Times New Roman" w:hAnsi="Times New Roman" w:eastAsia="方正小标宋简体" w:cs="Times New Roman"/>
          <w:color w:val="000000"/>
          <w:sz w:val="30"/>
          <w:szCs w:val="30"/>
        </w:rPr>
      </w:pPr>
      <w:bookmarkStart w:id="87" w:name="_Toc27091"/>
      <w:r>
        <w:rPr>
          <w:rFonts w:hint="eastAsia" w:ascii="黑体" w:hAnsi="黑体" w:eastAsia="黑体" w:cs="黑体"/>
          <w:sz w:val="30"/>
          <w:szCs w:val="30"/>
          <w:highlight w:val="none"/>
          <w:lang w:eastAsia="zh-CN"/>
        </w:rPr>
        <w:t>附件：2.</w:t>
      </w:r>
      <w:r>
        <w:rPr>
          <w:rFonts w:hint="eastAsia" w:ascii="黑体" w:hAnsi="黑体" w:eastAsia="黑体" w:cs="黑体"/>
          <w:sz w:val="30"/>
          <w:szCs w:val="30"/>
        </w:rPr>
        <w:t>2019年</w:t>
      </w:r>
      <w:r>
        <w:rPr>
          <w:rFonts w:hint="eastAsia" w:ascii="黑体" w:hAnsi="黑体" w:eastAsia="黑体" w:cs="黑体"/>
          <w:sz w:val="30"/>
          <w:szCs w:val="30"/>
          <w:lang w:val="en-US" w:eastAsia="zh-CN"/>
        </w:rPr>
        <w:t>度</w:t>
      </w:r>
      <w:r>
        <w:rPr>
          <w:rFonts w:hint="eastAsia" w:ascii="黑体" w:hAnsi="黑体" w:eastAsia="黑体" w:cs="黑体"/>
          <w:sz w:val="30"/>
          <w:szCs w:val="30"/>
        </w:rPr>
        <w:t>外宣工作绩效评价报告</w:t>
      </w:r>
      <w:bookmarkEnd w:id="87"/>
    </w:p>
    <w:p>
      <w:pPr>
        <w:pageBreakBefore w:val="0"/>
        <w:kinsoku/>
        <w:wordWrap/>
        <w:overflowPunct/>
        <w:topLinePunct w:val="0"/>
        <w:bidi w:val="0"/>
        <w:snapToGrid/>
        <w:spacing w:line="240" w:lineRule="auto"/>
        <w:ind w:left="0" w:leftChars="0" w:right="0" w:rightChars="0" w:firstLine="0" w:firstLineChars="0"/>
        <w:jc w:val="left"/>
        <w:outlineLvl w:val="9"/>
        <w:rPr>
          <w:rFonts w:hint="eastAsia" w:ascii="黑体" w:hAnsi="黑体" w:eastAsia="黑体" w:cs="黑体"/>
          <w:sz w:val="32"/>
          <w:szCs w:val="32"/>
          <w:lang w:eastAsia="zh-CN"/>
        </w:rPr>
      </w:pPr>
    </w:p>
    <w:p>
      <w:pPr>
        <w:pageBreakBefore w:val="0"/>
        <w:kinsoku/>
        <w:wordWrap/>
        <w:overflowPunct/>
        <w:topLinePunct w:val="0"/>
        <w:bidi w:val="0"/>
        <w:snapToGrid/>
        <w:spacing w:line="240" w:lineRule="auto"/>
        <w:ind w:left="0" w:leftChars="0" w:right="0" w:rightChars="0" w:firstLine="0" w:firstLineChars="0"/>
        <w:jc w:val="center"/>
        <w:outlineLvl w:val="9"/>
        <w:rPr>
          <w:rFonts w:hint="eastAsia" w:ascii="Times New Roman" w:hAnsi="Times New Roman" w:eastAsia="方正小标宋简体" w:cs="Times New Roman"/>
          <w:color w:val="000000"/>
          <w:sz w:val="36"/>
          <w:szCs w:val="36"/>
        </w:rPr>
      </w:pPr>
      <w:r>
        <w:rPr>
          <w:rFonts w:hint="eastAsia" w:ascii="黑体" w:hAnsi="黑体" w:eastAsia="黑体" w:cs="黑体"/>
          <w:sz w:val="36"/>
          <w:szCs w:val="36"/>
        </w:rPr>
        <w:t>2019年</w:t>
      </w:r>
      <w:r>
        <w:rPr>
          <w:rFonts w:hint="eastAsia" w:ascii="黑体" w:hAnsi="黑体" w:eastAsia="黑体" w:cs="黑体"/>
          <w:sz w:val="36"/>
          <w:szCs w:val="36"/>
          <w:lang w:val="en-US" w:eastAsia="zh-CN"/>
        </w:rPr>
        <w:t>度</w:t>
      </w:r>
      <w:r>
        <w:rPr>
          <w:rFonts w:hint="eastAsia" w:ascii="黑体" w:hAnsi="黑体" w:eastAsia="黑体" w:cs="黑体"/>
          <w:sz w:val="36"/>
          <w:szCs w:val="36"/>
        </w:rPr>
        <w:t>外宣工作绩效评价报告</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rPr>
        <w:t>一、</w:t>
      </w:r>
      <w:r>
        <w:rPr>
          <w:rFonts w:hint="eastAsia" w:ascii="仿宋_GB2312" w:hAnsi="仿宋_GB2312" w:eastAsia="仿宋_GB2312" w:cs="仿宋_GB2312"/>
          <w:sz w:val="30"/>
          <w:szCs w:val="30"/>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sz w:val="30"/>
          <w:szCs w:val="30"/>
          <w:lang w:val="zh-CN"/>
        </w:rPr>
        <w:t>1．在该项目管理中的职能。</w:t>
      </w:r>
      <w:r>
        <w:rPr>
          <w:rFonts w:hint="eastAsia" w:ascii="仿宋_GB2312" w:hAnsi="仿宋_GB2312" w:eastAsia="仿宋_GB2312" w:cs="仿宋_GB2312"/>
          <w:sz w:val="30"/>
          <w:szCs w:val="30"/>
          <w:lang w:val="en-US" w:eastAsia="zh-CN"/>
        </w:rPr>
        <w:t>根据机构设置，区委宣传部负责</w:t>
      </w:r>
      <w:r>
        <w:rPr>
          <w:rFonts w:hint="eastAsia" w:ascii="仿宋_GB2312" w:hAnsi="仿宋_GB2312" w:eastAsia="仿宋_GB2312" w:cs="仿宋_GB2312"/>
          <w:b w:val="0"/>
          <w:bCs/>
          <w:color w:val="000000"/>
          <w:sz w:val="30"/>
          <w:szCs w:val="30"/>
        </w:rPr>
        <w:t>统筹协调全区对外宣传工作，指导协调区级新闻单位工作和全区对外文化交流工作</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000000"/>
          <w:sz w:val="30"/>
          <w:szCs w:val="30"/>
          <w:lang w:val="en-US" w:eastAsia="zh-CN"/>
        </w:rPr>
        <w:t>负责组织开展外宣工作。</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val="0"/>
          <w:bCs/>
          <w:color w:val="000000"/>
          <w:sz w:val="30"/>
          <w:szCs w:val="30"/>
          <w:lang w:val="en-US" w:eastAsia="zh-CN"/>
        </w:rPr>
        <w:t>2.</w:t>
      </w:r>
      <w:r>
        <w:rPr>
          <w:rFonts w:hint="eastAsia" w:ascii="仿宋_GB2312" w:hAnsi="仿宋_GB2312" w:eastAsia="仿宋_GB2312" w:cs="仿宋_GB2312"/>
          <w:sz w:val="30"/>
          <w:szCs w:val="30"/>
          <w:lang w:val="zh-CN"/>
        </w:rPr>
        <w:t>项目立项、资金申报的依据。</w:t>
      </w:r>
      <w:r>
        <w:rPr>
          <w:rFonts w:hint="eastAsia" w:ascii="仿宋_GB2312" w:hAnsi="仿宋_GB2312" w:eastAsia="仿宋_GB2312" w:cs="仿宋_GB2312"/>
          <w:b w:val="0"/>
          <w:bCs/>
          <w:color w:val="000000"/>
          <w:sz w:val="30"/>
          <w:szCs w:val="30"/>
          <w:lang w:val="en-US" w:eastAsia="zh-CN"/>
        </w:rPr>
        <w:t>外宣工作是</w:t>
      </w:r>
      <w:r>
        <w:rPr>
          <w:rFonts w:hint="eastAsia" w:ascii="仿宋_GB2312" w:hAnsi="仿宋_GB2312" w:eastAsia="仿宋_GB2312" w:cs="仿宋_GB2312"/>
          <w:b w:val="0"/>
          <w:bCs/>
          <w:color w:val="auto"/>
          <w:kern w:val="0"/>
          <w:sz w:val="30"/>
          <w:szCs w:val="30"/>
        </w:rPr>
        <w:t>提升昭化宣传力影响力</w:t>
      </w:r>
      <w:r>
        <w:rPr>
          <w:rFonts w:hint="eastAsia" w:ascii="仿宋_GB2312" w:hAnsi="仿宋_GB2312" w:eastAsia="仿宋_GB2312" w:cs="仿宋_GB2312"/>
          <w:b w:val="0"/>
          <w:bCs/>
          <w:color w:val="auto"/>
          <w:kern w:val="0"/>
          <w:sz w:val="30"/>
          <w:szCs w:val="30"/>
          <w:lang w:val="en-US" w:eastAsia="zh-CN"/>
        </w:rPr>
        <w:t>的重要方式方法，是展示昭化区脱贫攻坚成果、经济发展成效的重要途径。因此申请该项资金。</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在年初编制预算中，将</w:t>
      </w:r>
      <w:r>
        <w:rPr>
          <w:rFonts w:hint="eastAsia" w:ascii="仿宋_GB2312" w:hAnsi="仿宋_GB2312" w:eastAsia="仿宋_GB2312" w:cs="仿宋_GB2312"/>
          <w:sz w:val="30"/>
          <w:szCs w:val="30"/>
          <w:lang w:val="en-US" w:eastAsia="zh-CN"/>
        </w:rPr>
        <w:t>该项工作纳入绩效评价。在工作开展过程中，细化责任目标，</w:t>
      </w:r>
      <w:r>
        <w:rPr>
          <w:rFonts w:hint="eastAsia" w:ascii="仿宋_GB2312" w:hAnsi="仿宋_GB2312" w:eastAsia="仿宋_GB2312" w:cs="仿宋_GB2312"/>
          <w:sz w:val="30"/>
          <w:szCs w:val="30"/>
          <w:lang w:val="zh-CN"/>
        </w:rPr>
        <w:t>分步骤分阶段实施，严格控制支出规模和范围。每实施完一个阶段的工作，严格按照财务制度规范要求及时结清相关费用，根据绩效指标严格考评实施效果，针对实施过程中有偏差的，及时补正改进。</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根据制定的绩效</w:t>
      </w:r>
      <w:r>
        <w:rPr>
          <w:rFonts w:hint="eastAsia" w:ascii="仿宋_GB2312" w:hAnsi="仿宋_GB2312" w:eastAsia="仿宋_GB2312" w:cs="仿宋_GB2312"/>
          <w:sz w:val="30"/>
          <w:szCs w:val="30"/>
          <w:lang w:val="en-US" w:eastAsia="zh-CN"/>
        </w:rPr>
        <w:t>目标，结合往年经验和</w:t>
      </w:r>
      <w:r>
        <w:rPr>
          <w:rFonts w:hint="eastAsia" w:ascii="仿宋_GB2312" w:hAnsi="仿宋_GB2312" w:eastAsia="仿宋_GB2312" w:cs="仿宋_GB2312"/>
          <w:sz w:val="30"/>
          <w:szCs w:val="30"/>
          <w:lang w:val="zh-CN"/>
        </w:rPr>
        <w:t>实施中的具体</w:t>
      </w:r>
      <w:r>
        <w:rPr>
          <w:rFonts w:hint="eastAsia" w:ascii="仿宋_GB2312" w:hAnsi="仿宋_GB2312" w:eastAsia="仿宋_GB2312" w:cs="仿宋_GB2312"/>
          <w:sz w:val="30"/>
          <w:szCs w:val="30"/>
          <w:lang w:val="en-US" w:eastAsia="zh-CN"/>
        </w:rPr>
        <w:t>情况</w:t>
      </w:r>
      <w:r>
        <w:rPr>
          <w:rFonts w:hint="eastAsia" w:ascii="仿宋_GB2312" w:hAnsi="仿宋_GB2312" w:eastAsia="仿宋_GB2312" w:cs="仿宋_GB2312"/>
          <w:sz w:val="30"/>
          <w:szCs w:val="30"/>
          <w:lang w:val="zh-CN"/>
        </w:rPr>
        <w:t>，优先考虑和保障</w:t>
      </w:r>
      <w:r>
        <w:rPr>
          <w:rFonts w:hint="eastAsia" w:ascii="仿宋_GB2312" w:hAnsi="仿宋_GB2312" w:eastAsia="仿宋_GB2312" w:cs="仿宋_GB2312"/>
          <w:sz w:val="30"/>
          <w:szCs w:val="30"/>
          <w:lang w:val="en-US" w:eastAsia="zh-CN"/>
        </w:rPr>
        <w:t>效益突出、目标明确的支出</w:t>
      </w:r>
      <w:r>
        <w:rPr>
          <w:rFonts w:hint="eastAsia" w:ascii="仿宋_GB2312" w:hAnsi="仿宋_GB2312" w:eastAsia="仿宋_GB2312" w:cs="仿宋_GB2312"/>
          <w:sz w:val="30"/>
          <w:szCs w:val="30"/>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bCs/>
          <w:sz w:val="30"/>
          <w:szCs w:val="30"/>
          <w:lang w:val="zh-CN" w:eastAsia="zh-CN"/>
        </w:rPr>
      </w:pPr>
      <w:r>
        <w:rPr>
          <w:rFonts w:hint="eastAsia" w:ascii="仿宋_GB2312" w:hAnsi="仿宋_GB2312" w:eastAsia="仿宋_GB2312" w:cs="仿宋_GB2312"/>
          <w:b/>
          <w:bCs/>
          <w:sz w:val="30"/>
          <w:szCs w:val="30"/>
          <w:lang w:val="zh-CN" w:eastAsia="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1．项目主要内容。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组织</w:t>
      </w:r>
      <w:r>
        <w:rPr>
          <w:rFonts w:hint="eastAsia" w:ascii="仿宋_GB2312" w:hAnsi="仿宋_GB2312" w:eastAsia="仿宋_GB2312" w:cs="仿宋_GB2312"/>
          <w:color w:val="000000"/>
          <w:sz w:val="30"/>
          <w:szCs w:val="30"/>
        </w:rPr>
        <w:t>新闻宣传定期会商会议</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省级以上媒体参加的重大外宣活动</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完成省级及以上主流媒体发稿任务</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sz w:val="30"/>
          <w:szCs w:val="30"/>
          <w:lang w:val="en-US" w:eastAsia="zh-CN"/>
        </w:rPr>
        <w:t>开展专题宣传100期次及以上，积极开展新闻采访，发挥新闻媒体监督作用。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lang w:val="en-US" w:eastAsia="zh-CN"/>
        </w:rPr>
        <w:t>①</w:t>
      </w:r>
      <w:r>
        <w:rPr>
          <w:rFonts w:hint="eastAsia" w:ascii="仿宋_GB2312" w:hAnsi="仿宋_GB2312" w:eastAsia="仿宋_GB2312" w:cs="仿宋_GB2312"/>
          <w:color w:val="000000"/>
          <w:sz w:val="30"/>
          <w:szCs w:val="30"/>
        </w:rPr>
        <w:t>组织新闻宣传定期会商会议4次。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②</w:t>
      </w:r>
      <w:r>
        <w:rPr>
          <w:rFonts w:hint="eastAsia" w:ascii="仿宋_GB2312" w:hAnsi="仿宋_GB2312" w:eastAsia="仿宋_GB2312" w:cs="仿宋_GB2312"/>
          <w:color w:val="000000"/>
          <w:sz w:val="30"/>
          <w:szCs w:val="30"/>
        </w:rPr>
        <w:t>组织省级以上媒体参加的重大外宣活动2次</w:t>
      </w:r>
      <w:r>
        <w:rPr>
          <w:rFonts w:hint="eastAsia" w:ascii="仿宋_GB2312" w:hAnsi="仿宋_GB2312" w:eastAsia="仿宋_GB2312" w:cs="仿宋_GB231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③</w:t>
      </w:r>
      <w:r>
        <w:rPr>
          <w:rFonts w:hint="eastAsia" w:ascii="仿宋_GB2312" w:hAnsi="仿宋_GB2312" w:eastAsia="仿宋_GB2312" w:cs="仿宋_GB2312"/>
          <w:color w:val="000000"/>
          <w:sz w:val="30"/>
          <w:szCs w:val="30"/>
        </w:rPr>
        <w:t>完成省级及以上主流媒体发稿任务报刊和广电类200条；网络媒体类300条</w:t>
      </w:r>
      <w:r>
        <w:rPr>
          <w:rFonts w:hint="eastAsia" w:ascii="仿宋_GB2312" w:hAnsi="仿宋_GB2312" w:eastAsia="仿宋_GB2312" w:cs="仿宋_GB231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④组织四川日报重头稿件数量1篇及以上，广元日报重头稿件数量4条及以上；</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⑤开展专题宣传100期次及以上，发布各类新闻稿件2000条及以上。</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（三）项目自评步骤及方法。</w:t>
      </w:r>
    </w:p>
    <w:p>
      <w:pPr>
        <w:pStyle w:val="6"/>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b w:val="0"/>
          <w:bCs/>
          <w:sz w:val="30"/>
          <w:szCs w:val="30"/>
          <w:lang w:val="zh-CN"/>
        </w:rPr>
        <w:t>统计绩效目标数据，确保数据真实，</w:t>
      </w:r>
      <w:r>
        <w:rPr>
          <w:rFonts w:hint="eastAsia" w:ascii="仿宋_GB2312" w:hAnsi="仿宋_GB2312" w:eastAsia="仿宋_GB2312" w:cs="仿宋_GB2312"/>
          <w:b w:val="0"/>
          <w:bCs/>
          <w:sz w:val="30"/>
          <w:szCs w:val="30"/>
          <w:lang w:val="en-US" w:eastAsia="zh-CN"/>
        </w:rPr>
        <w:t>组织开展绩效</w:t>
      </w:r>
      <w:r>
        <w:rPr>
          <w:rFonts w:hint="eastAsia" w:ascii="仿宋_GB2312" w:hAnsi="仿宋_GB2312" w:eastAsia="仿宋_GB2312" w:cs="仿宋_GB2312"/>
          <w:b w:val="0"/>
          <w:bCs/>
          <w:sz w:val="30"/>
          <w:szCs w:val="30"/>
          <w:lang w:val="zh-CN"/>
        </w:rPr>
        <w:t>自评分析。</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年初预算将</w:t>
      </w:r>
      <w:r>
        <w:rPr>
          <w:rFonts w:hint="eastAsia" w:ascii="仿宋_GB2312" w:hAnsi="仿宋_GB2312" w:eastAsia="仿宋_GB2312" w:cs="仿宋_GB2312"/>
          <w:sz w:val="30"/>
          <w:szCs w:val="30"/>
          <w:lang w:val="en-US" w:eastAsia="zh-CN"/>
        </w:rPr>
        <w:t>外宣工作项目单列</w:t>
      </w:r>
      <w:r>
        <w:rPr>
          <w:rFonts w:hint="eastAsia" w:ascii="仿宋_GB2312" w:hAnsi="仿宋_GB2312" w:eastAsia="仿宋_GB2312" w:cs="仿宋_GB2312"/>
          <w:sz w:val="30"/>
          <w:szCs w:val="30"/>
          <w:lang w:val="zh-CN"/>
        </w:rPr>
        <w:t>，资金申报为</w:t>
      </w:r>
      <w:r>
        <w:rPr>
          <w:rFonts w:hint="eastAsia" w:ascii="仿宋_GB2312" w:hAnsi="仿宋_GB2312" w:eastAsia="仿宋_GB2312" w:cs="仿宋_GB2312"/>
          <w:sz w:val="30"/>
          <w:szCs w:val="30"/>
          <w:lang w:val="en-US" w:eastAsia="zh-CN"/>
        </w:rPr>
        <w:t>外宣工作项目</w:t>
      </w:r>
      <w:r>
        <w:rPr>
          <w:rFonts w:hint="eastAsia" w:ascii="仿宋_GB2312" w:hAnsi="仿宋_GB2312" w:eastAsia="仿宋_GB2312" w:cs="仿宋_GB2312"/>
          <w:sz w:val="30"/>
          <w:szCs w:val="30"/>
          <w:lang w:val="zh-CN"/>
        </w:rPr>
        <w:t>，资金来源为财政资金，批复随同2019年预算一起下达到。</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b/>
          <w:sz w:val="30"/>
          <w:szCs w:val="30"/>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bCs/>
          <w:sz w:val="30"/>
          <w:szCs w:val="30"/>
          <w:lang w:eastAsia="zh-CN"/>
        </w:rPr>
      </w:pPr>
      <w:r>
        <w:rPr>
          <w:rFonts w:hint="eastAsia" w:ascii="仿宋_GB2312" w:hAnsi="仿宋_GB2312" w:eastAsia="仿宋_GB2312" w:cs="仿宋_GB2312"/>
          <w:sz w:val="30"/>
          <w:szCs w:val="30"/>
          <w:lang w:val="zh-CN"/>
        </w:rPr>
        <w:t>1．资金计划。外宣工作</w:t>
      </w:r>
      <w:r>
        <w:rPr>
          <w:rFonts w:hint="eastAsia" w:ascii="仿宋_GB2312" w:hAnsi="仿宋_GB2312" w:eastAsia="仿宋_GB2312" w:cs="仿宋_GB2312"/>
          <w:bCs/>
          <w:sz w:val="30"/>
          <w:szCs w:val="30"/>
        </w:rPr>
        <w:t>经费</w:t>
      </w:r>
      <w:r>
        <w:rPr>
          <w:rFonts w:hint="eastAsia" w:ascii="仿宋_GB2312" w:hAnsi="仿宋_GB2312" w:eastAsia="仿宋_GB2312" w:cs="仿宋_GB2312"/>
          <w:bCs/>
          <w:sz w:val="30"/>
          <w:szCs w:val="30"/>
          <w:lang w:eastAsia="zh-CN"/>
        </w:rPr>
        <w:t>总计</w:t>
      </w:r>
      <w:r>
        <w:rPr>
          <w:rFonts w:hint="eastAsia" w:ascii="仿宋_GB2312" w:hAnsi="仿宋_GB2312" w:eastAsia="仿宋_GB2312" w:cs="仿宋_GB2312"/>
          <w:bCs/>
          <w:sz w:val="30"/>
          <w:szCs w:val="30"/>
          <w:lang w:val="en-US" w:eastAsia="zh-CN"/>
        </w:rPr>
        <w:t>20万元</w:t>
      </w:r>
      <w:r>
        <w:rPr>
          <w:rFonts w:hint="eastAsia" w:ascii="仿宋_GB2312" w:hAnsi="仿宋_GB2312" w:eastAsia="仿宋_GB2312" w:cs="仿宋_GB2312"/>
          <w:bCs/>
          <w:sz w:val="30"/>
          <w:szCs w:val="30"/>
          <w:lang w:val="zh-CN"/>
        </w:rPr>
        <w:t>于</w:t>
      </w:r>
      <w:r>
        <w:rPr>
          <w:rFonts w:hint="eastAsia" w:ascii="仿宋_GB2312" w:hAnsi="仿宋_GB2312" w:eastAsia="仿宋_GB2312" w:cs="仿宋_GB2312"/>
          <w:bCs/>
          <w:sz w:val="30"/>
          <w:szCs w:val="30"/>
        </w:rPr>
        <w:t>201</w:t>
      </w:r>
      <w:r>
        <w:rPr>
          <w:rFonts w:hint="eastAsia" w:ascii="仿宋_GB2312" w:hAnsi="仿宋_GB2312" w:eastAsia="仿宋_GB2312" w:cs="仿宋_GB2312"/>
          <w:bCs/>
          <w:sz w:val="30"/>
          <w:szCs w:val="30"/>
          <w:lang w:val="en-US" w:eastAsia="zh-CN"/>
        </w:rPr>
        <w:t>9</w:t>
      </w:r>
      <w:r>
        <w:rPr>
          <w:rFonts w:hint="eastAsia" w:ascii="仿宋_GB2312" w:hAnsi="仿宋_GB2312" w:eastAsia="仿宋_GB2312" w:cs="仿宋_GB2312"/>
          <w:bCs/>
          <w:sz w:val="30"/>
          <w:szCs w:val="30"/>
        </w:rPr>
        <w:t>年</w:t>
      </w:r>
      <w:r>
        <w:rPr>
          <w:rFonts w:hint="eastAsia" w:ascii="仿宋_GB2312" w:hAnsi="仿宋_GB2312" w:eastAsia="仿宋_GB2312" w:cs="仿宋_GB2312"/>
          <w:bCs/>
          <w:sz w:val="30"/>
          <w:szCs w:val="30"/>
          <w:lang w:eastAsia="zh-CN"/>
        </w:rPr>
        <w:t>财政预算。</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2．资金到位。外宣工作</w:t>
      </w:r>
      <w:r>
        <w:rPr>
          <w:rFonts w:hint="eastAsia" w:ascii="仿宋_GB2312" w:hAnsi="仿宋_GB2312" w:eastAsia="仿宋_GB2312" w:cs="仿宋_GB2312"/>
          <w:bCs/>
          <w:sz w:val="30"/>
          <w:szCs w:val="30"/>
        </w:rPr>
        <w:t>经费</w:t>
      </w:r>
      <w:r>
        <w:rPr>
          <w:rFonts w:hint="eastAsia" w:ascii="仿宋_GB2312" w:hAnsi="仿宋_GB2312" w:eastAsia="仿宋_GB2312" w:cs="仿宋_GB2312"/>
          <w:bCs/>
          <w:sz w:val="30"/>
          <w:szCs w:val="30"/>
          <w:lang w:val="en-US" w:eastAsia="zh-CN"/>
        </w:rPr>
        <w:t>20万元</w:t>
      </w:r>
      <w:r>
        <w:rPr>
          <w:rFonts w:hint="eastAsia" w:ascii="仿宋_GB2312" w:hAnsi="仿宋_GB2312" w:eastAsia="仿宋_GB2312" w:cs="仿宋_GB2312"/>
          <w:bCs/>
          <w:sz w:val="30"/>
          <w:szCs w:val="30"/>
        </w:rPr>
        <w:t>全部及时到位，到位率100%，全部由区财政全额预算</w:t>
      </w:r>
      <w:r>
        <w:rPr>
          <w:rFonts w:hint="eastAsia" w:ascii="仿宋_GB2312" w:hAnsi="仿宋_GB2312" w:eastAsia="仿宋_GB2312" w:cs="仿宋_GB2312"/>
          <w:bCs/>
          <w:sz w:val="30"/>
          <w:szCs w:val="30"/>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3．资金使用。</w:t>
      </w:r>
      <w:r>
        <w:rPr>
          <w:rFonts w:hint="eastAsia" w:ascii="仿宋_GB2312" w:hAnsi="仿宋_GB2312" w:eastAsia="仿宋_GB2312" w:cs="仿宋_GB2312"/>
          <w:sz w:val="30"/>
          <w:szCs w:val="30"/>
          <w:lang w:eastAsia="zh-CN"/>
        </w:rPr>
        <w:t>根据项目实施进展情况分批次支付，年末资金全部使用完毕。</w:t>
      </w:r>
      <w:r>
        <w:rPr>
          <w:rFonts w:hint="eastAsia" w:ascii="仿宋_GB2312" w:hAnsi="仿宋_GB2312" w:eastAsia="仿宋_GB2312" w:cs="仿宋_GB2312"/>
          <w:sz w:val="30"/>
          <w:szCs w:val="30"/>
          <w:lang w:val="zh-CN"/>
        </w:rPr>
        <w:t>资金开支范围：</w:t>
      </w:r>
      <w:r>
        <w:rPr>
          <w:rFonts w:hint="eastAsia" w:ascii="仿宋_GB2312" w:hAnsi="仿宋_GB2312" w:eastAsia="仿宋_GB2312" w:cs="仿宋_GB2312"/>
          <w:sz w:val="30"/>
          <w:szCs w:val="30"/>
          <w:lang w:val="en-US" w:eastAsia="zh-CN"/>
        </w:rPr>
        <w:t>包括广告费、打印费、</w:t>
      </w:r>
      <w:r>
        <w:rPr>
          <w:rFonts w:hint="eastAsia" w:ascii="仿宋_GB2312" w:hAnsi="仿宋_GB2312" w:eastAsia="仿宋_GB2312" w:cs="仿宋_GB2312"/>
          <w:sz w:val="30"/>
          <w:szCs w:val="30"/>
        </w:rPr>
        <w:t>差旅费、交通费等公务支出。</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项目财务管理制度执行财务管理制度，未设置项目管理机构，会计核算及账务处理统一纳入机关管理核算。对照项目资金管理办法，项目严格执行了财务管理制度、财务处理及时、会计核算规范。</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结合项目组织实施管理办法，重点围绕以下内容进行分析评价，并对自评中发现的问题分析说明。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sz w:val="30"/>
          <w:szCs w:val="30"/>
          <w:lang w:val="zh-CN"/>
        </w:rPr>
        <w:t>（一）项目组织架构及实施流程。</w:t>
      </w:r>
      <w:r>
        <w:rPr>
          <w:rFonts w:hint="eastAsia" w:ascii="仿宋_GB2312" w:hAnsi="仿宋_GB2312" w:eastAsia="仿宋_GB2312" w:cs="仿宋_GB2312"/>
          <w:b w:val="0"/>
          <w:bCs/>
          <w:sz w:val="30"/>
          <w:szCs w:val="30"/>
          <w:lang w:val="zh-CN"/>
        </w:rPr>
        <w:t>对于项目资金的使用</w:t>
      </w:r>
      <w:r>
        <w:rPr>
          <w:rFonts w:hint="eastAsia" w:ascii="仿宋_GB2312" w:hAnsi="仿宋_GB2312" w:eastAsia="仿宋_GB2312" w:cs="仿宋_GB2312"/>
          <w:sz w:val="30"/>
          <w:szCs w:val="30"/>
          <w:lang w:val="en-US" w:eastAsia="zh-CN"/>
        </w:rPr>
        <w:t>先审请，后审批，并加强事后监管。对专题宣传活动编写工作方案，按流程审批执行。宣传股和</w:t>
      </w:r>
      <w:r>
        <w:rPr>
          <w:rFonts w:hint="eastAsia" w:ascii="仿宋_GB2312" w:hAnsi="仿宋_GB2312" w:eastAsia="仿宋_GB2312" w:cs="仿宋_GB2312"/>
          <w:bCs/>
          <w:sz w:val="30"/>
          <w:szCs w:val="30"/>
          <w:shd w:val="clear" w:color="auto" w:fill="FFFFFF"/>
        </w:rPr>
        <w:t>办公室收集相关发票等材料，财务负责审核票据，按相关要求的进度拨付资金</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val="0"/>
          <w:bCs/>
          <w:sz w:val="30"/>
          <w:szCs w:val="30"/>
          <w:lang w:val="zh-CN"/>
        </w:rPr>
      </w:pPr>
      <w:r>
        <w:rPr>
          <w:rFonts w:hint="eastAsia" w:ascii="仿宋_GB2312" w:hAnsi="仿宋_GB2312" w:eastAsia="仿宋_GB2312" w:cs="仿宋_GB2312"/>
          <w:b/>
          <w:sz w:val="30"/>
          <w:szCs w:val="30"/>
          <w:lang w:val="zh-CN"/>
        </w:rPr>
        <w:t>（二）项目管理情况。</w:t>
      </w:r>
      <w:r>
        <w:rPr>
          <w:rFonts w:hint="eastAsia" w:ascii="仿宋_GB2312" w:hAnsi="仿宋_GB2312" w:eastAsia="仿宋_GB2312" w:cs="仿宋_GB2312"/>
          <w:b w:val="0"/>
          <w:bCs/>
          <w:sz w:val="30"/>
          <w:szCs w:val="30"/>
          <w:lang w:val="zh-CN"/>
        </w:rPr>
        <w:t>该项目根据年初预算时制定的</w:t>
      </w:r>
      <w:r>
        <w:rPr>
          <w:rFonts w:hint="eastAsia" w:ascii="仿宋_GB2312" w:hAnsi="仿宋_GB2312" w:eastAsia="仿宋_GB2312" w:cs="仿宋_GB2312"/>
          <w:b w:val="0"/>
          <w:bCs/>
          <w:sz w:val="30"/>
          <w:szCs w:val="30"/>
          <w:lang w:val="en-US" w:eastAsia="zh-CN"/>
        </w:rPr>
        <w:t>目标</w:t>
      </w:r>
      <w:r>
        <w:rPr>
          <w:rFonts w:hint="eastAsia" w:ascii="仿宋_GB2312" w:hAnsi="仿宋_GB2312" w:eastAsia="仿宋_GB2312" w:cs="仿宋_GB2312"/>
          <w:b w:val="0"/>
          <w:bCs/>
          <w:sz w:val="30"/>
          <w:szCs w:val="30"/>
          <w:lang w:val="zh-CN"/>
        </w:rPr>
        <w:t>，</w:t>
      </w:r>
      <w:r>
        <w:rPr>
          <w:rFonts w:hint="eastAsia" w:ascii="仿宋_GB2312" w:hAnsi="仿宋_GB2312" w:eastAsia="仿宋_GB2312" w:cs="仿宋_GB2312"/>
          <w:b w:val="0"/>
          <w:bCs/>
          <w:sz w:val="30"/>
          <w:szCs w:val="30"/>
          <w:lang w:val="en-US" w:eastAsia="zh-CN"/>
        </w:rPr>
        <w:t>统筹</w:t>
      </w:r>
      <w:r>
        <w:rPr>
          <w:rFonts w:hint="eastAsia" w:ascii="仿宋_GB2312" w:hAnsi="仿宋_GB2312" w:eastAsia="仿宋_GB2312" w:cs="仿宋_GB2312"/>
          <w:b w:val="0"/>
          <w:bCs/>
          <w:sz w:val="30"/>
          <w:szCs w:val="30"/>
          <w:lang w:val="zh-CN"/>
        </w:rPr>
        <w:t>推进，</w:t>
      </w:r>
      <w:r>
        <w:rPr>
          <w:rFonts w:hint="eastAsia" w:ascii="仿宋_GB2312" w:hAnsi="仿宋_GB2312" w:eastAsia="仿宋_GB2312" w:cs="仿宋_GB2312"/>
          <w:b w:val="0"/>
          <w:bCs/>
          <w:sz w:val="30"/>
          <w:szCs w:val="30"/>
          <w:lang w:val="en-US" w:eastAsia="zh-CN"/>
        </w:rPr>
        <w:t>宣传股</w:t>
      </w:r>
      <w:r>
        <w:rPr>
          <w:rFonts w:hint="eastAsia" w:ascii="仿宋_GB2312" w:hAnsi="仿宋_GB2312" w:eastAsia="仿宋_GB2312" w:cs="仿宋_GB2312"/>
          <w:b w:val="0"/>
          <w:bCs/>
          <w:sz w:val="30"/>
          <w:szCs w:val="30"/>
          <w:lang w:val="zh-CN"/>
        </w:rPr>
        <w:t>负责管理和实施，及时将相关资料和财务票据规整，经过分管领导审批后及时传财务入账。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b/>
          <w:sz w:val="30"/>
          <w:szCs w:val="30"/>
          <w:lang w:val="zh-CN"/>
        </w:rPr>
        <w:t>（三）项目监管情况。</w:t>
      </w:r>
      <w:r>
        <w:rPr>
          <w:rFonts w:hint="eastAsia" w:ascii="仿宋_GB2312" w:hAnsi="仿宋_GB2312" w:eastAsia="仿宋_GB2312" w:cs="仿宋_GB2312"/>
          <w:b w:val="0"/>
          <w:bCs/>
          <w:sz w:val="30"/>
          <w:szCs w:val="30"/>
          <w:lang w:val="zh-CN"/>
        </w:rPr>
        <w:t>组织部负责项目的实施和绩效自评，在项目实施期间，派专人跟踪</w:t>
      </w:r>
      <w:r>
        <w:rPr>
          <w:rFonts w:hint="eastAsia" w:ascii="仿宋_GB2312" w:hAnsi="仿宋_GB2312" w:eastAsia="仿宋_GB2312" w:cs="仿宋_GB2312"/>
          <w:b w:val="0"/>
          <w:bCs/>
          <w:sz w:val="30"/>
          <w:szCs w:val="30"/>
          <w:lang w:val="en-US" w:eastAsia="zh-CN"/>
        </w:rPr>
        <w:t>实施进度</w:t>
      </w:r>
      <w:r>
        <w:rPr>
          <w:rFonts w:hint="eastAsia" w:ascii="仿宋_GB2312" w:hAnsi="仿宋_GB2312" w:eastAsia="仿宋_GB2312" w:cs="仿宋_GB2312"/>
          <w:b w:val="0"/>
          <w:bCs/>
          <w:sz w:val="30"/>
          <w:szCs w:val="30"/>
          <w:lang w:val="zh-CN"/>
        </w:rPr>
        <w:t>，</w:t>
      </w:r>
      <w:r>
        <w:rPr>
          <w:rFonts w:hint="eastAsia" w:ascii="仿宋_GB2312" w:hAnsi="仿宋_GB2312" w:eastAsia="仿宋_GB2312" w:cs="仿宋_GB2312"/>
          <w:b w:val="0"/>
          <w:bCs/>
          <w:sz w:val="30"/>
          <w:szCs w:val="30"/>
          <w:lang w:val="en-US" w:eastAsia="zh-CN"/>
        </w:rPr>
        <w:t>重大宣传活动由部位会审核</w:t>
      </w:r>
      <w:r>
        <w:rPr>
          <w:rFonts w:hint="eastAsia" w:ascii="仿宋_GB2312" w:hAnsi="仿宋_GB2312" w:eastAsia="仿宋_GB2312" w:cs="仿宋_GB2312"/>
          <w:b w:val="0"/>
          <w:bCs/>
          <w:sz w:val="30"/>
          <w:szCs w:val="30"/>
          <w:lang w:val="zh-CN"/>
        </w:rPr>
        <w:t>，确保</w:t>
      </w:r>
      <w:r>
        <w:rPr>
          <w:rFonts w:hint="eastAsia" w:ascii="仿宋_GB2312" w:hAnsi="仿宋_GB2312" w:eastAsia="仿宋_GB2312" w:cs="仿宋_GB2312"/>
          <w:b w:val="0"/>
          <w:bCs/>
          <w:sz w:val="30"/>
          <w:szCs w:val="30"/>
          <w:lang w:val="en-US" w:eastAsia="zh-CN"/>
        </w:rPr>
        <w:t>实施</w:t>
      </w:r>
      <w:r>
        <w:rPr>
          <w:rFonts w:hint="eastAsia" w:ascii="仿宋_GB2312" w:hAnsi="仿宋_GB2312" w:eastAsia="仿宋_GB2312" w:cs="仿宋_GB2312"/>
          <w:b w:val="0"/>
          <w:bCs/>
          <w:sz w:val="30"/>
          <w:szCs w:val="30"/>
          <w:lang w:val="zh-CN"/>
        </w:rPr>
        <w:t>效果，提高财政资金使用效益。</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rPr>
        <w:t>四、项目绩效情况</w:t>
      </w:r>
      <w:r>
        <w:rPr>
          <w:rFonts w:hint="eastAsia" w:ascii="仿宋_GB2312" w:hAnsi="仿宋_GB2312" w:eastAsia="仿宋_GB2312" w:cs="仿宋_GB2312"/>
          <w:sz w:val="30"/>
          <w:szCs w:val="30"/>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截止</w:t>
      </w:r>
      <w:r>
        <w:rPr>
          <w:rFonts w:hint="eastAsia"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年12月31日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完成绩效目标</w:t>
      </w:r>
      <w:r>
        <w:rPr>
          <w:rFonts w:hint="eastAsia" w:ascii="仿宋_GB2312" w:hAnsi="仿宋_GB2312" w:eastAsia="仿宋_GB2312" w:cs="仿宋_GB2312"/>
          <w:sz w:val="30"/>
          <w:szCs w:val="30"/>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通过</w:t>
      </w:r>
      <w:r>
        <w:rPr>
          <w:rFonts w:hint="eastAsia" w:ascii="仿宋_GB2312" w:hAnsi="仿宋_GB2312" w:eastAsia="仿宋_GB2312" w:cs="仿宋_GB2312"/>
          <w:bCs/>
          <w:color w:val="000000"/>
          <w:sz w:val="30"/>
          <w:szCs w:val="30"/>
          <w:lang w:eastAsia="zh-CN"/>
        </w:rPr>
        <w:t>项目</w:t>
      </w:r>
      <w:r>
        <w:rPr>
          <w:rFonts w:hint="eastAsia" w:ascii="仿宋_GB2312" w:hAnsi="仿宋_GB2312" w:eastAsia="仿宋_GB2312" w:cs="仿宋_GB2312"/>
          <w:bCs/>
          <w:color w:val="000000"/>
          <w:sz w:val="30"/>
          <w:szCs w:val="30"/>
          <w:lang w:val="en-US" w:eastAsia="zh-CN"/>
        </w:rPr>
        <w:t>实施</w:t>
      </w:r>
      <w:r>
        <w:rPr>
          <w:rFonts w:hint="eastAsia" w:ascii="仿宋_GB2312" w:hAnsi="仿宋_GB2312" w:eastAsia="仿宋_GB2312" w:cs="仿宋_GB2312"/>
          <w:bCs/>
          <w:color w:val="000000"/>
          <w:sz w:val="30"/>
          <w:szCs w:val="30"/>
        </w:rPr>
        <w:t>，中央、省市主流广电、报刊、网络媒体上稿量明显提升，为我区经济社会高质量发展营造了有力舆论支持，昭化对外传播力，影响力明显增强。</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bdr w:val="single" w:color="auto" w:sz="4" w:space="0"/>
          <w:lang w:val="zh-CN"/>
        </w:rPr>
      </w:pPr>
      <w:r>
        <w:rPr>
          <w:rFonts w:hint="eastAsia" w:ascii="仿宋_GB2312" w:hAnsi="仿宋_GB2312" w:eastAsia="仿宋_GB2312" w:cs="仿宋_GB2312"/>
          <w:sz w:val="30"/>
          <w:szCs w:val="30"/>
          <w:lang w:val="zh-CN"/>
        </w:rPr>
        <w:t>结合项目自身特点、评价重点及管理办法等要求，围绕支出绩效评价指标体系对项目进行了总体评价，达到了项目预期目标。</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1、项目实施涉及内容多，支出范围过宽。2、重点宣传活动不够。3宣传形式不够多样。</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仿宋_GB2312" w:eastAsia="仿宋_GB2312" w:cs="仿宋_GB2312"/>
          <w:b/>
          <w:sz w:val="30"/>
          <w:szCs w:val="30"/>
          <w:lang w:val="zh-CN"/>
        </w:rPr>
      </w:pPr>
      <w:r>
        <w:rPr>
          <w:rFonts w:hint="eastAsia" w:ascii="仿宋_GB2312" w:hAnsi="仿宋_GB2312" w:eastAsia="仿宋_GB2312" w:cs="仿宋_GB2312"/>
          <w:b/>
          <w:sz w:val="30"/>
          <w:szCs w:val="30"/>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pPr>
      <w:r>
        <w:rPr>
          <w:rFonts w:hint="eastAsia" w:ascii="仿宋_GB2312" w:hAnsi="仿宋_GB2312" w:eastAsia="仿宋_GB2312" w:cs="仿宋_GB2312"/>
          <w:bCs/>
          <w:sz w:val="30"/>
          <w:szCs w:val="30"/>
          <w:lang w:val="en-US" w:eastAsia="zh-CN"/>
        </w:rPr>
        <w:t>1、提前谋划宣传主题，锁定宣传内容，支出向重点宣传主题倾斜，2、突出重点，打造精品，突出绩效。3、增强新媒体宣传力度。4、</w:t>
      </w:r>
      <w:r>
        <w:rPr>
          <w:rFonts w:hint="eastAsia" w:ascii="仿宋_GB2312" w:hAnsi="仿宋_GB2312" w:eastAsia="仿宋_GB2312" w:cs="仿宋_GB2312"/>
          <w:bCs/>
          <w:sz w:val="30"/>
          <w:szCs w:val="30"/>
          <w:lang w:val="zh-CN"/>
        </w:rPr>
        <w:t>进一步加强项目资金管理，</w:t>
      </w:r>
    </w:p>
    <w:p>
      <w:pPr>
        <w:outlineLvl w:val="9"/>
      </w:pPr>
      <w:r>
        <w:br w:type="page"/>
      </w:r>
    </w:p>
    <w:tbl>
      <w:tblPr>
        <w:tblStyle w:val="17"/>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749"/>
        <w:gridCol w:w="625"/>
        <w:gridCol w:w="551"/>
        <w:gridCol w:w="1275"/>
        <w:gridCol w:w="2312"/>
        <w:gridCol w:w="4448"/>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000000" w:sz="4" w:space="0"/>
              <w:right w:val="nil"/>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center"/>
              <w:textAlignment w:val="center"/>
              <w:rPr>
                <w:rFonts w:hint="eastAsia" w:ascii="宋体" w:hAnsi="宋体" w:eastAsia="宋体" w:cs="宋体"/>
                <w:color w:val="000000"/>
                <w:sz w:val="36"/>
                <w:szCs w:val="36"/>
                <w:lang w:eastAsia="zh-CN"/>
              </w:rPr>
            </w:pPr>
            <w:r>
              <w:rPr>
                <w:rFonts w:hint="eastAsia" w:ascii="宋体" w:hAnsi="宋体" w:cs="宋体"/>
                <w:b/>
                <w:bCs/>
                <w:color w:val="000000"/>
                <w:kern w:val="0"/>
                <w:sz w:val="30"/>
                <w:szCs w:val="30"/>
                <w:lang w:val="en-US" w:eastAsia="zh-CN"/>
              </w:rPr>
              <w:t>外宣工作</w:t>
            </w:r>
            <w:r>
              <w:rPr>
                <w:rFonts w:hint="eastAsia" w:ascii="宋体" w:hAnsi="宋体" w:cs="宋体"/>
                <w:b/>
                <w:bCs/>
                <w:color w:val="000000"/>
                <w:kern w:val="0"/>
                <w:sz w:val="30"/>
                <w:szCs w:val="30"/>
              </w:rPr>
              <w:t>项目绩效目标完成情况表</w:t>
            </w:r>
            <w:r>
              <w:rPr>
                <w:rFonts w:hint="eastAsia" w:ascii="宋体" w:hAnsi="宋体" w:cs="宋体"/>
                <w:b/>
                <w:bCs/>
                <w:color w:val="000000"/>
                <w:kern w:val="0"/>
                <w:sz w:val="30"/>
                <w:szCs w:val="30"/>
              </w:rPr>
              <w:br w:type="textWrapping"/>
            </w:r>
            <w:r>
              <w:rPr>
                <w:rFonts w:hint="eastAsia" w:ascii="宋体" w:hAnsi="宋体" w:cs="宋体"/>
                <w:color w:val="000000"/>
                <w:kern w:val="0"/>
                <w:sz w:val="30"/>
                <w:szCs w:val="30"/>
                <w:highlight w:val="none"/>
                <w:lang w:eastAsia="zh-CN"/>
              </w:rPr>
              <w:t>（</w:t>
            </w:r>
            <w:r>
              <w:rPr>
                <w:rFonts w:hint="eastAsia" w:ascii="宋体" w:hAnsi="宋体" w:cs="宋体"/>
                <w:color w:val="000000"/>
                <w:kern w:val="0"/>
                <w:sz w:val="30"/>
                <w:szCs w:val="30"/>
              </w:rPr>
              <w:t>2019 年度</w:t>
            </w:r>
            <w:r>
              <w:rPr>
                <w:rFonts w:hint="eastAsia" w:ascii="宋体" w:hAnsi="宋体" w:cs="宋体"/>
                <w:color w:val="000000"/>
                <w:kern w:val="0"/>
                <w:sz w:val="30"/>
                <w:szCs w:val="30"/>
                <w:highlight w:val="none"/>
                <w:lang w:eastAsia="zh-CN"/>
              </w:rPr>
              <w:t>）</w:t>
            </w:r>
          </w:p>
        </w:tc>
      </w:tr>
      <w:tr>
        <w:tblPrEx>
          <w:tblCellMar>
            <w:top w:w="0" w:type="dxa"/>
            <w:left w:w="0" w:type="dxa"/>
            <w:bottom w:w="0" w:type="dxa"/>
            <w:right w:w="0" w:type="dxa"/>
          </w:tblCellMar>
        </w:tblPrEx>
        <w:trPr>
          <w:trHeight w:val="276" w:hRule="atLeast"/>
          <w:jc w:val="center"/>
        </w:trPr>
        <w:tc>
          <w:tcPr>
            <w:tcW w:w="19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项目名称</w:t>
            </w:r>
          </w:p>
        </w:tc>
        <w:tc>
          <w:tcPr>
            <w:tcW w:w="8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sz w:val="24"/>
              </w:rPr>
              <w:t>外宣工作</w:t>
            </w:r>
          </w:p>
        </w:tc>
      </w:tr>
      <w:tr>
        <w:tblPrEx>
          <w:tblCellMar>
            <w:top w:w="0" w:type="dxa"/>
            <w:left w:w="0" w:type="dxa"/>
            <w:bottom w:w="0" w:type="dxa"/>
            <w:right w:w="0" w:type="dxa"/>
          </w:tblCellMar>
        </w:tblPrEx>
        <w:trPr>
          <w:trHeight w:val="276" w:hRule="atLeast"/>
          <w:jc w:val="center"/>
        </w:trPr>
        <w:tc>
          <w:tcPr>
            <w:tcW w:w="19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预算单位</w:t>
            </w:r>
          </w:p>
        </w:tc>
        <w:tc>
          <w:tcPr>
            <w:tcW w:w="8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sz w:val="24"/>
              </w:rPr>
              <w:t>区委宣传部</w:t>
            </w:r>
          </w:p>
        </w:tc>
      </w:tr>
      <w:tr>
        <w:tblPrEx>
          <w:tblCellMar>
            <w:top w:w="0" w:type="dxa"/>
            <w:left w:w="0" w:type="dxa"/>
            <w:bottom w:w="0" w:type="dxa"/>
            <w:right w:w="0" w:type="dxa"/>
          </w:tblCellMar>
        </w:tblPrEx>
        <w:trPr>
          <w:trHeight w:val="276" w:hRule="atLeast"/>
          <w:jc w:val="center"/>
        </w:trPr>
        <w:tc>
          <w:tcPr>
            <w:tcW w:w="7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rPr>
              <w:t>预算执行情况</w:t>
            </w:r>
            <w:r>
              <w:rPr>
                <w:rFonts w:hint="eastAsia" w:ascii="宋体" w:hAnsi="宋体" w:cs="宋体"/>
                <w:color w:val="000000"/>
                <w:kern w:val="0"/>
                <w:sz w:val="24"/>
                <w:highlight w:val="none"/>
                <w:lang w:eastAsia="zh-CN"/>
              </w:rPr>
              <w:t>（</w:t>
            </w:r>
            <w:r>
              <w:rPr>
                <w:rFonts w:hint="eastAsia" w:ascii="宋体" w:hAnsi="宋体" w:cs="宋体"/>
                <w:color w:val="000000"/>
                <w:kern w:val="0"/>
                <w:sz w:val="24"/>
              </w:rPr>
              <w:t>万元</w:t>
            </w:r>
            <w:r>
              <w:rPr>
                <w:rFonts w:hint="eastAsia" w:ascii="宋体" w:hAnsi="宋体" w:cs="宋体"/>
                <w:color w:val="000000"/>
                <w:kern w:val="0"/>
                <w:sz w:val="24"/>
                <w:highlight w:val="none"/>
                <w:lang w:eastAsia="zh-CN"/>
              </w:rPr>
              <w:t>）</w:t>
            </w:r>
          </w:p>
        </w:tc>
        <w:tc>
          <w:tcPr>
            <w:tcW w:w="11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预算数:</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sz w:val="24"/>
                <w:lang w:val="en-US" w:eastAsia="zh-CN"/>
              </w:rPr>
              <w:t>20万元</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执行数:</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20万元</w:t>
            </w:r>
          </w:p>
        </w:tc>
      </w:tr>
      <w:tr>
        <w:tblPrEx>
          <w:tblCellMar>
            <w:top w:w="0" w:type="dxa"/>
            <w:left w:w="0" w:type="dxa"/>
            <w:bottom w:w="0" w:type="dxa"/>
            <w:right w:w="0" w:type="dxa"/>
          </w:tblCellMar>
        </w:tblPrEx>
        <w:trPr>
          <w:trHeight w:val="276"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napToGrid/>
              <w:spacing w:line="240" w:lineRule="auto"/>
              <w:ind w:left="0" w:leftChars="0" w:right="0" w:rightChars="0" w:firstLine="0" w:firstLineChars="0"/>
              <w:jc w:val="left"/>
              <w:rPr>
                <w:rFonts w:ascii="宋体" w:hAnsi="宋体" w:cs="宋体"/>
                <w:color w:val="000000"/>
                <w:sz w:val="24"/>
              </w:rPr>
            </w:pPr>
          </w:p>
        </w:tc>
        <w:tc>
          <w:tcPr>
            <w:tcW w:w="11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其中-财政拨款:</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sz w:val="24"/>
                <w:lang w:val="en-US" w:eastAsia="zh-CN"/>
              </w:rPr>
              <w:t>20万元</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其中-财政拨款:</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sz w:val="24"/>
                <w:lang w:val="en-US" w:eastAsia="zh-CN"/>
              </w:rPr>
              <w:t>20万元</w:t>
            </w:r>
          </w:p>
        </w:tc>
      </w:tr>
      <w:tr>
        <w:tblPrEx>
          <w:tblCellMar>
            <w:top w:w="0" w:type="dxa"/>
            <w:left w:w="0" w:type="dxa"/>
            <w:bottom w:w="0" w:type="dxa"/>
            <w:right w:w="0" w:type="dxa"/>
          </w:tblCellMar>
        </w:tblPrEx>
        <w:trPr>
          <w:trHeight w:val="779"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napToGrid/>
              <w:spacing w:line="240" w:lineRule="auto"/>
              <w:ind w:left="0" w:leftChars="0" w:right="0" w:rightChars="0" w:firstLine="0" w:firstLineChars="0"/>
              <w:jc w:val="left"/>
              <w:rPr>
                <w:rFonts w:ascii="宋体" w:hAnsi="宋体" w:cs="宋体"/>
                <w:color w:val="000000"/>
                <w:sz w:val="24"/>
              </w:rPr>
            </w:pPr>
          </w:p>
        </w:tc>
        <w:tc>
          <w:tcPr>
            <w:tcW w:w="11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highlight w:val="none"/>
              </w:rPr>
              <w:t>其它</w:t>
            </w:r>
            <w:r>
              <w:rPr>
                <w:rFonts w:hint="eastAsia" w:ascii="宋体" w:hAnsi="宋体" w:cs="宋体"/>
                <w:color w:val="000000"/>
                <w:kern w:val="0"/>
                <w:sz w:val="24"/>
              </w:rPr>
              <w:t>资金:</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无</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highlight w:val="none"/>
              </w:rPr>
              <w:t>其它</w:t>
            </w:r>
            <w:r>
              <w:rPr>
                <w:rFonts w:hint="eastAsia" w:ascii="宋体" w:hAnsi="宋体" w:cs="宋体"/>
                <w:color w:val="000000"/>
                <w:kern w:val="0"/>
                <w:sz w:val="24"/>
              </w:rPr>
              <w:t>资金:</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napToGrid/>
              <w:spacing w:line="240" w:lineRule="auto"/>
              <w:ind w:left="0" w:leftChars="0" w:right="0" w:rightChars="0" w:firstLine="0" w:firstLineChars="0"/>
              <w:jc w:val="left"/>
              <w:rPr>
                <w:rFonts w:ascii="宋体" w:hAnsi="宋体" w:cs="宋体"/>
                <w:color w:val="000000"/>
                <w:sz w:val="24"/>
              </w:rPr>
            </w:pPr>
            <w:r>
              <w:rPr>
                <w:rFonts w:hint="eastAsia" w:ascii="宋体" w:hAnsi="宋体" w:cs="宋体"/>
                <w:color w:val="000000"/>
                <w:sz w:val="24"/>
                <w:lang w:val="en-US" w:eastAsia="zh-CN"/>
              </w:rPr>
              <w:t>无</w:t>
            </w:r>
          </w:p>
        </w:tc>
      </w:tr>
      <w:tr>
        <w:tblPrEx>
          <w:tblCellMar>
            <w:top w:w="0" w:type="dxa"/>
            <w:left w:w="0" w:type="dxa"/>
            <w:bottom w:w="0" w:type="dxa"/>
            <w:right w:w="0" w:type="dxa"/>
          </w:tblCellMar>
        </w:tblPrEx>
        <w:trPr>
          <w:trHeight w:val="276" w:hRule="atLeast"/>
          <w:jc w:val="center"/>
        </w:trPr>
        <w:tc>
          <w:tcPr>
            <w:tcW w:w="7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2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预期目标</w:t>
            </w:r>
          </w:p>
        </w:tc>
        <w:tc>
          <w:tcPr>
            <w:tcW w:w="6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napToGrid/>
              <w:spacing w:line="240" w:lineRule="auto"/>
              <w:ind w:left="0" w:leftChars="0" w:right="0" w:rightChars="0" w:firstLine="0" w:firstLineChars="0"/>
              <w:jc w:val="left"/>
              <w:rPr>
                <w:rFonts w:ascii="宋体" w:hAnsi="宋体" w:cs="宋体"/>
                <w:color w:val="000000"/>
                <w:sz w:val="24"/>
              </w:rPr>
            </w:pPr>
          </w:p>
        </w:tc>
        <w:tc>
          <w:tcPr>
            <w:tcW w:w="2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eastAsia" w:ascii="宋体" w:hAnsi="宋体" w:cs="宋体"/>
                <w:color w:val="000000"/>
                <w:sz w:val="24"/>
              </w:rPr>
            </w:pPr>
            <w:r>
              <w:rPr>
                <w:rFonts w:hint="eastAsia" w:ascii="宋体" w:hAnsi="宋体" w:cs="宋体"/>
                <w:color w:val="000000"/>
                <w:sz w:val="24"/>
              </w:rPr>
              <w:t>组织新闻宣传定期会商会议4次，组织省级以上媒体参加的重大外宣活动2次。</w:t>
            </w:r>
          </w:p>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sz w:val="24"/>
              </w:rPr>
              <w:t>完成省级及以上主流媒体发稿任务报刊和广电类200条；网络媒体类300条。</w:t>
            </w:r>
          </w:p>
        </w:tc>
        <w:tc>
          <w:tcPr>
            <w:tcW w:w="6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eastAsia" w:ascii="宋体" w:hAnsi="宋体" w:cs="宋体"/>
                <w:color w:val="000000"/>
                <w:sz w:val="24"/>
              </w:rPr>
            </w:pPr>
            <w:r>
              <w:rPr>
                <w:rFonts w:hint="eastAsia" w:ascii="宋体" w:hAnsi="宋体" w:cs="宋体"/>
                <w:color w:val="000000"/>
                <w:sz w:val="24"/>
              </w:rPr>
              <w:t>召开新闻媒体季度会商会</w:t>
            </w:r>
            <w:r>
              <w:rPr>
                <w:rFonts w:hint="eastAsia" w:ascii="宋体" w:hAnsi="宋体" w:cs="宋体"/>
                <w:color w:val="000000"/>
                <w:sz w:val="24"/>
                <w:lang w:val="en-US" w:eastAsia="zh-CN"/>
              </w:rPr>
              <w:t>4</w:t>
            </w:r>
            <w:r>
              <w:rPr>
                <w:rFonts w:hint="eastAsia" w:ascii="宋体" w:hAnsi="宋体" w:cs="宋体"/>
                <w:color w:val="000000"/>
                <w:sz w:val="24"/>
              </w:rPr>
              <w:t>次，邀请中央省级主流媒体40余家</w:t>
            </w:r>
            <w:r>
              <w:rPr>
                <w:rFonts w:hint="eastAsia" w:ascii="宋体" w:hAnsi="宋体" w:cs="宋体"/>
                <w:color w:val="000000"/>
                <w:sz w:val="24"/>
                <w:lang w:val="en-US" w:eastAsia="zh-CN"/>
              </w:rPr>
              <w:t>做客昭化</w:t>
            </w:r>
            <w:r>
              <w:rPr>
                <w:rFonts w:hint="eastAsia" w:ascii="宋体" w:hAnsi="宋体" w:cs="宋体"/>
                <w:color w:val="000000"/>
                <w:sz w:val="24"/>
              </w:rPr>
              <w:t>。</w:t>
            </w:r>
          </w:p>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eastAsia" w:ascii="宋体" w:hAnsi="宋体" w:cs="宋体"/>
                <w:color w:val="000000"/>
                <w:sz w:val="24"/>
              </w:rPr>
            </w:pPr>
            <w:r>
              <w:rPr>
                <w:rFonts w:hint="eastAsia" w:ascii="宋体" w:hAnsi="宋体" w:cs="宋体"/>
                <w:color w:val="000000"/>
                <w:sz w:val="24"/>
              </w:rPr>
              <w:t>主动策划俄罗斯媒体四川广元昭化行、CCTV-4《城市1对1》走进昭化、央视国际频道《记住乡愁》走进昭化古城等重大外宣活动11次。</w:t>
            </w:r>
          </w:p>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sz w:val="24"/>
              </w:rPr>
              <w:t>在省级以上报刊和广电主流媒体发稿456条、网络媒体发稿1100余条。其中，《人民日报》头版以“雷厉风行久久为功，各地打好城市黑臭水体治理标志性重大战役”，《人民日报》海外版5次报道我区工作；《四川日报》发稿14条，四川电视台四川新闻发稿19条。</w:t>
            </w:r>
          </w:p>
        </w:tc>
      </w:tr>
      <w:tr>
        <w:tblPrEx>
          <w:tblCellMar>
            <w:top w:w="0" w:type="dxa"/>
            <w:left w:w="0" w:type="dxa"/>
            <w:bottom w:w="0" w:type="dxa"/>
            <w:right w:w="0" w:type="dxa"/>
          </w:tblCellMar>
        </w:tblPrEx>
        <w:trPr>
          <w:trHeight w:val="1042" w:hRule="atLeast"/>
          <w:jc w:val="center"/>
        </w:trPr>
        <w:tc>
          <w:tcPr>
            <w:tcW w:w="7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sz w:val="24"/>
              </w:rPr>
              <w:t>绩效指标完成情况</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一级指标</w:t>
            </w:r>
          </w:p>
        </w:tc>
        <w:tc>
          <w:tcPr>
            <w:tcW w:w="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二级指标</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三级指标</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rPr>
              <w:t>预期指标值</w:t>
            </w:r>
            <w:r>
              <w:rPr>
                <w:rFonts w:hint="eastAsia" w:ascii="宋体" w:hAnsi="宋体" w:cs="宋体"/>
                <w:color w:val="000000"/>
                <w:kern w:val="0"/>
                <w:sz w:val="24"/>
                <w:highlight w:val="none"/>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highlight w:val="none"/>
                <w:lang w:eastAsia="zh-CN"/>
              </w:rPr>
              <w:t>）</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rPr>
              <w:t>实际完成指标值</w:t>
            </w:r>
            <w:r>
              <w:rPr>
                <w:rFonts w:hint="eastAsia" w:ascii="宋体" w:hAnsi="宋体" w:cs="宋体"/>
                <w:color w:val="000000"/>
                <w:kern w:val="0"/>
                <w:sz w:val="24"/>
                <w:highlight w:val="none"/>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highlight w:val="none"/>
                <w:lang w:eastAsia="zh-CN"/>
              </w:rPr>
              <w:t>）</w:t>
            </w:r>
          </w:p>
        </w:tc>
      </w:tr>
      <w:tr>
        <w:tblPrEx>
          <w:tblCellMar>
            <w:top w:w="0" w:type="dxa"/>
            <w:left w:w="0" w:type="dxa"/>
            <w:bottom w:w="0" w:type="dxa"/>
            <w:right w:w="0" w:type="dxa"/>
          </w:tblCellMar>
        </w:tblPrEx>
        <w:trPr>
          <w:trHeight w:val="953"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p>
        </w:tc>
        <w:tc>
          <w:tcPr>
            <w:tcW w:w="6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产出指标</w:t>
            </w:r>
          </w:p>
        </w:tc>
        <w:tc>
          <w:tcPr>
            <w:tcW w:w="5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数量指标</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组织新闻宣传会商会</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4"/>
                <w:lang w:val="en-US"/>
              </w:rPr>
            </w:pPr>
            <w:r>
              <w:rPr>
                <w:rFonts w:hint="eastAsia" w:ascii="宋体" w:hAnsi="宋体" w:cs="宋体"/>
                <w:i w:val="0"/>
                <w:color w:val="000000"/>
                <w:kern w:val="0"/>
                <w:sz w:val="22"/>
                <w:szCs w:val="22"/>
                <w:u w:val="none"/>
                <w:lang w:val="en-US" w:eastAsia="zh-CN" w:bidi="ar"/>
              </w:rPr>
              <w:t>年内</w:t>
            </w:r>
            <w:r>
              <w:rPr>
                <w:rFonts w:hint="eastAsia" w:ascii="宋体" w:hAnsi="宋体" w:eastAsia="宋体" w:cs="宋体"/>
                <w:i w:val="0"/>
                <w:color w:val="000000"/>
                <w:kern w:val="0"/>
                <w:sz w:val="22"/>
                <w:szCs w:val="22"/>
                <w:u w:val="none"/>
                <w:lang w:val="en-US" w:eastAsia="zh-CN" w:bidi="ar"/>
              </w:rPr>
              <w:t>组织新闻宣传定期会商会议4次</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组织新闻宣传定期会商会议4次，</w:t>
            </w:r>
          </w:p>
        </w:tc>
      </w:tr>
      <w:tr>
        <w:tblPrEx>
          <w:tblCellMar>
            <w:top w:w="0" w:type="dxa"/>
            <w:left w:w="0" w:type="dxa"/>
            <w:bottom w:w="0" w:type="dxa"/>
            <w:right w:w="0" w:type="dxa"/>
          </w:tblCellMar>
        </w:tblPrEx>
        <w:trPr>
          <w:trHeight w:val="1297"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p>
        </w:tc>
        <w:tc>
          <w:tcPr>
            <w:tcW w:w="6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组织省级以上媒体参加的重大外宣活动。</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4"/>
                <w:lang w:val="en-US"/>
              </w:rPr>
            </w:pPr>
            <w:r>
              <w:rPr>
                <w:rFonts w:hint="eastAsia" w:ascii="宋体" w:hAnsi="宋体" w:eastAsia="宋体" w:cs="宋体"/>
                <w:i w:val="0"/>
                <w:color w:val="000000"/>
                <w:kern w:val="0"/>
                <w:sz w:val="22"/>
                <w:szCs w:val="22"/>
                <w:u w:val="none"/>
                <w:lang w:val="en-US" w:eastAsia="zh-CN" w:bidi="ar"/>
              </w:rPr>
              <w:t>2次</w:t>
            </w:r>
            <w:r>
              <w:rPr>
                <w:rFonts w:hint="eastAsia" w:ascii="宋体" w:hAnsi="宋体" w:cs="宋体"/>
                <w:i w:val="0"/>
                <w:color w:val="000000"/>
                <w:kern w:val="0"/>
                <w:sz w:val="22"/>
                <w:szCs w:val="22"/>
                <w:u w:val="none"/>
                <w:lang w:val="en-US" w:eastAsia="zh-CN" w:bidi="ar"/>
              </w:rPr>
              <w:t>及以上</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主动策划俄罗斯媒体四川广元昭化行、CCTV-4《城市1对1》走进昭化、央视国际频道《记住乡愁》走进昭化古城等重大外宣活动11次。</w:t>
            </w:r>
          </w:p>
        </w:tc>
      </w:tr>
      <w:tr>
        <w:tblPrEx>
          <w:tblCellMar>
            <w:top w:w="0" w:type="dxa"/>
            <w:left w:w="0" w:type="dxa"/>
            <w:bottom w:w="0" w:type="dxa"/>
            <w:right w:w="0" w:type="dxa"/>
          </w:tblCellMar>
        </w:tblPrEx>
        <w:trPr>
          <w:trHeight w:val="1042"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p>
        </w:tc>
        <w:tc>
          <w:tcPr>
            <w:tcW w:w="6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4"/>
                <w:lang w:val="en-US"/>
              </w:rPr>
            </w:pPr>
            <w:r>
              <w:rPr>
                <w:rFonts w:hint="eastAsia" w:ascii="宋体" w:hAnsi="宋体" w:eastAsia="宋体" w:cs="宋体"/>
                <w:i w:val="0"/>
                <w:color w:val="000000"/>
                <w:kern w:val="0"/>
                <w:sz w:val="24"/>
                <w:szCs w:val="24"/>
                <w:u w:val="none"/>
                <w:lang w:val="en-US" w:eastAsia="zh-CN" w:bidi="ar"/>
              </w:rPr>
              <w:t>省级及以上主流媒体发</w:t>
            </w:r>
            <w:r>
              <w:rPr>
                <w:rFonts w:hint="eastAsia" w:ascii="宋体" w:hAnsi="宋体" w:cs="宋体"/>
                <w:i w:val="0"/>
                <w:color w:val="000000"/>
                <w:kern w:val="0"/>
                <w:sz w:val="24"/>
                <w:szCs w:val="24"/>
                <w:u w:val="none"/>
                <w:lang w:val="en-US" w:eastAsia="zh-CN" w:bidi="ar"/>
              </w:rPr>
              <w:t>进行宣传</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省级及以上主流媒体发稿任务报刊和广电类200条</w:t>
            </w:r>
            <w:r>
              <w:rPr>
                <w:rFonts w:hint="eastAsia" w:ascii="宋体" w:hAnsi="宋体" w:cs="宋体"/>
                <w:i w:val="0"/>
                <w:color w:val="000000"/>
                <w:kern w:val="0"/>
                <w:sz w:val="24"/>
                <w:szCs w:val="24"/>
                <w:u w:val="none"/>
                <w:lang w:val="en-US" w:eastAsia="zh-CN" w:bidi="ar"/>
              </w:rPr>
              <w:t>及以上</w:t>
            </w:r>
            <w:r>
              <w:rPr>
                <w:rFonts w:hint="eastAsia" w:ascii="宋体" w:hAnsi="宋体" w:eastAsia="宋体" w:cs="宋体"/>
                <w:i w:val="0"/>
                <w:color w:val="000000"/>
                <w:kern w:val="0"/>
                <w:sz w:val="24"/>
                <w:szCs w:val="24"/>
                <w:u w:val="none"/>
                <w:lang w:val="en-US" w:eastAsia="zh-CN" w:bidi="ar"/>
              </w:rPr>
              <w:t>；网络媒体类300条</w:t>
            </w:r>
            <w:r>
              <w:rPr>
                <w:rFonts w:hint="eastAsia" w:ascii="宋体" w:hAnsi="宋体" w:cs="宋体"/>
                <w:i w:val="0"/>
                <w:color w:val="000000"/>
                <w:kern w:val="0"/>
                <w:sz w:val="24"/>
                <w:szCs w:val="24"/>
                <w:u w:val="none"/>
                <w:lang w:val="en-US" w:eastAsia="zh-CN" w:bidi="ar"/>
              </w:rPr>
              <w:t>及以上</w:t>
            </w:r>
            <w:r>
              <w:rPr>
                <w:rFonts w:hint="eastAsia" w:ascii="宋体" w:hAnsi="宋体" w:eastAsia="宋体" w:cs="宋体"/>
                <w:i w:val="0"/>
                <w:color w:val="000000"/>
                <w:kern w:val="0"/>
                <w:sz w:val="24"/>
                <w:szCs w:val="24"/>
                <w:u w:val="none"/>
                <w:lang w:val="en-US" w:eastAsia="zh-CN" w:bidi="ar"/>
              </w:rPr>
              <w:t>。</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在省级以上报刊和广电主流媒体发稿456条、网络媒体发稿1100余条。</w:t>
            </w:r>
          </w:p>
        </w:tc>
      </w:tr>
      <w:tr>
        <w:tblPrEx>
          <w:tblCellMar>
            <w:top w:w="0" w:type="dxa"/>
            <w:left w:w="0" w:type="dxa"/>
            <w:bottom w:w="0" w:type="dxa"/>
            <w:right w:w="0" w:type="dxa"/>
          </w:tblCellMar>
        </w:tblPrEx>
        <w:trPr>
          <w:trHeight w:val="2134"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p>
        </w:tc>
        <w:tc>
          <w:tcPr>
            <w:tcW w:w="6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kern w:val="0"/>
                <w:sz w:val="24"/>
              </w:rPr>
            </w:pPr>
          </w:p>
        </w:tc>
        <w:tc>
          <w:tcPr>
            <w:tcW w:w="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质量指标</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重头稿件数量</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4"/>
                <w:lang w:val="en-US"/>
              </w:rPr>
            </w:pPr>
            <w:r>
              <w:rPr>
                <w:rFonts w:hint="eastAsia" w:ascii="宋体" w:hAnsi="宋体" w:eastAsia="宋体" w:cs="宋体"/>
                <w:i w:val="0"/>
                <w:color w:val="000000"/>
                <w:kern w:val="0"/>
                <w:sz w:val="22"/>
                <w:szCs w:val="22"/>
                <w:u w:val="none"/>
                <w:lang w:val="en-US" w:eastAsia="zh-CN" w:bidi="ar"/>
              </w:rPr>
              <w:t>四川日报重头稿件数量1篇</w:t>
            </w:r>
            <w:r>
              <w:rPr>
                <w:rFonts w:hint="eastAsia" w:ascii="宋体" w:hAnsi="宋体" w:cs="宋体"/>
                <w:i w:val="0"/>
                <w:color w:val="000000"/>
                <w:kern w:val="0"/>
                <w:sz w:val="22"/>
                <w:szCs w:val="22"/>
                <w:u w:val="none"/>
                <w:lang w:val="en-US" w:eastAsia="zh-CN" w:bidi="ar"/>
              </w:rPr>
              <w:t>及以上，</w:t>
            </w:r>
            <w:r>
              <w:rPr>
                <w:rFonts w:hint="eastAsia" w:ascii="宋体" w:hAnsi="宋体" w:eastAsia="宋体" w:cs="宋体"/>
                <w:i w:val="0"/>
                <w:color w:val="000000"/>
                <w:kern w:val="0"/>
                <w:sz w:val="22"/>
                <w:szCs w:val="22"/>
                <w:u w:val="none"/>
                <w:lang w:val="en-US" w:eastAsia="zh-CN" w:bidi="ar"/>
              </w:rPr>
              <w:t>广元日报重头稿件数量4条</w:t>
            </w:r>
            <w:r>
              <w:rPr>
                <w:rFonts w:hint="eastAsia" w:ascii="宋体" w:hAnsi="宋体" w:cs="宋体"/>
                <w:i w:val="0"/>
                <w:color w:val="000000"/>
                <w:kern w:val="0"/>
                <w:sz w:val="22"/>
                <w:szCs w:val="22"/>
                <w:u w:val="none"/>
                <w:lang w:val="en-US" w:eastAsia="zh-CN" w:bidi="ar"/>
              </w:rPr>
              <w:t>及以上</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《人民日报》头版以“雷厉风行久久为功，各地打好城市黑臭水体治理标志性重大战役”</w:t>
            </w:r>
            <w:r>
              <w:rPr>
                <w:rFonts w:hint="eastAsia" w:ascii="宋体" w:hAnsi="宋体" w:cs="宋体"/>
                <w:color w:val="000000"/>
                <w:sz w:val="24"/>
                <w:highlight w:val="none"/>
                <w:lang w:val="en-US" w:eastAsia="zh-CN"/>
              </w:rPr>
              <w:t>；</w:t>
            </w:r>
            <w:r>
              <w:rPr>
                <w:rFonts w:hint="eastAsia" w:ascii="宋体" w:hAnsi="宋体" w:eastAsia="宋体" w:cs="宋体"/>
                <w:i w:val="0"/>
                <w:color w:val="000000"/>
                <w:kern w:val="0"/>
                <w:sz w:val="22"/>
                <w:szCs w:val="22"/>
                <w:u w:val="none"/>
                <w:lang w:val="en-US" w:eastAsia="zh-CN" w:bidi="ar"/>
              </w:rPr>
              <w:t>四川日报重头稿件数量2篇,</w:t>
            </w:r>
            <w:r>
              <w:rPr>
                <w:rFonts w:hint="eastAsia" w:ascii="宋体" w:hAnsi="宋体" w:cs="宋体"/>
                <w:color w:val="000000"/>
                <w:sz w:val="24"/>
              </w:rPr>
              <w:t>《人民日报》海外版5次报道我区工作；《四川日报》发稿14条，四川电视台四川新闻发稿19条。</w:t>
            </w:r>
            <w:r>
              <w:rPr>
                <w:rFonts w:hint="eastAsia" w:ascii="宋体" w:hAnsi="宋体" w:eastAsia="宋体" w:cs="宋体"/>
                <w:i w:val="0"/>
                <w:color w:val="000000"/>
                <w:kern w:val="0"/>
                <w:sz w:val="22"/>
                <w:szCs w:val="22"/>
                <w:u w:val="none"/>
                <w:lang w:val="en-US" w:eastAsia="zh-CN" w:bidi="ar"/>
              </w:rPr>
              <w:t>广元日报重头稿件数量5条</w:t>
            </w:r>
          </w:p>
        </w:tc>
      </w:tr>
      <w:tr>
        <w:tblPrEx>
          <w:tblCellMar>
            <w:top w:w="0" w:type="dxa"/>
            <w:left w:w="0" w:type="dxa"/>
            <w:bottom w:w="0" w:type="dxa"/>
            <w:right w:w="0" w:type="dxa"/>
          </w:tblCellMar>
        </w:tblPrEx>
        <w:trPr>
          <w:trHeight w:val="2134"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效益指标</w:t>
            </w:r>
          </w:p>
        </w:tc>
        <w:tc>
          <w:tcPr>
            <w:tcW w:w="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lang w:val="en-US" w:eastAsia="zh-CN"/>
              </w:rPr>
              <w:t>社会效益</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积极开展新闻采访，发挥新闻媒体监督作用。</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开展专题宣传100期次及以上，发布各类新闻稿件2000条及以上</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rPr>
            </w:pPr>
            <w:r>
              <w:rPr>
                <w:rFonts w:hint="eastAsia" w:ascii="宋体" w:hAnsi="宋体" w:eastAsia="宋体" w:cs="宋体"/>
                <w:i w:val="0"/>
                <w:color w:val="000000"/>
                <w:kern w:val="0"/>
                <w:sz w:val="22"/>
                <w:szCs w:val="22"/>
                <w:u w:val="none"/>
                <w:lang w:val="en-US" w:eastAsia="zh-CN" w:bidi="ar"/>
              </w:rPr>
              <w:t>组织各级新闻媒体持续深入基层一线宣传报道，开展专题报道200余期，发布稿件3000余条。</w:t>
            </w:r>
          </w:p>
        </w:tc>
      </w:tr>
      <w:tr>
        <w:tblPrEx>
          <w:tblCellMar>
            <w:top w:w="0" w:type="dxa"/>
            <w:left w:w="0" w:type="dxa"/>
            <w:bottom w:w="0" w:type="dxa"/>
            <w:right w:w="0" w:type="dxa"/>
          </w:tblCellMar>
        </w:tblPrEx>
        <w:trPr>
          <w:trHeight w:val="1050"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满意度指标</w:t>
            </w:r>
          </w:p>
        </w:tc>
        <w:tc>
          <w:tcPr>
            <w:tcW w:w="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ascii="宋体" w:hAnsi="宋体" w:cs="宋体"/>
                <w:color w:val="000000"/>
                <w:sz w:val="24"/>
              </w:rPr>
            </w:pPr>
            <w:r>
              <w:rPr>
                <w:rFonts w:hint="eastAsia" w:ascii="宋体" w:hAnsi="宋体" w:cs="宋体"/>
                <w:color w:val="000000"/>
                <w:kern w:val="0"/>
                <w:sz w:val="24"/>
              </w:rPr>
              <w:t>满意度指标</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群众满意度</w:t>
            </w:r>
          </w:p>
        </w:tc>
        <w:tc>
          <w:tcPr>
            <w:tcW w:w="2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大于95%</w:t>
            </w:r>
          </w:p>
        </w:tc>
        <w:tc>
          <w:tcPr>
            <w:tcW w:w="4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napToGrid/>
              <w:spacing w:line="240" w:lineRule="auto"/>
              <w:ind w:left="0" w:leftChars="0" w:right="0" w:rightChars="0" w:firstLine="0" w:firstLineChars="0"/>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w:t>
            </w:r>
          </w:p>
        </w:tc>
      </w:tr>
    </w:tbl>
    <w:p>
      <w:pPr>
        <w:rPr>
          <w:rFonts w:hint="eastAsia" w:ascii="黑体" w:hAnsi="黑体" w:eastAsia="黑体" w:cs="黑体"/>
          <w:sz w:val="32"/>
          <w:szCs w:val="32"/>
        </w:rPr>
      </w:pPr>
      <w:r>
        <w:rPr>
          <w:rFonts w:hint="eastAsia" w:ascii="黑体" w:hAnsi="黑体" w:eastAsia="黑体" w:cs="黑体"/>
          <w:sz w:val="32"/>
          <w:szCs w:val="32"/>
        </w:rPr>
        <w:br w:type="page"/>
      </w:r>
    </w:p>
    <w:p>
      <w:pPr>
        <w:pageBreakBefore w:val="0"/>
        <w:kinsoku/>
        <w:wordWrap/>
        <w:overflowPunct/>
        <w:topLinePunct w:val="0"/>
        <w:bidi w:val="0"/>
        <w:snapToGrid/>
        <w:spacing w:line="240" w:lineRule="auto"/>
        <w:ind w:left="0" w:leftChars="0" w:right="0" w:rightChars="0" w:firstLine="0" w:firstLineChars="0"/>
        <w:jc w:val="center"/>
        <w:outlineLvl w:val="1"/>
        <w:rPr>
          <w:rFonts w:hint="eastAsia" w:ascii="Times New Roman" w:hAnsi="Times New Roman" w:eastAsia="方正小标宋简体" w:cs="Times New Roman"/>
          <w:color w:val="000000"/>
          <w:sz w:val="30"/>
          <w:szCs w:val="30"/>
        </w:rPr>
      </w:pPr>
      <w:bookmarkStart w:id="88" w:name="_Toc28588"/>
      <w:r>
        <w:rPr>
          <w:rFonts w:hint="eastAsia" w:ascii="黑体" w:hAnsi="黑体" w:eastAsia="黑体" w:cs="黑体"/>
          <w:sz w:val="30"/>
          <w:szCs w:val="30"/>
          <w:highlight w:val="none"/>
          <w:lang w:eastAsia="zh-CN"/>
        </w:rPr>
        <w:t>附件：3.</w:t>
      </w:r>
      <w:r>
        <w:rPr>
          <w:rFonts w:hint="eastAsia" w:ascii="黑体" w:hAnsi="黑体" w:eastAsia="黑体" w:cs="黑体"/>
          <w:sz w:val="30"/>
          <w:szCs w:val="30"/>
        </w:rPr>
        <w:t>2019年国家电影事业发展专项资金项目绩效评价报告</w:t>
      </w:r>
      <w:bookmarkEnd w:id="88"/>
    </w:p>
    <w:p>
      <w:pPr>
        <w:pageBreakBefore w:val="0"/>
        <w:kinsoku/>
        <w:wordWrap/>
        <w:overflowPunct/>
        <w:topLinePunct w:val="0"/>
        <w:bidi w:val="0"/>
        <w:snapToGrid/>
        <w:spacing w:line="240" w:lineRule="auto"/>
        <w:ind w:left="0" w:leftChars="0" w:right="0" w:rightChars="0" w:firstLine="0" w:firstLineChars="0"/>
        <w:jc w:val="left"/>
        <w:outlineLvl w:val="1"/>
        <w:rPr>
          <w:rFonts w:hint="eastAsia" w:ascii="黑体" w:hAnsi="黑体" w:eastAsia="黑体" w:cs="黑体"/>
          <w:sz w:val="32"/>
          <w:szCs w:val="32"/>
          <w:lang w:eastAsia="zh-CN"/>
        </w:rPr>
      </w:pPr>
    </w:p>
    <w:p>
      <w:pPr>
        <w:pageBreakBefore w:val="0"/>
        <w:kinsoku/>
        <w:wordWrap/>
        <w:overflowPunct/>
        <w:topLinePunct w:val="0"/>
        <w:bidi w:val="0"/>
        <w:snapToGrid/>
        <w:spacing w:line="240" w:lineRule="auto"/>
        <w:ind w:left="0" w:leftChars="0" w:right="0" w:rightChars="0" w:firstLine="0" w:firstLineChars="0"/>
        <w:jc w:val="center"/>
        <w:outlineLvl w:val="9"/>
        <w:rPr>
          <w:rFonts w:hint="eastAsia" w:ascii="黑体" w:hAnsi="黑体" w:eastAsia="黑体" w:cs="黑体"/>
          <w:sz w:val="36"/>
          <w:szCs w:val="36"/>
        </w:rPr>
      </w:pPr>
      <w:r>
        <w:rPr>
          <w:rFonts w:hint="eastAsia" w:ascii="黑体" w:hAnsi="黑体" w:eastAsia="黑体" w:cs="黑体"/>
          <w:sz w:val="36"/>
          <w:szCs w:val="36"/>
        </w:rPr>
        <w:t>2019年国家电影事业发展专项资金项目</w:t>
      </w:r>
    </w:p>
    <w:p>
      <w:pPr>
        <w:pageBreakBefore w:val="0"/>
        <w:kinsoku/>
        <w:wordWrap/>
        <w:overflowPunct/>
        <w:topLinePunct w:val="0"/>
        <w:bidi w:val="0"/>
        <w:snapToGrid/>
        <w:spacing w:line="240" w:lineRule="auto"/>
        <w:ind w:left="0" w:leftChars="0" w:right="0" w:rightChars="0" w:firstLine="0" w:firstLineChars="0"/>
        <w:jc w:val="center"/>
        <w:outlineLvl w:val="9"/>
        <w:rPr>
          <w:rFonts w:hint="eastAsia" w:ascii="Times New Roman" w:hAnsi="Times New Roman" w:eastAsia="方正小标宋简体" w:cs="Times New Roman"/>
          <w:color w:val="000000"/>
          <w:sz w:val="36"/>
          <w:szCs w:val="36"/>
        </w:rPr>
      </w:pPr>
      <w:r>
        <w:rPr>
          <w:rFonts w:hint="eastAsia" w:ascii="黑体" w:hAnsi="黑体" w:eastAsia="黑体" w:cs="黑体"/>
          <w:sz w:val="36"/>
          <w:szCs w:val="36"/>
        </w:rPr>
        <w:t>绩效评价报告</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根据各级资金管理办法和资金下达文件</w:t>
      </w:r>
      <w:r>
        <w:rPr>
          <w:rFonts w:hint="eastAsia" w:ascii="Times New Roman" w:hAnsi="仿宋_GB2312" w:eastAsia="仿宋_GB2312" w:cs="Times New Roman"/>
          <w:sz w:val="32"/>
          <w:szCs w:val="32"/>
        </w:rPr>
        <w:t>要求，昭化区委宣传部对</w:t>
      </w:r>
      <w:r>
        <w:rPr>
          <w:rFonts w:ascii="Times New Roman" w:hAnsi="Times New Roman" w:eastAsia="仿宋_GB2312" w:cs="Times New Roman"/>
          <w:sz w:val="32"/>
          <w:szCs w:val="32"/>
        </w:rPr>
        <w:t>2019</w:t>
      </w:r>
      <w:r>
        <w:rPr>
          <w:rFonts w:hint="eastAsia" w:ascii="Times New Roman" w:hAnsi="仿宋_GB2312" w:eastAsia="仿宋_GB2312" w:cs="Times New Roman"/>
          <w:sz w:val="32"/>
          <w:szCs w:val="32"/>
        </w:rPr>
        <w:t>年中央、省级电影国家事业发展专项资金项目进行了绩效评价，现报告如下：</w:t>
      </w:r>
    </w:p>
    <w:p>
      <w:pPr>
        <w:spacing w:line="576" w:lineRule="exact"/>
        <w:ind w:firstLine="640" w:firstLineChars="200"/>
        <w:rPr>
          <w:rFonts w:ascii="Times New Roman" w:hAnsi="Times New Roman" w:eastAsia="方正黑体简体" w:cs="Times New Roman"/>
          <w:bCs/>
          <w:sz w:val="32"/>
          <w:szCs w:val="32"/>
        </w:rPr>
      </w:pPr>
      <w:r>
        <w:rPr>
          <w:rFonts w:hint="eastAsia" w:ascii="Times New Roman" w:hAnsi="Times New Roman" w:eastAsia="方正黑体简体" w:cs="Times New Roman"/>
          <w:bCs/>
          <w:sz w:val="32"/>
          <w:szCs w:val="32"/>
        </w:rPr>
        <w:t>一、资金下达情况</w:t>
      </w:r>
    </w:p>
    <w:p>
      <w:pPr>
        <w:autoSpaceDE w:val="0"/>
        <w:adjustRightInd w:val="0"/>
        <w:snapToGrid w:val="0"/>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2019</w:t>
      </w:r>
      <w:r>
        <w:rPr>
          <w:rFonts w:hint="eastAsia" w:ascii="Times New Roman" w:hAnsi="仿宋_GB2312" w:eastAsia="仿宋_GB2312" w:cs="Times New Roman"/>
          <w:sz w:val="32"/>
          <w:szCs w:val="32"/>
        </w:rPr>
        <w:t>年中央、省级下达昭化区的国家电影事业发展专项资金共计</w:t>
      </w:r>
      <w:r>
        <w:rPr>
          <w:rFonts w:ascii="Times New Roman" w:hAnsi="Times New Roman" w:eastAsia="仿宋_GB2312" w:cs="Times New Roman"/>
          <w:sz w:val="32"/>
          <w:szCs w:val="32"/>
        </w:rPr>
        <w:t>1.85</w:t>
      </w:r>
      <w:r>
        <w:rPr>
          <w:rFonts w:hint="eastAsia" w:ascii="Times New Roman" w:hAnsi="仿宋_GB2312" w:eastAsia="仿宋_GB2312" w:cs="Times New Roman"/>
          <w:sz w:val="32"/>
          <w:szCs w:val="32"/>
        </w:rPr>
        <w:t>万元，项目实施单位为：广元市昭化区太平洋影业有限公司（昭化太平洋电影城）。</w:t>
      </w:r>
    </w:p>
    <w:p>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bCs/>
          <w:sz w:val="32"/>
          <w:szCs w:val="32"/>
        </w:rPr>
        <w:t>（一）中央补助地方国家电影事业发展专项资金情况。</w:t>
      </w:r>
      <w:r>
        <w:rPr>
          <w:rFonts w:hint="eastAsia" w:ascii="Times New Roman" w:hAnsi="仿宋_GB2312" w:eastAsia="仿宋_GB2312" w:cs="Times New Roman"/>
          <w:bCs/>
          <w:sz w:val="32"/>
          <w:szCs w:val="32"/>
        </w:rPr>
        <w:t>根据《</w:t>
      </w:r>
      <w:r>
        <w:rPr>
          <w:rFonts w:hint="eastAsia" w:ascii="Times New Roman" w:hAnsi="仿宋_GB2312" w:eastAsia="仿宋_GB2312" w:cs="Times New Roman"/>
          <w:sz w:val="32"/>
          <w:szCs w:val="32"/>
        </w:rPr>
        <w:t>关于下达</w:t>
      </w:r>
      <w:r>
        <w:rPr>
          <w:rFonts w:ascii="Times New Roman" w:hAnsi="Times New Roman" w:eastAsia="仿宋_GB2312" w:cs="Times New Roman"/>
          <w:sz w:val="32"/>
          <w:szCs w:val="32"/>
        </w:rPr>
        <w:t>2019</w:t>
      </w:r>
      <w:r>
        <w:rPr>
          <w:rFonts w:hint="eastAsia" w:ascii="Times New Roman" w:hAnsi="仿宋_GB2312" w:eastAsia="仿宋_GB2312" w:cs="Times New Roman"/>
          <w:sz w:val="32"/>
          <w:szCs w:val="32"/>
        </w:rPr>
        <w:t>年中央补助地方国家电影事业发展专项资金预算的通知</w:t>
      </w:r>
      <w:r>
        <w:rPr>
          <w:rFonts w:hint="eastAsia" w:ascii="Times New Roman" w:hAnsi="仿宋_GB2312" w:eastAsia="仿宋_GB2312" w:cs="Times New Roman"/>
          <w:bCs/>
          <w:sz w:val="32"/>
          <w:szCs w:val="32"/>
        </w:rPr>
        <w:t>》</w:t>
      </w:r>
      <w:r>
        <w:rPr>
          <w:rFonts w:hint="eastAsia" w:ascii="Times New Roman" w:hAnsi="仿宋_GB2312" w:eastAsia="仿宋_GB2312" w:cs="Times New Roman"/>
          <w:sz w:val="32"/>
          <w:szCs w:val="32"/>
        </w:rPr>
        <w:t>（川财教〔</w:t>
      </w:r>
      <w:r>
        <w:rPr>
          <w:rFonts w:ascii="Times New Roman" w:hAnsi="Times New Roman" w:eastAsia="仿宋_GB2312" w:cs="Times New Roman"/>
          <w:sz w:val="32"/>
          <w:szCs w:val="32"/>
        </w:rPr>
        <w:t>2019</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176</w:t>
      </w:r>
      <w:r>
        <w:rPr>
          <w:rFonts w:hint="eastAsia" w:ascii="Times New Roman" w:hAnsi="仿宋_GB2312" w:eastAsia="仿宋_GB2312" w:cs="Times New Roman"/>
          <w:sz w:val="32"/>
          <w:szCs w:val="32"/>
        </w:rPr>
        <w:t>号）文件，下达</w:t>
      </w:r>
      <w:r>
        <w:rPr>
          <w:rFonts w:ascii="Times New Roman" w:hAnsi="Times New Roman" w:eastAsia="仿宋_GB2312" w:cs="Times New Roman"/>
          <w:sz w:val="32"/>
          <w:szCs w:val="32"/>
        </w:rPr>
        <w:t>2019</w:t>
      </w:r>
      <w:r>
        <w:rPr>
          <w:rFonts w:hint="eastAsia" w:ascii="Times New Roman" w:hAnsi="仿宋_GB2312" w:eastAsia="仿宋_GB2312" w:cs="Times New Roman"/>
          <w:sz w:val="32"/>
          <w:szCs w:val="32"/>
        </w:rPr>
        <w:t>年中央补助地方国家电影事业发展专项资金</w:t>
      </w:r>
      <w:r>
        <w:rPr>
          <w:rFonts w:ascii="Times New Roman" w:hAnsi="Times New Roman" w:eastAsia="仿宋_GB2312" w:cs="Times New Roman"/>
          <w:sz w:val="32"/>
          <w:szCs w:val="32"/>
        </w:rPr>
        <w:t>1</w:t>
      </w:r>
      <w:r>
        <w:rPr>
          <w:rFonts w:hint="eastAsia" w:ascii="Times New Roman" w:hAnsi="仿宋_GB2312" w:eastAsia="仿宋_GB2312" w:cs="Times New Roman"/>
          <w:sz w:val="32"/>
          <w:szCs w:val="32"/>
        </w:rPr>
        <w:t>万元，专项用于广元市昭化区太平洋影业有限公司国产影片放映成绩突出影院奖励。</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bCs/>
          <w:sz w:val="32"/>
          <w:szCs w:val="32"/>
        </w:rPr>
        <w:t>（二）省级补助地方国家电影事业发展专项资金情况</w:t>
      </w:r>
      <w:r>
        <w:rPr>
          <w:rFonts w:hint="eastAsia" w:ascii="Times New Roman" w:hAnsi="仿宋_GB2312" w:eastAsia="仿宋_GB2312" w:cs="Times New Roman"/>
          <w:bCs/>
          <w:sz w:val="32"/>
          <w:szCs w:val="32"/>
        </w:rPr>
        <w:t>。根据《关于下达</w:t>
      </w:r>
      <w:r>
        <w:rPr>
          <w:rFonts w:ascii="Times New Roman" w:hAnsi="Times New Roman" w:eastAsia="仿宋_GB2312" w:cs="Times New Roman"/>
          <w:bCs/>
          <w:sz w:val="32"/>
          <w:szCs w:val="32"/>
        </w:rPr>
        <w:t>2019</w:t>
      </w:r>
      <w:r>
        <w:rPr>
          <w:rFonts w:hint="eastAsia" w:ascii="Times New Roman" w:hAnsi="仿宋_GB2312" w:eastAsia="仿宋_GB2312" w:cs="Times New Roman"/>
          <w:bCs/>
          <w:sz w:val="32"/>
          <w:szCs w:val="32"/>
        </w:rPr>
        <w:t>年省级电影国家事业发展专项资金预算的通知》</w:t>
      </w:r>
      <w:r>
        <w:rPr>
          <w:rFonts w:hint="eastAsia" w:ascii="Times New Roman" w:hAnsi="Times New Roman" w:eastAsia="仿宋_GB2312" w:cs="Times New Roman"/>
          <w:bCs/>
          <w:sz w:val="32"/>
          <w:szCs w:val="32"/>
        </w:rPr>
        <w:t>（</w:t>
      </w:r>
      <w:r>
        <w:rPr>
          <w:rFonts w:hint="eastAsia" w:ascii="Times New Roman" w:hAnsi="仿宋_GB2312" w:eastAsia="仿宋_GB2312" w:cs="Times New Roman"/>
          <w:bCs/>
          <w:sz w:val="32"/>
          <w:szCs w:val="32"/>
        </w:rPr>
        <w:t>川财教〔</w:t>
      </w:r>
      <w:r>
        <w:rPr>
          <w:rFonts w:ascii="Times New Roman" w:hAnsi="Times New Roman" w:eastAsia="仿宋_GB2312" w:cs="Times New Roman"/>
          <w:bCs/>
          <w:sz w:val="32"/>
          <w:szCs w:val="32"/>
        </w:rPr>
        <w:t>2019</w:t>
      </w:r>
      <w:r>
        <w:rPr>
          <w:rFonts w:hint="eastAsia" w:ascii="Times New Roman" w:hAnsi="仿宋_GB2312" w:eastAsia="仿宋_GB2312" w:cs="Times New Roman"/>
          <w:bCs/>
          <w:sz w:val="32"/>
          <w:szCs w:val="32"/>
        </w:rPr>
        <w:t>〕</w:t>
      </w:r>
      <w:r>
        <w:rPr>
          <w:rFonts w:ascii="Times New Roman" w:hAnsi="Times New Roman" w:eastAsia="仿宋_GB2312" w:cs="Times New Roman"/>
          <w:bCs/>
          <w:sz w:val="32"/>
          <w:szCs w:val="32"/>
        </w:rPr>
        <w:t>205</w:t>
      </w:r>
      <w:r>
        <w:rPr>
          <w:rFonts w:hint="eastAsia" w:ascii="Times New Roman" w:hAnsi="仿宋_GB2312" w:eastAsia="仿宋_GB2312" w:cs="Times New Roman"/>
          <w:bCs/>
          <w:sz w:val="32"/>
          <w:szCs w:val="32"/>
        </w:rPr>
        <w:t>号</w:t>
      </w:r>
      <w:r>
        <w:rPr>
          <w:rFonts w:hint="eastAsia" w:ascii="Times New Roman" w:hAnsi="Times New Roman" w:eastAsia="仿宋_GB2312" w:cs="Times New Roman"/>
          <w:bCs/>
          <w:sz w:val="32"/>
          <w:szCs w:val="32"/>
        </w:rPr>
        <w:t>）</w:t>
      </w:r>
      <w:r>
        <w:rPr>
          <w:rFonts w:hint="eastAsia" w:ascii="Times New Roman" w:hAnsi="仿宋_GB2312" w:eastAsia="仿宋_GB2312" w:cs="Times New Roman"/>
          <w:bCs/>
          <w:sz w:val="32"/>
          <w:szCs w:val="32"/>
        </w:rPr>
        <w:t>文件，</w:t>
      </w:r>
      <w:r>
        <w:rPr>
          <w:rFonts w:hint="eastAsia" w:ascii="Times New Roman" w:hAnsi="仿宋_GB2312" w:eastAsia="仿宋_GB2312" w:cs="Times New Roman"/>
          <w:sz w:val="32"/>
          <w:szCs w:val="32"/>
        </w:rPr>
        <w:t>下达省级国家电影事业发展专项资金</w:t>
      </w:r>
      <w:r>
        <w:rPr>
          <w:rFonts w:ascii="Times New Roman" w:hAnsi="Times New Roman" w:eastAsia="仿宋_GB2312" w:cs="Times New Roman"/>
          <w:sz w:val="32"/>
          <w:szCs w:val="32"/>
        </w:rPr>
        <w:t>0.85</w:t>
      </w:r>
      <w:r>
        <w:rPr>
          <w:rFonts w:hint="eastAsia" w:ascii="Times New Roman" w:hAnsi="仿宋_GB2312" w:eastAsia="仿宋_GB2312" w:cs="Times New Roman"/>
          <w:sz w:val="32"/>
          <w:szCs w:val="32"/>
        </w:rPr>
        <w:t>万元，专项用于广元市昭化区太平洋影业有限公司国产影片放映成绩突出影院奖励。</w:t>
      </w:r>
    </w:p>
    <w:p>
      <w:pPr>
        <w:spacing w:line="576" w:lineRule="exact"/>
        <w:ind w:firstLine="640" w:firstLineChars="200"/>
        <w:rPr>
          <w:rFonts w:ascii="Times New Roman" w:hAnsi="Times New Roman" w:eastAsia="方正黑体简体" w:cs="Times New Roman"/>
          <w:bCs/>
          <w:sz w:val="32"/>
          <w:szCs w:val="32"/>
        </w:rPr>
      </w:pPr>
      <w:r>
        <w:rPr>
          <w:rFonts w:hint="eastAsia" w:ascii="Times New Roman" w:hAnsi="Times New Roman" w:eastAsia="方正黑体简体" w:cs="Times New Roman"/>
          <w:bCs/>
          <w:sz w:val="32"/>
          <w:szCs w:val="32"/>
        </w:rPr>
        <w:t>二、</w:t>
      </w:r>
      <w:r>
        <w:rPr>
          <w:rFonts w:hint="eastAsia" w:ascii="Times New Roman" w:hAnsi="Times New Roman" w:eastAsia="方正黑体简体" w:cs="Times New Roman"/>
          <w:bCs/>
          <w:sz w:val="32"/>
          <w:szCs w:val="32"/>
          <w:lang w:val="zh-CN"/>
        </w:rPr>
        <w:t>绩效目标完成情况</w:t>
      </w:r>
    </w:p>
    <w:p>
      <w:pPr>
        <w:autoSpaceDE w:val="0"/>
        <w:adjustRightInd w:val="0"/>
        <w:snapToGrid w:val="0"/>
        <w:spacing w:line="576" w:lineRule="exact"/>
        <w:ind w:firstLine="640" w:firstLineChars="200"/>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（一）项目整体绩效目标完成情况。</w:t>
      </w:r>
    </w:p>
    <w:p>
      <w:pPr>
        <w:autoSpaceDE w:val="0"/>
        <w:adjustRightInd w:val="0"/>
        <w:snapToGrid w:val="0"/>
        <w:spacing w:line="576" w:lineRule="exact"/>
        <w:ind w:firstLine="640" w:firstLineChars="200"/>
        <w:rPr>
          <w:rFonts w:ascii="Times New Roman" w:hAnsi="Times New Roman" w:eastAsia="仿宋_GB2312" w:cs="Times New Roman"/>
          <w:bCs/>
          <w:sz w:val="32"/>
          <w:szCs w:val="32"/>
        </w:rPr>
      </w:pPr>
      <w:r>
        <w:rPr>
          <w:rFonts w:hint="eastAsia" w:ascii="Times New Roman" w:hAnsi="仿宋_GB2312" w:eastAsia="仿宋_GB2312" w:cs="Times New Roman"/>
          <w:sz w:val="32"/>
          <w:szCs w:val="32"/>
        </w:rPr>
        <w:t>通过项目的实施推动了广元市昭化区电影事业可持续发展、有力促进了地方文化产业。提升了企业的服务质量，</w:t>
      </w:r>
      <w:r>
        <w:rPr>
          <w:rFonts w:hint="eastAsia" w:hAnsi="仿宋_GB2312" w:eastAsia="仿宋_GB2312" w:cs="Times New Roman"/>
          <w:sz w:val="32"/>
          <w:szCs w:val="32"/>
          <w:highlight w:val="none"/>
          <w:lang w:eastAsia="zh-CN"/>
        </w:rPr>
        <w:t>极大地丰富</w:t>
      </w:r>
      <w:r>
        <w:rPr>
          <w:rFonts w:hint="eastAsia" w:ascii="Times New Roman" w:hAnsi="仿宋_GB2312" w:eastAsia="仿宋_GB2312" w:cs="Times New Roman"/>
          <w:sz w:val="32"/>
          <w:szCs w:val="32"/>
        </w:rPr>
        <w:t>了昭化城区城居民群众文化生活。</w:t>
      </w:r>
    </w:p>
    <w:p>
      <w:pPr>
        <w:autoSpaceDE w:val="0"/>
        <w:adjustRightInd w:val="0"/>
        <w:snapToGrid w:val="0"/>
        <w:spacing w:line="576"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仿宋_GB2312" w:eastAsia="仿宋_GB2312" w:cs="Times New Roman"/>
          <w:b/>
          <w:sz w:val="32"/>
          <w:szCs w:val="32"/>
        </w:rPr>
        <w:t>．产出指标完成情况。</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1</w:t>
      </w:r>
      <w:r>
        <w:rPr>
          <w:rFonts w:hint="eastAsia" w:ascii="Times New Roman" w:hAnsi="仿宋_GB2312" w:eastAsia="仿宋_GB2312" w:cs="Times New Roman"/>
          <w:sz w:val="32"/>
          <w:szCs w:val="32"/>
        </w:rPr>
        <w:t>）数量指标。</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2018</w:t>
      </w:r>
      <w:r>
        <w:rPr>
          <w:rFonts w:hint="eastAsia" w:ascii="Times New Roman" w:hAnsi="仿宋_GB2312" w:eastAsia="仿宋_GB2312" w:cs="Times New Roman"/>
          <w:sz w:val="32"/>
          <w:szCs w:val="32"/>
        </w:rPr>
        <w:t>年全年营业天数，预计</w:t>
      </w:r>
      <w:r>
        <w:rPr>
          <w:rFonts w:ascii="Times New Roman" w:hAnsi="Times New Roman" w:eastAsia="仿宋_GB2312" w:cs="Times New Roman"/>
          <w:sz w:val="32"/>
          <w:szCs w:val="32"/>
        </w:rPr>
        <w:t>360</w:t>
      </w:r>
      <w:r>
        <w:rPr>
          <w:rFonts w:hint="eastAsia" w:ascii="Times New Roman" w:hAnsi="仿宋_GB2312" w:eastAsia="仿宋_GB2312" w:cs="Times New Roman"/>
          <w:sz w:val="32"/>
          <w:szCs w:val="32"/>
        </w:rPr>
        <w:t>天及以上，实际放映</w:t>
      </w:r>
      <w:r>
        <w:rPr>
          <w:rFonts w:ascii="Times New Roman" w:hAnsi="Times New Roman" w:eastAsia="仿宋_GB2312" w:cs="Times New Roman"/>
          <w:sz w:val="32"/>
          <w:szCs w:val="32"/>
        </w:rPr>
        <w:t>365</w:t>
      </w:r>
      <w:r>
        <w:rPr>
          <w:rFonts w:hint="eastAsia" w:ascii="Times New Roman" w:hAnsi="仿宋_GB2312" w:eastAsia="仿宋_GB2312" w:cs="Times New Roman"/>
          <w:sz w:val="32"/>
          <w:szCs w:val="32"/>
        </w:rPr>
        <w:t>天，完成绩效目标。</w:t>
      </w:r>
    </w:p>
    <w:p>
      <w:pPr>
        <w:numPr>
          <w:ilvl w:val="0"/>
          <w:numId w:val="5"/>
        </w:num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质量指标。</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2018</w:t>
      </w:r>
      <w:r>
        <w:rPr>
          <w:rFonts w:hint="eastAsia" w:ascii="Times New Roman" w:hAnsi="仿宋_GB2312" w:eastAsia="仿宋_GB2312" w:cs="Times New Roman"/>
          <w:sz w:val="32"/>
          <w:szCs w:val="32"/>
        </w:rPr>
        <w:t>年昭化区太平洋影城放映国产影片票房收入占票房总收入的</w:t>
      </w:r>
      <w:r>
        <w:rPr>
          <w:rFonts w:ascii="Times New Roman" w:hAnsi="Times New Roman" w:eastAsia="仿宋_GB2312" w:cs="Times New Roman"/>
          <w:sz w:val="32"/>
          <w:szCs w:val="32"/>
        </w:rPr>
        <w:t>80.8%</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县城影院覆盖率</w:t>
      </w:r>
      <w:r>
        <w:rPr>
          <w:rFonts w:ascii="Times New Roman" w:hAnsi="Times New Roman" w:eastAsia="仿宋_GB2312" w:cs="Times New Roman"/>
          <w:sz w:val="32"/>
          <w:szCs w:val="32"/>
        </w:rPr>
        <w:t>100%</w:t>
      </w:r>
      <w:r>
        <w:rPr>
          <w:rFonts w:hint="eastAsia" w:ascii="Times New Roman" w:hAnsi="仿宋_GB2312" w:eastAsia="仿宋_GB2312" w:cs="Times New Roman"/>
          <w:sz w:val="32"/>
          <w:szCs w:val="32"/>
        </w:rPr>
        <w:t>，均完成绩效目标。</w:t>
      </w:r>
    </w:p>
    <w:p>
      <w:pPr>
        <w:numPr>
          <w:ilvl w:val="0"/>
          <w:numId w:val="5"/>
        </w:num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时效指标。</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影院全年放映国产影片率</w:t>
      </w:r>
      <w:r>
        <w:rPr>
          <w:rFonts w:ascii="Times New Roman" w:hAnsi="Times New Roman" w:eastAsia="仿宋_GB2312" w:cs="Times New Roman"/>
          <w:sz w:val="32"/>
          <w:szCs w:val="32"/>
        </w:rPr>
        <w:t>68%,</w:t>
      </w:r>
      <w:r>
        <w:rPr>
          <w:rFonts w:hint="eastAsia" w:ascii="Times New Roman" w:hAnsi="仿宋_GB2312" w:eastAsia="仿宋_GB2312" w:cs="Times New Roman"/>
          <w:sz w:val="32"/>
          <w:szCs w:val="32"/>
        </w:rPr>
        <w:t>，完成绩效目标</w:t>
      </w:r>
      <w:r>
        <w:rPr>
          <w:rFonts w:hint="eastAsia" w:ascii="Times New Roman" w:hAnsi="Times New Roman" w:eastAsia="仿宋_GB2312" w:cs="Times New Roman"/>
          <w:sz w:val="32"/>
          <w:szCs w:val="32"/>
        </w:rPr>
        <w:t>。</w:t>
      </w:r>
    </w:p>
    <w:p>
      <w:pPr>
        <w:autoSpaceDE w:val="0"/>
        <w:adjustRightInd w:val="0"/>
        <w:snapToGrid w:val="0"/>
        <w:spacing w:line="576"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w:t>
      </w:r>
      <w:r>
        <w:rPr>
          <w:rFonts w:hint="eastAsia" w:ascii="Times New Roman" w:hAnsi="仿宋_GB2312" w:eastAsia="仿宋_GB2312" w:cs="Times New Roman"/>
          <w:b/>
          <w:sz w:val="32"/>
          <w:szCs w:val="32"/>
        </w:rPr>
        <w:t>．效益指标完成情况。</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1</w:t>
      </w:r>
      <w:r>
        <w:rPr>
          <w:rFonts w:hint="eastAsia" w:ascii="Times New Roman" w:hAnsi="仿宋_GB2312" w:eastAsia="仿宋_GB2312" w:cs="Times New Roman"/>
          <w:sz w:val="32"/>
          <w:szCs w:val="32"/>
        </w:rPr>
        <w:t>）经济效益指标。</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票房总收入</w:t>
      </w:r>
      <w:r>
        <w:rPr>
          <w:rFonts w:ascii="Times New Roman" w:hAnsi="Times New Roman" w:eastAsia="仿宋_GB2312" w:cs="Times New Roman"/>
          <w:sz w:val="32"/>
          <w:szCs w:val="32"/>
        </w:rPr>
        <w:t>52.3</w:t>
      </w:r>
      <w:r>
        <w:rPr>
          <w:rFonts w:hint="eastAsia" w:ascii="Times New Roman" w:hAnsi="仿宋_GB2312" w:eastAsia="仿宋_GB2312" w:cs="Times New Roman"/>
          <w:sz w:val="32"/>
          <w:szCs w:val="32"/>
        </w:rPr>
        <w:t>万元，国产影片票房收入增长</w:t>
      </w:r>
      <w:r>
        <w:rPr>
          <w:rFonts w:ascii="Times New Roman" w:hAnsi="Times New Roman" w:eastAsia="仿宋_GB2312" w:cs="Times New Roman"/>
          <w:sz w:val="32"/>
          <w:szCs w:val="32"/>
        </w:rPr>
        <w:t>37.2%</w:t>
      </w:r>
      <w:r>
        <w:rPr>
          <w:rFonts w:hint="eastAsia" w:ascii="Times New Roman" w:hAnsi="仿宋_GB2312" w:eastAsia="仿宋_GB2312" w:cs="Times New Roman"/>
          <w:sz w:val="32"/>
          <w:szCs w:val="32"/>
        </w:rPr>
        <w:t>，均完成绩效目标。</w:t>
      </w:r>
    </w:p>
    <w:p>
      <w:pPr>
        <w:numPr>
          <w:ilvl w:val="0"/>
          <w:numId w:val="6"/>
        </w:num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社会效益以及可持续影响。</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国产影片观影人次增长率</w:t>
      </w:r>
      <w:r>
        <w:rPr>
          <w:rFonts w:ascii="Times New Roman" w:hAnsi="Times New Roman" w:eastAsia="仿宋_GB2312" w:cs="Times New Roman"/>
          <w:color w:val="000000"/>
          <w:kern w:val="0"/>
          <w:sz w:val="32"/>
          <w:szCs w:val="32"/>
        </w:rPr>
        <w:t>46.50%</w:t>
      </w:r>
      <w:r>
        <w:rPr>
          <w:rFonts w:hint="eastAsia" w:ascii="Times New Roman" w:hAnsi="仿宋_GB2312" w:eastAsia="仿宋_GB2312" w:cs="Times New Roman"/>
          <w:sz w:val="32"/>
          <w:szCs w:val="32"/>
        </w:rPr>
        <w:t>，国产影片观影场次增长率</w:t>
      </w:r>
      <w:r>
        <w:rPr>
          <w:rFonts w:ascii="Times New Roman" w:hAnsi="Times New Roman" w:eastAsia="仿宋_GB2312" w:cs="Times New Roman"/>
          <w:color w:val="000000"/>
          <w:kern w:val="0"/>
          <w:sz w:val="32"/>
          <w:szCs w:val="32"/>
        </w:rPr>
        <w:t>17.70%</w:t>
      </w:r>
      <w:r>
        <w:rPr>
          <w:rFonts w:hint="eastAsia" w:ascii="Times New Roman" w:hAnsi="仿宋_GB2312" w:eastAsia="仿宋_GB2312" w:cs="Times New Roman"/>
          <w:sz w:val="32"/>
          <w:szCs w:val="32"/>
        </w:rPr>
        <w:t>，均完成绩效目标。</w:t>
      </w:r>
    </w:p>
    <w:p>
      <w:pPr>
        <w:numPr>
          <w:ilvl w:val="0"/>
          <w:numId w:val="7"/>
        </w:numPr>
        <w:autoSpaceDE w:val="0"/>
        <w:adjustRightInd w:val="0"/>
        <w:snapToGrid w:val="0"/>
        <w:spacing w:line="576" w:lineRule="exact"/>
        <w:ind w:firstLine="643" w:firstLineChars="200"/>
        <w:rPr>
          <w:rFonts w:ascii="Times New Roman" w:hAnsi="Times New Roman" w:eastAsia="仿宋_GB2312" w:cs="Times New Roman"/>
          <w:b/>
          <w:sz w:val="32"/>
          <w:szCs w:val="32"/>
        </w:rPr>
      </w:pPr>
      <w:r>
        <w:rPr>
          <w:rFonts w:hint="eastAsia" w:ascii="Times New Roman" w:hAnsi="仿宋_GB2312" w:eastAsia="仿宋_GB2312" w:cs="Times New Roman"/>
          <w:b/>
          <w:sz w:val="32"/>
          <w:szCs w:val="32"/>
        </w:rPr>
        <w:t>满意度指标完成情况。</w:t>
      </w:r>
    </w:p>
    <w:p>
      <w:pPr>
        <w:autoSpaceDE w:val="0"/>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观众对影院的满意度</w:t>
      </w:r>
      <w:r>
        <w:rPr>
          <w:rFonts w:ascii="Times New Roman" w:hAnsi="Times New Roman" w:eastAsia="仿宋_GB2312" w:cs="Times New Roman"/>
          <w:sz w:val="32"/>
          <w:szCs w:val="32"/>
        </w:rPr>
        <w:t>95%</w:t>
      </w:r>
      <w:r>
        <w:rPr>
          <w:rFonts w:hint="eastAsia" w:ascii="Times New Roman" w:hAnsi="仿宋_GB2312" w:eastAsia="仿宋_GB2312" w:cs="Times New Roman"/>
          <w:sz w:val="32"/>
          <w:szCs w:val="32"/>
        </w:rPr>
        <w:t>，观众对影院举报投诉率</w:t>
      </w:r>
      <w:r>
        <w:rPr>
          <w:rFonts w:ascii="Times New Roman" w:hAnsi="Times New Roman" w:eastAsia="仿宋_GB2312" w:cs="Times New Roman"/>
          <w:sz w:val="32"/>
          <w:szCs w:val="32"/>
        </w:rPr>
        <w:t>1%</w:t>
      </w:r>
      <w:r>
        <w:rPr>
          <w:rFonts w:hint="eastAsia" w:ascii="Times New Roman" w:hAnsi="仿宋_GB2312" w:eastAsia="仿宋_GB2312" w:cs="Times New Roman"/>
          <w:sz w:val="32"/>
          <w:szCs w:val="32"/>
        </w:rPr>
        <w:t>，均完成绩效目标。</w:t>
      </w:r>
    </w:p>
    <w:p>
      <w:pPr>
        <w:autoSpaceDE w:val="0"/>
        <w:adjustRightInd w:val="0"/>
        <w:snapToGrid w:val="0"/>
        <w:spacing w:line="576" w:lineRule="exact"/>
        <w:ind w:firstLine="640" w:firstLineChars="200"/>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（二）项目资金执行情况。</w:t>
      </w:r>
    </w:p>
    <w:p>
      <w:pPr>
        <w:autoSpaceDE w:val="0"/>
        <w:adjustRightInd w:val="0"/>
        <w:snapToGrid w:val="0"/>
        <w:spacing w:line="576"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sz w:val="32"/>
          <w:szCs w:val="32"/>
        </w:rPr>
        <w:t>1.</w:t>
      </w:r>
      <w:r>
        <w:rPr>
          <w:rFonts w:hint="eastAsia" w:ascii="Times New Roman" w:hAnsi="仿宋_GB2312" w:eastAsia="仿宋_GB2312" w:cs="Times New Roman"/>
          <w:b/>
          <w:sz w:val="32"/>
          <w:szCs w:val="32"/>
        </w:rPr>
        <w:t>项目资金到位情况分析。</w:t>
      </w:r>
      <w:r>
        <w:rPr>
          <w:rFonts w:ascii="Times New Roman" w:hAnsi="Times New Roman" w:eastAsia="仿宋_GB2312" w:cs="Times New Roman"/>
          <w:sz w:val="32"/>
          <w:szCs w:val="32"/>
        </w:rPr>
        <w:t>2019</w:t>
      </w:r>
      <w:r>
        <w:rPr>
          <w:rFonts w:hint="eastAsia" w:ascii="Times New Roman" w:hAnsi="仿宋_GB2312" w:eastAsia="仿宋_GB2312" w:cs="Times New Roman"/>
          <w:sz w:val="32"/>
          <w:szCs w:val="32"/>
        </w:rPr>
        <w:t>年中央、省级下达国家电影事业发展专项资金</w:t>
      </w:r>
      <w:r>
        <w:rPr>
          <w:rFonts w:ascii="Times New Roman" w:hAnsi="Times New Roman" w:eastAsia="仿宋_GB2312" w:cs="Times New Roman"/>
          <w:sz w:val="32"/>
          <w:szCs w:val="32"/>
        </w:rPr>
        <w:t>1.85</w:t>
      </w:r>
      <w:r>
        <w:rPr>
          <w:rFonts w:hint="eastAsia" w:ascii="Times New Roman" w:hAnsi="仿宋_GB2312" w:eastAsia="仿宋_GB2312" w:cs="Times New Roman"/>
          <w:sz w:val="32"/>
          <w:szCs w:val="32"/>
        </w:rPr>
        <w:t>万元。区财政下达区委宣传部资金</w:t>
      </w:r>
      <w:r>
        <w:rPr>
          <w:rFonts w:ascii="Times New Roman" w:hAnsi="Times New Roman" w:eastAsia="仿宋_GB2312" w:cs="Times New Roman"/>
          <w:sz w:val="32"/>
          <w:szCs w:val="32"/>
        </w:rPr>
        <w:t>1.85</w:t>
      </w:r>
      <w:r>
        <w:rPr>
          <w:rFonts w:hint="eastAsia" w:ascii="Times New Roman" w:hAnsi="仿宋_GB2312" w:eastAsia="仿宋_GB2312" w:cs="Times New Roman"/>
          <w:sz w:val="32"/>
          <w:szCs w:val="32"/>
        </w:rPr>
        <w:t>万元，资金到位及时，到位率达</w:t>
      </w:r>
      <w:r>
        <w:rPr>
          <w:rFonts w:ascii="Times New Roman" w:hAnsi="Times New Roman" w:eastAsia="仿宋_GB2312" w:cs="Times New Roman"/>
          <w:sz w:val="32"/>
          <w:szCs w:val="32"/>
        </w:rPr>
        <w:t>100%</w:t>
      </w:r>
      <w:r>
        <w:rPr>
          <w:rFonts w:hint="eastAsia" w:ascii="Times New Roman" w:hAnsi="仿宋_GB2312" w:eastAsia="仿宋_GB2312" w:cs="Times New Roman"/>
          <w:sz w:val="32"/>
          <w:szCs w:val="32"/>
        </w:rPr>
        <w:t>。</w:t>
      </w:r>
    </w:p>
    <w:p>
      <w:pPr>
        <w:autoSpaceDE w:val="0"/>
        <w:adjustRightInd w:val="0"/>
        <w:snapToGrid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w:t>
      </w:r>
      <w:r>
        <w:rPr>
          <w:rFonts w:hint="eastAsia" w:ascii="Times New Roman" w:hAnsi="仿宋_GB2312" w:eastAsia="仿宋_GB2312" w:cs="Times New Roman"/>
          <w:b/>
          <w:sz w:val="32"/>
          <w:szCs w:val="32"/>
        </w:rPr>
        <w:t>项目资金执行情况分析。</w:t>
      </w:r>
      <w:r>
        <w:rPr>
          <w:rFonts w:hint="eastAsia" w:ascii="Times New Roman" w:hAnsi="仿宋_GB2312" w:eastAsia="仿宋_GB2312" w:cs="Times New Roman"/>
          <w:sz w:val="32"/>
          <w:szCs w:val="32"/>
        </w:rPr>
        <w:t>根据《四川省国家电影事业发展专项资金预算管理办法》（川财规〔</w:t>
      </w:r>
      <w:r>
        <w:rPr>
          <w:rFonts w:ascii="Times New Roman" w:hAnsi="Times New Roman" w:eastAsia="仿宋_GB2312" w:cs="Times New Roman"/>
          <w:sz w:val="32"/>
          <w:szCs w:val="32"/>
        </w:rPr>
        <w:t>2019</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11</w:t>
      </w:r>
      <w:r>
        <w:rPr>
          <w:rFonts w:hint="eastAsia" w:ascii="Times New Roman" w:hAnsi="仿宋_GB2312" w:eastAsia="仿宋_GB2312" w:cs="Times New Roman"/>
          <w:sz w:val="32"/>
          <w:szCs w:val="32"/>
        </w:rPr>
        <w:t>号），广元市昭化区太平洋影业有限公司申报了奖励国产影片放映成绩突出影院项目，共获得</w:t>
      </w:r>
      <w:r>
        <w:rPr>
          <w:rFonts w:ascii="Times New Roman" w:hAnsi="Times New Roman" w:eastAsia="仿宋_GB2312" w:cs="Times New Roman"/>
          <w:sz w:val="32"/>
          <w:szCs w:val="32"/>
        </w:rPr>
        <w:t>1.85</w:t>
      </w:r>
      <w:r>
        <w:rPr>
          <w:rFonts w:hint="eastAsia" w:ascii="Times New Roman" w:hAnsi="仿宋_GB2312" w:eastAsia="仿宋_GB2312" w:cs="Times New Roman"/>
          <w:sz w:val="32"/>
          <w:szCs w:val="32"/>
        </w:rPr>
        <w:t>万元。我区根据文件（川财教〔</w:t>
      </w:r>
      <w:r>
        <w:rPr>
          <w:rFonts w:ascii="Times New Roman" w:hAnsi="Times New Roman" w:eastAsia="仿宋_GB2312" w:cs="Times New Roman"/>
          <w:sz w:val="32"/>
          <w:szCs w:val="32"/>
        </w:rPr>
        <w:t>2019</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176</w:t>
      </w:r>
      <w:r>
        <w:rPr>
          <w:rFonts w:hint="eastAsia" w:ascii="Times New Roman" w:hAnsi="仿宋_GB2312" w:eastAsia="仿宋_GB2312" w:cs="Times New Roman"/>
          <w:sz w:val="32"/>
          <w:szCs w:val="32"/>
        </w:rPr>
        <w:t>号）和</w:t>
      </w:r>
      <w:r>
        <w:rPr>
          <w:rFonts w:hint="eastAsia" w:eastAsia="仿宋_GB2312" w:cs="Times New Roman"/>
          <w:sz w:val="32"/>
          <w:szCs w:val="32"/>
          <w:highlight w:val="none"/>
          <w:lang w:eastAsia="zh-CN"/>
        </w:rPr>
        <w:t>（</w:t>
      </w:r>
      <w:r>
        <w:rPr>
          <w:rFonts w:hint="eastAsia" w:ascii="Times New Roman" w:hAnsi="仿宋_GB2312" w:eastAsia="仿宋_GB2312" w:cs="Times New Roman"/>
          <w:sz w:val="32"/>
          <w:szCs w:val="32"/>
        </w:rPr>
        <w:t>川财教〔</w:t>
      </w:r>
      <w:r>
        <w:rPr>
          <w:rFonts w:ascii="Times New Roman" w:hAnsi="Times New Roman" w:eastAsia="仿宋_GB2312" w:cs="Times New Roman"/>
          <w:sz w:val="32"/>
          <w:szCs w:val="32"/>
        </w:rPr>
        <w:t>2019</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205</w:t>
      </w:r>
      <w:r>
        <w:rPr>
          <w:rFonts w:hint="eastAsia" w:ascii="Times New Roman" w:hAnsi="仿宋_GB2312" w:eastAsia="仿宋_GB2312" w:cs="Times New Roman"/>
          <w:sz w:val="32"/>
          <w:szCs w:val="32"/>
        </w:rPr>
        <w:t>号</w:t>
      </w:r>
      <w:r>
        <w:rPr>
          <w:rFonts w:hint="eastAsia" w:eastAsia="仿宋_GB2312" w:cs="Times New Roman"/>
          <w:sz w:val="32"/>
          <w:szCs w:val="32"/>
          <w:highlight w:val="none"/>
          <w:lang w:eastAsia="zh-CN"/>
        </w:rPr>
        <w:t>）</w:t>
      </w:r>
      <w:r>
        <w:rPr>
          <w:rFonts w:hint="eastAsia" w:ascii="Times New Roman" w:hAnsi="仿宋_GB2312" w:eastAsia="仿宋_GB2312" w:cs="Times New Roman"/>
          <w:sz w:val="32"/>
          <w:szCs w:val="32"/>
        </w:rPr>
        <w:t>精神，已经兑付给广元市昭化区太平洋影业有限公司专项资金</w:t>
      </w:r>
      <w:r>
        <w:rPr>
          <w:rFonts w:ascii="Times New Roman" w:hAnsi="Times New Roman" w:eastAsia="仿宋_GB2312" w:cs="Times New Roman"/>
          <w:sz w:val="32"/>
          <w:szCs w:val="32"/>
        </w:rPr>
        <w:t>1.85</w:t>
      </w:r>
      <w:r>
        <w:rPr>
          <w:rFonts w:hint="eastAsia" w:ascii="Times New Roman" w:hAnsi="仿宋_GB2312" w:eastAsia="仿宋_GB2312" w:cs="Times New Roman"/>
          <w:sz w:val="32"/>
          <w:szCs w:val="32"/>
        </w:rPr>
        <w:t>万元，全面完成项目资金拨付，执行率</w:t>
      </w:r>
      <w:r>
        <w:rPr>
          <w:rFonts w:ascii="Times New Roman" w:hAnsi="Times New Roman" w:eastAsia="仿宋_GB2312" w:cs="Times New Roman"/>
          <w:sz w:val="32"/>
          <w:szCs w:val="32"/>
        </w:rPr>
        <w:t>100%</w:t>
      </w:r>
      <w:r>
        <w:rPr>
          <w:rFonts w:hint="eastAsia" w:ascii="Times New Roman" w:hAnsi="仿宋_GB2312" w:eastAsia="仿宋_GB2312" w:cs="Times New Roman"/>
          <w:sz w:val="32"/>
          <w:szCs w:val="32"/>
        </w:rPr>
        <w:t>。</w:t>
      </w:r>
    </w:p>
    <w:p>
      <w:pPr>
        <w:autoSpaceDE w:val="0"/>
        <w:adjustRightInd w:val="0"/>
        <w:snapToGrid w:val="0"/>
        <w:spacing w:line="576"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sz w:val="32"/>
          <w:szCs w:val="32"/>
        </w:rPr>
        <w:t>3.</w:t>
      </w:r>
      <w:r>
        <w:rPr>
          <w:rFonts w:hint="eastAsia" w:ascii="Times New Roman" w:hAnsi="仿宋_GB2312" w:eastAsia="仿宋_GB2312" w:cs="Times New Roman"/>
          <w:b/>
          <w:sz w:val="32"/>
          <w:szCs w:val="32"/>
        </w:rPr>
        <w:t>项目资金管理情况分析。</w:t>
      </w:r>
      <w:r>
        <w:rPr>
          <w:rFonts w:hint="eastAsia" w:ascii="Times New Roman" w:hAnsi="仿宋_GB2312" w:eastAsia="仿宋_GB2312" w:cs="Times New Roman"/>
          <w:sz w:val="32"/>
          <w:szCs w:val="32"/>
        </w:rPr>
        <w:t>项目资金实行专款专用，财务处理及时，会计核算规范。昭化区委宣传部共收到资金</w:t>
      </w:r>
      <w:r>
        <w:rPr>
          <w:rFonts w:ascii="Times New Roman" w:hAnsi="Times New Roman" w:eastAsia="仿宋_GB2312" w:cs="Times New Roman"/>
          <w:sz w:val="32"/>
          <w:szCs w:val="32"/>
        </w:rPr>
        <w:t>1.85</w:t>
      </w:r>
      <w:r>
        <w:rPr>
          <w:rFonts w:hint="eastAsia" w:ascii="Times New Roman" w:hAnsi="仿宋_GB2312" w:eastAsia="仿宋_GB2312" w:cs="Times New Roman"/>
          <w:sz w:val="32"/>
          <w:szCs w:val="32"/>
        </w:rPr>
        <w:t>万元，支付资金</w:t>
      </w:r>
      <w:r>
        <w:rPr>
          <w:rFonts w:ascii="Times New Roman" w:hAnsi="Times New Roman" w:eastAsia="仿宋_GB2312" w:cs="Times New Roman"/>
          <w:sz w:val="32"/>
          <w:szCs w:val="32"/>
        </w:rPr>
        <w:t>1.85</w:t>
      </w:r>
      <w:r>
        <w:rPr>
          <w:rFonts w:hint="eastAsia" w:ascii="Times New Roman" w:hAnsi="仿宋_GB2312" w:eastAsia="仿宋_GB2312" w:cs="Times New Roman"/>
          <w:sz w:val="32"/>
          <w:szCs w:val="32"/>
        </w:rPr>
        <w:t>万元，资金拨付率</w:t>
      </w:r>
      <w:r>
        <w:rPr>
          <w:rFonts w:ascii="Times New Roman" w:hAnsi="Times New Roman" w:eastAsia="仿宋_GB2312" w:cs="Times New Roman"/>
          <w:sz w:val="32"/>
          <w:szCs w:val="32"/>
        </w:rPr>
        <w:t>100%</w:t>
      </w:r>
      <w:r>
        <w:rPr>
          <w:rFonts w:hint="eastAsia" w:ascii="Times New Roman" w:hAnsi="仿宋_GB2312" w:eastAsia="仿宋_GB2312" w:cs="Times New Roman"/>
          <w:sz w:val="32"/>
          <w:szCs w:val="32"/>
        </w:rPr>
        <w:t>。</w:t>
      </w:r>
    </w:p>
    <w:p>
      <w:pPr>
        <w:spacing w:line="576"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三、专项资金监管情况</w:t>
      </w:r>
    </w:p>
    <w:p>
      <w:pPr>
        <w:autoSpaceDE w:val="0"/>
        <w:adjustRightInd w:val="0"/>
        <w:snapToGrid w:val="0"/>
        <w:spacing w:line="576" w:lineRule="exact"/>
        <w:ind w:firstLine="640" w:firstLineChars="200"/>
        <w:rPr>
          <w:rFonts w:ascii="Times New Roman" w:hAnsi="仿宋_GB2312" w:eastAsia="仿宋_GB2312" w:cs="Times New Roman"/>
          <w:sz w:val="32"/>
          <w:szCs w:val="32"/>
        </w:rPr>
      </w:pPr>
      <w:r>
        <w:rPr>
          <w:rFonts w:hint="eastAsia" w:ascii="Times New Roman" w:hAnsi="仿宋_GB2312" w:eastAsia="仿宋_GB2312" w:cs="Times New Roman"/>
          <w:sz w:val="32"/>
          <w:szCs w:val="32"/>
        </w:rPr>
        <w:t>广元市昭化区委宣传部收到专项资金后，由分管领导组织经办人员和企业认真学习资金文件和管理文件精神，要求专款专用，及时兑付，正确列支。在资金兑付后，由版权电影股指导广元市昭化区太平洋影业有限公司做好资金使用，做好档案收集管理。</w:t>
      </w:r>
    </w:p>
    <w:p>
      <w:pPr>
        <w:autoSpaceDE w:val="0"/>
        <w:adjustRightInd w:val="0"/>
        <w:snapToGrid w:val="0"/>
        <w:spacing w:line="576"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四、下一步措施</w:t>
      </w:r>
    </w:p>
    <w:p>
      <w:pPr>
        <w:autoSpaceDE w:val="0"/>
        <w:adjustRightInd w:val="0"/>
        <w:snapToGrid w:val="0"/>
        <w:spacing w:line="576" w:lineRule="exact"/>
        <w:ind w:firstLine="640" w:firstLineChars="200"/>
        <w:rPr>
          <w:rFonts w:ascii="Times New Roman" w:hAnsi="Times New Roman" w:eastAsia="仿宋_GB2312" w:cs="Times New Roman"/>
          <w:b/>
          <w:sz w:val="32"/>
          <w:szCs w:val="32"/>
        </w:rPr>
      </w:pPr>
      <w:r>
        <w:rPr>
          <w:rFonts w:hint="eastAsia" w:ascii="Times New Roman" w:hAnsi="仿宋_GB2312" w:eastAsia="仿宋_GB2312" w:cs="Times New Roman"/>
          <w:sz w:val="32"/>
          <w:szCs w:val="32"/>
        </w:rPr>
        <w:t>一是继续做好相关的档案收集管理。二是指导企业做好资金使用和安全生产。三是持续鼓励企业反映国产影片。</w:t>
      </w:r>
    </w:p>
    <w:p>
      <w:pPr>
        <w:pStyle w:val="16"/>
        <w:spacing w:line="576" w:lineRule="exact"/>
        <w:ind w:left="0" w:leftChars="0" w:firstLine="31680"/>
        <w:rPr>
          <w:rFonts w:ascii="Times New Roman" w:hAnsi="Times New Roman" w:eastAsia="仿宋_GB2312" w:cs="Times New Roman"/>
          <w:sz w:val="32"/>
          <w:szCs w:val="32"/>
        </w:rPr>
      </w:pPr>
    </w:p>
    <w:p>
      <w:pPr>
        <w:rPr>
          <w:rFonts w:ascii="楷体_GB2312" w:hAnsi="Times New Roman" w:eastAsia="楷体_GB2312" w:cs="Times New Roman"/>
          <w:sz w:val="32"/>
          <w:szCs w:val="32"/>
        </w:rPr>
      </w:pPr>
      <w:r>
        <w:rPr>
          <w:rFonts w:ascii="楷体_GB2312" w:hAnsi="Times New Roman" w:eastAsia="楷体_GB2312" w:cs="Times New Roman"/>
          <w:sz w:val="32"/>
          <w:szCs w:val="32"/>
        </w:rPr>
        <w:br w:type="page"/>
      </w:r>
    </w:p>
    <w:p>
      <w:pPr>
        <w:spacing w:line="600" w:lineRule="exact"/>
        <w:jc w:val="center"/>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国家电影事业发展专项资金绩效自评表</w:t>
      </w:r>
    </w:p>
    <w:p>
      <w:pPr>
        <w:spacing w:line="600" w:lineRule="exact"/>
        <w:jc w:val="center"/>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（2019年度）</w:t>
      </w:r>
    </w:p>
    <w:tbl>
      <w:tblPr>
        <w:tblStyle w:val="17"/>
        <w:tblW w:w="9092" w:type="dxa"/>
        <w:tblInd w:w="0" w:type="dxa"/>
        <w:tblLayout w:type="fixed"/>
        <w:tblCellMar>
          <w:top w:w="0" w:type="dxa"/>
          <w:left w:w="0" w:type="dxa"/>
          <w:bottom w:w="0" w:type="dxa"/>
          <w:right w:w="0" w:type="dxa"/>
        </w:tblCellMar>
      </w:tblPr>
      <w:tblGrid>
        <w:gridCol w:w="854"/>
        <w:gridCol w:w="750"/>
        <w:gridCol w:w="1111"/>
        <w:gridCol w:w="360"/>
        <w:gridCol w:w="3001"/>
        <w:gridCol w:w="1689"/>
        <w:gridCol w:w="1327"/>
      </w:tblGrid>
      <w:tr>
        <w:tblPrEx>
          <w:tblCellMar>
            <w:top w:w="0" w:type="dxa"/>
            <w:left w:w="0" w:type="dxa"/>
            <w:bottom w:w="0" w:type="dxa"/>
            <w:right w:w="0" w:type="dxa"/>
          </w:tblCellMar>
        </w:tblPrEx>
        <w:trPr>
          <w:trHeight w:val="510" w:hRule="atLeast"/>
        </w:trPr>
        <w:tc>
          <w:tcPr>
            <w:tcW w:w="16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项目名称</w:t>
            </w:r>
          </w:p>
        </w:tc>
        <w:tc>
          <w:tcPr>
            <w:tcW w:w="748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国产影片放映成绩突出影院奖励</w:t>
            </w:r>
          </w:p>
        </w:tc>
      </w:tr>
      <w:tr>
        <w:tblPrEx>
          <w:tblCellMar>
            <w:top w:w="0" w:type="dxa"/>
            <w:left w:w="0" w:type="dxa"/>
            <w:bottom w:w="0" w:type="dxa"/>
            <w:right w:w="0" w:type="dxa"/>
          </w:tblCellMar>
        </w:tblPrEx>
        <w:trPr>
          <w:trHeight w:val="510" w:hRule="atLeast"/>
        </w:trPr>
        <w:tc>
          <w:tcPr>
            <w:tcW w:w="16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主管部门及代码</w:t>
            </w:r>
          </w:p>
        </w:tc>
        <w:tc>
          <w:tcPr>
            <w:tcW w:w="44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211201</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实施单位</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广元市昭化区太平洋影业有限公司</w:t>
            </w:r>
          </w:p>
        </w:tc>
      </w:tr>
      <w:tr>
        <w:tblPrEx>
          <w:tblCellMar>
            <w:top w:w="0" w:type="dxa"/>
            <w:left w:w="0" w:type="dxa"/>
            <w:bottom w:w="0" w:type="dxa"/>
            <w:right w:w="0" w:type="dxa"/>
          </w:tblCellMar>
        </w:tblPrEx>
        <w:trPr>
          <w:trHeight w:val="510" w:hRule="atLeast"/>
        </w:trPr>
        <w:tc>
          <w:tcPr>
            <w:tcW w:w="160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项目预算</w:t>
            </w:r>
            <w:r>
              <w:rPr>
                <w:rFonts w:ascii="宋体" w:cs="宋体"/>
                <w:color w:val="000000"/>
                <w:kern w:val="0"/>
              </w:rPr>
              <w:br w:type="textWrapping"/>
            </w:r>
            <w:r>
              <w:rPr>
                <w:rFonts w:hint="eastAsia" w:ascii="宋体" w:hAnsi="宋体" w:cs="宋体"/>
                <w:color w:val="000000"/>
                <w:kern w:val="0"/>
              </w:rPr>
              <w:t>执行情况</w:t>
            </w:r>
            <w:r>
              <w:rPr>
                <w:rFonts w:ascii="宋体" w:cs="宋体"/>
                <w:color w:val="000000"/>
                <w:kern w:val="0"/>
              </w:rPr>
              <w:br w:type="textWrapping"/>
            </w:r>
            <w:r>
              <w:rPr>
                <w:rFonts w:hint="eastAsia" w:ascii="宋体" w:hAnsi="宋体" w:cs="宋体"/>
                <w:color w:val="000000"/>
                <w:kern w:val="0"/>
              </w:rPr>
              <w:t>（万元）</w:t>
            </w:r>
          </w:p>
        </w:tc>
        <w:tc>
          <w:tcPr>
            <w:tcW w:w="14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ascii="宋体" w:hAnsi="宋体" w:cs="宋体"/>
                <w:color w:val="000000"/>
                <w:kern w:val="0"/>
              </w:rPr>
              <w:t xml:space="preserve"> </w:t>
            </w:r>
            <w:r>
              <w:rPr>
                <w:rFonts w:hint="eastAsia" w:ascii="宋体" w:hAnsi="宋体" w:cs="宋体"/>
                <w:color w:val="000000"/>
                <w:kern w:val="0"/>
              </w:rPr>
              <w:t>预算数：</w:t>
            </w:r>
          </w:p>
        </w:tc>
        <w:tc>
          <w:tcPr>
            <w:tcW w:w="3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1</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ascii="宋体" w:hAnsi="宋体" w:cs="宋体"/>
                <w:color w:val="000000"/>
                <w:kern w:val="0"/>
              </w:rPr>
              <w:t xml:space="preserve"> </w:t>
            </w:r>
            <w:r>
              <w:rPr>
                <w:rFonts w:hint="eastAsia" w:ascii="宋体" w:hAnsi="宋体" w:cs="宋体"/>
                <w:color w:val="000000"/>
                <w:kern w:val="0"/>
              </w:rPr>
              <w:t>执行数：</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1</w:t>
            </w:r>
          </w:p>
        </w:tc>
      </w:tr>
      <w:tr>
        <w:tblPrEx>
          <w:tblCellMar>
            <w:top w:w="0" w:type="dxa"/>
            <w:left w:w="0" w:type="dxa"/>
            <w:bottom w:w="0" w:type="dxa"/>
            <w:right w:w="0" w:type="dxa"/>
          </w:tblCellMar>
        </w:tblPrEx>
        <w:trPr>
          <w:trHeight w:val="510" w:hRule="atLeast"/>
        </w:trPr>
        <w:tc>
          <w:tcPr>
            <w:tcW w:w="160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4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其中：财政拨款</w:t>
            </w:r>
          </w:p>
        </w:tc>
        <w:tc>
          <w:tcPr>
            <w:tcW w:w="3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1</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ascii="宋体" w:hAnsi="宋体" w:cs="宋体"/>
                <w:color w:val="000000"/>
                <w:kern w:val="0"/>
              </w:rPr>
              <w:t xml:space="preserve">  </w:t>
            </w:r>
            <w:r>
              <w:rPr>
                <w:rFonts w:hint="eastAsia" w:ascii="宋体" w:hAnsi="宋体" w:cs="宋体"/>
                <w:color w:val="000000"/>
                <w:kern w:val="0"/>
              </w:rPr>
              <w:t>其中：财政拨款</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1</w:t>
            </w:r>
          </w:p>
        </w:tc>
      </w:tr>
      <w:tr>
        <w:tblPrEx>
          <w:tblCellMar>
            <w:top w:w="0" w:type="dxa"/>
            <w:left w:w="0" w:type="dxa"/>
            <w:bottom w:w="0" w:type="dxa"/>
            <w:right w:w="0" w:type="dxa"/>
          </w:tblCellMar>
        </w:tblPrEx>
        <w:trPr>
          <w:trHeight w:val="510" w:hRule="atLeast"/>
        </w:trPr>
        <w:tc>
          <w:tcPr>
            <w:tcW w:w="160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4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其他资金</w:t>
            </w:r>
          </w:p>
        </w:tc>
        <w:tc>
          <w:tcPr>
            <w:tcW w:w="3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宋体" w:cs="宋体"/>
                <w:color w:val="000000"/>
              </w:rPr>
            </w:pP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ascii="宋体" w:hAnsi="宋体" w:cs="宋体"/>
                <w:color w:val="000000"/>
                <w:kern w:val="0"/>
              </w:rPr>
              <w:t xml:space="preserve">  </w:t>
            </w:r>
            <w:r>
              <w:rPr>
                <w:rFonts w:hint="eastAsia" w:ascii="宋体" w:hAnsi="宋体" w:cs="宋体"/>
                <w:color w:val="000000"/>
                <w:kern w:val="0"/>
              </w:rPr>
              <w:t>其他资金</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rPr>
                <w:rFonts w:ascii="宋体" w:cs="宋体"/>
                <w:color w:val="000000"/>
              </w:rPr>
            </w:pPr>
          </w:p>
        </w:tc>
      </w:tr>
      <w:tr>
        <w:tblPrEx>
          <w:tblCellMar>
            <w:top w:w="0" w:type="dxa"/>
            <w:left w:w="0" w:type="dxa"/>
            <w:bottom w:w="0" w:type="dxa"/>
            <w:right w:w="0" w:type="dxa"/>
          </w:tblCellMar>
        </w:tblPrEx>
        <w:trPr>
          <w:trHeight w:val="510" w:hRule="atLeast"/>
        </w:trPr>
        <w:tc>
          <w:tcPr>
            <w:tcW w:w="8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年度总体目标完成情况</w:t>
            </w:r>
          </w:p>
        </w:tc>
        <w:tc>
          <w:tcPr>
            <w:tcW w:w="52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预期目标</w:t>
            </w:r>
          </w:p>
        </w:tc>
        <w:tc>
          <w:tcPr>
            <w:tcW w:w="30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目标实际完成情况</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52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left"/>
              <w:textAlignment w:val="top"/>
              <w:rPr>
                <w:rFonts w:ascii="宋体" w:cs="宋体"/>
                <w:color w:val="000000"/>
              </w:rPr>
            </w:pPr>
            <w:r>
              <w:rPr>
                <w:rFonts w:ascii="宋体" w:hAnsi="宋体" w:cs="宋体"/>
                <w:color w:val="000000"/>
                <w:kern w:val="0"/>
              </w:rPr>
              <w:t xml:space="preserve">    </w:t>
            </w:r>
            <w:r>
              <w:rPr>
                <w:rFonts w:hint="eastAsia" w:ascii="宋体" w:hAnsi="宋体" w:cs="宋体"/>
                <w:color w:val="000000"/>
                <w:kern w:val="0"/>
              </w:rPr>
              <w:t>努力提升服务质量，力求国产影片票房达到总票房的</w:t>
            </w:r>
            <w:r>
              <w:rPr>
                <w:rFonts w:ascii="宋体" w:hAnsi="宋体" w:cs="宋体"/>
                <w:color w:val="000000"/>
                <w:kern w:val="0"/>
              </w:rPr>
              <w:t>70%</w:t>
            </w:r>
            <w:r>
              <w:rPr>
                <w:rFonts w:hint="eastAsia" w:ascii="宋体" w:hAnsi="宋体" w:cs="宋体"/>
                <w:color w:val="000000"/>
                <w:kern w:val="0"/>
              </w:rPr>
              <w:t>及以上，总票房达</w:t>
            </w:r>
            <w:r>
              <w:rPr>
                <w:rFonts w:ascii="宋体" w:hAnsi="宋体" w:cs="宋体"/>
                <w:color w:val="000000"/>
                <w:kern w:val="0"/>
              </w:rPr>
              <w:t>40</w:t>
            </w:r>
            <w:r>
              <w:rPr>
                <w:rFonts w:hint="eastAsia" w:ascii="宋体" w:hAnsi="宋体" w:cs="宋体"/>
                <w:color w:val="000000"/>
                <w:kern w:val="0"/>
              </w:rPr>
              <w:t>万元及以上。</w:t>
            </w:r>
          </w:p>
        </w:tc>
        <w:tc>
          <w:tcPr>
            <w:tcW w:w="30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00" w:lineRule="exact"/>
              <w:jc w:val="left"/>
              <w:textAlignment w:val="top"/>
              <w:rPr>
                <w:rFonts w:ascii="宋体" w:cs="宋体"/>
                <w:color w:val="000000"/>
              </w:rPr>
            </w:pPr>
            <w:r>
              <w:rPr>
                <w:rFonts w:hint="eastAsia" w:ascii="宋体" w:hAnsi="宋体" w:cs="宋体"/>
                <w:color w:val="000000"/>
                <w:kern w:val="0"/>
              </w:rPr>
              <w:t>提升了服务质量，</w:t>
            </w:r>
            <w:r>
              <w:rPr>
                <w:rFonts w:hint="eastAsia" w:ascii="宋体" w:hAnsi="宋体" w:cs="宋体"/>
                <w:color w:val="000000"/>
                <w:kern w:val="0"/>
                <w:highlight w:val="none"/>
                <w:lang w:eastAsia="zh-CN"/>
              </w:rPr>
              <w:t>极大地丰富</w:t>
            </w:r>
            <w:r>
              <w:rPr>
                <w:rFonts w:hint="eastAsia" w:ascii="宋体" w:hAnsi="宋体" w:cs="宋体"/>
                <w:color w:val="000000"/>
                <w:kern w:val="0"/>
              </w:rPr>
              <w:t>了昭化城区城居民群众文化生活。国产影片票房达到总票房的</w:t>
            </w:r>
            <w:r>
              <w:rPr>
                <w:rFonts w:ascii="宋体" w:hAnsi="宋体" w:cs="宋体"/>
                <w:color w:val="000000"/>
                <w:kern w:val="0"/>
              </w:rPr>
              <w:t>80.8%</w:t>
            </w:r>
            <w:r>
              <w:rPr>
                <w:rFonts w:hint="eastAsia" w:ascii="宋体" w:hAnsi="宋体" w:cs="宋体"/>
                <w:color w:val="000000"/>
                <w:kern w:val="0"/>
              </w:rPr>
              <w:t>及以上，总票房达</w:t>
            </w:r>
            <w:r>
              <w:rPr>
                <w:rFonts w:ascii="宋体" w:hAnsi="宋体" w:cs="宋体"/>
                <w:color w:val="000000"/>
                <w:kern w:val="0"/>
              </w:rPr>
              <w:t>52.3</w:t>
            </w:r>
            <w:r>
              <w:rPr>
                <w:rFonts w:hint="eastAsia" w:ascii="宋体" w:hAnsi="宋体" w:cs="宋体"/>
                <w:color w:val="000000"/>
                <w:kern w:val="0"/>
              </w:rPr>
              <w:t>万元。</w:t>
            </w:r>
          </w:p>
        </w:tc>
      </w:tr>
      <w:tr>
        <w:tblPrEx>
          <w:tblCellMar>
            <w:top w:w="0" w:type="dxa"/>
            <w:left w:w="0" w:type="dxa"/>
            <w:bottom w:w="0" w:type="dxa"/>
            <w:right w:w="0" w:type="dxa"/>
          </w:tblCellMar>
        </w:tblPrEx>
        <w:trPr>
          <w:trHeight w:val="510" w:hRule="atLeast"/>
        </w:trPr>
        <w:tc>
          <w:tcPr>
            <w:tcW w:w="8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年</w:t>
            </w:r>
            <w:r>
              <w:rPr>
                <w:rFonts w:ascii="宋体" w:cs="宋体"/>
                <w:color w:val="000000"/>
                <w:kern w:val="0"/>
              </w:rPr>
              <w:br w:type="textWrapping"/>
            </w:r>
            <w:r>
              <w:rPr>
                <w:rFonts w:hint="eastAsia" w:ascii="宋体" w:hAnsi="宋体" w:cs="宋体"/>
                <w:color w:val="000000"/>
                <w:kern w:val="0"/>
              </w:rPr>
              <w:t>度</w:t>
            </w:r>
            <w:r>
              <w:rPr>
                <w:rFonts w:ascii="宋体" w:cs="宋体"/>
                <w:color w:val="000000"/>
                <w:kern w:val="0"/>
              </w:rPr>
              <w:br w:type="textWrapping"/>
            </w:r>
            <w:r>
              <w:rPr>
                <w:rFonts w:hint="eastAsia" w:ascii="宋体" w:hAnsi="宋体" w:cs="宋体"/>
                <w:color w:val="000000"/>
                <w:kern w:val="0"/>
              </w:rPr>
              <w:t>绩</w:t>
            </w:r>
            <w:r>
              <w:rPr>
                <w:rFonts w:ascii="宋体" w:cs="宋体"/>
                <w:color w:val="000000"/>
                <w:kern w:val="0"/>
              </w:rPr>
              <w:br w:type="textWrapping"/>
            </w:r>
            <w:r>
              <w:rPr>
                <w:rFonts w:hint="eastAsia" w:ascii="宋体" w:hAnsi="宋体" w:cs="宋体"/>
                <w:color w:val="000000"/>
                <w:kern w:val="0"/>
              </w:rPr>
              <w:t>效</w:t>
            </w:r>
            <w:r>
              <w:rPr>
                <w:rFonts w:ascii="宋体" w:cs="宋体"/>
                <w:color w:val="000000"/>
                <w:kern w:val="0"/>
              </w:rPr>
              <w:br w:type="textWrapping"/>
            </w:r>
            <w:r>
              <w:rPr>
                <w:rFonts w:hint="eastAsia" w:ascii="宋体" w:hAnsi="宋体" w:cs="宋体"/>
                <w:color w:val="000000"/>
                <w:kern w:val="0"/>
              </w:rPr>
              <w:t>指</w:t>
            </w:r>
            <w:r>
              <w:rPr>
                <w:rFonts w:ascii="宋体" w:cs="宋体"/>
                <w:color w:val="000000"/>
                <w:kern w:val="0"/>
              </w:rPr>
              <w:br w:type="textWrapping"/>
            </w:r>
            <w:r>
              <w:rPr>
                <w:rFonts w:hint="eastAsia" w:ascii="宋体" w:hAnsi="宋体" w:cs="宋体"/>
                <w:color w:val="000000"/>
                <w:kern w:val="0"/>
              </w:rPr>
              <w:t>标</w:t>
            </w:r>
            <w:r>
              <w:rPr>
                <w:rFonts w:ascii="宋体" w:cs="宋体"/>
                <w:color w:val="000000"/>
                <w:kern w:val="0"/>
              </w:rPr>
              <w:br w:type="textWrapping"/>
            </w:r>
            <w:r>
              <w:rPr>
                <w:rFonts w:hint="eastAsia" w:ascii="宋体" w:hAnsi="宋体" w:cs="宋体"/>
                <w:color w:val="000000"/>
                <w:kern w:val="0"/>
              </w:rPr>
              <w:t>完</w:t>
            </w:r>
            <w:r>
              <w:rPr>
                <w:rFonts w:ascii="宋体" w:cs="宋体"/>
                <w:color w:val="000000"/>
                <w:kern w:val="0"/>
              </w:rPr>
              <w:br w:type="textWrapping"/>
            </w:r>
            <w:r>
              <w:rPr>
                <w:rFonts w:hint="eastAsia" w:ascii="宋体" w:hAnsi="宋体" w:cs="宋体"/>
                <w:color w:val="000000"/>
                <w:kern w:val="0"/>
              </w:rPr>
              <w:t>成</w:t>
            </w:r>
            <w:r>
              <w:rPr>
                <w:rFonts w:ascii="宋体" w:cs="宋体"/>
                <w:color w:val="000000"/>
                <w:kern w:val="0"/>
              </w:rPr>
              <w:br w:type="textWrapping"/>
            </w:r>
            <w:r>
              <w:rPr>
                <w:rFonts w:hint="eastAsia" w:ascii="宋体" w:hAnsi="宋体" w:cs="宋体"/>
                <w:color w:val="000000"/>
                <w:kern w:val="0"/>
              </w:rPr>
              <w:t>情</w:t>
            </w:r>
            <w:r>
              <w:rPr>
                <w:rFonts w:ascii="宋体" w:cs="宋体"/>
                <w:color w:val="000000"/>
                <w:kern w:val="0"/>
              </w:rPr>
              <w:br w:type="textWrapping"/>
            </w:r>
            <w:r>
              <w:rPr>
                <w:rFonts w:hint="eastAsia" w:ascii="宋体" w:hAnsi="宋体" w:cs="宋体"/>
                <w:color w:val="000000"/>
                <w:kern w:val="0"/>
              </w:rPr>
              <w:t>况</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一级指标</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二级指标</w:t>
            </w: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三级指标</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预期指标值（即绩效目标申报表中的数值或文字）</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实际完成指标值（现在实际情况）</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产</w:t>
            </w:r>
            <w:r>
              <w:rPr>
                <w:rFonts w:ascii="宋体" w:cs="宋体"/>
                <w:color w:val="000000"/>
                <w:kern w:val="0"/>
              </w:rPr>
              <w:br w:type="textWrapping"/>
            </w:r>
            <w:r>
              <w:rPr>
                <w:rFonts w:hint="eastAsia" w:ascii="宋体" w:hAnsi="宋体" w:cs="宋体"/>
                <w:color w:val="000000"/>
                <w:kern w:val="0"/>
              </w:rPr>
              <w:t>出</w:t>
            </w:r>
            <w:r>
              <w:rPr>
                <w:rFonts w:ascii="宋体" w:cs="宋体"/>
                <w:color w:val="000000"/>
                <w:kern w:val="0"/>
              </w:rPr>
              <w:br w:type="textWrapping"/>
            </w:r>
            <w:r>
              <w:rPr>
                <w:rFonts w:hint="eastAsia" w:ascii="宋体" w:hAnsi="宋体" w:cs="宋体"/>
                <w:color w:val="000000"/>
                <w:kern w:val="0"/>
              </w:rPr>
              <w:t>指</w:t>
            </w:r>
            <w:r>
              <w:rPr>
                <w:rFonts w:ascii="宋体" w:cs="宋体"/>
                <w:color w:val="000000"/>
                <w:kern w:val="0"/>
              </w:rPr>
              <w:br w:type="textWrapping"/>
            </w:r>
            <w:r>
              <w:rPr>
                <w:rFonts w:hint="eastAsia" w:ascii="宋体" w:hAnsi="宋体" w:cs="宋体"/>
                <w:color w:val="000000"/>
                <w:kern w:val="0"/>
              </w:rPr>
              <w:t>标</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数量指标</w:t>
            </w: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宋体" w:cs="宋体"/>
                <w:color w:val="000000"/>
              </w:rPr>
            </w:pPr>
            <w:r>
              <w:rPr>
                <w:rFonts w:hint="eastAsia" w:ascii="宋体" w:hAnsi="宋体" w:cs="宋体"/>
                <w:color w:val="000000"/>
                <w:kern w:val="0"/>
              </w:rPr>
              <w:t>指全年营业天数</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360</w:t>
            </w:r>
            <w:r>
              <w:rPr>
                <w:rFonts w:hint="eastAsia" w:ascii="宋体" w:hAnsi="宋体" w:cs="宋体"/>
                <w:color w:val="000000"/>
                <w:kern w:val="0"/>
              </w:rPr>
              <w:t>天及以上</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365</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质量指标</w:t>
            </w: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宋体" w:cs="宋体"/>
                <w:color w:val="000000"/>
              </w:rPr>
            </w:pPr>
            <w:r>
              <w:rPr>
                <w:rFonts w:hint="eastAsia" w:ascii="宋体" w:hAnsi="宋体" w:cs="宋体"/>
                <w:color w:val="000000"/>
                <w:kern w:val="0"/>
              </w:rPr>
              <w:t>影院放映国产影片票房占比</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70%</w:t>
            </w:r>
            <w:r>
              <w:rPr>
                <w:rFonts w:hint="eastAsia" w:ascii="宋体" w:hAnsi="宋体" w:cs="宋体"/>
                <w:color w:val="000000"/>
                <w:kern w:val="0"/>
              </w:rPr>
              <w:t>及以上</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80.80%</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时效指标</w:t>
            </w: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宋体" w:cs="宋体"/>
                <w:color w:val="000000"/>
              </w:rPr>
            </w:pPr>
            <w:r>
              <w:rPr>
                <w:rFonts w:hint="eastAsia" w:ascii="宋体" w:hAnsi="宋体" w:cs="宋体"/>
                <w:color w:val="000000"/>
                <w:kern w:val="0"/>
              </w:rPr>
              <w:t>影院全年放映国产影片率</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66%</w:t>
            </w:r>
            <w:r>
              <w:rPr>
                <w:rFonts w:hint="eastAsia" w:ascii="宋体" w:hAnsi="宋体" w:cs="宋体"/>
                <w:color w:val="000000"/>
                <w:kern w:val="0"/>
              </w:rPr>
              <w:t>及以上</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68%</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效</w:t>
            </w:r>
            <w:r>
              <w:rPr>
                <w:rFonts w:ascii="宋体" w:cs="宋体"/>
                <w:color w:val="000000"/>
                <w:kern w:val="0"/>
              </w:rPr>
              <w:br w:type="textWrapping"/>
            </w:r>
            <w:r>
              <w:rPr>
                <w:rFonts w:hint="eastAsia" w:ascii="宋体" w:hAnsi="宋体" w:cs="宋体"/>
                <w:color w:val="000000"/>
                <w:kern w:val="0"/>
              </w:rPr>
              <w:t>益</w:t>
            </w:r>
            <w:r>
              <w:rPr>
                <w:rFonts w:ascii="宋体" w:cs="宋体"/>
                <w:color w:val="000000"/>
                <w:kern w:val="0"/>
              </w:rPr>
              <w:br w:type="textWrapping"/>
            </w:r>
            <w:r>
              <w:rPr>
                <w:rFonts w:hint="eastAsia" w:ascii="宋体" w:hAnsi="宋体" w:cs="宋体"/>
                <w:color w:val="000000"/>
                <w:kern w:val="0"/>
              </w:rPr>
              <w:t>指</w:t>
            </w:r>
            <w:r>
              <w:rPr>
                <w:rFonts w:ascii="宋体" w:cs="宋体"/>
                <w:color w:val="000000"/>
                <w:kern w:val="0"/>
              </w:rPr>
              <w:br w:type="textWrapping"/>
            </w:r>
            <w:r>
              <w:rPr>
                <w:rFonts w:hint="eastAsia" w:ascii="宋体" w:hAnsi="宋体" w:cs="宋体"/>
                <w:color w:val="000000"/>
                <w:kern w:val="0"/>
              </w:rPr>
              <w:t>标</w:t>
            </w:r>
          </w:p>
        </w:tc>
        <w:tc>
          <w:tcPr>
            <w:tcW w:w="11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经济效益</w:t>
            </w:r>
            <w:r>
              <w:rPr>
                <w:rFonts w:ascii="宋体" w:cs="宋体"/>
                <w:color w:val="000000"/>
                <w:kern w:val="0"/>
              </w:rPr>
              <w:br w:type="textWrapping"/>
            </w:r>
            <w:r>
              <w:rPr>
                <w:rFonts w:hint="eastAsia" w:ascii="宋体" w:hAnsi="宋体" w:cs="宋体"/>
                <w:color w:val="000000"/>
                <w:kern w:val="0"/>
              </w:rPr>
              <w:t>指标</w:t>
            </w: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宋体" w:cs="宋体"/>
                <w:color w:val="000000"/>
              </w:rPr>
            </w:pPr>
            <w:r>
              <w:rPr>
                <w:rFonts w:hint="eastAsia" w:ascii="宋体" w:hAnsi="宋体" w:cs="宋体"/>
                <w:color w:val="000000"/>
                <w:kern w:val="0"/>
              </w:rPr>
              <w:t>票房总收入</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40</w:t>
            </w:r>
            <w:r>
              <w:rPr>
                <w:rFonts w:hint="eastAsia" w:ascii="宋体" w:hAnsi="宋体" w:cs="宋体"/>
                <w:color w:val="000000"/>
                <w:kern w:val="0"/>
              </w:rPr>
              <w:t>万及以上</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52.3</w:t>
            </w:r>
            <w:r>
              <w:rPr>
                <w:rFonts w:hint="eastAsia" w:ascii="宋体" w:hAnsi="宋体" w:cs="宋体"/>
                <w:color w:val="000000"/>
                <w:kern w:val="0"/>
              </w:rPr>
              <w:t>万元</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1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宋体" w:cs="宋体"/>
                <w:color w:val="000000"/>
              </w:rPr>
            </w:pPr>
            <w:r>
              <w:rPr>
                <w:rFonts w:hint="eastAsia" w:ascii="宋体" w:hAnsi="宋体" w:cs="宋体"/>
                <w:color w:val="000000"/>
                <w:kern w:val="0"/>
              </w:rPr>
              <w:t>国产影片票房收入增加</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10%</w:t>
            </w:r>
            <w:r>
              <w:rPr>
                <w:rFonts w:hint="eastAsia" w:ascii="宋体" w:hAnsi="宋体" w:cs="宋体"/>
                <w:color w:val="000000"/>
                <w:kern w:val="0"/>
              </w:rPr>
              <w:t>及以上</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37.20%</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1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社会效益</w:t>
            </w:r>
            <w:r>
              <w:rPr>
                <w:rFonts w:ascii="宋体" w:cs="宋体"/>
                <w:color w:val="000000"/>
                <w:kern w:val="0"/>
              </w:rPr>
              <w:br w:type="textWrapping"/>
            </w:r>
            <w:r>
              <w:rPr>
                <w:rFonts w:hint="eastAsia" w:ascii="宋体" w:hAnsi="宋体" w:cs="宋体"/>
                <w:color w:val="000000"/>
                <w:kern w:val="0"/>
              </w:rPr>
              <w:t>指标</w:t>
            </w: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宋体" w:cs="宋体"/>
                <w:color w:val="000000"/>
              </w:rPr>
            </w:pPr>
            <w:r>
              <w:rPr>
                <w:rFonts w:hint="eastAsia" w:ascii="宋体" w:hAnsi="宋体" w:cs="宋体"/>
                <w:color w:val="000000"/>
                <w:kern w:val="0"/>
              </w:rPr>
              <w:t>观影人次增长率</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10%</w:t>
            </w:r>
            <w:r>
              <w:rPr>
                <w:rFonts w:hint="eastAsia" w:ascii="宋体" w:hAnsi="宋体" w:cs="宋体"/>
                <w:color w:val="000000"/>
                <w:kern w:val="0"/>
              </w:rPr>
              <w:t>及以上</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46.50%</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1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宋体" w:cs="宋体"/>
                <w:color w:val="000000"/>
              </w:rPr>
            </w:pPr>
            <w:r>
              <w:rPr>
                <w:rFonts w:hint="eastAsia" w:ascii="宋体" w:hAnsi="宋体" w:cs="宋体"/>
                <w:color w:val="000000"/>
                <w:kern w:val="0"/>
              </w:rPr>
              <w:t>放映场次增长率</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10%</w:t>
            </w:r>
            <w:r>
              <w:rPr>
                <w:rFonts w:hint="eastAsia" w:ascii="宋体" w:hAnsi="宋体" w:cs="宋体"/>
                <w:color w:val="000000"/>
                <w:kern w:val="0"/>
              </w:rPr>
              <w:t>及以上</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17.70%</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满意度</w:t>
            </w:r>
            <w:r>
              <w:rPr>
                <w:rFonts w:ascii="宋体" w:cs="宋体"/>
                <w:color w:val="000000"/>
                <w:kern w:val="0"/>
              </w:rPr>
              <w:br w:type="textWrapping"/>
            </w:r>
            <w:r>
              <w:rPr>
                <w:rFonts w:hint="eastAsia" w:ascii="宋体" w:hAnsi="宋体" w:cs="宋体"/>
                <w:color w:val="000000"/>
                <w:kern w:val="0"/>
              </w:rPr>
              <w:t>指标</w:t>
            </w:r>
          </w:p>
        </w:tc>
        <w:tc>
          <w:tcPr>
            <w:tcW w:w="11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服务对象</w:t>
            </w:r>
            <w:r>
              <w:rPr>
                <w:rFonts w:ascii="宋体" w:cs="宋体"/>
                <w:color w:val="000000"/>
                <w:kern w:val="0"/>
              </w:rPr>
              <w:br w:type="textWrapping"/>
            </w:r>
            <w:r>
              <w:rPr>
                <w:rFonts w:hint="eastAsia" w:ascii="宋体" w:hAnsi="宋体" w:cs="宋体"/>
                <w:color w:val="000000"/>
                <w:kern w:val="0"/>
              </w:rPr>
              <w:t>满意度指标</w:t>
            </w: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宋体" w:cs="宋体"/>
                <w:color w:val="000000"/>
              </w:rPr>
            </w:pPr>
            <w:r>
              <w:rPr>
                <w:rFonts w:hint="eastAsia" w:ascii="宋体" w:hAnsi="宋体" w:cs="宋体"/>
                <w:color w:val="000000"/>
                <w:kern w:val="0"/>
              </w:rPr>
              <w:t>观众对影院满意度</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80%</w:t>
            </w:r>
            <w:r>
              <w:rPr>
                <w:rFonts w:hint="eastAsia" w:ascii="宋体" w:hAnsi="宋体" w:cs="宋体"/>
                <w:color w:val="000000"/>
                <w:kern w:val="0"/>
              </w:rPr>
              <w:t>及以上</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95.00%</w:t>
            </w:r>
          </w:p>
        </w:tc>
      </w:tr>
      <w:tr>
        <w:tblPrEx>
          <w:tblCellMar>
            <w:top w:w="0" w:type="dxa"/>
            <w:left w:w="0" w:type="dxa"/>
            <w:bottom w:w="0" w:type="dxa"/>
            <w:right w:w="0" w:type="dxa"/>
          </w:tblCellMar>
        </w:tblPrEx>
        <w:trPr>
          <w:trHeight w:val="51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1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33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textAlignment w:val="center"/>
              <w:rPr>
                <w:rFonts w:ascii="宋体" w:cs="宋体"/>
                <w:color w:val="000000"/>
              </w:rPr>
            </w:pPr>
            <w:r>
              <w:rPr>
                <w:rFonts w:hint="eastAsia" w:ascii="宋体" w:hAnsi="宋体" w:cs="宋体"/>
                <w:color w:val="000000"/>
                <w:kern w:val="0"/>
              </w:rPr>
              <w:t>观影群众投诉率</w:t>
            </w:r>
          </w:p>
        </w:tc>
        <w:tc>
          <w:tcPr>
            <w:tcW w:w="1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5%</w:t>
            </w:r>
            <w:r>
              <w:rPr>
                <w:rFonts w:hint="eastAsia" w:ascii="宋体" w:hAnsi="宋体" w:cs="宋体"/>
                <w:color w:val="000000"/>
                <w:kern w:val="0"/>
              </w:rPr>
              <w:t>及以下</w:t>
            </w:r>
          </w:p>
        </w:tc>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right"/>
              <w:textAlignment w:val="center"/>
              <w:rPr>
                <w:rFonts w:ascii="宋体" w:cs="宋体"/>
                <w:color w:val="000000"/>
              </w:rPr>
            </w:pPr>
            <w:r>
              <w:rPr>
                <w:rFonts w:ascii="宋体" w:hAnsi="宋体" w:cs="宋体"/>
                <w:color w:val="000000"/>
                <w:kern w:val="0"/>
              </w:rPr>
              <w:t>1.00%</w:t>
            </w:r>
          </w:p>
        </w:tc>
      </w:tr>
    </w:tbl>
    <w:p>
      <w:pPr>
        <w:rPr>
          <w:rFonts w:ascii="楷体_GB2312" w:hAnsi="宋体" w:eastAsia="楷体_GB2312" w:cs="宋体"/>
          <w:color w:val="000000"/>
          <w:kern w:val="0"/>
          <w:sz w:val="32"/>
          <w:szCs w:val="32"/>
        </w:rPr>
      </w:pPr>
      <w:r>
        <w:rPr>
          <w:rFonts w:ascii="Times New Roman" w:hAnsi="Times New Roman" w:cs="Times New Roman"/>
        </w:rPr>
        <w:br w:type="page"/>
      </w:r>
    </w:p>
    <w:p>
      <w:pPr>
        <w:spacing w:line="600" w:lineRule="exact"/>
        <w:jc w:val="center"/>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2019年省级国家电影事业发展专项资金绩效目标表</w:t>
      </w:r>
    </w:p>
    <w:p>
      <w:pPr>
        <w:jc w:val="center"/>
        <w:rPr>
          <w:rFonts w:hint="eastAsia" w:ascii="宋体" w:hAnsi="宋体" w:eastAsia="宋体" w:cs="宋体"/>
          <w:sz w:val="30"/>
          <w:szCs w:val="30"/>
        </w:rPr>
      </w:pPr>
      <w:r>
        <w:rPr>
          <w:rFonts w:hint="eastAsia" w:ascii="宋体" w:hAnsi="宋体" w:eastAsia="宋体" w:cs="宋体"/>
          <w:color w:val="000000"/>
          <w:kern w:val="0"/>
          <w:sz w:val="30"/>
          <w:szCs w:val="30"/>
        </w:rPr>
        <w:t>（2019年度）</w:t>
      </w:r>
    </w:p>
    <w:tbl>
      <w:tblPr>
        <w:tblStyle w:val="17"/>
        <w:tblW w:w="0" w:type="auto"/>
        <w:tblInd w:w="0" w:type="dxa"/>
        <w:tblLayout w:type="fixed"/>
        <w:tblCellMar>
          <w:top w:w="0" w:type="dxa"/>
          <w:left w:w="0" w:type="dxa"/>
          <w:bottom w:w="0" w:type="dxa"/>
          <w:right w:w="0" w:type="dxa"/>
        </w:tblCellMar>
      </w:tblPr>
      <w:tblGrid>
        <w:gridCol w:w="937"/>
        <w:gridCol w:w="1615"/>
        <w:gridCol w:w="2260"/>
        <w:gridCol w:w="3057"/>
        <w:gridCol w:w="1005"/>
      </w:tblGrid>
      <w:tr>
        <w:tblPrEx>
          <w:tblCellMar>
            <w:top w:w="0" w:type="dxa"/>
            <w:left w:w="0" w:type="dxa"/>
            <w:bottom w:w="0" w:type="dxa"/>
            <w:right w:w="0" w:type="dxa"/>
          </w:tblCellMar>
        </w:tblPrEx>
        <w:trPr>
          <w:trHeight w:val="510" w:hRule="atLeast"/>
        </w:trPr>
        <w:tc>
          <w:tcPr>
            <w:tcW w:w="2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专项名称</w:t>
            </w:r>
          </w:p>
        </w:tc>
        <w:tc>
          <w:tcPr>
            <w:tcW w:w="63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省级国家电影事业发展专项资金</w:t>
            </w:r>
          </w:p>
        </w:tc>
      </w:tr>
      <w:tr>
        <w:tblPrEx>
          <w:tblCellMar>
            <w:top w:w="0" w:type="dxa"/>
            <w:left w:w="0" w:type="dxa"/>
            <w:bottom w:w="0" w:type="dxa"/>
            <w:right w:w="0" w:type="dxa"/>
          </w:tblCellMar>
        </w:tblPrEx>
        <w:trPr>
          <w:trHeight w:val="510" w:hRule="atLeast"/>
        </w:trPr>
        <w:tc>
          <w:tcPr>
            <w:tcW w:w="2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省级主管部门</w:t>
            </w:r>
          </w:p>
        </w:tc>
        <w:tc>
          <w:tcPr>
            <w:tcW w:w="63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中共四川省委宣传部</w:t>
            </w:r>
          </w:p>
        </w:tc>
      </w:tr>
      <w:tr>
        <w:tblPrEx>
          <w:tblCellMar>
            <w:top w:w="0" w:type="dxa"/>
            <w:left w:w="0" w:type="dxa"/>
            <w:bottom w:w="0" w:type="dxa"/>
            <w:right w:w="0" w:type="dxa"/>
          </w:tblCellMar>
        </w:tblPrEx>
        <w:trPr>
          <w:trHeight w:val="510" w:hRule="atLeast"/>
        </w:trPr>
        <w:tc>
          <w:tcPr>
            <w:tcW w:w="2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市县主管部门</w:t>
            </w:r>
          </w:p>
        </w:tc>
        <w:tc>
          <w:tcPr>
            <w:tcW w:w="63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广元市委宣传部、广元市昭化区委宣传部</w:t>
            </w:r>
          </w:p>
        </w:tc>
      </w:tr>
      <w:tr>
        <w:tblPrEx>
          <w:tblCellMar>
            <w:top w:w="0" w:type="dxa"/>
            <w:left w:w="0" w:type="dxa"/>
            <w:bottom w:w="0" w:type="dxa"/>
            <w:right w:w="0" w:type="dxa"/>
          </w:tblCellMar>
        </w:tblPrEx>
        <w:trPr>
          <w:trHeight w:val="510" w:hRule="atLeast"/>
        </w:trPr>
        <w:tc>
          <w:tcPr>
            <w:tcW w:w="255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资金情况（万元）</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年度金额：</w:t>
            </w:r>
          </w:p>
        </w:tc>
        <w:tc>
          <w:tcPr>
            <w:tcW w:w="40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0.85</w:t>
            </w:r>
          </w:p>
        </w:tc>
      </w:tr>
      <w:tr>
        <w:tblPrEx>
          <w:tblCellMar>
            <w:top w:w="0" w:type="dxa"/>
            <w:left w:w="0" w:type="dxa"/>
            <w:bottom w:w="0" w:type="dxa"/>
            <w:right w:w="0" w:type="dxa"/>
          </w:tblCellMar>
        </w:tblPrEx>
        <w:trPr>
          <w:trHeight w:val="510" w:hRule="atLeast"/>
        </w:trPr>
        <w:tc>
          <w:tcPr>
            <w:tcW w:w="255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210" w:firstLineChars="100"/>
              <w:jc w:val="right"/>
              <w:textAlignment w:val="center"/>
              <w:rPr>
                <w:rFonts w:ascii="宋体" w:cs="宋体"/>
                <w:color w:val="000000"/>
              </w:rPr>
            </w:pPr>
            <w:r>
              <w:rPr>
                <w:rFonts w:hint="eastAsia" w:ascii="宋体" w:hAnsi="宋体" w:cs="宋体"/>
                <w:color w:val="000000"/>
                <w:kern w:val="0"/>
              </w:rPr>
              <w:t>其中：省级补助</w:t>
            </w:r>
          </w:p>
        </w:tc>
        <w:tc>
          <w:tcPr>
            <w:tcW w:w="40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0.85</w:t>
            </w:r>
          </w:p>
        </w:tc>
      </w:tr>
      <w:tr>
        <w:tblPrEx>
          <w:tblCellMar>
            <w:top w:w="0" w:type="dxa"/>
            <w:left w:w="0" w:type="dxa"/>
            <w:bottom w:w="0" w:type="dxa"/>
            <w:right w:w="0" w:type="dxa"/>
          </w:tblCellMar>
        </w:tblPrEx>
        <w:trPr>
          <w:trHeight w:val="1287" w:hRule="atLeast"/>
        </w:trPr>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年度总体目标</w:t>
            </w:r>
          </w:p>
        </w:tc>
        <w:tc>
          <w:tcPr>
            <w:tcW w:w="79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ascii="宋体" w:hAnsi="宋体" w:cs="宋体"/>
                <w:color w:val="000000"/>
                <w:kern w:val="0"/>
              </w:rPr>
              <w:t xml:space="preserve">    </w:t>
            </w:r>
            <w:r>
              <w:rPr>
                <w:rFonts w:hint="eastAsia" w:ascii="宋体" w:hAnsi="宋体" w:cs="宋体"/>
                <w:color w:val="000000"/>
                <w:kern w:val="0"/>
              </w:rPr>
              <w:t>加快推进乡镇影院建设，推动影院升级改造，推广先进放映技术设备应用，鼓励引导文化特色、艺术创新影片发行和放映，促进国产影片票房稳步增长，推动电影事业产业发展。</w:t>
            </w:r>
          </w:p>
        </w:tc>
      </w:tr>
      <w:tr>
        <w:tblPrEx>
          <w:tblCellMar>
            <w:top w:w="0" w:type="dxa"/>
            <w:left w:w="0" w:type="dxa"/>
            <w:bottom w:w="0" w:type="dxa"/>
            <w:right w:w="0" w:type="dxa"/>
          </w:tblCellMar>
        </w:tblPrEx>
        <w:trPr>
          <w:trHeight w:val="510" w:hRule="atLeast"/>
        </w:trPr>
        <w:tc>
          <w:tcPr>
            <w:tcW w:w="93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绩效指标</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一级指标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二级指标</w:t>
            </w: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三级指标</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指标值</w:t>
            </w: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产出指标</w:t>
            </w:r>
          </w:p>
        </w:tc>
        <w:tc>
          <w:tcPr>
            <w:tcW w:w="22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数量指标</w:t>
            </w: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全年营业天数</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365</w:t>
            </w: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22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宋体" w:cs="宋体"/>
                <w:color w:val="000000"/>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22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质量指标</w:t>
            </w: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影院放映国产影片收入占比</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81%</w:t>
            </w: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22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县城影院覆盖率</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100%</w:t>
            </w: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时效指标</w:t>
            </w: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影院全年放映国产影片率</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68%</w:t>
            </w: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效益指标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经济效益指标</w:t>
            </w: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国产影片票房收入增加</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37%</w:t>
            </w: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22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社会效益指标</w:t>
            </w: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国产影片观影人次增长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47%</w:t>
            </w: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22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国产影片观影场次增长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18%</w:t>
            </w: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满意度指标</w:t>
            </w:r>
          </w:p>
        </w:tc>
        <w:tc>
          <w:tcPr>
            <w:tcW w:w="22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hint="eastAsia" w:ascii="宋体" w:hAnsi="宋体" w:cs="宋体"/>
                <w:color w:val="000000"/>
                <w:kern w:val="0"/>
              </w:rPr>
              <w:t>服务对象满意度指标</w:t>
            </w: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观众对影院的满意度</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95%</w:t>
            </w:r>
          </w:p>
        </w:tc>
      </w:tr>
      <w:tr>
        <w:tblPrEx>
          <w:tblCellMar>
            <w:top w:w="0" w:type="dxa"/>
            <w:left w:w="0" w:type="dxa"/>
            <w:bottom w:w="0" w:type="dxa"/>
            <w:right w:w="0" w:type="dxa"/>
          </w:tblCellMar>
        </w:tblPrEx>
        <w:trPr>
          <w:trHeight w:val="510" w:hRule="atLeast"/>
        </w:trPr>
        <w:tc>
          <w:tcPr>
            <w:tcW w:w="9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1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22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宋体" w:cs="宋体"/>
                <w:color w:val="000000"/>
              </w:rPr>
            </w:pPr>
          </w:p>
        </w:tc>
        <w:tc>
          <w:tcPr>
            <w:tcW w:w="3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center"/>
              <w:rPr>
                <w:rFonts w:ascii="宋体" w:cs="宋体"/>
                <w:color w:val="000000"/>
              </w:rPr>
            </w:pPr>
            <w:r>
              <w:rPr>
                <w:rFonts w:hint="eastAsia" w:ascii="宋体" w:hAnsi="宋体" w:cs="宋体"/>
                <w:color w:val="000000"/>
                <w:kern w:val="0"/>
              </w:rPr>
              <w:t>观众对影院举报投诉率</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textAlignment w:val="center"/>
              <w:rPr>
                <w:rFonts w:ascii="宋体" w:cs="宋体"/>
                <w:color w:val="000000"/>
              </w:rPr>
            </w:pPr>
            <w:r>
              <w:rPr>
                <w:rFonts w:ascii="宋体" w:hAnsi="宋体" w:cs="宋体"/>
                <w:color w:val="000000"/>
                <w:kern w:val="0"/>
              </w:rPr>
              <w:t>1%</w:t>
            </w:r>
          </w:p>
        </w:tc>
      </w:tr>
    </w:tbl>
    <w:p>
      <w:pPr>
        <w:rPr>
          <w:rFonts w:ascii="Times New Roman" w:hAnsi="Times New Roman" w:cs="Times New Roman"/>
        </w:rPr>
      </w:pPr>
    </w:p>
    <w:p>
      <w:pPr>
        <w:pageBreakBefore w:val="0"/>
        <w:kinsoku/>
        <w:wordWrap/>
        <w:overflowPunct/>
        <w:topLinePunct w:val="0"/>
        <w:bidi w:val="0"/>
        <w:snapToGrid/>
        <w:spacing w:line="240" w:lineRule="auto"/>
        <w:ind w:left="0" w:leftChars="0" w:right="0" w:rightChars="0" w:firstLine="0" w:firstLineChars="0"/>
        <w:jc w:val="left"/>
        <w:rPr>
          <w:rFonts w:ascii="仿宋_GB2312" w:hAnsi="仿宋_GB2312" w:eastAsia="仿宋_GB2312" w:cs="仿宋_GB2312"/>
          <w:sz w:val="32"/>
          <w:szCs w:val="32"/>
        </w:rPr>
      </w:pPr>
    </w:p>
    <w:p>
      <w:pPr>
        <w:pageBreakBefore w:val="0"/>
        <w:kinsoku/>
        <w:wordWrap/>
        <w:overflowPunct/>
        <w:topLinePunct w:val="0"/>
        <w:bidi w:val="0"/>
        <w:snapToGrid/>
        <w:spacing w:line="240" w:lineRule="auto"/>
        <w:ind w:left="0" w:leftChars="0" w:right="0" w:rightChars="0" w:firstLine="0" w:firstLineChars="0"/>
        <w:jc w:val="left"/>
        <w:rPr>
          <w:rFonts w:ascii="仿宋_GB2312" w:hAnsi="仿宋_GB2312" w:eastAsia="仿宋_GB2312" w:cs="仿宋_GB2312"/>
          <w:sz w:val="32"/>
          <w:szCs w:val="32"/>
        </w:rPr>
      </w:pPr>
    </w:p>
    <w:p>
      <w:pPr>
        <w:pageBreakBefore w:val="0"/>
        <w:widowControl/>
        <w:kinsoku/>
        <w:wordWrap/>
        <w:overflowPunct/>
        <w:topLinePunct w:val="0"/>
        <w:bidi w:val="0"/>
        <w:snapToGrid/>
        <w:spacing w:line="240" w:lineRule="auto"/>
        <w:ind w:left="0" w:leftChars="0" w:right="0" w:rightChars="0" w:firstLine="0" w:firstLineChars="0"/>
        <w:jc w:val="left"/>
        <w:rPr>
          <w:rStyle w:val="30"/>
          <w:rFonts w:ascii="黑体" w:hAnsi="黑体" w:eastAsia="黑体"/>
          <w:b w:val="0"/>
        </w:rPr>
      </w:pPr>
    </w:p>
    <w:p>
      <w:pPr>
        <w:pageBreakBefore w:val="0"/>
        <w:kinsoku/>
        <w:wordWrap/>
        <w:overflowPunct/>
        <w:topLinePunct w:val="0"/>
        <w:bidi w:val="0"/>
        <w:snapToGrid/>
        <w:spacing w:line="240" w:lineRule="auto"/>
        <w:ind w:left="0" w:leftChars="0" w:right="0" w:rightChars="0" w:firstLine="0" w:firstLineChars="0"/>
        <w:jc w:val="left"/>
        <w:rPr>
          <w:rStyle w:val="30"/>
          <w:rFonts w:ascii="黑体" w:hAnsi="黑体" w:eastAsia="黑体"/>
          <w:b w:val="0"/>
        </w:rPr>
      </w:pPr>
      <w:r>
        <w:rPr>
          <w:rStyle w:val="30"/>
          <w:rFonts w:ascii="黑体" w:hAnsi="黑体" w:eastAsia="黑体"/>
          <w:b w:val="0"/>
        </w:rPr>
        <w:br w:type="page"/>
      </w:r>
    </w:p>
    <w:p>
      <w:pPr>
        <w:pageBreakBefore w:val="0"/>
        <w:kinsoku/>
        <w:wordWrap/>
        <w:overflowPunct/>
        <w:topLinePunct w:val="0"/>
        <w:bidi w:val="0"/>
        <w:snapToGrid/>
        <w:spacing w:line="240" w:lineRule="auto"/>
        <w:ind w:left="0" w:leftChars="0" w:right="0" w:rightChars="0" w:firstLine="0" w:firstLineChars="0"/>
        <w:jc w:val="left"/>
        <w:outlineLvl w:val="1"/>
        <w:rPr>
          <w:rFonts w:hint="eastAsia" w:ascii="方正小标宋简体" w:hAnsi="宋体" w:eastAsia="方正小标宋简体"/>
          <w:color w:val="000000"/>
          <w:kern w:val="0"/>
          <w:sz w:val="30"/>
          <w:szCs w:val="30"/>
          <w:lang w:eastAsia="zh-CN"/>
        </w:rPr>
      </w:pPr>
      <w:bookmarkStart w:id="89" w:name="_Toc7893"/>
      <w:r>
        <w:rPr>
          <w:rFonts w:hint="eastAsia" w:ascii="黑体" w:hAnsi="黑体" w:eastAsia="黑体" w:cs="黑体"/>
          <w:sz w:val="30"/>
          <w:szCs w:val="30"/>
        </w:rPr>
        <w:t>附件</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4.2019年农村公益电影放映项目度绩效自评报告</w:t>
      </w:r>
      <w:bookmarkEnd w:id="89"/>
      <w:r>
        <w:rPr>
          <w:rFonts w:hint="eastAsia" w:ascii="方正小标宋简体" w:hAnsi="宋体" w:eastAsia="方正小标宋简体"/>
          <w:color w:val="000000"/>
          <w:kern w:val="0"/>
          <w:sz w:val="30"/>
          <w:szCs w:val="30"/>
          <w:lang w:eastAsia="zh-CN"/>
        </w:rPr>
        <w:tab/>
      </w:r>
    </w:p>
    <w:p>
      <w:pPr>
        <w:pStyle w:val="6"/>
        <w:outlineLvl w:val="9"/>
        <w:rPr>
          <w:rFonts w:hint="eastAsia" w:ascii="黑体" w:hAnsi="黑体" w:eastAsia="黑体" w:cs="黑体"/>
          <w:b/>
          <w:bCs/>
          <w:sz w:val="36"/>
          <w:szCs w:val="36"/>
          <w:lang w:eastAsia="zh-CN"/>
        </w:rPr>
      </w:pPr>
    </w:p>
    <w:p>
      <w:pPr>
        <w:pageBreakBefore w:val="0"/>
        <w:kinsoku/>
        <w:wordWrap/>
        <w:overflowPunct/>
        <w:topLinePunct w:val="0"/>
        <w:bidi w:val="0"/>
        <w:snapToGrid/>
        <w:spacing w:line="240" w:lineRule="auto"/>
        <w:ind w:left="0" w:leftChars="0" w:right="0" w:rightChars="0" w:firstLine="0" w:firstLineChars="0"/>
        <w:jc w:val="center"/>
        <w:outlineLvl w:val="9"/>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rPr>
        <w:t>2019年四川省广元市昭化区农村公益电影</w:t>
      </w:r>
      <w:r>
        <w:rPr>
          <w:rFonts w:hint="eastAsia" w:ascii="黑体" w:hAnsi="黑体" w:eastAsia="黑体" w:cs="黑体"/>
          <w:b w:val="0"/>
          <w:bCs w:val="0"/>
          <w:sz w:val="36"/>
          <w:szCs w:val="36"/>
          <w:lang w:val="en-US" w:eastAsia="zh-CN"/>
        </w:rPr>
        <w:t>放映项目</w:t>
      </w:r>
    </w:p>
    <w:p>
      <w:pPr>
        <w:pageBreakBefore w:val="0"/>
        <w:kinsoku/>
        <w:wordWrap/>
        <w:overflowPunct/>
        <w:topLinePunct w:val="0"/>
        <w:bidi w:val="0"/>
        <w:snapToGrid/>
        <w:spacing w:line="240" w:lineRule="auto"/>
        <w:ind w:left="0" w:leftChars="0" w:right="0" w:rightChars="0" w:firstLine="0" w:firstLineChars="0"/>
        <w:jc w:val="center"/>
        <w:outlineLvl w:val="9"/>
        <w:rPr>
          <w:rFonts w:hint="eastAsia" w:ascii="黑体" w:hAnsi="黑体" w:eastAsia="黑体" w:cs="黑体"/>
          <w:b w:val="0"/>
          <w:bCs w:val="0"/>
          <w:sz w:val="36"/>
          <w:szCs w:val="36"/>
        </w:rPr>
      </w:pPr>
      <w:r>
        <w:rPr>
          <w:rFonts w:hint="eastAsia" w:ascii="黑体" w:hAnsi="黑体" w:eastAsia="黑体" w:cs="黑体"/>
          <w:b w:val="0"/>
          <w:bCs w:val="0"/>
          <w:sz w:val="36"/>
          <w:szCs w:val="36"/>
        </w:rPr>
        <w:t>绩效自评报告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一、绩效目标分解下达情况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2019年根据《关于下达2019年中央和省公共文化服务体系建设专项资金预算的通知》（广财教〔2014〕25号），下达了下达中央补助地方公共文化服务体系建设专项资金（农村公益电影放映）40.32万元，2019年实际到位40.32万元，实际使用资金40.32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省内共计下达资金10.09万元。（广财教〔2014〕25号）下达了省级财政安排资金6.05万元，扣除下达省委宣传部购片费5.04万元后，实际到位资金1.01万元。根据省财政厅、省电影局（原新闻出版局广电局）《关于印发</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rPr>
        <w:t>四川省农村电影公益放映场地补贴专项资金管理办法</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rPr>
        <w:t>的通知》（川财教〔2014〕270号）文件，广元市级财政配套资金4.54万元，区本级配套资金4.54万元，均于2019年内全部到位并用于专项支出。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二、绩效目标完成情况分析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（一）资金投入情况分析。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1.中、省、市、区四级资金均按时足额到位50.41万元，到位率100%。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2.项目资金由区财政安排到区委宣传部，再由区委宣传部拨专到全市统一确定的放映单位：广元市凤凰院线，资金使用率100%。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3.该项目实施过程中，由区委宣传部对每一场放映质量进行技术监管核实，项目资金使用坚持专款专用，无挤占挪用现象，拨付采取财政直接支付，资金拨付提请了区政府常务会审定同意，资金管理安全。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（二）总体绩效目标完成情况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2019年昭化区在210个行政村放映农村公益电影2987场，其中有效场次2712场，完成全年放映任务的108%，农村观影群众50815人次，放映质量好，社会效益明显增强。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（三）绩效指标完成情况分析。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1.产出指标完成情况分析。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（1）数量指标。完成农村公益电影放映2520场，完成率100%。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（2）质量指标。通过技术监管，2520场电影的每场放映质量均达到良好，良好率100%。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（3）时效指标。所有放映场次均在2019年12月19日前完成，</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sz w:val="30"/>
          <w:szCs w:val="30"/>
        </w:rPr>
        <w:t>效率100%。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（4）成本指标。2520场次农村公益电影资金总额50.41万元，与上年度持平，场均放映</w:t>
      </w:r>
      <w:r>
        <w:rPr>
          <w:rFonts w:hint="eastAsia" w:ascii="仿宋_GB2312" w:hAnsi="仿宋_GB2312" w:eastAsia="仿宋_GB2312" w:cs="仿宋_GB2312"/>
          <w:sz w:val="30"/>
          <w:szCs w:val="30"/>
          <w:highlight w:val="none"/>
          <w:lang w:eastAsia="zh-CN"/>
        </w:rPr>
        <w:t>成本</w:t>
      </w:r>
      <w:r>
        <w:rPr>
          <w:rFonts w:hint="eastAsia" w:ascii="仿宋_GB2312" w:hAnsi="仿宋_GB2312" w:eastAsia="仿宋_GB2312" w:cs="仿宋_GB2312"/>
          <w:sz w:val="30"/>
          <w:szCs w:val="30"/>
        </w:rPr>
        <w:t>约200元。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2.效益指标完成情况分析。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（1）社会效益。全年农村公益电影观影总人次达50815人，主要受众为留守老人和儿童，极大地丰富了农村留守群众的文化生活，特别是孝老爱亲、科技推广、爱国主义教育等题材非常受欢迎。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（2）可持续影响。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留守老人和留守儿童依然是我区农村常住人口的特点，随着劳动力创业就业的回流，青壮年数量也在一定程度增加，农村公益电影受众依然广泛，形式依然必要。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3.满意度指标完成情况分析。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农村居民较喜欢对孝老爱亲、科学技术推广题材影，对农村公益电影放映非常认可，满意度达到95%。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根据绩效自评，绩效目标基本无偏差，下一步，我单位将继续加大监管力度，提高满意度，不增加放映成本。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过绩效自评，我单位发现观影人数有待提高，我区经过研究决定，与区知客协会联动，将农村公益电影与农村红事结合，在农村红白事期间播放农村公益电影，可增加观影人数，增加社会效益，确保农村公益电影持续影响力不断加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五、其他需要说明的问题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无其他说明的问题。</w:t>
      </w:r>
    </w:p>
    <w:p>
      <w:pPr>
        <w:pageBreakBefore w:val="0"/>
        <w:kinsoku/>
        <w:wordWrap/>
        <w:overflowPunct/>
        <w:topLinePunct w:val="0"/>
        <w:bidi w:val="0"/>
        <w:snapToGrid/>
        <w:spacing w:line="240" w:lineRule="auto"/>
        <w:ind w:left="0" w:leftChars="0" w:right="0" w:rightChars="0" w:firstLine="0" w:firstLineChars="0"/>
        <w:jc w:val="left"/>
      </w:pPr>
    </w:p>
    <w:p>
      <w:pPr>
        <w:pStyle w:val="6"/>
      </w:pPr>
    </w:p>
    <w:p/>
    <w:p>
      <w:pPr>
        <w:pageBreakBefore w:val="0"/>
        <w:kinsoku/>
        <w:wordWrap/>
        <w:overflowPunct/>
        <w:topLinePunct w:val="0"/>
        <w:bidi w:val="0"/>
        <w:snapToGrid/>
        <w:spacing w:line="240" w:lineRule="auto"/>
        <w:ind w:left="0" w:leftChars="0" w:right="0" w:rightChars="0" w:firstLine="0" w:firstLineChars="0"/>
        <w:jc w:val="left"/>
        <w:rPr>
          <w:rFonts w:ascii="仿宋_GB2312" w:hAnsi="仿宋_GB2312" w:eastAsia="仿宋_GB2312" w:cs="仿宋_GB2312"/>
          <w:sz w:val="32"/>
          <w:szCs w:val="32"/>
        </w:rPr>
      </w:pPr>
    </w:p>
    <w:p>
      <w:pPr>
        <w:pStyle w:val="6"/>
      </w:pPr>
    </w:p>
    <w:tbl>
      <w:tblPr>
        <w:tblStyle w:val="17"/>
        <w:tblW w:w="0" w:type="auto"/>
        <w:tblInd w:w="0" w:type="dxa"/>
        <w:shd w:val="clear" w:color="auto" w:fill="auto"/>
        <w:tblLayout w:type="fixed"/>
        <w:tblCellMar>
          <w:top w:w="0" w:type="dxa"/>
          <w:left w:w="0" w:type="dxa"/>
          <w:bottom w:w="0" w:type="dxa"/>
          <w:right w:w="0" w:type="dxa"/>
        </w:tblCellMar>
      </w:tblPr>
      <w:tblGrid>
        <w:gridCol w:w="749"/>
        <w:gridCol w:w="563"/>
        <w:gridCol w:w="925"/>
        <w:gridCol w:w="1833"/>
        <w:gridCol w:w="956"/>
        <w:gridCol w:w="1198"/>
        <w:gridCol w:w="1025"/>
        <w:gridCol w:w="1087"/>
      </w:tblGrid>
      <w:tr>
        <w:tblPrEx>
          <w:shd w:val="clear" w:color="auto" w:fill="auto"/>
          <w:tblCellMar>
            <w:top w:w="0" w:type="dxa"/>
            <w:left w:w="0" w:type="dxa"/>
            <w:bottom w:w="0" w:type="dxa"/>
            <w:right w:w="0" w:type="dxa"/>
          </w:tblCellMar>
        </w:tblPrEx>
        <w:trPr>
          <w:trHeight w:val="330" w:hRule="atLeast"/>
        </w:trPr>
        <w:tc>
          <w:tcPr>
            <w:tcW w:w="74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附件3</w:t>
            </w:r>
          </w:p>
        </w:tc>
        <w:tc>
          <w:tcPr>
            <w:tcW w:w="563" w:type="dxa"/>
            <w:tcBorders>
              <w:top w:val="nil"/>
              <w:left w:val="nil"/>
              <w:bottom w:val="nil"/>
              <w:right w:val="nil"/>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黑体" w:hAnsi="宋体" w:eastAsia="黑体" w:cs="黑体"/>
                <w:i w:val="0"/>
                <w:color w:val="000000"/>
                <w:sz w:val="24"/>
                <w:szCs w:val="24"/>
                <w:u w:val="none"/>
              </w:rPr>
            </w:pPr>
          </w:p>
        </w:tc>
        <w:tc>
          <w:tcPr>
            <w:tcW w:w="925" w:type="dxa"/>
            <w:tcBorders>
              <w:top w:val="nil"/>
              <w:left w:val="nil"/>
              <w:bottom w:val="nil"/>
              <w:right w:val="nil"/>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黑体" w:hAnsi="宋体" w:eastAsia="黑体" w:cs="黑体"/>
                <w:i w:val="0"/>
                <w:color w:val="000000"/>
                <w:sz w:val="24"/>
                <w:szCs w:val="24"/>
                <w:u w:val="none"/>
              </w:rPr>
            </w:pPr>
          </w:p>
        </w:tc>
        <w:tc>
          <w:tcPr>
            <w:tcW w:w="1833" w:type="dxa"/>
            <w:tcBorders>
              <w:top w:val="nil"/>
              <w:left w:val="nil"/>
              <w:bottom w:val="nil"/>
              <w:right w:val="nil"/>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黑体" w:hAnsi="宋体" w:eastAsia="黑体" w:cs="黑体"/>
                <w:i w:val="0"/>
                <w:color w:val="000000"/>
                <w:sz w:val="24"/>
                <w:szCs w:val="24"/>
                <w:u w:val="none"/>
              </w:rPr>
            </w:pPr>
          </w:p>
        </w:tc>
        <w:tc>
          <w:tcPr>
            <w:tcW w:w="956" w:type="dxa"/>
            <w:tcBorders>
              <w:top w:val="nil"/>
              <w:left w:val="nil"/>
              <w:bottom w:val="nil"/>
              <w:right w:val="nil"/>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4"/>
                <w:szCs w:val="24"/>
                <w:u w:val="none"/>
              </w:rPr>
            </w:pPr>
          </w:p>
        </w:tc>
        <w:tc>
          <w:tcPr>
            <w:tcW w:w="1198" w:type="dxa"/>
            <w:tcBorders>
              <w:top w:val="nil"/>
              <w:left w:val="nil"/>
              <w:bottom w:val="nil"/>
              <w:right w:val="nil"/>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4"/>
                <w:szCs w:val="24"/>
                <w:u w:val="none"/>
              </w:rPr>
            </w:pPr>
          </w:p>
        </w:tc>
        <w:tc>
          <w:tcPr>
            <w:tcW w:w="1025" w:type="dxa"/>
            <w:tcBorders>
              <w:top w:val="nil"/>
              <w:left w:val="nil"/>
              <w:bottom w:val="nil"/>
              <w:right w:val="nil"/>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4"/>
                <w:szCs w:val="24"/>
                <w:u w:val="none"/>
              </w:rPr>
            </w:pPr>
          </w:p>
        </w:tc>
        <w:tc>
          <w:tcPr>
            <w:tcW w:w="1087" w:type="dxa"/>
            <w:tcBorders>
              <w:top w:val="nil"/>
              <w:left w:val="nil"/>
              <w:bottom w:val="nil"/>
              <w:right w:val="nil"/>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8336"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center"/>
              <w:textAlignment w:val="center"/>
              <w:rPr>
                <w:rFonts w:hint="eastAsia"/>
                <w:lang w:val="en-US" w:eastAsia="zh-CN"/>
              </w:rPr>
            </w:pPr>
            <w:r>
              <w:rPr>
                <w:rFonts w:hint="eastAsia"/>
                <w:lang w:val="en-US" w:eastAsia="zh-CN"/>
              </w:rPr>
              <w:t>四川省广元市昭化区农村公益电影放映项目绩效目标自评表</w:t>
            </w:r>
          </w:p>
          <w:p>
            <w:pPr>
              <w:pStyle w:val="6"/>
              <w:jc w:val="center"/>
              <w:rPr>
                <w:rFonts w:hint="eastAsia"/>
              </w:rPr>
            </w:pPr>
            <w:r>
              <w:rPr>
                <w:rFonts w:hint="eastAsia" w:ascii="宋体" w:hAnsi="宋体" w:eastAsia="宋体" w:cs="宋体"/>
                <w:i w:val="0"/>
                <w:color w:val="000000"/>
                <w:kern w:val="0"/>
                <w:sz w:val="22"/>
                <w:szCs w:val="22"/>
                <w:u w:val="none"/>
                <w:lang w:val="en-US" w:eastAsia="zh-CN" w:bidi="ar"/>
              </w:rPr>
              <w:t>（2019年度）</w:t>
            </w:r>
          </w:p>
        </w:tc>
      </w:tr>
      <w:tr>
        <w:tblPrEx>
          <w:shd w:val="clear" w:color="auto" w:fill="auto"/>
          <w:tblCellMar>
            <w:top w:w="0" w:type="dxa"/>
            <w:left w:w="0" w:type="dxa"/>
            <w:bottom w:w="0" w:type="dxa"/>
            <w:right w:w="0" w:type="dxa"/>
          </w:tblCellMar>
        </w:tblPrEx>
        <w:trPr>
          <w:trHeight w:val="552" w:hRule="atLeast"/>
        </w:trPr>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转移支付（项目）名称</w:t>
            </w:r>
          </w:p>
        </w:tc>
        <w:tc>
          <w:tcPr>
            <w:tcW w:w="6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中央补助地方公共文化服务体系建设专项资金（农村公益电影放映）</w:t>
            </w:r>
          </w:p>
        </w:tc>
      </w:tr>
      <w:tr>
        <w:tblPrEx>
          <w:shd w:val="clear" w:color="auto" w:fill="auto"/>
          <w:tblCellMar>
            <w:top w:w="0" w:type="dxa"/>
            <w:left w:w="0" w:type="dxa"/>
            <w:bottom w:w="0" w:type="dxa"/>
            <w:right w:w="0" w:type="dxa"/>
          </w:tblCellMar>
        </w:tblPrEx>
        <w:trPr>
          <w:trHeight w:val="323" w:hRule="atLeast"/>
        </w:trPr>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中央主管部门</w:t>
            </w:r>
          </w:p>
        </w:tc>
        <w:tc>
          <w:tcPr>
            <w:tcW w:w="6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中宣部</w:t>
            </w:r>
          </w:p>
        </w:tc>
      </w:tr>
      <w:tr>
        <w:tblPrEx>
          <w:shd w:val="clear" w:color="auto" w:fill="auto"/>
          <w:tblCellMar>
            <w:top w:w="0" w:type="dxa"/>
            <w:left w:w="0" w:type="dxa"/>
            <w:bottom w:w="0" w:type="dxa"/>
            <w:right w:w="0" w:type="dxa"/>
          </w:tblCellMar>
        </w:tblPrEx>
        <w:trPr>
          <w:trHeight w:val="323" w:hRule="atLeast"/>
        </w:trPr>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地方主管部门</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昭化区委宣传部</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广元市凤凰院线</w:t>
            </w:r>
          </w:p>
        </w:tc>
      </w:tr>
      <w:tr>
        <w:tblPrEx>
          <w:shd w:val="clear" w:color="auto" w:fill="auto"/>
          <w:tblCellMar>
            <w:top w:w="0" w:type="dxa"/>
            <w:left w:w="0" w:type="dxa"/>
            <w:bottom w:w="0" w:type="dxa"/>
            <w:right w:w="0" w:type="dxa"/>
          </w:tblCellMar>
        </w:tblPrEx>
        <w:trPr>
          <w:trHeight w:val="323" w:hRule="atLeast"/>
        </w:trPr>
        <w:tc>
          <w:tcPr>
            <w:tcW w:w="22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预算执行率（B/A</w:t>
            </w:r>
            <w:r>
              <w:rPr>
                <w:rFonts w:hint="eastAsia" w:ascii="宋体" w:hAnsi="宋体" w:cs="宋体"/>
                <w:i w:val="0"/>
                <w:color w:val="000000"/>
                <w:kern w:val="0"/>
                <w:sz w:val="20"/>
                <w:szCs w:val="20"/>
                <w:highlight w:val="none"/>
                <w:u w:val="none"/>
                <w:lang w:val="en-US" w:eastAsia="zh-CN" w:bidi="ar"/>
              </w:rPr>
              <w:t>）</w:t>
            </w:r>
          </w:p>
        </w:tc>
      </w:tr>
      <w:tr>
        <w:tblPrEx>
          <w:shd w:val="clear" w:color="auto" w:fill="auto"/>
          <w:tblCellMar>
            <w:top w:w="0" w:type="dxa"/>
            <w:left w:w="0" w:type="dxa"/>
            <w:bottom w:w="0" w:type="dxa"/>
            <w:right w:w="0" w:type="dxa"/>
          </w:tblCellMar>
        </w:tblPrEx>
        <w:trPr>
          <w:trHeight w:val="323" w:hRule="atLeast"/>
        </w:trPr>
        <w:tc>
          <w:tcPr>
            <w:tcW w:w="22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50.41</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100/100</w:t>
            </w:r>
          </w:p>
        </w:tc>
      </w:tr>
      <w:tr>
        <w:tblPrEx>
          <w:shd w:val="clear" w:color="auto" w:fill="auto"/>
          <w:tblCellMar>
            <w:top w:w="0" w:type="dxa"/>
            <w:left w:w="0" w:type="dxa"/>
            <w:bottom w:w="0" w:type="dxa"/>
            <w:right w:w="0" w:type="dxa"/>
          </w:tblCellMar>
        </w:tblPrEx>
        <w:trPr>
          <w:trHeight w:val="323" w:hRule="atLeast"/>
        </w:trPr>
        <w:tc>
          <w:tcPr>
            <w:tcW w:w="22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36"/>
                <w:lang w:val="en-US" w:eastAsia="zh-CN" w:bidi="ar"/>
              </w:rPr>
              <w:t>其中：中央补助</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40.32</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40.32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100/100</w:t>
            </w:r>
          </w:p>
        </w:tc>
      </w:tr>
      <w:tr>
        <w:tblPrEx>
          <w:shd w:val="clear" w:color="auto" w:fill="auto"/>
          <w:tblCellMar>
            <w:top w:w="0" w:type="dxa"/>
            <w:left w:w="0" w:type="dxa"/>
            <w:bottom w:w="0" w:type="dxa"/>
            <w:right w:w="0" w:type="dxa"/>
          </w:tblCellMar>
        </w:tblPrEx>
        <w:trPr>
          <w:trHeight w:val="323" w:hRule="atLeast"/>
        </w:trPr>
        <w:tc>
          <w:tcPr>
            <w:tcW w:w="22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36"/>
                <w:lang w:val="en-US" w:eastAsia="zh-CN" w:bidi="ar"/>
              </w:rPr>
              <w:t xml:space="preserve"> 地方资金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10.09</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10.08</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100/100</w:t>
            </w:r>
          </w:p>
        </w:tc>
      </w:tr>
      <w:tr>
        <w:tblPrEx>
          <w:shd w:val="clear" w:color="auto" w:fill="auto"/>
          <w:tblCellMar>
            <w:top w:w="0" w:type="dxa"/>
            <w:left w:w="0" w:type="dxa"/>
            <w:bottom w:w="0" w:type="dxa"/>
            <w:right w:w="0" w:type="dxa"/>
          </w:tblCellMar>
        </w:tblPrEx>
        <w:trPr>
          <w:trHeight w:val="323" w:hRule="atLeast"/>
        </w:trPr>
        <w:tc>
          <w:tcPr>
            <w:tcW w:w="22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Style w:val="36"/>
                <w:lang w:val="en-US" w:eastAsia="zh-CN" w:bidi="ar"/>
              </w:rPr>
              <w:t xml:space="preserve"> 其他资金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23" w:hRule="atLeast"/>
        </w:trPr>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trHeight w:val="54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210个行政村全年放映农村公益电影2520场次</w:t>
            </w:r>
          </w:p>
        </w:tc>
        <w:tc>
          <w:tcPr>
            <w:tcW w:w="3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100/100</w:t>
            </w:r>
          </w:p>
        </w:tc>
      </w:tr>
      <w:tr>
        <w:tblPrEx>
          <w:shd w:val="clear" w:color="auto" w:fill="auto"/>
          <w:tblCellMar>
            <w:top w:w="0" w:type="dxa"/>
            <w:left w:w="0" w:type="dxa"/>
            <w:bottom w:w="0" w:type="dxa"/>
            <w:right w:w="0" w:type="dxa"/>
          </w:tblCellMar>
        </w:tblPrEx>
        <w:trPr>
          <w:trHeight w:val="522" w:hRule="atLeast"/>
        </w:trPr>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完成农村公益电影放映上</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2520场</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2712场</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放映质量优良率</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所有放映场次完成时间</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2019年12月30日</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2019年12月19日</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场均放映成本不超过201元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年农村公益电影观影总人次</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37800人次</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50815人次</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观影满意度</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240" w:lineRule="auto"/>
              <w:ind w:left="0" w:leftChars="0" w:right="0" w:righ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3"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napToGrid/>
              <w:spacing w:before="0" w:beforeLines="0" w:after="0" w:afterLines="0" w:line="240" w:lineRule="auto"/>
              <w:ind w:left="0" w:leftChars="0" w:right="0" w:rightChars="0" w:firstLine="0" w:firstLineChars="0"/>
              <w:jc w:val="left"/>
              <w:rPr>
                <w:rFonts w:hint="eastAsia" w:ascii="宋体" w:hAnsi="宋体" w:eastAsia="宋体" w:cs="宋体"/>
                <w:i w:val="0"/>
                <w:color w:val="000000"/>
                <w:sz w:val="20"/>
                <w:szCs w:val="20"/>
                <w:u w:val="none"/>
              </w:rPr>
            </w:pPr>
          </w:p>
        </w:tc>
      </w:tr>
    </w:tbl>
    <w:p>
      <w:pPr>
        <w:pageBreakBefore w:val="0"/>
        <w:kinsoku/>
        <w:wordWrap/>
        <w:overflowPunct/>
        <w:topLinePunct w:val="0"/>
        <w:bidi w:val="0"/>
        <w:snapToGrid/>
        <w:spacing w:line="240" w:lineRule="auto"/>
        <w:ind w:left="0" w:leftChars="0" w:right="0" w:rightChars="0" w:firstLine="0" w:firstLineChars="0"/>
        <w:jc w:val="left"/>
        <w:rPr>
          <w:rStyle w:val="30"/>
          <w:rFonts w:ascii="黑体" w:hAnsi="黑体" w:eastAsia="黑体"/>
          <w:b w:val="0"/>
        </w:rPr>
      </w:pPr>
      <w:r>
        <w:rPr>
          <w:rStyle w:val="30"/>
          <w:rFonts w:ascii="黑体" w:hAnsi="黑体" w:eastAsia="黑体"/>
          <w:b w:val="0"/>
        </w:rPr>
        <w:br w:type="page"/>
      </w:r>
    </w:p>
    <w:p>
      <w:pPr>
        <w:pageBreakBefore w:val="0"/>
        <w:kinsoku/>
        <w:wordWrap/>
        <w:overflowPunct/>
        <w:topLinePunct w:val="0"/>
        <w:bidi w:val="0"/>
        <w:snapToGrid/>
        <w:spacing w:line="240" w:lineRule="auto"/>
        <w:ind w:left="0" w:leftChars="0" w:right="0" w:rightChars="0" w:firstLine="0" w:firstLineChars="0"/>
        <w:jc w:val="left"/>
      </w:pPr>
    </w:p>
    <w:p>
      <w:pPr>
        <w:pageBreakBefore w:val="0"/>
        <w:kinsoku/>
        <w:wordWrap/>
        <w:overflowPunct/>
        <w:topLinePunct w:val="0"/>
        <w:bidi w:val="0"/>
        <w:snapToGrid/>
        <w:spacing w:line="240" w:lineRule="auto"/>
        <w:ind w:left="0" w:leftChars="0" w:right="0" w:rightChars="0" w:firstLine="0" w:firstLineChars="0"/>
        <w:jc w:val="left"/>
        <w:outlineLvl w:val="0"/>
        <w:rPr>
          <w:rStyle w:val="30"/>
          <w:rFonts w:ascii="黑体" w:hAnsi="黑体" w:eastAsia="黑体"/>
          <w:b w:val="0"/>
        </w:rPr>
      </w:pPr>
      <w:bookmarkStart w:id="90" w:name="_Toc15396618"/>
      <w:bookmarkStart w:id="91" w:name="_Toc24690"/>
      <w:r>
        <w:rPr>
          <w:rFonts w:hint="eastAsia" w:ascii="黑体" w:hAnsi="黑体" w:eastAsia="黑体"/>
          <w:color w:val="000000"/>
          <w:sz w:val="44"/>
          <w:szCs w:val="44"/>
        </w:rPr>
        <w:t>第</w:t>
      </w:r>
      <w:r>
        <w:rPr>
          <w:rStyle w:val="30"/>
          <w:rFonts w:hint="eastAsia" w:ascii="黑体" w:hAnsi="黑体" w:eastAsia="黑体"/>
          <w:b w:val="0"/>
        </w:rPr>
        <w:t>五部分 附表</w:t>
      </w:r>
      <w:bookmarkEnd w:id="83"/>
      <w:bookmarkEnd w:id="90"/>
      <w:bookmarkEnd w:id="91"/>
    </w:p>
    <w:p>
      <w:pPr>
        <w:pageBreakBefore w:val="0"/>
        <w:kinsoku/>
        <w:wordWrap/>
        <w:overflowPunct/>
        <w:topLinePunct w:val="0"/>
        <w:bidi w:val="0"/>
        <w:snapToGrid/>
        <w:spacing w:line="240" w:lineRule="auto"/>
        <w:ind w:left="0" w:leftChars="0" w:right="0" w:rightChars="0" w:firstLine="0" w:firstLineChars="0"/>
        <w:jc w:val="left"/>
        <w:outlineLvl w:val="9"/>
        <w:rPr>
          <w:rFonts w:ascii="仿宋" w:hAnsi="仿宋" w:eastAsia="仿宋"/>
          <w:b/>
          <w:color w:val="000000"/>
          <w:sz w:val="44"/>
          <w:szCs w:val="44"/>
        </w:rPr>
      </w:pPr>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92" w:name="_Toc15396619"/>
      <w:bookmarkStart w:id="93" w:name="_Toc15040"/>
      <w:r>
        <w:rPr>
          <w:rFonts w:hint="eastAsia" w:ascii="仿宋" w:hAnsi="仿宋" w:eastAsia="仿宋"/>
          <w:b w:val="0"/>
          <w:color w:val="000000"/>
        </w:rPr>
        <w:t>一、收</w:t>
      </w:r>
      <w:r>
        <w:rPr>
          <w:rStyle w:val="31"/>
          <w:rFonts w:hint="eastAsia" w:ascii="仿宋" w:hAnsi="仿宋" w:eastAsia="仿宋"/>
          <w:b w:val="0"/>
          <w:bCs w:val="0"/>
        </w:rPr>
        <w:t>入支出决算总表</w:t>
      </w:r>
      <w:bookmarkEnd w:id="92"/>
      <w:bookmarkEnd w:id="93"/>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94" w:name="_Toc15396620"/>
      <w:bookmarkStart w:id="95" w:name="_Toc26899"/>
      <w:r>
        <w:rPr>
          <w:rFonts w:hint="eastAsia" w:ascii="仿宋" w:hAnsi="仿宋" w:eastAsia="仿宋"/>
          <w:b w:val="0"/>
          <w:color w:val="000000"/>
        </w:rPr>
        <w:t>二、收</w:t>
      </w:r>
      <w:r>
        <w:rPr>
          <w:rStyle w:val="31"/>
          <w:rFonts w:hint="eastAsia" w:ascii="仿宋" w:hAnsi="仿宋" w:eastAsia="仿宋"/>
          <w:b w:val="0"/>
          <w:bCs w:val="0"/>
        </w:rPr>
        <w:t>入决算表</w:t>
      </w:r>
      <w:bookmarkEnd w:id="94"/>
      <w:bookmarkEnd w:id="95"/>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96" w:name="_Toc15396621"/>
      <w:bookmarkStart w:id="97" w:name="_Toc5719"/>
      <w:r>
        <w:rPr>
          <w:rStyle w:val="31"/>
          <w:rFonts w:hint="eastAsia" w:ascii="仿宋" w:hAnsi="仿宋" w:eastAsia="仿宋"/>
          <w:b w:val="0"/>
          <w:bCs w:val="0"/>
        </w:rPr>
        <w:t>三、</w:t>
      </w:r>
      <w:r>
        <w:rPr>
          <w:rFonts w:hint="eastAsia" w:ascii="仿宋" w:hAnsi="仿宋" w:eastAsia="仿宋"/>
          <w:b w:val="0"/>
          <w:color w:val="000000"/>
        </w:rPr>
        <w:t>支</w:t>
      </w:r>
      <w:r>
        <w:rPr>
          <w:rStyle w:val="31"/>
          <w:rFonts w:hint="eastAsia" w:ascii="仿宋" w:hAnsi="仿宋" w:eastAsia="仿宋"/>
          <w:b w:val="0"/>
          <w:bCs w:val="0"/>
        </w:rPr>
        <w:t>出决算表</w:t>
      </w:r>
      <w:bookmarkEnd w:id="96"/>
      <w:bookmarkEnd w:id="97"/>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b w:val="0"/>
          <w:color w:val="000000"/>
        </w:rPr>
      </w:pPr>
      <w:bookmarkStart w:id="98" w:name="_Toc15396622"/>
      <w:bookmarkStart w:id="99" w:name="_Toc22017"/>
      <w:r>
        <w:rPr>
          <w:rStyle w:val="31"/>
          <w:rFonts w:hint="eastAsia" w:ascii="仿宋" w:hAnsi="仿宋" w:eastAsia="仿宋"/>
          <w:b w:val="0"/>
          <w:bCs w:val="0"/>
        </w:rPr>
        <w:t>四、</w:t>
      </w:r>
      <w:r>
        <w:rPr>
          <w:rFonts w:hint="eastAsia" w:ascii="仿宋" w:hAnsi="仿宋" w:eastAsia="仿宋"/>
          <w:b w:val="0"/>
          <w:color w:val="000000"/>
        </w:rPr>
        <w:t>财</w:t>
      </w:r>
      <w:r>
        <w:rPr>
          <w:rStyle w:val="31"/>
          <w:rFonts w:hint="eastAsia" w:ascii="仿宋" w:hAnsi="仿宋" w:eastAsia="仿宋"/>
          <w:b w:val="0"/>
          <w:bCs w:val="0"/>
        </w:rPr>
        <w:t>政拨款收入支出决算总表</w:t>
      </w:r>
      <w:bookmarkEnd w:id="98"/>
      <w:bookmarkEnd w:id="99"/>
    </w:p>
    <w:p>
      <w:pPr>
        <w:pStyle w:val="4"/>
        <w:pageBreakBefore w:val="0"/>
        <w:kinsoku/>
        <w:wordWrap/>
        <w:overflowPunct/>
        <w:topLinePunct w:val="0"/>
        <w:bidi w:val="0"/>
        <w:snapToGrid/>
        <w:spacing w:before="0" w:after="0" w:line="240" w:lineRule="auto"/>
        <w:ind w:left="0" w:leftChars="0" w:right="0" w:rightChars="0" w:firstLine="0" w:firstLineChars="0"/>
        <w:jc w:val="left"/>
        <w:rPr>
          <w:rStyle w:val="31"/>
          <w:rFonts w:ascii="仿宋" w:hAnsi="仿宋" w:eastAsia="仿宋"/>
          <w:b w:val="0"/>
          <w:bCs w:val="0"/>
        </w:rPr>
      </w:pPr>
      <w:bookmarkStart w:id="100" w:name="_Toc15396623"/>
      <w:bookmarkStart w:id="101" w:name="_Toc12308"/>
      <w:r>
        <w:rPr>
          <w:rStyle w:val="31"/>
          <w:rFonts w:hint="eastAsia" w:ascii="仿宋" w:hAnsi="仿宋" w:eastAsia="仿宋"/>
          <w:b w:val="0"/>
          <w:bCs w:val="0"/>
        </w:rPr>
        <w:t>五、</w:t>
      </w:r>
      <w:r>
        <w:rPr>
          <w:rFonts w:hint="eastAsia" w:ascii="仿宋" w:hAnsi="仿宋" w:eastAsia="仿宋"/>
          <w:b w:val="0"/>
          <w:color w:val="000000"/>
        </w:rPr>
        <w:t>财</w:t>
      </w:r>
      <w:r>
        <w:rPr>
          <w:rStyle w:val="31"/>
          <w:rFonts w:hint="eastAsia" w:ascii="仿宋" w:hAnsi="仿宋" w:eastAsia="仿宋"/>
          <w:b w:val="0"/>
          <w:bCs w:val="0"/>
        </w:rPr>
        <w:t>政拨款支出决算明细表</w:t>
      </w:r>
      <w:bookmarkEnd w:id="100"/>
      <w:bookmarkEnd w:id="101"/>
      <w:bookmarkStart w:id="102" w:name="_Toc15396624"/>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103" w:name="_Toc18520"/>
      <w:r>
        <w:rPr>
          <w:rStyle w:val="31"/>
          <w:rFonts w:hint="eastAsia" w:ascii="仿宋" w:hAnsi="仿宋" w:eastAsia="仿宋"/>
          <w:b w:val="0"/>
          <w:bCs w:val="0"/>
        </w:rPr>
        <w:t>六、</w:t>
      </w:r>
      <w:r>
        <w:rPr>
          <w:rFonts w:hint="eastAsia" w:ascii="仿宋" w:hAnsi="仿宋" w:eastAsia="仿宋"/>
          <w:b w:val="0"/>
          <w:color w:val="000000"/>
        </w:rPr>
        <w:t>一</w:t>
      </w:r>
      <w:r>
        <w:rPr>
          <w:rStyle w:val="31"/>
          <w:rFonts w:hint="eastAsia" w:ascii="仿宋" w:hAnsi="仿宋" w:eastAsia="仿宋"/>
          <w:b w:val="0"/>
          <w:bCs w:val="0"/>
        </w:rPr>
        <w:t>般公共预算财政拨款支出决算表</w:t>
      </w:r>
      <w:bookmarkEnd w:id="102"/>
      <w:bookmarkEnd w:id="103"/>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104" w:name="_Toc30465"/>
      <w:bookmarkStart w:id="105" w:name="_Toc15396625"/>
      <w:r>
        <w:rPr>
          <w:rStyle w:val="31"/>
          <w:rFonts w:hint="eastAsia" w:ascii="仿宋" w:hAnsi="仿宋" w:eastAsia="仿宋"/>
          <w:b w:val="0"/>
          <w:bCs w:val="0"/>
        </w:rPr>
        <w:t>七、</w:t>
      </w:r>
      <w:r>
        <w:rPr>
          <w:rFonts w:hint="eastAsia" w:ascii="仿宋" w:hAnsi="仿宋" w:eastAsia="仿宋"/>
          <w:b w:val="0"/>
          <w:color w:val="000000"/>
        </w:rPr>
        <w:t>一</w:t>
      </w:r>
      <w:r>
        <w:rPr>
          <w:rStyle w:val="31"/>
          <w:rFonts w:hint="eastAsia" w:ascii="仿宋" w:hAnsi="仿宋" w:eastAsia="仿宋"/>
          <w:b w:val="0"/>
          <w:bCs w:val="0"/>
        </w:rPr>
        <w:t>般公共预算财政拨款支出决算明细表</w:t>
      </w:r>
      <w:bookmarkEnd w:id="104"/>
      <w:bookmarkEnd w:id="105"/>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106" w:name="_Toc15396626"/>
      <w:bookmarkStart w:id="107" w:name="_Toc981"/>
      <w:r>
        <w:rPr>
          <w:rStyle w:val="31"/>
          <w:rFonts w:hint="eastAsia" w:ascii="仿宋" w:hAnsi="仿宋" w:eastAsia="仿宋"/>
          <w:b w:val="0"/>
          <w:bCs w:val="0"/>
        </w:rPr>
        <w:t>八、</w:t>
      </w:r>
      <w:r>
        <w:rPr>
          <w:rFonts w:hint="eastAsia" w:ascii="仿宋" w:hAnsi="仿宋" w:eastAsia="仿宋"/>
          <w:b w:val="0"/>
          <w:color w:val="000000"/>
        </w:rPr>
        <w:t>一</w:t>
      </w:r>
      <w:r>
        <w:rPr>
          <w:rStyle w:val="31"/>
          <w:rFonts w:hint="eastAsia" w:ascii="仿宋" w:hAnsi="仿宋" w:eastAsia="仿宋"/>
          <w:b w:val="0"/>
          <w:bCs w:val="0"/>
        </w:rPr>
        <w:t>般公共预算财政拨款基本支出决算表</w:t>
      </w:r>
      <w:bookmarkEnd w:id="106"/>
      <w:bookmarkEnd w:id="107"/>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108" w:name="_Toc15396627"/>
      <w:bookmarkStart w:id="109" w:name="_Toc21856"/>
      <w:r>
        <w:rPr>
          <w:rStyle w:val="31"/>
          <w:rFonts w:hint="eastAsia" w:ascii="仿宋" w:hAnsi="仿宋" w:eastAsia="仿宋"/>
          <w:b w:val="0"/>
          <w:bCs w:val="0"/>
        </w:rPr>
        <w:t>九、</w:t>
      </w:r>
      <w:r>
        <w:rPr>
          <w:rFonts w:hint="eastAsia" w:ascii="仿宋" w:hAnsi="仿宋" w:eastAsia="仿宋"/>
          <w:b w:val="0"/>
          <w:color w:val="000000"/>
        </w:rPr>
        <w:t>一</w:t>
      </w:r>
      <w:r>
        <w:rPr>
          <w:rStyle w:val="31"/>
          <w:rFonts w:hint="eastAsia" w:ascii="仿宋" w:hAnsi="仿宋" w:eastAsia="仿宋"/>
          <w:b w:val="0"/>
          <w:bCs w:val="0"/>
        </w:rPr>
        <w:t>般公共预算财政拨款项目支出决算表</w:t>
      </w:r>
      <w:bookmarkEnd w:id="108"/>
      <w:bookmarkEnd w:id="109"/>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110" w:name="_Toc29018"/>
      <w:bookmarkStart w:id="111" w:name="_Toc15396628"/>
      <w:r>
        <w:rPr>
          <w:rStyle w:val="31"/>
          <w:rFonts w:hint="eastAsia" w:ascii="仿宋" w:hAnsi="仿宋" w:eastAsia="仿宋"/>
          <w:b w:val="0"/>
          <w:bCs w:val="0"/>
        </w:rPr>
        <w:t>十、</w:t>
      </w:r>
      <w:r>
        <w:rPr>
          <w:rFonts w:hint="eastAsia" w:ascii="仿宋" w:hAnsi="仿宋" w:eastAsia="仿宋"/>
          <w:b w:val="0"/>
          <w:color w:val="000000"/>
        </w:rPr>
        <w:t>一</w:t>
      </w:r>
      <w:r>
        <w:rPr>
          <w:rStyle w:val="31"/>
          <w:rFonts w:hint="eastAsia" w:ascii="仿宋" w:hAnsi="仿宋" w:eastAsia="仿宋"/>
          <w:b w:val="0"/>
          <w:bCs w:val="0"/>
        </w:rPr>
        <w:t>般公共预算财政拨款“三公”经费支出决算表</w:t>
      </w:r>
      <w:bookmarkEnd w:id="110"/>
      <w:bookmarkEnd w:id="111"/>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112" w:name="_Toc16775"/>
      <w:bookmarkStart w:id="113" w:name="_Toc15396629"/>
      <w:r>
        <w:rPr>
          <w:rStyle w:val="31"/>
          <w:rFonts w:hint="eastAsia" w:ascii="仿宋" w:hAnsi="仿宋" w:eastAsia="仿宋"/>
          <w:b w:val="0"/>
          <w:bCs w:val="0"/>
        </w:rPr>
        <w:t>十一、</w:t>
      </w:r>
      <w:r>
        <w:rPr>
          <w:rFonts w:hint="eastAsia" w:ascii="仿宋" w:hAnsi="仿宋" w:eastAsia="仿宋"/>
          <w:b w:val="0"/>
          <w:color w:val="000000"/>
        </w:rPr>
        <w:t>政</w:t>
      </w:r>
      <w:r>
        <w:rPr>
          <w:rStyle w:val="31"/>
          <w:rFonts w:hint="eastAsia" w:ascii="仿宋" w:hAnsi="仿宋" w:eastAsia="仿宋"/>
          <w:b w:val="0"/>
          <w:bCs w:val="0"/>
        </w:rPr>
        <w:t>府性基金预算财政拨款收入支出决算表</w:t>
      </w:r>
      <w:bookmarkEnd w:id="112"/>
      <w:bookmarkEnd w:id="113"/>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rPr>
      </w:pPr>
      <w:bookmarkStart w:id="114" w:name="_Toc15396630"/>
      <w:bookmarkStart w:id="115" w:name="_Toc8932"/>
      <w:r>
        <w:rPr>
          <w:rStyle w:val="31"/>
          <w:rFonts w:hint="eastAsia" w:ascii="仿宋" w:hAnsi="仿宋" w:eastAsia="仿宋"/>
          <w:b w:val="0"/>
          <w:bCs w:val="0"/>
        </w:rPr>
        <w:t>十二、</w:t>
      </w:r>
      <w:r>
        <w:rPr>
          <w:rFonts w:hint="eastAsia" w:ascii="仿宋" w:hAnsi="仿宋" w:eastAsia="仿宋"/>
          <w:b w:val="0"/>
          <w:color w:val="000000"/>
        </w:rPr>
        <w:t>政</w:t>
      </w:r>
      <w:r>
        <w:rPr>
          <w:rStyle w:val="31"/>
          <w:rFonts w:hint="eastAsia" w:ascii="仿宋" w:hAnsi="仿宋" w:eastAsia="仿宋"/>
          <w:b w:val="0"/>
          <w:bCs w:val="0"/>
        </w:rPr>
        <w:t>府性基金预算财政拨款“三公”经费支出决算表</w:t>
      </w:r>
      <w:bookmarkEnd w:id="114"/>
      <w:bookmarkEnd w:id="115"/>
    </w:p>
    <w:p>
      <w:pPr>
        <w:pStyle w:val="4"/>
        <w:pageBreakBefore w:val="0"/>
        <w:kinsoku/>
        <w:wordWrap/>
        <w:overflowPunct/>
        <w:topLinePunct w:val="0"/>
        <w:bidi w:val="0"/>
        <w:snapToGrid/>
        <w:spacing w:before="0" w:after="0" w:line="240" w:lineRule="auto"/>
        <w:ind w:left="0" w:leftChars="0" w:right="0" w:rightChars="0" w:firstLine="0" w:firstLineChars="0"/>
        <w:jc w:val="left"/>
        <w:rPr>
          <w:rFonts w:ascii="仿宋" w:hAnsi="仿宋" w:eastAsia="仿宋"/>
          <w:color w:val="000000" w:themeColor="text1"/>
        </w:rPr>
      </w:pPr>
      <w:bookmarkStart w:id="116" w:name="_Toc3733"/>
      <w:bookmarkStart w:id="117" w:name="_Toc15396631"/>
      <w:r>
        <w:rPr>
          <w:rStyle w:val="31"/>
          <w:rFonts w:hint="eastAsia" w:ascii="仿宋" w:hAnsi="仿宋" w:eastAsia="仿宋"/>
          <w:b w:val="0"/>
          <w:bCs w:val="0"/>
        </w:rPr>
        <w:t>十三、</w:t>
      </w:r>
      <w:r>
        <w:rPr>
          <w:rFonts w:hint="eastAsia" w:ascii="仿宋" w:hAnsi="仿宋" w:eastAsia="仿宋"/>
          <w:b w:val="0"/>
          <w:color w:val="000000"/>
        </w:rPr>
        <w:t>国</w:t>
      </w:r>
      <w:r>
        <w:rPr>
          <w:rStyle w:val="31"/>
          <w:rFonts w:hint="eastAsia" w:ascii="仿宋" w:hAnsi="仿宋" w:eastAsia="仿宋"/>
          <w:b w:val="0"/>
          <w:bCs w:val="0"/>
        </w:rPr>
        <w:t>有资本经营预算支出决算表</w:t>
      </w:r>
      <w:bookmarkEnd w:id="116"/>
      <w:bookmarkEnd w:id="117"/>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8F84E"/>
    <w:multiLevelType w:val="singleLevel"/>
    <w:tmpl w:val="8BC8F84E"/>
    <w:lvl w:ilvl="0" w:tentative="0">
      <w:start w:val="3"/>
      <w:numFmt w:val="decimal"/>
      <w:suff w:val="nothing"/>
      <w:lvlText w:val="%1．"/>
      <w:lvlJc w:val="left"/>
      <w:rPr>
        <w:rFonts w:cs="Times New Roman"/>
      </w:rPr>
    </w:lvl>
  </w:abstractNum>
  <w:abstractNum w:abstractNumId="1">
    <w:nsid w:val="AFFB5B41"/>
    <w:multiLevelType w:val="singleLevel"/>
    <w:tmpl w:val="AFFB5B41"/>
    <w:lvl w:ilvl="0" w:tentative="0">
      <w:start w:val="1"/>
      <w:numFmt w:val="decimal"/>
      <w:lvlText w:val="%1."/>
      <w:lvlJc w:val="left"/>
      <w:pPr>
        <w:tabs>
          <w:tab w:val="left" w:pos="312"/>
        </w:tabs>
      </w:pPr>
    </w:lvl>
  </w:abstractNum>
  <w:abstractNum w:abstractNumId="2">
    <w:nsid w:val="E0DFD310"/>
    <w:multiLevelType w:val="singleLevel"/>
    <w:tmpl w:val="E0DFD310"/>
    <w:lvl w:ilvl="0" w:tentative="0">
      <w:start w:val="2"/>
      <w:numFmt w:val="decimal"/>
      <w:suff w:val="nothing"/>
      <w:lvlText w:val="（%1）"/>
      <w:lvlJc w:val="left"/>
      <w:rPr>
        <w:rFonts w:cs="Times New Roman"/>
      </w:rPr>
    </w:lvl>
  </w:abstractNum>
  <w:abstractNum w:abstractNumId="3">
    <w:nsid w:val="E27E7689"/>
    <w:multiLevelType w:val="singleLevel"/>
    <w:tmpl w:val="E27E7689"/>
    <w:lvl w:ilvl="0" w:tentative="0">
      <w:start w:val="2"/>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5F9EF09"/>
    <w:multiLevelType w:val="singleLevel"/>
    <w:tmpl w:val="55F9EF09"/>
    <w:lvl w:ilvl="0" w:tentative="0">
      <w:start w:val="2"/>
      <w:numFmt w:val="decimal"/>
      <w:suff w:val="nothing"/>
      <w:lvlText w:val="（%1）"/>
      <w:lvlJc w:val="left"/>
      <w:rPr>
        <w:rFonts w:cs="Times New Roman"/>
      </w:r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F746B1B"/>
    <w:rsid w:val="10C055FF"/>
    <w:rsid w:val="16BB723D"/>
    <w:rsid w:val="172B41FD"/>
    <w:rsid w:val="240371BF"/>
    <w:rsid w:val="29FD04D3"/>
    <w:rsid w:val="319F7F4E"/>
    <w:rsid w:val="35340A5F"/>
    <w:rsid w:val="35765E7D"/>
    <w:rsid w:val="36303BCE"/>
    <w:rsid w:val="41B11F42"/>
    <w:rsid w:val="4C6D3096"/>
    <w:rsid w:val="4ECE2238"/>
    <w:rsid w:val="69671F94"/>
    <w:rsid w:val="72734D90"/>
    <w:rsid w:val="7C1F1332"/>
    <w:rsid w:val="7E8E54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Salutation"/>
    <w:basedOn w:val="1"/>
    <w:next w:val="1"/>
    <w:qFormat/>
    <w:uiPriority w:val="99"/>
  </w:style>
  <w:style w:type="paragraph" w:styleId="7">
    <w:name w:val="Body Text Indent"/>
    <w:basedOn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iPriority w:val="0"/>
    <w:pPr>
      <w:spacing w:before="100" w:beforeLines="0" w:beforeAutospacing="1" w:after="100" w:afterLines="0" w:afterAutospacing="1"/>
      <w:ind w:left="0" w:right="0"/>
      <w:jc w:val="left"/>
    </w:pPr>
    <w:rPr>
      <w:kern w:val="0"/>
      <w:sz w:val="24"/>
      <w:lang w:val="en-US" w:eastAsia="zh-CN" w:bidi="ar"/>
    </w:rPr>
  </w:style>
  <w:style w:type="paragraph" w:styleId="16">
    <w:name w:val="Body Text First Indent 2"/>
    <w:basedOn w:val="7"/>
    <w:qFormat/>
    <w:uiPriority w:val="99"/>
    <w:pPr>
      <w:ind w:firstLine="420" w:firstLineChars="200"/>
    </w:pPr>
  </w:style>
  <w:style w:type="character" w:styleId="19">
    <w:name w:val="Strong"/>
    <w:basedOn w:val="18"/>
    <w:qFormat/>
    <w:uiPriority w:val="99"/>
    <w:rPr>
      <w:b/>
    </w:rPr>
  </w:style>
  <w:style w:type="character" w:styleId="20">
    <w:name w:val="Emphasis"/>
    <w:basedOn w:val="18"/>
    <w:qFormat/>
    <w:uiPriority w:val="20"/>
    <w:rPr>
      <w:i/>
    </w:rPr>
  </w:style>
  <w:style w:type="character" w:styleId="21">
    <w:name w:val="Hyperlink"/>
    <w:basedOn w:val="18"/>
    <w:unhideWhenUsed/>
    <w:qFormat/>
    <w:uiPriority w:val="99"/>
    <w:rPr>
      <w:color w:val="0000FF" w:themeColor="hyperlink"/>
      <w:u w:val="single"/>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font11"/>
    <w:basedOn w:val="18"/>
    <w:qFormat/>
    <w:uiPriority w:val="0"/>
    <w:rPr>
      <w:rFonts w:hint="eastAsia" w:ascii="宋体" w:hAnsi="宋体" w:eastAsia="宋体" w:cs="宋体"/>
      <w:color w:val="000000"/>
      <w:sz w:val="20"/>
      <w:szCs w:val="20"/>
      <w:u w:val="none"/>
    </w:rPr>
  </w:style>
  <w:style w:type="character" w:customStyle="1" w:styleId="37">
    <w:name w:val="font81"/>
    <w:basedOn w:val="18"/>
    <w:qFormat/>
    <w:uiPriority w:val="0"/>
    <w:rPr>
      <w:rFonts w:hint="eastAsia" w:ascii="宋体" w:hAnsi="宋体" w:eastAsia="宋体" w:cs="宋体"/>
      <w:color w:val="000000"/>
      <w:sz w:val="18"/>
      <w:szCs w:val="18"/>
      <w:u w:val="none"/>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63</TotalTime>
  <ScaleCrop>false</ScaleCrop>
  <LinksUpToDate>false</LinksUpToDate>
  <CharactersWithSpaces>8536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半桶冰</cp:lastModifiedBy>
  <cp:lastPrinted>2020-11-13T01:42:00Z</cp:lastPrinted>
  <dcterms:modified xsi:type="dcterms:W3CDTF">2021-05-23T08:49:11Z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9F26F4BE66BD4B9BB892150C8CF4E6AE</vt:lpwstr>
  </property>
</Properties>
</file>