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81AFD">
      <w:pPr>
        <w:spacing w:line="600" w:lineRule="exact"/>
        <w:jc w:val="center"/>
        <w:outlineLvl w:val="0"/>
        <w:rPr>
          <w:rFonts w:ascii="方正小标宋简体" w:hAnsi="宋体" w:eastAsia="方正小标宋简体"/>
          <w:color w:val="000000"/>
          <w:sz w:val="72"/>
          <w:szCs w:val="72"/>
        </w:rPr>
      </w:pPr>
      <w:bookmarkStart w:id="0" w:name="_Toc15306267"/>
    </w:p>
    <w:p w14:paraId="60981C01">
      <w:pPr>
        <w:spacing w:line="600" w:lineRule="exact"/>
        <w:jc w:val="center"/>
        <w:outlineLvl w:val="0"/>
        <w:rPr>
          <w:rFonts w:ascii="方正小标宋简体" w:hAnsi="宋体" w:eastAsia="方正小标宋简体"/>
          <w:color w:val="000000"/>
          <w:sz w:val="72"/>
          <w:szCs w:val="72"/>
        </w:rPr>
      </w:pPr>
    </w:p>
    <w:p w14:paraId="35DF166F">
      <w:pPr>
        <w:spacing w:line="600" w:lineRule="exact"/>
        <w:jc w:val="center"/>
        <w:outlineLvl w:val="0"/>
        <w:rPr>
          <w:rFonts w:ascii="方正小标宋简体" w:hAnsi="宋体" w:eastAsia="方正小标宋简体"/>
          <w:color w:val="000000"/>
          <w:sz w:val="72"/>
          <w:szCs w:val="72"/>
        </w:rPr>
      </w:pPr>
    </w:p>
    <w:p w14:paraId="0CC61D17">
      <w:pPr>
        <w:spacing w:line="600" w:lineRule="exact"/>
        <w:jc w:val="center"/>
        <w:outlineLvl w:val="0"/>
        <w:rPr>
          <w:rFonts w:ascii="方正小标宋简体" w:hAnsi="宋体" w:eastAsia="方正小标宋简体"/>
          <w:color w:val="000000"/>
          <w:sz w:val="72"/>
          <w:szCs w:val="72"/>
        </w:rPr>
      </w:pPr>
    </w:p>
    <w:p w14:paraId="119FFDE4">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FA7D3E4">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9647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w:t>
      </w:r>
    </w:p>
    <w:p w14:paraId="3982033B">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直属机关工作委员会</w:t>
      </w:r>
    </w:p>
    <w:p w14:paraId="0F117B27">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68565C4">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84B53C3">
      <w:pPr>
        <w:widowControl/>
        <w:jc w:val="center"/>
        <w:rPr>
          <w:rFonts w:ascii="黑体" w:hAnsi="黑体" w:eastAsia="黑体" w:cstheme="minorBidi"/>
          <w:sz w:val="28"/>
          <w:szCs w:val="28"/>
        </w:rPr>
      </w:pPr>
    </w:p>
    <w:p w14:paraId="77B1C30B">
      <w:pPr>
        <w:rPr>
          <w:rFonts w:hint="eastAsia" w:ascii="仿宋" w:hAnsi="仿宋" w:eastAsia="仿宋" w:cs="仿宋"/>
          <w:sz w:val="32"/>
          <w:szCs w:val="32"/>
        </w:rPr>
      </w:pPr>
    </w:p>
    <w:p w14:paraId="7D342346">
      <w:pPr>
        <w:pStyle w:val="11"/>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部门概况</w:t>
      </w:r>
    </w:p>
    <w:p w14:paraId="20B60125">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一、基本职能及主要工作</w:t>
      </w:r>
    </w:p>
    <w:p w14:paraId="1815A7A2">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14:paraId="01362DB7">
      <w:pPr>
        <w:pStyle w:val="11"/>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w:t>
      </w:r>
      <w:r>
        <w:rPr>
          <w:rFonts w:hint="eastAsia" w:cs="仿宋"/>
          <w:sz w:val="32"/>
          <w:szCs w:val="32"/>
          <w:lang w:val="en-US" w:eastAsia="zh-CN"/>
        </w:rPr>
        <w:t xml:space="preserve"> </w:t>
      </w:r>
      <w:r>
        <w:rPr>
          <w:rFonts w:hint="eastAsia" w:ascii="仿宋" w:hAnsi="仿宋" w:eastAsia="仿宋" w:cs="仿宋"/>
          <w:sz w:val="32"/>
          <w:szCs w:val="32"/>
        </w:rPr>
        <w:t>部门决算情况说明</w:t>
      </w:r>
    </w:p>
    <w:p w14:paraId="1A7DD1F6">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14:paraId="3276DAA0">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14:paraId="5CFDD191">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14:paraId="59B49229">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14:paraId="6AAF6F3F">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14:paraId="4169F545">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14:paraId="51CD3654">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七、“三公”经费财政拨款支出决算情况说明</w:t>
      </w:r>
    </w:p>
    <w:p w14:paraId="1530B30C">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14:paraId="26A513BF">
      <w:pPr>
        <w:pStyle w:val="12"/>
        <w:adjustRightInd w:val="0"/>
        <w:snapToGrid w:val="0"/>
        <w:spacing w:line="440" w:lineRule="exact"/>
        <w:ind w:leftChars="0"/>
        <w:jc w:val="left"/>
        <w:rPr>
          <w:rFonts w:hint="eastAsia" w:ascii="仿宋" w:hAnsi="仿宋" w:eastAsia="仿宋" w:cs="仿宋"/>
          <w:sz w:val="32"/>
          <w:szCs w:val="32"/>
        </w:rPr>
      </w:pPr>
      <w:r>
        <w:rPr>
          <w:rFonts w:hint="eastAsia" w:ascii="仿宋" w:hAnsi="仿宋" w:eastAsia="仿宋" w:cs="仿宋"/>
          <w:sz w:val="32"/>
          <w:szCs w:val="32"/>
        </w:rPr>
        <w:t>九、</w:t>
      </w:r>
      <w:bookmarkStart w:id="70" w:name="_GoBack"/>
      <w:bookmarkEnd w:id="70"/>
      <w:r>
        <w:rPr>
          <w:rFonts w:hint="eastAsia" w:ascii="仿宋" w:hAnsi="仿宋" w:eastAsia="仿宋" w:cs="仿宋"/>
          <w:sz w:val="32"/>
          <w:szCs w:val="32"/>
        </w:rPr>
        <w:t>国有资本经营预算支出决算情况说明</w:t>
      </w:r>
    </w:p>
    <w:p w14:paraId="368BC024">
      <w:pPr>
        <w:adjustRightInd w:val="0"/>
        <w:snapToGrid w:val="0"/>
        <w:spacing w:line="440" w:lineRule="exact"/>
        <w:ind w:firstLine="640" w:firstLineChars="200"/>
        <w:jc w:val="left"/>
        <w:rPr>
          <w:rFonts w:hint="eastAsia" w:ascii="仿宋" w:hAnsi="仿宋" w:eastAsia="仿宋" w:cs="仿宋"/>
          <w:sz w:val="32"/>
          <w:szCs w:val="32"/>
        </w:rPr>
      </w:pPr>
      <w:r>
        <w:rPr>
          <w:rStyle w:val="16"/>
          <w:rFonts w:hint="eastAsia" w:ascii="仿宋" w:hAnsi="仿宋" w:eastAsia="仿宋" w:cs="仿宋"/>
          <w:color w:val="000000" w:themeColor="text1"/>
          <w:sz w:val="32"/>
          <w:szCs w:val="32"/>
          <w:u w:val="none"/>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p>
    <w:p w14:paraId="172A725E">
      <w:pPr>
        <w:pStyle w:val="11"/>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14:paraId="377D72CC">
      <w:pPr>
        <w:pStyle w:val="11"/>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14:paraId="12855D97">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附件1</w:t>
      </w:r>
    </w:p>
    <w:p w14:paraId="342F061E">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附件2</w:t>
      </w:r>
    </w:p>
    <w:p w14:paraId="380C3795">
      <w:pPr>
        <w:pStyle w:val="11"/>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14:paraId="5EE21B8B">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14:paraId="7E71835F">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14:paraId="4F5BBE2E">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14:paraId="6A67B191">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14:paraId="00E653A3">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14:paraId="20A29DB2">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14:paraId="0885124E">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14:paraId="154D9BE4">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14:paraId="1BA565C8">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14:paraId="086A7A42">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十、一般公共预算财政拨款“三公”经费支出决算表</w:t>
      </w:r>
    </w:p>
    <w:p w14:paraId="2DDC787B">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十一、政府性基金预算财政拨款收入支出决算表</w:t>
      </w:r>
    </w:p>
    <w:p w14:paraId="32E95D30">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十二、政府性基金预算财政拨款“三公”经费支出决算表</w:t>
      </w:r>
    </w:p>
    <w:p w14:paraId="2427FC40">
      <w:pPr>
        <w:pStyle w:val="12"/>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十三、国有资本经营预算支出决算表</w:t>
      </w:r>
    </w:p>
    <w:p w14:paraId="212131C2">
      <w:pPr>
        <w:widowControl/>
        <w:spacing w:line="440" w:lineRule="exact"/>
        <w:jc w:val="left"/>
        <w:rPr>
          <w:rFonts w:hint="eastAsia" w:ascii="仿宋" w:hAnsi="仿宋" w:eastAsia="仿宋" w:cs="仿宋"/>
          <w:bCs/>
          <w:kern w:val="44"/>
          <w:sz w:val="32"/>
          <w:szCs w:val="32"/>
        </w:rPr>
      </w:pPr>
      <w:bookmarkStart w:id="12" w:name="_Toc15377196"/>
      <w:bookmarkStart w:id="13" w:name="_Toc15396599"/>
      <w:r>
        <w:rPr>
          <w:rFonts w:hint="eastAsia" w:ascii="仿宋" w:hAnsi="仿宋" w:eastAsia="仿宋" w:cs="仿宋"/>
          <w:b/>
          <w:sz w:val="32"/>
          <w:szCs w:val="32"/>
        </w:rPr>
        <w:br w:type="page"/>
      </w:r>
    </w:p>
    <w:p w14:paraId="390FD23D">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4D22E8F4">
      <w:pPr>
        <w:widowControl/>
        <w:jc w:val="left"/>
        <w:rPr>
          <w:rFonts w:ascii="黑体" w:eastAsia="黑体"/>
          <w:color w:val="000000"/>
          <w:sz w:val="32"/>
          <w:szCs w:val="32"/>
        </w:rPr>
      </w:pPr>
    </w:p>
    <w:p w14:paraId="6D2E141F">
      <w:pPr>
        <w:pStyle w:val="4"/>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3C556CD4">
      <w:pPr>
        <w:pStyle w:val="6"/>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rPr>
        <w:t>（一）主要职能。</w:t>
      </w:r>
      <w:r>
        <w:rPr>
          <w:rFonts w:hint="eastAsia" w:ascii="仿宋" w:hAnsi="仿宋" w:eastAsia="仿宋"/>
          <w:bCs/>
          <w:color w:val="000000"/>
          <w:sz w:val="32"/>
          <w:szCs w:val="32"/>
          <w:lang w:eastAsia="zh-CN"/>
        </w:rPr>
        <w:t>区直机关工委是区委派出机构，主要负责区直机关党建工作，统筹协调全区干部驻村帮扶工作，</w:t>
      </w:r>
      <w:r>
        <w:rPr>
          <w:rFonts w:hint="eastAsia" w:ascii="仿宋" w:hAnsi="仿宋" w:eastAsia="仿宋"/>
          <w:bCs/>
          <w:color w:val="000000"/>
          <w:sz w:val="32"/>
          <w:szCs w:val="32"/>
          <w:lang w:val="en-US" w:eastAsia="zh-CN"/>
        </w:rPr>
        <w:t>2019年机构改革后，成为区委组织部挂牌单位</w:t>
      </w:r>
      <w:r>
        <w:rPr>
          <w:rFonts w:hint="eastAsia" w:ascii="仿宋" w:hAnsi="仿宋" w:eastAsia="仿宋"/>
          <w:bCs/>
          <w:color w:val="000000"/>
          <w:sz w:val="32"/>
          <w:szCs w:val="32"/>
          <w:lang w:eastAsia="zh-CN"/>
        </w:rPr>
        <w:t>。</w:t>
      </w:r>
    </w:p>
    <w:p w14:paraId="735FCF48">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19</w:t>
      </w:r>
      <w:r>
        <w:rPr>
          <w:rFonts w:hint="eastAsia" w:ascii="仿宋" w:hAnsi="仿宋" w:eastAsia="仿宋"/>
          <w:bCs/>
          <w:color w:val="000000"/>
          <w:sz w:val="32"/>
          <w:szCs w:val="32"/>
        </w:rPr>
        <w:t>年重点工作完成情况。</w:t>
      </w:r>
    </w:p>
    <w:p w14:paraId="125EEC33">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1、持续深化学习教育，强化思想政治建设。拓展深化机关党建“三大行动”，着力全域培训提能。</w:t>
      </w:r>
    </w:p>
    <w:p w14:paraId="239BA77D">
      <w:pPr>
        <w:keepNext w:val="0"/>
        <w:keepLines w:val="0"/>
        <w:pageBreakBefore w:val="0"/>
        <w:widowControl w:val="0"/>
        <w:tabs>
          <w:tab w:val="left" w:pos="962"/>
          <w:tab w:val="left" w:pos="6565"/>
        </w:tabs>
        <w:kinsoku/>
        <w:wordWrap/>
        <w:overflowPunct/>
        <w:topLinePunct w:val="0"/>
        <w:autoSpaceDE/>
        <w:autoSpaceDN/>
        <w:bidi w:val="0"/>
        <w:adjustRightInd/>
        <w:snapToGrid w:val="0"/>
        <w:spacing w:line="576" w:lineRule="exact"/>
        <w:ind w:left="0" w:leftChars="0" w:right="0" w:rightChars="0" w:firstLine="640" w:firstLineChars="20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2、压紧压实党建责任，强化基层组织建设。从严落实党建责任制，着力建强基层组织，注重示范引领，四是抓实党建专项述职，规范党员队伍管理。</w:t>
      </w:r>
    </w:p>
    <w:p w14:paraId="3D0A733D">
      <w:pPr>
        <w:keepNext w:val="0"/>
        <w:keepLines w:val="0"/>
        <w:pageBreakBefore w:val="0"/>
        <w:widowControl w:val="0"/>
        <w:kinsoku/>
        <w:wordWrap/>
        <w:overflowPunct/>
        <w:topLinePunct w:val="0"/>
        <w:autoSpaceDE/>
        <w:autoSpaceDN/>
        <w:bidi w:val="0"/>
        <w:adjustRightInd/>
        <w:spacing w:line="576" w:lineRule="exact"/>
        <w:ind w:left="0" w:leftChars="0" w:right="0" w:rightChars="0" w:firstLine="640" w:firstLineChars="200"/>
        <w:textAlignment w:val="auto"/>
        <w:outlineLvl w:val="9"/>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3、聚焦脱贫攻坚大局，全面统筹帮扶工作。全力建强一线指挥战斗队，不断加强和改进帮扶工作，切实提升帮扶力量实战能力，严格督查督导，注重宣传引导，倾力帮扶绝不掉队。</w:t>
      </w:r>
    </w:p>
    <w:p w14:paraId="34361D86">
      <w:pPr>
        <w:keepNext w:val="0"/>
        <w:keepLines w:val="0"/>
        <w:pageBreakBefore w:val="0"/>
        <w:widowControl w:val="0"/>
        <w:kinsoku/>
        <w:wordWrap/>
        <w:overflowPunct/>
        <w:topLinePunct w:val="0"/>
        <w:autoSpaceDE/>
        <w:autoSpaceDN/>
        <w:bidi w:val="0"/>
        <w:adjustRightInd/>
        <w:spacing w:line="576"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作为党群综合协调部门，在全面完成从严治党、驻村帮扶等重点工作外，党建扶贫、依法治区、深化改革、全等各项工作顺利进行。</w:t>
      </w:r>
    </w:p>
    <w:p w14:paraId="25660103">
      <w:pPr>
        <w:spacing w:line="576" w:lineRule="exact"/>
        <w:ind w:firstLine="640" w:firstLineChars="200"/>
        <w:rPr>
          <w:rFonts w:hint="eastAsia" w:ascii="仿宋" w:hAnsi="仿宋" w:eastAsia="仿宋" w:cs="仿宋"/>
          <w:b w:val="0"/>
          <w:bCs w:val="0"/>
          <w:sz w:val="32"/>
          <w:szCs w:val="32"/>
        </w:rPr>
      </w:pPr>
    </w:p>
    <w:p w14:paraId="06FE1915">
      <w:pPr>
        <w:pStyle w:val="4"/>
        <w:ind w:firstLine="640" w:firstLineChars="200"/>
        <w:rPr>
          <w:rStyle w:val="26"/>
          <w:b w:val="0"/>
          <w:bCs w:val="0"/>
        </w:rPr>
      </w:pPr>
      <w:bookmarkStart w:id="16" w:name="_Toc15377200"/>
      <w:bookmarkStart w:id="17"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6"/>
      <w:bookmarkEnd w:id="17"/>
    </w:p>
    <w:p w14:paraId="701422CF">
      <w:pPr>
        <w:ind w:firstLine="800" w:firstLineChars="250"/>
        <w:rPr>
          <w:rFonts w:hint="eastAsia" w:ascii="仿宋" w:hAnsi="仿宋" w:eastAsia="仿宋"/>
          <w:sz w:val="32"/>
          <w:szCs w:val="32"/>
          <w:lang w:val="en-US" w:eastAsia="zh-CN"/>
        </w:rPr>
      </w:pPr>
      <w:bookmarkStart w:id="18" w:name="_Toc15396602"/>
      <w:bookmarkStart w:id="19" w:name="_Toc15377204"/>
      <w:r>
        <w:rPr>
          <w:rFonts w:hint="eastAsia" w:ascii="仿宋" w:hAnsi="仿宋" w:eastAsia="仿宋"/>
          <w:sz w:val="32"/>
          <w:szCs w:val="32"/>
          <w:lang w:eastAsia="zh-CN"/>
        </w:rPr>
        <w:t>区直属机关工委</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w:t>
      </w:r>
    </w:p>
    <w:p w14:paraId="19763F3A">
      <w:pPr>
        <w:pStyle w:val="3"/>
        <w:ind w:right="440"/>
        <w:jc w:val="right"/>
        <w:rPr>
          <w:rFonts w:hint="eastAsia" w:ascii="黑体" w:hAnsi="黑体" w:eastAsia="黑体"/>
          <w:b w:val="0"/>
          <w:color w:val="000000"/>
        </w:rPr>
      </w:pPr>
    </w:p>
    <w:p w14:paraId="0B19156F">
      <w:pPr>
        <w:pStyle w:val="3"/>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18"/>
      <w:bookmarkEnd w:id="19"/>
    </w:p>
    <w:p w14:paraId="0EAC6923"/>
    <w:p w14:paraId="339EB9BF">
      <w:pPr>
        <w:pStyle w:val="24"/>
        <w:numPr>
          <w:ilvl w:val="0"/>
          <w:numId w:val="1"/>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0"/>
      <w:bookmarkEnd w:id="21"/>
    </w:p>
    <w:p w14:paraId="643B3182">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58.55万元、45.58</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入总计增加</w:t>
      </w:r>
      <w:r>
        <w:rPr>
          <w:rFonts w:hint="eastAsia" w:ascii="仿宋" w:hAnsi="仿宋" w:eastAsia="仿宋"/>
          <w:color w:val="000000"/>
          <w:sz w:val="32"/>
          <w:szCs w:val="32"/>
          <w:lang w:val="en-US" w:eastAsia="zh-CN"/>
        </w:rPr>
        <w:t>3.35万元，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收入总计</w:t>
      </w:r>
      <w:r>
        <w:rPr>
          <w:rFonts w:hint="eastAsia" w:ascii="仿宋" w:hAnsi="仿宋" w:eastAsia="仿宋"/>
          <w:color w:val="000000"/>
          <w:sz w:val="32"/>
          <w:szCs w:val="32"/>
        </w:rPr>
        <w:t>增</w:t>
      </w:r>
      <w:r>
        <w:rPr>
          <w:rFonts w:hint="eastAsia" w:ascii="仿宋" w:hAnsi="仿宋" w:eastAsia="仿宋"/>
          <w:color w:val="000000"/>
          <w:sz w:val="32"/>
          <w:szCs w:val="32"/>
          <w:lang w:eastAsia="zh-CN"/>
        </w:rPr>
        <w:t>加</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lang w:eastAsia="zh-CN"/>
        </w:rPr>
        <w:t>、支出总计减少</w:t>
      </w:r>
      <w:r>
        <w:rPr>
          <w:rFonts w:hint="eastAsia" w:ascii="仿宋" w:hAnsi="仿宋" w:eastAsia="仿宋"/>
          <w:color w:val="000000"/>
          <w:sz w:val="32"/>
          <w:szCs w:val="32"/>
          <w:lang w:val="en-US" w:eastAsia="zh-CN"/>
        </w:rPr>
        <w:t>18.14%</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24CBB105">
      <w:pPr>
        <w:spacing w:line="600" w:lineRule="exact"/>
        <w:jc w:val="left"/>
        <w:rPr>
          <w:rFonts w:ascii="仿宋_GB2312" w:eastAsia="仿宋_GB2312"/>
          <w:color w:val="000000"/>
          <w:sz w:val="32"/>
          <w:szCs w:val="32"/>
        </w:rPr>
      </w:pPr>
    </w:p>
    <w:p w14:paraId="5764093E">
      <w:pPr>
        <w:pStyle w:val="24"/>
        <w:numPr>
          <w:ilvl w:val="0"/>
          <w:numId w:val="1"/>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p>
    <w:p w14:paraId="4246DFFE">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58.55</w:t>
      </w:r>
      <w:r>
        <w:rPr>
          <w:rFonts w:hint="eastAsia" w:ascii="仿宋" w:hAnsi="仿宋" w:eastAsia="仿宋"/>
          <w:color w:val="000000"/>
          <w:sz w:val="32"/>
          <w:szCs w:val="32"/>
        </w:rPr>
        <w:t>万元，其中：一般公共预算财政拨款收</w:t>
      </w:r>
      <w:r>
        <w:rPr>
          <w:rFonts w:hint="eastAsia" w:ascii="仿宋" w:hAnsi="仿宋" w:eastAsia="仿宋"/>
          <w:color w:val="000000"/>
          <w:sz w:val="32"/>
          <w:szCs w:val="32"/>
          <w:lang w:val="en-US" w:eastAsia="zh-CN"/>
        </w:rPr>
        <w:t>58.55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7A7FC85">
      <w:pPr>
        <w:spacing w:line="600" w:lineRule="exact"/>
        <w:rPr>
          <w:rFonts w:ascii="仿宋_GB2312" w:eastAsia="仿宋_GB2312"/>
          <w:color w:val="FF0000"/>
          <w:sz w:val="32"/>
          <w:szCs w:val="32"/>
        </w:rPr>
      </w:pPr>
    </w:p>
    <w:p w14:paraId="599DE623">
      <w:pPr>
        <w:pStyle w:val="24"/>
        <w:numPr>
          <w:ilvl w:val="0"/>
          <w:numId w:val="1"/>
        </w:numPr>
        <w:spacing w:line="600" w:lineRule="exact"/>
        <w:ind w:firstLineChars="0"/>
        <w:outlineLvl w:val="1"/>
        <w:rPr>
          <w:rStyle w:val="26"/>
          <w:rFonts w:ascii="黑体" w:hAnsi="黑体" w:eastAsia="黑体"/>
          <w:b w:val="0"/>
        </w:rPr>
      </w:pPr>
      <w:bookmarkStart w:id="24" w:name="_Toc15377207"/>
      <w:bookmarkStart w:id="25"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4"/>
      <w:bookmarkEnd w:id="25"/>
    </w:p>
    <w:p w14:paraId="681FB532">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BB658C6">
      <w:pPr>
        <w:spacing w:line="600" w:lineRule="exact"/>
        <w:ind w:firstLine="640" w:firstLineChars="200"/>
        <w:rPr>
          <w:rFonts w:ascii="仿宋_GB2312" w:eastAsia="仿宋_GB2312"/>
          <w:color w:val="FF0000"/>
          <w:sz w:val="32"/>
          <w:szCs w:val="32"/>
        </w:rPr>
      </w:pPr>
    </w:p>
    <w:p w14:paraId="1B11F5D5">
      <w:pPr>
        <w:spacing w:line="600" w:lineRule="exact"/>
        <w:ind w:firstLine="640" w:firstLineChars="200"/>
        <w:outlineLvl w:val="1"/>
        <w:rPr>
          <w:rStyle w:val="26"/>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6"/>
      <w:bookmarkEnd w:id="27"/>
    </w:p>
    <w:p w14:paraId="33039326">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58.55万元、45.58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3.35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、财政拨款支出减少</w:t>
      </w:r>
      <w:r>
        <w:rPr>
          <w:rFonts w:hint="eastAsia" w:ascii="仿宋" w:hAnsi="仿宋" w:eastAsia="仿宋"/>
          <w:color w:val="000000"/>
          <w:sz w:val="32"/>
          <w:szCs w:val="32"/>
          <w:lang w:val="en-US" w:eastAsia="zh-CN"/>
        </w:rPr>
        <w:t>10.1万元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财政拨款收入总计</w:t>
      </w:r>
      <w:r>
        <w:rPr>
          <w:rFonts w:hint="eastAsia" w:ascii="仿宋" w:hAnsi="仿宋" w:eastAsia="仿宋"/>
          <w:color w:val="000000"/>
          <w:sz w:val="32"/>
          <w:szCs w:val="32"/>
        </w:rPr>
        <w:t>增</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lang w:eastAsia="zh-CN"/>
        </w:rPr>
        <w:t>、财政拨款支出总计减少</w:t>
      </w:r>
      <w:r>
        <w:rPr>
          <w:rFonts w:hint="eastAsia" w:ascii="仿宋" w:hAnsi="仿宋" w:eastAsia="仿宋"/>
          <w:color w:val="000000"/>
          <w:sz w:val="32"/>
          <w:szCs w:val="32"/>
          <w:lang w:val="en-US" w:eastAsia="zh-CN"/>
        </w:rPr>
        <w:t>18.14%</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11496DCA">
      <w:pPr>
        <w:spacing w:line="600" w:lineRule="exact"/>
        <w:ind w:firstLine="640" w:firstLineChars="200"/>
        <w:outlineLvl w:val="1"/>
        <w:rPr>
          <w:rFonts w:hint="eastAsia" w:ascii="黑体" w:hAnsi="黑体" w:eastAsia="黑体"/>
          <w:color w:val="000000"/>
          <w:sz w:val="32"/>
          <w:szCs w:val="32"/>
        </w:rPr>
      </w:pPr>
      <w:bookmarkStart w:id="28" w:name="_Toc15396607"/>
      <w:bookmarkStart w:id="29" w:name="_Toc15377209"/>
    </w:p>
    <w:p w14:paraId="3DA0C3BF">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8"/>
      <w:bookmarkEnd w:id="29"/>
    </w:p>
    <w:p w14:paraId="13B56A52">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4F45C4F6">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10.1万元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18.14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02AC1DDF">
      <w:pPr>
        <w:spacing w:line="600" w:lineRule="exact"/>
        <w:rPr>
          <w:rFonts w:ascii="仿宋" w:hAnsi="仿宋" w:eastAsia="仿宋"/>
          <w:color w:val="000000" w:themeColor="text1"/>
          <w:sz w:val="32"/>
          <w:szCs w:val="32"/>
        </w:rPr>
      </w:pPr>
    </w:p>
    <w:p w14:paraId="52750CF4">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27A9436E">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45.58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39.89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87.52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2.19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1.34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2.16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4.78</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14:paraId="5C3734A3">
      <w:pPr>
        <w:spacing w:line="600" w:lineRule="exact"/>
        <w:rPr>
          <w:rFonts w:ascii="仿宋" w:hAnsi="仿宋" w:eastAsia="仿宋"/>
          <w:color w:val="000000"/>
          <w:sz w:val="32"/>
          <w:szCs w:val="32"/>
        </w:rPr>
      </w:pPr>
    </w:p>
    <w:p w14:paraId="4D1533AD">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6EF13978">
      <w:pPr>
        <w:spacing w:line="600" w:lineRule="exact"/>
        <w:ind w:firstLine="643" w:firstLineChars="200"/>
        <w:outlineLvl w:val="2"/>
        <w:rPr>
          <w:rFonts w:ascii="仿宋" w:hAnsi="仿宋" w:eastAsia="仿宋"/>
          <w:color w:val="FF0000"/>
          <w:sz w:val="32"/>
          <w:szCs w:val="32"/>
        </w:rPr>
      </w:pPr>
      <w:bookmarkStart w:id="33" w:name="_Toc15377444"/>
      <w:bookmarkStart w:id="34" w:name="_Toc15377213"/>
      <w:bookmarkStart w:id="35"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45.58万元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77.85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3"/>
      <w:bookmarkEnd w:id="34"/>
      <w:bookmarkEnd w:id="35"/>
    </w:p>
    <w:p w14:paraId="1E5ABCC7">
      <w:pPr>
        <w:spacing w:line="600" w:lineRule="exact"/>
        <w:ind w:firstLine="643" w:firstLineChars="200"/>
        <w:rPr>
          <w:rFonts w:hint="eastAsia" w:ascii="仿宋" w:hAnsi="仿宋" w:eastAsia="仿宋"/>
          <w:color w:val="000000"/>
          <w:sz w:val="32"/>
          <w:szCs w:val="32"/>
          <w:lang w:val="en-US" w:eastAsia="zh-CN"/>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一般公共服务（类）</w:t>
      </w:r>
      <w:r>
        <w:rPr>
          <w:rStyle w:val="15"/>
          <w:rFonts w:hint="eastAsia" w:ascii="仿宋" w:hAnsi="仿宋" w:eastAsia="仿宋"/>
          <w:bCs/>
          <w:color w:val="000000"/>
          <w:sz w:val="32"/>
          <w:szCs w:val="32"/>
          <w:lang w:eastAsia="zh-CN"/>
        </w:rPr>
        <w:t>党委办公厅（室）及相关机构事务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39.89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75.46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52B13A1D">
      <w:pPr>
        <w:spacing w:line="600" w:lineRule="exact"/>
        <w:ind w:firstLine="643" w:firstLineChars="200"/>
        <w:rPr>
          <w:rStyle w:val="15"/>
          <w:rFonts w:hint="eastAsia" w:ascii="仿宋" w:hAnsi="仿宋" w:eastAsia="仿宋"/>
          <w:b w:val="0"/>
          <w:bCs w:val="0"/>
          <w:color w:val="000000"/>
          <w:sz w:val="32"/>
          <w:szCs w:val="32"/>
          <w:lang w:val="en-US" w:eastAsia="zh-CN"/>
        </w:rPr>
      </w:pPr>
      <w:r>
        <w:rPr>
          <w:rStyle w:val="15"/>
          <w:rFonts w:hint="eastAsia" w:ascii="仿宋" w:hAnsi="仿宋" w:eastAsia="仿宋"/>
          <w:bCs/>
          <w:color w:val="000000"/>
          <w:sz w:val="32"/>
          <w:szCs w:val="32"/>
          <w:lang w:val="en-US" w:eastAsia="zh-CN"/>
        </w:rPr>
        <w:t xml:space="preserve">2.社会保障和就业（类）行政事业单位离退休（款）机关事业单位基本养老保险缴费支出（项）: </w:t>
      </w:r>
      <w:r>
        <w:rPr>
          <w:rStyle w:val="15"/>
          <w:rFonts w:hint="eastAsia" w:ascii="仿宋" w:hAnsi="仿宋" w:eastAsia="仿宋"/>
          <w:b w:val="0"/>
          <w:bCs w:val="0"/>
          <w:color w:val="000000"/>
          <w:sz w:val="32"/>
          <w:szCs w:val="32"/>
          <w:lang w:val="en-US" w:eastAsia="zh-CN"/>
        </w:rPr>
        <w:t>支出决算2.19万元，完成预算100%。</w:t>
      </w:r>
    </w:p>
    <w:p w14:paraId="04A18460">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
          <w:bCs w:val="0"/>
          <w:color w:val="000000"/>
          <w:sz w:val="32"/>
          <w:szCs w:val="32"/>
          <w:lang w:val="en-US" w:eastAsia="zh-CN"/>
        </w:rPr>
        <w:t>3.</w:t>
      </w:r>
      <w:r>
        <w:rPr>
          <w:rStyle w:val="15"/>
          <w:rFonts w:hint="eastAsia" w:ascii="仿宋" w:hAnsi="仿宋" w:eastAsia="仿宋"/>
          <w:b/>
          <w:bCs w:val="0"/>
          <w:color w:val="000000"/>
          <w:sz w:val="32"/>
          <w:szCs w:val="32"/>
        </w:rPr>
        <w:t>卫生健康（类）行政事业单位医疗（款）行政单位医疗（项）: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w:t>
      </w:r>
    </w:p>
    <w:p w14:paraId="061A9964">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4.住房保障支出（类）住房改革支出（款）住房公积金（项）:</w:t>
      </w:r>
      <w:r>
        <w:rPr>
          <w:rStyle w:val="15"/>
          <w:rFonts w:hint="eastAsia" w:ascii="仿宋" w:hAnsi="仿宋" w:eastAsia="仿宋"/>
          <w:b w:val="0"/>
          <w:bCs/>
          <w:color w:val="000000"/>
          <w:sz w:val="32"/>
          <w:szCs w:val="32"/>
          <w:lang w:val="en-US" w:eastAsia="zh-CN"/>
        </w:rPr>
        <w:t>支出决算为2.16万元，完成预算100%。</w:t>
      </w:r>
    </w:p>
    <w:p w14:paraId="5C7F29BA">
      <w:pPr>
        <w:pStyle w:val="6"/>
        <w:rPr>
          <w:rFonts w:ascii="仿宋" w:hAnsi="仿宋" w:eastAsia="仿宋"/>
          <w:b/>
          <w:color w:val="000000"/>
          <w:sz w:val="32"/>
          <w:szCs w:val="32"/>
        </w:rPr>
      </w:pPr>
    </w:p>
    <w:p w14:paraId="6D83F2A4">
      <w:pPr>
        <w:tabs>
          <w:tab w:val="right" w:pos="8306"/>
        </w:tabs>
        <w:spacing w:line="600" w:lineRule="exact"/>
        <w:ind w:firstLine="640"/>
        <w:outlineLvl w:val="1"/>
        <w:rPr>
          <w:rStyle w:val="26"/>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14:paraId="0CDAADB3">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45.58</w:t>
      </w:r>
      <w:r>
        <w:rPr>
          <w:rFonts w:hint="eastAsia" w:ascii="仿宋" w:hAnsi="仿宋" w:eastAsia="仿宋"/>
          <w:color w:val="000000"/>
          <w:sz w:val="32"/>
          <w:szCs w:val="32"/>
        </w:rPr>
        <w:t>万元，其中：</w:t>
      </w:r>
    </w:p>
    <w:p w14:paraId="7DF0A654">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35.69</w:t>
      </w:r>
      <w:r>
        <w:rPr>
          <w:rFonts w:hint="eastAsia" w:ascii="仿宋" w:hAnsi="仿宋" w:eastAsia="仿宋"/>
          <w:color w:val="000000"/>
          <w:sz w:val="32"/>
          <w:szCs w:val="32"/>
        </w:rPr>
        <w:t>万元，主要包括：基本工资、津贴补贴、奖金、机关事业单位基本养老保险缴费、</w:t>
      </w:r>
      <w:r>
        <w:rPr>
          <w:rFonts w:hint="eastAsia" w:ascii="仿宋" w:hAnsi="仿宋" w:eastAsia="仿宋"/>
          <w:color w:val="000000"/>
          <w:sz w:val="32"/>
          <w:szCs w:val="32"/>
          <w:lang w:eastAsia="zh-CN"/>
        </w:rPr>
        <w:t>职工基本医疗保险</w:t>
      </w:r>
      <w:r>
        <w:rPr>
          <w:rFonts w:hint="eastAsia" w:ascii="仿宋" w:hAnsi="仿宋" w:eastAsia="仿宋"/>
          <w:color w:val="000000"/>
          <w:sz w:val="32"/>
          <w:szCs w:val="32"/>
        </w:rPr>
        <w:t>缴费、其他工资福利支出、生活补助、住房公积金等。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9.89</w:t>
      </w:r>
      <w:r>
        <w:rPr>
          <w:rFonts w:hint="eastAsia" w:ascii="仿宋" w:hAnsi="仿宋" w:eastAsia="仿宋"/>
          <w:color w:val="000000"/>
          <w:sz w:val="32"/>
          <w:szCs w:val="32"/>
        </w:rPr>
        <w:t>万元，主要包括：办公费、印刷费</w:t>
      </w:r>
      <w:r>
        <w:rPr>
          <w:rFonts w:hint="eastAsia" w:ascii="仿宋" w:hAnsi="仿宋" w:eastAsia="仿宋"/>
          <w:color w:val="000000"/>
          <w:sz w:val="32"/>
          <w:szCs w:val="32"/>
          <w:lang w:eastAsia="zh-CN"/>
        </w:rPr>
        <w:t>、</w:t>
      </w:r>
      <w:r>
        <w:rPr>
          <w:rFonts w:hint="eastAsia" w:ascii="仿宋" w:hAnsi="仿宋" w:eastAsia="仿宋"/>
          <w:color w:val="000000"/>
          <w:sz w:val="32"/>
          <w:szCs w:val="32"/>
        </w:rPr>
        <w:t>维修（护）费、培训费、公务接待费、其他交通费、税金及附加费用、其他商品和服务支出</w:t>
      </w:r>
      <w:r>
        <w:rPr>
          <w:rFonts w:hint="eastAsia" w:ascii="仿宋" w:hAnsi="仿宋" w:eastAsia="仿宋"/>
          <w:color w:val="000000"/>
          <w:sz w:val="32"/>
          <w:szCs w:val="32"/>
          <w:lang w:eastAsia="zh-CN"/>
        </w:rPr>
        <w:t>。</w:t>
      </w:r>
    </w:p>
    <w:p w14:paraId="696AE980">
      <w:pPr>
        <w:spacing w:line="600" w:lineRule="exact"/>
        <w:ind w:firstLine="640"/>
        <w:outlineLvl w:val="1"/>
        <w:rPr>
          <w:rFonts w:hint="eastAsia" w:ascii="黑体" w:eastAsia="黑体"/>
          <w:color w:val="000000"/>
          <w:sz w:val="32"/>
          <w:szCs w:val="32"/>
        </w:rPr>
      </w:pPr>
      <w:bookmarkStart w:id="38" w:name="_Toc15377215"/>
      <w:bookmarkStart w:id="39" w:name="_Toc15396609"/>
    </w:p>
    <w:p w14:paraId="5B8AFEC2">
      <w:pPr>
        <w:spacing w:line="600" w:lineRule="exact"/>
        <w:ind w:firstLine="640"/>
        <w:outlineLvl w:val="1"/>
        <w:rPr>
          <w:rStyle w:val="26"/>
          <w:rFonts w:ascii="黑体" w:hAnsi="黑体" w:eastAsia="黑体"/>
          <w:b w:val="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14:paraId="548136EF">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78BA26BD">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282475C0">
      <w:pPr>
        <w:spacing w:line="600" w:lineRule="exact"/>
        <w:ind w:firstLine="640"/>
        <w:rPr>
          <w:rFonts w:ascii="仿宋" w:hAnsi="仿宋" w:eastAsia="仿宋"/>
          <w:color w:val="000000"/>
          <w:sz w:val="32"/>
          <w:szCs w:val="32"/>
        </w:rPr>
      </w:pPr>
    </w:p>
    <w:p w14:paraId="11576EFC">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038D2D3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14:paraId="420B91D2">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p>
    <w:p w14:paraId="274B043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7102C3D">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2A1FC7F1">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26405E2">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r>
        <w:rPr>
          <w:rStyle w:val="15"/>
          <w:rFonts w:hint="eastAsia" w:ascii="仿宋" w:hAnsi="仿宋" w:eastAsia="仿宋"/>
          <w:b w:val="0"/>
          <w:bCs/>
          <w:color w:val="000000"/>
          <w:sz w:val="32"/>
          <w:szCs w:val="32"/>
        </w:rPr>
        <w:t>主要原因是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r>
        <w:rPr>
          <w:rFonts w:hint="eastAsia" w:ascii="仿宋_GB2312" w:eastAsia="仿宋_GB2312"/>
          <w:color w:val="000000"/>
          <w:sz w:val="32"/>
          <w:szCs w:val="32"/>
        </w:rPr>
        <w:t>其中：</w:t>
      </w:r>
    </w:p>
    <w:p w14:paraId="4C1A3CD1">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4D65125">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14:paraId="4E25DEA5">
      <w:pPr>
        <w:spacing w:line="600" w:lineRule="exact"/>
        <w:ind w:firstLine="640"/>
        <w:outlineLvl w:val="1"/>
        <w:rPr>
          <w:rFonts w:ascii="黑体" w:eastAsia="黑体"/>
          <w:color w:val="000000"/>
          <w:sz w:val="32"/>
          <w:szCs w:val="32"/>
        </w:rPr>
      </w:pPr>
      <w:bookmarkStart w:id="42" w:name="_Toc15377218"/>
      <w:bookmarkStart w:id="43" w:name="_Toc15396610"/>
    </w:p>
    <w:p w14:paraId="5E321C85">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2"/>
      <w:bookmarkEnd w:id="43"/>
    </w:p>
    <w:p w14:paraId="000118F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AEE4024">
      <w:pPr>
        <w:spacing w:line="600" w:lineRule="exact"/>
        <w:ind w:firstLine="640"/>
        <w:rPr>
          <w:rFonts w:ascii="仿宋_GB2312" w:eastAsia="仿宋_GB2312"/>
          <w:color w:val="000000"/>
          <w:sz w:val="32"/>
          <w:szCs w:val="32"/>
        </w:rPr>
      </w:pPr>
    </w:p>
    <w:p w14:paraId="0B002A01">
      <w:pPr>
        <w:numPr>
          <w:ilvl w:val="0"/>
          <w:numId w:val="2"/>
        </w:numPr>
        <w:spacing w:line="600" w:lineRule="exact"/>
        <w:ind w:firstLine="640"/>
        <w:outlineLvl w:val="1"/>
        <w:rPr>
          <w:rStyle w:val="26"/>
          <w:rFonts w:ascii="黑体" w:hAnsi="黑体" w:eastAsia="黑体"/>
          <w:b w:val="0"/>
        </w:rPr>
      </w:pPr>
      <w:bookmarkStart w:id="44" w:name="_Toc15377219"/>
      <w:bookmarkStart w:id="45" w:name="_Toc15396611"/>
      <w:r>
        <w:rPr>
          <w:rStyle w:val="26"/>
          <w:rFonts w:hint="eastAsia" w:ascii="黑体" w:hAnsi="黑体" w:eastAsia="黑体"/>
          <w:b w:val="0"/>
        </w:rPr>
        <w:t>国有资本经营预算支出决算情况说明</w:t>
      </w:r>
      <w:bookmarkEnd w:id="44"/>
      <w:bookmarkEnd w:id="45"/>
    </w:p>
    <w:p w14:paraId="7BC165B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58502DC">
      <w:pPr>
        <w:spacing w:line="580" w:lineRule="exact"/>
        <w:jc w:val="center"/>
        <w:rPr>
          <w:rFonts w:ascii="方正小标宋简体" w:hAnsi="方正小标宋简体" w:eastAsia="方正小标宋简体" w:cs="方正小标宋简体"/>
          <w:sz w:val="44"/>
          <w:szCs w:val="44"/>
        </w:rPr>
      </w:pPr>
    </w:p>
    <w:p w14:paraId="5648B20E">
      <w:pPr>
        <w:spacing w:line="600" w:lineRule="exact"/>
        <w:ind w:firstLine="800" w:firstLineChars="250"/>
        <w:outlineLvl w:val="1"/>
        <w:rPr>
          <w:rStyle w:val="26"/>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46"/>
      <w:bookmarkEnd w:id="47"/>
    </w:p>
    <w:p w14:paraId="174D9ACA">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04E6D35F">
      <w:pPr>
        <w:spacing w:line="600" w:lineRule="exact"/>
        <w:ind w:firstLine="640" w:firstLineChars="200"/>
        <w:rPr>
          <w:rFonts w:hint="eastAsia" w:ascii="仿宋" w:hAnsi="仿宋" w:eastAsia="仿宋"/>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9.89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9.08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47.86</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w:t>
      </w:r>
      <w:r>
        <w:rPr>
          <w:rFonts w:hint="eastAsia" w:ascii="仿宋_GB2312" w:eastAsia="仿宋_GB2312"/>
          <w:color w:val="000000" w:themeColor="text1"/>
          <w:sz w:val="32"/>
          <w:szCs w:val="32"/>
          <w:lang w:eastAsia="zh-CN"/>
        </w:rPr>
        <w:t>变动</w:t>
      </w:r>
      <w:r>
        <w:rPr>
          <w:rFonts w:hint="eastAsia" w:ascii="仿宋_GB2312" w:eastAsia="仿宋_GB2312"/>
          <w:color w:val="000000" w:themeColor="text1"/>
          <w:sz w:val="32"/>
          <w:szCs w:val="32"/>
        </w:rPr>
        <w:t>原因是</w:t>
      </w:r>
      <w:r>
        <w:rPr>
          <w:rStyle w:val="15"/>
          <w:rFonts w:hint="eastAsia" w:ascii="仿宋" w:hAnsi="仿宋" w:eastAsia="仿宋"/>
          <w:b w:val="0"/>
          <w:bCs/>
          <w:color w:val="000000"/>
          <w:sz w:val="32"/>
          <w:szCs w:val="32"/>
          <w:lang w:eastAsia="zh-CN"/>
        </w:rPr>
        <w:t>：</w:t>
      </w:r>
      <w:r>
        <w:rPr>
          <w:rFonts w:hint="eastAsia" w:ascii="仿宋" w:hAnsi="仿宋" w:eastAsia="仿宋"/>
          <w:color w:val="000000"/>
          <w:sz w:val="32"/>
          <w:szCs w:val="32"/>
          <w:lang w:val="en-US" w:eastAsia="zh-CN"/>
        </w:rPr>
        <w:t>2019年机构改革后，区直机关工委成为区委组织部的挂牌单位，人员随之划转，日常费用由区委组织部承担。</w:t>
      </w:r>
    </w:p>
    <w:p w14:paraId="599E175C">
      <w:pPr>
        <w:spacing w:line="600" w:lineRule="exact"/>
        <w:ind w:firstLine="640" w:firstLineChars="200"/>
        <w:rPr>
          <w:rFonts w:hint="default" w:ascii="仿宋_GB2312" w:eastAsia="仿宋_GB2312"/>
          <w:color w:val="000000" w:themeColor="text1"/>
          <w:sz w:val="32"/>
          <w:szCs w:val="32"/>
          <w:lang w:val="en-US" w:eastAsia="zh-CN"/>
        </w:rPr>
      </w:pPr>
    </w:p>
    <w:p w14:paraId="3B477E4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04857787">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FE23EAC">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0" w:name="_Toc15377224"/>
    </w:p>
    <w:p w14:paraId="4FAFBFE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50"/>
    </w:p>
    <w:p w14:paraId="601A0230">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2B7414F">
      <w:pPr>
        <w:pStyle w:val="2"/>
      </w:pPr>
    </w:p>
    <w:p w14:paraId="5891BC6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EC9BCA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个项目开展了绩效目标完成情况梳理填报。</w:t>
      </w:r>
    </w:p>
    <w:p w14:paraId="3EF576B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整体绩效</w:t>
      </w:r>
      <w:r>
        <w:rPr>
          <w:rFonts w:hint="eastAsia" w:ascii="仿宋_GB2312" w:hAnsi="仿宋_GB2312" w:eastAsia="仿宋_GB2312" w:cs="仿宋_GB2312"/>
          <w:sz w:val="32"/>
          <w:szCs w:val="32"/>
          <w:lang w:eastAsia="zh-CN"/>
        </w:rPr>
        <w:t>完成较好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2019年度无项目支出，未开展</w:t>
      </w:r>
      <w:r>
        <w:rPr>
          <w:rFonts w:hint="eastAsia" w:ascii="仿宋_GB2312" w:hAnsi="仿宋_GB2312" w:eastAsia="仿宋_GB2312" w:cs="仿宋_GB2312"/>
          <w:sz w:val="32"/>
          <w:szCs w:val="32"/>
        </w:rPr>
        <w:t>项目绩效评价。</w:t>
      </w:r>
    </w:p>
    <w:p w14:paraId="41AA1D3B">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14:paraId="1AC0125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中共广元市昭化区直属机关工作委员会</w:t>
      </w:r>
      <w:r>
        <w:rPr>
          <w:rFonts w:hint="eastAsia" w:ascii="仿宋_GB2312" w:hAnsi="仿宋_GB2312" w:eastAsia="仿宋_GB2312" w:cs="仿宋_GB2312"/>
          <w:sz w:val="32"/>
          <w:szCs w:val="32"/>
        </w:rPr>
        <w:t>2019年部门整体支出绩效评价报告》见附件（附件1）。</w:t>
      </w:r>
    </w:p>
    <w:p w14:paraId="383281EE">
      <w:pPr>
        <w:pStyle w:val="2"/>
        <w:rPr>
          <w:rFonts w:hint="eastAsia" w:ascii="仿宋_GB2312" w:hAnsi="仿宋_GB2312" w:eastAsia="仿宋_GB2312" w:cs="仿宋_GB2312"/>
          <w:sz w:val="32"/>
          <w:szCs w:val="32"/>
        </w:rPr>
      </w:pPr>
    </w:p>
    <w:p w14:paraId="5152F57B">
      <w:pPr>
        <w:pStyle w:val="2"/>
        <w:rPr>
          <w:rFonts w:hint="eastAsia" w:ascii="仿宋_GB2312" w:hAnsi="仿宋_GB2312" w:eastAsia="仿宋_GB2312" w:cs="仿宋_GB2312"/>
          <w:sz w:val="32"/>
          <w:szCs w:val="32"/>
        </w:rPr>
      </w:pPr>
    </w:p>
    <w:p w14:paraId="7A000A76">
      <w:pPr>
        <w:pStyle w:val="2"/>
        <w:rPr>
          <w:rFonts w:hint="eastAsia" w:ascii="仿宋_GB2312" w:hAnsi="仿宋_GB2312" w:eastAsia="仿宋_GB2312" w:cs="仿宋_GB2312"/>
          <w:sz w:val="32"/>
          <w:szCs w:val="32"/>
        </w:rPr>
      </w:pPr>
    </w:p>
    <w:p w14:paraId="3044748C">
      <w:pPr>
        <w:pStyle w:val="2"/>
        <w:rPr>
          <w:rFonts w:hint="eastAsia" w:ascii="仿宋_GB2312" w:hAnsi="仿宋_GB2312" w:eastAsia="仿宋_GB2312" w:cs="仿宋_GB2312"/>
          <w:sz w:val="32"/>
          <w:szCs w:val="32"/>
        </w:rPr>
      </w:pPr>
    </w:p>
    <w:p w14:paraId="58ED9EA8">
      <w:pPr>
        <w:pStyle w:val="2"/>
        <w:rPr>
          <w:rFonts w:hint="eastAsia" w:ascii="仿宋_GB2312" w:hAnsi="仿宋_GB2312" w:eastAsia="仿宋_GB2312" w:cs="仿宋_GB2312"/>
          <w:sz w:val="32"/>
          <w:szCs w:val="32"/>
        </w:rPr>
      </w:pPr>
    </w:p>
    <w:p w14:paraId="41C9B4E0">
      <w:pPr>
        <w:pStyle w:val="2"/>
        <w:rPr>
          <w:rFonts w:hint="eastAsia" w:ascii="仿宋_GB2312" w:hAnsi="仿宋_GB2312" w:eastAsia="仿宋_GB2312" w:cs="仿宋_GB2312"/>
          <w:sz w:val="32"/>
          <w:szCs w:val="32"/>
        </w:rPr>
      </w:pPr>
    </w:p>
    <w:p w14:paraId="44375108">
      <w:pPr>
        <w:pStyle w:val="2"/>
        <w:rPr>
          <w:rFonts w:hint="eastAsia" w:ascii="仿宋_GB2312" w:hAnsi="仿宋_GB2312" w:eastAsia="仿宋_GB2312" w:cs="仿宋_GB2312"/>
          <w:sz w:val="32"/>
          <w:szCs w:val="32"/>
        </w:rPr>
      </w:pPr>
    </w:p>
    <w:p w14:paraId="1F3E393D">
      <w:pPr>
        <w:pStyle w:val="2"/>
        <w:rPr>
          <w:rFonts w:hint="eastAsia" w:ascii="仿宋_GB2312" w:hAnsi="仿宋_GB2312" w:eastAsia="仿宋_GB2312" w:cs="仿宋_GB2312"/>
          <w:sz w:val="32"/>
          <w:szCs w:val="32"/>
        </w:rPr>
      </w:pPr>
    </w:p>
    <w:p w14:paraId="3309A9BC">
      <w:pPr>
        <w:pStyle w:val="2"/>
        <w:rPr>
          <w:rFonts w:hint="eastAsia" w:ascii="仿宋_GB2312" w:hAnsi="仿宋_GB2312" w:eastAsia="仿宋_GB2312" w:cs="仿宋_GB2312"/>
          <w:sz w:val="32"/>
          <w:szCs w:val="32"/>
        </w:rPr>
      </w:pPr>
    </w:p>
    <w:p w14:paraId="70D69057">
      <w:pPr>
        <w:pStyle w:val="2"/>
        <w:rPr>
          <w:rFonts w:hint="eastAsia" w:ascii="仿宋_GB2312" w:hAnsi="仿宋_GB2312" w:eastAsia="仿宋_GB2312" w:cs="仿宋_GB2312"/>
          <w:sz w:val="32"/>
          <w:szCs w:val="32"/>
        </w:rPr>
      </w:pPr>
    </w:p>
    <w:p w14:paraId="5540DE51">
      <w:pPr>
        <w:pStyle w:val="2"/>
        <w:rPr>
          <w:rFonts w:hint="eastAsia" w:ascii="仿宋_GB2312" w:hAnsi="仿宋_GB2312" w:eastAsia="仿宋_GB2312" w:cs="仿宋_GB2312"/>
          <w:sz w:val="32"/>
          <w:szCs w:val="32"/>
        </w:rPr>
      </w:pPr>
    </w:p>
    <w:p w14:paraId="77774747">
      <w:pPr>
        <w:pStyle w:val="2"/>
        <w:rPr>
          <w:rFonts w:hint="eastAsia" w:ascii="仿宋_GB2312" w:hAnsi="仿宋_GB2312" w:eastAsia="仿宋_GB2312" w:cs="仿宋_GB2312"/>
          <w:sz w:val="32"/>
          <w:szCs w:val="32"/>
        </w:rPr>
      </w:pPr>
    </w:p>
    <w:p w14:paraId="7F12B222">
      <w:pPr>
        <w:pStyle w:val="2"/>
      </w:pPr>
    </w:p>
    <w:p w14:paraId="711312AC">
      <w:pPr>
        <w:numPr>
          <w:ilvl w:val="0"/>
          <w:numId w:val="3"/>
        </w:numPr>
        <w:spacing w:line="600" w:lineRule="exact"/>
        <w:ind w:firstLine="660" w:firstLineChars="150"/>
        <w:jc w:val="center"/>
        <w:outlineLvl w:val="0"/>
        <w:rPr>
          <w:rStyle w:val="25"/>
          <w:rFonts w:ascii="黑体" w:hAnsi="黑体" w:eastAsia="黑体"/>
          <w:b w:val="0"/>
        </w:rPr>
      </w:pPr>
      <w:bookmarkStart w:id="51" w:name="_Toc15396613"/>
      <w:bookmarkStart w:id="52"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1"/>
      <w:bookmarkEnd w:id="52"/>
    </w:p>
    <w:p w14:paraId="61279051">
      <w:pPr>
        <w:spacing w:line="600" w:lineRule="exact"/>
        <w:jc w:val="left"/>
        <w:rPr>
          <w:rFonts w:ascii="宋体"/>
          <w:b/>
          <w:color w:val="000000"/>
          <w:sz w:val="44"/>
          <w:szCs w:val="44"/>
        </w:rPr>
      </w:pPr>
    </w:p>
    <w:p w14:paraId="4691AD30">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B43F7B1">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4189D405">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2640EE37">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509874C2">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718A5AE2">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34C72798">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68B3CE62">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3FC41342">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4572257A">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6D8441B7">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050BE254">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74F52AED">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53025A78">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2FEAC349">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361501C8">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27C1C7C2">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65703075">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6D033CE6">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6A5B2061">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58CE62CA">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142ED51">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1A0BB2D8">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76B2A6C9">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7499D682">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5A71E7DD">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3C25BEED">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1C00EAB">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0CAC7D1">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C119A61">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480A23FD">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511604BE">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01C09E4">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2F45936">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3C5940">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D3F4BC">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34ADE043">
      <w:pPr>
        <w:pStyle w:val="23"/>
        <w:spacing w:line="560" w:lineRule="exact"/>
        <w:ind w:firstLine="640" w:firstLineChars="200"/>
        <w:rPr>
          <w:rFonts w:ascii="仿宋_GB2312" w:eastAsia="仿宋_GB2312" w:cs="黑体"/>
          <w:sz w:val="32"/>
          <w:szCs w:val="32"/>
        </w:rPr>
      </w:pPr>
    </w:p>
    <w:p w14:paraId="36238D01">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2C0A2D06">
      <w:pPr>
        <w:spacing w:line="600" w:lineRule="exact"/>
        <w:jc w:val="center"/>
        <w:outlineLvl w:val="0"/>
        <w:rPr>
          <w:rStyle w:val="25"/>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4"/>
    </w:p>
    <w:p w14:paraId="684B20D3">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02E3C7A">
      <w:pPr>
        <w:spacing w:line="580" w:lineRule="exact"/>
        <w:jc w:val="center"/>
        <w:rPr>
          <w:rFonts w:ascii="方正小标宋简体" w:hAnsi="方正小标宋简体" w:eastAsia="方正小标宋简体" w:cs="方正小标宋简体"/>
          <w:sz w:val="44"/>
          <w:szCs w:val="44"/>
        </w:rPr>
      </w:pPr>
    </w:p>
    <w:p w14:paraId="3E803312">
      <w:pPr>
        <w:spacing w:line="600" w:lineRule="exact"/>
        <w:jc w:val="center"/>
        <w:outlineLvl w:val="0"/>
        <w:rPr>
          <w:rFonts w:hint="eastAsia" w:ascii="黑体" w:hAnsi="黑体" w:eastAsia="黑体" w:cs="方正小标宋简体"/>
          <w:sz w:val="36"/>
          <w:szCs w:val="36"/>
          <w:lang w:eastAsia="zh-CN"/>
        </w:rPr>
      </w:pPr>
      <w:bookmarkStart w:id="55" w:name="_Toc15396616"/>
      <w:r>
        <w:rPr>
          <w:rFonts w:hint="eastAsia" w:ascii="黑体" w:hAnsi="黑体" w:eastAsia="黑体" w:cs="方正小标宋简体"/>
          <w:sz w:val="36"/>
          <w:szCs w:val="36"/>
          <w:lang w:eastAsia="zh-CN"/>
        </w:rPr>
        <w:t>中共广元市昭化区直属机关工作委员会</w:t>
      </w:r>
    </w:p>
    <w:p w14:paraId="19C2FFEF">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5"/>
    </w:p>
    <w:p w14:paraId="0160E493">
      <w:pPr>
        <w:spacing w:line="580" w:lineRule="exact"/>
        <w:ind w:firstLine="640" w:firstLineChars="200"/>
        <w:rPr>
          <w:rFonts w:ascii="黑体" w:hAnsi="黑体" w:eastAsia="黑体" w:cs="黑体"/>
          <w:sz w:val="32"/>
          <w:szCs w:val="32"/>
        </w:rPr>
      </w:pPr>
    </w:p>
    <w:p w14:paraId="773B247D">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3157126A">
      <w:pPr>
        <w:spacing w:line="580" w:lineRule="exact"/>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（一）机构组成。</w:t>
      </w:r>
      <w:r>
        <w:rPr>
          <w:rFonts w:hint="eastAsia" w:ascii="仿宋" w:hAnsi="仿宋" w:eastAsia="仿宋" w:cs="仿宋_GB2312"/>
          <w:sz w:val="32"/>
          <w:szCs w:val="32"/>
          <w:lang w:eastAsia="zh-CN"/>
        </w:rPr>
        <w:t>区直机关工委无下属二级单位</w:t>
      </w:r>
    </w:p>
    <w:p w14:paraId="383A89E4">
      <w:pPr>
        <w:ind w:firstLine="800" w:firstLineChars="250"/>
        <w:rPr>
          <w:rFonts w:hint="default" w:ascii="仿宋" w:hAnsi="仿宋" w:eastAsia="仿宋" w:cs="仿宋_GB2312"/>
          <w:sz w:val="32"/>
          <w:szCs w:val="32"/>
          <w:lang w:val="en-US"/>
        </w:rPr>
      </w:pPr>
    </w:p>
    <w:p w14:paraId="28B2E594">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ascii="仿宋" w:hAnsi="仿宋" w:eastAsia="仿宋" w:cs="仿宋_GB2312"/>
          <w:sz w:val="32"/>
          <w:szCs w:val="32"/>
        </w:rPr>
        <w:t>（二）机构职能。</w:t>
      </w:r>
      <w:r>
        <w:rPr>
          <w:rFonts w:hint="eastAsia" w:ascii="仿宋" w:hAnsi="仿宋" w:eastAsia="仿宋"/>
          <w:bCs/>
          <w:color w:val="000000"/>
          <w:sz w:val="32"/>
          <w:szCs w:val="32"/>
          <w:lang w:eastAsia="zh-CN"/>
        </w:rPr>
        <w:t>区直机关工委是区委派出机构，主要负责区直机关党建工作，统筹协调全区干部驻村帮扶工作。</w:t>
      </w:r>
    </w:p>
    <w:p w14:paraId="78C7885F">
      <w:pPr>
        <w:spacing w:line="580" w:lineRule="exact"/>
        <w:ind w:firstLine="640" w:firstLineChars="200"/>
        <w:rPr>
          <w:rFonts w:ascii="仿宋" w:hAnsi="仿宋" w:eastAsia="仿宋" w:cs="仿宋_GB2312"/>
          <w:sz w:val="32"/>
          <w:szCs w:val="32"/>
        </w:rPr>
      </w:pPr>
    </w:p>
    <w:p w14:paraId="515FE46A">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（三）人员概况。</w:t>
      </w:r>
      <w:r>
        <w:rPr>
          <w:rFonts w:hint="eastAsia" w:ascii="仿宋" w:hAnsi="仿宋" w:eastAsia="仿宋" w:cs="仿宋_GB2312"/>
          <w:sz w:val="32"/>
          <w:szCs w:val="32"/>
          <w:lang w:eastAsia="zh-CN"/>
        </w:rPr>
        <w:t>行政人员</w:t>
      </w:r>
      <w:r>
        <w:rPr>
          <w:rFonts w:hint="eastAsia" w:ascii="仿宋" w:hAnsi="仿宋" w:eastAsia="仿宋" w:cs="仿宋_GB2312"/>
          <w:sz w:val="32"/>
          <w:szCs w:val="32"/>
          <w:lang w:val="en-US" w:eastAsia="zh-CN"/>
        </w:rPr>
        <w:t>2人，财政补助人员1人。</w:t>
      </w:r>
    </w:p>
    <w:p w14:paraId="31B58ABB">
      <w:pPr>
        <w:spacing w:line="580" w:lineRule="exact"/>
        <w:ind w:firstLine="640" w:firstLineChars="200"/>
        <w:rPr>
          <w:rFonts w:ascii="黑体" w:hAnsi="黑体" w:eastAsia="黑体" w:cs="黑体"/>
          <w:sz w:val="32"/>
          <w:szCs w:val="32"/>
        </w:rPr>
      </w:pPr>
    </w:p>
    <w:p w14:paraId="74B3DA48">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6BDFDA14">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（一）部门财政资金收入情况。</w:t>
      </w:r>
      <w:r>
        <w:rPr>
          <w:rFonts w:hint="eastAsia" w:ascii="仿宋" w:hAnsi="仿宋" w:eastAsia="仿宋"/>
          <w:bCs/>
          <w:color w:val="000000"/>
          <w:sz w:val="32"/>
          <w:szCs w:val="32"/>
          <w:lang w:eastAsia="zh-CN"/>
        </w:rPr>
        <w:t>区直机关工委</w:t>
      </w:r>
      <w:r>
        <w:rPr>
          <w:rFonts w:hint="eastAsia" w:ascii="仿宋" w:hAnsi="仿宋" w:eastAsia="仿宋" w:cs="仿宋_GB2312"/>
          <w:sz w:val="32"/>
          <w:szCs w:val="32"/>
          <w:lang w:val="en-US" w:eastAsia="zh-CN"/>
        </w:rPr>
        <w:t>2019年财政资金收入58.55万元。</w:t>
      </w:r>
    </w:p>
    <w:p w14:paraId="66E275FF">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（二）部门财政资金支出情况。</w:t>
      </w:r>
      <w:r>
        <w:rPr>
          <w:rFonts w:hint="eastAsia" w:ascii="仿宋" w:hAnsi="仿宋" w:eastAsia="仿宋" w:cs="仿宋_GB2312"/>
          <w:sz w:val="32"/>
          <w:szCs w:val="32"/>
          <w:lang w:eastAsia="zh-CN"/>
        </w:rPr>
        <w:t>区委组织部</w:t>
      </w:r>
      <w:r>
        <w:rPr>
          <w:rFonts w:hint="eastAsia" w:ascii="仿宋" w:hAnsi="仿宋" w:eastAsia="仿宋" w:cs="仿宋_GB2312"/>
          <w:sz w:val="32"/>
          <w:szCs w:val="32"/>
          <w:lang w:val="en-US" w:eastAsia="zh-CN"/>
        </w:rPr>
        <w:t>2019年财政资金支出45.58万元。</w:t>
      </w:r>
    </w:p>
    <w:p w14:paraId="1CBCE224">
      <w:pPr>
        <w:spacing w:line="580" w:lineRule="exact"/>
        <w:ind w:firstLine="640" w:firstLineChars="200"/>
        <w:rPr>
          <w:rFonts w:ascii="黑体" w:hAnsi="黑体" w:eastAsia="黑体" w:cs="黑体"/>
          <w:sz w:val="32"/>
          <w:szCs w:val="32"/>
        </w:rPr>
      </w:pPr>
    </w:p>
    <w:p w14:paraId="7F02EE11">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3049F2BD">
      <w:pPr>
        <w:ind w:firstLine="800" w:firstLineChars="250"/>
        <w:rPr>
          <w:rFonts w:hint="eastAsia" w:ascii="仿宋" w:hAnsi="仿宋" w:eastAsia="仿宋"/>
          <w:sz w:val="32"/>
          <w:szCs w:val="32"/>
        </w:rPr>
      </w:pPr>
      <w:r>
        <w:rPr>
          <w:rFonts w:hint="eastAsia" w:ascii="仿宋" w:hAnsi="仿宋" w:eastAsia="仿宋"/>
          <w:sz w:val="32"/>
          <w:szCs w:val="32"/>
        </w:rPr>
        <w:t>（一）部门预算管理。</w:t>
      </w:r>
    </w:p>
    <w:p w14:paraId="5C8F3642">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1、预算管理</w:t>
      </w:r>
    </w:p>
    <w:p w14:paraId="213509BA">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（1）目标制定。区直机关工委2019年部门预算项目绩效目标主要围绕当年工作要点制定，包括完成指标、效益指标和满意度指标。</w:t>
      </w:r>
    </w:p>
    <w:p w14:paraId="39F70C17">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（2）目标完成情况。根据工作完成情况来看，部门预决算编制、预算执行和综合管理完成较好。</w:t>
      </w:r>
    </w:p>
    <w:p w14:paraId="15E88F1B">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部门预算编制情况。</w:t>
      </w:r>
      <w:r>
        <w:rPr>
          <w:rFonts w:hint="eastAsia" w:ascii="仿宋" w:hAnsi="仿宋" w:eastAsia="仿宋" w:cs="仿宋_GB2312"/>
          <w:sz w:val="32"/>
          <w:szCs w:val="32"/>
          <w:lang w:eastAsia="zh-CN"/>
        </w:rPr>
        <w:t>区直机关工委</w:t>
      </w:r>
      <w:r>
        <w:rPr>
          <w:rFonts w:hint="eastAsia" w:ascii="仿宋" w:hAnsi="仿宋" w:eastAsia="仿宋" w:cs="仿宋_GB2312"/>
          <w:sz w:val="32"/>
          <w:szCs w:val="32"/>
        </w:rPr>
        <w:t>严格按照规定编制收入预算、支出预算、三公经费预算等。正确使用功能科目和经济科目、准确编列资金性质和资金级次</w:t>
      </w:r>
      <w:r>
        <w:rPr>
          <w:rFonts w:hint="eastAsia" w:ascii="仿宋" w:hAnsi="仿宋" w:eastAsia="仿宋" w:cs="仿宋_GB2312"/>
          <w:sz w:val="32"/>
          <w:szCs w:val="32"/>
          <w:lang w:eastAsia="zh-CN"/>
        </w:rPr>
        <w:t>，综合绩效目标编制完整、合理，按要求的时间报送部门预算及编制说明。</w:t>
      </w:r>
    </w:p>
    <w:p w14:paraId="6B26514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）支出控制。单位收支执行进度与时间进度同步，严控现金支付，支付范围比例逐年下降，提高公务卡结算比例。</w:t>
      </w:r>
      <w:r>
        <w:rPr>
          <w:rFonts w:hint="eastAsia" w:ascii="仿宋" w:hAnsi="仿宋" w:eastAsia="仿宋" w:cs="仿宋_GB2312"/>
          <w:sz w:val="32"/>
          <w:szCs w:val="32"/>
        </w:rPr>
        <w:t>按规定对财政拨付的专项资金进行自检自查，做好资金的项目和资金使用效益工作，充分发挥各项资金的使用效益，财政各项专项工作按时高质量的完成。</w:t>
      </w:r>
    </w:p>
    <w:p w14:paraId="6C0C128E">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）预算完成情况。区直机关工委</w:t>
      </w:r>
      <w:r>
        <w:rPr>
          <w:rFonts w:hint="eastAsia" w:ascii="仿宋" w:hAnsi="仿宋" w:eastAsia="仿宋" w:cs="仿宋_GB2312"/>
          <w:sz w:val="32"/>
          <w:szCs w:val="32"/>
          <w:lang w:val="en-US" w:eastAsia="zh-CN"/>
        </w:rPr>
        <w:t>2018年一般公共预算财政拨款收入</w:t>
      </w:r>
      <w:r>
        <w:rPr>
          <w:rFonts w:hint="eastAsia" w:ascii="仿宋" w:hAnsi="仿宋" w:eastAsia="仿宋"/>
          <w:color w:val="000000"/>
          <w:sz w:val="32"/>
          <w:szCs w:val="32"/>
          <w:lang w:val="en-US" w:eastAsia="zh-CN"/>
        </w:rPr>
        <w:t>58.55</w:t>
      </w:r>
      <w:r>
        <w:rPr>
          <w:rFonts w:hint="eastAsia" w:ascii="仿宋" w:hAnsi="仿宋" w:eastAsia="仿宋" w:cs="仿宋_GB2312"/>
          <w:sz w:val="32"/>
          <w:szCs w:val="32"/>
          <w:lang w:val="en-US" w:eastAsia="zh-CN"/>
        </w:rPr>
        <w:t>万元，一般公共预算财政拨款支出</w:t>
      </w:r>
      <w:r>
        <w:rPr>
          <w:rFonts w:hint="eastAsia" w:ascii="仿宋" w:hAnsi="仿宋" w:eastAsia="仿宋"/>
          <w:color w:val="000000"/>
          <w:sz w:val="32"/>
          <w:szCs w:val="32"/>
          <w:lang w:val="en-US" w:eastAsia="zh-CN"/>
        </w:rPr>
        <w:t>45.58</w:t>
      </w:r>
      <w:r>
        <w:rPr>
          <w:rFonts w:hint="eastAsia" w:ascii="仿宋" w:hAnsi="仿宋" w:eastAsia="仿宋" w:cs="仿宋_GB2312"/>
          <w:sz w:val="32"/>
          <w:szCs w:val="32"/>
          <w:lang w:val="en-US" w:eastAsia="zh-CN"/>
        </w:rPr>
        <w:t>万元，预算完成率77.85%.</w:t>
      </w:r>
    </w:p>
    <w:p w14:paraId="4518CAE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5B3BA97C">
      <w:pPr>
        <w:spacing w:line="580" w:lineRule="exact"/>
        <w:ind w:firstLine="640" w:firstLineChars="200"/>
        <w:rPr>
          <w:rFonts w:hint="eastAsia" w:ascii="仿宋" w:hAnsi="仿宋" w:eastAsia="仿宋" w:cs="楷体_GB2312"/>
          <w:color w:val="FF0000"/>
          <w:sz w:val="32"/>
          <w:szCs w:val="32"/>
          <w:lang w:val="en-US" w:eastAsia="zh-CN"/>
        </w:rPr>
      </w:pPr>
      <w:r>
        <w:rPr>
          <w:rFonts w:hint="eastAsia" w:ascii="仿宋" w:hAnsi="仿宋" w:eastAsia="仿宋" w:cs="仿宋_GB2312"/>
          <w:sz w:val="32"/>
          <w:szCs w:val="32"/>
          <w:lang w:eastAsia="zh-CN"/>
        </w:rPr>
        <w:t>区直机关工委</w:t>
      </w:r>
      <w:r>
        <w:rPr>
          <w:rFonts w:hint="eastAsia" w:ascii="仿宋" w:hAnsi="仿宋" w:eastAsia="仿宋" w:cs="仿宋_GB2312"/>
          <w:sz w:val="32"/>
          <w:szCs w:val="32"/>
          <w:lang w:val="en-US" w:eastAsia="zh-CN"/>
        </w:rPr>
        <w:t>2019年</w:t>
      </w:r>
      <w:r>
        <w:rPr>
          <w:rFonts w:hint="eastAsia" w:ascii="仿宋" w:hAnsi="仿宋" w:eastAsia="仿宋" w:cs="仿宋_GB2312"/>
          <w:sz w:val="32"/>
          <w:szCs w:val="32"/>
          <w:lang w:eastAsia="zh-CN"/>
        </w:rPr>
        <w:t>无项目资金预算。</w:t>
      </w:r>
    </w:p>
    <w:p w14:paraId="3DBCF75B">
      <w:pPr>
        <w:spacing w:line="580" w:lineRule="exact"/>
        <w:ind w:firstLine="640" w:firstLineChars="200"/>
        <w:rPr>
          <w:rFonts w:ascii="黑体" w:hAnsi="黑体" w:eastAsia="黑体" w:cs="黑体"/>
          <w:sz w:val="32"/>
          <w:szCs w:val="32"/>
        </w:rPr>
      </w:pPr>
    </w:p>
    <w:p w14:paraId="554476CC">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647AD8AD">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（一）评价结论。</w:t>
      </w:r>
    </w:p>
    <w:p w14:paraId="3683A15E">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总体来看，区直机关工委较好完成了年度总体绩效目标，部门综合管理有效。</w:t>
      </w:r>
    </w:p>
    <w:p w14:paraId="363BAEEA">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（二）存在问题。</w:t>
      </w:r>
    </w:p>
    <w:p w14:paraId="2BDF6499">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1、经济科目支出和收入不匹配；</w:t>
      </w:r>
    </w:p>
    <w:p w14:paraId="18DBD3C2">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2、公务卡使用不达标。</w:t>
      </w:r>
    </w:p>
    <w:p w14:paraId="1ACA37CE">
      <w:pPr>
        <w:ind w:firstLine="800" w:firstLineChars="250"/>
        <w:rPr>
          <w:rFonts w:hint="eastAsia" w:ascii="仿宋" w:hAnsi="仿宋" w:eastAsia="仿宋"/>
          <w:sz w:val="32"/>
          <w:szCs w:val="32"/>
          <w:lang w:eastAsia="zh-CN"/>
        </w:rPr>
      </w:pPr>
      <w:r>
        <w:rPr>
          <w:rFonts w:hint="eastAsia" w:ascii="仿宋" w:hAnsi="仿宋" w:eastAsia="仿宋"/>
          <w:sz w:val="32"/>
          <w:szCs w:val="32"/>
          <w:lang w:eastAsia="zh-CN"/>
        </w:rPr>
        <w:t>（三）改进建议。</w:t>
      </w:r>
    </w:p>
    <w:p w14:paraId="11C8BA86">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1、加强预算收入和支付管理，严格实施绩效目标管理，将绩效目标作为编制预算的必要前提，提高预算编制准确性。</w:t>
      </w:r>
    </w:p>
    <w:p w14:paraId="68E07EC6">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2、加强公务卡的使用，能够使用公务卡支付的尽量使用公务卡支付。</w:t>
      </w:r>
    </w:p>
    <w:p w14:paraId="26ECCFBC">
      <w:pPr>
        <w:pStyle w:val="2"/>
      </w:pPr>
    </w:p>
    <w:p w14:paraId="51BFF58E">
      <w:pPr>
        <w:spacing w:line="580" w:lineRule="exact"/>
        <w:ind w:firstLine="640" w:firstLineChars="200"/>
        <w:rPr>
          <w:rFonts w:ascii="仿宋_GB2312" w:hAnsi="仿宋_GB2312" w:eastAsia="仿宋_GB2312" w:cs="仿宋_GB2312"/>
          <w:sz w:val="32"/>
          <w:szCs w:val="32"/>
        </w:rPr>
      </w:pPr>
    </w:p>
    <w:p w14:paraId="131E91B8">
      <w:pPr>
        <w:spacing w:line="580" w:lineRule="exact"/>
        <w:ind w:firstLine="640" w:firstLineChars="200"/>
        <w:rPr>
          <w:rFonts w:ascii="仿宋_GB2312" w:hAnsi="仿宋_GB2312" w:eastAsia="仿宋_GB2312" w:cs="仿宋_GB2312"/>
          <w:sz w:val="32"/>
          <w:szCs w:val="32"/>
        </w:rPr>
      </w:pPr>
    </w:p>
    <w:p w14:paraId="7E6A5625">
      <w:pPr>
        <w:spacing w:line="580" w:lineRule="exact"/>
        <w:ind w:firstLine="640"/>
        <w:rPr>
          <w:rFonts w:ascii="仿宋_GB2312" w:hAnsi="仿宋_GB2312" w:eastAsia="仿宋_GB2312" w:cs="仿宋_GB2312"/>
          <w:sz w:val="32"/>
          <w:szCs w:val="32"/>
        </w:rPr>
      </w:pPr>
    </w:p>
    <w:p w14:paraId="44A91A5A">
      <w:pPr>
        <w:widowControl/>
        <w:jc w:val="left"/>
        <w:rPr>
          <w:rStyle w:val="25"/>
          <w:rFonts w:ascii="黑体" w:hAnsi="黑体" w:eastAsia="黑体"/>
          <w:b w:val="0"/>
        </w:rPr>
      </w:pPr>
    </w:p>
    <w:p w14:paraId="052329ED">
      <w:pPr>
        <w:widowControl/>
        <w:jc w:val="left"/>
        <w:rPr>
          <w:rStyle w:val="25"/>
          <w:rFonts w:ascii="黑体" w:hAnsi="黑体" w:eastAsia="黑体"/>
          <w:b w:val="0"/>
        </w:rPr>
      </w:pPr>
      <w:r>
        <w:rPr>
          <w:rStyle w:val="25"/>
          <w:rFonts w:ascii="黑体" w:hAnsi="黑体" w:eastAsia="黑体"/>
          <w:b w:val="0"/>
        </w:rPr>
        <w:br w:type="page"/>
      </w:r>
    </w:p>
    <w:p w14:paraId="3E435B47">
      <w:pPr>
        <w:spacing w:line="600" w:lineRule="exact"/>
        <w:jc w:val="center"/>
        <w:outlineLvl w:val="0"/>
        <w:rPr>
          <w:rStyle w:val="25"/>
          <w:rFonts w:ascii="黑体" w:hAnsi="黑体" w:eastAsia="黑体"/>
          <w:b w:val="0"/>
        </w:rPr>
      </w:pPr>
    </w:p>
    <w:p w14:paraId="7997D995">
      <w:pPr>
        <w:spacing w:line="600" w:lineRule="exact"/>
        <w:jc w:val="center"/>
        <w:outlineLvl w:val="0"/>
        <w:rPr>
          <w:rStyle w:val="25"/>
          <w:rFonts w:ascii="黑体" w:hAnsi="黑体" w:eastAsia="黑体"/>
          <w:b w:val="0"/>
        </w:rPr>
      </w:pPr>
      <w:bookmarkStart w:id="56"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3"/>
      <w:bookmarkEnd w:id="56"/>
    </w:p>
    <w:p w14:paraId="4E1387E8">
      <w:pPr>
        <w:spacing w:line="600" w:lineRule="exact"/>
        <w:jc w:val="center"/>
        <w:outlineLvl w:val="0"/>
        <w:rPr>
          <w:rFonts w:ascii="仿宋" w:hAnsi="仿宋" w:eastAsia="仿宋"/>
          <w:b/>
          <w:color w:val="000000"/>
          <w:sz w:val="44"/>
          <w:szCs w:val="44"/>
        </w:rPr>
      </w:pPr>
    </w:p>
    <w:p w14:paraId="41DD4923">
      <w:pPr>
        <w:pStyle w:val="4"/>
        <w:rPr>
          <w:rFonts w:ascii="仿宋" w:hAnsi="仿宋" w:eastAsia="仿宋"/>
          <w:color w:val="000000"/>
        </w:rPr>
      </w:pPr>
      <w:bookmarkStart w:id="57"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7"/>
    </w:p>
    <w:p w14:paraId="5C1B5C77">
      <w:pPr>
        <w:pStyle w:val="4"/>
        <w:rPr>
          <w:rFonts w:ascii="仿宋" w:hAnsi="仿宋" w:eastAsia="仿宋"/>
          <w:color w:val="000000"/>
        </w:rPr>
      </w:pPr>
      <w:bookmarkStart w:id="58"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58"/>
    </w:p>
    <w:p w14:paraId="4BBEFC3E">
      <w:pPr>
        <w:pStyle w:val="4"/>
        <w:rPr>
          <w:rFonts w:ascii="仿宋" w:hAnsi="仿宋" w:eastAsia="仿宋"/>
          <w:color w:val="000000"/>
        </w:rPr>
      </w:pPr>
      <w:bookmarkStart w:id="59"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59"/>
    </w:p>
    <w:p w14:paraId="6F7EA306">
      <w:pPr>
        <w:pStyle w:val="4"/>
        <w:rPr>
          <w:rFonts w:ascii="仿宋" w:hAnsi="仿宋" w:eastAsia="仿宋"/>
          <w:b w:val="0"/>
          <w:color w:val="000000"/>
        </w:rPr>
      </w:pPr>
      <w:bookmarkStart w:id="60"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0"/>
    </w:p>
    <w:p w14:paraId="3EA57508">
      <w:pPr>
        <w:pStyle w:val="4"/>
        <w:rPr>
          <w:rStyle w:val="26"/>
          <w:rFonts w:ascii="仿宋" w:hAnsi="仿宋" w:eastAsia="仿宋"/>
          <w:b w:val="0"/>
          <w:bCs w:val="0"/>
        </w:rPr>
      </w:pPr>
      <w:bookmarkStart w:id="61"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1"/>
      <w:bookmarkStart w:id="62" w:name="_Toc15396624"/>
    </w:p>
    <w:p w14:paraId="4C087FE6">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2"/>
    </w:p>
    <w:p w14:paraId="18A8394C">
      <w:pPr>
        <w:pStyle w:val="4"/>
        <w:rPr>
          <w:rFonts w:ascii="仿宋" w:hAnsi="仿宋" w:eastAsia="仿宋"/>
          <w:color w:val="000000"/>
        </w:rPr>
      </w:pPr>
      <w:bookmarkStart w:id="63"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3"/>
    </w:p>
    <w:p w14:paraId="1A8F7CD6">
      <w:pPr>
        <w:pStyle w:val="4"/>
        <w:rPr>
          <w:rFonts w:ascii="仿宋" w:hAnsi="仿宋" w:eastAsia="仿宋"/>
          <w:color w:val="000000"/>
        </w:rPr>
      </w:pPr>
      <w:bookmarkStart w:id="64"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4"/>
    </w:p>
    <w:p w14:paraId="031F3255">
      <w:pPr>
        <w:pStyle w:val="4"/>
        <w:rPr>
          <w:rFonts w:ascii="仿宋" w:hAnsi="仿宋" w:eastAsia="仿宋"/>
          <w:color w:val="000000"/>
        </w:rPr>
      </w:pPr>
      <w:bookmarkStart w:id="65"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5"/>
    </w:p>
    <w:p w14:paraId="492F5045">
      <w:pPr>
        <w:pStyle w:val="4"/>
        <w:rPr>
          <w:rFonts w:ascii="仿宋" w:hAnsi="仿宋" w:eastAsia="仿宋"/>
          <w:color w:val="000000"/>
        </w:rPr>
      </w:pPr>
      <w:bookmarkStart w:id="66"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6"/>
    </w:p>
    <w:p w14:paraId="71176675">
      <w:pPr>
        <w:pStyle w:val="4"/>
        <w:rPr>
          <w:rFonts w:ascii="仿宋" w:hAnsi="仿宋" w:eastAsia="仿宋"/>
          <w:color w:val="000000"/>
        </w:rPr>
      </w:pPr>
      <w:bookmarkStart w:id="67"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7"/>
    </w:p>
    <w:p w14:paraId="0DAF0D3B">
      <w:pPr>
        <w:pStyle w:val="4"/>
        <w:rPr>
          <w:rFonts w:ascii="仿宋" w:hAnsi="仿宋" w:eastAsia="仿宋"/>
          <w:color w:val="000000"/>
        </w:rPr>
      </w:pPr>
      <w:bookmarkStart w:id="68"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8"/>
    </w:p>
    <w:p w14:paraId="32A2690C">
      <w:pPr>
        <w:pStyle w:val="4"/>
        <w:rPr>
          <w:rFonts w:ascii="仿宋" w:hAnsi="仿宋" w:eastAsia="仿宋"/>
          <w:color w:val="000000" w:themeColor="text1"/>
        </w:rPr>
      </w:pPr>
      <w:bookmarkStart w:id="69"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44122D-AE53-43D2-A193-CFACF999D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286788DE-F910-406F-BE98-413DE469E081}"/>
  </w:font>
  <w:font w:name="仿宋_GB2312">
    <w:altName w:val="仿宋"/>
    <w:panose1 w:val="02010609030101010101"/>
    <w:charset w:val="86"/>
    <w:family w:val="modern"/>
    <w:pitch w:val="default"/>
    <w:sig w:usb0="00000000" w:usb1="00000000" w:usb2="00000000" w:usb3="00000000" w:csb0="00040000" w:csb1="00000000"/>
    <w:embedRegular r:id="rId3" w:fontKey="{45F3C519-6D7A-4F2F-8A1A-1B1058B6051F}"/>
  </w:font>
  <w:font w:name="仿宋">
    <w:panose1 w:val="02010609060101010101"/>
    <w:charset w:val="86"/>
    <w:family w:val="modern"/>
    <w:pitch w:val="default"/>
    <w:sig w:usb0="800002BF" w:usb1="38CF7CFA" w:usb2="00000016" w:usb3="00000000" w:csb0="00040001" w:csb1="00000000"/>
    <w:embedRegular r:id="rId4" w:fontKey="{4DAD46AC-34BE-4EDE-A70A-C0AB9EA754F1}"/>
  </w:font>
  <w:font w:name="方正小标宋简体">
    <w:panose1 w:val="02000000000000000000"/>
    <w:charset w:val="86"/>
    <w:family w:val="script"/>
    <w:pitch w:val="default"/>
    <w:sig w:usb0="00000001" w:usb1="08000000" w:usb2="00000000" w:usb3="00000000" w:csb0="00040000" w:csb1="00000000"/>
    <w:embedRegular r:id="rId5" w:fontKey="{4B4D71C1-307F-49F3-9087-E54B266F4B04}"/>
  </w:font>
  <w:font w:name="楷体_GB2312">
    <w:panose1 w:val="02010609030101010101"/>
    <w:charset w:val="86"/>
    <w:family w:val="modern"/>
    <w:pitch w:val="default"/>
    <w:sig w:usb0="00000001" w:usb1="080E0000" w:usb2="00000000" w:usb3="00000000" w:csb0="00040000" w:csb1="00000000"/>
    <w:embedRegular r:id="rId6" w:fontKey="{1A53194F-0A24-4F11-874B-26C168159F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760D148">
        <w:pPr>
          <w:pStyle w:val="9"/>
          <w:jc w:val="center"/>
        </w:pPr>
        <w:r>
          <w:fldChar w:fldCharType="begin"/>
        </w:r>
        <w:r>
          <w:instrText xml:space="preserve">PAGE   \* MERGEFORMAT</w:instrText>
        </w:r>
        <w:r>
          <w:fldChar w:fldCharType="separate"/>
        </w:r>
        <w:r>
          <w:rPr>
            <w:lang w:val="zh-CN"/>
          </w:rPr>
          <w:t>24</w:t>
        </w:r>
        <w:r>
          <w:fldChar w:fldCharType="end"/>
        </w:r>
      </w:p>
    </w:sdtContent>
  </w:sdt>
  <w:p w14:paraId="5A2C5E1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48C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28E046F"/>
    <w:rsid w:val="16BB723D"/>
    <w:rsid w:val="240371BF"/>
    <w:rsid w:val="29FD04D3"/>
    <w:rsid w:val="319F7F4E"/>
    <w:rsid w:val="32341AE5"/>
    <w:rsid w:val="3D6F7A7E"/>
    <w:rsid w:val="4C62457E"/>
    <w:rsid w:val="4ECE2238"/>
    <w:rsid w:val="5A6152B8"/>
    <w:rsid w:val="5E160506"/>
    <w:rsid w:val="601C087C"/>
    <w:rsid w:val="6A2A2A05"/>
    <w:rsid w:val="72734D90"/>
    <w:rsid w:val="765D33C2"/>
    <w:rsid w:val="77B62632"/>
    <w:rsid w:val="7FFC31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5756</Words>
  <Characters>6162</Characters>
  <Lines>7</Lines>
  <Paragraphs>17</Paragraphs>
  <TotalTime>33</TotalTime>
  <ScaleCrop>false</ScaleCrop>
  <LinksUpToDate>false</LinksUpToDate>
  <CharactersWithSpaces>6182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2024-12-23T07:45:09Z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6175FA6A1E13489C86A7CECC815BF851_12</vt:lpwstr>
  </property>
</Properties>
</file>