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F00" w:rsidRDefault="008C37EA">
      <w:pPr>
        <w:pStyle w:val="1"/>
        <w:jc w:val="center"/>
        <w:rPr>
          <w:rFonts w:ascii="方正小标宋简体" w:eastAsia="方正小标宋简体" w:hAnsi="方正小标宋简体" w:cs="方正小标宋简体"/>
          <w:b w:val="0"/>
          <w:bCs w:val="0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</w:rPr>
        <w:t>广元市</w:t>
      </w:r>
      <w:r w:rsidR="00A80532">
        <w:rPr>
          <w:rFonts w:ascii="方正小标宋简体" w:eastAsia="方正小标宋简体" w:hAnsi="方正小标宋简体" w:cs="方正小标宋简体" w:hint="eastAsia"/>
          <w:b w:val="0"/>
          <w:bCs w:val="0"/>
        </w:rPr>
        <w:t>昭化区</w:t>
      </w:r>
      <w:r w:rsidRPr="008C37EA">
        <w:rPr>
          <w:rFonts w:ascii="方正小标宋简体" w:eastAsia="方正小标宋简体" w:hAnsi="方正小标宋简体" w:cs="方正小标宋简体" w:hint="eastAsia"/>
          <w:b w:val="0"/>
          <w:bCs w:val="0"/>
        </w:rPr>
        <w:t>人力资源和社会保障局</w:t>
      </w:r>
      <w:r w:rsidR="00A80532">
        <w:rPr>
          <w:rFonts w:ascii="方正小标宋简体" w:eastAsia="方正小标宋简体" w:hAnsi="方正小标宋简体" w:cs="方正小标宋简体" w:hint="eastAsia"/>
          <w:b w:val="0"/>
          <w:bCs w:val="0"/>
        </w:rPr>
        <w:t>就业创业领域政务公开标准目录</w:t>
      </w:r>
    </w:p>
    <w:tbl>
      <w:tblPr>
        <w:tblpPr w:leftFromText="180" w:rightFromText="180" w:vertAnchor="text" w:horzAnchor="page" w:tblpX="689" w:tblpY="1284"/>
        <w:tblOverlap w:val="never"/>
        <w:tblW w:w="15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996"/>
        <w:gridCol w:w="1422"/>
        <w:gridCol w:w="3570"/>
        <w:gridCol w:w="1742"/>
        <w:gridCol w:w="1292"/>
        <w:gridCol w:w="1512"/>
        <w:gridCol w:w="1396"/>
        <w:gridCol w:w="568"/>
        <w:gridCol w:w="525"/>
        <w:gridCol w:w="555"/>
        <w:gridCol w:w="510"/>
        <w:gridCol w:w="615"/>
        <w:gridCol w:w="675"/>
      </w:tblGrid>
      <w:tr w:rsidR="00EE7F00">
        <w:trPr>
          <w:cantSplit/>
        </w:trPr>
        <w:tc>
          <w:tcPr>
            <w:tcW w:w="540" w:type="dxa"/>
            <w:vMerge w:val="restart"/>
            <w:shd w:val="clear" w:color="auto" w:fill="auto"/>
            <w:noWrap/>
            <w:vAlign w:val="center"/>
          </w:tcPr>
          <w:p w:rsidR="00EE7F00" w:rsidRDefault="00A80532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418" w:type="dxa"/>
            <w:gridSpan w:val="2"/>
            <w:shd w:val="clear" w:color="auto" w:fill="auto"/>
            <w:noWrap/>
            <w:vAlign w:val="center"/>
          </w:tcPr>
          <w:p w:rsidR="00EE7F00" w:rsidRDefault="00A8053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3570" w:type="dxa"/>
            <w:vMerge w:val="restart"/>
            <w:shd w:val="clear" w:color="auto" w:fill="auto"/>
            <w:noWrap/>
            <w:vAlign w:val="center"/>
          </w:tcPr>
          <w:p w:rsidR="00EE7F00" w:rsidRDefault="00A8053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742" w:type="dxa"/>
            <w:vMerge w:val="restart"/>
            <w:shd w:val="clear" w:color="auto" w:fill="auto"/>
            <w:noWrap/>
            <w:vAlign w:val="center"/>
          </w:tcPr>
          <w:p w:rsidR="00EE7F00" w:rsidRDefault="00A80532">
            <w:pPr>
              <w:widowControl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92" w:type="dxa"/>
            <w:vMerge w:val="restart"/>
            <w:shd w:val="clear" w:color="auto" w:fill="auto"/>
            <w:noWrap/>
            <w:vAlign w:val="center"/>
          </w:tcPr>
          <w:p w:rsidR="00EE7F00" w:rsidRDefault="00A8053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512" w:type="dxa"/>
            <w:vMerge w:val="restart"/>
            <w:shd w:val="clear" w:color="auto" w:fill="auto"/>
            <w:noWrap/>
            <w:vAlign w:val="center"/>
          </w:tcPr>
          <w:p w:rsidR="00EE7F00" w:rsidRDefault="00A80532">
            <w:pPr>
              <w:widowControl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396" w:type="dxa"/>
            <w:vMerge w:val="restart"/>
            <w:shd w:val="clear" w:color="auto" w:fill="auto"/>
            <w:noWrap/>
            <w:vAlign w:val="center"/>
          </w:tcPr>
          <w:p w:rsidR="00EE7F00" w:rsidRDefault="00A80532">
            <w:pPr>
              <w:widowControl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公开渠道和载体</w:t>
            </w:r>
          </w:p>
        </w:tc>
        <w:tc>
          <w:tcPr>
            <w:tcW w:w="1093" w:type="dxa"/>
            <w:gridSpan w:val="2"/>
            <w:shd w:val="clear" w:color="auto" w:fill="auto"/>
            <w:noWrap/>
            <w:vAlign w:val="center"/>
          </w:tcPr>
          <w:p w:rsidR="00EE7F00" w:rsidRDefault="00A8053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065" w:type="dxa"/>
            <w:gridSpan w:val="2"/>
            <w:shd w:val="clear" w:color="auto" w:fill="auto"/>
            <w:noWrap/>
            <w:vAlign w:val="center"/>
          </w:tcPr>
          <w:p w:rsidR="00EE7F00" w:rsidRDefault="00A8053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290" w:type="dxa"/>
            <w:gridSpan w:val="2"/>
            <w:shd w:val="clear" w:color="auto" w:fill="auto"/>
            <w:noWrap/>
            <w:vAlign w:val="center"/>
          </w:tcPr>
          <w:p w:rsidR="00EE7F00" w:rsidRDefault="00A8053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EE7F00">
        <w:trPr>
          <w:cantSplit/>
        </w:trPr>
        <w:tc>
          <w:tcPr>
            <w:tcW w:w="540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EE7F00" w:rsidRDefault="00A8053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EE7F00" w:rsidRDefault="00A8053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3570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widowControl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widowControl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widowControl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widowControl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96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widowControl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EE7F00" w:rsidRDefault="00A8053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 w:rsidR="00EE7F00" w:rsidRDefault="00A8053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EE7F00" w:rsidRDefault="00A8053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EE7F00" w:rsidRDefault="00A8053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EE7F00" w:rsidRDefault="00A8053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:rsidR="00EE7F00" w:rsidRDefault="00A8053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乡、村级</w:t>
            </w:r>
          </w:p>
        </w:tc>
      </w:tr>
      <w:tr w:rsidR="00EE7F00">
        <w:trPr>
          <w:cantSplit/>
        </w:trPr>
        <w:tc>
          <w:tcPr>
            <w:tcW w:w="540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6" w:type="dxa"/>
            <w:vMerge w:val="restart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就业信息服务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就业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、创业政策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咨询</w:t>
            </w:r>
          </w:p>
        </w:tc>
        <w:tc>
          <w:tcPr>
            <w:tcW w:w="3570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就业创业政策项目、对象范围、政策申请条件、政策申请材料、办理流程、办理地点（方式）、咨询电话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《政府信息公开条例》《就业促进法》《人力资源市场暂行条例》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个工作日内公开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区人力资源和社会保障局就业服务中心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■政府网站</w:t>
            </w:r>
          </w:p>
          <w:p w:rsidR="00EE7F00" w:rsidRDefault="00A80532">
            <w:pP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■政务服务网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EE7F00">
        <w:trPr>
          <w:cantSplit/>
          <w:trHeight w:val="794"/>
        </w:trPr>
        <w:tc>
          <w:tcPr>
            <w:tcW w:w="540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6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4472C4" w:themeColor="accent5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岗位信息发布</w:t>
            </w:r>
          </w:p>
        </w:tc>
        <w:tc>
          <w:tcPr>
            <w:tcW w:w="3570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招聘单位、岗位要求、福利待遇、招聘流程、应聘方式、咨询电话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《政府信息公开条例》《就业促进法》《人力资源市场暂行条例》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个工作日内公开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区人力资源和社会保障局就业服务中心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■政府网站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EE7F00">
        <w:trPr>
          <w:cantSplit/>
          <w:trHeight w:val="1420"/>
        </w:trPr>
        <w:tc>
          <w:tcPr>
            <w:tcW w:w="540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996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4472C4" w:themeColor="accent5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求职服务</w:t>
            </w:r>
          </w:p>
        </w:tc>
        <w:tc>
          <w:tcPr>
            <w:tcW w:w="3570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服务对象、提交材料、办理流程、服务时间、服务地点（方式）、咨询电话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《政府信息公开条例》《就业促进法》《人力资源市场暂行条例》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个工作日内公开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区人力资源和社会保障局就业服务中心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■政府网站</w:t>
            </w:r>
          </w:p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■政务服务网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EE7F00">
        <w:trPr>
          <w:cantSplit/>
          <w:trHeight w:val="617"/>
        </w:trPr>
        <w:tc>
          <w:tcPr>
            <w:tcW w:w="540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6" w:type="dxa"/>
            <w:vMerge w:val="restart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职业介绍、职业指导和创业开业指导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职业介绍</w:t>
            </w:r>
          </w:p>
        </w:tc>
        <w:tc>
          <w:tcPr>
            <w:tcW w:w="3570" w:type="dxa"/>
            <w:vMerge w:val="restart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服务内容、服务对象、提交材料、服务时间、服务地点（方式）、咨询电话</w:t>
            </w:r>
          </w:p>
        </w:tc>
        <w:tc>
          <w:tcPr>
            <w:tcW w:w="1742" w:type="dxa"/>
            <w:vMerge w:val="restart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《政府信息公开条例》《就业促进法》《人力资源市场暂行条例》</w:t>
            </w:r>
          </w:p>
        </w:tc>
        <w:tc>
          <w:tcPr>
            <w:tcW w:w="1292" w:type="dxa"/>
            <w:vMerge w:val="restart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个工作日内公开</w:t>
            </w:r>
          </w:p>
        </w:tc>
        <w:tc>
          <w:tcPr>
            <w:tcW w:w="1512" w:type="dxa"/>
            <w:vMerge w:val="restart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区人力资源和社会保障局就业服务中心</w:t>
            </w:r>
          </w:p>
        </w:tc>
        <w:tc>
          <w:tcPr>
            <w:tcW w:w="1396" w:type="dxa"/>
            <w:vMerge w:val="restart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■政府网站</w:t>
            </w:r>
          </w:p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■政务服务网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EE7F00">
        <w:trPr>
          <w:cantSplit/>
          <w:trHeight w:val="619"/>
        </w:trPr>
        <w:tc>
          <w:tcPr>
            <w:tcW w:w="540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6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职业指导</w:t>
            </w:r>
          </w:p>
        </w:tc>
        <w:tc>
          <w:tcPr>
            <w:tcW w:w="3570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EE7F00">
        <w:trPr>
          <w:cantSplit/>
          <w:trHeight w:val="718"/>
        </w:trPr>
        <w:tc>
          <w:tcPr>
            <w:tcW w:w="540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6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创业开业指导</w:t>
            </w:r>
          </w:p>
        </w:tc>
        <w:tc>
          <w:tcPr>
            <w:tcW w:w="3570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EE7F00">
        <w:trPr>
          <w:cantSplit/>
        </w:trPr>
        <w:tc>
          <w:tcPr>
            <w:tcW w:w="540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公共就业服务专项活动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公共就业服务专项活动</w:t>
            </w:r>
          </w:p>
        </w:tc>
        <w:tc>
          <w:tcPr>
            <w:tcW w:w="3570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活动通知、活动时间、参与方式、相关材料、活动地址、咨询电话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《政府信息公开条例》《就业促进法》《人力资源市场暂行条例》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个工作日内公开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区人力资源和社会保障局就业服务中心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■政府网站</w:t>
            </w:r>
          </w:p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■政务服务网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EE7F00">
        <w:trPr>
          <w:cantSplit/>
          <w:trHeight w:val="564"/>
        </w:trPr>
        <w:tc>
          <w:tcPr>
            <w:tcW w:w="540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6" w:type="dxa"/>
            <w:vMerge w:val="restart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就业失业登记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失业登记</w:t>
            </w:r>
          </w:p>
        </w:tc>
        <w:tc>
          <w:tcPr>
            <w:tcW w:w="3570" w:type="dxa"/>
            <w:vMerge w:val="restart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742" w:type="dxa"/>
            <w:vMerge w:val="restart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《政府信息公开条例》《就业促进法》《人力资源市场暂行条例》</w:t>
            </w:r>
          </w:p>
        </w:tc>
        <w:tc>
          <w:tcPr>
            <w:tcW w:w="1292" w:type="dxa"/>
            <w:vMerge w:val="restart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个工作日内公开</w:t>
            </w:r>
          </w:p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区人力资源和社会保障局就业服务中心</w:t>
            </w:r>
          </w:p>
        </w:tc>
        <w:tc>
          <w:tcPr>
            <w:tcW w:w="1396" w:type="dxa"/>
            <w:vMerge w:val="restart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■政府网站</w:t>
            </w:r>
          </w:p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■政务服务网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EE7F00">
        <w:trPr>
          <w:cantSplit/>
          <w:trHeight w:val="570"/>
        </w:trPr>
        <w:tc>
          <w:tcPr>
            <w:tcW w:w="540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6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就业登记</w:t>
            </w:r>
          </w:p>
        </w:tc>
        <w:tc>
          <w:tcPr>
            <w:tcW w:w="3570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EE7F00">
        <w:trPr>
          <w:cantSplit/>
          <w:trHeight w:val="1603"/>
        </w:trPr>
        <w:tc>
          <w:tcPr>
            <w:tcW w:w="540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《就业创业证》申领</w:t>
            </w:r>
          </w:p>
        </w:tc>
        <w:tc>
          <w:tcPr>
            <w:tcW w:w="3570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EE7F00">
        <w:trPr>
          <w:cantSplit/>
          <w:trHeight w:val="691"/>
        </w:trPr>
        <w:tc>
          <w:tcPr>
            <w:tcW w:w="540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1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6" w:type="dxa"/>
            <w:vMerge w:val="restart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创业服务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创业补贴申领</w:t>
            </w:r>
          </w:p>
        </w:tc>
        <w:tc>
          <w:tcPr>
            <w:tcW w:w="3570" w:type="dxa"/>
            <w:vMerge w:val="restart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742" w:type="dxa"/>
            <w:vMerge w:val="restart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《政府信息公开条例》《就业促进法》《人力资源市场暂行条例》</w:t>
            </w:r>
          </w:p>
        </w:tc>
        <w:tc>
          <w:tcPr>
            <w:tcW w:w="1292" w:type="dxa"/>
            <w:vMerge w:val="restart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个工作日内公开</w:t>
            </w:r>
          </w:p>
        </w:tc>
        <w:tc>
          <w:tcPr>
            <w:tcW w:w="1512" w:type="dxa"/>
            <w:vMerge w:val="restart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区人力资源和社会保障局就业服务中心、</w:t>
            </w:r>
            <w:bookmarkStart w:id="0" w:name="_GoBack"/>
            <w:bookmarkEnd w:id="0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就业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促进股</w:t>
            </w:r>
            <w:proofErr w:type="gramEnd"/>
          </w:p>
        </w:tc>
        <w:tc>
          <w:tcPr>
            <w:tcW w:w="1396" w:type="dxa"/>
            <w:vMerge w:val="restart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■政府网站</w:t>
            </w:r>
          </w:p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■政务服务网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EE7F00">
        <w:trPr>
          <w:cantSplit/>
          <w:trHeight w:val="1007"/>
        </w:trPr>
        <w:tc>
          <w:tcPr>
            <w:tcW w:w="540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6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大学生创新创业园区（孵化基地）申请</w:t>
            </w:r>
          </w:p>
        </w:tc>
        <w:tc>
          <w:tcPr>
            <w:tcW w:w="3570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EE7F00">
        <w:trPr>
          <w:cantSplit/>
          <w:trHeight w:val="771"/>
        </w:trPr>
        <w:tc>
          <w:tcPr>
            <w:tcW w:w="540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6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大学生创业吸纳就业奖励申请</w:t>
            </w:r>
          </w:p>
        </w:tc>
        <w:tc>
          <w:tcPr>
            <w:tcW w:w="3570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EE7F00">
        <w:trPr>
          <w:cantSplit/>
          <w:trHeight w:val="793"/>
        </w:trPr>
        <w:tc>
          <w:tcPr>
            <w:tcW w:w="540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6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在校大学生创业担保贷款贴息申请</w:t>
            </w:r>
          </w:p>
        </w:tc>
        <w:tc>
          <w:tcPr>
            <w:tcW w:w="3570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EE7F00">
        <w:trPr>
          <w:cantSplit/>
          <w:trHeight w:val="980"/>
        </w:trPr>
        <w:tc>
          <w:tcPr>
            <w:tcW w:w="540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6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创业担保贷款申请</w:t>
            </w:r>
          </w:p>
        </w:tc>
        <w:tc>
          <w:tcPr>
            <w:tcW w:w="3570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EE7F00">
        <w:trPr>
          <w:cantSplit/>
          <w:trHeight w:val="737"/>
        </w:trPr>
        <w:tc>
          <w:tcPr>
            <w:tcW w:w="540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6" w:type="dxa"/>
            <w:vMerge w:val="restart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对就业困难人员（含建档立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卡贫困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劳动力）实施就业援助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就业困难人员认定</w:t>
            </w:r>
          </w:p>
        </w:tc>
        <w:tc>
          <w:tcPr>
            <w:tcW w:w="3570" w:type="dxa"/>
            <w:vMerge w:val="restart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742" w:type="dxa"/>
            <w:vMerge w:val="restart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《政府信息公开条例》《就业促进法》《人力资源市场暂行条例》</w:t>
            </w:r>
          </w:p>
        </w:tc>
        <w:tc>
          <w:tcPr>
            <w:tcW w:w="1292" w:type="dxa"/>
            <w:vMerge w:val="restart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个工作日内公开</w:t>
            </w:r>
          </w:p>
        </w:tc>
        <w:tc>
          <w:tcPr>
            <w:tcW w:w="1512" w:type="dxa"/>
            <w:vMerge w:val="restart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区人力资源和社会保障局就业服务中心</w:t>
            </w:r>
          </w:p>
        </w:tc>
        <w:tc>
          <w:tcPr>
            <w:tcW w:w="1396" w:type="dxa"/>
            <w:vMerge w:val="restart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■政府网站</w:t>
            </w:r>
          </w:p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■政务服务网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EE7F00">
        <w:trPr>
          <w:cantSplit/>
          <w:trHeight w:val="763"/>
        </w:trPr>
        <w:tc>
          <w:tcPr>
            <w:tcW w:w="540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6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就业困难人员社会保险补贴申领</w:t>
            </w:r>
          </w:p>
        </w:tc>
        <w:tc>
          <w:tcPr>
            <w:tcW w:w="3570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EE7F00">
        <w:trPr>
          <w:cantSplit/>
          <w:trHeight w:val="725"/>
        </w:trPr>
        <w:tc>
          <w:tcPr>
            <w:tcW w:w="540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6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公益性岗位补贴申领</w:t>
            </w:r>
          </w:p>
        </w:tc>
        <w:tc>
          <w:tcPr>
            <w:tcW w:w="3570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EE7F00">
        <w:trPr>
          <w:cantSplit/>
          <w:trHeight w:val="774"/>
        </w:trPr>
        <w:tc>
          <w:tcPr>
            <w:tcW w:w="540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96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求职创业补贴申领</w:t>
            </w:r>
          </w:p>
        </w:tc>
        <w:tc>
          <w:tcPr>
            <w:tcW w:w="3570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EE7F00">
        <w:trPr>
          <w:cantSplit/>
          <w:trHeight w:val="798"/>
        </w:trPr>
        <w:tc>
          <w:tcPr>
            <w:tcW w:w="540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2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吸纳贫困劳动力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就业奖补申领</w:t>
            </w:r>
            <w:proofErr w:type="gramEnd"/>
          </w:p>
        </w:tc>
        <w:tc>
          <w:tcPr>
            <w:tcW w:w="3570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EE7F00">
        <w:trPr>
          <w:cantSplit/>
          <w:trHeight w:val="889"/>
        </w:trPr>
        <w:tc>
          <w:tcPr>
            <w:tcW w:w="540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6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FF"/>
                <w:sz w:val="18"/>
                <w:szCs w:val="18"/>
                <w:highlight w:val="yellow"/>
              </w:rPr>
            </w:pPr>
            <w:proofErr w:type="gramStart"/>
            <w:r>
              <w:rPr>
                <w:rFonts w:ascii="仿宋_GB2312" w:eastAsia="仿宋_GB2312" w:hAnsi="宋体" w:hint="eastAsia"/>
                <w:sz w:val="18"/>
                <w:szCs w:val="18"/>
              </w:rPr>
              <w:t>零就业</w:t>
            </w:r>
            <w:proofErr w:type="gramEnd"/>
            <w:r>
              <w:rPr>
                <w:rFonts w:ascii="仿宋_GB2312" w:eastAsia="仿宋_GB2312" w:hAnsi="宋体" w:hint="eastAsia"/>
                <w:sz w:val="18"/>
                <w:szCs w:val="18"/>
              </w:rPr>
              <w:t>家庭认定申请</w:t>
            </w:r>
          </w:p>
        </w:tc>
        <w:tc>
          <w:tcPr>
            <w:tcW w:w="3570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EE7F00">
        <w:trPr>
          <w:cantSplit/>
          <w:trHeight w:val="863"/>
        </w:trPr>
        <w:tc>
          <w:tcPr>
            <w:tcW w:w="540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6" w:type="dxa"/>
            <w:vMerge w:val="restart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高校毕业生就业服务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高等学校等毕业生接收手续办理</w:t>
            </w:r>
          </w:p>
        </w:tc>
        <w:tc>
          <w:tcPr>
            <w:tcW w:w="3570" w:type="dxa"/>
            <w:vMerge w:val="restart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742" w:type="dxa"/>
            <w:vMerge w:val="restart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《政府信息公开条例》《就业促进法》《人力资源市场暂行条例》</w:t>
            </w:r>
          </w:p>
        </w:tc>
        <w:tc>
          <w:tcPr>
            <w:tcW w:w="1292" w:type="dxa"/>
            <w:vMerge w:val="restart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个工作日内公开</w:t>
            </w:r>
          </w:p>
        </w:tc>
        <w:tc>
          <w:tcPr>
            <w:tcW w:w="1512" w:type="dxa"/>
            <w:vMerge w:val="restart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区人力资源和社会保障局就业服务中心</w:t>
            </w:r>
          </w:p>
        </w:tc>
        <w:tc>
          <w:tcPr>
            <w:tcW w:w="1396" w:type="dxa"/>
            <w:vMerge w:val="restart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■政府网站</w:t>
            </w:r>
          </w:p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■政务服务网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EE7F00">
        <w:trPr>
          <w:cantSplit/>
          <w:trHeight w:val="803"/>
        </w:trPr>
        <w:tc>
          <w:tcPr>
            <w:tcW w:w="540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6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就业见习补贴申领</w:t>
            </w:r>
          </w:p>
        </w:tc>
        <w:tc>
          <w:tcPr>
            <w:tcW w:w="3570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EE7F00">
        <w:trPr>
          <w:cantSplit/>
          <w:trHeight w:val="805"/>
        </w:trPr>
        <w:tc>
          <w:tcPr>
            <w:tcW w:w="540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6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求职创业补贴申领</w:t>
            </w:r>
          </w:p>
        </w:tc>
        <w:tc>
          <w:tcPr>
            <w:tcW w:w="3570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EE7F00">
        <w:trPr>
          <w:cantSplit/>
          <w:trHeight w:val="870"/>
        </w:trPr>
        <w:tc>
          <w:tcPr>
            <w:tcW w:w="540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6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高校毕业生社保补贴申领</w:t>
            </w:r>
          </w:p>
        </w:tc>
        <w:tc>
          <w:tcPr>
            <w:tcW w:w="3570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EE7F00">
        <w:trPr>
          <w:cantSplit/>
          <w:trHeight w:val="2420"/>
        </w:trPr>
        <w:tc>
          <w:tcPr>
            <w:tcW w:w="540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基本公共就业创业政府购买服务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政府向社会购买基本公共就业创业服务成果</w:t>
            </w:r>
          </w:p>
        </w:tc>
        <w:tc>
          <w:tcPr>
            <w:tcW w:w="3570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文件依据、购买项目、购买内容及评价标准、购买主体、承接主体条件、购买方式、提交材料、购买流程、受理地点（方式）、受理结果告知方式、咨询电话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《政府信息公开条例》《就业促进法》《人力资源市场暂行条例》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个工作日内公开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区人力资源和社会保障局就业服务中心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■政府网站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EE7F00">
        <w:trPr>
          <w:cantSplit/>
          <w:trHeight w:val="820"/>
        </w:trPr>
        <w:tc>
          <w:tcPr>
            <w:tcW w:w="540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2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6" w:type="dxa"/>
            <w:vMerge w:val="restart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职业培训、职业技能鉴定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职业培训补贴申领</w:t>
            </w:r>
          </w:p>
        </w:tc>
        <w:tc>
          <w:tcPr>
            <w:tcW w:w="3570" w:type="dxa"/>
            <w:vMerge w:val="restart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742" w:type="dxa"/>
            <w:vMerge w:val="restart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《政府信息公开条例》《就业促进法》《人力资源市场暂行条例》</w:t>
            </w:r>
          </w:p>
        </w:tc>
        <w:tc>
          <w:tcPr>
            <w:tcW w:w="1292" w:type="dxa"/>
            <w:vMerge w:val="restart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作日内公开</w:t>
            </w:r>
          </w:p>
        </w:tc>
        <w:tc>
          <w:tcPr>
            <w:tcW w:w="1512" w:type="dxa"/>
            <w:vMerge w:val="restart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区人力资源和社会保障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局职业能力建设股</w:t>
            </w:r>
            <w:proofErr w:type="gramEnd"/>
          </w:p>
        </w:tc>
        <w:tc>
          <w:tcPr>
            <w:tcW w:w="1396" w:type="dxa"/>
            <w:vMerge w:val="restart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■政府网站</w:t>
            </w:r>
          </w:p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18"/>
                <w:szCs w:val="18"/>
              </w:rPr>
              <w:t>■政务服务网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EE7F00">
        <w:trPr>
          <w:cantSplit/>
          <w:trHeight w:val="731"/>
        </w:trPr>
        <w:tc>
          <w:tcPr>
            <w:tcW w:w="540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96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FF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劳动预备制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生活费补贴申领</w:t>
            </w:r>
          </w:p>
        </w:tc>
        <w:tc>
          <w:tcPr>
            <w:tcW w:w="3570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EE7F00">
        <w:trPr>
          <w:cantSplit/>
          <w:trHeight w:val="770"/>
        </w:trPr>
        <w:tc>
          <w:tcPr>
            <w:tcW w:w="540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96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就业创业培训机构开班申请</w:t>
            </w:r>
          </w:p>
        </w:tc>
        <w:tc>
          <w:tcPr>
            <w:tcW w:w="3570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EE7F00">
        <w:trPr>
          <w:cantSplit/>
          <w:trHeight w:val="758"/>
        </w:trPr>
        <w:tc>
          <w:tcPr>
            <w:tcW w:w="540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就业技能培训、创业培训报名</w:t>
            </w:r>
          </w:p>
        </w:tc>
        <w:tc>
          <w:tcPr>
            <w:tcW w:w="3570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EE7F00">
        <w:trPr>
          <w:cantSplit/>
          <w:trHeight w:val="842"/>
        </w:trPr>
        <w:tc>
          <w:tcPr>
            <w:tcW w:w="540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6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EE7F00" w:rsidRDefault="00A8053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职业技能鉴定补贴申领</w:t>
            </w:r>
          </w:p>
        </w:tc>
        <w:tc>
          <w:tcPr>
            <w:tcW w:w="3570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noWrap/>
            <w:vAlign w:val="center"/>
          </w:tcPr>
          <w:p w:rsidR="00EE7F00" w:rsidRDefault="00EE7F00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EE7F00" w:rsidRDefault="00A8053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:rsidR="00EE7F00" w:rsidRDefault="00EE7F00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</w:tbl>
    <w:p w:rsidR="00EE7F00" w:rsidRDefault="00A80532">
      <w:pPr>
        <w:pStyle w:val="1"/>
        <w:jc w:val="left"/>
      </w:pPr>
      <w:r>
        <w:t xml:space="preserve"> </w:t>
      </w:r>
    </w:p>
    <w:sectPr w:rsidR="00EE7F00" w:rsidSect="00EE7F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532" w:rsidRDefault="00A80532" w:rsidP="008C37EA">
      <w:r>
        <w:separator/>
      </w:r>
    </w:p>
  </w:endnote>
  <w:endnote w:type="continuationSeparator" w:id="0">
    <w:p w:rsidR="00A80532" w:rsidRDefault="00A80532" w:rsidP="008C37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532" w:rsidRDefault="00A80532" w:rsidP="008C37EA">
      <w:r>
        <w:separator/>
      </w:r>
    </w:p>
  </w:footnote>
  <w:footnote w:type="continuationSeparator" w:id="0">
    <w:p w:rsidR="00A80532" w:rsidRDefault="00A80532" w:rsidP="008C37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B850C1B"/>
    <w:rsid w:val="0034612E"/>
    <w:rsid w:val="003F51DF"/>
    <w:rsid w:val="006A1DE0"/>
    <w:rsid w:val="006A7B27"/>
    <w:rsid w:val="00701BB0"/>
    <w:rsid w:val="008C37EA"/>
    <w:rsid w:val="00A80532"/>
    <w:rsid w:val="00E97C0A"/>
    <w:rsid w:val="00EE7F00"/>
    <w:rsid w:val="00FC3807"/>
    <w:rsid w:val="0918589E"/>
    <w:rsid w:val="0A355E98"/>
    <w:rsid w:val="0F636F47"/>
    <w:rsid w:val="11D72586"/>
    <w:rsid w:val="139120D6"/>
    <w:rsid w:val="1A363DBD"/>
    <w:rsid w:val="1B4C720A"/>
    <w:rsid w:val="1C2910D1"/>
    <w:rsid w:val="1E5F66D8"/>
    <w:rsid w:val="21203453"/>
    <w:rsid w:val="225B5E43"/>
    <w:rsid w:val="270F5705"/>
    <w:rsid w:val="2743731A"/>
    <w:rsid w:val="2A3E149D"/>
    <w:rsid w:val="2C2303F6"/>
    <w:rsid w:val="2D897E83"/>
    <w:rsid w:val="2FE062C1"/>
    <w:rsid w:val="3036439D"/>
    <w:rsid w:val="30684856"/>
    <w:rsid w:val="31AD3F2B"/>
    <w:rsid w:val="321D6C1B"/>
    <w:rsid w:val="34A35446"/>
    <w:rsid w:val="37541CCE"/>
    <w:rsid w:val="37C071E5"/>
    <w:rsid w:val="38552B06"/>
    <w:rsid w:val="399C509B"/>
    <w:rsid w:val="39B22193"/>
    <w:rsid w:val="3A954310"/>
    <w:rsid w:val="3DA47C5C"/>
    <w:rsid w:val="402225CC"/>
    <w:rsid w:val="429966D1"/>
    <w:rsid w:val="448415AC"/>
    <w:rsid w:val="45D85A12"/>
    <w:rsid w:val="4683422F"/>
    <w:rsid w:val="48064D3D"/>
    <w:rsid w:val="49F75802"/>
    <w:rsid w:val="4AE9329F"/>
    <w:rsid w:val="4B850C1B"/>
    <w:rsid w:val="4B940656"/>
    <w:rsid w:val="503D01F7"/>
    <w:rsid w:val="557D4DD6"/>
    <w:rsid w:val="605B3BCB"/>
    <w:rsid w:val="644C185F"/>
    <w:rsid w:val="67543665"/>
    <w:rsid w:val="6CD93572"/>
    <w:rsid w:val="78AD5A9C"/>
    <w:rsid w:val="79BD4646"/>
    <w:rsid w:val="7C1D31F9"/>
    <w:rsid w:val="7C4636D2"/>
    <w:rsid w:val="7E577B10"/>
    <w:rsid w:val="7FC15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7F0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rsid w:val="00EE7F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E7F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E7F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EE7F00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EE7F0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379</Words>
  <Characters>2164</Characters>
  <Application>Microsoft Office Word</Application>
  <DocSecurity>0</DocSecurity>
  <Lines>18</Lines>
  <Paragraphs>5</Paragraphs>
  <ScaleCrop>false</ScaleCrop>
  <Company>china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办公室</dc:creator>
  <cp:lastModifiedBy>Users</cp:lastModifiedBy>
  <cp:revision>4</cp:revision>
  <cp:lastPrinted>2020-08-27T01:19:00Z</cp:lastPrinted>
  <dcterms:created xsi:type="dcterms:W3CDTF">2020-07-30T07:34:00Z</dcterms:created>
  <dcterms:modified xsi:type="dcterms:W3CDTF">2020-08-28T01:42:00Z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