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77425"/>
      <w:bookmarkStart w:id="3" w:name="_Toc15377193"/>
      <w:bookmarkStart w:id="4" w:name="_Toc15396597"/>
      <w:bookmarkStart w:id="5"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96598"/>
      <w:bookmarkStart w:id="7" w:name="_Toc15377426"/>
      <w:bookmarkStart w:id="8" w:name="_Toc15377194"/>
      <w:bookmarkStart w:id="9" w:name="_Toc15396476"/>
      <w:bookmarkStart w:id="10" w:name="_Toc15378442"/>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广元市昭化区亭子湖景区保护与发展中心</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hint="eastAsia" w:ascii="方正小标宋简体" w:hAnsi="宋体" w:eastAsia="方正小标宋简体"/>
          <w:color w:val="auto"/>
          <w:sz w:val="52"/>
          <w:szCs w:val="52"/>
          <w:highlight w:val="none"/>
          <w:lang w:val="en-US" w:eastAsia="zh-CN"/>
        </w:rPr>
        <w:t xml:space="preserve"> </w:t>
      </w: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Style w:val="10"/>
        <w:jc w:val="both"/>
        <w:rPr>
          <w:color w:val="auto"/>
          <w:highlight w:val="none"/>
        </w:rPr>
      </w:pP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tab/>
      </w:r>
      <w:r>
        <w:rPr>
          <w:rFonts w:hint="eastAsia"/>
          <w:lang w:val="en-US" w:eastAsia="zh-CN"/>
        </w:rPr>
        <w:t>4</w:t>
      </w:r>
      <w:r>
        <w:rPr>
          <w:rFonts w:hint="eastAsia"/>
          <w:sz w:val="24"/>
          <w:lang w:val="en-US" w:eastAsia="zh-CN"/>
        </w:rPr>
        <w:t xml:space="preserve"> </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一、职能</w:t>
      </w:r>
      <w:r>
        <w:rPr>
          <w:rFonts w:hint="eastAsia"/>
          <w:color w:val="auto"/>
          <w:sz w:val="24"/>
          <w:highlight w:val="none"/>
          <w:lang w:eastAsia="zh-CN"/>
        </w:rPr>
        <w:t>简介</w:t>
      </w:r>
      <w:r>
        <w:rPr>
          <w:rFonts w:ascii="仿宋" w:hAnsi="仿宋" w:eastAsia="仿宋"/>
          <w:sz w:val="28"/>
          <w:szCs w:val="28"/>
        </w:rPr>
        <w:tab/>
      </w:r>
      <w:r>
        <w:rPr>
          <w:rFonts w:hint="eastAsia" w:ascii="仿宋" w:hAnsi="仿宋" w:eastAsia="仿宋"/>
          <w:sz w:val="28"/>
          <w:szCs w:val="28"/>
          <w:lang w:val="en-US" w:eastAsia="zh-CN"/>
        </w:rPr>
        <w:t>4</w:t>
      </w:r>
    </w:p>
    <w:p>
      <w:pPr>
        <w:pStyle w:val="12"/>
        <w:adjustRightInd w:val="0"/>
        <w:snapToGrid w:val="0"/>
        <w:spacing w:line="440" w:lineRule="exact"/>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rPr>
          <w:rFonts w:ascii="仿宋" w:hAnsi="仿宋" w:eastAsia="仿宋"/>
          <w:sz w:val="28"/>
          <w:szCs w:val="28"/>
        </w:rPr>
        <w:tab/>
      </w:r>
      <w:r>
        <w:rPr>
          <w:rFonts w:hint="eastAsia" w:ascii="仿宋" w:hAnsi="仿宋" w:eastAsia="仿宋"/>
          <w:sz w:val="28"/>
          <w:szCs w:val="28"/>
          <w:lang w:val="en-US" w:eastAsia="zh-CN"/>
        </w:rPr>
        <w:t>5</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tab/>
      </w:r>
      <w:r>
        <w:rPr>
          <w:rFonts w:hint="eastAsia"/>
          <w:lang w:val="en-US" w:eastAsia="zh-CN"/>
        </w:rPr>
        <w:t>9</w:t>
      </w:r>
    </w:p>
    <w:p>
      <w:pPr>
        <w:pStyle w:val="12"/>
        <w:adjustRightInd w:val="0"/>
        <w:snapToGrid w:val="0"/>
        <w:spacing w:line="440" w:lineRule="exact"/>
        <w:jc w:val="left"/>
        <w:rPr>
          <w:rFonts w:hint="eastAsia" w:ascii="仿宋" w:hAnsi="仿宋" w:eastAsia="仿宋" w:cstheme="minorBidi"/>
          <w:color w:val="auto"/>
          <w:sz w:val="24"/>
          <w:highlight w:val="none"/>
          <w:lang w:val="en-US" w:eastAsia="zh-CN"/>
        </w:rPr>
      </w:pPr>
      <w:r>
        <w:rPr>
          <w:rFonts w:hint="eastAsia"/>
          <w:color w:val="auto"/>
          <w:sz w:val="24"/>
          <w:highlight w:val="none"/>
        </w:rPr>
        <w:t>一、收入支出决算总体情况说明</w:t>
      </w:r>
      <w:r>
        <w:rPr>
          <w:rFonts w:ascii="仿宋" w:hAnsi="仿宋" w:eastAsia="仿宋"/>
          <w:sz w:val="28"/>
          <w:szCs w:val="28"/>
        </w:rPr>
        <w:tab/>
      </w:r>
      <w:r>
        <w:rPr>
          <w:rFonts w:hint="eastAsia" w:ascii="仿宋" w:hAnsi="仿宋" w:eastAsia="仿宋"/>
          <w:sz w:val="28"/>
          <w:szCs w:val="28"/>
          <w:lang w:val="en-US" w:eastAsia="zh-CN"/>
        </w:rPr>
        <w:t>9</w:t>
      </w:r>
    </w:p>
    <w:p>
      <w:pPr>
        <w:pStyle w:val="12"/>
        <w:adjustRightInd w:val="0"/>
        <w:snapToGrid w:val="0"/>
        <w:spacing w:line="440" w:lineRule="exact"/>
        <w:jc w:val="left"/>
        <w:rPr>
          <w:rFonts w:hint="eastAsia" w:ascii="仿宋" w:hAnsi="仿宋" w:eastAsia="仿宋" w:cstheme="minorBidi"/>
          <w:color w:val="auto"/>
          <w:sz w:val="24"/>
          <w:highlight w:val="none"/>
          <w:lang w:val="en-US" w:eastAsia="zh-CN"/>
        </w:rPr>
      </w:pPr>
      <w:r>
        <w:rPr>
          <w:rFonts w:hint="eastAsia"/>
          <w:color w:val="auto"/>
          <w:sz w:val="24"/>
          <w:highlight w:val="none"/>
        </w:rPr>
        <w:t>二、收入决算情况说明</w:t>
      </w:r>
      <w:r>
        <w:rPr>
          <w:rFonts w:ascii="仿宋" w:hAnsi="仿宋" w:eastAsia="仿宋"/>
          <w:sz w:val="28"/>
          <w:szCs w:val="28"/>
        </w:rPr>
        <w:tab/>
      </w:r>
      <w:r>
        <w:rPr>
          <w:rFonts w:hint="eastAsia" w:ascii="仿宋" w:hAnsi="仿宋" w:eastAsia="仿宋"/>
          <w:sz w:val="28"/>
          <w:szCs w:val="28"/>
          <w:lang w:val="en-US" w:eastAsia="zh-CN"/>
        </w:rPr>
        <w:t>9</w:t>
      </w:r>
    </w:p>
    <w:p>
      <w:pPr>
        <w:pStyle w:val="12"/>
        <w:adjustRightInd w:val="0"/>
        <w:snapToGrid w:val="0"/>
        <w:spacing w:line="440" w:lineRule="exact"/>
        <w:jc w:val="left"/>
        <w:rPr>
          <w:rFonts w:hint="default" w:ascii="仿宋" w:hAnsi="仿宋" w:eastAsia="仿宋" w:cstheme="minorBidi"/>
          <w:color w:val="auto"/>
          <w:sz w:val="24"/>
          <w:highlight w:val="none"/>
          <w:lang w:val="en-US" w:eastAsia="zh-CN"/>
        </w:rPr>
      </w:pPr>
      <w:r>
        <w:rPr>
          <w:rFonts w:hint="eastAsia"/>
          <w:color w:val="auto"/>
          <w:sz w:val="24"/>
          <w:highlight w:val="none"/>
        </w:rPr>
        <w:t>三、支出决算情况说明</w:t>
      </w:r>
      <w:r>
        <w:rPr>
          <w:rFonts w:ascii="仿宋" w:hAnsi="仿宋" w:eastAsia="仿宋"/>
          <w:sz w:val="28"/>
          <w:szCs w:val="28"/>
        </w:rPr>
        <w:tab/>
      </w:r>
      <w:r>
        <w:rPr>
          <w:rFonts w:hint="eastAsia" w:ascii="仿宋" w:hAnsi="仿宋" w:eastAsia="仿宋"/>
          <w:sz w:val="28"/>
          <w:szCs w:val="28"/>
          <w:lang w:val="en-US" w:eastAsia="zh-CN"/>
        </w:rPr>
        <w:t>10</w:t>
      </w:r>
    </w:p>
    <w:p>
      <w:pPr>
        <w:pStyle w:val="12"/>
        <w:adjustRightInd w:val="0"/>
        <w:snapToGrid w:val="0"/>
        <w:spacing w:line="440" w:lineRule="exact"/>
        <w:jc w:val="left"/>
        <w:rPr>
          <w:rFonts w:hint="default" w:ascii="仿宋" w:hAnsi="仿宋" w:eastAsia="仿宋" w:cstheme="minorBidi"/>
          <w:color w:val="auto"/>
          <w:sz w:val="24"/>
          <w:highlight w:val="none"/>
          <w:lang w:val="en-US" w:eastAsia="zh-CN"/>
        </w:rPr>
      </w:pPr>
      <w:r>
        <w:rPr>
          <w:rFonts w:hint="eastAsia"/>
          <w:color w:val="auto"/>
          <w:sz w:val="24"/>
          <w:highlight w:val="none"/>
        </w:rPr>
        <w:t>四、财政拨款收入支出决算总体情况说明</w:t>
      </w:r>
      <w:r>
        <w:rPr>
          <w:rFonts w:ascii="仿宋" w:hAnsi="仿宋" w:eastAsia="仿宋"/>
          <w:sz w:val="28"/>
          <w:szCs w:val="28"/>
        </w:rPr>
        <w:tab/>
      </w:r>
      <w:r>
        <w:rPr>
          <w:rFonts w:hint="eastAsia" w:ascii="仿宋" w:hAnsi="仿宋" w:eastAsia="仿宋"/>
          <w:sz w:val="28"/>
          <w:szCs w:val="28"/>
          <w:lang w:val="en-US" w:eastAsia="zh-CN"/>
        </w:rPr>
        <w:t>10</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五、一般公共预算财政拨款支出决算情况说明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11</w:t>
      </w:r>
    </w:p>
    <w:p>
      <w:pPr>
        <w:pStyle w:val="12"/>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六、一般公共预算财政拨款基本支出决算情况说明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13</w:t>
      </w:r>
    </w:p>
    <w:p>
      <w:pPr>
        <w:pStyle w:val="12"/>
        <w:adjustRightInd w:val="0"/>
        <w:snapToGrid w:val="0"/>
        <w:spacing w:line="440" w:lineRule="exact"/>
        <w:jc w:val="left"/>
        <w:rPr>
          <w:rFonts w:hint="default" w:ascii="仿宋" w:hAnsi="仿宋" w:eastAsia="仿宋"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14</w:t>
      </w:r>
    </w:p>
    <w:p>
      <w:pPr>
        <w:pStyle w:val="12"/>
        <w:adjustRightInd w:val="0"/>
        <w:snapToGrid w:val="0"/>
        <w:spacing w:line="440" w:lineRule="exact"/>
        <w:jc w:val="left"/>
        <w:rPr>
          <w:rFonts w:hint="default" w:ascii="仿宋" w:hAnsi="仿宋" w:eastAsia="仿宋" w:cstheme="minorBidi"/>
          <w:color w:val="auto"/>
          <w:sz w:val="24"/>
          <w:highlight w:val="none"/>
          <w:lang w:val="en-US" w:eastAsia="zh-CN"/>
        </w:rPr>
      </w:pPr>
      <w:r>
        <w:rPr>
          <w:rFonts w:hint="eastAsia"/>
          <w:color w:val="auto"/>
          <w:sz w:val="24"/>
          <w:highlight w:val="none"/>
        </w:rPr>
        <w:t>八、政府性基金预算支出决算情况说明</w:t>
      </w:r>
      <w:r>
        <w:rPr>
          <w:rFonts w:ascii="仿宋" w:hAnsi="仿宋" w:eastAsia="仿宋"/>
          <w:sz w:val="28"/>
          <w:szCs w:val="28"/>
        </w:rPr>
        <w:tab/>
      </w:r>
      <w:r>
        <w:rPr>
          <w:rFonts w:hint="eastAsia" w:ascii="仿宋" w:hAnsi="仿宋" w:eastAsia="仿宋"/>
          <w:sz w:val="28"/>
          <w:szCs w:val="28"/>
          <w:lang w:val="en-US" w:eastAsia="zh-CN"/>
        </w:rPr>
        <w:t>15</w:t>
      </w:r>
    </w:p>
    <w:p>
      <w:pPr>
        <w:pStyle w:val="12"/>
        <w:adjustRightInd w:val="0"/>
        <w:snapToGrid w:val="0"/>
        <w:spacing w:line="440" w:lineRule="exact"/>
        <w:jc w:val="left"/>
        <w:rPr>
          <w:rFonts w:hint="default"/>
          <w:color w:val="auto"/>
          <w:sz w:val="24"/>
          <w:highlight w:val="none"/>
          <w:lang w:val="en-US"/>
        </w:rPr>
      </w:pPr>
      <w:r>
        <w:rPr>
          <w:rFonts w:hint="eastAsia"/>
          <w:color w:val="auto"/>
          <w:sz w:val="24"/>
          <w:highlight w:val="none"/>
        </w:rPr>
        <w:t>九、国有资本经营预算支出决算情况说明</w:t>
      </w:r>
      <w:r>
        <w:rPr>
          <w:rFonts w:ascii="仿宋" w:hAnsi="仿宋" w:eastAsia="仿宋"/>
          <w:sz w:val="28"/>
          <w:szCs w:val="28"/>
        </w:rPr>
        <w:tab/>
      </w:r>
      <w:r>
        <w:rPr>
          <w:rFonts w:hint="eastAsia" w:ascii="仿宋" w:hAnsi="仿宋" w:eastAsia="仿宋"/>
          <w:sz w:val="28"/>
          <w:szCs w:val="28"/>
          <w:lang w:val="en-US" w:eastAsia="zh-CN"/>
        </w:rPr>
        <w:t>15</w:t>
      </w:r>
    </w:p>
    <w:p>
      <w:pPr>
        <w:pStyle w:val="12"/>
        <w:adjustRightInd w:val="0"/>
        <w:snapToGrid w:val="0"/>
        <w:spacing w:line="440" w:lineRule="exact"/>
        <w:jc w:val="left"/>
        <w:rPr>
          <w:rFonts w:hint="default" w:eastAsia="宋体"/>
          <w:lang w:val="en-US" w:eastAsia="zh-CN"/>
        </w:rPr>
      </w:pPr>
      <w:r>
        <w:rPr>
          <w:rFonts w:hint="eastAsia"/>
          <w:color w:val="auto"/>
          <w:sz w:val="24"/>
          <w:highlight w:val="none"/>
        </w:rPr>
        <w:t>十、</w:t>
      </w:r>
      <w:r>
        <w:rPr>
          <w:rFonts w:hint="eastAsia" w:asciiTheme="minorEastAsia" w:hAnsiTheme="minorEastAsia" w:eastAsiaTheme="minorEastAsia" w:cstheme="minorEastAsia"/>
          <w:color w:val="auto"/>
          <w:sz w:val="24"/>
          <w:highlight w:val="none"/>
          <w:lang w:val="en-US" w:eastAsia="zh-CN"/>
        </w:rPr>
        <w:t>预算绩效管理情况</w:t>
      </w:r>
      <w:r>
        <w:rPr>
          <w:rFonts w:ascii="仿宋" w:hAnsi="仿宋" w:eastAsia="仿宋"/>
          <w:sz w:val="28"/>
          <w:szCs w:val="28"/>
        </w:rPr>
        <w:tab/>
      </w:r>
      <w:r>
        <w:rPr>
          <w:rFonts w:hint="eastAsia" w:ascii="仿宋" w:hAnsi="仿宋" w:eastAsia="仿宋"/>
          <w:sz w:val="28"/>
          <w:szCs w:val="28"/>
          <w:lang w:val="en-US" w:eastAsia="zh-CN"/>
        </w:rPr>
        <w:t>15</w:t>
      </w:r>
    </w:p>
    <w:p>
      <w:pPr>
        <w:pStyle w:val="12"/>
        <w:adjustRightInd w:val="0"/>
        <w:snapToGrid w:val="0"/>
        <w:spacing w:line="440" w:lineRule="exact"/>
        <w:jc w:val="left"/>
        <w:rPr>
          <w:rFonts w:hint="default" w:eastAsia="宋体"/>
          <w:lang w:val="en-US" w:eastAsia="zh-CN"/>
        </w:rPr>
      </w:pPr>
      <w:r>
        <w:rPr>
          <w:rFonts w:hint="eastAsia"/>
          <w:color w:val="auto"/>
          <w:sz w:val="24"/>
          <w:highlight w:val="none"/>
          <w:lang w:val="en-US" w:eastAsia="zh-CN"/>
        </w:rPr>
        <w:t>十一、</w:t>
      </w:r>
      <w:r>
        <w:rPr>
          <w:rFonts w:hint="eastAsia"/>
          <w:color w:val="auto"/>
          <w:sz w:val="24"/>
          <w:highlight w:val="none"/>
        </w:rPr>
        <w:t>其他重要事项的情况说明</w:t>
      </w:r>
      <w:r>
        <w:rPr>
          <w:rFonts w:ascii="仿宋" w:hAnsi="仿宋" w:eastAsia="仿宋"/>
          <w:sz w:val="28"/>
          <w:szCs w:val="28"/>
        </w:rPr>
        <w:tab/>
      </w:r>
      <w:r>
        <w:rPr>
          <w:rFonts w:hint="eastAsia" w:ascii="仿宋" w:hAnsi="仿宋" w:eastAsia="仿宋"/>
          <w:sz w:val="28"/>
          <w:szCs w:val="28"/>
          <w:lang w:val="en-US" w:eastAsia="zh-CN"/>
        </w:rPr>
        <w:t>16</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tab/>
      </w:r>
      <w:r>
        <w:rPr>
          <w:rFonts w:hint="eastAsia"/>
          <w:lang w:val="en-US" w:eastAsia="zh-CN"/>
        </w:rPr>
        <w:t>17</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tab/>
      </w:r>
      <w:r>
        <w:rPr>
          <w:rFonts w:hint="eastAsia"/>
          <w:lang w:val="en-US" w:eastAsia="zh-CN"/>
        </w:rPr>
        <w:t>19</w:t>
      </w:r>
    </w:p>
    <w:p>
      <w:pPr>
        <w:pStyle w:val="10"/>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tab/>
      </w:r>
      <w:r>
        <w:rPr>
          <w:rFonts w:hint="eastAsia"/>
          <w:lang w:val="en-US" w:eastAsia="zh-CN"/>
        </w:rPr>
        <w:t>21</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一、收入支出决算总表</w:t>
      </w:r>
      <w:r>
        <w:rPr>
          <w:rFonts w:ascii="仿宋" w:hAnsi="仿宋" w:eastAsia="仿宋"/>
          <w:sz w:val="28"/>
          <w:szCs w:val="28"/>
        </w:rPr>
        <w:tab/>
      </w:r>
      <w:r>
        <w:rPr>
          <w:rFonts w:hint="eastAsia" w:ascii="仿宋" w:hAnsi="仿宋" w:eastAsia="仿宋"/>
          <w:sz w:val="28"/>
          <w:szCs w:val="28"/>
          <w:lang w:val="en-US" w:eastAsia="zh-CN"/>
        </w:rPr>
        <w:t>21</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二、收入决算表</w:t>
      </w:r>
      <w:r>
        <w:rPr>
          <w:rFonts w:ascii="仿宋" w:hAnsi="仿宋" w:eastAsia="仿宋"/>
          <w:sz w:val="28"/>
          <w:szCs w:val="28"/>
        </w:rPr>
        <w:tab/>
      </w:r>
      <w:r>
        <w:rPr>
          <w:rFonts w:hint="eastAsia" w:ascii="仿宋" w:hAnsi="仿宋" w:eastAsia="仿宋"/>
          <w:sz w:val="28"/>
          <w:szCs w:val="28"/>
          <w:lang w:val="en-US" w:eastAsia="zh-CN"/>
        </w:rPr>
        <w:t>21</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三、支出决算表</w:t>
      </w:r>
      <w:r>
        <w:rPr>
          <w:rFonts w:ascii="仿宋" w:hAnsi="仿宋" w:eastAsia="仿宋"/>
          <w:sz w:val="28"/>
          <w:szCs w:val="28"/>
        </w:rPr>
        <w:tab/>
      </w:r>
      <w:r>
        <w:rPr>
          <w:rFonts w:hint="eastAsia" w:ascii="仿宋" w:hAnsi="仿宋" w:eastAsia="仿宋"/>
          <w:sz w:val="28"/>
          <w:szCs w:val="28"/>
          <w:lang w:val="en-US" w:eastAsia="zh-CN"/>
        </w:rPr>
        <w:t>21</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四、财政拨款收入支出决算总表</w:t>
      </w:r>
      <w:r>
        <w:rPr>
          <w:rFonts w:ascii="仿宋" w:hAnsi="仿宋" w:eastAsia="仿宋"/>
          <w:sz w:val="28"/>
          <w:szCs w:val="28"/>
        </w:rPr>
        <w:tab/>
      </w:r>
      <w:r>
        <w:rPr>
          <w:rFonts w:hint="eastAsia" w:ascii="仿宋" w:hAnsi="仿宋" w:eastAsia="仿宋"/>
          <w:sz w:val="28"/>
          <w:szCs w:val="28"/>
          <w:lang w:val="en-US" w:eastAsia="zh-CN"/>
        </w:rPr>
        <w:t>21</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五、财政拨款支出决算明细表</w:t>
      </w:r>
      <w:r>
        <w:rPr>
          <w:rFonts w:ascii="仿宋" w:hAnsi="仿宋" w:eastAsia="仿宋"/>
          <w:sz w:val="28"/>
          <w:szCs w:val="28"/>
        </w:rPr>
        <w:tab/>
      </w:r>
      <w:r>
        <w:rPr>
          <w:rFonts w:hint="eastAsia" w:ascii="仿宋" w:hAnsi="仿宋" w:eastAsia="仿宋"/>
          <w:sz w:val="28"/>
          <w:szCs w:val="28"/>
          <w:lang w:val="en-US" w:eastAsia="zh-CN"/>
        </w:rPr>
        <w:t>21</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六、一般公共预算财政拨款支出决算表</w:t>
      </w:r>
      <w:r>
        <w:rPr>
          <w:rFonts w:ascii="仿宋" w:hAnsi="仿宋" w:eastAsia="仿宋"/>
          <w:sz w:val="28"/>
          <w:szCs w:val="28"/>
        </w:rPr>
        <w:tab/>
      </w:r>
      <w:r>
        <w:rPr>
          <w:rFonts w:hint="eastAsia" w:ascii="仿宋" w:hAnsi="仿宋" w:eastAsia="仿宋"/>
          <w:sz w:val="28"/>
          <w:szCs w:val="28"/>
          <w:lang w:val="en-US" w:eastAsia="zh-CN"/>
        </w:rPr>
        <w:t>21</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七、一般公共预算财政拨款支出决算明细表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21</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八、一般公共预算财政拨款基本支出决算表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21</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九、一般公共预算财政拨款项目支出决算表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21</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十、一般公共预算财政拨款“三公”经费支出决算表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21</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十一、政府性基金预算财政拨款收入支出决算表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21</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十二、政府性基金预算财政拨款“三公”经费支出决算表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21</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r>
        <w:rPr>
          <w:rFonts w:ascii="仿宋" w:hAnsi="仿宋" w:eastAsia="仿宋"/>
          <w:sz w:val="28"/>
          <w:szCs w:val="28"/>
        </w:rPr>
        <w:tab/>
      </w:r>
      <w:r>
        <w:rPr>
          <w:rFonts w:hint="eastAsia" w:ascii="仿宋" w:hAnsi="仿宋" w:eastAsia="仿宋"/>
          <w:sz w:val="28"/>
          <w:szCs w:val="28"/>
          <w:lang w:val="en-US" w:eastAsia="zh-CN"/>
        </w:rPr>
        <w:t>21</w:t>
      </w:r>
    </w:p>
    <w:p>
      <w:pPr>
        <w:pStyle w:val="12"/>
        <w:adjustRightInd w:val="0"/>
        <w:snapToGrid w:val="0"/>
        <w:spacing w:line="440" w:lineRule="exact"/>
        <w:jc w:val="left"/>
        <w:rPr>
          <w:rFonts w:hint="default" w:eastAsia="仿宋"/>
          <w:color w:val="auto"/>
          <w:sz w:val="24"/>
          <w:highlight w:val="none"/>
          <w:lang w:val="en-US" w:eastAsia="zh-CN"/>
        </w:rPr>
      </w:pPr>
      <w:r>
        <w:rPr>
          <w:rFonts w:hint="eastAsia"/>
          <w:color w:val="auto"/>
          <w:sz w:val="24"/>
          <w:highlight w:val="none"/>
          <w:lang w:val="en-US" w:eastAsia="zh-CN"/>
        </w:rPr>
        <w:t>十四、国有资本经营预算财政拨款支出决算表</w:t>
      </w:r>
      <w:r>
        <w:rPr>
          <w:rFonts w:ascii="仿宋" w:hAnsi="仿宋" w:eastAsia="仿宋"/>
          <w:sz w:val="28"/>
          <w:szCs w:val="28"/>
        </w:rPr>
        <w:tab/>
      </w:r>
      <w:r>
        <w:rPr>
          <w:rFonts w:hint="eastAsia" w:ascii="仿宋" w:hAnsi="仿宋" w:eastAsia="仿宋"/>
          <w:sz w:val="28"/>
          <w:szCs w:val="28"/>
          <w:lang w:val="en-US" w:eastAsia="zh-CN"/>
        </w:rPr>
        <w:t>21</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hint="eastAsia" w:ascii="仿宋" w:hAnsi="仿宋" w:eastAsia="仿宋"/>
          <w:color w:val="auto"/>
          <w:sz w:val="24"/>
          <w:highlight w:val="none"/>
          <w:lang w:val="en-US" w:eastAsia="zh-CN"/>
        </w:rPr>
        <w:t xml:space="preserve"> </w:t>
      </w:r>
      <w:r>
        <w:rPr>
          <w:rFonts w:ascii="仿宋" w:hAnsi="仿宋" w:eastAsia="仿宋"/>
          <w:b/>
          <w:color w:val="auto"/>
          <w:sz w:val="24"/>
          <w:highlight w:val="none"/>
        </w:rPr>
        <w:br w:type="page"/>
      </w:r>
    </w:p>
    <w:p>
      <w:pPr>
        <w:pStyle w:val="3"/>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6"/>
          <w:rFonts w:hint="eastAsia" w:ascii="黑体" w:hAnsi="黑体" w:eastAsia="黑体"/>
          <w:b w:val="0"/>
          <w:bCs w:val="0"/>
          <w:color w:val="auto"/>
          <w:highlight w:val="none"/>
          <w:lang w:eastAsia="zh-CN"/>
        </w:rPr>
      </w:pPr>
      <w:bookmarkStart w:id="14" w:name="_Toc15377197"/>
      <w:bookmarkStart w:id="15" w:name="_Toc15396600"/>
      <w:r>
        <w:rPr>
          <w:rStyle w:val="26"/>
          <w:rFonts w:hint="eastAsia" w:ascii="黑体" w:hAnsi="黑体" w:eastAsia="黑体"/>
          <w:b w:val="0"/>
          <w:bCs w:val="0"/>
          <w:color w:val="auto"/>
          <w:highlight w:val="none"/>
        </w:rPr>
        <w:t>职能</w:t>
      </w:r>
      <w:r>
        <w:rPr>
          <w:rStyle w:val="26"/>
          <w:rFonts w:hint="eastAsia" w:ascii="黑体" w:hAnsi="黑体" w:eastAsia="黑体"/>
          <w:b w:val="0"/>
          <w:bCs w:val="0"/>
          <w:color w:val="auto"/>
          <w:highlight w:val="none"/>
          <w:lang w:eastAsia="zh-CN"/>
        </w:rPr>
        <w:t>简介</w:t>
      </w:r>
    </w:p>
    <w:p>
      <w:pPr>
        <w:pStyle w:val="2"/>
        <w:adjustRightInd w:val="0"/>
        <w:snapToGrid w:val="0"/>
        <w:spacing w:before="93" w:line="600" w:lineRule="exact"/>
        <w:ind w:firstLine="672" w:firstLineChars="210"/>
        <w:outlineLvl w:val="2"/>
        <w:rPr>
          <w:rFonts w:hint="default" w:eastAsia="宋体"/>
          <w:lang w:val="en-US" w:eastAsia="zh-CN"/>
        </w:rPr>
      </w:pPr>
      <w:r>
        <w:rPr>
          <w:rFonts w:hint="eastAsia" w:ascii="仿宋_GB2312" w:hAnsi="仿宋" w:eastAsia="仿宋_GB2312"/>
          <w:sz w:val="32"/>
          <w:szCs w:val="32"/>
          <w:lang w:eastAsia="zh-CN"/>
        </w:rPr>
        <w:t>根据昭编委办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41号文件精神，职责调整如下：</w:t>
      </w:r>
      <w:r>
        <w:rPr>
          <w:rFonts w:hint="eastAsia" w:ascii="仿宋_GB2312" w:hAnsi="仿宋" w:eastAsia="仿宋_GB2312"/>
          <w:sz w:val="32"/>
          <w:szCs w:val="32"/>
        </w:rPr>
        <w:t>一是受区政府委托，对亭子湖</w:t>
      </w:r>
      <w:r>
        <w:rPr>
          <w:rFonts w:hint="eastAsia" w:ascii="仿宋_GB2312" w:hAnsi="仿宋" w:eastAsia="仿宋_GB2312"/>
          <w:sz w:val="32"/>
          <w:szCs w:val="32"/>
          <w:lang w:eastAsia="zh-CN"/>
        </w:rPr>
        <w:t>风</w:t>
      </w:r>
      <w:r>
        <w:rPr>
          <w:rFonts w:hint="eastAsia" w:ascii="仿宋_GB2312" w:hAnsi="仿宋" w:eastAsia="仿宋_GB2312"/>
          <w:sz w:val="32"/>
          <w:szCs w:val="32"/>
        </w:rPr>
        <w:t>景区（以下简称景区）</w:t>
      </w:r>
      <w:r>
        <w:rPr>
          <w:rFonts w:hint="eastAsia" w:hAnsi="仿宋"/>
          <w:sz w:val="32"/>
          <w:szCs w:val="32"/>
          <w:lang w:eastAsia="zh-CN"/>
        </w:rPr>
        <w:t>行使</w:t>
      </w:r>
      <w:r>
        <w:rPr>
          <w:rFonts w:hint="eastAsia" w:ascii="仿宋_GB2312" w:hAnsi="仿宋" w:eastAsia="仿宋_GB2312"/>
          <w:sz w:val="32"/>
          <w:szCs w:val="32"/>
          <w:lang w:eastAsia="zh-CN"/>
        </w:rPr>
        <w:t>保护与发展</w:t>
      </w:r>
      <w:r>
        <w:rPr>
          <w:rFonts w:hint="eastAsia" w:ascii="仿宋_GB2312" w:hAnsi="仿宋" w:eastAsia="仿宋_GB2312"/>
          <w:sz w:val="32"/>
          <w:szCs w:val="32"/>
        </w:rPr>
        <w:t>职能。</w:t>
      </w:r>
      <w:r>
        <w:rPr>
          <w:rFonts w:hint="eastAsia" w:ascii="仿宋_GB2312" w:hAnsi="仿宋" w:eastAsia="仿宋_GB2312"/>
          <w:sz w:val="32"/>
          <w:szCs w:val="32"/>
          <w:lang w:eastAsia="zh-CN"/>
        </w:rPr>
        <w:t>协助有关部门</w:t>
      </w:r>
      <w:r>
        <w:rPr>
          <w:rFonts w:hint="eastAsia" w:ascii="仿宋_GB2312" w:hAnsi="仿宋" w:eastAsia="仿宋_GB2312"/>
          <w:sz w:val="32"/>
          <w:szCs w:val="32"/>
        </w:rPr>
        <w:t>对景区内水面、旅游景点、道路、码头、建设用地、自然生态环境保护和开发等实行统一规划、统一协调、统一管理和统一开发营销；二是</w:t>
      </w:r>
      <w:r>
        <w:rPr>
          <w:rFonts w:hint="eastAsia" w:ascii="仿宋_GB2312" w:hAnsi="仿宋" w:eastAsia="仿宋_GB2312"/>
          <w:sz w:val="32"/>
          <w:szCs w:val="32"/>
          <w:lang w:eastAsia="zh-CN"/>
        </w:rPr>
        <w:t>协助</w:t>
      </w:r>
      <w:r>
        <w:rPr>
          <w:rFonts w:hint="eastAsia" w:ascii="仿宋_GB2312" w:hAnsi="仿宋" w:eastAsia="仿宋_GB2312"/>
          <w:sz w:val="32"/>
          <w:szCs w:val="32"/>
        </w:rPr>
        <w:t>编制景区总体发展规划和</w:t>
      </w:r>
      <w:r>
        <w:rPr>
          <w:rFonts w:hint="eastAsia" w:ascii="仿宋_GB2312" w:hAnsi="仿宋" w:eastAsia="仿宋_GB2312"/>
          <w:sz w:val="32"/>
          <w:szCs w:val="32"/>
          <w:lang w:eastAsia="zh-CN"/>
        </w:rPr>
        <w:t>控制性</w:t>
      </w:r>
      <w:r>
        <w:rPr>
          <w:rFonts w:hint="eastAsia" w:ascii="仿宋_GB2312" w:hAnsi="仿宋" w:eastAsia="仿宋_GB2312"/>
          <w:sz w:val="32"/>
          <w:szCs w:val="32"/>
        </w:rPr>
        <w:t>详细规划</w:t>
      </w:r>
      <w:r>
        <w:rPr>
          <w:rFonts w:hint="eastAsia" w:ascii="仿宋_GB2312" w:hAnsi="仿宋" w:eastAsia="仿宋_GB2312"/>
          <w:sz w:val="32"/>
          <w:szCs w:val="32"/>
          <w:lang w:eastAsia="zh-CN"/>
        </w:rPr>
        <w:t>，配合有关部门对</w:t>
      </w:r>
      <w:r>
        <w:rPr>
          <w:rFonts w:hint="eastAsia" w:ascii="仿宋_GB2312" w:hAnsi="仿宋" w:eastAsia="仿宋_GB2312"/>
          <w:sz w:val="32"/>
          <w:szCs w:val="32"/>
        </w:rPr>
        <w:t>景区内新建、扩建和改建项目</w:t>
      </w:r>
      <w:r>
        <w:rPr>
          <w:rFonts w:hint="eastAsia" w:ascii="仿宋_GB2312" w:hAnsi="仿宋" w:eastAsia="仿宋_GB2312"/>
          <w:sz w:val="32"/>
          <w:szCs w:val="32"/>
          <w:lang w:eastAsia="zh-CN"/>
        </w:rPr>
        <w:t>进行审核</w:t>
      </w:r>
      <w:r>
        <w:rPr>
          <w:rFonts w:hint="eastAsia" w:ascii="仿宋_GB2312" w:hAnsi="仿宋" w:eastAsia="仿宋_GB2312"/>
          <w:sz w:val="32"/>
          <w:szCs w:val="32"/>
        </w:rPr>
        <w:t>，</w:t>
      </w:r>
      <w:r>
        <w:rPr>
          <w:rFonts w:hint="eastAsia" w:ascii="仿宋_GB2312" w:hAnsi="仿宋" w:eastAsia="仿宋_GB2312"/>
          <w:sz w:val="32"/>
          <w:szCs w:val="32"/>
          <w:lang w:eastAsia="zh-CN"/>
        </w:rPr>
        <w:t>督促项目建设规范实施</w:t>
      </w:r>
      <w:r>
        <w:rPr>
          <w:rFonts w:hint="eastAsia" w:ascii="仿宋_GB2312" w:hAnsi="仿宋" w:eastAsia="仿宋_GB2312"/>
          <w:sz w:val="32"/>
          <w:szCs w:val="32"/>
        </w:rPr>
        <w:t>；三是协调有关部门</w:t>
      </w:r>
      <w:r>
        <w:rPr>
          <w:rFonts w:hint="eastAsia" w:ascii="仿宋_GB2312" w:hAnsi="仿宋" w:eastAsia="仿宋_GB2312"/>
          <w:sz w:val="32"/>
          <w:szCs w:val="32"/>
          <w:lang w:eastAsia="zh-CN"/>
        </w:rPr>
        <w:t>对</w:t>
      </w:r>
      <w:r>
        <w:rPr>
          <w:rFonts w:hint="eastAsia" w:ascii="仿宋_GB2312" w:hAnsi="仿宋" w:eastAsia="仿宋_GB2312"/>
          <w:sz w:val="32"/>
          <w:szCs w:val="32"/>
        </w:rPr>
        <w:t>景区内的道路交通、水利水文</w:t>
      </w:r>
      <w:r>
        <w:rPr>
          <w:rFonts w:hint="eastAsia" w:ascii="仿宋_GB2312" w:hAnsi="仿宋" w:eastAsia="仿宋_GB2312"/>
          <w:sz w:val="32"/>
          <w:szCs w:val="32"/>
          <w:lang w:eastAsia="zh-CN"/>
        </w:rPr>
        <w:t>等</w:t>
      </w:r>
      <w:r>
        <w:rPr>
          <w:rFonts w:hint="eastAsia" w:ascii="仿宋_GB2312" w:hAnsi="仿宋" w:eastAsia="仿宋_GB2312"/>
          <w:sz w:val="32"/>
          <w:szCs w:val="32"/>
        </w:rPr>
        <w:t>基础设施和公共设施</w:t>
      </w:r>
      <w:r>
        <w:rPr>
          <w:rFonts w:hint="eastAsia" w:ascii="仿宋_GB2312" w:hAnsi="仿宋" w:eastAsia="仿宋_GB2312"/>
          <w:sz w:val="32"/>
          <w:szCs w:val="32"/>
          <w:lang w:eastAsia="zh-CN"/>
        </w:rPr>
        <w:t>进行</w:t>
      </w:r>
      <w:r>
        <w:rPr>
          <w:rFonts w:hint="eastAsia" w:ascii="仿宋_GB2312" w:hAnsi="仿宋" w:eastAsia="仿宋_GB2312"/>
          <w:sz w:val="32"/>
          <w:szCs w:val="32"/>
        </w:rPr>
        <w:t>建设</w:t>
      </w:r>
      <w:r>
        <w:rPr>
          <w:rFonts w:hint="eastAsia" w:ascii="仿宋_GB2312" w:hAnsi="仿宋" w:eastAsia="仿宋_GB2312"/>
          <w:sz w:val="32"/>
          <w:szCs w:val="32"/>
          <w:lang w:eastAsia="zh-CN"/>
        </w:rPr>
        <w:t>和</w:t>
      </w:r>
      <w:r>
        <w:rPr>
          <w:rFonts w:hint="eastAsia" w:ascii="仿宋_GB2312" w:hAnsi="仿宋" w:eastAsia="仿宋_GB2312"/>
          <w:sz w:val="32"/>
          <w:szCs w:val="32"/>
        </w:rPr>
        <w:t>维护；四是</w:t>
      </w:r>
      <w:r>
        <w:rPr>
          <w:rFonts w:hint="eastAsia" w:ascii="仿宋_GB2312" w:hAnsi="仿宋" w:eastAsia="仿宋_GB2312"/>
          <w:sz w:val="32"/>
          <w:szCs w:val="32"/>
          <w:lang w:eastAsia="zh-CN"/>
        </w:rPr>
        <w:t>协助拟定</w:t>
      </w:r>
      <w:r>
        <w:rPr>
          <w:rFonts w:hint="eastAsia" w:ascii="仿宋_GB2312" w:hAnsi="仿宋" w:eastAsia="仿宋_GB2312"/>
          <w:sz w:val="32"/>
          <w:szCs w:val="32"/>
        </w:rPr>
        <w:t>景区旅游发展规划</w:t>
      </w:r>
      <w:r>
        <w:rPr>
          <w:rFonts w:hint="eastAsia" w:ascii="仿宋_GB2312" w:hAnsi="仿宋" w:eastAsia="仿宋_GB2312"/>
          <w:sz w:val="32"/>
          <w:szCs w:val="32"/>
          <w:lang w:eastAsia="zh-CN"/>
        </w:rPr>
        <w:t>，做好</w:t>
      </w:r>
      <w:r>
        <w:rPr>
          <w:rFonts w:hint="eastAsia" w:ascii="仿宋_GB2312" w:hAnsi="仿宋" w:eastAsia="仿宋_GB2312"/>
          <w:sz w:val="32"/>
          <w:szCs w:val="32"/>
        </w:rPr>
        <w:t>景区推介、保护</w:t>
      </w:r>
      <w:r>
        <w:rPr>
          <w:rFonts w:hint="eastAsia" w:ascii="仿宋_GB2312" w:hAnsi="仿宋" w:eastAsia="仿宋_GB2312"/>
          <w:sz w:val="32"/>
          <w:szCs w:val="32"/>
          <w:lang w:eastAsia="zh-CN"/>
        </w:rPr>
        <w:t>发展</w:t>
      </w:r>
      <w:r>
        <w:rPr>
          <w:rFonts w:hint="eastAsia" w:ascii="仿宋_GB2312" w:hAnsi="仿宋" w:eastAsia="仿宋_GB2312"/>
          <w:sz w:val="32"/>
          <w:szCs w:val="32"/>
        </w:rPr>
        <w:t>及招商引资</w:t>
      </w:r>
      <w:r>
        <w:rPr>
          <w:rFonts w:hint="eastAsia" w:ascii="仿宋_GB2312" w:hAnsi="仿宋" w:eastAsia="仿宋_GB2312"/>
          <w:sz w:val="32"/>
          <w:szCs w:val="32"/>
          <w:lang w:eastAsia="zh-CN"/>
        </w:rPr>
        <w:t>等工作</w:t>
      </w:r>
      <w:r>
        <w:rPr>
          <w:rFonts w:hint="eastAsia" w:ascii="仿宋_GB2312" w:hAnsi="仿宋" w:eastAsia="仿宋_GB2312"/>
          <w:sz w:val="32"/>
          <w:szCs w:val="32"/>
        </w:rPr>
        <w:t>；五是</w:t>
      </w:r>
      <w:r>
        <w:rPr>
          <w:rFonts w:hint="eastAsia" w:ascii="仿宋_GB2312" w:hAnsi="仿宋" w:eastAsia="仿宋_GB2312"/>
          <w:sz w:val="32"/>
          <w:szCs w:val="32"/>
          <w:lang w:eastAsia="zh-CN"/>
        </w:rPr>
        <w:t>协助</w:t>
      </w:r>
      <w:r>
        <w:rPr>
          <w:rFonts w:hint="eastAsia" w:ascii="仿宋_GB2312" w:hAnsi="仿宋" w:eastAsia="仿宋_GB2312"/>
          <w:sz w:val="32"/>
          <w:szCs w:val="32"/>
        </w:rPr>
        <w:t>拟订景区生态环境</w:t>
      </w:r>
      <w:r>
        <w:rPr>
          <w:rFonts w:hint="eastAsia" w:ascii="仿宋_GB2312" w:hAnsi="仿宋" w:eastAsia="仿宋_GB2312"/>
          <w:sz w:val="32"/>
          <w:szCs w:val="32"/>
          <w:lang w:eastAsia="zh-CN"/>
        </w:rPr>
        <w:t>及资源保护制度并组织实施，配合有关部门开展景区环境影响评价报告的审核和水质监测工作；六是配合有关部门开展</w:t>
      </w:r>
      <w:r>
        <w:rPr>
          <w:rFonts w:hint="eastAsia" w:ascii="仿宋_GB2312" w:hAnsi="仿宋" w:eastAsia="仿宋_GB2312"/>
          <w:sz w:val="32"/>
          <w:szCs w:val="32"/>
        </w:rPr>
        <w:t>景区内资源开发、利用及航务航道、水产渔政</w:t>
      </w:r>
      <w:r>
        <w:rPr>
          <w:rFonts w:hint="eastAsia" w:ascii="仿宋_GB2312" w:hAnsi="仿宋" w:eastAsia="仿宋_GB2312"/>
          <w:sz w:val="32"/>
          <w:szCs w:val="32"/>
          <w:lang w:eastAsia="zh-CN"/>
        </w:rPr>
        <w:t>服务</w:t>
      </w:r>
      <w:r>
        <w:rPr>
          <w:rFonts w:hint="eastAsia" w:ascii="仿宋_GB2312" w:hAnsi="仿宋" w:eastAsia="仿宋_GB2312"/>
          <w:sz w:val="32"/>
          <w:szCs w:val="32"/>
        </w:rPr>
        <w:t>工作；七是配合有关部门做好景区内的安全、应急</w:t>
      </w:r>
      <w:r>
        <w:rPr>
          <w:rFonts w:hint="eastAsia" w:ascii="仿宋_GB2312" w:hAnsi="仿宋" w:eastAsia="仿宋_GB2312"/>
          <w:sz w:val="32"/>
          <w:szCs w:val="32"/>
          <w:lang w:eastAsia="zh-CN"/>
        </w:rPr>
        <w:t>管理</w:t>
      </w:r>
      <w:r>
        <w:rPr>
          <w:rFonts w:hint="eastAsia" w:ascii="仿宋_GB2312" w:hAnsi="仿宋" w:eastAsia="仿宋_GB2312"/>
          <w:sz w:val="32"/>
          <w:szCs w:val="32"/>
        </w:rPr>
        <w:t>和突发处置</w:t>
      </w:r>
      <w:r>
        <w:rPr>
          <w:rFonts w:hint="eastAsia" w:ascii="仿宋_GB2312" w:hAnsi="仿宋" w:eastAsia="仿宋_GB2312"/>
          <w:sz w:val="32"/>
          <w:szCs w:val="32"/>
          <w:lang w:eastAsia="zh-CN"/>
        </w:rPr>
        <w:t>工作</w:t>
      </w:r>
      <w:r>
        <w:rPr>
          <w:rFonts w:hint="eastAsia" w:ascii="仿宋_GB2312" w:hAnsi="仿宋" w:eastAsia="仿宋_GB2312"/>
          <w:sz w:val="32"/>
          <w:szCs w:val="32"/>
        </w:rPr>
        <w:t>；</w:t>
      </w:r>
      <w:r>
        <w:rPr>
          <w:rFonts w:hint="eastAsia" w:ascii="仿宋_GB2312" w:hAnsi="仿宋" w:eastAsia="仿宋_GB2312"/>
          <w:sz w:val="32"/>
          <w:szCs w:val="32"/>
          <w:lang w:eastAsia="zh-CN"/>
        </w:rPr>
        <w:t>八</w:t>
      </w:r>
      <w:r>
        <w:rPr>
          <w:rFonts w:hint="eastAsia" w:ascii="仿宋_GB2312" w:hAnsi="仿宋" w:eastAsia="仿宋_GB2312"/>
          <w:sz w:val="32"/>
          <w:szCs w:val="32"/>
        </w:rPr>
        <w:t>是承担区</w:t>
      </w:r>
      <w:r>
        <w:rPr>
          <w:rFonts w:hint="eastAsia" w:ascii="仿宋_GB2312" w:hAnsi="仿宋" w:eastAsia="仿宋_GB2312"/>
          <w:sz w:val="32"/>
          <w:szCs w:val="32"/>
          <w:lang w:eastAsia="zh-CN"/>
        </w:rPr>
        <w:t>亭子湖管理领导小组办公室日常工作和区</w:t>
      </w:r>
      <w:r>
        <w:rPr>
          <w:rFonts w:hint="eastAsia" w:ascii="仿宋_GB2312" w:hAnsi="仿宋" w:eastAsia="仿宋_GB2312"/>
          <w:sz w:val="32"/>
          <w:szCs w:val="32"/>
        </w:rPr>
        <w:t>委、区政府交办的其它工作</w:t>
      </w:r>
      <w:r>
        <w:rPr>
          <w:rFonts w:hint="eastAsia" w:ascii="仿宋_GB2312" w:hAnsi="仿宋" w:eastAsia="仿宋_GB2312"/>
          <w:sz w:val="32"/>
          <w:szCs w:val="32"/>
          <w:lang w:eastAsia="zh-CN"/>
        </w:rPr>
        <w:t>任务</w:t>
      </w:r>
      <w:r>
        <w:rPr>
          <w:rFonts w:hint="eastAsia" w:ascii="仿宋_GB2312" w:hAnsi="仿宋" w:eastAsia="仿宋_GB2312"/>
          <w:sz w:val="32"/>
          <w:szCs w:val="32"/>
        </w:rPr>
        <w:t>。</w:t>
      </w:r>
    </w:p>
    <w:p>
      <w:pPr>
        <w:pStyle w:val="4"/>
        <w:numPr>
          <w:ilvl w:val="0"/>
          <w:numId w:val="0"/>
        </w:numPr>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spacing w:line="576" w:lineRule="exact"/>
        <w:ind w:firstLine="640" w:firstLineChars="200"/>
        <w:jc w:val="both"/>
        <w:rPr>
          <w:rFonts w:ascii="Times New Roman" w:hAnsi="Times New Roman" w:eastAsia="仿宋_GB2312" w:cs="Times New Roman"/>
          <w:sz w:val="32"/>
          <w:szCs w:val="32"/>
        </w:rPr>
      </w:pPr>
      <w:r>
        <w:rPr>
          <w:rFonts w:hint="eastAsia" w:ascii="Times New Roman" w:hAnsi="楷体" w:eastAsia="楷体" w:cs="Times New Roman"/>
          <w:sz w:val="32"/>
          <w:szCs w:val="32"/>
          <w:lang w:val="en-US" w:eastAsia="zh-CN"/>
        </w:rPr>
        <w:t>（一）</w:t>
      </w:r>
      <w:r>
        <w:rPr>
          <w:rFonts w:ascii="Times New Roman" w:hAnsi="楷体" w:eastAsia="楷体" w:cs="Times New Roman"/>
          <w:sz w:val="32"/>
          <w:szCs w:val="32"/>
        </w:rPr>
        <w:t>强化</w:t>
      </w:r>
      <w:r>
        <w:rPr>
          <w:rFonts w:hint="eastAsia" w:ascii="Times New Roman" w:hAnsi="楷体" w:eastAsia="楷体" w:cs="Times New Roman"/>
          <w:sz w:val="32"/>
          <w:szCs w:val="32"/>
        </w:rPr>
        <w:t>环境</w:t>
      </w:r>
      <w:r>
        <w:rPr>
          <w:rFonts w:ascii="Times New Roman" w:hAnsi="楷体" w:eastAsia="楷体" w:cs="Times New Roman"/>
          <w:sz w:val="32"/>
          <w:szCs w:val="32"/>
        </w:rPr>
        <w:t>保护，</w:t>
      </w:r>
      <w:r>
        <w:rPr>
          <w:rFonts w:hint="eastAsia" w:ascii="Times New Roman" w:hAnsi="楷体" w:eastAsia="楷体" w:cs="Times New Roman"/>
          <w:sz w:val="32"/>
          <w:szCs w:val="32"/>
        </w:rPr>
        <w:t>亭子湖绿色生态屏障不断巩固。</w:t>
      </w:r>
      <w:r>
        <w:rPr>
          <w:rFonts w:ascii="Times New Roman" w:hAnsi="黑体" w:eastAsia="黑体" w:cs="Times New Roman"/>
          <w:sz w:val="32"/>
          <w:szCs w:val="32"/>
        </w:rPr>
        <w:t>一是</w:t>
      </w:r>
      <w:r>
        <w:rPr>
          <w:rFonts w:ascii="Times New Roman" w:hAnsi="仿宋" w:eastAsia="仿宋" w:cs="Times New Roman"/>
          <w:sz w:val="32"/>
          <w:szCs w:val="32"/>
        </w:rPr>
        <w:t>明晰保护管理职责。在做实做细前期意见征集基础上，召开明确亭子湖管理部门职责会议，</w:t>
      </w:r>
      <w:r>
        <w:rPr>
          <w:rFonts w:ascii="Times New Roman" w:hAnsi="Times New Roman" w:eastAsia="仿宋_GB2312" w:cs="Times New Roman"/>
          <w:sz w:val="32"/>
          <w:szCs w:val="32"/>
        </w:rPr>
        <w:t>针对休闲渔业、垂钓平台、水上船只等重点领域，对各管理部门职责再明确、再细化</w:t>
      </w:r>
      <w:r>
        <w:rPr>
          <w:rFonts w:ascii="Times New Roman" w:eastAsia="仿宋_GB2312" w:cs="Times New Roman"/>
          <w:sz w:val="32"/>
          <w:szCs w:val="32"/>
        </w:rPr>
        <w:t>。</w:t>
      </w:r>
      <w:r>
        <w:rPr>
          <w:rFonts w:hint="eastAsia" w:ascii="黑体" w:hAnsi="黑体" w:eastAsia="黑体" w:cs="Times New Roman"/>
          <w:sz w:val="32"/>
          <w:szCs w:val="32"/>
        </w:rPr>
        <w:t>二</w:t>
      </w:r>
      <w:r>
        <w:rPr>
          <w:rFonts w:ascii="黑体" w:hAnsi="黑体" w:eastAsia="黑体" w:cs="Times New Roman"/>
          <w:sz w:val="32"/>
          <w:szCs w:val="32"/>
        </w:rPr>
        <w:t>是</w:t>
      </w:r>
      <w:r>
        <w:rPr>
          <w:rFonts w:hint="eastAsia" w:ascii="Times New Roman" w:eastAsia="仿宋_GB2312" w:cs="Times New Roman"/>
          <w:sz w:val="32"/>
          <w:szCs w:val="32"/>
        </w:rPr>
        <w:t>开展湖面垃圾打捞处置专项行动。协同区级相关部门、沿湖重点镇开展了湖面垃圾打捞，共打捞垃圾50000余方，争取市级生态环境保护奖补资金20万元。</w:t>
      </w:r>
      <w:r>
        <w:rPr>
          <w:rFonts w:hint="eastAsia" w:ascii="黑体" w:hAnsi="黑体" w:eastAsia="黑体" w:cs="Times New Roman"/>
          <w:sz w:val="32"/>
          <w:szCs w:val="32"/>
        </w:rPr>
        <w:t>三是</w:t>
      </w:r>
      <w:r>
        <w:rPr>
          <w:rFonts w:ascii="Times New Roman" w:eastAsia="仿宋_GB2312" w:cs="Times New Roman"/>
          <w:sz w:val="32"/>
          <w:szCs w:val="32"/>
        </w:rPr>
        <w:t>推进长江十年禁捕。打击非法捕捞</w:t>
      </w:r>
      <w:r>
        <w:rPr>
          <w:rFonts w:ascii="Times New Roman" w:hAnsi="Times New Roman" w:eastAsia="仿宋_GB2312" w:cs="Times New Roman"/>
          <w:sz w:val="32"/>
          <w:szCs w:val="32"/>
        </w:rPr>
        <w:t>6</w:t>
      </w:r>
      <w:r>
        <w:rPr>
          <w:rFonts w:ascii="Times New Roman" w:eastAsia="仿宋_GB2312" w:cs="Times New Roman"/>
          <w:sz w:val="32"/>
          <w:szCs w:val="32"/>
        </w:rPr>
        <w:t>起，没收违法渔获物</w:t>
      </w:r>
      <w:r>
        <w:rPr>
          <w:rFonts w:ascii="Times New Roman" w:hAnsi="Times New Roman" w:eastAsia="仿宋_GB2312" w:cs="Times New Roman"/>
          <w:sz w:val="32"/>
          <w:szCs w:val="32"/>
        </w:rPr>
        <w:t>53.6</w:t>
      </w:r>
      <w:r>
        <w:rPr>
          <w:rFonts w:ascii="Times New Roman" w:eastAsia="仿宋_GB2312" w:cs="Times New Roman"/>
          <w:sz w:val="32"/>
          <w:szCs w:val="32"/>
        </w:rPr>
        <w:t>公斤，取缔违禁渔具</w:t>
      </w:r>
      <w:r>
        <w:rPr>
          <w:rFonts w:ascii="Times New Roman" w:hAnsi="Times New Roman" w:eastAsia="仿宋_GB2312" w:cs="Times New Roman"/>
          <w:sz w:val="32"/>
          <w:szCs w:val="32"/>
        </w:rPr>
        <w:t>131</w:t>
      </w:r>
      <w:r>
        <w:rPr>
          <w:rFonts w:ascii="Times New Roman" w:eastAsia="仿宋_GB2312" w:cs="Times New Roman"/>
          <w:sz w:val="32"/>
          <w:szCs w:val="32"/>
        </w:rPr>
        <w:t>件；规范发展休闲垂钓，取缔不合规钓台</w:t>
      </w:r>
      <w:r>
        <w:rPr>
          <w:rFonts w:ascii="Times New Roman" w:hAnsi="Times New Roman" w:eastAsia="仿宋_GB2312" w:cs="Times New Roman"/>
          <w:sz w:val="32"/>
          <w:szCs w:val="32"/>
        </w:rPr>
        <w:t>11</w:t>
      </w:r>
      <w:r>
        <w:rPr>
          <w:rFonts w:ascii="Times New Roman" w:eastAsia="仿宋_GB2312" w:cs="Times New Roman"/>
          <w:sz w:val="32"/>
          <w:szCs w:val="32"/>
        </w:rPr>
        <w:t>个，对垂钓浮台全面实行备案登记管理。</w:t>
      </w:r>
      <w:r>
        <w:rPr>
          <w:rFonts w:hint="eastAsia" w:ascii="黑体" w:hAnsi="黑体" w:eastAsia="黑体" w:cs="Times New Roman"/>
          <w:sz w:val="32"/>
          <w:szCs w:val="32"/>
        </w:rPr>
        <w:t>四是</w:t>
      </w:r>
      <w:r>
        <w:rPr>
          <w:rFonts w:hint="eastAsia" w:ascii="Times New Roman" w:eastAsia="仿宋_GB2312" w:cs="Times New Roman"/>
          <w:sz w:val="32"/>
          <w:szCs w:val="32"/>
        </w:rPr>
        <w:t>加强入湖污染源头管控。</w:t>
      </w:r>
      <w:r>
        <w:rPr>
          <w:rFonts w:ascii="Times New Roman" w:eastAsia="仿宋_GB2312" w:cs="Times New Roman"/>
          <w:sz w:val="32"/>
          <w:szCs w:val="32"/>
        </w:rPr>
        <w:t>达标运转沿湖</w:t>
      </w:r>
      <w:r>
        <w:rPr>
          <w:rFonts w:ascii="Times New Roman" w:hAnsi="Times New Roman" w:eastAsia="仿宋_GB2312" w:cs="Times New Roman"/>
          <w:sz w:val="32"/>
          <w:szCs w:val="32"/>
        </w:rPr>
        <w:t>9</w:t>
      </w:r>
      <w:r>
        <w:rPr>
          <w:rFonts w:ascii="Times New Roman" w:eastAsia="仿宋_GB2312" w:cs="Times New Roman"/>
          <w:sz w:val="32"/>
          <w:szCs w:val="32"/>
        </w:rPr>
        <w:t>个污水处理厂站，建立远程监控系统；按照建立</w:t>
      </w:r>
      <w:r>
        <w:rPr>
          <w:rFonts w:ascii="Times New Roman" w:hAnsi="Times New Roman" w:eastAsia="仿宋_GB2312" w:cs="Times New Roman"/>
          <w:sz w:val="32"/>
          <w:szCs w:val="32"/>
        </w:rPr>
        <w:t>“</w:t>
      </w:r>
      <w:r>
        <w:rPr>
          <w:rFonts w:ascii="Times New Roman" w:eastAsia="仿宋_GB2312" w:cs="Times New Roman"/>
          <w:sz w:val="32"/>
          <w:szCs w:val="32"/>
        </w:rPr>
        <w:t>镇收集、区转运、市处理</w:t>
      </w:r>
      <w:r>
        <w:rPr>
          <w:rFonts w:ascii="Times New Roman" w:hAnsi="Times New Roman" w:eastAsia="仿宋_GB2312" w:cs="Times New Roman"/>
          <w:sz w:val="32"/>
          <w:szCs w:val="32"/>
        </w:rPr>
        <w:t>”</w:t>
      </w:r>
      <w:r>
        <w:rPr>
          <w:rFonts w:ascii="Times New Roman" w:eastAsia="仿宋_GB2312" w:cs="Times New Roman"/>
          <w:sz w:val="32"/>
          <w:szCs w:val="32"/>
        </w:rPr>
        <w:t>模式，完善生活垃圾处理体系，确保亭子湖昭化出水断面水质稳定保持Ⅱ类以上。</w:t>
      </w:r>
      <w:r>
        <w:rPr>
          <w:rFonts w:hint="eastAsia" w:ascii="黑体" w:hAnsi="黑体" w:eastAsia="黑体" w:cs="Times New Roman"/>
          <w:sz w:val="32"/>
          <w:szCs w:val="32"/>
        </w:rPr>
        <w:t>五是</w:t>
      </w:r>
      <w:r>
        <w:rPr>
          <w:rFonts w:hint="eastAsia" w:ascii="Times New Roman" w:eastAsia="仿宋_GB2312" w:cs="Times New Roman"/>
          <w:sz w:val="32"/>
          <w:szCs w:val="32"/>
        </w:rPr>
        <w:t>开展专题调研。</w:t>
      </w:r>
      <w:r>
        <w:rPr>
          <w:rFonts w:ascii="Times New Roman" w:eastAsia="仿宋_GB2312" w:cs="Times New Roman"/>
          <w:sz w:val="32"/>
          <w:szCs w:val="32"/>
        </w:rPr>
        <w:t>协同区政协开展嘉陵江生态环境专题协商</w:t>
      </w:r>
      <w:r>
        <w:rPr>
          <w:rFonts w:ascii="Times New Roman" w:hAnsi="Times New Roman" w:eastAsia="仿宋_GB2312" w:cs="Times New Roman"/>
          <w:sz w:val="32"/>
          <w:szCs w:val="32"/>
        </w:rPr>
        <w:t>2</w:t>
      </w:r>
      <w:r>
        <w:rPr>
          <w:rFonts w:ascii="Times New Roman" w:eastAsia="仿宋_GB2312" w:cs="Times New Roman"/>
          <w:sz w:val="32"/>
          <w:szCs w:val="32"/>
        </w:rPr>
        <w:t>次，修订完善污染源分布图；聚焦中央生态环境保护督察，</w:t>
      </w:r>
      <w:r>
        <w:rPr>
          <w:rFonts w:hint="eastAsia" w:ascii="Times New Roman" w:eastAsia="仿宋_GB2312" w:cs="Times New Roman"/>
          <w:sz w:val="32"/>
          <w:szCs w:val="32"/>
        </w:rPr>
        <w:t>举一反三</w:t>
      </w:r>
      <w:r>
        <w:rPr>
          <w:rFonts w:ascii="Times New Roman" w:eastAsia="仿宋_GB2312" w:cs="Times New Roman"/>
          <w:sz w:val="32"/>
          <w:szCs w:val="32"/>
        </w:rPr>
        <w:t>梳理涉湖环保问题清单，并督促落实整改。</w:t>
      </w:r>
    </w:p>
    <w:p>
      <w:pPr>
        <w:spacing w:line="576" w:lineRule="exact"/>
        <w:ind w:firstLine="640" w:firstLineChars="200"/>
        <w:jc w:val="both"/>
        <w:rPr>
          <w:rFonts w:ascii="Times New Roman" w:hAnsi="Times New Roman" w:eastAsia="仿宋_GB2312" w:cs="Times New Roman"/>
          <w:sz w:val="32"/>
          <w:szCs w:val="32"/>
        </w:rPr>
      </w:pPr>
      <w:r>
        <w:rPr>
          <w:rFonts w:hint="eastAsia" w:ascii="Times New Roman" w:hAnsi="楷体" w:eastAsia="楷体" w:cs="Times New Roman"/>
          <w:sz w:val="32"/>
          <w:szCs w:val="32"/>
          <w:lang w:val="en-US" w:eastAsia="zh-CN"/>
        </w:rPr>
        <w:t>（二）</w:t>
      </w:r>
      <w:r>
        <w:rPr>
          <w:rFonts w:ascii="Times New Roman" w:hAnsi="楷体" w:eastAsia="楷体" w:cs="Times New Roman"/>
          <w:sz w:val="32"/>
          <w:szCs w:val="32"/>
        </w:rPr>
        <w:t>突出隐患整治，安全生产形势持续向好。</w:t>
      </w:r>
      <w:r>
        <w:rPr>
          <w:rFonts w:ascii="黑体" w:hAnsi="黑体" w:eastAsia="黑体" w:cs="Times New Roman"/>
          <w:sz w:val="32"/>
          <w:szCs w:val="32"/>
        </w:rPr>
        <w:t>一是</w:t>
      </w:r>
      <w:r>
        <w:rPr>
          <w:rFonts w:ascii="Times New Roman" w:eastAsia="仿宋_GB2312" w:cs="Times New Roman"/>
          <w:sz w:val="32"/>
          <w:szCs w:val="32"/>
        </w:rPr>
        <w:t>树牢安全理念。集中观看《生命重于泰山</w:t>
      </w:r>
      <w:r>
        <w:rPr>
          <w:rFonts w:ascii="Times New Roman" w:hAnsi="Times New Roman" w:eastAsia="仿宋_GB2312" w:cs="Times New Roman"/>
          <w:sz w:val="32"/>
          <w:szCs w:val="32"/>
        </w:rPr>
        <w:t>——</w:t>
      </w:r>
      <w:r>
        <w:rPr>
          <w:rFonts w:ascii="Times New Roman" w:eastAsia="仿宋_GB2312" w:cs="Times New Roman"/>
          <w:sz w:val="32"/>
          <w:szCs w:val="32"/>
        </w:rPr>
        <w:t>学习习近平总书记关于安全生产重要论述》专题片和典型事故警示教育片，强化新安全生产法学习宣传，教育引导党员干部牢固树立</w:t>
      </w:r>
      <w:r>
        <w:rPr>
          <w:rFonts w:ascii="Times New Roman" w:hAnsi="Times New Roman" w:eastAsia="仿宋_GB2312" w:cs="Times New Roman"/>
          <w:sz w:val="32"/>
          <w:szCs w:val="32"/>
        </w:rPr>
        <w:t>“</w:t>
      </w:r>
      <w:r>
        <w:rPr>
          <w:rFonts w:ascii="Times New Roman" w:eastAsia="仿宋_GB2312" w:cs="Times New Roman"/>
          <w:sz w:val="32"/>
          <w:szCs w:val="32"/>
        </w:rPr>
        <w:t>人民至上、生命至上</w:t>
      </w:r>
      <w:r>
        <w:rPr>
          <w:rFonts w:ascii="Times New Roman" w:hAnsi="Times New Roman" w:eastAsia="仿宋_GB2312" w:cs="Times New Roman"/>
          <w:sz w:val="32"/>
          <w:szCs w:val="32"/>
        </w:rPr>
        <w:t>”</w:t>
      </w:r>
      <w:r>
        <w:rPr>
          <w:rFonts w:ascii="Times New Roman" w:eastAsia="仿宋_GB2312" w:cs="Times New Roman"/>
          <w:sz w:val="32"/>
          <w:szCs w:val="32"/>
        </w:rPr>
        <w:t>理念。</w:t>
      </w:r>
      <w:r>
        <w:rPr>
          <w:rFonts w:ascii="黑体" w:hAnsi="黑体" w:eastAsia="黑体" w:cs="Times New Roman"/>
          <w:sz w:val="32"/>
          <w:szCs w:val="32"/>
        </w:rPr>
        <w:t>二是</w:t>
      </w:r>
      <w:r>
        <w:rPr>
          <w:rFonts w:ascii="Times New Roman" w:eastAsia="仿宋_GB2312" w:cs="Times New Roman"/>
          <w:sz w:val="32"/>
          <w:szCs w:val="32"/>
        </w:rPr>
        <w:t>坚持常态巡查。围绕垂钓平台、捕捞生产等重点，深入沿湖乡镇开展安全检查</w:t>
      </w:r>
      <w:r>
        <w:rPr>
          <w:rFonts w:ascii="Times New Roman" w:hAnsi="Times New Roman" w:eastAsia="仿宋_GB2312" w:cs="Times New Roman"/>
          <w:sz w:val="32"/>
          <w:szCs w:val="32"/>
        </w:rPr>
        <w:t>20</w:t>
      </w:r>
      <w:r>
        <w:rPr>
          <w:rFonts w:ascii="Times New Roman" w:eastAsia="仿宋_GB2312" w:cs="Times New Roman"/>
          <w:sz w:val="32"/>
          <w:szCs w:val="32"/>
        </w:rPr>
        <w:t>余次，排查安全隐患</w:t>
      </w:r>
      <w:r>
        <w:rPr>
          <w:rFonts w:ascii="Times New Roman" w:hAnsi="Times New Roman" w:eastAsia="仿宋_GB2312" w:cs="Times New Roman"/>
          <w:sz w:val="32"/>
          <w:szCs w:val="32"/>
        </w:rPr>
        <w:t>1</w:t>
      </w:r>
      <w:r>
        <w:rPr>
          <w:rFonts w:ascii="Times New Roman" w:eastAsia="仿宋_GB2312" w:cs="Times New Roman"/>
          <w:sz w:val="32"/>
          <w:szCs w:val="32"/>
        </w:rPr>
        <w:t>处</w:t>
      </w:r>
      <w:r>
        <w:rPr>
          <w:rFonts w:ascii="Times New Roman" w:hAnsi="Times New Roman" w:eastAsia="仿宋_GB2312" w:cs="Times New Roman"/>
          <w:sz w:val="32"/>
          <w:szCs w:val="32"/>
        </w:rPr>
        <w:t>2</w:t>
      </w:r>
      <w:r>
        <w:rPr>
          <w:rFonts w:ascii="Times New Roman" w:eastAsia="仿宋_GB2312" w:cs="Times New Roman"/>
          <w:sz w:val="32"/>
          <w:szCs w:val="32"/>
        </w:rPr>
        <w:t>项并完成整改。</w:t>
      </w:r>
      <w:r>
        <w:rPr>
          <w:rFonts w:ascii="黑体" w:hAnsi="黑体" w:eastAsia="黑体" w:cs="Times New Roman"/>
          <w:sz w:val="32"/>
          <w:szCs w:val="32"/>
        </w:rPr>
        <w:t>三是</w:t>
      </w:r>
      <w:r>
        <w:rPr>
          <w:rFonts w:ascii="Times New Roman" w:eastAsia="仿宋_GB2312" w:cs="Times New Roman"/>
          <w:sz w:val="32"/>
          <w:szCs w:val="32"/>
        </w:rPr>
        <w:t>推进联防联治。组织开展垂钓浮台综合整治、湖面漂浮物打捞、清</w:t>
      </w:r>
      <w:r>
        <w:rPr>
          <w:rFonts w:ascii="Times New Roman" w:hAnsi="Times New Roman" w:eastAsia="仿宋_GB2312" w:cs="Times New Roman"/>
          <w:sz w:val="32"/>
          <w:szCs w:val="32"/>
        </w:rPr>
        <w:t>“</w:t>
      </w:r>
      <w:r>
        <w:rPr>
          <w:rFonts w:ascii="Times New Roman" w:eastAsia="仿宋_GB2312" w:cs="Times New Roman"/>
          <w:sz w:val="32"/>
          <w:szCs w:val="32"/>
        </w:rPr>
        <w:t>四乱</w:t>
      </w:r>
      <w:r>
        <w:rPr>
          <w:rFonts w:ascii="Times New Roman" w:hAnsi="Times New Roman" w:eastAsia="仿宋_GB2312" w:cs="Times New Roman"/>
          <w:sz w:val="32"/>
          <w:szCs w:val="32"/>
        </w:rPr>
        <w:t>”</w:t>
      </w:r>
      <w:r>
        <w:rPr>
          <w:rFonts w:ascii="Times New Roman" w:eastAsia="仿宋_GB2312" w:cs="Times New Roman"/>
          <w:sz w:val="32"/>
          <w:szCs w:val="32"/>
        </w:rPr>
        <w:t>等专项行动</w:t>
      </w:r>
      <w:r>
        <w:rPr>
          <w:rFonts w:ascii="Times New Roman" w:hAnsi="Times New Roman" w:eastAsia="仿宋_GB2312" w:cs="Times New Roman"/>
          <w:sz w:val="32"/>
          <w:szCs w:val="32"/>
        </w:rPr>
        <w:t>5</w:t>
      </w:r>
      <w:r>
        <w:rPr>
          <w:rFonts w:ascii="Times New Roman" w:eastAsia="仿宋_GB2312" w:cs="Times New Roman"/>
          <w:sz w:val="32"/>
          <w:szCs w:val="32"/>
        </w:rPr>
        <w:t>次，协同开展联合执法</w:t>
      </w:r>
      <w:r>
        <w:rPr>
          <w:rFonts w:ascii="Times New Roman" w:hAnsi="Times New Roman" w:eastAsia="仿宋_GB2312" w:cs="Times New Roman"/>
          <w:sz w:val="32"/>
          <w:szCs w:val="32"/>
        </w:rPr>
        <w:t>4</w:t>
      </w:r>
      <w:r>
        <w:rPr>
          <w:rFonts w:ascii="Times New Roman" w:eastAsia="仿宋_GB2312" w:cs="Times New Roman"/>
          <w:sz w:val="32"/>
          <w:szCs w:val="32"/>
        </w:rPr>
        <w:t>次，规范整治垂钓浮台</w:t>
      </w:r>
      <w:r>
        <w:rPr>
          <w:rFonts w:ascii="Times New Roman" w:hAnsi="Times New Roman" w:eastAsia="仿宋_GB2312" w:cs="Times New Roman"/>
          <w:sz w:val="32"/>
          <w:szCs w:val="32"/>
        </w:rPr>
        <w:t>36</w:t>
      </w:r>
      <w:r>
        <w:rPr>
          <w:rFonts w:ascii="Times New Roman" w:eastAsia="仿宋_GB2312" w:cs="Times New Roman"/>
          <w:sz w:val="32"/>
          <w:szCs w:val="32"/>
        </w:rPr>
        <w:t>个，</w:t>
      </w:r>
      <w:r>
        <w:rPr>
          <w:rFonts w:hint="eastAsia" w:ascii="Times New Roman" w:eastAsia="仿宋_GB2312" w:cs="Times New Roman"/>
          <w:sz w:val="32"/>
          <w:szCs w:val="32"/>
        </w:rPr>
        <w:t>整治“三无”船舶，办理自用船登记18艘，</w:t>
      </w:r>
      <w:r>
        <w:rPr>
          <w:rFonts w:ascii="Times New Roman" w:eastAsia="仿宋_GB2312" w:cs="Times New Roman"/>
          <w:sz w:val="32"/>
          <w:szCs w:val="32"/>
        </w:rPr>
        <w:t>清理整顿砂石加工厂</w:t>
      </w:r>
      <w:r>
        <w:rPr>
          <w:rFonts w:ascii="Times New Roman" w:hAnsi="Times New Roman" w:eastAsia="仿宋_GB2312" w:cs="Times New Roman"/>
          <w:sz w:val="32"/>
          <w:szCs w:val="32"/>
        </w:rPr>
        <w:t>5</w:t>
      </w:r>
      <w:r>
        <w:rPr>
          <w:rFonts w:ascii="Times New Roman" w:eastAsia="仿宋_GB2312" w:cs="Times New Roman"/>
          <w:sz w:val="32"/>
          <w:szCs w:val="32"/>
        </w:rPr>
        <w:t>个、堆放点</w:t>
      </w:r>
      <w:r>
        <w:rPr>
          <w:rFonts w:ascii="Times New Roman" w:hAnsi="Times New Roman" w:eastAsia="仿宋_GB2312" w:cs="Times New Roman"/>
          <w:sz w:val="32"/>
          <w:szCs w:val="32"/>
        </w:rPr>
        <w:t>2</w:t>
      </w:r>
      <w:r>
        <w:rPr>
          <w:rFonts w:ascii="Times New Roman" w:eastAsia="仿宋_GB2312" w:cs="Times New Roman"/>
          <w:sz w:val="32"/>
          <w:szCs w:val="32"/>
        </w:rPr>
        <w:t>个、否决</w:t>
      </w:r>
      <w:r>
        <w:rPr>
          <w:rFonts w:ascii="Times New Roman" w:hAnsi="Times New Roman" w:eastAsia="仿宋_GB2312" w:cs="Times New Roman"/>
          <w:sz w:val="32"/>
          <w:szCs w:val="32"/>
        </w:rPr>
        <w:t>2</w:t>
      </w:r>
      <w:r>
        <w:rPr>
          <w:rFonts w:ascii="Times New Roman" w:eastAsia="仿宋_GB2312" w:cs="Times New Roman"/>
          <w:sz w:val="32"/>
          <w:szCs w:val="32"/>
        </w:rPr>
        <w:t>处砂石加工厂申办申请。</w:t>
      </w:r>
      <w:r>
        <w:rPr>
          <w:rFonts w:ascii="黑体" w:hAnsi="黑体" w:eastAsia="黑体" w:cs="Times New Roman"/>
          <w:sz w:val="32"/>
          <w:szCs w:val="32"/>
        </w:rPr>
        <w:t>四是</w:t>
      </w:r>
      <w:r>
        <w:rPr>
          <w:rFonts w:ascii="Times New Roman" w:eastAsia="仿宋_GB2312" w:cs="Times New Roman"/>
          <w:sz w:val="32"/>
          <w:szCs w:val="32"/>
        </w:rPr>
        <w:t>做好疫情防控。落实各项防范措施，加强对沿湖渔家乐、垂钓平台巡查力度，及时劝返中高风险地区人员，排查沿湖休闲垂钓经营业主</w:t>
      </w:r>
      <w:r>
        <w:rPr>
          <w:rFonts w:ascii="Times New Roman" w:hAnsi="Times New Roman" w:eastAsia="仿宋_GB2312" w:cs="Times New Roman"/>
          <w:sz w:val="32"/>
          <w:szCs w:val="32"/>
        </w:rPr>
        <w:t>36</w:t>
      </w:r>
      <w:r>
        <w:rPr>
          <w:rFonts w:ascii="Times New Roman" w:eastAsia="仿宋_GB2312" w:cs="Times New Roman"/>
          <w:sz w:val="32"/>
          <w:szCs w:val="32"/>
        </w:rPr>
        <w:t>户，劝返中高风险地区人员</w:t>
      </w:r>
      <w:r>
        <w:rPr>
          <w:rFonts w:ascii="Times New Roman" w:hAnsi="Times New Roman" w:eastAsia="仿宋_GB2312" w:cs="Times New Roman"/>
          <w:sz w:val="32"/>
          <w:szCs w:val="32"/>
        </w:rPr>
        <w:t>1500</w:t>
      </w:r>
      <w:r>
        <w:rPr>
          <w:rFonts w:ascii="Times New Roman" w:eastAsia="仿宋_GB2312" w:cs="Times New Roman"/>
          <w:sz w:val="32"/>
          <w:szCs w:val="32"/>
        </w:rPr>
        <w:t>余人。</w:t>
      </w:r>
    </w:p>
    <w:p>
      <w:pPr>
        <w:spacing w:line="576" w:lineRule="exact"/>
        <w:ind w:firstLine="640" w:firstLineChars="200"/>
        <w:jc w:val="both"/>
        <w:rPr>
          <w:rFonts w:ascii="楷体" w:hAnsi="楷体" w:eastAsia="楷体" w:cs="楷体"/>
          <w:sz w:val="32"/>
          <w:szCs w:val="32"/>
        </w:rPr>
      </w:pPr>
      <w:r>
        <w:rPr>
          <w:rFonts w:hint="eastAsia" w:ascii="楷体" w:hAnsi="楷体" w:eastAsia="楷体" w:cs="楷体"/>
          <w:sz w:val="32"/>
          <w:szCs w:val="32"/>
          <w:lang w:val="en-US" w:eastAsia="zh-CN"/>
        </w:rPr>
        <w:t>（三）</w:t>
      </w:r>
      <w:r>
        <w:rPr>
          <w:rFonts w:hint="eastAsia" w:ascii="楷体" w:hAnsi="楷体" w:eastAsia="楷体" w:cs="楷体"/>
          <w:sz w:val="32"/>
          <w:szCs w:val="32"/>
        </w:rPr>
        <w:t>着力产业发展，沿湖产业示范带动成效显著。</w:t>
      </w:r>
      <w:r>
        <w:rPr>
          <w:rFonts w:ascii="Times New Roman" w:hAnsi="黑体" w:eastAsia="黑体" w:cs="Times New Roman"/>
          <w:sz w:val="32"/>
          <w:szCs w:val="32"/>
        </w:rPr>
        <w:t>一是</w:t>
      </w:r>
      <w:r>
        <w:rPr>
          <w:rFonts w:ascii="Times New Roman" w:hAnsi="仿宋_GB2312" w:eastAsia="仿宋_GB2312" w:cs="Times New Roman"/>
          <w:sz w:val="32"/>
          <w:szCs w:val="32"/>
        </w:rPr>
        <w:t>发展休闲</w:t>
      </w:r>
      <w:r>
        <w:rPr>
          <w:rFonts w:hint="eastAsia" w:ascii="Times New Roman" w:hAnsi="仿宋_GB2312" w:eastAsia="仿宋_GB2312" w:cs="Times New Roman"/>
          <w:sz w:val="32"/>
          <w:szCs w:val="32"/>
        </w:rPr>
        <w:t>渔业</w:t>
      </w:r>
      <w:r>
        <w:rPr>
          <w:rFonts w:ascii="Times New Roman" w:hAnsi="仿宋_GB2312" w:eastAsia="仿宋_GB2312" w:cs="Times New Roman"/>
          <w:sz w:val="32"/>
          <w:szCs w:val="32"/>
        </w:rPr>
        <w:t>。依托优势水域资源，采用</w:t>
      </w:r>
      <w:r>
        <w:rPr>
          <w:rFonts w:ascii="Times New Roman" w:hAnsi="Times New Roman" w:eastAsia="仿宋_GB2312" w:cs="Times New Roman"/>
          <w:sz w:val="32"/>
          <w:szCs w:val="32"/>
        </w:rPr>
        <w:t>“</w:t>
      </w:r>
      <w:r>
        <w:rPr>
          <w:rFonts w:ascii="Times New Roman" w:hAnsi="仿宋_GB2312" w:eastAsia="仿宋_GB2312" w:cs="Times New Roman"/>
          <w:sz w:val="32"/>
          <w:szCs w:val="32"/>
        </w:rPr>
        <w:t>大水域、小业主</w:t>
      </w:r>
      <w:r>
        <w:rPr>
          <w:rFonts w:ascii="Times New Roman" w:hAnsi="Times New Roman" w:eastAsia="仿宋_GB2312" w:cs="Times New Roman"/>
          <w:sz w:val="32"/>
          <w:szCs w:val="32"/>
        </w:rPr>
        <w:t>”</w:t>
      </w:r>
      <w:r>
        <w:rPr>
          <w:rFonts w:ascii="Times New Roman" w:hAnsi="仿宋_GB2312" w:eastAsia="仿宋_GB2312" w:cs="Times New Roman"/>
          <w:sz w:val="32"/>
          <w:szCs w:val="32"/>
        </w:rPr>
        <w:t>发展模式，新培育集旅游观光、休闲垂钓、民宿餐饮为一体的渔家乐</w:t>
      </w:r>
      <w:r>
        <w:rPr>
          <w:rFonts w:ascii="Times New Roman" w:hAnsi="Times New Roman" w:eastAsia="仿宋_GB2312" w:cs="Times New Roman"/>
          <w:sz w:val="32"/>
          <w:szCs w:val="32"/>
        </w:rPr>
        <w:t>3家，提升改造渔家乐33家，实现户均增收15</w:t>
      </w:r>
      <w:r>
        <w:rPr>
          <w:rFonts w:ascii="Times New Roman" w:hAnsi="仿宋_GB2312" w:eastAsia="仿宋_GB2312" w:cs="Times New Roman"/>
          <w:sz w:val="32"/>
          <w:szCs w:val="32"/>
        </w:rPr>
        <w:t>万元以上。</w:t>
      </w:r>
      <w:r>
        <w:rPr>
          <w:rFonts w:ascii="Times New Roman" w:hAnsi="黑体" w:eastAsia="黑体" w:cs="Times New Roman"/>
          <w:sz w:val="32"/>
          <w:szCs w:val="32"/>
        </w:rPr>
        <w:t>二是</w:t>
      </w:r>
      <w:r>
        <w:rPr>
          <w:rFonts w:ascii="Times New Roman" w:hAnsi="仿宋_GB2312" w:eastAsia="仿宋_GB2312" w:cs="Times New Roman"/>
          <w:sz w:val="32"/>
          <w:szCs w:val="32"/>
        </w:rPr>
        <w:t>保障生态渔业。</w:t>
      </w:r>
      <w:r>
        <w:rPr>
          <w:rFonts w:ascii="Times New Roman" w:hAnsi="Times New Roman" w:eastAsia="仿宋_GB2312" w:cs="Times New Roman"/>
          <w:sz w:val="32"/>
          <w:szCs w:val="32"/>
        </w:rPr>
        <w:t>开展增殖放流2次，投放鱼苗200余万尾，深入沿湖镇开展《两湖条例》、生态渔业政策宣传宣讲10次，安装宣传展板4处，发放宣传资料5000余份，提高生态渔业发展知晓率、支持率，保障捕捞生产持续稳定开展。</w:t>
      </w:r>
      <w:r>
        <w:rPr>
          <w:rFonts w:ascii="Times New Roman" w:hAnsi="黑体" w:eastAsia="黑体" w:cs="Times New Roman"/>
          <w:sz w:val="32"/>
          <w:szCs w:val="32"/>
        </w:rPr>
        <w:t>三是</w:t>
      </w:r>
      <w:r>
        <w:rPr>
          <w:rFonts w:ascii="Times New Roman" w:hAnsi="Times New Roman" w:eastAsia="仿宋_GB2312" w:cs="Times New Roman"/>
          <w:sz w:val="32"/>
          <w:szCs w:val="32"/>
        </w:rPr>
        <w:t>完善旅游基础配套设施。建设观景平台2处、改建停车场2处，安装标识标牌30余块。</w:t>
      </w:r>
      <w:r>
        <w:rPr>
          <w:rFonts w:ascii="Times New Roman" w:hAnsi="黑体" w:eastAsia="黑体" w:cs="Times New Roman"/>
          <w:sz w:val="32"/>
          <w:szCs w:val="32"/>
        </w:rPr>
        <w:t>四是</w:t>
      </w:r>
      <w:r>
        <w:rPr>
          <w:rFonts w:ascii="Times New Roman" w:hAnsi="Times New Roman" w:eastAsia="仿宋_GB2312" w:cs="Times New Roman"/>
          <w:sz w:val="32"/>
          <w:szCs w:val="32"/>
        </w:rPr>
        <w:t>强化营销宣传。充分利用政府门户网、“学习强国”平台、短视频等新媒体，持续开展亭子湖旅游资源、农特产品、民俗文化等宣传，通过举办鲜桃采摘节，吸引大批游客，助力群众增收。</w:t>
      </w:r>
    </w:p>
    <w:p>
      <w:pPr>
        <w:spacing w:line="576" w:lineRule="exact"/>
        <w:ind w:firstLine="640" w:firstLineChars="200"/>
        <w:jc w:val="both"/>
        <w:rPr>
          <w:rFonts w:ascii="Times New Roman" w:hAnsi="Times New Roman" w:eastAsia="仿宋_GB2312" w:cs="Times New Roman"/>
          <w:color w:val="000000"/>
          <w:sz w:val="32"/>
          <w:szCs w:val="31"/>
          <w:shd w:val="clear" w:color="auto" w:fill="FFFFFF"/>
        </w:rPr>
      </w:pPr>
      <w:r>
        <w:rPr>
          <w:rFonts w:hint="eastAsia" w:ascii="Times New Roman" w:hAnsi="楷体" w:eastAsia="楷体" w:cs="Times New Roman"/>
          <w:sz w:val="32"/>
          <w:szCs w:val="32"/>
          <w:lang w:val="en-US" w:eastAsia="zh-CN"/>
        </w:rPr>
        <w:t>（四）</w:t>
      </w:r>
      <w:r>
        <w:rPr>
          <w:rFonts w:ascii="Times New Roman" w:hAnsi="楷体" w:eastAsia="楷体" w:cs="Times New Roman"/>
          <w:sz w:val="32"/>
          <w:szCs w:val="32"/>
        </w:rPr>
        <w:t>服务湖区项目，</w:t>
      </w:r>
      <w:r>
        <w:rPr>
          <w:rFonts w:hint="eastAsia" w:ascii="Times New Roman" w:hAnsi="楷体" w:eastAsia="楷体" w:cs="Times New Roman"/>
          <w:sz w:val="32"/>
          <w:szCs w:val="32"/>
        </w:rPr>
        <w:t>着力推动湖区高质量发展</w:t>
      </w:r>
      <w:r>
        <w:rPr>
          <w:rFonts w:ascii="Times New Roman" w:hAnsi="楷体" w:eastAsia="楷体" w:cs="Times New Roman"/>
          <w:sz w:val="32"/>
          <w:szCs w:val="32"/>
        </w:rPr>
        <w:t>。</w:t>
      </w:r>
      <w:r>
        <w:rPr>
          <w:rFonts w:ascii="黑体" w:hAnsi="黑体" w:eastAsia="黑体" w:cs="Times New Roman"/>
          <w:color w:val="000000"/>
          <w:sz w:val="32"/>
          <w:szCs w:val="31"/>
          <w:shd w:val="clear" w:color="auto" w:fill="FFFFFF"/>
        </w:rPr>
        <w:t>一是</w:t>
      </w:r>
      <w:r>
        <w:rPr>
          <w:rFonts w:ascii="Times New Roman" w:hAnsi="Times New Roman" w:eastAsia="仿宋_GB2312" w:cs="Times New Roman"/>
          <w:color w:val="000000"/>
          <w:sz w:val="32"/>
          <w:szCs w:val="31"/>
          <w:shd w:val="clear" w:color="auto" w:fill="FFFFFF"/>
        </w:rPr>
        <w:t>严格项目准入。依据《亭子湖风景区总体规划》严格执行项目前置审批，为宝红路改扩建工程、广绵高速复线等10余个工程项目提供选址意见建议。</w:t>
      </w:r>
      <w:r>
        <w:rPr>
          <w:rFonts w:ascii="黑体" w:hAnsi="黑体" w:eastAsia="黑体" w:cs="Times New Roman"/>
          <w:color w:val="000000"/>
          <w:sz w:val="32"/>
          <w:szCs w:val="31"/>
          <w:shd w:val="clear" w:color="auto" w:fill="FFFFFF"/>
        </w:rPr>
        <w:t>二是</w:t>
      </w:r>
      <w:r>
        <w:rPr>
          <w:rFonts w:ascii="Times New Roman" w:hAnsi="Times New Roman" w:eastAsia="仿宋_GB2312" w:cs="Times New Roman"/>
          <w:color w:val="000000"/>
          <w:sz w:val="32"/>
          <w:szCs w:val="31"/>
          <w:shd w:val="clear" w:color="auto" w:fill="FFFFFF"/>
        </w:rPr>
        <w:t>包装储备项目。包装消落带生态治理、入湖污染物治理项目2个，入库2个；争取市级债券资金落地昭化，开展建设选址现场踏勘调研2次，初步完成滨水休闲渔业项目建设选址意向</w:t>
      </w:r>
      <w:r>
        <w:rPr>
          <w:rFonts w:hint="eastAsia" w:ascii="Times New Roman" w:hAnsi="Times New Roman" w:eastAsia="仿宋_GB2312" w:cs="Times New Roman"/>
          <w:color w:val="000000"/>
          <w:sz w:val="32"/>
          <w:szCs w:val="31"/>
          <w:shd w:val="clear" w:color="auto" w:fill="FFFFFF"/>
        </w:rPr>
        <w:t>；</w:t>
      </w:r>
      <w:r>
        <w:rPr>
          <w:rFonts w:ascii="Times New Roman" w:hAnsi="Times New Roman" w:eastAsia="仿宋_GB2312" w:cs="Times New Roman"/>
          <w:color w:val="000000"/>
          <w:sz w:val="32"/>
          <w:szCs w:val="31"/>
          <w:shd w:val="clear" w:color="auto" w:fill="FFFFFF"/>
        </w:rPr>
        <w:t>积极争取招商引资到位资金260万元。</w:t>
      </w:r>
      <w:r>
        <w:rPr>
          <w:rFonts w:ascii="黑体" w:hAnsi="黑体" w:eastAsia="黑体" w:cs="Times New Roman"/>
          <w:color w:val="000000"/>
          <w:sz w:val="32"/>
          <w:szCs w:val="31"/>
          <w:shd w:val="clear" w:color="auto" w:fill="FFFFFF"/>
        </w:rPr>
        <w:t>三是</w:t>
      </w:r>
      <w:r>
        <w:rPr>
          <w:rFonts w:ascii="Times New Roman" w:hAnsi="Times New Roman" w:eastAsia="仿宋_GB2312" w:cs="Times New Roman"/>
          <w:color w:val="000000"/>
          <w:sz w:val="32"/>
          <w:szCs w:val="31"/>
          <w:shd w:val="clear" w:color="auto" w:fill="FFFFFF"/>
        </w:rPr>
        <w:t>全面优化景区营商环境，</w:t>
      </w:r>
      <w:r>
        <w:rPr>
          <w:rFonts w:hint="eastAsia" w:ascii="Times New Roman" w:hAnsi="Times New Roman" w:eastAsia="仿宋_GB2312" w:cs="Times New Roman"/>
          <w:color w:val="000000"/>
          <w:sz w:val="32"/>
          <w:szCs w:val="31"/>
          <w:shd w:val="clear" w:color="auto" w:fill="FFFFFF"/>
        </w:rPr>
        <w:t>积极协调市区部门、领导，召开项目协调座谈会，</w:t>
      </w:r>
      <w:r>
        <w:rPr>
          <w:rFonts w:ascii="Times New Roman" w:hAnsi="Times New Roman" w:eastAsia="仿宋_GB2312" w:cs="Times New Roman"/>
          <w:color w:val="000000"/>
          <w:sz w:val="32"/>
          <w:szCs w:val="31"/>
          <w:shd w:val="clear" w:color="auto" w:fill="FFFFFF"/>
        </w:rPr>
        <w:t>着力服务解决好企业和项目推进中的具体问题</w:t>
      </w:r>
      <w:r>
        <w:rPr>
          <w:rFonts w:hint="eastAsia" w:ascii="Times New Roman" w:hAnsi="Times New Roman" w:eastAsia="仿宋_GB2312" w:cs="Times New Roman"/>
          <w:color w:val="000000"/>
          <w:sz w:val="32"/>
          <w:szCs w:val="31"/>
          <w:shd w:val="clear" w:color="auto" w:fill="FFFFFF"/>
        </w:rPr>
        <w:t>，打造最优营商环境</w:t>
      </w:r>
      <w:r>
        <w:rPr>
          <w:rFonts w:ascii="Times New Roman" w:hAnsi="Times New Roman" w:eastAsia="仿宋_GB2312" w:cs="Times New Roman"/>
          <w:color w:val="000000"/>
          <w:sz w:val="32"/>
          <w:szCs w:val="31"/>
          <w:shd w:val="clear" w:color="auto" w:fill="FFFFFF"/>
        </w:rPr>
        <w:t>。</w:t>
      </w:r>
    </w:p>
    <w:p>
      <w:pPr>
        <w:pStyle w:val="31"/>
        <w:spacing w:line="576" w:lineRule="exact"/>
        <w:ind w:firstLine="640" w:firstLineChars="200"/>
        <w:rPr>
          <w:rFonts w:ascii="Times New Roman" w:hAnsi="Times New Roman" w:eastAsia="仿宋_GB2312"/>
          <w:sz w:val="32"/>
          <w:szCs w:val="32"/>
        </w:rPr>
      </w:pPr>
      <w:r>
        <w:rPr>
          <w:rFonts w:hint="eastAsia" w:ascii="楷体" w:hAnsi="楷体" w:eastAsia="楷体" w:cs="楷体"/>
          <w:sz w:val="32"/>
          <w:szCs w:val="32"/>
          <w:lang w:val="en-US" w:eastAsia="zh-CN"/>
        </w:rPr>
        <w:t>（五）</w:t>
      </w:r>
      <w:r>
        <w:rPr>
          <w:rFonts w:hint="eastAsia" w:ascii="楷体" w:hAnsi="楷体" w:eastAsia="楷体" w:cs="楷体"/>
          <w:sz w:val="32"/>
          <w:szCs w:val="32"/>
        </w:rPr>
        <w:t>强化成果巩固，聚力精准帮扶助推乡村振兴。</w:t>
      </w:r>
      <w:r>
        <w:rPr>
          <w:rFonts w:hint="eastAsia" w:ascii="黑体" w:hAnsi="黑体" w:eastAsia="黑体"/>
          <w:color w:val="000000"/>
          <w:kern w:val="0"/>
          <w:sz w:val="32"/>
          <w:szCs w:val="31"/>
          <w:shd w:val="clear" w:color="auto" w:fill="FFFFFF"/>
        </w:rPr>
        <w:t>一是</w:t>
      </w:r>
      <w:r>
        <w:rPr>
          <w:rFonts w:ascii="Times New Roman" w:hAnsi="Times New Roman" w:eastAsia="仿宋_GB2312"/>
          <w:color w:val="000000"/>
          <w:kern w:val="0"/>
          <w:sz w:val="32"/>
          <w:szCs w:val="31"/>
          <w:shd w:val="clear" w:color="auto" w:fill="FFFFFF"/>
        </w:rPr>
        <w:t>加强规划引领。</w:t>
      </w:r>
      <w:r>
        <w:rPr>
          <w:rFonts w:hint="eastAsia" w:ascii="Times New Roman" w:hAnsi="Times New Roman" w:eastAsia="仿宋_GB2312"/>
          <w:color w:val="000000"/>
          <w:kern w:val="0"/>
          <w:sz w:val="32"/>
          <w:szCs w:val="31"/>
          <w:shd w:val="clear" w:color="auto" w:fill="FFFFFF"/>
        </w:rPr>
        <w:t>根据</w:t>
      </w:r>
      <w:r>
        <w:rPr>
          <w:rFonts w:ascii="Times New Roman" w:hAnsi="Times New Roman" w:eastAsia="仿宋_GB2312"/>
          <w:color w:val="000000"/>
          <w:kern w:val="0"/>
          <w:sz w:val="32"/>
          <w:szCs w:val="31"/>
          <w:shd w:val="clear" w:color="auto" w:fill="FFFFFF"/>
        </w:rPr>
        <w:t>虎跳镇青龙村和我单位实际，研究制定了《定点帮扶虎跳镇青龙村2021年—2025年发展规划》《2021-2025年实施定点帮扶助力乡村振兴工作实施方案》，明确帮扶重点、细化帮扶举措。</w:t>
      </w:r>
      <w:r>
        <w:rPr>
          <w:rFonts w:hint="eastAsia" w:ascii="黑体" w:hAnsi="黑体" w:eastAsia="黑体"/>
          <w:color w:val="000000"/>
          <w:kern w:val="0"/>
          <w:sz w:val="32"/>
          <w:szCs w:val="31"/>
          <w:shd w:val="clear" w:color="auto" w:fill="FFFFFF"/>
        </w:rPr>
        <w:t>二是</w:t>
      </w:r>
      <w:r>
        <w:rPr>
          <w:rFonts w:ascii="Times New Roman" w:hAnsi="Times New Roman" w:eastAsia="楷体_GB2312"/>
          <w:color w:val="000000"/>
          <w:kern w:val="0"/>
          <w:sz w:val="32"/>
          <w:szCs w:val="31"/>
          <w:shd w:val="clear" w:color="auto" w:fill="FFFFFF"/>
        </w:rPr>
        <w:t>压实帮扶责任。</w:t>
      </w:r>
      <w:r>
        <w:rPr>
          <w:rFonts w:ascii="Times New Roman" w:hAnsi="Times New Roman" w:eastAsia="仿宋_GB2312"/>
          <w:sz w:val="32"/>
          <w:szCs w:val="32"/>
        </w:rPr>
        <w:t>按照统筹兼顾、精准选派原则，选派驻村工作队员</w:t>
      </w:r>
      <w:r>
        <w:rPr>
          <w:rFonts w:hint="eastAsia" w:ascii="Times New Roman" w:hAnsi="Times New Roman" w:eastAsia="仿宋_GB2312"/>
          <w:sz w:val="32"/>
          <w:szCs w:val="32"/>
        </w:rPr>
        <w:t>1名</w:t>
      </w:r>
      <w:r>
        <w:rPr>
          <w:rFonts w:ascii="Times New Roman" w:hAnsi="Times New Roman" w:eastAsia="仿宋_GB2312"/>
          <w:sz w:val="32"/>
          <w:szCs w:val="32"/>
        </w:rPr>
        <w:t>，做到无缝衔接、平稳过渡，</w:t>
      </w:r>
      <w:r>
        <w:rPr>
          <w:rFonts w:ascii="Times New Roman" w:hAnsi="Times New Roman" w:eastAsia="仿宋_GB2312"/>
          <w:color w:val="000000"/>
          <w:kern w:val="0"/>
          <w:sz w:val="32"/>
          <w:szCs w:val="31"/>
          <w:shd w:val="clear" w:color="auto" w:fill="FFFFFF"/>
        </w:rPr>
        <w:t>严格落实“四个不摘”要求，结对帮扶青龙村一社、七社脱贫户12户，</w:t>
      </w:r>
      <w:r>
        <w:rPr>
          <w:rFonts w:hint="eastAsia" w:ascii="Times New Roman" w:hAnsi="Times New Roman" w:eastAsia="仿宋_GB2312"/>
          <w:color w:val="000000"/>
          <w:kern w:val="0"/>
          <w:sz w:val="32"/>
          <w:szCs w:val="31"/>
          <w:shd w:val="clear" w:color="auto" w:fill="FFFFFF"/>
        </w:rPr>
        <w:t>建立</w:t>
      </w:r>
      <w:r>
        <w:rPr>
          <w:rFonts w:ascii="Times New Roman" w:hAnsi="Times New Roman" w:eastAsia="仿宋_GB2312"/>
          <w:color w:val="000000"/>
          <w:kern w:val="0"/>
          <w:sz w:val="32"/>
          <w:szCs w:val="31"/>
          <w:shd w:val="clear" w:color="auto" w:fill="FFFFFF"/>
        </w:rPr>
        <w:t>帮扶责任人台账， 实现脱贫户结对帮扶全覆盖。</w:t>
      </w:r>
      <w:r>
        <w:rPr>
          <w:rFonts w:hint="eastAsia" w:ascii="黑体" w:hAnsi="黑体" w:eastAsia="黑体"/>
          <w:color w:val="000000"/>
          <w:kern w:val="0"/>
          <w:sz w:val="32"/>
          <w:szCs w:val="31"/>
          <w:shd w:val="clear" w:color="auto" w:fill="FFFFFF"/>
        </w:rPr>
        <w:t>三是</w:t>
      </w:r>
      <w:r>
        <w:rPr>
          <w:rFonts w:ascii="Times New Roman" w:hAnsi="Times New Roman" w:eastAsia="楷体_GB2312"/>
          <w:color w:val="000000"/>
          <w:sz w:val="32"/>
          <w:szCs w:val="31"/>
          <w:shd w:val="clear" w:color="auto" w:fill="FFFFFF"/>
        </w:rPr>
        <w:t>支持产业振兴。</w:t>
      </w:r>
      <w:r>
        <w:rPr>
          <w:rFonts w:ascii="Times New Roman" w:hAnsi="Times New Roman" w:eastAsia="仿宋_GB2312"/>
          <w:color w:val="000000"/>
          <w:sz w:val="32"/>
          <w:szCs w:val="31"/>
          <w:shd w:val="clear" w:color="auto" w:fill="FFFFFF"/>
        </w:rPr>
        <w:t>落实产业发展资金1万元，</w:t>
      </w:r>
      <w:r>
        <w:rPr>
          <w:rFonts w:hint="eastAsia" w:ascii="Times New Roman" w:hAnsi="Times New Roman" w:eastAsia="仿宋_GB2312"/>
          <w:color w:val="000000"/>
          <w:sz w:val="32"/>
          <w:szCs w:val="31"/>
          <w:shd w:val="clear" w:color="auto" w:fill="FFFFFF"/>
        </w:rPr>
        <w:t>支持</w:t>
      </w:r>
      <w:r>
        <w:rPr>
          <w:rFonts w:ascii="Times New Roman" w:hAnsi="Times New Roman" w:eastAsia="仿宋_GB2312"/>
          <w:color w:val="000000"/>
          <w:sz w:val="32"/>
          <w:szCs w:val="31"/>
          <w:shd w:val="clear" w:color="auto" w:fill="FFFFFF"/>
        </w:rPr>
        <w:t>现有的无刺花椒、</w:t>
      </w:r>
      <w:r>
        <w:rPr>
          <w:rFonts w:ascii="Times New Roman" w:hAnsi="Times New Roman" w:eastAsia="仿宋_GB2312"/>
          <w:sz w:val="32"/>
          <w:szCs w:val="32"/>
        </w:rPr>
        <w:t>富硒富锌水稻</w:t>
      </w:r>
      <w:r>
        <w:rPr>
          <w:rFonts w:ascii="Times New Roman" w:hAnsi="Times New Roman" w:eastAsia="仿宋_GB2312"/>
          <w:color w:val="000000"/>
          <w:sz w:val="32"/>
          <w:szCs w:val="31"/>
          <w:shd w:val="clear" w:color="auto" w:fill="FFFFFF"/>
        </w:rPr>
        <w:t>、</w:t>
      </w:r>
      <w:r>
        <w:rPr>
          <w:rFonts w:ascii="Times New Roman" w:hAnsi="Times New Roman" w:eastAsia="仿宋_GB2312"/>
          <w:sz w:val="32"/>
          <w:szCs w:val="32"/>
        </w:rPr>
        <w:t>有机蔬菜</w:t>
      </w:r>
      <w:r>
        <w:rPr>
          <w:rFonts w:ascii="Times New Roman" w:hAnsi="Times New Roman" w:eastAsia="仿宋_GB2312"/>
          <w:color w:val="000000"/>
          <w:sz w:val="32"/>
          <w:szCs w:val="31"/>
          <w:shd w:val="clear" w:color="auto" w:fill="FFFFFF"/>
        </w:rPr>
        <w:t>等重点产业，</w:t>
      </w:r>
      <w:r>
        <w:rPr>
          <w:rFonts w:hint="eastAsia" w:ascii="Times New Roman" w:hAnsi="Times New Roman" w:eastAsia="仿宋_GB2312"/>
          <w:color w:val="000000"/>
          <w:sz w:val="32"/>
          <w:szCs w:val="31"/>
          <w:shd w:val="clear" w:color="auto" w:fill="FFFFFF"/>
        </w:rPr>
        <w:t>并</w:t>
      </w:r>
      <w:r>
        <w:rPr>
          <w:rFonts w:ascii="Times New Roman" w:hAnsi="Times New Roman" w:eastAsia="仿宋_GB2312"/>
          <w:color w:val="000000"/>
          <w:sz w:val="32"/>
          <w:szCs w:val="31"/>
          <w:shd w:val="clear" w:color="auto" w:fill="FFFFFF"/>
        </w:rPr>
        <w:t>加强园区管护指导。积极开展“以购代扶”活动，购买黄桃600元。协调争取嘉陵江廊道建设项目和政策支持，改善产业发展基础。</w:t>
      </w:r>
      <w:r>
        <w:rPr>
          <w:rFonts w:ascii="黑体" w:hAnsi="黑体" w:eastAsia="黑体"/>
          <w:color w:val="000000"/>
          <w:kern w:val="0"/>
          <w:sz w:val="32"/>
          <w:szCs w:val="31"/>
          <w:shd w:val="clear" w:color="auto" w:fill="FFFFFF"/>
        </w:rPr>
        <w:t xml:space="preserve"> </w:t>
      </w:r>
      <w:r>
        <w:rPr>
          <w:rFonts w:hint="eastAsia" w:ascii="黑体" w:hAnsi="黑体" w:eastAsia="黑体"/>
          <w:color w:val="000000"/>
          <w:kern w:val="0"/>
          <w:sz w:val="32"/>
          <w:szCs w:val="31"/>
          <w:shd w:val="clear" w:color="auto" w:fill="FFFFFF"/>
        </w:rPr>
        <w:t>四是</w:t>
      </w:r>
      <w:r>
        <w:rPr>
          <w:rFonts w:ascii="Times New Roman" w:hAnsi="Times New Roman" w:eastAsia="楷体_GB2312"/>
          <w:color w:val="000000"/>
          <w:kern w:val="0"/>
          <w:sz w:val="32"/>
          <w:szCs w:val="31"/>
          <w:shd w:val="clear" w:color="auto" w:fill="FFFFFF"/>
        </w:rPr>
        <w:t>开展走访慰问。</w:t>
      </w:r>
      <w:r>
        <w:rPr>
          <w:rFonts w:ascii="Times New Roman" w:hAnsi="Times New Roman" w:eastAsia="仿宋_GB2312"/>
          <w:sz w:val="32"/>
          <w:szCs w:val="32"/>
        </w:rPr>
        <w:t>走访慰问困难群众</w:t>
      </w:r>
      <w:r>
        <w:rPr>
          <w:rFonts w:hint="eastAsia" w:ascii="Times New Roman" w:hAnsi="Times New Roman" w:eastAsia="仿宋_GB2312"/>
          <w:sz w:val="32"/>
          <w:szCs w:val="32"/>
        </w:rPr>
        <w:t>20</w:t>
      </w:r>
      <w:r>
        <w:rPr>
          <w:rFonts w:ascii="Times New Roman" w:hAnsi="Times New Roman" w:eastAsia="仿宋_GB2312"/>
          <w:sz w:val="32"/>
          <w:szCs w:val="32"/>
        </w:rPr>
        <w:t>人次，及时解决脱贫户家庭广播电视收看等问题，</w:t>
      </w:r>
      <w:r>
        <w:rPr>
          <w:rFonts w:hint="eastAsia" w:ascii="Times New Roman" w:hAnsi="Times New Roman" w:eastAsia="仿宋_GB2312"/>
          <w:sz w:val="32"/>
          <w:szCs w:val="32"/>
        </w:rPr>
        <w:t>帮助家庭困难群众</w:t>
      </w:r>
      <w:r>
        <w:rPr>
          <w:rFonts w:ascii="Times New Roman" w:hAnsi="Times New Roman" w:eastAsia="仿宋_GB2312"/>
          <w:sz w:val="32"/>
          <w:szCs w:val="32"/>
        </w:rPr>
        <w:t>申请困难救助</w:t>
      </w:r>
      <w:r>
        <w:rPr>
          <w:rFonts w:hint="eastAsia" w:ascii="Times New Roman" w:hAnsi="Times New Roman" w:eastAsia="仿宋_GB2312"/>
          <w:sz w:val="32"/>
          <w:szCs w:val="32"/>
        </w:rPr>
        <w:t>3000</w:t>
      </w:r>
      <w:r>
        <w:rPr>
          <w:rFonts w:ascii="Times New Roman" w:hAnsi="Times New Roman" w:eastAsia="仿宋_GB2312"/>
          <w:sz w:val="32"/>
          <w:szCs w:val="32"/>
        </w:rPr>
        <w:t>元，积极为结对帮扶子女异地就学咨询政策，将党的关怀传递到基层群众。</w:t>
      </w:r>
    </w:p>
    <w:p>
      <w:pPr>
        <w:spacing w:line="576" w:lineRule="exact"/>
        <w:ind w:firstLine="640" w:firstLineChars="200"/>
        <w:jc w:val="both"/>
        <w:rPr>
          <w:rFonts w:ascii="Times New Roman" w:hAnsi="Times New Roman" w:eastAsia="仿宋_GB2312" w:cs="Times New Roman"/>
          <w:sz w:val="32"/>
          <w:szCs w:val="32"/>
        </w:rPr>
      </w:pPr>
      <w:r>
        <w:rPr>
          <w:rFonts w:hint="eastAsia" w:ascii="Times New Roman" w:hAnsi="楷体" w:eastAsia="楷体" w:cs="Times New Roman"/>
          <w:sz w:val="32"/>
          <w:szCs w:val="32"/>
          <w:lang w:val="en-US" w:eastAsia="zh-CN"/>
        </w:rPr>
        <w:t>（六）</w:t>
      </w:r>
      <w:r>
        <w:rPr>
          <w:rFonts w:hint="eastAsia" w:ascii="Times New Roman" w:hAnsi="楷体" w:eastAsia="楷体" w:cs="Times New Roman"/>
          <w:sz w:val="32"/>
          <w:szCs w:val="32"/>
        </w:rPr>
        <w:t>坚持学用结合，</w:t>
      </w:r>
      <w:r>
        <w:rPr>
          <w:rFonts w:ascii="Times New Roman" w:hAnsi="楷体" w:eastAsia="楷体" w:cs="Times New Roman"/>
          <w:sz w:val="32"/>
          <w:szCs w:val="32"/>
        </w:rPr>
        <w:t>推进党史学习教育走深走实。</w:t>
      </w:r>
      <w:r>
        <w:rPr>
          <w:rFonts w:ascii="黑体" w:hAnsi="黑体" w:eastAsia="黑体" w:cs="Times New Roman"/>
          <w:sz w:val="32"/>
          <w:szCs w:val="32"/>
        </w:rPr>
        <w:t>一是</w:t>
      </w:r>
      <w:r>
        <w:rPr>
          <w:rFonts w:ascii="Times New Roman" w:hAnsi="Times New Roman" w:eastAsia="仿宋_GB2312" w:cs="Times New Roman"/>
          <w:sz w:val="32"/>
          <w:szCs w:val="32"/>
        </w:rPr>
        <w:t>夯实理论基础。将党史学习教育纳入党组中心组学习重要内容，组织全体党员干部精读《论中国共产党史》《习近平新时代中国特色社会主义思想学习问答》《中华人民共和国简史》等指定学习材料，坚持做到常态化每月集中专题学、个人自主学，推动党史学习教育入脑入心、走深走实。</w:t>
      </w:r>
      <w:r>
        <w:rPr>
          <w:rFonts w:ascii="黑体" w:hAnsi="黑体" w:eastAsia="黑体" w:cs="Times New Roman"/>
          <w:sz w:val="32"/>
          <w:szCs w:val="32"/>
        </w:rPr>
        <w:t>二是</w:t>
      </w:r>
      <w:r>
        <w:rPr>
          <w:rFonts w:ascii="Times New Roman" w:hAnsi="Times New Roman" w:eastAsia="仿宋_GB2312" w:cs="Times New Roman"/>
          <w:sz w:val="32"/>
          <w:szCs w:val="32"/>
        </w:rPr>
        <w:t>注重成果转化。扎实开展“我为群众办实事”活动，细化责任清单，解决沿湖群众、结对帮扶困难群众急难愁盼问题6项，</w:t>
      </w:r>
      <w:r>
        <w:rPr>
          <w:rFonts w:hint="eastAsia" w:ascii="Times New Roman" w:hAnsi="Times New Roman" w:eastAsia="仿宋_GB2312" w:cs="Times New Roman"/>
          <w:sz w:val="32"/>
          <w:szCs w:val="32"/>
        </w:rPr>
        <w:t>开展休闲渔业、环境保护等领域专题调研4次，收集意见建议10条，形成调研文章2篇，</w:t>
      </w:r>
      <w:r>
        <w:rPr>
          <w:rFonts w:ascii="Times New Roman" w:hAnsi="Times New Roman" w:eastAsia="仿宋_GB2312" w:cs="Times New Roman"/>
          <w:sz w:val="32"/>
          <w:szCs w:val="32"/>
        </w:rPr>
        <w:t>实现学习成果转化为工作成效。</w:t>
      </w:r>
    </w:p>
    <w:p>
      <w:pPr>
        <w:rPr>
          <w:rFonts w:hint="eastAsia"/>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6"/>
      <w:bookmarkEnd w:id="17"/>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65.21</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6.26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增加污染防治支出生态保护专项奖补资金。</w:t>
      </w:r>
    </w:p>
    <w:p>
      <w:pPr>
        <w:spacing w:line="600" w:lineRule="exact"/>
        <w:ind w:firstLine="640" w:firstLineChars="200"/>
        <w:jc w:val="center"/>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160655</wp:posOffset>
            </wp:positionH>
            <wp:positionV relativeFrom="paragraph">
              <wp:posOffset>204470</wp:posOffset>
            </wp:positionV>
            <wp:extent cx="5080000" cy="2411730"/>
            <wp:effectExtent l="4445" t="4445" r="20955" b="2222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64.97</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64.97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pStyle w:val="2"/>
        <w:rPr>
          <w:rFonts w:hint="eastAsia"/>
          <w:lang w:val="en-US" w:eastAsia="zh-CN"/>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4961255" cy="2077085"/>
            <wp:effectExtent l="5080" t="4445" r="5715" b="1397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64.97</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42.47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65</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22.50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jc w:val="center"/>
        <w:rPr>
          <w:rFonts w:hint="eastAsia"/>
          <w:lang w:eastAsia="zh-CN"/>
        </w:rPr>
      </w:pPr>
      <w:r>
        <w:drawing>
          <wp:anchor distT="0" distB="0" distL="114300" distR="114300" simplePos="0" relativeHeight="251663360" behindDoc="0" locked="0" layoutInCell="1" allowOverlap="1">
            <wp:simplePos x="0" y="0"/>
            <wp:positionH relativeFrom="column">
              <wp:posOffset>351155</wp:posOffset>
            </wp:positionH>
            <wp:positionV relativeFrom="paragraph">
              <wp:posOffset>61595</wp:posOffset>
            </wp:positionV>
            <wp:extent cx="4572000" cy="2743200"/>
            <wp:effectExtent l="4445" t="4445" r="14605" b="14605"/>
            <wp:wrapTopAndBottom/>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26"/>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65.21</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6.26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增加污染防治支出生态保护专项奖补资金。</w:t>
      </w:r>
    </w:p>
    <w:p>
      <w:pPr>
        <w:pStyle w:val="2"/>
        <w:jc w:val="center"/>
        <w:rPr>
          <w:rFonts w:hint="eastAsia" w:ascii="仿宋" w:hAnsi="仿宋" w:eastAsia="仿宋"/>
          <w:b/>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0288" behindDoc="0" locked="0" layoutInCell="1" allowOverlap="1">
            <wp:simplePos x="0" y="0"/>
            <wp:positionH relativeFrom="column">
              <wp:posOffset>92710</wp:posOffset>
            </wp:positionH>
            <wp:positionV relativeFrom="paragraph">
              <wp:posOffset>209550</wp:posOffset>
            </wp:positionV>
            <wp:extent cx="5080000" cy="2411730"/>
            <wp:effectExtent l="4445" t="4445" r="20955" b="2222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26"/>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64.97</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8.02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增加污染防治支出生态保护专项奖补资金。</w:t>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172720</wp:posOffset>
            </wp:positionH>
            <wp:positionV relativeFrom="paragraph">
              <wp:posOffset>175895</wp:posOffset>
            </wp:positionV>
            <wp:extent cx="5080000" cy="2011045"/>
            <wp:effectExtent l="4445" t="4445" r="20955" b="2286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sz w:val="32"/>
          <w:szCs w:val="32"/>
          <w:highlight w:val="none"/>
        </w:rPr>
        <w:t>图5：一般公共预算财政拨款支出决算变动情况）（柱状图）</w:t>
      </w:r>
    </w:p>
    <w:p>
      <w:pPr>
        <w:pStyle w:val="2"/>
        <w:rPr>
          <w:rFonts w:hint="eastAsia"/>
          <w:lang w:eastAsia="zh-CN"/>
        </w:rPr>
      </w:pP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64.97</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文化旅游体育与传媒（类）支出</w:t>
      </w:r>
      <w:r>
        <w:rPr>
          <w:rFonts w:hint="eastAsia" w:ascii="仿宋" w:hAnsi="仿宋" w:eastAsia="仿宋"/>
          <w:b/>
          <w:bCs/>
          <w:color w:val="auto"/>
          <w:sz w:val="32"/>
          <w:szCs w:val="32"/>
          <w:highlight w:val="none"/>
          <w:lang w:val="en-US" w:eastAsia="zh-CN"/>
        </w:rPr>
        <w:t>37.79</w:t>
      </w:r>
      <w:r>
        <w:rPr>
          <w:rFonts w:hint="eastAsia" w:ascii="仿宋" w:hAnsi="仿宋" w:eastAsia="仿宋"/>
          <w:b/>
          <w:bCs/>
          <w:color w:val="auto"/>
          <w:sz w:val="32"/>
          <w:szCs w:val="32"/>
          <w:highlight w:val="none"/>
        </w:rPr>
        <w:t>万元，</w:t>
      </w:r>
      <w:r>
        <w:rPr>
          <w:rFonts w:hint="eastAsia" w:ascii="仿宋" w:hAnsi="仿宋" w:eastAsia="仿宋"/>
          <w:b w:val="0"/>
          <w:bCs w:val="0"/>
          <w:color w:val="auto"/>
          <w:sz w:val="32"/>
          <w:szCs w:val="32"/>
          <w:highlight w:val="none"/>
        </w:rPr>
        <w:t>占</w:t>
      </w:r>
      <w:r>
        <w:rPr>
          <w:rFonts w:hint="eastAsia" w:ascii="仿宋" w:hAnsi="仿宋" w:eastAsia="仿宋"/>
          <w:b w:val="0"/>
          <w:bCs w:val="0"/>
          <w:color w:val="auto"/>
          <w:sz w:val="32"/>
          <w:szCs w:val="32"/>
          <w:highlight w:val="none"/>
          <w:lang w:val="en-US" w:eastAsia="zh-CN"/>
        </w:rPr>
        <w:t>58</w:t>
      </w:r>
      <w:r>
        <w:rPr>
          <w:rFonts w:ascii="仿宋" w:hAnsi="仿宋" w:eastAsia="仿宋"/>
          <w:b w:val="0"/>
          <w:bCs w:val="0"/>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2.69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节能环保支出</w:t>
      </w:r>
      <w:r>
        <w:rPr>
          <w:rFonts w:hint="eastAsia" w:ascii="仿宋" w:hAnsi="仿宋" w:eastAsia="仿宋"/>
          <w:color w:val="auto"/>
          <w:sz w:val="32"/>
          <w:szCs w:val="32"/>
          <w:highlight w:val="none"/>
          <w:lang w:val="en-US" w:eastAsia="zh-CN"/>
        </w:rPr>
        <w:t>20万元，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31</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hint="eastAsia" w:ascii="仿宋" w:hAnsi="仿宋" w:eastAsia="仿宋"/>
          <w:color w:val="auto"/>
          <w:sz w:val="32"/>
          <w:szCs w:val="32"/>
          <w:highlight w:val="none"/>
          <w:lang w:eastAsia="zh-CN"/>
        </w:rPr>
      </w:pPr>
      <w:r>
        <w:drawing>
          <wp:anchor distT="0" distB="0" distL="114300" distR="114300" simplePos="0" relativeHeight="251664384" behindDoc="0" locked="0" layoutInCell="1" allowOverlap="1">
            <wp:simplePos x="0" y="0"/>
            <wp:positionH relativeFrom="column">
              <wp:posOffset>133985</wp:posOffset>
            </wp:positionH>
            <wp:positionV relativeFrom="paragraph">
              <wp:posOffset>159385</wp:posOffset>
            </wp:positionV>
            <wp:extent cx="5108575" cy="3392170"/>
            <wp:effectExtent l="4445" t="4445" r="11430" b="13335"/>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8460"/>
      <w:bookmarkStart w:id="32" w:name="_Toc15377213"/>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64.97万元</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1"/>
      <w:bookmarkEnd w:id="32"/>
      <w:bookmarkEnd w:id="33"/>
    </w:p>
    <w:p>
      <w:pPr>
        <w:spacing w:line="600" w:lineRule="exact"/>
        <w:ind w:firstLine="643"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1</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文化旅游体育与传媒（类）</w:t>
      </w:r>
      <w:r>
        <w:rPr>
          <w:rStyle w:val="15"/>
          <w:rFonts w:hint="eastAsia" w:ascii="仿宋" w:hAnsi="仿宋" w:eastAsia="仿宋"/>
          <w:bCs/>
          <w:color w:val="auto"/>
          <w:sz w:val="32"/>
          <w:szCs w:val="32"/>
          <w:highlight w:val="none"/>
          <w:lang w:eastAsia="zh-CN"/>
        </w:rPr>
        <w:t>文化和旅游</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行政运行</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35.29</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2</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文化旅游体育与传媒（类）</w:t>
      </w:r>
      <w:r>
        <w:rPr>
          <w:rStyle w:val="15"/>
          <w:rFonts w:hint="eastAsia" w:ascii="仿宋" w:hAnsi="仿宋" w:eastAsia="仿宋"/>
          <w:bCs/>
          <w:color w:val="auto"/>
          <w:sz w:val="32"/>
          <w:szCs w:val="32"/>
          <w:highlight w:val="none"/>
          <w:lang w:eastAsia="zh-CN"/>
        </w:rPr>
        <w:t>文化和旅游</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其他文化和旅游支出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2.5</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3</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社会保障和就业（类）</w:t>
      </w:r>
      <w:r>
        <w:rPr>
          <w:rStyle w:val="15"/>
          <w:rFonts w:hint="eastAsia" w:ascii="仿宋" w:hAnsi="仿宋" w:eastAsia="仿宋"/>
          <w:bCs/>
          <w:color w:val="auto"/>
          <w:sz w:val="32"/>
          <w:szCs w:val="32"/>
          <w:highlight w:val="none"/>
          <w:lang w:eastAsia="zh-CN"/>
        </w:rPr>
        <w:t>行政事业单位养老支出</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机关事业单位基本养老保险缴费支出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2.69</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4</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行政事业单位医疗</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事业单位医疗</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1.5</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5</w:t>
      </w:r>
      <w:r>
        <w:rPr>
          <w:rStyle w:val="15"/>
          <w:rFonts w:ascii="仿宋" w:hAnsi="仿宋" w:eastAsia="仿宋"/>
          <w:bCs/>
          <w:color w:val="auto"/>
          <w:sz w:val="32"/>
          <w:szCs w:val="32"/>
          <w:highlight w:val="none"/>
        </w:rPr>
        <w:t>.</w:t>
      </w:r>
      <w:r>
        <w:rPr>
          <w:rFonts w:hint="eastAsia" w:ascii="仿宋" w:hAnsi="仿宋" w:eastAsia="仿宋"/>
          <w:b/>
          <w:bCs/>
          <w:color w:val="auto"/>
          <w:sz w:val="32"/>
          <w:szCs w:val="32"/>
          <w:highlight w:val="none"/>
          <w:lang w:eastAsia="zh-CN"/>
        </w:rPr>
        <w:t>节能环保支出</w:t>
      </w:r>
      <w:r>
        <w:rPr>
          <w:rStyle w:val="15"/>
          <w:rFonts w:hint="eastAsia" w:ascii="仿宋" w:hAnsi="仿宋" w:eastAsia="仿宋"/>
          <w:bCs/>
          <w:color w:val="auto"/>
          <w:sz w:val="32"/>
          <w:szCs w:val="32"/>
          <w:highlight w:val="none"/>
        </w:rPr>
        <w:t>（类）</w:t>
      </w:r>
      <w:r>
        <w:rPr>
          <w:rStyle w:val="15"/>
          <w:rFonts w:hint="eastAsia" w:ascii="仿宋" w:hAnsi="仿宋" w:eastAsia="仿宋"/>
          <w:bCs/>
          <w:color w:val="auto"/>
          <w:sz w:val="32"/>
          <w:szCs w:val="32"/>
          <w:highlight w:val="none"/>
          <w:lang w:eastAsia="zh-CN"/>
        </w:rPr>
        <w:t>污染防治</w:t>
      </w:r>
      <w:r>
        <w:rPr>
          <w:rStyle w:val="15"/>
          <w:rFonts w:hint="eastAsia" w:ascii="仿宋" w:hAnsi="仿宋" w:eastAsia="仿宋"/>
          <w:bCs/>
          <w:color w:val="auto"/>
          <w:sz w:val="32"/>
          <w:szCs w:val="32"/>
          <w:highlight w:val="none"/>
        </w:rPr>
        <w:t>（款）</w:t>
      </w:r>
      <w:r>
        <w:rPr>
          <w:rStyle w:val="15"/>
          <w:rFonts w:hint="eastAsia" w:ascii="仿宋" w:hAnsi="仿宋" w:eastAsia="仿宋"/>
          <w:bCs/>
          <w:color w:val="auto"/>
          <w:sz w:val="32"/>
          <w:szCs w:val="32"/>
          <w:highlight w:val="none"/>
          <w:lang w:eastAsia="zh-CN"/>
        </w:rPr>
        <w:t>其他污染防治支出</w:t>
      </w:r>
      <w:r>
        <w:rPr>
          <w:rStyle w:val="15"/>
          <w:rFonts w:hint="eastAsia" w:ascii="仿宋" w:hAnsi="仿宋" w:eastAsia="仿宋"/>
          <w:bCs/>
          <w:color w:val="auto"/>
          <w:sz w:val="32"/>
          <w:szCs w:val="32"/>
          <w:highlight w:val="none"/>
        </w:rPr>
        <w:t>（项）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w:t>
      </w:r>
    </w:p>
    <w:p>
      <w:pPr>
        <w:spacing w:line="600" w:lineRule="exact"/>
        <w:ind w:firstLine="643" w:firstLineChars="200"/>
        <w:rPr>
          <w:rFonts w:hint="eastAsia" w:ascii="仿宋" w:hAnsi="仿宋" w:eastAsia="仿宋"/>
          <w:b/>
          <w:color w:val="auto"/>
          <w:sz w:val="32"/>
          <w:szCs w:val="32"/>
          <w:highlight w:val="none"/>
          <w:lang w:eastAsia="zh-CN"/>
        </w:rPr>
      </w:pPr>
      <w:r>
        <w:rPr>
          <w:rFonts w:hint="eastAsia" w:ascii="仿宋" w:hAnsi="仿宋" w:eastAsia="仿宋"/>
          <w:b/>
          <w:color w:val="000000"/>
          <w:sz w:val="32"/>
          <w:szCs w:val="32"/>
          <w:lang w:val="en-US" w:eastAsia="zh-CN"/>
        </w:rPr>
        <w:t>6.</w:t>
      </w:r>
      <w:r>
        <w:rPr>
          <w:rFonts w:hint="eastAsia" w:ascii="仿宋" w:hAnsi="仿宋" w:eastAsia="仿宋"/>
          <w:b/>
          <w:bCs/>
          <w:color w:val="000000" w:themeColor="text1"/>
          <w:sz w:val="32"/>
          <w:szCs w:val="32"/>
          <w14:textFill>
            <w14:solidFill>
              <w14:schemeClr w14:val="tx1"/>
            </w14:solidFill>
          </w14:textFill>
        </w:rPr>
        <w:t>住房保障</w:t>
      </w:r>
      <w:r>
        <w:rPr>
          <w:rFonts w:hint="eastAsia" w:ascii="仿宋" w:hAnsi="仿宋" w:eastAsia="仿宋"/>
          <w:b/>
          <w:bCs/>
          <w:color w:val="000000" w:themeColor="text1"/>
          <w:sz w:val="32"/>
          <w:szCs w:val="32"/>
          <w:lang w:eastAsia="zh-CN"/>
          <w14:textFill>
            <w14:solidFill>
              <w14:schemeClr w14:val="tx1"/>
            </w14:solidFill>
          </w14:textFill>
        </w:rPr>
        <w:t>（类）住房改革</w:t>
      </w:r>
      <w:r>
        <w:rPr>
          <w:rStyle w:val="15"/>
          <w:rFonts w:hint="eastAsia" w:ascii="仿宋" w:hAnsi="仿宋" w:eastAsia="仿宋"/>
          <w:bCs/>
          <w:color w:val="000000"/>
          <w:sz w:val="32"/>
          <w:szCs w:val="32"/>
        </w:rPr>
        <w:t>（款</w:t>
      </w:r>
      <w:r>
        <w:rPr>
          <w:rStyle w:val="15"/>
          <w:rFonts w:hint="eastAsia" w:ascii="仿宋" w:hAnsi="仿宋" w:eastAsia="仿宋"/>
          <w:bCs/>
          <w:color w:val="000000"/>
          <w:sz w:val="32"/>
          <w:szCs w:val="32"/>
          <w:lang w:eastAsia="zh-CN"/>
        </w:rPr>
        <w:t>）住房公积金</w:t>
      </w:r>
      <w:r>
        <w:rPr>
          <w:rStyle w:val="15"/>
          <w:rFonts w:hint="eastAsia" w:ascii="仿宋" w:hAnsi="仿宋" w:eastAsia="仿宋"/>
          <w:bCs/>
          <w:color w:val="000000"/>
          <w:sz w:val="32"/>
          <w:szCs w:val="32"/>
        </w:rPr>
        <w:t>（项）</w:t>
      </w:r>
      <w:r>
        <w:rPr>
          <w:rStyle w:val="15"/>
          <w:rFonts w:hint="eastAsia" w:ascii="仿宋" w:hAnsi="仿宋" w:eastAsia="仿宋"/>
          <w:bCs/>
          <w:color w:val="000000"/>
          <w:sz w:val="32"/>
          <w:szCs w:val="32"/>
          <w:lang w:eastAsia="zh-CN"/>
        </w:rPr>
        <w:t>：</w:t>
      </w:r>
      <w:r>
        <w:rPr>
          <w:rStyle w:val="15"/>
          <w:rFonts w:hint="eastAsia" w:ascii="仿宋" w:hAnsi="仿宋" w:eastAsia="仿宋"/>
          <w:b w:val="0"/>
          <w:bCs w:val="0"/>
          <w:color w:val="000000"/>
          <w:sz w:val="32"/>
          <w:szCs w:val="32"/>
          <w:lang w:eastAsia="zh-CN"/>
        </w:rPr>
        <w:t>支出决算为</w:t>
      </w:r>
      <w:r>
        <w:rPr>
          <w:rStyle w:val="15"/>
          <w:rFonts w:hint="eastAsia" w:ascii="仿宋" w:hAnsi="仿宋" w:eastAsia="仿宋"/>
          <w:b w:val="0"/>
          <w:bCs w:val="0"/>
          <w:color w:val="000000"/>
          <w:sz w:val="32"/>
          <w:szCs w:val="32"/>
          <w:lang w:val="en-US" w:eastAsia="zh-CN"/>
        </w:rPr>
        <w:t>3 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lang w:eastAsia="zh-CN"/>
        </w:rPr>
        <w:t>，</w:t>
      </w:r>
      <w:r>
        <w:rPr>
          <w:rStyle w:val="15"/>
          <w:rFonts w:hint="eastAsia" w:ascii="仿宋" w:hAnsi="仿宋" w:eastAsia="仿宋"/>
          <w:b w:val="0"/>
          <w:bCs/>
          <w:color w:val="000000"/>
          <w:sz w:val="32"/>
          <w:szCs w:val="32"/>
        </w:rPr>
        <w:t>决算数等于预算数</w:t>
      </w:r>
      <w:r>
        <w:rPr>
          <w:rStyle w:val="15"/>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6"/>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4"/>
      <w:bookmarkEnd w:id="35"/>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42.47</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30.17</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9.2万元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0.34万元</w:t>
      </w:r>
      <w:r>
        <w:rPr>
          <w:rFonts w:hint="eastAsia" w:ascii="仿宋" w:hAnsi="仿宋" w:eastAsia="仿宋"/>
          <w:color w:val="auto"/>
          <w:sz w:val="32"/>
          <w:szCs w:val="32"/>
          <w:highlight w:val="none"/>
        </w:rPr>
        <w:t>、绩效工资</w:t>
      </w:r>
      <w:r>
        <w:rPr>
          <w:rFonts w:hint="eastAsia" w:ascii="仿宋" w:hAnsi="仿宋" w:eastAsia="仿宋"/>
          <w:color w:val="auto"/>
          <w:sz w:val="32"/>
          <w:szCs w:val="32"/>
          <w:highlight w:val="none"/>
          <w:lang w:val="en-US" w:eastAsia="zh-CN"/>
        </w:rPr>
        <w:t>7.26万元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2.69万元</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0.18万元</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6万元</w:t>
      </w:r>
      <w:r>
        <w:rPr>
          <w:rFonts w:hint="eastAsia" w:ascii="仿宋" w:hAnsi="仿宋" w:eastAsia="仿宋"/>
          <w:color w:val="auto"/>
          <w:sz w:val="32"/>
          <w:szCs w:val="32"/>
          <w:highlight w:val="none"/>
        </w:rPr>
        <w:t>、</w:t>
      </w:r>
      <w:r>
        <w:rPr>
          <w:rFonts w:hint="eastAsia" w:ascii="仿宋" w:hAnsi="仿宋" w:eastAsia="仿宋"/>
          <w:color w:val="000000"/>
          <w:sz w:val="32"/>
          <w:szCs w:val="32"/>
          <w:lang w:eastAsia="zh-CN"/>
        </w:rPr>
        <w:t>职工基本医疗保障缴费</w:t>
      </w:r>
      <w:r>
        <w:rPr>
          <w:rFonts w:hint="eastAsia" w:ascii="仿宋" w:hAnsi="仿宋" w:eastAsia="仿宋"/>
          <w:color w:val="000000"/>
          <w:sz w:val="32"/>
          <w:szCs w:val="32"/>
          <w:lang w:val="en-US" w:eastAsia="zh-CN"/>
        </w:rPr>
        <w:t>1.5万元、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3万元</w:t>
      </w:r>
      <w:r>
        <w:rPr>
          <w:rFonts w:hint="eastAsia" w:ascii="仿宋" w:hAnsi="仿宋" w:eastAsia="仿宋"/>
          <w:color w:val="auto"/>
          <w:sz w:val="32"/>
          <w:szCs w:val="32"/>
          <w:highlight w:val="none"/>
        </w:rPr>
        <w:t>。</w:t>
      </w:r>
    </w:p>
    <w:p>
      <w:pPr>
        <w:spacing w:line="600" w:lineRule="exact"/>
        <w:ind w:firstLine="645"/>
        <w:rPr>
          <w:rFonts w:hint="eastAsia" w:ascii="仿宋" w:hAnsi="仿宋" w:eastAsia="仿宋"/>
          <w:b/>
          <w:color w:val="auto"/>
          <w:sz w:val="32"/>
          <w:szCs w:val="32"/>
          <w:highlight w:val="none"/>
          <w:lang w:eastAsia="zh-CN"/>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12.31</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2.13万元</w:t>
      </w:r>
      <w:r>
        <w:rPr>
          <w:rFonts w:hint="eastAsia" w:ascii="仿宋" w:hAnsi="仿宋" w:eastAsia="仿宋"/>
          <w:color w:val="auto"/>
          <w:sz w:val="32"/>
          <w:szCs w:val="32"/>
          <w:highlight w:val="none"/>
        </w:rPr>
        <w:t>、、咨询费</w:t>
      </w:r>
      <w:r>
        <w:rPr>
          <w:rFonts w:hint="eastAsia" w:ascii="仿宋" w:hAnsi="仿宋" w:eastAsia="仿宋"/>
          <w:color w:val="auto"/>
          <w:sz w:val="32"/>
          <w:szCs w:val="32"/>
          <w:highlight w:val="none"/>
          <w:lang w:val="en-US" w:eastAsia="zh-CN"/>
        </w:rPr>
        <w:t>0.1万元</w:t>
      </w:r>
      <w:r>
        <w:rPr>
          <w:rFonts w:hint="eastAsia" w:ascii="仿宋" w:hAnsi="仿宋" w:eastAsia="仿宋"/>
          <w:color w:val="auto"/>
          <w:sz w:val="32"/>
          <w:szCs w:val="32"/>
          <w:highlight w:val="none"/>
        </w:rPr>
        <w:t>、水费</w:t>
      </w:r>
      <w:r>
        <w:rPr>
          <w:rFonts w:hint="eastAsia" w:ascii="仿宋" w:hAnsi="仿宋" w:eastAsia="仿宋"/>
          <w:color w:val="auto"/>
          <w:sz w:val="32"/>
          <w:szCs w:val="32"/>
          <w:highlight w:val="none"/>
          <w:lang w:val="en-US" w:eastAsia="zh-CN"/>
        </w:rPr>
        <w:t>0.05万元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0.1万元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0.24万元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4.56万元</w:t>
      </w:r>
      <w:r>
        <w:rPr>
          <w:rFonts w:hint="eastAsia" w:ascii="仿宋" w:hAnsi="仿宋" w:eastAsia="仿宋"/>
          <w:color w:val="auto"/>
          <w:sz w:val="32"/>
          <w:szCs w:val="32"/>
          <w:highlight w:val="none"/>
        </w:rPr>
        <w:t>、租赁费</w:t>
      </w:r>
      <w:r>
        <w:rPr>
          <w:rFonts w:hint="eastAsia" w:ascii="仿宋" w:hAnsi="仿宋" w:eastAsia="仿宋"/>
          <w:color w:val="auto"/>
          <w:sz w:val="32"/>
          <w:szCs w:val="32"/>
          <w:highlight w:val="none"/>
          <w:lang w:val="en-US" w:eastAsia="zh-CN"/>
        </w:rPr>
        <w:t>0.29万元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0.37万元</w:t>
      </w:r>
      <w:r>
        <w:rPr>
          <w:rFonts w:hint="eastAsia" w:ascii="仿宋" w:hAnsi="仿宋" w:eastAsia="仿宋"/>
          <w:color w:val="auto"/>
          <w:sz w:val="32"/>
          <w:szCs w:val="32"/>
          <w:highlight w:val="none"/>
        </w:rPr>
        <w:t>、劳务费</w:t>
      </w:r>
      <w:r>
        <w:rPr>
          <w:rFonts w:hint="eastAsia" w:ascii="仿宋" w:hAnsi="仿宋" w:eastAsia="仿宋"/>
          <w:color w:val="auto"/>
          <w:sz w:val="32"/>
          <w:szCs w:val="32"/>
          <w:highlight w:val="none"/>
          <w:lang w:val="en-US" w:eastAsia="zh-CN"/>
        </w:rPr>
        <w:t>1.56万元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1.09万元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1.81万元</w:t>
      </w:r>
      <w:r>
        <w:rPr>
          <w:rFonts w:hint="eastAsia" w:ascii="仿宋" w:hAnsi="仿宋" w:eastAsia="仿宋"/>
          <w:color w:val="auto"/>
          <w:sz w:val="32"/>
          <w:szCs w:val="32"/>
          <w:highlight w:val="none"/>
        </w:rPr>
        <w:t>。</w:t>
      </w:r>
    </w:p>
    <w:p>
      <w:pPr>
        <w:spacing w:line="600" w:lineRule="exact"/>
        <w:ind w:firstLine="640"/>
        <w:outlineLvl w:val="1"/>
        <w:rPr>
          <w:rStyle w:val="26"/>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0.37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53</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000000"/>
          <w:sz w:val="32"/>
          <w:szCs w:val="32"/>
          <w:lang w:eastAsia="zh-CN"/>
        </w:rPr>
        <w:t>认真贯彻落实中央八项规定精神，采取有效措施严格控制接待范围和接待标准</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000000"/>
          <w:sz w:val="32"/>
          <w:szCs w:val="32"/>
          <w:lang w:eastAsia="zh-CN"/>
        </w:rPr>
        <w:t>年初未安排预算</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000000"/>
          <w:sz w:val="32"/>
          <w:szCs w:val="32"/>
          <w:lang w:eastAsia="zh-CN"/>
        </w:rPr>
        <w:t>年初未安排预算</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0.37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jc w:val="center"/>
        <w:rPr>
          <w:rFonts w:hint="eastAsia" w:eastAsia="仿宋"/>
          <w:lang w:val="en-US" w:eastAsia="zh-CN"/>
        </w:rPr>
      </w:pPr>
      <w:r>
        <w:rPr>
          <w:rFonts w:hint="eastAsia" w:ascii="仿宋" w:hAnsi="仿宋" w:eastAsia="仿宋"/>
          <w:color w:val="auto"/>
          <w:sz w:val="32"/>
          <w:szCs w:val="32"/>
          <w:highlight w:val="none"/>
          <w:shd w:val="pct10" w:color="auto" w:fill="FFFFFF"/>
          <w:lang w:eastAsia="zh-CN"/>
        </w:rPr>
        <w:drawing>
          <wp:anchor distT="0" distB="0" distL="114300" distR="114300" simplePos="0" relativeHeight="251662336" behindDoc="0" locked="0" layoutInCell="1" allowOverlap="1">
            <wp:simplePos x="0" y="0"/>
            <wp:positionH relativeFrom="column">
              <wp:posOffset>273050</wp:posOffset>
            </wp:positionH>
            <wp:positionV relativeFrom="paragraph">
              <wp:posOffset>101600</wp:posOffset>
            </wp:positionV>
            <wp:extent cx="4740910" cy="2119630"/>
            <wp:effectExtent l="4445" t="4445" r="17145" b="9525"/>
            <wp:wrapTopAndBottom/>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（图7：“三公”经费财政拨款支出结构）（饼状图）</w:t>
      </w:r>
    </w:p>
    <w:p>
      <w:pPr>
        <w:spacing w:line="600" w:lineRule="exact"/>
        <w:ind w:firstLine="640"/>
        <w:rPr>
          <w:rFonts w:hint="eastAsia" w:ascii="仿宋_GB2312" w:eastAsia="仿宋_GB2312"/>
          <w:color w:val="auto"/>
          <w:sz w:val="32"/>
          <w:szCs w:val="32"/>
          <w:highlight w:val="none"/>
          <w:lang w:val="en-US"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年初未安排预算，</w:t>
      </w:r>
      <w:r>
        <w:rPr>
          <w:rFonts w:hint="eastAsia" w:ascii="仿宋_GB2312" w:eastAsia="仿宋_GB2312"/>
          <w:color w:val="auto"/>
          <w:sz w:val="32"/>
          <w:szCs w:val="32"/>
          <w:highlight w:val="none"/>
        </w:rPr>
        <w:t>因公出国（境）支出决算</w:t>
      </w:r>
      <w:r>
        <w:rPr>
          <w:rFonts w:hint="eastAsia" w:ascii="仿宋_GB2312" w:eastAsia="仿宋_GB2312"/>
          <w:color w:val="auto"/>
          <w:sz w:val="32"/>
          <w:szCs w:val="32"/>
          <w:highlight w:val="none"/>
          <w:lang w:eastAsia="zh-CN"/>
        </w:rPr>
        <w:t>较</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无变化。</w:t>
      </w:r>
      <w:r>
        <w:rPr>
          <w:rFonts w:hint="eastAsia" w:ascii="仿宋_GB2312" w:eastAsia="仿宋_GB2312"/>
          <w:color w:val="auto"/>
          <w:sz w:val="32"/>
          <w:szCs w:val="32"/>
          <w:highlight w:val="none"/>
          <w:lang w:val="en-US" w:eastAsia="zh-CN"/>
        </w:rPr>
        <w:t xml:space="preserve"> </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年初未安排预算，</w:t>
      </w:r>
      <w:r>
        <w:rPr>
          <w:rFonts w:hint="eastAsia" w:ascii="仿宋_GB2312" w:eastAsia="仿宋_GB2312"/>
          <w:color w:val="auto"/>
          <w:sz w:val="32"/>
          <w:szCs w:val="32"/>
          <w:highlight w:val="none"/>
        </w:rPr>
        <w:t>公务用车购置及运行维护费支出决算</w:t>
      </w:r>
      <w:r>
        <w:rPr>
          <w:rFonts w:hint="eastAsia" w:ascii="仿宋_GB2312" w:eastAsia="仿宋_GB2312"/>
          <w:color w:val="auto"/>
          <w:sz w:val="32"/>
          <w:szCs w:val="32"/>
          <w:highlight w:val="none"/>
          <w:lang w:eastAsia="zh-CN"/>
        </w:rPr>
        <w:t>较</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无变化</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0.37</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53</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0.1</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37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加大亭子湖安全监管和漂浮物治理工作</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0.37</w:t>
      </w:r>
      <w:r>
        <w:rPr>
          <w:rFonts w:hint="eastAsia" w:ascii="仿宋_GB2312" w:eastAsia="仿宋_GB2312"/>
          <w:color w:val="auto"/>
          <w:sz w:val="32"/>
          <w:szCs w:val="32"/>
          <w:highlight w:val="none"/>
        </w:rPr>
        <w:t>万元，主要用于执行公务、开展业务活动开支的用餐费。国内公务接待</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29</w:t>
      </w:r>
      <w:r>
        <w:rPr>
          <w:rFonts w:hint="eastAsia" w:ascii="仿宋_GB2312" w:eastAsia="仿宋_GB2312"/>
          <w:color w:val="auto"/>
          <w:sz w:val="32"/>
          <w:szCs w:val="32"/>
          <w:highlight w:val="none"/>
        </w:rPr>
        <w:t>人次，共计支出</w:t>
      </w:r>
      <w:r>
        <w:rPr>
          <w:rFonts w:hint="eastAsia" w:ascii="仿宋_GB2312" w:eastAsia="仿宋_GB2312"/>
          <w:color w:val="auto"/>
          <w:sz w:val="32"/>
          <w:szCs w:val="32"/>
          <w:highlight w:val="none"/>
          <w:lang w:val="en-US" w:eastAsia="zh-CN"/>
        </w:rPr>
        <w:t>0.37</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资源保护和安全监管工作</w:t>
      </w:r>
      <w:r>
        <w:rPr>
          <w:rFonts w:hint="eastAsia" w:ascii="仿宋_GB2312" w:eastAsia="仿宋_GB2312"/>
          <w:color w:val="auto"/>
          <w:sz w:val="32"/>
          <w:szCs w:val="32"/>
          <w:highlight w:val="none"/>
          <w:lang w:val="en-US" w:eastAsia="zh-CN"/>
        </w:rPr>
        <w:t>0.15万元，项目和产业发展0.14万元，乡村振兴0.08万元</w:t>
      </w:r>
      <w:r>
        <w:rPr>
          <w:rFonts w:hint="eastAsia" w:ascii="仿宋_GB2312" w:eastAsia="仿宋_GB2312"/>
          <w:color w:val="auto"/>
          <w:sz w:val="32"/>
          <w:szCs w:val="32"/>
          <w:highlight w:val="none"/>
        </w:rPr>
        <w:t>。</w:t>
      </w:r>
    </w:p>
    <w:p>
      <w:pPr>
        <w:spacing w:line="600" w:lineRule="exact"/>
        <w:ind w:firstLine="645"/>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bookmarkStart w:id="40" w:name="_Toc15377218"/>
      <w:bookmarkStart w:id="41" w:name="_Toc15396610"/>
      <w:r>
        <w:rPr>
          <w:rFonts w:hint="eastAsia" w:ascii="仿宋_GB2312" w:eastAsia="仿宋_GB2312"/>
          <w:color w:val="auto"/>
          <w:sz w:val="32"/>
          <w:szCs w:val="32"/>
          <w:highlight w:val="none"/>
          <w:lang w:val="en-US" w:eastAsia="zh-CN"/>
        </w:rPr>
        <w:t xml:space="preserve"> </w:t>
      </w:r>
    </w:p>
    <w:p>
      <w:pPr>
        <w:spacing w:line="600" w:lineRule="exact"/>
        <w:ind w:firstLine="640"/>
        <w:outlineLvl w:val="1"/>
        <w:rPr>
          <w:rStyle w:val="26"/>
          <w:rFonts w:ascii="黑体" w:hAnsi="黑体" w:eastAsia="黑体"/>
          <w:color w:val="auto"/>
          <w:highlight w:val="none"/>
        </w:rPr>
      </w:pPr>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ascii="黑体" w:hAnsi="黑体" w:eastAsia="黑体"/>
          <w:b w:val="0"/>
          <w:color w:val="auto"/>
          <w:highlight w:val="none"/>
        </w:rPr>
      </w:pPr>
      <w:bookmarkStart w:id="42" w:name="_Toc15377219"/>
      <w:bookmarkStart w:id="43" w:name="_Toc15396611"/>
      <w:r>
        <w:rPr>
          <w:rStyle w:val="26"/>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hint="eastAsia" w:ascii="黑体" w:hAnsi="黑体" w:eastAsia="黑体"/>
          <w:b w:val="0"/>
          <w:color w:val="auto"/>
          <w:highlight w:val="none"/>
        </w:rPr>
      </w:pPr>
      <w:bookmarkStart w:id="44" w:name="_Toc15377221"/>
      <w:bookmarkStart w:id="45" w:name="_Toc15396612"/>
      <w:r>
        <w:rPr>
          <w:rStyle w:val="26"/>
          <w:rFonts w:hint="eastAsia" w:ascii="黑体" w:hAnsi="黑体" w:eastAsia="黑体"/>
          <w:b w:val="0"/>
          <w:color w:val="auto"/>
          <w:highlight w:val="none"/>
          <w:lang w:val="en-US" w:eastAsia="zh-CN"/>
        </w:rPr>
        <w:t>预算绩效管理情况</w:t>
      </w:r>
    </w:p>
    <w:p>
      <w:pPr>
        <w:spacing w:line="580" w:lineRule="exact"/>
        <w:ind w:firstLine="640" w:firstLineChars="200"/>
        <w:rPr>
          <w:rFonts w:hint="eastAsia" w:eastAsia="仿宋_GB2312"/>
          <w:lang w:eastAsia="zh-CN"/>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eastAsia="zh-CN"/>
        </w:rPr>
        <w:t>招商引资工作经费和生态环境保护奖补资金两个</w:t>
      </w:r>
      <w:r>
        <w:rPr>
          <w:rFonts w:hint="eastAsia" w:ascii="仿宋_GB2312" w:hAnsi="仿宋_GB2312" w:eastAsia="仿宋_GB2312" w:cs="仿宋_GB2312"/>
          <w:color w:val="auto"/>
          <w:sz w:val="32"/>
          <w:szCs w:val="32"/>
          <w:highlight w:val="none"/>
          <w:lang w:val="en-US" w:eastAsia="zh-CN"/>
        </w:rPr>
        <w:t>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eastAsia="zh-CN"/>
        </w:rPr>
        <w:t>两个</w:t>
      </w:r>
      <w:r>
        <w:rPr>
          <w:rFonts w:hint="eastAsia" w:ascii="仿宋_GB2312" w:hAnsi="仿宋_GB2312" w:eastAsia="仿宋_GB2312" w:cs="仿宋_GB2312"/>
          <w:color w:val="auto"/>
          <w:sz w:val="32"/>
          <w:szCs w:val="32"/>
          <w:highlight w:val="none"/>
        </w:rPr>
        <w:t>项目编制了绩效目标，预算执行过程中，</w:t>
      </w:r>
      <w:r>
        <w:rPr>
          <w:rFonts w:hint="eastAsia" w:ascii="仿宋_GB2312" w:hAnsi="仿宋_GB2312" w:eastAsia="仿宋_GB2312" w:cs="仿宋_GB2312"/>
          <w:color w:val="auto"/>
          <w:sz w:val="32"/>
          <w:szCs w:val="32"/>
          <w:highlight w:val="none"/>
          <w:lang w:eastAsia="zh-CN"/>
        </w:rPr>
        <w:t>对两个</w:t>
      </w:r>
      <w:r>
        <w:rPr>
          <w:rFonts w:hint="eastAsia" w:ascii="仿宋_GB2312" w:hAnsi="仿宋_GB2312" w:eastAsia="仿宋_GB2312" w:cs="仿宋_GB2312"/>
          <w:color w:val="auto"/>
          <w:sz w:val="32"/>
          <w:szCs w:val="32"/>
          <w:highlight w:val="none"/>
        </w:rPr>
        <w:t>项目开展绩效监控，年终执行完毕后，对</w:t>
      </w:r>
      <w:r>
        <w:rPr>
          <w:rFonts w:hint="eastAsia" w:ascii="仿宋_GB2312" w:hAnsi="仿宋_GB2312" w:eastAsia="仿宋_GB2312" w:cs="仿宋_GB2312"/>
          <w:color w:val="auto"/>
          <w:sz w:val="32"/>
          <w:szCs w:val="32"/>
          <w:highlight w:val="none"/>
          <w:lang w:eastAsia="zh-CN"/>
        </w:rPr>
        <w:t>两个</w:t>
      </w:r>
      <w:r>
        <w:rPr>
          <w:rFonts w:hint="eastAsia" w:ascii="仿宋_GB2312" w:hAnsi="仿宋_GB2312" w:eastAsia="仿宋_GB2312" w:cs="仿宋_GB2312"/>
          <w:color w:val="auto"/>
          <w:sz w:val="32"/>
          <w:szCs w:val="32"/>
          <w:highlight w:val="none"/>
        </w:rPr>
        <w:t>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2021年部门预算项目绩效目标自评表见附件（第四部分）</w:t>
      </w:r>
      <w:r>
        <w:rPr>
          <w:rFonts w:hint="eastAsia" w:ascii="仿宋_GB2312" w:hAnsi="仿宋_GB2312" w:eastAsia="仿宋_GB2312" w:cs="仿宋_GB2312"/>
          <w:color w:val="auto"/>
          <w:sz w:val="32"/>
          <w:szCs w:val="32"/>
          <w:highlight w:val="none"/>
        </w:rPr>
        <w:t>。</w:t>
      </w:r>
    </w:p>
    <w:p>
      <w:pPr>
        <w:numPr>
          <w:ilvl w:val="0"/>
          <w:numId w:val="3"/>
        </w:numPr>
        <w:spacing w:line="600" w:lineRule="exact"/>
        <w:ind w:firstLine="640"/>
        <w:outlineLvl w:val="1"/>
        <w:rPr>
          <w:rStyle w:val="26"/>
          <w:rFonts w:hint="eastAsia" w:ascii="黑体" w:hAnsi="黑体" w:eastAsia="黑体"/>
          <w:b w:val="0"/>
          <w:color w:val="auto"/>
          <w:highlight w:val="none"/>
        </w:rPr>
      </w:pPr>
      <w:r>
        <w:rPr>
          <w:rStyle w:val="26"/>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lang w:eastAsia="zh-CN"/>
        </w:rPr>
        <w:t>区亭子湖景区保护与发展中心属于事业单位，</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决算数持平。</w:t>
      </w:r>
      <w:r>
        <w:rPr>
          <w:rFonts w:hint="eastAsia" w:ascii="仿宋_GB2312" w:eastAsia="仿宋_GB2312"/>
          <w:color w:val="auto"/>
          <w:sz w:val="32"/>
          <w:szCs w:val="32"/>
          <w:highlight w:val="none"/>
          <w:lang w:val="en-US" w:eastAsia="zh-CN"/>
        </w:rPr>
        <w:t xml:space="preserve"> </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hint="eastAsia" w:ascii="仿宋" w:hAnsi="仿宋" w:eastAsia="仿宋_GB2312"/>
          <w:b/>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lang w:eastAsia="zh-CN"/>
        </w:rPr>
        <w:t>区亭子湖景区保护与发展中心年初未预算采购经费，</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 xml:space="preserve"> </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000000"/>
          <w:sz w:val="32"/>
          <w:szCs w:val="32"/>
          <w:lang w:eastAsia="zh-CN"/>
        </w:rPr>
        <w:t>区亭子湖景区保护与发展中心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bookmarkStart w:id="67" w:name="_GoBack"/>
      <w:bookmarkEnd w:id="67"/>
    </w:p>
    <w:p>
      <w:pPr>
        <w:numPr>
          <w:ilvl w:val="0"/>
          <w:numId w:val="4"/>
        </w:numPr>
        <w:spacing w:line="600" w:lineRule="exact"/>
        <w:ind w:firstLine="660" w:firstLineChars="150"/>
        <w:jc w:val="center"/>
        <w:outlineLvl w:val="0"/>
        <w:rPr>
          <w:rStyle w:val="25"/>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3"/>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财政拨款收入：指单位从同级财政部门取得的财政预算资金。</w:t>
      </w:r>
    </w:p>
    <w:p>
      <w:pPr>
        <w:pStyle w:val="23"/>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2.</w:t>
      </w:r>
      <w:r>
        <w:rPr>
          <w:rFonts w:ascii="仿宋_GB2312" w:hAnsi="微软雅黑" w:eastAsia="仿宋_GB2312" w:cs="仿宋_GB2312"/>
          <w:sz w:val="31"/>
          <w:szCs w:val="31"/>
        </w:rPr>
        <w:t>一般公共预算拨款收入：指</w:t>
      </w:r>
      <w:r>
        <w:rPr>
          <w:rFonts w:hint="eastAsia" w:ascii="仿宋_GB2312" w:hAnsi="微软雅黑" w:eastAsia="仿宋_GB2312" w:cs="仿宋_GB2312"/>
          <w:sz w:val="31"/>
          <w:szCs w:val="31"/>
        </w:rPr>
        <w:t>同</w:t>
      </w:r>
      <w:r>
        <w:rPr>
          <w:rFonts w:ascii="仿宋_GB2312" w:hAnsi="微软雅黑" w:eastAsia="仿宋_GB2312" w:cs="仿宋_GB2312"/>
          <w:sz w:val="31"/>
          <w:szCs w:val="31"/>
        </w:rPr>
        <w:t>级财政当年拨付的资金。</w:t>
      </w:r>
    </w:p>
    <w:p>
      <w:pPr>
        <w:pStyle w:val="23"/>
        <w:numPr>
          <w:ilvl w:val="0"/>
          <w:numId w:val="0"/>
        </w:numPr>
        <w:spacing w:line="560" w:lineRule="exact"/>
        <w:ind w:firstLine="620" w:firstLineChars="200"/>
        <w:rPr>
          <w:rFonts w:hint="eastAsia" w:ascii="仿宋_GB2312" w:hAnsi="微软雅黑" w:eastAsia="仿宋_GB2312" w:cs="仿宋_GB2312"/>
          <w:sz w:val="31"/>
          <w:szCs w:val="31"/>
        </w:rPr>
      </w:pPr>
      <w:r>
        <w:rPr>
          <w:rFonts w:hint="eastAsia" w:ascii="仿宋_GB2312" w:hAnsi="微软雅黑" w:eastAsia="仿宋_GB2312" w:cs="仿宋_GB2312"/>
          <w:sz w:val="31"/>
          <w:szCs w:val="31"/>
          <w:lang w:val="en-US" w:eastAsia="zh-CN"/>
        </w:rPr>
        <w:t>3</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hint="eastAsia" w:ascii="仿宋_GB2312" w:hAnsi="微软雅黑" w:eastAsia="仿宋_GB2312" w:cs="仿宋_GB2312"/>
          <w:sz w:val="31"/>
          <w:szCs w:val="31"/>
        </w:rPr>
        <w:t xml:space="preserve">。 </w:t>
      </w:r>
    </w:p>
    <w:p>
      <w:pPr>
        <w:pStyle w:val="23"/>
        <w:numPr>
          <w:ilvl w:val="0"/>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pStyle w:val="23"/>
        <w:numPr>
          <w:ilvl w:val="0"/>
          <w:numId w:val="0"/>
        </w:numPr>
        <w:spacing w:line="560" w:lineRule="exact"/>
        <w:ind w:firstLine="640" w:firstLineChars="200"/>
        <w:rPr>
          <w:rFonts w:hint="eastAsia" w:ascii="仿宋_GB2312" w:hAnsi="微软雅黑" w:eastAsia="仿宋_GB2312" w:cs="仿宋_GB2312"/>
          <w:sz w:val="31"/>
          <w:szCs w:val="31"/>
        </w:rPr>
      </w:pPr>
      <w:r>
        <w:rPr>
          <w:rFonts w:hint="eastAsia" w:ascii="仿宋_GB2312" w:eastAsia="仿宋_GB2312"/>
          <w:sz w:val="32"/>
          <w:szCs w:val="32"/>
          <w:lang w:val="en-US" w:eastAsia="zh-CN"/>
        </w:rPr>
        <w:t>5.</w:t>
      </w:r>
      <w:r>
        <w:rPr>
          <w:rFonts w:hint="eastAsia" w:ascii="仿宋_GB2312" w:hAnsi="微软雅黑" w:eastAsia="仿宋_GB2312" w:cs="仿宋_GB2312"/>
          <w:sz w:val="31"/>
          <w:szCs w:val="31"/>
        </w:rPr>
        <w:t>文化旅游体育和传媒</w:t>
      </w:r>
      <w:r>
        <w:rPr>
          <w:rFonts w:ascii="仿宋_GB2312" w:hAnsi="微软雅黑" w:eastAsia="仿宋_GB2312" w:cs="仿宋_GB2312"/>
          <w:sz w:val="31"/>
          <w:szCs w:val="31"/>
        </w:rPr>
        <w:t>（类）</w:t>
      </w:r>
      <w:r>
        <w:rPr>
          <w:rFonts w:hint="eastAsia" w:ascii="仿宋_GB2312" w:hAnsi="微软雅黑" w:eastAsia="仿宋_GB2312" w:cs="仿宋_GB2312"/>
          <w:sz w:val="31"/>
          <w:szCs w:val="31"/>
        </w:rPr>
        <w:t>文化和旅游</w:t>
      </w:r>
      <w:r>
        <w:rPr>
          <w:rFonts w:ascii="仿宋_GB2312" w:hAnsi="微软雅黑" w:eastAsia="仿宋_GB2312" w:cs="仿宋_GB2312"/>
          <w:sz w:val="31"/>
          <w:szCs w:val="31"/>
        </w:rPr>
        <w:t>（款）行政运行（项）：</w:t>
      </w:r>
      <w:r>
        <w:rPr>
          <w:rFonts w:hint="eastAsia" w:ascii="仿宋_GB2312" w:hAnsi="微软雅黑" w:eastAsia="仿宋_GB2312" w:cs="仿宋_GB2312"/>
          <w:sz w:val="31"/>
          <w:szCs w:val="31"/>
        </w:rPr>
        <w:t>反映单位的基本支出</w:t>
      </w:r>
    </w:p>
    <w:p>
      <w:pPr>
        <w:pStyle w:val="23"/>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6.</w:t>
      </w:r>
      <w:r>
        <w:rPr>
          <w:rFonts w:hint="eastAsia" w:ascii="仿宋_GB2312" w:hAnsi="微软雅黑" w:eastAsia="仿宋_GB2312" w:cs="仿宋_GB2312"/>
          <w:sz w:val="31"/>
          <w:szCs w:val="31"/>
        </w:rPr>
        <w:t>文化旅游体育和传媒支出</w:t>
      </w:r>
      <w:r>
        <w:rPr>
          <w:rFonts w:ascii="仿宋_GB2312" w:hAnsi="微软雅黑" w:eastAsia="仿宋_GB2312" w:cs="仿宋_GB2312"/>
          <w:sz w:val="31"/>
          <w:szCs w:val="31"/>
        </w:rPr>
        <w:t>（类）</w:t>
      </w:r>
      <w:r>
        <w:rPr>
          <w:rFonts w:hint="eastAsia" w:ascii="仿宋_GB2312" w:hAnsi="微软雅黑" w:eastAsia="仿宋_GB2312" w:cs="仿宋_GB2312"/>
          <w:sz w:val="31"/>
          <w:szCs w:val="31"/>
        </w:rPr>
        <w:t>文化和旅游</w:t>
      </w:r>
      <w:r>
        <w:rPr>
          <w:rFonts w:ascii="仿宋_GB2312" w:hAnsi="微软雅黑" w:eastAsia="仿宋_GB2312" w:cs="仿宋_GB2312"/>
          <w:sz w:val="31"/>
          <w:szCs w:val="31"/>
        </w:rPr>
        <w:t>（款）</w:t>
      </w:r>
      <w:r>
        <w:rPr>
          <w:rFonts w:hint="eastAsia" w:ascii="仿宋_GB2312" w:hAnsi="微软雅黑" w:eastAsia="仿宋_GB2312" w:cs="仿宋_GB2312"/>
          <w:sz w:val="31"/>
          <w:szCs w:val="31"/>
        </w:rPr>
        <w:t>其他文化和旅游支出</w:t>
      </w:r>
      <w:r>
        <w:rPr>
          <w:rFonts w:ascii="仿宋_GB2312" w:hAnsi="微软雅黑" w:eastAsia="仿宋_GB2312" w:cs="仿宋_GB2312"/>
          <w:sz w:val="31"/>
          <w:szCs w:val="31"/>
        </w:rPr>
        <w:t>（项）</w:t>
      </w:r>
      <w:r>
        <w:rPr>
          <w:rFonts w:hint="eastAsia" w:ascii="仿宋_GB2312" w:hAnsi="微软雅黑" w:eastAsia="仿宋_GB2312" w:cs="仿宋_GB2312"/>
          <w:sz w:val="31"/>
          <w:szCs w:val="31"/>
        </w:rPr>
        <w:t>：反映除上述项目以外其他用于文化和旅游方面的支出。</w:t>
      </w:r>
    </w:p>
    <w:p>
      <w:pPr>
        <w:pStyle w:val="23"/>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7.</w:t>
      </w:r>
      <w:r>
        <w:rPr>
          <w:rFonts w:ascii="仿宋_GB2312" w:hAnsi="微软雅黑" w:eastAsia="仿宋_GB2312" w:cs="仿宋_GB2312"/>
          <w:sz w:val="31"/>
          <w:szCs w:val="31"/>
        </w:rPr>
        <w:t>社会保障和就业（类）行政事业单位养老支出（款）机关事业单位基本养老保险缴费支出（项）：</w:t>
      </w:r>
      <w:r>
        <w:rPr>
          <w:rFonts w:hint="eastAsia" w:ascii="仿宋_GB2312" w:hAnsi="微软雅黑" w:eastAsia="仿宋_GB2312" w:cs="仿宋_GB2312"/>
          <w:sz w:val="31"/>
          <w:szCs w:val="31"/>
        </w:rPr>
        <w:t>反映机关事业单位</w:t>
      </w:r>
      <w:r>
        <w:rPr>
          <w:rFonts w:ascii="仿宋_GB2312" w:hAnsi="微软雅黑" w:eastAsia="仿宋_GB2312" w:cs="仿宋_GB2312"/>
          <w:sz w:val="31"/>
          <w:szCs w:val="31"/>
        </w:rPr>
        <w:t>实施养老保险制度由单位缴纳的养老保险费的支出。</w:t>
      </w:r>
    </w:p>
    <w:p>
      <w:pPr>
        <w:pStyle w:val="23"/>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8.</w:t>
      </w:r>
      <w:r>
        <w:rPr>
          <w:rFonts w:ascii="仿宋_GB2312" w:hAnsi="微软雅黑" w:eastAsia="仿宋_GB2312" w:cs="仿宋_GB2312"/>
          <w:sz w:val="31"/>
          <w:szCs w:val="31"/>
        </w:rPr>
        <w:t>卫生健康（类）行政事业单位医疗（款）事业单位医疗（项）：指事业单位用于单位应缴纳基本医疗保险支出。</w:t>
      </w:r>
    </w:p>
    <w:p>
      <w:pPr>
        <w:pStyle w:val="23"/>
        <w:numPr>
          <w:ilvl w:val="0"/>
          <w:numId w:val="0"/>
        </w:numPr>
        <w:spacing w:line="560" w:lineRule="exact"/>
        <w:ind w:firstLine="620" w:firstLineChars="200"/>
        <w:rPr>
          <w:rFonts w:hint="eastAsia" w:ascii="仿宋_GB2312" w:hAnsi="微软雅黑" w:eastAsia="仿宋_GB2312" w:cs="仿宋_GB2312"/>
          <w:sz w:val="31"/>
          <w:szCs w:val="31"/>
          <w:lang w:val="en-US" w:eastAsia="zh-CN"/>
        </w:rPr>
      </w:pPr>
      <w:r>
        <w:rPr>
          <w:rFonts w:hint="eastAsia" w:ascii="仿宋_GB2312" w:hAnsi="微软雅黑" w:eastAsia="仿宋_GB2312" w:cs="仿宋_GB2312"/>
          <w:sz w:val="31"/>
          <w:szCs w:val="31"/>
          <w:lang w:val="en-US" w:eastAsia="zh-CN"/>
        </w:rPr>
        <w:t>9.节能环保（类）污染防治（款）其他污染防治支出（项）：反映除上述项目以外其他用于污染防治方面的支出。</w:t>
      </w:r>
    </w:p>
    <w:p>
      <w:pPr>
        <w:pStyle w:val="23"/>
        <w:numPr>
          <w:ilvl w:val="0"/>
          <w:numId w:val="0"/>
        </w:numPr>
        <w:spacing w:line="560" w:lineRule="exact"/>
        <w:ind w:firstLine="620" w:firstLineChars="200"/>
        <w:rPr>
          <w:rFonts w:hint="eastAsia" w:ascii="仿宋_GB2312" w:hAnsi="微软雅黑" w:eastAsia="仿宋_GB2312" w:cs="仿宋_GB2312"/>
          <w:sz w:val="31"/>
          <w:szCs w:val="31"/>
        </w:rPr>
      </w:pPr>
      <w:r>
        <w:rPr>
          <w:rFonts w:hint="eastAsia" w:ascii="仿宋_GB2312" w:hAnsi="微软雅黑" w:eastAsia="仿宋_GB2312" w:cs="仿宋_GB2312"/>
          <w:sz w:val="31"/>
          <w:szCs w:val="31"/>
          <w:lang w:val="en-US" w:eastAsia="zh-CN"/>
        </w:rPr>
        <w:t>10.</w:t>
      </w:r>
      <w:r>
        <w:rPr>
          <w:rFonts w:ascii="仿宋_GB2312" w:hAnsi="微软雅黑" w:eastAsia="仿宋_GB2312" w:cs="仿宋_GB2312"/>
          <w:sz w:val="31"/>
          <w:szCs w:val="31"/>
        </w:rPr>
        <w:t>住房保障（类）住房改革支出（款）住房公积金（项）：</w:t>
      </w:r>
      <w:r>
        <w:rPr>
          <w:rFonts w:hint="eastAsia" w:ascii="仿宋_GB2312" w:hAnsi="微软雅黑" w:eastAsia="仿宋_GB2312" w:cs="仿宋_GB2312"/>
          <w:sz w:val="31"/>
          <w:szCs w:val="31"/>
        </w:rPr>
        <w:t xml:space="preserve">反映行政事业单位按人力资源和社会保障部、财政部规定的基本工资和津贴补贴以及规定比例为职工缴纳的住房公积金。 </w:t>
      </w:r>
      <w:r>
        <w:rPr>
          <w:rFonts w:ascii="仿宋_GB2312" w:hAnsi="微软雅黑" w:eastAsia="仿宋_GB2312" w:cs="仿宋_GB2312"/>
          <w:sz w:val="31"/>
          <w:szCs w:val="31"/>
        </w:rPr>
        <w:t>　　</w:t>
      </w:r>
      <w:r>
        <w:rPr>
          <w:rFonts w:hint="eastAsia" w:ascii="仿宋_GB2312" w:hAnsi="微软雅黑" w:eastAsia="仿宋_GB2312" w:cs="仿宋_GB2312"/>
          <w:sz w:val="31"/>
          <w:szCs w:val="31"/>
        </w:rPr>
        <w:t xml:space="preserve"> </w:t>
      </w:r>
      <w:r>
        <w:rPr>
          <w:rFonts w:ascii="仿宋_GB2312" w:hAnsi="微软雅黑" w:eastAsia="仿宋_GB2312" w:cs="仿宋_GB2312"/>
          <w:sz w:val="31"/>
          <w:szCs w:val="31"/>
        </w:rPr>
        <w:t>　　</w:t>
      </w:r>
      <w:r>
        <w:rPr>
          <w:rFonts w:hint="eastAsia" w:ascii="仿宋_GB2312" w:hAnsi="微软雅黑" w:eastAsia="仿宋_GB2312" w:cs="仿宋_GB2312"/>
          <w:sz w:val="31"/>
          <w:szCs w:val="31"/>
        </w:rPr>
        <w:t xml:space="preserve">  </w:t>
      </w:r>
    </w:p>
    <w:p>
      <w:pPr>
        <w:pStyle w:val="23"/>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11.</w:t>
      </w:r>
      <w:r>
        <w:rPr>
          <w:rFonts w:ascii="仿宋_GB2312" w:hAnsi="微软雅黑" w:eastAsia="仿宋_GB2312" w:cs="仿宋_GB2312"/>
          <w:sz w:val="31"/>
          <w:szCs w:val="31"/>
        </w:rPr>
        <w:t>基本支出：指为保证机构正常运转，完成日常工作任务而发生的人员支出和公用支出。</w:t>
      </w:r>
    </w:p>
    <w:p>
      <w:pPr>
        <w:pStyle w:val="23"/>
        <w:numPr>
          <w:ilvl w:val="0"/>
          <w:numId w:val="0"/>
        </w:numPr>
        <w:spacing w:line="560" w:lineRule="exact"/>
        <w:ind w:firstLine="620" w:firstLineChars="200"/>
        <w:rPr>
          <w:rFonts w:ascii="仿宋_GB2312" w:hAnsi="微软雅黑" w:eastAsia="仿宋_GB2312" w:cs="仿宋_GB2312"/>
          <w:sz w:val="31"/>
          <w:szCs w:val="31"/>
        </w:rPr>
      </w:pPr>
      <w:r>
        <w:rPr>
          <w:rFonts w:hint="eastAsia" w:ascii="仿宋_GB2312" w:hAnsi="微软雅黑" w:eastAsia="仿宋_GB2312" w:cs="仿宋_GB2312"/>
          <w:sz w:val="31"/>
          <w:szCs w:val="31"/>
          <w:lang w:val="en-US" w:eastAsia="zh-CN"/>
        </w:rPr>
        <w:t>12.</w:t>
      </w:r>
      <w:r>
        <w:rPr>
          <w:rFonts w:ascii="仿宋_GB2312" w:hAnsi="微软雅黑" w:eastAsia="仿宋_GB2312" w:cs="仿宋_GB2312"/>
          <w:sz w:val="31"/>
          <w:szCs w:val="31"/>
        </w:rPr>
        <w:t>项目支出：指在基本支出之外为完成特定行政任务和事业发展目标所发生的支出。</w:t>
      </w:r>
    </w:p>
    <w:p>
      <w:pPr>
        <w:pStyle w:val="23"/>
        <w:numPr>
          <w:ilvl w:val="0"/>
          <w:numId w:val="0"/>
        </w:numPr>
        <w:spacing w:line="560" w:lineRule="exact"/>
        <w:ind w:firstLine="620" w:firstLineChars="200"/>
        <w:rPr>
          <w:rFonts w:hint="eastAsia" w:ascii="仿宋_GB2312" w:hAnsi="微软雅黑" w:eastAsia="仿宋_GB2312" w:cs="仿宋_GB2312"/>
          <w:sz w:val="31"/>
          <w:szCs w:val="31"/>
          <w:lang w:eastAsia="zh-CN"/>
        </w:rPr>
      </w:pPr>
      <w:r>
        <w:rPr>
          <w:rFonts w:hint="eastAsia" w:ascii="仿宋_GB2312" w:hAnsi="微软雅黑" w:eastAsia="仿宋_GB2312" w:cs="仿宋_GB2312"/>
          <w:sz w:val="31"/>
          <w:szCs w:val="31"/>
          <w:lang w:val="en-US" w:eastAsia="zh-CN"/>
        </w:rPr>
        <w:t>13.</w:t>
      </w:r>
      <w:r>
        <w:rPr>
          <w:rFonts w:ascii="仿宋_GB2312" w:hAnsi="微软雅黑" w:eastAsia="仿宋_GB2312" w:cs="仿宋_GB2312"/>
          <w:sz w:val="31"/>
          <w:szCs w:val="31"/>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numPr>
          <w:ilvl w:val="0"/>
          <w:numId w:val="0"/>
        </w:numPr>
        <w:spacing w:line="560" w:lineRule="exact"/>
        <w:ind w:firstLine="620" w:firstLineChars="200"/>
        <w:rPr>
          <w:rFonts w:hint="eastAsia" w:eastAsia="仿宋_GB2312"/>
        </w:rPr>
      </w:pPr>
      <w:r>
        <w:rPr>
          <w:rFonts w:ascii="仿宋_GB2312" w:hAnsi="微软雅黑" w:eastAsia="仿宋_GB2312" w:cs="仿宋_GB2312"/>
          <w:sz w:val="31"/>
          <w:szCs w:val="31"/>
        </w:rPr>
        <w:t>　</w:t>
      </w:r>
      <w:r>
        <w:rPr>
          <w:rFonts w:hint="eastAsia" w:ascii="仿宋_GB2312" w:hAnsi="微软雅黑" w:eastAsia="仿宋_GB2312" w:cs="仿宋_GB2312"/>
          <w:sz w:val="31"/>
          <w:szCs w:val="31"/>
        </w:rPr>
        <w:t xml:space="preserve"> </w:t>
      </w:r>
    </w:p>
    <w:p>
      <w:pPr>
        <w:spacing w:line="600" w:lineRule="exact"/>
        <w:jc w:val="center"/>
        <w:outlineLvl w:val="0"/>
        <w:rPr>
          <w:rFonts w:hint="eastAsia" w:ascii="仿宋_GB2312" w:eastAsia="仿宋_GB2312"/>
          <w:color w:val="auto"/>
          <w:sz w:val="32"/>
          <w:szCs w:val="32"/>
          <w:highlight w:val="none"/>
          <w:lang w:val="en-US" w:eastAsia="zh-CN"/>
        </w:rPr>
      </w:pPr>
      <w:bookmarkStart w:id="51" w:name="_Toc15396614"/>
      <w:bookmarkStart w:id="52" w:name="_Toc15377226"/>
      <w:r>
        <w:rPr>
          <w:rFonts w:hint="eastAsia" w:ascii="仿宋_GB2312" w:eastAsia="仿宋_GB2312"/>
          <w:color w:val="auto"/>
          <w:sz w:val="32"/>
          <w:szCs w:val="32"/>
          <w:highlight w:val="none"/>
          <w:lang w:val="en-US" w:eastAsia="zh-CN"/>
        </w:rPr>
        <w:t xml:space="preserve"> </w:t>
      </w:r>
    </w:p>
    <w:p>
      <w:pPr>
        <w:spacing w:line="600" w:lineRule="exact"/>
        <w:jc w:val="center"/>
        <w:outlineLvl w:val="0"/>
        <w:rPr>
          <w:rFonts w:hint="eastAsia" w:ascii="仿宋_GB2312" w:eastAsia="仿宋_GB2312"/>
          <w:color w:val="auto"/>
          <w:sz w:val="32"/>
          <w:szCs w:val="32"/>
          <w:highlight w:val="none"/>
          <w:lang w:val="en-US" w:eastAsia="zh-CN"/>
        </w:rPr>
      </w:pPr>
    </w:p>
    <w:p>
      <w:pPr>
        <w:spacing w:line="600" w:lineRule="exact"/>
        <w:jc w:val="center"/>
        <w:outlineLvl w:val="0"/>
        <w:rPr>
          <w:rFonts w:hint="eastAsia" w:ascii="仿宋_GB2312" w:eastAsia="仿宋_GB2312"/>
          <w:color w:val="auto"/>
          <w:sz w:val="32"/>
          <w:szCs w:val="32"/>
          <w:highlight w:val="none"/>
          <w:lang w:val="en-US" w:eastAsia="zh-CN"/>
        </w:rPr>
      </w:pPr>
    </w:p>
    <w:p>
      <w:pPr>
        <w:spacing w:line="600" w:lineRule="exact"/>
        <w:jc w:val="center"/>
        <w:outlineLvl w:val="0"/>
        <w:rPr>
          <w:rFonts w:hint="eastAsia" w:ascii="仿宋_GB2312" w:eastAsia="仿宋_GB2312"/>
          <w:color w:val="auto"/>
          <w:sz w:val="32"/>
          <w:szCs w:val="32"/>
          <w:highlight w:val="none"/>
          <w:lang w:val="en-US" w:eastAsia="zh-CN"/>
        </w:rPr>
      </w:pPr>
    </w:p>
    <w:p>
      <w:pPr>
        <w:spacing w:line="600" w:lineRule="exact"/>
        <w:jc w:val="center"/>
        <w:outlineLvl w:val="0"/>
        <w:rPr>
          <w:rFonts w:hint="eastAsia" w:ascii="仿宋_GB2312" w:eastAsia="仿宋_GB2312"/>
          <w:color w:val="auto"/>
          <w:sz w:val="32"/>
          <w:szCs w:val="32"/>
          <w:highlight w:val="none"/>
          <w:lang w:val="en-US" w:eastAsia="zh-CN"/>
        </w:rPr>
      </w:pPr>
    </w:p>
    <w:p>
      <w:pPr>
        <w:spacing w:line="600" w:lineRule="exact"/>
        <w:jc w:val="center"/>
        <w:outlineLvl w:val="0"/>
        <w:rPr>
          <w:rFonts w:hint="eastAsia" w:ascii="仿宋_GB2312" w:eastAsia="仿宋_GB2312"/>
          <w:color w:val="auto"/>
          <w:sz w:val="32"/>
          <w:szCs w:val="32"/>
          <w:highlight w:val="none"/>
          <w:lang w:val="en-US" w:eastAsia="zh-CN"/>
        </w:rPr>
      </w:pPr>
    </w:p>
    <w:p>
      <w:pPr>
        <w:spacing w:line="600" w:lineRule="exact"/>
        <w:jc w:val="center"/>
        <w:outlineLvl w:val="0"/>
        <w:rPr>
          <w:rFonts w:hint="eastAsia" w:ascii="仿宋_GB2312" w:eastAsia="仿宋_GB2312"/>
          <w:color w:val="auto"/>
          <w:sz w:val="32"/>
          <w:szCs w:val="32"/>
          <w:highlight w:val="none"/>
          <w:lang w:val="en-US" w:eastAsia="zh-CN"/>
        </w:rPr>
      </w:pPr>
    </w:p>
    <w:p>
      <w:pPr>
        <w:spacing w:line="600" w:lineRule="exact"/>
        <w:jc w:val="center"/>
        <w:outlineLvl w:val="0"/>
        <w:rPr>
          <w:rFonts w:hint="eastAsia" w:ascii="仿宋_GB2312" w:eastAsia="仿宋_GB2312"/>
          <w:color w:val="auto"/>
          <w:sz w:val="32"/>
          <w:szCs w:val="32"/>
          <w:highlight w:val="none"/>
          <w:lang w:val="en-US" w:eastAsia="zh-CN"/>
        </w:rPr>
      </w:pPr>
    </w:p>
    <w:p>
      <w:pPr>
        <w:spacing w:line="600" w:lineRule="exact"/>
        <w:jc w:val="center"/>
        <w:outlineLvl w:val="0"/>
        <w:rPr>
          <w:rFonts w:hint="eastAsia" w:ascii="仿宋_GB2312" w:eastAsia="仿宋_GB2312"/>
          <w:color w:val="auto"/>
          <w:sz w:val="32"/>
          <w:szCs w:val="32"/>
          <w:highlight w:val="none"/>
          <w:lang w:val="en-US" w:eastAsia="zh-CN"/>
        </w:rPr>
      </w:pPr>
    </w:p>
    <w:p>
      <w:pPr>
        <w:spacing w:line="600" w:lineRule="exact"/>
        <w:jc w:val="center"/>
        <w:outlineLvl w:val="0"/>
        <w:rPr>
          <w:rFonts w:hint="eastAsia" w:ascii="仿宋_GB2312" w:eastAsia="仿宋_GB2312"/>
          <w:color w:val="auto"/>
          <w:sz w:val="32"/>
          <w:szCs w:val="32"/>
          <w:highlight w:val="none"/>
          <w:lang w:val="en-US" w:eastAsia="zh-CN"/>
        </w:rPr>
      </w:pPr>
    </w:p>
    <w:p>
      <w:pPr>
        <w:spacing w:line="600" w:lineRule="exact"/>
        <w:jc w:val="center"/>
        <w:outlineLvl w:val="0"/>
        <w:rPr>
          <w:rFonts w:hint="eastAsia" w:ascii="仿宋_GB2312" w:eastAsia="仿宋_GB2312"/>
          <w:color w:val="auto"/>
          <w:sz w:val="32"/>
          <w:szCs w:val="32"/>
          <w:highlight w:val="none"/>
          <w:lang w:val="en-US" w:eastAsia="zh-CN"/>
        </w:rPr>
      </w:pPr>
    </w:p>
    <w:p>
      <w:pPr>
        <w:spacing w:line="600" w:lineRule="exact"/>
        <w:jc w:val="center"/>
        <w:outlineLvl w:val="0"/>
        <w:rPr>
          <w:rFonts w:hint="eastAsia" w:ascii="仿宋_GB2312" w:eastAsia="仿宋_GB2312"/>
          <w:color w:val="auto"/>
          <w:sz w:val="32"/>
          <w:szCs w:val="32"/>
          <w:highlight w:val="none"/>
          <w:lang w:val="en-US" w:eastAsia="zh-CN"/>
        </w:rPr>
      </w:pPr>
    </w:p>
    <w:p>
      <w:pPr>
        <w:spacing w:line="600" w:lineRule="exact"/>
        <w:jc w:val="center"/>
        <w:outlineLvl w:val="0"/>
        <w:rPr>
          <w:rStyle w:val="25"/>
          <w:rFonts w:ascii="黑体" w:hAnsi="黑体" w:eastAsia="黑体"/>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1"/>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310"/>
        <w:gridCol w:w="1275"/>
        <w:gridCol w:w="2238"/>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宋体" w:hAnsi="宋体" w:eastAsia="宋体" w:cs="宋体"/>
                <w:b/>
                <w:i w:val="0"/>
                <w:color w:val="auto"/>
                <w:sz w:val="32"/>
                <w:szCs w:val="32"/>
                <w:u w:val="none"/>
                <w:lang w:val="en-US" w:eastAsia="zh-CN"/>
              </w:rPr>
            </w:pPr>
            <w:bookmarkStart w:id="53" w:name="_Toc15396618"/>
            <w:r>
              <w:rPr>
                <w:rFonts w:hint="eastAsia" w:ascii="宋体" w:hAnsi="宋体" w:cs="宋体"/>
                <w:b/>
                <w:i w:val="0"/>
                <w:color w:val="auto"/>
                <w:sz w:val="32"/>
                <w:szCs w:val="32"/>
                <w:u w:val="none"/>
                <w:lang w:val="en-US" w:eastAsia="zh-CN"/>
              </w:rPr>
              <w:t xml:space="preserve">2021年部门预算项目（招商引资工作经费）绩效目标自评 </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sz w:val="24"/>
                <w:szCs w:val="24"/>
                <w:u w:val="none"/>
                <w:lang w:eastAsia="zh-CN"/>
              </w:rPr>
              <w:t>广元市昭化区亭子湖景区保护与发展中心</w:t>
            </w:r>
            <w:r>
              <w:rPr>
                <w:rFonts w:hint="eastAsia" w:ascii="宋体" w:hAnsi="宋体" w:cs="宋体"/>
                <w:i w:val="0"/>
                <w:color w:val="auto"/>
                <w:sz w:val="24"/>
                <w:szCs w:val="24"/>
                <w:u w:val="none"/>
                <w:lang w:val="en-US" w:eastAsia="zh-CN"/>
              </w:rPr>
              <w:t>356301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广元市昭化区亭子湖景区保护与发展中心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完成招商签约项目1个，到位资金1000万元。</w:t>
            </w:r>
          </w:p>
        </w:tc>
        <w:tc>
          <w:tcPr>
            <w:tcW w:w="351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rPr>
              <w:t>完成投放鱼苗项目一个，到位资金约260万元。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rPr>
              <w:t>招商签约项目个数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rPr>
              <w:t>≥1</w:t>
            </w:r>
            <w:r>
              <w:rPr>
                <w:rFonts w:hint="eastAsia" w:ascii="仿宋_GB2312" w:hAnsi="仿宋_GB2312" w:eastAsia="仿宋_GB2312" w:cs="仿宋_GB2312"/>
                <w:i w:val="0"/>
                <w:color w:val="auto"/>
                <w:sz w:val="13"/>
                <w:szCs w:val="13"/>
                <w:u w:val="none"/>
                <w:lang w:eastAsia="zh-CN"/>
              </w:rPr>
              <w:t>个</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rPr>
              <w:t>招商到位资金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rPr>
              <w:t>≥1000万元</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260万元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rPr>
              <w:t>水质标准</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rPr>
              <w:t>Ⅱ类水质</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rPr>
              <w:t>Ⅱ类水质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rPr>
              <w:t>工作成效影响时间</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rPr>
              <w:t>≥3年</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default" w:ascii="仿宋_GB2312" w:hAnsi="仿宋_GB2312" w:eastAsia="仿宋_GB2312" w:cs="仿宋_GB2312"/>
                <w:i w:val="0"/>
                <w:color w:val="auto"/>
                <w:sz w:val="15"/>
                <w:szCs w:val="15"/>
                <w:u w:val="none"/>
                <w:lang w:val="en-US" w:eastAsia="zh-CN"/>
              </w:rPr>
              <w:t>解决招商工作经费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2.5万元</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景区群众收入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明显提高</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明显提高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受益带动乡镇个数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≥7个</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生态效益破坏率</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明显下降</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明显下降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受益带动群众个数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≥50人</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50人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景区群众</w:t>
            </w:r>
            <w:r>
              <w:rPr>
                <w:rFonts w:hint="eastAsia" w:ascii="仿宋_GB2312" w:hAnsi="仿宋_GB2312" w:eastAsia="仿宋_GB2312" w:cs="仿宋_GB2312"/>
                <w:i w:val="0"/>
                <w:color w:val="auto"/>
                <w:sz w:val="15"/>
                <w:szCs w:val="15"/>
                <w:u w:val="none"/>
                <w:lang w:eastAsia="zh-CN"/>
              </w:rPr>
              <w:t>和企业</w:t>
            </w:r>
            <w:r>
              <w:rPr>
                <w:rFonts w:hint="eastAsia" w:ascii="仿宋_GB2312" w:hAnsi="仿宋_GB2312" w:eastAsia="仿宋_GB2312" w:cs="仿宋_GB2312"/>
                <w:i w:val="0"/>
                <w:color w:val="auto"/>
                <w:sz w:val="15"/>
                <w:szCs w:val="15"/>
                <w:u w:val="none"/>
              </w:rPr>
              <w:t>满意度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≥90%</w:t>
            </w:r>
          </w:p>
        </w:tc>
        <w:tc>
          <w:tcPr>
            <w:tcW w:w="22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90%</w:t>
            </w:r>
          </w:p>
        </w:tc>
      </w:tr>
    </w:tbl>
    <w:p>
      <w:pPr>
        <w:spacing w:line="600" w:lineRule="exact"/>
        <w:jc w:val="center"/>
        <w:outlineLvl w:val="0"/>
        <w:rPr>
          <w:rFonts w:hint="eastAsia" w:ascii="黑体" w:hAnsi="黑体" w:eastAsia="黑体"/>
          <w:color w:val="auto"/>
          <w:sz w:val="44"/>
          <w:szCs w:val="44"/>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w:t>
      </w: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310"/>
        <w:gridCol w:w="1245"/>
        <w:gridCol w:w="2268"/>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default" w:ascii="宋体" w:hAnsi="宋体" w:eastAsia="宋体" w:cs="宋体"/>
                <w:b/>
                <w:i w:val="0"/>
                <w:color w:val="auto"/>
                <w:sz w:val="32"/>
                <w:szCs w:val="32"/>
                <w:u w:val="none"/>
                <w:lang w:val="en-US" w:eastAsia="zh-CN"/>
              </w:rPr>
            </w:pPr>
            <w:r>
              <w:rPr>
                <w:rFonts w:hint="eastAsia" w:ascii="宋体" w:hAnsi="宋体" w:cs="宋体"/>
                <w:b/>
                <w:i w:val="0"/>
                <w:color w:val="auto"/>
                <w:sz w:val="32"/>
                <w:szCs w:val="32"/>
                <w:u w:val="none"/>
                <w:lang w:val="en-US" w:eastAsia="zh-CN"/>
              </w:rPr>
              <w:t xml:space="preserve">2021年部门预算项目（生态环境保护奖补资金）绩效目标自评 </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9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rPr>
            </w:pPr>
            <w:r>
              <w:rPr>
                <w:rFonts w:hint="eastAsia" w:ascii="宋体" w:hAnsi="宋体" w:cs="宋体"/>
                <w:i w:val="0"/>
                <w:color w:val="auto"/>
                <w:sz w:val="24"/>
                <w:szCs w:val="24"/>
                <w:u w:val="none"/>
                <w:lang w:eastAsia="zh-CN"/>
              </w:rPr>
              <w:t>广元市昭化区亭子湖景区保护与发展中心</w:t>
            </w:r>
            <w:r>
              <w:rPr>
                <w:rFonts w:hint="eastAsia" w:ascii="宋体" w:hAnsi="宋体" w:cs="宋体"/>
                <w:i w:val="0"/>
                <w:color w:val="auto"/>
                <w:sz w:val="24"/>
                <w:szCs w:val="24"/>
                <w:u w:val="none"/>
                <w:lang w:val="en-US" w:eastAsia="zh-CN"/>
              </w:rPr>
              <w:t>356301</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广元市昭化区亭子湖景区保护与发展中心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5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408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eastAsia="zh-CN"/>
              </w:rPr>
              <w:t>亭子湖垃圾打捞、清运、处置。</w:t>
            </w:r>
          </w:p>
        </w:tc>
        <w:tc>
          <w:tcPr>
            <w:tcW w:w="351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lang w:eastAsia="zh-CN"/>
              </w:rPr>
            </w:pPr>
            <w:r>
              <w:rPr>
                <w:rFonts w:hint="eastAsia" w:ascii="宋体" w:hAnsi="宋体" w:cs="宋体"/>
                <w:i w:val="0"/>
                <w:color w:val="auto"/>
                <w:sz w:val="24"/>
                <w:szCs w:val="24"/>
                <w:u w:val="none"/>
                <w:lang w:val="en-US" w:eastAsia="zh-CN"/>
              </w:rPr>
              <w:t xml:space="preserve"> 完成</w:t>
            </w:r>
            <w:r>
              <w:rPr>
                <w:rFonts w:hint="eastAsia" w:ascii="宋体" w:hAnsi="宋体" w:cs="宋体"/>
                <w:i w:val="0"/>
                <w:color w:val="auto"/>
                <w:sz w:val="24"/>
                <w:szCs w:val="24"/>
                <w:u w:val="none"/>
                <w:lang w:eastAsia="zh-CN"/>
              </w:rPr>
              <w:t>亭子湖垃圾打捞、清运、处置。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lang w:eastAsia="zh-CN"/>
              </w:rPr>
              <w:t>打捞湖岸线长</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rPr>
              <w:t>≥</w:t>
            </w:r>
            <w:r>
              <w:rPr>
                <w:rFonts w:hint="eastAsia" w:ascii="仿宋_GB2312" w:hAnsi="仿宋_GB2312" w:eastAsia="仿宋_GB2312" w:cs="仿宋_GB2312"/>
                <w:i w:val="0"/>
                <w:color w:val="auto"/>
                <w:sz w:val="13"/>
                <w:szCs w:val="13"/>
                <w:u w:val="none"/>
                <w:lang w:val="en-US" w:eastAsia="zh-CN"/>
              </w:rPr>
              <w:t>50公里</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50公里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lang w:eastAsia="zh-CN"/>
              </w:rPr>
              <w:t>湖面清洁度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eastAsia="zh-CN"/>
              </w:rPr>
            </w:pPr>
            <w:r>
              <w:rPr>
                <w:rFonts w:hint="eastAsia" w:ascii="仿宋_GB2312" w:hAnsi="仿宋_GB2312" w:eastAsia="仿宋_GB2312" w:cs="仿宋_GB2312"/>
                <w:i w:val="0"/>
                <w:color w:val="auto"/>
                <w:sz w:val="13"/>
                <w:szCs w:val="13"/>
                <w:u w:val="none"/>
                <w:lang w:eastAsia="zh-CN"/>
              </w:rPr>
              <w:t>整洁、无垃圾</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lang w:eastAsia="zh-CN"/>
              </w:rPr>
              <w:t>整洁、无垃圾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rPr>
            </w:pPr>
            <w:r>
              <w:rPr>
                <w:rFonts w:hint="eastAsia" w:ascii="仿宋_GB2312" w:hAnsi="仿宋_GB2312" w:eastAsia="仿宋_GB2312" w:cs="仿宋_GB2312"/>
                <w:i w:val="0"/>
                <w:color w:val="auto"/>
                <w:sz w:val="13"/>
                <w:szCs w:val="13"/>
                <w:u w:val="none"/>
                <w:lang w:eastAsia="zh-CN"/>
              </w:rPr>
              <w:t>保持</w:t>
            </w:r>
            <w:r>
              <w:rPr>
                <w:rFonts w:hint="eastAsia" w:ascii="仿宋_GB2312" w:hAnsi="仿宋_GB2312" w:eastAsia="仿宋_GB2312" w:cs="仿宋_GB2312"/>
                <w:i w:val="0"/>
                <w:color w:val="auto"/>
                <w:sz w:val="13"/>
                <w:szCs w:val="13"/>
                <w:u w:val="none"/>
              </w:rPr>
              <w:t>时间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rPr>
              <w:t>≥</w:t>
            </w:r>
            <w:r>
              <w:rPr>
                <w:rFonts w:hint="eastAsia" w:ascii="仿宋_GB2312" w:hAnsi="仿宋_GB2312" w:eastAsia="仿宋_GB2312" w:cs="仿宋_GB2312"/>
                <w:i w:val="0"/>
                <w:color w:val="auto"/>
                <w:sz w:val="13"/>
                <w:szCs w:val="13"/>
                <w:u w:val="none"/>
                <w:lang w:val="en-US" w:eastAsia="zh-CN"/>
              </w:rPr>
              <w:t>6个月</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3"/>
                <w:szCs w:val="13"/>
                <w:u w:val="none"/>
                <w:lang w:val="en-US" w:eastAsia="zh-CN"/>
              </w:rPr>
            </w:pPr>
            <w:r>
              <w:rPr>
                <w:rFonts w:hint="eastAsia" w:ascii="仿宋_GB2312" w:hAnsi="仿宋_GB2312" w:eastAsia="仿宋_GB2312" w:cs="仿宋_GB2312"/>
                <w:i w:val="0"/>
                <w:color w:val="auto"/>
                <w:sz w:val="13"/>
                <w:szCs w:val="13"/>
                <w:u w:val="none"/>
                <w:lang w:val="en-US" w:eastAsia="zh-CN"/>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default" w:ascii="仿宋_GB2312" w:hAnsi="仿宋_GB2312" w:eastAsia="仿宋_GB2312" w:cs="仿宋_GB2312"/>
                <w:i w:val="0"/>
                <w:color w:val="auto"/>
                <w:sz w:val="15"/>
                <w:szCs w:val="15"/>
                <w:u w:val="none"/>
                <w:lang w:val="en-US" w:eastAsia="zh-CN"/>
              </w:rPr>
              <w:t>工作经费</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20万元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游客增加率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rPr>
              <w:t>≥</w:t>
            </w:r>
            <w:r>
              <w:rPr>
                <w:rFonts w:hint="eastAsia" w:ascii="仿宋_GB2312" w:hAnsi="仿宋_GB2312" w:eastAsia="仿宋_GB2312" w:cs="仿宋_GB2312"/>
                <w:i w:val="0"/>
                <w:color w:val="auto"/>
                <w:sz w:val="15"/>
                <w:szCs w:val="15"/>
                <w:u w:val="none"/>
                <w:lang w:val="en-US" w:eastAsia="zh-CN"/>
              </w:rPr>
              <w:t>10</w:t>
            </w:r>
            <w:r>
              <w:rPr>
                <w:rFonts w:hint="eastAsia" w:ascii="仿宋_GB2312" w:hAnsi="仿宋_GB2312" w:eastAsia="仿宋_GB2312" w:cs="仿宋_GB2312"/>
                <w:i w:val="0"/>
                <w:color w:val="auto"/>
                <w:sz w:val="15"/>
                <w:szCs w:val="15"/>
                <w:u w:val="none"/>
              </w:rPr>
              <w:t>%</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val="en-US" w:eastAsia="zh-CN"/>
              </w:rPr>
              <w:t>10</w:t>
            </w:r>
            <w:r>
              <w:rPr>
                <w:rFonts w:hint="eastAsia" w:ascii="仿宋_GB2312" w:hAnsi="仿宋_GB2312" w:eastAsia="仿宋_GB2312" w:cs="仿宋_GB2312"/>
                <w:i w:val="0"/>
                <w:color w:val="auto"/>
                <w:sz w:val="15"/>
                <w:szCs w:val="15"/>
                <w:u w:val="no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湖区老百姓幸福感</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eastAsia="zh-CN"/>
              </w:rPr>
              <w:t>增加</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保持水质</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rPr>
              <w:t>≥</w:t>
            </w:r>
            <w:r>
              <w:rPr>
                <w:rFonts w:hint="eastAsia" w:ascii="仿宋_GB2312" w:hAnsi="仿宋_GB2312" w:eastAsia="仿宋_GB2312" w:cs="仿宋_GB2312"/>
                <w:i w:val="0"/>
                <w:color w:val="auto"/>
                <w:sz w:val="15"/>
                <w:szCs w:val="15"/>
                <w:u w:val="none"/>
                <w:lang w:eastAsia="zh-CN"/>
              </w:rPr>
              <w:t>二类水质</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二类水质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湖区健康发展</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lang w:eastAsia="zh-CN"/>
              </w:rPr>
            </w:pPr>
            <w:r>
              <w:rPr>
                <w:rFonts w:hint="eastAsia" w:ascii="仿宋_GB2312" w:hAnsi="仿宋_GB2312" w:eastAsia="仿宋_GB2312" w:cs="仿宋_GB2312"/>
                <w:i w:val="0"/>
                <w:color w:val="auto"/>
                <w:sz w:val="15"/>
                <w:szCs w:val="15"/>
                <w:u w:val="none"/>
                <w:lang w:eastAsia="zh-CN"/>
              </w:rPr>
              <w:t>良好</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default" w:ascii="仿宋_GB2312" w:hAnsi="仿宋_GB2312" w:eastAsia="仿宋_GB2312" w:cs="仿宋_GB2312"/>
                <w:i w:val="0"/>
                <w:color w:val="auto"/>
                <w:sz w:val="15"/>
                <w:szCs w:val="15"/>
                <w:u w:val="none"/>
                <w:lang w:val="en-US" w:eastAsia="zh-CN"/>
              </w:rPr>
            </w:pPr>
            <w:r>
              <w:rPr>
                <w:rFonts w:hint="eastAsia" w:ascii="仿宋_GB2312" w:hAnsi="仿宋_GB2312" w:eastAsia="仿宋_GB2312" w:cs="仿宋_GB2312"/>
                <w:i w:val="0"/>
                <w:color w:val="auto"/>
                <w:sz w:val="15"/>
                <w:szCs w:val="15"/>
                <w:u w:val="none"/>
                <w:lang w:val="en-US"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景区群众</w:t>
            </w:r>
            <w:r>
              <w:rPr>
                <w:rFonts w:hint="eastAsia" w:ascii="仿宋_GB2312" w:hAnsi="仿宋_GB2312" w:eastAsia="仿宋_GB2312" w:cs="仿宋_GB2312"/>
                <w:i w:val="0"/>
                <w:color w:val="auto"/>
                <w:sz w:val="15"/>
                <w:szCs w:val="15"/>
                <w:u w:val="none"/>
                <w:lang w:eastAsia="zh-CN"/>
              </w:rPr>
              <w:t>和游客</w:t>
            </w:r>
            <w:r>
              <w:rPr>
                <w:rFonts w:hint="eastAsia" w:ascii="仿宋_GB2312" w:hAnsi="仿宋_GB2312" w:eastAsia="仿宋_GB2312" w:cs="仿宋_GB2312"/>
                <w:i w:val="0"/>
                <w:color w:val="auto"/>
                <w:sz w:val="15"/>
                <w:szCs w:val="15"/>
                <w:u w:val="none"/>
              </w:rPr>
              <w:t>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≥90%</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15"/>
                <w:szCs w:val="15"/>
                <w:u w:val="none"/>
              </w:rPr>
            </w:pPr>
            <w:r>
              <w:rPr>
                <w:rFonts w:hint="eastAsia" w:ascii="仿宋_GB2312" w:hAnsi="仿宋_GB2312" w:eastAsia="仿宋_GB2312" w:cs="仿宋_GB2312"/>
                <w:i w:val="0"/>
                <w:color w:val="auto"/>
                <w:sz w:val="15"/>
                <w:szCs w:val="15"/>
                <w:u w:val="none"/>
              </w:rPr>
              <w:t>90%</w:t>
            </w:r>
          </w:p>
        </w:tc>
      </w:tr>
    </w:tbl>
    <w:p>
      <w:pPr>
        <w:spacing w:line="600" w:lineRule="exact"/>
        <w:jc w:val="center"/>
        <w:outlineLvl w:val="0"/>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600" w:lineRule="exact"/>
        <w:jc w:val="both"/>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5"/>
          <w:rFonts w:hint="eastAsia" w:ascii="黑体" w:hAnsi="黑体" w:eastAsia="黑体"/>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52"/>
      <w:bookmarkEnd w:id="53"/>
      <w:bookmarkStart w:id="54" w:name="_Toc15396619"/>
    </w:p>
    <w:p>
      <w:pPr>
        <w:spacing w:line="600" w:lineRule="exact"/>
        <w:jc w:val="both"/>
        <w:outlineLvl w:val="0"/>
        <w:rPr>
          <w:rFonts w:ascii="仿宋" w:hAnsi="仿宋" w:eastAsia="仿宋"/>
          <w:color w:val="auto"/>
          <w:sz w:val="32"/>
          <w:szCs w:val="32"/>
          <w:highlight w:val="none"/>
        </w:rPr>
      </w:pPr>
      <w:r>
        <w:rPr>
          <w:rFonts w:hint="eastAsia" w:ascii="仿宋" w:hAnsi="仿宋" w:eastAsia="仿宋"/>
          <w:b w:val="0"/>
          <w:color w:val="auto"/>
          <w:sz w:val="32"/>
          <w:szCs w:val="32"/>
          <w:highlight w:val="none"/>
        </w:rPr>
        <w:t>一、</w:t>
      </w:r>
      <w:r>
        <w:rPr>
          <w:rFonts w:hint="eastAsia" w:ascii="仿宋" w:hAnsi="仿宋" w:eastAsia="仿宋"/>
          <w:b w:val="0"/>
          <w:color w:val="auto"/>
          <w:sz w:val="32"/>
          <w:szCs w:val="32"/>
          <w:highlight w:val="none"/>
          <w:lang w:eastAsia="zh-CN"/>
        </w:rPr>
        <w:t>收</w:t>
      </w:r>
      <w:r>
        <w:rPr>
          <w:rStyle w:val="26"/>
          <w:rFonts w:hint="eastAsia" w:ascii="仿宋" w:hAnsi="仿宋" w:eastAsia="仿宋"/>
          <w:b w:val="0"/>
          <w:bCs w:val="0"/>
          <w:color w:val="auto"/>
          <w:sz w:val="32"/>
          <w:szCs w:val="32"/>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57"/>
    </w:p>
    <w:p>
      <w:pPr>
        <w:pStyle w:val="4"/>
        <w:rPr>
          <w:rStyle w:val="26"/>
          <w:rFonts w:ascii="仿宋" w:hAnsi="仿宋" w:eastAsia="仿宋"/>
          <w:b w:val="0"/>
          <w:bCs w:val="0"/>
          <w:color w:val="auto"/>
          <w:highlight w:val="none"/>
        </w:rPr>
      </w:pPr>
      <w:bookmarkStart w:id="58"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65"/>
    </w:p>
    <w:p>
      <w:pPr>
        <w:pStyle w:val="4"/>
        <w:rPr>
          <w:rStyle w:val="26"/>
          <w:rFonts w:hint="eastAsia" w:ascii="仿宋" w:hAnsi="仿宋" w:eastAsia="仿宋"/>
          <w:b w:val="0"/>
          <w:bCs w:val="0"/>
          <w:color w:val="auto"/>
          <w:highlight w:val="none"/>
        </w:rPr>
      </w:pPr>
      <w:bookmarkStart w:id="66" w:name="_Toc15396631"/>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6"/>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930EA26"/>
    <w:multiLevelType w:val="singleLevel"/>
    <w:tmpl w:val="1930EA26"/>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5ZDVmMWNkNDc4NTMyNDhjYzkxOWMxYmZmNDdkMG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CF32DE"/>
    <w:rsid w:val="044B1342"/>
    <w:rsid w:val="05EF03F3"/>
    <w:rsid w:val="0A2032A3"/>
    <w:rsid w:val="0B8A37D8"/>
    <w:rsid w:val="0D10137A"/>
    <w:rsid w:val="0E05490D"/>
    <w:rsid w:val="10C055FF"/>
    <w:rsid w:val="118107EC"/>
    <w:rsid w:val="11C73FD2"/>
    <w:rsid w:val="11DD6519"/>
    <w:rsid w:val="13FF5CA5"/>
    <w:rsid w:val="14B7032D"/>
    <w:rsid w:val="14DC5FE6"/>
    <w:rsid w:val="16BB723D"/>
    <w:rsid w:val="18015F3F"/>
    <w:rsid w:val="1BE8440E"/>
    <w:rsid w:val="1D155CEE"/>
    <w:rsid w:val="1D880AB9"/>
    <w:rsid w:val="1E7053F8"/>
    <w:rsid w:val="1FD46237"/>
    <w:rsid w:val="20F57F95"/>
    <w:rsid w:val="240371BF"/>
    <w:rsid w:val="25C741E6"/>
    <w:rsid w:val="26551754"/>
    <w:rsid w:val="26D1692E"/>
    <w:rsid w:val="27842671"/>
    <w:rsid w:val="29FD04D3"/>
    <w:rsid w:val="2ABE7A3E"/>
    <w:rsid w:val="2BE9542A"/>
    <w:rsid w:val="2EFA178C"/>
    <w:rsid w:val="30B46D73"/>
    <w:rsid w:val="319F7F4E"/>
    <w:rsid w:val="34C83F7C"/>
    <w:rsid w:val="39AE70AB"/>
    <w:rsid w:val="3C0C0783"/>
    <w:rsid w:val="3F795B0E"/>
    <w:rsid w:val="3F9F3A96"/>
    <w:rsid w:val="412F10C8"/>
    <w:rsid w:val="4555047F"/>
    <w:rsid w:val="48B819A3"/>
    <w:rsid w:val="490177EE"/>
    <w:rsid w:val="493C27E9"/>
    <w:rsid w:val="496F39ED"/>
    <w:rsid w:val="49FF41D3"/>
    <w:rsid w:val="4A185DC8"/>
    <w:rsid w:val="4BE068DB"/>
    <w:rsid w:val="4BF6002B"/>
    <w:rsid w:val="4ECE2238"/>
    <w:rsid w:val="51DB4B86"/>
    <w:rsid w:val="543C3DD0"/>
    <w:rsid w:val="54CC1295"/>
    <w:rsid w:val="55333C3E"/>
    <w:rsid w:val="5AB26B9A"/>
    <w:rsid w:val="5C6E4D42"/>
    <w:rsid w:val="62B229EB"/>
    <w:rsid w:val="63D538F9"/>
    <w:rsid w:val="64CA39A1"/>
    <w:rsid w:val="6AEF704E"/>
    <w:rsid w:val="6C4A05C8"/>
    <w:rsid w:val="6FBE7937"/>
    <w:rsid w:val="72734D90"/>
    <w:rsid w:val="736E51D0"/>
    <w:rsid w:val="74542618"/>
    <w:rsid w:val="74E366CA"/>
    <w:rsid w:val="750951B1"/>
    <w:rsid w:val="76BA0E58"/>
    <w:rsid w:val="78A76CE4"/>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able of figures"/>
    <w:basedOn w:val="1"/>
    <w:next w:val="1"/>
    <w:semiHidden/>
    <w:qFormat/>
    <w:uiPriority w:val="0"/>
    <w:pPr>
      <w:ind w:left="200" w:leftChars="200" w:hanging="200" w:hangingChars="200"/>
    </w:p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1">
    <w:name w:val="No Spacing"/>
    <w:qFormat/>
    <w:uiPriority w:val="1"/>
    <w:pPr>
      <w:widowControl w:val="0"/>
      <w:jc w:val="both"/>
    </w:pPr>
    <w:rPr>
      <w:rFonts w:ascii="Times New Roman" w:hAnsi="Times New Roman" w:eastAsia="仿宋"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年度收、支总计</a:t>
            </a:r>
            <a:endParaRPr lang="en-US" altLang="zh-CN"/>
          </a:p>
        </c:rich>
      </c:tx>
      <c:layout>
        <c:manualLayout>
          <c:xMode val="edge"/>
          <c:yMode val="edge"/>
          <c:x val="0.31625"/>
          <c:y val="0.030296909715209"/>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单位：万元</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58.95</c:v>
                </c:pt>
                <c:pt idx="1">
                  <c:v>65.21</c:v>
                </c:pt>
              </c:numCache>
            </c:numRef>
          </c:val>
        </c:ser>
        <c:ser>
          <c:idx val="1"/>
          <c:order val="1"/>
          <c:tx>
            <c:strRef>
              <c:f>Sheet1!#REF!</c:f>
              <c:strCache>
                <c:ptCount val="1"/>
                <c:pt idx="0">
                  <c:v/>
                </c:pt>
              </c:strCache>
            </c:strRef>
          </c:tx>
          <c:spPr>
            <a:solidFill>
              <a:schemeClr val="accent2"/>
            </a:solidFill>
            <a:ln>
              <a:noFill/>
            </a:ln>
            <a:effectLst/>
          </c:spPr>
          <c:invertIfNegative val="0"/>
          <c:dPt>
            <c:idx val="0"/>
            <c:invertIfNegative val="0"/>
            <c:bubble3D val="0"/>
            <c:spPr>
              <a:solidFill>
                <a:schemeClr val="bg1"/>
              </a:solidFill>
              <a:ln>
                <a:noFill/>
              </a:ln>
              <a:effectLst/>
            </c:spPr>
          </c:dPt>
          <c:dLbls>
            <c:delete val="1"/>
          </c:dLbls>
          <c:cat>
            <c:strRef>
              <c:f>Sheet1!$A$2:$A$3</c:f>
              <c:strCache>
                <c:ptCount val="2"/>
                <c:pt idx="0">
                  <c:v>2020年</c:v>
                </c:pt>
                <c:pt idx="1">
                  <c:v>2021年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bg1"/>
            </a:solidFill>
            <a:ln>
              <a:noFill/>
            </a:ln>
            <a:effectLst/>
          </c:spPr>
          <c:invertIfNegative val="0"/>
          <c:dLbls>
            <c:delete val="1"/>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82443211"/>
        <c:axId val="491467272"/>
      </c:barChart>
      <c:catAx>
        <c:axId val="982443211"/>
        <c:scaling>
          <c:orientation val="minMax"/>
        </c:scaling>
        <c:delete val="0"/>
        <c:axPos val="b"/>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1467272"/>
        <c:crosses val="autoZero"/>
        <c:auto val="1"/>
        <c:lblAlgn val="ctr"/>
        <c:lblOffset val="100"/>
        <c:noMultiLvlLbl val="0"/>
      </c:catAx>
      <c:valAx>
        <c:axId val="491467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443211"/>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2021年收入：一般公共预算财政拨款收入</a:t>
            </a:r>
          </a:p>
        </c:rich>
      </c:tx>
      <c:layout>
        <c:manualLayout>
          <c:xMode val="edge"/>
          <c:yMode val="edge"/>
          <c:x val="0.135904830569575"/>
          <c:y val="0.0882007056056448"/>
        </c:manualLayout>
      </c:layout>
      <c:overlay val="0"/>
      <c:spPr>
        <a:noFill/>
        <a:ln>
          <a:noFill/>
        </a:ln>
        <a:effectLst/>
      </c:spPr>
    </c:title>
    <c:autoTitleDeleted val="0"/>
    <c:plotArea>
      <c:layout/>
      <c:pieChart>
        <c:varyColors val="1"/>
        <c:ser>
          <c:idx val="0"/>
          <c:order val="0"/>
          <c:tx>
            <c:strRef>
              <c:f>Sheet1!$B$1</c:f>
              <c:strCache>
                <c:ptCount val="1"/>
                <c:pt idx="0">
                  <c:v>2021年收入合计</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单位：万元</c:v>
                </c:pt>
              </c:strCache>
            </c:strRef>
          </c:cat>
          <c:val>
            <c:numRef>
              <c:f>Sheet1!$B$2:$B$5</c:f>
              <c:numCache>
                <c:formatCode>General</c:formatCode>
                <c:ptCount val="4"/>
                <c:pt idx="0">
                  <c:v>64.97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manualLayout>
          <c:xMode val="edge"/>
          <c:yMode val="edge"/>
          <c:x val="0.276568132660418"/>
          <c:y val="0.84594276754214"/>
          <c:w val="0.405335255948089"/>
          <c:h val="0.13053704429635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lang="en-US" altLang="zh-CN" sz="1440"/>
              <a:t>2021</a:t>
            </a:r>
            <a:r>
              <a:rPr altLang="en-US" sz="1440"/>
              <a:t>年支出合计</a:t>
            </a:r>
            <a:endParaRPr altLang="en-US" sz="1440"/>
          </a:p>
        </c:rich>
      </c:tx>
      <c:layout>
        <c:manualLayout>
          <c:xMode val="edge"/>
          <c:yMode val="edge"/>
          <c:x val="0.355555555555556"/>
          <c:y val="0.0877314814814815"/>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[工作簿1]Sheet1!$C$30:$C$31</c:f>
              <c:strCache>
                <c:ptCount val="2"/>
                <c:pt idx="0">
                  <c:v>基本支出</c:v>
                </c:pt>
                <c:pt idx="1">
                  <c:v>项目支出</c:v>
                </c:pt>
              </c:strCache>
            </c:strRef>
          </c:cat>
          <c:val>
            <c:numRef>
              <c:f>[工作簿1]Sheet1!$D$30:$D$31</c:f>
              <c:numCache>
                <c:formatCode>General</c:formatCode>
                <c:ptCount val="2"/>
                <c:pt idx="0">
                  <c:v>42.47</c:v>
                </c:pt>
                <c:pt idx="1">
                  <c:v>22.5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单位：万元</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58.95</c:v>
                </c:pt>
                <c:pt idx="1">
                  <c:v>65.21</c:v>
                </c:pt>
              </c:numCache>
            </c:numRef>
          </c:val>
        </c:ser>
        <c:ser>
          <c:idx val="1"/>
          <c:order val="1"/>
          <c:tx>
            <c:strRef>
              <c:f>Sheet1!#REF!</c:f>
              <c:strCache>
                <c:ptCount val="1"/>
                <c:pt idx="0">
                  <c:v/>
                </c:pt>
              </c:strCache>
            </c:strRef>
          </c:tx>
          <c:spPr>
            <a:noFill/>
            <a:ln>
              <a:noFill/>
            </a:ln>
            <a:effectLst/>
          </c:spPr>
          <c:invertIfNegative val="0"/>
          <c:dLbls>
            <c:delete val="1"/>
          </c:dLbls>
          <c:cat>
            <c:strRef>
              <c:f>Sheet1!$A$2:$A$3</c:f>
              <c:strCache>
                <c:ptCount val="2"/>
                <c:pt idx="0">
                  <c:v>2020年</c:v>
                </c:pt>
                <c:pt idx="1">
                  <c:v>2021年</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Pt>
            <c:idx val="0"/>
            <c:invertIfNegative val="0"/>
            <c:bubble3D val="0"/>
            <c:spPr>
              <a:noFill/>
              <a:ln>
                <a:noFill/>
              </a:ln>
              <a:effectLst/>
            </c:spPr>
          </c:dPt>
          <c:dLbls>
            <c:delete val="1"/>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82443211"/>
        <c:axId val="491467272"/>
      </c:barChart>
      <c:catAx>
        <c:axId val="98244321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1467272"/>
        <c:crosses val="autoZero"/>
        <c:auto val="1"/>
        <c:lblAlgn val="ctr"/>
        <c:lblOffset val="100"/>
        <c:noMultiLvlLbl val="0"/>
      </c:catAx>
      <c:valAx>
        <c:axId val="491467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443211"/>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72"/>
          <c:y val="0.173511072887551"/>
          <c:w val="0.91655"/>
          <c:h val="0.634358202537089"/>
        </c:manualLayout>
      </c:layout>
      <c:barChart>
        <c:barDir val="col"/>
        <c:grouping val="stacked"/>
        <c:varyColors val="0"/>
        <c:ser>
          <c:idx val="0"/>
          <c:order val="0"/>
          <c:tx>
            <c:strRef>
              <c:f>Sheet1!$B$1</c:f>
              <c:strCache>
                <c:ptCount val="1"/>
                <c:pt idx="0">
                  <c:v>单位：万元</c:v>
                </c:pt>
              </c:strCache>
            </c:strRef>
          </c:tx>
          <c:spPr>
            <a:solidFill>
              <a:schemeClr val="accent1"/>
            </a:solidFill>
            <a:ln>
              <a:noFill/>
            </a:ln>
            <a:effectLst/>
          </c:spPr>
          <c:invertIfNegative val="0"/>
          <c:dLbls>
            <c:delete val="1"/>
          </c:dLbls>
          <c:cat>
            <c:strRef>
              <c:f>Sheet1!$A$2:$A$3</c:f>
              <c:strCache>
                <c:ptCount val="2"/>
                <c:pt idx="0">
                  <c:v>2020年</c:v>
                </c:pt>
                <c:pt idx="1">
                  <c:v>2021年</c:v>
                </c:pt>
              </c:strCache>
            </c:strRef>
          </c:cat>
          <c:val>
            <c:numRef>
              <c:f>Sheet1!$B$2:$B$3</c:f>
              <c:numCache>
                <c:formatCode>General</c:formatCode>
                <c:ptCount val="2"/>
                <c:pt idx="0">
                  <c:v>56.95</c:v>
                </c:pt>
                <c:pt idx="1">
                  <c:v>64.97</c:v>
                </c:pt>
              </c:numCache>
            </c:numRef>
          </c:val>
        </c:ser>
        <c:ser>
          <c:idx val="2"/>
          <c:order val="1"/>
          <c:tx>
            <c:strRef>
              <c:f>Sheet1!#REF!</c:f>
              <c:strCache>
                <c:ptCount val="1"/>
                <c:pt idx="0">
                  <c:v/>
                </c:pt>
              </c:strCache>
            </c:strRef>
          </c:tx>
          <c:spPr>
            <a:solidFill>
              <a:schemeClr val="bg1"/>
            </a:solidFill>
            <a:ln>
              <a:noFill/>
            </a:ln>
            <a:effectLst/>
          </c:spPr>
          <c:invertIfNegative val="0"/>
          <c:dLbls>
            <c:delete val="1"/>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100"/>
        <c:axId val="797229139"/>
        <c:axId val="331192832"/>
      </c:barChart>
      <c:catAx>
        <c:axId val="79722913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1192832"/>
        <c:crosses val="autoZero"/>
        <c:auto val="1"/>
        <c:lblAlgn val="ctr"/>
        <c:lblOffset val="100"/>
        <c:noMultiLvlLbl val="0"/>
      </c:catAx>
      <c:valAx>
        <c:axId val="331192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229139"/>
        <c:crosses val="autoZero"/>
        <c:crossBetween val="between"/>
      </c:valAx>
      <c:spPr>
        <a:noFill/>
        <a:ln>
          <a:noFill/>
        </a:ln>
        <a:effectLst/>
      </c:spPr>
    </c:plotArea>
    <c:legend>
      <c:legendPos val="b"/>
      <c:legendEntry>
        <c:idx val="1"/>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sz="1440"/>
              <a:t>一般公共预算财政拨款支出</a:t>
            </a:r>
            <a:endParaRPr sz="1440"/>
          </a:p>
        </c:rich>
      </c:tx>
      <c:layout>
        <c:manualLayout>
          <c:xMode val="edge"/>
          <c:yMode val="edge"/>
          <c:x val="0.279987569919204"/>
          <c:y val="0.0632721827031074"/>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[工作簿1]Sheet1!$C$3:$C$7</c:f>
              <c:strCache>
                <c:ptCount val="5"/>
                <c:pt idx="0">
                  <c:v>文化旅游体育与传媒类</c:v>
                </c:pt>
                <c:pt idx="1">
                  <c:v>社会保障和就业类</c:v>
                </c:pt>
                <c:pt idx="2">
                  <c:v>卫生健康类</c:v>
                </c:pt>
                <c:pt idx="3">
                  <c:v>节能环保类</c:v>
                </c:pt>
                <c:pt idx="4">
                  <c:v>住房保障类</c:v>
                </c:pt>
              </c:strCache>
            </c:strRef>
          </c:cat>
          <c:val>
            <c:numRef>
              <c:f>[工作簿1]Sheet1!$D$3:$D$7</c:f>
              <c:numCache>
                <c:formatCode>General</c:formatCode>
                <c:ptCount val="5"/>
                <c:pt idx="0">
                  <c:v>37.79</c:v>
                </c:pt>
                <c:pt idx="1">
                  <c:v>2.69</c:v>
                </c:pt>
                <c:pt idx="2">
                  <c:v>1.5</c:v>
                </c:pt>
                <c:pt idx="3">
                  <c:v>20</c:v>
                </c:pt>
                <c:pt idx="4">
                  <c:v>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2021</a:t>
            </a:r>
            <a:r>
              <a:rPr altLang="en-US"/>
              <a:t>年</a:t>
            </a:r>
            <a:r>
              <a:rPr lang="en-US" altLang="zh-CN"/>
              <a:t>“</a:t>
            </a:r>
            <a:r>
              <a:rPr altLang="en-US"/>
              <a:t>三公</a:t>
            </a:r>
            <a:r>
              <a:rPr lang="en-US" altLang="zh-CN"/>
              <a:t>”</a:t>
            </a:r>
            <a:r>
              <a:rPr altLang="en-US"/>
              <a:t>经费支出合计</a:t>
            </a:r>
            <a:r>
              <a:rPr lang="en-US" altLang="zh-CN"/>
              <a:t>0.37</a:t>
            </a:r>
            <a:r>
              <a:rPr altLang="en-US"/>
              <a:t>万元（其中：公务接待支出</a:t>
            </a:r>
            <a:r>
              <a:rPr lang="en-US" altLang="zh-CN"/>
              <a:t>0.37</a:t>
            </a:r>
            <a:r>
              <a:rPr altLang="en-US"/>
              <a:t>万元，占</a:t>
            </a:r>
            <a:r>
              <a:rPr lang="en-US" altLang="zh-CN"/>
              <a:t>100%</a:t>
            </a:r>
            <a:r>
              <a:rPr altLang="en-US"/>
              <a:t>）</a:t>
            </a:r>
            <a:endParaRPr altLang="en-US"/>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单位：万元</c:v>
                </c:pt>
              </c:strCache>
            </c:strRef>
          </c:cat>
          <c:val>
            <c:numRef>
              <c:f>Sheet1!$B$2:$B$5</c:f>
              <c:numCache>
                <c:formatCode>General</c:formatCode>
                <c:ptCount val="4"/>
                <c:pt idx="0">
                  <c:v>0.37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6987</Words>
  <Characters>7457</Characters>
  <Lines>61</Lines>
  <Paragraphs>17</Paragraphs>
  <TotalTime>4</TotalTime>
  <ScaleCrop>false</ScaleCrop>
  <LinksUpToDate>false</LinksUpToDate>
  <CharactersWithSpaces>7545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猕猴桃</cp:lastModifiedBy>
  <cp:lastPrinted>2022-08-06T02:23:00Z</cp:lastPrinted>
  <dcterms:modified xsi:type="dcterms:W3CDTF">2022-09-29T03:09:16Z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18C4299B72334D3095585539B3212D20</vt:lpwstr>
  </property>
</Properties>
</file>