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0"/>
        <w:jc w:val="center"/>
        <w:textAlignment w:val="auto"/>
        <w:rPr>
          <w:rFonts w:hint="default" w:ascii="Times New Roman" w:hAnsi="Times New Roman" w:eastAsia="方正小标宋简体" w:cs="Times New Roman"/>
          <w:i w:val="0"/>
          <w:iCs w:val="0"/>
          <w:caps w:val="0"/>
          <w:color w:val="auto"/>
          <w:spacing w:val="0"/>
          <w:sz w:val="44"/>
          <w:szCs w:val="44"/>
          <w:highlight w:val="none"/>
        </w:rPr>
      </w:pPr>
      <w:r>
        <w:rPr>
          <w:rFonts w:hint="default" w:ascii="Times New Roman" w:hAnsi="Times New Roman" w:eastAsia="方正小标宋简体" w:cs="Times New Roman"/>
          <w:i w:val="0"/>
          <w:iCs w:val="0"/>
          <w:caps w:val="0"/>
          <w:color w:val="auto"/>
          <w:spacing w:val="0"/>
          <w:sz w:val="44"/>
          <w:szCs w:val="44"/>
        </w:rPr>
        <w:t>关于</w:t>
      </w:r>
      <w:r>
        <w:rPr>
          <w:rFonts w:hint="default" w:ascii="Times New Roman" w:hAnsi="Times New Roman" w:eastAsia="方正小标宋简体" w:cs="Times New Roman"/>
          <w:i w:val="0"/>
          <w:iCs w:val="0"/>
          <w:caps w:val="0"/>
          <w:color w:val="auto"/>
          <w:spacing w:val="0"/>
          <w:sz w:val="44"/>
          <w:szCs w:val="44"/>
          <w:highlight w:val="none"/>
          <w:lang w:eastAsia="zh-CN"/>
        </w:rPr>
        <w:t>加</w:t>
      </w:r>
      <w:bookmarkStart w:id="0" w:name="_GoBack"/>
      <w:bookmarkEnd w:id="0"/>
      <w:r>
        <w:rPr>
          <w:rFonts w:hint="default" w:ascii="Times New Roman" w:hAnsi="Times New Roman" w:eastAsia="方正小标宋简体" w:cs="Times New Roman"/>
          <w:i w:val="0"/>
          <w:iCs w:val="0"/>
          <w:caps w:val="0"/>
          <w:color w:val="auto"/>
          <w:spacing w:val="0"/>
          <w:sz w:val="44"/>
          <w:szCs w:val="44"/>
          <w:highlight w:val="none"/>
          <w:lang w:eastAsia="zh-CN"/>
        </w:rPr>
        <w:t>强</w:t>
      </w:r>
      <w:r>
        <w:rPr>
          <w:rFonts w:hint="eastAsia" w:ascii="Times New Roman" w:hAnsi="Times New Roman" w:eastAsia="方正小标宋简体" w:cs="Times New Roman"/>
          <w:i w:val="0"/>
          <w:iCs w:val="0"/>
          <w:caps w:val="0"/>
          <w:color w:val="auto"/>
          <w:spacing w:val="0"/>
          <w:sz w:val="44"/>
          <w:szCs w:val="44"/>
          <w:highlight w:val="none"/>
          <w:lang w:eastAsia="zh-CN"/>
        </w:rPr>
        <w:t>“</w:t>
      </w:r>
      <w:r>
        <w:rPr>
          <w:rFonts w:hint="default" w:ascii="Times New Roman" w:hAnsi="Times New Roman" w:eastAsia="方正小标宋简体" w:cs="Times New Roman"/>
          <w:i w:val="0"/>
          <w:iCs w:val="0"/>
          <w:caps w:val="0"/>
          <w:color w:val="auto"/>
          <w:spacing w:val="0"/>
          <w:sz w:val="44"/>
          <w:szCs w:val="44"/>
          <w:highlight w:val="none"/>
        </w:rPr>
        <w:t>亩均论英雄</w:t>
      </w:r>
      <w:r>
        <w:rPr>
          <w:rFonts w:hint="eastAsia" w:ascii="Times New Roman" w:hAnsi="Times New Roman" w:eastAsia="方正小标宋简体" w:cs="Times New Roman"/>
          <w:i w:val="0"/>
          <w:iCs w:val="0"/>
          <w:caps w:val="0"/>
          <w:color w:val="auto"/>
          <w:spacing w:val="0"/>
          <w:sz w:val="44"/>
          <w:szCs w:val="44"/>
          <w:highlight w:val="none"/>
          <w:lang w:eastAsia="zh-CN"/>
        </w:rPr>
        <w:t>”</w:t>
      </w:r>
      <w:r>
        <w:rPr>
          <w:rFonts w:hint="default" w:ascii="Times New Roman" w:hAnsi="Times New Roman" w:eastAsia="方正小标宋简体" w:cs="Times New Roman"/>
          <w:i w:val="0"/>
          <w:iCs w:val="0"/>
          <w:caps w:val="0"/>
          <w:color w:val="auto"/>
          <w:spacing w:val="0"/>
          <w:sz w:val="44"/>
          <w:szCs w:val="44"/>
          <w:highlight w:val="none"/>
        </w:rPr>
        <w:t>综合评价结果应用的</w:t>
      </w:r>
    </w:p>
    <w:p>
      <w:pPr>
        <w:pStyle w:val="7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0"/>
        <w:jc w:val="center"/>
        <w:textAlignment w:val="auto"/>
        <w:rPr>
          <w:rFonts w:hint="default" w:ascii="Times New Roman" w:hAnsi="Times New Roman" w:eastAsia="方正小标宋简体" w:cs="Times New Roman"/>
          <w:i w:val="0"/>
          <w:iCs w:val="0"/>
          <w:caps w:val="0"/>
          <w:color w:val="auto"/>
          <w:spacing w:val="0"/>
          <w:sz w:val="44"/>
          <w:szCs w:val="44"/>
          <w:highlight w:val="none"/>
        </w:rPr>
      </w:pPr>
      <w:r>
        <w:rPr>
          <w:rFonts w:hint="default" w:ascii="Times New Roman" w:hAnsi="Times New Roman" w:eastAsia="方正小标宋简体" w:cs="Times New Roman"/>
          <w:i w:val="0"/>
          <w:iCs w:val="0"/>
          <w:caps w:val="0"/>
          <w:color w:val="auto"/>
          <w:spacing w:val="0"/>
          <w:sz w:val="44"/>
          <w:szCs w:val="44"/>
          <w:highlight w:val="none"/>
        </w:rPr>
        <w:t>实施办法（</w:t>
      </w:r>
      <w:r>
        <w:rPr>
          <w:rFonts w:hint="default" w:ascii="Times New Roman" w:hAnsi="Times New Roman" w:eastAsia="方正小标宋简体" w:cs="Times New Roman"/>
          <w:i w:val="0"/>
          <w:iCs w:val="0"/>
          <w:caps w:val="0"/>
          <w:color w:val="auto"/>
          <w:spacing w:val="0"/>
          <w:sz w:val="44"/>
          <w:szCs w:val="44"/>
          <w:highlight w:val="none"/>
          <w:lang w:eastAsia="zh-CN"/>
        </w:rPr>
        <w:t>试行</w:t>
      </w:r>
      <w:r>
        <w:rPr>
          <w:rFonts w:hint="default" w:ascii="Times New Roman" w:hAnsi="Times New Roman" w:eastAsia="方正小标宋简体" w:cs="Times New Roman"/>
          <w:i w:val="0"/>
          <w:iCs w:val="0"/>
          <w:caps w:val="0"/>
          <w:color w:val="auto"/>
          <w:spacing w:val="0"/>
          <w:sz w:val="44"/>
          <w:szCs w:val="44"/>
          <w:highlight w:val="none"/>
        </w:rPr>
        <w:t>）</w:t>
      </w:r>
    </w:p>
    <w:p>
      <w:pPr>
        <w:pStyle w:val="7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960" w:firstLineChars="300"/>
        <w:jc w:val="both"/>
        <w:textAlignment w:val="auto"/>
        <w:rPr>
          <w:rFonts w:hint="default" w:ascii="Times New Roman" w:hAnsi="Times New Roman" w:eastAsia="仿宋" w:cs="Times New Roman"/>
          <w:i w:val="0"/>
          <w:iCs w:val="0"/>
          <w:caps w:val="0"/>
          <w:color w:val="auto"/>
          <w:spacing w:val="0"/>
          <w:sz w:val="32"/>
          <w:szCs w:val="32"/>
          <w:highlight w:val="none"/>
        </w:rPr>
      </w:pPr>
    </w:p>
    <w:p>
      <w:pPr>
        <w:pStyle w:val="7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highlight w:val="none"/>
        </w:rPr>
        <w:t>为进一步深化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highlight w:val="none"/>
          <w:lang w:eastAsia="zh-CN"/>
        </w:rPr>
        <w:t>“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highlight w:val="none"/>
        </w:rPr>
        <w:t>亩均论英雄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highlight w:val="none"/>
          <w:lang w:eastAsia="zh-CN"/>
        </w:rPr>
        <w:t>”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highlight w:val="none"/>
        </w:rPr>
        <w:t>资源要素配置改革工作，有效促进资源要素优化配置、产业创新升级、经济提质增效，根据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highlight w:val="none"/>
          <w:lang w:eastAsia="zh-CN"/>
        </w:rPr>
        <w:t>国务院印发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highlight w:val="none"/>
        </w:rPr>
        <w:t>《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highlight w:val="none"/>
          <w:lang w:eastAsia="zh-CN"/>
        </w:rPr>
        <w:t>关于促进节约集约用地的通知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highlight w:val="none"/>
        </w:rPr>
        <w:t>》(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highlight w:val="none"/>
          <w:lang w:eastAsia="zh-CN"/>
        </w:rPr>
        <w:t>国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highlight w:val="none"/>
        </w:rPr>
        <w:t>发〔20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highlight w:val="none"/>
          <w:lang w:val="en-US" w:eastAsia="zh-CN"/>
        </w:rPr>
        <w:t>0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highlight w:val="none"/>
        </w:rPr>
        <w:t>8〕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highlight w:val="none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highlight w:val="none"/>
        </w:rPr>
        <w:t>号)、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highlight w:val="none"/>
          <w:lang w:eastAsia="zh-CN"/>
        </w:rPr>
        <w:t>国土资源部印发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highlight w:val="none"/>
        </w:rPr>
        <w:t>《关于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highlight w:val="none"/>
          <w:lang w:eastAsia="zh-CN"/>
        </w:rPr>
        <w:t>推进土地集约利用的指导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highlight w:val="none"/>
        </w:rPr>
        <w:t>意见》（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highlight w:val="none"/>
          <w:lang w:eastAsia="zh-CN"/>
        </w:rPr>
        <w:t>国土资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highlight w:val="none"/>
        </w:rPr>
        <w:t>发〔201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highlight w:val="none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highlight w:val="none"/>
        </w:rPr>
        <w:t>〕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highlight w:val="none"/>
          <w:lang w:val="en-US" w:eastAsia="zh-CN"/>
        </w:rPr>
        <w:t>119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highlight w:val="none"/>
        </w:rPr>
        <w:t>号）、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highlight w:val="none"/>
          <w:lang w:eastAsia="zh-CN"/>
        </w:rPr>
        <w:t>四川省人民政府办公厅印发《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highlight w:val="none"/>
        </w:rPr>
        <w:t>关于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highlight w:val="none"/>
          <w:lang w:eastAsia="zh-CN"/>
        </w:rPr>
        <w:t>进一步加强节约集约用地的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highlight w:val="none"/>
        </w:rPr>
        <w:t>意见》（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highlight w:val="none"/>
          <w:lang w:eastAsia="zh-CN"/>
        </w:rPr>
        <w:t>川办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highlight w:val="none"/>
        </w:rPr>
        <w:t>发〔201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highlight w:val="none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highlight w:val="none"/>
        </w:rPr>
        <w:t>〕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highlight w:val="none"/>
          <w:lang w:val="en-US" w:eastAsia="zh-CN"/>
        </w:rPr>
        <w:t>84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highlight w:val="none"/>
        </w:rPr>
        <w:t>号）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highlight w:val="none"/>
          <w:lang w:eastAsia="zh-CN"/>
        </w:rPr>
        <w:t>、四川省自然资源厅、四川省经济和信息化厅《关于实施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highlight w:val="none"/>
          <w:lang w:eastAsia="zh-CN"/>
        </w:rPr>
        <w:t>“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highlight w:val="none"/>
        </w:rPr>
        <w:t>亩均论英雄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highlight w:val="none"/>
          <w:lang w:eastAsia="zh-CN"/>
        </w:rPr>
        <w:t>”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highlight w:val="none"/>
          <w:lang w:eastAsia="zh-CN"/>
        </w:rPr>
        <w:t>改革开展园区及工业企业评价工作的通知》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highlight w:val="none"/>
        </w:rPr>
        <w:t>等文件要求，结合我区实际，制定如下实施办法。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黑体" w:cs="Times New Roman"/>
          <w:i w:val="0"/>
          <w:iCs w:val="0"/>
          <w:caps w:val="0"/>
          <w:color w:val="auto"/>
          <w:spacing w:val="0"/>
          <w:sz w:val="32"/>
          <w:szCs w:val="32"/>
          <w:highlight w:val="none"/>
        </w:rPr>
      </w:pPr>
      <w:r>
        <w:rPr>
          <w:rFonts w:hint="default" w:ascii="Times New Roman" w:hAnsi="Times New Roman" w:eastAsia="黑体" w:cs="Times New Roman"/>
          <w:i w:val="0"/>
          <w:iCs w:val="0"/>
          <w:caps w:val="0"/>
          <w:color w:val="auto"/>
          <w:spacing w:val="0"/>
          <w:sz w:val="32"/>
          <w:szCs w:val="32"/>
          <w:highlight w:val="none"/>
        </w:rPr>
        <w:t>总体要求</w:t>
      </w:r>
    </w:p>
    <w:p>
      <w:pPr>
        <w:pStyle w:val="7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highlight w:val="none"/>
        </w:rPr>
        <w:t>以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highlight w:val="none"/>
          <w:lang w:eastAsia="zh-CN"/>
        </w:rPr>
        <w:t>“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highlight w:val="none"/>
        </w:rPr>
        <w:t>亩均论英雄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highlight w:val="none"/>
          <w:lang w:eastAsia="zh-CN"/>
        </w:rPr>
        <w:t>”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highlight w:val="none"/>
        </w:rPr>
        <w:t>综合评价结果为依据，依法依规实施用地、用电、用水、用气、排污、融资等资源要素差别化政策，加大首档企业激励力度，倒逼末档企业提升资源要素利用效率。</w:t>
      </w:r>
    </w:p>
    <w:p>
      <w:pPr>
        <w:pStyle w:val="7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黑体" w:cs="Times New Roman"/>
          <w:i w:val="0"/>
          <w:iCs w:val="0"/>
          <w:caps w:val="0"/>
          <w:color w:val="auto"/>
          <w:spacing w:val="0"/>
          <w:sz w:val="32"/>
          <w:szCs w:val="32"/>
          <w:highlight w:val="none"/>
        </w:rPr>
      </w:pPr>
      <w:r>
        <w:rPr>
          <w:rFonts w:hint="default" w:ascii="Times New Roman" w:hAnsi="Times New Roman" w:eastAsia="黑体" w:cs="Times New Roman"/>
          <w:i w:val="0"/>
          <w:iCs w:val="0"/>
          <w:caps w:val="0"/>
          <w:color w:val="auto"/>
          <w:spacing w:val="0"/>
          <w:sz w:val="32"/>
          <w:szCs w:val="32"/>
          <w:highlight w:val="none"/>
        </w:rPr>
        <w:t>二、工作目标</w:t>
      </w:r>
    </w:p>
    <w:p>
      <w:pPr>
        <w:pStyle w:val="7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highlight w:val="none"/>
        </w:rPr>
        <w:t>依据企业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highlight w:val="none"/>
          <w:lang w:eastAsia="zh-CN"/>
        </w:rPr>
        <w:t>“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highlight w:val="none"/>
        </w:rPr>
        <w:t>亩均论英雄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highlight w:val="none"/>
          <w:lang w:eastAsia="zh-CN"/>
        </w:rPr>
        <w:t>”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highlight w:val="none"/>
        </w:rPr>
        <w:t>综合评价结果，在资源配置上按照A类优先保障，B类积极支持，C类相对控制的原则，依法依规制定实施用地、用电、用水、排污等资源要素差别化政策，推进资源要素向综合评价高的企业集聚，提升资源要素利用效率。</w:t>
      </w:r>
    </w:p>
    <w:p>
      <w:pPr>
        <w:pStyle w:val="7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黑体" w:cs="Times New Roman"/>
          <w:i w:val="0"/>
          <w:iCs w:val="0"/>
          <w:caps w:val="0"/>
          <w:color w:val="auto"/>
          <w:spacing w:val="0"/>
          <w:sz w:val="32"/>
          <w:szCs w:val="32"/>
          <w:highlight w:val="none"/>
        </w:rPr>
      </w:pPr>
      <w:r>
        <w:rPr>
          <w:rFonts w:hint="default" w:ascii="Times New Roman" w:hAnsi="Times New Roman" w:eastAsia="黑体" w:cs="Times New Roman"/>
          <w:i w:val="0"/>
          <w:iCs w:val="0"/>
          <w:caps w:val="0"/>
          <w:color w:val="auto"/>
          <w:spacing w:val="0"/>
          <w:sz w:val="32"/>
          <w:szCs w:val="32"/>
          <w:highlight w:val="none"/>
        </w:rPr>
        <w:t>三、结果应用</w:t>
      </w:r>
    </w:p>
    <w:p>
      <w:pPr>
        <w:pStyle w:val="7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楷体_GB2312" w:cs="Times New Roman"/>
          <w:i w:val="0"/>
          <w:iCs w:val="0"/>
          <w:caps w:val="0"/>
          <w:color w:val="auto"/>
          <w:spacing w:val="0"/>
          <w:sz w:val="32"/>
          <w:szCs w:val="32"/>
          <w:highlight w:val="none"/>
        </w:rPr>
      </w:pPr>
      <w:r>
        <w:rPr>
          <w:rFonts w:hint="default" w:ascii="Times New Roman" w:hAnsi="Times New Roman" w:eastAsia="楷体_GB2312" w:cs="Times New Roman"/>
          <w:i w:val="0"/>
          <w:iCs w:val="0"/>
          <w:caps w:val="0"/>
          <w:color w:val="auto"/>
          <w:spacing w:val="0"/>
          <w:sz w:val="32"/>
          <w:szCs w:val="32"/>
          <w:highlight w:val="none"/>
        </w:rPr>
        <w:t>（一）A类企业（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highlight w:val="none"/>
        </w:rPr>
        <w:t>优先保障</w:t>
      </w:r>
      <w:r>
        <w:rPr>
          <w:rFonts w:hint="default" w:ascii="Times New Roman" w:hAnsi="Times New Roman" w:eastAsia="楷体_GB2312" w:cs="Times New Roman"/>
          <w:i w:val="0"/>
          <w:iCs w:val="0"/>
          <w:caps w:val="0"/>
          <w:color w:val="auto"/>
          <w:spacing w:val="0"/>
          <w:sz w:val="32"/>
          <w:szCs w:val="32"/>
          <w:highlight w:val="none"/>
        </w:rPr>
        <w:t>类）</w:t>
      </w:r>
    </w:p>
    <w:p>
      <w:pPr>
        <w:pStyle w:val="7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highlight w:val="none"/>
        </w:rPr>
        <w:t>1.优先申报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highlight w:val="none"/>
          <w:lang w:eastAsia="zh-CN"/>
        </w:rPr>
        <w:t>各级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highlight w:val="none"/>
        </w:rPr>
        <w:t>各类政府性荣誉，优先享受财政资金奖励。</w:t>
      </w:r>
    </w:p>
    <w:p>
      <w:pPr>
        <w:pStyle w:val="7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highlight w:val="none"/>
        </w:rPr>
        <w:t>2.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highlight w:val="none"/>
          <w:lang w:val="en-US" w:eastAsia="zh-CN"/>
        </w:rPr>
        <w:t>按企业上年实际缴纳的城镇土地使用税，区财政给予100%激励奖补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highlight w:val="none"/>
        </w:rPr>
        <w:t>。</w:t>
      </w:r>
    </w:p>
    <w:p>
      <w:pPr>
        <w:pStyle w:val="7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highlight w:val="none"/>
        </w:rPr>
        <w:t>3.优先保障企业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highlight w:val="none"/>
          <w:lang w:eastAsia="zh-CN"/>
        </w:rPr>
        <w:t>新上工业项目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highlight w:val="none"/>
        </w:rPr>
        <w:t>用地需求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highlight w:val="none"/>
          <w:lang w:eastAsia="zh-CN"/>
        </w:rPr>
        <w:t>，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highlight w:val="none"/>
        </w:rPr>
        <w:t>优先安排企业入园。</w:t>
      </w:r>
    </w:p>
    <w:p>
      <w:pPr>
        <w:pStyle w:val="7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highlight w:val="none"/>
          <w:lang w:val="en-US" w:eastAsia="zh-CN"/>
        </w:rPr>
        <w:t>4.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highlight w:val="none"/>
        </w:rPr>
        <w:t>优先安排企业参与电力直接交易试点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highlight w:val="none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highlight w:val="none"/>
        </w:rPr>
        <w:t>优先保障企业的用电需求。</w:t>
      </w:r>
    </w:p>
    <w:p>
      <w:pPr>
        <w:pStyle w:val="7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highlight w:val="none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highlight w:val="none"/>
        </w:rPr>
        <w:t>.实行有序用气时，优先保障企业的用气需求。</w:t>
      </w:r>
    </w:p>
    <w:p>
      <w:pPr>
        <w:pStyle w:val="7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highlight w:val="none"/>
          <w:lang w:val="en-US" w:eastAsia="zh-CN"/>
        </w:rPr>
        <w:t>6.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highlight w:val="none"/>
        </w:rPr>
        <w:t>优先安排企业新增项目排污权指标；优先参与污染物排放交易。</w:t>
      </w:r>
    </w:p>
    <w:p>
      <w:pPr>
        <w:pStyle w:val="7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highlight w:val="none"/>
          <w:lang w:val="en-US" w:eastAsia="zh-CN"/>
        </w:rPr>
        <w:t>7.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highlight w:val="none"/>
          <w:lang w:eastAsia="zh-CN"/>
        </w:rPr>
        <w:t>鼓励金融机构实施差别化信贷政策，引导政策性融资担保公司对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highlight w:val="none"/>
          <w:lang w:val="en-US" w:eastAsia="zh-CN"/>
        </w:rPr>
        <w:t>A类企业主动提供融资担保服务，并给予保费优惠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highlight w:val="none"/>
        </w:rPr>
        <w:t>。</w:t>
      </w:r>
    </w:p>
    <w:p>
      <w:pPr>
        <w:pStyle w:val="7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highlight w:val="none"/>
          <w:lang w:val="en-US" w:eastAsia="zh-CN"/>
        </w:rPr>
        <w:t>8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highlight w:val="none"/>
        </w:rPr>
        <w:t>.优先支持企业技术改造和研发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highlight w:val="none"/>
          <w:lang w:eastAsia="zh-CN"/>
        </w:rPr>
        <w:t>项目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highlight w:val="none"/>
          <w:lang w:val="en-US" w:eastAsia="zh-CN"/>
        </w:rPr>
        <w:t>申报资金支持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highlight w:val="none"/>
        </w:rPr>
        <w:t>。</w:t>
      </w:r>
    </w:p>
    <w:p>
      <w:pPr>
        <w:pStyle w:val="7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highlight w:val="none"/>
          <w:lang w:val="en-US" w:eastAsia="zh-CN"/>
        </w:rPr>
        <w:t>9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highlight w:val="none"/>
        </w:rPr>
        <w:t>.出口信用保险补助标准增加10个百分点，限额提高10万元。</w:t>
      </w:r>
    </w:p>
    <w:p>
      <w:pPr>
        <w:pStyle w:val="7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楷体_GB2312" w:cs="Times New Roman"/>
          <w:i w:val="0"/>
          <w:iCs w:val="0"/>
          <w:caps w:val="0"/>
          <w:color w:val="auto"/>
          <w:spacing w:val="0"/>
          <w:sz w:val="32"/>
          <w:szCs w:val="32"/>
          <w:highlight w:val="none"/>
        </w:rPr>
      </w:pPr>
      <w:r>
        <w:rPr>
          <w:rFonts w:hint="default" w:ascii="Times New Roman" w:hAnsi="Times New Roman" w:eastAsia="楷体_GB2312" w:cs="Times New Roman"/>
          <w:i w:val="0"/>
          <w:iCs w:val="0"/>
          <w:caps w:val="0"/>
          <w:color w:val="auto"/>
          <w:spacing w:val="0"/>
          <w:sz w:val="32"/>
          <w:szCs w:val="32"/>
          <w:highlight w:val="none"/>
        </w:rPr>
        <w:t>（二）B类企业（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highlight w:val="none"/>
        </w:rPr>
        <w:t>积极支持</w:t>
      </w:r>
      <w:r>
        <w:rPr>
          <w:rFonts w:hint="default" w:ascii="Times New Roman" w:hAnsi="Times New Roman" w:eastAsia="楷体_GB2312" w:cs="Times New Roman"/>
          <w:i w:val="0"/>
          <w:iCs w:val="0"/>
          <w:caps w:val="0"/>
          <w:color w:val="auto"/>
          <w:spacing w:val="0"/>
          <w:sz w:val="32"/>
          <w:szCs w:val="32"/>
          <w:highlight w:val="none"/>
        </w:rPr>
        <w:t>类）</w:t>
      </w:r>
    </w:p>
    <w:p>
      <w:pPr>
        <w:pStyle w:val="7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highlight w:val="none"/>
        </w:rPr>
        <w:t>1.支持申报各级各类政府性荣誉。</w:t>
      </w:r>
    </w:p>
    <w:p>
      <w:pPr>
        <w:pStyle w:val="7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highlight w:val="none"/>
        </w:rPr>
        <w:t>2.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highlight w:val="none"/>
          <w:lang w:val="en-US" w:eastAsia="zh-CN"/>
        </w:rPr>
        <w:t>按企业上年实际缴纳的城镇土地使用税，区财政给予50%激励奖补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highlight w:val="none"/>
        </w:rPr>
        <w:t>。</w:t>
      </w:r>
    </w:p>
    <w:p>
      <w:pPr>
        <w:pStyle w:val="7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highlight w:val="none"/>
        </w:rPr>
        <w:t>3.优先安排规上企业参与电力直接交易试点。实行有序用电时，作为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highlight w:val="none"/>
          <w:lang w:eastAsia="zh-CN"/>
        </w:rPr>
        <w:t>“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highlight w:val="none"/>
        </w:rPr>
        <w:t>一般保障类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highlight w:val="none"/>
          <w:lang w:eastAsia="zh-CN"/>
        </w:rPr>
        <w:t>”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highlight w:val="none"/>
        </w:rPr>
        <w:t>对象。</w:t>
      </w:r>
    </w:p>
    <w:p>
      <w:pPr>
        <w:pStyle w:val="7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highlight w:val="none"/>
        </w:rPr>
        <w:t>4.实行有序用气时，作为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highlight w:val="none"/>
          <w:lang w:eastAsia="zh-CN"/>
        </w:rPr>
        <w:t>“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highlight w:val="none"/>
        </w:rPr>
        <w:t>一般保障类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highlight w:val="none"/>
          <w:lang w:eastAsia="zh-CN"/>
        </w:rPr>
        <w:t>”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highlight w:val="none"/>
        </w:rPr>
        <w:t>对象。</w:t>
      </w:r>
    </w:p>
    <w:p>
      <w:pPr>
        <w:pStyle w:val="7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highlight w:val="none"/>
        </w:rPr>
        <w:t>5.适当安排企业新增排污权指标。</w:t>
      </w:r>
    </w:p>
    <w:p>
      <w:pPr>
        <w:pStyle w:val="7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highlight w:val="none"/>
          <w:lang w:val="en-US" w:eastAsia="zh-CN"/>
        </w:rPr>
        <w:t>6.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highlight w:val="none"/>
          <w:lang w:eastAsia="zh-CN"/>
        </w:rPr>
        <w:t>鼓励金融机构给予融资信贷支持，适当给予利率优惠，引导政策性融资担保公司提供融资担保服务，给予审批时限、担保方式方面的配套服务。</w:t>
      </w:r>
    </w:p>
    <w:p>
      <w:pPr>
        <w:pStyle w:val="7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楷体_GB2312" w:cs="Times New Roman"/>
          <w:i w:val="0"/>
          <w:iCs w:val="0"/>
          <w:caps w:val="0"/>
          <w:color w:val="auto"/>
          <w:spacing w:val="0"/>
          <w:sz w:val="32"/>
          <w:szCs w:val="32"/>
          <w:highlight w:val="none"/>
        </w:rPr>
      </w:pPr>
      <w:r>
        <w:rPr>
          <w:rFonts w:hint="default" w:ascii="Times New Roman" w:hAnsi="Times New Roman" w:eastAsia="楷体_GB2312" w:cs="Times New Roman"/>
          <w:i w:val="0"/>
          <w:iCs w:val="0"/>
          <w:caps w:val="0"/>
          <w:color w:val="auto"/>
          <w:spacing w:val="0"/>
          <w:sz w:val="32"/>
          <w:szCs w:val="32"/>
          <w:highlight w:val="none"/>
        </w:rPr>
        <w:t>（三）C类企业（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highlight w:val="none"/>
        </w:rPr>
        <w:t>相对控制</w:t>
      </w:r>
      <w:r>
        <w:rPr>
          <w:rFonts w:hint="default" w:ascii="Times New Roman" w:hAnsi="Times New Roman" w:eastAsia="楷体_GB2312" w:cs="Times New Roman"/>
          <w:i w:val="0"/>
          <w:iCs w:val="0"/>
          <w:caps w:val="0"/>
          <w:color w:val="auto"/>
          <w:spacing w:val="0"/>
          <w:sz w:val="32"/>
          <w:szCs w:val="32"/>
          <w:highlight w:val="none"/>
        </w:rPr>
        <w:t>类）</w:t>
      </w:r>
    </w:p>
    <w:p>
      <w:pPr>
        <w:pStyle w:val="7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highlight w:val="none"/>
          <w:lang w:val="en-US" w:eastAsia="zh-CN"/>
        </w:rPr>
        <w:t>1.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highlight w:val="none"/>
        </w:rPr>
        <w:t>不得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highlight w:val="none"/>
          <w:lang w:eastAsia="zh-CN"/>
        </w:rPr>
        <w:t>再予安排新增工业用地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highlight w:val="none"/>
        </w:rPr>
        <w:t>(拆迁安置除外)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highlight w:val="none"/>
          <w:lang w:eastAsia="zh-CN"/>
        </w:rPr>
        <w:t>。</w:t>
      </w:r>
    </w:p>
    <w:p>
      <w:pPr>
        <w:pStyle w:val="7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highlight w:val="none"/>
        </w:rPr>
        <w:t>2.实行有序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highlight w:val="none"/>
          <w:lang w:eastAsia="zh-CN"/>
        </w:rPr>
        <w:t>用电、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highlight w:val="none"/>
        </w:rPr>
        <w:t>用气时，列为预备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highlight w:val="none"/>
          <w:lang w:eastAsia="zh-CN"/>
        </w:rPr>
        <w:t>限电、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highlight w:val="none"/>
        </w:rPr>
        <w:t>限气对象。</w:t>
      </w:r>
    </w:p>
    <w:p>
      <w:pPr>
        <w:pStyle w:val="7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highlight w:val="none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highlight w:val="none"/>
        </w:rPr>
        <w:t>.不予核准低效产能扩张，原则上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highlight w:val="none"/>
          <w:lang w:eastAsia="zh-CN"/>
        </w:rPr>
        <w:t>依法依规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highlight w:val="none"/>
        </w:rPr>
        <w:t>不再增加用能总量指标。</w:t>
      </w:r>
    </w:p>
    <w:p>
      <w:pPr>
        <w:pStyle w:val="7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highlight w:val="none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highlight w:val="none"/>
        </w:rPr>
        <w:t>.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highlight w:val="none"/>
          <w:lang w:eastAsia="zh-CN"/>
        </w:rPr>
        <w:t>依法依规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highlight w:val="none"/>
        </w:rPr>
        <w:t>限制安排新增排污权指标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highlight w:val="none"/>
          <w:lang w:eastAsia="zh-CN"/>
        </w:rPr>
        <w:t>。</w:t>
      </w:r>
    </w:p>
    <w:p>
      <w:pPr>
        <w:pStyle w:val="7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highlight w:val="none"/>
          <w:lang w:val="en-US" w:eastAsia="zh-CN"/>
        </w:rPr>
        <w:t>5.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highlight w:val="none"/>
        </w:rPr>
        <w:t>严格信用评级，严把贷款准入关，不得享受额度、利率、还款方式、融资担保方式等方面的优惠政策。</w:t>
      </w:r>
    </w:p>
    <w:p>
      <w:pPr>
        <w:pStyle w:val="7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highlight w:val="none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highlight w:val="none"/>
        </w:rPr>
        <w:t>.不得享受各类财政奖励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highlight w:val="none"/>
          <w:lang w:eastAsia="zh-CN"/>
        </w:rPr>
        <w:t>及项目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highlight w:val="none"/>
        </w:rPr>
        <w:t>资金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highlight w:val="none"/>
          <w:lang w:eastAsia="zh-CN"/>
        </w:rPr>
        <w:t>支持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highlight w:val="none"/>
        </w:rPr>
        <w:t>。</w:t>
      </w:r>
    </w:p>
    <w:p>
      <w:pPr>
        <w:pStyle w:val="7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right="0" w:firstLine="640" w:firstLineChars="200"/>
        <w:jc w:val="both"/>
        <w:textAlignment w:val="auto"/>
        <w:rPr>
          <w:rFonts w:hint="default" w:ascii="Times New Roman" w:hAnsi="Times New Roman" w:eastAsia="黑体" w:cs="Times New Roman"/>
          <w:i w:val="0"/>
          <w:iCs w:val="0"/>
          <w:caps w:val="0"/>
          <w:color w:val="auto"/>
          <w:spacing w:val="0"/>
          <w:sz w:val="32"/>
          <w:szCs w:val="32"/>
          <w:highlight w:val="none"/>
        </w:rPr>
      </w:pPr>
      <w:r>
        <w:rPr>
          <w:rFonts w:hint="default" w:ascii="Times New Roman" w:hAnsi="Times New Roman" w:eastAsia="黑体" w:cs="Times New Roman"/>
          <w:i w:val="0"/>
          <w:iCs w:val="0"/>
          <w:caps w:val="0"/>
          <w:color w:val="auto"/>
          <w:spacing w:val="0"/>
          <w:sz w:val="32"/>
          <w:szCs w:val="32"/>
          <w:highlight w:val="none"/>
        </w:rPr>
        <w:t>四、工作保障</w:t>
      </w:r>
    </w:p>
    <w:p>
      <w:pPr>
        <w:pStyle w:val="7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highlight w:val="none"/>
        </w:rPr>
        <w:t>各单位要结合实际制定资源要素差别化政策实施方案，并依法依规抓好政策落地。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highlight w:val="none"/>
          <w:lang w:eastAsia="zh-CN"/>
        </w:rPr>
        <w:t>昭化经开区要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highlight w:val="none"/>
        </w:rPr>
        <w:t>会同区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highlight w:val="none"/>
          <w:lang w:eastAsia="zh-CN"/>
        </w:rPr>
        <w:t>目标绩效事务中心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highlight w:val="none"/>
        </w:rPr>
        <w:t>加强督查考核，跟踪评价资源要素优化配置政策的实施效果，建立定期通报、企业诉求受理制度，对推进不力的单位进行通报、限期整改。</w:t>
      </w:r>
    </w:p>
    <w:p>
      <w:pPr>
        <w:pStyle w:val="7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highlight w:val="none"/>
          <w:lang w:eastAsia="zh-CN"/>
        </w:rPr>
        <w:t>本办法自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highlight w:val="none"/>
          <w:lang w:val="en-US" w:eastAsia="zh-CN"/>
        </w:rPr>
        <w:t>2023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highlight w:val="none"/>
          <w:lang w:val="en-US" w:eastAsia="zh-CN"/>
        </w:rPr>
        <w:t>年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highlight w:val="none"/>
          <w:lang w:val="en-US" w:eastAsia="zh-CN"/>
        </w:rPr>
        <w:t>10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highlight w:val="none"/>
          <w:lang w:val="en-US" w:eastAsia="zh-CN"/>
        </w:rPr>
        <w:t>月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highlight w:val="none"/>
          <w:lang w:val="en-US" w:eastAsia="zh-CN"/>
        </w:rPr>
        <w:t>11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highlight w:val="none"/>
          <w:lang w:val="en-US" w:eastAsia="zh-CN"/>
        </w:rPr>
        <w:t>日开始施行，有效期为壹年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</w:p>
    <w:sectPr>
      <w:footerReference r:id="rId3" w:type="default"/>
      <w:footerReference r:id="rId4" w:type="even"/>
      <w:pgSz w:w="11906" w:h="16838"/>
      <w:pgMar w:top="2098" w:right="1474" w:bottom="1984" w:left="1587" w:header="851" w:footer="1587" w:gutter="0"/>
      <w:pgNumType w:fmt="decimal" w:start="1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4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wordWrap w:val="0"/>
      <w:ind w:firstLine="180" w:firstLineChars="100"/>
      <w:jc w:val="right"/>
      <w:rPr>
        <w:rFonts w:hint="default" w:eastAsia="宋体"/>
        <w:lang w:val="en-US"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 w:val="0"/>
                            <w:overflowPunct/>
                            <w:topLinePunct w:val="0"/>
                            <w:bidi w:val="0"/>
                            <w:adjustRightInd/>
                            <w:snapToGrid w:val="0"/>
                            <w:ind w:left="210" w:leftChars="100" w:right="210" w:rightChars="100" w:firstLine="0" w:firstLineChars="0"/>
                            <w:jc w:val="both"/>
                            <w:textAlignment w:val="auto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keepNext w:val="0"/>
                      <w:keepLines w:val="0"/>
                      <w:pageBreakBefore w:val="0"/>
                      <w:widowControl w:val="0"/>
                      <w:kinsoku/>
                      <w:wordWrap w:val="0"/>
                      <w:overflowPunct/>
                      <w:topLinePunct w:val="0"/>
                      <w:bidi w:val="0"/>
                      <w:adjustRightInd/>
                      <w:snapToGrid w:val="0"/>
                      <w:ind w:left="210" w:leftChars="100" w:right="210" w:rightChars="100" w:firstLine="0" w:firstLineChars="0"/>
                      <w:jc w:val="both"/>
                      <w:textAlignment w:val="auto"/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180" w:firstLineChars="100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inside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ind w:firstLine="280" w:firstLineChars="100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in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9Aknl8cBAACZAwAADgAAAAAAAAABACAAAAAeAQAAZHJzL2Uyb0RvYy54&#10;bWxQSwUGAAAAAAYABgBZAQAAV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ind w:firstLine="280" w:firstLineChars="100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E70115C"/>
    <w:multiLevelType w:val="singleLevel"/>
    <w:tmpl w:val="BE70115C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ZlYmM4YTZiZTc0YThjYzYzYzIxM2QzMTdmYjMyYmUifQ=="/>
  </w:docVars>
  <w:rsids>
    <w:rsidRoot w:val="47641C1C"/>
    <w:rsid w:val="0DD970D5"/>
    <w:rsid w:val="0EFF09AB"/>
    <w:rsid w:val="16D847D3"/>
    <w:rsid w:val="1BB34FAA"/>
    <w:rsid w:val="21343A92"/>
    <w:rsid w:val="23012340"/>
    <w:rsid w:val="2D133537"/>
    <w:rsid w:val="30E45F18"/>
    <w:rsid w:val="47641C1C"/>
    <w:rsid w:val="52F85F6C"/>
    <w:rsid w:val="5C5617A7"/>
    <w:rsid w:val="684A7413"/>
    <w:rsid w:val="6C0D620F"/>
    <w:rsid w:val="7A4D6A17"/>
    <w:rsid w:val="7A7C4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qFormat="1" w:unhideWhenUsed="0" w:uiPriority="99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99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figures"/>
    <w:basedOn w:val="1"/>
    <w:next w:val="1"/>
    <w:semiHidden/>
    <w:qFormat/>
    <w:uiPriority w:val="99"/>
    <w:pPr>
      <w:ind w:left="200" w:leftChars="200" w:hanging="200" w:hangingChars="200"/>
    </w:pPr>
  </w:style>
  <w:style w:type="paragraph" w:styleId="3">
    <w:name w:val="Body Text Indent"/>
    <w:basedOn w:val="1"/>
    <w:next w:val="4"/>
    <w:semiHidden/>
    <w:qFormat/>
    <w:uiPriority w:val="99"/>
    <w:pPr>
      <w:spacing w:after="120"/>
      <w:ind w:left="420" w:leftChars="200"/>
    </w:pPr>
  </w:style>
  <w:style w:type="paragraph" w:styleId="4">
    <w:name w:val="Body Text First Indent 2"/>
    <w:basedOn w:val="3"/>
    <w:next w:val="1"/>
    <w:qFormat/>
    <w:uiPriority w:val="99"/>
    <w:pPr>
      <w:spacing w:after="0"/>
      <w:ind w:firstLine="420" w:firstLineChars="200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2023-09-22T01:27:00Z</dcterms:created>
  <dc:creator>纠结蛟</dc:creator>
  <cp:lastModifiedBy>起风了</cp:lastModifiedBy>
  <cp:lastPrinted>2023-10-12T01:22:00Z</cp:lastPrinted>
  <dcterms:modified xsi:type="dcterms:W3CDTF">2023-10-20T04:05:01Z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78BA4BF313E5464E8BC1A951FA012574_13</vt:lpwstr>
  </property>
</Properties>
</file>