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9"/>
        <w:rPr>
          <w:rFonts w:hint="default" w:ascii="方正小标宋简体" w:hAnsi="宋体" w:eastAsia="方正小标宋简体"/>
          <w:color w:val="auto"/>
          <w:sz w:val="72"/>
          <w:szCs w:val="72"/>
          <w:highlight w:val="none"/>
          <w:lang w:val="en-US" w:eastAsia="zh-CN"/>
        </w:rPr>
      </w:pPr>
      <w:bookmarkStart w:id="0" w:name="_Toc15306267"/>
    </w:p>
    <w:p>
      <w:pPr>
        <w:spacing w:line="600" w:lineRule="exact"/>
        <w:jc w:val="center"/>
        <w:outlineLvl w:val="9"/>
        <w:rPr>
          <w:rFonts w:ascii="方正小标宋简体" w:hAnsi="宋体" w:eastAsia="方正小标宋简体"/>
          <w:color w:val="auto"/>
          <w:sz w:val="72"/>
          <w:szCs w:val="72"/>
          <w:highlight w:val="none"/>
        </w:rPr>
      </w:pPr>
    </w:p>
    <w:p>
      <w:pPr>
        <w:spacing w:line="600" w:lineRule="exact"/>
        <w:jc w:val="center"/>
        <w:outlineLvl w:val="9"/>
        <w:rPr>
          <w:rFonts w:ascii="方正小标宋简体" w:hAnsi="宋体" w:eastAsia="方正小标宋简体"/>
          <w:color w:val="auto"/>
          <w:sz w:val="72"/>
          <w:szCs w:val="72"/>
          <w:highlight w:val="none"/>
        </w:rPr>
      </w:pPr>
    </w:p>
    <w:p>
      <w:pPr>
        <w:spacing w:line="600" w:lineRule="exact"/>
        <w:jc w:val="center"/>
        <w:outlineLvl w:val="9"/>
        <w:rPr>
          <w:rFonts w:ascii="方正小标宋简体" w:hAnsi="宋体" w:eastAsia="方正小标宋简体"/>
          <w:color w:val="auto"/>
          <w:sz w:val="72"/>
          <w:szCs w:val="72"/>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方正小标宋简体" w:hAnsi="方正小标宋简体" w:eastAsia="方正小标宋简体" w:cs="方正小标宋简体"/>
          <w:color w:val="auto"/>
          <w:sz w:val="72"/>
          <w:szCs w:val="72"/>
          <w:highlight w:val="none"/>
        </w:rPr>
      </w:pPr>
      <w:bookmarkStart w:id="1" w:name="_Toc15396475"/>
      <w:bookmarkStart w:id="2" w:name="_Toc15378441"/>
      <w:bookmarkStart w:id="3" w:name="_Toc15377425"/>
      <w:bookmarkStart w:id="4" w:name="_Toc15396597"/>
      <w:bookmarkStart w:id="5" w:name="_Toc15377193"/>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21</w:t>
      </w:r>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方正小标宋简体" w:hAnsi="方正小标宋简体" w:eastAsia="方正小标宋简体" w:cs="方正小标宋简体"/>
          <w:color w:val="auto"/>
          <w:sz w:val="72"/>
          <w:szCs w:val="72"/>
          <w:highlight w:val="none"/>
          <w:lang w:val="en-US" w:eastAsia="zh-CN"/>
        </w:rPr>
      </w:pPr>
      <w:bookmarkStart w:id="6" w:name="_Toc15378442"/>
      <w:bookmarkStart w:id="7" w:name="_Toc15377194"/>
      <w:bookmarkStart w:id="8" w:name="_Toc15396598"/>
      <w:bookmarkStart w:id="9" w:name="_Toc15396476"/>
      <w:bookmarkStart w:id="10" w:name="_Toc15377426"/>
      <w:r>
        <w:rPr>
          <w:rFonts w:hint="eastAsia" w:ascii="方正小标宋简体" w:hAnsi="方正小标宋简体" w:eastAsia="方正小标宋简体" w:cs="方正小标宋简体"/>
          <w:color w:val="auto"/>
          <w:sz w:val="72"/>
          <w:szCs w:val="72"/>
          <w:highlight w:val="none"/>
        </w:rPr>
        <w:t>四川省</w:t>
      </w:r>
      <w:bookmarkEnd w:id="0"/>
      <w:bookmarkStart w:id="11" w:name="_Toc15306268"/>
      <w:r>
        <w:rPr>
          <w:rFonts w:hint="eastAsia" w:ascii="方正小标宋简体" w:hAnsi="方正小标宋简体" w:eastAsia="方正小标宋简体" w:cs="方正小标宋简体"/>
          <w:color w:val="auto"/>
          <w:sz w:val="72"/>
          <w:szCs w:val="72"/>
          <w:highlight w:val="none"/>
          <w:lang w:val="en-US" w:eastAsia="zh-CN"/>
        </w:rPr>
        <w:t>广元市昭化区经济信息化和科学技术局</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方正小标宋简体" w:hAnsi="方正小标宋简体" w:eastAsia="方正小标宋简体" w:cs="方正小标宋简体"/>
          <w:color w:val="auto"/>
          <w:sz w:val="72"/>
          <w:szCs w:val="72"/>
          <w:highlight w:val="none"/>
        </w:rPr>
      </w:pPr>
      <w:r>
        <w:rPr>
          <w:rFonts w:hint="eastAsia" w:ascii="方正小标宋简体" w:hAnsi="方正小标宋简体" w:eastAsia="方正小标宋简体" w:cs="方正小标宋简体"/>
          <w:color w:val="auto"/>
          <w:sz w:val="72"/>
          <w:szCs w:val="72"/>
          <w:highlight w:val="none"/>
          <w:lang w:eastAsia="zh-CN"/>
        </w:rPr>
        <w:t>单位</w:t>
      </w:r>
      <w:r>
        <w:rPr>
          <w:rFonts w:hint="eastAsia" w:ascii="方正小标宋简体" w:hAnsi="方正小标宋简体" w:eastAsia="方正小标宋简体" w:cs="方正小标宋简体"/>
          <w:color w:val="auto"/>
          <w:sz w:val="72"/>
          <w:szCs w:val="72"/>
          <w:highlight w:val="none"/>
        </w:rPr>
        <w:t>决算</w:t>
      </w:r>
      <w:bookmarkEnd w:id="6"/>
      <w:bookmarkEnd w:id="7"/>
      <w:bookmarkEnd w:id="8"/>
      <w:bookmarkEnd w:id="9"/>
      <w:bookmarkEnd w:id="10"/>
      <w:bookmarkEnd w:id="11"/>
    </w:p>
    <w:p>
      <w:pPr>
        <w:adjustRightInd w:val="0"/>
        <w:snapToGrid w:val="0"/>
        <w:spacing w:line="360" w:lineRule="auto"/>
        <w:jc w:val="center"/>
        <w:outlineLvl w:val="9"/>
        <w:rPr>
          <w:rFonts w:ascii="方正小标宋简体" w:hAnsi="宋体" w:eastAsia="方正小标宋简体"/>
          <w:color w:val="auto"/>
          <w:sz w:val="52"/>
          <w:szCs w:val="52"/>
          <w:highlight w:val="none"/>
        </w:rPr>
      </w:pPr>
    </w:p>
    <w:p>
      <w:pPr>
        <w:widowControl/>
        <w:jc w:val="center"/>
        <w:rPr>
          <w:rFonts w:hint="eastAsia" w:ascii="黑体" w:hAnsi="黑体" w:eastAsia="黑体"/>
          <w:color w:val="auto"/>
          <w:sz w:val="48"/>
          <w:szCs w:val="48"/>
          <w:highlight w:val="none"/>
        </w:rPr>
        <w:sectPr>
          <w:headerReference r:id="rId3" w:type="default"/>
          <w:pgSz w:w="11906" w:h="16838"/>
          <w:pgMar w:top="1440" w:right="1800" w:bottom="1440" w:left="1800" w:header="851" w:footer="992" w:gutter="0"/>
          <w:pgNumType w:start="1"/>
          <w:cols w:space="425" w:num="1"/>
          <w:titlePg/>
          <w:docGrid w:type="lines" w:linePitch="312" w:charSpace="0"/>
        </w:sectPr>
      </w:pPr>
    </w:p>
    <w:p>
      <w:pPr>
        <w:widowControl/>
        <w:jc w:val="center"/>
        <w:rPr>
          <w:color w:val="auto"/>
          <w:highlight w:val="none"/>
        </w:rPr>
      </w:pPr>
      <w:r>
        <w:rPr>
          <w:rFonts w:hint="eastAsia" w:ascii="黑体" w:hAnsi="黑体" w:eastAsia="黑体"/>
          <w:color w:val="auto"/>
          <w:sz w:val="48"/>
          <w:szCs w:val="48"/>
          <w:highlight w:val="none"/>
        </w:rPr>
        <w:t>目</w:t>
      </w:r>
      <w:r>
        <w:rPr>
          <w:rFonts w:hint="eastAsia" w:ascii="黑体" w:hAnsi="黑体" w:eastAsia="黑体"/>
          <w:color w:val="auto"/>
          <w:sz w:val="48"/>
          <w:szCs w:val="48"/>
          <w:highlight w:val="none"/>
          <w:lang w:val="en-US" w:eastAsia="zh-CN"/>
        </w:rPr>
        <w:t xml:space="preserve">  </w:t>
      </w:r>
      <w:r>
        <w:rPr>
          <w:rFonts w:hint="eastAsia" w:ascii="黑体" w:hAnsi="黑体" w:eastAsia="黑体"/>
          <w:color w:val="auto"/>
          <w:sz w:val="48"/>
          <w:szCs w:val="48"/>
          <w:highlight w:val="none"/>
        </w:rPr>
        <w:t>录</w:t>
      </w:r>
    </w:p>
    <w:sdt>
      <w:sdtPr>
        <w:rPr>
          <w:rFonts w:ascii="宋体" w:hAnsi="宋体" w:eastAsia="宋体" w:cs="Times New Roman"/>
          <w:kern w:val="2"/>
          <w:sz w:val="21"/>
          <w:szCs w:val="24"/>
          <w:lang w:val="en-US" w:eastAsia="zh-CN" w:bidi="ar-SA"/>
        </w:rPr>
        <w:id w:val="147460696"/>
        <w15:color w:val="DBDBDB"/>
        <w:docPartObj>
          <w:docPartGallery w:val="Table of Contents"/>
          <w:docPartUnique/>
        </w:docPartObj>
      </w:sdtPr>
      <w:sdtEndPr>
        <w:rPr>
          <w:rFonts w:hint="eastAsia" w:ascii="仿宋_GB2312" w:hAnsi="仿宋_GB2312" w:eastAsia="仿宋_GB2312" w:cs="仿宋_GB2312"/>
          <w:b/>
          <w:sz w:val="32"/>
          <w:szCs w:val="32"/>
        </w:rPr>
      </w:sdtEndPr>
      <w:sdtContent>
        <w:p>
          <w:pPr>
            <w:spacing w:before="0" w:beforeLines="0" w:after="0" w:afterLines="0" w:line="240" w:lineRule="auto"/>
            <w:ind w:left="0" w:leftChars="0" w:right="0" w:rightChars="0" w:firstLine="0" w:firstLineChars="0"/>
            <w:jc w:val="center"/>
          </w:pPr>
        </w:p>
        <w:p>
          <w:pPr>
            <w:pStyle w:val="13"/>
            <w:keepNext w:val="0"/>
            <w:keepLines w:val="0"/>
            <w:pageBreakBefore w:val="0"/>
            <w:tabs>
              <w:tab w:val="right" w:leader="dot" w:pos="8306"/>
              <w:tab w:val="clear" w:pos="8296"/>
            </w:tabs>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TOC \o "1-2" \h \u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_Toc26346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highlight w:val="none"/>
            </w:rPr>
            <w:t xml:space="preserve">第一部分 </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bCs w:val="0"/>
              <w:sz w:val="32"/>
              <w:szCs w:val="32"/>
              <w:highlight w:val="none"/>
            </w:rPr>
            <w:t>概况</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_Toc26346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4"/>
            <w:keepNext w:val="0"/>
            <w:keepLines w:val="0"/>
            <w:pageBreakBefore w:val="0"/>
            <w:tabs>
              <w:tab w:val="right" w:leader="dot" w:pos="8306"/>
              <w:tab w:val="clear" w:pos="8296"/>
            </w:tabs>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_Toc8087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val="0"/>
              <w:sz w:val="32"/>
              <w:szCs w:val="32"/>
              <w:lang w:eastAsia="zh-CN"/>
            </w:rPr>
            <w:t xml:space="preserve">一、 </w:t>
          </w:r>
          <w:r>
            <w:rPr>
              <w:rFonts w:hint="eastAsia" w:ascii="仿宋_GB2312" w:hAnsi="仿宋_GB2312" w:eastAsia="仿宋_GB2312" w:cs="仿宋_GB2312"/>
              <w:bCs w:val="0"/>
              <w:sz w:val="32"/>
              <w:szCs w:val="32"/>
              <w:highlight w:val="none"/>
            </w:rPr>
            <w:t>职能</w:t>
          </w:r>
          <w:r>
            <w:rPr>
              <w:rFonts w:hint="eastAsia" w:ascii="仿宋_GB2312" w:hAnsi="仿宋_GB2312" w:eastAsia="仿宋_GB2312" w:cs="仿宋_GB2312"/>
              <w:bCs w:val="0"/>
              <w:sz w:val="32"/>
              <w:szCs w:val="32"/>
              <w:highlight w:val="none"/>
              <w:lang w:eastAsia="zh-CN"/>
            </w:rPr>
            <w:t>简介</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_Toc8087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4"/>
            <w:keepNext w:val="0"/>
            <w:keepLines w:val="0"/>
            <w:pageBreakBefore w:val="0"/>
            <w:tabs>
              <w:tab w:val="right" w:leader="dot" w:pos="8306"/>
              <w:tab w:val="clear" w:pos="8296"/>
            </w:tabs>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_Toc4838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highlight w:val="none"/>
              <w:lang w:val="en-US" w:eastAsia="zh-CN"/>
            </w:rPr>
            <w:t>二、2021年重点</w:t>
          </w:r>
          <w:r>
            <w:rPr>
              <w:rFonts w:hint="eastAsia" w:ascii="仿宋_GB2312" w:hAnsi="仿宋_GB2312" w:eastAsia="仿宋_GB2312" w:cs="仿宋_GB2312"/>
              <w:sz w:val="32"/>
              <w:szCs w:val="32"/>
              <w:highlight w:val="none"/>
            </w:rPr>
            <w:t>工作</w:t>
          </w:r>
          <w:r>
            <w:rPr>
              <w:rFonts w:hint="eastAsia" w:ascii="仿宋_GB2312" w:hAnsi="仿宋_GB2312" w:eastAsia="仿宋_GB2312" w:cs="仿宋_GB2312"/>
              <w:sz w:val="32"/>
              <w:szCs w:val="32"/>
              <w:highlight w:val="none"/>
              <w:lang w:eastAsia="zh-CN"/>
            </w:rPr>
            <w:t>完成情况</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_Toc4838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3"/>
            <w:keepNext w:val="0"/>
            <w:keepLines w:val="0"/>
            <w:pageBreakBefore w:val="0"/>
            <w:tabs>
              <w:tab w:val="right" w:leader="dot" w:pos="8306"/>
              <w:tab w:val="clear" w:pos="8296"/>
            </w:tabs>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_Toc3234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sz w:val="32"/>
              <w:szCs w:val="32"/>
              <w:highlight w:val="none"/>
            </w:rPr>
            <w:t xml:space="preserve">第二部分 </w:t>
          </w:r>
          <w:r>
            <w:rPr>
              <w:rFonts w:hint="eastAsia" w:ascii="仿宋_GB2312" w:hAnsi="仿宋_GB2312" w:eastAsia="仿宋_GB2312" w:cs="仿宋_GB2312"/>
              <w:bCs/>
              <w:sz w:val="32"/>
              <w:szCs w:val="32"/>
              <w:highlight w:val="none"/>
              <w:lang w:val="en-US" w:eastAsia="zh-CN"/>
            </w:rPr>
            <w:t>2021年度</w:t>
          </w:r>
          <w:r>
            <w:rPr>
              <w:rFonts w:hint="eastAsia" w:ascii="仿宋_GB2312" w:hAnsi="仿宋_GB2312" w:eastAsia="仿宋_GB2312" w:cs="仿宋_GB2312"/>
              <w:bCs/>
              <w:sz w:val="32"/>
              <w:szCs w:val="32"/>
              <w:highlight w:val="none"/>
              <w:lang w:eastAsia="zh-CN"/>
            </w:rPr>
            <w:t>单位</w:t>
          </w:r>
          <w:r>
            <w:rPr>
              <w:rFonts w:hint="eastAsia" w:ascii="仿宋_GB2312" w:hAnsi="仿宋_GB2312" w:eastAsia="仿宋_GB2312" w:cs="仿宋_GB2312"/>
              <w:bCs/>
              <w:sz w:val="32"/>
              <w:szCs w:val="32"/>
              <w:highlight w:val="none"/>
            </w:rPr>
            <w:t>决算情况说明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_Toc3234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4"/>
            <w:keepNext w:val="0"/>
            <w:keepLines w:val="0"/>
            <w:pageBreakBefore w:val="0"/>
            <w:tabs>
              <w:tab w:val="right" w:leader="dot" w:pos="8306"/>
              <w:tab w:val="clear" w:pos="8296"/>
            </w:tabs>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_Toc24927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xml:space="preserve">一、 </w:t>
          </w:r>
          <w:r>
            <w:rPr>
              <w:rFonts w:hint="eastAsia" w:ascii="仿宋_GB2312" w:hAnsi="仿宋_GB2312" w:eastAsia="仿宋_GB2312" w:cs="仿宋_GB2312"/>
              <w:sz w:val="32"/>
              <w:szCs w:val="32"/>
              <w:highlight w:val="none"/>
            </w:rPr>
            <w:t>收入支出决算总体情况说明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_Toc24927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4"/>
            <w:keepNext w:val="0"/>
            <w:keepLines w:val="0"/>
            <w:pageBreakBefore w:val="0"/>
            <w:tabs>
              <w:tab w:val="right" w:leader="dot" w:pos="8306"/>
              <w:tab w:val="clear" w:pos="8296"/>
            </w:tabs>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_Toc9862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xml:space="preserve">二、 </w:t>
          </w:r>
          <w:r>
            <w:rPr>
              <w:rFonts w:hint="eastAsia" w:ascii="仿宋_GB2312" w:hAnsi="仿宋_GB2312" w:eastAsia="仿宋_GB2312" w:cs="仿宋_GB2312"/>
              <w:sz w:val="32"/>
              <w:szCs w:val="32"/>
              <w:highlight w:val="none"/>
            </w:rPr>
            <w:t>收入决算情况说明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_Toc9862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4"/>
            <w:keepNext w:val="0"/>
            <w:keepLines w:val="0"/>
            <w:pageBreakBefore w:val="0"/>
            <w:tabs>
              <w:tab w:val="right" w:leader="dot" w:pos="8306"/>
              <w:tab w:val="clear" w:pos="8296"/>
            </w:tabs>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_Toc12647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xml:space="preserve">三、 </w:t>
          </w:r>
          <w:r>
            <w:rPr>
              <w:rFonts w:hint="eastAsia" w:ascii="仿宋_GB2312" w:hAnsi="仿宋_GB2312" w:eastAsia="仿宋_GB2312" w:cs="仿宋_GB2312"/>
              <w:sz w:val="32"/>
              <w:szCs w:val="32"/>
              <w:highlight w:val="none"/>
            </w:rPr>
            <w:t>支出决算情况说明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_Toc12647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4"/>
            <w:keepNext w:val="0"/>
            <w:keepLines w:val="0"/>
            <w:pageBreakBefore w:val="0"/>
            <w:tabs>
              <w:tab w:val="right" w:leader="dot" w:pos="8306"/>
              <w:tab w:val="clear" w:pos="8296"/>
            </w:tabs>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_Toc21623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highlight w:val="none"/>
            </w:rPr>
            <w:t>四、财政拨款收入支出决算总体情况说明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_Toc21623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4"/>
            <w:keepNext w:val="0"/>
            <w:keepLines w:val="0"/>
            <w:pageBreakBefore w:val="0"/>
            <w:tabs>
              <w:tab w:val="right" w:leader="dot" w:pos="8306"/>
              <w:tab w:val="clear" w:pos="8296"/>
            </w:tabs>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_Toc26659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highlight w:val="none"/>
            </w:rPr>
            <w:t>五、一般公共预算财政拨款支出决算情况说明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_Toc26659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4"/>
            <w:keepNext w:val="0"/>
            <w:keepLines w:val="0"/>
            <w:pageBreakBefore w:val="0"/>
            <w:tabs>
              <w:tab w:val="right" w:leader="dot" w:pos="8306"/>
              <w:tab w:val="clear" w:pos="8296"/>
            </w:tabs>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_Toc7866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highlight w:val="none"/>
            </w:rPr>
            <w:t>六、一般公共预算财政拨款基本支出决算情况说明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_Toc7866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4"/>
            <w:keepNext w:val="0"/>
            <w:keepLines w:val="0"/>
            <w:pageBreakBefore w:val="0"/>
            <w:tabs>
              <w:tab w:val="right" w:leader="dot" w:pos="8306"/>
              <w:tab w:val="clear" w:pos="8296"/>
            </w:tabs>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_Toc11668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highlight w:val="none"/>
            </w:rPr>
            <w:t>七、“三公”经费财政拨款支出决算情况说明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_Toc11668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4"/>
            <w:keepNext w:val="0"/>
            <w:keepLines w:val="0"/>
            <w:pageBreakBefore w:val="0"/>
            <w:tabs>
              <w:tab w:val="right" w:leader="dot" w:pos="8306"/>
              <w:tab w:val="clear" w:pos="8296"/>
            </w:tabs>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_Toc4826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highlight w:val="none"/>
            </w:rPr>
            <w:t>八、政府性基金预算支出决算情况说明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_Toc4826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4"/>
            <w:keepNext w:val="0"/>
            <w:keepLines w:val="0"/>
            <w:pageBreakBefore w:val="0"/>
            <w:tabs>
              <w:tab w:val="right" w:leader="dot" w:pos="8306"/>
              <w:tab w:val="clear" w:pos="8296"/>
            </w:tabs>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_Toc28796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xml:space="preserve">九、 </w:t>
          </w:r>
          <w:r>
            <w:rPr>
              <w:rFonts w:hint="eastAsia" w:ascii="仿宋_GB2312" w:hAnsi="仿宋_GB2312" w:eastAsia="仿宋_GB2312" w:cs="仿宋_GB2312"/>
              <w:sz w:val="32"/>
              <w:szCs w:val="32"/>
              <w:highlight w:val="none"/>
            </w:rPr>
            <w:t>国有资本经营预算支出决算情况说明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_Toc28796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4"/>
            <w:keepNext w:val="0"/>
            <w:keepLines w:val="0"/>
            <w:pageBreakBefore w:val="0"/>
            <w:tabs>
              <w:tab w:val="right" w:leader="dot" w:pos="8306"/>
              <w:tab w:val="clear" w:pos="8296"/>
            </w:tabs>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_Toc9832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xml:space="preserve">十、 </w:t>
          </w:r>
          <w:r>
            <w:rPr>
              <w:rFonts w:hint="eastAsia" w:ascii="仿宋_GB2312" w:hAnsi="仿宋_GB2312" w:eastAsia="仿宋_GB2312" w:cs="仿宋_GB2312"/>
              <w:sz w:val="32"/>
              <w:szCs w:val="32"/>
              <w:highlight w:val="none"/>
              <w:lang w:val="en-US" w:eastAsia="zh-CN"/>
            </w:rPr>
            <w:t>预算绩效管理情况</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_Toc9832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4"/>
            <w:keepNext w:val="0"/>
            <w:keepLines w:val="0"/>
            <w:pageBreakBefore w:val="0"/>
            <w:tabs>
              <w:tab w:val="right" w:leader="dot" w:pos="8306"/>
              <w:tab w:val="clear" w:pos="8296"/>
            </w:tabs>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_Toc29336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xml:space="preserve">十一、 </w:t>
          </w:r>
          <w:r>
            <w:rPr>
              <w:rFonts w:hint="eastAsia" w:ascii="仿宋_GB2312" w:hAnsi="仿宋_GB2312" w:eastAsia="仿宋_GB2312" w:cs="仿宋_GB2312"/>
              <w:sz w:val="32"/>
              <w:szCs w:val="32"/>
              <w:highlight w:val="none"/>
            </w:rPr>
            <w:t>其他重要事项的情况说明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_Toc29336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3"/>
            <w:keepNext w:val="0"/>
            <w:keepLines w:val="0"/>
            <w:pageBreakBefore w:val="0"/>
            <w:tabs>
              <w:tab w:val="right" w:leader="dot" w:pos="8306"/>
              <w:tab w:val="clear" w:pos="8296"/>
            </w:tabs>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_Toc29916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xml:space="preserve">第三部分 </w:t>
          </w:r>
          <w:r>
            <w:rPr>
              <w:rFonts w:hint="eastAsia" w:ascii="仿宋_GB2312" w:hAnsi="仿宋_GB2312" w:eastAsia="仿宋_GB2312" w:cs="仿宋_GB2312"/>
              <w:sz w:val="32"/>
              <w:szCs w:val="32"/>
              <w:highlight w:val="none"/>
            </w:rPr>
            <w:t>名词解释</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_Toc29916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17</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3"/>
            <w:keepNext w:val="0"/>
            <w:keepLines w:val="0"/>
            <w:pageBreakBefore w:val="0"/>
            <w:tabs>
              <w:tab w:val="right" w:leader="dot" w:pos="8306"/>
              <w:tab w:val="clear" w:pos="8296"/>
            </w:tabs>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_Toc26505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highlight w:val="none"/>
            </w:rPr>
            <w:t>第四部分 附件</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_Toc26505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4"/>
            <w:keepNext w:val="0"/>
            <w:keepLines w:val="0"/>
            <w:pageBreakBefore w:val="0"/>
            <w:tabs>
              <w:tab w:val="right" w:leader="dot" w:pos="8306"/>
              <w:tab w:val="clear" w:pos="8296"/>
            </w:tabs>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_Toc22858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highlight w:val="none"/>
            </w:rPr>
            <w:t>附件</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_Toc22858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4"/>
            <w:keepNext w:val="0"/>
            <w:keepLines w:val="0"/>
            <w:pageBreakBefore w:val="0"/>
            <w:tabs>
              <w:tab w:val="right" w:leader="dot" w:pos="8306"/>
              <w:tab w:val="clear" w:pos="8296"/>
            </w:tabs>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_Toc17437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highlight w:val="none"/>
            </w:rPr>
            <w:t>附件</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_Toc17437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4"/>
            <w:keepNext w:val="0"/>
            <w:keepLines w:val="0"/>
            <w:pageBreakBefore w:val="0"/>
            <w:tabs>
              <w:tab w:val="right" w:leader="dot" w:pos="8306"/>
              <w:tab w:val="clear" w:pos="8296"/>
            </w:tabs>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_Toc11024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highlight w:val="none"/>
            </w:rPr>
            <w:t>附件</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_Toc11024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4"/>
            <w:keepNext w:val="0"/>
            <w:keepLines w:val="0"/>
            <w:pageBreakBefore w:val="0"/>
            <w:tabs>
              <w:tab w:val="right" w:leader="dot" w:pos="8306"/>
              <w:tab w:val="clear" w:pos="8296"/>
            </w:tabs>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_Toc2272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highlight w:val="none"/>
            </w:rPr>
            <w:t>附件</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_Toc2272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4"/>
            <w:keepNext w:val="0"/>
            <w:keepLines w:val="0"/>
            <w:pageBreakBefore w:val="0"/>
            <w:tabs>
              <w:tab w:val="right" w:leader="dot" w:pos="8306"/>
              <w:tab w:val="clear" w:pos="8296"/>
            </w:tabs>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_Toc23721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highlight w:val="none"/>
            </w:rPr>
            <w:t>附件</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_Toc23721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3"/>
            <w:keepNext w:val="0"/>
            <w:keepLines w:val="0"/>
            <w:pageBreakBefore w:val="0"/>
            <w:tabs>
              <w:tab w:val="right" w:leader="dot" w:pos="8306"/>
              <w:tab w:val="clear" w:pos="8296"/>
            </w:tabs>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_Toc27152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highlight w:val="none"/>
            </w:rPr>
            <w:t>第五部分 附表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_Toc27152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4"/>
            <w:keepNext w:val="0"/>
            <w:keepLines w:val="0"/>
            <w:pageBreakBefore w:val="0"/>
            <w:tabs>
              <w:tab w:val="right" w:leader="dot" w:pos="8306"/>
              <w:tab w:val="clear" w:pos="8296"/>
            </w:tabs>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_Toc30272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highlight w:val="none"/>
            </w:rPr>
            <w:t>一、收</w:t>
          </w:r>
          <w:r>
            <w:rPr>
              <w:rFonts w:hint="eastAsia" w:ascii="仿宋_GB2312" w:hAnsi="仿宋_GB2312" w:eastAsia="仿宋_GB2312" w:cs="仿宋_GB2312"/>
              <w:bCs w:val="0"/>
              <w:sz w:val="32"/>
              <w:szCs w:val="32"/>
              <w:highlight w:val="none"/>
            </w:rPr>
            <w:t>入支出决算总表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_Toc30272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4"/>
            <w:keepNext w:val="0"/>
            <w:keepLines w:val="0"/>
            <w:pageBreakBefore w:val="0"/>
            <w:tabs>
              <w:tab w:val="right" w:leader="dot" w:pos="8306"/>
              <w:tab w:val="clear" w:pos="8296"/>
            </w:tabs>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_Toc2165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highlight w:val="none"/>
            </w:rPr>
            <w:t>二、收</w:t>
          </w:r>
          <w:r>
            <w:rPr>
              <w:rFonts w:hint="eastAsia" w:ascii="仿宋_GB2312" w:hAnsi="仿宋_GB2312" w:eastAsia="仿宋_GB2312" w:cs="仿宋_GB2312"/>
              <w:bCs w:val="0"/>
              <w:sz w:val="32"/>
              <w:szCs w:val="32"/>
              <w:highlight w:val="none"/>
            </w:rPr>
            <w:t>入决算表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_Toc2165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4"/>
            <w:keepNext w:val="0"/>
            <w:keepLines w:val="0"/>
            <w:pageBreakBefore w:val="0"/>
            <w:tabs>
              <w:tab w:val="right" w:leader="dot" w:pos="8306"/>
              <w:tab w:val="clear" w:pos="8296"/>
            </w:tabs>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_Toc29116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val="0"/>
              <w:sz w:val="32"/>
              <w:szCs w:val="32"/>
              <w:highlight w:val="none"/>
            </w:rPr>
            <w:t>三、</w:t>
          </w:r>
          <w:r>
            <w:rPr>
              <w:rFonts w:hint="eastAsia" w:ascii="仿宋_GB2312" w:hAnsi="仿宋_GB2312" w:eastAsia="仿宋_GB2312" w:cs="仿宋_GB2312"/>
              <w:sz w:val="32"/>
              <w:szCs w:val="32"/>
              <w:highlight w:val="none"/>
            </w:rPr>
            <w:t>支</w:t>
          </w:r>
          <w:r>
            <w:rPr>
              <w:rFonts w:hint="eastAsia" w:ascii="仿宋_GB2312" w:hAnsi="仿宋_GB2312" w:eastAsia="仿宋_GB2312" w:cs="仿宋_GB2312"/>
              <w:bCs w:val="0"/>
              <w:sz w:val="32"/>
              <w:szCs w:val="32"/>
              <w:highlight w:val="none"/>
            </w:rPr>
            <w:t>出决算表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_Toc29116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4"/>
            <w:keepNext w:val="0"/>
            <w:keepLines w:val="0"/>
            <w:pageBreakBefore w:val="0"/>
            <w:tabs>
              <w:tab w:val="right" w:leader="dot" w:pos="8306"/>
              <w:tab w:val="clear" w:pos="8296"/>
            </w:tabs>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_Toc18853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val="0"/>
              <w:sz w:val="32"/>
              <w:szCs w:val="32"/>
              <w:highlight w:val="none"/>
            </w:rPr>
            <w:t>四、</w:t>
          </w:r>
          <w:r>
            <w:rPr>
              <w:rFonts w:hint="eastAsia" w:ascii="仿宋_GB2312" w:hAnsi="仿宋_GB2312" w:eastAsia="仿宋_GB2312" w:cs="仿宋_GB2312"/>
              <w:sz w:val="32"/>
              <w:szCs w:val="32"/>
              <w:highlight w:val="none"/>
            </w:rPr>
            <w:t>财</w:t>
          </w:r>
          <w:r>
            <w:rPr>
              <w:rFonts w:hint="eastAsia" w:ascii="仿宋_GB2312" w:hAnsi="仿宋_GB2312" w:eastAsia="仿宋_GB2312" w:cs="仿宋_GB2312"/>
              <w:bCs w:val="0"/>
              <w:sz w:val="32"/>
              <w:szCs w:val="32"/>
              <w:highlight w:val="none"/>
            </w:rPr>
            <w:t>政拨款收入支出决算总表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_Toc18853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4"/>
            <w:keepNext w:val="0"/>
            <w:keepLines w:val="0"/>
            <w:pageBreakBefore w:val="0"/>
            <w:tabs>
              <w:tab w:val="right" w:leader="dot" w:pos="8306"/>
              <w:tab w:val="clear" w:pos="8296"/>
            </w:tabs>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_Toc27743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val="0"/>
              <w:sz w:val="32"/>
              <w:szCs w:val="32"/>
              <w:highlight w:val="none"/>
            </w:rPr>
            <w:t>五、</w:t>
          </w:r>
          <w:r>
            <w:rPr>
              <w:rFonts w:hint="eastAsia" w:ascii="仿宋_GB2312" w:hAnsi="仿宋_GB2312" w:eastAsia="仿宋_GB2312" w:cs="仿宋_GB2312"/>
              <w:sz w:val="32"/>
              <w:szCs w:val="32"/>
              <w:highlight w:val="none"/>
            </w:rPr>
            <w:t>财</w:t>
          </w:r>
          <w:r>
            <w:rPr>
              <w:rFonts w:hint="eastAsia" w:ascii="仿宋_GB2312" w:hAnsi="仿宋_GB2312" w:eastAsia="仿宋_GB2312" w:cs="仿宋_GB2312"/>
              <w:bCs w:val="0"/>
              <w:sz w:val="32"/>
              <w:szCs w:val="32"/>
              <w:highlight w:val="none"/>
            </w:rPr>
            <w:t>政拨款支出决算明细表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_Toc27743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4"/>
            <w:keepNext w:val="0"/>
            <w:keepLines w:val="0"/>
            <w:pageBreakBefore w:val="0"/>
            <w:tabs>
              <w:tab w:val="right" w:leader="dot" w:pos="8306"/>
              <w:tab w:val="clear" w:pos="8296"/>
            </w:tabs>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_Toc5054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val="0"/>
              <w:sz w:val="32"/>
              <w:szCs w:val="32"/>
              <w:highlight w:val="none"/>
            </w:rPr>
            <w:t>六、</w:t>
          </w:r>
          <w:r>
            <w:rPr>
              <w:rFonts w:hint="eastAsia" w:ascii="仿宋_GB2312" w:hAnsi="仿宋_GB2312" w:eastAsia="仿宋_GB2312" w:cs="仿宋_GB2312"/>
              <w:sz w:val="32"/>
              <w:szCs w:val="32"/>
              <w:highlight w:val="none"/>
            </w:rPr>
            <w:t>一</w:t>
          </w:r>
          <w:r>
            <w:rPr>
              <w:rFonts w:hint="eastAsia" w:ascii="仿宋_GB2312" w:hAnsi="仿宋_GB2312" w:eastAsia="仿宋_GB2312" w:cs="仿宋_GB2312"/>
              <w:bCs w:val="0"/>
              <w:sz w:val="32"/>
              <w:szCs w:val="32"/>
              <w:highlight w:val="none"/>
            </w:rPr>
            <w:t>般公共预算财政拨款支出决算表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_Toc5054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4"/>
            <w:keepNext w:val="0"/>
            <w:keepLines w:val="0"/>
            <w:pageBreakBefore w:val="0"/>
            <w:tabs>
              <w:tab w:val="right" w:leader="dot" w:pos="8306"/>
              <w:tab w:val="clear" w:pos="8296"/>
            </w:tabs>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_Toc560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val="0"/>
              <w:sz w:val="32"/>
              <w:szCs w:val="32"/>
              <w:highlight w:val="none"/>
            </w:rPr>
            <w:t>七、</w:t>
          </w:r>
          <w:r>
            <w:rPr>
              <w:rFonts w:hint="eastAsia" w:ascii="仿宋_GB2312" w:hAnsi="仿宋_GB2312" w:eastAsia="仿宋_GB2312" w:cs="仿宋_GB2312"/>
              <w:sz w:val="32"/>
              <w:szCs w:val="32"/>
              <w:highlight w:val="none"/>
            </w:rPr>
            <w:t>一</w:t>
          </w:r>
          <w:r>
            <w:rPr>
              <w:rFonts w:hint="eastAsia" w:ascii="仿宋_GB2312" w:hAnsi="仿宋_GB2312" w:eastAsia="仿宋_GB2312" w:cs="仿宋_GB2312"/>
              <w:bCs w:val="0"/>
              <w:sz w:val="32"/>
              <w:szCs w:val="32"/>
              <w:highlight w:val="none"/>
            </w:rPr>
            <w:t>般公共预算财政拨款支出决算明细表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_Toc560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4"/>
            <w:keepNext w:val="0"/>
            <w:keepLines w:val="0"/>
            <w:pageBreakBefore w:val="0"/>
            <w:tabs>
              <w:tab w:val="right" w:leader="dot" w:pos="8306"/>
              <w:tab w:val="clear" w:pos="8296"/>
            </w:tabs>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_Toc3996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val="0"/>
              <w:sz w:val="32"/>
              <w:szCs w:val="32"/>
              <w:highlight w:val="none"/>
            </w:rPr>
            <w:t>八、</w:t>
          </w:r>
          <w:r>
            <w:rPr>
              <w:rFonts w:hint="eastAsia" w:ascii="仿宋_GB2312" w:hAnsi="仿宋_GB2312" w:eastAsia="仿宋_GB2312" w:cs="仿宋_GB2312"/>
              <w:sz w:val="32"/>
              <w:szCs w:val="32"/>
              <w:highlight w:val="none"/>
            </w:rPr>
            <w:t>一</w:t>
          </w:r>
          <w:r>
            <w:rPr>
              <w:rFonts w:hint="eastAsia" w:ascii="仿宋_GB2312" w:hAnsi="仿宋_GB2312" w:eastAsia="仿宋_GB2312" w:cs="仿宋_GB2312"/>
              <w:bCs w:val="0"/>
              <w:sz w:val="32"/>
              <w:szCs w:val="32"/>
              <w:highlight w:val="none"/>
            </w:rPr>
            <w:t>般公共预算财政拨款基本支出决算表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_Toc3996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4"/>
            <w:keepNext w:val="0"/>
            <w:keepLines w:val="0"/>
            <w:pageBreakBefore w:val="0"/>
            <w:tabs>
              <w:tab w:val="right" w:leader="dot" w:pos="8306"/>
              <w:tab w:val="clear" w:pos="8296"/>
            </w:tabs>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_Toc2495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val="0"/>
              <w:sz w:val="32"/>
              <w:szCs w:val="32"/>
              <w:highlight w:val="none"/>
            </w:rPr>
            <w:t>九、</w:t>
          </w:r>
          <w:r>
            <w:rPr>
              <w:rFonts w:hint="eastAsia" w:ascii="仿宋_GB2312" w:hAnsi="仿宋_GB2312" w:eastAsia="仿宋_GB2312" w:cs="仿宋_GB2312"/>
              <w:sz w:val="32"/>
              <w:szCs w:val="32"/>
              <w:highlight w:val="none"/>
            </w:rPr>
            <w:t>一</w:t>
          </w:r>
          <w:r>
            <w:rPr>
              <w:rFonts w:hint="eastAsia" w:ascii="仿宋_GB2312" w:hAnsi="仿宋_GB2312" w:eastAsia="仿宋_GB2312" w:cs="仿宋_GB2312"/>
              <w:bCs w:val="0"/>
              <w:sz w:val="32"/>
              <w:szCs w:val="32"/>
              <w:highlight w:val="none"/>
            </w:rPr>
            <w:t>般公共预算财政拨款项目支出决算表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_Toc2495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4"/>
            <w:keepNext w:val="0"/>
            <w:keepLines w:val="0"/>
            <w:pageBreakBefore w:val="0"/>
            <w:tabs>
              <w:tab w:val="right" w:leader="dot" w:pos="8306"/>
              <w:tab w:val="clear" w:pos="8296"/>
            </w:tabs>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_Toc28180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val="0"/>
              <w:sz w:val="32"/>
              <w:szCs w:val="32"/>
              <w:highlight w:val="none"/>
            </w:rPr>
            <w:t>十、</w:t>
          </w:r>
          <w:r>
            <w:rPr>
              <w:rFonts w:hint="eastAsia" w:ascii="仿宋_GB2312" w:hAnsi="仿宋_GB2312" w:eastAsia="仿宋_GB2312" w:cs="仿宋_GB2312"/>
              <w:sz w:val="32"/>
              <w:szCs w:val="32"/>
              <w:highlight w:val="none"/>
            </w:rPr>
            <w:t>一</w:t>
          </w:r>
          <w:r>
            <w:rPr>
              <w:rFonts w:hint="eastAsia" w:ascii="仿宋_GB2312" w:hAnsi="仿宋_GB2312" w:eastAsia="仿宋_GB2312" w:cs="仿宋_GB2312"/>
              <w:bCs w:val="0"/>
              <w:sz w:val="32"/>
              <w:szCs w:val="32"/>
              <w:highlight w:val="none"/>
            </w:rPr>
            <w:t>般公共预算财政拨款“三公”经费支出决算表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_Toc28180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4"/>
            <w:keepNext w:val="0"/>
            <w:keepLines w:val="0"/>
            <w:pageBreakBefore w:val="0"/>
            <w:tabs>
              <w:tab w:val="right" w:leader="dot" w:pos="8306"/>
              <w:tab w:val="clear" w:pos="8296"/>
            </w:tabs>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_Toc23304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val="0"/>
              <w:sz w:val="32"/>
              <w:szCs w:val="32"/>
              <w:highlight w:val="none"/>
            </w:rPr>
            <w:t>十一、</w:t>
          </w:r>
          <w:r>
            <w:rPr>
              <w:rFonts w:hint="eastAsia" w:ascii="仿宋_GB2312" w:hAnsi="仿宋_GB2312" w:eastAsia="仿宋_GB2312" w:cs="仿宋_GB2312"/>
              <w:sz w:val="32"/>
              <w:szCs w:val="32"/>
              <w:highlight w:val="none"/>
            </w:rPr>
            <w:t>政</w:t>
          </w:r>
          <w:r>
            <w:rPr>
              <w:rFonts w:hint="eastAsia" w:ascii="仿宋_GB2312" w:hAnsi="仿宋_GB2312" w:eastAsia="仿宋_GB2312" w:cs="仿宋_GB2312"/>
              <w:bCs w:val="0"/>
              <w:sz w:val="32"/>
              <w:szCs w:val="32"/>
              <w:highlight w:val="none"/>
            </w:rPr>
            <w:t>府性基金预算财政拨款收入支出决算表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_Toc23304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4"/>
            <w:keepNext w:val="0"/>
            <w:keepLines w:val="0"/>
            <w:pageBreakBefore w:val="0"/>
            <w:tabs>
              <w:tab w:val="right" w:leader="dot" w:pos="8306"/>
              <w:tab w:val="clear" w:pos="8296"/>
            </w:tabs>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_Toc20418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val="0"/>
              <w:sz w:val="32"/>
              <w:szCs w:val="32"/>
              <w:highlight w:val="none"/>
            </w:rPr>
            <w:t>十二、</w:t>
          </w:r>
          <w:r>
            <w:rPr>
              <w:rFonts w:hint="eastAsia" w:ascii="仿宋_GB2312" w:hAnsi="仿宋_GB2312" w:eastAsia="仿宋_GB2312" w:cs="仿宋_GB2312"/>
              <w:sz w:val="32"/>
              <w:szCs w:val="32"/>
              <w:highlight w:val="none"/>
            </w:rPr>
            <w:t>政</w:t>
          </w:r>
          <w:r>
            <w:rPr>
              <w:rFonts w:hint="eastAsia" w:ascii="仿宋_GB2312" w:hAnsi="仿宋_GB2312" w:eastAsia="仿宋_GB2312" w:cs="仿宋_GB2312"/>
              <w:bCs w:val="0"/>
              <w:sz w:val="32"/>
              <w:szCs w:val="32"/>
              <w:highlight w:val="none"/>
            </w:rPr>
            <w:t>府性基金预算财政拨款“三公”经费支出决算表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_Toc20418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4"/>
            <w:keepNext w:val="0"/>
            <w:keepLines w:val="0"/>
            <w:pageBreakBefore w:val="0"/>
            <w:tabs>
              <w:tab w:val="right" w:leader="dot" w:pos="8306"/>
              <w:tab w:val="clear" w:pos="8296"/>
            </w:tabs>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_Toc25220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val="0"/>
              <w:sz w:val="32"/>
              <w:szCs w:val="32"/>
              <w:highlight w:val="none"/>
            </w:rPr>
            <w:t>十三、</w:t>
          </w:r>
          <w:r>
            <w:rPr>
              <w:rFonts w:hint="eastAsia" w:ascii="仿宋_GB2312" w:hAnsi="仿宋_GB2312" w:eastAsia="仿宋_GB2312" w:cs="仿宋_GB2312"/>
              <w:sz w:val="32"/>
              <w:szCs w:val="32"/>
              <w:highlight w:val="none"/>
            </w:rPr>
            <w:t>国</w:t>
          </w:r>
          <w:r>
            <w:rPr>
              <w:rFonts w:hint="eastAsia" w:ascii="仿宋_GB2312" w:hAnsi="仿宋_GB2312" w:eastAsia="仿宋_GB2312" w:cs="仿宋_GB2312"/>
              <w:bCs w:val="0"/>
              <w:sz w:val="32"/>
              <w:szCs w:val="32"/>
              <w:highlight w:val="none"/>
            </w:rPr>
            <w:t>有资本经营预算</w:t>
          </w:r>
          <w:r>
            <w:rPr>
              <w:rFonts w:hint="eastAsia" w:ascii="仿宋_GB2312" w:hAnsi="仿宋_GB2312" w:eastAsia="仿宋_GB2312" w:cs="仿宋_GB2312"/>
              <w:bCs w:val="0"/>
              <w:sz w:val="32"/>
              <w:szCs w:val="32"/>
              <w:highlight w:val="none"/>
              <w:lang w:eastAsia="zh-CN"/>
            </w:rPr>
            <w:t>财政拨款收入</w:t>
          </w:r>
          <w:r>
            <w:rPr>
              <w:rFonts w:hint="eastAsia" w:ascii="仿宋_GB2312" w:hAnsi="仿宋_GB2312" w:eastAsia="仿宋_GB2312" w:cs="仿宋_GB2312"/>
              <w:bCs w:val="0"/>
              <w:sz w:val="32"/>
              <w:szCs w:val="32"/>
              <w:highlight w:val="none"/>
            </w:rPr>
            <w:t>支出决算表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_Toc25220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4"/>
            <w:keepNext w:val="0"/>
            <w:keepLines w:val="0"/>
            <w:pageBreakBefore w:val="0"/>
            <w:tabs>
              <w:tab w:val="right" w:leader="dot" w:pos="8306"/>
              <w:tab w:val="clear" w:pos="8296"/>
            </w:tabs>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_Toc11357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val="0"/>
              <w:sz w:val="32"/>
              <w:szCs w:val="32"/>
              <w:highlight w:val="none"/>
              <w:lang w:eastAsia="zh-CN"/>
            </w:rPr>
            <w:t>十四、国有资本经营预算财政拨款支出决算表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_Toc11357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36"/>
            <w:keepNext w:val="0"/>
            <w:keepLines w:val="0"/>
            <w:pageBreakBefore w:val="0"/>
            <w:tabs>
              <w:tab w:val="right" w:leader="dot" w:pos="8306"/>
            </w:tabs>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end"/>
          </w:r>
        </w:p>
      </w:sdtContent>
    </w:sdt>
    <w:p>
      <w:pPr>
        <w:widowControl/>
        <w:spacing w:line="440" w:lineRule="exact"/>
        <w:jc w:val="left"/>
        <w:rPr>
          <w:rFonts w:ascii="仿宋" w:hAnsi="仿宋" w:eastAsia="仿宋"/>
          <w:bCs/>
          <w:color w:val="auto"/>
          <w:kern w:val="44"/>
          <w:sz w:val="24"/>
          <w:highlight w:val="none"/>
        </w:rPr>
      </w:pPr>
      <w:bookmarkStart w:id="12" w:name="_Toc15377196"/>
      <w:bookmarkStart w:id="13" w:name="_Toc15396599"/>
      <w:r>
        <w:rPr>
          <w:rFonts w:ascii="仿宋" w:hAnsi="仿宋" w:eastAsia="仿宋"/>
          <w:b/>
          <w:color w:val="auto"/>
          <w:sz w:val="24"/>
          <w:highlight w:val="none"/>
        </w:rPr>
        <w:br w:type="page"/>
      </w:r>
    </w:p>
    <w:p>
      <w:pPr>
        <w:pStyle w:val="3"/>
        <w:pageBreakBefore w:val="0"/>
        <w:kinsoku/>
        <w:wordWrap/>
        <w:topLinePunct w:val="0"/>
        <w:bidi w:val="0"/>
        <w:spacing w:before="0" w:after="0" w:line="576" w:lineRule="exact"/>
        <w:jc w:val="center"/>
        <w:rPr>
          <w:rFonts w:ascii="黑体" w:eastAsia="黑体"/>
          <w:color w:val="auto"/>
          <w:sz w:val="32"/>
          <w:szCs w:val="32"/>
          <w:highlight w:val="none"/>
        </w:rPr>
      </w:pPr>
      <w:bookmarkStart w:id="14" w:name="_Toc24284"/>
      <w:bookmarkStart w:id="15" w:name="_Toc2278"/>
      <w:bookmarkStart w:id="16" w:name="_Toc26346"/>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9"/>
          <w:rFonts w:hint="eastAsia" w:ascii="黑体" w:hAnsi="黑体" w:eastAsia="黑体"/>
          <w:b w:val="0"/>
          <w:bCs w:val="0"/>
          <w:color w:val="auto"/>
          <w:highlight w:val="none"/>
        </w:rPr>
        <w:t>概况</w:t>
      </w:r>
      <w:bookmarkEnd w:id="12"/>
      <w:bookmarkEnd w:id="13"/>
      <w:bookmarkEnd w:id="14"/>
      <w:bookmarkEnd w:id="15"/>
      <w:bookmarkEnd w:id="16"/>
    </w:p>
    <w:p>
      <w:pPr>
        <w:pStyle w:val="4"/>
        <w:pageBreakBefore w:val="0"/>
        <w:numPr>
          <w:ilvl w:val="0"/>
          <w:numId w:val="1"/>
        </w:numPr>
        <w:kinsoku/>
        <w:wordWrap/>
        <w:topLinePunct w:val="0"/>
        <w:bidi w:val="0"/>
        <w:spacing w:before="0" w:after="0" w:line="576" w:lineRule="exact"/>
        <w:rPr>
          <w:rStyle w:val="30"/>
          <w:rFonts w:hint="eastAsia" w:ascii="黑体" w:hAnsi="黑体" w:eastAsia="黑体"/>
          <w:b w:val="0"/>
          <w:bCs w:val="0"/>
          <w:color w:val="auto"/>
          <w:highlight w:val="none"/>
          <w:lang w:eastAsia="zh-CN"/>
        </w:rPr>
      </w:pPr>
      <w:bookmarkStart w:id="17" w:name="_Toc7403"/>
      <w:bookmarkStart w:id="18" w:name="_Toc5145"/>
      <w:bookmarkStart w:id="19" w:name="_Toc8087"/>
      <w:bookmarkStart w:id="20" w:name="_Toc15396600"/>
      <w:bookmarkStart w:id="21" w:name="_Toc15377197"/>
      <w:r>
        <w:rPr>
          <w:rStyle w:val="30"/>
          <w:rFonts w:hint="eastAsia" w:ascii="黑体" w:hAnsi="黑体" w:eastAsia="黑体"/>
          <w:b w:val="0"/>
          <w:bCs w:val="0"/>
          <w:color w:val="auto"/>
          <w:highlight w:val="none"/>
        </w:rPr>
        <w:t>职能</w:t>
      </w:r>
      <w:r>
        <w:rPr>
          <w:rStyle w:val="30"/>
          <w:rFonts w:hint="eastAsia" w:ascii="黑体" w:hAnsi="黑体" w:eastAsia="黑体"/>
          <w:b w:val="0"/>
          <w:bCs w:val="0"/>
          <w:color w:val="auto"/>
          <w:highlight w:val="none"/>
          <w:lang w:eastAsia="zh-CN"/>
        </w:rPr>
        <w:t>简介</w:t>
      </w:r>
      <w:bookmarkEnd w:id="17"/>
      <w:bookmarkEnd w:id="18"/>
      <w:bookmarkEnd w:id="19"/>
    </w:p>
    <w:p>
      <w:pPr>
        <w:keepNext w:val="0"/>
        <w:keepLines w:val="0"/>
        <w:pageBreakBefore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1</w:t>
      </w:r>
      <w:r>
        <w:rPr>
          <w:rFonts w:hint="eastAsia" w:ascii="仿宋" w:hAnsi="仿宋" w:eastAsia="仿宋" w:cs="Times New Roman"/>
          <w:kern w:val="2"/>
          <w:sz w:val="32"/>
          <w:szCs w:val="24"/>
          <w:lang w:val="en-US" w:eastAsia="zh-CN" w:bidi="ar-SA"/>
        </w:rPr>
        <w:t>.</w:t>
      </w:r>
      <w:r>
        <w:rPr>
          <w:rFonts w:ascii="Times New Roman" w:hAnsi="Times New Roman" w:eastAsia="仿宋_GB2312"/>
          <w:color w:val="auto"/>
          <w:sz w:val="32"/>
          <w:szCs w:val="32"/>
        </w:rPr>
        <w:t>贯彻实施国家有关工业经济、信息化、无线电管理、科学技术方针、政策和法律、法规。</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2</w:t>
      </w:r>
      <w:r>
        <w:rPr>
          <w:rFonts w:hint="eastAsia" w:ascii="仿宋" w:hAnsi="仿宋" w:eastAsia="仿宋" w:cs="Times New Roman"/>
          <w:kern w:val="2"/>
          <w:sz w:val="32"/>
          <w:szCs w:val="24"/>
          <w:lang w:val="en-US" w:eastAsia="zh-CN" w:bidi="ar-SA"/>
        </w:rPr>
        <w:t>.</w:t>
      </w:r>
      <w:r>
        <w:rPr>
          <w:rFonts w:ascii="Times New Roman" w:hAnsi="Times New Roman" w:eastAsia="仿宋_GB2312"/>
          <w:color w:val="auto"/>
          <w:sz w:val="32"/>
          <w:szCs w:val="32"/>
        </w:rPr>
        <w:t>组织实施工业强区战略，加强信息化和工业化融合、工业化与城镇化联动，推进全区工业结构调整。参与制订国民经济和社会发展规划，牵头拟定工业、信息化、科学技术发展规划，提出相关行业的优先领域和发展重点，制订行业年度发展计划和产业政策、行业技术规范与行业标准并组织实施，指导行业质量管理工作。</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3</w:t>
      </w:r>
      <w:r>
        <w:rPr>
          <w:rFonts w:hint="eastAsia" w:ascii="仿宋" w:hAnsi="仿宋" w:eastAsia="仿宋" w:cs="Times New Roman"/>
          <w:kern w:val="2"/>
          <w:sz w:val="32"/>
          <w:szCs w:val="24"/>
          <w:lang w:val="en-US" w:eastAsia="zh-CN" w:bidi="ar-SA"/>
        </w:rPr>
        <w:t>.</w:t>
      </w:r>
      <w:r>
        <w:rPr>
          <w:rFonts w:ascii="Times New Roman" w:hAnsi="Times New Roman" w:eastAsia="仿宋_GB2312"/>
          <w:color w:val="auto"/>
          <w:sz w:val="32"/>
          <w:szCs w:val="32"/>
        </w:rPr>
        <w:t>建立全区工业经济运行预警机制，监测、分析经济运行态势和质量，协调解决新型工业化进程中的重大问题；负责电力、成品油、天然气等重要物资综合调控、紧急调度和交通运输协调工作，负责区级医药储备的监督管理，承办年度工业经济目标责任考核。</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4</w:t>
      </w:r>
      <w:r>
        <w:rPr>
          <w:rFonts w:hint="eastAsia" w:ascii="仿宋" w:hAnsi="仿宋" w:eastAsia="仿宋" w:cs="Times New Roman"/>
          <w:kern w:val="2"/>
          <w:sz w:val="32"/>
          <w:szCs w:val="24"/>
          <w:lang w:val="en-US" w:eastAsia="zh-CN" w:bidi="ar-SA"/>
        </w:rPr>
        <w:t>.</w:t>
      </w:r>
      <w:r>
        <w:rPr>
          <w:rFonts w:ascii="Times New Roman" w:hAnsi="Times New Roman" w:eastAsia="仿宋_GB2312"/>
          <w:color w:val="auto"/>
          <w:sz w:val="32"/>
          <w:szCs w:val="32"/>
        </w:rPr>
        <w:t>负责全区企业技术改造推进工作，组织制订并实施全区企业技术改造投资规划和政策，制订并发布全区企业技术改造投资项目引导目录。提出工业和信息化固定资产投资规模的意见，按照规定权限审批、核准、备案规划内全区企业技术改造项目，组织企业技术改造项目申报国家、省、市有关专项计划并组织实施。</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5</w:t>
      </w:r>
      <w:r>
        <w:rPr>
          <w:rFonts w:hint="eastAsia" w:ascii="仿宋" w:hAnsi="仿宋" w:eastAsia="仿宋" w:cs="Times New Roman"/>
          <w:kern w:val="2"/>
          <w:sz w:val="32"/>
          <w:szCs w:val="24"/>
          <w:lang w:val="en-US" w:eastAsia="zh-CN" w:bidi="ar-SA"/>
        </w:rPr>
        <w:t>.</w:t>
      </w:r>
      <w:r>
        <w:rPr>
          <w:rFonts w:ascii="Times New Roman" w:hAnsi="Times New Roman" w:eastAsia="仿宋_GB2312"/>
          <w:color w:val="auto"/>
          <w:sz w:val="32"/>
          <w:szCs w:val="32"/>
        </w:rPr>
        <w:t>负责全区工业和信息化领域的节能降耗、清洁生产和资源节约与综合利用工作，协调推进工业化与生态环境协调发展中的重大问题。</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6</w:t>
      </w:r>
      <w:r>
        <w:rPr>
          <w:rFonts w:hint="eastAsia" w:ascii="仿宋" w:hAnsi="仿宋" w:eastAsia="仿宋" w:cs="Times New Roman"/>
          <w:kern w:val="2"/>
          <w:sz w:val="32"/>
          <w:szCs w:val="24"/>
          <w:lang w:val="en-US" w:eastAsia="zh-CN" w:bidi="ar-SA"/>
        </w:rPr>
        <w:t>.</w:t>
      </w:r>
      <w:r>
        <w:rPr>
          <w:rFonts w:ascii="Times New Roman" w:hAnsi="Times New Roman" w:eastAsia="仿宋_GB2312"/>
          <w:color w:val="auto"/>
          <w:sz w:val="32"/>
          <w:szCs w:val="32"/>
        </w:rPr>
        <w:t>负责推进企业信用制度建设，负责中小企业信用担保和融资体系建设并实施行业监管，制订工业发展资金等财政专项资金使用计划，负责企业技术改造、技术创新、生产运行等涉及财政、信贷、税收、保险等方面问题的协调，指导工业企业直接融资工作，负责企业上市培育工作。</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7</w:t>
      </w:r>
      <w:r>
        <w:rPr>
          <w:rFonts w:hint="eastAsia" w:ascii="仿宋" w:hAnsi="仿宋" w:eastAsia="仿宋" w:cs="Times New Roman"/>
          <w:kern w:val="2"/>
          <w:sz w:val="32"/>
          <w:szCs w:val="24"/>
          <w:lang w:val="en-US" w:eastAsia="zh-CN" w:bidi="ar-SA"/>
        </w:rPr>
        <w:t>.</w:t>
      </w:r>
      <w:r>
        <w:rPr>
          <w:rFonts w:ascii="Times New Roman" w:hAnsi="Times New Roman" w:eastAsia="仿宋_GB2312"/>
          <w:color w:val="auto"/>
          <w:sz w:val="32"/>
          <w:szCs w:val="32"/>
        </w:rPr>
        <w:t>对国家重大工业经济政策实施情况进行督查，指导企业建立现代企业制度、改组改造、兼并重组，负责全区企业治乱减负工作，指导企业经营管理人员、．专业技术人员培训，负责全区大企业大集团和龙头骨干企业的培育工作，负责全区中小企业发展的指导推进工作，组织拟订促进中小企业发展的政策措施，负责推进中小企业服务体系建设。</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8</w:t>
      </w:r>
      <w:r>
        <w:rPr>
          <w:rFonts w:hint="eastAsia" w:ascii="仿宋" w:hAnsi="仿宋" w:eastAsia="仿宋" w:cs="Times New Roman"/>
          <w:kern w:val="2"/>
          <w:sz w:val="32"/>
          <w:szCs w:val="24"/>
          <w:lang w:val="en-US" w:eastAsia="zh-CN" w:bidi="ar-SA"/>
        </w:rPr>
        <w:t>.</w:t>
      </w:r>
      <w:r>
        <w:rPr>
          <w:rFonts w:ascii="Times New Roman" w:hAnsi="Times New Roman" w:eastAsia="仿宋_GB2312"/>
          <w:color w:val="auto"/>
          <w:sz w:val="32"/>
          <w:szCs w:val="32"/>
        </w:rPr>
        <w:t>负责对全区工业各行业实施行业管理，制订相关政策措施并组织实施，拟订新材料、节能环保、航空航天、生物医药等战略性新兴产业发展规划、年度计划、政策措施并组织实施。拟订加快农产品加工业发展的政策措施，参与推进农业产业化龙头企业建设，参与推进农业现代化和新农村建设。</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9</w:t>
      </w:r>
      <w:r>
        <w:rPr>
          <w:rFonts w:hint="eastAsia" w:ascii="仿宋" w:hAnsi="仿宋" w:eastAsia="仿宋" w:cs="Times New Roman"/>
          <w:kern w:val="2"/>
          <w:sz w:val="32"/>
          <w:szCs w:val="24"/>
          <w:lang w:val="en-US" w:eastAsia="zh-CN" w:bidi="ar-SA"/>
        </w:rPr>
        <w:t>.</w:t>
      </w:r>
      <w:r>
        <w:rPr>
          <w:rFonts w:ascii="Times New Roman" w:hAnsi="Times New Roman" w:eastAsia="仿宋_GB2312"/>
          <w:color w:val="auto"/>
          <w:sz w:val="32"/>
          <w:szCs w:val="32"/>
        </w:rPr>
        <w:t>统筹推进全区信息化工作，制订相关政策并组织实施，指导电子政务、企业信息化、电子商务和物联网发展，推动跨行业、跨部门面向社会服务网络的互联互通和信息资源共享。</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10</w:t>
      </w:r>
      <w:r>
        <w:rPr>
          <w:rFonts w:hint="eastAsia" w:ascii="仿宋" w:hAnsi="仿宋" w:eastAsia="仿宋" w:cs="Times New Roman"/>
          <w:kern w:val="2"/>
          <w:sz w:val="32"/>
          <w:szCs w:val="24"/>
          <w:lang w:val="en-US" w:eastAsia="zh-CN" w:bidi="ar-SA"/>
        </w:rPr>
        <w:t>.</w:t>
      </w:r>
      <w:r>
        <w:rPr>
          <w:rFonts w:ascii="Times New Roman" w:hAnsi="Times New Roman" w:eastAsia="仿宋_GB2312"/>
          <w:color w:val="auto"/>
          <w:sz w:val="32"/>
          <w:szCs w:val="32"/>
        </w:rPr>
        <w:t>负责全区信息基础设施建设的规划、协调和管理，组织制订通信管线规划并承担相应的管理工作，协调电信市场涉及社会公共利益的重大事项。</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11</w:t>
      </w:r>
      <w:r>
        <w:rPr>
          <w:rFonts w:hint="eastAsia" w:ascii="仿宋" w:hAnsi="仿宋" w:eastAsia="仿宋" w:cs="Times New Roman"/>
          <w:kern w:val="2"/>
          <w:sz w:val="32"/>
          <w:szCs w:val="24"/>
          <w:lang w:val="en-US" w:eastAsia="zh-CN" w:bidi="ar-SA"/>
        </w:rPr>
        <w:t>.</w:t>
      </w:r>
      <w:r>
        <w:rPr>
          <w:rFonts w:ascii="Times New Roman" w:hAnsi="Times New Roman" w:eastAsia="仿宋_GB2312"/>
          <w:color w:val="auto"/>
          <w:sz w:val="32"/>
          <w:szCs w:val="32"/>
        </w:rPr>
        <w:t>组织协调全区信息安全保障体系建设，指导和监督政府部门、重点行业的重要信息系统与信息网络的安全保障工作，指导信息安全防范工作，参与处理网络与信息安全重大事件。</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12</w:t>
      </w:r>
      <w:r>
        <w:rPr>
          <w:rFonts w:hint="eastAsia" w:ascii="仿宋" w:hAnsi="仿宋" w:eastAsia="仿宋" w:cs="Times New Roman"/>
          <w:kern w:val="2"/>
          <w:sz w:val="32"/>
          <w:szCs w:val="24"/>
          <w:lang w:val="en-US" w:eastAsia="zh-CN" w:bidi="ar-SA"/>
        </w:rPr>
        <w:t>.</w:t>
      </w:r>
      <w:r>
        <w:rPr>
          <w:rFonts w:ascii="Times New Roman" w:hAnsi="Times New Roman" w:eastAsia="仿宋_GB2312"/>
          <w:color w:val="auto"/>
          <w:sz w:val="32"/>
          <w:szCs w:val="32"/>
        </w:rPr>
        <w:t>统一配置和管理全区无线电频谱资源，依法监督管理无线电台(站)，负责无线电电磁环境保护工作；负责无线电监测、检测和干扰查处，协调军地间和县际间无线电管理相关事宜，维护空中电波秩序，依法组织实施无线电管制。</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13</w:t>
      </w:r>
      <w:r>
        <w:rPr>
          <w:rFonts w:hint="eastAsia" w:ascii="仿宋" w:hAnsi="仿宋" w:eastAsia="仿宋" w:cs="Times New Roman"/>
          <w:kern w:val="2"/>
          <w:sz w:val="32"/>
          <w:szCs w:val="24"/>
          <w:lang w:val="en-US" w:eastAsia="zh-CN" w:bidi="ar-SA"/>
        </w:rPr>
        <w:t>.</w:t>
      </w:r>
      <w:r>
        <w:rPr>
          <w:rFonts w:ascii="Times New Roman" w:hAnsi="Times New Roman" w:eastAsia="仿宋_GB2312"/>
          <w:color w:val="auto"/>
          <w:sz w:val="32"/>
          <w:szCs w:val="32"/>
        </w:rPr>
        <w:t>会同有关部门提出工业和信息化领域对外开放和利用外资的政策建议，参与区域经济合作和承接产业转移工作。指导工业和信息化企业开展对外交流与合作、国际化经营、境外投资及兼并重组。</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14</w:t>
      </w:r>
      <w:r>
        <w:rPr>
          <w:rFonts w:hint="eastAsia" w:ascii="仿宋" w:hAnsi="仿宋" w:eastAsia="仿宋" w:cs="Times New Roman"/>
          <w:kern w:val="2"/>
          <w:sz w:val="32"/>
          <w:szCs w:val="24"/>
          <w:lang w:val="en-US" w:eastAsia="zh-CN" w:bidi="ar-SA"/>
        </w:rPr>
        <w:t>.</w:t>
      </w:r>
      <w:r>
        <w:rPr>
          <w:rFonts w:ascii="Times New Roman" w:hAnsi="Times New Roman" w:eastAsia="仿宋_GB2312"/>
          <w:color w:val="auto"/>
          <w:sz w:val="32"/>
          <w:szCs w:val="32"/>
        </w:rPr>
        <w:t>负责组织拟订并实施科技支撑计划、重点基础研究计划、软科学研究计划和统筹协调基础研究、前沿技术研究、重大社会公益性技术研究及关键技术、共性技术研究。</w:t>
      </w:r>
    </w:p>
    <w:p>
      <w:pPr>
        <w:pStyle w:val="2"/>
        <w:keepNext w:val="0"/>
        <w:keepLines w:val="0"/>
        <w:pageBreakBefore w:val="0"/>
        <w:widowControl w:val="0"/>
        <w:kinsoku/>
        <w:wordWrap/>
        <w:overflowPunct/>
        <w:topLinePunct w:val="0"/>
        <w:autoSpaceDE/>
        <w:autoSpaceDN/>
        <w:bidi w:val="0"/>
        <w:adjustRightInd w:val="0"/>
        <w:snapToGrid w:val="0"/>
        <w:spacing w:beforeLines="0" w:line="576" w:lineRule="exact"/>
        <w:ind w:left="0" w:leftChars="0" w:right="0" w:rightChars="0" w:firstLine="668" w:firstLineChars="209"/>
        <w:jc w:val="both"/>
        <w:textAlignment w:val="auto"/>
        <w:outlineLvl w:val="9"/>
        <w:rPr>
          <w:rFonts w:hint="eastAsia"/>
        </w:rPr>
      </w:pPr>
      <w:r>
        <w:rPr>
          <w:rFonts w:hint="eastAsia" w:ascii="Times New Roman" w:hAnsi="Times New Roman" w:eastAsia="仿宋_GB2312"/>
          <w:color w:val="auto"/>
          <w:sz w:val="32"/>
          <w:szCs w:val="32"/>
          <w:lang w:val="en-US" w:eastAsia="zh-CN"/>
        </w:rPr>
        <w:t>15</w:t>
      </w:r>
      <w:r>
        <w:rPr>
          <w:rFonts w:hint="eastAsia" w:ascii="仿宋" w:hAnsi="仿宋" w:eastAsia="仿宋" w:cs="Times New Roman"/>
          <w:kern w:val="2"/>
          <w:sz w:val="32"/>
          <w:szCs w:val="24"/>
          <w:lang w:val="en-US" w:eastAsia="zh-CN" w:bidi="ar-SA"/>
        </w:rPr>
        <w:t>.</w:t>
      </w:r>
      <w:r>
        <w:rPr>
          <w:rFonts w:ascii="Times New Roman" w:hAnsi="Times New Roman" w:eastAsia="仿宋_GB2312"/>
          <w:color w:val="auto"/>
          <w:sz w:val="32"/>
          <w:szCs w:val="32"/>
        </w:rPr>
        <w:t>牵头组织经济社会发展重要领域的重大关键性技术攻关；会同有关部门组织科技重大专项实施中的方案论证、综合平衡、评估验收和拟订相关配套政策，对科技重大专项实施中的重大调整提出建议</w:t>
      </w:r>
    </w:p>
    <w:p>
      <w:pPr>
        <w:pStyle w:val="4"/>
        <w:pageBreakBefore w:val="0"/>
        <w:numPr>
          <w:ilvl w:val="0"/>
          <w:numId w:val="0"/>
        </w:numPr>
        <w:kinsoku/>
        <w:wordWrap/>
        <w:topLinePunct w:val="0"/>
        <w:bidi w:val="0"/>
        <w:spacing w:before="0" w:after="0" w:line="576" w:lineRule="exact"/>
        <w:ind w:firstLine="640" w:firstLineChars="200"/>
        <w:rPr>
          <w:rFonts w:hint="eastAsia" w:ascii="黑体" w:hAnsi="黑体" w:eastAsia="黑体"/>
          <w:b w:val="0"/>
          <w:color w:val="auto"/>
          <w:highlight w:val="none"/>
          <w:lang w:eastAsia="zh-CN"/>
        </w:rPr>
      </w:pPr>
      <w:bookmarkStart w:id="22" w:name="_Toc31997"/>
      <w:bookmarkStart w:id="23" w:name="_Toc13011"/>
      <w:bookmarkStart w:id="24" w:name="_Toc4838"/>
      <w:r>
        <w:rPr>
          <w:rFonts w:hint="eastAsia" w:ascii="黑体" w:hAnsi="黑体" w:eastAsia="黑体"/>
          <w:b w:val="0"/>
          <w:color w:val="auto"/>
          <w:highlight w:val="none"/>
          <w:lang w:val="en-US" w:eastAsia="zh-CN"/>
        </w:rPr>
        <w:t>二、2021年重点</w:t>
      </w:r>
      <w:r>
        <w:rPr>
          <w:rFonts w:hint="eastAsia" w:ascii="黑体" w:hAnsi="黑体" w:eastAsia="黑体"/>
          <w:b w:val="0"/>
          <w:color w:val="auto"/>
          <w:highlight w:val="none"/>
        </w:rPr>
        <w:t>工作</w:t>
      </w:r>
      <w:bookmarkEnd w:id="20"/>
      <w:bookmarkEnd w:id="21"/>
      <w:r>
        <w:rPr>
          <w:rFonts w:hint="eastAsia" w:ascii="黑体" w:hAnsi="黑体" w:eastAsia="黑体"/>
          <w:b w:val="0"/>
          <w:color w:val="auto"/>
          <w:highlight w:val="none"/>
          <w:lang w:eastAsia="zh-CN"/>
        </w:rPr>
        <w:t>完成情况</w:t>
      </w:r>
      <w:bookmarkEnd w:id="22"/>
      <w:bookmarkEnd w:id="23"/>
      <w:bookmarkEnd w:id="24"/>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抓项目，增添工业发展后劲。</w:t>
      </w:r>
      <w:r>
        <w:rPr>
          <w:rFonts w:hint="eastAsia" w:ascii="Times New Roman" w:hAnsi="Times New Roman" w:eastAsia="仿宋_GB2312" w:cs="Times New Roman"/>
          <w:b/>
          <w:bCs/>
          <w:color w:val="auto"/>
          <w:kern w:val="2"/>
          <w:sz w:val="32"/>
          <w:szCs w:val="32"/>
          <w:lang w:val="en-US" w:eastAsia="zh-CN" w:bidi="ar-SA"/>
        </w:rPr>
        <w:t>一是</w:t>
      </w:r>
      <w:r>
        <w:rPr>
          <w:rFonts w:hint="eastAsia" w:ascii="Times New Roman" w:hAnsi="Times New Roman" w:eastAsia="仿宋_GB2312" w:cs="Times New Roman"/>
          <w:color w:val="auto"/>
          <w:kern w:val="2"/>
          <w:sz w:val="32"/>
          <w:szCs w:val="32"/>
          <w:lang w:val="en-US" w:eastAsia="zh-CN" w:bidi="ar-SA"/>
        </w:rPr>
        <w:t>工业项目投资能力培训获赞。在全市率先开展了项目投资管理综合业务培训会，建立了广元市昭化区政府投资项目政策库，并生成二维码向区级部门和各镇推送，受到各方好评。</w:t>
      </w:r>
      <w:r>
        <w:rPr>
          <w:rFonts w:hint="eastAsia" w:ascii="Times New Roman" w:hAnsi="Times New Roman" w:eastAsia="仿宋_GB2312" w:cs="Times New Roman"/>
          <w:b/>
          <w:bCs/>
          <w:color w:val="auto"/>
          <w:kern w:val="2"/>
          <w:sz w:val="32"/>
          <w:szCs w:val="32"/>
          <w:lang w:val="en-US" w:eastAsia="zh-CN" w:bidi="ar-SA"/>
        </w:rPr>
        <w:t>二是</w:t>
      </w:r>
      <w:r>
        <w:rPr>
          <w:rFonts w:hint="eastAsia" w:ascii="Times New Roman" w:hAnsi="Times New Roman" w:eastAsia="仿宋_GB2312" w:cs="Times New Roman"/>
          <w:color w:val="auto"/>
          <w:kern w:val="2"/>
          <w:sz w:val="32"/>
          <w:szCs w:val="32"/>
          <w:lang w:val="en-US" w:eastAsia="zh-CN" w:bidi="ar-SA"/>
        </w:rPr>
        <w:t>抓项目管理服务。采取储备项目抓前期、签约项目抓落地、开工项目抓进度、续建项目抓投产的工作思路，实行动态管理，加强协调服务，密切督导调度，打造持续滚动发展的良好格局。</w:t>
      </w:r>
      <w:r>
        <w:rPr>
          <w:rFonts w:hint="eastAsia" w:ascii="Times New Roman" w:hAnsi="Times New Roman" w:eastAsia="仿宋_GB2312" w:cs="Times New Roman"/>
          <w:b/>
          <w:bCs/>
          <w:color w:val="auto"/>
          <w:kern w:val="2"/>
          <w:sz w:val="32"/>
          <w:szCs w:val="32"/>
          <w:lang w:val="en-US" w:eastAsia="zh-CN" w:bidi="ar-SA"/>
        </w:rPr>
        <w:t>三是</w:t>
      </w:r>
      <w:r>
        <w:rPr>
          <w:rFonts w:hint="eastAsia" w:ascii="Times New Roman" w:hAnsi="Times New Roman" w:eastAsia="仿宋_GB2312" w:cs="Times New Roman"/>
          <w:color w:val="auto"/>
          <w:kern w:val="2"/>
          <w:sz w:val="32"/>
          <w:szCs w:val="32"/>
          <w:lang w:val="en-US" w:eastAsia="zh-CN" w:bidi="ar-SA"/>
        </w:rPr>
        <w:t>抓工业项目入库。今年全区累计上报原辅材料及家居配套产品生产、农有科技有机食材加工、中发铝家具等25个工业项目入库，总投资25.2亿元。</w:t>
      </w:r>
    </w:p>
    <w:p>
      <w:pPr>
        <w:keepNext w:val="0"/>
        <w:keepLines w:val="0"/>
        <w:pageBreakBefore w:val="0"/>
        <w:widowControl w:val="0"/>
        <w:kinsoku/>
        <w:wordWrap/>
        <w:topLinePunct w:val="0"/>
        <w:autoSpaceDE/>
        <w:autoSpaceDN/>
        <w:bidi w:val="0"/>
        <w:spacing w:line="576" w:lineRule="exact"/>
        <w:ind w:firstLine="640" w:firstLineChars="200"/>
        <w:rPr>
          <w:rFonts w:hint="eastAsia" w:ascii="Times New Roman" w:hAnsi="Times New Roman" w:eastAsia="仿宋_GB2312" w:cs="Times New Roman"/>
          <w:b w:val="0"/>
          <w:i w:val="0"/>
          <w:caps w:val="0"/>
          <w:color w:val="000000" w:themeColor="text1"/>
          <w:spacing w:val="0"/>
          <w:w w:val="100"/>
          <w:kern w:val="2"/>
          <w:sz w:val="32"/>
          <w:szCs w:val="32"/>
          <w:lang w:val="en-US" w:eastAsia="zh-CN" w:bidi="ar-SA"/>
          <w14:textFill>
            <w14:solidFill>
              <w14:schemeClr w14:val="tx1"/>
            </w14:solidFill>
          </w14:textFill>
        </w:rPr>
      </w:pPr>
      <w:r>
        <w:rPr>
          <w:rFonts w:hint="eastAsia" w:eastAsia="仿宋_GB2312" w:cs="Times New Roman"/>
          <w:b w:val="0"/>
          <w:bCs w:val="0"/>
          <w:i w:val="0"/>
          <w:caps w:val="0"/>
          <w:color w:val="000000" w:themeColor="text1"/>
          <w:spacing w:val="0"/>
          <w:w w:val="100"/>
          <w:kern w:val="2"/>
          <w:sz w:val="32"/>
          <w:szCs w:val="32"/>
          <w:lang w:val="en-US" w:eastAsia="zh-CN" w:bidi="ar-SA"/>
          <w14:textFill>
            <w14:solidFill>
              <w14:schemeClr w14:val="tx1"/>
            </w14:solidFill>
          </w14:textFill>
        </w:rPr>
        <w:t>抓企业，增强工业发展平稳性。</w:t>
      </w:r>
      <w:r>
        <w:rPr>
          <w:rFonts w:hint="eastAsia" w:ascii="Times New Roman" w:hAnsi="Times New Roman" w:eastAsia="仿宋_GB2312" w:cs="Times New Roman"/>
          <w:b/>
          <w:bCs/>
          <w:i w:val="0"/>
          <w:caps w:val="0"/>
          <w:color w:val="000000" w:themeColor="text1"/>
          <w:spacing w:val="0"/>
          <w:w w:val="100"/>
          <w:kern w:val="2"/>
          <w:sz w:val="32"/>
          <w:szCs w:val="32"/>
          <w:lang w:val="en-US" w:eastAsia="zh-CN" w:bidi="ar-SA"/>
          <w14:textFill>
            <w14:solidFill>
              <w14:schemeClr w14:val="tx1"/>
            </w14:solidFill>
          </w14:textFill>
        </w:rPr>
        <w:t>一是</w:t>
      </w:r>
      <w:r>
        <w:rPr>
          <w:rFonts w:hint="eastAsia" w:ascii="Times New Roman" w:hAnsi="Times New Roman" w:eastAsia="仿宋_GB2312" w:cs="Times New Roman"/>
          <w:b w:val="0"/>
          <w:i w:val="0"/>
          <w:caps w:val="0"/>
          <w:color w:val="000000" w:themeColor="text1"/>
          <w:spacing w:val="0"/>
          <w:w w:val="100"/>
          <w:kern w:val="2"/>
          <w:sz w:val="32"/>
          <w:szCs w:val="32"/>
          <w:lang w:val="en-US" w:eastAsia="zh-CN" w:bidi="ar-SA"/>
          <w14:textFill>
            <w14:solidFill>
              <w14:schemeClr w14:val="tx1"/>
            </w14:solidFill>
          </w14:textFill>
        </w:rPr>
        <w:t>持续落实企业疫情防控。严格按照省市区疫情防控的要求，全面落实联防联控措施，大力推动测体温、扫码、亮码准入制度，督促企业员工疫苗接种，应接种人员接种率达到100%</w:t>
      </w:r>
      <w:r>
        <w:rPr>
          <w:rFonts w:hint="eastAsia" w:eastAsia="仿宋_GB2312" w:cs="Times New Roman"/>
          <w:b w:val="0"/>
          <w:i w:val="0"/>
          <w:caps w:val="0"/>
          <w:color w:val="000000" w:themeColor="text1"/>
          <w:spacing w:val="0"/>
          <w:w w:val="100"/>
          <w:kern w:val="2"/>
          <w:sz w:val="32"/>
          <w:szCs w:val="32"/>
          <w:lang w:val="en-US" w:eastAsia="zh-CN" w:bidi="ar-SA"/>
          <w14:textFill>
            <w14:solidFill>
              <w14:schemeClr w14:val="tx1"/>
            </w14:solidFill>
          </w14:textFill>
        </w:rPr>
        <w:t>。</w:t>
      </w:r>
      <w:r>
        <w:rPr>
          <w:rFonts w:hint="eastAsia" w:ascii="Times New Roman" w:hAnsi="Times New Roman" w:eastAsia="仿宋_GB2312" w:cs="Times New Roman"/>
          <w:b/>
          <w:bCs/>
          <w:i w:val="0"/>
          <w:caps w:val="0"/>
          <w:color w:val="000000" w:themeColor="text1"/>
          <w:spacing w:val="0"/>
          <w:w w:val="100"/>
          <w:kern w:val="2"/>
          <w:sz w:val="32"/>
          <w:szCs w:val="32"/>
          <w:lang w:val="en-US" w:eastAsia="zh-CN" w:bidi="ar-SA"/>
          <w14:textFill>
            <w14:solidFill>
              <w14:schemeClr w14:val="tx1"/>
            </w14:solidFill>
          </w14:textFill>
        </w:rPr>
        <w:t>二是</w:t>
      </w:r>
      <w:r>
        <w:rPr>
          <w:rFonts w:hint="eastAsia" w:ascii="Times New Roman" w:hAnsi="Times New Roman" w:eastAsia="仿宋_GB2312" w:cs="Times New Roman"/>
          <w:b w:val="0"/>
          <w:i w:val="0"/>
          <w:caps w:val="0"/>
          <w:color w:val="000000" w:themeColor="text1"/>
          <w:spacing w:val="0"/>
          <w:w w:val="100"/>
          <w:kern w:val="2"/>
          <w:sz w:val="32"/>
          <w:szCs w:val="32"/>
          <w:lang w:val="en-US" w:eastAsia="zh-CN" w:bidi="ar-SA"/>
          <w14:textFill>
            <w14:solidFill>
              <w14:schemeClr w14:val="tx1"/>
            </w14:solidFill>
          </w14:textFill>
        </w:rPr>
        <w:t>着力精准分类培育企业。发挥中粮油脂龙头企业的带动效应，打造各级企业齐头并进的态势，建立完善“小升规”企业、“专精特新”、超亿元等企业培育数据库，实行分类培育、阶梯培育。新增“专精特新”企业1家、亿元企业2家。</w:t>
      </w:r>
      <w:r>
        <w:rPr>
          <w:rFonts w:hint="eastAsia" w:ascii="Times New Roman" w:hAnsi="Times New Roman" w:eastAsia="仿宋_GB2312" w:cs="Times New Roman"/>
          <w:b/>
          <w:bCs/>
          <w:i w:val="0"/>
          <w:caps w:val="0"/>
          <w:color w:val="auto"/>
          <w:spacing w:val="0"/>
          <w:w w:val="100"/>
          <w:kern w:val="2"/>
          <w:sz w:val="32"/>
          <w:szCs w:val="32"/>
          <w:lang w:val="en-US" w:eastAsia="zh-CN" w:bidi="ar-SA"/>
        </w:rPr>
        <w:t>三是</w:t>
      </w:r>
      <w:r>
        <w:rPr>
          <w:rFonts w:hint="eastAsia" w:ascii="Times New Roman" w:hAnsi="Times New Roman" w:eastAsia="仿宋_GB2312" w:cs="Times New Roman"/>
          <w:b w:val="0"/>
          <w:i w:val="0"/>
          <w:caps w:val="0"/>
          <w:color w:val="000000" w:themeColor="text1"/>
          <w:spacing w:val="0"/>
          <w:w w:val="100"/>
          <w:kern w:val="2"/>
          <w:sz w:val="32"/>
          <w:szCs w:val="32"/>
          <w:lang w:val="en-US" w:eastAsia="zh-CN" w:bidi="ar-SA"/>
          <w14:textFill>
            <w14:solidFill>
              <w14:schemeClr w14:val="tx1"/>
            </w14:solidFill>
          </w14:textFill>
        </w:rPr>
        <w:t>坚持周监测、月会商、季分析制度。实时动态监测企业产值、税收、用电等指标，对照目标任务分析和查找差距，提出对策措施，促进工业经济平稳运行，93%的企业保持正增长，较去年提升了7个百分点。</w:t>
      </w:r>
    </w:p>
    <w:p>
      <w:pPr>
        <w:pStyle w:val="8"/>
        <w:keepNext w:val="0"/>
        <w:keepLines w:val="0"/>
        <w:pageBreakBefore w:val="0"/>
        <w:widowControl w:val="0"/>
        <w:kinsoku/>
        <w:wordWrap/>
        <w:topLinePunct w:val="0"/>
        <w:autoSpaceDE/>
        <w:autoSpaceDN/>
        <w:bidi w:val="0"/>
        <w:spacing w:line="576" w:lineRule="exact"/>
        <w:ind w:left="0" w:leftChars="0" w:firstLine="640" w:firstLineChars="200"/>
        <w:rPr>
          <w:rFonts w:hint="eastAsia" w:ascii="仿宋" w:hAnsi="仿宋" w:eastAsia="仿宋"/>
          <w:color w:val="000000"/>
          <w:sz w:val="32"/>
          <w:szCs w:val="32"/>
          <w:lang w:eastAsia="zh-CN"/>
        </w:rPr>
      </w:pPr>
      <w:r>
        <w:rPr>
          <w:rFonts w:hint="eastAsia" w:ascii="Times New Roman" w:hAnsi="Times New Roman" w:eastAsia="仿宋_GB2312" w:cs="Times New Roman"/>
          <w:b w:val="0"/>
          <w:bCs w:val="0"/>
          <w:i w:val="0"/>
          <w:caps w:val="0"/>
          <w:color w:val="000000" w:themeColor="text1"/>
          <w:spacing w:val="0"/>
          <w:w w:val="100"/>
          <w:kern w:val="2"/>
          <w:sz w:val="32"/>
          <w:szCs w:val="32"/>
          <w:lang w:val="en-US" w:eastAsia="zh-CN" w:bidi="ar-SA"/>
          <w14:textFill>
            <w14:solidFill>
              <w14:schemeClr w14:val="tx1"/>
            </w14:solidFill>
          </w14:textFill>
        </w:rPr>
        <w:t>抓创新，增强经济发展动力。</w:t>
      </w:r>
      <w:r>
        <w:rPr>
          <w:rFonts w:hint="eastAsia" w:ascii="Times New Roman" w:hAnsi="Times New Roman" w:eastAsia="仿宋_GB2312" w:cs="Times New Roman"/>
          <w:b/>
          <w:bCs/>
          <w:i w:val="0"/>
          <w:caps w:val="0"/>
          <w:color w:val="000000" w:themeColor="text1"/>
          <w:spacing w:val="0"/>
          <w:w w:val="100"/>
          <w:kern w:val="2"/>
          <w:sz w:val="32"/>
          <w:szCs w:val="32"/>
          <w:lang w:val="en-US" w:eastAsia="zh-CN" w:bidi="ar-SA"/>
          <w14:textFill>
            <w14:solidFill>
              <w14:schemeClr w14:val="tx1"/>
            </w14:solidFill>
          </w14:textFill>
        </w:rPr>
        <w:t>一是</w:t>
      </w:r>
      <w:r>
        <w:rPr>
          <w:rFonts w:hint="eastAsia" w:ascii="Times New Roman" w:hAnsi="Times New Roman" w:eastAsia="仿宋_GB2312" w:cs="Times New Roman"/>
          <w:b w:val="0"/>
          <w:bCs w:val="0"/>
          <w:i w:val="0"/>
          <w:caps w:val="0"/>
          <w:color w:val="000000" w:themeColor="text1"/>
          <w:spacing w:val="0"/>
          <w:w w:val="100"/>
          <w:kern w:val="2"/>
          <w:sz w:val="32"/>
          <w:szCs w:val="32"/>
          <w:lang w:val="en-US" w:eastAsia="zh-CN" w:bidi="ar-SA"/>
          <w14:textFill>
            <w14:solidFill>
              <w14:schemeClr w14:val="tx1"/>
            </w14:solidFill>
          </w14:textFill>
        </w:rPr>
        <w:t>培育多元化创新主体。</w:t>
      </w:r>
      <w:r>
        <w:rPr>
          <w:rFonts w:hint="default" w:ascii="Times New Roman" w:hAnsi="Times New Roman" w:eastAsia="仿宋_GB2312" w:cs="Times New Roman"/>
          <w:color w:val="000000"/>
          <w:sz w:val="32"/>
          <w:szCs w:val="32"/>
          <w:lang w:eastAsia="zh-CN"/>
        </w:rPr>
        <w:t>新建无机涂料、羊血清提取、果酒研发等9家实验室，申报市级工程技术研究中心</w:t>
      </w: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lang w:eastAsia="zh-CN"/>
        </w:rPr>
        <w:t>家，企业研发人员数量、专业技能均大幅度提升。2021年3月成立了“广元市昭化区王家贡米产业技术研究所”，</w:t>
      </w:r>
      <w:r>
        <w:rPr>
          <w:rFonts w:hint="default" w:ascii="Times New Roman" w:hAnsi="Times New Roman" w:eastAsia="仿宋_GB2312" w:cs="Times New Roman"/>
          <w:b w:val="0"/>
          <w:bCs/>
          <w:color w:val="000000"/>
          <w:sz w:val="32"/>
          <w:szCs w:val="32"/>
        </w:rPr>
        <w:t>获袁隆平团队指导</w:t>
      </w:r>
      <w:r>
        <w:rPr>
          <w:rFonts w:hint="eastAsia" w:ascii="Times New Roman" w:hAnsi="Times New Roman" w:eastAsia="仿宋_GB2312" w:cs="Times New Roman"/>
          <w:b w:val="0"/>
          <w:bCs/>
          <w:color w:val="000000"/>
          <w:sz w:val="32"/>
          <w:szCs w:val="32"/>
          <w:lang w:eastAsia="zh-CN"/>
        </w:rPr>
        <w:t>。</w:t>
      </w:r>
      <w:r>
        <w:rPr>
          <w:rFonts w:hint="eastAsia" w:ascii="Times New Roman" w:hAnsi="Times New Roman" w:eastAsia="仿宋_GB2312" w:cs="Times New Roman"/>
          <w:b/>
          <w:bCs w:val="0"/>
          <w:color w:val="000000"/>
          <w:sz w:val="32"/>
          <w:szCs w:val="32"/>
          <w:lang w:val="en-US" w:eastAsia="zh-CN"/>
        </w:rPr>
        <w:t>二是</w:t>
      </w:r>
      <w:r>
        <w:rPr>
          <w:rFonts w:hint="default" w:ascii="Times New Roman" w:hAnsi="Times New Roman" w:eastAsia="仿宋_GB2312" w:cs="Times New Roman"/>
          <w:color w:val="000000"/>
          <w:sz w:val="32"/>
          <w:szCs w:val="32"/>
          <w:lang w:eastAsia="zh-CN"/>
        </w:rPr>
        <w:t>强化科技成果的转化</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eastAsia="zh-CN"/>
        </w:rPr>
        <w:t>全年</w:t>
      </w:r>
      <w:r>
        <w:rPr>
          <w:rFonts w:hint="default" w:ascii="Times New Roman" w:hAnsi="Times New Roman" w:eastAsia="仿宋_GB2312" w:cs="Times New Roman"/>
          <w:color w:val="000000"/>
          <w:sz w:val="32"/>
          <w:szCs w:val="32"/>
        </w:rPr>
        <w:t>转化科技成果</w:t>
      </w:r>
      <w:r>
        <w:rPr>
          <w:rFonts w:hint="default" w:ascii="Times New Roman" w:hAnsi="Times New Roman" w:eastAsia="仿宋_GB2312" w:cs="Times New Roman"/>
          <w:color w:val="000000"/>
          <w:sz w:val="32"/>
          <w:szCs w:val="32"/>
          <w:lang w:val="en-US" w:eastAsia="zh-CN"/>
        </w:rPr>
        <w:t>21余</w:t>
      </w:r>
      <w:r>
        <w:rPr>
          <w:rFonts w:hint="default" w:ascii="Times New Roman" w:hAnsi="Times New Roman" w:eastAsia="仿宋_GB2312" w:cs="Times New Roman"/>
          <w:color w:val="000000"/>
          <w:sz w:val="32"/>
          <w:szCs w:val="32"/>
        </w:rPr>
        <w:t>项，科技成果转化产值</w:t>
      </w:r>
      <w:r>
        <w:rPr>
          <w:rFonts w:hint="default" w:ascii="Times New Roman" w:hAnsi="Times New Roman" w:eastAsia="仿宋_GB2312" w:cs="Times New Roman"/>
          <w:color w:val="000000"/>
          <w:sz w:val="32"/>
          <w:szCs w:val="32"/>
          <w:lang w:eastAsia="zh-CN"/>
        </w:rPr>
        <w:t>达到</w:t>
      </w:r>
      <w:r>
        <w:rPr>
          <w:rFonts w:hint="default" w:ascii="Times New Roman" w:hAnsi="Times New Roman" w:eastAsia="仿宋_GB2312" w:cs="Times New Roman"/>
          <w:color w:val="000000"/>
          <w:sz w:val="32"/>
          <w:szCs w:val="32"/>
          <w:lang w:val="en-US" w:eastAsia="zh-CN"/>
        </w:rPr>
        <w:t>20</w:t>
      </w:r>
      <w:r>
        <w:rPr>
          <w:rFonts w:hint="default" w:ascii="Times New Roman" w:hAnsi="Times New Roman" w:eastAsia="仿宋_GB2312" w:cs="Times New Roman"/>
          <w:color w:val="000000"/>
          <w:sz w:val="32"/>
          <w:szCs w:val="32"/>
        </w:rPr>
        <w:t>.5</w:t>
      </w:r>
      <w:r>
        <w:rPr>
          <w:rFonts w:hint="default" w:ascii="Times New Roman" w:hAnsi="Times New Roman" w:eastAsia="仿宋_GB2312" w:cs="Times New Roman"/>
          <w:color w:val="000000"/>
          <w:sz w:val="32"/>
          <w:szCs w:val="32"/>
          <w:lang w:val="en-US" w:eastAsia="zh-CN"/>
        </w:rPr>
        <w:t>7</w:t>
      </w:r>
      <w:r>
        <w:rPr>
          <w:rFonts w:hint="default" w:ascii="Times New Roman" w:hAnsi="Times New Roman" w:eastAsia="仿宋_GB2312" w:cs="Times New Roman"/>
          <w:color w:val="000000"/>
          <w:sz w:val="32"/>
          <w:szCs w:val="32"/>
        </w:rPr>
        <w:t>亿元</w:t>
      </w:r>
      <w:r>
        <w:rPr>
          <w:rFonts w:hint="default" w:ascii="Times New Roman" w:hAnsi="Times New Roman" w:eastAsia="仿宋_GB2312" w:cs="Times New Roman"/>
          <w:bCs/>
          <w:color w:val="000000"/>
          <w:sz w:val="32"/>
          <w:szCs w:val="32"/>
        </w:rPr>
        <w:t>。</w:t>
      </w:r>
      <w:r>
        <w:rPr>
          <w:rFonts w:eastAsia="仿宋_GB2312"/>
          <w:bCs/>
          <w:color w:val="000000"/>
          <w:sz w:val="32"/>
          <w:szCs w:val="32"/>
          <w:shd w:val="clear" w:color="auto" w:fill="FFFFFF"/>
        </w:rPr>
        <w:t>围绕</w:t>
      </w:r>
      <w:r>
        <w:rPr>
          <w:rFonts w:hAnsi="仿宋_GB2312" w:eastAsia="仿宋_GB2312"/>
          <w:color w:val="000000"/>
          <w:sz w:val="32"/>
          <w:szCs w:val="32"/>
        </w:rPr>
        <w:t>绿色家居、食品饮料、新材料、现代农业</w:t>
      </w:r>
      <w:r>
        <w:rPr>
          <w:rFonts w:hint="eastAsia" w:hAnsi="仿宋_GB2312" w:eastAsia="仿宋_GB2312"/>
          <w:color w:val="000000"/>
          <w:sz w:val="32"/>
          <w:szCs w:val="32"/>
        </w:rPr>
        <w:t>、数字经济</w:t>
      </w:r>
      <w:r>
        <w:rPr>
          <w:rFonts w:hAnsi="仿宋_GB2312" w:eastAsia="仿宋_GB2312"/>
          <w:color w:val="000000"/>
          <w:sz w:val="32"/>
          <w:szCs w:val="32"/>
        </w:rPr>
        <w:t>等产业领域，</w:t>
      </w:r>
      <w:r>
        <w:rPr>
          <w:rFonts w:eastAsia="仿宋_GB2312"/>
          <w:bCs/>
          <w:color w:val="000000"/>
          <w:sz w:val="32"/>
          <w:szCs w:val="32"/>
          <w:shd w:val="clear" w:color="auto" w:fill="FFFFFF"/>
        </w:rPr>
        <w:t>已储备科技项目26项，纳入厅市会商项目7项。</w:t>
      </w:r>
      <w:r>
        <w:rPr>
          <w:rFonts w:hint="eastAsia" w:ascii="Times New Roman" w:hAnsi="Times New Roman" w:eastAsia="仿宋_GB2312" w:cs="Times New Roman"/>
          <w:b/>
          <w:bCs w:val="0"/>
          <w:color w:val="000000"/>
          <w:sz w:val="32"/>
          <w:szCs w:val="32"/>
          <w:lang w:val="en-US" w:eastAsia="zh-CN"/>
        </w:rPr>
        <w:t>三是</w:t>
      </w:r>
      <w:r>
        <w:rPr>
          <w:rFonts w:hint="eastAsia" w:ascii="Times New Roman" w:hAnsi="Times New Roman" w:eastAsia="仿宋_GB2312" w:cs="Times New Roman"/>
          <w:b w:val="0"/>
          <w:bCs/>
          <w:color w:val="000000"/>
          <w:sz w:val="32"/>
          <w:szCs w:val="32"/>
          <w:lang w:val="en-US" w:eastAsia="zh-CN"/>
        </w:rPr>
        <w:t>助推乡村振兴工作，</w:t>
      </w:r>
      <w:r>
        <w:rPr>
          <w:rFonts w:hint="eastAsia" w:ascii="仿宋_GB2312" w:eastAsia="仿宋_GB2312"/>
          <w:bCs/>
          <w:color w:val="000000"/>
          <w:sz w:val="32"/>
          <w:szCs w:val="32"/>
        </w:rPr>
        <w:t>认真抓好乡村振兴在线平台运行工作，</w:t>
      </w:r>
      <w:r>
        <w:rPr>
          <w:rFonts w:eastAsia="仿宋_GB2312"/>
          <w:color w:val="000000"/>
          <w:sz w:val="32"/>
          <w:szCs w:val="32"/>
        </w:rPr>
        <w:t>新增专家30名，信息员18</w:t>
      </w:r>
      <w:r>
        <w:rPr>
          <w:rFonts w:hint="eastAsia" w:eastAsia="仿宋_GB2312"/>
          <w:color w:val="000000"/>
          <w:sz w:val="32"/>
          <w:szCs w:val="32"/>
        </w:rPr>
        <w:t>1</w:t>
      </w:r>
      <w:r>
        <w:rPr>
          <w:rFonts w:eastAsia="仿宋_GB2312"/>
          <w:color w:val="000000"/>
          <w:sz w:val="32"/>
          <w:szCs w:val="32"/>
        </w:rPr>
        <w:t>人</w:t>
      </w:r>
      <w:r>
        <w:rPr>
          <w:rFonts w:hint="eastAsia" w:eastAsia="仿宋_GB2312"/>
          <w:color w:val="000000"/>
          <w:sz w:val="32"/>
          <w:szCs w:val="32"/>
          <w:lang w:eastAsia="zh-CN"/>
        </w:rPr>
        <w:t>。</w:t>
      </w:r>
      <w:r>
        <w:rPr>
          <w:rFonts w:eastAsia="仿宋_GB2312"/>
          <w:color w:val="000000"/>
          <w:sz w:val="32"/>
          <w:szCs w:val="32"/>
        </w:rPr>
        <w:t>结合科技特派团项目的实施，召开了第五批科技特派员扶贫工作进会，与12名省市“三区科技人才”签订三方协议，</w:t>
      </w:r>
      <w:r>
        <w:rPr>
          <w:rFonts w:hint="eastAsia" w:eastAsia="仿宋_GB2312"/>
          <w:color w:val="000000"/>
          <w:sz w:val="32"/>
          <w:szCs w:val="32"/>
        </w:rPr>
        <w:t>引导科技要素和资源向农村有序流动</w:t>
      </w:r>
      <w:r>
        <w:rPr>
          <w:rFonts w:hint="eastAsia" w:eastAsia="仿宋_GB2312"/>
          <w:color w:val="000000"/>
          <w:sz w:val="32"/>
          <w:szCs w:val="32"/>
          <w:lang w:eastAsia="zh-CN"/>
        </w:rPr>
        <w:t>。</w:t>
      </w:r>
      <w:r>
        <w:rPr>
          <w:rFonts w:eastAsia="仿宋_GB2312"/>
          <w:color w:val="000000"/>
          <w:sz w:val="32"/>
          <w:szCs w:val="32"/>
        </w:rPr>
        <w:t>发放实用技术等科普资料3000</w:t>
      </w:r>
      <w:r>
        <w:rPr>
          <w:rFonts w:hint="eastAsia" w:eastAsia="仿宋_GB2312"/>
          <w:color w:val="000000"/>
          <w:sz w:val="32"/>
          <w:szCs w:val="32"/>
          <w:lang w:eastAsia="zh-CN"/>
        </w:rPr>
        <w:t>余</w:t>
      </w:r>
      <w:r>
        <w:rPr>
          <w:rFonts w:eastAsia="仿宋_GB2312"/>
          <w:color w:val="000000"/>
          <w:sz w:val="32"/>
          <w:szCs w:val="32"/>
        </w:rPr>
        <w:t>份</w:t>
      </w:r>
      <w:r>
        <w:rPr>
          <w:rFonts w:hint="eastAsia" w:eastAsia="仿宋_GB2312"/>
          <w:color w:val="000000"/>
          <w:sz w:val="32"/>
          <w:szCs w:val="32"/>
          <w:lang w:eastAsia="zh-CN"/>
        </w:rPr>
        <w:t>，</w:t>
      </w:r>
      <w:r>
        <w:rPr>
          <w:rFonts w:ascii="仿宋" w:hAnsi="仿宋" w:eastAsia="仿宋"/>
          <w:color w:val="000000"/>
          <w:sz w:val="32"/>
          <w:szCs w:val="32"/>
        </w:rPr>
        <w:t>扎实开展</w:t>
      </w:r>
      <w:r>
        <w:rPr>
          <w:rFonts w:hint="eastAsia" w:ascii="仿宋" w:hAnsi="仿宋" w:eastAsia="仿宋"/>
          <w:color w:val="000000"/>
          <w:sz w:val="32"/>
          <w:szCs w:val="32"/>
        </w:rPr>
        <w:t>科普宣传</w:t>
      </w:r>
      <w:r>
        <w:rPr>
          <w:rFonts w:ascii="仿宋" w:hAnsi="仿宋" w:eastAsia="仿宋"/>
          <w:color w:val="000000"/>
          <w:sz w:val="32"/>
          <w:szCs w:val="32"/>
        </w:rPr>
        <w:t>工作</w:t>
      </w:r>
      <w:r>
        <w:rPr>
          <w:rFonts w:hint="eastAsia" w:ascii="仿宋" w:hAnsi="仿宋" w:eastAsia="仿宋"/>
          <w:color w:val="000000"/>
          <w:sz w:val="32"/>
          <w:szCs w:val="32"/>
          <w:lang w:eastAsia="zh-CN"/>
        </w:rPr>
        <w:t>。</w:t>
      </w:r>
    </w:p>
    <w:p>
      <w:pPr>
        <w:keepNext w:val="0"/>
        <w:keepLines w:val="0"/>
        <w:pageBreakBefore w:val="0"/>
        <w:widowControl w:val="0"/>
        <w:kinsoku/>
        <w:wordWrap/>
        <w:overflowPunct w:val="0"/>
        <w:topLinePunct w:val="0"/>
        <w:autoSpaceDE/>
        <w:autoSpaceDN/>
        <w:bidi w:val="0"/>
        <w:adjustRightInd w:val="0"/>
        <w:snapToGrid w:val="0"/>
        <w:spacing w:line="576" w:lineRule="exact"/>
        <w:ind w:firstLine="640" w:firstLineChars="200"/>
        <w:textAlignment w:val="bottom"/>
        <w:rPr>
          <w:rFonts w:hint="eastAsia" w:ascii="Times New Roman" w:hAnsi="Times New Roman" w:eastAsia="仿宋_GB2312"/>
          <w:color w:val="000000"/>
          <w:sz w:val="32"/>
          <w:szCs w:val="32"/>
          <w:shd w:val="clear" w:color="auto" w:fill="FFFFFF"/>
        </w:rPr>
      </w:pPr>
      <w:r>
        <w:rPr>
          <w:rFonts w:hint="eastAsia" w:ascii="仿宋" w:hAnsi="仿宋" w:eastAsia="仿宋" w:cs="仿宋"/>
          <w:sz w:val="32"/>
          <w:szCs w:val="32"/>
          <w:lang w:val="en-US" w:eastAsia="zh-CN"/>
        </w:rPr>
        <w:t>抓民营，增添</w:t>
      </w:r>
      <w:r>
        <w:rPr>
          <w:rFonts w:hint="eastAsia" w:ascii="仿宋" w:hAnsi="仿宋" w:eastAsia="仿宋" w:cs="仿宋"/>
          <w:sz w:val="32"/>
          <w:szCs w:val="32"/>
        </w:rPr>
        <w:t>经济发展</w:t>
      </w:r>
      <w:r>
        <w:rPr>
          <w:rFonts w:hint="eastAsia" w:ascii="仿宋" w:hAnsi="仿宋" w:eastAsia="仿宋" w:cs="仿宋"/>
          <w:sz w:val="32"/>
          <w:szCs w:val="32"/>
          <w:lang w:val="en-US" w:eastAsia="zh-CN"/>
        </w:rPr>
        <w:t>活力</w:t>
      </w:r>
      <w:r>
        <w:rPr>
          <w:rFonts w:hint="eastAsia" w:ascii="仿宋" w:hAnsi="仿宋" w:eastAsia="仿宋" w:cs="仿宋"/>
          <w:sz w:val="32"/>
          <w:szCs w:val="32"/>
          <w:lang w:eastAsia="zh-CN"/>
        </w:rPr>
        <w:t>。</w:t>
      </w:r>
      <w:r>
        <w:rPr>
          <w:rFonts w:hint="eastAsia" w:ascii="仿宋" w:hAnsi="仿宋" w:eastAsia="仿宋" w:cs="仿宋"/>
          <w:b/>
          <w:bCs/>
          <w:sz w:val="32"/>
          <w:szCs w:val="32"/>
          <w:lang w:val="en-US" w:eastAsia="zh-CN"/>
        </w:rPr>
        <w:t>一是</w:t>
      </w:r>
      <w:r>
        <w:rPr>
          <w:rFonts w:hint="eastAsia" w:ascii="仿宋" w:hAnsi="仿宋" w:eastAsia="仿宋" w:cs="仿宋"/>
          <w:bCs/>
          <w:sz w:val="32"/>
          <w:szCs w:val="32"/>
        </w:rPr>
        <w:t>实施金融“助企行动”</w:t>
      </w:r>
      <w:r>
        <w:rPr>
          <w:rFonts w:hint="eastAsia" w:ascii="仿宋" w:hAnsi="仿宋" w:eastAsia="仿宋" w:cs="仿宋"/>
          <w:bCs/>
          <w:sz w:val="32"/>
          <w:szCs w:val="32"/>
          <w:lang w:eastAsia="zh-CN"/>
        </w:rPr>
        <w:t>。</w:t>
      </w:r>
      <w:r>
        <w:rPr>
          <w:rFonts w:hint="eastAsia" w:eastAsia="仿宋_GB2312" w:cs="仿宋_GB2312"/>
          <w:sz w:val="32"/>
          <w:szCs w:val="32"/>
        </w:rPr>
        <w:t>1-9月，区立信农担公司累计开展担保业务4255笔，共12.95亿元。</w:t>
      </w:r>
      <w:r>
        <w:rPr>
          <w:rFonts w:hint="eastAsia" w:eastAsia="仿宋_GB2312" w:cs="仿宋_GB2312"/>
          <w:color w:val="000000"/>
          <w:sz w:val="32"/>
          <w:szCs w:val="32"/>
        </w:rPr>
        <w:t>受保企业覆盖农业、生产制造、物流、零售批发、建筑等行业，</w:t>
      </w:r>
      <w:r>
        <w:rPr>
          <w:rFonts w:hint="eastAsia" w:eastAsia="仿宋_GB2312" w:cs="仿宋_GB2312"/>
          <w:sz w:val="32"/>
          <w:szCs w:val="32"/>
        </w:rPr>
        <w:t>有力地支持了区内民营企业的发展。</w:t>
      </w:r>
      <w:r>
        <w:rPr>
          <w:rFonts w:hint="eastAsia" w:ascii="仿宋" w:hAnsi="仿宋" w:eastAsia="仿宋" w:cs="仿宋"/>
          <w:b/>
          <w:bCs/>
          <w:sz w:val="32"/>
          <w:szCs w:val="32"/>
          <w:lang w:val="en-US" w:eastAsia="zh-CN"/>
        </w:rPr>
        <w:t>二是</w:t>
      </w:r>
      <w:r>
        <w:rPr>
          <w:rFonts w:hint="eastAsia" w:ascii="Times New Roman" w:hAnsi="Times New Roman" w:eastAsia="仿宋_GB2312"/>
          <w:sz w:val="32"/>
          <w:szCs w:val="32"/>
        </w:rPr>
        <w:t>持续优化营商环境。深化“放管服”改革，清理区本级行政许可事项256项、办理提速50%以上。推进“一网一门一次”改革，一体化政务服务平台延伸至镇、村（社区）。“双随机、一公开”联合监管高效推行。</w:t>
      </w:r>
      <w:r>
        <w:rPr>
          <w:rFonts w:hint="eastAsia" w:ascii="Times New Roman" w:hAnsi="Times New Roman" w:eastAsia="仿宋_GB2312"/>
          <w:b/>
          <w:bCs/>
          <w:sz w:val="32"/>
          <w:szCs w:val="32"/>
          <w:lang w:val="en-US" w:eastAsia="zh-CN"/>
        </w:rPr>
        <w:t>三是</w:t>
      </w:r>
      <w:r>
        <w:rPr>
          <w:rFonts w:hint="eastAsia" w:ascii="仿宋" w:hAnsi="仿宋" w:eastAsia="仿宋" w:cs="仿宋"/>
          <w:b w:val="0"/>
          <w:bCs/>
          <w:sz w:val="32"/>
          <w:szCs w:val="32"/>
        </w:rPr>
        <w:t>实施园区“聚企行动”</w:t>
      </w:r>
      <w:r>
        <w:rPr>
          <w:rFonts w:hint="eastAsia" w:ascii="仿宋" w:hAnsi="仿宋" w:eastAsia="仿宋" w:cs="仿宋"/>
          <w:b w:val="0"/>
          <w:bCs/>
          <w:sz w:val="32"/>
          <w:szCs w:val="32"/>
          <w:lang w:eastAsia="zh-CN"/>
        </w:rPr>
        <w:t>。</w:t>
      </w:r>
      <w:r>
        <w:rPr>
          <w:rFonts w:ascii="Times New Roman" w:hAnsi="Times New Roman" w:eastAsia="仿宋_GB2312"/>
          <w:sz w:val="32"/>
          <w:szCs w:val="32"/>
        </w:rPr>
        <w:t>举全区之力建设中国西部（广元）家居产业城</w:t>
      </w:r>
      <w:r>
        <w:rPr>
          <w:rFonts w:hint="eastAsia" w:ascii="Times New Roman" w:hAnsi="Times New Roman" w:eastAsia="仿宋_GB2312"/>
          <w:sz w:val="32"/>
          <w:szCs w:val="32"/>
          <w:lang w:eastAsia="zh-CN"/>
        </w:rPr>
        <w:t>，</w:t>
      </w:r>
      <w:r>
        <w:rPr>
          <w:rFonts w:ascii="Times New Roman" w:hAnsi="Times New Roman" w:eastAsia="仿宋_GB2312"/>
          <w:color w:val="000000"/>
          <w:sz w:val="32"/>
          <w:szCs w:val="32"/>
          <w:shd w:val="clear" w:color="auto" w:fill="FFFFFF"/>
        </w:rPr>
        <w:t>累计签订投资协议家居企业3</w:t>
      </w:r>
      <w:r>
        <w:rPr>
          <w:rFonts w:hint="eastAsia" w:ascii="Times New Roman" w:hAnsi="Times New Roman" w:eastAsia="仿宋_GB2312"/>
          <w:color w:val="000000"/>
          <w:sz w:val="32"/>
          <w:szCs w:val="32"/>
          <w:shd w:val="clear" w:color="auto" w:fill="FFFFFF"/>
          <w:lang w:val="en-US" w:eastAsia="zh-CN"/>
        </w:rPr>
        <w:t>8</w:t>
      </w:r>
      <w:r>
        <w:rPr>
          <w:rFonts w:ascii="Times New Roman" w:hAnsi="Times New Roman" w:eastAsia="仿宋_GB2312"/>
          <w:color w:val="000000"/>
          <w:sz w:val="32"/>
          <w:szCs w:val="32"/>
          <w:shd w:val="clear" w:color="auto" w:fill="FFFFFF"/>
        </w:rPr>
        <w:t>家，1</w:t>
      </w:r>
      <w:r>
        <w:rPr>
          <w:rFonts w:hint="eastAsia" w:ascii="Times New Roman" w:hAnsi="Times New Roman" w:eastAsia="仿宋_GB2312"/>
          <w:color w:val="000000"/>
          <w:sz w:val="32"/>
          <w:szCs w:val="32"/>
          <w:shd w:val="clear" w:color="auto" w:fill="FFFFFF"/>
          <w:lang w:val="en-US" w:eastAsia="zh-CN"/>
        </w:rPr>
        <w:t>6</w:t>
      </w:r>
      <w:r>
        <w:rPr>
          <w:rFonts w:ascii="Times New Roman" w:hAnsi="Times New Roman" w:eastAsia="仿宋_GB2312"/>
          <w:color w:val="000000"/>
          <w:sz w:val="32"/>
          <w:szCs w:val="32"/>
          <w:shd w:val="clear" w:color="auto" w:fill="FFFFFF"/>
        </w:rPr>
        <w:t>家已入驻开工</w:t>
      </w:r>
      <w:r>
        <w:rPr>
          <w:rFonts w:hint="eastAsia" w:ascii="Times New Roman" w:hAnsi="Times New Roman" w:eastAsia="仿宋_GB2312"/>
          <w:color w:val="000000"/>
          <w:sz w:val="32"/>
          <w:szCs w:val="32"/>
          <w:shd w:val="clear" w:color="auto" w:fill="FFFFFF"/>
        </w:rPr>
        <w:t>。特别是投资12亿元的碧桂园筑美家居正在加快推进，投资5亿元的上海慕曼德家居、投资8亿元的浙江财纳福诺家居已达成投资意向。</w:t>
      </w:r>
    </w:p>
    <w:p>
      <w:pPr>
        <w:pStyle w:val="8"/>
        <w:keepNext w:val="0"/>
        <w:keepLines w:val="0"/>
        <w:pageBreakBefore w:val="0"/>
        <w:widowControl w:val="0"/>
        <w:kinsoku/>
        <w:wordWrap/>
        <w:topLinePunct w:val="0"/>
        <w:autoSpaceDE/>
        <w:autoSpaceDN/>
        <w:bidi w:val="0"/>
        <w:spacing w:line="576" w:lineRule="exact"/>
        <w:ind w:left="0" w:leftChars="0" w:firstLine="640" w:firstLineChars="200"/>
        <w:rPr>
          <w:rFonts w:hint="eastAsia"/>
        </w:rPr>
      </w:pPr>
      <w:r>
        <w:rPr>
          <w:rFonts w:hint="eastAsia" w:ascii="Times New Roman" w:hAnsi="Times New Roman" w:eastAsia="仿宋_GB2312"/>
          <w:color w:val="000000"/>
          <w:sz w:val="32"/>
          <w:szCs w:val="32"/>
          <w:shd w:val="clear" w:color="auto" w:fill="FFFFFF"/>
          <w:lang w:val="en-US" w:eastAsia="zh-CN"/>
        </w:rPr>
        <w:t>抓电力、信息化基础设施，增强全区经济社会发展承载力。</w:t>
      </w:r>
      <w:r>
        <w:rPr>
          <w:rFonts w:hint="eastAsia" w:ascii="Times New Roman" w:hAnsi="Times New Roman" w:eastAsia="仿宋_GB2312"/>
          <w:b/>
          <w:bCs/>
          <w:color w:val="000000"/>
          <w:sz w:val="32"/>
          <w:szCs w:val="32"/>
          <w:shd w:val="clear" w:color="auto" w:fill="FFFFFF"/>
          <w:lang w:val="en-US" w:eastAsia="zh-CN"/>
        </w:rPr>
        <w:t>一是</w:t>
      </w:r>
      <w:r>
        <w:rPr>
          <w:rFonts w:hint="eastAsia" w:ascii="仿宋" w:hAnsi="仿宋" w:eastAsia="仿宋" w:cs="仿宋"/>
          <w:sz w:val="32"/>
          <w:szCs w:val="32"/>
        </w:rPr>
        <w:t>电力助推乡村振兴</w:t>
      </w:r>
      <w:r>
        <w:rPr>
          <w:rFonts w:hint="eastAsia" w:ascii="仿宋" w:hAnsi="仿宋" w:eastAsia="仿宋" w:cs="仿宋"/>
          <w:sz w:val="32"/>
          <w:szCs w:val="32"/>
          <w:lang w:eastAsia="zh-CN"/>
        </w:rPr>
        <w:t>。</w:t>
      </w:r>
      <w:r>
        <w:rPr>
          <w:rFonts w:hint="eastAsia" w:ascii="仿宋" w:hAnsi="仿宋" w:eastAsia="仿宋" w:cs="仿宋"/>
          <w:sz w:val="32"/>
          <w:szCs w:val="32"/>
        </w:rPr>
        <w:t>2021年已下达电网建设投资8696.01万元，其中农配网总投资5806.06万元、同比增长132.15%，涉及7个镇、12个村以及4条10千伏线路改造，陆续开工建设</w:t>
      </w:r>
      <w:r>
        <w:rPr>
          <w:rFonts w:hint="eastAsia" w:ascii="仿宋" w:hAnsi="仿宋" w:eastAsia="仿宋" w:cs="仿宋"/>
          <w:sz w:val="32"/>
          <w:szCs w:val="32"/>
          <w:lang w:eastAsia="zh-CN"/>
        </w:rPr>
        <w:t>。</w:t>
      </w:r>
      <w:r>
        <w:rPr>
          <w:rFonts w:hint="eastAsia" w:ascii="仿宋" w:hAnsi="仿宋" w:eastAsia="仿宋" w:cs="仿宋"/>
          <w:b/>
          <w:bCs/>
          <w:sz w:val="32"/>
          <w:szCs w:val="32"/>
          <w:lang w:val="en-US" w:eastAsia="zh-CN"/>
        </w:rPr>
        <w:t>二是</w:t>
      </w:r>
      <w:r>
        <w:rPr>
          <w:rFonts w:hint="eastAsia" w:ascii="仿宋" w:hAnsi="仿宋" w:eastAsia="仿宋" w:cs="仿宋"/>
          <w:sz w:val="32"/>
          <w:szCs w:val="32"/>
        </w:rPr>
        <w:t>抓好森林火灾防控</w:t>
      </w:r>
      <w:r>
        <w:rPr>
          <w:rFonts w:hint="eastAsia" w:ascii="仿宋" w:hAnsi="仿宋" w:eastAsia="仿宋" w:cs="仿宋"/>
          <w:sz w:val="32"/>
          <w:szCs w:val="32"/>
          <w:lang w:eastAsia="zh-CN"/>
        </w:rPr>
        <w:t>。</w:t>
      </w:r>
      <w:r>
        <w:rPr>
          <w:rFonts w:hint="eastAsia" w:ascii="仿宋" w:hAnsi="仿宋" w:eastAsia="仿宋" w:cs="仿宋"/>
          <w:sz w:val="32"/>
          <w:szCs w:val="32"/>
        </w:rPr>
        <w:t>清理穿林区线路通道695千米</w:t>
      </w:r>
      <w:r>
        <w:rPr>
          <w:rFonts w:hint="eastAsia" w:ascii="仿宋" w:hAnsi="仿宋" w:eastAsia="仿宋" w:cs="仿宋"/>
          <w:sz w:val="32"/>
          <w:szCs w:val="32"/>
          <w:lang w:eastAsia="zh-CN"/>
        </w:rPr>
        <w:t>，</w:t>
      </w:r>
      <w:r>
        <w:rPr>
          <w:rFonts w:hint="eastAsia" w:ascii="仿宋" w:hAnsi="仿宋" w:eastAsia="仿宋" w:cs="仿宋"/>
          <w:sz w:val="32"/>
          <w:szCs w:val="32"/>
        </w:rPr>
        <w:t>清理杆塔下方易燃物5747基、整治线路森林火灾隐患293处。开展养异化巡视运维，举行防山火紧急拉停避险演练</w:t>
      </w:r>
      <w:r>
        <w:rPr>
          <w:rFonts w:hint="eastAsia" w:ascii="仿宋" w:hAnsi="仿宋" w:eastAsia="仿宋" w:cs="仿宋"/>
          <w:sz w:val="32"/>
          <w:szCs w:val="32"/>
          <w:lang w:eastAsia="zh-CN"/>
        </w:rPr>
        <w:t>。</w:t>
      </w:r>
      <w:r>
        <w:rPr>
          <w:rFonts w:hint="eastAsia" w:ascii="仿宋" w:hAnsi="仿宋" w:eastAsia="仿宋" w:cs="仿宋"/>
          <w:b/>
          <w:bCs/>
          <w:sz w:val="32"/>
          <w:szCs w:val="32"/>
          <w:lang w:val="en-US" w:eastAsia="zh-CN"/>
        </w:rPr>
        <w:t>三是</w:t>
      </w:r>
      <w:r>
        <w:rPr>
          <w:rFonts w:hint="eastAsia" w:ascii="仿宋" w:hAnsi="仿宋" w:eastAsia="仿宋" w:cs="仿宋"/>
          <w:sz w:val="32"/>
          <w:szCs w:val="32"/>
          <w:lang w:val="en-US" w:eastAsia="zh-CN"/>
        </w:rPr>
        <w:t>信息通信扶贫成效巩固，</w:t>
      </w:r>
      <w:r>
        <w:rPr>
          <w:rFonts w:hint="eastAsia" w:ascii="Times New Roman" w:hAnsi="Times New Roman" w:eastAsia="仿宋_GB2312"/>
          <w:sz w:val="32"/>
          <w:szCs w:val="32"/>
        </w:rPr>
        <w:t>联通</w:t>
      </w:r>
      <w:r>
        <w:rPr>
          <w:rFonts w:hint="eastAsia" w:ascii="Times New Roman" w:hAnsi="Times New Roman" w:eastAsia="仿宋_GB2312"/>
          <w:sz w:val="32"/>
          <w:szCs w:val="32"/>
          <w:lang w:eastAsia="zh-CN"/>
        </w:rPr>
        <w:t>昭化分公司新</w:t>
      </w:r>
      <w:r>
        <w:rPr>
          <w:rFonts w:hint="eastAsia" w:ascii="Times New Roman" w:hAnsi="Times New Roman" w:eastAsia="仿宋_GB2312"/>
          <w:sz w:val="32"/>
          <w:szCs w:val="32"/>
        </w:rPr>
        <w:t>建4G基站</w:t>
      </w:r>
      <w:r>
        <w:rPr>
          <w:rFonts w:hint="eastAsia" w:ascii="Times New Roman" w:hAnsi="Times New Roman" w:eastAsia="仿宋_GB2312"/>
          <w:sz w:val="32"/>
          <w:szCs w:val="32"/>
          <w:lang w:val="en-US" w:eastAsia="zh-CN"/>
        </w:rPr>
        <w:t>14个</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移动</w:t>
      </w:r>
      <w:r>
        <w:rPr>
          <w:rFonts w:hint="eastAsia" w:ascii="Times New Roman" w:hAnsi="Times New Roman" w:eastAsia="仿宋_GB2312"/>
          <w:sz w:val="32"/>
          <w:szCs w:val="32"/>
          <w:lang w:eastAsia="zh-CN"/>
        </w:rPr>
        <w:t>昭化分公司新</w:t>
      </w:r>
      <w:r>
        <w:rPr>
          <w:rFonts w:hint="eastAsia" w:ascii="Times New Roman" w:hAnsi="Times New Roman" w:eastAsia="仿宋_GB2312"/>
          <w:sz w:val="32"/>
          <w:szCs w:val="32"/>
        </w:rPr>
        <w:t>建40个5G基站，新建15个4G基站</w:t>
      </w:r>
      <w:r>
        <w:rPr>
          <w:rFonts w:hint="eastAsia" w:ascii="Times New Roman" w:hAnsi="Times New Roman" w:eastAsia="仿宋_GB2312"/>
          <w:sz w:val="32"/>
          <w:szCs w:val="32"/>
          <w:lang w:eastAsia="zh-CN"/>
        </w:rPr>
        <w:t>，电信昭化分公司在全区</w:t>
      </w:r>
      <w:r>
        <w:rPr>
          <w:rFonts w:hint="eastAsia" w:ascii="Times New Roman" w:hAnsi="Times New Roman" w:eastAsia="仿宋_GB2312"/>
          <w:sz w:val="32"/>
          <w:szCs w:val="32"/>
          <w:lang w:val="en-US" w:eastAsia="zh-CN"/>
        </w:rPr>
        <w:t>12个镇</w:t>
      </w:r>
      <w:r>
        <w:rPr>
          <w:rFonts w:hint="eastAsia" w:ascii="Times New Roman" w:hAnsi="Times New Roman" w:eastAsia="仿宋_GB2312"/>
          <w:sz w:val="32"/>
          <w:szCs w:val="32"/>
          <w:lang w:eastAsia="zh-CN"/>
        </w:rPr>
        <w:t>新建</w:t>
      </w:r>
      <w:r>
        <w:rPr>
          <w:rFonts w:hint="eastAsia" w:ascii="Times New Roman" w:hAnsi="Times New Roman" w:eastAsia="仿宋_GB2312"/>
          <w:sz w:val="32"/>
          <w:szCs w:val="32"/>
          <w:lang w:val="en-US" w:eastAsia="zh-CN"/>
        </w:rPr>
        <w:t>5G基站35个，4G基站10个，</w:t>
      </w:r>
      <w:r>
        <w:rPr>
          <w:rFonts w:hint="eastAsia" w:ascii="Times New Roman" w:hAnsi="Times New Roman" w:eastAsia="仿宋_GB2312"/>
          <w:sz w:val="32"/>
          <w:szCs w:val="32"/>
        </w:rPr>
        <w:t>最大限度满足群众通信网络使用需求</w:t>
      </w:r>
      <w:r>
        <w:rPr>
          <w:rFonts w:hint="eastAsia" w:ascii="Times New Roman" w:hAnsi="Times New Roman" w:eastAsia="仿宋_GB2312"/>
          <w:sz w:val="32"/>
          <w:szCs w:val="32"/>
          <w:lang w:val="en-US" w:eastAsia="zh-CN"/>
        </w:rPr>
        <w:t>。</w:t>
      </w:r>
    </w:p>
    <w:p>
      <w:pPr>
        <w:pageBreakBefore w:val="0"/>
        <w:widowControl/>
        <w:kinsoku/>
        <w:wordWrap/>
        <w:topLinePunct w:val="0"/>
        <w:bidi w:val="0"/>
        <w:spacing w:line="576" w:lineRule="exact"/>
        <w:jc w:val="left"/>
        <w:rPr>
          <w:rFonts w:ascii="仿宋" w:hAnsi="仿宋" w:eastAsia="仿宋"/>
          <w:color w:val="auto"/>
          <w:kern w:val="0"/>
          <w:sz w:val="32"/>
          <w:szCs w:val="32"/>
          <w:highlight w:val="none"/>
        </w:rPr>
      </w:pPr>
      <w:r>
        <w:rPr>
          <w:rFonts w:ascii="仿宋" w:hAnsi="仿宋" w:eastAsia="仿宋"/>
          <w:color w:val="auto"/>
          <w:sz w:val="32"/>
          <w:szCs w:val="32"/>
          <w:highlight w:val="none"/>
        </w:rPr>
        <w:br w:type="page"/>
      </w:r>
    </w:p>
    <w:p>
      <w:pPr>
        <w:pStyle w:val="3"/>
        <w:pageBreakBefore w:val="0"/>
        <w:kinsoku/>
        <w:wordWrap/>
        <w:topLinePunct w:val="0"/>
        <w:bidi w:val="0"/>
        <w:spacing w:before="0" w:after="0" w:line="576" w:lineRule="exact"/>
        <w:ind w:right="440"/>
        <w:jc w:val="center"/>
        <w:rPr>
          <w:rStyle w:val="29"/>
          <w:rFonts w:ascii="黑体" w:hAnsi="黑体" w:eastAsia="黑体"/>
          <w:b w:val="0"/>
          <w:bCs/>
          <w:color w:val="auto"/>
          <w:highlight w:val="none"/>
        </w:rPr>
      </w:pPr>
      <w:bookmarkStart w:id="25" w:name="_Toc25835"/>
      <w:bookmarkStart w:id="26" w:name="_Toc15377204"/>
      <w:bookmarkStart w:id="27" w:name="_Toc15396602"/>
      <w:bookmarkStart w:id="28" w:name="_Toc6005"/>
      <w:bookmarkStart w:id="29" w:name="_Toc3234"/>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2021年度</w:t>
      </w:r>
      <w:r>
        <w:rPr>
          <w:rStyle w:val="29"/>
          <w:rFonts w:hint="eastAsia" w:ascii="黑体" w:hAnsi="黑体" w:eastAsia="黑体"/>
          <w:b w:val="0"/>
          <w:bCs/>
          <w:color w:val="auto"/>
          <w:highlight w:val="none"/>
          <w:lang w:eastAsia="zh-CN"/>
        </w:rPr>
        <w:t>单位</w:t>
      </w:r>
      <w:r>
        <w:rPr>
          <w:rStyle w:val="29"/>
          <w:rFonts w:hint="eastAsia" w:ascii="黑体" w:hAnsi="黑体" w:eastAsia="黑体"/>
          <w:b w:val="0"/>
          <w:bCs/>
          <w:color w:val="auto"/>
          <w:highlight w:val="none"/>
        </w:rPr>
        <w:t>决算情况说明</w:t>
      </w:r>
      <w:bookmarkEnd w:id="25"/>
      <w:bookmarkEnd w:id="26"/>
      <w:bookmarkEnd w:id="27"/>
      <w:bookmarkEnd w:id="28"/>
      <w:bookmarkEnd w:id="29"/>
    </w:p>
    <w:p>
      <w:pPr>
        <w:pageBreakBefore w:val="0"/>
        <w:kinsoku/>
        <w:wordWrap/>
        <w:topLinePunct w:val="0"/>
        <w:bidi w:val="0"/>
        <w:spacing w:line="576" w:lineRule="exact"/>
        <w:rPr>
          <w:color w:val="auto"/>
          <w:highlight w:val="none"/>
        </w:rPr>
      </w:pPr>
    </w:p>
    <w:p>
      <w:pPr>
        <w:pStyle w:val="28"/>
        <w:pageBreakBefore w:val="0"/>
        <w:numPr>
          <w:ilvl w:val="0"/>
          <w:numId w:val="2"/>
        </w:numPr>
        <w:kinsoku/>
        <w:wordWrap/>
        <w:topLinePunct w:val="0"/>
        <w:bidi w:val="0"/>
        <w:spacing w:line="576" w:lineRule="exact"/>
        <w:ind w:firstLineChars="0"/>
        <w:outlineLvl w:val="1"/>
        <w:rPr>
          <w:rStyle w:val="30"/>
          <w:rFonts w:ascii="黑体" w:hAnsi="黑体" w:eastAsia="黑体"/>
          <w:b w:val="0"/>
          <w:color w:val="auto"/>
          <w:highlight w:val="none"/>
        </w:rPr>
      </w:pPr>
      <w:bookmarkStart w:id="30" w:name="_Toc15377205"/>
      <w:bookmarkStart w:id="31" w:name="_Toc15396603"/>
      <w:bookmarkStart w:id="32" w:name="_Toc19647"/>
      <w:bookmarkStart w:id="33" w:name="_Toc10802"/>
      <w:bookmarkStart w:id="34" w:name="_Toc24927"/>
      <w:r>
        <w:rPr>
          <w:rFonts w:hint="eastAsia" w:ascii="黑体" w:hAnsi="黑体" w:eastAsia="黑体"/>
          <w:color w:val="auto"/>
          <w:sz w:val="32"/>
          <w:szCs w:val="32"/>
          <w:highlight w:val="none"/>
        </w:rPr>
        <w:t>收</w:t>
      </w:r>
      <w:r>
        <w:rPr>
          <w:rStyle w:val="30"/>
          <w:rFonts w:hint="eastAsia" w:ascii="黑体" w:hAnsi="黑体" w:eastAsia="黑体"/>
          <w:b w:val="0"/>
          <w:color w:val="auto"/>
          <w:highlight w:val="none"/>
        </w:rPr>
        <w:t>入支出决算总体情况说明</w:t>
      </w:r>
      <w:bookmarkEnd w:id="30"/>
      <w:bookmarkEnd w:id="31"/>
      <w:bookmarkEnd w:id="32"/>
      <w:bookmarkEnd w:id="33"/>
      <w:bookmarkEnd w:id="34"/>
    </w:p>
    <w:p>
      <w:pPr>
        <w:pageBreakBefore w:val="0"/>
        <w:kinsoku/>
        <w:wordWrap/>
        <w:overflowPunct/>
        <w:topLinePunct w:val="0"/>
        <w:bidi w:val="0"/>
        <w:spacing w:line="576" w:lineRule="exact"/>
        <w:ind w:firstLine="640" w:firstLineChars="200"/>
        <w:textAlignment w:val="auto"/>
        <w:rPr>
          <w:rFonts w:ascii="仿宋_GB2312" w:eastAsia="仿宋_GB2312"/>
          <w:color w:val="auto"/>
          <w:sz w:val="32"/>
          <w:szCs w:val="32"/>
          <w:highlight w:val="none"/>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年度收、支总计4560</w:t>
      </w:r>
      <w:r>
        <w:rPr>
          <w:rFonts w:hint="eastAsia" w:ascii="仿宋" w:hAnsi="仿宋" w:eastAsia="仿宋"/>
          <w:color w:val="auto"/>
          <w:sz w:val="32"/>
          <w:szCs w:val="32"/>
          <w:highlight w:val="none"/>
          <w:lang w:val="en-US" w:eastAsia="zh-CN"/>
        </w:rPr>
        <w:t>.</w:t>
      </w:r>
      <w:r>
        <w:rPr>
          <w:rFonts w:hint="eastAsia" w:ascii="仿宋" w:hAnsi="仿宋" w:eastAsia="仿宋"/>
          <w:color w:val="auto"/>
          <w:sz w:val="32"/>
          <w:szCs w:val="32"/>
          <w:highlight w:val="none"/>
        </w:rPr>
        <w:t>0</w:t>
      </w:r>
      <w:r>
        <w:rPr>
          <w:rFonts w:hint="eastAsia" w:ascii="仿宋" w:hAnsi="仿宋" w:eastAsia="仿宋"/>
          <w:color w:val="auto"/>
          <w:sz w:val="32"/>
          <w:szCs w:val="32"/>
          <w:highlight w:val="none"/>
          <w:lang w:val="en-US" w:eastAsia="zh-CN"/>
        </w:rPr>
        <w:t>6</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年相比，收、支总计各增加2162.5万元，增长</w:t>
      </w:r>
      <w:r>
        <w:rPr>
          <w:rFonts w:hint="eastAsia" w:ascii="仿宋" w:hAnsi="仿宋" w:eastAsia="仿宋"/>
          <w:color w:val="auto"/>
          <w:sz w:val="32"/>
          <w:szCs w:val="32"/>
          <w:highlight w:val="none"/>
          <w:lang w:val="en-US" w:eastAsia="zh-CN"/>
        </w:rPr>
        <w:t>90.2</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000000"/>
          <w:sz w:val="32"/>
          <w:szCs w:val="32"/>
          <w:lang w:eastAsia="zh-CN"/>
        </w:rPr>
        <w:t>增加引进企业广元建工工业化和智同环保项目配套基础设施建设资金支出</w:t>
      </w:r>
      <w:r>
        <w:rPr>
          <w:rFonts w:hint="eastAsia" w:ascii="仿宋" w:hAnsi="仿宋" w:eastAsia="仿宋"/>
          <w:color w:val="000000"/>
          <w:sz w:val="32"/>
          <w:szCs w:val="32"/>
          <w:lang w:val="en-US" w:eastAsia="zh-CN"/>
        </w:rPr>
        <w:t>。</w:t>
      </w:r>
    </w:p>
    <w:p>
      <w:pPr>
        <w:pageBreakBefore w:val="0"/>
        <w:kinsoku/>
        <w:wordWrap/>
        <w:topLinePunct w:val="0"/>
        <w:bidi w:val="0"/>
        <w:spacing w:line="576" w:lineRule="exact"/>
        <w:ind w:firstLine="420" w:firstLineChars="200"/>
        <w:jc w:val="center"/>
      </w:pPr>
      <w:r>
        <w:drawing>
          <wp:anchor distT="0" distB="0" distL="114300" distR="114300" simplePos="0" relativeHeight="251665408" behindDoc="0" locked="0" layoutInCell="1" allowOverlap="1">
            <wp:simplePos x="0" y="0"/>
            <wp:positionH relativeFrom="column">
              <wp:posOffset>631825</wp:posOffset>
            </wp:positionH>
            <wp:positionV relativeFrom="paragraph">
              <wp:posOffset>205740</wp:posOffset>
            </wp:positionV>
            <wp:extent cx="4145915" cy="1507490"/>
            <wp:effectExtent l="4445" t="5080" r="21590" b="11430"/>
            <wp:wrapTopAndBottom/>
            <wp:docPr id="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w:t>
      </w:r>
    </w:p>
    <w:p>
      <w:pPr>
        <w:pStyle w:val="28"/>
        <w:pageBreakBefore w:val="0"/>
        <w:numPr>
          <w:ilvl w:val="0"/>
          <w:numId w:val="2"/>
        </w:numPr>
        <w:kinsoku/>
        <w:wordWrap/>
        <w:topLinePunct w:val="0"/>
        <w:bidi w:val="0"/>
        <w:spacing w:line="576" w:lineRule="exact"/>
        <w:ind w:firstLineChars="0"/>
        <w:outlineLvl w:val="1"/>
        <w:rPr>
          <w:rStyle w:val="30"/>
          <w:rFonts w:ascii="黑体" w:hAnsi="黑体" w:eastAsia="黑体"/>
          <w:b w:val="0"/>
          <w:color w:val="auto"/>
          <w:highlight w:val="none"/>
        </w:rPr>
      </w:pPr>
      <w:bookmarkStart w:id="35" w:name="_Toc24599"/>
      <w:bookmarkStart w:id="36" w:name="_Toc15396604"/>
      <w:bookmarkStart w:id="37" w:name="_Toc15377206"/>
      <w:bookmarkStart w:id="38" w:name="_Toc21758"/>
      <w:bookmarkStart w:id="39" w:name="_Toc9862"/>
      <w:r>
        <w:rPr>
          <w:rFonts w:hint="eastAsia" w:ascii="黑体" w:hAnsi="黑体" w:eastAsia="黑体"/>
          <w:color w:val="auto"/>
          <w:sz w:val="32"/>
          <w:szCs w:val="32"/>
          <w:highlight w:val="none"/>
        </w:rPr>
        <w:t>收</w:t>
      </w:r>
      <w:r>
        <w:rPr>
          <w:rStyle w:val="30"/>
          <w:rFonts w:hint="eastAsia" w:ascii="黑体" w:hAnsi="黑体" w:eastAsia="黑体"/>
          <w:b w:val="0"/>
          <w:color w:val="auto"/>
          <w:highlight w:val="none"/>
        </w:rPr>
        <w:t>入决算情况说明</w:t>
      </w:r>
      <w:bookmarkEnd w:id="35"/>
      <w:bookmarkEnd w:id="36"/>
      <w:bookmarkEnd w:id="37"/>
      <w:bookmarkEnd w:id="38"/>
      <w:bookmarkEnd w:id="39"/>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年本年收入合计4560</w:t>
      </w:r>
      <w:r>
        <w:rPr>
          <w:rFonts w:hint="eastAsia" w:ascii="仿宋" w:hAnsi="仿宋" w:eastAsia="仿宋"/>
          <w:color w:val="auto"/>
          <w:sz w:val="32"/>
          <w:szCs w:val="32"/>
          <w:highlight w:val="none"/>
          <w:lang w:val="en-US" w:eastAsia="zh-CN"/>
        </w:rPr>
        <w:t>.</w:t>
      </w:r>
      <w:r>
        <w:rPr>
          <w:rFonts w:hint="eastAsia" w:ascii="仿宋" w:hAnsi="仿宋" w:eastAsia="仿宋"/>
          <w:color w:val="auto"/>
          <w:sz w:val="32"/>
          <w:szCs w:val="32"/>
          <w:highlight w:val="none"/>
        </w:rPr>
        <w:t>0</w:t>
      </w:r>
      <w:r>
        <w:rPr>
          <w:rFonts w:hint="eastAsia" w:ascii="仿宋" w:hAnsi="仿宋" w:eastAsia="仿宋"/>
          <w:color w:val="auto"/>
          <w:sz w:val="32"/>
          <w:szCs w:val="32"/>
          <w:highlight w:val="none"/>
          <w:lang w:val="en-US" w:eastAsia="zh-CN"/>
        </w:rPr>
        <w:t>6</w:t>
      </w:r>
      <w:r>
        <w:rPr>
          <w:rFonts w:hint="eastAsia" w:ascii="仿宋" w:hAnsi="仿宋" w:eastAsia="仿宋"/>
          <w:color w:val="auto"/>
          <w:sz w:val="32"/>
          <w:szCs w:val="32"/>
          <w:highlight w:val="none"/>
        </w:rPr>
        <w:t>万元，其中：一般公共预算财政拨款收入1391.69万元，占</w:t>
      </w:r>
      <w:r>
        <w:rPr>
          <w:rFonts w:hint="eastAsia" w:ascii="仿宋" w:hAnsi="仿宋" w:eastAsia="仿宋"/>
          <w:color w:val="auto"/>
          <w:sz w:val="32"/>
          <w:szCs w:val="32"/>
          <w:highlight w:val="none"/>
          <w:lang w:val="en-US" w:eastAsia="zh-CN"/>
        </w:rPr>
        <w:t>30.52</w:t>
      </w:r>
      <w:r>
        <w:rPr>
          <w:rFonts w:ascii="仿宋" w:hAnsi="仿宋" w:eastAsia="仿宋"/>
          <w:color w:val="auto"/>
          <w:sz w:val="32"/>
          <w:szCs w:val="32"/>
          <w:highlight w:val="none"/>
        </w:rPr>
        <w:t>%</w:t>
      </w:r>
      <w:r>
        <w:rPr>
          <w:rFonts w:hint="eastAsia" w:ascii="仿宋" w:hAnsi="仿宋" w:eastAsia="仿宋"/>
          <w:color w:val="auto"/>
          <w:sz w:val="32"/>
          <w:szCs w:val="32"/>
          <w:highlight w:val="none"/>
        </w:rPr>
        <w:t>；政府性基金预算财政拨款收入3168.37万元，占</w:t>
      </w:r>
      <w:r>
        <w:rPr>
          <w:rFonts w:hint="eastAsia" w:ascii="仿宋" w:hAnsi="仿宋" w:eastAsia="仿宋"/>
          <w:color w:val="auto"/>
          <w:sz w:val="32"/>
          <w:szCs w:val="32"/>
          <w:highlight w:val="none"/>
          <w:lang w:val="en-US" w:eastAsia="zh-CN"/>
        </w:rPr>
        <w:t>69.48</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outlineLvl w:val="9"/>
        <w:rPr>
          <w:rFonts w:ascii="仿宋_GB2312" w:eastAsia="仿宋_GB2312"/>
          <w:color w:val="auto"/>
          <w:sz w:val="32"/>
          <w:szCs w:val="32"/>
          <w:highlight w:val="none"/>
        </w:rPr>
      </w:pPr>
      <w:r>
        <w:drawing>
          <wp:anchor distT="0" distB="0" distL="114300" distR="114300" simplePos="0" relativeHeight="251659264" behindDoc="0" locked="0" layoutInCell="1" allowOverlap="1">
            <wp:simplePos x="0" y="0"/>
            <wp:positionH relativeFrom="column">
              <wp:posOffset>738505</wp:posOffset>
            </wp:positionH>
            <wp:positionV relativeFrom="paragraph">
              <wp:posOffset>157480</wp:posOffset>
            </wp:positionV>
            <wp:extent cx="3839845" cy="1624330"/>
            <wp:effectExtent l="4445" t="5080" r="22860" b="8890"/>
            <wp:wrapTopAndBottom/>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eastAsia" w:ascii="仿宋" w:hAnsi="仿宋" w:eastAsia="仿宋"/>
          <w:color w:val="auto"/>
          <w:sz w:val="32"/>
          <w:szCs w:val="32"/>
          <w:highlight w:val="none"/>
        </w:rPr>
        <w:t>图2：收入决算结构图</w:t>
      </w:r>
    </w:p>
    <w:p>
      <w:pPr>
        <w:pStyle w:val="28"/>
        <w:pageBreakBefore w:val="0"/>
        <w:numPr>
          <w:ilvl w:val="0"/>
          <w:numId w:val="2"/>
        </w:numPr>
        <w:kinsoku/>
        <w:wordWrap/>
        <w:topLinePunct w:val="0"/>
        <w:bidi w:val="0"/>
        <w:spacing w:line="576" w:lineRule="exact"/>
        <w:ind w:firstLineChars="0"/>
        <w:outlineLvl w:val="1"/>
        <w:rPr>
          <w:rStyle w:val="30"/>
          <w:rFonts w:ascii="黑体" w:hAnsi="黑体" w:eastAsia="黑体"/>
          <w:b w:val="0"/>
          <w:color w:val="auto"/>
          <w:highlight w:val="none"/>
        </w:rPr>
      </w:pPr>
      <w:bookmarkStart w:id="40" w:name="_Toc15377207"/>
      <w:bookmarkStart w:id="41" w:name="_Toc31939"/>
      <w:bookmarkStart w:id="42" w:name="_Toc2181"/>
      <w:bookmarkStart w:id="43" w:name="_Toc15396605"/>
      <w:bookmarkStart w:id="44" w:name="_Toc12647"/>
      <w:r>
        <w:rPr>
          <w:rFonts w:hint="eastAsia" w:ascii="黑体" w:hAnsi="黑体" w:eastAsia="黑体"/>
          <w:color w:val="auto"/>
          <w:sz w:val="32"/>
          <w:szCs w:val="32"/>
          <w:highlight w:val="none"/>
        </w:rPr>
        <w:t>支</w:t>
      </w:r>
      <w:r>
        <w:rPr>
          <w:rStyle w:val="30"/>
          <w:rFonts w:hint="eastAsia" w:ascii="黑体" w:hAnsi="黑体" w:eastAsia="黑体"/>
          <w:b w:val="0"/>
          <w:color w:val="auto"/>
          <w:highlight w:val="none"/>
        </w:rPr>
        <w:t>出决算情况说明</w:t>
      </w:r>
      <w:bookmarkEnd w:id="40"/>
      <w:bookmarkEnd w:id="41"/>
      <w:bookmarkEnd w:id="42"/>
      <w:bookmarkEnd w:id="43"/>
      <w:bookmarkEnd w:id="44"/>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年本年支出合计3990.12万元，其中：基本支出</w:t>
      </w:r>
    </w:p>
    <w:p>
      <w:pPr>
        <w:keepNext w:val="0"/>
        <w:keepLines w:val="0"/>
        <w:pageBreakBefore w:val="0"/>
        <w:widowControl w:val="0"/>
        <w:kinsoku/>
        <w:wordWrap/>
        <w:overflowPunct/>
        <w:topLinePunct w:val="0"/>
        <w:autoSpaceDE/>
        <w:autoSpaceDN/>
        <w:bidi w:val="0"/>
        <w:adjustRightInd/>
        <w:snapToGrid/>
        <w:spacing w:line="576" w:lineRule="exact"/>
        <w:textAlignment w:val="auto"/>
        <w:outlineLvl w:val="9"/>
        <w:rPr>
          <w:rFonts w:ascii="仿宋" w:hAnsi="仿宋" w:eastAsia="仿宋"/>
          <w:color w:val="auto"/>
          <w:sz w:val="32"/>
          <w:szCs w:val="32"/>
          <w:highlight w:val="none"/>
          <w:shd w:val="pct10" w:color="auto" w:fill="FFFFFF"/>
        </w:rPr>
      </w:pPr>
      <w:r>
        <w:drawing>
          <wp:anchor distT="0" distB="0" distL="114300" distR="114300" simplePos="0" relativeHeight="251660288" behindDoc="0" locked="0" layoutInCell="1" allowOverlap="1">
            <wp:simplePos x="0" y="0"/>
            <wp:positionH relativeFrom="column">
              <wp:posOffset>635635</wp:posOffset>
            </wp:positionH>
            <wp:positionV relativeFrom="paragraph">
              <wp:posOffset>448945</wp:posOffset>
            </wp:positionV>
            <wp:extent cx="4013200" cy="1650365"/>
            <wp:effectExtent l="4445" t="4445" r="5715" b="7620"/>
            <wp:wrapTopAndBottom/>
            <wp:docPr id="1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hint="eastAsia" w:ascii="仿宋" w:hAnsi="仿宋" w:eastAsia="仿宋"/>
          <w:color w:val="auto"/>
          <w:sz w:val="32"/>
          <w:szCs w:val="32"/>
          <w:highlight w:val="none"/>
        </w:rPr>
        <w:t>392.48万元，占</w:t>
      </w:r>
      <w:r>
        <w:rPr>
          <w:rFonts w:hint="eastAsia" w:ascii="仿宋" w:hAnsi="仿宋" w:eastAsia="仿宋"/>
          <w:color w:val="auto"/>
          <w:sz w:val="32"/>
          <w:szCs w:val="32"/>
          <w:highlight w:val="none"/>
          <w:lang w:val="en-US" w:eastAsia="zh-CN"/>
        </w:rPr>
        <w:t>9.84</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；项目支出3597.63万元，占</w:t>
      </w:r>
      <w:r>
        <w:rPr>
          <w:rFonts w:hint="eastAsia" w:ascii="仿宋" w:hAnsi="仿宋" w:eastAsia="仿宋"/>
          <w:color w:val="auto"/>
          <w:sz w:val="32"/>
          <w:szCs w:val="32"/>
          <w:highlight w:val="none"/>
          <w:lang w:val="en-US" w:eastAsia="zh-CN"/>
        </w:rPr>
        <w:t>90.16</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p>
    <w:p>
      <w:pPr>
        <w:pageBreakBefore w:val="0"/>
        <w:kinsoku/>
        <w:wordWrap/>
        <w:topLinePunct w:val="0"/>
        <w:bidi w:val="0"/>
        <w:spacing w:line="576" w:lineRule="exact"/>
        <w:jc w:val="center"/>
        <w:rPr>
          <w:rFonts w:ascii="仿宋_GB2312" w:eastAsia="仿宋_GB2312"/>
          <w:color w:val="auto"/>
          <w:sz w:val="32"/>
          <w:szCs w:val="32"/>
          <w:highlight w:val="none"/>
        </w:rPr>
      </w:pPr>
      <w:r>
        <w:rPr>
          <w:rFonts w:hint="eastAsia" w:ascii="仿宋" w:hAnsi="仿宋" w:eastAsia="仿宋"/>
          <w:color w:val="auto"/>
          <w:sz w:val="32"/>
          <w:szCs w:val="32"/>
          <w:highlight w:val="none"/>
        </w:rPr>
        <w:t>图3：支出决算结构图</w:t>
      </w:r>
    </w:p>
    <w:p>
      <w:pPr>
        <w:pageBreakBefore w:val="0"/>
        <w:kinsoku/>
        <w:wordWrap/>
        <w:topLinePunct w:val="0"/>
        <w:bidi w:val="0"/>
        <w:spacing w:line="576" w:lineRule="exact"/>
        <w:ind w:firstLine="640" w:firstLineChars="200"/>
        <w:outlineLvl w:val="1"/>
        <w:rPr>
          <w:rStyle w:val="30"/>
          <w:rFonts w:ascii="黑体" w:hAnsi="黑体" w:eastAsia="黑体"/>
          <w:b w:val="0"/>
          <w:color w:val="auto"/>
          <w:highlight w:val="none"/>
        </w:rPr>
      </w:pPr>
      <w:bookmarkStart w:id="45" w:name="_Toc22891"/>
      <w:bookmarkStart w:id="46" w:name="_Toc24333"/>
      <w:bookmarkStart w:id="47" w:name="_Toc15377208"/>
      <w:bookmarkStart w:id="48" w:name="_Toc15396606"/>
      <w:bookmarkStart w:id="49" w:name="_Toc21623"/>
      <w:r>
        <w:rPr>
          <w:rFonts w:hint="eastAsia" w:ascii="黑体" w:hAnsi="黑体" w:eastAsia="黑体"/>
          <w:color w:val="auto"/>
          <w:sz w:val="32"/>
          <w:szCs w:val="32"/>
          <w:highlight w:val="none"/>
        </w:rPr>
        <w:t>四、财</w:t>
      </w:r>
      <w:r>
        <w:rPr>
          <w:rStyle w:val="30"/>
          <w:rFonts w:hint="eastAsia" w:ascii="黑体" w:hAnsi="黑体" w:eastAsia="黑体"/>
          <w:b w:val="0"/>
          <w:color w:val="auto"/>
          <w:highlight w:val="none"/>
        </w:rPr>
        <w:t>政拨款收入支出决算总体情况说明</w:t>
      </w:r>
      <w:bookmarkEnd w:id="45"/>
      <w:bookmarkEnd w:id="46"/>
      <w:bookmarkEnd w:id="47"/>
      <w:bookmarkEnd w:id="48"/>
      <w:bookmarkEnd w:id="49"/>
    </w:p>
    <w:p>
      <w:pPr>
        <w:pageBreakBefore w:val="0"/>
        <w:kinsoku/>
        <w:wordWrap/>
        <w:topLinePunct w:val="0"/>
        <w:bidi w:val="0"/>
        <w:spacing w:line="576"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年财政拨款收、支总计4560</w:t>
      </w:r>
      <w:r>
        <w:rPr>
          <w:rFonts w:hint="eastAsia" w:ascii="仿宋" w:hAnsi="仿宋" w:eastAsia="仿宋"/>
          <w:color w:val="auto"/>
          <w:sz w:val="32"/>
          <w:szCs w:val="32"/>
          <w:highlight w:val="none"/>
          <w:lang w:val="en-US" w:eastAsia="zh-CN"/>
        </w:rPr>
        <w:t>.</w:t>
      </w:r>
      <w:r>
        <w:rPr>
          <w:rFonts w:hint="eastAsia" w:ascii="仿宋" w:hAnsi="仿宋" w:eastAsia="仿宋"/>
          <w:color w:val="auto"/>
          <w:sz w:val="32"/>
          <w:szCs w:val="32"/>
          <w:highlight w:val="none"/>
        </w:rPr>
        <w:t>0</w:t>
      </w:r>
      <w:r>
        <w:rPr>
          <w:rFonts w:hint="eastAsia" w:ascii="仿宋" w:hAnsi="仿宋" w:eastAsia="仿宋"/>
          <w:color w:val="auto"/>
          <w:sz w:val="32"/>
          <w:szCs w:val="32"/>
          <w:highlight w:val="none"/>
          <w:lang w:val="en-US" w:eastAsia="zh-CN"/>
        </w:rPr>
        <w:t>6</w:t>
      </w:r>
      <w:r>
        <w:rPr>
          <w:rFonts w:hint="eastAsia" w:ascii="仿宋" w:hAnsi="仿宋" w:eastAsia="仿宋"/>
          <w:color w:val="auto"/>
          <w:sz w:val="32"/>
          <w:szCs w:val="32"/>
          <w:highlight w:val="none"/>
        </w:rPr>
        <w:t>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年相比，财政拨款收、支总计各增加2162.5万元，增长</w:t>
      </w:r>
      <w:r>
        <w:rPr>
          <w:rFonts w:hint="eastAsia" w:ascii="仿宋" w:hAnsi="仿宋" w:eastAsia="仿宋"/>
          <w:color w:val="auto"/>
          <w:sz w:val="32"/>
          <w:szCs w:val="32"/>
          <w:highlight w:val="none"/>
          <w:lang w:val="en-US" w:eastAsia="zh-CN"/>
        </w:rPr>
        <w:t>90.2</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w:t>
      </w:r>
      <w:r>
        <w:rPr>
          <w:rFonts w:hint="eastAsia" w:ascii="仿宋" w:hAnsi="仿宋" w:eastAsia="仿宋"/>
          <w:color w:val="auto"/>
          <w:sz w:val="32"/>
          <w:szCs w:val="32"/>
          <w:highlight w:val="none"/>
          <w:lang w:eastAsia="zh-CN"/>
        </w:rPr>
        <w:t>是</w:t>
      </w:r>
      <w:r>
        <w:rPr>
          <w:rFonts w:hint="eastAsia" w:ascii="仿宋" w:hAnsi="仿宋" w:eastAsia="仿宋"/>
          <w:color w:val="000000"/>
          <w:sz w:val="32"/>
          <w:szCs w:val="32"/>
          <w:lang w:eastAsia="zh-CN"/>
        </w:rPr>
        <w:t>增加引进企业广元建工工业化和智同环保项目配套基础设施建设资金支出</w:t>
      </w:r>
      <w:r>
        <w:rPr>
          <w:rFonts w:hint="eastAsia" w:ascii="仿宋" w:hAnsi="仿宋" w:eastAsia="仿宋"/>
          <w:color w:val="000000"/>
          <w:sz w:val="32"/>
          <w:szCs w:val="32"/>
          <w:lang w:val="en-US" w:eastAsia="zh-CN"/>
        </w:rPr>
        <w:t>。</w:t>
      </w:r>
    </w:p>
    <w:p>
      <w:pPr>
        <w:pageBreakBefore w:val="0"/>
        <w:kinsoku/>
        <w:wordWrap/>
        <w:topLinePunct w:val="0"/>
        <w:bidi w:val="0"/>
        <w:spacing w:line="576" w:lineRule="exact"/>
        <w:jc w:val="center"/>
        <w:rPr>
          <w:rFonts w:ascii="仿宋" w:hAnsi="仿宋" w:eastAsia="仿宋"/>
          <w:b/>
          <w:color w:val="auto"/>
          <w:sz w:val="32"/>
          <w:szCs w:val="32"/>
          <w:highlight w:val="none"/>
        </w:rPr>
      </w:pPr>
      <w:r>
        <w:drawing>
          <wp:anchor distT="0" distB="0" distL="114300" distR="114300" simplePos="0" relativeHeight="251661312" behindDoc="0" locked="0" layoutInCell="1" allowOverlap="1">
            <wp:simplePos x="0" y="0"/>
            <wp:positionH relativeFrom="column">
              <wp:posOffset>549910</wp:posOffset>
            </wp:positionH>
            <wp:positionV relativeFrom="paragraph">
              <wp:posOffset>180975</wp:posOffset>
            </wp:positionV>
            <wp:extent cx="4079240" cy="1383665"/>
            <wp:effectExtent l="4445" t="4445" r="12065" b="21590"/>
            <wp:wrapTopAndBottom/>
            <wp:docPr id="4"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hint="eastAsia" w:ascii="仿宋" w:hAnsi="仿宋" w:eastAsia="仿宋"/>
          <w:color w:val="auto"/>
          <w:sz w:val="32"/>
          <w:szCs w:val="32"/>
          <w:highlight w:val="none"/>
        </w:rPr>
        <w:t>图4：财政拨款收、支决算总计变动情况</w:t>
      </w:r>
    </w:p>
    <w:p>
      <w:pPr>
        <w:pageBreakBefore w:val="0"/>
        <w:kinsoku/>
        <w:wordWrap/>
        <w:topLinePunct w:val="0"/>
        <w:bidi w:val="0"/>
        <w:spacing w:line="576" w:lineRule="exact"/>
        <w:ind w:firstLine="640" w:firstLineChars="200"/>
        <w:outlineLvl w:val="1"/>
        <w:rPr>
          <w:rStyle w:val="30"/>
          <w:rFonts w:ascii="黑体" w:hAnsi="黑体" w:eastAsia="黑体"/>
          <w:b w:val="0"/>
          <w:color w:val="auto"/>
          <w:highlight w:val="none"/>
        </w:rPr>
      </w:pPr>
      <w:bookmarkStart w:id="50" w:name="_Toc15377209"/>
      <w:bookmarkStart w:id="51" w:name="_Toc18027"/>
      <w:bookmarkStart w:id="52" w:name="_Toc8765"/>
      <w:bookmarkStart w:id="53" w:name="_Toc15396607"/>
      <w:bookmarkStart w:id="54" w:name="_Toc26659"/>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30"/>
          <w:rFonts w:hint="eastAsia" w:ascii="黑体" w:hAnsi="黑体" w:eastAsia="黑体"/>
          <w:b w:val="0"/>
          <w:color w:val="auto"/>
          <w:highlight w:val="none"/>
        </w:rPr>
        <w:t>般公共预算财政拨款支出决算情况说明</w:t>
      </w:r>
      <w:bookmarkEnd w:id="50"/>
      <w:bookmarkEnd w:id="51"/>
      <w:bookmarkEnd w:id="52"/>
      <w:bookmarkEnd w:id="53"/>
      <w:bookmarkEnd w:id="54"/>
    </w:p>
    <w:p>
      <w:pPr>
        <w:pageBreakBefore w:val="0"/>
        <w:kinsoku/>
        <w:wordWrap/>
        <w:topLinePunct w:val="0"/>
        <w:bidi w:val="0"/>
        <w:spacing w:line="576" w:lineRule="exact"/>
        <w:ind w:firstLine="643" w:firstLineChars="200"/>
        <w:outlineLvl w:val="2"/>
        <w:rPr>
          <w:rFonts w:ascii="仿宋" w:hAnsi="仿宋" w:eastAsia="仿宋"/>
          <w:b/>
          <w:color w:val="auto"/>
          <w:sz w:val="32"/>
          <w:szCs w:val="32"/>
          <w:highlight w:val="none"/>
        </w:rPr>
      </w:pPr>
      <w:bookmarkStart w:id="55" w:name="_Toc15377210"/>
      <w:r>
        <w:rPr>
          <w:rFonts w:hint="eastAsia" w:ascii="仿宋" w:hAnsi="仿宋" w:eastAsia="仿宋"/>
          <w:b/>
          <w:color w:val="auto"/>
          <w:sz w:val="32"/>
          <w:szCs w:val="32"/>
          <w:highlight w:val="none"/>
        </w:rPr>
        <w:t>（一）一般公共预算财政拨款支出决算总体情况</w:t>
      </w:r>
      <w:bookmarkEnd w:id="55"/>
    </w:p>
    <w:p>
      <w:pPr>
        <w:pageBreakBefore w:val="0"/>
        <w:kinsoku/>
        <w:wordWrap/>
        <w:topLinePunct w:val="0"/>
        <w:bidi w:val="0"/>
        <w:spacing w:line="576" w:lineRule="exact"/>
        <w:ind w:firstLine="640" w:firstLineChars="20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年一般公共预算财政拨款支出889.45万元，占本年支出合计的</w:t>
      </w:r>
      <w:r>
        <w:rPr>
          <w:rFonts w:hint="eastAsia" w:ascii="仿宋" w:hAnsi="仿宋" w:eastAsia="仿宋"/>
          <w:color w:val="auto"/>
          <w:sz w:val="32"/>
          <w:szCs w:val="32"/>
          <w:highlight w:val="none"/>
          <w:lang w:val="en-US" w:eastAsia="zh-CN"/>
        </w:rPr>
        <w:t>22.29</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减少</w:t>
      </w:r>
      <w:r>
        <w:rPr>
          <w:rFonts w:hint="eastAsia" w:ascii="仿宋" w:hAnsi="仿宋" w:eastAsia="仿宋"/>
          <w:color w:val="000000"/>
          <w:sz w:val="32"/>
          <w:szCs w:val="32"/>
          <w:lang w:val="en-US" w:eastAsia="zh-CN"/>
        </w:rPr>
        <w:t>1342.11</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60.14</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drawing>
          <wp:anchor distT="0" distB="0" distL="114300" distR="114300" simplePos="0" relativeHeight="251662336" behindDoc="0" locked="0" layoutInCell="1" allowOverlap="1">
            <wp:simplePos x="0" y="0"/>
            <wp:positionH relativeFrom="column">
              <wp:posOffset>227965</wp:posOffset>
            </wp:positionH>
            <wp:positionV relativeFrom="paragraph">
              <wp:posOffset>527685</wp:posOffset>
            </wp:positionV>
            <wp:extent cx="4755515" cy="1743710"/>
            <wp:effectExtent l="4445" t="4445" r="21590" b="23495"/>
            <wp:wrapTopAndBottom/>
            <wp:docPr id="1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hint="eastAsia" w:ascii="仿宋" w:hAnsi="仿宋" w:eastAsia="仿宋"/>
          <w:color w:val="auto"/>
          <w:sz w:val="32"/>
          <w:szCs w:val="32"/>
          <w:highlight w:val="none"/>
          <w:lang w:val="en-US" w:eastAsia="zh-CN"/>
        </w:rPr>
        <w:t>2020年有</w:t>
      </w:r>
      <w:r>
        <w:rPr>
          <w:rFonts w:hint="eastAsia" w:ascii="仿宋" w:hAnsi="仿宋" w:eastAsia="仿宋"/>
          <w:color w:val="000000"/>
          <w:sz w:val="32"/>
          <w:szCs w:val="32"/>
          <w:lang w:eastAsia="zh-CN"/>
        </w:rPr>
        <w:t>中央应急物资保障体系建设资金支出。</w:t>
      </w:r>
    </w:p>
    <w:p>
      <w:pPr>
        <w:pageBreakBefore w:val="0"/>
        <w:kinsoku/>
        <w:wordWrap/>
        <w:topLinePunct w:val="0"/>
        <w:bidi w:val="0"/>
        <w:spacing w:line="576" w:lineRule="exact"/>
        <w:jc w:val="center"/>
        <w:rPr>
          <w:rFonts w:ascii="仿宋" w:hAnsi="仿宋" w:eastAsia="仿宋"/>
          <w:color w:val="auto"/>
          <w:sz w:val="32"/>
          <w:szCs w:val="32"/>
          <w:highlight w:val="none"/>
        </w:rPr>
      </w:pPr>
      <w:r>
        <w:rPr>
          <w:rFonts w:hint="eastAsia" w:ascii="仿宋" w:hAnsi="仿宋" w:eastAsia="仿宋"/>
          <w:color w:val="auto"/>
          <w:sz w:val="32"/>
          <w:szCs w:val="32"/>
          <w:highlight w:val="none"/>
        </w:rPr>
        <w:t>图5：一般公共预算财政拨款支出决算变动情况</w:t>
      </w:r>
    </w:p>
    <w:p>
      <w:pPr>
        <w:pageBreakBefore w:val="0"/>
        <w:kinsoku/>
        <w:wordWrap/>
        <w:topLinePunct w:val="0"/>
        <w:bidi w:val="0"/>
        <w:spacing w:line="576" w:lineRule="exact"/>
        <w:ind w:firstLine="643" w:firstLineChars="200"/>
        <w:outlineLvl w:val="2"/>
        <w:rPr>
          <w:rFonts w:ascii="仿宋" w:hAnsi="仿宋" w:eastAsia="仿宋"/>
          <w:b/>
          <w:color w:val="auto"/>
          <w:sz w:val="32"/>
          <w:szCs w:val="32"/>
          <w:highlight w:val="none"/>
        </w:rPr>
      </w:pPr>
      <w:bookmarkStart w:id="56" w:name="_Toc15377211"/>
      <w:r>
        <w:rPr>
          <w:rFonts w:hint="eastAsia" w:ascii="仿宋" w:hAnsi="仿宋" w:eastAsia="仿宋"/>
          <w:b/>
          <w:color w:val="auto"/>
          <w:sz w:val="32"/>
          <w:szCs w:val="32"/>
          <w:highlight w:val="none"/>
        </w:rPr>
        <w:t>（二）一般公共预算财政拨款支出决算结构情况</w:t>
      </w:r>
      <w:bookmarkEnd w:id="56"/>
    </w:p>
    <w:p>
      <w:pPr>
        <w:pageBreakBefore w:val="0"/>
        <w:kinsoku/>
        <w:wordWrap/>
        <w:topLinePunct w:val="0"/>
        <w:bidi w:val="0"/>
        <w:spacing w:line="576"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889.45</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rPr>
        <w:t>一般公共服务（类）</w:t>
      </w:r>
      <w:r>
        <w:rPr>
          <w:rFonts w:hint="eastAsia" w:ascii="仿宋" w:hAnsi="仿宋" w:eastAsia="仿宋"/>
          <w:color w:val="auto"/>
          <w:sz w:val="32"/>
          <w:szCs w:val="32"/>
          <w:highlight w:val="none"/>
        </w:rPr>
        <w:t>支出343.55万元，占</w:t>
      </w:r>
      <w:r>
        <w:rPr>
          <w:rFonts w:hint="eastAsia" w:ascii="仿宋" w:hAnsi="仿宋" w:eastAsia="仿宋"/>
          <w:color w:val="auto"/>
          <w:sz w:val="32"/>
          <w:szCs w:val="32"/>
          <w:highlight w:val="none"/>
          <w:lang w:val="en-US" w:eastAsia="zh-CN"/>
        </w:rPr>
        <w:t>38.62</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科学技术（类）</w:t>
      </w:r>
      <w:r>
        <w:rPr>
          <w:rFonts w:hint="eastAsia" w:ascii="仿宋" w:hAnsi="仿宋" w:eastAsia="仿宋"/>
          <w:color w:val="auto"/>
          <w:sz w:val="32"/>
          <w:szCs w:val="32"/>
          <w:highlight w:val="none"/>
        </w:rPr>
        <w:t>支出74.2万元，占</w:t>
      </w:r>
      <w:r>
        <w:rPr>
          <w:rFonts w:hint="eastAsia" w:ascii="仿宋" w:hAnsi="仿宋" w:eastAsia="仿宋"/>
          <w:color w:val="auto"/>
          <w:sz w:val="32"/>
          <w:szCs w:val="32"/>
          <w:highlight w:val="none"/>
          <w:lang w:val="en-US" w:eastAsia="zh-CN"/>
        </w:rPr>
        <w:t>8.34</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社会保障和就业（类）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19.8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2.23</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卫生健康支出</w:t>
      </w:r>
      <w:r>
        <w:rPr>
          <w:rFonts w:hint="eastAsia" w:ascii="仿宋" w:hAnsi="仿宋" w:eastAsia="仿宋"/>
          <w:b/>
          <w:color w:val="auto"/>
          <w:sz w:val="32"/>
          <w:szCs w:val="32"/>
          <w:highlight w:val="none"/>
        </w:rPr>
        <w:t>（类）</w:t>
      </w:r>
      <w:r>
        <w:rPr>
          <w:rFonts w:hint="eastAsia" w:ascii="仿宋" w:hAnsi="仿宋" w:eastAsia="仿宋"/>
          <w:color w:val="auto"/>
          <w:sz w:val="32"/>
          <w:szCs w:val="32"/>
          <w:highlight w:val="none"/>
          <w:lang w:val="en-US" w:eastAsia="zh-CN"/>
        </w:rPr>
        <w:t>10.6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1.19</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lang w:eastAsia="zh-CN"/>
        </w:rPr>
        <w:t>农林水支出（类）</w:t>
      </w:r>
      <w:r>
        <w:rPr>
          <w:rFonts w:hint="eastAsia" w:ascii="仿宋" w:hAnsi="仿宋" w:eastAsia="仿宋"/>
          <w:color w:val="auto"/>
          <w:sz w:val="32"/>
          <w:szCs w:val="32"/>
          <w:highlight w:val="none"/>
          <w:lang w:val="en-US" w:eastAsia="zh-CN"/>
        </w:rPr>
        <w:t>122.77万元，占13.8%，</w:t>
      </w:r>
      <w:r>
        <w:rPr>
          <w:rFonts w:hint="eastAsia" w:ascii="仿宋" w:hAnsi="仿宋" w:eastAsia="仿宋"/>
          <w:b/>
          <w:bCs/>
          <w:color w:val="auto"/>
          <w:sz w:val="32"/>
          <w:szCs w:val="32"/>
          <w:highlight w:val="none"/>
          <w:lang w:val="en-US" w:eastAsia="zh-CN"/>
        </w:rPr>
        <w:t>资源勘探工业信息等支出（类）</w:t>
      </w:r>
      <w:r>
        <w:rPr>
          <w:rFonts w:hint="eastAsia" w:ascii="仿宋" w:hAnsi="仿宋" w:eastAsia="仿宋"/>
          <w:color w:val="auto"/>
          <w:sz w:val="32"/>
          <w:szCs w:val="32"/>
          <w:highlight w:val="none"/>
          <w:lang w:val="en-US" w:eastAsia="zh-CN"/>
        </w:rPr>
        <w:t>300万元，占33.73%；</w:t>
      </w:r>
      <w:r>
        <w:rPr>
          <w:rFonts w:hint="eastAsia" w:ascii="仿宋" w:hAnsi="仿宋" w:eastAsia="仿宋"/>
          <w:b/>
          <w:bCs/>
          <w:color w:val="auto"/>
          <w:sz w:val="32"/>
          <w:szCs w:val="32"/>
          <w:highlight w:val="none"/>
        </w:rPr>
        <w:t>住房保障支出</w:t>
      </w:r>
      <w:r>
        <w:rPr>
          <w:rFonts w:hint="eastAsia" w:ascii="仿宋" w:hAnsi="仿宋" w:eastAsia="仿宋"/>
          <w:b/>
          <w:color w:val="auto"/>
          <w:sz w:val="32"/>
          <w:szCs w:val="32"/>
          <w:highlight w:val="none"/>
        </w:rPr>
        <w:t>（类）</w:t>
      </w:r>
      <w:r>
        <w:rPr>
          <w:rFonts w:hint="eastAsia" w:ascii="仿宋" w:hAnsi="仿宋" w:eastAsia="仿宋"/>
          <w:color w:val="auto"/>
          <w:sz w:val="32"/>
          <w:szCs w:val="32"/>
          <w:highlight w:val="none"/>
          <w:lang w:val="en-US" w:eastAsia="zh-CN"/>
        </w:rPr>
        <w:t>18.54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2.08</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pStyle w:val="2"/>
      </w:pPr>
      <w:r>
        <w:drawing>
          <wp:inline distT="0" distB="0" distL="114300" distR="114300">
            <wp:extent cx="5878830" cy="2591435"/>
            <wp:effectExtent l="4445" t="4445" r="12065" b="16510"/>
            <wp:docPr id="3"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pageBreakBefore w:val="0"/>
        <w:kinsoku/>
        <w:wordWrap/>
        <w:topLinePunct w:val="0"/>
        <w:bidi w:val="0"/>
        <w:spacing w:line="576" w:lineRule="exact"/>
        <w:jc w:val="center"/>
        <w:rPr>
          <w:rFonts w:ascii="仿宋" w:hAnsi="仿宋" w:eastAsia="仿宋"/>
          <w:color w:val="auto"/>
          <w:sz w:val="32"/>
          <w:szCs w:val="32"/>
          <w:highlight w:val="none"/>
        </w:rPr>
      </w:pPr>
      <w:r>
        <w:rPr>
          <w:rFonts w:hint="eastAsia" w:ascii="仿宋" w:hAnsi="仿宋" w:eastAsia="仿宋"/>
          <w:color w:val="auto"/>
          <w:sz w:val="32"/>
          <w:szCs w:val="32"/>
          <w:highlight w:val="none"/>
        </w:rPr>
        <w:t>图6：一般公共预算财政拨款支出决算结构</w:t>
      </w:r>
    </w:p>
    <w:p>
      <w:pPr>
        <w:pageBreakBefore w:val="0"/>
        <w:kinsoku/>
        <w:wordWrap/>
        <w:topLinePunct w:val="0"/>
        <w:bidi w:val="0"/>
        <w:spacing w:line="576" w:lineRule="exact"/>
        <w:ind w:firstLine="643" w:firstLineChars="200"/>
        <w:outlineLvl w:val="2"/>
        <w:rPr>
          <w:rFonts w:ascii="仿宋" w:hAnsi="仿宋" w:eastAsia="仿宋"/>
          <w:b/>
          <w:color w:val="auto"/>
          <w:sz w:val="32"/>
          <w:szCs w:val="32"/>
          <w:highlight w:val="none"/>
        </w:rPr>
      </w:pPr>
      <w:bookmarkStart w:id="57" w:name="_Toc15377212"/>
      <w:r>
        <w:rPr>
          <w:rFonts w:hint="eastAsia" w:ascii="仿宋" w:hAnsi="仿宋" w:eastAsia="仿宋"/>
          <w:b/>
          <w:color w:val="auto"/>
          <w:sz w:val="32"/>
          <w:szCs w:val="32"/>
          <w:highlight w:val="none"/>
        </w:rPr>
        <w:t>（三）一般公共预算财政拨款支出决算具体情况</w:t>
      </w:r>
      <w:bookmarkEnd w:id="57"/>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outlineLvl w:val="9"/>
        <w:rPr>
          <w:rFonts w:ascii="仿宋" w:hAnsi="仿宋" w:eastAsia="仿宋"/>
          <w:color w:val="auto"/>
          <w:sz w:val="32"/>
          <w:szCs w:val="32"/>
          <w:highlight w:val="none"/>
        </w:rPr>
      </w:pPr>
      <w:bookmarkStart w:id="58" w:name="_Toc15378460"/>
      <w:bookmarkStart w:id="59" w:name="_Toc15377444"/>
      <w:bookmarkStart w:id="60" w:name="_Toc15377213"/>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21</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color w:val="auto"/>
          <w:sz w:val="32"/>
          <w:szCs w:val="32"/>
          <w:highlight w:val="none"/>
          <w:lang w:val="en-US" w:eastAsia="zh-CN"/>
        </w:rPr>
        <w:t>889.45</w:t>
      </w:r>
      <w:r>
        <w:rPr>
          <w:rFonts w:hint="eastAsia" w:ascii="仿宋" w:hAnsi="仿宋" w:eastAsia="仿宋"/>
          <w:color w:val="auto"/>
          <w:sz w:val="32"/>
          <w:szCs w:val="32"/>
          <w:highlight w:val="none"/>
        </w:rPr>
        <w:t>，</w:t>
      </w:r>
      <w:r>
        <w:rPr>
          <w:rStyle w:val="18"/>
          <w:rFonts w:hint="eastAsia" w:ascii="仿宋" w:hAnsi="仿宋" w:eastAsia="仿宋"/>
          <w:bCs/>
          <w:color w:val="auto"/>
          <w:sz w:val="32"/>
          <w:szCs w:val="32"/>
          <w:highlight w:val="none"/>
        </w:rPr>
        <w:t>完成预算</w:t>
      </w:r>
      <w:r>
        <w:rPr>
          <w:rStyle w:val="18"/>
          <w:rFonts w:hint="eastAsia" w:ascii="仿宋" w:hAnsi="仿宋" w:eastAsia="仿宋"/>
          <w:bCs/>
          <w:color w:val="auto"/>
          <w:sz w:val="32"/>
          <w:szCs w:val="32"/>
          <w:highlight w:val="none"/>
          <w:lang w:val="en-US" w:eastAsia="zh-CN"/>
        </w:rPr>
        <w:t>100</w:t>
      </w:r>
      <w:r>
        <w:rPr>
          <w:rStyle w:val="18"/>
          <w:rFonts w:ascii="仿宋" w:hAnsi="仿宋" w:eastAsia="仿宋"/>
          <w:bCs/>
          <w:color w:val="auto"/>
          <w:sz w:val="32"/>
          <w:szCs w:val="32"/>
          <w:highlight w:val="none"/>
        </w:rPr>
        <w:t>%</w:t>
      </w:r>
      <w:r>
        <w:rPr>
          <w:rStyle w:val="18"/>
          <w:rFonts w:hint="eastAsia" w:ascii="仿宋" w:hAnsi="仿宋" w:eastAsia="仿宋"/>
          <w:bCs/>
          <w:color w:val="auto"/>
          <w:sz w:val="32"/>
          <w:szCs w:val="32"/>
          <w:highlight w:val="none"/>
        </w:rPr>
        <w:t>。其中：</w:t>
      </w:r>
      <w:bookmarkEnd w:id="58"/>
      <w:bookmarkEnd w:id="59"/>
      <w:bookmarkEnd w:id="60"/>
    </w:p>
    <w:p>
      <w:pPr>
        <w:pageBreakBefore w:val="0"/>
        <w:numPr>
          <w:ilvl w:val="0"/>
          <w:numId w:val="3"/>
        </w:numPr>
        <w:kinsoku/>
        <w:wordWrap/>
        <w:topLinePunct w:val="0"/>
        <w:bidi w:val="0"/>
        <w:spacing w:line="576" w:lineRule="exact"/>
        <w:ind w:firstLine="643" w:firstLineChars="200"/>
        <w:rPr>
          <w:rStyle w:val="18"/>
          <w:rFonts w:hint="eastAsia" w:ascii="仿宋" w:hAnsi="仿宋" w:eastAsia="仿宋"/>
          <w:b w:val="0"/>
          <w:bCs/>
          <w:color w:val="auto"/>
          <w:sz w:val="32"/>
          <w:szCs w:val="32"/>
          <w:highlight w:val="none"/>
        </w:rPr>
      </w:pPr>
      <w:r>
        <w:rPr>
          <w:rStyle w:val="18"/>
          <w:rFonts w:hint="eastAsia" w:ascii="仿宋" w:hAnsi="仿宋" w:eastAsia="仿宋"/>
          <w:bCs/>
          <w:color w:val="auto"/>
          <w:sz w:val="32"/>
          <w:szCs w:val="32"/>
          <w:highlight w:val="none"/>
        </w:rPr>
        <w:t>一般公共服务（类）</w:t>
      </w:r>
      <w:r>
        <w:rPr>
          <w:rStyle w:val="18"/>
          <w:rFonts w:hint="eastAsia" w:ascii="仿宋" w:hAnsi="仿宋" w:eastAsia="仿宋"/>
          <w:bCs/>
          <w:color w:val="000000"/>
          <w:sz w:val="32"/>
          <w:szCs w:val="32"/>
        </w:rPr>
        <w:t>商贸事务（款）行政运行（项）</w:t>
      </w:r>
      <w:r>
        <w:rPr>
          <w:rStyle w:val="18"/>
          <w:rFonts w:ascii="仿宋" w:hAnsi="仿宋" w:eastAsia="仿宋"/>
          <w:bCs/>
          <w:color w:val="auto"/>
          <w:sz w:val="32"/>
          <w:szCs w:val="32"/>
          <w:highlight w:val="none"/>
        </w:rPr>
        <w:t>:</w:t>
      </w:r>
      <w:r>
        <w:rPr>
          <w:rStyle w:val="18"/>
          <w:rFonts w:ascii="仿宋" w:hAnsi="仿宋" w:eastAsia="仿宋"/>
          <w:b w:val="0"/>
          <w:bCs/>
          <w:color w:val="auto"/>
          <w:sz w:val="32"/>
          <w:szCs w:val="32"/>
          <w:highlight w:val="none"/>
        </w:rPr>
        <w:t xml:space="preserve"> </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297.55</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Fonts w:hint="eastAsia" w:ascii="仿宋" w:hAnsi="仿宋" w:eastAsia="仿宋" w:cs="Times New Roman"/>
          <w:b w:val="0"/>
          <w:bCs w:val="0"/>
          <w:spacing w:val="0"/>
          <w:kern w:val="2"/>
          <w:sz w:val="32"/>
          <w:szCs w:val="24"/>
          <w:lang w:val="en-US" w:eastAsia="zh-CN" w:bidi="ar-SA"/>
        </w:rPr>
        <w:t>，决算数等于预算数</w:t>
      </w:r>
      <w:r>
        <w:rPr>
          <w:rStyle w:val="18"/>
          <w:rFonts w:hint="eastAsia" w:ascii="仿宋" w:hAnsi="仿宋" w:eastAsia="仿宋"/>
          <w:b w:val="0"/>
          <w:bCs/>
          <w:color w:val="auto"/>
          <w:sz w:val="32"/>
          <w:szCs w:val="32"/>
          <w:highlight w:val="none"/>
        </w:rPr>
        <w:t>。</w:t>
      </w:r>
    </w:p>
    <w:p>
      <w:pPr>
        <w:pageBreakBefore w:val="0"/>
        <w:kinsoku/>
        <w:wordWrap/>
        <w:overflowPunct/>
        <w:topLinePunct w:val="0"/>
        <w:bidi w:val="0"/>
        <w:spacing w:line="576" w:lineRule="exact"/>
        <w:ind w:firstLine="643" w:firstLineChars="200"/>
        <w:textAlignment w:val="auto"/>
        <w:rPr>
          <w:rStyle w:val="18"/>
          <w:rFonts w:ascii="仿宋" w:hAnsi="仿宋" w:eastAsia="仿宋"/>
          <w:bCs/>
          <w:color w:val="auto"/>
          <w:sz w:val="32"/>
          <w:szCs w:val="32"/>
          <w:highlight w:val="none"/>
        </w:rPr>
      </w:pPr>
      <w:r>
        <w:rPr>
          <w:rStyle w:val="18"/>
          <w:rFonts w:hint="eastAsia" w:ascii="仿宋" w:hAnsi="仿宋" w:eastAsia="仿宋"/>
          <w:bCs/>
          <w:color w:val="000000"/>
          <w:sz w:val="32"/>
          <w:szCs w:val="32"/>
          <w:lang w:val="en-US" w:eastAsia="zh-CN"/>
        </w:rPr>
        <w:t>2.</w:t>
      </w:r>
      <w:r>
        <w:rPr>
          <w:rStyle w:val="18"/>
          <w:rFonts w:hint="eastAsia" w:ascii="仿宋" w:hAnsi="仿宋" w:eastAsia="仿宋"/>
          <w:bCs/>
          <w:color w:val="000000"/>
          <w:sz w:val="32"/>
          <w:szCs w:val="32"/>
        </w:rPr>
        <w:t>一般公共服务（类）商贸事务（款）</w:t>
      </w:r>
      <w:r>
        <w:rPr>
          <w:rStyle w:val="18"/>
          <w:rFonts w:hint="eastAsia" w:ascii="仿宋" w:hAnsi="仿宋" w:eastAsia="仿宋"/>
          <w:bCs/>
          <w:color w:val="000000"/>
          <w:sz w:val="32"/>
          <w:szCs w:val="32"/>
          <w:lang w:eastAsia="zh-CN"/>
        </w:rPr>
        <w:t>一般行政管理事务</w:t>
      </w:r>
      <w:r>
        <w:rPr>
          <w:rStyle w:val="18"/>
          <w:rFonts w:hint="eastAsia" w:ascii="仿宋" w:hAnsi="仿宋" w:eastAsia="仿宋"/>
          <w:bCs/>
          <w:color w:val="000000"/>
          <w:sz w:val="32"/>
          <w:szCs w:val="32"/>
        </w:rPr>
        <w:t>（项）</w:t>
      </w:r>
      <w:r>
        <w:rPr>
          <w:rStyle w:val="18"/>
          <w:rFonts w:ascii="仿宋" w:hAnsi="仿宋" w:eastAsia="仿宋"/>
          <w:bCs/>
          <w:color w:val="000000"/>
          <w:sz w:val="32"/>
          <w:szCs w:val="32"/>
        </w:rPr>
        <w:t>:</w:t>
      </w:r>
      <w:r>
        <w:rPr>
          <w:rStyle w:val="18"/>
          <w:rFonts w:ascii="仿宋" w:hAnsi="仿宋" w:eastAsia="仿宋"/>
          <w:b w:val="0"/>
          <w:bCs/>
          <w:color w:val="000000"/>
          <w:sz w:val="32"/>
          <w:szCs w:val="32"/>
        </w:rPr>
        <w:t xml:space="preserve"> </w:t>
      </w:r>
      <w:r>
        <w:rPr>
          <w:rStyle w:val="18"/>
          <w:rFonts w:hint="eastAsia" w:ascii="仿宋" w:hAnsi="仿宋" w:eastAsia="仿宋"/>
          <w:b w:val="0"/>
          <w:bCs/>
          <w:color w:val="000000"/>
          <w:sz w:val="32"/>
          <w:szCs w:val="32"/>
        </w:rPr>
        <w:t>支出决算为</w:t>
      </w:r>
      <w:r>
        <w:rPr>
          <w:rStyle w:val="18"/>
          <w:rFonts w:hint="eastAsia" w:ascii="仿宋" w:hAnsi="仿宋" w:eastAsia="仿宋"/>
          <w:b w:val="0"/>
          <w:bCs/>
          <w:color w:val="000000"/>
          <w:sz w:val="32"/>
          <w:szCs w:val="32"/>
          <w:lang w:val="en-US" w:eastAsia="zh-CN"/>
        </w:rPr>
        <w:t>46</w:t>
      </w:r>
      <w:r>
        <w:rPr>
          <w:rStyle w:val="18"/>
          <w:rFonts w:hint="eastAsia" w:ascii="仿宋" w:hAnsi="仿宋" w:eastAsia="仿宋"/>
          <w:b w:val="0"/>
          <w:bCs/>
          <w:color w:val="000000"/>
          <w:sz w:val="32"/>
          <w:szCs w:val="32"/>
        </w:rPr>
        <w:t>万元</w:t>
      </w:r>
      <w:r>
        <w:rPr>
          <w:rFonts w:hint="eastAsia" w:ascii="仿宋" w:hAnsi="仿宋" w:eastAsia="仿宋" w:cs="Times New Roman"/>
          <w:b w:val="0"/>
          <w:bCs w:val="0"/>
          <w:spacing w:val="0"/>
          <w:kern w:val="2"/>
          <w:sz w:val="32"/>
          <w:szCs w:val="24"/>
          <w:lang w:val="en-US" w:eastAsia="zh-CN" w:bidi="ar-SA"/>
        </w:rPr>
        <w:t>，完成预算100%，决算数等于预算数。</w:t>
      </w:r>
    </w:p>
    <w:p>
      <w:pPr>
        <w:pageBreakBefore w:val="0"/>
        <w:kinsoku/>
        <w:wordWrap/>
        <w:topLinePunct w:val="0"/>
        <w:bidi w:val="0"/>
        <w:spacing w:line="576" w:lineRule="exact"/>
        <w:ind w:firstLine="643" w:firstLineChars="200"/>
        <w:rPr>
          <w:rFonts w:ascii="仿宋" w:hAnsi="仿宋" w:eastAsia="仿宋"/>
          <w:b/>
          <w:color w:val="auto"/>
          <w:sz w:val="32"/>
          <w:szCs w:val="32"/>
          <w:highlight w:val="none"/>
        </w:rPr>
      </w:pPr>
      <w:r>
        <w:rPr>
          <w:rStyle w:val="18"/>
          <w:rFonts w:hint="eastAsia" w:ascii="仿宋" w:hAnsi="仿宋" w:eastAsia="仿宋"/>
          <w:bCs/>
          <w:color w:val="auto"/>
          <w:sz w:val="32"/>
          <w:szCs w:val="32"/>
          <w:highlight w:val="none"/>
          <w:lang w:val="en-US" w:eastAsia="zh-CN"/>
        </w:rPr>
        <w:t>3</w:t>
      </w:r>
      <w:r>
        <w:rPr>
          <w:rStyle w:val="18"/>
          <w:rFonts w:ascii="仿宋" w:hAnsi="仿宋" w:eastAsia="仿宋"/>
          <w:bCs/>
          <w:color w:val="auto"/>
          <w:sz w:val="32"/>
          <w:szCs w:val="32"/>
          <w:highlight w:val="none"/>
        </w:rPr>
        <w:t>.</w:t>
      </w:r>
      <w:r>
        <w:rPr>
          <w:rFonts w:hint="eastAsia" w:ascii="仿宋" w:hAnsi="仿宋" w:eastAsia="仿宋"/>
          <w:b/>
          <w:spacing w:val="-3"/>
          <w:sz w:val="32"/>
        </w:rPr>
        <w:t>科学技术</w:t>
      </w:r>
      <w:r>
        <w:rPr>
          <w:rFonts w:hint="eastAsia" w:ascii="仿宋" w:hAnsi="仿宋" w:eastAsia="仿宋"/>
          <w:b/>
          <w:sz w:val="32"/>
        </w:rPr>
        <w:t>（类</w:t>
      </w:r>
      <w:r>
        <w:rPr>
          <w:rFonts w:hint="eastAsia" w:ascii="仿宋" w:hAnsi="仿宋" w:eastAsia="仿宋"/>
          <w:b/>
          <w:spacing w:val="-7"/>
          <w:sz w:val="32"/>
        </w:rPr>
        <w:t>）</w:t>
      </w:r>
      <w:r>
        <w:rPr>
          <w:rFonts w:hint="eastAsia" w:ascii="仿宋" w:hAnsi="仿宋" w:eastAsia="仿宋"/>
          <w:b/>
          <w:spacing w:val="-2"/>
          <w:sz w:val="32"/>
        </w:rPr>
        <w:t>技术研究与开发</w:t>
      </w:r>
      <w:r>
        <w:rPr>
          <w:rFonts w:hint="eastAsia" w:ascii="仿宋" w:hAnsi="仿宋" w:eastAsia="仿宋"/>
          <w:b/>
          <w:sz w:val="32"/>
        </w:rPr>
        <w:t>（款</w:t>
      </w:r>
      <w:r>
        <w:rPr>
          <w:rFonts w:hint="eastAsia" w:ascii="仿宋" w:hAnsi="仿宋" w:eastAsia="仿宋"/>
          <w:b/>
          <w:spacing w:val="-10"/>
          <w:sz w:val="32"/>
        </w:rPr>
        <w:t>）</w:t>
      </w:r>
      <w:r>
        <w:rPr>
          <w:rFonts w:hint="eastAsia" w:ascii="仿宋" w:hAnsi="仿宋" w:eastAsia="仿宋"/>
          <w:b/>
          <w:sz w:val="32"/>
        </w:rPr>
        <w:t>科技成果转化</w:t>
      </w:r>
      <w:r>
        <w:rPr>
          <w:rFonts w:hint="eastAsia" w:ascii="仿宋" w:hAnsi="仿宋" w:eastAsia="仿宋"/>
          <w:b/>
          <w:spacing w:val="5"/>
          <w:sz w:val="32"/>
        </w:rPr>
        <w:t>与扩散（项</w:t>
      </w:r>
      <w:r>
        <w:rPr>
          <w:rFonts w:hint="eastAsia" w:ascii="仿宋" w:hAnsi="仿宋" w:eastAsia="仿宋"/>
          <w:b/>
          <w:spacing w:val="2"/>
          <w:sz w:val="32"/>
        </w:rPr>
        <w:t>）</w:t>
      </w:r>
      <w:r>
        <w:rPr>
          <w:rStyle w:val="18"/>
          <w:rFonts w:ascii="仿宋" w:hAnsi="仿宋" w:eastAsia="仿宋"/>
          <w:bCs/>
          <w:color w:val="auto"/>
          <w:sz w:val="32"/>
          <w:szCs w:val="32"/>
          <w:highlight w:val="none"/>
        </w:rPr>
        <w:t>:</w:t>
      </w:r>
      <w:r>
        <w:rPr>
          <w:rStyle w:val="18"/>
          <w:rFonts w:ascii="仿宋" w:hAnsi="仿宋" w:eastAsia="仿宋"/>
          <w:b w:val="0"/>
          <w:bCs/>
          <w:color w:val="auto"/>
          <w:sz w:val="32"/>
          <w:szCs w:val="32"/>
          <w:highlight w:val="none"/>
        </w:rPr>
        <w:t xml:space="preserve"> </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74.2</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50.88</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，决算数小于预算数的主要原因是2021年市级科技专项资金</w:t>
      </w:r>
      <w:r>
        <w:rPr>
          <w:rStyle w:val="18"/>
          <w:rFonts w:hint="eastAsia" w:ascii="仿宋" w:hAnsi="仿宋" w:eastAsia="仿宋"/>
          <w:b w:val="0"/>
          <w:bCs/>
          <w:color w:val="auto"/>
          <w:sz w:val="32"/>
          <w:szCs w:val="32"/>
          <w:highlight w:val="none"/>
          <w:lang w:val="en-US" w:eastAsia="zh-CN"/>
        </w:rPr>
        <w:t>2021年12月底才下达资金计划</w:t>
      </w:r>
      <w:r>
        <w:rPr>
          <w:rStyle w:val="18"/>
          <w:rFonts w:hint="eastAsia" w:ascii="仿宋" w:hAnsi="仿宋" w:eastAsia="仿宋"/>
          <w:b w:val="0"/>
          <w:bCs/>
          <w:color w:val="auto"/>
          <w:sz w:val="32"/>
          <w:szCs w:val="32"/>
          <w:highlight w:val="none"/>
        </w:rPr>
        <w:t>。</w:t>
      </w:r>
    </w:p>
    <w:p>
      <w:pPr>
        <w:pageBreakBefore w:val="0"/>
        <w:kinsoku/>
        <w:wordWrap/>
        <w:overflowPunct/>
        <w:topLinePunct w:val="0"/>
        <w:bidi w:val="0"/>
        <w:spacing w:line="576" w:lineRule="exact"/>
        <w:ind w:firstLine="643" w:firstLineChars="200"/>
        <w:textAlignment w:val="auto"/>
        <w:rPr>
          <w:rStyle w:val="18"/>
          <w:rFonts w:ascii="仿宋" w:hAnsi="仿宋" w:eastAsia="仿宋"/>
          <w:bCs/>
          <w:color w:val="auto"/>
          <w:sz w:val="32"/>
          <w:szCs w:val="32"/>
          <w:highlight w:val="none"/>
        </w:rPr>
      </w:pPr>
      <w:r>
        <w:rPr>
          <w:rStyle w:val="18"/>
          <w:rFonts w:hint="eastAsia" w:ascii="仿宋" w:hAnsi="仿宋" w:eastAsia="仿宋"/>
          <w:bCs/>
          <w:color w:val="auto"/>
          <w:sz w:val="32"/>
          <w:szCs w:val="32"/>
          <w:highlight w:val="none"/>
          <w:lang w:val="en-US" w:eastAsia="zh-CN"/>
        </w:rPr>
        <w:t>4</w:t>
      </w:r>
      <w:r>
        <w:rPr>
          <w:rStyle w:val="18"/>
          <w:rFonts w:ascii="仿宋" w:hAnsi="仿宋" w:eastAsia="仿宋"/>
          <w:bCs/>
          <w:color w:val="auto"/>
          <w:sz w:val="32"/>
          <w:szCs w:val="32"/>
          <w:highlight w:val="none"/>
        </w:rPr>
        <w:t>.</w:t>
      </w:r>
      <w:r>
        <w:rPr>
          <w:rFonts w:hint="eastAsia" w:ascii="仿宋" w:hAnsi="仿宋" w:eastAsia="仿宋" w:cs="Times New Roman"/>
          <w:b/>
          <w:spacing w:val="-3"/>
          <w:kern w:val="2"/>
          <w:sz w:val="32"/>
          <w:szCs w:val="24"/>
          <w:lang w:val="en-US" w:eastAsia="zh-CN" w:bidi="ar-SA"/>
        </w:rPr>
        <w:t>社会保障和就业（类）行政事业单位离退休（款）机关事业单位基本养老保险缴费支出（项）</w:t>
      </w:r>
      <w:r>
        <w:rPr>
          <w:rStyle w:val="18"/>
          <w:rFonts w:ascii="仿宋" w:hAnsi="仿宋" w:eastAsia="仿宋"/>
          <w:bCs/>
          <w:color w:val="auto"/>
          <w:sz w:val="32"/>
          <w:szCs w:val="32"/>
          <w:highlight w:val="none"/>
        </w:rPr>
        <w:t>:</w:t>
      </w:r>
      <w:r>
        <w:rPr>
          <w:rStyle w:val="18"/>
          <w:rFonts w:ascii="仿宋" w:hAnsi="仿宋" w:eastAsia="仿宋"/>
          <w:b w:val="0"/>
          <w:bCs/>
          <w:color w:val="auto"/>
          <w:sz w:val="32"/>
          <w:szCs w:val="32"/>
          <w:highlight w:val="none"/>
        </w:rPr>
        <w:t xml:space="preserve"> </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18.93</w:t>
      </w:r>
      <w:r>
        <w:rPr>
          <w:rStyle w:val="18"/>
          <w:rFonts w:hint="eastAsia" w:ascii="仿宋" w:hAnsi="仿宋" w:eastAsia="仿宋"/>
          <w:b w:val="0"/>
          <w:bCs/>
          <w:color w:val="auto"/>
          <w:sz w:val="32"/>
          <w:szCs w:val="32"/>
          <w:highlight w:val="none"/>
        </w:rPr>
        <w:t>万元，</w:t>
      </w:r>
      <w:r>
        <w:rPr>
          <w:rFonts w:hint="eastAsia" w:ascii="仿宋" w:hAnsi="仿宋" w:eastAsia="仿宋" w:cs="Times New Roman"/>
          <w:b w:val="0"/>
          <w:bCs w:val="0"/>
          <w:spacing w:val="0"/>
          <w:kern w:val="2"/>
          <w:sz w:val="32"/>
          <w:szCs w:val="24"/>
          <w:lang w:val="en-US" w:eastAsia="zh-CN" w:bidi="ar-SA"/>
        </w:rPr>
        <w:t>完成预算100%，决算数等于预算数。</w:t>
      </w:r>
    </w:p>
    <w:p>
      <w:pPr>
        <w:pageBreakBefore w:val="0"/>
        <w:kinsoku/>
        <w:wordWrap/>
        <w:overflowPunct/>
        <w:topLinePunct w:val="0"/>
        <w:bidi w:val="0"/>
        <w:spacing w:line="576" w:lineRule="exact"/>
        <w:ind w:firstLine="643" w:firstLineChars="200"/>
        <w:textAlignment w:val="auto"/>
        <w:rPr>
          <w:rStyle w:val="18"/>
          <w:rFonts w:ascii="仿宋" w:hAnsi="仿宋" w:eastAsia="仿宋"/>
          <w:bCs/>
          <w:color w:val="auto"/>
          <w:sz w:val="32"/>
          <w:szCs w:val="32"/>
          <w:highlight w:val="none"/>
        </w:rPr>
      </w:pPr>
      <w:r>
        <w:rPr>
          <w:rStyle w:val="18"/>
          <w:rFonts w:hint="eastAsia" w:ascii="仿宋" w:hAnsi="仿宋" w:eastAsia="仿宋"/>
          <w:bCs/>
          <w:color w:val="auto"/>
          <w:sz w:val="32"/>
          <w:szCs w:val="32"/>
          <w:highlight w:val="none"/>
          <w:lang w:val="en-US" w:eastAsia="zh-CN"/>
        </w:rPr>
        <w:t>5</w:t>
      </w:r>
      <w:r>
        <w:rPr>
          <w:rStyle w:val="18"/>
          <w:rFonts w:ascii="仿宋" w:hAnsi="仿宋" w:eastAsia="仿宋"/>
          <w:bCs/>
          <w:color w:val="auto"/>
          <w:sz w:val="32"/>
          <w:szCs w:val="32"/>
          <w:highlight w:val="none"/>
        </w:rPr>
        <w:t>.</w:t>
      </w:r>
      <w:r>
        <w:rPr>
          <w:rFonts w:hint="eastAsia" w:ascii="仿宋" w:hAnsi="仿宋" w:eastAsia="仿宋" w:cs="Times New Roman"/>
          <w:b/>
          <w:spacing w:val="-3"/>
          <w:kern w:val="2"/>
          <w:sz w:val="32"/>
          <w:szCs w:val="24"/>
          <w:lang w:val="en-US" w:eastAsia="zh-CN" w:bidi="ar-SA"/>
        </w:rPr>
        <w:t>社会保障和就业（类）其他社会保障和就业支出（款）其他社会保障和就业支出（项）：</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0.87</w:t>
      </w:r>
      <w:r>
        <w:rPr>
          <w:rStyle w:val="18"/>
          <w:rFonts w:hint="eastAsia" w:ascii="仿宋" w:hAnsi="仿宋" w:eastAsia="仿宋"/>
          <w:b w:val="0"/>
          <w:bCs/>
          <w:color w:val="auto"/>
          <w:sz w:val="32"/>
          <w:szCs w:val="32"/>
          <w:highlight w:val="none"/>
        </w:rPr>
        <w:t>万元，</w:t>
      </w:r>
      <w:r>
        <w:rPr>
          <w:rFonts w:hint="eastAsia" w:ascii="仿宋" w:hAnsi="仿宋" w:eastAsia="仿宋" w:cs="Times New Roman"/>
          <w:b w:val="0"/>
          <w:bCs w:val="0"/>
          <w:spacing w:val="0"/>
          <w:kern w:val="2"/>
          <w:sz w:val="32"/>
          <w:szCs w:val="24"/>
          <w:lang w:val="en-US" w:eastAsia="zh-CN" w:bidi="ar-SA"/>
        </w:rPr>
        <w:t>完成预算100%，决算数等于预算数。</w:t>
      </w:r>
    </w:p>
    <w:p>
      <w:pPr>
        <w:pageBreakBefore w:val="0"/>
        <w:kinsoku/>
        <w:wordWrap/>
        <w:overflowPunct/>
        <w:topLinePunct w:val="0"/>
        <w:bidi w:val="0"/>
        <w:spacing w:line="576" w:lineRule="exact"/>
        <w:ind w:firstLine="643" w:firstLineChars="200"/>
        <w:textAlignment w:val="auto"/>
        <w:rPr>
          <w:rStyle w:val="18"/>
          <w:rFonts w:ascii="仿宋" w:hAnsi="仿宋" w:eastAsia="仿宋"/>
          <w:bCs/>
          <w:color w:val="auto"/>
          <w:sz w:val="32"/>
          <w:szCs w:val="32"/>
          <w:highlight w:val="none"/>
        </w:rPr>
      </w:pPr>
      <w:r>
        <w:rPr>
          <w:rStyle w:val="18"/>
          <w:rFonts w:hint="eastAsia" w:ascii="仿宋" w:hAnsi="仿宋" w:eastAsia="仿宋"/>
          <w:bCs/>
          <w:color w:val="auto"/>
          <w:sz w:val="32"/>
          <w:szCs w:val="32"/>
          <w:highlight w:val="none"/>
          <w:lang w:val="en-US" w:eastAsia="zh-CN"/>
        </w:rPr>
        <w:t>6</w:t>
      </w:r>
      <w:r>
        <w:rPr>
          <w:rStyle w:val="18"/>
          <w:rFonts w:ascii="仿宋" w:hAnsi="仿宋" w:eastAsia="仿宋"/>
          <w:bCs/>
          <w:color w:val="auto"/>
          <w:sz w:val="32"/>
          <w:szCs w:val="32"/>
          <w:highlight w:val="none"/>
        </w:rPr>
        <w:t>.</w:t>
      </w:r>
      <w:r>
        <w:rPr>
          <w:rFonts w:hint="eastAsia" w:ascii="仿宋" w:hAnsi="仿宋" w:eastAsia="仿宋" w:cs="Times New Roman"/>
          <w:b/>
          <w:spacing w:val="-3"/>
          <w:kern w:val="2"/>
          <w:sz w:val="32"/>
          <w:szCs w:val="24"/>
          <w:lang w:val="en-US" w:eastAsia="zh-CN" w:bidi="ar-SA"/>
        </w:rPr>
        <w:t>卫生健康（类）行政事业单位医疗（款）行政单位医疗（项）</w:t>
      </w:r>
      <w:r>
        <w:rPr>
          <w:rStyle w:val="18"/>
          <w:rFonts w:ascii="仿宋" w:hAnsi="仿宋" w:eastAsia="仿宋"/>
          <w:bCs/>
          <w:color w:val="auto"/>
          <w:sz w:val="32"/>
          <w:szCs w:val="32"/>
          <w:highlight w:val="none"/>
        </w:rPr>
        <w:t>:</w:t>
      </w:r>
      <w:r>
        <w:rPr>
          <w:rStyle w:val="18"/>
          <w:rFonts w:ascii="仿宋" w:hAnsi="仿宋" w:eastAsia="仿宋"/>
          <w:b w:val="0"/>
          <w:bCs/>
          <w:color w:val="auto"/>
          <w:sz w:val="32"/>
          <w:szCs w:val="32"/>
          <w:highlight w:val="none"/>
        </w:rPr>
        <w:t xml:space="preserve"> </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6.53</w:t>
      </w:r>
      <w:r>
        <w:rPr>
          <w:rStyle w:val="18"/>
          <w:rFonts w:hint="eastAsia" w:ascii="仿宋" w:hAnsi="仿宋" w:eastAsia="仿宋"/>
          <w:b w:val="0"/>
          <w:bCs/>
          <w:color w:val="auto"/>
          <w:sz w:val="32"/>
          <w:szCs w:val="32"/>
          <w:highlight w:val="none"/>
        </w:rPr>
        <w:t>万元，</w:t>
      </w:r>
      <w:r>
        <w:rPr>
          <w:rFonts w:hint="eastAsia" w:ascii="仿宋" w:hAnsi="仿宋" w:eastAsia="仿宋" w:cs="Times New Roman"/>
          <w:b w:val="0"/>
          <w:bCs w:val="0"/>
          <w:spacing w:val="0"/>
          <w:kern w:val="2"/>
          <w:sz w:val="32"/>
          <w:szCs w:val="24"/>
          <w:lang w:val="en-US" w:eastAsia="zh-CN" w:bidi="ar-SA"/>
        </w:rPr>
        <w:t>完成预算100%，决算数等于预算数。</w:t>
      </w:r>
    </w:p>
    <w:p>
      <w:pPr>
        <w:pageBreakBefore w:val="0"/>
        <w:kinsoku/>
        <w:wordWrap/>
        <w:overflowPunct/>
        <w:topLinePunct w:val="0"/>
        <w:bidi w:val="0"/>
        <w:spacing w:line="576" w:lineRule="exact"/>
        <w:ind w:firstLine="643" w:firstLineChars="200"/>
        <w:textAlignment w:val="auto"/>
        <w:rPr>
          <w:rStyle w:val="18"/>
          <w:rFonts w:hint="eastAsia" w:ascii="仿宋" w:hAnsi="仿宋" w:eastAsia="仿宋"/>
          <w:b w:val="0"/>
          <w:bCs/>
          <w:color w:val="auto"/>
          <w:sz w:val="32"/>
          <w:szCs w:val="32"/>
          <w:highlight w:val="none"/>
        </w:rPr>
      </w:pPr>
      <w:r>
        <w:rPr>
          <w:rStyle w:val="18"/>
          <w:rFonts w:hint="eastAsia" w:ascii="仿宋" w:hAnsi="仿宋" w:eastAsia="仿宋"/>
          <w:bCs/>
          <w:color w:val="auto"/>
          <w:sz w:val="32"/>
          <w:szCs w:val="32"/>
          <w:highlight w:val="none"/>
          <w:lang w:val="en-US" w:eastAsia="zh-CN"/>
        </w:rPr>
        <w:t>7</w:t>
      </w:r>
      <w:r>
        <w:rPr>
          <w:rStyle w:val="18"/>
          <w:rFonts w:ascii="仿宋" w:hAnsi="仿宋" w:eastAsia="仿宋"/>
          <w:bCs/>
          <w:color w:val="auto"/>
          <w:sz w:val="32"/>
          <w:szCs w:val="32"/>
          <w:highlight w:val="none"/>
        </w:rPr>
        <w:t>.</w:t>
      </w:r>
      <w:r>
        <w:rPr>
          <w:rFonts w:hint="eastAsia" w:ascii="仿宋" w:hAnsi="仿宋" w:eastAsia="仿宋" w:cs="Times New Roman"/>
          <w:b/>
          <w:spacing w:val="-3"/>
          <w:kern w:val="2"/>
          <w:sz w:val="32"/>
          <w:szCs w:val="24"/>
          <w:lang w:val="en-US" w:eastAsia="zh-CN" w:bidi="ar-SA"/>
        </w:rPr>
        <w:t>卫生健康（类）行政事业单位医疗（款）事业单位医疗（项）</w:t>
      </w:r>
      <w:r>
        <w:rPr>
          <w:rStyle w:val="18"/>
          <w:rFonts w:ascii="仿宋" w:hAnsi="仿宋" w:eastAsia="仿宋"/>
          <w:bCs/>
          <w:color w:val="auto"/>
          <w:sz w:val="32"/>
          <w:szCs w:val="32"/>
          <w:highlight w:val="none"/>
        </w:rPr>
        <w:t>:</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4.07</w:t>
      </w:r>
      <w:r>
        <w:rPr>
          <w:rStyle w:val="18"/>
          <w:rFonts w:hint="eastAsia" w:ascii="仿宋" w:hAnsi="仿宋" w:eastAsia="仿宋"/>
          <w:b w:val="0"/>
          <w:bCs/>
          <w:color w:val="auto"/>
          <w:sz w:val="32"/>
          <w:szCs w:val="32"/>
          <w:highlight w:val="none"/>
        </w:rPr>
        <w:t>万元，</w:t>
      </w:r>
      <w:r>
        <w:rPr>
          <w:rFonts w:hint="eastAsia" w:ascii="仿宋" w:hAnsi="仿宋" w:eastAsia="仿宋" w:cs="Times New Roman"/>
          <w:b w:val="0"/>
          <w:bCs w:val="0"/>
          <w:spacing w:val="0"/>
          <w:kern w:val="2"/>
          <w:sz w:val="32"/>
          <w:szCs w:val="24"/>
          <w:lang w:val="en-US" w:eastAsia="zh-CN" w:bidi="ar-SA"/>
        </w:rPr>
        <w:t>完成预算100%，决算数等于预算数。</w:t>
      </w:r>
    </w:p>
    <w:p>
      <w:pPr>
        <w:pStyle w:val="20"/>
        <w:pageBreakBefore w:val="0"/>
        <w:kinsoku/>
        <w:wordWrap/>
        <w:topLinePunct w:val="0"/>
        <w:bidi w:val="0"/>
        <w:spacing w:line="576" w:lineRule="exact"/>
        <w:ind w:left="0" w:leftChars="0" w:firstLine="643" w:firstLineChars="200"/>
      </w:pPr>
      <w:r>
        <w:rPr>
          <w:rStyle w:val="18"/>
          <w:rFonts w:hint="eastAsia" w:ascii="仿宋" w:hAnsi="仿宋" w:eastAsia="仿宋"/>
          <w:bCs/>
          <w:color w:val="auto"/>
          <w:sz w:val="32"/>
          <w:szCs w:val="32"/>
          <w:highlight w:val="none"/>
          <w:lang w:val="en-US" w:eastAsia="zh-CN"/>
        </w:rPr>
        <w:t>8</w:t>
      </w:r>
      <w:r>
        <w:rPr>
          <w:rStyle w:val="18"/>
          <w:rFonts w:ascii="仿宋" w:hAnsi="仿宋" w:eastAsia="仿宋"/>
          <w:bCs/>
          <w:color w:val="auto"/>
          <w:sz w:val="32"/>
          <w:szCs w:val="32"/>
          <w:highlight w:val="none"/>
        </w:rPr>
        <w:t>.</w:t>
      </w:r>
      <w:r>
        <w:rPr>
          <w:rFonts w:hint="eastAsia" w:ascii="仿宋" w:hAnsi="仿宋" w:eastAsia="仿宋" w:cs="Times New Roman"/>
          <w:b/>
          <w:spacing w:val="-3"/>
          <w:kern w:val="2"/>
          <w:sz w:val="32"/>
          <w:szCs w:val="24"/>
          <w:lang w:val="en-US" w:eastAsia="zh-CN" w:bidi="ar-SA"/>
        </w:rPr>
        <w:t>农林水支出（类）其他农林水支出（款）其他农林水支出（项）</w:t>
      </w:r>
      <w:r>
        <w:rPr>
          <w:rStyle w:val="18"/>
          <w:rFonts w:ascii="仿宋" w:hAnsi="仿宋" w:eastAsia="仿宋"/>
          <w:bCs/>
          <w:color w:val="auto"/>
          <w:sz w:val="32"/>
          <w:szCs w:val="32"/>
          <w:highlight w:val="none"/>
        </w:rPr>
        <w:t>:</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122.77</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51.63</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，决算数小于预算数的主要原因是</w:t>
      </w:r>
      <w:r>
        <w:rPr>
          <w:rStyle w:val="18"/>
          <w:rFonts w:hint="eastAsia" w:ascii="仿宋" w:hAnsi="仿宋" w:eastAsia="仿宋"/>
          <w:b w:val="0"/>
          <w:bCs/>
          <w:color w:val="auto"/>
          <w:sz w:val="32"/>
          <w:szCs w:val="32"/>
          <w:highlight w:val="none"/>
          <w:lang w:eastAsia="zh-CN"/>
        </w:rPr>
        <w:t>王家贡米主题园区、竹林风景线电力通信线路迁改还未实施</w:t>
      </w:r>
      <w:r>
        <w:rPr>
          <w:rStyle w:val="18"/>
          <w:rFonts w:hint="eastAsia" w:ascii="仿宋" w:hAnsi="仿宋" w:eastAsia="仿宋"/>
          <w:b w:val="0"/>
          <w:bCs/>
          <w:color w:val="auto"/>
          <w:sz w:val="32"/>
          <w:szCs w:val="32"/>
          <w:highlight w:val="none"/>
        </w:rPr>
        <w:t>。</w:t>
      </w:r>
    </w:p>
    <w:p>
      <w:pPr>
        <w:pStyle w:val="2"/>
        <w:pageBreakBefore w:val="0"/>
        <w:kinsoku/>
        <w:wordWrap/>
        <w:overflowPunct/>
        <w:topLinePunct w:val="0"/>
        <w:bidi w:val="0"/>
        <w:spacing w:beforeLines="0" w:line="576" w:lineRule="exact"/>
        <w:ind w:firstLine="631" w:firstLineChars="200"/>
        <w:textAlignment w:val="auto"/>
        <w:rPr>
          <w:rStyle w:val="18"/>
          <w:rFonts w:hint="eastAsia" w:ascii="仿宋" w:hAnsi="仿宋" w:eastAsia="仿宋"/>
          <w:b w:val="0"/>
          <w:bCs/>
          <w:color w:val="auto"/>
          <w:sz w:val="32"/>
          <w:szCs w:val="32"/>
          <w:highlight w:val="none"/>
          <w:lang w:val="en-US" w:eastAsia="zh-CN"/>
        </w:rPr>
      </w:pPr>
      <w:r>
        <w:rPr>
          <w:rFonts w:hint="eastAsia" w:ascii="仿宋" w:hAnsi="仿宋" w:eastAsia="仿宋" w:cs="Times New Roman"/>
          <w:b/>
          <w:spacing w:val="-3"/>
          <w:kern w:val="2"/>
          <w:sz w:val="32"/>
          <w:szCs w:val="24"/>
          <w:lang w:val="en-US" w:eastAsia="zh-CN" w:bidi="ar-SA"/>
        </w:rPr>
        <w:t>9.资源勘探信息等支出（类）制造业（款）其他制造业支出（项）:</w:t>
      </w:r>
      <w:r>
        <w:rPr>
          <w:rFonts w:hint="eastAsia" w:ascii="仿宋" w:hAnsi="仿宋" w:eastAsia="仿宋" w:cs="Times New Roman"/>
          <w:spacing w:val="0"/>
          <w:kern w:val="2"/>
          <w:sz w:val="32"/>
          <w:szCs w:val="24"/>
          <w:lang w:val="en-US" w:eastAsia="zh-CN" w:bidi="ar-SA"/>
        </w:rPr>
        <w:t>支出决算为300万元，完成预算68.08%，</w:t>
      </w:r>
      <w:r>
        <w:rPr>
          <w:rStyle w:val="18"/>
          <w:rFonts w:hint="eastAsia" w:ascii="仿宋" w:hAnsi="仿宋" w:eastAsia="仿宋"/>
          <w:b w:val="0"/>
          <w:bCs/>
          <w:color w:val="auto"/>
          <w:sz w:val="32"/>
          <w:szCs w:val="32"/>
          <w:highlight w:val="none"/>
        </w:rPr>
        <w:t>决算数小于预算数的主要原因是2021年第二批省级工业发展专项资金</w:t>
      </w:r>
      <w:r>
        <w:rPr>
          <w:rStyle w:val="18"/>
          <w:rFonts w:hint="eastAsia" w:ascii="仿宋" w:hAnsi="仿宋" w:eastAsia="仿宋"/>
          <w:b w:val="0"/>
          <w:bCs/>
          <w:color w:val="auto"/>
          <w:sz w:val="32"/>
          <w:szCs w:val="32"/>
          <w:highlight w:val="none"/>
          <w:lang w:eastAsia="zh-CN"/>
        </w:rPr>
        <w:t>和2021年省级工业发展专项资金（切块部分）（小升规补助）</w:t>
      </w:r>
      <w:r>
        <w:rPr>
          <w:rStyle w:val="18"/>
          <w:rFonts w:hint="eastAsia" w:ascii="仿宋" w:hAnsi="仿宋" w:eastAsia="仿宋"/>
          <w:b w:val="0"/>
          <w:bCs/>
          <w:color w:val="auto"/>
          <w:sz w:val="32"/>
          <w:szCs w:val="32"/>
          <w:highlight w:val="none"/>
          <w:lang w:val="en-US" w:eastAsia="zh-CN"/>
        </w:rPr>
        <w:t>2021年12月底下达资金计划。</w:t>
      </w:r>
    </w:p>
    <w:p>
      <w:pPr>
        <w:keepNext/>
        <w:keepLines/>
        <w:pageBreakBefore w:val="0"/>
        <w:widowControl w:val="0"/>
        <w:kinsoku/>
        <w:wordWrap/>
        <w:overflowPunct/>
        <w:topLinePunct w:val="0"/>
        <w:autoSpaceDE/>
        <w:autoSpaceDN/>
        <w:bidi w:val="0"/>
        <w:adjustRightInd/>
        <w:snapToGrid/>
        <w:spacing w:line="576" w:lineRule="exact"/>
        <w:ind w:right="0" w:rightChars="0" w:firstLine="631" w:firstLineChars="200"/>
        <w:jc w:val="both"/>
        <w:textAlignment w:val="auto"/>
        <w:outlineLvl w:val="9"/>
        <w:rPr>
          <w:rFonts w:ascii="仿宋" w:hAnsi="仿宋" w:eastAsia="仿宋"/>
          <w:b/>
          <w:color w:val="auto"/>
          <w:sz w:val="32"/>
          <w:szCs w:val="32"/>
          <w:highlight w:val="none"/>
        </w:rPr>
      </w:pPr>
      <w:r>
        <w:rPr>
          <w:rFonts w:hint="eastAsia" w:ascii="仿宋" w:hAnsi="仿宋" w:eastAsia="仿宋" w:cs="Times New Roman"/>
          <w:b/>
          <w:bCs w:val="0"/>
          <w:spacing w:val="-3"/>
          <w:kern w:val="2"/>
          <w:sz w:val="32"/>
          <w:szCs w:val="24"/>
          <w:lang w:val="en-US" w:eastAsia="zh-CN" w:bidi="ar-SA"/>
        </w:rPr>
        <w:t>10.住房保障支出（类）住房改革支出（款）住房公积金（项）:</w:t>
      </w:r>
      <w:r>
        <w:rPr>
          <w:rFonts w:hint="eastAsia" w:ascii="仿宋" w:hAnsi="仿宋" w:eastAsia="仿宋" w:cs="Times New Roman"/>
          <w:b w:val="0"/>
          <w:bCs w:val="0"/>
          <w:spacing w:val="0"/>
          <w:kern w:val="2"/>
          <w:sz w:val="32"/>
          <w:szCs w:val="24"/>
          <w:lang w:val="en-US" w:eastAsia="zh-CN" w:bidi="ar-SA"/>
        </w:rPr>
        <w:t>支出决算为18.54万元，完成预算100%，决算数等于预算数。</w:t>
      </w:r>
    </w:p>
    <w:p>
      <w:pPr>
        <w:pageBreakBefore w:val="0"/>
        <w:tabs>
          <w:tab w:val="right" w:pos="8306"/>
        </w:tabs>
        <w:kinsoku/>
        <w:wordWrap/>
        <w:topLinePunct w:val="0"/>
        <w:bidi w:val="0"/>
        <w:spacing w:line="576" w:lineRule="exact"/>
        <w:ind w:firstLine="640"/>
        <w:outlineLvl w:val="1"/>
        <w:rPr>
          <w:rStyle w:val="30"/>
          <w:color w:val="auto"/>
          <w:highlight w:val="none"/>
        </w:rPr>
      </w:pPr>
      <w:bookmarkStart w:id="61" w:name="_Toc15377214"/>
      <w:bookmarkStart w:id="62" w:name="_Toc23381"/>
      <w:bookmarkStart w:id="63" w:name="_Toc36"/>
      <w:bookmarkStart w:id="64" w:name="_Toc15396608"/>
      <w:bookmarkStart w:id="65" w:name="_Toc7866"/>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30"/>
          <w:rFonts w:hint="eastAsia" w:ascii="黑体" w:hAnsi="黑体" w:eastAsia="黑体"/>
          <w:b w:val="0"/>
          <w:color w:val="auto"/>
          <w:highlight w:val="none"/>
        </w:rPr>
        <w:t>般公共预算财政拨款基本支出决算情况说明</w:t>
      </w:r>
      <w:bookmarkEnd w:id="61"/>
      <w:bookmarkEnd w:id="62"/>
      <w:bookmarkEnd w:id="63"/>
      <w:bookmarkEnd w:id="64"/>
      <w:bookmarkEnd w:id="65"/>
      <w:r>
        <w:rPr>
          <w:rStyle w:val="30"/>
          <w:rFonts w:ascii="黑体" w:hAnsi="黑体" w:eastAsia="黑体"/>
          <w:b w:val="0"/>
          <w:color w:val="auto"/>
          <w:highlight w:val="none"/>
        </w:rPr>
        <w:tab/>
      </w:r>
    </w:p>
    <w:p>
      <w:pPr>
        <w:pageBreakBefore w:val="0"/>
        <w:kinsoku/>
        <w:wordWrap/>
        <w:topLinePunct w:val="0"/>
        <w:bidi w:val="0"/>
        <w:spacing w:line="576"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392.48</w:t>
      </w:r>
      <w:r>
        <w:rPr>
          <w:rFonts w:hint="eastAsia" w:ascii="仿宋" w:hAnsi="仿宋" w:eastAsia="仿宋"/>
          <w:color w:val="auto"/>
          <w:sz w:val="32"/>
          <w:szCs w:val="32"/>
          <w:highlight w:val="none"/>
        </w:rPr>
        <w:t>万元，其中：</w:t>
      </w:r>
    </w:p>
    <w:p>
      <w:pPr>
        <w:pageBreakBefore w:val="0"/>
        <w:kinsoku/>
        <w:wordWrap/>
        <w:topLinePunct w:val="0"/>
        <w:bidi w:val="0"/>
        <w:spacing w:line="576" w:lineRule="exact"/>
        <w:ind w:firstLine="645"/>
        <w:rPr>
          <w:rFonts w:ascii="仿宋" w:hAnsi="仿宋" w:eastAsia="仿宋"/>
          <w:b/>
          <w:color w:val="auto"/>
          <w:sz w:val="32"/>
          <w:szCs w:val="32"/>
          <w:highlight w:val="none"/>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225.91</w:t>
      </w:r>
      <w:r>
        <w:rPr>
          <w:rFonts w:hint="eastAsia" w:ascii="仿宋" w:hAnsi="仿宋" w:eastAsia="仿宋"/>
          <w:color w:val="auto"/>
          <w:sz w:val="32"/>
          <w:szCs w:val="32"/>
          <w:highlight w:val="none"/>
        </w:rPr>
        <w:t>万元，主要包括：基本工资、津贴补贴、奖金、伙食补助费、绩效工资、机关事业单位基本养老保险缴费、职业年金缴费、其他社会保障缴费、其他工资福利支出、退休费、生活补助、奖励金、住房公积金、其他对个人和家庭的补助支出等。</w:t>
      </w:r>
      <w:r>
        <w:rPr>
          <w:rFonts w:ascii="仿宋" w:hAnsi="仿宋" w:eastAsia="仿宋"/>
          <w:color w:val="auto"/>
          <w:sz w:val="32"/>
          <w:szCs w:val="32"/>
          <w:highlight w:val="none"/>
        </w:rPr>
        <w:br w:type="textWrapping"/>
      </w:r>
      <w:r>
        <w:rPr>
          <w:rFonts w:hint="eastAsia" w:ascii="仿宋" w:hAnsi="仿宋" w:eastAsia="仿宋"/>
          <w:color w:val="auto"/>
          <w:sz w:val="32"/>
          <w:szCs w:val="32"/>
          <w:highlight w:val="none"/>
        </w:rPr>
        <w:t>　　公用经费</w:t>
      </w:r>
      <w:r>
        <w:rPr>
          <w:rFonts w:hint="eastAsia" w:ascii="仿宋" w:hAnsi="仿宋" w:eastAsia="仿宋"/>
          <w:color w:val="auto"/>
          <w:sz w:val="32"/>
          <w:szCs w:val="32"/>
          <w:highlight w:val="none"/>
          <w:lang w:val="en-US" w:eastAsia="zh-CN"/>
        </w:rPr>
        <w:t>166.57</w:t>
      </w:r>
      <w:r>
        <w:rPr>
          <w:rFonts w:hint="eastAsia" w:ascii="仿宋" w:hAnsi="仿宋" w:eastAsia="仿宋"/>
          <w:color w:val="auto"/>
          <w:sz w:val="32"/>
          <w:szCs w:val="32"/>
          <w:highlight w:val="none"/>
        </w:rPr>
        <w:t>万元，主要包括：办公费、印刷费、手续费、水费、电费、邮电费、物业管理费、差旅费、维修（护）费、租赁费、会议费、培训费、公务接待费、劳务费、工会经费、福利费、其他交通费、其他商品和服务支出等。</w:t>
      </w:r>
    </w:p>
    <w:p>
      <w:pPr>
        <w:pageBreakBefore w:val="0"/>
        <w:kinsoku/>
        <w:wordWrap/>
        <w:topLinePunct w:val="0"/>
        <w:bidi w:val="0"/>
        <w:spacing w:line="576" w:lineRule="exact"/>
        <w:ind w:firstLine="640"/>
        <w:outlineLvl w:val="1"/>
        <w:rPr>
          <w:rStyle w:val="30"/>
          <w:rFonts w:ascii="黑体" w:hAnsi="黑体" w:eastAsia="黑体"/>
          <w:b w:val="0"/>
          <w:color w:val="auto"/>
          <w:highlight w:val="none"/>
        </w:rPr>
      </w:pPr>
      <w:bookmarkStart w:id="66" w:name="_Toc12657"/>
      <w:bookmarkStart w:id="67" w:name="_Toc15377215"/>
      <w:bookmarkStart w:id="68" w:name="_Toc15396609"/>
      <w:bookmarkStart w:id="69" w:name="_Toc9618"/>
      <w:bookmarkStart w:id="70" w:name="_Toc11668"/>
      <w:r>
        <w:rPr>
          <w:rFonts w:hint="eastAsia" w:ascii="黑体" w:eastAsia="黑体"/>
          <w:color w:val="auto"/>
          <w:sz w:val="32"/>
          <w:szCs w:val="32"/>
          <w:highlight w:val="none"/>
        </w:rPr>
        <w:t>七、</w:t>
      </w:r>
      <w:r>
        <w:rPr>
          <w:rStyle w:val="30"/>
          <w:rFonts w:hint="eastAsia" w:ascii="黑体" w:hAnsi="黑体" w:eastAsia="黑体"/>
          <w:color w:val="auto"/>
          <w:highlight w:val="none"/>
        </w:rPr>
        <w:t>“</w:t>
      </w:r>
      <w:r>
        <w:rPr>
          <w:rStyle w:val="30"/>
          <w:rFonts w:hint="eastAsia" w:ascii="黑体" w:hAnsi="黑体" w:eastAsia="黑体"/>
          <w:b w:val="0"/>
          <w:color w:val="auto"/>
          <w:highlight w:val="none"/>
        </w:rPr>
        <w:t>三公”经费财政拨款支出决算情况说明</w:t>
      </w:r>
      <w:bookmarkEnd w:id="66"/>
      <w:bookmarkEnd w:id="67"/>
      <w:bookmarkEnd w:id="68"/>
      <w:bookmarkEnd w:id="69"/>
      <w:bookmarkEnd w:id="70"/>
    </w:p>
    <w:p>
      <w:pPr>
        <w:pageBreakBefore w:val="0"/>
        <w:kinsoku/>
        <w:wordWrap/>
        <w:topLinePunct w:val="0"/>
        <w:bidi w:val="0"/>
        <w:spacing w:line="576" w:lineRule="exact"/>
        <w:ind w:firstLine="640"/>
        <w:outlineLvl w:val="2"/>
        <w:rPr>
          <w:rFonts w:ascii="仿宋" w:hAnsi="仿宋" w:eastAsia="仿宋"/>
          <w:b/>
          <w:color w:val="auto"/>
          <w:sz w:val="32"/>
          <w:szCs w:val="32"/>
          <w:highlight w:val="none"/>
        </w:rPr>
      </w:pPr>
      <w:bookmarkStart w:id="71" w:name="_Toc15377216"/>
      <w:r>
        <w:rPr>
          <w:rFonts w:hint="eastAsia" w:ascii="仿宋" w:hAnsi="仿宋" w:eastAsia="仿宋"/>
          <w:b/>
          <w:color w:val="auto"/>
          <w:sz w:val="32"/>
          <w:szCs w:val="32"/>
          <w:highlight w:val="none"/>
        </w:rPr>
        <w:t>（一）“三公”经费财政拨款支出决算总体情况说明</w:t>
      </w:r>
      <w:bookmarkEnd w:id="71"/>
    </w:p>
    <w:p>
      <w:pPr>
        <w:pageBreakBefore w:val="0"/>
        <w:kinsoku/>
        <w:wordWrap/>
        <w:topLinePunct w:val="0"/>
        <w:bidi w:val="0"/>
        <w:spacing w:line="576"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12.03</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93.99</w:t>
      </w:r>
      <w:r>
        <w:rPr>
          <w:rFonts w:ascii="仿宋" w:hAnsi="仿宋" w:eastAsia="仿宋"/>
          <w:color w:val="auto"/>
          <w:sz w:val="32"/>
          <w:szCs w:val="32"/>
          <w:highlight w:val="none"/>
        </w:rPr>
        <w:t>%</w:t>
      </w:r>
      <w:r>
        <w:rPr>
          <w:rFonts w:hint="eastAsia" w:ascii="仿宋" w:hAnsi="仿宋" w:eastAsia="仿宋"/>
          <w:color w:val="auto"/>
          <w:sz w:val="32"/>
          <w:szCs w:val="32"/>
          <w:highlight w:val="none"/>
        </w:rPr>
        <w:t>，决算数小于预算数的主要原因是</w:t>
      </w:r>
      <w:r>
        <w:rPr>
          <w:rFonts w:hint="eastAsia" w:ascii="仿宋" w:hAnsi="仿宋" w:eastAsia="仿宋"/>
          <w:spacing w:val="0"/>
          <w:sz w:val="32"/>
        </w:rPr>
        <w:t>响应国家“八项规定”，厉行节约</w:t>
      </w:r>
      <w:r>
        <w:rPr>
          <w:rFonts w:hint="eastAsia" w:ascii="仿宋" w:hAnsi="仿宋" w:eastAsia="仿宋"/>
          <w:color w:val="auto"/>
          <w:sz w:val="32"/>
          <w:szCs w:val="32"/>
          <w:highlight w:val="none"/>
        </w:rPr>
        <w:t>。</w:t>
      </w:r>
    </w:p>
    <w:p>
      <w:pPr>
        <w:pageBreakBefore w:val="0"/>
        <w:kinsoku/>
        <w:wordWrap/>
        <w:topLinePunct w:val="0"/>
        <w:bidi w:val="0"/>
        <w:spacing w:line="576" w:lineRule="exact"/>
        <w:ind w:firstLine="640"/>
        <w:outlineLvl w:val="2"/>
        <w:rPr>
          <w:rFonts w:ascii="仿宋" w:hAnsi="仿宋" w:eastAsia="仿宋"/>
          <w:b/>
          <w:color w:val="auto"/>
          <w:sz w:val="32"/>
          <w:szCs w:val="32"/>
          <w:highlight w:val="none"/>
        </w:rPr>
      </w:pPr>
      <w:bookmarkStart w:id="72" w:name="_Toc15377217"/>
      <w:r>
        <w:rPr>
          <w:rFonts w:hint="eastAsia" w:ascii="仿宋" w:hAnsi="仿宋" w:eastAsia="仿宋"/>
          <w:b/>
          <w:color w:val="auto"/>
          <w:sz w:val="32"/>
          <w:szCs w:val="32"/>
          <w:highlight w:val="none"/>
        </w:rPr>
        <w:t>（二）“三公”经费财政拨款支出决算具体情况说明</w:t>
      </w:r>
      <w:bookmarkEnd w:id="72"/>
    </w:p>
    <w:p>
      <w:pPr>
        <w:pageBreakBefore w:val="0"/>
        <w:kinsoku/>
        <w:wordWrap/>
        <w:topLinePunct w:val="0"/>
        <w:bidi w:val="0"/>
        <w:spacing w:line="576"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12.03</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pageBreakBefore w:val="0"/>
        <w:kinsoku/>
        <w:wordWrap/>
        <w:topLinePunct w:val="0"/>
        <w:bidi w:val="0"/>
        <w:spacing w:line="576" w:lineRule="exact"/>
        <w:jc w:val="center"/>
        <w:rPr>
          <w:rFonts w:ascii="仿宋" w:hAnsi="仿宋" w:eastAsia="仿宋"/>
          <w:color w:val="auto"/>
          <w:sz w:val="32"/>
          <w:szCs w:val="32"/>
          <w:highlight w:val="none"/>
        </w:rPr>
      </w:pPr>
      <w:r>
        <w:drawing>
          <wp:anchor distT="0" distB="0" distL="114300" distR="114300" simplePos="0" relativeHeight="251664384" behindDoc="0" locked="0" layoutInCell="1" allowOverlap="1">
            <wp:simplePos x="0" y="0"/>
            <wp:positionH relativeFrom="column">
              <wp:posOffset>757555</wp:posOffset>
            </wp:positionH>
            <wp:positionV relativeFrom="paragraph">
              <wp:posOffset>89535</wp:posOffset>
            </wp:positionV>
            <wp:extent cx="4079240" cy="1407160"/>
            <wp:effectExtent l="4445" t="4445" r="9525" b="13335"/>
            <wp:wrapTopAndBottom/>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Pr>
          <w:rFonts w:hint="eastAsia" w:ascii="仿宋" w:hAnsi="仿宋" w:eastAsia="仿宋"/>
          <w:color w:val="auto"/>
          <w:sz w:val="32"/>
          <w:szCs w:val="32"/>
          <w:highlight w:val="none"/>
        </w:rPr>
        <w:t>图7：“三公”经费财政拨款支出结构</w:t>
      </w:r>
    </w:p>
    <w:p>
      <w:pPr>
        <w:pageBreakBefore w:val="0"/>
        <w:kinsoku/>
        <w:wordWrap/>
        <w:topLinePunct w:val="0"/>
        <w:bidi w:val="0"/>
        <w:spacing w:line="576" w:lineRule="exact"/>
        <w:ind w:firstLine="640"/>
        <w:rPr>
          <w:rFonts w:hint="eastAsia" w:ascii="仿宋_GB2312" w:eastAsia="仿宋_GB2312"/>
          <w:color w:val="auto"/>
          <w:sz w:val="32"/>
          <w:szCs w:val="32"/>
          <w:highlight w:val="none"/>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18"/>
          <w:rFonts w:hint="eastAsia" w:ascii="仿宋" w:hAnsi="仿宋" w:eastAsia="仿宋"/>
          <w:b w:val="0"/>
          <w:bCs/>
          <w:color w:val="000000"/>
          <w:sz w:val="32"/>
          <w:szCs w:val="32"/>
          <w:lang w:eastAsia="zh-CN"/>
        </w:rPr>
        <w:t>年初未安排预算，</w:t>
      </w:r>
      <w:r>
        <w:rPr>
          <w:rStyle w:val="18"/>
          <w:rFonts w:hint="eastAsia" w:ascii="仿宋" w:hAnsi="仿宋" w:eastAsia="仿宋"/>
          <w:b w:val="0"/>
          <w:bCs/>
          <w:color w:val="auto"/>
          <w:sz w:val="32"/>
          <w:szCs w:val="32"/>
          <w:lang w:val="en-US" w:eastAsia="zh-CN"/>
        </w:rPr>
        <w:t>因公出国（境）支出决算较2020年无变化</w:t>
      </w:r>
      <w:r>
        <w:rPr>
          <w:rStyle w:val="18"/>
          <w:rFonts w:hint="eastAsia" w:ascii="仿宋" w:hAnsi="仿宋" w:eastAsia="仿宋"/>
          <w:b w:val="0"/>
          <w:bCs/>
          <w:color w:val="auto"/>
          <w:sz w:val="32"/>
          <w:szCs w:val="32"/>
          <w:lang w:eastAsia="zh-CN"/>
        </w:rPr>
        <w:t>。</w:t>
      </w:r>
    </w:p>
    <w:p>
      <w:pPr>
        <w:pageBreakBefore w:val="0"/>
        <w:kinsoku/>
        <w:wordWrap/>
        <w:topLinePunct w:val="0"/>
        <w:bidi w:val="0"/>
        <w:spacing w:line="576"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18"/>
          <w:rFonts w:hint="eastAsia" w:ascii="仿宋" w:hAnsi="仿宋" w:eastAsia="仿宋"/>
          <w:b w:val="0"/>
          <w:bCs/>
          <w:color w:val="auto"/>
          <w:sz w:val="32"/>
          <w:szCs w:val="32"/>
          <w:lang w:eastAsia="zh-CN"/>
        </w:rPr>
        <w:t>年初未安排预算，</w:t>
      </w:r>
      <w:r>
        <w:rPr>
          <w:rStyle w:val="18"/>
          <w:rFonts w:hint="eastAsia" w:ascii="仿宋" w:hAnsi="仿宋" w:eastAsia="仿宋"/>
          <w:b w:val="0"/>
          <w:bCs/>
          <w:color w:val="auto"/>
          <w:sz w:val="32"/>
          <w:szCs w:val="32"/>
          <w:lang w:val="en-US" w:eastAsia="zh-CN"/>
        </w:rPr>
        <w:t>与上年持平</w:t>
      </w:r>
      <w:r>
        <w:rPr>
          <w:rStyle w:val="18"/>
          <w:rFonts w:hint="eastAsia" w:ascii="仿宋" w:hAnsi="仿宋" w:eastAsia="仿宋"/>
          <w:b w:val="0"/>
          <w:bCs/>
          <w:color w:val="auto"/>
          <w:sz w:val="32"/>
          <w:szCs w:val="32"/>
          <w:lang w:eastAsia="zh-CN"/>
        </w:rPr>
        <w:t>。</w:t>
      </w:r>
    </w:p>
    <w:p>
      <w:pPr>
        <w:spacing w:line="600" w:lineRule="exact"/>
        <w:ind w:firstLine="640" w:firstLineChars="200"/>
        <w:rPr>
          <w:rFonts w:hint="eastAsia" w:ascii="仿宋" w:hAnsi="仿宋" w:eastAsia="仿宋" w:cs="仿宋"/>
          <w:color w:val="auto"/>
          <w:sz w:val="32"/>
          <w:szCs w:val="32"/>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r>
        <w:rPr>
          <w:rFonts w:hint="eastAsia" w:ascii="仿宋" w:hAnsi="仿宋" w:eastAsia="仿宋" w:cs="仿宋"/>
          <w:color w:val="auto"/>
          <w:sz w:val="32"/>
          <w:szCs w:val="32"/>
          <w:lang w:eastAsia="zh-CN"/>
        </w:rPr>
        <w:t>未购置公务用车</w:t>
      </w:r>
      <w:r>
        <w:rPr>
          <w:rFonts w:hint="eastAsia" w:ascii="仿宋" w:hAnsi="仿宋" w:eastAsia="仿宋" w:cs="仿宋"/>
          <w:color w:val="auto"/>
          <w:sz w:val="32"/>
          <w:szCs w:val="32"/>
        </w:rPr>
        <w:t>。截至</w:t>
      </w:r>
      <w:r>
        <w:rPr>
          <w:rFonts w:hint="eastAsia" w:ascii="仿宋" w:hAnsi="仿宋" w:eastAsia="仿宋" w:cs="仿宋"/>
          <w:color w:val="auto"/>
          <w:sz w:val="32"/>
          <w:szCs w:val="32"/>
          <w:lang w:eastAsia="zh-CN"/>
        </w:rPr>
        <w:t>2021</w:t>
      </w:r>
      <w:r>
        <w:rPr>
          <w:rFonts w:hint="eastAsia" w:ascii="仿宋" w:hAnsi="仿宋" w:eastAsia="仿宋" w:cs="仿宋"/>
          <w:color w:val="auto"/>
          <w:sz w:val="32"/>
          <w:szCs w:val="32"/>
        </w:rPr>
        <w:t>年12月底，单位共有公务用车0辆。</w:t>
      </w:r>
    </w:p>
    <w:p>
      <w:pPr>
        <w:pageBreakBefore w:val="0"/>
        <w:kinsoku/>
        <w:wordWrap/>
        <w:topLinePunct w:val="0"/>
        <w:bidi w:val="0"/>
        <w:spacing w:line="576" w:lineRule="exact"/>
        <w:ind w:firstLine="643" w:firstLineChars="200"/>
        <w:rPr>
          <w:rFonts w:hint="eastAsia" w:ascii="仿宋_GB2312" w:eastAsia="仿宋_GB2312"/>
          <w:color w:val="auto"/>
          <w:sz w:val="32"/>
          <w:szCs w:val="32"/>
          <w:highlight w:val="none"/>
        </w:rPr>
      </w:pPr>
      <w:r>
        <w:rPr>
          <w:rFonts w:hint="eastAsia" w:ascii="仿宋_GB2312" w:eastAsia="仿宋_GB2312"/>
          <w:b/>
          <w:color w:val="auto"/>
          <w:sz w:val="32"/>
          <w:szCs w:val="32"/>
          <w:highlight w:val="none"/>
        </w:rPr>
        <w:t>公务用车运行维护费支出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pageBreakBefore w:val="0"/>
        <w:kinsoku/>
        <w:wordWrap/>
        <w:topLinePunct w:val="0"/>
        <w:bidi w:val="0"/>
        <w:spacing w:line="576" w:lineRule="exact"/>
        <w:ind w:firstLine="640"/>
        <w:rPr>
          <w:rFonts w:ascii="仿宋_GB2312" w:eastAsia="仿宋_GB2312"/>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12.03</w:t>
      </w:r>
      <w:r>
        <w:rPr>
          <w:rFonts w:hint="eastAsia" w:ascii="仿宋_GB2312" w:eastAsia="仿宋_GB2312"/>
          <w:color w:val="auto"/>
          <w:sz w:val="32"/>
          <w:szCs w:val="32"/>
          <w:highlight w:val="none"/>
        </w:rPr>
        <w:t>万元，</w:t>
      </w:r>
      <w:r>
        <w:rPr>
          <w:rStyle w:val="18"/>
          <w:rFonts w:hint="eastAsia" w:ascii="仿宋" w:hAnsi="仿宋" w:eastAsia="仿宋"/>
          <w:b w:val="0"/>
          <w:bCs/>
          <w:color w:val="auto"/>
          <w:sz w:val="32"/>
          <w:szCs w:val="32"/>
          <w:highlight w:val="none"/>
        </w:rPr>
        <w:t>完成预算</w:t>
      </w:r>
      <w:r>
        <w:rPr>
          <w:rFonts w:hint="eastAsia" w:ascii="仿宋" w:hAnsi="仿宋" w:eastAsia="仿宋"/>
          <w:color w:val="auto"/>
          <w:sz w:val="32"/>
          <w:szCs w:val="32"/>
          <w:highlight w:val="none"/>
          <w:lang w:val="en-US" w:eastAsia="zh-CN"/>
        </w:rPr>
        <w:t>93.99</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w:t>
      </w:r>
      <w:r>
        <w:rPr>
          <w:rFonts w:hint="eastAsia" w:ascii="仿宋_GB2312" w:eastAsia="仿宋_GB2312"/>
          <w:color w:val="auto"/>
          <w:sz w:val="32"/>
          <w:szCs w:val="32"/>
          <w:highlight w:val="none"/>
          <w:lang w:eastAsia="zh-CN"/>
        </w:rPr>
        <w:t>与</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持平</w:t>
      </w:r>
      <w:r>
        <w:rPr>
          <w:rFonts w:hint="eastAsia" w:ascii="仿宋_GB2312" w:eastAsia="仿宋_GB2312"/>
          <w:color w:val="auto"/>
          <w:sz w:val="32"/>
          <w:szCs w:val="32"/>
          <w:highlight w:val="none"/>
        </w:rPr>
        <w:t>。其中：</w:t>
      </w:r>
    </w:p>
    <w:p>
      <w:pPr>
        <w:pageBreakBefore w:val="0"/>
        <w:kinsoku/>
        <w:wordWrap/>
        <w:topLinePunct w:val="0"/>
        <w:bidi w:val="0"/>
        <w:spacing w:line="576" w:lineRule="exact"/>
        <w:ind w:firstLine="640"/>
        <w:rPr>
          <w:rFonts w:ascii="仿宋_GB2312" w:eastAsia="仿宋_GB2312"/>
          <w:color w:val="auto"/>
          <w:sz w:val="32"/>
          <w:szCs w:val="32"/>
          <w:highlight w:val="none"/>
        </w:rPr>
      </w:pPr>
      <w:r>
        <w:rPr>
          <w:rFonts w:hint="eastAsia" w:ascii="仿宋" w:hAnsi="仿宋" w:eastAsia="仿宋"/>
          <w:b/>
          <w:color w:val="auto"/>
          <w:sz w:val="32"/>
          <w:szCs w:val="32"/>
          <w:highlight w:val="none"/>
        </w:rPr>
        <w:t>国内公务接待支出</w:t>
      </w:r>
      <w:r>
        <w:rPr>
          <w:rFonts w:hint="eastAsia" w:ascii="仿宋" w:hAnsi="仿宋" w:eastAsia="仿宋"/>
          <w:color w:val="auto"/>
          <w:sz w:val="32"/>
          <w:szCs w:val="32"/>
          <w:highlight w:val="none"/>
          <w:lang w:val="en-US" w:eastAsia="zh-CN"/>
        </w:rPr>
        <w:t>12.03</w:t>
      </w:r>
      <w:r>
        <w:rPr>
          <w:rFonts w:hint="eastAsia" w:ascii="仿宋_GB2312" w:eastAsia="仿宋_GB2312"/>
          <w:color w:val="auto"/>
          <w:sz w:val="32"/>
          <w:szCs w:val="32"/>
          <w:highlight w:val="none"/>
        </w:rPr>
        <w:t>万元，主要用于</w:t>
      </w:r>
      <w:r>
        <w:rPr>
          <w:rFonts w:hint="eastAsia" w:ascii="仿宋_GB2312" w:eastAsia="仿宋_GB2312"/>
          <w:color w:val="auto"/>
          <w:sz w:val="32"/>
          <w:szCs w:val="32"/>
          <w:highlight w:val="none"/>
          <w:lang w:eastAsia="zh-CN"/>
        </w:rPr>
        <w:t>招商引资、</w:t>
      </w:r>
      <w:r>
        <w:rPr>
          <w:rFonts w:hint="eastAsia" w:ascii="仿宋_GB2312" w:eastAsia="仿宋_GB2312"/>
          <w:color w:val="auto"/>
          <w:sz w:val="32"/>
          <w:szCs w:val="32"/>
          <w:highlight w:val="none"/>
        </w:rPr>
        <w:t>执行公务、开展业务活动开支的交通费、住宿费、用餐费等。国内公务接待</w:t>
      </w:r>
      <w:r>
        <w:rPr>
          <w:rFonts w:hint="eastAsia" w:ascii="仿宋_GB2312" w:eastAsia="仿宋_GB2312"/>
          <w:color w:val="auto"/>
          <w:sz w:val="32"/>
          <w:szCs w:val="32"/>
          <w:highlight w:val="none"/>
          <w:lang w:val="en-US" w:eastAsia="zh-CN"/>
        </w:rPr>
        <w:t>192</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1801</w:t>
      </w:r>
      <w:r>
        <w:rPr>
          <w:rFonts w:hint="eastAsia" w:ascii="仿宋_GB2312" w:eastAsia="仿宋_GB2312"/>
          <w:color w:val="auto"/>
          <w:sz w:val="32"/>
          <w:szCs w:val="32"/>
          <w:highlight w:val="none"/>
        </w:rPr>
        <w:t>人次（不包括陪同人员），共计支出</w:t>
      </w:r>
      <w:r>
        <w:rPr>
          <w:rFonts w:hint="eastAsia" w:ascii="仿宋_GB2312" w:eastAsia="仿宋_GB2312"/>
          <w:color w:val="auto"/>
          <w:sz w:val="32"/>
          <w:szCs w:val="32"/>
          <w:highlight w:val="none"/>
          <w:lang w:val="en-US" w:eastAsia="zh-CN"/>
        </w:rPr>
        <w:t>12.03</w:t>
      </w:r>
      <w:r>
        <w:rPr>
          <w:rFonts w:hint="eastAsia" w:ascii="仿宋_GB2312" w:eastAsia="仿宋_GB2312"/>
          <w:color w:val="auto"/>
          <w:sz w:val="32"/>
          <w:szCs w:val="32"/>
          <w:highlight w:val="none"/>
        </w:rPr>
        <w:t>万元，具体内容包括：</w:t>
      </w:r>
      <w:r>
        <w:rPr>
          <w:rFonts w:hint="eastAsia" w:ascii="仿宋_GB2312" w:eastAsia="仿宋_GB2312"/>
          <w:color w:val="000000"/>
          <w:sz w:val="32"/>
          <w:szCs w:val="32"/>
          <w:lang w:eastAsia="zh-CN"/>
        </w:rPr>
        <w:t>招商引资接待</w:t>
      </w:r>
      <w:r>
        <w:rPr>
          <w:rFonts w:hint="eastAsia" w:ascii="仿宋_GB2312" w:eastAsia="仿宋_GB2312"/>
          <w:color w:val="000000"/>
          <w:sz w:val="32"/>
          <w:szCs w:val="32"/>
          <w:lang w:val="en-US" w:eastAsia="zh-CN"/>
        </w:rPr>
        <w:t>10.33万元</w:t>
      </w:r>
      <w:r>
        <w:rPr>
          <w:rFonts w:hint="eastAsia" w:ascii="仿宋_GB2312" w:eastAsia="仿宋_GB2312"/>
          <w:color w:val="000000"/>
          <w:sz w:val="32"/>
          <w:szCs w:val="32"/>
          <w:lang w:eastAsia="zh-CN"/>
        </w:rPr>
        <w:t>，</w:t>
      </w:r>
      <w:r>
        <w:rPr>
          <w:rFonts w:hint="eastAsia" w:ascii="仿宋_GB2312" w:eastAsia="仿宋_GB2312"/>
          <w:color w:val="000000"/>
          <w:sz w:val="32"/>
          <w:szCs w:val="32"/>
        </w:rPr>
        <w:t>执行公务、开展业务活动</w:t>
      </w:r>
      <w:r>
        <w:rPr>
          <w:rFonts w:hint="eastAsia" w:ascii="仿宋_GB2312" w:eastAsia="仿宋_GB2312"/>
          <w:color w:val="000000"/>
          <w:sz w:val="32"/>
          <w:szCs w:val="32"/>
          <w:lang w:eastAsia="zh-CN"/>
        </w:rPr>
        <w:t>接待</w:t>
      </w:r>
      <w:r>
        <w:rPr>
          <w:rFonts w:hint="eastAsia" w:ascii="仿宋_GB2312" w:eastAsia="仿宋_GB2312"/>
          <w:color w:val="000000"/>
          <w:sz w:val="32"/>
          <w:szCs w:val="32"/>
          <w:lang w:val="en-US" w:eastAsia="zh-CN"/>
        </w:rPr>
        <w:t>1.7万元</w:t>
      </w:r>
      <w:r>
        <w:rPr>
          <w:rFonts w:hint="eastAsia" w:ascii="仿宋_GB2312" w:eastAsia="仿宋_GB2312"/>
          <w:color w:val="auto"/>
          <w:sz w:val="32"/>
          <w:szCs w:val="32"/>
          <w:highlight w:val="none"/>
        </w:rPr>
        <w:t>。</w:t>
      </w:r>
    </w:p>
    <w:p>
      <w:pPr>
        <w:pageBreakBefore w:val="0"/>
        <w:kinsoku/>
        <w:wordWrap/>
        <w:topLinePunct w:val="0"/>
        <w:bidi w:val="0"/>
        <w:spacing w:line="576" w:lineRule="exact"/>
        <w:ind w:firstLine="643" w:firstLineChars="200"/>
        <w:rPr>
          <w:rFonts w:ascii="仿宋_GB2312" w:eastAsia="仿宋_GB2312"/>
          <w:color w:val="auto"/>
          <w:sz w:val="32"/>
          <w:szCs w:val="32"/>
          <w:highlight w:val="none"/>
        </w:rPr>
      </w:pPr>
      <w:r>
        <w:rPr>
          <w:rFonts w:hint="eastAsia" w:ascii="仿宋" w:hAnsi="仿宋" w:eastAsia="仿宋"/>
          <w:b/>
          <w:color w:val="auto"/>
          <w:sz w:val="32"/>
          <w:szCs w:val="32"/>
          <w:highlight w:val="none"/>
        </w:rPr>
        <w:t>外事接待支出</w:t>
      </w:r>
      <w:r>
        <w:rPr>
          <w:rFonts w:hint="eastAsia" w:ascii="仿宋" w:hAnsi="仿宋" w:eastAsia="仿宋"/>
          <w:color w:val="auto"/>
          <w:sz w:val="32"/>
          <w:szCs w:val="32"/>
          <w:highlight w:val="none"/>
          <w:lang w:val="en-US" w:eastAsia="zh-CN"/>
        </w:rPr>
        <w:t>0</w:t>
      </w:r>
      <w:r>
        <w:rPr>
          <w:rFonts w:hint="eastAsia" w:ascii="仿宋_GB2312" w:eastAsia="仿宋_GB2312"/>
          <w:color w:val="auto"/>
          <w:sz w:val="32"/>
          <w:szCs w:val="32"/>
          <w:highlight w:val="none"/>
        </w:rPr>
        <w:t>万元。</w:t>
      </w:r>
    </w:p>
    <w:p>
      <w:pPr>
        <w:pageBreakBefore w:val="0"/>
        <w:kinsoku/>
        <w:wordWrap/>
        <w:topLinePunct w:val="0"/>
        <w:bidi w:val="0"/>
        <w:spacing w:line="576" w:lineRule="exact"/>
        <w:ind w:firstLine="640"/>
        <w:outlineLvl w:val="1"/>
        <w:rPr>
          <w:rStyle w:val="30"/>
          <w:rFonts w:ascii="黑体" w:hAnsi="黑体" w:eastAsia="黑体"/>
          <w:color w:val="auto"/>
          <w:highlight w:val="none"/>
        </w:rPr>
      </w:pPr>
      <w:bookmarkStart w:id="73" w:name="_Toc15396610"/>
      <w:bookmarkStart w:id="74" w:name="_Toc5564"/>
      <w:bookmarkStart w:id="75" w:name="_Toc15377218"/>
      <w:bookmarkStart w:id="76" w:name="_Toc14417"/>
      <w:bookmarkStart w:id="77" w:name="_Toc4826"/>
      <w:r>
        <w:rPr>
          <w:rFonts w:hint="eastAsia" w:ascii="黑体" w:eastAsia="黑体"/>
          <w:color w:val="auto"/>
          <w:sz w:val="32"/>
          <w:szCs w:val="32"/>
          <w:highlight w:val="none"/>
        </w:rPr>
        <w:t>八、</w:t>
      </w:r>
      <w:r>
        <w:rPr>
          <w:rStyle w:val="30"/>
          <w:rFonts w:hint="eastAsia" w:ascii="黑体" w:hAnsi="黑体" w:eastAsia="黑体"/>
          <w:b w:val="0"/>
          <w:color w:val="auto"/>
          <w:highlight w:val="none"/>
        </w:rPr>
        <w:t>政府性基金预算支出决算情况说明</w:t>
      </w:r>
      <w:bookmarkEnd w:id="73"/>
      <w:bookmarkEnd w:id="74"/>
      <w:bookmarkEnd w:id="75"/>
      <w:bookmarkEnd w:id="76"/>
      <w:bookmarkEnd w:id="77"/>
    </w:p>
    <w:p>
      <w:pPr>
        <w:pageBreakBefore w:val="0"/>
        <w:kinsoku/>
        <w:wordWrap/>
        <w:topLinePunct w:val="0"/>
        <w:bidi w:val="0"/>
        <w:spacing w:line="576"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3100.16</w:t>
      </w:r>
      <w:r>
        <w:rPr>
          <w:rFonts w:hint="eastAsia" w:ascii="仿宋_GB2312" w:eastAsia="仿宋_GB2312"/>
          <w:color w:val="auto"/>
          <w:sz w:val="32"/>
          <w:szCs w:val="32"/>
          <w:highlight w:val="none"/>
        </w:rPr>
        <w:t>万元。</w:t>
      </w:r>
    </w:p>
    <w:p>
      <w:pPr>
        <w:pageBreakBefore w:val="0"/>
        <w:numPr>
          <w:ilvl w:val="0"/>
          <w:numId w:val="4"/>
        </w:numPr>
        <w:kinsoku/>
        <w:wordWrap/>
        <w:topLinePunct w:val="0"/>
        <w:bidi w:val="0"/>
        <w:spacing w:line="576" w:lineRule="exact"/>
        <w:ind w:firstLine="640"/>
        <w:outlineLvl w:val="1"/>
        <w:rPr>
          <w:rStyle w:val="30"/>
          <w:rFonts w:ascii="黑体" w:hAnsi="黑体" w:eastAsia="黑体"/>
          <w:b w:val="0"/>
          <w:color w:val="auto"/>
          <w:highlight w:val="none"/>
        </w:rPr>
      </w:pPr>
      <w:bookmarkStart w:id="78" w:name="_Toc2637"/>
      <w:bookmarkStart w:id="79" w:name="_Toc15396611"/>
      <w:bookmarkStart w:id="80" w:name="_Toc28871"/>
      <w:bookmarkStart w:id="81" w:name="_Toc15377219"/>
      <w:bookmarkStart w:id="82" w:name="_Toc28796"/>
      <w:r>
        <w:rPr>
          <w:rStyle w:val="30"/>
          <w:rFonts w:hint="eastAsia" w:ascii="黑体" w:hAnsi="黑体" w:eastAsia="黑体"/>
          <w:b w:val="0"/>
          <w:color w:val="auto"/>
          <w:highlight w:val="none"/>
        </w:rPr>
        <w:t>国有资本经营预算支出决算情况说明</w:t>
      </w:r>
      <w:bookmarkEnd w:id="78"/>
      <w:bookmarkEnd w:id="79"/>
      <w:bookmarkEnd w:id="80"/>
      <w:bookmarkEnd w:id="81"/>
      <w:bookmarkEnd w:id="82"/>
    </w:p>
    <w:p>
      <w:pPr>
        <w:pageBreakBefore w:val="0"/>
        <w:kinsoku/>
        <w:wordWrap/>
        <w:topLinePunct w:val="0"/>
        <w:bidi w:val="0"/>
        <w:spacing w:line="576" w:lineRule="exact"/>
        <w:ind w:firstLine="640"/>
        <w:rPr>
          <w:rFonts w:ascii="方正小标宋简体" w:hAnsi="方正小标宋简体" w:eastAsia="方正小标宋简体" w:cs="方正小标宋简体"/>
          <w:color w:val="auto"/>
          <w:sz w:val="44"/>
          <w:szCs w:val="44"/>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pageBreakBefore w:val="0"/>
        <w:numPr>
          <w:ilvl w:val="0"/>
          <w:numId w:val="4"/>
        </w:numPr>
        <w:kinsoku/>
        <w:wordWrap/>
        <w:topLinePunct w:val="0"/>
        <w:bidi w:val="0"/>
        <w:spacing w:line="576" w:lineRule="exact"/>
        <w:ind w:firstLine="640"/>
        <w:outlineLvl w:val="1"/>
        <w:rPr>
          <w:rStyle w:val="30"/>
          <w:rFonts w:hint="eastAsia" w:ascii="黑体" w:hAnsi="黑体" w:eastAsia="黑体"/>
          <w:b w:val="0"/>
          <w:color w:val="auto"/>
          <w:highlight w:val="none"/>
        </w:rPr>
      </w:pPr>
      <w:bookmarkStart w:id="83" w:name="_Toc2143"/>
      <w:bookmarkStart w:id="84" w:name="_Toc18387"/>
      <w:bookmarkStart w:id="85" w:name="_Toc9832"/>
      <w:bookmarkStart w:id="86" w:name="_Toc15377221"/>
      <w:bookmarkStart w:id="87" w:name="_Toc15396612"/>
      <w:r>
        <w:rPr>
          <w:rStyle w:val="30"/>
          <w:rFonts w:hint="eastAsia" w:ascii="黑体" w:hAnsi="黑体" w:eastAsia="黑体"/>
          <w:b w:val="0"/>
          <w:color w:val="auto"/>
          <w:highlight w:val="none"/>
          <w:lang w:val="en-US" w:eastAsia="zh-CN"/>
        </w:rPr>
        <w:t>预算绩效管理情况</w:t>
      </w:r>
      <w:bookmarkEnd w:id="83"/>
      <w:bookmarkEnd w:id="84"/>
      <w:bookmarkEnd w:id="85"/>
    </w:p>
    <w:p>
      <w:pPr>
        <w:pageBreakBefore w:val="0"/>
        <w:kinsoku/>
        <w:wordWrap/>
        <w:topLinePunct w:val="0"/>
        <w:bidi w:val="0"/>
        <w:spacing w:line="576"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根据预算绩效管理要求，本单位在</w:t>
      </w:r>
      <w:r>
        <w:rPr>
          <w:rFonts w:hint="eastAsia" w:ascii="仿宋_GB2312" w:hAnsi="仿宋_GB2312" w:eastAsia="仿宋_GB2312" w:cs="仿宋_GB2312"/>
          <w:color w:val="auto"/>
          <w:sz w:val="32"/>
          <w:szCs w:val="32"/>
          <w:highlight w:val="none"/>
          <w:lang w:val="en-US" w:eastAsia="zh-CN"/>
        </w:rPr>
        <w:t>2021年度</w:t>
      </w:r>
      <w:r>
        <w:rPr>
          <w:rFonts w:hint="eastAsia" w:ascii="仿宋_GB2312" w:hAnsi="仿宋_GB2312" w:eastAsia="仿宋_GB2312" w:cs="仿宋_GB2312"/>
          <w:color w:val="auto"/>
          <w:sz w:val="32"/>
          <w:szCs w:val="32"/>
          <w:highlight w:val="none"/>
        </w:rPr>
        <w:t>预算编制阶段，</w:t>
      </w:r>
      <w:r>
        <w:rPr>
          <w:rFonts w:hint="eastAsia" w:ascii="仿宋_GB2312" w:hAnsi="仿宋_GB2312" w:eastAsia="仿宋_GB2312" w:cs="仿宋_GB2312"/>
          <w:color w:val="auto"/>
          <w:sz w:val="32"/>
          <w:szCs w:val="32"/>
          <w:highlight w:val="none"/>
          <w:lang w:val="en-US" w:eastAsia="zh-CN"/>
        </w:rPr>
        <w:t>未</w:t>
      </w:r>
      <w:r>
        <w:rPr>
          <w:rFonts w:hint="eastAsia" w:ascii="仿宋_GB2312" w:hAnsi="仿宋_GB2312" w:eastAsia="仿宋_GB2312" w:cs="仿宋_GB2312"/>
          <w:color w:val="auto"/>
          <w:sz w:val="32"/>
          <w:szCs w:val="32"/>
          <w:highlight w:val="none"/>
          <w:lang w:eastAsia="zh-CN"/>
        </w:rPr>
        <w:t>开展预算事前绩效评估，</w:t>
      </w:r>
      <w:r>
        <w:rPr>
          <w:rFonts w:hint="eastAsia" w:ascii="仿宋_GB2312" w:hAnsi="仿宋_GB2312" w:eastAsia="仿宋_GB2312" w:cs="仿宋_GB2312"/>
          <w:color w:val="auto"/>
          <w:sz w:val="32"/>
          <w:szCs w:val="32"/>
          <w:highlight w:val="none"/>
        </w:rPr>
        <w:t>对</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个项目编制了绩效目标，预算执行过程中，</w:t>
      </w:r>
      <w:r>
        <w:rPr>
          <w:rFonts w:hint="eastAsia" w:ascii="仿宋_GB2312" w:hAnsi="仿宋_GB2312" w:eastAsia="仿宋_GB2312" w:cs="仿宋_GB2312"/>
          <w:color w:val="auto"/>
          <w:sz w:val="32"/>
          <w:szCs w:val="32"/>
          <w:highlight w:val="none"/>
          <w:lang w:val="en-US" w:eastAsia="zh-CN"/>
        </w:rPr>
        <w:t>对5</w:t>
      </w:r>
      <w:r>
        <w:rPr>
          <w:rFonts w:hint="eastAsia" w:ascii="仿宋_GB2312" w:hAnsi="仿宋_GB2312" w:eastAsia="仿宋_GB2312" w:cs="仿宋_GB2312"/>
          <w:color w:val="auto"/>
          <w:sz w:val="32"/>
          <w:szCs w:val="32"/>
          <w:highlight w:val="none"/>
        </w:rPr>
        <w:t>个项目开展绩效监控，年终执行完毕后，对</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个项目开展了绩效自评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2021年</w:t>
      </w:r>
      <w:bookmarkStart w:id="174" w:name="_GoBack"/>
      <w:bookmarkEnd w:id="174"/>
      <w:r>
        <w:rPr>
          <w:rFonts w:hint="eastAsia" w:ascii="仿宋_GB2312" w:hAnsi="仿宋_GB2312" w:eastAsia="仿宋_GB2312" w:cs="仿宋_GB2312"/>
          <w:color w:val="auto"/>
          <w:sz w:val="32"/>
          <w:szCs w:val="32"/>
          <w:highlight w:val="none"/>
          <w:lang w:val="en-US" w:eastAsia="zh-CN"/>
        </w:rPr>
        <w:t>部门预算项目绩效目标自评表见附件（第四部分）</w:t>
      </w:r>
      <w:r>
        <w:rPr>
          <w:rFonts w:hint="eastAsia" w:ascii="仿宋_GB2312" w:hAnsi="仿宋_GB2312" w:eastAsia="仿宋_GB2312" w:cs="仿宋_GB2312"/>
          <w:color w:val="auto"/>
          <w:sz w:val="32"/>
          <w:szCs w:val="32"/>
          <w:highlight w:val="none"/>
        </w:rPr>
        <w:t>。</w:t>
      </w:r>
    </w:p>
    <w:p>
      <w:pPr>
        <w:pageBreakBefore w:val="0"/>
        <w:numPr>
          <w:ilvl w:val="0"/>
          <w:numId w:val="4"/>
        </w:numPr>
        <w:kinsoku/>
        <w:wordWrap/>
        <w:topLinePunct w:val="0"/>
        <w:bidi w:val="0"/>
        <w:spacing w:line="576" w:lineRule="exact"/>
        <w:ind w:firstLine="640"/>
        <w:outlineLvl w:val="1"/>
        <w:rPr>
          <w:rStyle w:val="30"/>
          <w:rFonts w:hint="eastAsia" w:ascii="黑体" w:hAnsi="黑体" w:eastAsia="黑体"/>
          <w:b w:val="0"/>
          <w:color w:val="auto"/>
          <w:highlight w:val="none"/>
        </w:rPr>
      </w:pPr>
      <w:bookmarkStart w:id="88" w:name="_Toc19031"/>
      <w:bookmarkStart w:id="89" w:name="_Toc14854"/>
      <w:bookmarkStart w:id="90" w:name="_Toc29336"/>
      <w:r>
        <w:rPr>
          <w:rStyle w:val="30"/>
          <w:rFonts w:hint="eastAsia" w:ascii="黑体" w:hAnsi="黑体" w:eastAsia="黑体"/>
          <w:b w:val="0"/>
          <w:color w:val="auto"/>
          <w:highlight w:val="none"/>
        </w:rPr>
        <w:t>其他重要事项的情况说明</w:t>
      </w:r>
      <w:bookmarkEnd w:id="86"/>
      <w:bookmarkEnd w:id="87"/>
      <w:bookmarkEnd w:id="88"/>
      <w:bookmarkEnd w:id="89"/>
      <w:bookmarkEnd w:id="90"/>
    </w:p>
    <w:p>
      <w:pPr>
        <w:pageBreakBefore w:val="0"/>
        <w:kinsoku/>
        <w:wordWrap/>
        <w:topLinePunct w:val="0"/>
        <w:bidi w:val="0"/>
        <w:spacing w:line="576" w:lineRule="exact"/>
        <w:ind w:firstLine="643" w:firstLineChars="200"/>
        <w:outlineLvl w:val="2"/>
        <w:rPr>
          <w:rFonts w:ascii="仿宋" w:hAnsi="仿宋" w:eastAsia="仿宋"/>
          <w:color w:val="auto"/>
          <w:sz w:val="32"/>
          <w:szCs w:val="32"/>
          <w:highlight w:val="none"/>
        </w:rPr>
      </w:pPr>
      <w:bookmarkStart w:id="91" w:name="_Toc15377222"/>
      <w:r>
        <w:rPr>
          <w:rFonts w:hint="eastAsia" w:ascii="仿宋" w:hAnsi="仿宋" w:eastAsia="仿宋"/>
          <w:b/>
          <w:color w:val="auto"/>
          <w:sz w:val="32"/>
          <w:szCs w:val="32"/>
          <w:highlight w:val="none"/>
        </w:rPr>
        <w:t>（一）机关运行经费支出情况</w:t>
      </w:r>
      <w:bookmarkEnd w:id="91"/>
    </w:p>
    <w:p>
      <w:pPr>
        <w:pageBreakBefore w:val="0"/>
        <w:kinsoku/>
        <w:wordWrap/>
        <w:topLinePunct w:val="0"/>
        <w:bidi w:val="0"/>
        <w:spacing w:line="576"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我局</w:t>
      </w:r>
      <w:r>
        <w:rPr>
          <w:rFonts w:hint="eastAsia" w:ascii="仿宋_GB2312" w:eastAsia="仿宋_GB2312"/>
          <w:color w:val="auto"/>
          <w:sz w:val="32"/>
          <w:szCs w:val="32"/>
          <w:highlight w:val="none"/>
        </w:rPr>
        <w:t>机关运行经费支出</w:t>
      </w:r>
      <w:r>
        <w:rPr>
          <w:rFonts w:hint="eastAsia" w:ascii="仿宋_GB2312" w:eastAsia="仿宋_GB2312"/>
          <w:color w:val="auto"/>
          <w:sz w:val="32"/>
          <w:szCs w:val="32"/>
          <w:highlight w:val="none"/>
          <w:lang w:val="en-US" w:eastAsia="zh-CN"/>
        </w:rPr>
        <w:t>166.57</w:t>
      </w:r>
      <w:r>
        <w:rPr>
          <w:rFonts w:hint="eastAsia" w:ascii="仿宋_GB2312" w:eastAsia="仿宋_GB2312"/>
          <w:color w:val="auto"/>
          <w:sz w:val="32"/>
          <w:szCs w:val="32"/>
          <w:highlight w:val="none"/>
        </w:rPr>
        <w:t>万元，比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年增加</w:t>
      </w:r>
      <w:r>
        <w:rPr>
          <w:rFonts w:hint="eastAsia" w:ascii="仿宋_GB2312" w:eastAsia="仿宋_GB2312"/>
          <w:color w:val="auto"/>
          <w:sz w:val="32"/>
          <w:szCs w:val="32"/>
          <w:highlight w:val="none"/>
          <w:lang w:val="en-US" w:eastAsia="zh-CN"/>
        </w:rPr>
        <w:t>17.8</w:t>
      </w:r>
      <w:r>
        <w:rPr>
          <w:rFonts w:hint="eastAsia" w:ascii="仿宋_GB2312" w:eastAsia="仿宋_GB2312"/>
          <w:color w:val="auto"/>
          <w:sz w:val="32"/>
          <w:szCs w:val="32"/>
          <w:highlight w:val="none"/>
        </w:rPr>
        <w:t>万元，增长</w:t>
      </w:r>
      <w:r>
        <w:rPr>
          <w:rFonts w:hint="eastAsia" w:ascii="仿宋_GB2312" w:eastAsia="仿宋_GB2312"/>
          <w:color w:val="auto"/>
          <w:sz w:val="32"/>
          <w:szCs w:val="32"/>
          <w:highlight w:val="none"/>
          <w:lang w:val="en-US" w:eastAsia="zh-CN"/>
        </w:rPr>
        <w:t>11.96</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000000"/>
          <w:sz w:val="32"/>
          <w:szCs w:val="32"/>
          <w:lang w:val="en-US" w:eastAsia="zh-CN"/>
        </w:rPr>
        <w:t>2021年招商形势向好，</w:t>
      </w:r>
      <w:r>
        <w:rPr>
          <w:rFonts w:hint="eastAsia" w:ascii="仿宋_GB2312" w:eastAsia="仿宋_GB2312"/>
          <w:color w:val="000000"/>
          <w:sz w:val="32"/>
          <w:szCs w:val="32"/>
          <w:lang w:eastAsia="zh-CN"/>
        </w:rPr>
        <w:t>开展投资促进工作差旅费增加。</w:t>
      </w:r>
    </w:p>
    <w:p>
      <w:pPr>
        <w:pageBreakBefore w:val="0"/>
        <w:kinsoku/>
        <w:wordWrap/>
        <w:topLinePunct w:val="0"/>
        <w:autoSpaceDE w:val="0"/>
        <w:autoSpaceDN w:val="0"/>
        <w:bidi w:val="0"/>
        <w:adjustRightInd w:val="0"/>
        <w:spacing w:line="576" w:lineRule="exact"/>
        <w:ind w:firstLine="643" w:firstLineChars="200"/>
        <w:jc w:val="left"/>
        <w:outlineLvl w:val="2"/>
        <w:rPr>
          <w:rFonts w:ascii="仿宋" w:hAnsi="仿宋" w:eastAsia="仿宋"/>
          <w:b/>
          <w:color w:val="auto"/>
          <w:sz w:val="32"/>
          <w:szCs w:val="32"/>
          <w:highlight w:val="none"/>
        </w:rPr>
      </w:pPr>
      <w:bookmarkStart w:id="92" w:name="_Toc15377223"/>
      <w:r>
        <w:rPr>
          <w:rFonts w:hint="eastAsia" w:ascii="仿宋" w:hAnsi="仿宋" w:eastAsia="仿宋"/>
          <w:b/>
          <w:color w:val="auto"/>
          <w:sz w:val="32"/>
          <w:szCs w:val="32"/>
          <w:highlight w:val="none"/>
        </w:rPr>
        <w:t>（二）政府采购支出情况</w:t>
      </w:r>
      <w:bookmarkEnd w:id="92"/>
    </w:p>
    <w:p>
      <w:pPr>
        <w:pageBreakBefore w:val="0"/>
        <w:kinsoku/>
        <w:wordWrap/>
        <w:topLinePunct w:val="0"/>
        <w:bidi w:val="0"/>
        <w:spacing w:line="576"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我局</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万元，其中：政府采购货物支出</w:t>
      </w:r>
      <w:r>
        <w:rPr>
          <w:rFonts w:hint="eastAsia" w:ascii="仿宋_GB2312" w:eastAsia="仿宋_GB2312"/>
          <w:color w:val="auto"/>
          <w:sz w:val="32"/>
          <w:szCs w:val="32"/>
          <w:highlight w:val="none"/>
          <w:lang w:eastAsia="zh-CN"/>
        </w:rPr>
        <w:t>0</w:t>
      </w:r>
      <w:r>
        <w:rPr>
          <w:rFonts w:hint="eastAsia" w:ascii="仿宋_GB2312" w:eastAsia="仿宋_GB2312"/>
          <w:color w:val="auto"/>
          <w:sz w:val="32"/>
          <w:szCs w:val="32"/>
          <w:highlight w:val="none"/>
        </w:rPr>
        <w:t>万元、政府采购工程支出</w:t>
      </w:r>
      <w:r>
        <w:rPr>
          <w:rFonts w:hint="eastAsia" w:ascii="仿宋_GB2312" w:eastAsia="仿宋_GB2312"/>
          <w:color w:val="auto"/>
          <w:sz w:val="32"/>
          <w:szCs w:val="32"/>
          <w:highlight w:val="none"/>
          <w:lang w:eastAsia="zh-CN"/>
        </w:rPr>
        <w:t>0</w:t>
      </w:r>
      <w:r>
        <w:rPr>
          <w:rFonts w:hint="eastAsia" w:ascii="仿宋_GB2312" w:eastAsia="仿宋_GB2312"/>
          <w:color w:val="auto"/>
          <w:sz w:val="32"/>
          <w:szCs w:val="32"/>
          <w:highlight w:val="none"/>
        </w:rPr>
        <w:t>万元、政府采购服务支出</w:t>
      </w:r>
      <w:r>
        <w:rPr>
          <w:rFonts w:hint="eastAsia" w:ascii="仿宋_GB2312" w:eastAsia="仿宋_GB2312"/>
          <w:color w:val="auto"/>
          <w:sz w:val="32"/>
          <w:szCs w:val="32"/>
          <w:highlight w:val="none"/>
          <w:lang w:eastAsia="zh-CN"/>
        </w:rPr>
        <w:t>0</w:t>
      </w:r>
      <w:r>
        <w:rPr>
          <w:rFonts w:hint="eastAsia" w:ascii="仿宋_GB2312" w:eastAsia="仿宋_GB2312"/>
          <w:color w:val="auto"/>
          <w:sz w:val="32"/>
          <w:szCs w:val="32"/>
          <w:highlight w:val="none"/>
        </w:rPr>
        <w:t>万元。授予中小企业合同金额</w:t>
      </w:r>
      <w:r>
        <w:rPr>
          <w:rFonts w:hint="eastAsia" w:ascii="仿宋_GB2312" w:eastAsia="仿宋_GB2312"/>
          <w:color w:val="auto"/>
          <w:sz w:val="32"/>
          <w:szCs w:val="32"/>
          <w:highlight w:val="none"/>
          <w:lang w:eastAsia="zh-CN"/>
        </w:rPr>
        <w:t>0</w:t>
      </w:r>
      <w:r>
        <w:rPr>
          <w:rFonts w:hint="eastAsia" w:ascii="仿宋_GB2312" w:eastAsia="仿宋_GB2312"/>
          <w:color w:val="auto"/>
          <w:sz w:val="32"/>
          <w:szCs w:val="32"/>
          <w:highlight w:val="none"/>
        </w:rPr>
        <w:t>万元，其中：授予小微企业合同金额</w:t>
      </w:r>
      <w:r>
        <w:rPr>
          <w:rFonts w:hint="eastAsia" w:ascii="仿宋_GB2312" w:eastAsia="仿宋_GB2312"/>
          <w:color w:val="auto"/>
          <w:sz w:val="32"/>
          <w:szCs w:val="32"/>
          <w:highlight w:val="none"/>
          <w:lang w:eastAsia="zh-CN"/>
        </w:rPr>
        <w:t>0</w:t>
      </w:r>
      <w:r>
        <w:rPr>
          <w:rFonts w:hint="eastAsia" w:ascii="仿宋_GB2312" w:eastAsia="仿宋_GB2312"/>
          <w:color w:val="auto"/>
          <w:sz w:val="32"/>
          <w:szCs w:val="32"/>
          <w:highlight w:val="none"/>
        </w:rPr>
        <w:t>万元。</w:t>
      </w:r>
    </w:p>
    <w:p>
      <w:pPr>
        <w:pageBreakBefore w:val="0"/>
        <w:kinsoku/>
        <w:wordWrap/>
        <w:topLinePunct w:val="0"/>
        <w:autoSpaceDE w:val="0"/>
        <w:autoSpaceDN w:val="0"/>
        <w:bidi w:val="0"/>
        <w:adjustRightInd w:val="0"/>
        <w:spacing w:line="576" w:lineRule="exact"/>
        <w:ind w:firstLine="643" w:firstLineChars="200"/>
        <w:jc w:val="left"/>
        <w:outlineLvl w:val="2"/>
        <w:rPr>
          <w:rFonts w:ascii="仿宋" w:hAnsi="仿宋" w:eastAsia="仿宋"/>
          <w:b/>
          <w:color w:val="auto"/>
          <w:sz w:val="32"/>
          <w:szCs w:val="32"/>
          <w:highlight w:val="none"/>
        </w:rPr>
      </w:pPr>
      <w:bookmarkStart w:id="93" w:name="_Toc15377224"/>
      <w:r>
        <w:rPr>
          <w:rFonts w:hint="eastAsia" w:ascii="仿宋" w:hAnsi="仿宋" w:eastAsia="仿宋"/>
          <w:b/>
          <w:color w:val="auto"/>
          <w:sz w:val="32"/>
          <w:szCs w:val="32"/>
          <w:highlight w:val="none"/>
        </w:rPr>
        <w:t>（三）国有资产占有使用情况</w:t>
      </w:r>
      <w:bookmarkEnd w:id="93"/>
    </w:p>
    <w:p>
      <w:pPr>
        <w:pageBreakBefore w:val="0"/>
        <w:kinsoku/>
        <w:wordWrap/>
        <w:topLinePunct w:val="0"/>
        <w:autoSpaceDE w:val="0"/>
        <w:autoSpaceDN w:val="0"/>
        <w:bidi w:val="0"/>
        <w:adjustRightInd w:val="0"/>
        <w:spacing w:line="576"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eastAsia="zh-CN"/>
        </w:rPr>
        <w:t>我局</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eastAsia="zh-CN"/>
        </w:rPr>
        <w:t>0</w:t>
      </w:r>
      <w:r>
        <w:rPr>
          <w:rFonts w:hint="eastAsia" w:ascii="仿宋_GB2312" w:eastAsia="仿宋_GB2312"/>
          <w:color w:val="auto"/>
          <w:sz w:val="32"/>
          <w:szCs w:val="32"/>
          <w:highlight w:val="none"/>
        </w:rPr>
        <w:t>辆，其中：主要领导干部用车</w:t>
      </w:r>
      <w:r>
        <w:rPr>
          <w:rFonts w:hint="eastAsia" w:ascii="仿宋_GB2312" w:eastAsia="仿宋_GB2312"/>
          <w:color w:val="auto"/>
          <w:sz w:val="32"/>
          <w:szCs w:val="32"/>
          <w:highlight w:val="none"/>
          <w:lang w:eastAsia="zh-CN"/>
        </w:rPr>
        <w:t>0</w:t>
      </w:r>
      <w:r>
        <w:rPr>
          <w:rFonts w:hint="eastAsia" w:ascii="仿宋_GB2312" w:eastAsia="仿宋_GB2312"/>
          <w:color w:val="auto"/>
          <w:sz w:val="32"/>
          <w:szCs w:val="32"/>
          <w:highlight w:val="none"/>
        </w:rPr>
        <w:t>辆、机要通信用车</w:t>
      </w:r>
      <w:r>
        <w:rPr>
          <w:rFonts w:hint="eastAsia" w:ascii="仿宋_GB2312" w:eastAsia="仿宋_GB2312"/>
          <w:color w:val="auto"/>
          <w:sz w:val="32"/>
          <w:szCs w:val="32"/>
          <w:highlight w:val="none"/>
          <w:lang w:eastAsia="zh-CN"/>
        </w:rPr>
        <w:t>0</w:t>
      </w:r>
      <w:r>
        <w:rPr>
          <w:rFonts w:hint="eastAsia" w:ascii="仿宋_GB2312" w:eastAsia="仿宋_GB2312"/>
          <w:color w:val="auto"/>
          <w:sz w:val="32"/>
          <w:szCs w:val="32"/>
          <w:highlight w:val="none"/>
        </w:rPr>
        <w:t>辆、应急保障用车</w:t>
      </w:r>
      <w:r>
        <w:rPr>
          <w:rFonts w:hint="eastAsia" w:ascii="仿宋_GB2312" w:eastAsia="仿宋_GB2312"/>
          <w:color w:val="auto"/>
          <w:sz w:val="32"/>
          <w:szCs w:val="32"/>
          <w:highlight w:val="none"/>
          <w:lang w:eastAsia="zh-CN"/>
        </w:rPr>
        <w:t>0</w:t>
      </w:r>
      <w:r>
        <w:rPr>
          <w:rFonts w:hint="eastAsia" w:ascii="仿宋_GB2312" w:eastAsia="仿宋_GB2312"/>
          <w:color w:val="auto"/>
          <w:sz w:val="32"/>
          <w:szCs w:val="32"/>
          <w:highlight w:val="none"/>
        </w:rPr>
        <w:t>辆、其他用车</w:t>
      </w:r>
      <w:r>
        <w:rPr>
          <w:rFonts w:hint="eastAsia" w:ascii="仿宋_GB2312" w:eastAsia="仿宋_GB2312"/>
          <w:color w:val="auto"/>
          <w:sz w:val="32"/>
          <w:szCs w:val="32"/>
          <w:highlight w:val="none"/>
          <w:lang w:eastAsia="zh-CN"/>
        </w:rPr>
        <w:t>0</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单价</w:t>
      </w:r>
      <w:r>
        <w:rPr>
          <w:rFonts w:ascii="仿宋_GB2312" w:eastAsia="仿宋_GB2312"/>
          <w:color w:val="auto"/>
          <w:sz w:val="32"/>
          <w:szCs w:val="32"/>
          <w:highlight w:val="none"/>
        </w:rPr>
        <w:t>50</w:t>
      </w:r>
      <w:r>
        <w:rPr>
          <w:rFonts w:hint="eastAsia" w:ascii="仿宋_GB2312" w:eastAsia="仿宋_GB2312"/>
          <w:color w:val="auto"/>
          <w:sz w:val="32"/>
          <w:szCs w:val="32"/>
          <w:highlight w:val="none"/>
        </w:rPr>
        <w:t>万元以上通用设备</w:t>
      </w:r>
      <w:r>
        <w:rPr>
          <w:rFonts w:hint="eastAsia" w:ascii="仿宋_GB2312" w:eastAsia="仿宋_GB2312"/>
          <w:color w:val="auto"/>
          <w:sz w:val="32"/>
          <w:szCs w:val="32"/>
          <w:highlight w:val="none"/>
          <w:lang w:eastAsia="zh-CN"/>
        </w:rPr>
        <w:t>0</w:t>
      </w:r>
      <w:r>
        <w:rPr>
          <w:rFonts w:hint="eastAsia" w:ascii="仿宋_GB2312" w:eastAsia="仿宋_GB2312"/>
          <w:color w:val="auto"/>
          <w:sz w:val="32"/>
          <w:szCs w:val="32"/>
          <w:highlight w:val="none"/>
        </w:rPr>
        <w:t>台（套），单价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eastAsia="zh-CN"/>
        </w:rPr>
        <w:t>0</w:t>
      </w:r>
      <w:r>
        <w:rPr>
          <w:rFonts w:hint="eastAsia" w:ascii="仿宋_GB2312" w:eastAsia="仿宋_GB2312"/>
          <w:color w:val="auto"/>
          <w:sz w:val="32"/>
          <w:szCs w:val="32"/>
          <w:highlight w:val="none"/>
        </w:rPr>
        <w:t>台（套）。</w:t>
      </w:r>
    </w:p>
    <w:p>
      <w:pPr>
        <w:pStyle w:val="2"/>
        <w:pageBreakBefore w:val="0"/>
        <w:kinsoku/>
        <w:wordWrap/>
        <w:topLinePunct w:val="0"/>
        <w:bidi w:val="0"/>
        <w:spacing w:beforeLines="0" w:line="576" w:lineRule="exact"/>
        <w:rPr>
          <w:highlight w:val="yellow"/>
        </w:rPr>
      </w:pPr>
    </w:p>
    <w:p>
      <w:pPr>
        <w:pageBreakBefore w:val="0"/>
        <w:widowControl/>
        <w:kinsoku/>
        <w:wordWrap/>
        <w:topLinePunct w:val="0"/>
        <w:bidi w:val="0"/>
        <w:spacing w:line="576" w:lineRule="exact"/>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keepNext w:val="0"/>
        <w:keepLines w:val="0"/>
        <w:pageBreakBefore w:val="0"/>
        <w:widowControl w:val="0"/>
        <w:numPr>
          <w:ilvl w:val="0"/>
          <w:numId w:val="5"/>
        </w:numPr>
        <w:kinsoku/>
        <w:wordWrap/>
        <w:overflowPunct/>
        <w:topLinePunct w:val="0"/>
        <w:autoSpaceDE/>
        <w:autoSpaceDN/>
        <w:bidi w:val="0"/>
        <w:adjustRightInd/>
        <w:snapToGrid/>
        <w:spacing w:line="576" w:lineRule="exact"/>
        <w:ind w:firstLine="660" w:firstLineChars="150"/>
        <w:jc w:val="center"/>
        <w:textAlignment w:val="auto"/>
        <w:outlineLvl w:val="0"/>
        <w:rPr>
          <w:rStyle w:val="29"/>
          <w:rFonts w:ascii="黑体" w:hAnsi="黑体" w:eastAsia="黑体"/>
          <w:b w:val="0"/>
          <w:color w:val="auto"/>
          <w:highlight w:val="none"/>
        </w:rPr>
      </w:pPr>
      <w:bookmarkStart w:id="94" w:name="_Toc15377225"/>
      <w:bookmarkStart w:id="95" w:name="_Toc20740"/>
      <w:bookmarkStart w:id="96" w:name="_Toc9192"/>
      <w:bookmarkStart w:id="97" w:name="_Toc15396613"/>
      <w:bookmarkStart w:id="98" w:name="_Toc29916"/>
      <w:r>
        <w:rPr>
          <w:rFonts w:hint="eastAsia" w:ascii="黑体" w:hAnsi="黑体" w:eastAsia="黑体"/>
          <w:color w:val="auto"/>
          <w:sz w:val="44"/>
          <w:szCs w:val="44"/>
          <w:highlight w:val="none"/>
        </w:rPr>
        <w:t>名</w:t>
      </w:r>
      <w:r>
        <w:rPr>
          <w:rStyle w:val="29"/>
          <w:rFonts w:hint="eastAsia" w:ascii="黑体" w:hAnsi="黑体" w:eastAsia="黑体"/>
          <w:b w:val="0"/>
          <w:color w:val="auto"/>
          <w:highlight w:val="none"/>
        </w:rPr>
        <w:t>词解释</w:t>
      </w:r>
      <w:bookmarkEnd w:id="94"/>
      <w:bookmarkEnd w:id="95"/>
      <w:bookmarkEnd w:id="96"/>
      <w:bookmarkEnd w:id="97"/>
      <w:bookmarkEnd w:id="98"/>
    </w:p>
    <w:p>
      <w:pPr>
        <w:pageBreakBefore w:val="0"/>
        <w:kinsoku/>
        <w:wordWrap/>
        <w:topLinePunct w:val="0"/>
        <w:bidi w:val="0"/>
        <w:spacing w:line="576" w:lineRule="exact"/>
        <w:jc w:val="left"/>
        <w:rPr>
          <w:rFonts w:ascii="宋体"/>
          <w:b/>
          <w:color w:val="auto"/>
          <w:sz w:val="44"/>
          <w:szCs w:val="44"/>
          <w:highlight w:val="none"/>
        </w:rPr>
      </w:pPr>
    </w:p>
    <w:p>
      <w:pPr>
        <w:pStyle w:val="27"/>
        <w:pageBreakBefore w:val="0"/>
        <w:kinsoku/>
        <w:wordWrap/>
        <w:topLinePunct w:val="0"/>
        <w:bidi w:val="0"/>
        <w:spacing w:line="576"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p>
    <w:p>
      <w:pPr>
        <w:pStyle w:val="27"/>
        <w:pageBreakBefore w:val="0"/>
        <w:kinsoku/>
        <w:wordWrap/>
        <w:topLinePunct w:val="0"/>
        <w:bidi w:val="0"/>
        <w:spacing w:line="576"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w:t>
      </w:r>
      <w:r>
        <w:rPr>
          <w:rFonts w:ascii="仿宋_GB2312" w:eastAsia="仿宋_GB2312"/>
          <w:color w:val="auto"/>
          <w:sz w:val="32"/>
          <w:szCs w:val="32"/>
          <w:highlight w:val="none"/>
        </w:rPr>
        <w:t>.</w:t>
      </w:r>
      <w:r>
        <w:rPr>
          <w:rFonts w:hint="eastAsia" w:ascii="仿宋_GB2312" w:eastAsia="仿宋_GB2312"/>
          <w:color w:val="auto"/>
          <w:sz w:val="32"/>
          <w:szCs w:val="32"/>
          <w:highlight w:val="none"/>
        </w:rPr>
        <w:t>年初结转和结余：指以前年度尚未完成、结转到本年按有关规定继续使用的资金。</w:t>
      </w:r>
      <w:r>
        <w:rPr>
          <w:rFonts w:ascii="仿宋_GB2312" w:eastAsia="仿宋_GB2312"/>
          <w:color w:val="auto"/>
          <w:sz w:val="32"/>
          <w:szCs w:val="32"/>
          <w:highlight w:val="none"/>
        </w:rPr>
        <w:t xml:space="preserve"> </w:t>
      </w:r>
    </w:p>
    <w:p>
      <w:pPr>
        <w:pStyle w:val="27"/>
        <w:pageBreakBefore w:val="0"/>
        <w:kinsoku/>
        <w:wordWrap/>
        <w:topLinePunct w:val="0"/>
        <w:bidi w:val="0"/>
        <w:spacing w:line="576"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3</w:t>
      </w:r>
      <w:r>
        <w:rPr>
          <w:rFonts w:ascii="仿宋_GB2312" w:eastAsia="仿宋_GB2312"/>
          <w:color w:val="auto"/>
          <w:sz w:val="32"/>
          <w:szCs w:val="32"/>
          <w:highlight w:val="none"/>
        </w:rPr>
        <w:t>.</w:t>
      </w:r>
      <w:r>
        <w:rPr>
          <w:rFonts w:hint="eastAsia" w:ascii="仿宋_GB2312" w:eastAsia="仿宋_GB2312"/>
          <w:color w:val="auto"/>
          <w:sz w:val="32"/>
          <w:szCs w:val="32"/>
          <w:highlight w:val="none"/>
        </w:rPr>
        <w:t>年末结转和结余：指单位按有关规定结转到下年或以后年度继续使用的资金。</w:t>
      </w:r>
    </w:p>
    <w:p>
      <w:pPr>
        <w:pStyle w:val="15"/>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76" w:lineRule="exact"/>
        <w:ind w:left="0" w:leftChars="0" w:right="0" w:rightChars="0" w:firstLine="645"/>
        <w:jc w:val="left"/>
        <w:textAlignment w:val="auto"/>
        <w:outlineLvl w:val="9"/>
        <w:rPr>
          <w:rFonts w:ascii="仿宋_GB2312" w:eastAsia="仿宋_GB2312"/>
          <w:color w:val="000000"/>
          <w:sz w:val="32"/>
          <w:szCs w:val="32"/>
        </w:rPr>
      </w:pPr>
      <w:r>
        <w:rPr>
          <w:rFonts w:hint="eastAsia" w:ascii="仿宋_GB2312" w:eastAsia="仿宋_GB2312"/>
          <w:color w:val="000000"/>
          <w:sz w:val="32"/>
          <w:szCs w:val="32"/>
          <w:lang w:val="en-US" w:eastAsia="zh-CN"/>
        </w:rPr>
        <w:t>4</w:t>
      </w:r>
      <w:r>
        <w:rPr>
          <w:rFonts w:ascii="仿宋_GB2312" w:eastAsia="仿宋_GB2312"/>
          <w:color w:val="000000"/>
          <w:sz w:val="32"/>
          <w:szCs w:val="32"/>
        </w:rPr>
        <w:t>.</w:t>
      </w:r>
      <w:r>
        <w:rPr>
          <w:rFonts w:hint="default" w:ascii="仿宋_GB2312" w:hAnsi="微软雅黑" w:eastAsia="仿宋_GB2312" w:cs="仿宋_GB2312"/>
          <w:color w:val="auto"/>
          <w:sz w:val="31"/>
          <w:szCs w:val="31"/>
        </w:rPr>
        <w:t>一般公共服务（类）</w:t>
      </w:r>
      <w:r>
        <w:rPr>
          <w:rFonts w:hint="eastAsia" w:ascii="仿宋_GB2312" w:hAnsi="微软雅黑" w:eastAsia="仿宋_GB2312" w:cs="仿宋_GB2312"/>
          <w:color w:val="auto"/>
          <w:sz w:val="31"/>
          <w:szCs w:val="31"/>
          <w:lang w:eastAsia="zh-CN"/>
        </w:rPr>
        <w:t>商务</w:t>
      </w:r>
      <w:r>
        <w:rPr>
          <w:rFonts w:hint="default" w:ascii="仿宋_GB2312" w:hAnsi="微软雅黑" w:eastAsia="仿宋_GB2312" w:cs="仿宋_GB2312"/>
          <w:color w:val="auto"/>
          <w:sz w:val="31"/>
          <w:szCs w:val="31"/>
        </w:rPr>
        <w:t>事务（款）行政运行（项）</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指</w:t>
      </w:r>
      <w:r>
        <w:rPr>
          <w:rFonts w:hint="eastAsia" w:ascii="仿宋_GB2312" w:hAnsi="微软雅黑" w:eastAsia="仿宋_GB2312" w:cs="仿宋_GB2312"/>
          <w:color w:val="auto"/>
          <w:sz w:val="31"/>
          <w:szCs w:val="31"/>
          <w:lang w:eastAsia="zh-CN"/>
        </w:rPr>
        <w:t>局</w:t>
      </w:r>
      <w:r>
        <w:rPr>
          <w:rFonts w:hint="default" w:ascii="仿宋_GB2312" w:hAnsi="微软雅黑" w:eastAsia="仿宋_GB2312" w:cs="仿宋_GB2312"/>
          <w:color w:val="auto"/>
          <w:sz w:val="31"/>
          <w:szCs w:val="31"/>
        </w:rPr>
        <w:t>机关正常运转的基本支出，包括基本工资、津贴补贴等人员经费以及办公费、印刷费、水电费等日常公用经费,保障部门正常运转。</w:t>
      </w:r>
      <w:r>
        <w:rPr>
          <w:rFonts w:hint="eastAsia" w:ascii="微软雅黑" w:hAnsi="微软雅黑" w:eastAsia="微软雅黑" w:cs="微软雅黑"/>
          <w:color w:val="auto"/>
          <w:sz w:val="27"/>
          <w:szCs w:val="27"/>
        </w:rPr>
        <w:br w:type="textWrapping"/>
      </w:r>
      <w:r>
        <w:rPr>
          <w:rFonts w:hint="default" w:ascii="仿宋_GB2312" w:hAnsi="微软雅黑" w:eastAsia="仿宋_GB2312" w:cs="仿宋_GB2312"/>
          <w:color w:val="auto"/>
          <w:sz w:val="31"/>
          <w:szCs w:val="31"/>
        </w:rPr>
        <w:t>　　</w:t>
      </w:r>
      <w:r>
        <w:rPr>
          <w:rFonts w:hint="eastAsia" w:ascii="仿宋_GB2312" w:hAnsi="微软雅黑" w:eastAsia="仿宋_GB2312" w:cs="仿宋_GB2312"/>
          <w:color w:val="auto"/>
          <w:sz w:val="31"/>
          <w:szCs w:val="31"/>
          <w:lang w:val="en-US" w:eastAsia="zh-CN"/>
        </w:rPr>
        <w:t>5</w:t>
      </w:r>
      <w:r>
        <w:rPr>
          <w:rFonts w:hint="default" w:ascii="仿宋_GB2312" w:hAnsi="微软雅黑" w:eastAsia="仿宋_GB2312" w:cs="仿宋_GB2312"/>
          <w:color w:val="auto"/>
          <w:sz w:val="31"/>
          <w:szCs w:val="31"/>
        </w:rPr>
        <w:t>.一般公共服务（类）</w:t>
      </w:r>
      <w:r>
        <w:rPr>
          <w:rFonts w:hint="eastAsia" w:ascii="仿宋_GB2312" w:hAnsi="微软雅黑" w:eastAsia="仿宋_GB2312" w:cs="仿宋_GB2312"/>
          <w:color w:val="auto"/>
          <w:sz w:val="31"/>
          <w:szCs w:val="31"/>
          <w:lang w:eastAsia="zh-CN"/>
        </w:rPr>
        <w:t>商务</w:t>
      </w:r>
      <w:r>
        <w:rPr>
          <w:rFonts w:hint="default" w:ascii="仿宋_GB2312" w:hAnsi="微软雅黑" w:eastAsia="仿宋_GB2312" w:cs="仿宋_GB2312"/>
          <w:color w:val="auto"/>
          <w:sz w:val="31"/>
          <w:szCs w:val="31"/>
        </w:rPr>
        <w:t>事务（款）一般行政管理事务（项）</w:t>
      </w:r>
      <w:r>
        <w:rPr>
          <w:rFonts w:hint="eastAsia" w:ascii="仿宋_GB2312" w:hAnsi="微软雅黑" w:eastAsia="仿宋_GB2312" w:cs="仿宋_GB2312"/>
          <w:color w:val="auto"/>
          <w:sz w:val="31"/>
          <w:szCs w:val="31"/>
          <w:lang w:val="en-US" w:eastAsia="zh-CN"/>
        </w:rPr>
        <w:t>指</w:t>
      </w:r>
      <w:r>
        <w:rPr>
          <w:rFonts w:hint="eastAsia" w:ascii="仿宋_GB2312" w:hAnsi="微软雅黑" w:eastAsia="仿宋_GB2312" w:cs="仿宋_GB2312"/>
          <w:color w:val="auto"/>
          <w:sz w:val="31"/>
          <w:szCs w:val="31"/>
          <w:lang w:eastAsia="zh-CN"/>
        </w:rPr>
        <w:t>局</w:t>
      </w:r>
      <w:r>
        <w:rPr>
          <w:rFonts w:hint="default" w:ascii="仿宋_GB2312" w:hAnsi="微软雅黑" w:eastAsia="仿宋_GB2312" w:cs="仿宋_GB2312"/>
          <w:color w:val="auto"/>
          <w:sz w:val="31"/>
          <w:szCs w:val="31"/>
        </w:rPr>
        <w:t>机关</w:t>
      </w:r>
      <w:r>
        <w:rPr>
          <w:rFonts w:hint="eastAsia" w:ascii="仿宋_GB2312" w:hAnsi="微软雅黑" w:eastAsia="仿宋_GB2312" w:cs="仿宋_GB2312"/>
          <w:color w:val="auto"/>
          <w:sz w:val="31"/>
          <w:szCs w:val="31"/>
          <w:lang w:eastAsia="zh-CN"/>
        </w:rPr>
        <w:t>的事业人员的基本工资、绩效工资。</w:t>
      </w:r>
    </w:p>
    <w:p>
      <w:pPr>
        <w:pageBreakBefore w:val="0"/>
        <w:kinsoku/>
        <w:wordWrap/>
        <w:overflowPunct/>
        <w:topLinePunct w:val="0"/>
        <w:bidi w:val="0"/>
        <w:spacing w:line="576" w:lineRule="exact"/>
        <w:ind w:right="0" w:rightChars="0" w:firstLine="640"/>
        <w:textAlignment w:val="auto"/>
        <w:rPr>
          <w:rFonts w:hint="default" w:ascii="仿宋_GB2312" w:hAnsi="微软雅黑" w:eastAsia="仿宋_GB2312" w:cs="仿宋_GB2312"/>
          <w:color w:val="auto"/>
          <w:sz w:val="31"/>
          <w:szCs w:val="31"/>
        </w:rPr>
      </w:pPr>
      <w:r>
        <w:rPr>
          <w:rFonts w:hint="eastAsia" w:ascii="仿宋_GB2312" w:hAnsi="微软雅黑" w:eastAsia="仿宋_GB2312" w:cs="仿宋_GB2312"/>
          <w:color w:val="auto"/>
          <w:sz w:val="31"/>
          <w:szCs w:val="31"/>
          <w:lang w:val="en-US" w:eastAsia="zh-CN"/>
        </w:rPr>
        <w:t>6</w:t>
      </w:r>
      <w:r>
        <w:rPr>
          <w:rFonts w:hint="default" w:ascii="仿宋_GB2312" w:hAnsi="微软雅黑" w:eastAsia="仿宋_GB2312" w:cs="仿宋_GB2312"/>
          <w:color w:val="auto"/>
          <w:sz w:val="31"/>
          <w:szCs w:val="31"/>
        </w:rPr>
        <w:t>.社会保障和就业（类）行政</w:t>
      </w:r>
      <w:r>
        <w:rPr>
          <w:rFonts w:hint="eastAsia" w:ascii="仿宋_GB2312" w:hAnsi="微软雅黑" w:eastAsia="仿宋_GB2312" w:cs="仿宋_GB2312"/>
          <w:color w:val="auto"/>
          <w:sz w:val="31"/>
          <w:szCs w:val="31"/>
          <w:lang w:eastAsia="zh-CN"/>
        </w:rPr>
        <w:t>事业</w:t>
      </w:r>
      <w:r>
        <w:rPr>
          <w:rFonts w:hint="default" w:ascii="仿宋_GB2312" w:hAnsi="微软雅黑" w:eastAsia="仿宋_GB2312" w:cs="仿宋_GB2312"/>
          <w:color w:val="auto"/>
          <w:sz w:val="31"/>
          <w:szCs w:val="31"/>
        </w:rPr>
        <w:t>单位离退休</w:t>
      </w:r>
      <w:r>
        <w:rPr>
          <w:rFonts w:hint="eastAsia" w:ascii="仿宋_GB2312" w:hAnsi="微软雅黑" w:eastAsia="仿宋_GB2312" w:cs="仿宋_GB2312"/>
          <w:color w:val="auto"/>
          <w:sz w:val="31"/>
          <w:szCs w:val="31"/>
          <w:lang w:eastAsia="zh-CN"/>
        </w:rPr>
        <w:t>（款）机关</w:t>
      </w:r>
      <w:r>
        <w:rPr>
          <w:rFonts w:hint="default" w:ascii="仿宋_GB2312" w:hAnsi="微软雅黑" w:eastAsia="仿宋_GB2312" w:cs="仿宋_GB2312"/>
          <w:color w:val="auto"/>
          <w:sz w:val="31"/>
          <w:szCs w:val="31"/>
        </w:rPr>
        <w:t>事业单位</w:t>
      </w:r>
      <w:r>
        <w:rPr>
          <w:rFonts w:hint="eastAsia" w:ascii="仿宋_GB2312" w:hAnsi="微软雅黑" w:eastAsia="仿宋_GB2312" w:cs="仿宋_GB2312"/>
          <w:color w:val="auto"/>
          <w:sz w:val="31"/>
          <w:szCs w:val="31"/>
          <w:lang w:eastAsia="zh-CN"/>
        </w:rPr>
        <w:t>基本</w:t>
      </w:r>
      <w:r>
        <w:rPr>
          <w:rFonts w:hint="default" w:ascii="仿宋_GB2312" w:hAnsi="微软雅黑" w:eastAsia="仿宋_GB2312" w:cs="仿宋_GB2312"/>
          <w:color w:val="auto"/>
          <w:sz w:val="31"/>
          <w:szCs w:val="31"/>
        </w:rPr>
        <w:t>养老</w:t>
      </w:r>
      <w:r>
        <w:rPr>
          <w:rFonts w:hint="eastAsia" w:ascii="仿宋_GB2312" w:hAnsi="微软雅黑" w:eastAsia="仿宋_GB2312" w:cs="仿宋_GB2312"/>
          <w:color w:val="auto"/>
          <w:sz w:val="31"/>
          <w:szCs w:val="31"/>
          <w:lang w:eastAsia="zh-CN"/>
        </w:rPr>
        <w:t>保险缴费</w:t>
      </w:r>
      <w:r>
        <w:rPr>
          <w:rFonts w:hint="default" w:ascii="仿宋_GB2312" w:hAnsi="微软雅黑" w:eastAsia="仿宋_GB2312" w:cs="仿宋_GB2312"/>
          <w:color w:val="auto"/>
          <w:sz w:val="31"/>
          <w:szCs w:val="31"/>
        </w:rPr>
        <w:t>支出（项）</w:t>
      </w:r>
      <w:r>
        <w:rPr>
          <w:rFonts w:hint="eastAsia" w:ascii="仿宋_GB2312" w:hAnsi="微软雅黑" w:eastAsia="仿宋_GB2312" w:cs="仿宋_GB2312"/>
          <w:color w:val="auto"/>
          <w:sz w:val="31"/>
          <w:szCs w:val="31"/>
          <w:lang w:val="en-US" w:eastAsia="zh-CN"/>
        </w:rPr>
        <w:t>指</w:t>
      </w:r>
      <w:r>
        <w:rPr>
          <w:rFonts w:hint="default" w:ascii="仿宋_GB2312" w:hAnsi="微软雅黑" w:eastAsia="仿宋_GB2312" w:cs="仿宋_GB2312"/>
          <w:color w:val="auto"/>
          <w:sz w:val="31"/>
          <w:szCs w:val="31"/>
        </w:rPr>
        <w:t>机关</w:t>
      </w:r>
      <w:r>
        <w:rPr>
          <w:rFonts w:hint="eastAsia" w:ascii="仿宋_GB2312" w:hAnsi="微软雅黑" w:eastAsia="仿宋_GB2312" w:cs="仿宋_GB2312"/>
          <w:color w:val="auto"/>
          <w:sz w:val="31"/>
          <w:szCs w:val="31"/>
          <w:lang w:eastAsia="zh-CN"/>
        </w:rPr>
        <w:t>单位缴纳的基本养老保险</w:t>
      </w:r>
      <w:r>
        <w:rPr>
          <w:rFonts w:hint="default" w:ascii="仿宋_GB2312" w:hAnsi="微软雅黑" w:eastAsia="仿宋_GB2312" w:cs="仿宋_GB2312"/>
          <w:color w:val="auto"/>
          <w:sz w:val="31"/>
          <w:szCs w:val="31"/>
        </w:rPr>
        <w:t>。</w:t>
      </w:r>
      <w:r>
        <w:rPr>
          <w:rFonts w:hint="eastAsia" w:ascii="微软雅黑" w:hAnsi="微软雅黑" w:eastAsia="微软雅黑" w:cs="微软雅黑"/>
          <w:color w:val="auto"/>
          <w:sz w:val="27"/>
          <w:szCs w:val="27"/>
        </w:rPr>
        <w:br w:type="textWrapping"/>
      </w:r>
      <w:r>
        <w:rPr>
          <w:rFonts w:hint="default" w:ascii="仿宋_GB2312" w:hAnsi="微软雅黑" w:eastAsia="仿宋_GB2312" w:cs="仿宋_GB2312"/>
          <w:color w:val="auto"/>
          <w:sz w:val="31"/>
          <w:szCs w:val="31"/>
        </w:rPr>
        <w:t>　　</w:t>
      </w:r>
      <w:r>
        <w:rPr>
          <w:rFonts w:hint="eastAsia" w:ascii="仿宋_GB2312" w:hAnsi="微软雅黑" w:eastAsia="仿宋_GB2312" w:cs="仿宋_GB2312"/>
          <w:color w:val="auto"/>
          <w:sz w:val="31"/>
          <w:szCs w:val="31"/>
          <w:lang w:val="en-US" w:eastAsia="zh-CN"/>
        </w:rPr>
        <w:t>7</w:t>
      </w:r>
      <w:r>
        <w:rPr>
          <w:rFonts w:hint="default" w:ascii="仿宋_GB2312" w:hAnsi="微软雅黑" w:eastAsia="仿宋_GB2312" w:cs="仿宋_GB2312"/>
          <w:color w:val="auto"/>
          <w:sz w:val="31"/>
          <w:szCs w:val="31"/>
        </w:rPr>
        <w:t>.社会保障和就业（类）</w:t>
      </w:r>
      <w:r>
        <w:rPr>
          <w:rFonts w:hint="eastAsia" w:ascii="仿宋_GB2312" w:hAnsi="微软雅黑" w:eastAsia="仿宋_GB2312" w:cs="仿宋_GB2312"/>
          <w:color w:val="auto"/>
          <w:sz w:val="31"/>
          <w:szCs w:val="31"/>
          <w:lang w:eastAsia="zh-CN"/>
        </w:rPr>
        <w:t>其他社会保障和就业支出</w:t>
      </w:r>
      <w:r>
        <w:rPr>
          <w:rFonts w:hint="default" w:ascii="仿宋_GB2312" w:hAnsi="微软雅黑" w:eastAsia="仿宋_GB2312" w:cs="仿宋_GB2312"/>
          <w:color w:val="auto"/>
          <w:sz w:val="31"/>
          <w:szCs w:val="31"/>
        </w:rPr>
        <w:t>（款）</w:t>
      </w:r>
      <w:r>
        <w:rPr>
          <w:rFonts w:hint="eastAsia" w:ascii="仿宋_GB2312" w:hAnsi="微软雅黑" w:eastAsia="仿宋_GB2312" w:cs="仿宋_GB2312"/>
          <w:color w:val="auto"/>
          <w:sz w:val="31"/>
          <w:szCs w:val="31"/>
          <w:lang w:eastAsia="zh-CN"/>
        </w:rPr>
        <w:t>其他社会保障和就业支出</w:t>
      </w:r>
      <w:r>
        <w:rPr>
          <w:rFonts w:hint="default" w:ascii="仿宋_GB2312" w:hAnsi="微软雅黑" w:eastAsia="仿宋_GB2312" w:cs="仿宋_GB2312"/>
          <w:color w:val="auto"/>
          <w:sz w:val="31"/>
          <w:szCs w:val="31"/>
        </w:rPr>
        <w:t>（项）</w:t>
      </w:r>
      <w:r>
        <w:rPr>
          <w:rFonts w:hint="eastAsia" w:ascii="仿宋_GB2312" w:hAnsi="微软雅黑" w:eastAsia="仿宋_GB2312" w:cs="仿宋_GB2312"/>
          <w:color w:val="auto"/>
          <w:sz w:val="31"/>
          <w:szCs w:val="31"/>
          <w:lang w:val="en-US" w:eastAsia="zh-CN"/>
        </w:rPr>
        <w:t>指</w:t>
      </w:r>
      <w:r>
        <w:rPr>
          <w:rFonts w:hint="eastAsia" w:ascii="仿宋_GB2312" w:hAnsi="微软雅黑" w:eastAsia="仿宋_GB2312" w:cs="仿宋_GB2312"/>
          <w:color w:val="auto"/>
          <w:sz w:val="31"/>
          <w:szCs w:val="31"/>
          <w:lang w:eastAsia="zh-CN"/>
        </w:rPr>
        <w:t>机关事业单位缴纳的工伤保险、失业保险、生育保险。</w:t>
      </w:r>
      <w:r>
        <w:rPr>
          <w:rFonts w:hint="eastAsia" w:ascii="微软雅黑" w:hAnsi="微软雅黑" w:eastAsia="微软雅黑" w:cs="微软雅黑"/>
          <w:color w:val="auto"/>
          <w:sz w:val="27"/>
          <w:szCs w:val="27"/>
        </w:rPr>
        <w:br w:type="textWrapping"/>
      </w:r>
      <w:r>
        <w:rPr>
          <w:rFonts w:hint="default" w:ascii="仿宋_GB2312" w:hAnsi="微软雅黑" w:eastAsia="仿宋_GB2312" w:cs="仿宋_GB2312"/>
          <w:color w:val="auto"/>
          <w:sz w:val="31"/>
          <w:szCs w:val="31"/>
        </w:rPr>
        <w:t>　　</w:t>
      </w:r>
      <w:r>
        <w:rPr>
          <w:rFonts w:hint="eastAsia" w:ascii="仿宋_GB2312" w:hAnsi="微软雅黑" w:eastAsia="仿宋_GB2312" w:cs="仿宋_GB2312"/>
          <w:color w:val="auto"/>
          <w:sz w:val="31"/>
          <w:szCs w:val="31"/>
          <w:lang w:val="en-US" w:eastAsia="zh-CN"/>
        </w:rPr>
        <w:t>8</w:t>
      </w:r>
      <w:r>
        <w:rPr>
          <w:rFonts w:hint="default" w:ascii="仿宋_GB2312" w:hAnsi="微软雅黑" w:eastAsia="仿宋_GB2312" w:cs="仿宋_GB2312"/>
          <w:color w:val="auto"/>
          <w:sz w:val="31"/>
          <w:szCs w:val="31"/>
        </w:rPr>
        <w:t>.卫生健康支出（类）行政事业单位医疗（款）行政单位医疗（项</w:t>
      </w:r>
      <w:r>
        <w:rPr>
          <w:rFonts w:hint="eastAsia" w:ascii="仿宋_GB2312" w:hAnsi="微软雅黑" w:eastAsia="仿宋_GB2312" w:cs="仿宋_GB2312"/>
          <w:color w:val="auto"/>
          <w:sz w:val="31"/>
          <w:szCs w:val="31"/>
          <w:lang w:eastAsia="zh-CN"/>
        </w:rPr>
        <w:t>）</w:t>
      </w:r>
      <w:r>
        <w:rPr>
          <w:rFonts w:hint="eastAsia" w:ascii="仿宋_GB2312" w:hAnsi="微软雅黑" w:eastAsia="仿宋_GB2312" w:cs="仿宋_GB2312"/>
          <w:color w:val="auto"/>
          <w:sz w:val="31"/>
          <w:szCs w:val="31"/>
          <w:lang w:val="en-US" w:eastAsia="zh-CN"/>
        </w:rPr>
        <w:t>指</w:t>
      </w:r>
      <w:r>
        <w:rPr>
          <w:rFonts w:hint="eastAsia" w:ascii="仿宋_GB2312" w:hAnsi="微软雅黑" w:eastAsia="仿宋_GB2312" w:cs="仿宋_GB2312"/>
          <w:color w:val="auto"/>
          <w:sz w:val="31"/>
          <w:szCs w:val="31"/>
          <w:lang w:eastAsia="zh-CN"/>
        </w:rPr>
        <w:t>局</w:t>
      </w:r>
      <w:r>
        <w:rPr>
          <w:rFonts w:hint="default" w:ascii="仿宋_GB2312" w:hAnsi="微软雅黑" w:eastAsia="仿宋_GB2312" w:cs="仿宋_GB2312"/>
          <w:color w:val="auto"/>
          <w:sz w:val="31"/>
          <w:szCs w:val="31"/>
        </w:rPr>
        <w:t>机关</w:t>
      </w:r>
      <w:r>
        <w:rPr>
          <w:rFonts w:hint="eastAsia" w:ascii="仿宋_GB2312" w:hAnsi="微软雅黑" w:eastAsia="仿宋_GB2312" w:cs="仿宋_GB2312"/>
          <w:color w:val="auto"/>
          <w:sz w:val="31"/>
          <w:szCs w:val="31"/>
          <w:lang w:eastAsia="zh-CN"/>
        </w:rPr>
        <w:t>公务员</w:t>
      </w:r>
      <w:r>
        <w:rPr>
          <w:rFonts w:hint="default" w:ascii="仿宋_GB2312" w:hAnsi="微软雅黑" w:eastAsia="仿宋_GB2312" w:cs="仿宋_GB2312"/>
          <w:color w:val="auto"/>
          <w:sz w:val="31"/>
          <w:szCs w:val="31"/>
        </w:rPr>
        <w:t>按规定由单位缴纳的基本医疗保险支出。</w:t>
      </w:r>
      <w:r>
        <w:rPr>
          <w:rFonts w:hint="eastAsia" w:ascii="微软雅黑" w:hAnsi="微软雅黑" w:eastAsia="微软雅黑" w:cs="微软雅黑"/>
          <w:color w:val="auto"/>
          <w:sz w:val="27"/>
          <w:szCs w:val="27"/>
        </w:rPr>
        <w:br w:type="textWrapping"/>
      </w:r>
      <w:r>
        <w:rPr>
          <w:rFonts w:hint="default" w:ascii="仿宋_GB2312" w:hAnsi="微软雅黑" w:eastAsia="仿宋_GB2312" w:cs="仿宋_GB2312"/>
          <w:color w:val="auto"/>
          <w:sz w:val="31"/>
          <w:szCs w:val="31"/>
        </w:rPr>
        <w:t>　　</w:t>
      </w:r>
      <w:r>
        <w:rPr>
          <w:rFonts w:hint="eastAsia" w:ascii="仿宋_GB2312" w:hAnsi="微软雅黑" w:eastAsia="仿宋_GB2312" w:cs="仿宋_GB2312"/>
          <w:color w:val="auto"/>
          <w:sz w:val="31"/>
          <w:szCs w:val="31"/>
          <w:lang w:val="en-US" w:eastAsia="zh-CN"/>
        </w:rPr>
        <w:t>9</w:t>
      </w:r>
      <w:r>
        <w:rPr>
          <w:rFonts w:hint="default" w:ascii="仿宋_GB2312" w:hAnsi="微软雅黑" w:eastAsia="仿宋_GB2312" w:cs="仿宋_GB2312"/>
          <w:color w:val="auto"/>
          <w:sz w:val="31"/>
          <w:szCs w:val="31"/>
        </w:rPr>
        <w:t>.卫生健康支出（类）行政事业单位医疗（款）事业单位医疗（项）</w:t>
      </w:r>
      <w:r>
        <w:rPr>
          <w:rFonts w:hint="eastAsia" w:ascii="仿宋_GB2312" w:hAnsi="微软雅黑" w:eastAsia="仿宋_GB2312" w:cs="仿宋_GB2312"/>
          <w:color w:val="auto"/>
          <w:sz w:val="31"/>
          <w:szCs w:val="31"/>
          <w:lang w:val="en-US" w:eastAsia="zh-CN"/>
        </w:rPr>
        <w:t>指</w:t>
      </w:r>
      <w:r>
        <w:rPr>
          <w:rFonts w:hint="eastAsia" w:ascii="仿宋_GB2312" w:hAnsi="微软雅黑" w:eastAsia="仿宋_GB2312" w:cs="仿宋_GB2312"/>
          <w:color w:val="auto"/>
          <w:sz w:val="31"/>
          <w:szCs w:val="31"/>
          <w:lang w:eastAsia="zh-CN"/>
        </w:rPr>
        <w:t>局事业人员</w:t>
      </w:r>
      <w:r>
        <w:rPr>
          <w:rFonts w:hint="default" w:ascii="仿宋_GB2312" w:hAnsi="微软雅黑" w:eastAsia="仿宋_GB2312" w:cs="仿宋_GB2312"/>
          <w:color w:val="auto"/>
          <w:sz w:val="31"/>
          <w:szCs w:val="31"/>
        </w:rPr>
        <w:t>按规定由单位缴纳的基本医疗保险支出。</w:t>
      </w:r>
      <w:r>
        <w:rPr>
          <w:rFonts w:hint="eastAsia" w:ascii="微软雅黑" w:hAnsi="微软雅黑" w:eastAsia="微软雅黑" w:cs="微软雅黑"/>
          <w:color w:val="auto"/>
          <w:sz w:val="27"/>
          <w:szCs w:val="27"/>
        </w:rPr>
        <w:br w:type="textWrapping"/>
      </w:r>
      <w:r>
        <w:rPr>
          <w:rFonts w:hint="eastAsia" w:ascii="仿宋_GB2312" w:hAnsi="微软雅黑" w:eastAsia="仿宋_GB2312" w:cs="仿宋_GB2312"/>
          <w:color w:val="auto"/>
          <w:sz w:val="31"/>
          <w:szCs w:val="31"/>
          <w:lang w:val="en-US" w:eastAsia="zh-CN"/>
        </w:rPr>
        <w:t xml:space="preserve">    10</w:t>
      </w:r>
      <w:r>
        <w:rPr>
          <w:rFonts w:hint="default" w:ascii="仿宋_GB2312" w:hAnsi="微软雅黑" w:eastAsia="仿宋_GB2312" w:cs="仿宋_GB2312"/>
          <w:color w:val="auto"/>
          <w:sz w:val="31"/>
          <w:szCs w:val="31"/>
        </w:rPr>
        <w:t>.住房保障（类）住房改革支出（款）住房公积金（项）</w:t>
      </w:r>
      <w:r>
        <w:rPr>
          <w:rFonts w:hint="eastAsia" w:ascii="仿宋_GB2312" w:hAnsi="微软雅黑" w:eastAsia="仿宋_GB2312" w:cs="仿宋_GB2312"/>
          <w:color w:val="auto"/>
          <w:sz w:val="31"/>
          <w:szCs w:val="31"/>
          <w:lang w:val="en-US" w:eastAsia="zh-CN"/>
        </w:rPr>
        <w:t>指</w:t>
      </w:r>
      <w:r>
        <w:rPr>
          <w:rFonts w:hint="default" w:ascii="仿宋_GB2312" w:hAnsi="微软雅黑" w:eastAsia="仿宋_GB2312" w:cs="仿宋_GB2312"/>
          <w:color w:val="auto"/>
          <w:sz w:val="31"/>
          <w:szCs w:val="31"/>
        </w:rPr>
        <w:t>部门按人力资源和社会保障</w:t>
      </w:r>
      <w:r>
        <w:rPr>
          <w:rFonts w:hint="eastAsia" w:ascii="仿宋_GB2312" w:hAnsi="微软雅黑" w:eastAsia="仿宋_GB2312" w:cs="仿宋_GB2312"/>
          <w:color w:val="auto"/>
          <w:sz w:val="31"/>
          <w:szCs w:val="31"/>
          <w:lang w:eastAsia="zh-CN"/>
        </w:rPr>
        <w:t>局</w:t>
      </w:r>
      <w:r>
        <w:rPr>
          <w:rFonts w:hint="default" w:ascii="仿宋_GB2312" w:hAnsi="微软雅黑" w:eastAsia="仿宋_GB2312" w:cs="仿宋_GB2312"/>
          <w:color w:val="auto"/>
          <w:sz w:val="31"/>
          <w:szCs w:val="31"/>
        </w:rPr>
        <w:t>、财政</w:t>
      </w:r>
      <w:r>
        <w:rPr>
          <w:rFonts w:hint="eastAsia" w:ascii="仿宋_GB2312" w:hAnsi="微软雅黑" w:eastAsia="仿宋_GB2312" w:cs="仿宋_GB2312"/>
          <w:color w:val="auto"/>
          <w:sz w:val="31"/>
          <w:szCs w:val="31"/>
          <w:lang w:eastAsia="zh-CN"/>
        </w:rPr>
        <w:t>局</w:t>
      </w:r>
      <w:r>
        <w:rPr>
          <w:rFonts w:hint="default" w:ascii="仿宋_GB2312" w:hAnsi="微软雅黑" w:eastAsia="仿宋_GB2312" w:cs="仿宋_GB2312"/>
          <w:color w:val="auto"/>
          <w:sz w:val="31"/>
          <w:szCs w:val="31"/>
        </w:rPr>
        <w:t>规定的基本工资和津贴补贴以及规定比例为职工缴纳的住房公积金支出。</w:t>
      </w:r>
    </w:p>
    <w:p>
      <w:pPr>
        <w:pStyle w:val="8"/>
        <w:pageBreakBefore w:val="0"/>
        <w:kinsoku/>
        <w:wordWrap/>
        <w:overflowPunct/>
        <w:topLinePunct w:val="0"/>
        <w:bidi w:val="0"/>
        <w:spacing w:line="576" w:lineRule="exact"/>
        <w:ind w:left="0" w:leftChars="0" w:right="0" w:rightChars="0" w:firstLine="620" w:firstLineChars="200"/>
        <w:textAlignment w:val="auto"/>
        <w:rPr>
          <w:rFonts w:hint="eastAsia" w:ascii="仿宋_GB2312" w:hAnsi="微软雅黑" w:eastAsia="仿宋_GB2312" w:cs="仿宋_GB2312"/>
          <w:color w:val="auto"/>
          <w:kern w:val="2"/>
          <w:sz w:val="31"/>
          <w:szCs w:val="31"/>
          <w:lang w:val="en-US" w:eastAsia="zh-CN" w:bidi="ar-SA"/>
        </w:rPr>
      </w:pPr>
      <w:r>
        <w:rPr>
          <w:rFonts w:hint="eastAsia" w:ascii="仿宋_GB2312" w:hAnsi="微软雅黑" w:eastAsia="仿宋_GB2312" w:cs="仿宋_GB2312"/>
          <w:color w:val="auto"/>
          <w:kern w:val="2"/>
          <w:sz w:val="31"/>
          <w:szCs w:val="31"/>
          <w:lang w:val="en-US" w:eastAsia="zh-CN" w:bidi="ar-SA"/>
        </w:rPr>
        <w:t>11.科学技术（类）技术研究与开发（款）科技成果转化与扩散（项）指促进科技成果转化为现实生产力的应用、推广和引导性支出。</w:t>
      </w:r>
    </w:p>
    <w:p>
      <w:pPr>
        <w:pageBreakBefore w:val="0"/>
        <w:kinsoku/>
        <w:wordWrap/>
        <w:topLinePunct w:val="0"/>
        <w:bidi w:val="0"/>
        <w:spacing w:line="576" w:lineRule="exact"/>
        <w:ind w:firstLine="640" w:firstLineChars="200"/>
        <w:rPr>
          <w:rStyle w:val="18"/>
          <w:rFonts w:ascii="仿宋" w:hAnsi="仿宋" w:eastAsia="仿宋"/>
          <w:b w:val="0"/>
          <w:bCs w:val="0"/>
          <w:color w:val="auto"/>
          <w:sz w:val="32"/>
          <w:szCs w:val="32"/>
          <w:highlight w:val="none"/>
        </w:rPr>
      </w:pPr>
      <w:r>
        <w:rPr>
          <w:rStyle w:val="18"/>
          <w:rFonts w:hint="eastAsia" w:ascii="仿宋" w:hAnsi="仿宋" w:eastAsia="仿宋"/>
          <w:b w:val="0"/>
          <w:bCs w:val="0"/>
          <w:color w:val="auto"/>
          <w:sz w:val="32"/>
          <w:szCs w:val="32"/>
          <w:highlight w:val="none"/>
          <w:lang w:val="en-US" w:eastAsia="zh-CN"/>
        </w:rPr>
        <w:t>12</w:t>
      </w:r>
      <w:r>
        <w:rPr>
          <w:rStyle w:val="18"/>
          <w:rFonts w:ascii="仿宋" w:hAnsi="仿宋" w:eastAsia="仿宋"/>
          <w:b w:val="0"/>
          <w:bCs w:val="0"/>
          <w:color w:val="auto"/>
          <w:sz w:val="32"/>
          <w:szCs w:val="32"/>
          <w:highlight w:val="none"/>
        </w:rPr>
        <w:t>.</w:t>
      </w:r>
      <w:r>
        <w:rPr>
          <w:rFonts w:hint="eastAsia" w:ascii="仿宋" w:hAnsi="仿宋" w:eastAsia="仿宋" w:cs="Times New Roman"/>
          <w:b w:val="0"/>
          <w:bCs w:val="0"/>
          <w:spacing w:val="-3"/>
          <w:kern w:val="2"/>
          <w:sz w:val="32"/>
          <w:szCs w:val="24"/>
          <w:lang w:val="en-US" w:eastAsia="zh-CN" w:bidi="ar-SA"/>
        </w:rPr>
        <w:t>农林水支出（类）其他农林水支出（款）其他农林水支出（项）指除化解债务支出以外其他用于农林水方面的支出。</w:t>
      </w:r>
    </w:p>
    <w:p>
      <w:pPr>
        <w:pStyle w:val="2"/>
        <w:pageBreakBefore w:val="0"/>
        <w:kinsoku/>
        <w:wordWrap/>
        <w:topLinePunct w:val="0"/>
        <w:bidi w:val="0"/>
        <w:spacing w:beforeLines="0" w:line="576" w:lineRule="exact"/>
        <w:ind w:firstLine="600" w:firstLineChars="200"/>
        <w:rPr>
          <w:rFonts w:hint="default"/>
          <w:lang w:val="en-US" w:eastAsia="zh-CN"/>
        </w:rPr>
      </w:pPr>
      <w:r>
        <w:rPr>
          <w:rFonts w:hint="eastAsia"/>
          <w:lang w:val="en-US" w:eastAsia="zh-CN"/>
        </w:rPr>
        <w:t>13.</w:t>
      </w:r>
      <w:r>
        <w:rPr>
          <w:rFonts w:hint="default"/>
          <w:lang w:val="en-US" w:eastAsia="zh-CN"/>
        </w:rPr>
        <w:t>城乡社区支出</w:t>
      </w:r>
      <w:r>
        <w:rPr>
          <w:rFonts w:hint="eastAsia" w:ascii="仿宋" w:hAnsi="仿宋" w:eastAsia="仿宋" w:cs="Times New Roman"/>
          <w:b w:val="0"/>
          <w:bCs w:val="0"/>
          <w:spacing w:val="-3"/>
          <w:kern w:val="2"/>
          <w:sz w:val="32"/>
          <w:szCs w:val="24"/>
          <w:lang w:val="en-US" w:eastAsia="zh-CN" w:bidi="ar-SA"/>
        </w:rPr>
        <w:t>（类）</w:t>
      </w:r>
      <w:r>
        <w:rPr>
          <w:rFonts w:hint="eastAsia"/>
          <w:lang w:val="en-US" w:eastAsia="zh-CN"/>
        </w:rPr>
        <w:t>国有土地使用权出让收入安排的支出</w:t>
      </w:r>
      <w:r>
        <w:rPr>
          <w:rFonts w:hint="eastAsia" w:ascii="仿宋" w:hAnsi="仿宋" w:eastAsia="仿宋" w:cs="Times New Roman"/>
          <w:b w:val="0"/>
          <w:bCs w:val="0"/>
          <w:spacing w:val="-3"/>
          <w:kern w:val="2"/>
          <w:sz w:val="32"/>
          <w:szCs w:val="24"/>
          <w:lang w:val="en-US" w:eastAsia="zh-CN" w:bidi="ar-SA"/>
        </w:rPr>
        <w:t>（款）</w:t>
      </w:r>
      <w:r>
        <w:rPr>
          <w:rFonts w:hint="eastAsia"/>
          <w:lang w:val="en-US" w:eastAsia="zh-CN"/>
        </w:rPr>
        <w:t>其他国有土地使用权出让收入安排的支出</w:t>
      </w:r>
      <w:r>
        <w:rPr>
          <w:rFonts w:hint="eastAsia" w:ascii="仿宋" w:hAnsi="仿宋" w:eastAsia="仿宋" w:cs="Times New Roman"/>
          <w:b w:val="0"/>
          <w:bCs w:val="0"/>
          <w:spacing w:val="-3"/>
          <w:kern w:val="2"/>
          <w:sz w:val="32"/>
          <w:szCs w:val="24"/>
          <w:lang w:val="en-US" w:eastAsia="zh-CN" w:bidi="ar-SA"/>
        </w:rPr>
        <w:t>（项）指</w:t>
      </w:r>
      <w:r>
        <w:rPr>
          <w:rFonts w:hint="eastAsia"/>
          <w:lang w:val="en-US" w:eastAsia="zh-CN"/>
        </w:rPr>
        <w:t>其他国有土地使用权出让收入安排的支出。</w:t>
      </w:r>
    </w:p>
    <w:p>
      <w:pPr>
        <w:pStyle w:val="2"/>
        <w:pageBreakBefore w:val="0"/>
        <w:kinsoku/>
        <w:wordWrap/>
        <w:overflowPunct/>
        <w:topLinePunct w:val="0"/>
        <w:bidi w:val="0"/>
        <w:spacing w:beforeLines="0" w:line="576" w:lineRule="exact"/>
        <w:ind w:right="0" w:rightChars="0" w:firstLine="620" w:firstLineChars="200"/>
        <w:textAlignment w:val="auto"/>
        <w:rPr>
          <w:rFonts w:hint="eastAsia" w:hAnsi="微软雅黑" w:cs="仿宋_GB2312"/>
          <w:color w:val="auto"/>
          <w:kern w:val="2"/>
          <w:sz w:val="31"/>
          <w:szCs w:val="31"/>
          <w:lang w:val="en-US" w:eastAsia="zh-CN" w:bidi="ar-SA"/>
        </w:rPr>
      </w:pPr>
      <w:r>
        <w:rPr>
          <w:rFonts w:hint="eastAsia" w:ascii="仿宋_GB2312" w:hAnsi="微软雅黑" w:eastAsia="仿宋_GB2312" w:cs="仿宋_GB2312"/>
          <w:color w:val="auto"/>
          <w:kern w:val="2"/>
          <w:sz w:val="31"/>
          <w:szCs w:val="31"/>
          <w:lang w:val="en-US" w:eastAsia="zh-CN" w:bidi="ar-SA"/>
        </w:rPr>
        <w:t>1</w:t>
      </w:r>
      <w:r>
        <w:rPr>
          <w:rFonts w:hint="eastAsia" w:hAnsi="微软雅黑" w:cs="仿宋_GB2312"/>
          <w:color w:val="auto"/>
          <w:kern w:val="2"/>
          <w:sz w:val="31"/>
          <w:szCs w:val="31"/>
          <w:lang w:val="en-US" w:eastAsia="zh-CN" w:bidi="ar-SA"/>
        </w:rPr>
        <w:t>4</w:t>
      </w:r>
      <w:r>
        <w:rPr>
          <w:rFonts w:hint="eastAsia" w:ascii="仿宋_GB2312" w:hAnsi="微软雅黑" w:eastAsia="仿宋_GB2312" w:cs="仿宋_GB2312"/>
          <w:color w:val="auto"/>
          <w:kern w:val="2"/>
          <w:sz w:val="31"/>
          <w:szCs w:val="31"/>
          <w:lang w:val="en-US" w:eastAsia="zh-CN" w:bidi="ar-SA"/>
        </w:rPr>
        <w:t>.资源勘探信息等支出（类）制造业（款）其他制造业支出（项）指</w:t>
      </w:r>
      <w:r>
        <w:rPr>
          <w:rFonts w:hint="eastAsia" w:hAnsi="微软雅黑" w:cs="仿宋_GB2312"/>
          <w:color w:val="auto"/>
          <w:kern w:val="2"/>
          <w:sz w:val="31"/>
          <w:szCs w:val="31"/>
          <w:lang w:val="en-US" w:eastAsia="zh-CN" w:bidi="ar-SA"/>
        </w:rPr>
        <w:t>其他用于制造业方面的支出。</w:t>
      </w:r>
    </w:p>
    <w:p>
      <w:pPr>
        <w:pStyle w:val="2"/>
        <w:pageBreakBefore w:val="0"/>
        <w:kinsoku/>
        <w:wordWrap/>
        <w:overflowPunct/>
        <w:topLinePunct w:val="0"/>
        <w:bidi w:val="0"/>
        <w:spacing w:beforeLines="0" w:line="576" w:lineRule="exact"/>
        <w:ind w:firstLine="628" w:firstLineChars="200"/>
        <w:textAlignment w:val="auto"/>
        <w:rPr>
          <w:rFonts w:hint="eastAsia" w:ascii="仿宋" w:hAnsi="仿宋" w:eastAsia="仿宋" w:cs="Times New Roman"/>
          <w:b w:val="0"/>
          <w:bCs w:val="0"/>
          <w:spacing w:val="-3"/>
          <w:kern w:val="2"/>
          <w:sz w:val="32"/>
          <w:szCs w:val="24"/>
          <w:lang w:val="en-US" w:eastAsia="zh-CN" w:bidi="ar-SA"/>
        </w:rPr>
      </w:pPr>
      <w:r>
        <w:rPr>
          <w:rFonts w:hint="eastAsia" w:ascii="仿宋" w:hAnsi="仿宋" w:eastAsia="仿宋" w:cs="Times New Roman"/>
          <w:b w:val="0"/>
          <w:bCs w:val="0"/>
          <w:spacing w:val="-3"/>
          <w:kern w:val="2"/>
          <w:sz w:val="32"/>
          <w:szCs w:val="24"/>
          <w:lang w:val="en-US" w:eastAsia="zh-CN" w:bidi="ar-SA"/>
        </w:rPr>
        <w:t>15.制造业（类）支持中小企业发展和管理支出（款）中小企业发展专项（项）指用于支出中小企业公共服务体系和融资服务体系建设等方面的支出。</w:t>
      </w:r>
    </w:p>
    <w:p>
      <w:pPr>
        <w:pStyle w:val="2"/>
        <w:pageBreakBefore w:val="0"/>
        <w:kinsoku/>
        <w:wordWrap/>
        <w:overflowPunct/>
        <w:topLinePunct w:val="0"/>
        <w:bidi w:val="0"/>
        <w:spacing w:beforeLines="0" w:line="576" w:lineRule="exact"/>
        <w:ind w:firstLine="628" w:firstLineChars="200"/>
        <w:textAlignment w:val="auto"/>
        <w:rPr>
          <w:rFonts w:hint="eastAsia"/>
          <w:lang w:val="en-US" w:eastAsia="zh-CN"/>
        </w:rPr>
      </w:pPr>
      <w:r>
        <w:rPr>
          <w:rFonts w:hint="eastAsia" w:ascii="仿宋" w:hAnsi="仿宋" w:eastAsia="仿宋" w:cs="Times New Roman"/>
          <w:b w:val="0"/>
          <w:bCs w:val="0"/>
          <w:spacing w:val="-3"/>
          <w:kern w:val="2"/>
          <w:sz w:val="32"/>
          <w:szCs w:val="24"/>
          <w:lang w:val="en-US" w:eastAsia="zh-CN" w:bidi="ar-SA"/>
        </w:rPr>
        <w:t>16.制造业（类）支持中小企业发展和管理支出（款）其他支持中小企业发展和管理支出（项）指其他支持中小企业发展和管理方面的支出。</w:t>
      </w:r>
    </w:p>
    <w:p>
      <w:pPr>
        <w:pageBreakBefore w:val="0"/>
        <w:kinsoku/>
        <w:wordWrap/>
        <w:topLinePunct w:val="0"/>
        <w:bidi w:val="0"/>
        <w:spacing w:line="576"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w:t>
      </w:r>
      <w:r>
        <w:rPr>
          <w:rFonts w:ascii="仿宋_GB2312" w:eastAsia="仿宋_GB2312"/>
          <w:color w:val="auto"/>
          <w:sz w:val="32"/>
          <w:szCs w:val="32"/>
          <w:highlight w:val="none"/>
        </w:rPr>
        <w:t>7.</w:t>
      </w:r>
      <w:r>
        <w:rPr>
          <w:rFonts w:hint="eastAsia" w:ascii="仿宋_GB2312" w:eastAsia="仿宋_GB2312"/>
          <w:color w:val="auto"/>
          <w:sz w:val="32"/>
          <w:szCs w:val="32"/>
          <w:highlight w:val="none"/>
        </w:rPr>
        <w:t>基本支出：指为保障机构正常运转、完成日常工作任务而发生的人员支出和公用支出。</w:t>
      </w:r>
    </w:p>
    <w:p>
      <w:pPr>
        <w:pageBreakBefore w:val="0"/>
        <w:kinsoku/>
        <w:wordWrap/>
        <w:topLinePunct w:val="0"/>
        <w:bidi w:val="0"/>
        <w:spacing w:line="576"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w:t>
      </w:r>
      <w:r>
        <w:rPr>
          <w:rFonts w:ascii="仿宋_GB2312" w:eastAsia="仿宋_GB2312"/>
          <w:color w:val="auto"/>
          <w:sz w:val="32"/>
          <w:szCs w:val="32"/>
          <w:highlight w:val="none"/>
        </w:rPr>
        <w:t>8.</w:t>
      </w:r>
      <w:r>
        <w:rPr>
          <w:rFonts w:hint="eastAsia" w:ascii="仿宋_GB2312" w:eastAsia="仿宋_GB2312"/>
          <w:color w:val="auto"/>
          <w:sz w:val="32"/>
          <w:szCs w:val="32"/>
          <w:highlight w:val="none"/>
        </w:rPr>
        <w:t>项目支出：指在基本支出之外为完成特定行政任务和事业发展目标所发生的支出。</w:t>
      </w:r>
      <w:r>
        <w:rPr>
          <w:rFonts w:ascii="仿宋_GB2312" w:eastAsia="仿宋_GB2312"/>
          <w:color w:val="auto"/>
          <w:sz w:val="32"/>
          <w:szCs w:val="32"/>
          <w:highlight w:val="none"/>
        </w:rPr>
        <w:t xml:space="preserve"> </w:t>
      </w:r>
    </w:p>
    <w:p>
      <w:pPr>
        <w:pageBreakBefore w:val="0"/>
        <w:kinsoku/>
        <w:wordWrap/>
        <w:topLinePunct w:val="0"/>
        <w:bidi w:val="0"/>
        <w:spacing w:line="576"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w:t>
      </w:r>
      <w:r>
        <w:rPr>
          <w:rFonts w:ascii="仿宋_GB2312" w:eastAsia="仿宋_GB2312"/>
          <w:color w:val="auto"/>
          <w:sz w:val="32"/>
          <w:szCs w:val="32"/>
          <w:highlight w:val="none"/>
        </w:rPr>
        <w:t>9.</w:t>
      </w:r>
      <w:r>
        <w:rPr>
          <w:rFonts w:hint="eastAsia" w:ascii="仿宋_GB2312" w:eastAsia="仿宋_GB2312"/>
          <w:color w:val="auto"/>
          <w:sz w:val="32"/>
          <w:szCs w:val="32"/>
          <w:highlight w:val="none"/>
        </w:rPr>
        <w:t>经营支出：指事业单位在专业业务活动及其辅助活动之外开展非独立核算经营活动发生的支出。</w:t>
      </w:r>
    </w:p>
    <w:p>
      <w:pPr>
        <w:pStyle w:val="27"/>
        <w:pageBreakBefore w:val="0"/>
        <w:kinsoku/>
        <w:wordWrap/>
        <w:topLinePunct w:val="0"/>
        <w:bidi w:val="0"/>
        <w:spacing w:line="576"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w:t>
      </w:r>
      <w:r>
        <w:rPr>
          <w:rFonts w:ascii="仿宋_GB2312" w:eastAsia="仿宋_GB2312"/>
          <w:color w:val="auto"/>
          <w:sz w:val="32"/>
          <w:szCs w:val="32"/>
          <w:highlight w:val="none"/>
        </w:rPr>
        <w:t>0.</w:t>
      </w:r>
      <w:r>
        <w:rPr>
          <w:rFonts w:hint="eastAsia" w:ascii="仿宋_GB2312" w:eastAsia="仿宋_GB2312"/>
          <w:color w:val="auto"/>
          <w:sz w:val="32"/>
          <w:szCs w:val="32"/>
          <w:highlight w:val="none"/>
        </w:rPr>
        <w:t>“三公”经费：指</w:t>
      </w:r>
      <w:r>
        <w:rPr>
          <w:rFonts w:hint="eastAsia" w:ascii="仿宋_GB2312" w:eastAsia="仿宋_GB2312"/>
          <w:color w:val="auto"/>
          <w:sz w:val="32"/>
          <w:szCs w:val="32"/>
          <w:highlight w:val="none"/>
          <w:lang w:eastAsia="zh-CN"/>
        </w:rPr>
        <w:t>单位</w:t>
      </w:r>
      <w:r>
        <w:rPr>
          <w:rFonts w:hint="eastAsia" w:ascii="仿宋_GB2312" w:eastAsia="仿宋_GB2312"/>
          <w:color w:val="auto"/>
          <w:sz w:val="32"/>
          <w:szCs w:val="32"/>
          <w:highlight w:val="none"/>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7"/>
        <w:pageBreakBefore w:val="0"/>
        <w:kinsoku/>
        <w:wordWrap/>
        <w:topLinePunct w:val="0"/>
        <w:bidi w:val="0"/>
        <w:spacing w:line="576"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w:t>
      </w:r>
      <w:r>
        <w:rPr>
          <w:rFonts w:ascii="仿宋_GB2312" w:eastAsia="仿宋_GB2312"/>
          <w:color w:val="auto"/>
          <w:sz w:val="32"/>
          <w:szCs w:val="32"/>
          <w:highlight w:val="none"/>
        </w:rPr>
        <w:t>1.</w:t>
      </w:r>
      <w:r>
        <w:rPr>
          <w:rFonts w:hint="eastAsia" w:ascii="仿宋_GB2312" w:eastAsia="仿宋_GB2312"/>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0"/>
        <w:rPr>
          <w:rStyle w:val="29"/>
          <w:rFonts w:hint="eastAsia" w:ascii="黑体" w:hAnsi="黑体" w:eastAsia="黑体"/>
          <w:b w:val="0"/>
          <w:color w:val="auto"/>
          <w:highlight w:val="none"/>
        </w:rPr>
      </w:pPr>
      <w:bookmarkStart w:id="99" w:name="_Toc15377226"/>
      <w:r>
        <w:rPr>
          <w:rFonts w:ascii="宋体"/>
          <w:b/>
          <w:color w:val="auto"/>
          <w:sz w:val="44"/>
          <w:szCs w:val="44"/>
          <w:highlight w:val="none"/>
        </w:rPr>
        <w:br w:type="page"/>
      </w:r>
      <w:bookmarkStart w:id="100" w:name="_Toc8816"/>
      <w:bookmarkStart w:id="101" w:name="_Toc25281"/>
      <w:bookmarkStart w:id="102" w:name="_Toc15396614"/>
      <w:bookmarkStart w:id="103" w:name="_Toc26505"/>
      <w:r>
        <w:rPr>
          <w:rFonts w:hint="eastAsia" w:ascii="黑体" w:hAnsi="黑体" w:eastAsia="黑体"/>
          <w:color w:val="auto"/>
          <w:sz w:val="44"/>
          <w:szCs w:val="44"/>
          <w:highlight w:val="none"/>
        </w:rPr>
        <w:t>第</w:t>
      </w:r>
      <w:r>
        <w:rPr>
          <w:rStyle w:val="29"/>
          <w:rFonts w:hint="eastAsia" w:ascii="黑体" w:hAnsi="黑体" w:eastAsia="黑体"/>
          <w:b w:val="0"/>
          <w:color w:val="auto"/>
          <w:highlight w:val="none"/>
        </w:rPr>
        <w:t>四部分 附件</w:t>
      </w:r>
      <w:bookmarkEnd w:id="100"/>
      <w:bookmarkEnd w:id="101"/>
      <w:bookmarkEnd w:id="102"/>
      <w:bookmarkEnd w:id="103"/>
    </w:p>
    <w:p>
      <w:pPr>
        <w:pStyle w:val="2"/>
        <w:keepNext w:val="0"/>
        <w:keepLines w:val="0"/>
        <w:pageBreakBefore w:val="0"/>
        <w:widowControl w:val="0"/>
        <w:kinsoku/>
        <w:wordWrap/>
        <w:overflowPunct/>
        <w:topLinePunct w:val="0"/>
        <w:autoSpaceDE/>
        <w:autoSpaceDN/>
        <w:bidi w:val="0"/>
        <w:adjustRightInd/>
        <w:snapToGrid/>
        <w:spacing w:before="95" w:beforeLines="30" w:line="240" w:lineRule="auto"/>
        <w:ind w:left="0" w:leftChars="0" w:right="0" w:rightChars="0" w:firstLine="0" w:firstLineChars="0"/>
        <w:jc w:val="both"/>
        <w:textAlignment w:val="auto"/>
        <w:outlineLvl w:val="1"/>
      </w:pPr>
      <w:bookmarkStart w:id="104" w:name="_Toc22858"/>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val="en-US" w:eastAsia="zh-CN"/>
        </w:rPr>
        <w:t>1</w:t>
      </w:r>
      <w:bookmarkEnd w:id="104"/>
    </w:p>
    <w:tbl>
      <w:tblPr>
        <w:tblStyle w:val="16"/>
        <w:tblpPr w:leftFromText="180" w:rightFromText="180" w:vertAnchor="text" w:horzAnchor="page" w:tblpX="1371" w:tblpY="619"/>
        <w:tblOverlap w:val="never"/>
        <w:tblW w:w="957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26"/>
        <w:gridCol w:w="1224"/>
        <w:gridCol w:w="469"/>
        <w:gridCol w:w="1007"/>
        <w:gridCol w:w="628"/>
        <w:gridCol w:w="891"/>
        <w:gridCol w:w="1323"/>
        <w:gridCol w:w="485"/>
        <w:gridCol w:w="21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exact"/>
        </w:trPr>
        <w:tc>
          <w:tcPr>
            <w:tcW w:w="3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主管部门及代码</w:t>
            </w:r>
          </w:p>
        </w:tc>
        <w:tc>
          <w:tcPr>
            <w:tcW w:w="25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lang w:val="en-US" w:eastAsia="zh-CN"/>
              </w:rPr>
            </w:pPr>
            <w:r>
              <w:rPr>
                <w:rFonts w:hint="eastAsia" w:asciiTheme="minorEastAsia" w:hAnsiTheme="minorEastAsia" w:eastAsiaTheme="minorEastAsia" w:cstheme="minorEastAsia"/>
                <w:i w:val="0"/>
                <w:color w:val="auto"/>
                <w:sz w:val="21"/>
                <w:szCs w:val="21"/>
                <w:u w:val="none"/>
                <w:lang w:val="en-US" w:eastAsia="zh-CN"/>
              </w:rPr>
              <w:t>471401</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实施单位</w:t>
            </w:r>
          </w:p>
        </w:tc>
        <w:tc>
          <w:tcPr>
            <w:tcW w:w="26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lang w:eastAsia="zh-CN"/>
              </w:rPr>
            </w:pPr>
            <w:r>
              <w:rPr>
                <w:rFonts w:hint="eastAsia" w:asciiTheme="minorEastAsia" w:hAnsiTheme="minorEastAsia" w:eastAsiaTheme="minorEastAsia" w:cstheme="minorEastAsia"/>
                <w:i w:val="0"/>
                <w:color w:val="auto"/>
                <w:sz w:val="21"/>
                <w:szCs w:val="21"/>
                <w:u w:val="none"/>
                <w:lang w:eastAsia="zh-CN"/>
              </w:rPr>
              <w:t>区经信科技局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trPr>
        <w:tc>
          <w:tcPr>
            <w:tcW w:w="3119"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项目预算</w:t>
            </w:r>
            <w:r>
              <w:rPr>
                <w:rFonts w:hint="eastAsia" w:asciiTheme="minorEastAsia" w:hAnsiTheme="minorEastAsia" w:eastAsiaTheme="minorEastAsia" w:cstheme="minorEastAsia"/>
                <w:i w:val="0"/>
                <w:color w:val="auto"/>
                <w:kern w:val="0"/>
                <w:sz w:val="21"/>
                <w:szCs w:val="21"/>
                <w:u w:val="none"/>
                <w:lang w:val="en-US" w:eastAsia="zh-CN" w:bidi="ar"/>
              </w:rPr>
              <w:br w:type="textWrapping"/>
            </w:r>
            <w:r>
              <w:rPr>
                <w:rFonts w:hint="eastAsia" w:asciiTheme="minorEastAsia" w:hAnsiTheme="minorEastAsia" w:eastAsiaTheme="minorEastAsia" w:cstheme="minorEastAsia"/>
                <w:i w:val="0"/>
                <w:color w:val="auto"/>
                <w:kern w:val="0"/>
                <w:sz w:val="21"/>
                <w:szCs w:val="21"/>
                <w:u w:val="none"/>
                <w:lang w:val="en-US" w:eastAsia="zh-CN" w:bidi="ar"/>
              </w:rPr>
              <w:t>执行情况</w:t>
            </w:r>
            <w:r>
              <w:rPr>
                <w:rFonts w:hint="eastAsia" w:asciiTheme="minorEastAsia" w:hAnsiTheme="minorEastAsia" w:eastAsiaTheme="minorEastAsia" w:cstheme="minorEastAsia"/>
                <w:i w:val="0"/>
                <w:color w:val="auto"/>
                <w:kern w:val="0"/>
                <w:sz w:val="21"/>
                <w:szCs w:val="21"/>
                <w:u w:val="none"/>
                <w:lang w:val="en-US" w:eastAsia="zh-CN" w:bidi="ar"/>
              </w:rPr>
              <w:br w:type="textWrapping"/>
            </w:r>
            <w:r>
              <w:rPr>
                <w:rFonts w:hint="eastAsia" w:asciiTheme="minorEastAsia" w:hAnsiTheme="minorEastAsia" w:eastAsiaTheme="minorEastAsia" w:cstheme="minorEastAsia"/>
                <w:i w:val="0"/>
                <w:color w:val="auto"/>
                <w:kern w:val="0"/>
                <w:sz w:val="21"/>
                <w:szCs w:val="21"/>
                <w:u w:val="none"/>
                <w:lang w:val="en-US" w:eastAsia="zh-CN" w:bidi="ar"/>
              </w:rPr>
              <w:t>（万元）</w:t>
            </w: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预算数：</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lang w:val="en-US" w:eastAsia="zh-CN"/>
              </w:rPr>
            </w:pPr>
            <w:r>
              <w:rPr>
                <w:rFonts w:hint="eastAsia" w:asciiTheme="minorEastAsia" w:hAnsiTheme="minorEastAsia" w:eastAsiaTheme="minorEastAsia" w:cstheme="minorEastAsia"/>
                <w:i w:val="0"/>
                <w:color w:val="auto"/>
                <w:sz w:val="21"/>
                <w:szCs w:val="21"/>
                <w:u w:val="none"/>
                <w:lang w:val="en-US" w:eastAsia="zh-CN"/>
              </w:rPr>
              <w:t>15万元</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执行数：</w:t>
            </w:r>
          </w:p>
        </w:tc>
        <w:tc>
          <w:tcPr>
            <w:tcW w:w="26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lang w:val="en-US" w:eastAsia="zh-CN"/>
              </w:rPr>
            </w:pPr>
            <w:r>
              <w:rPr>
                <w:rFonts w:hint="eastAsia" w:asciiTheme="minorEastAsia" w:hAnsiTheme="minorEastAsia" w:eastAsiaTheme="minorEastAsia" w:cstheme="minorEastAsia"/>
                <w:i w:val="0"/>
                <w:color w:val="auto"/>
                <w:sz w:val="21"/>
                <w:szCs w:val="21"/>
                <w:u w:val="none"/>
                <w:lang w:val="en-US" w:eastAsia="zh-CN"/>
              </w:rPr>
              <w:t>15万元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311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1"/>
                <w:szCs w:val="21"/>
                <w:u w:val="none"/>
              </w:rPr>
            </w:pP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财政拨款</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lang w:val="en-US" w:eastAsia="zh-CN"/>
              </w:rPr>
            </w:pPr>
            <w:r>
              <w:rPr>
                <w:rFonts w:hint="eastAsia" w:asciiTheme="minorEastAsia" w:hAnsiTheme="minorEastAsia" w:eastAsiaTheme="minorEastAsia" w:cstheme="minorEastAsia"/>
                <w:i w:val="0"/>
                <w:color w:val="auto"/>
                <w:sz w:val="21"/>
                <w:szCs w:val="21"/>
                <w:u w:val="none"/>
                <w:lang w:val="en-US" w:eastAsia="zh-CN"/>
              </w:rPr>
              <w:t>15万元</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财政拨款</w:t>
            </w:r>
          </w:p>
        </w:tc>
        <w:tc>
          <w:tcPr>
            <w:tcW w:w="26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lang w:val="en-US" w:eastAsia="zh-CN"/>
              </w:rPr>
            </w:pPr>
            <w:r>
              <w:rPr>
                <w:rFonts w:hint="eastAsia" w:asciiTheme="minorEastAsia" w:hAnsiTheme="minorEastAsia" w:eastAsiaTheme="minorEastAsia" w:cstheme="minorEastAsia"/>
                <w:i w:val="0"/>
                <w:color w:val="auto"/>
                <w:sz w:val="21"/>
                <w:szCs w:val="21"/>
                <w:u w:val="none"/>
                <w:lang w:val="en-US" w:eastAsia="zh-CN"/>
              </w:rPr>
              <w:t>15万元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311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1"/>
                <w:szCs w:val="21"/>
                <w:u w:val="none"/>
              </w:rPr>
            </w:pP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其他资金</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其他资金</w:t>
            </w:r>
          </w:p>
        </w:tc>
        <w:tc>
          <w:tcPr>
            <w:tcW w:w="26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7" w:hRule="atLeast"/>
        </w:trPr>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年度总体目标完成情况</w:t>
            </w:r>
          </w:p>
        </w:tc>
        <w:tc>
          <w:tcPr>
            <w:tcW w:w="421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预期目标</w:t>
            </w:r>
          </w:p>
        </w:tc>
        <w:tc>
          <w:tcPr>
            <w:tcW w:w="39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7" w:hRule="atLeast"/>
        </w:trPr>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1"/>
                <w:szCs w:val="21"/>
                <w:u w:val="none"/>
              </w:rPr>
            </w:pPr>
          </w:p>
        </w:tc>
        <w:tc>
          <w:tcPr>
            <w:tcW w:w="421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top"/>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sz w:val="21"/>
                <w:szCs w:val="21"/>
                <w:u w:val="none"/>
                <w:lang w:eastAsia="zh-CN"/>
              </w:rPr>
              <w:t>争取</w:t>
            </w:r>
            <w:r>
              <w:rPr>
                <w:rFonts w:hint="eastAsia" w:asciiTheme="minorEastAsia" w:hAnsiTheme="minorEastAsia" w:eastAsiaTheme="minorEastAsia" w:cstheme="minorEastAsia"/>
                <w:i w:val="0"/>
                <w:color w:val="auto"/>
                <w:sz w:val="21"/>
                <w:szCs w:val="21"/>
                <w:u w:val="none"/>
              </w:rPr>
              <w:t>省级工业发展资金600</w:t>
            </w:r>
            <w:r>
              <w:rPr>
                <w:rFonts w:hint="eastAsia" w:asciiTheme="minorEastAsia" w:hAnsiTheme="minorEastAsia" w:eastAsiaTheme="minorEastAsia" w:cstheme="minorEastAsia"/>
                <w:i w:val="0"/>
                <w:color w:val="auto"/>
                <w:sz w:val="21"/>
                <w:szCs w:val="21"/>
                <w:u w:val="none"/>
                <w:lang w:eastAsia="zh-CN"/>
              </w:rPr>
              <w:t>万元，其中</w:t>
            </w:r>
            <w:r>
              <w:rPr>
                <w:rFonts w:hint="eastAsia" w:asciiTheme="minorEastAsia" w:hAnsiTheme="minorEastAsia" w:eastAsiaTheme="minorEastAsia" w:cstheme="minorEastAsia"/>
                <w:i w:val="0"/>
                <w:color w:val="auto"/>
                <w:sz w:val="21"/>
                <w:szCs w:val="21"/>
                <w:u w:val="none"/>
                <w:lang w:val="en-US" w:eastAsia="zh-CN"/>
              </w:rPr>
              <w:t>家居产业城新胜组团项目资金300万元，装配式部品部件项目资金300万元；</w:t>
            </w:r>
            <w:r>
              <w:rPr>
                <w:rFonts w:hint="eastAsia" w:asciiTheme="minorEastAsia" w:hAnsiTheme="minorEastAsia" w:eastAsiaTheme="minorEastAsia" w:cstheme="minorEastAsia"/>
                <w:i w:val="0"/>
                <w:color w:val="auto"/>
                <w:sz w:val="21"/>
                <w:szCs w:val="21"/>
                <w:u w:val="none"/>
                <w:lang w:eastAsia="zh-CN"/>
              </w:rPr>
              <w:t>省级中小企业发展资金100万元</w:t>
            </w:r>
          </w:p>
        </w:tc>
        <w:tc>
          <w:tcPr>
            <w:tcW w:w="39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top"/>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sz w:val="21"/>
                <w:szCs w:val="21"/>
                <w:u w:val="none"/>
                <w:lang w:eastAsia="zh-CN"/>
              </w:rPr>
              <w:t>争取</w:t>
            </w:r>
            <w:r>
              <w:rPr>
                <w:rFonts w:hint="eastAsia" w:asciiTheme="minorEastAsia" w:hAnsiTheme="minorEastAsia" w:eastAsiaTheme="minorEastAsia" w:cstheme="minorEastAsia"/>
                <w:i w:val="0"/>
                <w:color w:val="auto"/>
                <w:sz w:val="21"/>
                <w:szCs w:val="21"/>
                <w:u w:val="none"/>
              </w:rPr>
              <w:t>省级工业发展资</w:t>
            </w:r>
            <w:r>
              <w:rPr>
                <w:rFonts w:hint="eastAsia" w:asciiTheme="minorEastAsia" w:hAnsiTheme="minorEastAsia" w:eastAsiaTheme="minorEastAsia" w:cstheme="minorEastAsia"/>
                <w:i w:val="0"/>
                <w:color w:val="auto"/>
                <w:sz w:val="21"/>
                <w:szCs w:val="21"/>
                <w:u w:val="none"/>
                <w:lang w:val="en-US" w:eastAsia="zh-CN"/>
              </w:rPr>
              <w:t>793</w:t>
            </w:r>
            <w:r>
              <w:rPr>
                <w:rFonts w:hint="eastAsia" w:asciiTheme="minorEastAsia" w:hAnsiTheme="minorEastAsia" w:eastAsiaTheme="minorEastAsia" w:cstheme="minorEastAsia"/>
                <w:i w:val="0"/>
                <w:color w:val="auto"/>
                <w:sz w:val="21"/>
                <w:szCs w:val="21"/>
                <w:u w:val="none"/>
                <w:lang w:eastAsia="zh-CN"/>
              </w:rPr>
              <w:t>万元，其中</w:t>
            </w:r>
            <w:r>
              <w:rPr>
                <w:rFonts w:hint="eastAsia" w:asciiTheme="minorEastAsia" w:hAnsiTheme="minorEastAsia" w:eastAsiaTheme="minorEastAsia" w:cstheme="minorEastAsia"/>
                <w:i w:val="0"/>
                <w:color w:val="auto"/>
                <w:sz w:val="21"/>
                <w:szCs w:val="21"/>
                <w:u w:val="none"/>
                <w:lang w:val="en-US" w:eastAsia="zh-CN"/>
              </w:rPr>
              <w:t>家居产业城新胜组团项目资金500万元，装配式部品部件项目资金293万元；</w:t>
            </w:r>
            <w:r>
              <w:rPr>
                <w:rFonts w:hint="eastAsia" w:asciiTheme="minorEastAsia" w:hAnsiTheme="minorEastAsia" w:eastAsiaTheme="minorEastAsia" w:cstheme="minorEastAsia"/>
                <w:i w:val="0"/>
                <w:color w:val="auto"/>
                <w:sz w:val="21"/>
                <w:szCs w:val="21"/>
                <w:u w:val="none"/>
                <w:lang w:eastAsia="zh-CN"/>
              </w:rPr>
              <w:t>省级中小企业发展资金1</w:t>
            </w:r>
            <w:r>
              <w:rPr>
                <w:rFonts w:hint="eastAsia" w:asciiTheme="minorEastAsia" w:hAnsiTheme="minorEastAsia" w:eastAsiaTheme="minorEastAsia" w:cstheme="minorEastAsia"/>
                <w:i w:val="0"/>
                <w:color w:val="auto"/>
                <w:sz w:val="21"/>
                <w:szCs w:val="21"/>
                <w:u w:val="none"/>
                <w:lang w:val="en-US" w:eastAsia="zh-CN"/>
              </w:rPr>
              <w:t>5</w:t>
            </w:r>
            <w:r>
              <w:rPr>
                <w:rFonts w:hint="eastAsia" w:asciiTheme="minorEastAsia" w:hAnsiTheme="minorEastAsia" w:eastAsiaTheme="minorEastAsia" w:cstheme="minorEastAsia"/>
                <w:i w:val="0"/>
                <w:color w:val="auto"/>
                <w:sz w:val="21"/>
                <w:szCs w:val="21"/>
                <w:u w:val="none"/>
                <w:lang w:eastAsia="zh-CN"/>
              </w:rPr>
              <w:t>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142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年度绩效指标完成情况</w:t>
            </w:r>
          </w:p>
        </w:tc>
        <w:tc>
          <w:tcPr>
            <w:tcW w:w="122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指标</w:t>
            </w: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指标</w:t>
            </w:r>
          </w:p>
        </w:tc>
        <w:tc>
          <w:tcPr>
            <w:tcW w:w="15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指标</w:t>
            </w:r>
          </w:p>
        </w:tc>
        <w:tc>
          <w:tcPr>
            <w:tcW w:w="18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预期指标值</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142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1"/>
                <w:szCs w:val="21"/>
                <w:u w:val="none"/>
              </w:rPr>
            </w:pPr>
          </w:p>
        </w:tc>
        <w:tc>
          <w:tcPr>
            <w:tcW w:w="12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指标</w:t>
            </w: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数量指标</w:t>
            </w:r>
          </w:p>
        </w:tc>
        <w:tc>
          <w:tcPr>
            <w:tcW w:w="15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家居产业城新胜组团项目资金</w:t>
            </w:r>
          </w:p>
        </w:tc>
        <w:tc>
          <w:tcPr>
            <w:tcW w:w="18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300万元</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lang w:val="en-US" w:eastAsia="zh-CN"/>
              </w:rPr>
            </w:pPr>
            <w:r>
              <w:rPr>
                <w:rFonts w:hint="eastAsia" w:asciiTheme="minorEastAsia" w:hAnsiTheme="minorEastAsia" w:eastAsiaTheme="minorEastAsia" w:cstheme="minorEastAsia"/>
                <w:i w:val="0"/>
                <w:color w:val="auto"/>
                <w:sz w:val="21"/>
                <w:szCs w:val="21"/>
                <w:u w:val="none"/>
                <w:lang w:val="en-US" w:eastAsia="zh-CN"/>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142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1"/>
                <w:szCs w:val="21"/>
                <w:u w:val="none"/>
              </w:rPr>
            </w:pPr>
          </w:p>
        </w:tc>
        <w:tc>
          <w:tcPr>
            <w:tcW w:w="1224"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1"/>
                <w:szCs w:val="21"/>
                <w:u w:val="none"/>
                <w:lang w:val="en-US" w:eastAsia="zh-CN" w:bidi="ar"/>
              </w:rPr>
            </w:pP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数量指标</w:t>
            </w:r>
          </w:p>
        </w:tc>
        <w:tc>
          <w:tcPr>
            <w:tcW w:w="15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装配式部品部件项目资金</w:t>
            </w:r>
          </w:p>
        </w:tc>
        <w:tc>
          <w:tcPr>
            <w:tcW w:w="18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300万元</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lang w:val="en-US" w:eastAsia="zh-CN"/>
              </w:rPr>
            </w:pPr>
            <w:r>
              <w:rPr>
                <w:rFonts w:hint="eastAsia" w:asciiTheme="minorEastAsia" w:hAnsiTheme="minorEastAsia" w:eastAsiaTheme="minorEastAsia" w:cstheme="minorEastAsia"/>
                <w:i w:val="0"/>
                <w:color w:val="auto"/>
                <w:sz w:val="21"/>
                <w:szCs w:val="21"/>
                <w:u w:val="none"/>
                <w:lang w:val="en-US" w:eastAsia="zh-CN"/>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142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1"/>
                <w:szCs w:val="21"/>
                <w:u w:val="none"/>
              </w:rPr>
            </w:pPr>
          </w:p>
        </w:tc>
        <w:tc>
          <w:tcPr>
            <w:tcW w:w="1224"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1"/>
                <w:szCs w:val="21"/>
                <w:u w:val="none"/>
                <w:lang w:val="en-US" w:eastAsia="zh-CN" w:bidi="ar"/>
              </w:rPr>
            </w:pP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数量指标</w:t>
            </w:r>
          </w:p>
        </w:tc>
        <w:tc>
          <w:tcPr>
            <w:tcW w:w="15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中小企业发展资金</w:t>
            </w:r>
          </w:p>
        </w:tc>
        <w:tc>
          <w:tcPr>
            <w:tcW w:w="18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100万元</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lang w:val="en-US" w:eastAsia="zh-CN"/>
              </w:rPr>
            </w:pPr>
            <w:r>
              <w:rPr>
                <w:rFonts w:hint="eastAsia" w:asciiTheme="minorEastAsia" w:hAnsiTheme="minorEastAsia" w:eastAsiaTheme="minorEastAsia" w:cstheme="minorEastAsia"/>
                <w:i w:val="0"/>
                <w:color w:val="auto"/>
                <w:sz w:val="21"/>
                <w:szCs w:val="21"/>
                <w:u w:val="none"/>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142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1"/>
                <w:szCs w:val="21"/>
                <w:u w:val="none"/>
              </w:rPr>
            </w:pPr>
          </w:p>
        </w:tc>
        <w:tc>
          <w:tcPr>
            <w:tcW w:w="12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1"/>
                <w:szCs w:val="21"/>
                <w:u w:val="none"/>
              </w:rPr>
            </w:pP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质量指标</w:t>
            </w:r>
          </w:p>
        </w:tc>
        <w:tc>
          <w:tcPr>
            <w:tcW w:w="15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争取的政府投资</w:t>
            </w:r>
          </w:p>
        </w:tc>
        <w:tc>
          <w:tcPr>
            <w:tcW w:w="18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全部到位</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全部到位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142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1"/>
                <w:szCs w:val="21"/>
                <w:u w:val="none"/>
              </w:rPr>
            </w:pPr>
          </w:p>
        </w:tc>
        <w:tc>
          <w:tcPr>
            <w:tcW w:w="12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1"/>
                <w:szCs w:val="21"/>
                <w:u w:val="none"/>
              </w:rPr>
            </w:pP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时效指标</w:t>
            </w:r>
          </w:p>
        </w:tc>
        <w:tc>
          <w:tcPr>
            <w:tcW w:w="15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项目完成时间</w:t>
            </w:r>
          </w:p>
        </w:tc>
        <w:tc>
          <w:tcPr>
            <w:tcW w:w="18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2021年1-12月份</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2021年1-12月份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42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1"/>
                <w:szCs w:val="21"/>
                <w:u w:val="none"/>
              </w:rPr>
            </w:pPr>
          </w:p>
        </w:tc>
        <w:tc>
          <w:tcPr>
            <w:tcW w:w="12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1"/>
                <w:szCs w:val="21"/>
                <w:u w:val="none"/>
              </w:rPr>
            </w:pP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成本指标</w:t>
            </w:r>
          </w:p>
        </w:tc>
        <w:tc>
          <w:tcPr>
            <w:tcW w:w="15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严格控制外出争取经费成本</w:t>
            </w:r>
          </w:p>
        </w:tc>
        <w:tc>
          <w:tcPr>
            <w:tcW w:w="18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sz w:val="21"/>
                <w:szCs w:val="21"/>
                <w:u w:val="none"/>
                <w:lang w:val="en-US" w:eastAsia="zh-CN"/>
              </w:rPr>
              <w:t>15万元</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lang w:val="en-US" w:eastAsia="zh-CN"/>
              </w:rPr>
            </w:pPr>
            <w:r>
              <w:rPr>
                <w:rFonts w:hint="eastAsia" w:asciiTheme="minorEastAsia" w:hAnsiTheme="minorEastAsia" w:eastAsiaTheme="minorEastAsia" w:cstheme="minorEastAsia"/>
                <w:i w:val="0"/>
                <w:color w:val="auto"/>
                <w:sz w:val="21"/>
                <w:szCs w:val="21"/>
                <w:u w:val="none"/>
                <w:lang w:val="en-US" w:eastAsia="zh-CN"/>
              </w:rPr>
              <w:t>15万元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42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1"/>
                <w:szCs w:val="21"/>
                <w:u w:val="none"/>
              </w:rPr>
            </w:pPr>
          </w:p>
        </w:tc>
        <w:tc>
          <w:tcPr>
            <w:tcW w:w="122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效益</w:t>
            </w:r>
            <w:r>
              <w:rPr>
                <w:rFonts w:hint="eastAsia" w:asciiTheme="minorEastAsia" w:hAnsiTheme="minorEastAsia" w:eastAsiaTheme="minorEastAsia" w:cstheme="minorEastAsia"/>
                <w:i w:val="0"/>
                <w:color w:val="auto"/>
                <w:kern w:val="0"/>
                <w:sz w:val="21"/>
                <w:szCs w:val="21"/>
                <w:u w:val="none"/>
                <w:lang w:val="en-US" w:eastAsia="zh-CN" w:bidi="ar"/>
              </w:rPr>
              <w:br w:type="textWrapping"/>
            </w:r>
            <w:r>
              <w:rPr>
                <w:rFonts w:hint="eastAsia" w:asciiTheme="minorEastAsia" w:hAnsiTheme="minorEastAsia" w:eastAsiaTheme="minorEastAsia" w:cstheme="minorEastAsia"/>
                <w:i w:val="0"/>
                <w:color w:val="auto"/>
                <w:kern w:val="0"/>
                <w:sz w:val="21"/>
                <w:szCs w:val="21"/>
                <w:u w:val="none"/>
                <w:lang w:val="en-US" w:eastAsia="zh-CN" w:bidi="ar"/>
              </w:rPr>
              <w:t>指标</w:t>
            </w: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经济效益指标</w:t>
            </w:r>
          </w:p>
        </w:tc>
        <w:tc>
          <w:tcPr>
            <w:tcW w:w="15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企业平均年收入增加</w:t>
            </w:r>
          </w:p>
        </w:tc>
        <w:tc>
          <w:tcPr>
            <w:tcW w:w="18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1000万元以上</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1000万元以上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42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1"/>
                <w:szCs w:val="21"/>
                <w:u w:val="none"/>
              </w:rPr>
            </w:pPr>
          </w:p>
        </w:tc>
        <w:tc>
          <w:tcPr>
            <w:tcW w:w="122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1"/>
                <w:szCs w:val="21"/>
                <w:u w:val="none"/>
              </w:rPr>
            </w:pP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社会效益指标</w:t>
            </w:r>
          </w:p>
        </w:tc>
        <w:tc>
          <w:tcPr>
            <w:tcW w:w="15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带动的就业人数</w:t>
            </w:r>
          </w:p>
        </w:tc>
        <w:tc>
          <w:tcPr>
            <w:tcW w:w="18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240人以上</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lang w:val="en-US" w:eastAsia="zh-CN"/>
              </w:rPr>
            </w:pPr>
            <w:r>
              <w:rPr>
                <w:rFonts w:hint="eastAsia" w:asciiTheme="minorEastAsia" w:hAnsiTheme="minorEastAsia" w:eastAsiaTheme="minorEastAsia" w:cstheme="minorEastAsia"/>
                <w:i w:val="0"/>
                <w:color w:val="auto"/>
                <w:sz w:val="21"/>
                <w:szCs w:val="21"/>
                <w:u w:val="none"/>
                <w:lang w:val="en-US" w:eastAsia="zh-CN"/>
              </w:rPr>
              <w:t>250人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142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1"/>
                <w:szCs w:val="21"/>
                <w:u w:val="none"/>
              </w:rPr>
            </w:pPr>
          </w:p>
        </w:tc>
        <w:tc>
          <w:tcPr>
            <w:tcW w:w="122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1"/>
                <w:szCs w:val="21"/>
                <w:u w:val="none"/>
              </w:rPr>
            </w:pP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生态效益指标</w:t>
            </w:r>
          </w:p>
        </w:tc>
        <w:tc>
          <w:tcPr>
            <w:tcW w:w="15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p>
        </w:tc>
        <w:tc>
          <w:tcPr>
            <w:tcW w:w="18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42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1"/>
                <w:szCs w:val="21"/>
                <w:u w:val="none"/>
              </w:rPr>
            </w:pPr>
          </w:p>
        </w:tc>
        <w:tc>
          <w:tcPr>
            <w:tcW w:w="122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1"/>
                <w:szCs w:val="21"/>
                <w:u w:val="none"/>
              </w:rPr>
            </w:pP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可持续影响</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指标</w:t>
            </w:r>
          </w:p>
        </w:tc>
        <w:tc>
          <w:tcPr>
            <w:tcW w:w="15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p>
        </w:tc>
        <w:tc>
          <w:tcPr>
            <w:tcW w:w="18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0" w:hRule="atLeast"/>
        </w:trPr>
        <w:tc>
          <w:tcPr>
            <w:tcW w:w="142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1"/>
                <w:szCs w:val="21"/>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满意</w:t>
            </w:r>
            <w:r>
              <w:rPr>
                <w:rFonts w:hint="eastAsia" w:asciiTheme="minorEastAsia" w:hAnsiTheme="minorEastAsia" w:eastAsiaTheme="minorEastAsia" w:cstheme="minorEastAsia"/>
                <w:i w:val="0"/>
                <w:color w:val="auto"/>
                <w:kern w:val="0"/>
                <w:sz w:val="21"/>
                <w:szCs w:val="21"/>
                <w:u w:val="none"/>
                <w:lang w:val="en-US" w:eastAsia="zh-CN" w:bidi="ar"/>
              </w:rPr>
              <w:br w:type="textWrapping"/>
            </w:r>
            <w:r>
              <w:rPr>
                <w:rFonts w:hint="eastAsia" w:asciiTheme="minorEastAsia" w:hAnsiTheme="minorEastAsia" w:eastAsiaTheme="minorEastAsia" w:cstheme="minorEastAsia"/>
                <w:i w:val="0"/>
                <w:color w:val="auto"/>
                <w:kern w:val="0"/>
                <w:sz w:val="21"/>
                <w:szCs w:val="21"/>
                <w:u w:val="none"/>
                <w:lang w:val="en-US" w:eastAsia="zh-CN" w:bidi="ar"/>
              </w:rPr>
              <w:t>度指标</w:t>
            </w: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指标</w:t>
            </w:r>
          </w:p>
        </w:tc>
        <w:tc>
          <w:tcPr>
            <w:tcW w:w="15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社会满意</w:t>
            </w:r>
          </w:p>
        </w:tc>
        <w:tc>
          <w:tcPr>
            <w:tcW w:w="18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100%</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100%</w:t>
            </w:r>
          </w:p>
        </w:tc>
      </w:tr>
    </w:tbl>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color w:val="auto"/>
          <w:sz w:val="32"/>
          <w:szCs w:val="32"/>
          <w:highlight w:val="none"/>
        </w:rPr>
      </w:pPr>
      <w:bookmarkStart w:id="105" w:name="_Toc2112"/>
      <w:bookmarkStart w:id="106" w:name="_Toc2798"/>
      <w:r>
        <w:rPr>
          <w:rFonts w:hint="eastAsia" w:asciiTheme="minorEastAsia" w:hAnsiTheme="minorEastAsia" w:eastAsiaTheme="minorEastAsia" w:cstheme="minorEastAsia"/>
          <w:b/>
          <w:bCs/>
          <w:color w:val="auto"/>
          <w:sz w:val="32"/>
          <w:szCs w:val="32"/>
          <w:highlight w:val="none"/>
        </w:rPr>
        <w:t>2021年部门争取资金工作经费</w:t>
      </w:r>
      <w:r>
        <w:rPr>
          <w:rFonts w:hint="eastAsia" w:asciiTheme="minorEastAsia" w:hAnsiTheme="minorEastAsia" w:eastAsiaTheme="minorEastAsia" w:cstheme="minorEastAsia"/>
          <w:b/>
          <w:bCs/>
          <w:color w:val="auto"/>
          <w:sz w:val="32"/>
          <w:szCs w:val="32"/>
          <w:highlight w:val="none"/>
          <w:lang w:eastAsia="zh-CN"/>
        </w:rPr>
        <w:t>绩效目标自评</w:t>
      </w:r>
      <w:bookmarkEnd w:id="105"/>
      <w:bookmarkEnd w:id="106"/>
    </w:p>
    <w:p>
      <w:pPr>
        <w:pStyle w:val="2"/>
        <w:keepNext w:val="0"/>
        <w:keepLines w:val="0"/>
        <w:pageBreakBefore w:val="0"/>
        <w:widowControl w:val="0"/>
        <w:kinsoku/>
        <w:wordWrap/>
        <w:overflowPunct/>
        <w:topLinePunct w:val="0"/>
        <w:autoSpaceDE/>
        <w:autoSpaceDN/>
        <w:bidi w:val="0"/>
        <w:adjustRightInd/>
        <w:snapToGrid/>
        <w:ind w:left="0" w:leftChars="0" w:right="0" w:rightChars="0" w:firstLine="0" w:firstLineChars="0"/>
        <w:textAlignment w:val="auto"/>
        <w:outlineLvl w:val="9"/>
        <w:rPr>
          <w:rFonts w:hint="eastAsia" w:ascii="黑体" w:hAnsi="黑体" w:eastAsia="黑体" w:cs="黑体"/>
          <w:color w:val="auto"/>
          <w:sz w:val="32"/>
          <w:szCs w:val="32"/>
          <w:highlight w:val="none"/>
        </w:rPr>
        <w:sectPr>
          <w:footerReference r:id="rId5" w:type="first"/>
          <w:footerReference r:id="rId4" w:type="default"/>
          <w:pgSz w:w="11906" w:h="16838"/>
          <w:pgMar w:top="1440" w:right="1800" w:bottom="1440" w:left="1800" w:header="851" w:footer="992" w:gutter="0"/>
          <w:pgNumType w:fmt="decimal" w:start="1"/>
          <w:cols w:space="425" w:num="1"/>
          <w:titlePg/>
          <w:docGrid w:type="lines" w:linePitch="312" w:charSpace="0"/>
        </w:sectPr>
      </w:pPr>
    </w:p>
    <w:p>
      <w:pPr>
        <w:pStyle w:val="2"/>
        <w:keepNext w:val="0"/>
        <w:keepLines w:val="0"/>
        <w:pageBreakBefore w:val="0"/>
        <w:widowControl w:val="0"/>
        <w:kinsoku/>
        <w:wordWrap/>
        <w:overflowPunct/>
        <w:topLinePunct w:val="0"/>
        <w:autoSpaceDE/>
        <w:autoSpaceDN/>
        <w:bidi w:val="0"/>
        <w:adjustRightInd/>
        <w:snapToGrid/>
        <w:spacing w:before="95" w:beforeLines="30" w:line="240" w:lineRule="auto"/>
        <w:ind w:left="0" w:leftChars="0" w:right="0" w:rightChars="0" w:firstLine="0" w:firstLineChars="0"/>
        <w:jc w:val="both"/>
        <w:textAlignment w:val="auto"/>
        <w:outlineLvl w:val="1"/>
        <w:rPr>
          <w:rFonts w:hint="eastAsia" w:ascii="黑体" w:hAnsi="黑体" w:eastAsia="黑体" w:cs="黑体"/>
          <w:color w:val="auto"/>
          <w:sz w:val="32"/>
          <w:szCs w:val="32"/>
          <w:highlight w:val="none"/>
          <w:lang w:val="en-US" w:eastAsia="zh-CN"/>
        </w:rPr>
      </w:pPr>
      <w:bookmarkStart w:id="107" w:name="_Toc17437"/>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val="en-US" w:eastAsia="zh-CN"/>
        </w:rPr>
        <w:t>2</w:t>
      </w:r>
      <w:bookmarkEnd w:id="107"/>
    </w:p>
    <w:tbl>
      <w:tblPr>
        <w:tblStyle w:val="16"/>
        <w:tblpPr w:leftFromText="180" w:rightFromText="180" w:vertAnchor="text" w:horzAnchor="page" w:tblpXSpec="center" w:tblpY="767"/>
        <w:tblOverlap w:val="never"/>
        <w:tblW w:w="957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26"/>
        <w:gridCol w:w="1224"/>
        <w:gridCol w:w="469"/>
        <w:gridCol w:w="1007"/>
        <w:gridCol w:w="628"/>
        <w:gridCol w:w="976"/>
        <w:gridCol w:w="1294"/>
        <w:gridCol w:w="398"/>
        <w:gridCol w:w="1"/>
        <w:gridCol w:w="21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4" w:hRule="atLeast"/>
          <w:jc w:val="center"/>
        </w:trPr>
        <w:tc>
          <w:tcPr>
            <w:tcW w:w="3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主管部门及代码</w:t>
            </w:r>
          </w:p>
        </w:tc>
        <w:tc>
          <w:tcPr>
            <w:tcW w:w="261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lang w:val="en-US" w:eastAsia="zh-CN"/>
              </w:rPr>
            </w:pPr>
            <w:r>
              <w:rPr>
                <w:rFonts w:hint="eastAsia" w:asciiTheme="minorEastAsia" w:hAnsiTheme="minorEastAsia" w:eastAsiaTheme="minorEastAsia" w:cstheme="minorEastAsia"/>
                <w:i w:val="0"/>
                <w:color w:val="auto"/>
                <w:sz w:val="21"/>
                <w:szCs w:val="21"/>
                <w:u w:val="none"/>
                <w:lang w:val="en-US" w:eastAsia="zh-CN"/>
              </w:rPr>
              <w:t>471401</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实施单位</w:t>
            </w:r>
          </w:p>
        </w:tc>
        <w:tc>
          <w:tcPr>
            <w:tcW w:w="25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lang w:eastAsia="zh-CN"/>
              </w:rPr>
            </w:pPr>
            <w:r>
              <w:rPr>
                <w:rFonts w:hint="eastAsia" w:asciiTheme="minorEastAsia" w:hAnsiTheme="minorEastAsia" w:eastAsiaTheme="minorEastAsia" w:cstheme="minorEastAsia"/>
                <w:i w:val="0"/>
                <w:color w:val="auto"/>
                <w:sz w:val="21"/>
                <w:szCs w:val="21"/>
                <w:u w:val="none"/>
                <w:lang w:eastAsia="zh-CN"/>
              </w:rPr>
              <w:t>区经信科技局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jc w:val="center"/>
        </w:trPr>
        <w:tc>
          <w:tcPr>
            <w:tcW w:w="3119"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项目预算</w:t>
            </w:r>
            <w:r>
              <w:rPr>
                <w:rFonts w:hint="eastAsia" w:asciiTheme="minorEastAsia" w:hAnsiTheme="minorEastAsia" w:eastAsiaTheme="minorEastAsia" w:cstheme="minorEastAsia"/>
                <w:i w:val="0"/>
                <w:color w:val="auto"/>
                <w:kern w:val="0"/>
                <w:sz w:val="21"/>
                <w:szCs w:val="21"/>
                <w:u w:val="none"/>
                <w:lang w:val="en-US" w:eastAsia="zh-CN" w:bidi="ar"/>
              </w:rPr>
              <w:br w:type="textWrapping"/>
            </w:r>
            <w:r>
              <w:rPr>
                <w:rFonts w:hint="eastAsia" w:asciiTheme="minorEastAsia" w:hAnsiTheme="minorEastAsia" w:eastAsiaTheme="minorEastAsia" w:cstheme="minorEastAsia"/>
                <w:i w:val="0"/>
                <w:color w:val="auto"/>
                <w:kern w:val="0"/>
                <w:sz w:val="21"/>
                <w:szCs w:val="21"/>
                <w:u w:val="none"/>
                <w:lang w:val="en-US" w:eastAsia="zh-CN" w:bidi="ar"/>
              </w:rPr>
              <w:t>执行情况</w:t>
            </w:r>
            <w:r>
              <w:rPr>
                <w:rFonts w:hint="eastAsia" w:asciiTheme="minorEastAsia" w:hAnsiTheme="minorEastAsia" w:eastAsiaTheme="minorEastAsia" w:cstheme="minorEastAsia"/>
                <w:i w:val="0"/>
                <w:color w:val="auto"/>
                <w:kern w:val="0"/>
                <w:sz w:val="21"/>
                <w:szCs w:val="21"/>
                <w:u w:val="none"/>
                <w:lang w:val="en-US" w:eastAsia="zh-CN" w:bidi="ar"/>
              </w:rPr>
              <w:br w:type="textWrapping"/>
            </w:r>
            <w:r>
              <w:rPr>
                <w:rFonts w:hint="eastAsia" w:asciiTheme="minorEastAsia" w:hAnsiTheme="minorEastAsia" w:eastAsiaTheme="minorEastAsia" w:cstheme="minorEastAsia"/>
                <w:i w:val="0"/>
                <w:color w:val="auto"/>
                <w:kern w:val="0"/>
                <w:sz w:val="21"/>
                <w:szCs w:val="21"/>
                <w:u w:val="none"/>
                <w:lang w:val="en-US" w:eastAsia="zh-CN" w:bidi="ar"/>
              </w:rPr>
              <w:t>（万元）</w:t>
            </w: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预算数：</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lang w:val="en-US" w:eastAsia="zh-CN"/>
              </w:rPr>
            </w:pPr>
            <w:r>
              <w:rPr>
                <w:rFonts w:hint="eastAsia" w:asciiTheme="minorEastAsia" w:hAnsiTheme="minorEastAsia" w:eastAsiaTheme="minorEastAsia" w:cstheme="minorEastAsia"/>
                <w:i w:val="0"/>
                <w:color w:val="auto"/>
                <w:sz w:val="21"/>
                <w:szCs w:val="21"/>
                <w:u w:val="none"/>
                <w:lang w:val="en-US" w:eastAsia="zh-CN"/>
              </w:rPr>
              <w:t>20万元</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执行数：</w:t>
            </w:r>
          </w:p>
        </w:tc>
        <w:tc>
          <w:tcPr>
            <w:tcW w:w="25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lang w:val="en-US" w:eastAsia="zh-CN"/>
              </w:rPr>
            </w:pPr>
            <w:r>
              <w:rPr>
                <w:rFonts w:hint="eastAsia" w:asciiTheme="minorEastAsia" w:hAnsiTheme="minorEastAsia" w:eastAsiaTheme="minorEastAsia" w:cstheme="minorEastAsia"/>
                <w:i w:val="0"/>
                <w:color w:val="auto"/>
                <w:sz w:val="21"/>
                <w:szCs w:val="21"/>
                <w:u w:val="none"/>
                <w:lang w:val="en-US" w:eastAsia="zh-CN"/>
              </w:rPr>
              <w:t>20万元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311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1"/>
                <w:szCs w:val="21"/>
                <w:u w:val="none"/>
              </w:rPr>
            </w:pP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财政拨款</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lang w:val="en-US" w:eastAsia="zh-CN"/>
              </w:rPr>
            </w:pPr>
            <w:r>
              <w:rPr>
                <w:rFonts w:hint="eastAsia" w:asciiTheme="minorEastAsia" w:hAnsiTheme="minorEastAsia" w:eastAsiaTheme="minorEastAsia" w:cstheme="minorEastAsia"/>
                <w:i w:val="0"/>
                <w:color w:val="auto"/>
                <w:sz w:val="21"/>
                <w:szCs w:val="21"/>
                <w:u w:val="none"/>
                <w:lang w:val="en-US" w:eastAsia="zh-CN"/>
              </w:rPr>
              <w:t>20万元</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财政拨款</w:t>
            </w:r>
          </w:p>
        </w:tc>
        <w:tc>
          <w:tcPr>
            <w:tcW w:w="25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lang w:val="en-US" w:eastAsia="zh-CN"/>
              </w:rPr>
            </w:pPr>
            <w:r>
              <w:rPr>
                <w:rFonts w:hint="eastAsia" w:asciiTheme="minorEastAsia" w:hAnsiTheme="minorEastAsia" w:eastAsiaTheme="minorEastAsia" w:cstheme="minorEastAsia"/>
                <w:i w:val="0"/>
                <w:color w:val="auto"/>
                <w:sz w:val="21"/>
                <w:szCs w:val="21"/>
                <w:u w:val="none"/>
                <w:lang w:val="en-US" w:eastAsia="zh-CN"/>
              </w:rPr>
              <w:t>20万元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jc w:val="center"/>
        </w:trPr>
        <w:tc>
          <w:tcPr>
            <w:tcW w:w="311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1"/>
                <w:szCs w:val="21"/>
                <w:u w:val="none"/>
              </w:rPr>
            </w:pP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其他资金</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其他资金</w:t>
            </w:r>
          </w:p>
        </w:tc>
        <w:tc>
          <w:tcPr>
            <w:tcW w:w="25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7" w:hRule="atLeast"/>
          <w:jc w:val="center"/>
        </w:trPr>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年度总体目标完成情况</w:t>
            </w:r>
          </w:p>
        </w:tc>
        <w:tc>
          <w:tcPr>
            <w:tcW w:w="430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预期目标</w:t>
            </w:r>
          </w:p>
        </w:tc>
        <w:tc>
          <w:tcPr>
            <w:tcW w:w="384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7" w:hRule="atLeast"/>
          <w:jc w:val="center"/>
        </w:trPr>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1"/>
                <w:szCs w:val="21"/>
                <w:u w:val="none"/>
              </w:rPr>
            </w:pPr>
          </w:p>
        </w:tc>
        <w:tc>
          <w:tcPr>
            <w:tcW w:w="430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top"/>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sz w:val="21"/>
                <w:szCs w:val="21"/>
                <w:u w:val="none"/>
                <w:lang w:eastAsia="zh-CN"/>
              </w:rPr>
              <w:t>规上工业总产值实现146亿元、增长12%左右；规上工业增加值增长10%以上；预计全年完成工业投资2</w:t>
            </w:r>
            <w:r>
              <w:rPr>
                <w:rFonts w:hint="eastAsia" w:asciiTheme="minorEastAsia" w:hAnsiTheme="minorEastAsia" w:eastAsiaTheme="minorEastAsia" w:cstheme="minorEastAsia"/>
                <w:i w:val="0"/>
                <w:color w:val="auto"/>
                <w:sz w:val="21"/>
                <w:szCs w:val="21"/>
                <w:u w:val="none"/>
                <w:lang w:val="en-US" w:eastAsia="zh-CN"/>
              </w:rPr>
              <w:t>2</w:t>
            </w:r>
            <w:r>
              <w:rPr>
                <w:rFonts w:hint="eastAsia" w:asciiTheme="minorEastAsia" w:hAnsiTheme="minorEastAsia" w:eastAsiaTheme="minorEastAsia" w:cstheme="minorEastAsia"/>
                <w:i w:val="0"/>
                <w:color w:val="auto"/>
                <w:sz w:val="21"/>
                <w:szCs w:val="21"/>
                <w:u w:val="none"/>
                <w:lang w:eastAsia="zh-CN"/>
              </w:rPr>
              <w:t>亿元。预计全年重点骨干企业新增产值11.2亿元。</w:t>
            </w:r>
          </w:p>
        </w:tc>
        <w:tc>
          <w:tcPr>
            <w:tcW w:w="384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top"/>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sz w:val="21"/>
                <w:szCs w:val="21"/>
                <w:u w:val="none"/>
                <w:lang w:eastAsia="zh-CN"/>
              </w:rPr>
              <w:t>累计规模以上工业总产值实现153.1亿元以上、同比增长17.2%以上；规上工业增加值增长10.3%，工业投资完成22.8亿元以上，全年家居建材产业产值实现32亿元。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jc w:val="center"/>
        </w:trPr>
        <w:tc>
          <w:tcPr>
            <w:tcW w:w="142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年度绩效指标完成情况</w:t>
            </w:r>
          </w:p>
        </w:tc>
        <w:tc>
          <w:tcPr>
            <w:tcW w:w="122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指标</w:t>
            </w: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指标</w:t>
            </w:r>
          </w:p>
        </w:tc>
        <w:tc>
          <w:tcPr>
            <w:tcW w:w="16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指标</w:t>
            </w:r>
          </w:p>
        </w:tc>
        <w:tc>
          <w:tcPr>
            <w:tcW w:w="16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预期指标值</w:t>
            </w:r>
          </w:p>
        </w:tc>
        <w:tc>
          <w:tcPr>
            <w:tcW w:w="21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jc w:val="center"/>
        </w:trPr>
        <w:tc>
          <w:tcPr>
            <w:tcW w:w="142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1"/>
                <w:szCs w:val="21"/>
                <w:u w:val="none"/>
              </w:rPr>
            </w:pPr>
          </w:p>
        </w:tc>
        <w:tc>
          <w:tcPr>
            <w:tcW w:w="1224" w:type="dxa"/>
            <w:vMerge w:val="restart"/>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指标</w:t>
            </w: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数量指标</w:t>
            </w:r>
          </w:p>
        </w:tc>
        <w:tc>
          <w:tcPr>
            <w:tcW w:w="16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1"/>
                <w:szCs w:val="21"/>
                <w:u w:val="none"/>
                <w:lang w:val="en-US" w:eastAsia="zh-CN" w:bidi="ar"/>
              </w:rPr>
              <w:t>全区工业总产值</w:t>
            </w:r>
          </w:p>
        </w:tc>
        <w:tc>
          <w:tcPr>
            <w:tcW w:w="16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sz w:val="21"/>
                <w:szCs w:val="21"/>
                <w:u w:val="none"/>
                <w:lang w:eastAsia="zh-CN"/>
              </w:rPr>
              <w:t>146亿元、增长12%左右</w:t>
            </w:r>
          </w:p>
        </w:tc>
        <w:tc>
          <w:tcPr>
            <w:tcW w:w="21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lang w:val="en-US" w:eastAsia="zh-CN"/>
              </w:rPr>
            </w:pPr>
            <w:r>
              <w:rPr>
                <w:rFonts w:hint="eastAsia" w:asciiTheme="minorEastAsia" w:hAnsiTheme="minorEastAsia" w:eastAsiaTheme="minorEastAsia" w:cstheme="minorEastAsia"/>
                <w:i w:val="0"/>
                <w:color w:val="auto"/>
                <w:sz w:val="21"/>
                <w:szCs w:val="21"/>
                <w:u w:val="none"/>
                <w:lang w:eastAsia="zh-CN"/>
              </w:rPr>
              <w:t>实现153.1亿元以上、同比增长17.2%以上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jc w:val="center"/>
        </w:trPr>
        <w:tc>
          <w:tcPr>
            <w:tcW w:w="142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1"/>
                <w:szCs w:val="21"/>
                <w:u w:val="none"/>
              </w:rPr>
            </w:pPr>
          </w:p>
        </w:tc>
        <w:tc>
          <w:tcPr>
            <w:tcW w:w="1224"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1"/>
                <w:szCs w:val="21"/>
                <w:u w:val="none"/>
                <w:lang w:val="en-US" w:eastAsia="zh-CN" w:bidi="ar"/>
              </w:rPr>
            </w:pP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数量指标</w:t>
            </w:r>
          </w:p>
        </w:tc>
        <w:tc>
          <w:tcPr>
            <w:tcW w:w="16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Theme="minorEastAsia" w:hAnsiTheme="minorEastAsia" w:eastAsiaTheme="minorEastAsia" w:cstheme="minorEastAsia"/>
                <w:i w:val="0"/>
                <w:color w:val="auto"/>
                <w:sz w:val="21"/>
                <w:szCs w:val="21"/>
                <w:u w:val="none"/>
                <w:lang w:eastAsia="zh-CN"/>
              </w:rPr>
              <w:t>完成工业投资</w:t>
            </w:r>
          </w:p>
        </w:tc>
        <w:tc>
          <w:tcPr>
            <w:tcW w:w="16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1"/>
                <w:szCs w:val="21"/>
                <w:u w:val="none"/>
                <w:lang w:eastAsia="zh-CN"/>
              </w:rPr>
            </w:pPr>
            <w:r>
              <w:rPr>
                <w:rFonts w:hint="eastAsia" w:asciiTheme="minorEastAsia" w:hAnsiTheme="minorEastAsia" w:eastAsiaTheme="minorEastAsia" w:cstheme="minorEastAsia"/>
                <w:i w:val="0"/>
                <w:color w:val="auto"/>
                <w:sz w:val="21"/>
                <w:szCs w:val="21"/>
                <w:u w:val="none"/>
                <w:lang w:eastAsia="zh-CN"/>
              </w:rPr>
              <w:t>2</w:t>
            </w:r>
            <w:r>
              <w:rPr>
                <w:rFonts w:hint="eastAsia" w:asciiTheme="minorEastAsia" w:hAnsiTheme="minorEastAsia" w:eastAsiaTheme="minorEastAsia" w:cstheme="minorEastAsia"/>
                <w:i w:val="0"/>
                <w:color w:val="auto"/>
                <w:sz w:val="21"/>
                <w:szCs w:val="21"/>
                <w:u w:val="none"/>
                <w:lang w:val="en-US" w:eastAsia="zh-CN"/>
              </w:rPr>
              <w:t>2</w:t>
            </w:r>
            <w:r>
              <w:rPr>
                <w:rFonts w:hint="eastAsia" w:asciiTheme="minorEastAsia" w:hAnsiTheme="minorEastAsia" w:eastAsiaTheme="minorEastAsia" w:cstheme="minorEastAsia"/>
                <w:i w:val="0"/>
                <w:color w:val="auto"/>
                <w:sz w:val="21"/>
                <w:szCs w:val="21"/>
                <w:u w:val="none"/>
                <w:lang w:eastAsia="zh-CN"/>
              </w:rPr>
              <w:t>亿元</w:t>
            </w:r>
          </w:p>
        </w:tc>
        <w:tc>
          <w:tcPr>
            <w:tcW w:w="21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1"/>
                <w:szCs w:val="21"/>
                <w:u w:val="none"/>
                <w:lang w:eastAsia="zh-CN"/>
              </w:rPr>
            </w:pPr>
            <w:r>
              <w:rPr>
                <w:rFonts w:hint="eastAsia" w:asciiTheme="minorEastAsia" w:hAnsiTheme="minorEastAsia" w:eastAsiaTheme="minorEastAsia" w:cstheme="minorEastAsia"/>
                <w:i w:val="0"/>
                <w:color w:val="auto"/>
                <w:sz w:val="21"/>
                <w:szCs w:val="21"/>
                <w:u w:val="none"/>
                <w:lang w:eastAsia="zh-CN"/>
              </w:rPr>
              <w:t>2</w:t>
            </w:r>
            <w:r>
              <w:rPr>
                <w:rFonts w:hint="eastAsia" w:asciiTheme="minorEastAsia" w:hAnsiTheme="minorEastAsia" w:eastAsiaTheme="minorEastAsia" w:cstheme="minorEastAsia"/>
                <w:i w:val="0"/>
                <w:color w:val="auto"/>
                <w:sz w:val="21"/>
                <w:szCs w:val="21"/>
                <w:u w:val="none"/>
                <w:lang w:val="en-US" w:eastAsia="zh-CN"/>
              </w:rPr>
              <w:t>2.8</w:t>
            </w:r>
            <w:r>
              <w:rPr>
                <w:rFonts w:hint="eastAsia" w:asciiTheme="minorEastAsia" w:hAnsiTheme="minorEastAsia" w:eastAsiaTheme="minorEastAsia" w:cstheme="minorEastAsia"/>
                <w:i w:val="0"/>
                <w:color w:val="auto"/>
                <w:sz w:val="21"/>
                <w:szCs w:val="21"/>
                <w:u w:val="none"/>
                <w:lang w:eastAsia="zh-CN"/>
              </w:rPr>
              <w:t>亿元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jc w:val="center"/>
        </w:trPr>
        <w:tc>
          <w:tcPr>
            <w:tcW w:w="142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1"/>
                <w:szCs w:val="21"/>
                <w:u w:val="none"/>
              </w:rPr>
            </w:pPr>
          </w:p>
        </w:tc>
        <w:tc>
          <w:tcPr>
            <w:tcW w:w="12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1"/>
                <w:szCs w:val="21"/>
                <w:u w:val="none"/>
              </w:rPr>
            </w:pP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质量指标</w:t>
            </w:r>
          </w:p>
        </w:tc>
        <w:tc>
          <w:tcPr>
            <w:tcW w:w="16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sz w:val="21"/>
                <w:szCs w:val="21"/>
                <w:u w:val="none"/>
                <w:lang w:eastAsia="zh-CN"/>
              </w:rPr>
              <w:t>规上工业增加值增长</w:t>
            </w:r>
          </w:p>
        </w:tc>
        <w:tc>
          <w:tcPr>
            <w:tcW w:w="16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sz w:val="21"/>
                <w:szCs w:val="21"/>
                <w:u w:val="none"/>
                <w:lang w:eastAsia="zh-CN"/>
              </w:rPr>
              <w:t>10%以上</w:t>
            </w:r>
          </w:p>
        </w:tc>
        <w:tc>
          <w:tcPr>
            <w:tcW w:w="21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sz w:val="21"/>
                <w:szCs w:val="21"/>
                <w:u w:val="none"/>
                <w:lang w:eastAsia="zh-CN"/>
              </w:rPr>
              <w:t>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jc w:val="center"/>
        </w:trPr>
        <w:tc>
          <w:tcPr>
            <w:tcW w:w="142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1"/>
                <w:szCs w:val="21"/>
                <w:u w:val="none"/>
              </w:rPr>
            </w:pPr>
          </w:p>
        </w:tc>
        <w:tc>
          <w:tcPr>
            <w:tcW w:w="12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1"/>
                <w:szCs w:val="21"/>
                <w:u w:val="none"/>
              </w:rPr>
            </w:pP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时效指标</w:t>
            </w:r>
          </w:p>
        </w:tc>
        <w:tc>
          <w:tcPr>
            <w:tcW w:w="16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1"/>
                <w:szCs w:val="21"/>
                <w:u w:val="none"/>
                <w:lang w:val="en-US" w:eastAsia="zh-CN" w:bidi="ar"/>
              </w:rPr>
              <w:t>项目完成时间</w:t>
            </w:r>
          </w:p>
        </w:tc>
        <w:tc>
          <w:tcPr>
            <w:tcW w:w="16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1"/>
                <w:szCs w:val="21"/>
                <w:u w:val="none"/>
                <w:lang w:val="en-US" w:eastAsia="zh-CN" w:bidi="ar"/>
              </w:rPr>
              <w:t>2021年12月</w:t>
            </w:r>
          </w:p>
        </w:tc>
        <w:tc>
          <w:tcPr>
            <w:tcW w:w="21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1"/>
                <w:szCs w:val="21"/>
                <w:u w:val="none"/>
                <w:lang w:val="en-US" w:eastAsia="zh-CN" w:bidi="ar"/>
              </w:rPr>
              <w:t>2021年1-12月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42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1"/>
                <w:szCs w:val="21"/>
                <w:u w:val="none"/>
              </w:rPr>
            </w:pPr>
          </w:p>
        </w:tc>
        <w:tc>
          <w:tcPr>
            <w:tcW w:w="12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1"/>
                <w:szCs w:val="21"/>
                <w:u w:val="none"/>
              </w:rPr>
            </w:pP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成本指标</w:t>
            </w:r>
          </w:p>
        </w:tc>
        <w:tc>
          <w:tcPr>
            <w:tcW w:w="16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cs="宋体"/>
                <w:i w:val="0"/>
                <w:color w:val="000000"/>
                <w:kern w:val="0"/>
                <w:sz w:val="21"/>
                <w:szCs w:val="21"/>
                <w:u w:val="none"/>
                <w:lang w:val="en-US" w:eastAsia="zh-CN" w:bidi="ar"/>
              </w:rPr>
              <w:t>产业发展支出</w:t>
            </w:r>
          </w:p>
        </w:tc>
        <w:tc>
          <w:tcPr>
            <w:tcW w:w="16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cs="宋体"/>
                <w:i w:val="0"/>
                <w:color w:val="000000"/>
                <w:kern w:val="0"/>
                <w:sz w:val="21"/>
                <w:szCs w:val="21"/>
                <w:u w:val="none"/>
                <w:lang w:val="en-US" w:eastAsia="zh-CN" w:bidi="ar"/>
              </w:rPr>
              <w:t>20万元</w:t>
            </w:r>
          </w:p>
        </w:tc>
        <w:tc>
          <w:tcPr>
            <w:tcW w:w="21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1"/>
                <w:szCs w:val="21"/>
                <w:u w:val="none"/>
                <w:lang w:val="en-US" w:eastAsia="zh-CN"/>
              </w:rPr>
            </w:pPr>
            <w:r>
              <w:rPr>
                <w:rFonts w:hint="eastAsia" w:ascii="宋体" w:hAnsi="宋体" w:cs="宋体"/>
                <w:i w:val="0"/>
                <w:color w:val="000000"/>
                <w:kern w:val="0"/>
                <w:sz w:val="21"/>
                <w:szCs w:val="21"/>
                <w:u w:val="none"/>
                <w:lang w:val="en-US" w:eastAsia="zh-CN" w:bidi="ar"/>
              </w:rPr>
              <w:t>20万元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42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1"/>
                <w:szCs w:val="21"/>
                <w:u w:val="none"/>
              </w:rPr>
            </w:pPr>
          </w:p>
        </w:tc>
        <w:tc>
          <w:tcPr>
            <w:tcW w:w="122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效益</w:t>
            </w:r>
            <w:r>
              <w:rPr>
                <w:rFonts w:hint="eastAsia" w:asciiTheme="minorEastAsia" w:hAnsiTheme="minorEastAsia" w:eastAsiaTheme="minorEastAsia" w:cstheme="minorEastAsia"/>
                <w:i w:val="0"/>
                <w:color w:val="auto"/>
                <w:kern w:val="0"/>
                <w:sz w:val="21"/>
                <w:szCs w:val="21"/>
                <w:u w:val="none"/>
                <w:lang w:val="en-US" w:eastAsia="zh-CN" w:bidi="ar"/>
              </w:rPr>
              <w:br w:type="textWrapping"/>
            </w:r>
            <w:r>
              <w:rPr>
                <w:rFonts w:hint="eastAsia" w:asciiTheme="minorEastAsia" w:hAnsiTheme="minorEastAsia" w:eastAsiaTheme="minorEastAsia" w:cstheme="minorEastAsia"/>
                <w:i w:val="0"/>
                <w:color w:val="auto"/>
                <w:kern w:val="0"/>
                <w:sz w:val="21"/>
                <w:szCs w:val="21"/>
                <w:u w:val="none"/>
                <w:lang w:val="en-US" w:eastAsia="zh-CN" w:bidi="ar"/>
              </w:rPr>
              <w:t>指标</w:t>
            </w: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经济效益指标</w:t>
            </w:r>
          </w:p>
        </w:tc>
        <w:tc>
          <w:tcPr>
            <w:tcW w:w="16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p>
        </w:tc>
        <w:tc>
          <w:tcPr>
            <w:tcW w:w="16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1"/>
                <w:szCs w:val="21"/>
                <w:u w:val="none"/>
              </w:rPr>
            </w:pPr>
          </w:p>
        </w:tc>
        <w:tc>
          <w:tcPr>
            <w:tcW w:w="21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42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1"/>
                <w:szCs w:val="21"/>
                <w:u w:val="none"/>
              </w:rPr>
            </w:pPr>
          </w:p>
        </w:tc>
        <w:tc>
          <w:tcPr>
            <w:tcW w:w="122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1"/>
                <w:szCs w:val="21"/>
                <w:u w:val="none"/>
              </w:rPr>
            </w:pP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社会效益指标</w:t>
            </w:r>
          </w:p>
        </w:tc>
        <w:tc>
          <w:tcPr>
            <w:tcW w:w="16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1"/>
                <w:szCs w:val="21"/>
                <w:u w:val="none"/>
                <w:lang w:val="en-US" w:eastAsia="zh-CN" w:bidi="ar"/>
              </w:rPr>
              <w:t>新增本地劳动力就业</w:t>
            </w:r>
          </w:p>
        </w:tc>
        <w:tc>
          <w:tcPr>
            <w:tcW w:w="16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cs="宋体"/>
                <w:i w:val="0"/>
                <w:color w:val="000000"/>
                <w:kern w:val="0"/>
                <w:sz w:val="21"/>
                <w:szCs w:val="21"/>
                <w:u w:val="none"/>
                <w:lang w:val="en-US" w:eastAsia="zh-CN" w:bidi="ar"/>
              </w:rPr>
              <w:t>75</w:t>
            </w:r>
            <w:r>
              <w:rPr>
                <w:rFonts w:hint="eastAsia" w:ascii="宋体" w:hAnsi="宋体" w:eastAsia="宋体" w:cs="宋体"/>
                <w:i w:val="0"/>
                <w:color w:val="000000"/>
                <w:kern w:val="0"/>
                <w:sz w:val="21"/>
                <w:szCs w:val="21"/>
                <w:u w:val="none"/>
                <w:lang w:val="en-US" w:eastAsia="zh-CN" w:bidi="ar"/>
              </w:rPr>
              <w:t>人</w:t>
            </w:r>
          </w:p>
        </w:tc>
        <w:tc>
          <w:tcPr>
            <w:tcW w:w="21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lang w:val="en-US" w:eastAsia="zh-CN"/>
              </w:rPr>
            </w:pPr>
            <w:r>
              <w:rPr>
                <w:rFonts w:hint="eastAsia" w:asciiTheme="minorEastAsia" w:hAnsiTheme="minorEastAsia" w:eastAsiaTheme="minorEastAsia" w:cstheme="minorEastAsia"/>
                <w:i w:val="0"/>
                <w:color w:val="auto"/>
                <w:sz w:val="21"/>
                <w:szCs w:val="21"/>
                <w:u w:val="none"/>
                <w:lang w:val="en-US" w:eastAsia="zh-CN"/>
              </w:rPr>
              <w:t>86人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jc w:val="center"/>
        </w:trPr>
        <w:tc>
          <w:tcPr>
            <w:tcW w:w="142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1"/>
                <w:szCs w:val="21"/>
                <w:u w:val="none"/>
              </w:rPr>
            </w:pPr>
          </w:p>
        </w:tc>
        <w:tc>
          <w:tcPr>
            <w:tcW w:w="122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1"/>
                <w:szCs w:val="21"/>
                <w:u w:val="none"/>
              </w:rPr>
            </w:pP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生态效益指标</w:t>
            </w:r>
          </w:p>
        </w:tc>
        <w:tc>
          <w:tcPr>
            <w:tcW w:w="16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p>
        </w:tc>
        <w:tc>
          <w:tcPr>
            <w:tcW w:w="16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p>
        </w:tc>
        <w:tc>
          <w:tcPr>
            <w:tcW w:w="2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42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1"/>
                <w:szCs w:val="21"/>
                <w:u w:val="none"/>
              </w:rPr>
            </w:pPr>
          </w:p>
        </w:tc>
        <w:tc>
          <w:tcPr>
            <w:tcW w:w="122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1"/>
                <w:szCs w:val="21"/>
                <w:u w:val="none"/>
              </w:rPr>
            </w:pP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可持续影响</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指标</w:t>
            </w:r>
          </w:p>
        </w:tc>
        <w:tc>
          <w:tcPr>
            <w:tcW w:w="16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p>
        </w:tc>
        <w:tc>
          <w:tcPr>
            <w:tcW w:w="16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p>
        </w:tc>
        <w:tc>
          <w:tcPr>
            <w:tcW w:w="2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30" w:hRule="atLeast"/>
          <w:jc w:val="center"/>
        </w:trPr>
        <w:tc>
          <w:tcPr>
            <w:tcW w:w="142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1"/>
                <w:szCs w:val="21"/>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满意</w:t>
            </w:r>
            <w:r>
              <w:rPr>
                <w:rFonts w:hint="eastAsia" w:asciiTheme="minorEastAsia" w:hAnsiTheme="minorEastAsia" w:eastAsiaTheme="minorEastAsia" w:cstheme="minorEastAsia"/>
                <w:i w:val="0"/>
                <w:color w:val="auto"/>
                <w:kern w:val="0"/>
                <w:sz w:val="21"/>
                <w:szCs w:val="21"/>
                <w:u w:val="none"/>
                <w:lang w:val="en-US" w:eastAsia="zh-CN" w:bidi="ar"/>
              </w:rPr>
              <w:br w:type="textWrapping"/>
            </w:r>
            <w:r>
              <w:rPr>
                <w:rFonts w:hint="eastAsia" w:asciiTheme="minorEastAsia" w:hAnsiTheme="minorEastAsia" w:eastAsiaTheme="minorEastAsia" w:cstheme="minorEastAsia"/>
                <w:i w:val="0"/>
                <w:color w:val="auto"/>
                <w:kern w:val="0"/>
                <w:sz w:val="21"/>
                <w:szCs w:val="21"/>
                <w:u w:val="none"/>
                <w:lang w:val="en-US" w:eastAsia="zh-CN" w:bidi="ar"/>
              </w:rPr>
              <w:t>度指标</w:t>
            </w: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指标</w:t>
            </w:r>
          </w:p>
        </w:tc>
        <w:tc>
          <w:tcPr>
            <w:tcW w:w="16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1"/>
                <w:szCs w:val="21"/>
                <w:u w:val="none"/>
              </w:rPr>
            </w:pPr>
            <w:r>
              <w:rPr>
                <w:rFonts w:hint="default" w:ascii="等线" w:hAnsi="等线" w:eastAsia="等线" w:cs="等线"/>
                <w:i w:val="0"/>
                <w:color w:val="000000"/>
                <w:kern w:val="0"/>
                <w:sz w:val="21"/>
                <w:szCs w:val="21"/>
                <w:u w:val="none"/>
                <w:lang w:val="en-US" w:eastAsia="zh-CN" w:bidi="ar"/>
              </w:rPr>
              <w:t>引进企业满意度</w:t>
            </w:r>
          </w:p>
        </w:tc>
        <w:tc>
          <w:tcPr>
            <w:tcW w:w="16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90%以上</w:t>
            </w:r>
          </w:p>
        </w:tc>
        <w:tc>
          <w:tcPr>
            <w:tcW w:w="2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90%以上</w:t>
            </w:r>
          </w:p>
        </w:tc>
      </w:tr>
    </w:tbl>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bCs/>
          <w:color w:val="auto"/>
          <w:sz w:val="32"/>
          <w:szCs w:val="32"/>
          <w:highlight w:val="none"/>
          <w:lang w:eastAsia="zh-CN"/>
        </w:rPr>
      </w:pPr>
      <w:bookmarkStart w:id="108" w:name="_Toc12485"/>
      <w:bookmarkStart w:id="109" w:name="_Toc20011"/>
      <w:r>
        <w:rPr>
          <w:rFonts w:hint="eastAsia" w:asciiTheme="minorEastAsia" w:hAnsiTheme="minorEastAsia" w:eastAsiaTheme="minorEastAsia" w:cstheme="minorEastAsia"/>
          <w:b/>
          <w:bCs/>
          <w:color w:val="auto"/>
          <w:sz w:val="32"/>
          <w:szCs w:val="32"/>
          <w:highlight w:val="none"/>
        </w:rPr>
        <w:t>2021年</w:t>
      </w:r>
      <w:r>
        <w:rPr>
          <w:rFonts w:hint="eastAsia" w:asciiTheme="minorEastAsia" w:hAnsiTheme="minorEastAsia" w:eastAsiaTheme="minorEastAsia" w:cstheme="minorEastAsia"/>
          <w:b/>
          <w:bCs/>
          <w:color w:val="auto"/>
          <w:sz w:val="32"/>
          <w:szCs w:val="32"/>
          <w:highlight w:val="none"/>
          <w:lang w:eastAsia="zh-CN"/>
        </w:rPr>
        <w:t>产业发展</w:t>
      </w:r>
      <w:r>
        <w:rPr>
          <w:rFonts w:hint="eastAsia" w:asciiTheme="minorEastAsia" w:hAnsiTheme="minorEastAsia" w:eastAsiaTheme="minorEastAsia" w:cstheme="minorEastAsia"/>
          <w:b/>
          <w:bCs/>
          <w:color w:val="auto"/>
          <w:sz w:val="32"/>
          <w:szCs w:val="32"/>
          <w:highlight w:val="none"/>
        </w:rPr>
        <w:t>工作经费</w:t>
      </w:r>
      <w:r>
        <w:rPr>
          <w:rFonts w:hint="eastAsia" w:asciiTheme="minorEastAsia" w:hAnsiTheme="minorEastAsia" w:eastAsiaTheme="minorEastAsia" w:cstheme="minorEastAsia"/>
          <w:b/>
          <w:bCs/>
          <w:color w:val="auto"/>
          <w:sz w:val="32"/>
          <w:szCs w:val="32"/>
          <w:highlight w:val="none"/>
          <w:lang w:eastAsia="zh-CN"/>
        </w:rPr>
        <w:t>绩效目标自评</w:t>
      </w:r>
      <w:bookmarkEnd w:id="108"/>
      <w:bookmarkEnd w:id="109"/>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rPr>
        <w:sectPr>
          <w:footerReference r:id="rId7" w:type="first"/>
          <w:footerReference r:id="rId6" w:type="default"/>
          <w:pgSz w:w="11906" w:h="16838"/>
          <w:pgMar w:top="1440" w:right="1800" w:bottom="1440" w:left="1800" w:header="851" w:footer="992" w:gutter="0"/>
          <w:pgNumType w:fmt="decimal"/>
          <w:cols w:space="425" w:num="1"/>
          <w:titlePg/>
          <w:docGrid w:type="lines" w:linePitch="312" w:charSpace="0"/>
        </w:sectPr>
      </w:pPr>
    </w:p>
    <w:p>
      <w:pPr>
        <w:pStyle w:val="2"/>
        <w:keepNext w:val="0"/>
        <w:keepLines w:val="0"/>
        <w:pageBreakBefore w:val="0"/>
        <w:widowControl w:val="0"/>
        <w:kinsoku/>
        <w:wordWrap/>
        <w:overflowPunct/>
        <w:topLinePunct w:val="0"/>
        <w:autoSpaceDE/>
        <w:autoSpaceDN/>
        <w:bidi w:val="0"/>
        <w:adjustRightInd/>
        <w:snapToGrid/>
        <w:spacing w:before="95" w:beforeLines="30" w:line="240" w:lineRule="auto"/>
        <w:ind w:left="0" w:leftChars="0" w:right="0" w:rightChars="0" w:firstLine="0" w:firstLineChars="0"/>
        <w:jc w:val="both"/>
        <w:textAlignment w:val="auto"/>
        <w:outlineLvl w:val="1"/>
        <w:rPr>
          <w:rFonts w:hint="eastAsia" w:ascii="黑体" w:hAnsi="黑体" w:eastAsia="黑体" w:cs="黑体"/>
          <w:color w:val="auto"/>
          <w:sz w:val="32"/>
          <w:szCs w:val="32"/>
          <w:highlight w:val="none"/>
          <w:lang w:val="en-US" w:eastAsia="zh-CN"/>
        </w:rPr>
      </w:pPr>
      <w:bookmarkStart w:id="110" w:name="_Toc11024"/>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val="en-US" w:eastAsia="zh-CN"/>
        </w:rPr>
        <w:t>3</w:t>
      </w:r>
      <w:bookmarkEnd w:id="110"/>
    </w:p>
    <w:tbl>
      <w:tblPr>
        <w:tblStyle w:val="16"/>
        <w:tblpPr w:leftFromText="180" w:rightFromText="180" w:vertAnchor="text" w:horzAnchor="page" w:tblpX="1321" w:tblpY="767"/>
        <w:tblOverlap w:val="never"/>
        <w:tblW w:w="957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26"/>
        <w:gridCol w:w="1224"/>
        <w:gridCol w:w="469"/>
        <w:gridCol w:w="1007"/>
        <w:gridCol w:w="628"/>
        <w:gridCol w:w="900"/>
        <w:gridCol w:w="1320"/>
        <w:gridCol w:w="406"/>
        <w:gridCol w:w="1"/>
        <w:gridCol w:w="21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4" w:hRule="atLeast"/>
        </w:trPr>
        <w:tc>
          <w:tcPr>
            <w:tcW w:w="3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主管部门及代码</w:t>
            </w:r>
          </w:p>
        </w:tc>
        <w:tc>
          <w:tcPr>
            <w:tcW w:w="25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lang w:val="en-US" w:eastAsia="zh-CN"/>
              </w:rPr>
            </w:pPr>
            <w:r>
              <w:rPr>
                <w:rFonts w:hint="eastAsia" w:asciiTheme="minorEastAsia" w:hAnsiTheme="minorEastAsia" w:eastAsiaTheme="minorEastAsia" w:cstheme="minorEastAsia"/>
                <w:i w:val="0"/>
                <w:color w:val="auto"/>
                <w:sz w:val="21"/>
                <w:szCs w:val="21"/>
                <w:u w:val="none"/>
                <w:lang w:val="en-US" w:eastAsia="zh-CN"/>
              </w:rPr>
              <w:t>471401</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实施单位</w:t>
            </w:r>
          </w:p>
        </w:tc>
        <w:tc>
          <w:tcPr>
            <w:tcW w:w="26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lang w:eastAsia="zh-CN"/>
              </w:rPr>
            </w:pPr>
            <w:r>
              <w:rPr>
                <w:rFonts w:hint="eastAsia" w:asciiTheme="minorEastAsia" w:hAnsiTheme="minorEastAsia" w:eastAsiaTheme="minorEastAsia" w:cstheme="minorEastAsia"/>
                <w:i w:val="0"/>
                <w:color w:val="auto"/>
                <w:sz w:val="21"/>
                <w:szCs w:val="21"/>
                <w:u w:val="none"/>
                <w:lang w:eastAsia="zh-CN"/>
              </w:rPr>
              <w:t>区经信科技局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trPr>
        <w:tc>
          <w:tcPr>
            <w:tcW w:w="3119"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项目预算</w:t>
            </w:r>
            <w:r>
              <w:rPr>
                <w:rFonts w:hint="eastAsia" w:asciiTheme="minorEastAsia" w:hAnsiTheme="minorEastAsia" w:eastAsiaTheme="minorEastAsia" w:cstheme="minorEastAsia"/>
                <w:i w:val="0"/>
                <w:color w:val="auto"/>
                <w:kern w:val="0"/>
                <w:sz w:val="21"/>
                <w:szCs w:val="21"/>
                <w:u w:val="none"/>
                <w:lang w:val="en-US" w:eastAsia="zh-CN" w:bidi="ar"/>
              </w:rPr>
              <w:br w:type="textWrapping"/>
            </w:r>
            <w:r>
              <w:rPr>
                <w:rFonts w:hint="eastAsia" w:asciiTheme="minorEastAsia" w:hAnsiTheme="minorEastAsia" w:eastAsiaTheme="minorEastAsia" w:cstheme="minorEastAsia"/>
                <w:i w:val="0"/>
                <w:color w:val="auto"/>
                <w:kern w:val="0"/>
                <w:sz w:val="21"/>
                <w:szCs w:val="21"/>
                <w:u w:val="none"/>
                <w:lang w:val="en-US" w:eastAsia="zh-CN" w:bidi="ar"/>
              </w:rPr>
              <w:t>执行情况</w:t>
            </w:r>
            <w:r>
              <w:rPr>
                <w:rFonts w:hint="eastAsia" w:asciiTheme="minorEastAsia" w:hAnsiTheme="minorEastAsia" w:eastAsiaTheme="minorEastAsia" w:cstheme="minorEastAsia"/>
                <w:i w:val="0"/>
                <w:color w:val="auto"/>
                <w:kern w:val="0"/>
                <w:sz w:val="21"/>
                <w:szCs w:val="21"/>
                <w:u w:val="none"/>
                <w:lang w:val="en-US" w:eastAsia="zh-CN" w:bidi="ar"/>
              </w:rPr>
              <w:br w:type="textWrapping"/>
            </w:r>
            <w:r>
              <w:rPr>
                <w:rFonts w:hint="eastAsia" w:asciiTheme="minorEastAsia" w:hAnsiTheme="minorEastAsia" w:eastAsiaTheme="minorEastAsia" w:cstheme="minorEastAsia"/>
                <w:i w:val="0"/>
                <w:color w:val="auto"/>
                <w:kern w:val="0"/>
                <w:sz w:val="21"/>
                <w:szCs w:val="21"/>
                <w:u w:val="none"/>
                <w:lang w:val="en-US" w:eastAsia="zh-CN" w:bidi="ar"/>
              </w:rPr>
              <w:t>（万元）</w:t>
            </w: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预算数：</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lang w:val="en-US" w:eastAsia="zh-CN"/>
              </w:rPr>
            </w:pPr>
            <w:r>
              <w:rPr>
                <w:rFonts w:hint="eastAsia" w:asciiTheme="minorEastAsia" w:hAnsiTheme="minorEastAsia" w:eastAsiaTheme="minorEastAsia" w:cstheme="minorEastAsia"/>
                <w:i w:val="0"/>
                <w:color w:val="auto"/>
                <w:sz w:val="21"/>
                <w:szCs w:val="21"/>
                <w:u w:val="none"/>
                <w:lang w:val="en-US" w:eastAsia="zh-CN"/>
              </w:rPr>
              <w:t>15万元</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执行数：</w:t>
            </w:r>
          </w:p>
        </w:tc>
        <w:tc>
          <w:tcPr>
            <w:tcW w:w="26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lang w:val="en-US" w:eastAsia="zh-CN"/>
              </w:rPr>
            </w:pPr>
            <w:r>
              <w:rPr>
                <w:rFonts w:hint="eastAsia" w:asciiTheme="minorEastAsia" w:hAnsiTheme="minorEastAsia" w:eastAsiaTheme="minorEastAsia" w:cstheme="minorEastAsia"/>
                <w:i w:val="0"/>
                <w:color w:val="auto"/>
                <w:sz w:val="21"/>
                <w:szCs w:val="21"/>
                <w:u w:val="none"/>
                <w:lang w:val="en-US" w:eastAsia="zh-CN"/>
              </w:rPr>
              <w:t>15万元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311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1"/>
                <w:szCs w:val="21"/>
                <w:u w:val="none"/>
              </w:rPr>
            </w:pP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财政拨款</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lang w:val="en-US" w:eastAsia="zh-CN"/>
              </w:rPr>
            </w:pPr>
            <w:r>
              <w:rPr>
                <w:rFonts w:hint="eastAsia" w:asciiTheme="minorEastAsia" w:hAnsiTheme="minorEastAsia" w:eastAsiaTheme="minorEastAsia" w:cstheme="minorEastAsia"/>
                <w:i w:val="0"/>
                <w:color w:val="auto"/>
                <w:sz w:val="21"/>
                <w:szCs w:val="21"/>
                <w:u w:val="none"/>
                <w:lang w:val="en-US" w:eastAsia="zh-CN"/>
              </w:rPr>
              <w:t>15万元</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财政拨款</w:t>
            </w:r>
          </w:p>
        </w:tc>
        <w:tc>
          <w:tcPr>
            <w:tcW w:w="26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lang w:val="en-US" w:eastAsia="zh-CN"/>
              </w:rPr>
            </w:pPr>
            <w:r>
              <w:rPr>
                <w:rFonts w:hint="eastAsia" w:asciiTheme="minorEastAsia" w:hAnsiTheme="minorEastAsia" w:eastAsiaTheme="minorEastAsia" w:cstheme="minorEastAsia"/>
                <w:i w:val="0"/>
                <w:color w:val="auto"/>
                <w:sz w:val="21"/>
                <w:szCs w:val="21"/>
                <w:u w:val="none"/>
                <w:lang w:val="en-US" w:eastAsia="zh-CN"/>
              </w:rPr>
              <w:t>15万元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trPr>
        <w:tc>
          <w:tcPr>
            <w:tcW w:w="311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1"/>
                <w:szCs w:val="21"/>
                <w:u w:val="none"/>
              </w:rPr>
            </w:pP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其他资金</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其他资金</w:t>
            </w:r>
          </w:p>
        </w:tc>
        <w:tc>
          <w:tcPr>
            <w:tcW w:w="26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7" w:hRule="atLeast"/>
        </w:trPr>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年度总体目标完成情况</w:t>
            </w:r>
          </w:p>
        </w:tc>
        <w:tc>
          <w:tcPr>
            <w:tcW w:w="422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预期目标</w:t>
            </w:r>
          </w:p>
        </w:tc>
        <w:tc>
          <w:tcPr>
            <w:tcW w:w="392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7" w:hRule="atLeast"/>
        </w:trPr>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1"/>
                <w:szCs w:val="21"/>
                <w:u w:val="none"/>
              </w:rPr>
            </w:pPr>
          </w:p>
        </w:tc>
        <w:tc>
          <w:tcPr>
            <w:tcW w:w="422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top"/>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sz w:val="21"/>
                <w:szCs w:val="21"/>
                <w:u w:val="none"/>
                <w:lang w:eastAsia="zh-CN"/>
              </w:rPr>
              <w:t>力争全年引进企业不少于2家。引进企业能顺利签约落地，增加本地就业20人以上。</w:t>
            </w:r>
          </w:p>
        </w:tc>
        <w:tc>
          <w:tcPr>
            <w:tcW w:w="392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top"/>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sz w:val="21"/>
                <w:szCs w:val="21"/>
                <w:u w:val="none"/>
                <w:lang w:eastAsia="zh-CN"/>
              </w:rPr>
              <w:t>全年引进企业2家，其中慕曼德集团为办公家居行业标杆性企业，顺利签约落地，增加本地就业</w:t>
            </w:r>
            <w:r>
              <w:rPr>
                <w:rFonts w:hint="eastAsia" w:asciiTheme="minorEastAsia" w:hAnsiTheme="minorEastAsia" w:eastAsiaTheme="minorEastAsia" w:cstheme="minorEastAsia"/>
                <w:i w:val="0"/>
                <w:color w:val="auto"/>
                <w:sz w:val="21"/>
                <w:szCs w:val="21"/>
                <w:u w:val="none"/>
                <w:lang w:val="en-US" w:eastAsia="zh-CN"/>
              </w:rPr>
              <w:t>52</w:t>
            </w:r>
            <w:r>
              <w:rPr>
                <w:rFonts w:hint="eastAsia" w:asciiTheme="minorEastAsia" w:hAnsiTheme="minorEastAsia" w:eastAsiaTheme="minorEastAsia" w:cstheme="minorEastAsia"/>
                <w:i w:val="0"/>
                <w:color w:val="auto"/>
                <w:sz w:val="21"/>
                <w:szCs w:val="21"/>
                <w:u w:val="none"/>
                <w:lang w:eastAsia="zh-CN"/>
              </w:rPr>
              <w:t>人以上。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142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年度绩效指标完成情况</w:t>
            </w:r>
          </w:p>
        </w:tc>
        <w:tc>
          <w:tcPr>
            <w:tcW w:w="122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指标</w:t>
            </w: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指标</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指标</w:t>
            </w:r>
          </w:p>
        </w:tc>
        <w:tc>
          <w:tcPr>
            <w:tcW w:w="17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预期指标值</w:t>
            </w: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142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1"/>
                <w:szCs w:val="21"/>
                <w:u w:val="none"/>
              </w:rPr>
            </w:pPr>
          </w:p>
        </w:tc>
        <w:tc>
          <w:tcPr>
            <w:tcW w:w="1224" w:type="dxa"/>
            <w:vMerge w:val="restart"/>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指标</w:t>
            </w: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数量指标</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1"/>
                <w:szCs w:val="21"/>
                <w:u w:val="none"/>
                <w:lang w:val="en-US" w:eastAsia="zh-CN" w:bidi="ar"/>
              </w:rPr>
              <w:t>签约企业</w:t>
            </w:r>
          </w:p>
        </w:tc>
        <w:tc>
          <w:tcPr>
            <w:tcW w:w="17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1"/>
                <w:szCs w:val="21"/>
                <w:u w:val="none"/>
                <w:lang w:val="en-US" w:eastAsia="zh-CN" w:bidi="ar"/>
              </w:rPr>
              <w:t xml:space="preserve"> </w:t>
            </w:r>
            <w:r>
              <w:rPr>
                <w:rFonts w:hint="eastAsia" w:ascii="宋体" w:hAnsi="宋体" w:cs="宋体"/>
                <w:i w:val="0"/>
                <w:color w:val="000000"/>
                <w:kern w:val="0"/>
                <w:sz w:val="21"/>
                <w:szCs w:val="21"/>
                <w:u w:val="none"/>
                <w:lang w:val="en-US" w:eastAsia="zh-CN" w:bidi="ar"/>
              </w:rPr>
              <w:t>不少于2家</w:t>
            </w: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lang w:val="en-US" w:eastAsia="zh-CN"/>
              </w:rPr>
            </w:pPr>
            <w:r>
              <w:rPr>
                <w:rFonts w:hint="eastAsia" w:ascii="宋体" w:hAnsi="宋体" w:eastAsia="宋体" w:cs="宋体"/>
                <w:i w:val="0"/>
                <w:color w:val="000000"/>
                <w:kern w:val="0"/>
                <w:sz w:val="21"/>
                <w:szCs w:val="21"/>
                <w:u w:val="none"/>
                <w:lang w:val="en-US" w:eastAsia="zh-CN" w:bidi="ar"/>
              </w:rPr>
              <w:t xml:space="preserve"> </w:t>
            </w:r>
            <w:r>
              <w:rPr>
                <w:rFonts w:hint="eastAsia" w:ascii="宋体" w:hAnsi="宋体" w:cs="宋体"/>
                <w:i w:val="0"/>
                <w:color w:val="000000"/>
                <w:kern w:val="0"/>
                <w:sz w:val="21"/>
                <w:szCs w:val="21"/>
                <w:u w:val="none"/>
                <w:lang w:val="en-US" w:eastAsia="zh-CN" w:bidi="ar"/>
              </w:rPr>
              <w:t>2</w:t>
            </w:r>
            <w:r>
              <w:rPr>
                <w:rFonts w:hint="eastAsia" w:ascii="宋体" w:hAnsi="宋体" w:eastAsia="宋体" w:cs="宋体"/>
                <w:i w:val="0"/>
                <w:color w:val="000000"/>
                <w:kern w:val="0"/>
                <w:sz w:val="21"/>
                <w:szCs w:val="21"/>
                <w:u w:val="none"/>
                <w:lang w:val="en-US" w:eastAsia="zh-CN" w:bidi="ar"/>
              </w:rPr>
              <w:t>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142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1"/>
                <w:szCs w:val="21"/>
                <w:u w:val="none"/>
              </w:rPr>
            </w:pPr>
          </w:p>
        </w:tc>
        <w:tc>
          <w:tcPr>
            <w:tcW w:w="12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1"/>
                <w:szCs w:val="21"/>
                <w:u w:val="none"/>
              </w:rPr>
            </w:pP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质量指标</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1"/>
                <w:szCs w:val="21"/>
                <w:u w:val="none"/>
                <w:lang w:val="en-US" w:eastAsia="zh-CN" w:bidi="ar"/>
              </w:rPr>
              <w:t>拟签约企业</w:t>
            </w:r>
          </w:p>
        </w:tc>
        <w:tc>
          <w:tcPr>
            <w:tcW w:w="17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1"/>
                <w:szCs w:val="21"/>
                <w:u w:val="none"/>
                <w:lang w:val="en-US" w:eastAsia="zh-CN" w:bidi="ar"/>
              </w:rPr>
              <w:t>全部落地昭化</w:t>
            </w: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1"/>
                <w:szCs w:val="21"/>
                <w:u w:val="none"/>
                <w:lang w:val="en-US" w:eastAsia="zh-CN" w:bidi="ar"/>
              </w:rPr>
              <w:t>全部落地昭化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142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1"/>
                <w:szCs w:val="21"/>
                <w:u w:val="none"/>
              </w:rPr>
            </w:pPr>
          </w:p>
        </w:tc>
        <w:tc>
          <w:tcPr>
            <w:tcW w:w="12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1"/>
                <w:szCs w:val="21"/>
                <w:u w:val="none"/>
              </w:rPr>
            </w:pP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时效指标</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1"/>
                <w:szCs w:val="21"/>
                <w:u w:val="none"/>
                <w:lang w:val="en-US" w:eastAsia="zh-CN" w:bidi="ar"/>
              </w:rPr>
              <w:t>项目完成时间</w:t>
            </w:r>
          </w:p>
        </w:tc>
        <w:tc>
          <w:tcPr>
            <w:tcW w:w="17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1"/>
                <w:szCs w:val="21"/>
                <w:u w:val="none"/>
                <w:lang w:val="en-US" w:eastAsia="zh-CN" w:bidi="ar"/>
              </w:rPr>
              <w:t>2021年1-12月</w:t>
            </w: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1"/>
                <w:szCs w:val="21"/>
                <w:u w:val="none"/>
                <w:lang w:val="en-US" w:eastAsia="zh-CN" w:bidi="ar"/>
              </w:rPr>
              <w:t>2021年1-12月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42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1"/>
                <w:szCs w:val="21"/>
                <w:u w:val="none"/>
              </w:rPr>
            </w:pPr>
          </w:p>
        </w:tc>
        <w:tc>
          <w:tcPr>
            <w:tcW w:w="12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1"/>
                <w:szCs w:val="21"/>
                <w:u w:val="none"/>
              </w:rPr>
            </w:pP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成本指标</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1"/>
                <w:szCs w:val="21"/>
                <w:u w:val="none"/>
                <w:lang w:val="en-US" w:eastAsia="zh-CN" w:bidi="ar"/>
              </w:rPr>
              <w:t>严格控制招商引资成本</w:t>
            </w:r>
          </w:p>
        </w:tc>
        <w:tc>
          <w:tcPr>
            <w:tcW w:w="17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cs="宋体"/>
                <w:i w:val="0"/>
                <w:color w:val="000000"/>
                <w:kern w:val="0"/>
                <w:sz w:val="21"/>
                <w:szCs w:val="21"/>
                <w:u w:val="none"/>
                <w:lang w:val="en-US" w:eastAsia="zh-CN" w:bidi="ar"/>
              </w:rPr>
              <w:t>15万元</w:t>
            </w: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lang w:val="en-US" w:eastAsia="zh-CN"/>
              </w:rPr>
            </w:pPr>
            <w:r>
              <w:rPr>
                <w:rFonts w:hint="eastAsia" w:ascii="宋体" w:hAnsi="宋体" w:cs="宋体"/>
                <w:i w:val="0"/>
                <w:color w:val="000000"/>
                <w:kern w:val="0"/>
                <w:sz w:val="21"/>
                <w:szCs w:val="21"/>
                <w:u w:val="none"/>
                <w:lang w:val="en-US" w:eastAsia="zh-CN" w:bidi="ar"/>
              </w:rPr>
              <w:t>15万元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42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1"/>
                <w:szCs w:val="21"/>
                <w:u w:val="none"/>
              </w:rPr>
            </w:pPr>
          </w:p>
        </w:tc>
        <w:tc>
          <w:tcPr>
            <w:tcW w:w="122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效益</w:t>
            </w:r>
            <w:r>
              <w:rPr>
                <w:rFonts w:hint="eastAsia" w:asciiTheme="minorEastAsia" w:hAnsiTheme="minorEastAsia" w:eastAsiaTheme="minorEastAsia" w:cstheme="minorEastAsia"/>
                <w:i w:val="0"/>
                <w:color w:val="auto"/>
                <w:kern w:val="0"/>
                <w:sz w:val="21"/>
                <w:szCs w:val="21"/>
                <w:u w:val="none"/>
                <w:lang w:val="en-US" w:eastAsia="zh-CN" w:bidi="ar"/>
              </w:rPr>
              <w:br w:type="textWrapping"/>
            </w:r>
            <w:r>
              <w:rPr>
                <w:rFonts w:hint="eastAsia" w:asciiTheme="minorEastAsia" w:hAnsiTheme="minorEastAsia" w:eastAsiaTheme="minorEastAsia" w:cstheme="minorEastAsia"/>
                <w:i w:val="0"/>
                <w:color w:val="auto"/>
                <w:kern w:val="0"/>
                <w:sz w:val="21"/>
                <w:szCs w:val="21"/>
                <w:u w:val="none"/>
                <w:lang w:val="en-US" w:eastAsia="zh-CN" w:bidi="ar"/>
              </w:rPr>
              <w:t>指标</w:t>
            </w: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经济效益指标</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p>
        </w:tc>
        <w:tc>
          <w:tcPr>
            <w:tcW w:w="17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42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1"/>
                <w:szCs w:val="21"/>
                <w:u w:val="none"/>
              </w:rPr>
            </w:pPr>
          </w:p>
        </w:tc>
        <w:tc>
          <w:tcPr>
            <w:tcW w:w="122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1"/>
                <w:szCs w:val="21"/>
                <w:u w:val="none"/>
              </w:rPr>
            </w:pP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社会效益指标</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eastAsia="宋体" w:cs="宋体"/>
                <w:i w:val="0"/>
                <w:color w:val="000000"/>
                <w:kern w:val="0"/>
                <w:sz w:val="21"/>
                <w:szCs w:val="21"/>
                <w:u w:val="none"/>
                <w:lang w:val="en-US" w:eastAsia="zh-CN" w:bidi="ar"/>
              </w:rPr>
              <w:t>带动就业</w:t>
            </w:r>
          </w:p>
        </w:tc>
        <w:tc>
          <w:tcPr>
            <w:tcW w:w="17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宋体" w:hAnsi="宋体" w:cs="宋体"/>
                <w:i w:val="0"/>
                <w:color w:val="000000"/>
                <w:kern w:val="0"/>
                <w:sz w:val="21"/>
                <w:szCs w:val="21"/>
                <w:u w:val="none"/>
                <w:lang w:val="en-US" w:eastAsia="zh-CN" w:bidi="ar"/>
              </w:rPr>
              <w:t>20</w:t>
            </w:r>
            <w:r>
              <w:rPr>
                <w:rFonts w:hint="eastAsia" w:ascii="宋体" w:hAnsi="宋体" w:eastAsia="宋体" w:cs="宋体"/>
                <w:i w:val="0"/>
                <w:color w:val="000000"/>
                <w:kern w:val="0"/>
                <w:sz w:val="21"/>
                <w:szCs w:val="21"/>
                <w:u w:val="none"/>
                <w:lang w:val="en-US" w:eastAsia="zh-CN" w:bidi="ar"/>
              </w:rPr>
              <w:t>人</w:t>
            </w: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lang w:val="en-US" w:eastAsia="zh-CN"/>
              </w:rPr>
            </w:pPr>
            <w:r>
              <w:rPr>
                <w:rFonts w:hint="eastAsia" w:asciiTheme="minorEastAsia" w:hAnsiTheme="minorEastAsia" w:eastAsiaTheme="minorEastAsia" w:cstheme="minorEastAsia"/>
                <w:i w:val="0"/>
                <w:color w:val="auto"/>
                <w:sz w:val="21"/>
                <w:szCs w:val="21"/>
                <w:u w:val="none"/>
                <w:lang w:val="en-US" w:eastAsia="zh-CN"/>
              </w:rPr>
              <w:t>52人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142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1"/>
                <w:szCs w:val="21"/>
                <w:u w:val="none"/>
              </w:rPr>
            </w:pPr>
          </w:p>
        </w:tc>
        <w:tc>
          <w:tcPr>
            <w:tcW w:w="122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1"/>
                <w:szCs w:val="21"/>
                <w:u w:val="none"/>
              </w:rPr>
            </w:pP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生态效益指标</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p>
        </w:tc>
        <w:tc>
          <w:tcPr>
            <w:tcW w:w="17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p>
        </w:tc>
        <w:tc>
          <w:tcPr>
            <w:tcW w:w="21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42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1"/>
                <w:szCs w:val="21"/>
                <w:u w:val="none"/>
              </w:rPr>
            </w:pPr>
          </w:p>
        </w:tc>
        <w:tc>
          <w:tcPr>
            <w:tcW w:w="122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1"/>
                <w:szCs w:val="21"/>
                <w:u w:val="none"/>
              </w:rPr>
            </w:pP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可持续影响</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指标</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p>
        </w:tc>
        <w:tc>
          <w:tcPr>
            <w:tcW w:w="17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p>
        </w:tc>
        <w:tc>
          <w:tcPr>
            <w:tcW w:w="21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142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1"/>
                <w:szCs w:val="21"/>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满意</w:t>
            </w:r>
            <w:r>
              <w:rPr>
                <w:rFonts w:hint="eastAsia" w:asciiTheme="minorEastAsia" w:hAnsiTheme="minorEastAsia" w:eastAsiaTheme="minorEastAsia" w:cstheme="minorEastAsia"/>
                <w:i w:val="0"/>
                <w:color w:val="auto"/>
                <w:kern w:val="0"/>
                <w:sz w:val="21"/>
                <w:szCs w:val="21"/>
                <w:u w:val="none"/>
                <w:lang w:val="en-US" w:eastAsia="zh-CN" w:bidi="ar"/>
              </w:rPr>
              <w:br w:type="textWrapping"/>
            </w:r>
            <w:r>
              <w:rPr>
                <w:rFonts w:hint="eastAsia" w:asciiTheme="minorEastAsia" w:hAnsiTheme="minorEastAsia" w:eastAsiaTheme="minorEastAsia" w:cstheme="minorEastAsia"/>
                <w:i w:val="0"/>
                <w:color w:val="auto"/>
                <w:kern w:val="0"/>
                <w:sz w:val="21"/>
                <w:szCs w:val="21"/>
                <w:u w:val="none"/>
                <w:lang w:val="en-US" w:eastAsia="zh-CN" w:bidi="ar"/>
              </w:rPr>
              <w:t>度指标</w:t>
            </w: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指标</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1"/>
                <w:szCs w:val="21"/>
                <w:u w:val="none"/>
              </w:rPr>
            </w:pPr>
            <w:r>
              <w:rPr>
                <w:rFonts w:hint="default" w:ascii="等线" w:hAnsi="等线" w:eastAsia="等线" w:cs="等线"/>
                <w:i w:val="0"/>
                <w:color w:val="000000"/>
                <w:kern w:val="0"/>
                <w:sz w:val="21"/>
                <w:szCs w:val="21"/>
                <w:u w:val="none"/>
                <w:lang w:val="en-US" w:eastAsia="zh-CN" w:bidi="ar"/>
              </w:rPr>
              <w:t>引进企业满意度</w:t>
            </w:r>
          </w:p>
        </w:tc>
        <w:tc>
          <w:tcPr>
            <w:tcW w:w="17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90%以上</w:t>
            </w:r>
          </w:p>
        </w:tc>
        <w:tc>
          <w:tcPr>
            <w:tcW w:w="21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90%以上</w:t>
            </w:r>
          </w:p>
        </w:tc>
      </w:tr>
    </w:tbl>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0" w:firstLineChars="0"/>
        <w:jc w:val="center"/>
        <w:textAlignment w:val="auto"/>
        <w:outlineLvl w:val="9"/>
      </w:pPr>
      <w:bookmarkStart w:id="111" w:name="_Toc28366"/>
      <w:bookmarkStart w:id="112" w:name="_Toc5465"/>
      <w:r>
        <w:rPr>
          <w:rFonts w:hint="eastAsia" w:asciiTheme="minorEastAsia" w:hAnsiTheme="minorEastAsia" w:eastAsiaTheme="minorEastAsia" w:cstheme="minorEastAsia"/>
          <w:b/>
          <w:bCs/>
          <w:color w:val="auto"/>
          <w:sz w:val="32"/>
          <w:szCs w:val="32"/>
          <w:highlight w:val="none"/>
        </w:rPr>
        <w:t>2021年</w:t>
      </w:r>
      <w:r>
        <w:rPr>
          <w:rFonts w:hint="eastAsia" w:asciiTheme="minorEastAsia" w:hAnsiTheme="minorEastAsia" w:eastAsiaTheme="minorEastAsia" w:cstheme="minorEastAsia"/>
          <w:b/>
          <w:bCs/>
          <w:color w:val="auto"/>
          <w:sz w:val="32"/>
          <w:szCs w:val="32"/>
          <w:highlight w:val="none"/>
          <w:lang w:eastAsia="zh-CN"/>
        </w:rPr>
        <w:t>招商引资</w:t>
      </w:r>
      <w:r>
        <w:rPr>
          <w:rFonts w:hint="eastAsia" w:asciiTheme="minorEastAsia" w:hAnsiTheme="minorEastAsia" w:eastAsiaTheme="minorEastAsia" w:cstheme="minorEastAsia"/>
          <w:b/>
          <w:bCs/>
          <w:color w:val="auto"/>
          <w:sz w:val="32"/>
          <w:szCs w:val="32"/>
          <w:highlight w:val="none"/>
        </w:rPr>
        <w:t>工作经费</w:t>
      </w:r>
      <w:r>
        <w:rPr>
          <w:rFonts w:hint="eastAsia" w:asciiTheme="minorEastAsia" w:hAnsiTheme="minorEastAsia" w:eastAsiaTheme="minorEastAsia" w:cstheme="minorEastAsia"/>
          <w:b/>
          <w:bCs/>
          <w:color w:val="auto"/>
          <w:sz w:val="32"/>
          <w:szCs w:val="32"/>
          <w:highlight w:val="none"/>
          <w:lang w:eastAsia="zh-CN"/>
        </w:rPr>
        <w:t>绩效目标自评</w:t>
      </w:r>
      <w:bookmarkEnd w:id="111"/>
      <w:bookmarkEnd w:id="112"/>
    </w:p>
    <w:p>
      <w:pPr>
        <w:pStyle w:val="2"/>
        <w:rPr>
          <w:rFonts w:hint="eastAsia"/>
        </w:rPr>
      </w:pPr>
    </w:p>
    <w:p>
      <w:pPr>
        <w:pStyle w:val="2"/>
      </w:pPr>
    </w:p>
    <w:p>
      <w:pPr>
        <w:spacing w:line="600" w:lineRule="exact"/>
        <w:jc w:val="center"/>
        <w:outlineLvl w:val="9"/>
        <w:rPr>
          <w:rFonts w:hint="eastAsia" w:ascii="黑体" w:hAnsi="黑体" w:eastAsia="黑体"/>
          <w:color w:val="auto"/>
          <w:sz w:val="44"/>
          <w:szCs w:val="44"/>
          <w:highlight w:val="none"/>
        </w:rPr>
      </w:pPr>
      <w:bookmarkStart w:id="113" w:name="_Toc15396618"/>
      <w:r>
        <w:rPr>
          <w:rFonts w:hint="eastAsia" w:ascii="黑体" w:hAnsi="黑体" w:eastAsia="黑体"/>
          <w:color w:val="auto"/>
          <w:sz w:val="44"/>
          <w:szCs w:val="44"/>
          <w:highlight w:val="none"/>
        </w:rPr>
        <w:br w:type="page"/>
      </w:r>
    </w:p>
    <w:p>
      <w:pPr>
        <w:pStyle w:val="2"/>
        <w:keepNext w:val="0"/>
        <w:keepLines w:val="0"/>
        <w:pageBreakBefore w:val="0"/>
        <w:widowControl w:val="0"/>
        <w:kinsoku/>
        <w:wordWrap/>
        <w:overflowPunct/>
        <w:topLinePunct w:val="0"/>
        <w:autoSpaceDE/>
        <w:autoSpaceDN/>
        <w:bidi w:val="0"/>
        <w:adjustRightInd/>
        <w:snapToGrid/>
        <w:spacing w:before="95" w:beforeLines="30" w:line="240" w:lineRule="auto"/>
        <w:ind w:left="0" w:leftChars="0" w:right="0" w:rightChars="0" w:firstLine="0" w:firstLineChars="0"/>
        <w:jc w:val="both"/>
        <w:textAlignment w:val="auto"/>
        <w:outlineLvl w:val="1"/>
        <w:rPr>
          <w:rFonts w:hint="default" w:ascii="黑体" w:hAnsi="黑体" w:eastAsia="黑体" w:cs="黑体"/>
          <w:color w:val="auto"/>
          <w:sz w:val="32"/>
          <w:szCs w:val="32"/>
          <w:highlight w:val="none"/>
          <w:lang w:val="en-US" w:eastAsia="zh-CN"/>
        </w:rPr>
      </w:pPr>
      <w:bookmarkStart w:id="114" w:name="_Toc2272"/>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val="en-US" w:eastAsia="zh-CN"/>
        </w:rPr>
        <w:t>4</w:t>
      </w:r>
      <w:bookmarkEnd w:id="114"/>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heme="minorEastAsia" w:hAnsiTheme="minorEastAsia" w:eastAsiaTheme="minorEastAsia" w:cstheme="minorEastAsia"/>
          <w:b/>
          <w:bCs/>
          <w:color w:val="auto"/>
          <w:sz w:val="32"/>
          <w:szCs w:val="32"/>
          <w:highlight w:val="none"/>
        </w:rPr>
      </w:pPr>
      <w:r>
        <w:rPr>
          <w:rFonts w:hint="eastAsia" w:asciiTheme="minorEastAsia" w:hAnsiTheme="minorEastAsia" w:eastAsiaTheme="minorEastAsia" w:cstheme="minorEastAsia"/>
          <w:b/>
          <w:bCs/>
          <w:color w:val="auto"/>
          <w:sz w:val="32"/>
          <w:szCs w:val="32"/>
          <w:highlight w:val="none"/>
        </w:rPr>
        <w:t>2021年第一批省级工业发展专项资金装配式部品部件生产</w:t>
      </w:r>
    </w:p>
    <w:tbl>
      <w:tblPr>
        <w:tblStyle w:val="16"/>
        <w:tblpPr w:leftFromText="180" w:rightFromText="180" w:vertAnchor="text" w:horzAnchor="page" w:tblpX="1334" w:tblpY="807"/>
        <w:tblOverlap w:val="never"/>
        <w:tblW w:w="957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26"/>
        <w:gridCol w:w="1224"/>
        <w:gridCol w:w="469"/>
        <w:gridCol w:w="1007"/>
        <w:gridCol w:w="491"/>
        <w:gridCol w:w="1037"/>
        <w:gridCol w:w="1319"/>
        <w:gridCol w:w="1"/>
        <w:gridCol w:w="407"/>
        <w:gridCol w:w="21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4" w:hRule="atLeast"/>
        </w:trPr>
        <w:tc>
          <w:tcPr>
            <w:tcW w:w="3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主管部门及代码</w:t>
            </w:r>
          </w:p>
        </w:tc>
        <w:tc>
          <w:tcPr>
            <w:tcW w:w="25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lang w:val="en-US" w:eastAsia="zh-CN"/>
              </w:rPr>
            </w:pPr>
            <w:r>
              <w:rPr>
                <w:rFonts w:hint="eastAsia" w:asciiTheme="minorEastAsia" w:hAnsiTheme="minorEastAsia" w:eastAsiaTheme="minorEastAsia" w:cstheme="minorEastAsia"/>
                <w:i w:val="0"/>
                <w:color w:val="auto"/>
                <w:sz w:val="21"/>
                <w:szCs w:val="21"/>
                <w:u w:val="none"/>
                <w:lang w:val="en-US" w:eastAsia="zh-CN"/>
              </w:rPr>
              <w:t>471401</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实施单位</w:t>
            </w:r>
          </w:p>
        </w:tc>
        <w:tc>
          <w:tcPr>
            <w:tcW w:w="26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lang w:eastAsia="zh-CN"/>
              </w:rPr>
            </w:pPr>
            <w:r>
              <w:rPr>
                <w:rFonts w:hint="eastAsia" w:asciiTheme="minorEastAsia" w:hAnsiTheme="minorEastAsia" w:eastAsiaTheme="minorEastAsia" w:cstheme="minorEastAsia"/>
                <w:i w:val="0"/>
                <w:color w:val="auto"/>
                <w:sz w:val="21"/>
                <w:szCs w:val="21"/>
                <w:u w:val="none"/>
                <w:lang w:eastAsia="zh-CN"/>
              </w:rPr>
              <w:t>广元建工工业化建筑有限公司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1" w:hRule="atLeast"/>
        </w:trPr>
        <w:tc>
          <w:tcPr>
            <w:tcW w:w="3119"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项目预算</w:t>
            </w:r>
            <w:r>
              <w:rPr>
                <w:rFonts w:hint="eastAsia" w:asciiTheme="minorEastAsia" w:hAnsiTheme="minorEastAsia" w:eastAsiaTheme="minorEastAsia" w:cstheme="minorEastAsia"/>
                <w:i w:val="0"/>
                <w:color w:val="auto"/>
                <w:kern w:val="0"/>
                <w:sz w:val="21"/>
                <w:szCs w:val="21"/>
                <w:u w:val="none"/>
                <w:lang w:val="en-US" w:eastAsia="zh-CN" w:bidi="ar"/>
              </w:rPr>
              <w:br w:type="textWrapping"/>
            </w:r>
            <w:r>
              <w:rPr>
                <w:rFonts w:hint="eastAsia" w:asciiTheme="minorEastAsia" w:hAnsiTheme="minorEastAsia" w:eastAsiaTheme="minorEastAsia" w:cstheme="minorEastAsia"/>
                <w:i w:val="0"/>
                <w:color w:val="auto"/>
                <w:kern w:val="0"/>
                <w:sz w:val="21"/>
                <w:szCs w:val="21"/>
                <w:u w:val="none"/>
                <w:lang w:val="en-US" w:eastAsia="zh-CN" w:bidi="ar"/>
              </w:rPr>
              <w:t>执行情况</w:t>
            </w:r>
            <w:r>
              <w:rPr>
                <w:rFonts w:hint="eastAsia" w:asciiTheme="minorEastAsia" w:hAnsiTheme="minorEastAsia" w:eastAsiaTheme="minorEastAsia" w:cstheme="minorEastAsia"/>
                <w:i w:val="0"/>
                <w:color w:val="auto"/>
                <w:kern w:val="0"/>
                <w:sz w:val="21"/>
                <w:szCs w:val="21"/>
                <w:u w:val="none"/>
                <w:lang w:val="en-US" w:eastAsia="zh-CN" w:bidi="ar"/>
              </w:rPr>
              <w:br w:type="textWrapping"/>
            </w:r>
            <w:r>
              <w:rPr>
                <w:rFonts w:hint="eastAsia" w:asciiTheme="minorEastAsia" w:hAnsiTheme="minorEastAsia" w:eastAsiaTheme="minorEastAsia" w:cstheme="minorEastAsia"/>
                <w:i w:val="0"/>
                <w:color w:val="auto"/>
                <w:kern w:val="0"/>
                <w:sz w:val="21"/>
                <w:szCs w:val="21"/>
                <w:u w:val="none"/>
                <w:lang w:val="en-US" w:eastAsia="zh-CN" w:bidi="ar"/>
              </w:rPr>
              <w:t>（万元）</w:t>
            </w:r>
          </w:p>
        </w:tc>
        <w:tc>
          <w:tcPr>
            <w:tcW w:w="14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预算数：</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lang w:val="en-US" w:eastAsia="zh-CN"/>
              </w:rPr>
            </w:pPr>
            <w:r>
              <w:rPr>
                <w:rFonts w:hint="eastAsia" w:asciiTheme="minorEastAsia" w:hAnsiTheme="minorEastAsia" w:eastAsiaTheme="minorEastAsia" w:cstheme="minorEastAsia"/>
                <w:i w:val="0"/>
                <w:color w:val="auto"/>
                <w:sz w:val="21"/>
                <w:szCs w:val="21"/>
                <w:u w:val="none"/>
                <w:lang w:val="en-US" w:eastAsia="zh-CN"/>
              </w:rPr>
              <w:t>293万元</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执行数：</w:t>
            </w:r>
          </w:p>
        </w:tc>
        <w:tc>
          <w:tcPr>
            <w:tcW w:w="26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lang w:val="en-US" w:eastAsia="zh-CN"/>
              </w:rPr>
            </w:pPr>
            <w:r>
              <w:rPr>
                <w:rFonts w:hint="eastAsia" w:asciiTheme="minorEastAsia" w:hAnsiTheme="minorEastAsia" w:eastAsiaTheme="minorEastAsia" w:cstheme="minorEastAsia"/>
                <w:i w:val="0"/>
                <w:color w:val="auto"/>
                <w:sz w:val="21"/>
                <w:szCs w:val="21"/>
                <w:u w:val="none"/>
                <w:lang w:val="en-US" w:eastAsia="zh-CN"/>
              </w:rPr>
              <w:t>260万元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311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1"/>
                <w:szCs w:val="21"/>
                <w:u w:val="none"/>
              </w:rPr>
            </w:pPr>
          </w:p>
        </w:tc>
        <w:tc>
          <w:tcPr>
            <w:tcW w:w="14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财政拨款</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lang w:val="en-US" w:eastAsia="zh-CN"/>
              </w:rPr>
            </w:pPr>
            <w:r>
              <w:rPr>
                <w:rFonts w:hint="eastAsia" w:asciiTheme="minorEastAsia" w:hAnsiTheme="minorEastAsia" w:eastAsiaTheme="minorEastAsia" w:cstheme="minorEastAsia"/>
                <w:i w:val="0"/>
                <w:color w:val="auto"/>
                <w:sz w:val="21"/>
                <w:szCs w:val="21"/>
                <w:u w:val="none"/>
                <w:lang w:val="en-US" w:eastAsia="zh-CN"/>
              </w:rPr>
              <w:t>293万元</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财政拨款</w:t>
            </w:r>
          </w:p>
        </w:tc>
        <w:tc>
          <w:tcPr>
            <w:tcW w:w="26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lang w:val="en-US" w:eastAsia="zh-CN"/>
              </w:rPr>
            </w:pPr>
            <w:r>
              <w:rPr>
                <w:rFonts w:hint="eastAsia" w:asciiTheme="minorEastAsia" w:hAnsiTheme="minorEastAsia" w:eastAsiaTheme="minorEastAsia" w:cstheme="minorEastAsia"/>
                <w:i w:val="0"/>
                <w:color w:val="auto"/>
                <w:sz w:val="21"/>
                <w:szCs w:val="21"/>
                <w:u w:val="none"/>
                <w:lang w:val="en-US" w:eastAsia="zh-CN"/>
              </w:rPr>
              <w:t>260万元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trPr>
        <w:tc>
          <w:tcPr>
            <w:tcW w:w="311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1"/>
                <w:szCs w:val="21"/>
                <w:u w:val="none"/>
              </w:rPr>
            </w:pPr>
          </w:p>
        </w:tc>
        <w:tc>
          <w:tcPr>
            <w:tcW w:w="14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其他资金</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其他资金</w:t>
            </w:r>
          </w:p>
        </w:tc>
        <w:tc>
          <w:tcPr>
            <w:tcW w:w="26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7" w:hRule="atLeast"/>
        </w:trPr>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年度总体目标完成情况</w:t>
            </w:r>
          </w:p>
        </w:tc>
        <w:tc>
          <w:tcPr>
            <w:tcW w:w="422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预期目标</w:t>
            </w:r>
          </w:p>
        </w:tc>
        <w:tc>
          <w:tcPr>
            <w:tcW w:w="392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7" w:hRule="atLeast"/>
        </w:trPr>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1"/>
                <w:szCs w:val="21"/>
                <w:u w:val="none"/>
              </w:rPr>
            </w:pPr>
          </w:p>
        </w:tc>
        <w:tc>
          <w:tcPr>
            <w:tcW w:w="422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top"/>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sz w:val="21"/>
                <w:szCs w:val="21"/>
                <w:u w:val="none"/>
                <w:lang w:eastAsia="zh-CN"/>
              </w:rPr>
              <w:t>新建生产厂房等23510平方米及配套附属设施和设备购置，建成预制混凝土部品部件生产线2条，钢筋生产线1条，固定模台线1台，120混凝土生产线1条。</w:t>
            </w:r>
          </w:p>
        </w:tc>
        <w:tc>
          <w:tcPr>
            <w:tcW w:w="392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top"/>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sz w:val="21"/>
                <w:szCs w:val="21"/>
                <w:u w:val="none"/>
                <w:lang w:eastAsia="zh-CN"/>
              </w:rPr>
              <w:t>新建生产厂房等23510平方米及配套附属设施和设备购置，建成预制混凝土部品部件生产线2条，钢筋生产线1条，固定模台线1台，120混凝土生产线1条。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142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年度绩效指标完成情况</w:t>
            </w:r>
          </w:p>
        </w:tc>
        <w:tc>
          <w:tcPr>
            <w:tcW w:w="122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指标</w:t>
            </w: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指标</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指标</w:t>
            </w:r>
          </w:p>
        </w:tc>
        <w:tc>
          <w:tcPr>
            <w:tcW w:w="17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预期指标值</w:t>
            </w: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142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1"/>
                <w:szCs w:val="21"/>
                <w:u w:val="none"/>
              </w:rPr>
            </w:pPr>
          </w:p>
        </w:tc>
        <w:tc>
          <w:tcPr>
            <w:tcW w:w="1224" w:type="dxa"/>
            <w:vMerge w:val="restart"/>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指标</w:t>
            </w: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数量指标</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建成预制混凝土部品部件生产线</w:t>
            </w:r>
          </w:p>
        </w:tc>
        <w:tc>
          <w:tcPr>
            <w:tcW w:w="17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2条</w:t>
            </w: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2条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142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1"/>
                <w:szCs w:val="21"/>
                <w:u w:val="none"/>
              </w:rPr>
            </w:pPr>
          </w:p>
        </w:tc>
        <w:tc>
          <w:tcPr>
            <w:tcW w:w="1224"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1"/>
                <w:szCs w:val="21"/>
                <w:u w:val="none"/>
                <w:lang w:val="en-US" w:eastAsia="zh-CN" w:bidi="ar"/>
              </w:rPr>
            </w:pP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数量指标</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钢筋生产线</w:t>
            </w:r>
          </w:p>
        </w:tc>
        <w:tc>
          <w:tcPr>
            <w:tcW w:w="17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1条</w:t>
            </w: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1条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142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1"/>
                <w:szCs w:val="21"/>
                <w:u w:val="none"/>
              </w:rPr>
            </w:pPr>
          </w:p>
        </w:tc>
        <w:tc>
          <w:tcPr>
            <w:tcW w:w="1224"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1"/>
                <w:szCs w:val="21"/>
                <w:u w:val="none"/>
                <w:lang w:val="en-US" w:eastAsia="zh-CN" w:bidi="ar"/>
              </w:rPr>
            </w:pP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数量指标</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固定模台线</w:t>
            </w:r>
          </w:p>
        </w:tc>
        <w:tc>
          <w:tcPr>
            <w:tcW w:w="17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1台</w:t>
            </w: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142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1"/>
                <w:szCs w:val="21"/>
                <w:u w:val="none"/>
              </w:rPr>
            </w:pPr>
          </w:p>
        </w:tc>
        <w:tc>
          <w:tcPr>
            <w:tcW w:w="1224"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1"/>
                <w:szCs w:val="21"/>
                <w:u w:val="none"/>
                <w:lang w:val="en-US" w:eastAsia="zh-CN" w:bidi="ar"/>
              </w:rPr>
            </w:pP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数量指标</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120混凝土生产线</w:t>
            </w:r>
          </w:p>
        </w:tc>
        <w:tc>
          <w:tcPr>
            <w:tcW w:w="17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1条</w:t>
            </w: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1条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142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1"/>
                <w:szCs w:val="21"/>
                <w:u w:val="none"/>
              </w:rPr>
            </w:pPr>
          </w:p>
        </w:tc>
        <w:tc>
          <w:tcPr>
            <w:tcW w:w="12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1"/>
                <w:szCs w:val="21"/>
                <w:u w:val="none"/>
              </w:rPr>
            </w:pP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质量指标</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生产线建设质量达标率</w:t>
            </w:r>
          </w:p>
        </w:tc>
        <w:tc>
          <w:tcPr>
            <w:tcW w:w="17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95%以上</w:t>
            </w: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142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1"/>
                <w:szCs w:val="21"/>
                <w:u w:val="none"/>
              </w:rPr>
            </w:pPr>
          </w:p>
        </w:tc>
        <w:tc>
          <w:tcPr>
            <w:tcW w:w="12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1"/>
                <w:szCs w:val="21"/>
                <w:u w:val="none"/>
              </w:rPr>
            </w:pP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时效指标</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项目建设时间</w:t>
            </w:r>
          </w:p>
        </w:tc>
        <w:tc>
          <w:tcPr>
            <w:tcW w:w="17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1年</w:t>
            </w: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42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1"/>
                <w:szCs w:val="21"/>
                <w:u w:val="none"/>
              </w:rPr>
            </w:pPr>
          </w:p>
        </w:tc>
        <w:tc>
          <w:tcPr>
            <w:tcW w:w="12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1"/>
                <w:szCs w:val="21"/>
                <w:u w:val="none"/>
              </w:rPr>
            </w:pP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成本指标</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项目补助额度</w:t>
            </w:r>
          </w:p>
        </w:tc>
        <w:tc>
          <w:tcPr>
            <w:tcW w:w="17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293万元</w:t>
            </w: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260万元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42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1"/>
                <w:szCs w:val="21"/>
                <w:u w:val="none"/>
              </w:rPr>
            </w:pPr>
          </w:p>
        </w:tc>
        <w:tc>
          <w:tcPr>
            <w:tcW w:w="122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效益</w:t>
            </w:r>
            <w:r>
              <w:rPr>
                <w:rFonts w:hint="eastAsia" w:asciiTheme="minorEastAsia" w:hAnsiTheme="minorEastAsia" w:eastAsiaTheme="minorEastAsia" w:cstheme="minorEastAsia"/>
                <w:i w:val="0"/>
                <w:color w:val="auto"/>
                <w:kern w:val="0"/>
                <w:sz w:val="21"/>
                <w:szCs w:val="21"/>
                <w:u w:val="none"/>
                <w:lang w:val="en-US" w:eastAsia="zh-CN" w:bidi="ar"/>
              </w:rPr>
              <w:br w:type="textWrapping"/>
            </w:r>
            <w:r>
              <w:rPr>
                <w:rFonts w:hint="eastAsia" w:asciiTheme="minorEastAsia" w:hAnsiTheme="minorEastAsia" w:eastAsiaTheme="minorEastAsia" w:cstheme="minorEastAsia"/>
                <w:i w:val="0"/>
                <w:color w:val="auto"/>
                <w:kern w:val="0"/>
                <w:sz w:val="21"/>
                <w:szCs w:val="21"/>
                <w:u w:val="none"/>
                <w:lang w:val="en-US" w:eastAsia="zh-CN" w:bidi="ar"/>
              </w:rPr>
              <w:t>指标</w:t>
            </w: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经济效益指标</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营业额</w:t>
            </w:r>
          </w:p>
        </w:tc>
        <w:tc>
          <w:tcPr>
            <w:tcW w:w="17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2066万元</w:t>
            </w: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2066万元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42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1"/>
                <w:szCs w:val="21"/>
                <w:u w:val="none"/>
              </w:rPr>
            </w:pPr>
          </w:p>
        </w:tc>
        <w:tc>
          <w:tcPr>
            <w:tcW w:w="122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1"/>
                <w:szCs w:val="21"/>
                <w:u w:val="none"/>
              </w:rPr>
            </w:pP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社会效益指标</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上缴税收</w:t>
            </w:r>
          </w:p>
        </w:tc>
        <w:tc>
          <w:tcPr>
            <w:tcW w:w="17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600万元</w:t>
            </w: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600万元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42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1"/>
                <w:szCs w:val="21"/>
                <w:u w:val="none"/>
              </w:rPr>
            </w:pPr>
          </w:p>
        </w:tc>
        <w:tc>
          <w:tcPr>
            <w:tcW w:w="122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1"/>
                <w:szCs w:val="21"/>
                <w:u w:val="none"/>
              </w:rPr>
            </w:pP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社会效益指标</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解决就业</w:t>
            </w:r>
          </w:p>
        </w:tc>
        <w:tc>
          <w:tcPr>
            <w:tcW w:w="17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100人</w:t>
            </w: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100人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142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1"/>
                <w:szCs w:val="21"/>
                <w:u w:val="none"/>
              </w:rPr>
            </w:pPr>
          </w:p>
        </w:tc>
        <w:tc>
          <w:tcPr>
            <w:tcW w:w="122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1"/>
                <w:szCs w:val="21"/>
                <w:u w:val="none"/>
              </w:rPr>
            </w:pP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生态效益指标</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建筑节能</w:t>
            </w:r>
          </w:p>
        </w:tc>
        <w:tc>
          <w:tcPr>
            <w:tcW w:w="17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50%以上</w:t>
            </w: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50%以上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42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1"/>
                <w:szCs w:val="21"/>
                <w:u w:val="none"/>
              </w:rPr>
            </w:pPr>
          </w:p>
        </w:tc>
        <w:tc>
          <w:tcPr>
            <w:tcW w:w="122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1"/>
                <w:szCs w:val="21"/>
                <w:u w:val="none"/>
              </w:rPr>
            </w:pP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可持续影响</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指标</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1"/>
                <w:szCs w:val="21"/>
                <w:u w:val="none"/>
                <w:lang w:val="en-US" w:eastAsia="zh-CN" w:bidi="ar"/>
              </w:rPr>
            </w:pPr>
          </w:p>
        </w:tc>
        <w:tc>
          <w:tcPr>
            <w:tcW w:w="17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1"/>
                <w:szCs w:val="21"/>
                <w:u w:val="none"/>
                <w:lang w:val="en-US" w:eastAsia="zh-CN" w:bidi="ar"/>
              </w:rPr>
            </w:pP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142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1"/>
                <w:szCs w:val="21"/>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满意</w:t>
            </w:r>
            <w:r>
              <w:rPr>
                <w:rFonts w:hint="eastAsia" w:asciiTheme="minorEastAsia" w:hAnsiTheme="minorEastAsia" w:eastAsiaTheme="minorEastAsia" w:cstheme="minorEastAsia"/>
                <w:i w:val="0"/>
                <w:color w:val="auto"/>
                <w:kern w:val="0"/>
                <w:sz w:val="21"/>
                <w:szCs w:val="21"/>
                <w:u w:val="none"/>
                <w:lang w:val="en-US" w:eastAsia="zh-CN" w:bidi="ar"/>
              </w:rPr>
              <w:br w:type="textWrapping"/>
            </w:r>
            <w:r>
              <w:rPr>
                <w:rFonts w:hint="eastAsia" w:asciiTheme="minorEastAsia" w:hAnsiTheme="minorEastAsia" w:eastAsiaTheme="minorEastAsia" w:cstheme="minorEastAsia"/>
                <w:i w:val="0"/>
                <w:color w:val="auto"/>
                <w:kern w:val="0"/>
                <w:sz w:val="21"/>
                <w:szCs w:val="21"/>
                <w:u w:val="none"/>
                <w:lang w:val="en-US" w:eastAsia="zh-CN" w:bidi="ar"/>
              </w:rPr>
              <w:t>度指标</w:t>
            </w: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指标</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服务企业满意度</w:t>
            </w:r>
          </w:p>
        </w:tc>
        <w:tc>
          <w:tcPr>
            <w:tcW w:w="17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100%</w:t>
            </w: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100%</w:t>
            </w: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olor w:val="auto"/>
          <w:sz w:val="44"/>
          <w:szCs w:val="44"/>
          <w:highlight w:val="none"/>
        </w:rPr>
      </w:pPr>
      <w:r>
        <w:rPr>
          <w:rFonts w:hint="eastAsia" w:asciiTheme="minorEastAsia" w:hAnsiTheme="minorEastAsia" w:eastAsiaTheme="minorEastAsia" w:cstheme="minorEastAsia"/>
          <w:b/>
          <w:bCs/>
          <w:color w:val="auto"/>
          <w:sz w:val="32"/>
          <w:szCs w:val="32"/>
          <w:highlight w:val="none"/>
        </w:rPr>
        <w:t>基地建设项目</w:t>
      </w:r>
      <w:r>
        <w:rPr>
          <w:rFonts w:hint="eastAsia" w:asciiTheme="minorEastAsia" w:hAnsiTheme="minorEastAsia" w:eastAsiaTheme="minorEastAsia" w:cstheme="minorEastAsia"/>
          <w:b/>
          <w:bCs/>
          <w:color w:val="auto"/>
          <w:sz w:val="32"/>
          <w:szCs w:val="32"/>
          <w:highlight w:val="none"/>
          <w:lang w:eastAsia="zh-CN"/>
        </w:rPr>
        <w:t>绩效目标自评</w:t>
      </w:r>
      <w:bookmarkStart w:id="115" w:name="_Toc32153"/>
      <w:bookmarkStart w:id="116" w:name="_Toc141"/>
      <w:r>
        <w:rPr>
          <w:rFonts w:hint="eastAsia" w:ascii="黑体" w:hAnsi="黑体" w:eastAsia="黑体"/>
          <w:color w:val="auto"/>
          <w:sz w:val="44"/>
          <w:szCs w:val="44"/>
          <w:highlight w:val="none"/>
        </w:rPr>
        <w:br w:type="page"/>
      </w:r>
    </w:p>
    <w:p>
      <w:pPr>
        <w:pStyle w:val="2"/>
        <w:keepNext w:val="0"/>
        <w:keepLines w:val="0"/>
        <w:pageBreakBefore w:val="0"/>
        <w:widowControl w:val="0"/>
        <w:kinsoku/>
        <w:wordWrap/>
        <w:overflowPunct/>
        <w:topLinePunct w:val="0"/>
        <w:autoSpaceDE/>
        <w:autoSpaceDN/>
        <w:bidi w:val="0"/>
        <w:adjustRightInd/>
        <w:snapToGrid/>
        <w:spacing w:before="95" w:beforeLines="30" w:line="240" w:lineRule="auto"/>
        <w:ind w:left="0" w:leftChars="0" w:right="0" w:rightChars="0" w:firstLine="0" w:firstLineChars="0"/>
        <w:jc w:val="both"/>
        <w:textAlignment w:val="auto"/>
        <w:outlineLvl w:val="1"/>
        <w:rPr>
          <w:rFonts w:hint="eastAsia" w:ascii="黑体" w:hAnsi="黑体" w:eastAsia="黑体" w:cs="黑体"/>
          <w:color w:val="auto"/>
          <w:sz w:val="32"/>
          <w:szCs w:val="32"/>
          <w:highlight w:val="none"/>
          <w:lang w:val="en-US" w:eastAsia="zh-CN"/>
        </w:rPr>
      </w:pPr>
      <w:bookmarkStart w:id="117" w:name="_Toc23721"/>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val="en-US" w:eastAsia="zh-CN"/>
        </w:rPr>
        <w:t>5</w:t>
      </w:r>
      <w:bookmarkEnd w:id="117"/>
    </w:p>
    <w:tbl>
      <w:tblPr>
        <w:tblStyle w:val="16"/>
        <w:tblpPr w:leftFromText="180" w:rightFromText="180" w:vertAnchor="text" w:horzAnchor="page" w:tblpX="1321" w:tblpY="767"/>
        <w:tblOverlap w:val="never"/>
        <w:tblW w:w="957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26"/>
        <w:gridCol w:w="1224"/>
        <w:gridCol w:w="469"/>
        <w:gridCol w:w="1007"/>
        <w:gridCol w:w="628"/>
        <w:gridCol w:w="900"/>
        <w:gridCol w:w="1320"/>
        <w:gridCol w:w="406"/>
        <w:gridCol w:w="1"/>
        <w:gridCol w:w="21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4" w:hRule="atLeast"/>
        </w:trPr>
        <w:tc>
          <w:tcPr>
            <w:tcW w:w="3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主管部门及代码</w:t>
            </w:r>
          </w:p>
        </w:tc>
        <w:tc>
          <w:tcPr>
            <w:tcW w:w="25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lang w:val="en-US" w:eastAsia="zh-CN"/>
              </w:rPr>
            </w:pPr>
            <w:r>
              <w:rPr>
                <w:rFonts w:hint="eastAsia" w:asciiTheme="minorEastAsia" w:hAnsiTheme="minorEastAsia" w:eastAsiaTheme="minorEastAsia" w:cstheme="minorEastAsia"/>
                <w:i w:val="0"/>
                <w:color w:val="auto"/>
                <w:sz w:val="21"/>
                <w:szCs w:val="21"/>
                <w:u w:val="none"/>
                <w:lang w:val="en-US" w:eastAsia="zh-CN"/>
              </w:rPr>
              <w:t>471401</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实施单位</w:t>
            </w:r>
          </w:p>
        </w:tc>
        <w:tc>
          <w:tcPr>
            <w:tcW w:w="26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lang w:eastAsia="zh-CN"/>
              </w:rPr>
            </w:pPr>
            <w:r>
              <w:rPr>
                <w:rFonts w:hint="eastAsia" w:asciiTheme="minorEastAsia" w:hAnsiTheme="minorEastAsia" w:eastAsiaTheme="minorEastAsia" w:cstheme="minorEastAsia"/>
                <w:i w:val="0"/>
                <w:color w:val="auto"/>
                <w:sz w:val="21"/>
                <w:szCs w:val="21"/>
                <w:u w:val="none"/>
                <w:lang w:eastAsia="zh-CN"/>
              </w:rPr>
              <w:t>区经信科技局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trPr>
        <w:tc>
          <w:tcPr>
            <w:tcW w:w="3119"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项目预算</w:t>
            </w:r>
            <w:r>
              <w:rPr>
                <w:rFonts w:hint="eastAsia" w:asciiTheme="minorEastAsia" w:hAnsiTheme="minorEastAsia" w:eastAsiaTheme="minorEastAsia" w:cstheme="minorEastAsia"/>
                <w:i w:val="0"/>
                <w:color w:val="auto"/>
                <w:kern w:val="0"/>
                <w:sz w:val="21"/>
                <w:szCs w:val="21"/>
                <w:u w:val="none"/>
                <w:lang w:val="en-US" w:eastAsia="zh-CN" w:bidi="ar"/>
              </w:rPr>
              <w:br w:type="textWrapping"/>
            </w:r>
            <w:r>
              <w:rPr>
                <w:rFonts w:hint="eastAsia" w:asciiTheme="minorEastAsia" w:hAnsiTheme="minorEastAsia" w:eastAsiaTheme="minorEastAsia" w:cstheme="minorEastAsia"/>
                <w:i w:val="0"/>
                <w:color w:val="auto"/>
                <w:kern w:val="0"/>
                <w:sz w:val="21"/>
                <w:szCs w:val="21"/>
                <w:u w:val="none"/>
                <w:lang w:val="en-US" w:eastAsia="zh-CN" w:bidi="ar"/>
              </w:rPr>
              <w:t>执行情况</w:t>
            </w:r>
            <w:r>
              <w:rPr>
                <w:rFonts w:hint="eastAsia" w:asciiTheme="minorEastAsia" w:hAnsiTheme="minorEastAsia" w:eastAsiaTheme="minorEastAsia" w:cstheme="minorEastAsia"/>
                <w:i w:val="0"/>
                <w:color w:val="auto"/>
                <w:kern w:val="0"/>
                <w:sz w:val="21"/>
                <w:szCs w:val="21"/>
                <w:u w:val="none"/>
                <w:lang w:val="en-US" w:eastAsia="zh-CN" w:bidi="ar"/>
              </w:rPr>
              <w:br w:type="textWrapping"/>
            </w:r>
            <w:r>
              <w:rPr>
                <w:rFonts w:hint="eastAsia" w:asciiTheme="minorEastAsia" w:hAnsiTheme="minorEastAsia" w:eastAsiaTheme="minorEastAsia" w:cstheme="minorEastAsia"/>
                <w:i w:val="0"/>
                <w:color w:val="auto"/>
                <w:kern w:val="0"/>
                <w:sz w:val="21"/>
                <w:szCs w:val="21"/>
                <w:u w:val="none"/>
                <w:lang w:val="en-US" w:eastAsia="zh-CN" w:bidi="ar"/>
              </w:rPr>
              <w:t>（万元）</w:t>
            </w: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预算数：</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lang w:val="en-US" w:eastAsia="zh-CN"/>
              </w:rPr>
            </w:pPr>
            <w:r>
              <w:rPr>
                <w:rFonts w:hint="eastAsia" w:asciiTheme="minorEastAsia" w:hAnsiTheme="minorEastAsia" w:eastAsiaTheme="minorEastAsia" w:cstheme="minorEastAsia"/>
                <w:i w:val="0"/>
                <w:color w:val="auto"/>
                <w:sz w:val="21"/>
                <w:szCs w:val="21"/>
                <w:u w:val="none"/>
                <w:lang w:val="en-US" w:eastAsia="zh-CN"/>
              </w:rPr>
              <w:t>40万元</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执行数：</w:t>
            </w:r>
          </w:p>
        </w:tc>
        <w:tc>
          <w:tcPr>
            <w:tcW w:w="26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lang w:val="en-US" w:eastAsia="zh-CN"/>
              </w:rPr>
            </w:pPr>
            <w:r>
              <w:rPr>
                <w:rFonts w:hint="eastAsia" w:asciiTheme="minorEastAsia" w:hAnsiTheme="minorEastAsia" w:eastAsiaTheme="minorEastAsia" w:cstheme="minorEastAsia"/>
                <w:i w:val="0"/>
                <w:color w:val="auto"/>
                <w:sz w:val="21"/>
                <w:szCs w:val="21"/>
                <w:u w:val="none"/>
                <w:lang w:val="en-US" w:eastAsia="zh-CN"/>
              </w:rPr>
              <w:t>40万元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311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1"/>
                <w:szCs w:val="21"/>
                <w:u w:val="none"/>
              </w:rPr>
            </w:pP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财政拨款</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lang w:val="en-US" w:eastAsia="zh-CN"/>
              </w:rPr>
            </w:pPr>
            <w:r>
              <w:rPr>
                <w:rFonts w:hint="eastAsia" w:asciiTheme="minorEastAsia" w:hAnsiTheme="minorEastAsia" w:eastAsiaTheme="minorEastAsia" w:cstheme="minorEastAsia"/>
                <w:i w:val="0"/>
                <w:color w:val="auto"/>
                <w:sz w:val="21"/>
                <w:szCs w:val="21"/>
                <w:u w:val="none"/>
                <w:lang w:val="en-US" w:eastAsia="zh-CN"/>
              </w:rPr>
              <w:t>40万元</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财政拨款</w:t>
            </w:r>
          </w:p>
        </w:tc>
        <w:tc>
          <w:tcPr>
            <w:tcW w:w="26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lang w:val="en-US" w:eastAsia="zh-CN"/>
              </w:rPr>
            </w:pPr>
            <w:r>
              <w:rPr>
                <w:rFonts w:hint="eastAsia" w:asciiTheme="minorEastAsia" w:hAnsiTheme="minorEastAsia" w:eastAsiaTheme="minorEastAsia" w:cstheme="minorEastAsia"/>
                <w:i w:val="0"/>
                <w:color w:val="auto"/>
                <w:sz w:val="21"/>
                <w:szCs w:val="21"/>
                <w:u w:val="none"/>
                <w:lang w:val="en-US" w:eastAsia="zh-CN"/>
              </w:rPr>
              <w:t>40万元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311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1"/>
                <w:szCs w:val="21"/>
                <w:u w:val="none"/>
              </w:rPr>
            </w:pP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其他资金</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其他资金</w:t>
            </w:r>
          </w:p>
        </w:tc>
        <w:tc>
          <w:tcPr>
            <w:tcW w:w="26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7" w:hRule="atLeast"/>
        </w:trPr>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年度总体目标完成情况</w:t>
            </w:r>
          </w:p>
        </w:tc>
        <w:tc>
          <w:tcPr>
            <w:tcW w:w="422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预期目标</w:t>
            </w:r>
          </w:p>
        </w:tc>
        <w:tc>
          <w:tcPr>
            <w:tcW w:w="392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7" w:hRule="atLeast"/>
        </w:trPr>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1"/>
                <w:szCs w:val="21"/>
                <w:u w:val="none"/>
              </w:rPr>
            </w:pPr>
          </w:p>
        </w:tc>
        <w:tc>
          <w:tcPr>
            <w:tcW w:w="422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top"/>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sz w:val="21"/>
                <w:szCs w:val="21"/>
                <w:u w:val="none"/>
                <w:lang w:eastAsia="zh-CN"/>
              </w:rPr>
              <w:t>税收和产值排序在全区规上工业中前12位的企业进行奖励，增加就业人数20人</w:t>
            </w:r>
          </w:p>
        </w:tc>
        <w:tc>
          <w:tcPr>
            <w:tcW w:w="392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top"/>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sz w:val="21"/>
                <w:szCs w:val="21"/>
                <w:u w:val="none"/>
                <w:lang w:eastAsia="zh-CN"/>
              </w:rPr>
              <w:t>税收和产值排序在全区规上工业中前12位的企业进行奖励，增加就业人数20人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142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年度绩效指标完成情况</w:t>
            </w:r>
          </w:p>
        </w:tc>
        <w:tc>
          <w:tcPr>
            <w:tcW w:w="122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指标</w:t>
            </w: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指标</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指标</w:t>
            </w:r>
          </w:p>
        </w:tc>
        <w:tc>
          <w:tcPr>
            <w:tcW w:w="17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预期指标值</w:t>
            </w: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142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1"/>
                <w:szCs w:val="21"/>
                <w:u w:val="none"/>
              </w:rPr>
            </w:pPr>
          </w:p>
        </w:tc>
        <w:tc>
          <w:tcPr>
            <w:tcW w:w="1224" w:type="dxa"/>
            <w:vMerge w:val="restart"/>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指标</w:t>
            </w: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数量指标</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奖励企业个数</w:t>
            </w:r>
          </w:p>
        </w:tc>
        <w:tc>
          <w:tcPr>
            <w:tcW w:w="17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12家</w:t>
            </w: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12家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142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1"/>
                <w:szCs w:val="21"/>
                <w:u w:val="none"/>
              </w:rPr>
            </w:pPr>
          </w:p>
        </w:tc>
        <w:tc>
          <w:tcPr>
            <w:tcW w:w="12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1"/>
                <w:szCs w:val="21"/>
                <w:u w:val="none"/>
              </w:rPr>
            </w:pP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质量指标</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奖励对象标准符合度</w:t>
            </w:r>
          </w:p>
        </w:tc>
        <w:tc>
          <w:tcPr>
            <w:tcW w:w="17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100%</w:t>
            </w: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142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1"/>
                <w:szCs w:val="21"/>
                <w:u w:val="none"/>
              </w:rPr>
            </w:pPr>
          </w:p>
        </w:tc>
        <w:tc>
          <w:tcPr>
            <w:tcW w:w="12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1"/>
                <w:szCs w:val="21"/>
                <w:u w:val="none"/>
              </w:rPr>
            </w:pP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时效指标</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奖励补助发放到位时间</w:t>
            </w:r>
          </w:p>
        </w:tc>
        <w:tc>
          <w:tcPr>
            <w:tcW w:w="17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6个月</w:t>
            </w: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42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1"/>
                <w:szCs w:val="21"/>
                <w:u w:val="none"/>
              </w:rPr>
            </w:pPr>
          </w:p>
        </w:tc>
        <w:tc>
          <w:tcPr>
            <w:tcW w:w="12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1"/>
                <w:szCs w:val="21"/>
                <w:u w:val="none"/>
              </w:rPr>
            </w:pP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成本指标</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奖励资金额度</w:t>
            </w:r>
          </w:p>
        </w:tc>
        <w:tc>
          <w:tcPr>
            <w:tcW w:w="17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40万元</w:t>
            </w: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40万元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42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1"/>
                <w:szCs w:val="21"/>
                <w:u w:val="none"/>
              </w:rPr>
            </w:pPr>
          </w:p>
        </w:tc>
        <w:tc>
          <w:tcPr>
            <w:tcW w:w="122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效益</w:t>
            </w:r>
            <w:r>
              <w:rPr>
                <w:rFonts w:hint="eastAsia" w:asciiTheme="minorEastAsia" w:hAnsiTheme="minorEastAsia" w:eastAsiaTheme="minorEastAsia" w:cstheme="minorEastAsia"/>
                <w:i w:val="0"/>
                <w:color w:val="auto"/>
                <w:kern w:val="0"/>
                <w:sz w:val="21"/>
                <w:szCs w:val="21"/>
                <w:u w:val="none"/>
                <w:lang w:val="en-US" w:eastAsia="zh-CN" w:bidi="ar"/>
              </w:rPr>
              <w:br w:type="textWrapping"/>
            </w:r>
            <w:r>
              <w:rPr>
                <w:rFonts w:hint="eastAsia" w:asciiTheme="minorEastAsia" w:hAnsiTheme="minorEastAsia" w:eastAsiaTheme="minorEastAsia" w:cstheme="minorEastAsia"/>
                <w:i w:val="0"/>
                <w:color w:val="auto"/>
                <w:kern w:val="0"/>
                <w:sz w:val="21"/>
                <w:szCs w:val="21"/>
                <w:u w:val="none"/>
                <w:lang w:val="en-US" w:eastAsia="zh-CN" w:bidi="ar"/>
              </w:rPr>
              <w:t>指标</w:t>
            </w: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经济效益指标</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税收贡献</w:t>
            </w:r>
          </w:p>
        </w:tc>
        <w:tc>
          <w:tcPr>
            <w:tcW w:w="17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全区规上工业企业中排前12位</w:t>
            </w: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全区规上工业企业中排前12位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42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1"/>
                <w:szCs w:val="21"/>
                <w:u w:val="none"/>
              </w:rPr>
            </w:pPr>
          </w:p>
        </w:tc>
        <w:tc>
          <w:tcPr>
            <w:tcW w:w="1224"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1"/>
                <w:szCs w:val="21"/>
                <w:u w:val="none"/>
                <w:lang w:val="en-US" w:eastAsia="zh-CN" w:bidi="ar"/>
              </w:rPr>
            </w:pP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1"/>
                <w:szCs w:val="21"/>
                <w:u w:val="none"/>
                <w:lang w:val="en-US" w:eastAsia="zh-CN" w:bidi="ar"/>
              </w:rPr>
            </w:pP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产值</w:t>
            </w:r>
          </w:p>
        </w:tc>
        <w:tc>
          <w:tcPr>
            <w:tcW w:w="17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全区规上工业企业中排前12位</w:t>
            </w: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全区规上工业企业中排前12位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42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1"/>
                <w:szCs w:val="21"/>
                <w:u w:val="none"/>
              </w:rPr>
            </w:pPr>
          </w:p>
        </w:tc>
        <w:tc>
          <w:tcPr>
            <w:tcW w:w="122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1"/>
                <w:szCs w:val="21"/>
                <w:u w:val="none"/>
              </w:rPr>
            </w:pP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社会效益指标</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增加就业人数</w:t>
            </w:r>
          </w:p>
        </w:tc>
        <w:tc>
          <w:tcPr>
            <w:tcW w:w="17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20人</w:t>
            </w:r>
          </w:p>
        </w:tc>
        <w:tc>
          <w:tcPr>
            <w:tcW w:w="21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lang w:val="en-US" w:eastAsia="zh-CN"/>
              </w:rPr>
            </w:pPr>
            <w:r>
              <w:rPr>
                <w:rFonts w:hint="eastAsia" w:asciiTheme="minorEastAsia" w:hAnsiTheme="minorEastAsia" w:eastAsiaTheme="minorEastAsia" w:cstheme="minorEastAsia"/>
                <w:i w:val="0"/>
                <w:color w:val="000000"/>
                <w:kern w:val="0"/>
                <w:sz w:val="21"/>
                <w:szCs w:val="21"/>
                <w:u w:val="none"/>
                <w:lang w:val="en-US" w:eastAsia="zh-CN" w:bidi="ar"/>
              </w:rPr>
              <w:t>20人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142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1"/>
                <w:szCs w:val="21"/>
                <w:u w:val="none"/>
              </w:rPr>
            </w:pPr>
          </w:p>
        </w:tc>
        <w:tc>
          <w:tcPr>
            <w:tcW w:w="122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1"/>
                <w:szCs w:val="21"/>
                <w:u w:val="none"/>
              </w:rPr>
            </w:pP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生态效益指标</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p>
        </w:tc>
        <w:tc>
          <w:tcPr>
            <w:tcW w:w="17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p>
        </w:tc>
        <w:tc>
          <w:tcPr>
            <w:tcW w:w="21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42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1"/>
                <w:szCs w:val="21"/>
                <w:u w:val="none"/>
              </w:rPr>
            </w:pPr>
          </w:p>
        </w:tc>
        <w:tc>
          <w:tcPr>
            <w:tcW w:w="122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1"/>
                <w:szCs w:val="21"/>
                <w:u w:val="none"/>
              </w:rPr>
            </w:pP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可持续影响</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指标</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p>
        </w:tc>
        <w:tc>
          <w:tcPr>
            <w:tcW w:w="17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p>
        </w:tc>
        <w:tc>
          <w:tcPr>
            <w:tcW w:w="21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0" w:hRule="atLeast"/>
        </w:trPr>
        <w:tc>
          <w:tcPr>
            <w:tcW w:w="142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i w:val="0"/>
                <w:color w:val="auto"/>
                <w:sz w:val="21"/>
                <w:szCs w:val="21"/>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满意</w:t>
            </w:r>
            <w:r>
              <w:rPr>
                <w:rFonts w:hint="eastAsia" w:asciiTheme="minorEastAsia" w:hAnsiTheme="minorEastAsia" w:eastAsiaTheme="minorEastAsia" w:cstheme="minorEastAsia"/>
                <w:i w:val="0"/>
                <w:color w:val="auto"/>
                <w:kern w:val="0"/>
                <w:sz w:val="21"/>
                <w:szCs w:val="21"/>
                <w:u w:val="none"/>
                <w:lang w:val="en-US" w:eastAsia="zh-CN" w:bidi="ar"/>
              </w:rPr>
              <w:br w:type="textWrapping"/>
            </w:r>
            <w:r>
              <w:rPr>
                <w:rFonts w:hint="eastAsia" w:asciiTheme="minorEastAsia" w:hAnsiTheme="minorEastAsia" w:eastAsiaTheme="minorEastAsia" w:cstheme="minorEastAsia"/>
                <w:i w:val="0"/>
                <w:color w:val="auto"/>
                <w:kern w:val="0"/>
                <w:sz w:val="21"/>
                <w:szCs w:val="21"/>
                <w:u w:val="none"/>
                <w:lang w:val="en-US" w:eastAsia="zh-CN" w:bidi="ar"/>
              </w:rPr>
              <w:t>度指标</w:t>
            </w: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auto"/>
                <w:kern w:val="0"/>
                <w:sz w:val="21"/>
                <w:szCs w:val="21"/>
                <w:u w:val="none"/>
                <w:lang w:val="en-US" w:eastAsia="zh-CN" w:bidi="ar"/>
              </w:rPr>
              <w:t>指标</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12家工业企业满意度</w:t>
            </w:r>
          </w:p>
        </w:tc>
        <w:tc>
          <w:tcPr>
            <w:tcW w:w="17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100%</w:t>
            </w:r>
          </w:p>
        </w:tc>
        <w:tc>
          <w:tcPr>
            <w:tcW w:w="21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100%</w:t>
            </w: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黑体" w:hAnsi="黑体" w:eastAsia="黑体"/>
          <w:color w:val="auto"/>
          <w:sz w:val="44"/>
          <w:szCs w:val="44"/>
          <w:highlight w:val="none"/>
        </w:rPr>
        <w:sectPr>
          <w:pgSz w:w="11906" w:h="16838"/>
          <w:pgMar w:top="1440" w:right="1800" w:bottom="1440" w:left="1800" w:header="851" w:footer="992" w:gutter="0"/>
          <w:pgNumType w:fmt="decimal"/>
          <w:cols w:space="425" w:num="1"/>
          <w:titlePg/>
          <w:docGrid w:type="lines" w:linePitch="312" w:charSpace="0"/>
        </w:sectPr>
      </w:pPr>
      <w:r>
        <w:rPr>
          <w:rFonts w:hint="eastAsia" w:asciiTheme="minorEastAsia" w:hAnsiTheme="minorEastAsia" w:eastAsiaTheme="minorEastAsia" w:cstheme="minorEastAsia"/>
          <w:b/>
          <w:bCs/>
          <w:color w:val="auto"/>
          <w:sz w:val="32"/>
          <w:szCs w:val="32"/>
          <w:highlight w:val="none"/>
          <w:lang w:eastAsia="zh-CN"/>
        </w:rPr>
        <w:t>2020年工业经济稳步增长正向激励资金绩效目标自评</w:t>
      </w:r>
    </w:p>
    <w:p>
      <w:pPr>
        <w:spacing w:line="600" w:lineRule="exact"/>
        <w:jc w:val="center"/>
        <w:outlineLvl w:val="0"/>
        <w:rPr>
          <w:rFonts w:hint="eastAsia" w:ascii="仿宋" w:hAnsi="仿宋" w:eastAsia="仿宋"/>
          <w:b w:val="0"/>
          <w:color w:val="auto"/>
          <w:highlight w:val="none"/>
        </w:rPr>
      </w:pPr>
      <w:bookmarkStart w:id="118" w:name="_Toc27152"/>
      <w:r>
        <w:rPr>
          <w:rFonts w:hint="eastAsia" w:ascii="黑体" w:hAnsi="黑体" w:eastAsia="黑体"/>
          <w:color w:val="auto"/>
          <w:sz w:val="44"/>
          <w:szCs w:val="44"/>
          <w:highlight w:val="none"/>
        </w:rPr>
        <w:t>第</w:t>
      </w:r>
      <w:r>
        <w:rPr>
          <w:rStyle w:val="29"/>
          <w:rFonts w:hint="eastAsia" w:ascii="黑体" w:hAnsi="黑体" w:eastAsia="黑体"/>
          <w:b w:val="0"/>
          <w:color w:val="auto"/>
          <w:highlight w:val="none"/>
        </w:rPr>
        <w:t>五部分 附表</w:t>
      </w:r>
      <w:bookmarkEnd w:id="99"/>
      <w:bookmarkEnd w:id="113"/>
      <w:bookmarkEnd w:id="115"/>
      <w:bookmarkEnd w:id="116"/>
      <w:bookmarkEnd w:id="118"/>
      <w:bookmarkStart w:id="119" w:name="_Toc15396619"/>
    </w:p>
    <w:p>
      <w:pPr>
        <w:pStyle w:val="4"/>
        <w:pageBreakBefore w:val="0"/>
        <w:widowControl w:val="0"/>
        <w:kinsoku/>
        <w:wordWrap/>
        <w:overflowPunct/>
        <w:topLinePunct w:val="0"/>
        <w:autoSpaceDE/>
        <w:autoSpaceDN/>
        <w:bidi w:val="0"/>
        <w:adjustRightInd/>
        <w:snapToGrid/>
        <w:spacing w:before="0" w:after="0" w:line="576" w:lineRule="exact"/>
        <w:ind w:left="0" w:leftChars="0" w:right="0" w:rightChars="0" w:firstLine="0" w:firstLineChars="0"/>
        <w:jc w:val="both"/>
        <w:textAlignment w:val="auto"/>
        <w:rPr>
          <w:rFonts w:ascii="仿宋" w:hAnsi="仿宋" w:eastAsia="仿宋"/>
          <w:color w:val="auto"/>
          <w:highlight w:val="none"/>
        </w:rPr>
      </w:pPr>
      <w:bookmarkStart w:id="120" w:name="_Toc25192"/>
      <w:bookmarkStart w:id="121" w:name="_Toc26483"/>
      <w:bookmarkStart w:id="122" w:name="_Toc30272"/>
      <w:r>
        <w:rPr>
          <w:rFonts w:hint="eastAsia" w:ascii="仿宋" w:hAnsi="仿宋" w:eastAsia="仿宋"/>
          <w:b w:val="0"/>
          <w:color w:val="auto"/>
          <w:highlight w:val="none"/>
        </w:rPr>
        <w:t>一、收</w:t>
      </w:r>
      <w:r>
        <w:rPr>
          <w:rStyle w:val="30"/>
          <w:rFonts w:hint="eastAsia" w:ascii="仿宋" w:hAnsi="仿宋" w:eastAsia="仿宋"/>
          <w:b w:val="0"/>
          <w:bCs w:val="0"/>
          <w:color w:val="auto"/>
          <w:highlight w:val="none"/>
        </w:rPr>
        <w:t>入支出决算总表</w:t>
      </w:r>
      <w:bookmarkEnd w:id="119"/>
      <w:bookmarkEnd w:id="120"/>
      <w:bookmarkEnd w:id="121"/>
      <w:bookmarkEnd w:id="122"/>
    </w:p>
    <w:p>
      <w:pPr>
        <w:pStyle w:val="4"/>
        <w:pageBreakBefore w:val="0"/>
        <w:widowControl w:val="0"/>
        <w:kinsoku/>
        <w:wordWrap/>
        <w:overflowPunct/>
        <w:topLinePunct w:val="0"/>
        <w:autoSpaceDE/>
        <w:autoSpaceDN/>
        <w:bidi w:val="0"/>
        <w:adjustRightInd/>
        <w:snapToGrid/>
        <w:spacing w:before="0" w:after="0" w:line="576" w:lineRule="exact"/>
        <w:ind w:left="0" w:leftChars="0" w:right="0" w:rightChars="0" w:firstLine="0" w:firstLineChars="0"/>
        <w:jc w:val="both"/>
        <w:textAlignment w:val="auto"/>
        <w:rPr>
          <w:rFonts w:ascii="仿宋" w:hAnsi="仿宋" w:eastAsia="仿宋"/>
          <w:color w:val="auto"/>
          <w:highlight w:val="none"/>
        </w:rPr>
      </w:pPr>
      <w:bookmarkStart w:id="123" w:name="_Toc15396620"/>
      <w:bookmarkStart w:id="124" w:name="_Toc24931"/>
      <w:bookmarkStart w:id="125" w:name="_Toc21607"/>
      <w:bookmarkStart w:id="126" w:name="_Toc2165"/>
      <w:r>
        <w:rPr>
          <w:rFonts w:hint="eastAsia" w:ascii="仿宋" w:hAnsi="仿宋" w:eastAsia="仿宋"/>
          <w:b w:val="0"/>
          <w:color w:val="auto"/>
          <w:highlight w:val="none"/>
        </w:rPr>
        <w:t>二、收</w:t>
      </w:r>
      <w:r>
        <w:rPr>
          <w:rStyle w:val="30"/>
          <w:rFonts w:hint="eastAsia" w:ascii="仿宋" w:hAnsi="仿宋" w:eastAsia="仿宋"/>
          <w:b w:val="0"/>
          <w:bCs w:val="0"/>
          <w:color w:val="auto"/>
          <w:highlight w:val="none"/>
        </w:rPr>
        <w:t>入决算表</w:t>
      </w:r>
      <w:bookmarkEnd w:id="123"/>
      <w:bookmarkEnd w:id="124"/>
      <w:bookmarkEnd w:id="125"/>
      <w:bookmarkEnd w:id="126"/>
    </w:p>
    <w:p>
      <w:pPr>
        <w:pStyle w:val="4"/>
        <w:pageBreakBefore w:val="0"/>
        <w:widowControl w:val="0"/>
        <w:kinsoku/>
        <w:wordWrap/>
        <w:overflowPunct/>
        <w:topLinePunct w:val="0"/>
        <w:autoSpaceDE/>
        <w:autoSpaceDN/>
        <w:bidi w:val="0"/>
        <w:adjustRightInd/>
        <w:snapToGrid/>
        <w:spacing w:before="0" w:after="0" w:line="576" w:lineRule="exact"/>
        <w:ind w:left="0" w:leftChars="0" w:right="0" w:rightChars="0" w:firstLine="0" w:firstLineChars="0"/>
        <w:jc w:val="both"/>
        <w:textAlignment w:val="auto"/>
        <w:rPr>
          <w:rFonts w:ascii="仿宋" w:hAnsi="仿宋" w:eastAsia="仿宋"/>
          <w:color w:val="auto"/>
          <w:highlight w:val="none"/>
        </w:rPr>
      </w:pPr>
      <w:bookmarkStart w:id="127" w:name="_Toc1651"/>
      <w:bookmarkStart w:id="128" w:name="_Toc2561"/>
      <w:bookmarkStart w:id="129" w:name="_Toc15396621"/>
      <w:bookmarkStart w:id="130" w:name="_Toc29116"/>
      <w:r>
        <w:rPr>
          <w:rStyle w:val="30"/>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30"/>
          <w:rFonts w:hint="eastAsia" w:ascii="仿宋" w:hAnsi="仿宋" w:eastAsia="仿宋"/>
          <w:b w:val="0"/>
          <w:bCs w:val="0"/>
          <w:color w:val="auto"/>
          <w:highlight w:val="none"/>
        </w:rPr>
        <w:t>出决算表</w:t>
      </w:r>
      <w:bookmarkEnd w:id="127"/>
      <w:bookmarkEnd w:id="128"/>
      <w:bookmarkEnd w:id="129"/>
      <w:bookmarkEnd w:id="130"/>
    </w:p>
    <w:p>
      <w:pPr>
        <w:pStyle w:val="4"/>
        <w:pageBreakBefore w:val="0"/>
        <w:widowControl w:val="0"/>
        <w:kinsoku/>
        <w:wordWrap/>
        <w:overflowPunct/>
        <w:topLinePunct w:val="0"/>
        <w:autoSpaceDE/>
        <w:autoSpaceDN/>
        <w:bidi w:val="0"/>
        <w:adjustRightInd/>
        <w:snapToGrid/>
        <w:spacing w:before="0" w:after="0" w:line="576" w:lineRule="exact"/>
        <w:ind w:left="0" w:leftChars="0" w:right="0" w:rightChars="0" w:firstLine="0" w:firstLineChars="0"/>
        <w:jc w:val="both"/>
        <w:textAlignment w:val="auto"/>
        <w:rPr>
          <w:rFonts w:ascii="仿宋" w:hAnsi="仿宋" w:eastAsia="仿宋"/>
          <w:b w:val="0"/>
          <w:color w:val="auto"/>
          <w:highlight w:val="none"/>
        </w:rPr>
      </w:pPr>
      <w:bookmarkStart w:id="131" w:name="_Toc9706"/>
      <w:bookmarkStart w:id="132" w:name="_Toc15396622"/>
      <w:bookmarkStart w:id="133" w:name="_Toc23629"/>
      <w:bookmarkStart w:id="134" w:name="_Toc18853"/>
      <w:r>
        <w:rPr>
          <w:rStyle w:val="30"/>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30"/>
          <w:rFonts w:hint="eastAsia" w:ascii="仿宋" w:hAnsi="仿宋" w:eastAsia="仿宋"/>
          <w:b w:val="0"/>
          <w:bCs w:val="0"/>
          <w:color w:val="auto"/>
          <w:highlight w:val="none"/>
        </w:rPr>
        <w:t>政拨款收入支出决算总表</w:t>
      </w:r>
      <w:bookmarkEnd w:id="131"/>
      <w:bookmarkEnd w:id="132"/>
      <w:bookmarkEnd w:id="133"/>
      <w:bookmarkEnd w:id="134"/>
    </w:p>
    <w:p>
      <w:pPr>
        <w:pStyle w:val="4"/>
        <w:pageBreakBefore w:val="0"/>
        <w:widowControl w:val="0"/>
        <w:kinsoku/>
        <w:wordWrap/>
        <w:overflowPunct/>
        <w:topLinePunct w:val="0"/>
        <w:autoSpaceDE/>
        <w:autoSpaceDN/>
        <w:bidi w:val="0"/>
        <w:adjustRightInd/>
        <w:snapToGrid/>
        <w:spacing w:before="0" w:after="0" w:line="576" w:lineRule="exact"/>
        <w:ind w:left="0" w:leftChars="0" w:right="0" w:rightChars="0" w:firstLine="0" w:firstLineChars="0"/>
        <w:jc w:val="both"/>
        <w:textAlignment w:val="auto"/>
        <w:rPr>
          <w:rStyle w:val="30"/>
          <w:rFonts w:ascii="仿宋" w:hAnsi="仿宋" w:eastAsia="仿宋"/>
          <w:b w:val="0"/>
          <w:bCs w:val="0"/>
          <w:color w:val="auto"/>
          <w:highlight w:val="none"/>
        </w:rPr>
      </w:pPr>
      <w:bookmarkStart w:id="135" w:name="_Toc21172"/>
      <w:bookmarkStart w:id="136" w:name="_Toc15396623"/>
      <w:bookmarkStart w:id="137" w:name="_Toc15763"/>
      <w:bookmarkStart w:id="138" w:name="_Toc27743"/>
      <w:r>
        <w:rPr>
          <w:rStyle w:val="30"/>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30"/>
          <w:rFonts w:hint="eastAsia" w:ascii="仿宋" w:hAnsi="仿宋" w:eastAsia="仿宋"/>
          <w:b w:val="0"/>
          <w:bCs w:val="0"/>
          <w:color w:val="auto"/>
          <w:highlight w:val="none"/>
        </w:rPr>
        <w:t>政拨款支出决算明细表</w:t>
      </w:r>
      <w:bookmarkEnd w:id="135"/>
      <w:bookmarkEnd w:id="136"/>
      <w:bookmarkEnd w:id="137"/>
      <w:bookmarkEnd w:id="138"/>
      <w:bookmarkStart w:id="139" w:name="_Toc15396624"/>
    </w:p>
    <w:p>
      <w:pPr>
        <w:pStyle w:val="4"/>
        <w:pageBreakBefore w:val="0"/>
        <w:widowControl w:val="0"/>
        <w:kinsoku/>
        <w:wordWrap/>
        <w:overflowPunct/>
        <w:topLinePunct w:val="0"/>
        <w:autoSpaceDE/>
        <w:autoSpaceDN/>
        <w:bidi w:val="0"/>
        <w:adjustRightInd/>
        <w:snapToGrid/>
        <w:spacing w:before="0" w:after="0" w:line="576" w:lineRule="exact"/>
        <w:ind w:left="0" w:leftChars="0" w:right="0" w:rightChars="0" w:firstLine="0" w:firstLineChars="0"/>
        <w:jc w:val="both"/>
        <w:textAlignment w:val="auto"/>
        <w:rPr>
          <w:rFonts w:ascii="仿宋" w:hAnsi="仿宋" w:eastAsia="仿宋"/>
          <w:color w:val="auto"/>
          <w:highlight w:val="none"/>
        </w:rPr>
      </w:pPr>
      <w:bookmarkStart w:id="140" w:name="_Toc28248"/>
      <w:bookmarkStart w:id="141" w:name="_Toc5070"/>
      <w:bookmarkStart w:id="142" w:name="_Toc5054"/>
      <w:r>
        <w:rPr>
          <w:rStyle w:val="30"/>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30"/>
          <w:rFonts w:hint="eastAsia" w:ascii="仿宋" w:hAnsi="仿宋" w:eastAsia="仿宋"/>
          <w:b w:val="0"/>
          <w:bCs w:val="0"/>
          <w:color w:val="auto"/>
          <w:highlight w:val="none"/>
        </w:rPr>
        <w:t>般公共预算财政拨款支出决算表</w:t>
      </w:r>
      <w:bookmarkEnd w:id="139"/>
      <w:bookmarkEnd w:id="140"/>
      <w:bookmarkEnd w:id="141"/>
      <w:bookmarkEnd w:id="142"/>
    </w:p>
    <w:p>
      <w:pPr>
        <w:pStyle w:val="4"/>
        <w:pageBreakBefore w:val="0"/>
        <w:widowControl w:val="0"/>
        <w:kinsoku/>
        <w:wordWrap/>
        <w:overflowPunct/>
        <w:topLinePunct w:val="0"/>
        <w:autoSpaceDE/>
        <w:autoSpaceDN/>
        <w:bidi w:val="0"/>
        <w:adjustRightInd/>
        <w:snapToGrid/>
        <w:spacing w:before="0" w:after="0" w:line="576" w:lineRule="exact"/>
        <w:ind w:left="0" w:leftChars="0" w:right="0" w:rightChars="0" w:firstLine="0" w:firstLineChars="0"/>
        <w:jc w:val="both"/>
        <w:textAlignment w:val="auto"/>
        <w:rPr>
          <w:rFonts w:ascii="仿宋" w:hAnsi="仿宋" w:eastAsia="仿宋"/>
          <w:color w:val="auto"/>
          <w:highlight w:val="none"/>
        </w:rPr>
      </w:pPr>
      <w:bookmarkStart w:id="143" w:name="_Toc15396625"/>
      <w:bookmarkStart w:id="144" w:name="_Toc1787"/>
      <w:bookmarkStart w:id="145" w:name="_Toc32511"/>
      <w:bookmarkStart w:id="146" w:name="_Toc560"/>
      <w:r>
        <w:rPr>
          <w:rStyle w:val="30"/>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30"/>
          <w:rFonts w:hint="eastAsia" w:ascii="仿宋" w:hAnsi="仿宋" w:eastAsia="仿宋"/>
          <w:b w:val="0"/>
          <w:bCs w:val="0"/>
          <w:color w:val="auto"/>
          <w:highlight w:val="none"/>
        </w:rPr>
        <w:t>般公共预算财政拨款支出决算明细表</w:t>
      </w:r>
      <w:bookmarkEnd w:id="143"/>
      <w:bookmarkEnd w:id="144"/>
      <w:bookmarkEnd w:id="145"/>
      <w:bookmarkEnd w:id="146"/>
    </w:p>
    <w:p>
      <w:pPr>
        <w:pStyle w:val="4"/>
        <w:pageBreakBefore w:val="0"/>
        <w:widowControl w:val="0"/>
        <w:kinsoku/>
        <w:wordWrap/>
        <w:overflowPunct/>
        <w:topLinePunct w:val="0"/>
        <w:autoSpaceDE/>
        <w:autoSpaceDN/>
        <w:bidi w:val="0"/>
        <w:adjustRightInd/>
        <w:snapToGrid/>
        <w:spacing w:before="0" w:after="0" w:line="576" w:lineRule="exact"/>
        <w:ind w:left="0" w:leftChars="0" w:right="0" w:rightChars="0" w:firstLine="0" w:firstLineChars="0"/>
        <w:jc w:val="both"/>
        <w:textAlignment w:val="auto"/>
        <w:rPr>
          <w:rFonts w:ascii="仿宋" w:hAnsi="仿宋" w:eastAsia="仿宋"/>
          <w:color w:val="auto"/>
          <w:highlight w:val="none"/>
        </w:rPr>
      </w:pPr>
      <w:bookmarkStart w:id="147" w:name="_Toc8094"/>
      <w:bookmarkStart w:id="148" w:name="_Toc15396626"/>
      <w:bookmarkStart w:id="149" w:name="_Toc17832"/>
      <w:bookmarkStart w:id="150" w:name="_Toc3996"/>
      <w:r>
        <w:rPr>
          <w:rStyle w:val="30"/>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30"/>
          <w:rFonts w:hint="eastAsia" w:ascii="仿宋" w:hAnsi="仿宋" w:eastAsia="仿宋"/>
          <w:b w:val="0"/>
          <w:bCs w:val="0"/>
          <w:color w:val="auto"/>
          <w:highlight w:val="none"/>
        </w:rPr>
        <w:t>般公共预算财政拨款基本支出决算表</w:t>
      </w:r>
      <w:bookmarkEnd w:id="147"/>
      <w:bookmarkEnd w:id="148"/>
      <w:bookmarkEnd w:id="149"/>
      <w:bookmarkEnd w:id="150"/>
    </w:p>
    <w:p>
      <w:pPr>
        <w:pStyle w:val="4"/>
        <w:pageBreakBefore w:val="0"/>
        <w:widowControl w:val="0"/>
        <w:kinsoku/>
        <w:wordWrap/>
        <w:overflowPunct/>
        <w:topLinePunct w:val="0"/>
        <w:autoSpaceDE/>
        <w:autoSpaceDN/>
        <w:bidi w:val="0"/>
        <w:adjustRightInd/>
        <w:snapToGrid/>
        <w:spacing w:before="0" w:after="0" w:line="576" w:lineRule="exact"/>
        <w:ind w:left="0" w:leftChars="0" w:right="0" w:rightChars="0" w:firstLine="0" w:firstLineChars="0"/>
        <w:jc w:val="both"/>
        <w:textAlignment w:val="auto"/>
        <w:rPr>
          <w:rFonts w:ascii="仿宋" w:hAnsi="仿宋" w:eastAsia="仿宋"/>
          <w:color w:val="auto"/>
          <w:highlight w:val="none"/>
        </w:rPr>
      </w:pPr>
      <w:bookmarkStart w:id="151" w:name="_Toc15396627"/>
      <w:bookmarkStart w:id="152" w:name="_Toc5011"/>
      <w:bookmarkStart w:id="153" w:name="_Toc3613"/>
      <w:bookmarkStart w:id="154" w:name="_Toc2495"/>
      <w:r>
        <w:rPr>
          <w:rStyle w:val="30"/>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30"/>
          <w:rFonts w:hint="eastAsia" w:ascii="仿宋" w:hAnsi="仿宋" w:eastAsia="仿宋"/>
          <w:b w:val="0"/>
          <w:bCs w:val="0"/>
          <w:color w:val="auto"/>
          <w:highlight w:val="none"/>
        </w:rPr>
        <w:t>般公共预算财政拨款项目支出决算表</w:t>
      </w:r>
      <w:bookmarkEnd w:id="151"/>
      <w:bookmarkEnd w:id="152"/>
      <w:bookmarkEnd w:id="153"/>
      <w:bookmarkEnd w:id="154"/>
    </w:p>
    <w:p>
      <w:pPr>
        <w:pStyle w:val="4"/>
        <w:pageBreakBefore w:val="0"/>
        <w:widowControl w:val="0"/>
        <w:kinsoku/>
        <w:wordWrap/>
        <w:overflowPunct/>
        <w:topLinePunct w:val="0"/>
        <w:autoSpaceDE/>
        <w:autoSpaceDN/>
        <w:bidi w:val="0"/>
        <w:adjustRightInd/>
        <w:snapToGrid/>
        <w:spacing w:before="0" w:after="0" w:line="576" w:lineRule="exact"/>
        <w:ind w:left="0" w:leftChars="0" w:right="0" w:rightChars="0" w:firstLine="0" w:firstLineChars="0"/>
        <w:jc w:val="both"/>
        <w:textAlignment w:val="auto"/>
        <w:rPr>
          <w:rFonts w:ascii="仿宋" w:hAnsi="仿宋" w:eastAsia="仿宋"/>
          <w:color w:val="auto"/>
          <w:highlight w:val="none"/>
        </w:rPr>
      </w:pPr>
      <w:bookmarkStart w:id="155" w:name="_Toc24816"/>
      <w:bookmarkStart w:id="156" w:name="_Toc11450"/>
      <w:bookmarkStart w:id="157" w:name="_Toc15396628"/>
      <w:bookmarkStart w:id="158" w:name="_Toc28180"/>
      <w:r>
        <w:rPr>
          <w:rStyle w:val="30"/>
          <w:rFonts w:hint="eastAsia" w:ascii="仿宋" w:hAnsi="仿宋" w:eastAsia="仿宋"/>
          <w:b w:val="0"/>
          <w:bCs w:val="0"/>
          <w:color w:val="auto"/>
          <w:highlight w:val="none"/>
        </w:rPr>
        <w:t>十、</w:t>
      </w:r>
      <w:r>
        <w:rPr>
          <w:rFonts w:hint="eastAsia" w:ascii="仿宋" w:hAnsi="仿宋" w:eastAsia="仿宋"/>
          <w:b w:val="0"/>
          <w:color w:val="auto"/>
          <w:highlight w:val="none"/>
        </w:rPr>
        <w:t>一</w:t>
      </w:r>
      <w:r>
        <w:rPr>
          <w:rStyle w:val="30"/>
          <w:rFonts w:hint="eastAsia" w:ascii="仿宋" w:hAnsi="仿宋" w:eastAsia="仿宋"/>
          <w:b w:val="0"/>
          <w:bCs w:val="0"/>
          <w:color w:val="auto"/>
          <w:highlight w:val="none"/>
        </w:rPr>
        <w:t>般公共预算财政拨款“三公”经费支出决算表</w:t>
      </w:r>
      <w:bookmarkEnd w:id="155"/>
      <w:bookmarkEnd w:id="156"/>
      <w:bookmarkEnd w:id="157"/>
      <w:bookmarkEnd w:id="158"/>
    </w:p>
    <w:p>
      <w:pPr>
        <w:pStyle w:val="4"/>
        <w:pageBreakBefore w:val="0"/>
        <w:widowControl w:val="0"/>
        <w:kinsoku/>
        <w:wordWrap/>
        <w:overflowPunct/>
        <w:topLinePunct w:val="0"/>
        <w:autoSpaceDE/>
        <w:autoSpaceDN/>
        <w:bidi w:val="0"/>
        <w:adjustRightInd/>
        <w:snapToGrid/>
        <w:spacing w:before="0" w:after="0" w:line="576" w:lineRule="exact"/>
        <w:ind w:left="0" w:leftChars="0" w:right="0" w:rightChars="0" w:firstLine="0" w:firstLineChars="0"/>
        <w:jc w:val="both"/>
        <w:textAlignment w:val="auto"/>
        <w:rPr>
          <w:rFonts w:ascii="仿宋" w:hAnsi="仿宋" w:eastAsia="仿宋"/>
          <w:color w:val="auto"/>
          <w:highlight w:val="none"/>
        </w:rPr>
      </w:pPr>
      <w:bookmarkStart w:id="159" w:name="_Toc5294"/>
      <w:bookmarkStart w:id="160" w:name="_Toc15396629"/>
      <w:bookmarkStart w:id="161" w:name="_Toc16648"/>
      <w:bookmarkStart w:id="162" w:name="_Toc23304"/>
      <w:r>
        <w:rPr>
          <w:rStyle w:val="30"/>
          <w:rFonts w:hint="eastAsia" w:ascii="仿宋" w:hAnsi="仿宋" w:eastAsia="仿宋"/>
          <w:b w:val="0"/>
          <w:bCs w:val="0"/>
          <w:color w:val="auto"/>
          <w:highlight w:val="none"/>
        </w:rPr>
        <w:t>十一、</w:t>
      </w:r>
      <w:r>
        <w:rPr>
          <w:rFonts w:hint="eastAsia" w:ascii="仿宋" w:hAnsi="仿宋" w:eastAsia="仿宋"/>
          <w:b w:val="0"/>
          <w:color w:val="auto"/>
          <w:highlight w:val="none"/>
        </w:rPr>
        <w:t>政</w:t>
      </w:r>
      <w:r>
        <w:rPr>
          <w:rStyle w:val="30"/>
          <w:rFonts w:hint="eastAsia" w:ascii="仿宋" w:hAnsi="仿宋" w:eastAsia="仿宋"/>
          <w:b w:val="0"/>
          <w:bCs w:val="0"/>
          <w:color w:val="auto"/>
          <w:highlight w:val="none"/>
        </w:rPr>
        <w:t>府性基金预算财政拨款收入支出决算表</w:t>
      </w:r>
      <w:bookmarkEnd w:id="159"/>
      <w:bookmarkEnd w:id="160"/>
      <w:bookmarkEnd w:id="161"/>
      <w:bookmarkEnd w:id="162"/>
    </w:p>
    <w:p>
      <w:pPr>
        <w:pStyle w:val="4"/>
        <w:pageBreakBefore w:val="0"/>
        <w:widowControl w:val="0"/>
        <w:kinsoku/>
        <w:wordWrap/>
        <w:overflowPunct/>
        <w:topLinePunct w:val="0"/>
        <w:autoSpaceDE/>
        <w:autoSpaceDN/>
        <w:bidi w:val="0"/>
        <w:adjustRightInd/>
        <w:snapToGrid/>
        <w:spacing w:before="0" w:after="0" w:line="576" w:lineRule="exact"/>
        <w:ind w:left="0" w:leftChars="0" w:right="0" w:rightChars="0" w:firstLine="0" w:firstLineChars="0"/>
        <w:jc w:val="both"/>
        <w:textAlignment w:val="auto"/>
        <w:rPr>
          <w:rFonts w:ascii="仿宋" w:hAnsi="仿宋" w:eastAsia="仿宋"/>
          <w:color w:val="auto"/>
          <w:highlight w:val="none"/>
        </w:rPr>
      </w:pPr>
      <w:bookmarkStart w:id="163" w:name="_Toc15396630"/>
      <w:bookmarkStart w:id="164" w:name="_Toc8807"/>
      <w:bookmarkStart w:id="165" w:name="_Toc26717"/>
      <w:bookmarkStart w:id="166" w:name="_Toc20418"/>
      <w:r>
        <w:rPr>
          <w:rStyle w:val="30"/>
          <w:rFonts w:hint="eastAsia" w:ascii="仿宋" w:hAnsi="仿宋" w:eastAsia="仿宋"/>
          <w:b w:val="0"/>
          <w:bCs w:val="0"/>
          <w:color w:val="auto"/>
          <w:highlight w:val="none"/>
        </w:rPr>
        <w:t>十二、</w:t>
      </w:r>
      <w:r>
        <w:rPr>
          <w:rFonts w:hint="eastAsia" w:ascii="仿宋" w:hAnsi="仿宋" w:eastAsia="仿宋"/>
          <w:b w:val="0"/>
          <w:color w:val="auto"/>
          <w:highlight w:val="none"/>
        </w:rPr>
        <w:t>政</w:t>
      </w:r>
      <w:r>
        <w:rPr>
          <w:rStyle w:val="30"/>
          <w:rFonts w:hint="eastAsia" w:ascii="仿宋" w:hAnsi="仿宋" w:eastAsia="仿宋"/>
          <w:b w:val="0"/>
          <w:bCs w:val="0"/>
          <w:color w:val="auto"/>
          <w:highlight w:val="none"/>
        </w:rPr>
        <w:t>府性基金预算财政拨款“三公”经费支出决算表</w:t>
      </w:r>
      <w:bookmarkEnd w:id="163"/>
      <w:bookmarkEnd w:id="164"/>
      <w:bookmarkEnd w:id="165"/>
      <w:bookmarkEnd w:id="166"/>
    </w:p>
    <w:p>
      <w:pPr>
        <w:pStyle w:val="4"/>
        <w:pageBreakBefore w:val="0"/>
        <w:widowControl w:val="0"/>
        <w:kinsoku/>
        <w:wordWrap/>
        <w:overflowPunct/>
        <w:topLinePunct w:val="0"/>
        <w:autoSpaceDE/>
        <w:autoSpaceDN/>
        <w:bidi w:val="0"/>
        <w:adjustRightInd/>
        <w:snapToGrid/>
        <w:spacing w:before="0" w:after="0" w:line="576" w:lineRule="exact"/>
        <w:ind w:left="0" w:leftChars="0" w:right="0" w:rightChars="0" w:firstLine="0" w:firstLineChars="0"/>
        <w:jc w:val="both"/>
        <w:textAlignment w:val="auto"/>
        <w:rPr>
          <w:rStyle w:val="30"/>
          <w:rFonts w:hint="eastAsia" w:ascii="仿宋" w:hAnsi="仿宋" w:eastAsia="仿宋"/>
          <w:b w:val="0"/>
          <w:bCs w:val="0"/>
          <w:color w:val="auto"/>
          <w:highlight w:val="none"/>
        </w:rPr>
      </w:pPr>
      <w:bookmarkStart w:id="167" w:name="_Toc15396631"/>
      <w:bookmarkStart w:id="168" w:name="_Toc26511"/>
      <w:bookmarkStart w:id="169" w:name="_Toc18707"/>
      <w:bookmarkStart w:id="170" w:name="_Toc25220"/>
      <w:r>
        <w:rPr>
          <w:rStyle w:val="30"/>
          <w:rFonts w:hint="eastAsia" w:ascii="仿宋" w:hAnsi="仿宋" w:eastAsia="仿宋"/>
          <w:b w:val="0"/>
          <w:bCs w:val="0"/>
          <w:color w:val="auto"/>
          <w:highlight w:val="none"/>
        </w:rPr>
        <w:t>十三、</w:t>
      </w:r>
      <w:r>
        <w:rPr>
          <w:rFonts w:hint="eastAsia" w:ascii="仿宋" w:hAnsi="仿宋" w:eastAsia="仿宋"/>
          <w:b w:val="0"/>
          <w:color w:val="auto"/>
          <w:highlight w:val="none"/>
        </w:rPr>
        <w:t>国</w:t>
      </w:r>
      <w:r>
        <w:rPr>
          <w:rStyle w:val="30"/>
          <w:rFonts w:hint="eastAsia" w:ascii="仿宋" w:hAnsi="仿宋" w:eastAsia="仿宋"/>
          <w:b w:val="0"/>
          <w:bCs w:val="0"/>
          <w:color w:val="auto"/>
          <w:highlight w:val="none"/>
        </w:rPr>
        <w:t>有资本经营预算</w:t>
      </w:r>
      <w:r>
        <w:rPr>
          <w:rStyle w:val="30"/>
          <w:rFonts w:hint="eastAsia" w:ascii="仿宋" w:hAnsi="仿宋" w:eastAsia="仿宋"/>
          <w:b w:val="0"/>
          <w:bCs w:val="0"/>
          <w:color w:val="auto"/>
          <w:highlight w:val="none"/>
          <w:lang w:eastAsia="zh-CN"/>
        </w:rPr>
        <w:t>财政拨款收入</w:t>
      </w:r>
      <w:r>
        <w:rPr>
          <w:rStyle w:val="30"/>
          <w:rFonts w:hint="eastAsia" w:ascii="仿宋" w:hAnsi="仿宋" w:eastAsia="仿宋"/>
          <w:b w:val="0"/>
          <w:bCs w:val="0"/>
          <w:color w:val="auto"/>
          <w:highlight w:val="none"/>
        </w:rPr>
        <w:t>支出决算表</w:t>
      </w:r>
      <w:bookmarkEnd w:id="167"/>
      <w:bookmarkEnd w:id="168"/>
      <w:bookmarkEnd w:id="169"/>
      <w:bookmarkEnd w:id="170"/>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both"/>
        <w:textAlignment w:val="auto"/>
        <w:outlineLvl w:val="1"/>
        <w:rPr>
          <w:rFonts w:hint="eastAsia" w:eastAsia="仿宋"/>
          <w:color w:val="auto"/>
          <w:highlight w:val="none"/>
          <w:lang w:eastAsia="zh-CN"/>
        </w:rPr>
      </w:pPr>
      <w:bookmarkStart w:id="171" w:name="_Toc17786"/>
      <w:bookmarkStart w:id="172" w:name="_Toc25752"/>
      <w:bookmarkStart w:id="173" w:name="_Toc11357"/>
      <w:r>
        <w:rPr>
          <w:rStyle w:val="30"/>
          <w:rFonts w:hint="eastAsia" w:ascii="仿宋" w:hAnsi="仿宋" w:eastAsia="仿宋"/>
          <w:b w:val="0"/>
          <w:bCs w:val="0"/>
          <w:color w:val="auto"/>
          <w:highlight w:val="none"/>
          <w:lang w:eastAsia="zh-CN"/>
        </w:rPr>
        <w:t>十四、国有资本经营预算财政拨款支出决算表</w:t>
      </w:r>
      <w:bookmarkEnd w:id="171"/>
      <w:bookmarkEnd w:id="172"/>
      <w:bookmarkEnd w:id="173"/>
    </w:p>
    <w:sectPr>
      <w:pgSz w:w="11906" w:h="16838"/>
      <w:pgMar w:top="1440" w:right="1800" w:bottom="1440" w:left="1800" w:header="851" w:footer="992"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oX50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RtKNFPY0enH99PPh9OvbwQ6ANRaP4PfxsIzdO9MB+dB76GMc3eV&#10;U/HGRAR2QH28wCu6QHgMmk6m0xwmDtvwQP7sMdw6H94Lo0gUCuqwvwQrO6x96F0Hl1hNm1UjZdqh&#10;1KQt6NXrt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B2hfnRQCAAAVBAAADgAAAAAAAAAB&#10;ACAAAAAfAQAAZHJzL2Uyb0RvYy54bWxQSwUGAAAAAAYABgBZAQAApQU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25</w:t>
                    </w:r>
                    <w:r>
                      <w:rPr>
                        <w:rFonts w:hint="eastAsia"/>
                        <w:lang w:eastAsia="zh-CN"/>
                      </w:rPr>
                      <w:fldChar w:fldCharType="end"/>
                    </w:r>
                  </w:p>
                </w:txbxContent>
              </v:textbox>
            </v:shape>
          </w:pict>
        </mc:Fallback>
      </mc:AlternateContent>
    </w:r>
  </w:p>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AyHIU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vr/I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RcDIchQCAAAVBAAADgAAAAAAAAAB&#10;ACAAAAAfAQAAZHJzL2Uyb0RvYy54bWxQSwUGAAAAAAYABgBZAQAApQU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6333EE07"/>
    <w:multiLevelType w:val="singleLevel"/>
    <w:tmpl w:val="6333EE07"/>
    <w:lvl w:ilvl="0" w:tentative="0">
      <w:start w:val="1"/>
      <w:numFmt w:val="chineseCounting"/>
      <w:suff w:val="nothing"/>
      <w:lvlText w:val="%1、"/>
      <w:lvlJc w:val="left"/>
    </w:lvl>
  </w:abstractNum>
  <w:abstractNum w:abstractNumId="4">
    <w:nsid w:val="6334189B"/>
    <w:multiLevelType w:val="singleLevel"/>
    <w:tmpl w:val="6334189B"/>
    <w:lvl w:ilvl="0" w:tentative="0">
      <w:start w:val="1"/>
      <w:numFmt w:val="decimal"/>
      <w:lvlText w:val="%1."/>
      <w:lvlJc w:val="left"/>
      <w:pPr>
        <w:tabs>
          <w:tab w:val="left" w:pos="312"/>
        </w:tabs>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5ODM0ODRmYjhkNDllYjIzYzk2Zjg0NWY3OTc2NjU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A2032A3"/>
    <w:rsid w:val="0B8A37D8"/>
    <w:rsid w:val="0C96558B"/>
    <w:rsid w:val="10C055FF"/>
    <w:rsid w:val="118107EC"/>
    <w:rsid w:val="11DD6519"/>
    <w:rsid w:val="16BB723D"/>
    <w:rsid w:val="18015F3F"/>
    <w:rsid w:val="190F6CD2"/>
    <w:rsid w:val="19726D23"/>
    <w:rsid w:val="1BE8440E"/>
    <w:rsid w:val="1D155CEE"/>
    <w:rsid w:val="20F57F95"/>
    <w:rsid w:val="216F1D7D"/>
    <w:rsid w:val="23885032"/>
    <w:rsid w:val="240371BF"/>
    <w:rsid w:val="256C357E"/>
    <w:rsid w:val="25C741E6"/>
    <w:rsid w:val="27842671"/>
    <w:rsid w:val="29FD04D3"/>
    <w:rsid w:val="2ABE7A3E"/>
    <w:rsid w:val="2C2C7128"/>
    <w:rsid w:val="2EFA178C"/>
    <w:rsid w:val="30B46D73"/>
    <w:rsid w:val="319F7F4E"/>
    <w:rsid w:val="39AE70AB"/>
    <w:rsid w:val="3C0C0783"/>
    <w:rsid w:val="3F795B0E"/>
    <w:rsid w:val="3F9F3A96"/>
    <w:rsid w:val="46096F7B"/>
    <w:rsid w:val="493C27E9"/>
    <w:rsid w:val="496F39ED"/>
    <w:rsid w:val="49FF41D3"/>
    <w:rsid w:val="4A185DC8"/>
    <w:rsid w:val="4BCD702C"/>
    <w:rsid w:val="4BE068DB"/>
    <w:rsid w:val="4BF6002B"/>
    <w:rsid w:val="4ECE2238"/>
    <w:rsid w:val="51DB4B86"/>
    <w:rsid w:val="55333C3E"/>
    <w:rsid w:val="5A9041EC"/>
    <w:rsid w:val="5BB25E1D"/>
    <w:rsid w:val="60696835"/>
    <w:rsid w:val="631A3BA0"/>
    <w:rsid w:val="633C4934"/>
    <w:rsid w:val="64CA39A1"/>
    <w:rsid w:val="6B7B5520"/>
    <w:rsid w:val="6C4A05C8"/>
    <w:rsid w:val="72734D90"/>
    <w:rsid w:val="74E366CA"/>
    <w:rsid w:val="76712AD9"/>
    <w:rsid w:val="79E7B28D"/>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9"/>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3"/>
    <w:unhideWhenUsed/>
    <w:qFormat/>
    <w:uiPriority w:val="9"/>
    <w:pPr>
      <w:keepNext/>
      <w:keepLines/>
      <w:spacing w:before="260" w:after="260" w:line="416" w:lineRule="auto"/>
      <w:outlineLvl w:val="2"/>
    </w:pPr>
    <w:rPr>
      <w:b/>
      <w:bCs/>
      <w:sz w:val="32"/>
      <w:szCs w:val="32"/>
    </w:rPr>
  </w:style>
  <w:style w:type="character" w:default="1" w:styleId="17">
    <w:name w:val="Default Paragraph Font"/>
    <w:unhideWhenUsed/>
    <w:qFormat/>
    <w:uiPriority w:val="1"/>
  </w:style>
  <w:style w:type="table" w:default="1" w:styleId="16">
    <w:name w:val="Normal Table"/>
    <w:unhideWhenUsed/>
    <w:qFormat/>
    <w:uiPriority w:val="99"/>
    <w:tblPr>
      <w:tblCellMar>
        <w:top w:w="0" w:type="dxa"/>
        <w:left w:w="108" w:type="dxa"/>
        <w:bottom w:w="0" w:type="dxa"/>
        <w:right w:w="108" w:type="dxa"/>
      </w:tblCellMar>
    </w:tblPr>
  </w:style>
  <w:style w:type="paragraph" w:styleId="2">
    <w:name w:val="Body Text"/>
    <w:basedOn w:val="1"/>
    <w:next w:val="1"/>
    <w:link w:val="26"/>
    <w:qFormat/>
    <w:uiPriority w:val="99"/>
    <w:pPr>
      <w:spacing w:beforeLines="30"/>
    </w:pPr>
    <w:rPr>
      <w:rFonts w:ascii="仿宋_GB2312" w:eastAsia="仿宋_GB2312"/>
      <w:kern w:val="0"/>
      <w:sz w:val="30"/>
    </w:rPr>
  </w:style>
  <w:style w:type="paragraph" w:styleId="6">
    <w:name w:val="Normal Indent"/>
    <w:basedOn w:val="1"/>
    <w:qFormat/>
    <w:uiPriority w:val="99"/>
    <w:pPr>
      <w:ind w:firstLine="420" w:firstLineChars="200"/>
    </w:pPr>
  </w:style>
  <w:style w:type="paragraph" w:styleId="7">
    <w:name w:val="Body Text Indent"/>
    <w:basedOn w:val="1"/>
    <w:next w:val="8"/>
    <w:unhideWhenUsed/>
    <w:qFormat/>
    <w:uiPriority w:val="99"/>
    <w:pPr>
      <w:ind w:left="200" w:leftChars="200"/>
    </w:pPr>
  </w:style>
  <w:style w:type="paragraph" w:styleId="8">
    <w:name w:val="Body Text First Indent 2"/>
    <w:basedOn w:val="7"/>
    <w:next w:val="1"/>
    <w:unhideWhenUsed/>
    <w:qFormat/>
    <w:uiPriority w:val="99"/>
    <w:pPr>
      <w:ind w:firstLine="200" w:firstLineChars="200"/>
    </w:pPr>
  </w:style>
  <w:style w:type="paragraph" w:styleId="9">
    <w:name w:val="toc 3"/>
    <w:basedOn w:val="1"/>
    <w:next w:val="1"/>
    <w:unhideWhenUsed/>
    <w:qFormat/>
    <w:uiPriority w:val="39"/>
    <w:pPr>
      <w:tabs>
        <w:tab w:val="right" w:leader="dot" w:pos="8296"/>
      </w:tabs>
      <w:ind w:left="840" w:leftChars="400"/>
    </w:pPr>
  </w:style>
  <w:style w:type="paragraph" w:styleId="10">
    <w:name w:val="Balloon Text"/>
    <w:basedOn w:val="1"/>
    <w:link w:val="32"/>
    <w:unhideWhenUsed/>
    <w:qFormat/>
    <w:uiPriority w:val="99"/>
    <w:rPr>
      <w:sz w:val="18"/>
      <w:szCs w:val="18"/>
    </w:rPr>
  </w:style>
  <w:style w:type="paragraph" w:styleId="11">
    <w:name w:val="footer"/>
    <w:basedOn w:val="1"/>
    <w:link w:val="24"/>
    <w:qFormat/>
    <w:uiPriority w:val="99"/>
    <w:pPr>
      <w:tabs>
        <w:tab w:val="center" w:pos="4153"/>
        <w:tab w:val="right" w:pos="8306"/>
      </w:tabs>
      <w:snapToGrid w:val="0"/>
      <w:jc w:val="left"/>
    </w:pPr>
    <w:rPr>
      <w:rFonts w:ascii="Calibri" w:hAnsi="Calibri"/>
      <w:kern w:val="0"/>
      <w:sz w:val="18"/>
      <w:szCs w:val="18"/>
    </w:rPr>
  </w:style>
  <w:style w:type="paragraph" w:styleId="12">
    <w:name w:val="header"/>
    <w:basedOn w:val="1"/>
    <w:link w:val="22"/>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3">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4">
    <w:name w:val="toc 2"/>
    <w:basedOn w:val="1"/>
    <w:next w:val="1"/>
    <w:unhideWhenUsed/>
    <w:qFormat/>
    <w:uiPriority w:val="39"/>
    <w:pPr>
      <w:tabs>
        <w:tab w:val="right" w:leader="dot" w:pos="8296"/>
      </w:tabs>
      <w:ind w:left="420" w:leftChars="200"/>
    </w:pPr>
  </w:style>
  <w:style w:type="paragraph" w:styleId="15">
    <w:name w:val="Normal (Web)"/>
    <w:basedOn w:val="1"/>
    <w:unhideWhenUsed/>
    <w:qFormat/>
    <w:uiPriority w:val="99"/>
    <w:pPr>
      <w:adjustRightInd/>
      <w:snapToGrid/>
      <w:spacing w:before="100" w:beforeLines="0" w:beforeAutospacing="1" w:after="100" w:afterLines="0" w:afterAutospacing="1"/>
    </w:pPr>
    <w:rPr>
      <w:rFonts w:ascii="宋体" w:hAnsi="宋体" w:eastAsia="宋体" w:cs="宋体"/>
      <w:sz w:val="24"/>
      <w:szCs w:val="24"/>
    </w:rPr>
  </w:style>
  <w:style w:type="character" w:styleId="18">
    <w:name w:val="Strong"/>
    <w:basedOn w:val="17"/>
    <w:qFormat/>
    <w:uiPriority w:val="99"/>
    <w:rPr>
      <w:b/>
    </w:rPr>
  </w:style>
  <w:style w:type="character" w:styleId="19">
    <w:name w:val="Hyperlink"/>
    <w:basedOn w:val="17"/>
    <w:unhideWhenUsed/>
    <w:qFormat/>
    <w:uiPriority w:val="99"/>
    <w:rPr>
      <w:color w:val="0000FF" w:themeColor="hyperlink"/>
      <w:u w:val="single"/>
      <w14:textFill>
        <w14:solidFill>
          <w14:schemeClr w14:val="hlink"/>
        </w14:solidFill>
      </w14:textFill>
    </w:rPr>
  </w:style>
  <w:style w:type="paragraph" w:customStyle="1" w:styleId="20">
    <w:name w:val="图表目录1"/>
    <w:basedOn w:val="1"/>
    <w:next w:val="1"/>
    <w:qFormat/>
    <w:uiPriority w:val="99"/>
    <w:pPr>
      <w:ind w:left="200" w:leftChars="200" w:hanging="200" w:hangingChars="200"/>
    </w:pPr>
  </w:style>
  <w:style w:type="character" w:customStyle="1" w:styleId="21">
    <w:name w:val="Header Char"/>
    <w:basedOn w:val="17"/>
    <w:semiHidden/>
    <w:qFormat/>
    <w:uiPriority w:val="99"/>
    <w:rPr>
      <w:rFonts w:ascii="Times New Roman" w:hAnsi="Times New Roman"/>
      <w:sz w:val="18"/>
      <w:szCs w:val="18"/>
    </w:rPr>
  </w:style>
  <w:style w:type="character" w:customStyle="1" w:styleId="22">
    <w:name w:val="页眉 Char"/>
    <w:link w:val="12"/>
    <w:semiHidden/>
    <w:qFormat/>
    <w:locked/>
    <w:uiPriority w:val="99"/>
    <w:rPr>
      <w:sz w:val="18"/>
    </w:rPr>
  </w:style>
  <w:style w:type="character" w:customStyle="1" w:styleId="23">
    <w:name w:val="Footer Char"/>
    <w:basedOn w:val="17"/>
    <w:semiHidden/>
    <w:qFormat/>
    <w:uiPriority w:val="99"/>
    <w:rPr>
      <w:rFonts w:ascii="Times New Roman" w:hAnsi="Times New Roman"/>
      <w:sz w:val="18"/>
      <w:szCs w:val="18"/>
    </w:rPr>
  </w:style>
  <w:style w:type="character" w:customStyle="1" w:styleId="24">
    <w:name w:val="页脚 Char"/>
    <w:link w:val="11"/>
    <w:qFormat/>
    <w:locked/>
    <w:uiPriority w:val="99"/>
    <w:rPr>
      <w:sz w:val="18"/>
    </w:rPr>
  </w:style>
  <w:style w:type="character" w:customStyle="1" w:styleId="25">
    <w:name w:val="Body Text Char"/>
    <w:basedOn w:val="17"/>
    <w:semiHidden/>
    <w:qFormat/>
    <w:uiPriority w:val="99"/>
    <w:rPr>
      <w:rFonts w:ascii="Times New Roman" w:hAnsi="Times New Roman"/>
      <w:szCs w:val="24"/>
    </w:rPr>
  </w:style>
  <w:style w:type="character" w:customStyle="1" w:styleId="26">
    <w:name w:val="正文文本 Char"/>
    <w:link w:val="2"/>
    <w:qFormat/>
    <w:locked/>
    <w:uiPriority w:val="99"/>
    <w:rPr>
      <w:rFonts w:ascii="仿宋_GB2312" w:hAnsi="Times New Roman" w:eastAsia="仿宋_GB2312"/>
      <w:sz w:val="24"/>
    </w:rPr>
  </w:style>
  <w:style w:type="paragraph" w:customStyle="1" w:styleId="2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8">
    <w:name w:val="List Paragraph"/>
    <w:basedOn w:val="1"/>
    <w:qFormat/>
    <w:uiPriority w:val="34"/>
    <w:pPr>
      <w:ind w:firstLine="420" w:firstLineChars="200"/>
    </w:pPr>
  </w:style>
  <w:style w:type="character" w:customStyle="1" w:styleId="29">
    <w:name w:val="标题 1 Char"/>
    <w:basedOn w:val="17"/>
    <w:link w:val="3"/>
    <w:qFormat/>
    <w:uiPriority w:val="9"/>
    <w:rPr>
      <w:rFonts w:ascii="Times New Roman" w:hAnsi="Times New Roman"/>
      <w:b/>
      <w:bCs/>
      <w:kern w:val="44"/>
      <w:sz w:val="44"/>
      <w:szCs w:val="44"/>
    </w:rPr>
  </w:style>
  <w:style w:type="character" w:customStyle="1" w:styleId="30">
    <w:name w:val="标题 2 Char"/>
    <w:basedOn w:val="17"/>
    <w:link w:val="4"/>
    <w:qFormat/>
    <w:uiPriority w:val="9"/>
    <w:rPr>
      <w:rFonts w:asciiTheme="majorHAnsi" w:hAnsiTheme="majorHAnsi" w:eastAsiaTheme="majorEastAsia" w:cstheme="majorBidi"/>
      <w:b/>
      <w:bCs/>
      <w:kern w:val="2"/>
      <w:sz w:val="32"/>
      <w:szCs w:val="32"/>
    </w:rPr>
  </w:style>
  <w:style w:type="paragraph" w:customStyle="1" w:styleId="31">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2">
    <w:name w:val="批注框文本 Char"/>
    <w:basedOn w:val="17"/>
    <w:link w:val="10"/>
    <w:semiHidden/>
    <w:qFormat/>
    <w:uiPriority w:val="99"/>
    <w:rPr>
      <w:rFonts w:ascii="Times New Roman" w:hAnsi="Times New Roman"/>
      <w:kern w:val="2"/>
      <w:sz w:val="18"/>
      <w:szCs w:val="18"/>
    </w:rPr>
  </w:style>
  <w:style w:type="character" w:customStyle="1" w:styleId="33">
    <w:name w:val="标题 3 Char"/>
    <w:basedOn w:val="17"/>
    <w:link w:val="5"/>
    <w:qFormat/>
    <w:uiPriority w:val="9"/>
    <w:rPr>
      <w:rFonts w:ascii="Times New Roman" w:hAnsi="Times New Roman"/>
      <w:b/>
      <w:bCs/>
      <w:kern w:val="2"/>
      <w:sz w:val="32"/>
      <w:szCs w:val="32"/>
    </w:rPr>
  </w:style>
  <w:style w:type="paragraph" w:customStyle="1" w:styleId="34">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5">
    <w:name w:val="WPSOffice手动目录 1"/>
    <w:qFormat/>
    <w:uiPriority w:val="0"/>
    <w:pPr>
      <w:ind w:leftChars="0"/>
    </w:pPr>
    <w:rPr>
      <w:rFonts w:ascii="Times New Roman" w:hAnsi="Times New Roman" w:eastAsia="宋体" w:cs="Times New Roman"/>
      <w:sz w:val="20"/>
      <w:szCs w:val="20"/>
    </w:rPr>
  </w:style>
  <w:style w:type="paragraph" w:customStyle="1" w:styleId="36">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chart" Target="charts/chart7.xml"/><Relationship Id="rId14" Type="http://schemas.openxmlformats.org/officeDocument/2006/relationships/chart" Target="charts/chart6.xml"/><Relationship Id="rId13" Type="http://schemas.openxmlformats.org/officeDocument/2006/relationships/chart" Target="charts/chart5.xml"/><Relationship Id="rId12" Type="http://schemas.openxmlformats.org/officeDocument/2006/relationships/chart" Target="charts/chart4.xml"/><Relationship Id="rId11" Type="http://schemas.openxmlformats.org/officeDocument/2006/relationships/chart" Target="charts/chart3.xml"/><Relationship Id="rId10" Type="http://schemas.openxmlformats.org/officeDocument/2006/relationships/chart" Target="charts/chart2.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24037;&#20316;&#31807;1"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24037;&#20316;&#31807;1"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24037;&#20316;&#31807;1"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24037;&#20316;&#31807;1"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[工作簿1]Sheet1!$A$8</c:f>
              <c:strCache>
                <c:ptCount val="1"/>
                <c:pt idx="0">
                  <c:v>收、支决算总计</c:v>
                </c:pt>
              </c:strCache>
            </c:strRef>
          </c:tx>
          <c:spPr>
            <a:solidFill>
              <a:schemeClr val="accent1"/>
            </a:solidFill>
            <a:ln>
              <a:noFill/>
            </a:ln>
            <a:effectLst/>
          </c:spPr>
          <c:invertIfNegative val="0"/>
          <c:dLbls>
            <c:dLbl>
              <c:idx val="0"/>
              <c:layout>
                <c:manualLayout>
                  <c:x val="-0.00217932752179328"/>
                  <c:y val="0.0376319412574576"/>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217932752179328"/>
                  <c:y val="0.051520830146346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[工作簿1]Sheet1!$B$7:$C$7</c:f>
              <c:strCache>
                <c:ptCount val="2"/>
                <c:pt idx="0">
                  <c:v>2020年</c:v>
                </c:pt>
                <c:pt idx="1">
                  <c:v>2021年</c:v>
                </c:pt>
              </c:strCache>
            </c:strRef>
          </c:cat>
          <c:val>
            <c:numRef>
              <c:f>[工作簿1]Sheet1!$B$8:$C$8</c:f>
              <c:numCache>
                <c:formatCode>General</c:formatCode>
                <c:ptCount val="2"/>
                <c:pt idx="0">
                  <c:v>2397.56</c:v>
                </c:pt>
                <c:pt idx="1">
                  <c:v>4560.06</c:v>
                </c:pt>
              </c:numCache>
            </c:numRef>
          </c:val>
        </c:ser>
        <c:dLbls>
          <c:showLegendKey val="0"/>
          <c:showVal val="1"/>
          <c:showCatName val="0"/>
          <c:showSerName val="0"/>
          <c:showPercent val="0"/>
          <c:showBubbleSize val="0"/>
        </c:dLbls>
        <c:gapWidth val="219"/>
        <c:overlap val="-27"/>
        <c:axId val="52674683"/>
        <c:axId val="311202334"/>
      </c:barChart>
      <c:catAx>
        <c:axId val="5267468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11202334"/>
        <c:crosses val="autoZero"/>
        <c:auto val="1"/>
        <c:lblAlgn val="ctr"/>
        <c:lblOffset val="100"/>
        <c:noMultiLvlLbl val="0"/>
      </c:catAx>
      <c:valAx>
        <c:axId val="31120233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67468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[工作簿1]Sheet1!$A$3</c:f>
              <c:strCache>
                <c:ptCount val="1"/>
                <c:pt idx="0">
                  <c:v>本年收入</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[工作簿1]Sheet1!$B$2:$C$2</c:f>
              <c:strCache>
                <c:ptCount val="2"/>
                <c:pt idx="0">
                  <c:v>一般公共预算财政拨款收入</c:v>
                </c:pt>
                <c:pt idx="1">
                  <c:v>政府性基金预算财政拨款收入</c:v>
                </c:pt>
              </c:strCache>
            </c:strRef>
          </c:cat>
          <c:val>
            <c:numRef>
              <c:f>[工作簿1]Sheet1!$B$3:$C$3</c:f>
              <c:numCache>
                <c:formatCode>General</c:formatCode>
                <c:ptCount val="2"/>
                <c:pt idx="0">
                  <c:v>1391.69</c:v>
                </c:pt>
                <c:pt idx="1">
                  <c:v>3168.37</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[工作簿1]Sheet1!$A$12</c:f>
              <c:strCache>
                <c:ptCount val="1"/>
                <c:pt idx="0">
                  <c:v>本年支出</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1"/>
              <c:layout>
                <c:manualLayout>
                  <c:x val="0.0560143879965677"/>
                  <c:y val="-0.18720469791836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[工作簿1]Sheet1!$B$11:$C$11</c:f>
              <c:strCache>
                <c:ptCount val="2"/>
                <c:pt idx="0">
                  <c:v>基本支出</c:v>
                </c:pt>
                <c:pt idx="1">
                  <c:v>项目支出</c:v>
                </c:pt>
              </c:strCache>
            </c:strRef>
          </c:cat>
          <c:val>
            <c:numRef>
              <c:f>[工作簿1]Sheet1!$B$12:$C$12</c:f>
              <c:numCache>
                <c:formatCode>General</c:formatCode>
                <c:ptCount val="2"/>
                <c:pt idx="0">
                  <c:v>392.48</c:v>
                </c:pt>
                <c:pt idx="1">
                  <c:v>3597.63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[工作簿1]Sheet1!$A$8</c:f>
              <c:strCache>
                <c:ptCount val="1"/>
                <c:pt idx="0">
                  <c:v>收、支决算总计</c:v>
                </c:pt>
              </c:strCache>
            </c:strRef>
          </c:tx>
          <c:spPr>
            <a:solidFill>
              <a:schemeClr val="accent1"/>
            </a:solidFill>
            <a:ln>
              <a:noFill/>
            </a:ln>
            <a:effectLst/>
          </c:spPr>
          <c:invertIfNegative val="0"/>
          <c:dLbls>
            <c:dLbl>
              <c:idx val="0"/>
              <c:layout>
                <c:manualLayout>
                  <c:x val="-0.00217932752179328"/>
                  <c:y val="0.0376319412574576"/>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217932752179328"/>
                  <c:y val="0.051520830146346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[工作簿1]Sheet1!$B$7:$C$7</c:f>
              <c:strCache>
                <c:ptCount val="2"/>
                <c:pt idx="0">
                  <c:v>2020年</c:v>
                </c:pt>
                <c:pt idx="1">
                  <c:v>2021年</c:v>
                </c:pt>
              </c:strCache>
            </c:strRef>
          </c:cat>
          <c:val>
            <c:numRef>
              <c:f>[工作簿1]Sheet1!$B$8:$C$8</c:f>
              <c:numCache>
                <c:formatCode>General</c:formatCode>
                <c:ptCount val="2"/>
                <c:pt idx="0">
                  <c:v>2397.56</c:v>
                </c:pt>
                <c:pt idx="1">
                  <c:v>4560.06</c:v>
                </c:pt>
              </c:numCache>
            </c:numRef>
          </c:val>
        </c:ser>
        <c:dLbls>
          <c:showLegendKey val="0"/>
          <c:showVal val="1"/>
          <c:showCatName val="0"/>
          <c:showSerName val="0"/>
          <c:showPercent val="0"/>
          <c:showBubbleSize val="0"/>
        </c:dLbls>
        <c:gapWidth val="219"/>
        <c:overlap val="-27"/>
        <c:axId val="52674683"/>
        <c:axId val="311202334"/>
      </c:barChart>
      <c:catAx>
        <c:axId val="5267468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11202334"/>
        <c:crosses val="autoZero"/>
        <c:auto val="1"/>
        <c:lblAlgn val="ctr"/>
        <c:lblOffset val="100"/>
        <c:noMultiLvlLbl val="0"/>
      </c:catAx>
      <c:valAx>
        <c:axId val="31120233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67468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[工作簿1]Sheet1!$A$16</c:f>
              <c:strCache>
                <c:ptCount val="1"/>
                <c:pt idx="0">
                  <c:v>一般公共预算财政拨款支出</c:v>
                </c:pt>
              </c:strCache>
            </c:strRef>
          </c:tx>
          <c:spPr>
            <a:solidFill>
              <a:schemeClr val="accent1"/>
            </a:solidFill>
            <a:ln>
              <a:noFill/>
            </a:ln>
            <a:effectLst/>
          </c:spPr>
          <c:invertIfNegative val="0"/>
          <c:dLbls>
            <c:dLbl>
              <c:idx val="0"/>
              <c:layout>
                <c:manualLayout>
                  <c:x val="0"/>
                  <c:y val="0.0338983050847458"/>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[工作簿1]Sheet1!$B$15:$C$15</c:f>
              <c:strCache>
                <c:ptCount val="2"/>
                <c:pt idx="0">
                  <c:v>2020年</c:v>
                </c:pt>
                <c:pt idx="1">
                  <c:v>2021年</c:v>
                </c:pt>
              </c:strCache>
            </c:strRef>
          </c:cat>
          <c:val>
            <c:numRef>
              <c:f>[工作簿1]Sheet1!$B$16:$C$16</c:f>
              <c:numCache>
                <c:formatCode>#,##0.00</c:formatCode>
                <c:ptCount val="2"/>
                <c:pt idx="0">
                  <c:v>2231.56</c:v>
                </c:pt>
                <c:pt idx="1">
                  <c:v>889.45</c:v>
                </c:pt>
              </c:numCache>
            </c:numRef>
          </c:val>
        </c:ser>
        <c:dLbls>
          <c:showLegendKey val="0"/>
          <c:showVal val="1"/>
          <c:showCatName val="0"/>
          <c:showSerName val="0"/>
          <c:showPercent val="0"/>
          <c:showBubbleSize val="0"/>
        </c:dLbls>
        <c:gapWidth val="219"/>
        <c:overlap val="-27"/>
        <c:axId val="472264655"/>
        <c:axId val="911076582"/>
      </c:barChart>
      <c:catAx>
        <c:axId val="47226465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11076582"/>
        <c:crosses val="autoZero"/>
        <c:auto val="1"/>
        <c:lblAlgn val="ctr"/>
        <c:lblOffset val="100"/>
        <c:noMultiLvlLbl val="0"/>
      </c:catAx>
      <c:valAx>
        <c:axId val="91107658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226465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dLbl>
              <c:idx val="2"/>
              <c:layout>
                <c:manualLayout>
                  <c:x val="0.0201508559128187"/>
                  <c:y val="0.047776626700857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53561262809161"/>
                  <c:y val="0.0444895016659848"/>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[工作簿1]Sheet1!$A$2:$A$8</c:f>
              <c:strCache>
                <c:ptCount val="7"/>
                <c:pt idx="0">
                  <c:v>一般公共服务（类）</c:v>
                </c:pt>
                <c:pt idx="1">
                  <c:v>科学技术（类）</c:v>
                </c:pt>
                <c:pt idx="2">
                  <c:v>社会保障和就业（类）</c:v>
                </c:pt>
                <c:pt idx="3">
                  <c:v>卫生健康支出（类）</c:v>
                </c:pt>
                <c:pt idx="4">
                  <c:v>农林水支出（类）</c:v>
                </c:pt>
                <c:pt idx="5">
                  <c:v>资源勘探工业信息等支出（类）</c:v>
                </c:pt>
                <c:pt idx="6">
                  <c:v>住房保障支出（类）</c:v>
                </c:pt>
              </c:strCache>
            </c:strRef>
          </c:cat>
          <c:val>
            <c:numRef>
              <c:f>[工作簿1]Sheet1!$B$2:$B$8</c:f>
              <c:numCache>
                <c:formatCode>General</c:formatCode>
                <c:ptCount val="7"/>
                <c:pt idx="0">
                  <c:v>343.55</c:v>
                </c:pt>
                <c:pt idx="1">
                  <c:v>74.2</c:v>
                </c:pt>
                <c:pt idx="2">
                  <c:v>19.8</c:v>
                </c:pt>
                <c:pt idx="3">
                  <c:v>10.6</c:v>
                </c:pt>
                <c:pt idx="4">
                  <c:v>122.77</c:v>
                </c:pt>
                <c:pt idx="5">
                  <c:v>300</c:v>
                </c:pt>
                <c:pt idx="6">
                  <c:v>18.54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0644931952061751"/>
          <c:y val="0.796025715955582"/>
          <c:w val="0.881779402803169"/>
          <c:h val="0.153126826417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[工作簿1]Sheet1!$B$1</c:f>
              <c:strCache>
                <c:ptCount val="1"/>
                <c:pt idx="0">
                  <c:v>“三公”经费财政拨款支出</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[工作簿1]Sheet1!$A$2:$A$4</c:f>
              <c:strCache>
                <c:ptCount val="3"/>
                <c:pt idx="0">
                  <c:v>公务接待费</c:v>
                </c:pt>
                <c:pt idx="1">
                  <c:v>公务用车购置及运行维护费</c:v>
                </c:pt>
                <c:pt idx="2">
                  <c:v>因公出国（境）费</c:v>
                </c:pt>
              </c:strCache>
            </c:strRef>
          </c:cat>
          <c:val>
            <c:numRef>
              <c:f>[工作簿1]Sheet1!$B$2:$B$4</c:f>
              <c:numCache>
                <c:formatCode>General</c:formatCode>
                <c:ptCount val="3"/>
                <c:pt idx="0">
                  <c:v>12.03</c:v>
                </c:pt>
                <c:pt idx="1">
                  <c:v>0</c:v>
                </c:pt>
                <c:pt idx="2">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9322</Words>
  <Characters>10147</Characters>
  <Lines>61</Lines>
  <Paragraphs>17</Paragraphs>
  <TotalTime>12</TotalTime>
  <ScaleCrop>false</ScaleCrop>
  <LinksUpToDate>false</LinksUpToDate>
  <CharactersWithSpaces>10294</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nanroula</cp:lastModifiedBy>
  <cp:lastPrinted>2022-08-06T02:23:00Z</cp:lastPrinted>
  <dcterms:modified xsi:type="dcterms:W3CDTF">2022-09-30T08:50:56Z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18C4299B72334D3095585539B3212D20</vt:lpwstr>
  </property>
</Properties>
</file>