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7425"/>
      <w:bookmarkStart w:id="4" w:name="_Toc15378441"/>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8442"/>
      <w:bookmarkStart w:id="8" w:name="_Toc15377194"/>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广元市昭化区文化旅游和体育局</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rPr>
          <w:color w:val="auto"/>
          <w:highlight w:val="none"/>
        </w:rPr>
      </w:pPr>
    </w:p>
    <w:p>
      <w:pPr>
        <w:pStyle w:val="12"/>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第一部分 </w:t>
      </w:r>
      <w:r>
        <w:rPr>
          <w:rFonts w:hint="eastAsia" w:ascii="仿宋" w:hAnsi="仿宋" w:eastAsia="仿宋" w:cs="仿宋"/>
          <w:color w:val="auto"/>
          <w:sz w:val="28"/>
          <w:szCs w:val="28"/>
          <w:highlight w:val="none"/>
          <w:lang w:eastAsia="zh-CN"/>
        </w:rPr>
        <w:t>单位</w:t>
      </w:r>
      <w:r>
        <w:rPr>
          <w:rFonts w:hint="eastAsia" w:ascii="仿宋" w:hAnsi="仿宋" w:eastAsia="仿宋" w:cs="仿宋"/>
          <w:color w:val="auto"/>
          <w:sz w:val="28"/>
          <w:szCs w:val="28"/>
          <w:highlight w:val="none"/>
        </w:rPr>
        <w:t>概况</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4</w:t>
      </w:r>
    </w:p>
    <w:p>
      <w:pPr>
        <w:pStyle w:val="13"/>
        <w:adjustRightInd w:val="0"/>
        <w:snapToGrid w:val="0"/>
        <w:spacing w:line="440" w:lineRule="exact"/>
        <w:jc w:val="left"/>
        <w:rPr>
          <w:rStyle w:val="17"/>
          <w:rFonts w:hint="default" w:ascii="仿宋" w:hAnsi="仿宋" w:eastAsia="仿宋" w:cs="Times New Roman"/>
          <w:color w:val="auto"/>
          <w:sz w:val="28"/>
          <w:szCs w:val="28"/>
          <w:u w:val="none"/>
          <w:lang w:val="en-US" w:eastAsia="zh-CN"/>
        </w:rPr>
      </w:pPr>
      <w:r>
        <w:rPr>
          <w:rFonts w:hint="eastAsia" w:ascii="仿宋" w:hAnsi="仿宋" w:eastAsia="仿宋" w:cs="仿宋"/>
          <w:color w:val="auto"/>
          <w:sz w:val="28"/>
          <w:szCs w:val="28"/>
          <w:highlight w:val="none"/>
        </w:rPr>
        <w:t>一、职能</w:t>
      </w:r>
      <w:r>
        <w:rPr>
          <w:rFonts w:hint="eastAsia" w:ascii="仿宋" w:hAnsi="仿宋" w:eastAsia="仿宋" w:cs="仿宋"/>
          <w:color w:val="auto"/>
          <w:sz w:val="28"/>
          <w:szCs w:val="28"/>
          <w:highlight w:val="none"/>
          <w:lang w:eastAsia="zh-CN"/>
        </w:rPr>
        <w:t>简介</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4</w:t>
      </w:r>
    </w:p>
    <w:p>
      <w:pPr>
        <w:pStyle w:val="13"/>
        <w:adjustRightInd w:val="0"/>
        <w:snapToGrid w:val="0"/>
        <w:spacing w:line="440" w:lineRule="exact"/>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二、机构设置</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7</w:t>
      </w:r>
    </w:p>
    <w:p>
      <w:pPr>
        <w:pStyle w:val="13"/>
        <w:adjustRightInd w:val="0"/>
        <w:snapToGrid w:val="0"/>
        <w:spacing w:line="440" w:lineRule="exact"/>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三、2021年重点</w:t>
      </w:r>
      <w:r>
        <w:rPr>
          <w:rFonts w:hint="eastAsia" w:ascii="仿宋" w:hAnsi="仿宋" w:eastAsia="仿宋" w:cs="仿宋"/>
          <w:color w:val="auto"/>
          <w:sz w:val="28"/>
          <w:szCs w:val="28"/>
          <w:highlight w:val="none"/>
        </w:rPr>
        <w:t>工作</w:t>
      </w:r>
      <w:r>
        <w:rPr>
          <w:rFonts w:hint="eastAsia" w:ascii="仿宋" w:hAnsi="仿宋" w:eastAsia="仿宋" w:cs="仿宋"/>
          <w:color w:val="auto"/>
          <w:sz w:val="28"/>
          <w:szCs w:val="28"/>
          <w:highlight w:val="none"/>
          <w:lang w:eastAsia="zh-CN"/>
        </w:rPr>
        <w:t>完成情况</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7</w:t>
      </w:r>
    </w:p>
    <w:p>
      <w:pPr>
        <w:pStyle w:val="12"/>
        <w:adjustRightInd w:val="0"/>
        <w:snapToGrid w:val="0"/>
        <w:spacing w:before="0"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第二部分</w:t>
      </w:r>
      <w:r>
        <w:rPr>
          <w:rFonts w:hint="eastAsia" w:ascii="仿宋" w:hAnsi="仿宋" w:eastAsia="仿宋" w:cs="仿宋"/>
          <w:color w:val="auto"/>
          <w:sz w:val="28"/>
          <w:szCs w:val="28"/>
          <w:highlight w:val="none"/>
          <w:lang w:val="en-US" w:eastAsia="zh-CN"/>
        </w:rPr>
        <w:t xml:space="preserve"> 2021年度</w:t>
      </w:r>
      <w:r>
        <w:rPr>
          <w:rFonts w:hint="eastAsia" w:ascii="仿宋" w:hAnsi="仿宋" w:eastAsia="仿宋" w:cs="仿宋"/>
          <w:color w:val="auto"/>
          <w:sz w:val="28"/>
          <w:szCs w:val="28"/>
          <w:highlight w:val="none"/>
          <w:lang w:eastAsia="zh-CN"/>
        </w:rPr>
        <w:t>单位</w:t>
      </w:r>
      <w:r>
        <w:rPr>
          <w:rFonts w:hint="eastAsia" w:ascii="仿宋" w:hAnsi="仿宋" w:eastAsia="仿宋" w:cs="仿宋"/>
          <w:color w:val="auto"/>
          <w:sz w:val="28"/>
          <w:szCs w:val="28"/>
          <w:highlight w:val="none"/>
        </w:rPr>
        <w:t>决算情况说明</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10</w:t>
      </w:r>
    </w:p>
    <w:p>
      <w:pPr>
        <w:pStyle w:val="13"/>
        <w:adjustRightInd w:val="0"/>
        <w:snapToGrid w:val="0"/>
        <w:spacing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一、收入支出决算总体情况说明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10</w:t>
      </w:r>
    </w:p>
    <w:p>
      <w:pPr>
        <w:pStyle w:val="13"/>
        <w:adjustRightInd w:val="0"/>
        <w:snapToGrid w:val="0"/>
        <w:spacing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二、收入决算情况说明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10</w:t>
      </w:r>
    </w:p>
    <w:p>
      <w:pPr>
        <w:pStyle w:val="13"/>
        <w:adjustRightInd w:val="0"/>
        <w:snapToGrid w:val="0"/>
        <w:spacing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三、支出决算情况说明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11</w:t>
      </w:r>
    </w:p>
    <w:p>
      <w:pPr>
        <w:pStyle w:val="13"/>
        <w:adjustRightInd w:val="0"/>
        <w:snapToGrid w:val="0"/>
        <w:spacing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四、财政拨款收入支出决算总体情况说明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11</w:t>
      </w:r>
    </w:p>
    <w:p>
      <w:pPr>
        <w:pStyle w:val="13"/>
        <w:adjustRightInd w:val="0"/>
        <w:snapToGrid w:val="0"/>
        <w:spacing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五、一般公共预算财政拨款支出决算情况说明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12</w:t>
      </w:r>
    </w:p>
    <w:p>
      <w:pPr>
        <w:pStyle w:val="13"/>
        <w:adjustRightInd w:val="0"/>
        <w:snapToGrid w:val="0"/>
        <w:spacing w:line="440" w:lineRule="exact"/>
        <w:jc w:val="left"/>
        <w:rPr>
          <w:rStyle w:val="17"/>
          <w:rFonts w:hint="eastAsia" w:ascii="仿宋" w:hAnsi="仿宋" w:eastAsia="仿宋" w:cs="Times New Roman"/>
          <w:color w:val="auto"/>
          <w:sz w:val="28"/>
          <w:szCs w:val="28"/>
          <w:u w:val="none"/>
          <w:lang w:val="en-US" w:eastAsia="zh-CN"/>
        </w:rPr>
      </w:pPr>
      <w:r>
        <w:rPr>
          <w:rFonts w:hint="eastAsia" w:ascii="仿宋" w:hAnsi="仿宋" w:eastAsia="仿宋" w:cs="仿宋"/>
          <w:color w:val="auto"/>
          <w:sz w:val="28"/>
          <w:szCs w:val="28"/>
          <w:highlight w:val="none"/>
        </w:rPr>
        <w:t>六、一般公共预算财政拨款基本支出决算情况说明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15</w:t>
      </w:r>
    </w:p>
    <w:p>
      <w:pPr>
        <w:pStyle w:val="13"/>
        <w:adjustRightInd w:val="0"/>
        <w:snapToGrid w:val="0"/>
        <w:spacing w:line="440" w:lineRule="exact"/>
        <w:jc w:val="left"/>
        <w:rPr>
          <w:rStyle w:val="17"/>
          <w:rFonts w:hint="eastAsia" w:ascii="仿宋" w:hAnsi="仿宋" w:eastAsia="仿宋" w:cs="Times New Roman"/>
          <w:color w:val="auto"/>
          <w:sz w:val="28"/>
          <w:szCs w:val="28"/>
          <w:u w:val="none"/>
          <w:lang w:val="en-US" w:eastAsia="zh-CN"/>
        </w:rPr>
      </w:pPr>
      <w:r>
        <w:rPr>
          <w:rFonts w:hint="eastAsia" w:ascii="仿宋" w:hAnsi="仿宋" w:eastAsia="仿宋" w:cs="仿宋"/>
          <w:color w:val="auto"/>
          <w:sz w:val="28"/>
          <w:szCs w:val="28"/>
          <w:highlight w:val="none"/>
        </w:rPr>
        <w:t>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三公”经费财政拨款支出决算情况说明</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16</w:t>
      </w:r>
    </w:p>
    <w:p>
      <w:pPr>
        <w:pStyle w:val="13"/>
        <w:adjustRightInd w:val="0"/>
        <w:snapToGrid w:val="0"/>
        <w:spacing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八、政府性基金预算支出决算情况说明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17</w:t>
      </w:r>
    </w:p>
    <w:p>
      <w:pPr>
        <w:pStyle w:val="13"/>
        <w:adjustRightInd w:val="0"/>
        <w:snapToGrid w:val="0"/>
        <w:spacing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九、国有资本经营预算支出决算情况说明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17</w:t>
      </w:r>
    </w:p>
    <w:p>
      <w:pPr>
        <w:pStyle w:val="13"/>
        <w:adjustRightInd w:val="0"/>
        <w:snapToGrid w:val="0"/>
        <w:spacing w:line="440" w:lineRule="exact"/>
        <w:jc w:val="left"/>
        <w:rPr>
          <w:rFonts w:hint="eastAsia" w:ascii="仿宋" w:hAnsi="仿宋" w:eastAsia="仿宋" w:cs="仿宋"/>
          <w:sz w:val="28"/>
          <w:szCs w:val="28"/>
          <w:lang w:val="en-US" w:eastAsia="zh-CN"/>
        </w:rPr>
      </w:pPr>
      <w:r>
        <w:rPr>
          <w:rFonts w:hint="eastAsia" w:ascii="仿宋" w:hAnsi="仿宋" w:eastAsia="仿宋" w:cs="仿宋"/>
          <w:color w:val="auto"/>
          <w:sz w:val="28"/>
          <w:szCs w:val="28"/>
          <w:highlight w:val="none"/>
        </w:rPr>
        <w:t>十、</w:t>
      </w:r>
      <w:r>
        <w:rPr>
          <w:rFonts w:hint="eastAsia" w:ascii="仿宋" w:hAnsi="仿宋" w:eastAsia="仿宋" w:cs="仿宋"/>
          <w:color w:val="auto"/>
          <w:sz w:val="28"/>
          <w:szCs w:val="28"/>
          <w:highlight w:val="none"/>
          <w:lang w:val="en-US" w:eastAsia="zh-CN"/>
        </w:rPr>
        <w:t>预算绩效管理情况</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17</w:t>
      </w:r>
    </w:p>
    <w:p>
      <w:pPr>
        <w:pStyle w:val="13"/>
        <w:adjustRightInd w:val="0"/>
        <w:snapToGrid w:val="0"/>
        <w:spacing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lang w:val="en-US" w:eastAsia="zh-CN"/>
        </w:rPr>
        <w:t>十一、</w:t>
      </w:r>
      <w:r>
        <w:rPr>
          <w:rFonts w:hint="eastAsia" w:ascii="仿宋" w:hAnsi="仿宋" w:eastAsia="仿宋" w:cs="仿宋"/>
          <w:color w:val="auto"/>
          <w:sz w:val="28"/>
          <w:szCs w:val="28"/>
          <w:highlight w:val="none"/>
        </w:rPr>
        <w:t>其他重要事项的情况说明</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18</w:t>
      </w:r>
    </w:p>
    <w:p>
      <w:pPr>
        <w:pStyle w:val="12"/>
        <w:adjustRightInd w:val="0"/>
        <w:snapToGrid w:val="0"/>
        <w:spacing w:before="0" w:line="440" w:lineRule="exact"/>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第三部分 名词解释</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19</w:t>
      </w:r>
    </w:p>
    <w:p>
      <w:pPr>
        <w:pStyle w:val="12"/>
        <w:adjustRightInd w:val="0"/>
        <w:snapToGrid w:val="0"/>
        <w:spacing w:before="0" w:line="440" w:lineRule="exact"/>
        <w:jc w:val="left"/>
        <w:rPr>
          <w:rStyle w:val="17"/>
          <w:rFonts w:hint="eastAsia" w:cs="Times New Roman"/>
          <w:color w:val="auto"/>
          <w:sz w:val="28"/>
          <w:szCs w:val="28"/>
          <w:u w:val="none"/>
          <w:lang w:val="en-US" w:eastAsia="zh-CN"/>
        </w:rPr>
      </w:pPr>
      <w:r>
        <w:rPr>
          <w:rFonts w:hint="eastAsia" w:ascii="仿宋" w:hAnsi="仿宋" w:eastAsia="仿宋" w:cs="仿宋"/>
          <w:color w:val="auto"/>
          <w:sz w:val="28"/>
          <w:szCs w:val="28"/>
          <w:highlight w:val="none"/>
        </w:rPr>
        <w:t>第四部分 附件</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23</w:t>
      </w:r>
    </w:p>
    <w:p>
      <w:pPr>
        <w:pStyle w:val="12"/>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第五部分 附表</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28</w:t>
      </w:r>
    </w:p>
    <w:p>
      <w:pPr>
        <w:pStyle w:val="12"/>
        <w:adjustRightInd w:val="0"/>
        <w:snapToGrid w:val="0"/>
        <w:spacing w:before="0" w:line="440" w:lineRule="exact"/>
        <w:ind w:firstLine="560" w:firstLineChars="200"/>
        <w:jc w:val="left"/>
        <w:rPr>
          <w:rStyle w:val="17"/>
          <w:rFonts w:hint="eastAsia" w:cs="Times New Roman"/>
          <w:color w:val="auto"/>
          <w:sz w:val="28"/>
          <w:szCs w:val="28"/>
          <w:u w:val="none"/>
          <w:lang w:val="en-US" w:eastAsia="zh-CN"/>
        </w:rPr>
      </w:pPr>
      <w:r>
        <w:rPr>
          <w:rFonts w:hint="eastAsia" w:ascii="仿宋" w:hAnsi="仿宋" w:eastAsia="仿宋" w:cs="仿宋"/>
          <w:color w:val="auto"/>
          <w:sz w:val="28"/>
          <w:szCs w:val="28"/>
          <w:highlight w:val="none"/>
        </w:rPr>
        <w:t>一、收入支出决算总表</w:t>
      </w:r>
      <w:r>
        <w:rPr>
          <w:rFonts w:hint="eastAsia"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28</w:t>
      </w:r>
    </w:p>
    <w:p>
      <w:pPr>
        <w:pStyle w:val="12"/>
        <w:adjustRightInd w:val="0"/>
        <w:snapToGrid w:val="0"/>
        <w:spacing w:before="0" w:line="44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二、收入决算表</w:t>
      </w:r>
      <w:r>
        <w:rPr>
          <w:rFonts w:hint="eastAsia"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cs="Times New Roman"/>
          <w:color w:val="auto"/>
          <w:sz w:val="28"/>
          <w:szCs w:val="28"/>
          <w:u w:val="none"/>
          <w:lang w:val="en-US" w:eastAsia="zh-CN"/>
        </w:rPr>
        <w:t>28</w:t>
      </w:r>
    </w:p>
    <w:p>
      <w:pPr>
        <w:pStyle w:val="13"/>
        <w:adjustRightInd w:val="0"/>
        <w:snapToGrid w:val="0"/>
        <w:spacing w:line="440" w:lineRule="exact"/>
        <w:ind w:left="0" w:leftChars="0" w:firstLine="560" w:firstLineChars="200"/>
        <w:jc w:val="left"/>
        <w:rPr>
          <w:rStyle w:val="17"/>
          <w:rFonts w:hint="default" w:cs="Times New Roman" w:asciiTheme="minorHAnsi" w:hAnsiTheme="minorHAnsi" w:eastAsiaTheme="minorEastAsia"/>
          <w:color w:val="auto"/>
          <w:kern w:val="2"/>
          <w:sz w:val="28"/>
          <w:szCs w:val="28"/>
          <w:u w:val="single"/>
          <w:lang w:val="en-US" w:eastAsia="zh-CN" w:bidi="ar-SA"/>
        </w:rPr>
      </w:pPr>
      <w:r>
        <w:rPr>
          <w:rFonts w:hint="eastAsia" w:ascii="仿宋" w:hAnsi="仿宋" w:eastAsia="仿宋" w:cs="仿宋"/>
          <w:color w:val="auto"/>
          <w:sz w:val="28"/>
          <w:szCs w:val="28"/>
          <w:highlight w:val="none"/>
        </w:rPr>
        <w:t>三、支出决算表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Times New Roman"/>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四、财政拨款收入支出决算总表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五、财政拨款支出决算明细表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六、一般公共预算财政拨款支出决算表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七、一般公共预算财政拨款支出决算明细表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八、一般公共预算财政拨款基本支出决算表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九、一般公共预算财政拨款项目支出决算表</w:t>
      </w:r>
      <w:r>
        <w:rPr>
          <w:rFonts w:hint="eastAsia" w:ascii="仿宋" w:hAnsi="仿宋" w:eastAsia="仿宋" w:cs="仿宋"/>
          <w:color w:val="auto"/>
          <w:sz w:val="28"/>
          <w:szCs w:val="28"/>
          <w:highlight w:val="none"/>
          <w:lang w:val="en-US" w:eastAsia="zh-CN"/>
        </w:rPr>
        <w:t xml:space="preserve"> </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十、一般公共预算财政拨款“三公”经费支出决算表</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十一、政府性基金预算财政拨款收入支出决算表</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十二、政府性基金预算财政拨款“三公”经费支出决算表</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十三、国有资本经营预算</w:t>
      </w:r>
      <w:r>
        <w:rPr>
          <w:rFonts w:hint="eastAsia" w:ascii="仿宋" w:hAnsi="仿宋" w:eastAsia="仿宋" w:cs="仿宋"/>
          <w:color w:val="auto"/>
          <w:sz w:val="28"/>
          <w:szCs w:val="28"/>
          <w:highlight w:val="none"/>
          <w:lang w:eastAsia="zh-CN"/>
        </w:rPr>
        <w:t>财政拨款收入</w:t>
      </w:r>
      <w:r>
        <w:rPr>
          <w:rFonts w:hint="eastAsia" w:ascii="仿宋" w:hAnsi="仿宋" w:eastAsia="仿宋" w:cs="仿宋"/>
          <w:color w:val="auto"/>
          <w:sz w:val="28"/>
          <w:szCs w:val="28"/>
          <w:highlight w:val="none"/>
        </w:rPr>
        <w:t>支出决算表</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十四、国有资本经营预算财政拨款支出决算表</w:t>
      </w:r>
      <w:r>
        <w:rPr>
          <w:rStyle w:val="17"/>
          <w:rFonts w:hint="eastAsia" w:ascii="仿宋" w:hAnsi="仿宋" w:eastAsia="仿宋" w:cs="Times New Roman"/>
          <w:color w:val="auto"/>
          <w:sz w:val="28"/>
          <w:szCs w:val="28"/>
          <w:u w:val="none"/>
          <w:lang w:eastAsia="zh-CN"/>
        </w:rPr>
        <w:t>…………………</w:t>
      </w:r>
      <w:r>
        <w:rPr>
          <w:rStyle w:val="17"/>
          <w:rFonts w:hint="eastAsia" w:ascii="仿宋" w:hAnsi="仿宋" w:eastAsia="仿宋" w:cs="仿宋"/>
          <w:color w:val="auto"/>
          <w:sz w:val="28"/>
          <w:szCs w:val="28"/>
          <w:u w:val="none"/>
          <w:lang w:val="en-US" w:eastAsia="zh-CN"/>
        </w:rPr>
        <w:t>28</w:t>
      </w:r>
    </w:p>
    <w:p>
      <w:pPr>
        <w:pStyle w:val="13"/>
        <w:adjustRightInd w:val="0"/>
        <w:snapToGrid w:val="0"/>
        <w:spacing w:line="440" w:lineRule="exact"/>
        <w:jc w:val="left"/>
        <w:rPr>
          <w:rFonts w:hint="eastAsia" w:ascii="仿宋" w:hAnsi="仿宋" w:eastAsia="仿宋" w:cs="仿宋"/>
          <w:color w:val="auto"/>
          <w:sz w:val="28"/>
          <w:szCs w:val="28"/>
          <w:highlight w:val="none"/>
          <w:lang w:val="en-US" w:eastAsia="zh-CN"/>
        </w:rPr>
      </w:pPr>
    </w:p>
    <w:p>
      <w:pPr>
        <w:widowControl/>
        <w:adjustRightInd w:val="0"/>
        <w:snapToGrid w:val="0"/>
        <w:spacing w:line="440" w:lineRule="exact"/>
        <w:ind w:firstLine="1540" w:firstLineChars="550"/>
        <w:jc w:val="left"/>
        <w:rPr>
          <w:rFonts w:hint="eastAsia" w:ascii="仿宋" w:hAnsi="仿宋" w:eastAsia="仿宋" w:cs="仿宋"/>
          <w:color w:val="auto"/>
          <w:sz w:val="28"/>
          <w:szCs w:val="28"/>
          <w:highlight w:val="none"/>
        </w:rPr>
      </w:pP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4"/>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pStyle w:val="5"/>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7"/>
          <w:rFonts w:hint="eastAsia" w:ascii="黑体" w:hAnsi="黑体" w:eastAsia="黑体"/>
          <w:b w:val="0"/>
          <w:bCs w:val="0"/>
          <w:color w:val="auto"/>
          <w:highlight w:val="none"/>
          <w:lang w:eastAsia="zh-CN"/>
        </w:rPr>
      </w:pPr>
      <w:bookmarkStart w:id="14" w:name="_Toc15377197"/>
      <w:bookmarkStart w:id="15" w:name="_Toc15396600"/>
      <w:r>
        <w:rPr>
          <w:rStyle w:val="27"/>
          <w:rFonts w:hint="eastAsia" w:ascii="黑体" w:hAnsi="黑体" w:eastAsia="黑体"/>
          <w:b w:val="0"/>
          <w:bCs w:val="0"/>
          <w:color w:val="auto"/>
          <w:highlight w:val="none"/>
          <w:lang w:eastAsia="zh-CN"/>
        </w:rPr>
        <w:t>一、</w:t>
      </w:r>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p>
    <w:p>
      <w:pPr>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贯彻执行党和国家有关文化、旅游、体育、广播电视和文物工作的方针政策和法律法规，拟订相关政策措施并组织实施，负责本部门依法行政工作。制定文化旅游体育产业发展的地方标准和行业规范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组织推动全区文化事业、文化产业、旅游业、体育事业、体育产业、广播电视事业和文物事业发展，拟订发展规划并组织实施。统筹推进生态康养旅游强区建设工作，推进全域旅游。推进文化、旅游和体育体制机制改革，推进文化、旅游、体育融合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3.管理全区性重大文化、旅游、体育、广播电视和文物活动，指导推进相关设施建设。</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实施全民健身计划，指导并开展群众性体育活动，实施国家体育锻炼标准，开展国民体质监测，加强幼儿体育、青少年体育、农民体育、老年体育工作。制定全区竞技体育发展目标和运动项目规划，加强业余体校的建立建设。加强体育公共管理服务职责，促进体育公共服务均衡发展。执行、拟订体育产业发展政策，培育体育消费市场。加强体育社团组织、体育培训、健身经营机构的监督管理和业务指导。</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指导管理文化艺术事业，推动艺术创作生产，扶持体现社会主义核心价值观、具有导向性代表性示范性的文艺作品，推动各门类艺术、各艺术品种发展，推动中华优秀传统文化、三国文化和昭化特色文化传承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负责公共文化和广播电视事业发展，推进全区公共文化和广播电视服务体系建设、旅游公共服务建设和体育服务体系建设，深入实施文化、旅游、体育和广播电视惠民工程，统筹推进基本公共服务标准化、均等化。</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组织实施文化、旅游和体育资源普查、挖掘、保护与利用工作，监测文化旅游体育经济运行，促进文化、旅游、体育和广播电视产业发展。推进文化、旅游、体育和广播电视科技创新发展，推进文化、旅游、体育和广播电视行业信息化、标准化建设。负责文化、旅游、体育和广播电视科技教育培训和人才培养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8.负责非物质文化遗产保护，推动非物质文化遗产的保护、传承、普及、弘扬和振兴。</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管理和指导全区文物保护利用与考古工作，组织文物资源调查。负责组织遴选、申报区级（含区级）以上文物保护单位，指导地方文物保护单位申报等工作。推动全区文物和博物馆公共服务体系建设，指导监督博物馆和社会文物工作。组织实施申遗及管理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10.指导文化、旅游、体育和广播电视市场发展，对文化、旅游、体育和广播电视市场进行行业监管，推进文化、旅游、体育和广播电视行业信用体系建设，依法规范文化、旅游、体育和广播电视市场。</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11.负责文化、旅游、体育、广播电视和文物系统安全生产工作的综合协调与监督管理，对广播电视和文物系统、文化旅</w:t>
      </w:r>
      <w:r>
        <w:rPr>
          <w:rFonts w:hint="eastAsia" w:asci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游园区、体育场馆、新业态安全生产和职业健康工作实施行业监督管理。制定职责范围内的安全生产年度监督检查计划并组织实施。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12.指导全区文化、旅游、体育、广播电视市场综合执法工作，组织查处辖区内文化、旅游、体育、广播电视和文物等市场的违法行为，加强行业监管和督查督办，维护市场秩序。</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13.制订全区文化旅游体育客源市场开发战略并组织实施，组织昭化整体文化旅游体育形象的对外宣传和重大推广活动。</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指导全区广播电视宣传和创作题材规划，监督管理全区广播电视节目、信息网络视听节目和公共视听载体播放的视听节目，审查其内容和质量，负责全区广播电视节目的进口和收录管理。负责推进广播电视与新媒体新技术新业态融合发展，推进广电网与电信网、互联网三网融合。</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15.负责对各类广播电视机构进行业务指导和行业监管，会同有关部门对网络视听节目服务机构进行管理。指导全区广播电视科技工作，负责全区广播电视节目传输、监测、安全播出和广播电视、信息网络视听节目服务机构及业务的监管，指导对从事广播电视节目制作民办机构的监管工作。</w:t>
      </w:r>
    </w:p>
    <w:p>
      <w:pPr>
        <w:spacing w:line="576" w:lineRule="exact"/>
        <w:ind w:firstLine="640" w:firstLineChars="200"/>
        <w:outlineLvl w:val="1"/>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16.负责职责范围内的生态环境保护、审批服务便民化等工作。</w:t>
      </w:r>
    </w:p>
    <w:p>
      <w:pPr>
        <w:spacing w:line="576" w:lineRule="exact"/>
        <w:ind w:firstLine="640" w:firstLineChars="200"/>
        <w:outlineLvl w:val="1"/>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17.完成区委、区政府交办的其他任务。</w:t>
      </w:r>
    </w:p>
    <w:p>
      <w:pPr>
        <w:pStyle w:val="5"/>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区文旅体局无</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p>
    <w:p>
      <w:pPr>
        <w:pStyle w:val="5"/>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三、2021年重点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加强品牌创建工作。成功入选第三批天府旅游名县候选县，栖凤峡生态旅游区申报省级生态旅游示范区并通过资源评审。成功创建昭化药博园、栖凤峡旅游区国家3A级旅游景区2个，昭化药博园成功创建为省级中医药健康旅游示范基地。昭化古城荣获世界研学旅游组织合作认证基地，被评为市级研学旅游示范基地。桃博园被评为四川研学实践系列标准全域研学试点基（营）地。昭化镇入选首批省级乡村文化振兴样板镇和省级乡村旅游重点镇名单，元坝镇拣银岩村、昭化镇朝阳村、柏林沟镇向阳村入选省级</w:t>
      </w:r>
      <w:r>
        <w:rPr>
          <w:rFonts w:hint="eastAsia" w:ascii="仿宋_GB2312" w:eastAsia="仿宋_GB2312" w:cs="仿宋_GB2312"/>
          <w:i w:val="0"/>
          <w:caps w:val="0"/>
          <w:color w:val="333333"/>
          <w:spacing w:val="0"/>
          <w:kern w:val="0"/>
          <w:sz w:val="32"/>
          <w:szCs w:val="32"/>
          <w:shd w:val="clear" w:color="auto" w:fill="FFFFFF"/>
          <w:lang w:val="en-US" w:eastAsia="zh-CN" w:bidi="ar"/>
        </w:rPr>
        <w:t>乡</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村旅游重点村名单。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旅游业态创新融合。完成《葭萌春秋》3.0版改版升级，推出昭化古城版《雨巷》，受到市场广泛好评。完成昭化古城“马战”项目,成立广元市马术运动协会，组建昭化马术俱乐部，完成中军帐景点提升改造。建成平乐多彩水世界，尖锋·四季旱雪场、雅健·半山星宿实现对外营业，新增天空之境等一批网红打卡点。建成柏林湖翠竹长廊、水上乐园，打造《柏林·夜岚谣》沉浸式真人游戏剧，游客参与度、体验感显著提升。</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公共文化服务水平不断提升。区文化馆被评为国家二级馆，区图书馆升级改造建设即将完成，文化馆、图书馆、28个文化站、126个村文化室（文化院坝）、24个社区文化服务中心，150个村（社区）综合文化服务中心和229个农家书屋实现全部免费开放。完成区级应急平台升级，建成全覆盖、全方位、系统化，集应急发布、政策宣传、便民服务等功能为一体的应急广播体系，充分发挥应急广播宣传平台作用，助力文化惠民与乡村振兴。</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文化活动精彩纷呈。举办了“唱支山歌给党听”群众歌咏活动、“百年辉煌·锦绣昭化”美术书法摄影展、“百年伟业·红色记忆”歌咏比赛、“永远跟党走·万人踏歌行”等庆祝中国共产党成立100周年群众文艺活动。开展“送文化下乡”等群众文化活动90余场次，指导各镇开展文化活动30余场。</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创新宣传营销，发展节会经济。开展春季赏花踏青、夏季纳凉避暑、“走蜀道、观马战”等特色文旅活动，成功举办药博园开园仪式、柏林古镇蓝莓采摘节、桃博园脆桃采摘节、平乐荷花节、广元女儿节万人相亲大会等节庆活动13 次。抢抓东西部协作机遇，加强与杭州拱墅区交流协作，进行昭化古城、柏林古镇疗休养基地推介，开展2021年“拱墅·昭化”东西部文旅协作文化走亲活动，促进杭州疗休养基地项目落地。充分利用大蜀道文化旅游发展联盟平台、陕甘川宁毗邻地区文化旅游发展联盟平台，持续做好陕甘川宁优惠政策发布，实现区域联动、资源共享、客源互推。开展文旅宣传推介活动。组织景区、涉旅企业参加2021渝北区文化旅游惠民消费季（春）活动、2021西安丝绸之路国际旅游博览会等活动8次。</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6.全民健身活动蓬勃发展。承办长隆·2021华蒙星第六届幼儿篮球嘉年华（广元·昭化站）活动、广元市第三届运动会成年组羽毛球比赛、“川体集团杯”四川省第三届全民健身运动会暨“我要上全运” 社区运动会柔力球比赛等大型赛事活动。组织187名运动员参加广元市第三届运动会老年组、成年组共17个项目的比赛，取得市运会参赛历史最好成绩。</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文化市场平安有序。区文化市场综合行政执法大队针对旅游景区、文化娱乐场所等行业场所巡查93家次，出动执法人员186人次，对14家问题业主给予警告，并督促限期完成整改，文旅市场服务质量全面提升。全年无文化旅游安全事故和重大文化和旅游投诉案件，投诉处理结案率达 100%。</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重点工作卓有成效。2021年包装储备文旅项目8个，总投资188.8亿元；市级文旅重点项目（大蜀道昭化段文旅融合项目）完成投资1.31亿元，省文旅发展重点项目（昭化古城旅游度假区一期）完成投资6.51亿元；招商引资新签约项目9个，到位资金16亿元；完成固定资产投资5.4亿元，成功争取项目资金3784.9万元。培育广元卡尔农业有限公司为规上企业，全区现有2家文旅行业规上企业。2021 年全区规上文化体育和娱乐业综合营收1909.4万元，同比增速达80.5%，劳动工资总额增长速度为33.24%。</w:t>
      </w:r>
    </w:p>
    <w:p>
      <w:pPr>
        <w:pStyle w:val="4"/>
        <w:ind w:right="440"/>
        <w:jc w:val="center"/>
        <w:rPr>
          <w:rStyle w:val="26"/>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4946.88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7077.77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58.86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项目资金收入减少。</w:t>
      </w:r>
    </w:p>
    <w:p>
      <w:pPr>
        <w:pStyle w:val="2"/>
        <w:rPr>
          <w:rFonts w:hint="eastAsia" w:ascii="仿宋" w:hAnsi="仿宋" w:eastAsia="仿宋"/>
          <w:color w:val="auto"/>
          <w:sz w:val="32"/>
          <w:szCs w:val="32"/>
          <w:highlight w:val="none"/>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jc w:val="center"/>
        <w:rPr>
          <w:rFonts w:hint="eastAsia"/>
          <w:lang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4946.88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4908.47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99.22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；政府性基金预算财政拨款</w:t>
      </w:r>
      <w:r>
        <w:rPr>
          <w:rFonts w:hint="eastAsia" w:ascii="仿宋" w:hAnsi="仿宋" w:eastAsia="仿宋"/>
          <w:color w:val="auto"/>
          <w:sz w:val="32"/>
          <w:szCs w:val="32"/>
          <w:highlight w:val="none"/>
          <w:lang w:val="en-US" w:eastAsia="zh-CN"/>
        </w:rPr>
        <w:t>38.41万元，占0.78%</w:t>
      </w:r>
      <w:r>
        <w:rPr>
          <w:rFonts w:hint="eastAsia" w:ascii="仿宋" w:hAnsi="仿宋" w:eastAsia="仿宋"/>
          <w:color w:val="auto"/>
          <w:sz w:val="32"/>
          <w:szCs w:val="32"/>
          <w:highlight w:val="none"/>
        </w:rPr>
        <w:t>。</w:t>
      </w:r>
    </w:p>
    <w:p>
      <w:pPr>
        <w:pStyle w:val="7"/>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4946.88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491.82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4455.06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7"/>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4946.88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bookmarkStart w:id="26" w:name="_Toc15377209"/>
      <w:bookmarkStart w:id="27" w:name="_Toc15396607"/>
      <w:r>
        <w:rPr>
          <w:rFonts w:hint="eastAsia" w:ascii="仿宋" w:hAnsi="仿宋" w:eastAsia="仿宋"/>
          <w:color w:val="auto"/>
          <w:sz w:val="32"/>
          <w:szCs w:val="32"/>
          <w:highlight w:val="none"/>
          <w:lang w:val="en-US" w:eastAsia="zh-CN"/>
        </w:rPr>
        <w:t>7077.77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58.86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项目资金收入减少。</w:t>
      </w:r>
    </w:p>
    <w:p>
      <w:pPr>
        <w:pStyle w:val="7"/>
        <w:jc w:val="center"/>
        <w:rPr>
          <w:rFonts w:hint="eastAsia"/>
        </w:rPr>
      </w:pP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4908.47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1579.13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47.43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一般公共预算项目资金增加。</w:t>
      </w:r>
    </w:p>
    <w:p>
      <w:pPr>
        <w:pStyle w:val="7"/>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4908.47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cs="Times New Roman"/>
          <w:color w:val="auto"/>
          <w:sz w:val="32"/>
          <w:szCs w:val="32"/>
          <w:highlight w:val="none"/>
          <w:lang w:val="en-US" w:eastAsia="zh-CN"/>
        </w:rPr>
        <w:t>支出4653.71万元，占94.8%；</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eastAsia="zh-CN"/>
        </w:rPr>
        <w:t>（类）</w:t>
      </w:r>
      <w:r>
        <w:rPr>
          <w:rFonts w:hint="eastAsia" w:ascii="仿宋" w:hAnsi="仿宋" w:eastAsia="仿宋"/>
          <w:color w:val="auto"/>
          <w:sz w:val="32"/>
          <w:szCs w:val="32"/>
          <w:highlight w:val="none"/>
          <w:lang w:val="en-US" w:eastAsia="zh-CN"/>
        </w:rPr>
        <w:t>21.08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农林水支出（类）</w:t>
      </w:r>
      <w:r>
        <w:rPr>
          <w:rFonts w:hint="eastAsia" w:ascii="仿宋" w:hAnsi="仿宋" w:eastAsia="仿宋"/>
          <w:color w:val="auto"/>
          <w:sz w:val="32"/>
          <w:szCs w:val="32"/>
          <w:highlight w:val="none"/>
          <w:lang w:val="en-US" w:eastAsia="zh-CN"/>
        </w:rPr>
        <w:t>150万元，占3.06%；</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eastAsia="zh-CN"/>
        </w:rPr>
        <w:t>（类）</w:t>
      </w:r>
      <w:r>
        <w:rPr>
          <w:rFonts w:hint="eastAsia" w:ascii="仿宋" w:hAnsi="仿宋" w:eastAsia="仿宋"/>
          <w:color w:val="auto"/>
          <w:sz w:val="32"/>
          <w:szCs w:val="32"/>
          <w:highlight w:val="none"/>
          <w:lang w:val="en-US" w:eastAsia="zh-CN"/>
        </w:rPr>
        <w:t>42.18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4908.47</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w:t>
      </w:r>
      <w:r>
        <w:rPr>
          <w:rStyle w:val="16"/>
          <w:rFonts w:hint="eastAsia" w:ascii="仿宋" w:hAnsi="仿宋" w:eastAsia="仿宋"/>
          <w:bCs/>
          <w:color w:val="000000"/>
          <w:sz w:val="32"/>
          <w:szCs w:val="32"/>
          <w:lang w:eastAsia="zh-CN"/>
        </w:rPr>
        <w:t>决算数等于预算数</w:t>
      </w:r>
      <w:r>
        <w:rPr>
          <w:rStyle w:val="16"/>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行政运行</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387.06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420" w:firstLineChars="200"/>
        <w:rPr>
          <w:rStyle w:val="16"/>
          <w:rFonts w:hint="eastAsia" w:ascii="仿宋" w:hAnsi="仿宋" w:eastAsia="仿宋"/>
          <w:b w:val="0"/>
          <w:bCs/>
          <w:color w:val="auto"/>
          <w:sz w:val="32"/>
          <w:szCs w:val="32"/>
          <w:highlight w:val="none"/>
        </w:rPr>
      </w:pPr>
      <w:r>
        <w:rPr>
          <w:rFonts w:hint="eastAsia"/>
          <w:lang w:val="en-US" w:eastAsia="zh-CN"/>
        </w:rPr>
        <w:t xml:space="preserve">   </w:t>
      </w:r>
      <w:r>
        <w:rPr>
          <w:rStyle w:val="16"/>
          <w:rFonts w:hint="eastAsia" w:ascii="仿宋" w:hAnsi="仿宋" w:eastAsia="仿宋"/>
          <w:bCs/>
          <w:color w:val="auto"/>
          <w:sz w:val="32"/>
          <w:szCs w:val="32"/>
          <w:highlight w:val="none"/>
          <w:lang w:val="en-US" w:eastAsia="zh-CN"/>
        </w:rPr>
        <w:t>2.</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旅游宣传</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3.</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文化和旅游管理事务</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60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4.</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其他文化和旅游支出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3977.26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文物</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文物保护</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6.</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体育</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体育场馆</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7.</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体育</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群众体育</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Cs/>
          <w:color w:val="auto"/>
          <w:sz w:val="32"/>
          <w:szCs w:val="32"/>
          <w:highlight w:val="none"/>
          <w:lang w:val="en-US" w:eastAsia="zh-CN"/>
        </w:rPr>
      </w:pPr>
      <w:r>
        <w:rPr>
          <w:rStyle w:val="16"/>
          <w:rFonts w:hint="eastAsia" w:ascii="仿宋" w:hAnsi="仿宋" w:eastAsia="仿宋"/>
          <w:bCs/>
          <w:color w:val="auto"/>
          <w:sz w:val="32"/>
          <w:szCs w:val="32"/>
          <w:highlight w:val="none"/>
          <w:lang w:val="en-US" w:eastAsia="zh-CN"/>
        </w:rPr>
        <w:t>8.</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体育</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其他体育支出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0.48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9.</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广播电视</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其他广播电视支出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131.91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10.</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其他文化旅游体育与传媒支出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其他文化旅游体育与传媒支出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11</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w:t>
      </w:r>
      <w:r>
        <w:rPr>
          <w:rStyle w:val="16"/>
          <w:rFonts w:hint="eastAsia" w:ascii="仿宋" w:hAnsi="仿宋" w:eastAsia="仿宋"/>
          <w:bCs/>
          <w:color w:val="auto"/>
          <w:sz w:val="32"/>
          <w:szCs w:val="32"/>
          <w:highlight w:val="none"/>
          <w:lang w:eastAsia="zh-CN"/>
        </w:rPr>
        <w:t>支出</w:t>
      </w:r>
      <w:r>
        <w:rPr>
          <w:rStyle w:val="16"/>
          <w:rFonts w:hint="eastAsia" w:ascii="仿宋" w:hAnsi="仿宋" w:eastAsia="仿宋"/>
          <w:bCs/>
          <w:color w:val="auto"/>
          <w:sz w:val="32"/>
          <w:szCs w:val="32"/>
          <w:highlight w:val="none"/>
        </w:rPr>
        <w:t>（类）行政事业单位养老支出（款）机关事业单位基本养老保险缴费支出（项）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39.68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12.</w:t>
      </w:r>
      <w:r>
        <w:rPr>
          <w:rStyle w:val="16"/>
          <w:rFonts w:hint="eastAsia" w:ascii="仿宋" w:hAnsi="仿宋" w:eastAsia="仿宋"/>
          <w:bCs/>
          <w:color w:val="auto"/>
          <w:sz w:val="32"/>
          <w:szCs w:val="32"/>
          <w:highlight w:val="none"/>
        </w:rPr>
        <w:t>社会保障和就业</w:t>
      </w:r>
      <w:r>
        <w:rPr>
          <w:rStyle w:val="16"/>
          <w:rFonts w:hint="eastAsia" w:ascii="仿宋" w:hAnsi="仿宋" w:eastAsia="仿宋"/>
          <w:bCs/>
          <w:color w:val="auto"/>
          <w:sz w:val="32"/>
          <w:szCs w:val="32"/>
          <w:highlight w:val="none"/>
          <w:lang w:eastAsia="zh-CN"/>
        </w:rPr>
        <w:t>支出</w:t>
      </w:r>
      <w:r>
        <w:rPr>
          <w:rStyle w:val="16"/>
          <w:rFonts w:hint="eastAsia" w:ascii="仿宋" w:hAnsi="仿宋" w:eastAsia="仿宋"/>
          <w:bCs/>
          <w:color w:val="auto"/>
          <w:sz w:val="32"/>
          <w:szCs w:val="32"/>
          <w:highlight w:val="none"/>
        </w:rPr>
        <w:t>（类）其他社会保障和就业支出（款）其他社会保障和就业支出（项）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1.82</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13</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6"/>
          <w:rFonts w:hint="eastAsia" w:ascii="仿宋" w:hAnsi="仿宋" w:eastAsia="仿宋"/>
          <w:bCs/>
          <w:color w:val="auto"/>
          <w:sz w:val="32"/>
          <w:szCs w:val="32"/>
          <w:highlight w:val="none"/>
        </w:rPr>
        <w:t>（类）行政事业单位医疗（款）行政单位医疗（项）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12.87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14</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6"/>
          <w:rFonts w:hint="eastAsia" w:ascii="仿宋" w:hAnsi="仿宋" w:eastAsia="仿宋"/>
          <w:bCs/>
          <w:color w:val="auto"/>
          <w:sz w:val="32"/>
          <w:szCs w:val="32"/>
          <w:highlight w:val="none"/>
        </w:rPr>
        <w:t>（类）行政事业单位医疗（款）</w:t>
      </w:r>
      <w:r>
        <w:rPr>
          <w:rStyle w:val="16"/>
          <w:rFonts w:hint="eastAsia" w:ascii="仿宋" w:hAnsi="仿宋" w:eastAsia="仿宋"/>
          <w:bCs/>
          <w:color w:val="auto"/>
          <w:sz w:val="32"/>
          <w:szCs w:val="32"/>
          <w:highlight w:val="none"/>
          <w:lang w:eastAsia="zh-CN"/>
        </w:rPr>
        <w:t>事业</w:t>
      </w:r>
      <w:r>
        <w:rPr>
          <w:rStyle w:val="16"/>
          <w:rFonts w:hint="eastAsia" w:ascii="仿宋" w:hAnsi="仿宋" w:eastAsia="仿宋"/>
          <w:bCs/>
          <w:color w:val="auto"/>
          <w:sz w:val="32"/>
          <w:szCs w:val="32"/>
          <w:highlight w:val="none"/>
        </w:rPr>
        <w:t>单位医疗（项）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8.21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15</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农林水支出</w:t>
      </w:r>
      <w:r>
        <w:rPr>
          <w:rStyle w:val="16"/>
          <w:rFonts w:hint="eastAsia" w:ascii="仿宋" w:hAnsi="仿宋" w:eastAsia="仿宋"/>
          <w:bCs/>
          <w:color w:val="auto"/>
          <w:sz w:val="32"/>
          <w:szCs w:val="32"/>
          <w:highlight w:val="none"/>
        </w:rPr>
        <w:t>（类）扶贫（款）</w:t>
      </w:r>
      <w:r>
        <w:rPr>
          <w:rStyle w:val="16"/>
          <w:rFonts w:hint="eastAsia" w:ascii="仿宋" w:hAnsi="仿宋" w:eastAsia="仿宋"/>
          <w:bCs/>
          <w:color w:val="auto"/>
          <w:sz w:val="32"/>
          <w:szCs w:val="32"/>
          <w:highlight w:val="none"/>
          <w:lang w:eastAsia="zh-CN"/>
        </w:rPr>
        <w:t>其他扶贫支出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150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Style w:val="16"/>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16.</w:t>
      </w:r>
      <w:r>
        <w:rPr>
          <w:rFonts w:hint="eastAsia" w:ascii="仿宋" w:hAnsi="仿宋" w:eastAsia="仿宋"/>
          <w:b/>
          <w:bCs/>
          <w:color w:val="auto"/>
          <w:sz w:val="32"/>
          <w:szCs w:val="32"/>
          <w:highlight w:val="none"/>
        </w:rPr>
        <w:t>住房保障支出</w:t>
      </w:r>
      <w:r>
        <w:rPr>
          <w:rStyle w:val="16"/>
          <w:rFonts w:hint="eastAsia" w:ascii="仿宋" w:hAnsi="仿宋" w:eastAsia="仿宋"/>
          <w:bCs/>
          <w:color w:val="auto"/>
          <w:sz w:val="32"/>
          <w:szCs w:val="32"/>
          <w:highlight w:val="none"/>
        </w:rPr>
        <w:t>（类）住房改革支出（款）</w:t>
      </w:r>
      <w:r>
        <w:rPr>
          <w:rStyle w:val="16"/>
          <w:rFonts w:hint="eastAsia" w:ascii="仿宋" w:hAnsi="仿宋" w:eastAsia="仿宋"/>
          <w:bCs/>
          <w:color w:val="auto"/>
          <w:sz w:val="32"/>
          <w:szCs w:val="32"/>
          <w:highlight w:val="none"/>
          <w:lang w:eastAsia="zh-CN"/>
        </w:rPr>
        <w:t>住房公积金</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42.18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7"/>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491.82</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448.02</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137.94万元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61.37万元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7.06万元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41.74万元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39.68万元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21.08万元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1.82万元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42.18万元、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76万元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19.1万元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0.05万元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43.8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6.35万元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2.6万元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0.35万元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6.42万元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5.4万元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4.96万元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17.72万元</w:t>
      </w:r>
      <w:r>
        <w:rPr>
          <w:rFonts w:hint="eastAsia" w:ascii="仿宋" w:hAnsi="仿宋" w:eastAsia="仿宋"/>
          <w:color w:val="auto"/>
          <w:sz w:val="32"/>
          <w:szCs w:val="32"/>
          <w:highlight w:val="none"/>
        </w:rPr>
        <w:t>。</w:t>
      </w:r>
    </w:p>
    <w:p>
      <w:pPr>
        <w:spacing w:line="600" w:lineRule="exact"/>
        <w:ind w:firstLine="640"/>
        <w:outlineLvl w:val="1"/>
        <w:rPr>
          <w:rStyle w:val="27"/>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rPr>
        <w:t>预算数</w:t>
      </w:r>
      <w:r>
        <w:rPr>
          <w:rFonts w:hint="eastAsia" w:ascii="仿宋" w:hAnsi="仿宋" w:eastAsia="仿宋"/>
          <w:color w:val="auto"/>
          <w:sz w:val="32"/>
          <w:szCs w:val="32"/>
          <w:highlight w:val="none"/>
          <w:lang w:eastAsia="zh-CN"/>
        </w:rPr>
        <w:t>持平</w:t>
      </w:r>
      <w:r>
        <w:rPr>
          <w:rFonts w:hint="eastAsia" w:ascii="仿宋" w:hAnsi="仿宋" w:eastAsia="仿宋"/>
          <w:color w:val="auto"/>
          <w:sz w:val="32"/>
          <w:szCs w:val="32"/>
          <w:highlight w:val="none"/>
        </w:rPr>
        <w:t>的主要原因是</w:t>
      </w:r>
      <w:r>
        <w:rPr>
          <w:rFonts w:hint="eastAsia" w:ascii="仿宋" w:hAnsi="仿宋" w:eastAsia="仿宋"/>
          <w:color w:val="000000"/>
          <w:sz w:val="32"/>
          <w:szCs w:val="32"/>
          <w:lang w:val="en-US" w:eastAsia="zh-CN"/>
        </w:rPr>
        <w:t>厉行节约及严格控制经费支出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w:t>
      </w:r>
      <w:r>
        <w:rPr>
          <w:rFonts w:hint="eastAsia" w:ascii="仿宋" w:hAnsi="仿宋" w:eastAsia="仿宋"/>
          <w:color w:val="000000"/>
          <w:sz w:val="32"/>
          <w:szCs w:val="32"/>
        </w:rPr>
        <w:t>本单位未发生因公出国（境）费和公务用车购置及运行维护费，当年未安排</w:t>
      </w:r>
      <w:r>
        <w:rPr>
          <w:rFonts w:hint="eastAsia" w:ascii="仿宋" w:hAnsi="仿宋" w:eastAsia="仿宋"/>
          <w:color w:val="000000"/>
          <w:sz w:val="32"/>
          <w:szCs w:val="32"/>
          <w:lang w:eastAsia="zh-CN"/>
        </w:rPr>
        <w:t>预算</w:t>
      </w:r>
      <w:r>
        <w:rPr>
          <w:rFonts w:hint="eastAsia" w:ascii="仿宋" w:hAnsi="仿宋" w:eastAsia="仿宋"/>
          <w:color w:val="000000"/>
          <w:sz w:val="32"/>
          <w:szCs w:val="32"/>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b/>
          <w:color w:val="000000"/>
          <w:sz w:val="32"/>
          <w:szCs w:val="32"/>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Style w:val="16"/>
          <w:rFonts w:hint="eastAsia" w:ascii="仿宋" w:hAnsi="仿宋" w:eastAsia="仿宋"/>
          <w:b w:val="0"/>
          <w:bCs/>
          <w:color w:val="000000"/>
          <w:sz w:val="32"/>
          <w:szCs w:val="32"/>
          <w:lang w:eastAsia="zh-CN"/>
        </w:rPr>
        <w:t>因公</w:t>
      </w:r>
      <w:r>
        <w:rPr>
          <w:rFonts w:hint="eastAsia" w:ascii="仿宋_GB2312" w:eastAsia="仿宋_GB2312"/>
          <w:color w:val="000000"/>
          <w:sz w:val="32"/>
          <w:szCs w:val="32"/>
        </w:rPr>
        <w:t>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5.4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val="en-US" w:eastAsia="zh-CN"/>
        </w:rPr>
        <w:t>厉行节约及严格控制经费支出</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其中：</w:t>
      </w:r>
    </w:p>
    <w:p>
      <w:pPr>
        <w:spacing w:line="600" w:lineRule="exact"/>
        <w:ind w:firstLine="640"/>
        <w:rPr>
          <w:rFonts w:hint="default" w:ascii="仿宋_GB2312" w:eastAsia="仿宋_GB2312"/>
          <w:color w:val="000000"/>
          <w:sz w:val="32"/>
          <w:szCs w:val="32"/>
          <w:lang w:val="en-US"/>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5.4</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71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490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5.4</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文化工作</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lang w:eastAsia="zh-CN"/>
        </w:rPr>
        <w:t>万元、文物工作</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lang w:eastAsia="zh-CN"/>
        </w:rPr>
        <w:t>万元、旅游工作</w:t>
      </w:r>
      <w:r>
        <w:rPr>
          <w:rFonts w:hint="eastAsia" w:ascii="仿宋_GB2312" w:eastAsia="仿宋_GB2312"/>
          <w:color w:val="000000"/>
          <w:sz w:val="32"/>
          <w:szCs w:val="32"/>
          <w:lang w:val="en-US" w:eastAsia="zh-CN"/>
        </w:rPr>
        <w:t>2.9万元、</w:t>
      </w:r>
      <w:r>
        <w:rPr>
          <w:rFonts w:hint="eastAsia" w:ascii="仿宋_GB2312" w:eastAsia="仿宋_GB2312"/>
          <w:color w:val="000000"/>
          <w:sz w:val="32"/>
          <w:szCs w:val="32"/>
          <w:lang w:eastAsia="zh-CN"/>
        </w:rPr>
        <w:t>广播电视工作</w:t>
      </w:r>
      <w:r>
        <w:rPr>
          <w:rFonts w:hint="eastAsia" w:ascii="仿宋_GB2312" w:eastAsia="仿宋_GB2312"/>
          <w:color w:val="000000"/>
          <w:sz w:val="32"/>
          <w:szCs w:val="32"/>
          <w:lang w:val="en-US" w:eastAsia="zh-CN"/>
        </w:rPr>
        <w:t>0.4万元、体育工作0.5万元。</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7"/>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38.41</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年本单位未在政府性基金预算拨款安排“三公”经费支出</w:t>
      </w:r>
      <w:r>
        <w:rPr>
          <w:rFonts w:hint="eastAsia" w:ascii="仿宋_GB2312" w:eastAsia="仿宋_GB2312"/>
          <w:color w:val="auto"/>
          <w:sz w:val="32"/>
          <w:szCs w:val="32"/>
          <w:highlight w:val="none"/>
        </w:rPr>
        <w:t>。</w:t>
      </w:r>
    </w:p>
    <w:p>
      <w:pPr>
        <w:numPr>
          <w:ilvl w:val="0"/>
          <w:numId w:val="2"/>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000000"/>
          <w:sz w:val="32"/>
          <w:szCs w:val="32"/>
          <w:lang w:eastAsia="zh-CN"/>
        </w:rPr>
        <w:t>，年初未安排预算</w:t>
      </w:r>
      <w:r>
        <w:rPr>
          <w:rFonts w:hint="eastAsia" w:ascii="仿宋_GB2312" w:eastAsia="仿宋_GB2312"/>
          <w:color w:val="000000"/>
          <w:sz w:val="32"/>
          <w:szCs w:val="32"/>
        </w:rPr>
        <w:t>。</w:t>
      </w:r>
    </w:p>
    <w:p>
      <w:pPr>
        <w:numPr>
          <w:ilvl w:val="0"/>
          <w:numId w:val="2"/>
        </w:numPr>
        <w:spacing w:line="600" w:lineRule="exact"/>
        <w:ind w:firstLine="640"/>
        <w:outlineLvl w:val="1"/>
        <w:rPr>
          <w:rStyle w:val="27"/>
          <w:rFonts w:hint="eastAsia" w:ascii="黑体" w:hAnsi="黑体" w:eastAsia="黑体"/>
          <w:b w:val="0"/>
          <w:color w:val="auto"/>
          <w:highlight w:val="none"/>
        </w:rPr>
      </w:pPr>
      <w:bookmarkStart w:id="44" w:name="_Toc15377221"/>
      <w:bookmarkStart w:id="45" w:name="_Toc15396612"/>
      <w:r>
        <w:rPr>
          <w:rStyle w:val="27"/>
          <w:rFonts w:hint="eastAsia" w:ascii="黑体" w:hAnsi="黑体" w:eastAsia="黑体"/>
          <w:b w:val="0"/>
          <w:color w:val="auto"/>
          <w:highlight w:val="none"/>
          <w:lang w:val="en-US" w:eastAsia="zh-CN"/>
        </w:rPr>
        <w:t>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预算编制阶段，组织对天府旅游名县创建</w:t>
      </w:r>
      <w:r>
        <w:rPr>
          <w:rFonts w:hint="eastAsia" w:ascii="仿宋_GB2312" w:hAnsi="仿宋_GB2312" w:eastAsia="仿宋_GB2312" w:cs="仿宋_GB2312"/>
          <w:color w:val="auto"/>
          <w:sz w:val="32"/>
          <w:szCs w:val="32"/>
          <w:highlight w:val="none"/>
          <w:lang w:eastAsia="zh-CN"/>
        </w:rPr>
        <w:t>、柔力球等群众体育活动、柏林古镇维修管理费公益性岗位补助、</w:t>
      </w:r>
      <w:r>
        <w:rPr>
          <w:rFonts w:hint="eastAsia" w:ascii="仿宋_GB2312" w:hAnsi="仿宋_GB2312" w:eastAsia="仿宋_GB2312" w:cs="仿宋_GB2312"/>
          <w:sz w:val="32"/>
          <w:szCs w:val="32"/>
          <w:lang w:eastAsia="zh-CN"/>
        </w:rPr>
        <w:t>区级重点项目工作、省重点项目工作、体育馆运行维护、招商引资工作、争取项目资金工作</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8个项目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43.8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82.44万</w:t>
      </w:r>
      <w:r>
        <w:rPr>
          <w:rFonts w:hint="eastAsia" w:ascii="仿宋_GB2312" w:eastAsia="仿宋_GB2312"/>
          <w:color w:val="auto"/>
          <w:sz w:val="32"/>
          <w:szCs w:val="32"/>
          <w:highlight w:val="none"/>
        </w:rPr>
        <w:t>元，下降</w:t>
      </w:r>
      <w:r>
        <w:rPr>
          <w:rFonts w:hint="eastAsia" w:ascii="仿宋_GB2312" w:eastAsia="仿宋_GB2312"/>
          <w:color w:val="auto"/>
          <w:sz w:val="32"/>
          <w:szCs w:val="32"/>
          <w:highlight w:val="none"/>
          <w:lang w:val="en-US" w:eastAsia="zh-CN"/>
        </w:rPr>
        <w:t>65.3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厉行节约和严控经费支出。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1362.43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1105.58</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256.85</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广播电视、体育、旅游工作</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1362.43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1362.43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区文旅体局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eastAsia="zh-CN"/>
        </w:rPr>
        <w:t>流动文化车及流动图书车。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sz w:val="32"/>
          <w:szCs w:val="32"/>
          <w:lang w:val="en-US"/>
        </w:rPr>
      </w:pPr>
      <w:r>
        <w:rPr>
          <w:rFonts w:ascii="仿宋_GB2312" w:eastAsia="仿宋_GB2312"/>
          <w:color w:val="auto"/>
          <w:sz w:val="32"/>
          <w:szCs w:val="32"/>
          <w:highlight w:val="none"/>
        </w:rPr>
        <w:t>2.</w:t>
      </w:r>
      <w:r>
        <w:rPr>
          <w:rFonts w:hint="eastAsia" w:ascii="仿宋_GB2312" w:hAnsi="Calibri" w:eastAsia="仿宋_GB2312" w:cs="仿宋"/>
          <w:color w:val="000000"/>
          <w:kern w:val="0"/>
          <w:sz w:val="32"/>
          <w:szCs w:val="32"/>
          <w:lang w:val="en-US" w:eastAsia="zh-CN"/>
        </w:rPr>
        <w:t>文化旅游体育与传媒支出（类）文化和旅游（款）行政运行（项）:指行政单位（包括实行公务员管理的事业单位）的基本支出。</w:t>
      </w:r>
    </w:p>
    <w:p>
      <w:p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w:t>
      </w:r>
      <w:r>
        <w:rPr>
          <w:rFonts w:hint="eastAsia" w:ascii="仿宋_GB2312" w:hAnsi="Calibri" w:eastAsia="仿宋_GB2312" w:cs="仿宋"/>
          <w:color w:val="000000"/>
          <w:kern w:val="0"/>
          <w:sz w:val="32"/>
          <w:szCs w:val="32"/>
          <w:lang w:val="en-US" w:eastAsia="zh-CN"/>
        </w:rPr>
        <w:t>文化旅游体育与传媒支出（类）文化和旅游（款）</w:t>
      </w:r>
      <w:r>
        <w:rPr>
          <w:rFonts w:hint="eastAsia" w:ascii="仿宋_GB2312" w:hAnsi="Calibri" w:eastAsia="仿宋_GB2312" w:cs="仿宋"/>
          <w:color w:val="000000"/>
          <w:kern w:val="0"/>
          <w:sz w:val="32"/>
          <w:szCs w:val="32"/>
          <w:lang w:val="en-US" w:eastAsia="zh-CN" w:bidi="ar-SA"/>
        </w:rPr>
        <w:t>旅游宣传（项）:指在境内外开展各类旅游宣传促销活动的支出，包括驻外旅游机构宣传费、境外宣传促消费、境内宣传促消费、海外记者及旅行商接待费、旅游宣传品制作及设备购置费等。</w:t>
      </w:r>
    </w:p>
    <w:p>
      <w:p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4.文化旅游体育与传媒支出（类）文化和旅游（款）文化和旅游管理事务（项）：指文化和旅游管理事务支出。</w:t>
      </w:r>
    </w:p>
    <w:p>
      <w:p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5.文化旅游体育与传媒支出（类）文化和旅游（款）其他文化和旅游支出（项）:</w:t>
      </w:r>
      <w:r>
        <w:rPr>
          <w:rFonts w:hint="eastAsia" w:ascii="仿宋_GB2312" w:hAnsi="Calibri" w:eastAsia="仿宋_GB2312" w:cs="仿宋"/>
          <w:color w:val="000000"/>
          <w:kern w:val="0"/>
          <w:sz w:val="32"/>
          <w:szCs w:val="32"/>
          <w:lang w:val="en-US" w:eastAsia="zh-CN"/>
        </w:rPr>
        <w:t>指其他用于文化和旅游方面的支出。</w:t>
      </w:r>
    </w:p>
    <w:p>
      <w:pPr>
        <w:numPr>
          <w:ilvl w:val="0"/>
          <w:numId w:val="0"/>
        </w:numPr>
        <w:spacing w:line="600" w:lineRule="exact"/>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 xml:space="preserve">　　6.文化旅游体育与传媒支出（类）文物（款）文物保护（项）: </w:t>
      </w:r>
      <w:r>
        <w:rPr>
          <w:rFonts w:hint="eastAsia" w:ascii="仿宋_GB2312" w:hAnsi="Calibri" w:eastAsia="仿宋_GB2312" w:cs="仿宋"/>
          <w:color w:val="000000"/>
          <w:kern w:val="0"/>
          <w:sz w:val="32"/>
          <w:szCs w:val="32"/>
          <w:lang w:val="en-US" w:eastAsia="zh-CN"/>
        </w:rPr>
        <w:t>指考古发掘及文物保护方面的支出。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7.文化旅游体育与传媒支出（类）体育（款）体育场馆（项）: 指体育场馆建设及维护等方面的支出。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8.文化旅游体育与传媒支出（类）体育（款）群众体育（项）: 指业余体校和全民健身等群众体育活动方面的支出。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9.文化旅游体育与传媒支出（类）体育（款）其他体育支出（项）: 指其他用于体育方面的支出。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10.文化旅游体育与传媒支出（类）广播电视（款）其他广播电视支出（项）:</w:t>
      </w:r>
      <w:r>
        <w:rPr>
          <w:rFonts w:hint="eastAsia" w:ascii="仿宋_GB2312" w:hAnsi="Calibri" w:eastAsia="仿宋_GB2312" w:cs="仿宋"/>
          <w:color w:val="000000"/>
          <w:kern w:val="0"/>
          <w:sz w:val="32"/>
          <w:szCs w:val="32"/>
          <w:lang w:val="en-US" w:eastAsia="zh-CN"/>
        </w:rPr>
        <w:t>指其他用于广播电视方面的支出。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11.文化旅游体育与传媒支出（类）其他文化旅游体育与传媒支出（款）其他文化旅游体育与传媒支出（项）:</w:t>
      </w:r>
      <w:r>
        <w:rPr>
          <w:rFonts w:hint="eastAsia" w:ascii="仿宋_GB2312" w:hAnsi="Calibri" w:eastAsia="仿宋_GB2312" w:cs="仿宋"/>
          <w:color w:val="000000"/>
          <w:kern w:val="0"/>
          <w:sz w:val="32"/>
          <w:szCs w:val="32"/>
          <w:lang w:val="en-US" w:eastAsia="zh-CN"/>
        </w:rPr>
        <w:t xml:space="preserve"> 指其他文化旅游体育与传媒方面的支出。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12.社会保障和就业支出（类）行政事业单位养老支出（款）机关事业单位基本养老保险缴费支出（项）: 指机关事业单位实施养老保险制度由单位缴纳的基本养老保险费支出。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13.社会保障和就业支出（类）其他社会保障和就业支出（款）其他社会保障和就业支出（项）: 指其他用于社会保障和就业方面的支出。</w:t>
      </w:r>
    </w:p>
    <w:p>
      <w:pPr>
        <w:numPr>
          <w:ilvl w:val="0"/>
          <w:numId w:val="0"/>
        </w:num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bidi="ar-SA"/>
        </w:rPr>
        <w:t>14.卫生健康支出（类）行政事业单位医疗（款）行政单位医疗（项）：指财政部门安排的行政</w:t>
      </w:r>
      <w:r>
        <w:rPr>
          <w:rFonts w:hint="eastAsia" w:ascii="仿宋_GB2312" w:hAnsi="Calibri" w:eastAsia="仿宋_GB2312" w:cs="仿宋"/>
          <w:color w:val="000000"/>
          <w:kern w:val="0"/>
          <w:sz w:val="32"/>
          <w:szCs w:val="32"/>
          <w:lang w:val="en-US" w:eastAsia="zh-CN"/>
        </w:rPr>
        <w:t>单位（包括实行公务员管理的事业单位）基本医疗保险缴费经费，未参加医疗保险的行政单位的公费医疗经费，按国家规定享受离休人员、红军老战士待遇人员的医疗经费。</w:t>
      </w:r>
    </w:p>
    <w:p>
      <w:pPr>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15.卫生健康（类）行政事业单位医疗（款）事业单位医疗（项）：指财政部门安排的事业单位基本医疗保险缴费经费，未参加医疗保险的事业单位的公费医疗经费，按国家规定享受离休人员待遇的医疗保险。</w:t>
      </w:r>
    </w:p>
    <w:p>
      <w:pPr>
        <w:pStyle w:val="2"/>
        <w:ind w:left="0" w:leftChars="0" w:firstLine="640" w:firstLineChars="200"/>
        <w:rPr>
          <w:rFonts w:hint="default"/>
          <w:lang w:val="en-US" w:eastAsia="zh-CN"/>
        </w:rPr>
      </w:pPr>
      <w:r>
        <w:rPr>
          <w:rFonts w:hint="eastAsia" w:ascii="仿宋_GB2312" w:hAnsi="Calibri" w:eastAsia="仿宋_GB2312" w:cs="仿宋"/>
          <w:color w:val="000000"/>
          <w:kern w:val="0"/>
          <w:sz w:val="32"/>
          <w:szCs w:val="32"/>
          <w:lang w:val="en-US" w:eastAsia="zh-CN"/>
        </w:rPr>
        <w:t>16.农林水支出（类）扶贫（款）其他扶贫支出（项）：指用于农村扶贫开发等方面的支出。</w:t>
      </w:r>
    </w:p>
    <w:p>
      <w:pPr>
        <w:numPr>
          <w:ilvl w:val="0"/>
          <w:numId w:val="0"/>
        </w:numPr>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17.住房保障支出（类）住房改革支出（款）住房公积金（项）：指行政事业单位按人力资源和社会保障部、财政部规定的基本工资和津贴补贴以及规定比例为职工缴纳的住房公积金。</w:t>
      </w:r>
    </w:p>
    <w:p>
      <w:pPr>
        <w:pStyle w:val="2"/>
        <w:numPr>
          <w:ilvl w:val="0"/>
          <w:numId w:val="0"/>
        </w:numPr>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18.其他支出（类）彩票公益金安排的支出（款）用于体育事业的彩票公益金支出（项）：指</w:t>
      </w:r>
      <w:r>
        <w:rPr>
          <w:rFonts w:hint="eastAsia" w:ascii="仿宋_GB2312" w:hAnsi="Calibri" w:eastAsia="仿宋_GB2312" w:cs="仿宋"/>
          <w:color w:val="000000"/>
          <w:kern w:val="0"/>
          <w:sz w:val="32"/>
          <w:szCs w:val="32"/>
          <w:lang w:val="en-US" w:eastAsia="zh-CN"/>
        </w:rPr>
        <w:t>用于体育事业的彩票公益金支出。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600" w:lineRule="exact"/>
        <w:jc w:val="center"/>
        <w:outlineLvl w:val="0"/>
        <w:rPr>
          <w:rFonts w:ascii="仿宋_GB2312" w:hAnsi="仿宋_GB2312" w:eastAsia="仿宋_GB2312" w:cs="仿宋_GB2312"/>
          <w:color w:val="auto"/>
          <w:sz w:val="32"/>
          <w:szCs w:val="32"/>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tbl>
      <w:tblPr>
        <w:tblStyle w:val="14"/>
        <w:tblpPr w:leftFromText="180" w:rightFromText="180" w:vertAnchor="text" w:horzAnchor="page" w:tblpX="1281" w:tblpY="660"/>
        <w:tblOverlap w:val="never"/>
        <w:tblW w:w="9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505"/>
        <w:gridCol w:w="1065"/>
        <w:gridCol w:w="238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70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val="0"/>
                <w:bCs/>
                <w:i w:val="0"/>
                <w:color w:val="auto"/>
                <w:sz w:val="32"/>
                <w:szCs w:val="32"/>
                <w:highlight w:val="none"/>
                <w:u w:val="none"/>
                <w:lang w:val="en-US" w:eastAsia="zh-CN"/>
              </w:rPr>
              <w:t>2021年部门预算项目绩效目标自评</w:t>
            </w:r>
            <w:r>
              <w:rPr>
                <w:rFonts w:hint="eastAsia" w:ascii="宋体" w:hAnsi="宋体" w:cs="宋体"/>
                <w:b w:val="0"/>
                <w:bCs/>
                <w:i w:val="0"/>
                <w:color w:val="auto"/>
                <w:sz w:val="32"/>
                <w:szCs w:val="32"/>
                <w:highlight w:val="none"/>
                <w:u w:val="none"/>
                <w:lang w:val="en-US" w:eastAsia="zh-CN"/>
              </w:rPr>
              <w:t>（区级重点项目工作经费）</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sz w:val="15"/>
                <w:szCs w:val="15"/>
                <w:u w:val="none"/>
                <w:lang w:eastAsia="zh-CN"/>
              </w:rPr>
              <w:t>广元市昭化区文化旅游和体育局</w:t>
            </w:r>
            <w:r>
              <w:rPr>
                <w:rFonts w:hint="eastAsia" w:ascii="仿宋" w:hAnsi="仿宋" w:eastAsia="仿宋" w:cs="仿宋"/>
                <w:i w:val="0"/>
                <w:color w:val="auto"/>
                <w:sz w:val="15"/>
                <w:szCs w:val="15"/>
                <w:u w:val="none"/>
                <w:lang w:val="en-US" w:eastAsia="zh-CN"/>
              </w:rPr>
              <w:t>359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15"/>
                <w:szCs w:val="15"/>
                <w:u w:val="none"/>
                <w:lang w:eastAsia="zh-CN"/>
              </w:rPr>
            </w:pPr>
            <w:r>
              <w:rPr>
                <w:rFonts w:hint="eastAsia" w:ascii="仿宋" w:hAnsi="仿宋" w:eastAsia="仿宋" w:cs="仿宋"/>
                <w:i w:val="0"/>
                <w:color w:val="auto"/>
                <w:sz w:val="15"/>
                <w:szCs w:val="15"/>
                <w:u w:val="none"/>
                <w:lang w:eastAsia="zh-CN"/>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项目预算</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执行情况</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预算数：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16.41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执行数：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财政拨款</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16.41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财政拨款</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其他资金</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rPr>
              <w:t>完成旅游景点3A创建、文化活动、体育赛事等，加快文化旅游体育事业项目的推进提供有力的保障，推动我区的文化旅游体育事业又好又快发展。</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rPr>
              <w:t>完成</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旅游景点3A创建、文化活动、体育赛事等，</w:t>
            </w:r>
            <w:r>
              <w:rPr>
                <w:rFonts w:hint="eastAsia" w:ascii="仿宋" w:hAnsi="仿宋" w:eastAsia="仿宋" w:cs="仿宋"/>
                <w:i w:val="0"/>
                <w:color w:val="auto"/>
                <w:sz w:val="21"/>
                <w:szCs w:val="21"/>
                <w:u w:val="none"/>
                <w:lang w:eastAsia="zh-CN"/>
              </w:rPr>
              <w:t>为</w:t>
            </w:r>
            <w:r>
              <w:rPr>
                <w:rFonts w:hint="eastAsia" w:ascii="仿宋" w:hAnsi="仿宋" w:eastAsia="仿宋" w:cs="仿宋"/>
                <w:i w:val="0"/>
                <w:color w:val="auto"/>
                <w:sz w:val="21"/>
                <w:szCs w:val="21"/>
                <w:u w:val="none"/>
              </w:rPr>
              <w:t>文化旅游体育事业项目的推进提供有力的保障，推动</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我区的文化旅游体育事业又好又快发展。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体育设施完好率(%)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旅游官网点击量增加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仿宋_GB2312" w:hAnsi="仿宋_GB2312" w:eastAsia="仿宋_GB2312" w:cs="仿宋_GB2312"/>
                <w:i w:val="0"/>
                <w:color w:val="auto"/>
                <w:sz w:val="21"/>
                <w:szCs w:val="21"/>
                <w:u w:val="none"/>
                <w:lang w:val="en-US" w:eastAsia="zh-CN"/>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新建和改扩建旅游厕所建成率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生态文明旅游区建设完成率(%)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公共文化产品和服务供给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验收合格率(%)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95</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重点项目进度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资金使用率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公众对大型赛事的知晓度</w:t>
            </w:r>
            <w:r>
              <w:rPr>
                <w:rFonts w:hint="eastAsia" w:ascii="仿宋_GB2312" w:hAnsi="仿宋_GB2312" w:eastAsia="仿宋_GB2312" w:cs="仿宋_GB2312"/>
                <w:i w:val="0"/>
                <w:color w:val="auto"/>
                <w:sz w:val="21"/>
                <w:szCs w:val="21"/>
                <w:u w:val="none"/>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旅游品牌知名度上升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eastAsia="zh-CN"/>
              </w:rPr>
              <w:t>有效</w:t>
            </w:r>
            <w:r>
              <w:rPr>
                <w:rFonts w:hint="eastAsia" w:ascii="仿宋_GB2312" w:hAnsi="仿宋_GB2312" w:eastAsia="仿宋_GB2312" w:cs="仿宋_GB2312"/>
                <w:i w:val="0"/>
                <w:color w:val="auto"/>
                <w:sz w:val="21"/>
                <w:szCs w:val="21"/>
                <w:u w:val="none"/>
              </w:rPr>
              <w:t>提升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公共文化设施设备使用率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社会满意度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bl>
    <w:p>
      <w:pPr>
        <w:spacing w:line="600" w:lineRule="exact"/>
        <w:jc w:val="center"/>
        <w:outlineLvl w:val="0"/>
        <w:rPr>
          <w:rFonts w:hint="eastAsia" w:ascii="黑体" w:hAnsi="黑体" w:eastAsia="黑体"/>
          <w:color w:val="auto"/>
          <w:sz w:val="44"/>
          <w:szCs w:val="44"/>
          <w:highlight w:val="none"/>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85"/>
        <w:gridCol w:w="1080"/>
        <w:gridCol w:w="235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（省重点项目工作经费）</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3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sz w:val="15"/>
                <w:szCs w:val="15"/>
                <w:u w:val="none"/>
                <w:lang w:eastAsia="zh-CN"/>
              </w:rPr>
              <w:t>广元市昭化区文化旅游和体育局</w:t>
            </w:r>
            <w:r>
              <w:rPr>
                <w:rFonts w:hint="eastAsia" w:ascii="仿宋" w:hAnsi="仿宋" w:eastAsia="仿宋" w:cs="仿宋"/>
                <w:i w:val="0"/>
                <w:color w:val="auto"/>
                <w:sz w:val="15"/>
                <w:szCs w:val="15"/>
                <w:u w:val="none"/>
                <w:lang w:val="en-US" w:eastAsia="zh-CN"/>
              </w:rPr>
              <w:t>359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15"/>
                <w:szCs w:val="15"/>
                <w:u w:val="none"/>
                <w:lang w:eastAsia="zh-CN"/>
              </w:rPr>
            </w:pPr>
            <w:r>
              <w:rPr>
                <w:rFonts w:hint="eastAsia" w:ascii="仿宋" w:hAnsi="仿宋" w:eastAsia="仿宋" w:cs="仿宋"/>
                <w:i w:val="0"/>
                <w:color w:val="auto"/>
                <w:sz w:val="15"/>
                <w:szCs w:val="15"/>
                <w:u w:val="none"/>
                <w:lang w:eastAsia="zh-CN"/>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项目预算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执行情况</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预算数：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执行数：</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4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416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18"/>
                <w:szCs w:val="18"/>
                <w:u w:val="none"/>
              </w:rPr>
              <w:t>加快文化旅游体育事业项目的推进提供有力的保障，完成农村应急广播建设、大蜀道文旅整合项目、体育馆维修等项目建设，推动我区的文化旅游体育事业又好又快发展。</w:t>
            </w:r>
          </w:p>
        </w:tc>
        <w:tc>
          <w:tcPr>
            <w:tcW w:w="34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1"/>
                <w:szCs w:val="21"/>
                <w:u w:val="none"/>
                <w:lang w:eastAsia="zh-CN"/>
              </w:rPr>
              <w:t>为</w:t>
            </w:r>
            <w:r>
              <w:rPr>
                <w:rFonts w:hint="eastAsia" w:ascii="仿宋" w:hAnsi="仿宋" w:eastAsia="仿宋" w:cs="仿宋"/>
                <w:i w:val="0"/>
                <w:color w:val="auto"/>
                <w:sz w:val="21"/>
                <w:szCs w:val="21"/>
                <w:u w:val="none"/>
              </w:rPr>
              <w:t>文化旅游体育事业项目的推进提供</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有力的保障，完成</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农村应急广播建设、大蜀道文旅整合项目、体育馆维修等项目建设。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公共文化产品和服务供给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w:t>
            </w:r>
            <w:r>
              <w:rPr>
                <w:rFonts w:hint="eastAsia" w:ascii="仿宋_GB2312" w:hAnsi="仿宋_GB2312" w:eastAsia="仿宋_GB2312" w:cs="仿宋_GB2312"/>
                <w:i w:val="0"/>
                <w:color w:val="auto"/>
                <w:sz w:val="21"/>
                <w:szCs w:val="21"/>
                <w:u w:val="none"/>
                <w:lang w:val="en-US" w:eastAsia="zh-CN"/>
              </w:rPr>
              <w:t>5%</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5"/>
                <w:szCs w:val="15"/>
                <w:u w:val="none"/>
              </w:rPr>
              <w:t>旅游标识规范率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0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5"/>
                <w:szCs w:val="15"/>
                <w:u w:val="none"/>
              </w:rPr>
              <w:t>体育设施完好率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特色旅游节庆活动完成率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100</w:t>
            </w:r>
            <w:r>
              <w:rPr>
                <w:rFonts w:hint="eastAsia" w:ascii="仿宋_GB2312" w:hAnsi="仿宋_GB2312" w:eastAsia="仿宋_GB2312" w:cs="仿宋_GB2312"/>
                <w:i w:val="0"/>
                <w:color w:val="auto"/>
                <w:sz w:val="21"/>
                <w:szCs w:val="21"/>
                <w:u w:val="none"/>
                <w:lang w:val="en-US" w:eastAsia="zh-CN"/>
              </w:rPr>
              <w:t>%</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4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新旅游业态扶持率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0%</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旅游官网点击量增加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仿宋_GB2312" w:hAnsi="仿宋_GB2312" w:eastAsia="仿宋_GB2312" w:cs="仿宋_GB2312"/>
                <w:i w:val="0"/>
                <w:color w:val="auto"/>
                <w:sz w:val="21"/>
                <w:szCs w:val="21"/>
                <w:u w:val="none"/>
                <w:lang w:val="en-US" w:eastAsia="zh-CN"/>
              </w:rPr>
              <w:t>5%</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获奖文艺作品增加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val="en-US" w:eastAsia="zh-CN"/>
              </w:rPr>
            </w:pPr>
            <w:r>
              <w:rPr>
                <w:rFonts w:hint="default" w:ascii="Arial" w:hAnsi="Arial" w:eastAsia="仿宋_GB2312" w:cs="Arial"/>
                <w:i w:val="0"/>
                <w:color w:val="auto"/>
                <w:sz w:val="21"/>
                <w:szCs w:val="21"/>
                <w:u w:val="none"/>
              </w:rPr>
              <w:t>≥</w:t>
            </w:r>
            <w:r>
              <w:rPr>
                <w:rFonts w:hint="eastAsia" w:ascii="仿宋_GB2312" w:hAnsi="仿宋_GB2312" w:eastAsia="仿宋_GB2312" w:cs="仿宋_GB2312"/>
                <w:i w:val="0"/>
                <w:color w:val="auto"/>
                <w:sz w:val="21"/>
                <w:szCs w:val="21"/>
                <w:u w:val="none"/>
                <w:lang w:val="en-US" w:eastAsia="zh-CN"/>
              </w:rPr>
              <w:t>1-2件</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完成时间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12月前</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0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资金使用率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Arial" w:hAnsi="Arial" w:eastAsia="仿宋_GB2312" w:cs="Arial"/>
                <w:i w:val="0"/>
                <w:color w:val="auto"/>
                <w:sz w:val="24"/>
                <w:szCs w:val="24"/>
                <w:u w:val="none"/>
                <w:lang w:val="en-US" w:eastAsia="zh-CN"/>
              </w:rPr>
              <w:t>100</w:t>
            </w:r>
            <w:r>
              <w:rPr>
                <w:rFonts w:hint="eastAsia" w:ascii="仿宋_GB2312" w:hAnsi="仿宋_GB2312" w:eastAsia="仿宋_GB2312" w:cs="仿宋_GB2312"/>
                <w:i w:val="0"/>
                <w:color w:val="auto"/>
                <w:sz w:val="24"/>
                <w:szCs w:val="24"/>
                <w:u w:val="none"/>
                <w:lang w:val="en-US" w:eastAsia="zh-CN"/>
              </w:rPr>
              <w:t>%</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公共文化设施设备使用率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旅游品牌知名度上升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val="en-US" w:eastAsia="zh-CN"/>
              </w:rPr>
              <w:t>有效提升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val="en-US" w:eastAsia="zh-CN"/>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1"/>
                <w:szCs w:val="21"/>
                <w:u w:val="none"/>
              </w:rPr>
              <w:t>群众满意度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bl>
    <w:p>
      <w:pPr>
        <w:spacing w:line="600" w:lineRule="exact"/>
        <w:jc w:val="center"/>
        <w:outlineLvl w:val="0"/>
        <w:rPr>
          <w:rFonts w:hint="eastAsia" w:ascii="黑体" w:hAnsi="黑体" w:eastAsia="黑体"/>
          <w:color w:val="auto"/>
          <w:sz w:val="44"/>
          <w:szCs w:val="44"/>
          <w:highlight w:val="none"/>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240"/>
        <w:gridCol w:w="1080"/>
        <w:gridCol w:w="180"/>
        <w:gridCol w:w="2013"/>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（体育馆运行维护费）</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3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sz w:val="15"/>
                <w:szCs w:val="15"/>
                <w:u w:val="none"/>
                <w:lang w:eastAsia="zh-CN"/>
              </w:rPr>
              <w:t>广元市昭化区文化旅游和体育局</w:t>
            </w:r>
            <w:r>
              <w:rPr>
                <w:rFonts w:hint="eastAsia" w:ascii="仿宋" w:hAnsi="仿宋" w:eastAsia="仿宋" w:cs="仿宋"/>
                <w:i w:val="0"/>
                <w:color w:val="auto"/>
                <w:sz w:val="15"/>
                <w:szCs w:val="15"/>
                <w:u w:val="none"/>
                <w:lang w:val="en-US" w:eastAsia="zh-CN"/>
              </w:rPr>
              <w:t>359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15"/>
                <w:szCs w:val="15"/>
                <w:u w:val="none"/>
                <w:lang w:eastAsia="zh-CN"/>
              </w:rPr>
            </w:pPr>
            <w:r>
              <w:rPr>
                <w:rFonts w:hint="eastAsia" w:ascii="仿宋" w:hAnsi="仿宋" w:eastAsia="仿宋" w:cs="仿宋"/>
                <w:i w:val="0"/>
                <w:color w:val="auto"/>
                <w:sz w:val="15"/>
                <w:szCs w:val="15"/>
                <w:u w:val="none"/>
                <w:lang w:eastAsia="zh-CN"/>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项目预算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执行情况</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预算数：</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执行数：</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43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432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1"/>
                <w:szCs w:val="21"/>
                <w:u w:val="none"/>
              </w:rPr>
              <w:t>通过对澳援体育馆的免费开放，开展丰富多彩的群众体育活动及赛事，引导人们参与健康有益的公共文化活动，营造积极向上的社会氛围，向公众提供平等享有公共文化服务权利的平台，提高国民身体素质。</w:t>
            </w:r>
          </w:p>
        </w:tc>
        <w:tc>
          <w:tcPr>
            <w:tcW w:w="32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1"/>
                <w:szCs w:val="21"/>
                <w:u w:val="none"/>
              </w:rPr>
              <w:t>澳援体育馆的免费开放，丰富</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群众体育活动及赛事，引导人们参与健康有益的公共文化活动，营造</w:t>
            </w:r>
            <w:r>
              <w:rPr>
                <w:rFonts w:hint="eastAsia" w:ascii="仿宋" w:hAnsi="仿宋" w:eastAsia="仿宋" w:cs="仿宋"/>
                <w:i w:val="0"/>
                <w:color w:val="auto"/>
                <w:sz w:val="21"/>
                <w:szCs w:val="21"/>
                <w:u w:val="none"/>
                <w:lang w:eastAsia="zh-CN"/>
              </w:rPr>
              <w:t>了</w:t>
            </w:r>
            <w:r>
              <w:rPr>
                <w:rFonts w:hint="eastAsia" w:ascii="仿宋" w:hAnsi="仿宋" w:eastAsia="仿宋" w:cs="仿宋"/>
                <w:i w:val="0"/>
                <w:color w:val="auto"/>
                <w:sz w:val="21"/>
                <w:szCs w:val="21"/>
                <w:u w:val="none"/>
              </w:rPr>
              <w:t>积极向上的社会氛围，提高</w:t>
            </w:r>
            <w:r>
              <w:rPr>
                <w:rFonts w:hint="eastAsia" w:ascii="仿宋" w:hAnsi="仿宋" w:eastAsia="仿宋" w:cs="仿宋"/>
                <w:i w:val="0"/>
                <w:color w:val="auto"/>
                <w:sz w:val="21"/>
                <w:szCs w:val="21"/>
                <w:u w:val="none"/>
                <w:lang w:eastAsia="zh-CN"/>
              </w:rPr>
              <w:t>了国</w:t>
            </w:r>
            <w:r>
              <w:rPr>
                <w:rFonts w:hint="eastAsia" w:ascii="仿宋" w:hAnsi="仿宋" w:eastAsia="仿宋" w:cs="仿宋"/>
                <w:i w:val="0"/>
                <w:color w:val="auto"/>
                <w:sz w:val="21"/>
                <w:szCs w:val="21"/>
                <w:u w:val="none"/>
              </w:rPr>
              <w:t>民身体素质。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青少年体质测评达标率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经常参加体育锻炼人数</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1.5万人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1.5万人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公共体育场馆免费或低收费开放时长达标率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全年举办群众体育活动数</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6次</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7次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体育设施完好率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国民体质测定标准合格率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w:t>
            </w:r>
            <w:r>
              <w:rPr>
                <w:rFonts w:hint="eastAsia" w:ascii="仿宋_GB2312" w:hAnsi="仿宋_GB2312" w:eastAsia="仿宋_GB2312" w:cs="仿宋_GB2312"/>
                <w:i w:val="0"/>
                <w:color w:val="auto"/>
                <w:sz w:val="21"/>
                <w:szCs w:val="21"/>
                <w:u w:val="none"/>
                <w:lang w:val="en-US" w:eastAsia="zh-CN"/>
              </w:rPr>
              <w:t>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公共体育场地设施开放情况</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资金使用</w:t>
            </w:r>
            <w:r>
              <w:rPr>
                <w:rFonts w:hint="eastAsia" w:ascii="仿宋_GB2312" w:hAnsi="仿宋_GB2312" w:eastAsia="仿宋_GB2312" w:cs="仿宋_GB2312"/>
                <w:i w:val="0"/>
                <w:color w:val="auto"/>
                <w:sz w:val="21"/>
                <w:szCs w:val="21"/>
                <w:u w:val="none"/>
              </w:rPr>
              <w:t>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Arial" w:hAnsi="Arial" w:eastAsia="仿宋_GB2312" w:cs="Arial"/>
                <w:i w:val="0"/>
                <w:color w:val="auto"/>
                <w:sz w:val="21"/>
                <w:szCs w:val="21"/>
                <w:u w:val="none"/>
                <w:lang w:val="en-US" w:eastAsia="zh-CN"/>
              </w:rPr>
              <w:t>100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体育场馆使用率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公众对大型赛事的知晓度</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体育场馆免开群众认可度</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（招商引资工作经费）</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3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sz w:val="15"/>
                <w:szCs w:val="15"/>
                <w:u w:val="none"/>
                <w:lang w:eastAsia="zh-CN"/>
              </w:rPr>
              <w:t>广元市昭化区文化旅游和体育局</w:t>
            </w:r>
            <w:r>
              <w:rPr>
                <w:rFonts w:hint="eastAsia" w:ascii="仿宋" w:hAnsi="仿宋" w:eastAsia="仿宋" w:cs="仿宋"/>
                <w:i w:val="0"/>
                <w:color w:val="auto"/>
                <w:sz w:val="15"/>
                <w:szCs w:val="15"/>
                <w:u w:val="none"/>
                <w:lang w:val="en-US" w:eastAsia="zh-CN"/>
              </w:rPr>
              <w:t>359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15"/>
                <w:szCs w:val="15"/>
                <w:u w:val="none"/>
                <w:lang w:eastAsia="zh-CN"/>
              </w:rPr>
            </w:pPr>
            <w:r>
              <w:rPr>
                <w:rFonts w:hint="eastAsia" w:ascii="仿宋" w:hAnsi="仿宋" w:eastAsia="仿宋" w:cs="仿宋"/>
                <w:i w:val="0"/>
                <w:color w:val="auto"/>
                <w:sz w:val="15"/>
                <w:szCs w:val="15"/>
                <w:u w:val="none"/>
                <w:lang w:eastAsia="zh-CN"/>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项目预算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执行情况</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预算数：</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27.5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执行数：</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10"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27.5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43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432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通过引进文化旅游体育企业，带动我区经济社会发展，解决本地人口就业问题，推动我区文化旅游体育事业向上向善发展。</w:t>
            </w:r>
          </w:p>
        </w:tc>
        <w:tc>
          <w:tcPr>
            <w:tcW w:w="32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带动</w:t>
            </w:r>
            <w:r>
              <w:rPr>
                <w:rFonts w:hint="eastAsia" w:ascii="仿宋" w:hAnsi="仿宋" w:eastAsia="仿宋" w:cs="仿宋"/>
                <w:i w:val="0"/>
                <w:color w:val="auto"/>
                <w:sz w:val="24"/>
                <w:szCs w:val="24"/>
                <w:u w:val="none"/>
                <w:lang w:eastAsia="zh-CN"/>
              </w:rPr>
              <w:t>了</w:t>
            </w:r>
            <w:r>
              <w:rPr>
                <w:rFonts w:hint="eastAsia" w:ascii="仿宋" w:hAnsi="仿宋" w:eastAsia="仿宋" w:cs="仿宋"/>
                <w:i w:val="0"/>
                <w:color w:val="auto"/>
                <w:sz w:val="24"/>
                <w:szCs w:val="24"/>
                <w:u w:val="none"/>
              </w:rPr>
              <w:t>我区经济社会发展，解决</w:t>
            </w:r>
            <w:r>
              <w:rPr>
                <w:rFonts w:hint="eastAsia" w:ascii="仿宋" w:hAnsi="仿宋" w:eastAsia="仿宋" w:cs="仿宋"/>
                <w:i w:val="0"/>
                <w:color w:val="auto"/>
                <w:sz w:val="24"/>
                <w:szCs w:val="24"/>
                <w:u w:val="none"/>
                <w:lang w:eastAsia="zh-CN"/>
              </w:rPr>
              <w:t>了</w:t>
            </w:r>
            <w:r>
              <w:rPr>
                <w:rFonts w:hint="eastAsia" w:ascii="仿宋" w:hAnsi="仿宋" w:eastAsia="仿宋" w:cs="仿宋"/>
                <w:i w:val="0"/>
                <w:color w:val="auto"/>
                <w:sz w:val="24"/>
                <w:szCs w:val="24"/>
                <w:u w:val="none"/>
              </w:rPr>
              <w:t>本地人口就业问题，</w:t>
            </w:r>
            <w:r>
              <w:rPr>
                <w:rFonts w:hint="eastAsia" w:ascii="仿宋" w:hAnsi="仿宋" w:eastAsia="仿宋" w:cs="仿宋"/>
                <w:i w:val="0"/>
                <w:color w:val="auto"/>
                <w:sz w:val="24"/>
                <w:szCs w:val="24"/>
                <w:u w:val="none"/>
                <w:lang w:eastAsia="zh-CN"/>
              </w:rPr>
              <w:t>为</w:t>
            </w:r>
            <w:r>
              <w:rPr>
                <w:rFonts w:hint="eastAsia" w:ascii="仿宋" w:hAnsi="仿宋" w:eastAsia="仿宋" w:cs="仿宋"/>
                <w:i w:val="0"/>
                <w:color w:val="auto"/>
                <w:sz w:val="24"/>
                <w:szCs w:val="24"/>
                <w:u w:val="none"/>
              </w:rPr>
              <w:t>我区文化旅游体育事业发展</w:t>
            </w:r>
            <w:r>
              <w:rPr>
                <w:rFonts w:hint="eastAsia" w:ascii="仿宋" w:hAnsi="仿宋" w:eastAsia="仿宋" w:cs="仿宋"/>
                <w:i w:val="0"/>
                <w:color w:val="auto"/>
                <w:sz w:val="24"/>
                <w:szCs w:val="24"/>
                <w:u w:val="none"/>
                <w:lang w:eastAsia="zh-CN"/>
              </w:rPr>
              <w:t>贡献了力量</w:t>
            </w:r>
            <w:r>
              <w:rPr>
                <w:rFonts w:hint="eastAsia" w:ascii="仿宋" w:hAnsi="仿宋" w:eastAsia="仿宋" w:cs="仿宋"/>
                <w:i w:val="0"/>
                <w:color w:val="auto"/>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w:t>
            </w:r>
            <w:bookmarkStart w:id="67" w:name="_GoBack"/>
            <w:bookmarkEnd w:id="67"/>
            <w:r>
              <w:rPr>
                <w:rFonts w:hint="eastAsia" w:ascii="仿宋_GB2312" w:hAnsi="仿宋_GB2312" w:eastAsia="仿宋_GB2312" w:cs="仿宋_GB2312"/>
                <w:i w:val="0"/>
                <w:color w:val="auto"/>
                <w:kern w:val="0"/>
                <w:sz w:val="28"/>
                <w:szCs w:val="28"/>
                <w:u w:val="none"/>
                <w:lang w:val="en-US" w:eastAsia="zh-CN" w:bidi="ar"/>
              </w:rPr>
              <w:t>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文化及相关产业增加值</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300万元</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文化服务业增加值占文化产业增加值的比重</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新旅游业态扶持率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5</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招商项目的质量</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5"/>
                <w:szCs w:val="15"/>
                <w:u w:val="none"/>
              </w:rPr>
              <w:t>带动本地就业及经济发展</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带动</w:t>
            </w:r>
            <w:r>
              <w:rPr>
                <w:rFonts w:hint="eastAsia" w:ascii="仿宋_GB2312" w:hAnsi="仿宋_GB2312" w:eastAsia="仿宋_GB2312" w:cs="仿宋_GB2312"/>
                <w:i w:val="0"/>
                <w:color w:val="auto"/>
                <w:sz w:val="21"/>
                <w:szCs w:val="21"/>
                <w:u w:val="none"/>
                <w:lang w:eastAsia="zh-CN"/>
              </w:rPr>
              <w:t>了</w:t>
            </w:r>
            <w:r>
              <w:rPr>
                <w:rFonts w:hint="eastAsia" w:ascii="仿宋_GB2312" w:hAnsi="仿宋_GB2312" w:eastAsia="仿宋_GB2312" w:cs="仿宋_GB2312"/>
                <w:i w:val="0"/>
                <w:color w:val="auto"/>
                <w:sz w:val="21"/>
                <w:szCs w:val="21"/>
                <w:u w:val="none"/>
              </w:rPr>
              <w:t>本地就业及经济发展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完成招商引资时间</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12月底前</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资金实际支出率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Arial" w:hAnsi="Arial" w:eastAsia="仿宋_GB2312" w:cs="Arial"/>
                <w:i w:val="0"/>
                <w:color w:val="auto"/>
                <w:sz w:val="21"/>
                <w:szCs w:val="21"/>
                <w:u w:val="none"/>
                <w:lang w:val="en-US" w:eastAsia="zh-CN"/>
              </w:rPr>
              <w:t>100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文物衍生产业收入增长率达标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旅游区域合作项目收入达标率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文化企业年营业收入增长率达标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拉动社会投资达标率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60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受益群众满意度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r>
              <w:rPr>
                <w:rFonts w:hint="eastAsia" w:ascii="仿宋_GB2312" w:hAnsi="仿宋_GB2312" w:eastAsia="仿宋_GB2312" w:cs="仿宋_GB2312"/>
                <w:i w:val="0"/>
                <w:color w:val="auto"/>
                <w:sz w:val="21"/>
                <w:szCs w:val="21"/>
                <w:u w:val="none"/>
                <w:lang w:val="en-US" w:eastAsia="zh-CN"/>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（争取项目资金工作经费）</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sz w:val="15"/>
                <w:szCs w:val="15"/>
                <w:u w:val="none"/>
                <w:lang w:eastAsia="zh-CN"/>
              </w:rPr>
              <w:t>广元市昭化区文化旅游和体育局</w:t>
            </w:r>
            <w:r>
              <w:rPr>
                <w:rFonts w:hint="eastAsia" w:ascii="仿宋" w:hAnsi="仿宋" w:eastAsia="仿宋" w:cs="仿宋"/>
                <w:i w:val="0"/>
                <w:color w:val="auto"/>
                <w:sz w:val="15"/>
                <w:szCs w:val="15"/>
                <w:u w:val="none"/>
                <w:lang w:val="en-US" w:eastAsia="zh-CN"/>
              </w:rPr>
              <w:t>359</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15"/>
                <w:szCs w:val="15"/>
                <w:u w:val="none"/>
                <w:lang w:eastAsia="zh-CN"/>
              </w:rPr>
            </w:pPr>
            <w:r>
              <w:rPr>
                <w:rFonts w:hint="eastAsia" w:ascii="仿宋" w:hAnsi="仿宋" w:eastAsia="仿宋" w:cs="仿宋"/>
                <w:i w:val="0"/>
                <w:color w:val="auto"/>
                <w:sz w:val="15"/>
                <w:szCs w:val="15"/>
                <w:u w:val="none"/>
                <w:lang w:eastAsia="zh-CN"/>
              </w:rPr>
              <w:t>广元市昭化区文化旅游和体育局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16"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项目预算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执行情况</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执行数：</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5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通过争取中央、省、市文化旅游体育项目资金，改善我区文化旅游体育事业发展资金紧缺问题，对推动文化旅游体育事业发展提供有力的经济支撑，推动乡村振兴，改变地区间文化旅游体育事业发展不平衡不充分现象。</w:t>
            </w:r>
          </w:p>
        </w:tc>
        <w:tc>
          <w:tcPr>
            <w:tcW w:w="351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改善</w:t>
            </w:r>
            <w:r>
              <w:rPr>
                <w:rFonts w:hint="eastAsia" w:ascii="仿宋" w:hAnsi="仿宋" w:eastAsia="仿宋" w:cs="仿宋"/>
                <w:i w:val="0"/>
                <w:color w:val="auto"/>
                <w:sz w:val="24"/>
                <w:szCs w:val="24"/>
                <w:u w:val="none"/>
                <w:lang w:eastAsia="zh-CN"/>
              </w:rPr>
              <w:t>了</w:t>
            </w:r>
            <w:r>
              <w:rPr>
                <w:rFonts w:hint="eastAsia" w:ascii="仿宋" w:hAnsi="仿宋" w:eastAsia="仿宋" w:cs="仿宋"/>
                <w:i w:val="0"/>
                <w:color w:val="auto"/>
                <w:sz w:val="24"/>
                <w:szCs w:val="24"/>
                <w:u w:val="none"/>
              </w:rPr>
              <w:t>我区文化旅游体育事业发展资金紧缺问题，</w:t>
            </w:r>
            <w:r>
              <w:rPr>
                <w:rFonts w:hint="eastAsia" w:ascii="仿宋" w:hAnsi="仿宋" w:eastAsia="仿宋" w:cs="仿宋"/>
                <w:i w:val="0"/>
                <w:color w:val="auto"/>
                <w:sz w:val="24"/>
                <w:szCs w:val="24"/>
                <w:u w:val="none"/>
                <w:lang w:eastAsia="zh-CN"/>
              </w:rPr>
              <w:t>为</w:t>
            </w:r>
            <w:r>
              <w:rPr>
                <w:rFonts w:hint="eastAsia" w:ascii="仿宋" w:hAnsi="仿宋" w:eastAsia="仿宋" w:cs="仿宋"/>
                <w:i w:val="0"/>
                <w:color w:val="auto"/>
                <w:sz w:val="24"/>
                <w:szCs w:val="24"/>
                <w:u w:val="none"/>
              </w:rPr>
              <w:t>推动文化旅游体育事业发展提供有力的经济支撑。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争取项目个数</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2个</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资金量</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500万元</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836万元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2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任务完成率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项目完成率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80%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9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完成项目争取时间</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12月底前</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7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资金使用</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Arial" w:hAnsi="Arial" w:eastAsia="仿宋_GB2312" w:cs="Arial"/>
                <w:i w:val="0"/>
                <w:color w:val="auto"/>
                <w:sz w:val="21"/>
                <w:szCs w:val="21"/>
                <w:u w:val="none"/>
                <w:lang w:val="en-US" w:eastAsia="zh-CN"/>
              </w:rPr>
              <w:t>100%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文化企业年营业收入增长率达标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2"/>
                <w:sz w:val="21"/>
                <w:szCs w:val="21"/>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拉动社会投资达标率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20%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2"/>
                <w:sz w:val="21"/>
                <w:szCs w:val="21"/>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公众对大型赛事的知晓度</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30%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18"/>
                <w:szCs w:val="18"/>
                <w:u w:val="none"/>
              </w:rPr>
              <w:t>公共文化设施设备使用率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旅游收入增长率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15%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旅游品牌知名度上升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有效提升</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地方经济文化发展</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lang w:eastAsia="zh-CN"/>
              </w:rPr>
              <w:t>有效提升</w:t>
            </w:r>
            <w:r>
              <w:rPr>
                <w:rFonts w:hint="eastAsia" w:ascii="仿宋_GB2312" w:hAnsi="仿宋_GB2312" w:eastAsia="仿宋_GB2312" w:cs="仿宋_GB2312"/>
                <w:i w:val="0"/>
                <w:color w:val="auto"/>
                <w:sz w:val="21"/>
                <w:szCs w:val="21"/>
                <w:u w:val="none"/>
              </w:rPr>
              <w:t>经济生活水平</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受惠群众满意度</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default" w:ascii="Arial" w:hAnsi="Arial" w:eastAsia="仿宋_GB2312" w:cs="Arial"/>
                <w:i w:val="0"/>
                <w:color w:val="auto"/>
                <w:sz w:val="21"/>
                <w:szCs w:val="21"/>
                <w:u w:val="none"/>
              </w:rPr>
              <w:t>≥</w:t>
            </w:r>
            <w:r>
              <w:rPr>
                <w:rFonts w:hint="eastAsia" w:ascii="Arial" w:hAnsi="Arial" w:eastAsia="仿宋_GB2312" w:cs="Arial"/>
                <w:i w:val="0"/>
                <w:color w:val="auto"/>
                <w:sz w:val="21"/>
                <w:szCs w:val="21"/>
                <w:u w:val="none"/>
                <w:lang w:val="en-US" w:eastAsia="zh-CN"/>
              </w:rPr>
              <w:t>90%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95%</w:t>
            </w:r>
          </w:p>
        </w:tc>
      </w:tr>
    </w:tbl>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5"/>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5"/>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5"/>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5"/>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5"/>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5"/>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5"/>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5"/>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5"/>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5"/>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5"/>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5"/>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E2779D"/>
    <w:rsid w:val="0A2032A3"/>
    <w:rsid w:val="0B8A37D8"/>
    <w:rsid w:val="10C055FF"/>
    <w:rsid w:val="118107EC"/>
    <w:rsid w:val="11DD6519"/>
    <w:rsid w:val="16BB723D"/>
    <w:rsid w:val="174C0BB5"/>
    <w:rsid w:val="18015F3F"/>
    <w:rsid w:val="1BE8440E"/>
    <w:rsid w:val="1C9E3B3C"/>
    <w:rsid w:val="1D155CEE"/>
    <w:rsid w:val="20F57F95"/>
    <w:rsid w:val="240371BF"/>
    <w:rsid w:val="250C0222"/>
    <w:rsid w:val="25C741E6"/>
    <w:rsid w:val="27842671"/>
    <w:rsid w:val="28B92462"/>
    <w:rsid w:val="29C74CF4"/>
    <w:rsid w:val="29D36219"/>
    <w:rsid w:val="29FD04D3"/>
    <w:rsid w:val="2ABE7A3E"/>
    <w:rsid w:val="2C536736"/>
    <w:rsid w:val="2EFA178C"/>
    <w:rsid w:val="30B46D73"/>
    <w:rsid w:val="319F7F4E"/>
    <w:rsid w:val="327D1C08"/>
    <w:rsid w:val="3639592A"/>
    <w:rsid w:val="36A25906"/>
    <w:rsid w:val="39AE70AB"/>
    <w:rsid w:val="3C0C0783"/>
    <w:rsid w:val="3D505308"/>
    <w:rsid w:val="3F795B0E"/>
    <w:rsid w:val="3F9F3A96"/>
    <w:rsid w:val="45B241FC"/>
    <w:rsid w:val="48B06F92"/>
    <w:rsid w:val="493C27E9"/>
    <w:rsid w:val="496F39ED"/>
    <w:rsid w:val="49FF41D3"/>
    <w:rsid w:val="4A185DC8"/>
    <w:rsid w:val="4BE068DB"/>
    <w:rsid w:val="4BF6002B"/>
    <w:rsid w:val="4ECE2238"/>
    <w:rsid w:val="512E6A9A"/>
    <w:rsid w:val="51DB4B86"/>
    <w:rsid w:val="52A273C9"/>
    <w:rsid w:val="53FA5EE4"/>
    <w:rsid w:val="55333C3E"/>
    <w:rsid w:val="568C28CB"/>
    <w:rsid w:val="59754297"/>
    <w:rsid w:val="5C166CB5"/>
    <w:rsid w:val="5CA442C0"/>
    <w:rsid w:val="60096D83"/>
    <w:rsid w:val="62CE3016"/>
    <w:rsid w:val="64CA39A1"/>
    <w:rsid w:val="6785718C"/>
    <w:rsid w:val="6C4A05C8"/>
    <w:rsid w:val="707B3132"/>
    <w:rsid w:val="71E116BB"/>
    <w:rsid w:val="72734D90"/>
    <w:rsid w:val="74E366CA"/>
    <w:rsid w:val="79E7B28D"/>
    <w:rsid w:val="7C372603"/>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cs="Calibri"/>
      <w:szCs w:val="21"/>
    </w:rPr>
  </w:style>
  <w:style w:type="paragraph" w:styleId="3">
    <w:name w:val="Body Text Indent"/>
    <w:basedOn w:val="1"/>
    <w:qFormat/>
    <w:uiPriority w:val="99"/>
    <w:pPr>
      <w:spacing w:after="120"/>
      <w:ind w:left="420" w:left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4920;&#65288;2022.4.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4920;&#65288;2022.4.1.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4920;&#65288;2022.4.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4920;&#65288;2022.4.1.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4920;&#65288;2022.4.1.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307;&#32946;&#393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'[表（2022.4.1.xls]Sheet3'!$A$2</c:f>
              <c:strCache>
                <c:ptCount val="1"/>
                <c:pt idx="0">
                  <c:v>收支总额</c:v>
                </c:pt>
              </c:strCache>
            </c:strRef>
          </c:tx>
          <c:spPr>
            <a:solidFill>
              <a:schemeClr val="accent1"/>
            </a:solidFill>
            <a:ln>
              <a:noFill/>
            </a:ln>
            <a:effectLst/>
          </c:spPr>
          <c:invertIfNegative val="0"/>
          <c:dLbls>
            <c:delete val="1"/>
          </c:dLbls>
          <c:cat>
            <c:strRef>
              <c:f>'[表（2022.4.1.xls]Sheet3'!$B$1:$C$1</c:f>
              <c:strCache>
                <c:ptCount val="2"/>
                <c:pt idx="0">
                  <c:v>2020年</c:v>
                </c:pt>
                <c:pt idx="1">
                  <c:v>2021年</c:v>
                </c:pt>
              </c:strCache>
            </c:strRef>
          </c:cat>
          <c:val>
            <c:numRef>
              <c:f>'[表（2022.4.1.xls]Sheet3'!$B$2:$C$2</c:f>
              <c:numCache>
                <c:formatCode>General</c:formatCode>
                <c:ptCount val="2"/>
                <c:pt idx="0">
                  <c:v>12024.65</c:v>
                </c:pt>
                <c:pt idx="1">
                  <c:v>4946.88</c:v>
                </c:pt>
              </c:numCache>
            </c:numRef>
          </c:val>
        </c:ser>
        <c:ser>
          <c:idx val="1"/>
          <c:order val="1"/>
          <c:spPr>
            <a:solidFill>
              <a:schemeClr val="accent2"/>
            </a:solidFill>
            <a:ln>
              <a:noFill/>
            </a:ln>
            <a:effectLst/>
          </c:spPr>
          <c:invertIfNegative val="0"/>
          <c:dLbls>
            <c:delete val="1"/>
          </c:dLbls>
          <c:val>
            <c:numRef>
              <c:f>{4.3,2.5,3.5,4.5}</c:f>
              <c:numCache>
                <c:formatCode>General</c:formatCode>
                <c:ptCount val="4"/>
                <c:pt idx="0">
                  <c:v>4.3</c:v>
                </c:pt>
                <c:pt idx="1">
                  <c:v>2.5</c:v>
                </c:pt>
                <c:pt idx="2">
                  <c:v>3.5</c:v>
                </c:pt>
                <c:pt idx="3">
                  <c:v>4.5</c:v>
                </c:pt>
              </c:numCache>
            </c:numRef>
          </c:val>
        </c:ser>
        <c:ser>
          <c:idx val="2"/>
          <c:order val="2"/>
          <c:spPr>
            <a:solidFill>
              <a:schemeClr val="accent3"/>
            </a:solidFill>
            <a:ln>
              <a:noFill/>
            </a:ln>
            <a:effectLst/>
          </c:spPr>
          <c:invertIfNegative val="0"/>
          <c:dLbls>
            <c:delete val="1"/>
          </c:dLbls>
          <c:val>
            <c:numRef>
              <c:f>{2.4,4.4,1.8,2.8}</c:f>
              <c:numCache>
                <c:formatCode>General</c:formatCode>
                <c:ptCount val="4"/>
                <c:pt idx="0">
                  <c:v>2.4</c:v>
                </c:pt>
                <c:pt idx="1">
                  <c:v>4.4</c:v>
                </c:pt>
                <c:pt idx="2">
                  <c:v>1.8</c:v>
                </c:pt>
                <c:pt idx="3">
                  <c:v>2.8</c:v>
                </c:pt>
              </c:numCache>
            </c:numRef>
          </c:val>
        </c:ser>
        <c:ser>
          <c:idx val="3"/>
          <c:order val="3"/>
          <c:spPr>
            <a:solidFill>
              <a:schemeClr val="accent4"/>
            </a:solidFill>
            <a:ln>
              <a:noFill/>
            </a:ln>
            <a:effectLst/>
          </c:spPr>
          <c:invertIfNegative val="0"/>
          <c:dLbls>
            <c:delete val="1"/>
          </c:dLbls>
          <c:val>
            <c:numRef>
              <c:f>{2,2,3,5}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833814938"/>
        <c:axId val="550055247"/>
      </c:barChart>
      <c:catAx>
        <c:axId val="8338149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055247"/>
        <c:crosses val="autoZero"/>
        <c:auto val="1"/>
        <c:lblAlgn val="ctr"/>
        <c:lblOffset val="100"/>
        <c:noMultiLvlLbl val="0"/>
      </c:catAx>
      <c:valAx>
        <c:axId val="550055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8149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'[表（2022.4.1.xls]Sheet3'!$B$1</c:f>
              <c:strCache>
                <c:ptCount val="1"/>
                <c:pt idx="0">
                  <c:v>2021年本年收入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'[表（2022.4.1.xls]Sheet3'!$A$2:$A$3</c:f>
              <c:strCache>
                <c:ptCount val="2"/>
                <c:pt idx="0">
                  <c:v>一般公共预算财政拨款收入</c:v>
                </c:pt>
                <c:pt idx="1">
                  <c:v>政府性基金预算财政拨款</c:v>
                </c:pt>
              </c:strCache>
            </c:strRef>
          </c:cat>
          <c:val>
            <c:numRef>
              <c:f>'[表（2022.4.1.xls]Sheet3'!$B$2:$B$3</c:f>
              <c:numCache>
                <c:formatCode>General</c:formatCode>
                <c:ptCount val="2"/>
                <c:pt idx="0">
                  <c:v>4908.47</c:v>
                </c:pt>
                <c:pt idx="1">
                  <c:v>38.41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'[表（2022.4.1.xls]Sheet3'!$B$1</c:f>
              <c:strCache>
                <c:ptCount val="1"/>
                <c:pt idx="0">
                  <c:v>2021年本年支出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'[表（2022.4.1.xls]Sheet3'!$A$2:$A$3</c:f>
              <c:strCache>
                <c:ptCount val="2"/>
                <c:pt idx="0">
                  <c:v>基本支出</c:v>
                </c:pt>
                <c:pt idx="1">
                  <c:v>项目支出</c:v>
                </c:pt>
              </c:strCache>
            </c:strRef>
          </c:cat>
          <c:val>
            <c:numRef>
              <c:f>'[表（2022.4.1.xls]Sheet3'!$B$2:$B$3</c:f>
              <c:numCache>
                <c:formatCode>General</c:formatCode>
                <c:ptCount val="2"/>
                <c:pt idx="0">
                  <c:v>491.82</c:v>
                </c:pt>
                <c:pt idx="1">
                  <c:v>4455.06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'[表（2022.4.1.xls]Sheet3'!$B$14:$C$14</c:f>
              <c:strCache>
                <c:ptCount val="2"/>
                <c:pt idx="0">
                  <c:v>2020年</c:v>
                </c:pt>
                <c:pt idx="1">
                  <c:v>2021年</c:v>
                </c:pt>
              </c:strCache>
            </c:strRef>
          </c:cat>
          <c:val>
            <c:numRef>
              <c:f>'[表（2022.4.1.xls]Sheet3'!$B$15:$C$15</c:f>
              <c:numCache>
                <c:formatCode>General</c:formatCode>
                <c:ptCount val="2"/>
                <c:pt idx="0">
                  <c:v>12024.65</c:v>
                </c:pt>
                <c:pt idx="1">
                  <c:v>4946.88</c:v>
                </c:pt>
              </c:numCache>
            </c:numRef>
          </c:val>
        </c:ser>
        <c:dLbls>
          <c:showLegendKey val="0"/>
          <c:showVal val="0"/>
          <c:showCatName val="0"/>
          <c:showSerName val="0"/>
          <c:showPercent val="0"/>
          <c:showBubbleSize val="0"/>
        </c:dLbls>
        <c:gapWidth val="219"/>
        <c:overlap val="-27"/>
        <c:axId val="507497787"/>
        <c:axId val="304393170"/>
      </c:barChart>
      <c:catAx>
        <c:axId val="5074977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393170"/>
        <c:crosses val="autoZero"/>
        <c:auto val="1"/>
        <c:lblAlgn val="ctr"/>
        <c:lblOffset val="100"/>
        <c:noMultiLvlLbl val="0"/>
      </c:catAx>
      <c:valAx>
        <c:axId val="3043931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4977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'[表（2022.4.1.xls]Sheet3'!$B$14:$C$14</c:f>
              <c:strCache>
                <c:ptCount val="2"/>
                <c:pt idx="0">
                  <c:v>2020年</c:v>
                </c:pt>
                <c:pt idx="1">
                  <c:v>2021年</c:v>
                </c:pt>
              </c:strCache>
            </c:strRef>
          </c:cat>
          <c:val>
            <c:numRef>
              <c:f>'[表（2022.4.1.xls]Sheet3'!$B$15:$C$15</c:f>
              <c:numCache>
                <c:formatCode>General</c:formatCode>
                <c:ptCount val="2"/>
                <c:pt idx="0">
                  <c:v>3329.34</c:v>
                </c:pt>
                <c:pt idx="1">
                  <c:v>4908.47</c:v>
                </c:pt>
              </c:numCache>
            </c:numRef>
          </c:val>
        </c:ser>
        <c:dLbls>
          <c:showLegendKey val="0"/>
          <c:showVal val="0"/>
          <c:showCatName val="0"/>
          <c:showSerName val="0"/>
          <c:showPercent val="0"/>
          <c:showBubbleSize val="0"/>
        </c:dLbls>
        <c:gapWidth val="219"/>
        <c:overlap val="-27"/>
        <c:axId val="165196061"/>
        <c:axId val="886391872"/>
      </c:barChart>
      <c:catAx>
        <c:axId val="1651960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391872"/>
        <c:crosses val="autoZero"/>
        <c:auto val="1"/>
        <c:lblAlgn val="ctr"/>
        <c:lblOffset val="100"/>
        <c:noMultiLvlLbl val="0"/>
      </c:catAx>
      <c:valAx>
        <c:axId val="88639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1960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[体育馆.xls]Sheet3!$A$12:$A$16</c:f>
              <c:strCache>
                <c:ptCount val="5"/>
                <c:pt idx="0">
                  <c:v>文化旅游体育与传媒</c:v>
                </c:pt>
                <c:pt idx="1">
                  <c:v>社会保障和就业</c:v>
                </c:pt>
                <c:pt idx="2">
                  <c:v>卫生健康支出</c:v>
                </c:pt>
                <c:pt idx="3">
                  <c:v>农林水支出</c:v>
                </c:pt>
                <c:pt idx="4">
                  <c:v>住房保障支出</c:v>
                </c:pt>
              </c:strCache>
            </c:strRef>
          </c:cat>
          <c:val>
            <c:numRef>
              <c:f>[体育馆.xls]Sheet3!$B$12:$B$16</c:f>
              <c:numCache>
                <c:formatCode>General</c:formatCode>
                <c:ptCount val="5"/>
                <c:pt idx="0">
                  <c:v>4653.71</c:v>
                </c:pt>
                <c:pt idx="1">
                  <c:v>41.5</c:v>
                </c:pt>
                <c:pt idx="2">
                  <c:v>21.08</c:v>
                </c:pt>
                <c:pt idx="3">
                  <c:v>150</c:v>
                </c:pt>
                <c:pt idx="4">
                  <c:v>42.18</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[体育馆.xls]Sheet3!$A$12:$A$16</c:f>
              <c:strCache>
                <c:ptCount val="5"/>
                <c:pt idx="0">
                  <c:v>文化旅游体育与传媒</c:v>
                </c:pt>
                <c:pt idx="1">
                  <c:v>社会保障和就业</c:v>
                </c:pt>
                <c:pt idx="2">
                  <c:v>卫生健康支出</c:v>
                </c:pt>
                <c:pt idx="3">
                  <c:v>农林水支出</c:v>
                </c:pt>
                <c:pt idx="4">
                  <c:v>住房保障支出</c:v>
                </c:pt>
              </c:strCache>
            </c:strRef>
          </c:cat>
          <c:val>
            <c:numRef>
              <c:f>[体育馆.xls]Sheet3!$C$12:$C$16</c:f>
              <c:numCache>
                <c:formatCode>0.00%</c:formatCode>
                <c:ptCount val="5"/>
                <c:pt idx="0">
                  <c:v>0.948</c:v>
                </c:pt>
                <c:pt idx="1">
                  <c:v>0.0085</c:v>
                </c:pt>
                <c:pt idx="2">
                  <c:v>0.0043</c:v>
                </c:pt>
                <c:pt idx="3">
                  <c:v>0.0306</c:v>
                </c:pt>
                <c:pt idx="4">
                  <c:v>0.0086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11252</Words>
  <Characters>12287</Characters>
  <Lines>61</Lines>
  <Paragraphs>17</Paragraphs>
  <TotalTime>1</TotalTime>
  <ScaleCrop>false</ScaleCrop>
  <LinksUpToDate>false</LinksUpToDate>
  <CharactersWithSpaces>12353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2022-08-06T02:23:00Z</cp:lastPrinted>
  <dcterms:modified xsi:type="dcterms:W3CDTF">2023-09-27T07:44:11Z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78A187062C2748518EF0C38EEC626BDD</vt:lpwstr>
  </property>
</Properties>
</file>