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eastAsia="方正小标宋简体"/>
          <w:color w:val="auto"/>
          <w:sz w:val="21"/>
          <w:szCs w:val="21"/>
          <w:highlight w:val="none"/>
        </w:rPr>
      </w:pPr>
      <w:bookmarkStart w:id="0" w:name="_Toc15306267"/>
    </w:p>
    <w:p>
      <w:pPr>
        <w:spacing w:line="600" w:lineRule="exact"/>
        <w:jc w:val="center"/>
        <w:outlineLvl w:val="9"/>
        <w:rPr>
          <w:rFonts w:ascii="方正小标宋简体" w:eastAsia="方正小标宋简体"/>
          <w:color w:val="auto"/>
          <w:sz w:val="72"/>
          <w:szCs w:val="72"/>
          <w:highlight w:val="none"/>
        </w:rPr>
      </w:pPr>
    </w:p>
    <w:p>
      <w:pPr>
        <w:spacing w:line="600" w:lineRule="exact"/>
        <w:jc w:val="center"/>
        <w:outlineLvl w:val="9"/>
        <w:rPr>
          <w:rFonts w:ascii="方正小标宋简体" w:eastAsia="方正小标宋简体"/>
          <w:color w:val="auto"/>
          <w:sz w:val="72"/>
          <w:szCs w:val="72"/>
          <w:highlight w:val="none"/>
        </w:rPr>
      </w:pPr>
    </w:p>
    <w:bookmarkEnd w:id="0"/>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1" w:name="_Toc15377193"/>
      <w:bookmarkStart w:id="2" w:name="_Toc15396475"/>
      <w:bookmarkStart w:id="3" w:name="_Toc15377425"/>
      <w:bookmarkStart w:id="4" w:name="_Toc15396597"/>
      <w:bookmarkStart w:id="5" w:name="_Toc15378441"/>
      <w:bookmarkStart w:id="6" w:name="_Toc21391"/>
      <w:bookmarkStart w:id="7" w:name="_Toc24615"/>
      <w:bookmarkStart w:id="8" w:name="_Toc23498"/>
      <w:r>
        <w:rPr>
          <w:rFonts w:hint="eastAsia" w:ascii="方正小标宋简体" w:eastAsia="方正小标宋简体" w:cs="方正小标宋简体"/>
          <w:color w:val="auto"/>
          <w:sz w:val="72"/>
          <w:szCs w:val="72"/>
          <w:highlight w:val="none"/>
        </w:rPr>
        <w:t>20</w:t>
      </w:r>
      <w:r>
        <w:rPr>
          <w:rFonts w:hint="eastAsia" w:ascii="方正小标宋简体" w:eastAsia="方正小标宋简体" w:cs="方正小标宋简体"/>
          <w:color w:val="auto"/>
          <w:sz w:val="72"/>
          <w:szCs w:val="72"/>
          <w:highlight w:val="none"/>
          <w:lang w:val="en-US" w:eastAsia="zh-CN"/>
        </w:rPr>
        <w:t>22</w:t>
      </w:r>
      <w:r>
        <w:rPr>
          <w:rFonts w:hint="eastAsia" w:asci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bookmarkEnd w:id="8"/>
    </w:p>
    <w:p>
      <w:pPr>
        <w:adjustRightInd w:val="0"/>
        <w:snapToGrid w:val="0"/>
        <w:spacing w:line="360" w:lineRule="auto"/>
        <w:jc w:val="center"/>
        <w:outlineLvl w:val="0"/>
        <w:rPr>
          <w:rFonts w:hint="eastAsia" w:ascii="方正小标宋简体" w:eastAsia="方正小标宋简体" w:cs="方正小标宋简体"/>
          <w:color w:val="auto"/>
          <w:sz w:val="72"/>
          <w:szCs w:val="72"/>
          <w:highlight w:val="none"/>
        </w:rPr>
      </w:pPr>
      <w:bookmarkStart w:id="9" w:name="_Toc25550"/>
      <w:bookmarkStart w:id="10" w:name="_Toc15396598"/>
      <w:bookmarkStart w:id="11" w:name="_Toc15377194"/>
      <w:bookmarkStart w:id="12" w:name="_Toc15378442"/>
      <w:bookmarkStart w:id="13" w:name="_Toc28891"/>
      <w:bookmarkStart w:id="14" w:name="_Toc15377426"/>
      <w:bookmarkStart w:id="15" w:name="_Toc15396476"/>
      <w:bookmarkStart w:id="16" w:name="_Toc22933"/>
      <w:r>
        <w:rPr>
          <w:rFonts w:hint="eastAsia" w:ascii="方正小标宋简体" w:eastAsia="方正小标宋简体" w:cs="方正小标宋简体"/>
          <w:color w:val="auto"/>
          <w:sz w:val="72"/>
          <w:szCs w:val="72"/>
          <w:highlight w:val="none"/>
        </w:rPr>
        <w:t>四川省</w:t>
      </w:r>
      <w:bookmarkStart w:id="17" w:name="_Toc15306268"/>
      <w:r>
        <w:rPr>
          <w:rFonts w:hint="eastAsia" w:ascii="方正小标宋简体" w:eastAsia="方正小标宋简体" w:cs="方正小标宋简体"/>
          <w:color w:val="auto"/>
          <w:sz w:val="72"/>
          <w:szCs w:val="72"/>
          <w:highlight w:val="none"/>
        </w:rPr>
        <w:t>广元市</w:t>
      </w:r>
      <w:r>
        <w:rPr>
          <w:rFonts w:hint="eastAsia" w:ascii="方正小标宋简体" w:eastAsia="方正小标宋简体" w:cs="方正小标宋简体"/>
          <w:color w:val="auto"/>
          <w:sz w:val="72"/>
          <w:szCs w:val="72"/>
          <w:highlight w:val="none"/>
          <w:lang w:eastAsia="zh-CN"/>
        </w:rPr>
        <w:t>昭化区黄龙乡</w:t>
      </w:r>
      <w:r>
        <w:rPr>
          <w:rFonts w:hint="eastAsia" w:ascii="方正小标宋简体" w:eastAsia="方正小标宋简体" w:cs="方正小标宋简体"/>
          <w:color w:val="auto"/>
          <w:sz w:val="72"/>
          <w:szCs w:val="72"/>
          <w:highlight w:val="none"/>
        </w:rPr>
        <w:t>卫生院</w:t>
      </w:r>
      <w:r>
        <w:rPr>
          <w:rFonts w:hint="eastAsia" w:ascii="方正小标宋简体" w:eastAsia="方正小标宋简体" w:cs="方正小标宋简体"/>
          <w:color w:val="auto"/>
          <w:sz w:val="72"/>
          <w:szCs w:val="72"/>
          <w:highlight w:val="none"/>
          <w:lang w:eastAsia="zh-CN"/>
        </w:rPr>
        <w:t>单位</w:t>
      </w:r>
      <w:r>
        <w:rPr>
          <w:rFonts w:hint="eastAsia" w:ascii="方正小标宋简体" w:eastAsia="方正小标宋简体" w:cs="方正小标宋简体"/>
          <w:color w:val="auto"/>
          <w:sz w:val="72"/>
          <w:szCs w:val="72"/>
          <w:highlight w:val="none"/>
        </w:rPr>
        <w:t>决算</w:t>
      </w:r>
      <w:bookmarkEnd w:id="9"/>
      <w:bookmarkEnd w:id="10"/>
      <w:bookmarkEnd w:id="11"/>
      <w:bookmarkEnd w:id="12"/>
      <w:bookmarkEnd w:id="13"/>
      <w:bookmarkEnd w:id="14"/>
      <w:bookmarkEnd w:id="15"/>
      <w:bookmarkEnd w:id="16"/>
      <w:bookmarkEnd w:id="17"/>
    </w:p>
    <w:p>
      <w:pPr>
        <w:widowControl/>
        <w:jc w:val="center"/>
        <w:rPr>
          <w:rFonts w:hint="eastAsia" w:ascii="黑体" w:eastAsia="黑体"/>
          <w:color w:val="auto"/>
          <w:sz w:val="48"/>
          <w:szCs w:val="48"/>
          <w:highlight w:val="none"/>
        </w:rPr>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pPr>
    </w:p>
    <w:p>
      <w:pPr>
        <w:widowControl/>
        <w:jc w:val="center"/>
        <w:rPr>
          <w:rFonts w:ascii="黑体" w:eastAsia="黑体"/>
          <w:color w:val="auto"/>
          <w:sz w:val="48"/>
          <w:szCs w:val="48"/>
          <w:highlight w:val="none"/>
        </w:rPr>
      </w:pPr>
      <w:r>
        <w:rPr>
          <w:rFonts w:hint="eastAsia" w:ascii="黑体" w:eastAsia="黑体"/>
          <w:color w:val="auto"/>
          <w:sz w:val="48"/>
          <w:szCs w:val="48"/>
          <w:highlight w:val="none"/>
        </w:rPr>
        <w:t>目录</w:t>
      </w:r>
    </w:p>
    <w:p>
      <w:pPr>
        <w:widowControl/>
        <w:jc w:val="center"/>
        <w:rPr>
          <w:rFonts w:ascii="黑体" w:eastAsia="黑体" w:cs="Arial"/>
          <w:color w:val="auto"/>
          <w:sz w:val="28"/>
          <w:szCs w:val="28"/>
          <w:highlight w:val="none"/>
        </w:rPr>
      </w:pPr>
    </w:p>
    <w:p>
      <w:pPr>
        <w:pStyle w:val="8"/>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 xml:space="preserve"> 9</w:t>
      </w:r>
      <w:r>
        <w:rPr>
          <w:rFonts w:hint="eastAsia"/>
          <w:color w:val="auto"/>
          <w:highlight w:val="none"/>
        </w:rPr>
        <w:t>月</w:t>
      </w:r>
      <w:r>
        <w:rPr>
          <w:rFonts w:hint="eastAsia"/>
          <w:color w:val="auto"/>
          <w:highlight w:val="none"/>
          <w:lang w:val="en-US" w:eastAsia="zh-CN"/>
        </w:rPr>
        <w:t xml:space="preserve">28 </w:t>
      </w:r>
      <w:r>
        <w:rPr>
          <w:rFonts w:hint="eastAsia"/>
          <w:color w:val="auto"/>
          <w:highlight w:val="none"/>
        </w:rPr>
        <w:t>日</w:t>
      </w:r>
    </w:p>
    <w:sdt>
      <w:sdtPr>
        <w:rPr>
          <w:rFonts w:ascii="宋体" w:hAnsi="宋体" w:eastAsia="宋体" w:cs="Times New Roman"/>
          <w:kern w:val="2"/>
          <w:sz w:val="21"/>
          <w:szCs w:val="24"/>
          <w:lang w:val="en-US" w:eastAsia="zh-CN" w:bidi="ar-SA"/>
        </w:rPr>
        <w:id w:val="147469799"/>
        <w15:color w:val="DBDBDB"/>
        <w:docPartObj>
          <w:docPartGallery w:val="Table of Contents"/>
          <w:docPartUnique/>
        </w:docPartObj>
      </w:sdtPr>
      <w:sdtEndPr>
        <w:rPr>
          <w:rFonts w:hint="eastAsia" w:ascii="黑体" w:hAnsi="Times New Roman" w:eastAsia="黑体" w:cs="Times New Roman"/>
          <w:b/>
          <w:bCs/>
          <w:color w:val="auto"/>
          <w:kern w:val="44"/>
          <w:sz w:val="44"/>
          <w:szCs w:val="44"/>
          <w:highlight w:val="none"/>
          <w:lang w:val="en-US" w:eastAsia="zh-CN" w:bidi="ar-SA"/>
        </w:rPr>
      </w:sdtEndPr>
      <w:sdtContent>
        <w:p>
          <w:pPr>
            <w:spacing w:before="0" w:beforeLines="0" w:after="0" w:afterLines="0" w:line="240" w:lineRule="auto"/>
            <w:ind w:left="0" w:leftChars="0" w:right="0" w:rightChars="0" w:firstLine="0" w:firstLineChars="0"/>
            <w:jc w:val="center"/>
          </w:pPr>
        </w:p>
        <w:p>
          <w:pPr>
            <w:pStyle w:val="18"/>
            <w:tabs>
              <w:tab w:val="right" w:leader="dot" w:pos="8306"/>
            </w:tabs>
          </w:pPr>
          <w:r>
            <w:rPr>
              <w:rFonts w:hint="eastAsia" w:ascii="黑体" w:eastAsia="黑体"/>
              <w:b w:val="0"/>
              <w:color w:val="auto"/>
              <w:highlight w:val="none"/>
            </w:rPr>
            <w:fldChar w:fldCharType="begin"/>
          </w:r>
          <w:r>
            <w:rPr>
              <w:rFonts w:hint="eastAsia" w:ascii="黑体" w:eastAsia="黑体"/>
              <w:b w:val="0"/>
              <w:color w:val="auto"/>
              <w:highlight w:val="none"/>
            </w:rPr>
            <w:instrText xml:space="preserve">TOC \o "1-3" \h \u </w:instrText>
          </w:r>
          <w:r>
            <w:rPr>
              <w:rFonts w:hint="eastAsia" w:ascii="黑体" w:eastAsia="黑体"/>
              <w:b w:val="0"/>
              <w:color w:val="auto"/>
              <w:highlight w:val="none"/>
            </w:rPr>
            <w:fldChar w:fldCharType="separate"/>
          </w:r>
          <w:r>
            <w:rPr>
              <w:rFonts w:hint="eastAsia" w:ascii="黑体" w:eastAsia="黑体"/>
              <w:color w:val="auto"/>
              <w:highlight w:val="none"/>
            </w:rPr>
            <w:fldChar w:fldCharType="begin"/>
          </w:r>
          <w:r>
            <w:rPr>
              <w:rFonts w:hint="eastAsia" w:ascii="黑体" w:eastAsia="黑体"/>
              <w:highlight w:val="none"/>
            </w:rPr>
            <w:instrText xml:space="preserve"> HYPERLINK \l _Toc3768 </w:instrText>
          </w:r>
          <w:r>
            <w:rPr>
              <w:rFonts w:hint="eastAsia" w:ascii="黑体" w:eastAsia="黑体"/>
              <w:highlight w:val="none"/>
            </w:rPr>
            <w:fldChar w:fldCharType="separate"/>
          </w:r>
          <w:r>
            <w:rPr>
              <w:rFonts w:hint="eastAsia" w:ascii="黑体" w:eastAsia="黑体"/>
              <w:highlight w:val="none"/>
            </w:rPr>
            <w:t xml:space="preserve">第一部分 </w:t>
          </w:r>
          <w:r>
            <w:rPr>
              <w:rFonts w:hint="eastAsia" w:ascii="黑体" w:eastAsia="黑体"/>
              <w:highlight w:val="none"/>
              <w:lang w:eastAsia="zh-CN"/>
            </w:rPr>
            <w:t>单位</w:t>
          </w:r>
          <w:r>
            <w:rPr>
              <w:rFonts w:hint="eastAsia" w:ascii="黑体" w:eastAsia="黑体"/>
              <w:bCs w:val="0"/>
              <w:highlight w:val="none"/>
            </w:rPr>
            <w:t>概况</w:t>
          </w:r>
          <w:r>
            <w:tab/>
          </w:r>
          <w:r>
            <w:fldChar w:fldCharType="begin"/>
          </w:r>
          <w:r>
            <w:instrText xml:space="preserve"> PAGEREF _Toc3768 \h </w:instrText>
          </w:r>
          <w:r>
            <w:fldChar w:fldCharType="separate"/>
          </w:r>
          <w:r>
            <w:t>1</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_Toc11464 </w:instrText>
          </w:r>
          <w:r>
            <w:rPr>
              <w:rFonts w:hint="eastAsia" w:ascii="黑体" w:eastAsia="黑体"/>
              <w:highlight w:val="none"/>
            </w:rPr>
            <w:fldChar w:fldCharType="separate"/>
          </w:r>
          <w:r>
            <w:rPr>
              <w:rFonts w:hint="eastAsia" w:ascii="黑体" w:eastAsia="黑体"/>
              <w:bCs w:val="0"/>
              <w:lang w:eastAsia="zh-CN"/>
            </w:rPr>
            <w:t xml:space="preserve">一、 </w:t>
          </w:r>
          <w:r>
            <w:rPr>
              <w:rFonts w:hint="eastAsia" w:ascii="黑体" w:eastAsia="黑体"/>
              <w:bCs w:val="0"/>
              <w:highlight w:val="none"/>
              <w:lang w:eastAsia="zh-CN"/>
            </w:rPr>
            <w:t>主要职责</w:t>
          </w:r>
          <w:r>
            <w:tab/>
          </w:r>
          <w:r>
            <w:fldChar w:fldCharType="begin"/>
          </w:r>
          <w:r>
            <w:instrText xml:space="preserve"> PAGEREF _Toc11464 \h </w:instrText>
          </w:r>
          <w:r>
            <w:fldChar w:fldCharType="separate"/>
          </w:r>
          <w:r>
            <w:t>1</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_Toc32545 </w:instrText>
          </w:r>
          <w:r>
            <w:rPr>
              <w:rFonts w:hint="eastAsia" w:ascii="黑体" w:eastAsia="黑体"/>
              <w:highlight w:val="none"/>
            </w:rPr>
            <w:fldChar w:fldCharType="separate"/>
          </w:r>
          <w:r>
            <w:rPr>
              <w:rFonts w:hint="eastAsia" w:ascii="黑体" w:eastAsia="黑体"/>
              <w:highlight w:val="none"/>
              <w:lang w:val="en-US" w:eastAsia="zh-CN"/>
            </w:rPr>
            <w:t>二、机构设置</w:t>
          </w:r>
          <w:r>
            <w:tab/>
          </w:r>
          <w:r>
            <w:fldChar w:fldCharType="begin"/>
          </w:r>
          <w:r>
            <w:instrText xml:space="preserve"> PAGEREF _Toc32545 \h </w:instrText>
          </w:r>
          <w:r>
            <w:fldChar w:fldCharType="separate"/>
          </w:r>
          <w:r>
            <w:t>2</w:t>
          </w:r>
          <w:r>
            <w:fldChar w:fldCharType="end"/>
          </w:r>
          <w:r>
            <w:rPr>
              <w:rFonts w:hint="eastAsia" w:ascii="黑体" w:eastAsia="黑体"/>
              <w:color w:val="auto"/>
              <w:highlight w:val="none"/>
            </w:rPr>
            <w:fldChar w:fldCharType="end"/>
          </w:r>
        </w:p>
        <w:p>
          <w:pPr>
            <w:pStyle w:val="18"/>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_Toc8104 </w:instrText>
          </w:r>
          <w:r>
            <w:rPr>
              <w:rFonts w:hint="eastAsia" w:ascii="黑体" w:eastAsia="黑体"/>
              <w:highlight w:val="none"/>
            </w:rPr>
            <w:fldChar w:fldCharType="separate"/>
          </w:r>
          <w:r>
            <w:rPr>
              <w:rFonts w:hint="eastAsia" w:ascii="黑体" w:hAnsi="Times New Roman" w:eastAsia="黑体" w:cs="Times New Roman"/>
              <w:bCs/>
              <w:highlight w:val="none"/>
            </w:rPr>
            <w:t xml:space="preserve">第二部分 </w:t>
          </w:r>
          <w:r>
            <w:rPr>
              <w:rFonts w:hint="eastAsia" w:ascii="黑体" w:hAnsi="Times New Roman" w:eastAsia="黑体" w:cs="Times New Roman"/>
              <w:bCs/>
              <w:highlight w:val="none"/>
              <w:lang w:val="en-US" w:eastAsia="zh-CN"/>
            </w:rPr>
            <w:t>2022年度</w:t>
          </w:r>
          <w:r>
            <w:rPr>
              <w:rFonts w:hint="eastAsia" w:ascii="黑体" w:hAnsi="Times New Roman" w:eastAsia="黑体" w:cs="Times New Roman"/>
              <w:bCs/>
              <w:highlight w:val="none"/>
              <w:lang w:eastAsia="zh-CN"/>
            </w:rPr>
            <w:t>单位</w:t>
          </w:r>
          <w:r>
            <w:rPr>
              <w:rFonts w:hint="eastAsia" w:ascii="黑体" w:hAnsi="Times New Roman" w:eastAsia="黑体" w:cs="Times New Roman"/>
              <w:bCs/>
              <w:highlight w:val="none"/>
            </w:rPr>
            <w:t>决算情况说明</w:t>
          </w:r>
          <w:r>
            <w:tab/>
          </w:r>
          <w:r>
            <w:fldChar w:fldCharType="begin"/>
          </w:r>
          <w:r>
            <w:instrText xml:space="preserve"> PAGEREF _Toc8104 \h </w:instrText>
          </w:r>
          <w:r>
            <w:fldChar w:fldCharType="separate"/>
          </w:r>
          <w:r>
            <w:t>3</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_Toc12674 </w:instrText>
          </w:r>
          <w:r>
            <w:rPr>
              <w:rFonts w:hint="eastAsia" w:ascii="黑体" w:eastAsia="黑体"/>
              <w:highlight w:val="none"/>
            </w:rPr>
            <w:fldChar w:fldCharType="separate"/>
          </w:r>
          <w:r>
            <w:rPr>
              <w:rFonts w:hint="default" w:ascii="黑体" w:eastAsia="黑体"/>
            </w:rPr>
            <w:t xml:space="preserve">一、 </w:t>
          </w:r>
          <w:r>
            <w:rPr>
              <w:rFonts w:hint="eastAsia" w:ascii="黑体" w:eastAsia="黑体"/>
              <w:szCs w:val="32"/>
              <w:highlight w:val="none"/>
            </w:rPr>
            <w:t>收</w:t>
          </w:r>
          <w:r>
            <w:rPr>
              <w:rFonts w:hint="eastAsia" w:ascii="黑体" w:eastAsia="黑体"/>
              <w:highlight w:val="none"/>
            </w:rPr>
            <w:t>入支出决算总体情况说明</w:t>
          </w:r>
          <w:r>
            <w:tab/>
          </w:r>
          <w:r>
            <w:fldChar w:fldCharType="begin"/>
          </w:r>
          <w:r>
            <w:instrText xml:space="preserve"> PAGEREF _Toc12674 \h </w:instrText>
          </w:r>
          <w:r>
            <w:fldChar w:fldCharType="separate"/>
          </w:r>
          <w:r>
            <w:t>3</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_Toc25239 </w:instrText>
          </w:r>
          <w:r>
            <w:rPr>
              <w:rFonts w:hint="eastAsia" w:ascii="黑体" w:eastAsia="黑体"/>
              <w:highlight w:val="none"/>
            </w:rPr>
            <w:fldChar w:fldCharType="separate"/>
          </w:r>
          <w:r>
            <w:rPr>
              <w:rFonts w:hint="default" w:ascii="黑体" w:eastAsia="黑体"/>
            </w:rPr>
            <w:t xml:space="preserve">二、 </w:t>
          </w:r>
          <w:r>
            <w:rPr>
              <w:rFonts w:hint="eastAsia" w:ascii="黑体" w:eastAsia="黑体"/>
              <w:szCs w:val="32"/>
              <w:highlight w:val="none"/>
            </w:rPr>
            <w:t>收</w:t>
          </w:r>
          <w:r>
            <w:rPr>
              <w:rFonts w:hint="eastAsia" w:ascii="黑体" w:eastAsia="黑体"/>
              <w:highlight w:val="none"/>
            </w:rPr>
            <w:t>入决算情况说明</w:t>
          </w:r>
          <w:r>
            <w:tab/>
          </w:r>
          <w:r>
            <w:fldChar w:fldCharType="begin"/>
          </w:r>
          <w:r>
            <w:instrText xml:space="preserve"> PAGEREF _Toc25239 \h </w:instrText>
          </w:r>
          <w:r>
            <w:fldChar w:fldCharType="separate"/>
          </w:r>
          <w:r>
            <w:t>3</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_Toc26197 </w:instrText>
          </w:r>
          <w:r>
            <w:rPr>
              <w:rFonts w:hint="eastAsia" w:ascii="黑体" w:eastAsia="黑体"/>
              <w:highlight w:val="none"/>
            </w:rPr>
            <w:fldChar w:fldCharType="separate"/>
          </w:r>
          <w:r>
            <w:rPr>
              <w:rFonts w:hint="default" w:ascii="黑体" w:eastAsia="黑体"/>
            </w:rPr>
            <w:t xml:space="preserve">三、 </w:t>
          </w:r>
          <w:r>
            <w:rPr>
              <w:rFonts w:hint="eastAsia" w:ascii="黑体" w:eastAsia="黑体"/>
              <w:szCs w:val="32"/>
              <w:highlight w:val="none"/>
            </w:rPr>
            <w:t>支</w:t>
          </w:r>
          <w:r>
            <w:rPr>
              <w:rFonts w:hint="eastAsia" w:ascii="黑体" w:eastAsia="黑体"/>
              <w:highlight w:val="none"/>
            </w:rPr>
            <w:t>出决算情况说明</w:t>
          </w:r>
          <w:r>
            <w:tab/>
          </w:r>
          <w:r>
            <w:fldChar w:fldCharType="begin"/>
          </w:r>
          <w:r>
            <w:instrText xml:space="preserve"> PAGEREF _Toc26197 \h </w:instrText>
          </w:r>
          <w:r>
            <w:fldChar w:fldCharType="separate"/>
          </w:r>
          <w:r>
            <w:t>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_Toc20838 </w:instrText>
          </w:r>
          <w:r>
            <w:rPr>
              <w:rFonts w:hint="eastAsia" w:ascii="黑体" w:eastAsia="黑体"/>
              <w:highlight w:val="none"/>
            </w:rPr>
            <w:fldChar w:fldCharType="separate"/>
          </w:r>
          <w:r>
            <w:rPr>
              <w:rFonts w:hint="eastAsia" w:ascii="黑体" w:eastAsia="黑体"/>
              <w:szCs w:val="32"/>
              <w:highlight w:val="none"/>
            </w:rPr>
            <w:t>四、财</w:t>
          </w:r>
          <w:r>
            <w:rPr>
              <w:rFonts w:hint="eastAsia" w:ascii="黑体" w:eastAsia="黑体"/>
              <w:highlight w:val="none"/>
            </w:rPr>
            <w:t>政拨款收入支出决算总体情况说明</w:t>
          </w:r>
          <w:r>
            <w:tab/>
          </w:r>
          <w:r>
            <w:fldChar w:fldCharType="begin"/>
          </w:r>
          <w:r>
            <w:instrText xml:space="preserve"> PAGEREF _Toc20838 \h </w:instrText>
          </w:r>
          <w:r>
            <w:fldChar w:fldCharType="separate"/>
          </w:r>
          <w:r>
            <w:t>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_Toc18850 </w:instrText>
          </w:r>
          <w:r>
            <w:rPr>
              <w:rFonts w:hint="eastAsia" w:ascii="黑体" w:eastAsia="黑体"/>
              <w:highlight w:val="none"/>
            </w:rPr>
            <w:fldChar w:fldCharType="separate"/>
          </w:r>
          <w:r>
            <w:rPr>
              <w:rFonts w:hint="eastAsia" w:ascii="黑体" w:eastAsia="黑体"/>
              <w:szCs w:val="32"/>
              <w:highlight w:val="none"/>
            </w:rPr>
            <w:t>五、一</w:t>
          </w:r>
          <w:r>
            <w:rPr>
              <w:rFonts w:hint="eastAsia" w:ascii="黑体" w:eastAsia="黑体"/>
              <w:highlight w:val="none"/>
            </w:rPr>
            <w:t>般公共预算财政拨款支出决算情况说明</w:t>
          </w:r>
          <w:r>
            <w:tab/>
          </w:r>
          <w:r>
            <w:fldChar w:fldCharType="begin"/>
          </w:r>
          <w:r>
            <w:instrText xml:space="preserve"> PAGEREF _Toc18850 \h </w:instrText>
          </w:r>
          <w:r>
            <w:fldChar w:fldCharType="separate"/>
          </w:r>
          <w:r>
            <w:t>5</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_Toc30688 </w:instrText>
          </w:r>
          <w:r>
            <w:rPr>
              <w:rFonts w:hint="eastAsia" w:ascii="黑体" w:eastAsia="黑体"/>
              <w:highlight w:val="none"/>
            </w:rPr>
            <w:fldChar w:fldCharType="separate"/>
          </w:r>
          <w:r>
            <w:rPr>
              <w:rFonts w:hint="eastAsia" w:ascii="黑体" w:eastAsia="黑体"/>
              <w:szCs w:val="32"/>
              <w:highlight w:val="none"/>
            </w:rPr>
            <w:t>六、一</w:t>
          </w:r>
          <w:r>
            <w:rPr>
              <w:rFonts w:hint="eastAsia" w:ascii="黑体" w:eastAsia="黑体"/>
              <w:highlight w:val="none"/>
            </w:rPr>
            <w:t>般公共预算财政拨款基本支出决算情况说明</w:t>
          </w:r>
          <w:r>
            <w:tab/>
          </w:r>
          <w:r>
            <w:fldChar w:fldCharType="begin"/>
          </w:r>
          <w:r>
            <w:instrText xml:space="preserve"> PAGEREF _Toc30688 \h </w:instrText>
          </w:r>
          <w:r>
            <w:fldChar w:fldCharType="separate"/>
          </w:r>
          <w:r>
            <w:t>7</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_Toc6576 </w:instrText>
          </w:r>
          <w:r>
            <w:rPr>
              <w:rFonts w:hint="eastAsia" w:ascii="黑体" w:eastAsia="黑体"/>
              <w:highlight w:val="none"/>
            </w:rPr>
            <w:fldChar w:fldCharType="separate"/>
          </w:r>
          <w:r>
            <w:rPr>
              <w:rFonts w:hint="eastAsia" w:ascii="黑体" w:eastAsia="黑体"/>
              <w:szCs w:val="32"/>
              <w:highlight w:val="none"/>
            </w:rPr>
            <w:t>七、</w:t>
          </w:r>
          <w:r>
            <w:rPr>
              <w:rFonts w:hint="eastAsia" w:ascii="黑体" w:eastAsia="黑体"/>
              <w:highlight w:val="none"/>
            </w:rPr>
            <w:t>财政拨款“三公”经费支出决算情况说明</w:t>
          </w:r>
          <w:r>
            <w:tab/>
          </w:r>
          <w:r>
            <w:fldChar w:fldCharType="begin"/>
          </w:r>
          <w:r>
            <w:instrText xml:space="preserve"> PAGEREF _Toc6576 \h </w:instrText>
          </w:r>
          <w:r>
            <w:fldChar w:fldCharType="separate"/>
          </w:r>
          <w:r>
            <w:t>8</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_Toc25255 </w:instrText>
          </w:r>
          <w:r>
            <w:rPr>
              <w:rFonts w:hint="eastAsia" w:ascii="黑体" w:eastAsia="黑体"/>
              <w:highlight w:val="none"/>
            </w:rPr>
            <w:fldChar w:fldCharType="separate"/>
          </w:r>
          <w:r>
            <w:rPr>
              <w:rFonts w:hint="eastAsia" w:ascii="黑体" w:eastAsia="黑体"/>
              <w:szCs w:val="32"/>
              <w:highlight w:val="none"/>
            </w:rPr>
            <w:t>八、</w:t>
          </w:r>
          <w:r>
            <w:rPr>
              <w:rFonts w:hint="eastAsia" w:ascii="黑体" w:eastAsia="黑体"/>
              <w:highlight w:val="none"/>
            </w:rPr>
            <w:t>政府性基金预算支出决算情况说明</w:t>
          </w:r>
          <w:r>
            <w:tab/>
          </w:r>
          <w:r>
            <w:fldChar w:fldCharType="begin"/>
          </w:r>
          <w:r>
            <w:instrText xml:space="preserve"> PAGEREF _Toc25255 \h </w:instrText>
          </w:r>
          <w:r>
            <w:fldChar w:fldCharType="separate"/>
          </w:r>
          <w:r>
            <w:t>8</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_Toc8933 </w:instrText>
          </w:r>
          <w:r>
            <w:rPr>
              <w:rFonts w:hint="eastAsia" w:ascii="黑体" w:eastAsia="黑体"/>
              <w:highlight w:val="none"/>
            </w:rPr>
            <w:fldChar w:fldCharType="separate"/>
          </w:r>
          <w:r>
            <w:rPr>
              <w:rFonts w:hint="eastAsia" w:ascii="黑体" w:eastAsia="黑体"/>
            </w:rPr>
            <w:t xml:space="preserve">九、 </w:t>
          </w:r>
          <w:r>
            <w:rPr>
              <w:rFonts w:hint="eastAsia" w:ascii="黑体" w:eastAsia="黑体"/>
              <w:highlight w:val="none"/>
            </w:rPr>
            <w:t>国有资本经营预算支出决算情况说明</w:t>
          </w:r>
          <w:r>
            <w:tab/>
          </w:r>
          <w:r>
            <w:fldChar w:fldCharType="begin"/>
          </w:r>
          <w:r>
            <w:instrText xml:space="preserve"> PAGEREF _Toc8933 \h </w:instrText>
          </w:r>
          <w:r>
            <w:fldChar w:fldCharType="separate"/>
          </w:r>
          <w:r>
            <w:t>8</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_Toc10364 </w:instrText>
          </w:r>
          <w:r>
            <w:rPr>
              <w:rFonts w:hint="eastAsia" w:ascii="黑体" w:eastAsia="黑体"/>
              <w:highlight w:val="none"/>
            </w:rPr>
            <w:fldChar w:fldCharType="separate"/>
          </w:r>
          <w:r>
            <w:rPr>
              <w:rFonts w:hint="eastAsia" w:ascii="黑体" w:eastAsia="黑体"/>
            </w:rPr>
            <w:t xml:space="preserve">十、 </w:t>
          </w:r>
          <w:r>
            <w:rPr>
              <w:rFonts w:hint="eastAsia" w:ascii="黑体" w:eastAsia="黑体"/>
              <w:highlight w:val="none"/>
            </w:rPr>
            <w:t>其他重要事项的情况说明</w:t>
          </w:r>
          <w:r>
            <w:tab/>
          </w:r>
          <w:r>
            <w:fldChar w:fldCharType="begin"/>
          </w:r>
          <w:r>
            <w:instrText xml:space="preserve"> PAGEREF _Toc10364 \h </w:instrText>
          </w:r>
          <w:r>
            <w:fldChar w:fldCharType="separate"/>
          </w:r>
          <w:r>
            <w:t>8</w:t>
          </w:r>
          <w:r>
            <w:fldChar w:fldCharType="end"/>
          </w:r>
          <w:r>
            <w:rPr>
              <w:rFonts w:hint="eastAsia" w:ascii="黑体" w:eastAsia="黑体"/>
              <w:color w:val="auto"/>
              <w:highlight w:val="none"/>
            </w:rPr>
            <w:fldChar w:fldCharType="end"/>
          </w:r>
        </w:p>
        <w:p>
          <w:pPr>
            <w:pStyle w:val="21"/>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_Toc9266 </w:instrText>
          </w:r>
          <w:r>
            <w:rPr>
              <w:rFonts w:hint="eastAsia" w:ascii="黑体" w:eastAsia="黑体"/>
              <w:highlight w:val="none"/>
            </w:rPr>
            <w:fldChar w:fldCharType="separate"/>
          </w:r>
          <w:r>
            <w:rPr>
              <w:rFonts w:hint="eastAsia" w:ascii="仿宋" w:eastAsia="仿宋"/>
              <w:szCs w:val="32"/>
              <w:highlight w:val="none"/>
            </w:rPr>
            <w:t>（一）机关运行经费支出情况</w:t>
          </w:r>
          <w:r>
            <w:tab/>
          </w:r>
          <w:r>
            <w:fldChar w:fldCharType="begin"/>
          </w:r>
          <w:r>
            <w:instrText xml:space="preserve"> PAGEREF _Toc9266 \h </w:instrText>
          </w:r>
          <w:r>
            <w:fldChar w:fldCharType="separate"/>
          </w:r>
          <w:r>
            <w:t>8</w:t>
          </w:r>
          <w:r>
            <w:fldChar w:fldCharType="end"/>
          </w:r>
          <w:r>
            <w:rPr>
              <w:rFonts w:hint="eastAsia" w:ascii="黑体" w:eastAsia="黑体"/>
              <w:color w:val="auto"/>
              <w:highlight w:val="none"/>
            </w:rPr>
            <w:fldChar w:fldCharType="end"/>
          </w:r>
        </w:p>
        <w:p>
          <w:pPr>
            <w:pStyle w:val="21"/>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_Toc11596 </w:instrText>
          </w:r>
          <w:r>
            <w:rPr>
              <w:rFonts w:hint="eastAsia" w:ascii="黑体" w:eastAsia="黑体"/>
              <w:highlight w:val="none"/>
            </w:rPr>
            <w:fldChar w:fldCharType="separate"/>
          </w:r>
          <w:r>
            <w:rPr>
              <w:rFonts w:hint="eastAsia" w:ascii="仿宋" w:eastAsia="仿宋"/>
              <w:szCs w:val="32"/>
              <w:highlight w:val="none"/>
            </w:rPr>
            <w:t>（二）政府采购支出情况</w:t>
          </w:r>
          <w:r>
            <w:tab/>
          </w:r>
          <w:r>
            <w:fldChar w:fldCharType="begin"/>
          </w:r>
          <w:r>
            <w:instrText xml:space="preserve"> PAGEREF _Toc11596 \h </w:instrText>
          </w:r>
          <w:r>
            <w:fldChar w:fldCharType="separate"/>
          </w:r>
          <w:r>
            <w:t>8</w:t>
          </w:r>
          <w:r>
            <w:fldChar w:fldCharType="end"/>
          </w:r>
          <w:r>
            <w:rPr>
              <w:rFonts w:hint="eastAsia" w:ascii="黑体" w:eastAsia="黑体"/>
              <w:color w:val="auto"/>
              <w:highlight w:val="none"/>
            </w:rPr>
            <w:fldChar w:fldCharType="end"/>
          </w:r>
        </w:p>
        <w:p>
          <w:pPr>
            <w:pStyle w:val="21"/>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_Toc30785 </w:instrText>
          </w:r>
          <w:r>
            <w:rPr>
              <w:rFonts w:hint="eastAsia" w:ascii="黑体" w:eastAsia="黑体"/>
              <w:highlight w:val="none"/>
            </w:rPr>
            <w:fldChar w:fldCharType="separate"/>
          </w:r>
          <w:r>
            <w:rPr>
              <w:rFonts w:hint="eastAsia" w:ascii="仿宋" w:eastAsia="仿宋"/>
              <w:szCs w:val="32"/>
            </w:rPr>
            <w:t xml:space="preserve">（三） </w:t>
          </w:r>
          <w:r>
            <w:rPr>
              <w:rFonts w:hint="eastAsia" w:ascii="仿宋" w:eastAsia="仿宋"/>
              <w:szCs w:val="32"/>
              <w:highlight w:val="none"/>
            </w:rPr>
            <w:t>国有资产占有使用情况</w:t>
          </w:r>
          <w:r>
            <w:tab/>
          </w:r>
          <w:r>
            <w:fldChar w:fldCharType="begin"/>
          </w:r>
          <w:r>
            <w:instrText xml:space="preserve"> PAGEREF _Toc30785 \h </w:instrText>
          </w:r>
          <w:r>
            <w:fldChar w:fldCharType="separate"/>
          </w:r>
          <w:r>
            <w:t>8</w:t>
          </w:r>
          <w:r>
            <w:fldChar w:fldCharType="end"/>
          </w:r>
          <w:r>
            <w:rPr>
              <w:rFonts w:hint="eastAsia" w:ascii="黑体" w:eastAsia="黑体"/>
              <w:color w:val="auto"/>
              <w:highlight w:val="none"/>
            </w:rPr>
            <w:fldChar w:fldCharType="end"/>
          </w:r>
        </w:p>
        <w:p>
          <w:pPr>
            <w:pStyle w:val="21"/>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_Toc5068 </w:instrText>
          </w:r>
          <w:r>
            <w:rPr>
              <w:rFonts w:hint="eastAsia" w:ascii="黑体" w:eastAsia="黑体"/>
              <w:highlight w:val="none"/>
            </w:rPr>
            <w:fldChar w:fldCharType="separate"/>
          </w:r>
          <w:r>
            <w:rPr>
              <w:rFonts w:hint="eastAsia" w:ascii="仿宋" w:eastAsia="仿宋"/>
              <w:szCs w:val="32"/>
              <w:highlight w:val="none"/>
            </w:rPr>
            <w:t>（四）预算绩效管理情况</w:t>
          </w:r>
          <w:r>
            <w:tab/>
          </w:r>
          <w:r>
            <w:fldChar w:fldCharType="begin"/>
          </w:r>
          <w:r>
            <w:instrText xml:space="preserve"> PAGEREF _Toc5068 \h </w:instrText>
          </w:r>
          <w:r>
            <w:fldChar w:fldCharType="separate"/>
          </w:r>
          <w:r>
            <w:t>9</w:t>
          </w:r>
          <w:r>
            <w:fldChar w:fldCharType="end"/>
          </w:r>
          <w:r>
            <w:rPr>
              <w:rFonts w:hint="eastAsia" w:ascii="黑体" w:eastAsia="黑体"/>
              <w:color w:val="auto"/>
              <w:highlight w:val="none"/>
            </w:rPr>
            <w:fldChar w:fldCharType="end"/>
          </w:r>
        </w:p>
        <w:p>
          <w:pPr>
            <w:pStyle w:val="18"/>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_Toc32349 </w:instrText>
          </w:r>
          <w:r>
            <w:rPr>
              <w:rFonts w:hint="eastAsia" w:ascii="黑体" w:eastAsia="黑体"/>
              <w:highlight w:val="none"/>
            </w:rPr>
            <w:fldChar w:fldCharType="separate"/>
          </w:r>
          <w:r>
            <w:rPr>
              <w:rFonts w:hint="eastAsia" w:ascii="黑体" w:hAnsi="黑体" w:eastAsia="黑体" w:cs="黑体"/>
              <w:szCs w:val="44"/>
            </w:rPr>
            <w:t xml:space="preserve">第三部分 </w:t>
          </w:r>
          <w:r>
            <w:rPr>
              <w:rFonts w:hint="eastAsia" w:ascii="黑体" w:eastAsia="黑体"/>
              <w:szCs w:val="44"/>
              <w:highlight w:val="none"/>
            </w:rPr>
            <w:t>名</w:t>
          </w:r>
          <w:r>
            <w:rPr>
              <w:rFonts w:hint="eastAsia" w:ascii="黑体" w:eastAsia="黑体"/>
              <w:highlight w:val="none"/>
            </w:rPr>
            <w:t>词解释</w:t>
          </w:r>
          <w:r>
            <w:tab/>
          </w:r>
          <w:r>
            <w:fldChar w:fldCharType="begin"/>
          </w:r>
          <w:r>
            <w:instrText xml:space="preserve"> PAGEREF _Toc32349 \h </w:instrText>
          </w:r>
          <w:r>
            <w:fldChar w:fldCharType="separate"/>
          </w:r>
          <w:r>
            <w:t>10</w:t>
          </w:r>
          <w:r>
            <w:fldChar w:fldCharType="end"/>
          </w:r>
          <w:r>
            <w:rPr>
              <w:rFonts w:hint="eastAsia" w:ascii="黑体" w:eastAsia="黑体"/>
              <w:color w:val="auto"/>
              <w:highlight w:val="none"/>
            </w:rPr>
            <w:fldChar w:fldCharType="end"/>
          </w:r>
        </w:p>
        <w:p>
          <w:pPr>
            <w:pStyle w:val="18"/>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_Toc2316 </w:instrText>
          </w:r>
          <w:r>
            <w:rPr>
              <w:rFonts w:hint="eastAsia" w:ascii="黑体" w:eastAsia="黑体"/>
              <w:highlight w:val="none"/>
            </w:rPr>
            <w:fldChar w:fldCharType="separate"/>
          </w:r>
          <w:r>
            <w:rPr>
              <w:rFonts w:hint="eastAsia" w:ascii="黑体" w:eastAsia="黑体"/>
              <w:szCs w:val="44"/>
              <w:highlight w:val="none"/>
            </w:rPr>
            <w:t>第</w:t>
          </w:r>
          <w:r>
            <w:rPr>
              <w:rFonts w:hint="eastAsia" w:ascii="黑体" w:eastAsia="黑体"/>
              <w:highlight w:val="none"/>
            </w:rPr>
            <w:t>四部分 附件</w:t>
          </w:r>
          <w:r>
            <w:tab/>
          </w:r>
          <w:r>
            <w:fldChar w:fldCharType="begin"/>
          </w:r>
          <w:r>
            <w:instrText xml:space="preserve"> PAGEREF _Toc2316 \h </w:instrText>
          </w:r>
          <w:r>
            <w:fldChar w:fldCharType="separate"/>
          </w:r>
          <w:r>
            <w:t>13</w:t>
          </w:r>
          <w:r>
            <w:fldChar w:fldCharType="end"/>
          </w:r>
          <w:r>
            <w:rPr>
              <w:rFonts w:hint="eastAsia" w:ascii="黑体" w:eastAsia="黑体"/>
              <w:color w:val="auto"/>
              <w:highlight w:val="none"/>
            </w:rPr>
            <w:fldChar w:fldCharType="end"/>
          </w:r>
        </w:p>
        <w:p>
          <w:pPr>
            <w:pStyle w:val="18"/>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_Toc19484 </w:instrText>
          </w:r>
          <w:r>
            <w:rPr>
              <w:rFonts w:hint="eastAsia" w:ascii="黑体" w:eastAsia="黑体"/>
              <w:highlight w:val="none"/>
            </w:rPr>
            <w:fldChar w:fldCharType="separate"/>
          </w:r>
          <w:r>
            <w:rPr>
              <w:rFonts w:hint="eastAsia" w:ascii="黑体" w:eastAsia="黑体"/>
              <w:szCs w:val="44"/>
              <w:highlight w:val="none"/>
            </w:rPr>
            <w:t>第</w:t>
          </w:r>
          <w:r>
            <w:rPr>
              <w:rFonts w:hint="eastAsia" w:ascii="黑体" w:eastAsia="黑体"/>
              <w:highlight w:val="none"/>
            </w:rPr>
            <w:t>五部分 附表</w:t>
          </w:r>
          <w:r>
            <w:tab/>
          </w:r>
          <w:r>
            <w:fldChar w:fldCharType="begin"/>
          </w:r>
          <w:r>
            <w:instrText xml:space="preserve"> PAGEREF _Toc19484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_Toc5093 </w:instrText>
          </w:r>
          <w:r>
            <w:rPr>
              <w:rFonts w:hint="eastAsia" w:ascii="黑体" w:eastAsia="黑体"/>
              <w:highlight w:val="none"/>
            </w:rPr>
            <w:fldChar w:fldCharType="separate"/>
          </w:r>
          <w:r>
            <w:rPr>
              <w:rFonts w:hint="eastAsia" w:ascii="仿宋" w:eastAsia="仿宋" w:cs="Times New Roman"/>
              <w:bCs w:val="0"/>
              <w:highlight w:val="none"/>
            </w:rPr>
            <w:t>一、收入支出决算总表</w:t>
          </w:r>
          <w:r>
            <w:tab/>
          </w:r>
          <w:r>
            <w:fldChar w:fldCharType="begin"/>
          </w:r>
          <w:r>
            <w:instrText xml:space="preserve"> PAGEREF _Toc5093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_Toc15131 </w:instrText>
          </w:r>
          <w:r>
            <w:rPr>
              <w:rFonts w:hint="eastAsia" w:ascii="黑体" w:eastAsia="黑体"/>
              <w:highlight w:val="none"/>
            </w:rPr>
            <w:fldChar w:fldCharType="separate"/>
          </w:r>
          <w:r>
            <w:rPr>
              <w:rFonts w:hint="eastAsia" w:ascii="仿宋" w:eastAsia="仿宋" w:cs="Times New Roman"/>
              <w:bCs w:val="0"/>
              <w:highlight w:val="none"/>
            </w:rPr>
            <w:t>二、收入决算表</w:t>
          </w:r>
          <w:r>
            <w:tab/>
          </w:r>
          <w:r>
            <w:fldChar w:fldCharType="begin"/>
          </w:r>
          <w:r>
            <w:instrText xml:space="preserve"> PAGEREF _Toc15131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_Toc29241 </w:instrText>
          </w:r>
          <w:r>
            <w:rPr>
              <w:rFonts w:hint="eastAsia" w:ascii="黑体" w:eastAsia="黑体"/>
              <w:highlight w:val="none"/>
            </w:rPr>
            <w:fldChar w:fldCharType="separate"/>
          </w:r>
          <w:r>
            <w:rPr>
              <w:rFonts w:hint="eastAsia" w:ascii="仿宋" w:eastAsia="仿宋" w:cs="Times New Roman"/>
              <w:bCs w:val="0"/>
              <w:highlight w:val="none"/>
            </w:rPr>
            <w:t>三、支出决算表</w:t>
          </w:r>
          <w:r>
            <w:tab/>
          </w:r>
          <w:r>
            <w:fldChar w:fldCharType="begin"/>
          </w:r>
          <w:r>
            <w:instrText xml:space="preserve"> PAGEREF _Toc29241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_Toc3401 </w:instrText>
          </w:r>
          <w:r>
            <w:rPr>
              <w:rFonts w:hint="eastAsia" w:ascii="黑体" w:eastAsia="黑体"/>
              <w:highlight w:val="none"/>
            </w:rPr>
            <w:fldChar w:fldCharType="separate"/>
          </w:r>
          <w:r>
            <w:rPr>
              <w:rFonts w:hint="eastAsia" w:ascii="仿宋" w:eastAsia="仿宋" w:cs="Times New Roman"/>
              <w:bCs w:val="0"/>
              <w:highlight w:val="none"/>
            </w:rPr>
            <w:t>四、财政拨款收入支出决算总表</w:t>
          </w:r>
          <w:r>
            <w:tab/>
          </w:r>
          <w:r>
            <w:fldChar w:fldCharType="begin"/>
          </w:r>
          <w:r>
            <w:instrText xml:space="preserve"> PAGEREF _Toc3401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_Toc26316 </w:instrText>
          </w:r>
          <w:r>
            <w:rPr>
              <w:rFonts w:hint="eastAsia" w:ascii="黑体" w:eastAsia="黑体"/>
              <w:highlight w:val="none"/>
            </w:rPr>
            <w:fldChar w:fldCharType="separate"/>
          </w:r>
          <w:r>
            <w:rPr>
              <w:rFonts w:hint="eastAsia" w:ascii="仿宋" w:eastAsia="仿宋" w:cs="Times New Roman"/>
              <w:bCs w:val="0"/>
              <w:highlight w:val="none"/>
            </w:rPr>
            <w:t>五、财政拨款支出决算明细表</w:t>
          </w:r>
          <w:r>
            <w:tab/>
          </w:r>
          <w:r>
            <w:fldChar w:fldCharType="begin"/>
          </w:r>
          <w:r>
            <w:instrText xml:space="preserve"> PAGEREF _Toc26316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_Toc22112 </w:instrText>
          </w:r>
          <w:r>
            <w:rPr>
              <w:rFonts w:hint="eastAsia" w:ascii="黑体" w:eastAsia="黑体"/>
              <w:highlight w:val="none"/>
            </w:rPr>
            <w:fldChar w:fldCharType="separate"/>
          </w:r>
          <w:r>
            <w:rPr>
              <w:rFonts w:hint="eastAsia" w:ascii="仿宋" w:eastAsia="仿宋" w:cs="Times New Roman"/>
              <w:bCs w:val="0"/>
              <w:highlight w:val="none"/>
            </w:rPr>
            <w:t>六、一般公共预算财政拨款支出决算表</w:t>
          </w:r>
          <w:r>
            <w:tab/>
          </w:r>
          <w:r>
            <w:fldChar w:fldCharType="begin"/>
          </w:r>
          <w:r>
            <w:instrText xml:space="preserve"> PAGEREF _Toc22112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_Toc24256 </w:instrText>
          </w:r>
          <w:r>
            <w:rPr>
              <w:rFonts w:hint="eastAsia" w:ascii="黑体" w:eastAsia="黑体"/>
              <w:highlight w:val="none"/>
            </w:rPr>
            <w:fldChar w:fldCharType="separate"/>
          </w:r>
          <w:r>
            <w:rPr>
              <w:rFonts w:hint="eastAsia" w:ascii="仿宋" w:eastAsia="仿宋" w:cs="Times New Roman"/>
              <w:bCs w:val="0"/>
              <w:highlight w:val="none"/>
            </w:rPr>
            <w:t>七、一般公共预算财政拨款支出决算明细表</w:t>
          </w:r>
          <w:r>
            <w:tab/>
          </w:r>
          <w:r>
            <w:fldChar w:fldCharType="begin"/>
          </w:r>
          <w:r>
            <w:instrText xml:space="preserve"> PAGEREF _Toc24256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_Toc7676 </w:instrText>
          </w:r>
          <w:r>
            <w:rPr>
              <w:rFonts w:hint="eastAsia" w:ascii="黑体" w:eastAsia="黑体"/>
              <w:highlight w:val="none"/>
            </w:rPr>
            <w:fldChar w:fldCharType="separate"/>
          </w:r>
          <w:r>
            <w:rPr>
              <w:rFonts w:hint="eastAsia" w:ascii="仿宋" w:eastAsia="仿宋" w:cs="Times New Roman"/>
              <w:bCs w:val="0"/>
              <w:highlight w:val="none"/>
            </w:rPr>
            <w:t>八、一般公共预算财政拨款基本支出决算表</w:t>
          </w:r>
          <w:r>
            <w:tab/>
          </w:r>
          <w:r>
            <w:fldChar w:fldCharType="begin"/>
          </w:r>
          <w:r>
            <w:instrText xml:space="preserve"> PAGEREF _Toc7676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_Toc32287 </w:instrText>
          </w:r>
          <w:r>
            <w:rPr>
              <w:rFonts w:hint="eastAsia" w:ascii="黑体" w:eastAsia="黑体"/>
              <w:highlight w:val="none"/>
            </w:rPr>
            <w:fldChar w:fldCharType="separate"/>
          </w:r>
          <w:r>
            <w:rPr>
              <w:rFonts w:hint="eastAsia" w:ascii="仿宋" w:eastAsia="仿宋" w:cs="Times New Roman"/>
              <w:bCs w:val="0"/>
              <w:highlight w:val="none"/>
            </w:rPr>
            <w:t>九、一般公共预算财政拨款项目支出决算表</w:t>
          </w:r>
          <w:r>
            <w:tab/>
          </w:r>
          <w:r>
            <w:fldChar w:fldCharType="begin"/>
          </w:r>
          <w:r>
            <w:instrText xml:space="preserve"> PAGEREF _Toc32287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_Toc20315 </w:instrText>
          </w:r>
          <w:r>
            <w:rPr>
              <w:rFonts w:hint="eastAsia" w:ascii="黑体" w:eastAsia="黑体"/>
              <w:highlight w:val="none"/>
            </w:rPr>
            <w:fldChar w:fldCharType="separate"/>
          </w:r>
          <w:r>
            <w:rPr>
              <w:rFonts w:hint="eastAsia" w:ascii="仿宋" w:eastAsia="仿宋" w:cs="Times New Roman"/>
              <w:bCs w:val="0"/>
              <w:highlight w:val="none"/>
            </w:rPr>
            <w:t>十、政府性基金预算财政拨款收入支出决算表</w:t>
          </w:r>
          <w:r>
            <w:tab/>
          </w:r>
          <w:r>
            <w:fldChar w:fldCharType="begin"/>
          </w:r>
          <w:r>
            <w:instrText xml:space="preserve"> PAGEREF _Toc20315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_Toc25897 </w:instrText>
          </w:r>
          <w:r>
            <w:rPr>
              <w:rFonts w:hint="eastAsia" w:ascii="黑体" w:eastAsia="黑体"/>
              <w:highlight w:val="none"/>
            </w:rPr>
            <w:fldChar w:fldCharType="separate"/>
          </w:r>
          <w:r>
            <w:rPr>
              <w:rFonts w:hint="eastAsia" w:ascii="仿宋" w:eastAsia="仿宋" w:cs="Times New Roman"/>
              <w:bCs w:val="0"/>
              <w:highlight w:val="none"/>
            </w:rPr>
            <w:t>十一、国有资本经营预算</w:t>
          </w:r>
          <w:r>
            <w:rPr>
              <w:rFonts w:hint="eastAsia" w:ascii="仿宋" w:eastAsia="仿宋" w:cs="Times New Roman"/>
              <w:bCs w:val="0"/>
              <w:highlight w:val="none"/>
              <w:lang w:eastAsia="zh-CN"/>
            </w:rPr>
            <w:t>财政拨款收入</w:t>
          </w:r>
          <w:r>
            <w:rPr>
              <w:rFonts w:hint="eastAsia" w:ascii="仿宋" w:eastAsia="仿宋" w:cs="Times New Roman"/>
              <w:bCs w:val="0"/>
              <w:highlight w:val="none"/>
            </w:rPr>
            <w:t>支出决算表</w:t>
          </w:r>
          <w:r>
            <w:tab/>
          </w:r>
          <w:r>
            <w:fldChar w:fldCharType="begin"/>
          </w:r>
          <w:r>
            <w:instrText xml:space="preserve"> PAGEREF _Toc25897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_Toc11242 </w:instrText>
          </w:r>
          <w:r>
            <w:rPr>
              <w:rFonts w:hint="eastAsia" w:ascii="黑体" w:eastAsia="黑体"/>
              <w:highlight w:val="none"/>
            </w:rPr>
            <w:fldChar w:fldCharType="separate"/>
          </w:r>
          <w:r>
            <w:rPr>
              <w:rFonts w:hint="eastAsia" w:ascii="仿宋" w:eastAsia="仿宋" w:cs="Times New Roman"/>
              <w:bCs w:val="0"/>
              <w:highlight w:val="none"/>
            </w:rPr>
            <w:t>十二、</w:t>
          </w:r>
          <w:r>
            <w:rPr>
              <w:rFonts w:hint="eastAsia" w:ascii="仿宋" w:eastAsia="仿宋" w:cs="Times New Roman"/>
              <w:bCs w:val="0"/>
              <w:highlight w:val="none"/>
              <w:lang w:eastAsia="zh-CN"/>
            </w:rPr>
            <w:t>国有资本经营预算财政拨款支出决算表</w:t>
          </w:r>
          <w:r>
            <w:tab/>
          </w:r>
          <w:r>
            <w:fldChar w:fldCharType="begin"/>
          </w:r>
          <w:r>
            <w:instrText xml:space="preserve"> PAGEREF _Toc11242 \h </w:instrText>
          </w:r>
          <w:r>
            <w:fldChar w:fldCharType="separate"/>
          </w:r>
          <w:r>
            <w:t>14</w:t>
          </w:r>
          <w:r>
            <w:fldChar w:fldCharType="end"/>
          </w:r>
          <w:r>
            <w:rPr>
              <w:rFonts w:hint="eastAsia" w:ascii="黑体" w:eastAsia="黑体"/>
              <w:color w:val="auto"/>
              <w:highlight w:val="none"/>
            </w:rPr>
            <w:fldChar w:fldCharType="end"/>
          </w:r>
        </w:p>
        <w:p>
          <w:pPr>
            <w:pStyle w:val="19"/>
            <w:tabs>
              <w:tab w:val="right" w:leader="dot" w:pos="8306"/>
            </w:tabs>
          </w:pPr>
          <w:r>
            <w:rPr>
              <w:rFonts w:hint="eastAsia" w:ascii="黑体" w:eastAsia="黑体"/>
              <w:color w:val="auto"/>
              <w:highlight w:val="none"/>
            </w:rPr>
            <w:fldChar w:fldCharType="begin"/>
          </w:r>
          <w:r>
            <w:rPr>
              <w:rFonts w:hint="eastAsia" w:ascii="黑体" w:eastAsia="黑体"/>
              <w:highlight w:val="none"/>
            </w:rPr>
            <w:instrText xml:space="preserve"> HYPERLINK \l _Toc4372 </w:instrText>
          </w:r>
          <w:r>
            <w:rPr>
              <w:rFonts w:hint="eastAsia" w:ascii="黑体" w:eastAsia="黑体"/>
              <w:highlight w:val="none"/>
            </w:rPr>
            <w:fldChar w:fldCharType="separate"/>
          </w:r>
          <w:r>
            <w:rPr>
              <w:rFonts w:hint="eastAsia" w:ascii="仿宋" w:eastAsia="仿宋" w:cs="Times New Roman"/>
              <w:bCs w:val="0"/>
              <w:highlight w:val="none"/>
            </w:rPr>
            <w:t>十三、</w:t>
          </w:r>
          <w:r>
            <w:rPr>
              <w:rFonts w:hint="eastAsia" w:ascii="仿宋" w:eastAsia="仿宋" w:cs="Times New Roman"/>
              <w:bCs w:val="0"/>
              <w:highlight w:val="none"/>
              <w:lang w:eastAsia="zh-CN"/>
            </w:rPr>
            <w:t>财政拨款“三公”经费支出决算表</w:t>
          </w:r>
          <w:r>
            <w:tab/>
          </w:r>
          <w:r>
            <w:fldChar w:fldCharType="begin"/>
          </w:r>
          <w:r>
            <w:instrText xml:space="preserve"> PAGEREF _Toc4372 \h </w:instrText>
          </w:r>
          <w:r>
            <w:fldChar w:fldCharType="separate"/>
          </w:r>
          <w:r>
            <w:t>14</w:t>
          </w:r>
          <w:r>
            <w:fldChar w:fldCharType="end"/>
          </w:r>
          <w:r>
            <w:rPr>
              <w:rFonts w:hint="eastAsia" w:ascii="黑体" w:eastAsia="黑体"/>
              <w:color w:val="auto"/>
              <w:highlight w:val="none"/>
            </w:rPr>
            <w:fldChar w:fldCharType="end"/>
          </w:r>
        </w:p>
        <w:p>
          <w:pPr>
            <w:pStyle w:val="3"/>
            <w:jc w:val="both"/>
            <w:outlineLvl w:val="9"/>
            <w:rPr>
              <w:rFonts w:hint="eastAsia" w:ascii="黑体" w:eastAsia="黑体"/>
              <w:color w:val="auto"/>
              <w:highlight w:val="none"/>
            </w:rPr>
            <w:sectPr>
              <w:footerReference r:id="rId6" w:type="first"/>
              <w:footerReference r:id="rId5" w:type="default"/>
              <w:pgSz w:w="11906" w:h="16838"/>
              <w:pgMar w:top="1440" w:right="1800" w:bottom="1440" w:left="1800" w:header="851" w:footer="992" w:gutter="0"/>
              <w:pgNumType w:start="1"/>
              <w:cols w:space="720" w:num="1"/>
              <w:docGrid w:type="lines" w:linePitch="312" w:charSpace="0"/>
            </w:sectPr>
          </w:pPr>
        </w:p>
        <w:p>
          <w:pPr>
            <w:pStyle w:val="3"/>
            <w:jc w:val="both"/>
            <w:outlineLvl w:val="9"/>
            <w:rPr>
              <w:rFonts w:hint="eastAsia" w:ascii="黑体" w:eastAsia="黑体"/>
              <w:b w:val="0"/>
              <w:color w:val="auto"/>
              <w:highlight w:val="none"/>
            </w:rPr>
          </w:pPr>
          <w:r>
            <w:rPr>
              <w:rFonts w:hint="eastAsia" w:ascii="黑体" w:eastAsia="黑体"/>
              <w:color w:val="auto"/>
              <w:highlight w:val="none"/>
            </w:rPr>
            <w:fldChar w:fldCharType="end"/>
          </w:r>
        </w:p>
      </w:sdtContent>
    </w:sdt>
    <w:p>
      <w:pPr>
        <w:pStyle w:val="3"/>
        <w:jc w:val="center"/>
        <w:rPr>
          <w:rFonts w:ascii="黑体" w:eastAsia="黑体"/>
          <w:color w:val="auto"/>
          <w:sz w:val="32"/>
          <w:szCs w:val="32"/>
          <w:highlight w:val="none"/>
        </w:rPr>
      </w:pPr>
      <w:bookmarkStart w:id="18" w:name="_Toc3768"/>
      <w:r>
        <w:rPr>
          <w:rFonts w:hint="eastAsia" w:ascii="黑体" w:eastAsia="黑体"/>
          <w:b w:val="0"/>
          <w:color w:val="auto"/>
          <w:highlight w:val="none"/>
        </w:rPr>
        <w:t xml:space="preserve">第一部分 </w:t>
      </w:r>
      <w:r>
        <w:rPr>
          <w:rFonts w:hint="eastAsia" w:ascii="黑体" w:eastAsia="黑体"/>
          <w:b w:val="0"/>
          <w:color w:val="auto"/>
          <w:highlight w:val="none"/>
          <w:lang w:eastAsia="zh-CN"/>
        </w:rPr>
        <w:t>单位</w:t>
      </w:r>
      <w:r>
        <w:rPr>
          <w:rStyle w:val="14"/>
          <w:rFonts w:hint="eastAsia" w:ascii="黑体" w:eastAsia="黑体"/>
          <w:b w:val="0"/>
          <w:bCs w:val="0"/>
          <w:color w:val="auto"/>
          <w:highlight w:val="none"/>
        </w:rPr>
        <w:t>概况</w:t>
      </w:r>
      <w:bookmarkEnd w:id="18"/>
      <w:bookmarkStart w:id="126" w:name="_GoBack"/>
      <w:bookmarkEnd w:id="126"/>
    </w:p>
    <w:p>
      <w:pPr>
        <w:pStyle w:val="4"/>
        <w:numPr>
          <w:ilvl w:val="0"/>
          <w:numId w:val="1"/>
        </w:numPr>
        <w:ind w:left="0" w:leftChars="0" w:firstLine="640" w:firstLineChars="200"/>
        <w:rPr>
          <w:rStyle w:val="15"/>
          <w:rFonts w:hint="eastAsia" w:ascii="黑体" w:eastAsia="黑体"/>
          <w:b w:val="0"/>
          <w:bCs w:val="0"/>
          <w:color w:val="auto"/>
          <w:highlight w:val="none"/>
          <w:lang w:eastAsia="zh-CN"/>
        </w:rPr>
      </w:pPr>
      <w:bookmarkStart w:id="19" w:name="_Toc11464"/>
      <w:bookmarkStart w:id="20" w:name="_Toc15396600"/>
      <w:bookmarkStart w:id="21" w:name="_Toc15377197"/>
      <w:r>
        <w:rPr>
          <w:rStyle w:val="15"/>
          <w:rFonts w:hint="eastAsia" w:ascii="黑体" w:eastAsia="黑体"/>
          <w:b w:val="0"/>
          <w:bCs w:val="0"/>
          <w:color w:val="auto"/>
          <w:highlight w:val="none"/>
          <w:lang w:eastAsia="zh-CN"/>
        </w:rPr>
        <w:t>主要职责</w:t>
      </w:r>
      <w:bookmarkEnd w:id="19"/>
    </w:p>
    <w:p>
      <w:pPr>
        <w:pStyle w:val="10"/>
        <w:shd w:val="clear" w:color="auto" w:fill="FFFFFF"/>
        <w:spacing w:afterAutospacing="0" w:line="330" w:lineRule="atLeast"/>
        <w:ind w:firstLine="643" w:firstLineChars="200"/>
        <w:rPr>
          <w:rFonts w:hint="eastAsia" w:ascii="仿宋" w:eastAsia="仿宋" w:cs="Times New Roman"/>
          <w:color w:val="auto"/>
          <w:kern w:val="2"/>
          <w:sz w:val="32"/>
          <w:szCs w:val="32"/>
          <w:highlight w:val="none"/>
          <w:lang w:val="en-US" w:eastAsia="zh-CN" w:bidi="ar-SA"/>
        </w:rPr>
      </w:pPr>
      <w:r>
        <w:rPr>
          <w:rFonts w:hint="eastAsia" w:ascii="仿宋" w:eastAsia="仿宋" w:cs="Times New Roman"/>
          <w:b/>
          <w:bCs/>
          <w:color w:val="auto"/>
          <w:kern w:val="2"/>
          <w:sz w:val="32"/>
          <w:szCs w:val="32"/>
          <w:highlight w:val="none"/>
          <w:lang w:val="en-US" w:eastAsia="zh-CN" w:bidi="ar-SA"/>
        </w:rPr>
        <w:t>一是基本公共卫生服务方面。</w:t>
      </w:r>
      <w:r>
        <w:rPr>
          <w:rFonts w:hint="eastAsia" w:ascii="仿宋" w:eastAsia="仿宋" w:cs="Times New Roman"/>
          <w:color w:val="auto"/>
          <w:kern w:val="2"/>
          <w:sz w:val="32"/>
          <w:szCs w:val="32"/>
          <w:highlight w:val="none"/>
          <w:lang w:val="en-US" w:eastAsia="zh-CN" w:bidi="ar-SA"/>
        </w:rPr>
        <w:t>落实农村居民健康档案管理及服务；普及卫生保健常识，指导开展爱国卫生工作；规范预防接种服务，执行国家免疫规划；及时发现、登记并报告辖区传染病病历和疑似病例，参与现场疫情处理，协助处理辖区内突发公共卫生事件；开展新生儿访视及儿童、孕产妇保健系统管理；对辖区65岁及以上老年人和糖尿病、精神病、高血压等慢性疾病登记管理；接受区卫生行政部门委托，对辖区内传染病防治、学校卫生、饮用水卫生、职业卫生以及村级预防保健工作进行指导、培训、考核与监督等。</w:t>
      </w:r>
    </w:p>
    <w:p>
      <w:pPr>
        <w:pStyle w:val="10"/>
        <w:shd w:val="clear" w:color="auto" w:fill="FFFFFF"/>
        <w:spacing w:afterAutospacing="0" w:line="330" w:lineRule="atLeast"/>
        <w:ind w:firstLine="643" w:firstLineChars="200"/>
        <w:rPr>
          <w:rFonts w:hint="eastAsia" w:ascii="仿宋" w:eastAsia="仿宋" w:cs="Times New Roman"/>
          <w:color w:val="auto"/>
          <w:kern w:val="2"/>
          <w:sz w:val="32"/>
          <w:szCs w:val="32"/>
          <w:highlight w:val="none"/>
          <w:lang w:val="en-US" w:eastAsia="zh-CN" w:bidi="ar-SA"/>
        </w:rPr>
      </w:pPr>
      <w:r>
        <w:rPr>
          <w:rFonts w:hint="eastAsia" w:ascii="仿宋" w:eastAsia="仿宋" w:cs="Times New Roman"/>
          <w:b/>
          <w:bCs/>
          <w:color w:val="auto"/>
          <w:kern w:val="2"/>
          <w:sz w:val="32"/>
          <w:szCs w:val="32"/>
          <w:highlight w:val="none"/>
          <w:lang w:val="en-US" w:eastAsia="zh-CN" w:bidi="ar-SA"/>
        </w:rPr>
        <w:t>二是基本医疗服务方面。</w:t>
      </w:r>
      <w:r>
        <w:rPr>
          <w:rFonts w:hint="eastAsia" w:ascii="仿宋" w:eastAsia="仿宋" w:cs="Times New Roman"/>
          <w:color w:val="auto"/>
          <w:kern w:val="2"/>
          <w:sz w:val="32"/>
          <w:szCs w:val="32"/>
          <w:highlight w:val="none"/>
          <w:lang w:val="en-US" w:eastAsia="zh-CN" w:bidi="ar-SA"/>
        </w:rPr>
        <w:t xml:space="preserve">正确处理常见病，多发病，对疑难杂症进行恰当的处理与转诊；加强急诊救护体系建设，承担本辖区及周边乡村现场应急救护，转诊和康复服务；认真执行国家基本药物制度，加强医疗质量管理及院感防控。      </w:t>
      </w:r>
    </w:p>
    <w:p>
      <w:pPr>
        <w:pStyle w:val="10"/>
        <w:shd w:val="clear" w:color="auto" w:fill="FFFFFF"/>
        <w:spacing w:afterAutospacing="0" w:line="330" w:lineRule="atLeast"/>
        <w:ind w:firstLine="643" w:firstLineChars="200"/>
        <w:rPr>
          <w:rFonts w:hint="eastAsia" w:ascii="黑体" w:eastAsia="黑体"/>
          <w:b w:val="0"/>
          <w:color w:val="auto"/>
          <w:highlight w:val="none"/>
          <w:lang w:val="en-US" w:eastAsia="zh-CN"/>
        </w:rPr>
      </w:pPr>
      <w:r>
        <w:rPr>
          <w:rFonts w:hint="eastAsia" w:ascii="仿宋" w:eastAsia="仿宋" w:cs="Times New Roman"/>
          <w:b/>
          <w:bCs/>
          <w:color w:val="auto"/>
          <w:kern w:val="2"/>
          <w:sz w:val="32"/>
          <w:szCs w:val="32"/>
          <w:highlight w:val="none"/>
          <w:lang w:val="en-US" w:eastAsia="zh-CN" w:bidi="ar-SA"/>
        </w:rPr>
        <w:t>三是基本管理服务。</w:t>
      </w:r>
      <w:r>
        <w:rPr>
          <w:rFonts w:hint="eastAsia" w:ascii="仿宋" w:eastAsia="仿宋" w:cs="Times New Roman"/>
          <w:color w:val="auto"/>
          <w:kern w:val="2"/>
          <w:sz w:val="32"/>
          <w:szCs w:val="32"/>
          <w:highlight w:val="none"/>
          <w:lang w:val="en-US" w:eastAsia="zh-CN" w:bidi="ar-SA"/>
        </w:rPr>
        <w:t>规范卫生院财务管理工作，巩固农村公共卫生服务体系。履行定点医疗机构职责，严格执行国家基本医疗保险政策并做好有关的政策宣传，监督及服务工作。深入推进乡村卫生服务一体化管理，负责村卫生室的技术指导和医生培训等项工作。落实健康扶贫相关政策。</w:t>
      </w:r>
      <w:bookmarkStart w:id="22" w:name="_Toc32545"/>
    </w:p>
    <w:p>
      <w:pPr>
        <w:pStyle w:val="4"/>
        <w:spacing w:before="0" w:beforeAutospacing="0" w:after="0" w:afterAutospacing="0"/>
        <w:ind w:firstLine="640" w:firstLineChars="200"/>
        <w:rPr>
          <w:rFonts w:hint="eastAsia" w:ascii="黑体" w:eastAsia="黑体"/>
          <w:b w:val="0"/>
          <w:color w:val="auto"/>
          <w:highlight w:val="none"/>
          <w:lang w:val="en-US" w:eastAsia="zh-CN"/>
        </w:rPr>
      </w:pPr>
      <w:r>
        <w:rPr>
          <w:rFonts w:hint="eastAsia" w:ascii="黑体" w:eastAsia="黑体"/>
          <w:b w:val="0"/>
          <w:color w:val="auto"/>
          <w:highlight w:val="none"/>
          <w:lang w:val="en-US" w:eastAsia="zh-CN"/>
        </w:rPr>
        <w:t>二、机构设置</w:t>
      </w:r>
      <w:bookmarkEnd w:id="22"/>
    </w:p>
    <w:bookmarkEnd w:id="20"/>
    <w:bookmarkEnd w:id="21"/>
    <w:p>
      <w:pPr>
        <w:pStyle w:val="3"/>
        <w:pageBreakBefore w:val="0"/>
        <w:wordWrap/>
        <w:overflowPunct/>
        <w:topLinePunct w:val="0"/>
        <w:bidi w:val="0"/>
        <w:spacing w:before="0" w:beforeAutospacing="0" w:after="263" w:afterAutospacing="0" w:line="580" w:lineRule="exact"/>
        <w:ind w:right="0" w:rightChars="0" w:firstLine="640" w:firstLineChars="200"/>
        <w:jc w:val="left"/>
        <w:rPr>
          <w:rFonts w:hint="eastAsia" w:ascii="仿宋" w:hAnsi="仿宋" w:eastAsia="仿宋"/>
          <w:b w:val="0"/>
          <w:bCs w:val="0"/>
          <w:color w:val="auto"/>
          <w:sz w:val="32"/>
          <w:szCs w:val="32"/>
          <w:highlight w:val="none"/>
          <w:lang w:eastAsia="zh-CN"/>
        </w:rPr>
      </w:pPr>
      <w:bookmarkStart w:id="23" w:name="_Toc24467"/>
      <w:bookmarkStart w:id="24" w:name="_Toc23709"/>
      <w:bookmarkStart w:id="25" w:name="_Toc13454"/>
      <w:bookmarkStart w:id="26" w:name="_Toc10159"/>
      <w:r>
        <w:rPr>
          <w:rFonts w:hint="eastAsia" w:ascii="仿宋" w:hAnsi="仿宋" w:eastAsia="仿宋"/>
          <w:b w:val="0"/>
          <w:bCs w:val="0"/>
          <w:color w:val="auto"/>
          <w:sz w:val="32"/>
          <w:szCs w:val="32"/>
          <w:highlight w:val="none"/>
          <w:lang w:eastAsia="zh-CN"/>
        </w:rPr>
        <w:t>黄龙卫生院属于主管部门下属单位，属于二级预算单位，无下属机构。</w:t>
      </w:r>
      <w:bookmarkEnd w:id="23"/>
      <w:bookmarkEnd w:id="24"/>
      <w:bookmarkEnd w:id="25"/>
      <w:bookmarkEnd w:id="26"/>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ascii="仿宋" w:hAnsi="仿宋" w:eastAsia="仿宋"/>
          <w:b w:val="0"/>
          <w:bCs w:val="0"/>
          <w:color w:val="auto"/>
          <w:sz w:val="32"/>
          <w:szCs w:val="32"/>
          <w:highlight w:val="none"/>
          <w:lang w:eastAsia="zh-CN"/>
        </w:rPr>
      </w:pPr>
    </w:p>
    <w:p>
      <w:pPr>
        <w:rPr>
          <w:rFonts w:hint="eastAsia" w:ascii="仿宋" w:hAnsi="仿宋" w:eastAsia="仿宋"/>
          <w:b w:val="0"/>
          <w:bCs w:val="0"/>
          <w:color w:val="auto"/>
          <w:sz w:val="32"/>
          <w:szCs w:val="32"/>
          <w:highlight w:val="none"/>
          <w:lang w:eastAsia="zh-CN"/>
        </w:rPr>
      </w:pPr>
    </w:p>
    <w:p>
      <w:pPr>
        <w:pStyle w:val="2"/>
        <w:rPr>
          <w:rFonts w:hint="eastAsia"/>
          <w:lang w:eastAsia="zh-CN"/>
        </w:rPr>
      </w:pPr>
    </w:p>
    <w:p>
      <w:pPr>
        <w:widowControl/>
        <w:spacing w:beforeAutospacing="0"/>
        <w:jc w:val="center"/>
        <w:outlineLvl w:val="0"/>
        <w:rPr>
          <w:rStyle w:val="14"/>
          <w:rFonts w:hint="eastAsia" w:ascii="黑体" w:hAnsi="Times New Roman" w:eastAsia="黑体" w:cs="Times New Roman"/>
          <w:b w:val="0"/>
          <w:bCs/>
          <w:color w:val="auto"/>
          <w:highlight w:val="none"/>
        </w:rPr>
      </w:pPr>
      <w:bookmarkStart w:id="27" w:name="_Toc15377204"/>
      <w:bookmarkStart w:id="28" w:name="_Toc15396602"/>
      <w:bookmarkStart w:id="29" w:name="_Toc8104"/>
      <w:r>
        <w:rPr>
          <w:rStyle w:val="14"/>
          <w:rFonts w:hint="eastAsia" w:ascii="黑体" w:hAnsi="Times New Roman" w:eastAsia="黑体" w:cs="Times New Roman"/>
          <w:b w:val="0"/>
          <w:bCs/>
          <w:color w:val="auto"/>
          <w:highlight w:val="none"/>
        </w:rPr>
        <w:t xml:space="preserve">第二部分 </w:t>
      </w:r>
      <w:r>
        <w:rPr>
          <w:rStyle w:val="14"/>
          <w:rFonts w:hint="eastAsia" w:ascii="黑体" w:hAnsi="Times New Roman" w:eastAsia="黑体" w:cs="Times New Roman"/>
          <w:b w:val="0"/>
          <w:bCs/>
          <w:color w:val="auto"/>
          <w:highlight w:val="none"/>
          <w:lang w:val="en-US" w:eastAsia="zh-CN"/>
        </w:rPr>
        <w:t>2022年度</w:t>
      </w:r>
      <w:r>
        <w:rPr>
          <w:rStyle w:val="14"/>
          <w:rFonts w:hint="eastAsia" w:ascii="黑体" w:hAnsi="Times New Roman" w:eastAsia="黑体" w:cs="Times New Roman"/>
          <w:b w:val="0"/>
          <w:bCs/>
          <w:color w:val="auto"/>
          <w:highlight w:val="none"/>
          <w:lang w:eastAsia="zh-CN"/>
        </w:rPr>
        <w:t>单位</w:t>
      </w:r>
      <w:r>
        <w:rPr>
          <w:rStyle w:val="14"/>
          <w:rFonts w:hint="eastAsia" w:ascii="黑体" w:hAnsi="Times New Roman" w:eastAsia="黑体" w:cs="Times New Roman"/>
          <w:b w:val="0"/>
          <w:bCs/>
          <w:color w:val="auto"/>
          <w:highlight w:val="none"/>
        </w:rPr>
        <w:t>决算情况说明</w:t>
      </w:r>
      <w:bookmarkEnd w:id="27"/>
      <w:bookmarkEnd w:id="28"/>
      <w:bookmarkEnd w:id="29"/>
    </w:p>
    <w:p>
      <w:pPr>
        <w:rPr>
          <w:color w:val="auto"/>
          <w:highlight w:val="none"/>
        </w:rPr>
      </w:pPr>
    </w:p>
    <w:p>
      <w:pPr>
        <w:pStyle w:val="16"/>
        <w:numPr>
          <w:ilvl w:val="0"/>
          <w:numId w:val="2"/>
        </w:numPr>
        <w:spacing w:line="600" w:lineRule="exact"/>
        <w:ind w:firstLineChars="0"/>
        <w:outlineLvl w:val="1"/>
        <w:rPr>
          <w:rStyle w:val="15"/>
          <w:rFonts w:ascii="黑体" w:eastAsia="黑体"/>
          <w:b w:val="0"/>
          <w:color w:val="auto"/>
          <w:highlight w:val="none"/>
        </w:rPr>
      </w:pPr>
      <w:bookmarkStart w:id="30" w:name="_Toc15396603"/>
      <w:bookmarkStart w:id="31" w:name="_Toc15377205"/>
      <w:bookmarkStart w:id="32" w:name="_Toc12674"/>
      <w:r>
        <w:rPr>
          <w:rFonts w:hint="eastAsia" w:ascii="黑体" w:eastAsia="黑体"/>
          <w:color w:val="auto"/>
          <w:sz w:val="32"/>
          <w:szCs w:val="32"/>
          <w:highlight w:val="none"/>
        </w:rPr>
        <w:t>收</w:t>
      </w:r>
      <w:r>
        <w:rPr>
          <w:rStyle w:val="15"/>
          <w:rFonts w:hint="eastAsia" w:ascii="黑体" w:eastAsia="黑体"/>
          <w:b w:val="0"/>
          <w:color w:val="auto"/>
          <w:highlight w:val="none"/>
        </w:rPr>
        <w:t>入支出决算总体情况说明</w:t>
      </w:r>
      <w:bookmarkEnd w:id="30"/>
      <w:bookmarkEnd w:id="31"/>
      <w:bookmarkEnd w:id="32"/>
    </w:p>
    <w:p>
      <w:pPr>
        <w:spacing w:line="600" w:lineRule="exact"/>
        <w:ind w:firstLine="640" w:firstLineChars="200"/>
        <w:rPr>
          <w:rFonts w:hint="eastAsia" w:ascii="仿宋" w:eastAsia="仿宋" w:cs="仿宋"/>
          <w:color w:val="auto"/>
          <w:sz w:val="32"/>
          <w:szCs w:val="32"/>
          <w:lang w:val="en-US" w:eastAsia="zh-CN"/>
        </w:rPr>
      </w:pPr>
      <w:r>
        <w:rPr>
          <w:rFonts w:hint="eastAsia"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年度收、支总计</w:t>
      </w:r>
      <w:r>
        <w:rPr>
          <w:rFonts w:hint="eastAsia" w:ascii="仿宋" w:eastAsia="仿宋"/>
          <w:color w:val="auto"/>
          <w:sz w:val="32"/>
          <w:szCs w:val="32"/>
          <w:highlight w:val="none"/>
          <w:lang w:val="en-US" w:eastAsia="zh-CN"/>
        </w:rPr>
        <w:t>106.27</w:t>
      </w:r>
      <w:r>
        <w:rPr>
          <w:rFonts w:hint="eastAsia" w:ascii="仿宋" w:eastAsia="仿宋"/>
          <w:color w:val="auto"/>
          <w:sz w:val="32"/>
          <w:szCs w:val="32"/>
          <w:highlight w:val="none"/>
        </w:rPr>
        <w:t>万元。与20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年相比，收、支总计各</w:t>
      </w:r>
      <w:r>
        <w:rPr>
          <w:rFonts w:hint="eastAsia" w:ascii="仿宋" w:eastAsia="仿宋"/>
          <w:color w:val="auto"/>
          <w:sz w:val="32"/>
          <w:szCs w:val="32"/>
          <w:highlight w:val="none"/>
          <w:lang w:eastAsia="zh-CN"/>
        </w:rPr>
        <w:t>减少</w:t>
      </w:r>
      <w:r>
        <w:rPr>
          <w:rFonts w:hint="eastAsia" w:ascii="仿宋" w:eastAsia="仿宋"/>
          <w:color w:val="auto"/>
          <w:sz w:val="32"/>
          <w:szCs w:val="32"/>
          <w:highlight w:val="none"/>
          <w:lang w:val="en-US" w:eastAsia="zh-CN"/>
        </w:rPr>
        <w:t>55.89</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34.46</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收入</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w:t>
      </w:r>
      <w:r>
        <w:rPr>
          <w:rFonts w:hint="eastAsia" w:ascii="仿宋" w:eastAsia="仿宋" w:cs="仿宋"/>
          <w:color w:val="auto"/>
          <w:sz w:val="32"/>
          <w:szCs w:val="32"/>
          <w:lang w:val="en-US" w:eastAsia="zh-CN"/>
        </w:rPr>
        <w:t>2022年一般公共预算财政拨款收入相比上年减少了50.64万元；政府性基金预算财政拨款收入相比上年增加了2.47万元；事业收入相比上年减少了7.72万元。2022年支出主要变动的原因是：社会保障和就业支出减少了1.79万元；城乡社区支出增加了2.47万元；卫生健康支出减少了55.09万元；住房保障支出减少了1.48万元。</w:t>
      </w:r>
    </w:p>
    <w:p>
      <w:pPr>
        <w:pStyle w:val="2"/>
        <w:ind w:firstLine="600" w:firstLineChars="200"/>
      </w:pPr>
      <w:r>
        <w:rPr>
          <w:rFonts w:hint="eastAsia"/>
          <w:lang w:val="en-US" w:eastAsia="zh-CN"/>
        </w:rPr>
        <w:t xml:space="preserve">     </w:t>
      </w:r>
      <w:r>
        <w:drawing>
          <wp:inline distT="0" distB="0" distL="114300" distR="114300">
            <wp:extent cx="3636010" cy="202692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16"/>
        <w:numPr>
          <w:ilvl w:val="0"/>
          <w:numId w:val="2"/>
        </w:numPr>
        <w:spacing w:line="600" w:lineRule="exact"/>
        <w:ind w:firstLineChars="0"/>
        <w:outlineLvl w:val="1"/>
        <w:rPr>
          <w:rStyle w:val="15"/>
          <w:rFonts w:ascii="黑体" w:eastAsia="黑体"/>
          <w:b w:val="0"/>
          <w:color w:val="auto"/>
          <w:highlight w:val="none"/>
        </w:rPr>
      </w:pPr>
      <w:bookmarkStart w:id="33" w:name="_Toc15377206"/>
      <w:bookmarkStart w:id="34" w:name="_Toc15396604"/>
      <w:bookmarkStart w:id="35" w:name="_Toc25239"/>
      <w:r>
        <w:rPr>
          <w:rFonts w:hint="eastAsia" w:ascii="黑体" w:eastAsia="黑体"/>
          <w:color w:val="auto"/>
          <w:sz w:val="32"/>
          <w:szCs w:val="32"/>
          <w:highlight w:val="none"/>
        </w:rPr>
        <w:t>收</w:t>
      </w:r>
      <w:r>
        <w:rPr>
          <w:rStyle w:val="15"/>
          <w:rFonts w:hint="eastAsia" w:ascii="黑体" w:eastAsia="黑体"/>
          <w:b w:val="0"/>
          <w:color w:val="auto"/>
          <w:highlight w:val="none"/>
        </w:rPr>
        <w:t>入决算情况说明</w:t>
      </w:r>
      <w:bookmarkEnd w:id="33"/>
      <w:bookmarkEnd w:id="34"/>
      <w:bookmarkEnd w:id="35"/>
    </w:p>
    <w:p>
      <w:pPr>
        <w:spacing w:line="600" w:lineRule="exact"/>
        <w:ind w:firstLine="640" w:firstLineChars="200"/>
        <w:outlineLvl w:val="1"/>
        <w:rPr>
          <w:rFonts w:hint="eastAsia" w:ascii="仿宋" w:eastAsia="仿宋"/>
          <w:color w:val="auto"/>
          <w:sz w:val="32"/>
          <w:szCs w:val="32"/>
          <w:highlight w:val="none"/>
          <w:lang w:eastAsia="zh-CN"/>
        </w:rPr>
      </w:pPr>
      <w:bookmarkStart w:id="36" w:name="_Toc16139"/>
      <w:bookmarkStart w:id="37" w:name="_Toc24476"/>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年本年收入合计</w:t>
      </w:r>
      <w:r>
        <w:rPr>
          <w:rFonts w:hint="eastAsia" w:ascii="仿宋" w:eastAsia="仿宋"/>
          <w:color w:val="auto"/>
          <w:sz w:val="32"/>
          <w:szCs w:val="32"/>
          <w:highlight w:val="none"/>
          <w:lang w:val="en-US" w:eastAsia="zh-CN"/>
        </w:rPr>
        <w:t>106.27</w:t>
      </w:r>
      <w:r>
        <w:rPr>
          <w:rFonts w:hint="eastAsia" w:ascii="仿宋" w:eastAsia="仿宋"/>
          <w:color w:val="auto"/>
          <w:sz w:val="32"/>
          <w:szCs w:val="32"/>
          <w:highlight w:val="none"/>
        </w:rPr>
        <w:t>万元，其中：财政拨款收入</w:t>
      </w:r>
      <w:r>
        <w:rPr>
          <w:rFonts w:hint="eastAsia" w:ascii="仿宋" w:eastAsia="仿宋"/>
          <w:color w:val="auto"/>
          <w:sz w:val="32"/>
          <w:szCs w:val="32"/>
          <w:highlight w:val="none"/>
          <w:lang w:val="en-US" w:eastAsia="zh-CN"/>
        </w:rPr>
        <w:t>67.99</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63.98</w:t>
      </w:r>
      <w:r>
        <w:rPr>
          <w:rFonts w:ascii="仿宋" w:eastAsia="仿宋"/>
          <w:color w:val="auto"/>
          <w:sz w:val="32"/>
          <w:szCs w:val="32"/>
          <w:highlight w:val="none"/>
        </w:rPr>
        <w:t>%</w:t>
      </w:r>
      <w:r>
        <w:rPr>
          <w:rFonts w:hint="eastAsia" w:ascii="仿宋" w:eastAsia="仿宋"/>
          <w:color w:val="auto"/>
          <w:sz w:val="32"/>
          <w:szCs w:val="32"/>
          <w:highlight w:val="none"/>
        </w:rPr>
        <w:t>；事业收入38.29万元，占</w:t>
      </w:r>
      <w:r>
        <w:rPr>
          <w:rFonts w:hint="eastAsia" w:ascii="仿宋" w:eastAsia="仿宋"/>
          <w:color w:val="auto"/>
          <w:sz w:val="32"/>
          <w:szCs w:val="32"/>
          <w:highlight w:val="none"/>
          <w:lang w:val="en-US" w:eastAsia="zh-CN"/>
        </w:rPr>
        <w:t>36.02</w:t>
      </w:r>
      <w:r>
        <w:rPr>
          <w:rFonts w:ascii="仿宋" w:eastAsia="仿宋"/>
          <w:color w:val="auto"/>
          <w:sz w:val="32"/>
          <w:szCs w:val="32"/>
          <w:highlight w:val="none"/>
        </w:rPr>
        <w:t>%</w:t>
      </w:r>
      <w:r>
        <w:rPr>
          <w:rFonts w:hint="eastAsia" w:ascii="仿宋" w:eastAsia="仿宋"/>
          <w:color w:val="auto"/>
          <w:sz w:val="32"/>
          <w:szCs w:val="32"/>
          <w:highlight w:val="none"/>
          <w:lang w:eastAsia="zh-CN"/>
        </w:rPr>
        <w:t>。</w:t>
      </w:r>
      <w:bookmarkEnd w:id="36"/>
      <w:bookmarkEnd w:id="37"/>
    </w:p>
    <w:p>
      <w:pPr>
        <w:spacing w:line="600" w:lineRule="exact"/>
        <w:outlineLvl w:val="1"/>
        <w:rPr>
          <w:rFonts w:ascii="仿宋_GB2312" w:eastAsia="仿宋_GB2312"/>
          <w:color w:val="auto"/>
          <w:sz w:val="32"/>
          <w:szCs w:val="32"/>
          <w:highlight w:val="none"/>
        </w:rPr>
      </w:pPr>
      <w:bookmarkStart w:id="38" w:name="_Toc24014"/>
      <w:bookmarkStart w:id="39" w:name="_Toc11051"/>
      <w:r>
        <w:drawing>
          <wp:anchor distT="0" distB="0" distL="114935" distR="114935" simplePos="0" relativeHeight="251659264" behindDoc="0" locked="0" layoutInCell="1" allowOverlap="1">
            <wp:simplePos x="0" y="0"/>
            <wp:positionH relativeFrom="column">
              <wp:posOffset>657860</wp:posOffset>
            </wp:positionH>
            <wp:positionV relativeFrom="paragraph">
              <wp:posOffset>147320</wp:posOffset>
            </wp:positionV>
            <wp:extent cx="3817620" cy="1874520"/>
            <wp:effectExtent l="0" t="0" r="0" b="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lang w:val="en-US" w:eastAsia="zh-CN"/>
        </w:rPr>
        <w:t xml:space="preserve">                 </w:t>
      </w:r>
      <w:r>
        <w:rPr>
          <w:rFonts w:hint="eastAsia" w:ascii="仿宋" w:eastAsia="仿宋"/>
          <w:color w:val="auto"/>
          <w:sz w:val="32"/>
          <w:szCs w:val="32"/>
          <w:highlight w:val="none"/>
        </w:rPr>
        <w:t>（图2：收入决算结构图）（饼状图）</w:t>
      </w:r>
      <w:bookmarkEnd w:id="38"/>
      <w:bookmarkEnd w:id="39"/>
    </w:p>
    <w:p>
      <w:pPr>
        <w:pStyle w:val="16"/>
        <w:numPr>
          <w:ilvl w:val="0"/>
          <w:numId w:val="2"/>
        </w:numPr>
        <w:spacing w:line="600" w:lineRule="exact"/>
        <w:ind w:firstLineChars="0"/>
        <w:outlineLvl w:val="1"/>
        <w:rPr>
          <w:rStyle w:val="15"/>
          <w:rFonts w:ascii="黑体" w:eastAsia="黑体"/>
          <w:b w:val="0"/>
          <w:color w:val="auto"/>
          <w:highlight w:val="none"/>
        </w:rPr>
      </w:pPr>
      <w:bookmarkStart w:id="40" w:name="_Toc15396605"/>
      <w:bookmarkStart w:id="41" w:name="_Toc26197"/>
      <w:bookmarkStart w:id="42" w:name="_Toc15377207"/>
      <w:r>
        <w:rPr>
          <w:rFonts w:hint="eastAsia" w:ascii="黑体" w:eastAsia="黑体"/>
          <w:color w:val="auto"/>
          <w:sz w:val="32"/>
          <w:szCs w:val="32"/>
          <w:highlight w:val="none"/>
        </w:rPr>
        <w:t>支</w:t>
      </w:r>
      <w:r>
        <w:rPr>
          <w:rStyle w:val="15"/>
          <w:rFonts w:hint="eastAsia" w:ascii="黑体" w:eastAsia="黑体"/>
          <w:b w:val="0"/>
          <w:color w:val="auto"/>
          <w:highlight w:val="none"/>
        </w:rPr>
        <w:t>出决算情况说明</w:t>
      </w:r>
      <w:bookmarkEnd w:id="40"/>
      <w:bookmarkEnd w:id="41"/>
      <w:bookmarkEnd w:id="42"/>
    </w:p>
    <w:p>
      <w:pPr>
        <w:spacing w:line="600" w:lineRule="exact"/>
        <w:ind w:firstLine="640" w:firstLineChars="200"/>
        <w:outlineLvl w:val="1"/>
        <w:rPr>
          <w:rFonts w:ascii="仿宋" w:eastAsia="仿宋"/>
          <w:color w:val="auto"/>
          <w:sz w:val="32"/>
          <w:szCs w:val="32"/>
          <w:highlight w:val="none"/>
        </w:rPr>
      </w:pPr>
      <w:bookmarkStart w:id="43" w:name="_Toc11724"/>
      <w:bookmarkStart w:id="44" w:name="_Toc27204"/>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年本年支出合计</w:t>
      </w:r>
      <w:r>
        <w:rPr>
          <w:rFonts w:hint="eastAsia" w:ascii="仿宋" w:eastAsia="仿宋"/>
          <w:color w:val="auto"/>
          <w:sz w:val="32"/>
          <w:szCs w:val="32"/>
          <w:highlight w:val="none"/>
          <w:lang w:val="en-US" w:eastAsia="zh-CN"/>
        </w:rPr>
        <w:t>106.27</w:t>
      </w:r>
      <w:r>
        <w:rPr>
          <w:rFonts w:hint="eastAsia" w:ascii="仿宋" w:eastAsia="仿宋"/>
          <w:color w:val="auto"/>
          <w:sz w:val="32"/>
          <w:szCs w:val="32"/>
          <w:highlight w:val="none"/>
        </w:rPr>
        <w:t>万元，其中：基本支出103.8万元，占</w:t>
      </w:r>
      <w:r>
        <w:rPr>
          <w:rFonts w:hint="eastAsia" w:ascii="仿宋" w:eastAsia="仿宋"/>
          <w:color w:val="auto"/>
          <w:sz w:val="32"/>
          <w:szCs w:val="32"/>
          <w:highlight w:val="none"/>
          <w:lang w:val="en-US" w:eastAsia="zh-CN"/>
        </w:rPr>
        <w:t>97.67</w:t>
      </w:r>
      <w:r>
        <w:rPr>
          <w:rFonts w:ascii="仿宋" w:eastAsia="仿宋"/>
          <w:color w:val="auto"/>
          <w:sz w:val="32"/>
          <w:szCs w:val="32"/>
          <w:highlight w:val="none"/>
        </w:rPr>
        <w:t>%</w:t>
      </w:r>
      <w:r>
        <w:rPr>
          <w:rFonts w:hint="eastAsia" w:ascii="仿宋" w:eastAsia="仿宋"/>
          <w:color w:val="auto"/>
          <w:sz w:val="32"/>
          <w:szCs w:val="32"/>
          <w:highlight w:val="none"/>
        </w:rPr>
        <w:t>；项目支出2.47万元，占</w:t>
      </w:r>
      <w:r>
        <w:rPr>
          <w:rFonts w:hint="eastAsia" w:ascii="仿宋" w:eastAsia="仿宋"/>
          <w:color w:val="auto"/>
          <w:sz w:val="32"/>
          <w:szCs w:val="32"/>
          <w:highlight w:val="none"/>
          <w:lang w:val="en-US" w:eastAsia="zh-CN"/>
        </w:rPr>
        <w:t>2.33</w:t>
      </w:r>
      <w:r>
        <w:rPr>
          <w:rFonts w:ascii="仿宋" w:eastAsia="仿宋"/>
          <w:color w:val="auto"/>
          <w:sz w:val="32"/>
          <w:szCs w:val="32"/>
          <w:highlight w:val="none"/>
        </w:rPr>
        <w:t>%</w:t>
      </w:r>
      <w:r>
        <w:rPr>
          <w:rFonts w:hint="eastAsia" w:ascii="仿宋" w:eastAsia="仿宋"/>
          <w:color w:val="auto"/>
          <w:sz w:val="32"/>
          <w:szCs w:val="32"/>
          <w:highlight w:val="none"/>
        </w:rPr>
        <w:t>。</w:t>
      </w:r>
      <w:bookmarkEnd w:id="43"/>
      <w:bookmarkEnd w:id="44"/>
    </w:p>
    <w:p>
      <w:pPr>
        <w:spacing w:line="600" w:lineRule="exact"/>
        <w:ind w:firstLine="640"/>
        <w:rPr>
          <w:rFonts w:ascii="仿宋_GB2312" w:eastAsia="仿宋_GB2312"/>
          <w:color w:val="auto"/>
          <w:sz w:val="32"/>
          <w:szCs w:val="32"/>
          <w:highlight w:val="none"/>
        </w:rPr>
      </w:pPr>
      <w:r>
        <w:drawing>
          <wp:anchor distT="0" distB="0" distL="114935" distR="114935" simplePos="0" relativeHeight="251659264" behindDoc="0" locked="0" layoutInCell="1" allowOverlap="1">
            <wp:simplePos x="0" y="0"/>
            <wp:positionH relativeFrom="column">
              <wp:posOffset>929005</wp:posOffset>
            </wp:positionH>
            <wp:positionV relativeFrom="paragraph">
              <wp:posOffset>111125</wp:posOffset>
            </wp:positionV>
            <wp:extent cx="3788410" cy="2172335"/>
            <wp:effectExtent l="0" t="0" r="0" b="0"/>
            <wp:wrapTopAndBottom/>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lang w:val="en-US" w:eastAsia="zh-CN"/>
        </w:rPr>
        <w:t xml:space="preserve">          </w:t>
      </w:r>
      <w:r>
        <w:rPr>
          <w:rFonts w:hint="eastAsia" w:ascii="仿宋" w:eastAsia="仿宋"/>
          <w:color w:val="auto"/>
          <w:sz w:val="32"/>
          <w:szCs w:val="32"/>
          <w:highlight w:val="none"/>
        </w:rPr>
        <w:t>（图3：支出决算结构图）（饼状图）</w:t>
      </w:r>
    </w:p>
    <w:p>
      <w:pPr>
        <w:spacing w:line="600" w:lineRule="exact"/>
        <w:ind w:firstLine="640" w:firstLineChars="200"/>
        <w:outlineLvl w:val="1"/>
        <w:rPr>
          <w:rStyle w:val="15"/>
          <w:rFonts w:ascii="黑体" w:eastAsia="黑体"/>
          <w:b w:val="0"/>
          <w:color w:val="auto"/>
          <w:highlight w:val="none"/>
        </w:rPr>
      </w:pPr>
      <w:bookmarkStart w:id="45" w:name="_Toc15377208"/>
      <w:bookmarkStart w:id="46" w:name="_Toc15396606"/>
      <w:bookmarkStart w:id="47" w:name="_Toc20838"/>
      <w:r>
        <w:rPr>
          <w:rFonts w:hint="eastAsia" w:ascii="黑体" w:eastAsia="黑体"/>
          <w:color w:val="auto"/>
          <w:sz w:val="32"/>
          <w:szCs w:val="32"/>
          <w:highlight w:val="none"/>
        </w:rPr>
        <w:t>四、财</w:t>
      </w:r>
      <w:r>
        <w:rPr>
          <w:rStyle w:val="15"/>
          <w:rFonts w:hint="eastAsia" w:ascii="黑体" w:eastAsia="黑体"/>
          <w:b w:val="0"/>
          <w:color w:val="auto"/>
          <w:highlight w:val="none"/>
        </w:rPr>
        <w:t>政拨款收入支出决算总体情况说明</w:t>
      </w:r>
      <w:bookmarkEnd w:id="45"/>
      <w:bookmarkEnd w:id="46"/>
      <w:bookmarkEnd w:id="47"/>
    </w:p>
    <w:p>
      <w:pPr>
        <w:spacing w:line="600" w:lineRule="exact"/>
        <w:ind w:firstLine="640"/>
        <w:rPr>
          <w:rFonts w:hint="eastAsia" w:ascii="仿宋" w:eastAsia="仿宋" w:cs="仿宋"/>
          <w:color w:val="auto"/>
          <w:sz w:val="32"/>
          <w:szCs w:val="32"/>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年财政拨款收、支总计</w:t>
      </w:r>
      <w:r>
        <w:rPr>
          <w:rFonts w:hint="eastAsia" w:ascii="仿宋" w:eastAsia="仿宋"/>
          <w:color w:val="auto"/>
          <w:sz w:val="32"/>
          <w:szCs w:val="32"/>
          <w:highlight w:val="none"/>
          <w:lang w:val="en-US" w:eastAsia="zh-CN"/>
        </w:rPr>
        <w:t>67.99</w:t>
      </w:r>
      <w:r>
        <w:rPr>
          <w:rFonts w:hint="eastAsia" w:ascii="仿宋" w:eastAsia="仿宋"/>
          <w:color w:val="auto"/>
          <w:sz w:val="32"/>
          <w:szCs w:val="32"/>
          <w:highlight w:val="none"/>
        </w:rPr>
        <w:t>万元。与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年相比，财政拨款收、支总计各</w:t>
      </w:r>
      <w:r>
        <w:rPr>
          <w:rFonts w:hint="eastAsia" w:ascii="仿宋" w:eastAsia="仿宋"/>
          <w:color w:val="auto"/>
          <w:sz w:val="32"/>
          <w:szCs w:val="32"/>
          <w:highlight w:val="none"/>
          <w:lang w:eastAsia="zh-CN"/>
        </w:rPr>
        <w:t>减少</w:t>
      </w:r>
      <w:r>
        <w:rPr>
          <w:rFonts w:hint="eastAsia" w:ascii="仿宋" w:eastAsia="仿宋"/>
          <w:color w:val="auto"/>
          <w:sz w:val="32"/>
          <w:szCs w:val="32"/>
          <w:highlight w:val="none"/>
          <w:lang w:val="en-US" w:eastAsia="zh-CN"/>
        </w:rPr>
        <w:t>48.16</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41.46</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olor w:val="auto"/>
          <w:sz w:val="32"/>
          <w:szCs w:val="32"/>
          <w:highlight w:val="none"/>
          <w:lang w:val="en-US" w:eastAsia="zh-CN"/>
        </w:rPr>
        <w:t>2022年收入</w:t>
      </w:r>
      <w:r>
        <w:rPr>
          <w:rFonts w:hint="eastAsia" w:ascii="仿宋" w:eastAsia="仿宋"/>
          <w:color w:val="auto"/>
          <w:sz w:val="32"/>
          <w:szCs w:val="32"/>
          <w:highlight w:val="none"/>
        </w:rPr>
        <w:t>主要变动原因</w:t>
      </w:r>
      <w:r>
        <w:rPr>
          <w:rFonts w:hint="eastAsia" w:ascii="仿宋" w:eastAsia="仿宋"/>
          <w:color w:val="auto"/>
          <w:sz w:val="32"/>
          <w:szCs w:val="32"/>
          <w:highlight w:val="none"/>
          <w:lang w:eastAsia="zh-CN"/>
        </w:rPr>
        <w:t>是：政府性基金预算财政拨款收入增加了</w:t>
      </w:r>
      <w:r>
        <w:rPr>
          <w:rFonts w:hint="eastAsia" w:ascii="仿宋" w:eastAsia="仿宋"/>
          <w:color w:val="auto"/>
          <w:sz w:val="32"/>
          <w:szCs w:val="32"/>
          <w:highlight w:val="none"/>
          <w:lang w:val="en-US" w:eastAsia="zh-CN"/>
        </w:rPr>
        <w:t>2.47万元，</w:t>
      </w:r>
      <w:r>
        <w:rPr>
          <w:rFonts w:hint="eastAsia" w:ascii="仿宋" w:eastAsia="仿宋"/>
          <w:color w:val="auto"/>
          <w:sz w:val="32"/>
          <w:szCs w:val="32"/>
          <w:highlight w:val="none"/>
          <w:lang w:eastAsia="zh-CN"/>
        </w:rPr>
        <w:t>一般公共预算财政拨款收入减少</w:t>
      </w:r>
      <w:r>
        <w:rPr>
          <w:rFonts w:hint="eastAsia" w:ascii="仿宋" w:eastAsia="仿宋" w:cs="仿宋"/>
          <w:color w:val="auto"/>
          <w:sz w:val="32"/>
          <w:szCs w:val="32"/>
          <w:lang w:val="en-US" w:eastAsia="zh-CN"/>
        </w:rPr>
        <w:t>了50.64万元。2022年支出变动主要原因是：社会保障和就业支出减少了1.79万元；卫生健康支出减少了47.37万元；住房保障支出减少了1.48万元；城乡社区支出增加了2.47万元。</w:t>
      </w:r>
    </w:p>
    <w:p>
      <w:pPr>
        <w:pStyle w:val="2"/>
        <w:rPr>
          <w:lang w:val="en-US"/>
        </w:rPr>
      </w:pPr>
      <w:r>
        <w:rPr>
          <w:rFonts w:hint="eastAsia"/>
          <w:lang w:val="en-US" w:eastAsia="zh-CN"/>
        </w:rPr>
        <w:t xml:space="preserve">         </w:t>
      </w:r>
      <w:r>
        <w:drawing>
          <wp:inline distT="0" distB="0" distL="114300" distR="114300">
            <wp:extent cx="3543935" cy="1768475"/>
            <wp:effectExtent l="0" t="0" r="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（图4：财政拨款收、支决算总计变动情况）（柱状图）</w:t>
      </w:r>
    </w:p>
    <w:p>
      <w:pPr>
        <w:spacing w:line="600" w:lineRule="exact"/>
        <w:ind w:firstLine="640"/>
        <w:rPr>
          <w:rFonts w:ascii="仿宋" w:eastAsia="仿宋"/>
          <w:b/>
          <w:color w:val="auto"/>
          <w:sz w:val="32"/>
          <w:szCs w:val="32"/>
          <w:highlight w:val="none"/>
        </w:rPr>
      </w:pPr>
    </w:p>
    <w:p>
      <w:pPr>
        <w:spacing w:line="600" w:lineRule="exact"/>
        <w:ind w:firstLine="640" w:firstLineChars="200"/>
        <w:outlineLvl w:val="1"/>
        <w:rPr>
          <w:rStyle w:val="15"/>
          <w:rFonts w:ascii="黑体" w:eastAsia="黑体"/>
          <w:b w:val="0"/>
          <w:color w:val="auto"/>
          <w:highlight w:val="none"/>
        </w:rPr>
      </w:pPr>
      <w:bookmarkStart w:id="48" w:name="_Toc15396607"/>
      <w:bookmarkStart w:id="49" w:name="_Toc15377209"/>
      <w:bookmarkStart w:id="50" w:name="_Toc18850"/>
      <w:r>
        <w:rPr>
          <w:rFonts w:hint="eastAsia" w:ascii="黑体" w:eastAsia="黑体"/>
          <w:color w:val="auto"/>
          <w:sz w:val="32"/>
          <w:szCs w:val="32"/>
          <w:highlight w:val="none"/>
        </w:rPr>
        <w:t>五、</w:t>
      </w:r>
      <w:r>
        <w:rPr>
          <w:rFonts w:hint="eastAsia" w:ascii="黑体" w:eastAsia="黑体"/>
          <w:b/>
          <w:color w:val="auto"/>
          <w:sz w:val="32"/>
          <w:szCs w:val="32"/>
          <w:highlight w:val="none"/>
        </w:rPr>
        <w:t>一</w:t>
      </w:r>
      <w:r>
        <w:rPr>
          <w:rStyle w:val="15"/>
          <w:rFonts w:hint="eastAsia" w:ascii="黑体" w:eastAsia="黑体"/>
          <w:b w:val="0"/>
          <w:color w:val="auto"/>
          <w:highlight w:val="none"/>
        </w:rPr>
        <w:t>般公共预算财政拨款支出决算情况说明</w:t>
      </w:r>
      <w:bookmarkEnd w:id="48"/>
      <w:bookmarkEnd w:id="49"/>
      <w:bookmarkEnd w:id="50"/>
    </w:p>
    <w:p>
      <w:pPr>
        <w:spacing w:line="600" w:lineRule="exact"/>
        <w:ind w:firstLine="643" w:firstLineChars="200"/>
        <w:outlineLvl w:val="2"/>
        <w:rPr>
          <w:rFonts w:ascii="仿宋" w:eastAsia="仿宋"/>
          <w:b/>
          <w:color w:val="auto"/>
          <w:sz w:val="32"/>
          <w:szCs w:val="32"/>
          <w:highlight w:val="none"/>
        </w:rPr>
      </w:pPr>
      <w:bookmarkStart w:id="51" w:name="_Toc15377210"/>
      <w:bookmarkStart w:id="52" w:name="_Toc1203"/>
      <w:r>
        <w:rPr>
          <w:rFonts w:hint="eastAsia" w:ascii="仿宋" w:eastAsia="仿宋"/>
          <w:b/>
          <w:color w:val="auto"/>
          <w:sz w:val="32"/>
          <w:szCs w:val="32"/>
          <w:highlight w:val="none"/>
        </w:rPr>
        <w:t>（一）一般公共预算财政拨款支出决算总体情况</w:t>
      </w:r>
      <w:bookmarkEnd w:id="51"/>
      <w:bookmarkEnd w:id="52"/>
    </w:p>
    <w:p>
      <w:pPr>
        <w:spacing w:line="600" w:lineRule="exact"/>
        <w:ind w:firstLine="640" w:firstLineChars="200"/>
        <w:rPr>
          <w:rFonts w:hint="eastAsia" w:ascii="仿宋" w:eastAsia="仿宋"/>
          <w:color w:val="auto"/>
          <w:sz w:val="32"/>
          <w:szCs w:val="32"/>
          <w:highlight w:val="none"/>
          <w:lang w:val="en-US"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65.51</w:t>
      </w:r>
      <w:r>
        <w:rPr>
          <w:rFonts w:hint="eastAsia" w:ascii="仿宋" w:eastAsia="仿宋"/>
          <w:color w:val="auto"/>
          <w:sz w:val="32"/>
          <w:szCs w:val="32"/>
          <w:highlight w:val="none"/>
        </w:rPr>
        <w:t>万元，占本年支出合计的</w:t>
      </w:r>
      <w:r>
        <w:rPr>
          <w:rFonts w:hint="eastAsia" w:ascii="仿宋" w:eastAsia="仿宋"/>
          <w:color w:val="auto"/>
          <w:sz w:val="32"/>
          <w:szCs w:val="32"/>
          <w:highlight w:val="none"/>
          <w:lang w:val="en-US" w:eastAsia="zh-CN"/>
        </w:rPr>
        <w:t>61.64</w:t>
      </w:r>
      <w:r>
        <w:rPr>
          <w:rFonts w:ascii="仿宋" w:eastAsia="仿宋"/>
          <w:color w:val="auto"/>
          <w:sz w:val="32"/>
          <w:szCs w:val="32"/>
          <w:highlight w:val="none"/>
        </w:rPr>
        <w:t>%</w:t>
      </w:r>
      <w:r>
        <w:rPr>
          <w:rFonts w:hint="eastAsia" w:ascii="仿宋" w:eastAsia="仿宋"/>
          <w:color w:val="auto"/>
          <w:sz w:val="32"/>
          <w:szCs w:val="32"/>
          <w:highlight w:val="none"/>
        </w:rPr>
        <w:t>。与</w:t>
      </w:r>
      <w:r>
        <w:rPr>
          <w:rFonts w:ascii="仿宋" w:eastAsia="仿宋"/>
          <w:color w:val="auto"/>
          <w:sz w:val="32"/>
          <w:szCs w:val="32"/>
          <w:highlight w:val="none"/>
        </w:rPr>
        <w:t>20</w:t>
      </w:r>
      <w:r>
        <w:rPr>
          <w:rFonts w:hint="eastAsia" w:ascii="仿宋" w:eastAsia="仿宋"/>
          <w:color w:val="auto"/>
          <w:sz w:val="32"/>
          <w:szCs w:val="32"/>
          <w:highlight w:val="none"/>
          <w:lang w:val="en-US" w:eastAsia="zh-CN"/>
        </w:rPr>
        <w:t>21</w:t>
      </w:r>
      <w:r>
        <w:rPr>
          <w:rFonts w:hint="eastAsia" w:ascii="仿宋" w:eastAsia="仿宋"/>
          <w:color w:val="auto"/>
          <w:sz w:val="32"/>
          <w:szCs w:val="32"/>
          <w:highlight w:val="none"/>
        </w:rPr>
        <w:t>年相比，一般公共预算财政拨款</w:t>
      </w:r>
      <w:r>
        <w:rPr>
          <w:rFonts w:hint="eastAsia" w:ascii="仿宋" w:eastAsia="仿宋"/>
          <w:color w:val="auto"/>
          <w:sz w:val="32"/>
          <w:szCs w:val="32"/>
          <w:highlight w:val="none"/>
          <w:lang w:eastAsia="zh-CN"/>
        </w:rPr>
        <w:t>支出减少了</w:t>
      </w:r>
      <w:r>
        <w:rPr>
          <w:rFonts w:hint="eastAsia" w:ascii="仿宋" w:eastAsia="仿宋"/>
          <w:color w:val="auto"/>
          <w:sz w:val="32"/>
          <w:szCs w:val="32"/>
          <w:highlight w:val="none"/>
          <w:lang w:val="en-US" w:eastAsia="zh-CN"/>
        </w:rPr>
        <w:t>50.64</w:t>
      </w:r>
      <w:r>
        <w:rPr>
          <w:rFonts w:hint="eastAsia" w:ascii="仿宋" w:eastAsia="仿宋"/>
          <w:color w:val="auto"/>
          <w:sz w:val="32"/>
          <w:szCs w:val="32"/>
          <w:highlight w:val="none"/>
        </w:rPr>
        <w:t>万元，</w:t>
      </w:r>
      <w:r>
        <w:rPr>
          <w:rFonts w:hint="eastAsia" w:ascii="仿宋" w:eastAsia="仿宋"/>
          <w:color w:val="auto"/>
          <w:sz w:val="32"/>
          <w:szCs w:val="32"/>
          <w:highlight w:val="none"/>
          <w:lang w:eastAsia="zh-CN"/>
        </w:rPr>
        <w:t>下降</w:t>
      </w:r>
      <w:r>
        <w:rPr>
          <w:rFonts w:hint="eastAsia" w:ascii="仿宋" w:eastAsia="仿宋"/>
          <w:color w:val="auto"/>
          <w:sz w:val="32"/>
          <w:szCs w:val="32"/>
          <w:highlight w:val="none"/>
          <w:lang w:val="en-US" w:eastAsia="zh-CN"/>
        </w:rPr>
        <w:t>43.6</w:t>
      </w:r>
      <w:r>
        <w:rPr>
          <w:rFonts w:ascii="仿宋" w:eastAsia="仿宋"/>
          <w:color w:val="auto"/>
          <w:sz w:val="32"/>
          <w:szCs w:val="32"/>
          <w:highlight w:val="none"/>
        </w:rPr>
        <w:t>%</w:t>
      </w:r>
      <w:r>
        <w:rPr>
          <w:rFonts w:hint="eastAsia" w:ascii="仿宋" w:eastAsia="仿宋"/>
          <w:color w:val="auto"/>
          <w:sz w:val="32"/>
          <w:szCs w:val="32"/>
          <w:highlight w:val="none"/>
        </w:rPr>
        <w:t>。主要变动原因是</w:t>
      </w:r>
      <w:r>
        <w:rPr>
          <w:rFonts w:hint="eastAsia" w:ascii="仿宋" w:eastAsia="仿宋"/>
          <w:color w:val="auto"/>
          <w:sz w:val="32"/>
          <w:szCs w:val="32"/>
          <w:highlight w:val="none"/>
          <w:lang w:eastAsia="zh-CN"/>
        </w:rPr>
        <w:t>基本支出减少了</w:t>
      </w:r>
      <w:r>
        <w:rPr>
          <w:rFonts w:hint="eastAsia" w:ascii="仿宋" w:eastAsia="仿宋"/>
          <w:color w:val="auto"/>
          <w:sz w:val="32"/>
          <w:szCs w:val="32"/>
          <w:highlight w:val="none"/>
          <w:lang w:val="en-US" w:eastAsia="zh-CN"/>
        </w:rPr>
        <w:t>1.04万元，项目支出减少了49.6万元。</w:t>
      </w:r>
    </w:p>
    <w:p>
      <w:pPr>
        <w:pStyle w:val="2"/>
        <w:rPr>
          <w:lang w:val="en-US" w:eastAsia="zh-CN"/>
        </w:rPr>
      </w:pPr>
      <w:r>
        <w:rPr>
          <w:rFonts w:hint="eastAsia"/>
          <w:lang w:val="en-US" w:eastAsia="zh-CN"/>
        </w:rPr>
        <w:t xml:space="preserve">           </w:t>
      </w:r>
      <w:r>
        <w:drawing>
          <wp:inline distT="0" distB="0" distL="114300" distR="114300">
            <wp:extent cx="3162935" cy="1828800"/>
            <wp:effectExtent l="0" t="0" r="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640" w:firstLineChars="200"/>
        <w:rPr>
          <w:rFonts w:ascii="仿宋" w:eastAsia="仿宋"/>
          <w:color w:val="auto"/>
          <w:sz w:val="32"/>
          <w:szCs w:val="32"/>
          <w:highlight w:val="none"/>
        </w:rPr>
      </w:pPr>
    </w:p>
    <w:p>
      <w:pPr>
        <w:spacing w:line="600" w:lineRule="exact"/>
        <w:ind w:firstLine="643" w:firstLineChars="200"/>
        <w:outlineLvl w:val="2"/>
        <w:rPr>
          <w:rFonts w:ascii="仿宋" w:eastAsia="仿宋"/>
          <w:b/>
          <w:color w:val="auto"/>
          <w:sz w:val="32"/>
          <w:szCs w:val="32"/>
          <w:highlight w:val="none"/>
        </w:rPr>
      </w:pPr>
      <w:bookmarkStart w:id="53" w:name="_Toc15377211"/>
      <w:bookmarkStart w:id="54" w:name="_Toc8736"/>
      <w:r>
        <w:rPr>
          <w:rFonts w:hint="eastAsia" w:ascii="仿宋" w:eastAsia="仿宋"/>
          <w:b/>
          <w:color w:val="auto"/>
          <w:sz w:val="32"/>
          <w:szCs w:val="32"/>
          <w:highlight w:val="none"/>
        </w:rPr>
        <w:t>（二）一般公共预算财政拨款支出决算结构情况</w:t>
      </w:r>
      <w:bookmarkEnd w:id="53"/>
      <w:bookmarkEnd w:id="54"/>
    </w:p>
    <w:p>
      <w:pPr>
        <w:spacing w:line="600" w:lineRule="exact"/>
        <w:ind w:firstLine="640"/>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年一般公共预算财政拨款支出</w:t>
      </w:r>
      <w:r>
        <w:rPr>
          <w:rFonts w:hint="eastAsia" w:ascii="仿宋" w:eastAsia="仿宋"/>
          <w:color w:val="auto"/>
          <w:sz w:val="32"/>
          <w:szCs w:val="32"/>
          <w:highlight w:val="none"/>
          <w:lang w:val="en-US" w:eastAsia="zh-CN"/>
        </w:rPr>
        <w:t>65.51</w:t>
      </w:r>
      <w:r>
        <w:rPr>
          <w:rFonts w:hint="eastAsia" w:ascii="仿宋" w:eastAsia="仿宋"/>
          <w:color w:val="auto"/>
          <w:sz w:val="32"/>
          <w:szCs w:val="32"/>
          <w:highlight w:val="none"/>
        </w:rPr>
        <w:t>万元，主要用于以下方面</w:t>
      </w:r>
      <w:r>
        <w:rPr>
          <w:rFonts w:ascii="仿宋" w:eastAsia="仿宋"/>
          <w:color w:val="auto"/>
          <w:sz w:val="32"/>
          <w:szCs w:val="32"/>
          <w:highlight w:val="none"/>
        </w:rPr>
        <w:t>:</w:t>
      </w:r>
      <w:r>
        <w:rPr>
          <w:rFonts w:hint="eastAsia" w:ascii="仿宋" w:eastAsia="仿宋"/>
          <w:b/>
          <w:color w:val="auto"/>
          <w:sz w:val="32"/>
          <w:szCs w:val="32"/>
          <w:highlight w:val="none"/>
        </w:rPr>
        <w:t>社会保障和</w:t>
      </w:r>
      <w:r>
        <w:rPr>
          <w:rFonts w:hint="eastAsia" w:ascii="仿宋" w:eastAsia="仿宋" w:cs="Times New Roman"/>
          <w:b/>
          <w:color w:val="auto"/>
          <w:sz w:val="32"/>
          <w:szCs w:val="32"/>
          <w:highlight w:val="none"/>
        </w:rPr>
        <w:t>就业支出</w:t>
      </w:r>
      <w:r>
        <w:rPr>
          <w:rFonts w:hint="eastAsia" w:ascii="仿宋" w:eastAsia="仿宋"/>
          <w:color w:val="auto"/>
          <w:sz w:val="32"/>
          <w:szCs w:val="32"/>
          <w:highlight w:val="none"/>
          <w:lang w:val="en-US" w:eastAsia="zh-CN"/>
        </w:rPr>
        <w:t>7.43</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11.34</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b/>
          <w:bCs/>
          <w:color w:val="auto"/>
          <w:sz w:val="32"/>
          <w:szCs w:val="32"/>
          <w:highlight w:val="none"/>
        </w:rPr>
        <w:t>卫生健康支出</w:t>
      </w:r>
      <w:r>
        <w:rPr>
          <w:rFonts w:hint="eastAsia" w:ascii="仿宋" w:eastAsia="仿宋"/>
          <w:color w:val="auto"/>
          <w:sz w:val="32"/>
          <w:szCs w:val="32"/>
          <w:highlight w:val="none"/>
          <w:lang w:val="en-US" w:eastAsia="zh-CN"/>
        </w:rPr>
        <w:t>53.37</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81.47</w:t>
      </w:r>
      <w:r>
        <w:rPr>
          <w:rFonts w:ascii="仿宋" w:eastAsia="仿宋"/>
          <w:color w:val="auto"/>
          <w:sz w:val="32"/>
          <w:szCs w:val="32"/>
          <w:highlight w:val="none"/>
        </w:rPr>
        <w:t>%</w:t>
      </w:r>
      <w:r>
        <w:rPr>
          <w:rFonts w:hint="eastAsia" w:ascii="仿宋" w:eastAsia="仿宋"/>
          <w:color w:val="auto"/>
          <w:sz w:val="32"/>
          <w:szCs w:val="32"/>
          <w:highlight w:val="none"/>
        </w:rPr>
        <w:t>；</w:t>
      </w:r>
      <w:r>
        <w:rPr>
          <w:rFonts w:hint="eastAsia" w:ascii="仿宋" w:eastAsia="仿宋" w:cs="Times New Roman"/>
          <w:b/>
          <w:color w:val="auto"/>
          <w:sz w:val="32"/>
          <w:szCs w:val="32"/>
          <w:highlight w:val="none"/>
        </w:rPr>
        <w:t>住房保障支出</w:t>
      </w:r>
      <w:r>
        <w:rPr>
          <w:rFonts w:hint="eastAsia" w:ascii="仿宋" w:eastAsia="仿宋"/>
          <w:color w:val="auto"/>
          <w:sz w:val="32"/>
          <w:szCs w:val="32"/>
          <w:highlight w:val="none"/>
          <w:lang w:val="en-US" w:eastAsia="zh-CN"/>
        </w:rPr>
        <w:t>4.71</w:t>
      </w:r>
      <w:r>
        <w:rPr>
          <w:rFonts w:hint="eastAsia" w:ascii="仿宋" w:eastAsia="仿宋"/>
          <w:color w:val="auto"/>
          <w:sz w:val="32"/>
          <w:szCs w:val="32"/>
          <w:highlight w:val="none"/>
        </w:rPr>
        <w:t>万元，占</w:t>
      </w:r>
      <w:r>
        <w:rPr>
          <w:rFonts w:hint="eastAsia" w:ascii="仿宋" w:eastAsia="仿宋"/>
          <w:color w:val="auto"/>
          <w:sz w:val="32"/>
          <w:szCs w:val="32"/>
          <w:highlight w:val="none"/>
          <w:lang w:val="en-US" w:eastAsia="zh-CN"/>
        </w:rPr>
        <w:t>7.19</w:t>
      </w:r>
      <w:r>
        <w:rPr>
          <w:rFonts w:ascii="仿宋" w:eastAsia="仿宋"/>
          <w:color w:val="auto"/>
          <w:sz w:val="32"/>
          <w:szCs w:val="32"/>
          <w:highlight w:val="none"/>
        </w:rPr>
        <w:t>%</w:t>
      </w:r>
      <w:r>
        <w:rPr>
          <w:rFonts w:hint="eastAsia" w:ascii="仿宋" w:eastAsia="仿宋"/>
          <w:color w:val="auto"/>
          <w:sz w:val="32"/>
          <w:szCs w:val="32"/>
          <w:highlight w:val="none"/>
        </w:rPr>
        <w:t>。</w:t>
      </w:r>
    </w:p>
    <w:p>
      <w:pPr>
        <w:pStyle w:val="2"/>
      </w:pPr>
      <w:r>
        <w:rPr>
          <w:rFonts w:hint="eastAsia"/>
          <w:lang w:val="en-US" w:eastAsia="zh-CN"/>
        </w:rPr>
        <w:t xml:space="preserve">         </w:t>
      </w:r>
      <w:r>
        <w:drawing>
          <wp:inline distT="0" distB="0" distL="114300" distR="114300">
            <wp:extent cx="3633470" cy="2262505"/>
            <wp:effectExtent l="0" t="0" r="0" b="0"/>
            <wp:docPr id="6"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rPr>
          <w:rFonts w:ascii="仿宋" w:eastAsia="仿宋"/>
          <w:color w:val="auto"/>
          <w:sz w:val="32"/>
          <w:szCs w:val="32"/>
          <w:highlight w:val="none"/>
        </w:rPr>
      </w:pPr>
      <w:r>
        <w:rPr>
          <w:rFonts w:hint="eastAsia" w:ascii="仿宋" w:eastAsia="仿宋"/>
          <w:color w:val="auto"/>
          <w:sz w:val="32"/>
          <w:szCs w:val="32"/>
          <w:highlight w:val="none"/>
        </w:rPr>
        <w:t>（图6：一般公共预算财政拨款支出决算结构）（饼状图）</w:t>
      </w:r>
    </w:p>
    <w:p>
      <w:pPr>
        <w:spacing w:line="600" w:lineRule="exact"/>
        <w:ind w:firstLine="640" w:firstLineChars="200"/>
        <w:rPr>
          <w:rFonts w:ascii="仿宋" w:eastAsia="仿宋"/>
          <w:color w:val="auto"/>
          <w:sz w:val="32"/>
          <w:szCs w:val="32"/>
          <w:highlight w:val="none"/>
        </w:rPr>
      </w:pPr>
    </w:p>
    <w:p>
      <w:pPr>
        <w:spacing w:line="600" w:lineRule="exact"/>
        <w:ind w:firstLine="643" w:firstLineChars="200"/>
        <w:outlineLvl w:val="2"/>
        <w:rPr>
          <w:rFonts w:ascii="仿宋" w:eastAsia="仿宋"/>
          <w:b/>
          <w:color w:val="auto"/>
          <w:sz w:val="32"/>
          <w:szCs w:val="32"/>
          <w:highlight w:val="none"/>
        </w:rPr>
      </w:pPr>
      <w:bookmarkStart w:id="55" w:name="_Toc15377212"/>
      <w:bookmarkStart w:id="56" w:name="_Toc28717"/>
      <w:r>
        <w:rPr>
          <w:rFonts w:hint="eastAsia" w:ascii="仿宋" w:eastAsia="仿宋"/>
          <w:b/>
          <w:color w:val="auto"/>
          <w:sz w:val="32"/>
          <w:szCs w:val="32"/>
          <w:highlight w:val="none"/>
        </w:rPr>
        <w:t>（三）一般公共预算财政拨款支出决算具体情况</w:t>
      </w:r>
      <w:bookmarkEnd w:id="55"/>
      <w:bookmarkEnd w:id="56"/>
    </w:p>
    <w:p>
      <w:pPr>
        <w:spacing w:line="600" w:lineRule="exact"/>
        <w:ind w:firstLine="643" w:firstLineChars="200"/>
        <w:outlineLvl w:val="1"/>
        <w:rPr>
          <w:rStyle w:val="12"/>
          <w:rFonts w:hint="eastAsia" w:ascii="仿宋" w:eastAsia="仿宋"/>
          <w:bCs/>
          <w:color w:val="000000"/>
          <w:sz w:val="32"/>
          <w:szCs w:val="32"/>
        </w:rPr>
      </w:pPr>
      <w:bookmarkStart w:id="57" w:name="_Toc15378460"/>
      <w:bookmarkStart w:id="58" w:name="_Toc15377444"/>
      <w:bookmarkStart w:id="59" w:name="_Toc15377213"/>
      <w:bookmarkStart w:id="60" w:name="_Toc18442"/>
      <w:bookmarkStart w:id="61" w:name="_Toc7291"/>
      <w:r>
        <w:rPr>
          <w:rFonts w:hint="eastAsia" w:ascii="仿宋" w:eastAsia="仿宋"/>
          <w:b/>
          <w:color w:val="000000"/>
          <w:sz w:val="32"/>
          <w:szCs w:val="32"/>
          <w:lang w:eastAsia="zh-CN"/>
        </w:rPr>
        <w:t>202</w:t>
      </w:r>
      <w:r>
        <w:rPr>
          <w:rFonts w:hint="eastAsia" w:ascii="仿宋" w:eastAsia="仿宋"/>
          <w:b/>
          <w:color w:val="000000"/>
          <w:sz w:val="32"/>
          <w:szCs w:val="32"/>
          <w:lang w:val="en-US" w:eastAsia="zh-CN"/>
        </w:rPr>
        <w:t>2</w:t>
      </w:r>
      <w:r>
        <w:rPr>
          <w:rFonts w:hint="eastAsia" w:ascii="仿宋" w:eastAsia="仿宋"/>
          <w:b/>
          <w:color w:val="000000"/>
          <w:sz w:val="32"/>
          <w:szCs w:val="32"/>
        </w:rPr>
        <w:t>年一般公共预算支出决算数为</w:t>
      </w:r>
      <w:r>
        <w:rPr>
          <w:rFonts w:hint="eastAsia" w:ascii="仿宋" w:eastAsia="仿宋"/>
          <w:b/>
          <w:color w:val="000000"/>
          <w:sz w:val="32"/>
          <w:szCs w:val="32"/>
          <w:lang w:val="en-US" w:eastAsia="zh-CN"/>
        </w:rPr>
        <w:t>106.27万元</w:t>
      </w:r>
      <w:r>
        <w:rPr>
          <w:rFonts w:hint="eastAsia" w:ascii="仿宋" w:eastAsia="仿宋"/>
          <w:color w:val="000000"/>
          <w:sz w:val="32"/>
          <w:szCs w:val="32"/>
        </w:rPr>
        <w:t>，</w:t>
      </w:r>
      <w:r>
        <w:rPr>
          <w:rStyle w:val="12"/>
          <w:rFonts w:hint="eastAsia" w:ascii="仿宋" w:eastAsia="仿宋"/>
          <w:bCs/>
          <w:color w:val="000000"/>
          <w:sz w:val="32"/>
          <w:szCs w:val="32"/>
        </w:rPr>
        <w:t>完成预算</w:t>
      </w:r>
      <w:r>
        <w:rPr>
          <w:rStyle w:val="12"/>
          <w:rFonts w:hint="eastAsia" w:ascii="仿宋" w:eastAsia="仿宋"/>
          <w:bCs/>
          <w:color w:val="000000"/>
          <w:sz w:val="32"/>
          <w:szCs w:val="32"/>
          <w:lang w:val="en-US" w:eastAsia="zh-CN"/>
        </w:rPr>
        <w:t>100</w:t>
      </w:r>
      <w:r>
        <w:rPr>
          <w:rStyle w:val="12"/>
          <w:rFonts w:ascii="仿宋" w:eastAsia="仿宋"/>
          <w:bCs/>
          <w:color w:val="000000"/>
          <w:sz w:val="32"/>
          <w:szCs w:val="32"/>
        </w:rPr>
        <w:t>%</w:t>
      </w:r>
      <w:r>
        <w:rPr>
          <w:rStyle w:val="12"/>
          <w:rFonts w:hint="eastAsia" w:ascii="仿宋" w:eastAsia="仿宋"/>
          <w:bCs/>
          <w:color w:val="000000"/>
          <w:sz w:val="32"/>
          <w:szCs w:val="32"/>
        </w:rPr>
        <w:t>。其中：</w:t>
      </w:r>
      <w:bookmarkEnd w:id="57"/>
      <w:bookmarkEnd w:id="58"/>
      <w:bookmarkEnd w:id="59"/>
      <w:bookmarkEnd w:id="60"/>
      <w:bookmarkEnd w:id="61"/>
    </w:p>
    <w:p>
      <w:pPr>
        <w:spacing w:line="600" w:lineRule="exact"/>
        <w:ind w:firstLine="643" w:firstLineChars="200"/>
        <w:rPr>
          <w:rFonts w:hint="eastAsia" w:ascii="仿宋_GB2312" w:eastAsia="仿宋_GB2312"/>
          <w:color w:val="000000"/>
          <w:sz w:val="32"/>
          <w:szCs w:val="32"/>
        </w:rPr>
      </w:pPr>
      <w:r>
        <w:rPr>
          <w:rFonts w:hint="eastAsia" w:asci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2"/>
          <w:rFonts w:hint="eastAsia" w:ascii="仿宋_GB2312" w:eastAsia="仿宋_GB2312"/>
          <w:color w:val="000000"/>
          <w:sz w:val="32"/>
          <w:szCs w:val="32"/>
        </w:rPr>
        <w:t>乡镇卫生院（项）</w:t>
      </w:r>
      <w:r>
        <w:rPr>
          <w:rStyle w:val="12"/>
          <w:rFonts w:hint="eastAsia" w:ascii="仿宋_GB2312" w:eastAsia="仿宋_GB2312"/>
          <w:color w:val="000000"/>
          <w:sz w:val="32"/>
          <w:szCs w:val="32"/>
          <w:lang w:eastAsia="zh-CN"/>
        </w:rPr>
        <w:t>：</w:t>
      </w:r>
      <w:r>
        <w:rPr>
          <w:rFonts w:hint="eastAsia" w:ascii="仿宋" w:eastAsia="仿宋"/>
          <w:color w:val="auto"/>
          <w:sz w:val="32"/>
          <w:szCs w:val="32"/>
          <w:highlight w:val="none"/>
        </w:rPr>
        <w:t>主要</w:t>
      </w:r>
      <w:r>
        <w:rPr>
          <w:rFonts w:hint="eastAsia" w:ascii="仿宋" w:eastAsia="仿宋"/>
          <w:color w:val="auto"/>
          <w:sz w:val="32"/>
          <w:szCs w:val="32"/>
          <w:highlight w:val="none"/>
          <w:lang w:eastAsia="zh-CN"/>
        </w:rPr>
        <w:t>用于乡镇</w:t>
      </w:r>
      <w:r>
        <w:rPr>
          <w:rFonts w:hint="eastAsia" w:ascii="仿宋" w:eastAsia="仿宋"/>
          <w:color w:val="auto"/>
          <w:sz w:val="32"/>
          <w:szCs w:val="32"/>
          <w:highlight w:val="none"/>
        </w:rPr>
        <w:t>卫生院人员</w:t>
      </w:r>
      <w:r>
        <w:rPr>
          <w:rFonts w:hint="eastAsia" w:ascii="仿宋" w:eastAsia="仿宋"/>
          <w:color w:val="auto"/>
          <w:sz w:val="32"/>
          <w:szCs w:val="32"/>
          <w:highlight w:val="none"/>
          <w:lang w:eastAsia="zh-CN"/>
        </w:rPr>
        <w:t>工资、保险，</w:t>
      </w:r>
      <w:r>
        <w:rPr>
          <w:rFonts w:hint="eastAsia" w:ascii="仿宋" w:eastAsia="仿宋"/>
          <w:color w:val="auto"/>
          <w:sz w:val="32"/>
          <w:szCs w:val="32"/>
          <w:highlight w:val="none"/>
        </w:rPr>
        <w:t>决算数</w:t>
      </w:r>
      <w:r>
        <w:rPr>
          <w:rFonts w:hint="eastAsia" w:ascii="仿宋" w:eastAsia="仿宋"/>
          <w:color w:val="auto"/>
          <w:sz w:val="32"/>
          <w:szCs w:val="32"/>
          <w:highlight w:val="none"/>
          <w:lang w:val="en-US" w:eastAsia="zh-CN"/>
        </w:rPr>
        <w:t>87.57</w:t>
      </w:r>
      <w:r>
        <w:rPr>
          <w:rFonts w:hint="eastAsia" w:ascii="仿宋" w:eastAsia="仿宋"/>
          <w:color w:val="auto"/>
          <w:sz w:val="32"/>
          <w:szCs w:val="32"/>
          <w:highlight w:val="none"/>
        </w:rPr>
        <w:t>万元，完成预算</w:t>
      </w:r>
      <w:r>
        <w:rPr>
          <w:rFonts w:hint="eastAsia" w:ascii="仿宋" w:eastAsia="仿宋"/>
          <w:color w:val="auto"/>
          <w:sz w:val="32"/>
          <w:szCs w:val="32"/>
          <w:highlight w:val="none"/>
          <w:lang w:val="en-US" w:eastAsia="zh-CN"/>
        </w:rPr>
        <w:t>100</w:t>
      </w:r>
      <w:r>
        <w:rPr>
          <w:rFonts w:hint="eastAsia" w:ascii="仿宋" w:eastAsia="仿宋"/>
          <w:color w:val="auto"/>
          <w:sz w:val="32"/>
          <w:szCs w:val="32"/>
          <w:highlight w:val="none"/>
        </w:rPr>
        <w:t>%。</w:t>
      </w:r>
    </w:p>
    <w:p>
      <w:pPr>
        <w:spacing w:line="600" w:lineRule="exact"/>
        <w:ind w:firstLine="643" w:firstLineChars="200"/>
        <w:rPr>
          <w:rFonts w:hint="eastAsia" w:ascii="仿宋" w:eastAsia="仿宋"/>
          <w:color w:val="auto"/>
          <w:sz w:val="32"/>
          <w:szCs w:val="32"/>
          <w:highlight w:val="none"/>
          <w:lang w:eastAsia="zh-CN"/>
        </w:rPr>
      </w:pPr>
      <w:r>
        <w:rPr>
          <w:rFonts w:hint="eastAsia" w:ascii="仿宋" w:eastAsia="仿宋"/>
          <w:b/>
          <w:bCs/>
          <w:color w:val="000000"/>
          <w:sz w:val="32"/>
          <w:szCs w:val="32"/>
        </w:rPr>
        <w:t>卫生健康支出</w:t>
      </w:r>
      <w:r>
        <w:rPr>
          <w:rFonts w:hint="eastAsia" w:ascii="仿宋_GB2312" w:eastAsia="仿宋_GB2312"/>
          <w:b/>
          <w:color w:val="000000"/>
          <w:sz w:val="32"/>
          <w:szCs w:val="32"/>
        </w:rPr>
        <w:t>（类）行政事业单位医疗（款）</w:t>
      </w:r>
      <w:r>
        <w:rPr>
          <w:rStyle w:val="12"/>
          <w:rFonts w:hint="eastAsia" w:ascii="仿宋_GB2312" w:eastAsia="仿宋_GB2312"/>
          <w:color w:val="000000"/>
          <w:sz w:val="32"/>
          <w:szCs w:val="32"/>
        </w:rPr>
        <w:t xml:space="preserve">    事业单位医疗（项）</w:t>
      </w:r>
      <w:r>
        <w:rPr>
          <w:rStyle w:val="12"/>
          <w:rFonts w:hint="eastAsia" w:ascii="仿宋_GB2312" w:eastAsia="仿宋_GB2312"/>
          <w:color w:val="000000"/>
          <w:sz w:val="32"/>
          <w:szCs w:val="32"/>
          <w:lang w:eastAsia="zh-CN"/>
        </w:rPr>
        <w:t>：</w:t>
      </w:r>
      <w:r>
        <w:rPr>
          <w:rFonts w:hint="eastAsia" w:ascii="仿宋" w:eastAsia="仿宋"/>
          <w:color w:val="auto"/>
          <w:sz w:val="32"/>
          <w:szCs w:val="32"/>
          <w:highlight w:val="none"/>
          <w:lang w:eastAsia="zh-CN"/>
        </w:rPr>
        <w:t>主要用于乡镇卫生院专用材料费、劳务费，</w:t>
      </w:r>
      <w:r>
        <w:rPr>
          <w:rFonts w:hint="eastAsia" w:ascii="仿宋" w:eastAsia="仿宋"/>
          <w:color w:val="auto"/>
          <w:sz w:val="32"/>
          <w:szCs w:val="32"/>
          <w:highlight w:val="none"/>
        </w:rPr>
        <w:t>决算数</w:t>
      </w:r>
      <w:r>
        <w:rPr>
          <w:rFonts w:hint="eastAsia" w:ascii="仿宋" w:eastAsia="仿宋"/>
          <w:color w:val="auto"/>
          <w:sz w:val="32"/>
          <w:szCs w:val="32"/>
          <w:highlight w:val="none"/>
          <w:lang w:val="en-US" w:eastAsia="zh-CN"/>
        </w:rPr>
        <w:t>4.09</w:t>
      </w:r>
      <w:r>
        <w:rPr>
          <w:rFonts w:hint="eastAsia" w:ascii="仿宋" w:eastAsia="仿宋"/>
          <w:color w:val="auto"/>
          <w:sz w:val="32"/>
          <w:szCs w:val="32"/>
          <w:highlight w:val="none"/>
        </w:rPr>
        <w:t>万元，完成预算</w:t>
      </w:r>
      <w:r>
        <w:rPr>
          <w:rFonts w:hint="eastAsia" w:ascii="仿宋" w:eastAsia="仿宋"/>
          <w:color w:val="auto"/>
          <w:sz w:val="32"/>
          <w:szCs w:val="32"/>
          <w:highlight w:val="none"/>
          <w:lang w:val="en-US" w:eastAsia="zh-CN"/>
        </w:rPr>
        <w:t>100</w:t>
      </w:r>
      <w:r>
        <w:rPr>
          <w:rFonts w:hint="eastAsia" w:ascii="仿宋" w:eastAsia="仿宋"/>
          <w:color w:val="auto"/>
          <w:sz w:val="32"/>
          <w:szCs w:val="32"/>
          <w:highlight w:val="none"/>
        </w:rPr>
        <w:t>%。</w:t>
      </w:r>
    </w:p>
    <w:p>
      <w:pPr>
        <w:spacing w:line="600" w:lineRule="exact"/>
        <w:ind w:firstLine="643" w:firstLineChars="200"/>
        <w:rPr>
          <w:rStyle w:val="12"/>
          <w:rFonts w:hint="eastAsia" w:ascii="仿宋_GB2312" w:eastAsia="仿宋_GB2312"/>
          <w:b w:val="0"/>
          <w:color w:val="000000"/>
          <w:sz w:val="32"/>
          <w:szCs w:val="32"/>
          <w:lang w:eastAsia="zh-CN"/>
        </w:rPr>
      </w:pPr>
      <w:r>
        <w:rPr>
          <w:rStyle w:val="12"/>
          <w:rFonts w:hint="eastAsia" w:ascii="仿宋_GB2312" w:eastAsia="仿宋_GB2312"/>
          <w:color w:val="000000"/>
          <w:sz w:val="32"/>
          <w:szCs w:val="32"/>
        </w:rPr>
        <w:t>住房保障支出（类）住房改革支出（款）</w:t>
      </w:r>
      <w:r>
        <w:rPr>
          <w:rStyle w:val="12"/>
          <w:rFonts w:hint="eastAsia" w:ascii="仿宋_GB2312" w:eastAsia="仿宋_GB2312"/>
          <w:bCs/>
          <w:color w:val="000000"/>
          <w:sz w:val="32"/>
          <w:szCs w:val="32"/>
        </w:rPr>
        <w:t>住房公积金支出（项）</w:t>
      </w:r>
      <w:r>
        <w:rPr>
          <w:rStyle w:val="12"/>
          <w:rFonts w:hint="eastAsia" w:ascii="仿宋_GB2312" w:eastAsia="仿宋_GB2312"/>
          <w:b w:val="0"/>
          <w:color w:val="000000"/>
          <w:sz w:val="32"/>
          <w:szCs w:val="32"/>
        </w:rPr>
        <w:t>:</w:t>
      </w:r>
      <w:r>
        <w:rPr>
          <w:rFonts w:hint="eastAsia" w:ascii="仿宋" w:eastAsia="仿宋"/>
          <w:color w:val="auto"/>
          <w:sz w:val="32"/>
          <w:szCs w:val="32"/>
          <w:highlight w:val="none"/>
          <w:lang w:eastAsia="zh-CN"/>
        </w:rPr>
        <w:t>主要用于在职在编人员缴纳住房公积金支出。决算数为</w:t>
      </w:r>
      <w:r>
        <w:rPr>
          <w:rFonts w:hint="eastAsia" w:ascii="仿宋" w:eastAsia="仿宋"/>
          <w:color w:val="auto"/>
          <w:sz w:val="32"/>
          <w:szCs w:val="32"/>
          <w:highlight w:val="none"/>
          <w:lang w:val="en-US" w:eastAsia="zh-CN"/>
        </w:rPr>
        <w:t>4.71</w:t>
      </w:r>
      <w:r>
        <w:rPr>
          <w:rFonts w:hint="eastAsia" w:ascii="仿宋" w:eastAsia="仿宋"/>
          <w:color w:val="auto"/>
          <w:sz w:val="32"/>
          <w:szCs w:val="32"/>
          <w:highlight w:val="none"/>
          <w:lang w:eastAsia="zh-CN"/>
        </w:rPr>
        <w:t>万元，完成预算</w:t>
      </w:r>
      <w:r>
        <w:rPr>
          <w:rFonts w:hint="eastAsia" w:ascii="仿宋" w:eastAsia="仿宋"/>
          <w:color w:val="auto"/>
          <w:sz w:val="32"/>
          <w:szCs w:val="32"/>
          <w:highlight w:val="none"/>
          <w:lang w:val="en-US" w:eastAsia="zh-CN"/>
        </w:rPr>
        <w:t>100</w:t>
      </w:r>
      <w:r>
        <w:rPr>
          <w:rFonts w:hint="eastAsia" w:ascii="仿宋" w:eastAsia="仿宋"/>
          <w:color w:val="auto"/>
          <w:sz w:val="32"/>
          <w:szCs w:val="32"/>
          <w:highlight w:val="none"/>
          <w:lang w:eastAsia="zh-CN"/>
        </w:rPr>
        <w:t>%。</w:t>
      </w:r>
    </w:p>
    <w:p>
      <w:pPr>
        <w:spacing w:line="600" w:lineRule="exact"/>
        <w:ind w:firstLine="643" w:firstLineChars="200"/>
        <w:rPr>
          <w:rFonts w:hint="eastAsia" w:ascii="仿宋" w:eastAsia="仿宋"/>
          <w:color w:val="auto"/>
          <w:sz w:val="32"/>
          <w:szCs w:val="32"/>
          <w:highlight w:val="none"/>
          <w:lang w:eastAsia="zh-CN"/>
        </w:rPr>
      </w:pPr>
      <w:r>
        <w:rPr>
          <w:rStyle w:val="12"/>
          <w:rFonts w:hint="eastAsia" w:ascii="仿宋_GB2312" w:eastAsia="仿宋_GB2312"/>
          <w:color w:val="000000"/>
          <w:sz w:val="32"/>
          <w:szCs w:val="32"/>
        </w:rPr>
        <w:t>社会保障和就业支出(类)行政事业单位养老支出（款）</w:t>
      </w:r>
      <w:r>
        <w:rPr>
          <w:rFonts w:hint="eastAsia" w:ascii="仿宋_GB2312" w:eastAsia="仿宋_GB2312"/>
          <w:b/>
          <w:color w:val="000000"/>
          <w:sz w:val="32"/>
          <w:szCs w:val="32"/>
        </w:rPr>
        <w:t xml:space="preserve">  机关事业单位基本养老保险缴费支出（项）：</w:t>
      </w:r>
      <w:r>
        <w:rPr>
          <w:rFonts w:hint="eastAsia" w:ascii="仿宋" w:eastAsia="仿宋"/>
          <w:color w:val="auto"/>
          <w:sz w:val="32"/>
          <w:szCs w:val="32"/>
          <w:highlight w:val="none"/>
          <w:lang w:eastAsia="zh-CN"/>
        </w:rPr>
        <w:t>主要用于在职在编人员基本养老保险支出，决算数为</w:t>
      </w:r>
      <w:r>
        <w:rPr>
          <w:rFonts w:hint="eastAsia" w:ascii="仿宋" w:eastAsia="仿宋"/>
          <w:color w:val="auto"/>
          <w:sz w:val="32"/>
          <w:szCs w:val="32"/>
          <w:highlight w:val="none"/>
          <w:lang w:val="en-US" w:eastAsia="zh-CN"/>
        </w:rPr>
        <w:t>4.66</w:t>
      </w:r>
      <w:r>
        <w:rPr>
          <w:rFonts w:hint="eastAsia" w:ascii="仿宋" w:eastAsia="仿宋"/>
          <w:color w:val="auto"/>
          <w:sz w:val="32"/>
          <w:szCs w:val="32"/>
          <w:highlight w:val="none"/>
          <w:lang w:eastAsia="zh-CN"/>
        </w:rPr>
        <w:t>万元，完成预算100%。</w:t>
      </w:r>
    </w:p>
    <w:p>
      <w:pPr>
        <w:spacing w:line="600" w:lineRule="exact"/>
        <w:ind w:firstLine="643" w:firstLineChars="200"/>
        <w:rPr>
          <w:rFonts w:hint="eastAsia" w:ascii="仿宋_GB2312" w:eastAsia="仿宋_GB2312"/>
          <w:sz w:val="32"/>
          <w:szCs w:val="32"/>
          <w:lang w:eastAsia="zh-CN"/>
        </w:rPr>
      </w:pPr>
      <w:r>
        <w:rPr>
          <w:rStyle w:val="12"/>
          <w:rFonts w:hint="eastAsia" w:ascii="仿宋_GB2312" w:eastAsia="仿宋_GB2312"/>
          <w:color w:val="000000"/>
          <w:sz w:val="32"/>
          <w:szCs w:val="32"/>
        </w:rPr>
        <w:t>社会保障和就业支出(类)行政事业单位养老支出（款）</w:t>
      </w:r>
      <w:r>
        <w:rPr>
          <w:rFonts w:hint="eastAsia" w:ascii="仿宋_GB2312" w:eastAsia="仿宋_GB2312"/>
          <w:b/>
          <w:sz w:val="32"/>
          <w:szCs w:val="32"/>
        </w:rPr>
        <w:t xml:space="preserve">  机关事业单位职业年金缴费支出（项）：</w:t>
      </w:r>
      <w:r>
        <w:rPr>
          <w:rFonts w:hint="eastAsia" w:ascii="仿宋" w:eastAsia="仿宋"/>
          <w:color w:val="auto"/>
          <w:sz w:val="32"/>
          <w:szCs w:val="32"/>
          <w:highlight w:val="none"/>
          <w:lang w:eastAsia="zh-CN"/>
        </w:rPr>
        <w:t>主要用于在职在编人员职业年金支出，决算数为</w:t>
      </w:r>
      <w:r>
        <w:rPr>
          <w:rFonts w:hint="eastAsia" w:ascii="仿宋" w:eastAsia="仿宋"/>
          <w:color w:val="auto"/>
          <w:sz w:val="32"/>
          <w:szCs w:val="32"/>
          <w:highlight w:val="none"/>
          <w:lang w:val="en-US" w:eastAsia="zh-CN"/>
        </w:rPr>
        <w:t>2.77</w:t>
      </w:r>
      <w:r>
        <w:rPr>
          <w:rFonts w:hint="eastAsia" w:ascii="仿宋" w:eastAsia="仿宋"/>
          <w:color w:val="auto"/>
          <w:sz w:val="32"/>
          <w:szCs w:val="32"/>
          <w:highlight w:val="none"/>
          <w:lang w:eastAsia="zh-CN"/>
        </w:rPr>
        <w:t>万元，完成预算100%。</w:t>
      </w:r>
    </w:p>
    <w:p>
      <w:pPr>
        <w:pStyle w:val="2"/>
        <w:ind w:firstLine="643" w:firstLineChars="200"/>
        <w:rPr>
          <w:rFonts w:ascii="仿宋" w:eastAsia="仿宋"/>
          <w:b/>
          <w:color w:val="auto"/>
          <w:sz w:val="32"/>
          <w:szCs w:val="32"/>
          <w:highlight w:val="none"/>
        </w:rPr>
      </w:pPr>
      <w:r>
        <w:rPr>
          <w:rStyle w:val="12"/>
          <w:rFonts w:hint="eastAsia" w:ascii="仿宋_GB2312" w:eastAsia="仿宋_GB2312"/>
          <w:color w:val="000000"/>
          <w:sz w:val="32"/>
          <w:szCs w:val="32"/>
        </w:rPr>
        <w:t>城乡社区支出(类)国有土地使用权出让收入安排的支出（款）</w:t>
      </w:r>
      <w:r>
        <w:rPr>
          <w:rFonts w:hint="eastAsia" w:ascii="仿宋_GB2312" w:eastAsia="仿宋_GB2312"/>
          <w:b/>
          <w:sz w:val="32"/>
          <w:szCs w:val="32"/>
        </w:rPr>
        <w:t xml:space="preserve">  其他国有土地使用权出让收入安排的支出（项）：</w:t>
      </w:r>
      <w:r>
        <w:rPr>
          <w:rFonts w:hint="eastAsia" w:ascii="仿宋" w:hAnsi="Times New Roman" w:eastAsia="仿宋" w:cs="Times New Roman"/>
          <w:color w:val="auto"/>
          <w:kern w:val="2"/>
          <w:sz w:val="32"/>
          <w:szCs w:val="32"/>
          <w:highlight w:val="none"/>
          <w:lang w:val="en-US" w:eastAsia="zh-CN" w:bidi="ar-SA"/>
        </w:rPr>
        <w:t>主要用于在职在编人员职业年金支出，决算数为2.47万元，完成预算100%。</w:t>
      </w:r>
    </w:p>
    <w:p>
      <w:pPr>
        <w:tabs>
          <w:tab w:val="right" w:pos="8306"/>
        </w:tabs>
        <w:spacing w:line="600" w:lineRule="exact"/>
        <w:ind w:firstLine="640"/>
        <w:outlineLvl w:val="1"/>
        <w:rPr>
          <w:rStyle w:val="15"/>
          <w:color w:val="auto"/>
          <w:highlight w:val="none"/>
        </w:rPr>
      </w:pPr>
      <w:bookmarkStart w:id="62" w:name="_Toc15396608"/>
      <w:bookmarkStart w:id="63" w:name="_Toc15377214"/>
      <w:bookmarkStart w:id="64" w:name="_Toc30688"/>
      <w:r>
        <w:rPr>
          <w:rFonts w:hint="eastAsia" w:ascii="黑体" w:eastAsia="黑体"/>
          <w:color w:val="auto"/>
          <w:sz w:val="32"/>
          <w:szCs w:val="32"/>
          <w:highlight w:val="none"/>
        </w:rPr>
        <w:t>六</w:t>
      </w:r>
      <w:r>
        <w:rPr>
          <w:rFonts w:hint="eastAsia" w:ascii="黑体" w:eastAsia="黑体"/>
          <w:b/>
          <w:color w:val="auto"/>
          <w:sz w:val="32"/>
          <w:szCs w:val="32"/>
          <w:highlight w:val="none"/>
        </w:rPr>
        <w:t>、一</w:t>
      </w:r>
      <w:r>
        <w:rPr>
          <w:rStyle w:val="15"/>
          <w:rFonts w:hint="eastAsia" w:ascii="黑体" w:eastAsia="黑体"/>
          <w:b w:val="0"/>
          <w:color w:val="auto"/>
          <w:highlight w:val="none"/>
        </w:rPr>
        <w:t>般公共预算财政拨款基本支出决算情况说明</w:t>
      </w:r>
      <w:bookmarkEnd w:id="62"/>
      <w:bookmarkEnd w:id="63"/>
      <w:bookmarkEnd w:id="64"/>
      <w:r>
        <w:rPr>
          <w:rStyle w:val="15"/>
          <w:rFonts w:ascii="黑体" w:eastAsia="黑体"/>
          <w:b w:val="0"/>
          <w:color w:val="auto"/>
          <w:highlight w:val="none"/>
        </w:rPr>
        <w:tab/>
      </w:r>
    </w:p>
    <w:p>
      <w:pPr>
        <w:spacing w:line="600" w:lineRule="exact"/>
        <w:ind w:firstLine="645"/>
        <w:rPr>
          <w:rFonts w:hint="eastAsia" w:ascii="仿宋" w:eastAsia="仿宋"/>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年一般公共预算财政拨款基本支出</w:t>
      </w:r>
      <w:r>
        <w:rPr>
          <w:rFonts w:hint="eastAsia" w:ascii="仿宋" w:eastAsia="仿宋"/>
          <w:color w:val="auto"/>
          <w:sz w:val="32"/>
          <w:szCs w:val="32"/>
          <w:highlight w:val="none"/>
          <w:lang w:val="en-US" w:eastAsia="zh-CN"/>
        </w:rPr>
        <w:t>65.51</w:t>
      </w:r>
      <w:r>
        <w:rPr>
          <w:rFonts w:hint="eastAsia" w:ascii="仿宋" w:eastAsia="仿宋"/>
          <w:color w:val="auto"/>
          <w:sz w:val="32"/>
          <w:szCs w:val="32"/>
          <w:highlight w:val="none"/>
        </w:rPr>
        <w:t>万元，其中：</w:t>
      </w:r>
    </w:p>
    <w:p>
      <w:pPr>
        <w:spacing w:line="600" w:lineRule="exact"/>
        <w:ind w:firstLine="645"/>
        <w:rPr>
          <w:rFonts w:ascii="仿宋" w:eastAsia="仿宋"/>
          <w:b/>
          <w:color w:val="auto"/>
          <w:sz w:val="32"/>
          <w:szCs w:val="32"/>
          <w:highlight w:val="none"/>
        </w:rPr>
      </w:pPr>
      <w:r>
        <w:rPr>
          <w:rFonts w:hint="eastAsia" w:ascii="仿宋" w:eastAsia="仿宋"/>
          <w:color w:val="auto"/>
          <w:sz w:val="32"/>
          <w:szCs w:val="32"/>
          <w:highlight w:val="none"/>
        </w:rPr>
        <w:t>人员经费65.51万元，主要包括：基本工资</w:t>
      </w:r>
      <w:r>
        <w:rPr>
          <w:rFonts w:hint="eastAsia" w:ascii="仿宋" w:eastAsia="仿宋"/>
          <w:color w:val="auto"/>
          <w:sz w:val="32"/>
          <w:szCs w:val="32"/>
          <w:highlight w:val="none"/>
          <w:lang w:val="en-US" w:eastAsia="zh-CN"/>
        </w:rPr>
        <w:t>24.34</w:t>
      </w:r>
      <w:r>
        <w:rPr>
          <w:rFonts w:hint="eastAsia" w:ascii="仿宋" w:eastAsia="仿宋"/>
          <w:color w:val="auto"/>
          <w:sz w:val="32"/>
          <w:szCs w:val="32"/>
          <w:highlight w:val="none"/>
        </w:rPr>
        <w:t>万元、绩效工资</w:t>
      </w:r>
      <w:r>
        <w:rPr>
          <w:rFonts w:hint="eastAsia" w:ascii="仿宋" w:eastAsia="仿宋"/>
          <w:color w:val="auto"/>
          <w:sz w:val="32"/>
          <w:szCs w:val="32"/>
          <w:highlight w:val="none"/>
          <w:lang w:val="en-US" w:eastAsia="zh-CN"/>
        </w:rPr>
        <w:t>24.85</w:t>
      </w:r>
      <w:r>
        <w:rPr>
          <w:rFonts w:hint="eastAsia" w:ascii="仿宋" w:eastAsia="仿宋"/>
          <w:color w:val="auto"/>
          <w:sz w:val="32"/>
          <w:szCs w:val="32"/>
          <w:highlight w:val="none"/>
        </w:rPr>
        <w:t>万元、机关事业单位基本养老保险缴费</w:t>
      </w:r>
      <w:r>
        <w:rPr>
          <w:rFonts w:hint="eastAsia" w:ascii="仿宋" w:eastAsia="仿宋"/>
          <w:color w:val="auto"/>
          <w:sz w:val="32"/>
          <w:szCs w:val="32"/>
          <w:highlight w:val="none"/>
          <w:lang w:val="en-US" w:eastAsia="zh-CN"/>
        </w:rPr>
        <w:t>4.66</w:t>
      </w:r>
      <w:r>
        <w:rPr>
          <w:rFonts w:hint="eastAsia" w:ascii="仿宋" w:eastAsia="仿宋"/>
          <w:color w:val="auto"/>
          <w:sz w:val="32"/>
          <w:szCs w:val="32"/>
          <w:highlight w:val="none"/>
        </w:rPr>
        <w:t>万元、职业年金缴费</w:t>
      </w:r>
      <w:r>
        <w:rPr>
          <w:rFonts w:hint="eastAsia" w:ascii="仿宋" w:eastAsia="仿宋"/>
          <w:color w:val="auto"/>
          <w:sz w:val="32"/>
          <w:szCs w:val="32"/>
          <w:highlight w:val="none"/>
          <w:lang w:val="en-US" w:eastAsia="zh-CN"/>
        </w:rPr>
        <w:t>2.77</w:t>
      </w:r>
      <w:r>
        <w:rPr>
          <w:rFonts w:hint="eastAsia" w:ascii="仿宋" w:eastAsia="仿宋"/>
          <w:color w:val="auto"/>
          <w:sz w:val="32"/>
          <w:szCs w:val="32"/>
          <w:highlight w:val="none"/>
        </w:rPr>
        <w:t>万元、医疗</w:t>
      </w:r>
      <w:r>
        <w:rPr>
          <w:rFonts w:hint="eastAsia" w:ascii="仿宋" w:eastAsia="仿宋"/>
          <w:color w:val="auto"/>
          <w:sz w:val="32"/>
          <w:szCs w:val="32"/>
          <w:highlight w:val="none"/>
          <w:lang w:eastAsia="zh-CN"/>
        </w:rPr>
        <w:t>保险缴费</w:t>
      </w:r>
      <w:r>
        <w:rPr>
          <w:rFonts w:hint="eastAsia" w:ascii="仿宋" w:eastAsia="仿宋"/>
          <w:color w:val="auto"/>
          <w:sz w:val="32"/>
          <w:szCs w:val="32"/>
          <w:highlight w:val="none"/>
          <w:lang w:val="en-US" w:eastAsia="zh-CN"/>
        </w:rPr>
        <w:t>4.09</w:t>
      </w:r>
      <w:r>
        <w:rPr>
          <w:rFonts w:hint="eastAsia" w:ascii="仿宋" w:eastAsia="仿宋"/>
          <w:color w:val="auto"/>
          <w:sz w:val="32"/>
          <w:szCs w:val="32"/>
          <w:highlight w:val="none"/>
        </w:rPr>
        <w:t>万元、住房公积金</w:t>
      </w:r>
      <w:r>
        <w:rPr>
          <w:rFonts w:hint="eastAsia" w:ascii="仿宋" w:eastAsia="仿宋"/>
          <w:color w:val="auto"/>
          <w:sz w:val="32"/>
          <w:szCs w:val="32"/>
          <w:highlight w:val="none"/>
          <w:lang w:val="en-US" w:eastAsia="zh-CN"/>
        </w:rPr>
        <w:t>4.71</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w:t>
      </w:r>
      <w:r>
        <w:rPr>
          <w:rFonts w:ascii="仿宋" w:eastAsia="仿宋"/>
          <w:color w:val="auto"/>
          <w:sz w:val="32"/>
          <w:szCs w:val="32"/>
          <w:highlight w:val="none"/>
        </w:rPr>
        <w:br w:type="textWrapping"/>
      </w:r>
      <w:r>
        <w:rPr>
          <w:rFonts w:hint="eastAsia" w:ascii="仿宋" w:eastAsia="仿宋"/>
          <w:color w:val="auto"/>
          <w:sz w:val="32"/>
          <w:szCs w:val="32"/>
          <w:highlight w:val="none"/>
        </w:rPr>
        <w:t>　　公用经费0万元。</w:t>
      </w:r>
    </w:p>
    <w:p>
      <w:pPr>
        <w:spacing w:line="600" w:lineRule="exact"/>
        <w:ind w:firstLine="640"/>
        <w:outlineLvl w:val="1"/>
        <w:rPr>
          <w:rStyle w:val="15"/>
          <w:rFonts w:ascii="黑体" w:eastAsia="黑体"/>
          <w:b w:val="0"/>
          <w:color w:val="auto"/>
          <w:highlight w:val="none"/>
        </w:rPr>
      </w:pPr>
      <w:bookmarkStart w:id="65" w:name="_Toc15377215"/>
      <w:bookmarkStart w:id="66" w:name="_Toc15396609"/>
      <w:bookmarkStart w:id="67" w:name="_Toc6576"/>
      <w:r>
        <w:rPr>
          <w:rFonts w:hint="eastAsia" w:ascii="黑体" w:eastAsia="黑体"/>
          <w:color w:val="auto"/>
          <w:sz w:val="32"/>
          <w:szCs w:val="32"/>
          <w:highlight w:val="none"/>
        </w:rPr>
        <w:t>七、</w:t>
      </w:r>
      <w:r>
        <w:rPr>
          <w:rStyle w:val="15"/>
          <w:rFonts w:hint="eastAsia" w:ascii="黑体" w:eastAsia="黑体"/>
          <w:b w:val="0"/>
          <w:color w:val="auto"/>
          <w:highlight w:val="none"/>
        </w:rPr>
        <w:t>财政拨款</w:t>
      </w:r>
      <w:r>
        <w:rPr>
          <w:rStyle w:val="15"/>
          <w:rFonts w:hint="eastAsia" w:ascii="黑体" w:eastAsia="黑体"/>
          <w:color w:val="auto"/>
          <w:highlight w:val="none"/>
        </w:rPr>
        <w:t>“</w:t>
      </w:r>
      <w:r>
        <w:rPr>
          <w:rStyle w:val="15"/>
          <w:rFonts w:hint="eastAsia" w:ascii="黑体" w:eastAsia="黑体"/>
          <w:b w:val="0"/>
          <w:color w:val="auto"/>
          <w:highlight w:val="none"/>
        </w:rPr>
        <w:t>三公”经费支出决算情况说明</w:t>
      </w:r>
      <w:bookmarkEnd w:id="65"/>
      <w:bookmarkEnd w:id="66"/>
      <w:bookmarkEnd w:id="67"/>
    </w:p>
    <w:p>
      <w:pPr>
        <w:spacing w:line="600" w:lineRule="exact"/>
        <w:ind w:firstLine="640"/>
        <w:outlineLvl w:val="2"/>
        <w:rPr>
          <w:rFonts w:ascii="仿宋" w:eastAsia="仿宋"/>
          <w:b/>
          <w:color w:val="auto"/>
          <w:sz w:val="32"/>
          <w:szCs w:val="32"/>
          <w:highlight w:val="none"/>
        </w:rPr>
      </w:pPr>
      <w:bookmarkStart w:id="68" w:name="_Toc15377216"/>
      <w:bookmarkStart w:id="69" w:name="_Toc22901"/>
      <w:bookmarkStart w:id="70" w:name="_Toc15377218"/>
      <w:bookmarkStart w:id="71" w:name="_Toc15396610"/>
      <w:r>
        <w:rPr>
          <w:rFonts w:hint="eastAsia" w:ascii="仿宋" w:eastAsia="仿宋"/>
          <w:b/>
          <w:color w:val="auto"/>
          <w:sz w:val="32"/>
          <w:szCs w:val="32"/>
          <w:highlight w:val="none"/>
        </w:rPr>
        <w:t>（一）“三公”经费财政拨款支出决算总体情况说明</w:t>
      </w:r>
      <w:bookmarkEnd w:id="68"/>
      <w:bookmarkEnd w:id="69"/>
    </w:p>
    <w:p>
      <w:pPr>
        <w:spacing w:line="600" w:lineRule="exact"/>
        <w:ind w:firstLine="640"/>
        <w:rPr>
          <w:rFonts w:ascii="仿宋" w:eastAsia="仿宋"/>
          <w:b/>
          <w:color w:val="auto"/>
          <w:sz w:val="32"/>
          <w:szCs w:val="32"/>
          <w:highlight w:val="none"/>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outlineLvl w:val="2"/>
        <w:rPr>
          <w:rFonts w:ascii="仿宋" w:eastAsia="仿宋"/>
          <w:b/>
          <w:color w:val="auto"/>
          <w:sz w:val="32"/>
          <w:szCs w:val="32"/>
          <w:highlight w:val="none"/>
        </w:rPr>
      </w:pPr>
      <w:bookmarkStart w:id="72" w:name="_Toc15377217"/>
      <w:bookmarkStart w:id="73" w:name="_Toc9976"/>
      <w:r>
        <w:rPr>
          <w:rFonts w:hint="eastAsia" w:ascii="仿宋" w:eastAsia="仿宋"/>
          <w:b/>
          <w:color w:val="auto"/>
          <w:sz w:val="32"/>
          <w:szCs w:val="32"/>
          <w:highlight w:val="none"/>
        </w:rPr>
        <w:t>（二）“三公”经费财政拨款支出决算具体情况说明</w:t>
      </w:r>
      <w:bookmarkEnd w:id="72"/>
      <w:bookmarkEnd w:id="73"/>
    </w:p>
    <w:p>
      <w:pPr>
        <w:spacing w:line="600" w:lineRule="exact"/>
        <w:ind w:firstLine="640"/>
        <w:rPr>
          <w:rFonts w:hint="eastAsia" w:ascii="仿宋" w:eastAsia="仿宋"/>
          <w:color w:val="auto"/>
          <w:sz w:val="32"/>
          <w:szCs w:val="32"/>
          <w:highlight w:val="none"/>
          <w:lang w:eastAsia="zh-CN"/>
        </w:rPr>
      </w:pPr>
      <w:r>
        <w:rPr>
          <w:rFonts w:ascii="仿宋" w:eastAsia="仿宋"/>
          <w:color w:val="auto"/>
          <w:sz w:val="32"/>
          <w:szCs w:val="32"/>
          <w:highlight w:val="none"/>
        </w:rPr>
        <w:t>20</w:t>
      </w:r>
      <w:r>
        <w:rPr>
          <w:rFonts w:hint="eastAsia" w:ascii="仿宋" w:eastAsia="仿宋"/>
          <w:color w:val="auto"/>
          <w:sz w:val="32"/>
          <w:szCs w:val="32"/>
          <w:highlight w:val="none"/>
          <w:lang w:val="en-US" w:eastAsia="zh-CN"/>
        </w:rPr>
        <w:t>22</w:t>
      </w:r>
      <w:r>
        <w:rPr>
          <w:rFonts w:hint="eastAsia" w:ascii="仿宋" w:eastAsia="仿宋"/>
          <w:color w:val="auto"/>
          <w:sz w:val="32"/>
          <w:szCs w:val="32"/>
          <w:highlight w:val="none"/>
        </w:rPr>
        <w:t>年“三公”经费财政拨款支出决算中</w:t>
      </w:r>
      <w:r>
        <w:rPr>
          <w:rFonts w:hint="eastAsia" w:ascii="仿宋" w:eastAsia="仿宋"/>
          <w:color w:val="auto"/>
          <w:sz w:val="32"/>
          <w:szCs w:val="32"/>
          <w:highlight w:val="none"/>
          <w:lang w:eastAsia="zh-CN"/>
        </w:rPr>
        <w:t>：</w:t>
      </w:r>
    </w:p>
    <w:p>
      <w:pPr>
        <w:spacing w:line="600" w:lineRule="exact"/>
        <w:ind w:firstLine="640"/>
        <w:rPr>
          <w:rFonts w:hint="eastAsia" w:ascii="仿宋" w:eastAsia="仿宋"/>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 w:eastAsia="仿宋"/>
          <w:color w:val="auto"/>
          <w:sz w:val="32"/>
          <w:szCs w:val="32"/>
          <w:highlight w:val="none"/>
          <w:lang w:val="en-US" w:eastAsia="zh-CN"/>
        </w:rPr>
        <w:t>0</w:t>
      </w:r>
      <w:r>
        <w:rPr>
          <w:rFonts w:hint="eastAsia" w:ascii="仿宋" w:eastAsia="仿宋"/>
          <w:color w:val="auto"/>
          <w:sz w:val="32"/>
          <w:szCs w:val="32"/>
          <w:highlight w:val="none"/>
        </w:rPr>
        <w:t>万元，</w:t>
      </w:r>
      <w:r>
        <w:rPr>
          <w:rFonts w:hint="eastAsia" w:ascii="仿宋" w:eastAsia="仿宋"/>
          <w:color w:val="auto"/>
          <w:sz w:val="32"/>
          <w:szCs w:val="32"/>
          <w:highlight w:val="none"/>
          <w:lang w:val="en-US" w:eastAsia="zh-CN"/>
        </w:rPr>
        <w:t>年初未安排预算</w:t>
      </w:r>
      <w:r>
        <w:rPr>
          <w:rFonts w:hint="eastAsia" w:ascii="仿宋" w:eastAsia="仿宋"/>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年初未安排预算</w:t>
      </w:r>
      <w:r>
        <w:rPr>
          <w:rStyle w:val="12"/>
          <w:rFonts w:hint="eastAsia" w:ascii="仿宋" w:eastAsia="仿宋"/>
          <w:b w:val="0"/>
          <w:bCs/>
          <w:color w:val="auto"/>
          <w:sz w:val="32"/>
          <w:szCs w:val="32"/>
          <w:highlight w:val="none"/>
        </w:rPr>
        <w:t>。</w:t>
      </w:r>
    </w:p>
    <w:p>
      <w:pPr>
        <w:spacing w:line="600" w:lineRule="exact"/>
        <w:ind w:firstLine="640"/>
        <w:rPr>
          <w:rFonts w:hint="eastAsia" w:ascii="仿宋" w:eastAsia="仿宋"/>
          <w:color w:val="auto"/>
          <w:sz w:val="32"/>
          <w:szCs w:val="32"/>
          <w:highlight w:val="none"/>
          <w:lang w:val="en-US" w:eastAsia="zh-CN"/>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 w:eastAsia="仿宋"/>
          <w:color w:val="auto"/>
          <w:sz w:val="32"/>
          <w:szCs w:val="32"/>
          <w:highlight w:val="none"/>
          <w:lang w:val="en-US" w:eastAsia="zh-CN"/>
        </w:rPr>
        <w:t>0万元，年初未安排预算。</w:t>
      </w:r>
    </w:p>
    <w:p>
      <w:pPr>
        <w:spacing w:line="600" w:lineRule="exact"/>
        <w:ind w:firstLine="640"/>
        <w:outlineLvl w:val="1"/>
        <w:rPr>
          <w:rStyle w:val="15"/>
          <w:rFonts w:ascii="黑体" w:eastAsia="黑体"/>
          <w:color w:val="auto"/>
          <w:highlight w:val="none"/>
        </w:rPr>
      </w:pPr>
      <w:bookmarkStart w:id="74" w:name="_Toc25255"/>
      <w:r>
        <w:rPr>
          <w:rFonts w:hint="eastAsia" w:ascii="黑体" w:eastAsia="黑体"/>
          <w:color w:val="auto"/>
          <w:sz w:val="32"/>
          <w:szCs w:val="32"/>
          <w:highlight w:val="none"/>
        </w:rPr>
        <w:t>八、</w:t>
      </w:r>
      <w:r>
        <w:rPr>
          <w:rStyle w:val="15"/>
          <w:rFonts w:hint="eastAsia" w:ascii="黑体" w:eastAsia="黑体"/>
          <w:b w:val="0"/>
          <w:color w:val="auto"/>
          <w:highlight w:val="none"/>
        </w:rPr>
        <w:t>政府性基金预算支出决算情况说明</w:t>
      </w:r>
      <w:bookmarkEnd w:id="70"/>
      <w:bookmarkEnd w:id="71"/>
      <w:bookmarkEnd w:id="74"/>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2022年政府性基金预算财政拨款支出2.47万元。</w:t>
      </w:r>
    </w:p>
    <w:p>
      <w:pPr>
        <w:numPr>
          <w:ilvl w:val="0"/>
          <w:numId w:val="3"/>
        </w:numPr>
        <w:spacing w:line="600" w:lineRule="exact"/>
        <w:ind w:left="0" w:firstLine="640"/>
        <w:outlineLvl w:val="1"/>
        <w:rPr>
          <w:rStyle w:val="15"/>
          <w:rFonts w:ascii="黑体" w:eastAsia="黑体"/>
          <w:b w:val="0"/>
          <w:color w:val="auto"/>
          <w:highlight w:val="none"/>
        </w:rPr>
      </w:pPr>
      <w:bookmarkStart w:id="75" w:name="_Toc15377219"/>
      <w:bookmarkStart w:id="76" w:name="_Toc15396611"/>
      <w:bookmarkStart w:id="77" w:name="_Toc8933"/>
      <w:r>
        <w:rPr>
          <w:rStyle w:val="15"/>
          <w:rFonts w:hint="eastAsia" w:ascii="黑体" w:eastAsia="黑体"/>
          <w:b w:val="0"/>
          <w:color w:val="auto"/>
          <w:highlight w:val="none"/>
        </w:rPr>
        <w:t>国有资本经营预算支出决算情况说明</w:t>
      </w:r>
      <w:bookmarkEnd w:id="75"/>
      <w:bookmarkEnd w:id="76"/>
      <w:bookmarkEnd w:id="77"/>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2022年国有资本经营预算财政拨款支出0万元。</w:t>
      </w:r>
    </w:p>
    <w:p>
      <w:pPr>
        <w:numPr>
          <w:ilvl w:val="0"/>
          <w:numId w:val="3"/>
        </w:numPr>
        <w:spacing w:line="600" w:lineRule="exact"/>
        <w:ind w:left="0" w:firstLine="640"/>
        <w:outlineLvl w:val="1"/>
        <w:rPr>
          <w:rStyle w:val="15"/>
          <w:rFonts w:hint="eastAsia" w:ascii="黑体" w:eastAsia="黑体"/>
          <w:b w:val="0"/>
          <w:color w:val="auto"/>
          <w:highlight w:val="none"/>
        </w:rPr>
      </w:pPr>
      <w:bookmarkStart w:id="78" w:name="_Toc15396612"/>
      <w:bookmarkStart w:id="79" w:name="_Toc15377221"/>
      <w:bookmarkStart w:id="80" w:name="_Toc10364"/>
      <w:r>
        <w:rPr>
          <w:rStyle w:val="15"/>
          <w:rFonts w:hint="eastAsia" w:ascii="黑体" w:eastAsia="黑体"/>
          <w:b w:val="0"/>
          <w:color w:val="auto"/>
          <w:highlight w:val="none"/>
        </w:rPr>
        <w:t>其他重要事项的情况说明</w:t>
      </w:r>
      <w:bookmarkEnd w:id="78"/>
      <w:bookmarkEnd w:id="79"/>
      <w:bookmarkEnd w:id="80"/>
    </w:p>
    <w:p>
      <w:pPr>
        <w:spacing w:line="600" w:lineRule="exact"/>
        <w:ind w:firstLine="643" w:firstLineChars="200"/>
        <w:outlineLvl w:val="2"/>
        <w:rPr>
          <w:rFonts w:ascii="仿宋" w:eastAsia="仿宋"/>
          <w:color w:val="auto"/>
          <w:sz w:val="32"/>
          <w:szCs w:val="32"/>
          <w:highlight w:val="none"/>
        </w:rPr>
      </w:pPr>
      <w:bookmarkStart w:id="81" w:name="_Toc15377222"/>
      <w:bookmarkStart w:id="82" w:name="_Toc9266"/>
      <w:r>
        <w:rPr>
          <w:rFonts w:hint="eastAsia" w:ascii="仿宋" w:eastAsia="仿宋"/>
          <w:b/>
          <w:color w:val="auto"/>
          <w:sz w:val="32"/>
          <w:szCs w:val="32"/>
          <w:highlight w:val="none"/>
        </w:rPr>
        <w:t>（一）机关运行经费支出情况</w:t>
      </w:r>
      <w:bookmarkEnd w:id="81"/>
      <w:bookmarkEnd w:id="82"/>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本单位未发生机关运行经费支出。</w:t>
      </w:r>
    </w:p>
    <w:p>
      <w:pPr>
        <w:autoSpaceDE w:val="0"/>
        <w:autoSpaceDN w:val="0"/>
        <w:adjustRightInd w:val="0"/>
        <w:spacing w:line="600" w:lineRule="exact"/>
        <w:ind w:firstLine="643" w:firstLineChars="200"/>
        <w:jc w:val="left"/>
        <w:outlineLvl w:val="2"/>
        <w:rPr>
          <w:rFonts w:ascii="仿宋" w:eastAsia="仿宋"/>
          <w:b/>
          <w:color w:val="auto"/>
          <w:sz w:val="32"/>
          <w:szCs w:val="32"/>
          <w:highlight w:val="none"/>
        </w:rPr>
      </w:pPr>
      <w:bookmarkStart w:id="83" w:name="_Toc15377223"/>
      <w:bookmarkStart w:id="84" w:name="_Toc11596"/>
      <w:r>
        <w:rPr>
          <w:rFonts w:hint="eastAsia" w:ascii="仿宋" w:eastAsia="仿宋"/>
          <w:b/>
          <w:color w:val="auto"/>
          <w:sz w:val="32"/>
          <w:szCs w:val="32"/>
          <w:highlight w:val="none"/>
        </w:rPr>
        <w:t>（二）政府采购支出情况</w:t>
      </w:r>
      <w:bookmarkEnd w:id="83"/>
      <w:bookmarkEnd w:id="84"/>
    </w:p>
    <w:p>
      <w:pPr>
        <w:spacing w:line="600" w:lineRule="exact"/>
        <w:ind w:firstLine="640"/>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本年未发生政府采购。</w:t>
      </w:r>
    </w:p>
    <w:p>
      <w:pPr>
        <w:numPr>
          <w:ilvl w:val="0"/>
          <w:numId w:val="4"/>
        </w:numPr>
        <w:autoSpaceDE w:val="0"/>
        <w:autoSpaceDN w:val="0"/>
        <w:adjustRightInd w:val="0"/>
        <w:spacing w:line="600" w:lineRule="exact"/>
        <w:ind w:left="0" w:firstLine="643" w:firstLineChars="200"/>
        <w:jc w:val="left"/>
        <w:outlineLvl w:val="2"/>
        <w:rPr>
          <w:rFonts w:hint="eastAsia" w:ascii="仿宋" w:eastAsia="仿宋"/>
          <w:b/>
          <w:color w:val="auto"/>
          <w:sz w:val="32"/>
          <w:szCs w:val="32"/>
          <w:highlight w:val="none"/>
        </w:rPr>
      </w:pPr>
      <w:bookmarkStart w:id="85" w:name="_Toc15377224"/>
      <w:bookmarkStart w:id="86" w:name="_Toc30785"/>
      <w:r>
        <w:rPr>
          <w:rFonts w:hint="eastAsia" w:ascii="仿宋" w:eastAsia="仿宋"/>
          <w:b/>
          <w:color w:val="auto"/>
          <w:sz w:val="32"/>
          <w:szCs w:val="32"/>
          <w:highlight w:val="none"/>
        </w:rPr>
        <w:t>国有资产占有使用情况</w:t>
      </w:r>
      <w:bookmarkEnd w:id="85"/>
      <w:bookmarkEnd w:id="86"/>
    </w:p>
    <w:p>
      <w:pPr>
        <w:autoSpaceDE w:val="0"/>
        <w:autoSpaceDN w:val="0"/>
        <w:adjustRightInd w:val="0"/>
        <w:spacing w:line="600" w:lineRule="exact"/>
        <w:ind w:firstLine="640" w:firstLineChars="200"/>
        <w:jc w:val="left"/>
      </w:pPr>
      <w:r>
        <w:rPr>
          <w:rFonts w:hint="eastAsia" w:ascii="仿宋" w:eastAsia="仿宋"/>
          <w:color w:val="auto"/>
          <w:sz w:val="32"/>
          <w:szCs w:val="32"/>
          <w:highlight w:val="none"/>
          <w:lang w:val="en-US" w:eastAsia="zh-CN"/>
        </w:rPr>
        <w:t>截至2023年9月21日，张家乡卫生院共有车辆0辆，单价50万元以上通用设备0台（套），单价100万元以上专用设备0台（套）。</w:t>
      </w:r>
    </w:p>
    <w:p>
      <w:pPr>
        <w:autoSpaceDE w:val="0"/>
        <w:autoSpaceDN w:val="0"/>
        <w:adjustRightInd w:val="0"/>
        <w:spacing w:line="600" w:lineRule="exact"/>
        <w:ind w:firstLine="643" w:firstLineChars="200"/>
        <w:jc w:val="left"/>
        <w:outlineLvl w:val="2"/>
        <w:rPr>
          <w:rFonts w:hint="eastAsia" w:ascii="仿宋" w:eastAsia="仿宋"/>
          <w:b/>
          <w:color w:val="auto"/>
          <w:sz w:val="32"/>
          <w:szCs w:val="32"/>
          <w:highlight w:val="none"/>
          <w:lang w:eastAsia="zh-CN"/>
        </w:rPr>
      </w:pPr>
      <w:bookmarkStart w:id="87" w:name="_Toc5068"/>
      <w:r>
        <w:rPr>
          <w:rFonts w:hint="eastAsia" w:ascii="仿宋" w:eastAsia="仿宋"/>
          <w:b/>
          <w:color w:val="auto"/>
          <w:sz w:val="32"/>
          <w:szCs w:val="32"/>
          <w:highlight w:val="none"/>
        </w:rPr>
        <w:t>（四）预算绩效管理情况</w:t>
      </w:r>
      <w:bookmarkEnd w:id="87"/>
    </w:p>
    <w:p>
      <w:pPr>
        <w:autoSpaceDE w:val="0"/>
        <w:autoSpaceDN w:val="0"/>
        <w:adjustRightInd w:val="0"/>
        <w:spacing w:line="600" w:lineRule="exact"/>
        <w:ind w:firstLine="640" w:firstLineChars="200"/>
        <w:jc w:val="left"/>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1.绩效目标管理情况</w:t>
      </w:r>
    </w:p>
    <w:p>
      <w:pPr>
        <w:autoSpaceDE w:val="0"/>
        <w:autoSpaceDN w:val="0"/>
        <w:adjustRightInd w:val="0"/>
        <w:spacing w:line="600" w:lineRule="exact"/>
        <w:ind w:firstLine="640" w:firstLineChars="200"/>
        <w:jc w:val="left"/>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按照预算绩效管理要求，本单位对2022年一般公共预算项目支出中的其他基层医疗卫生机构支出（村站基药补助项目）、基本公共卫生服务项目开展了绩效目标管理，共编制绩效目标2个。</w:t>
      </w:r>
    </w:p>
    <w:p>
      <w:pPr>
        <w:autoSpaceDE w:val="0"/>
        <w:autoSpaceDN w:val="0"/>
        <w:adjustRightInd w:val="0"/>
        <w:spacing w:line="600" w:lineRule="exact"/>
        <w:ind w:firstLine="640" w:firstLineChars="200"/>
        <w:jc w:val="left"/>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2、单位整体支出绩效自评开展情况</w:t>
      </w:r>
    </w:p>
    <w:p>
      <w:pPr>
        <w:autoSpaceDE w:val="0"/>
        <w:autoSpaceDN w:val="0"/>
        <w:adjustRightInd w:val="0"/>
        <w:spacing w:line="600" w:lineRule="exact"/>
        <w:ind w:firstLine="640" w:firstLineChars="200"/>
        <w:jc w:val="left"/>
        <w:rPr>
          <w:rFonts w:hint="eastAsia" w:ascii="仿宋" w:eastAsia="仿宋"/>
          <w:color w:val="auto"/>
          <w:sz w:val="32"/>
          <w:szCs w:val="32"/>
          <w:highlight w:val="none"/>
          <w:lang w:val="en-US" w:eastAsia="zh-CN"/>
        </w:rPr>
      </w:pPr>
      <w:r>
        <w:rPr>
          <w:rFonts w:hint="eastAsia" w:ascii="仿宋" w:eastAsia="仿宋"/>
          <w:color w:val="auto"/>
          <w:sz w:val="32"/>
          <w:szCs w:val="32"/>
          <w:highlight w:val="none"/>
          <w:lang w:val="en-US" w:eastAsia="zh-CN"/>
        </w:rPr>
        <w:t>本单位按要求对2022年单位整体支出开展绩效自评，从评价情况来看未发现虚列支出，所有财政资金支出均履行了严格审批手续，未发现挤占、挪用、转移财政资金行为。基本支出严格执行国家有关政策及规定，无擅自扩大开支范围和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有资金对外借、贷款问题。本单位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p>
    <w:p>
      <w:pPr>
        <w:numPr>
          <w:ilvl w:val="0"/>
          <w:numId w:val="5"/>
        </w:numPr>
        <w:spacing w:line="600" w:lineRule="exact"/>
        <w:ind w:left="0" w:firstLine="660" w:firstLineChars="150"/>
        <w:jc w:val="center"/>
        <w:outlineLvl w:val="0"/>
        <w:rPr>
          <w:rFonts w:ascii="宋体"/>
          <w:b/>
          <w:color w:val="auto"/>
          <w:sz w:val="44"/>
          <w:szCs w:val="44"/>
          <w:highlight w:val="none"/>
        </w:rPr>
      </w:pPr>
      <w:bookmarkStart w:id="88" w:name="_Toc15377225"/>
      <w:bookmarkStart w:id="89" w:name="_Toc15396613"/>
      <w:bookmarkStart w:id="90" w:name="_Toc32349"/>
      <w:r>
        <w:rPr>
          <w:rFonts w:hint="eastAsia" w:ascii="黑体" w:eastAsia="黑体"/>
          <w:color w:val="auto"/>
          <w:sz w:val="44"/>
          <w:szCs w:val="44"/>
          <w:highlight w:val="none"/>
        </w:rPr>
        <w:t>名</w:t>
      </w:r>
      <w:r>
        <w:rPr>
          <w:rStyle w:val="14"/>
          <w:rFonts w:hint="eastAsia" w:ascii="黑体" w:eastAsia="黑体"/>
          <w:b w:val="0"/>
          <w:color w:val="auto"/>
          <w:highlight w:val="none"/>
        </w:rPr>
        <w:t>词解释</w:t>
      </w:r>
      <w:bookmarkEnd w:id="88"/>
      <w:bookmarkEnd w:id="89"/>
      <w:bookmarkEnd w:id="90"/>
    </w:p>
    <w:p>
      <w:pPr>
        <w:pStyle w:val="17"/>
        <w:pageBreakBefore w:val="0"/>
        <w:wordWrap/>
        <w:overflowPunct/>
        <w:topLinePunct w:val="0"/>
        <w:bidi w:val="0"/>
        <w:spacing w:beforeAutospacing="0" w:line="580" w:lineRule="exact"/>
        <w:ind w:firstLine="640" w:firstLineChars="200"/>
        <w:outlineLvl w:val="1"/>
        <w:rPr>
          <w:rFonts w:hint="eastAsia" w:ascii="仿宋" w:hAnsi="Times New Roman" w:eastAsia="仿宋" w:cs="Times New Roman"/>
          <w:color w:val="auto"/>
          <w:kern w:val="2"/>
          <w:sz w:val="32"/>
          <w:szCs w:val="32"/>
          <w:highlight w:val="none"/>
          <w:lang w:val="en-US" w:eastAsia="zh-CN" w:bidi="ar-SA"/>
        </w:rPr>
      </w:pPr>
      <w:bookmarkStart w:id="91" w:name="_Toc6415"/>
      <w:bookmarkStart w:id="92" w:name="_Toc12225"/>
      <w:bookmarkStart w:id="93" w:name="_Toc15377226"/>
      <w:r>
        <w:rPr>
          <w:rFonts w:hint="eastAsia" w:ascii="仿宋" w:hAnsi="Times New Roman" w:eastAsia="仿宋" w:cs="Times New Roman"/>
          <w:color w:val="auto"/>
          <w:kern w:val="2"/>
          <w:sz w:val="32"/>
          <w:szCs w:val="32"/>
          <w:highlight w:val="none"/>
          <w:lang w:val="en-US" w:eastAsia="zh-CN" w:bidi="ar-SA"/>
        </w:rPr>
        <w:t>1.财政拨款收入：指单位从同级财政单位取得的各类拨款。</w:t>
      </w:r>
      <w:bookmarkEnd w:id="91"/>
      <w:bookmarkEnd w:id="92"/>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2.事业收入：指事业单位开展专业业务活动及辅助活动取得的收入。如区人民医院、妇幼保健计生生育服务中心、区中医医院、乡镇卫生院医疗收入等。</w:t>
      </w:r>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3.其他收入：指单位取得的除上述收入以外的各项收入。主要是利息收入等。 </w:t>
      </w:r>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4.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5.年初结转和结余：指以前年度尚未完成、结转到本年按有关规定继续使用的资金。 </w:t>
      </w:r>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6.本年盈余分配：指事业单位按照政府会计制度的规定从非财政拨款结余或事业结余中提取的奖励基金和职工福利基金等。</w:t>
      </w:r>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7.年末结转和结余：指单位按有关规定结转到下年或以后年度继续使用的资金。</w:t>
      </w:r>
    </w:p>
    <w:p>
      <w:pPr>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8.卫生健康支出（类）基层医疗卫生机构（款）乡镇卫生院（项）：反映乡镇卫生院的支出；卫生健康支出（类）公共卫生（款）基本公共卫生服务（项）：反映乡镇卫生院、社区卫生机构开展基本公共卫生服务的支出；卫生健康支出（类）基层医疗卫生机构（款）其他基层医疗卫生机构支出（项）：反映除乡镇卫生院、城市社区卫生机构以外的其他用于基层医疗卫生机构的支出；卫生健康支出（类）行政事业单位医疗（款）事业单位医疗（项）:反映卫生健康支出中的在职人员医疗保险。</w:t>
      </w:r>
    </w:p>
    <w:p>
      <w:pPr>
        <w:pageBreakBefore w:val="0"/>
        <w:wordWrap/>
        <w:overflowPunct/>
        <w:topLinePunct w:val="0"/>
        <w:bidi w:val="0"/>
        <w:spacing w:line="580" w:lineRule="exact"/>
        <w:ind w:firstLine="640" w:firstLineChars="200"/>
        <w:outlineLvl w:val="1"/>
        <w:rPr>
          <w:rFonts w:hint="eastAsia" w:ascii="仿宋" w:hAnsi="Times New Roman" w:eastAsia="仿宋" w:cs="Times New Roman"/>
          <w:color w:val="auto"/>
          <w:kern w:val="2"/>
          <w:sz w:val="32"/>
          <w:szCs w:val="32"/>
          <w:highlight w:val="none"/>
          <w:lang w:val="en-US" w:eastAsia="zh-CN" w:bidi="ar-SA"/>
        </w:rPr>
      </w:pPr>
      <w:bookmarkStart w:id="94" w:name="_Toc3643"/>
      <w:bookmarkStart w:id="95" w:name="_Toc7793"/>
      <w:r>
        <w:rPr>
          <w:rFonts w:hint="eastAsia" w:ascii="仿宋" w:hAnsi="Times New Roman" w:eastAsia="仿宋" w:cs="Times New Roman"/>
          <w:color w:val="auto"/>
          <w:kern w:val="2"/>
          <w:sz w:val="32"/>
          <w:szCs w:val="32"/>
          <w:highlight w:val="none"/>
          <w:lang w:val="en-US" w:eastAsia="zh-CN" w:bidi="ar-SA"/>
        </w:rPr>
        <w:t>9.社会保障和就业支出：反映政府在社会保障和就业方面的支出。</w:t>
      </w:r>
      <w:bookmarkEnd w:id="94"/>
      <w:bookmarkEnd w:id="95"/>
    </w:p>
    <w:p>
      <w:pPr>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社会保障和就业支出-行政事业单位离退休-机关事业单位基本养老保险缴费支出：反映机关事业单位实施养老保险制度由单位缴纳的基本养老保险支出；</w:t>
      </w:r>
    </w:p>
    <w:p>
      <w:pPr>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    10.住房保障支出：住房保障支出-住房改革支出-住房公积金：反映行政事业单位按人力资源和社会保障部、财政部规定的基本工资和津贴补贴以及规定比例为职工缴纳的住房公积金。</w:t>
      </w:r>
    </w:p>
    <w:p>
      <w:pPr>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11.基本支出：指为保障机构正常运转、完成日常工作任务而发生的人员支出和公用支出。</w:t>
      </w:r>
    </w:p>
    <w:p>
      <w:pPr>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 xml:space="preserve">12.项目支出：指在基本支出之外为完成特定行政任务和事业发展目标所发生的支出。 </w:t>
      </w:r>
    </w:p>
    <w:p>
      <w:pPr>
        <w:pStyle w:val="17"/>
        <w:pageBreakBefore w:val="0"/>
        <w:wordWrap/>
        <w:overflowPunct/>
        <w:topLinePunct w:val="0"/>
        <w:bidi w:val="0"/>
        <w:spacing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13.“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r>
        <w:rPr>
          <w:rFonts w:hint="eastAsia" w:ascii="仿宋" w:hAnsi="Times New Roman" w:eastAsia="仿宋" w:cs="Times New Roman"/>
          <w:color w:val="auto"/>
          <w:kern w:val="2"/>
          <w:sz w:val="32"/>
          <w:szCs w:val="32"/>
          <w:highlight w:val="none"/>
          <w:lang w:val="en-US" w:eastAsia="zh-CN" w:bidi="ar-SA"/>
        </w:rPr>
        <w:t>14.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pStyle w:val="17"/>
        <w:pageBreakBefore w:val="0"/>
        <w:kinsoku/>
        <w:wordWrap/>
        <w:overflowPunct/>
        <w:topLinePunct w:val="0"/>
        <w:bidi w:val="0"/>
        <w:spacing w:afterAutospacing="0" w:line="580" w:lineRule="exact"/>
        <w:ind w:firstLine="640" w:firstLineChars="200"/>
        <w:rPr>
          <w:rFonts w:hint="eastAsia" w:ascii="仿宋" w:hAnsi="Times New Roman" w:eastAsia="仿宋" w:cs="Times New Roman"/>
          <w:color w:val="auto"/>
          <w:kern w:val="2"/>
          <w:sz w:val="32"/>
          <w:szCs w:val="32"/>
          <w:highlight w:val="none"/>
          <w:lang w:val="en-US" w:eastAsia="zh-CN" w:bidi="ar-SA"/>
        </w:rPr>
      </w:pPr>
    </w:p>
    <w:p>
      <w:pPr>
        <w:spacing w:line="600" w:lineRule="exact"/>
        <w:jc w:val="center"/>
        <w:outlineLvl w:val="0"/>
        <w:rPr>
          <w:rStyle w:val="14"/>
          <w:rFonts w:ascii="黑体" w:eastAsia="黑体"/>
          <w:b w:val="0"/>
          <w:color w:val="auto"/>
          <w:highlight w:val="none"/>
        </w:rPr>
      </w:pPr>
      <w:bookmarkStart w:id="96" w:name="_Toc15396614"/>
      <w:bookmarkStart w:id="97" w:name="_Toc2316"/>
      <w:r>
        <w:rPr>
          <w:rFonts w:hint="eastAsia" w:ascii="黑体" w:eastAsia="黑体"/>
          <w:color w:val="auto"/>
          <w:sz w:val="44"/>
          <w:szCs w:val="44"/>
          <w:highlight w:val="none"/>
        </w:rPr>
        <w:t>第</w:t>
      </w:r>
      <w:r>
        <w:rPr>
          <w:rStyle w:val="14"/>
          <w:rFonts w:hint="eastAsia" w:ascii="黑体" w:eastAsia="黑体"/>
          <w:b w:val="0"/>
          <w:color w:val="auto"/>
          <w:highlight w:val="none"/>
        </w:rPr>
        <w:t>四部分 附件</w:t>
      </w:r>
      <w:bookmarkEnd w:id="96"/>
      <w:bookmarkEnd w:id="97"/>
    </w:p>
    <w:p>
      <w:pPr>
        <w:keepNext w:val="0"/>
        <w:keepLines w:val="0"/>
        <w:pageBreakBefore w:val="0"/>
        <w:widowControl w:val="0"/>
        <w:kinsoku/>
        <w:wordWrap/>
        <w:overflowPunct/>
        <w:topLinePunct w:val="0"/>
        <w:autoSpaceDE/>
        <w:autoSpaceDN/>
        <w:bidi w:val="0"/>
        <w:spacing w:line="572" w:lineRule="exact"/>
        <w:jc w:val="left"/>
        <w:textAlignment w:val="auto"/>
        <w:outlineLvl w:val="9"/>
        <w:rPr>
          <w:rFonts w:ascii="仿宋_GB2312" w:eastAsia="仿宋_GB2312" w:cs="仿宋_GB2312"/>
          <w:color w:val="auto"/>
          <w:sz w:val="32"/>
          <w:szCs w:val="32"/>
          <w:highlight w:val="none"/>
        </w:rPr>
      </w:pPr>
    </w:p>
    <w:tbl>
      <w:tblPr>
        <w:tblStyle w:val="13"/>
        <w:tblW w:w="8120" w:type="dxa"/>
        <w:jc w:val="center"/>
        <w:tblInd w:w="0" w:type="dxa"/>
        <w:tblLayout w:type="fixed"/>
        <w:tblCellMar>
          <w:top w:w="0" w:type="dxa"/>
          <w:left w:w="0" w:type="dxa"/>
          <w:bottom w:w="0" w:type="dxa"/>
          <w:right w:w="0" w:type="dxa"/>
        </w:tblCellMar>
      </w:tblPr>
      <w:tblGrid>
        <w:gridCol w:w="841"/>
        <w:gridCol w:w="1304"/>
        <w:gridCol w:w="490"/>
        <w:gridCol w:w="965"/>
        <w:gridCol w:w="350"/>
        <w:gridCol w:w="413"/>
        <w:gridCol w:w="670"/>
        <w:gridCol w:w="897"/>
        <w:gridCol w:w="500"/>
        <w:gridCol w:w="845"/>
        <w:gridCol w:w="845"/>
      </w:tblGrid>
      <w:tr>
        <w:tblPrEx>
          <w:tblLayout w:type="fixed"/>
          <w:tblCellMar>
            <w:top w:w="0" w:type="dxa"/>
            <w:left w:w="0" w:type="dxa"/>
            <w:bottom w:w="0" w:type="dxa"/>
            <w:right w:w="0" w:type="dxa"/>
          </w:tblCellMar>
        </w:tblPrEx>
        <w:trPr>
          <w:trHeight w:val="665" w:hRule="atLeast"/>
          <w:jc w:val="center"/>
        </w:trPr>
        <w:tc>
          <w:tcPr>
            <w:tcW w:w="8120" w:type="dxa"/>
            <w:gridSpan w:val="11"/>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98"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Layout w:type="fixed"/>
          <w:tblCellMar>
            <w:top w:w="0" w:type="dxa"/>
            <w:left w:w="0" w:type="dxa"/>
            <w:bottom w:w="0" w:type="dxa"/>
            <w:right w:w="0" w:type="dxa"/>
          </w:tblCellMar>
        </w:tblPrEx>
        <w:trPr>
          <w:trHeight w:val="432" w:hRule="atLeast"/>
          <w:jc w:val="center"/>
        </w:trPr>
        <w:tc>
          <w:tcPr>
            <w:tcW w:w="214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5975"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51081122T000006832293-二类疫苗服务费</w:t>
            </w:r>
          </w:p>
        </w:tc>
      </w:tr>
      <w:tr>
        <w:tblPrEx>
          <w:tblLayout w:type="fixed"/>
          <w:tblCellMar>
            <w:top w:w="0" w:type="dxa"/>
            <w:left w:w="0" w:type="dxa"/>
            <w:bottom w:w="0" w:type="dxa"/>
            <w:right w:w="0" w:type="dxa"/>
          </w:tblCellMar>
        </w:tblPrEx>
        <w:trPr>
          <w:trHeight w:val="665" w:hRule="atLeast"/>
          <w:jc w:val="center"/>
        </w:trPr>
        <w:tc>
          <w:tcPr>
            <w:tcW w:w="2145" w:type="dxa"/>
            <w:gridSpan w:val="2"/>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2888"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广元市昭化区卫生健康局部门</w:t>
            </w:r>
          </w:p>
        </w:tc>
        <w:tc>
          <w:tcPr>
            <w:tcW w:w="897" w:type="dxa"/>
            <w:tcBorders>
              <w:top w:val="nil"/>
              <w:left w:val="nil"/>
              <w:bottom w:val="nil"/>
              <w:right w:val="nil"/>
            </w:tcBorders>
            <w:noWrap w:val="0"/>
            <w:tcMar>
              <w:top w:w="10" w:type="dxa"/>
              <w:left w:w="10" w:type="dxa"/>
              <w:right w:w="10" w:type="dxa"/>
            </w:tcMar>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实施单位 （盖章）</w:t>
            </w:r>
          </w:p>
        </w:tc>
        <w:tc>
          <w:tcPr>
            <w:tcW w:w="2190"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黄龙</w:t>
            </w:r>
            <w:r>
              <w:rPr>
                <w:rFonts w:ascii="宋体" w:hAnsi="宋体" w:eastAsia="宋体" w:cs="宋体"/>
                <w:i w:val="0"/>
                <w:color w:val="000000"/>
                <w:kern w:val="0"/>
                <w:sz w:val="18"/>
                <w:szCs w:val="18"/>
                <w:u w:val="none"/>
                <w:lang w:val="en-US" w:eastAsia="zh-CN" w:bidi="ar"/>
              </w:rPr>
              <w:t>乡卫生院</w:t>
            </w:r>
          </w:p>
        </w:tc>
      </w:tr>
      <w:tr>
        <w:tblPrEx>
          <w:tblLayout w:type="fixed"/>
          <w:tblCellMar>
            <w:top w:w="0" w:type="dxa"/>
            <w:left w:w="0" w:type="dxa"/>
            <w:bottom w:w="0" w:type="dxa"/>
            <w:right w:w="0" w:type="dxa"/>
          </w:tblCellMar>
        </w:tblPrEx>
        <w:trPr>
          <w:trHeight w:val="353" w:hRule="atLeast"/>
          <w:jc w:val="center"/>
        </w:trPr>
        <w:tc>
          <w:tcPr>
            <w:tcW w:w="8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1304"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2888"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3087"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年度目标完成情况</w:t>
            </w:r>
          </w:p>
        </w:tc>
      </w:tr>
      <w:tr>
        <w:tblPrEx>
          <w:tblLayout w:type="fixed"/>
          <w:tblCellMar>
            <w:top w:w="0" w:type="dxa"/>
            <w:left w:w="0" w:type="dxa"/>
            <w:bottom w:w="0" w:type="dxa"/>
            <w:right w:w="0" w:type="dxa"/>
          </w:tblCellMar>
        </w:tblPrEx>
        <w:trPr>
          <w:trHeight w:val="353"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1304"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2888"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2.47</w:t>
            </w:r>
            <w:r>
              <w:rPr>
                <w:rFonts w:hint="eastAsia" w:ascii="宋体" w:hAnsi="宋体" w:eastAsia="宋体" w:cs="宋体"/>
                <w:i w:val="0"/>
                <w:color w:val="000000"/>
                <w:sz w:val="18"/>
                <w:szCs w:val="18"/>
                <w:u w:val="none"/>
                <w:lang w:val="en-US" w:eastAsia="zh-CN"/>
              </w:rPr>
              <w:t>万元</w:t>
            </w:r>
          </w:p>
        </w:tc>
        <w:tc>
          <w:tcPr>
            <w:tcW w:w="3087" w:type="dxa"/>
            <w:gridSpan w:val="4"/>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lang w:val="en-US"/>
              </w:rPr>
            </w:pPr>
            <w:r>
              <w:rPr>
                <w:rFonts w:hint="eastAsia" w:ascii="黑体" w:hAnsi="黑体" w:eastAsia="黑体" w:cs="黑体"/>
                <w:i w:val="0"/>
                <w:color w:val="000000"/>
                <w:kern w:val="0"/>
                <w:sz w:val="18"/>
                <w:szCs w:val="18"/>
                <w:u w:val="none"/>
                <w:lang w:val="en-US" w:eastAsia="zh-CN" w:bidi="ar"/>
              </w:rPr>
              <w:t>100%</w:t>
            </w:r>
          </w:p>
        </w:tc>
      </w:tr>
      <w:tr>
        <w:tblPrEx>
          <w:tblLayout w:type="fixed"/>
          <w:tblCellMar>
            <w:top w:w="0" w:type="dxa"/>
            <w:left w:w="0" w:type="dxa"/>
            <w:bottom w:w="0" w:type="dxa"/>
            <w:right w:w="0" w:type="dxa"/>
          </w:tblCellMar>
        </w:tblPrEx>
        <w:trPr>
          <w:trHeight w:val="978"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5975" w:type="dxa"/>
            <w:gridSpan w:val="9"/>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按照《四川省发展和改革委员会四川省财政厅关于疫苗预防接种服务收费标准及有关问题的通知》（川发改价格〔2020〕640号）文件精神，二类疫苗接种服务费收入全额上缴国库，纳入财政预算管理。</w:t>
            </w:r>
          </w:p>
        </w:tc>
      </w:tr>
      <w:tr>
        <w:tblPrEx>
          <w:tblLayout w:type="fixed"/>
          <w:tblCellMar>
            <w:top w:w="0" w:type="dxa"/>
            <w:left w:w="0" w:type="dxa"/>
            <w:bottom w:w="0" w:type="dxa"/>
            <w:right w:w="0" w:type="dxa"/>
          </w:tblCellMar>
        </w:tblPrEx>
        <w:trPr>
          <w:trHeight w:val="665" w:hRule="atLeast"/>
          <w:jc w:val="center"/>
        </w:trPr>
        <w:tc>
          <w:tcPr>
            <w:tcW w:w="8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143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8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845" w:type="dxa"/>
            <w:tcBorders>
              <w:top w:val="single" w:color="000000" w:sz="4" w:space="0"/>
              <w:left w:val="single" w:color="000000" w:sz="4" w:space="0"/>
              <w:bottom w:val="nil"/>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Layout w:type="fixed"/>
          <w:tblCellMar>
            <w:top w:w="0" w:type="dxa"/>
            <w:left w:w="0" w:type="dxa"/>
            <w:bottom w:w="0" w:type="dxa"/>
            <w:right w:w="0" w:type="dxa"/>
          </w:tblCellMar>
        </w:tblPrEx>
        <w:trPr>
          <w:trHeight w:val="353"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sz w:val="18"/>
                <w:szCs w:val="18"/>
                <w:u w:val="none"/>
                <w:lang w:val="en-US" w:eastAsia="zh-CN"/>
              </w:rPr>
              <w:t>2.47</w:t>
            </w:r>
          </w:p>
        </w:tc>
        <w:tc>
          <w:tcPr>
            <w:tcW w:w="143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sz w:val="18"/>
                <w:szCs w:val="18"/>
                <w:u w:val="none"/>
                <w:lang w:val="en-US" w:eastAsia="zh-CN"/>
              </w:rPr>
              <w:t>2.47</w:t>
            </w: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845"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521"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sz w:val="18"/>
                <w:szCs w:val="18"/>
                <w:u w:val="none"/>
                <w:lang w:val="en-US" w:eastAsia="zh-CN"/>
              </w:rPr>
              <w:t>2.47</w:t>
            </w:r>
          </w:p>
        </w:tc>
        <w:tc>
          <w:tcPr>
            <w:tcW w:w="143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i w:val="0"/>
                <w:color w:val="000000"/>
                <w:sz w:val="18"/>
                <w:szCs w:val="18"/>
                <w:u w:val="none"/>
                <w:lang w:val="en-US" w:eastAsia="zh-CN"/>
              </w:rPr>
              <w:t>2.47</w:t>
            </w: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650"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43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353"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143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353"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1433" w:type="dxa"/>
            <w:gridSpan w:val="3"/>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845"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r>
      <w:tr>
        <w:tblPrEx>
          <w:tblLayout w:type="fixed"/>
          <w:tblCellMar>
            <w:top w:w="0" w:type="dxa"/>
            <w:left w:w="0" w:type="dxa"/>
            <w:bottom w:w="0" w:type="dxa"/>
            <w:right w:w="0" w:type="dxa"/>
          </w:tblCellMar>
        </w:tblPrEx>
        <w:trPr>
          <w:trHeight w:val="1280" w:hRule="atLeast"/>
          <w:jc w:val="center"/>
        </w:trPr>
        <w:tc>
          <w:tcPr>
            <w:tcW w:w="841" w:type="dxa"/>
            <w:vMerge w:val="restart"/>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3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4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6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845" w:type="dxa"/>
            <w:tcBorders>
              <w:top w:val="single" w:color="000000" w:sz="4" w:space="0"/>
              <w:left w:val="single" w:color="000000" w:sz="4" w:space="0"/>
              <w:bottom w:val="single" w:color="000000" w:sz="4" w:space="0"/>
              <w:right w:val="nil"/>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8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353" w:hRule="atLeast"/>
          <w:jc w:val="center"/>
        </w:trPr>
        <w:tc>
          <w:tcPr>
            <w:tcW w:w="841" w:type="dxa"/>
            <w:vMerge w:val="continue"/>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04"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9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6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35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13"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67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97"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45" w:type="dxa"/>
            <w:tcBorders>
              <w:top w:val="nil"/>
              <w:left w:val="single" w:color="000000" w:sz="4" w:space="0"/>
              <w:bottom w:val="single" w:color="000000" w:sz="4" w:space="0"/>
              <w:right w:val="single" w:color="000000" w:sz="4" w:space="0"/>
            </w:tcBorders>
            <w:noWrap w:val="0"/>
            <w:tcMar>
              <w:top w:w="10" w:type="dxa"/>
              <w:left w:w="10" w:type="dxa"/>
              <w:right w:w="10" w:type="dxa"/>
            </w:tcMar>
            <w:vAlign w:val="center"/>
          </w:tcPr>
          <w:p>
            <w:pPr>
              <w:jc w:val="center"/>
              <w:rPr>
                <w:rFonts w:hint="eastAsia" w:ascii="微软雅黑" w:hAnsi="微软雅黑" w:eastAsia="微软雅黑" w:cs="微软雅黑"/>
                <w:i/>
                <w:color w:val="000000"/>
                <w:sz w:val="16"/>
                <w:szCs w:val="16"/>
                <w:u w:val="none"/>
              </w:rPr>
            </w:pPr>
          </w:p>
        </w:tc>
      </w:tr>
      <w:tr>
        <w:tblPrEx>
          <w:tblLayout w:type="fixed"/>
          <w:tblCellMar>
            <w:top w:w="0" w:type="dxa"/>
            <w:left w:w="0" w:type="dxa"/>
            <w:bottom w:w="0" w:type="dxa"/>
            <w:right w:w="0" w:type="dxa"/>
          </w:tblCellMar>
        </w:tblPrEx>
        <w:trPr>
          <w:trHeight w:val="353" w:hRule="atLeast"/>
          <w:jc w:val="center"/>
        </w:trPr>
        <w:tc>
          <w:tcPr>
            <w:tcW w:w="5930" w:type="dxa"/>
            <w:gridSpan w:val="8"/>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500"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8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c>
          <w:tcPr>
            <w:tcW w:w="845"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441" w:hRule="atLeast"/>
          <w:jc w:val="center"/>
        </w:trPr>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7279"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二类疫苗接种服务费收入全额上缴国库，纳入财政预算管理，实施效果较好</w:t>
            </w:r>
          </w:p>
        </w:tc>
      </w:tr>
      <w:tr>
        <w:tblPrEx>
          <w:tblLayout w:type="fixed"/>
          <w:tblCellMar>
            <w:top w:w="0" w:type="dxa"/>
            <w:left w:w="0" w:type="dxa"/>
            <w:bottom w:w="0" w:type="dxa"/>
            <w:right w:w="0" w:type="dxa"/>
          </w:tblCellMar>
        </w:tblPrEx>
        <w:trPr>
          <w:trHeight w:val="353" w:hRule="atLeast"/>
          <w:jc w:val="center"/>
        </w:trPr>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7279"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Layout w:type="fixed"/>
          <w:tblCellMar>
            <w:top w:w="0" w:type="dxa"/>
            <w:left w:w="0" w:type="dxa"/>
            <w:bottom w:w="0" w:type="dxa"/>
            <w:right w:w="0" w:type="dxa"/>
          </w:tblCellMar>
        </w:tblPrEx>
        <w:trPr>
          <w:trHeight w:val="353" w:hRule="atLeast"/>
          <w:jc w:val="center"/>
        </w:trPr>
        <w:tc>
          <w:tcPr>
            <w:tcW w:w="841" w:type="dxa"/>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7279" w:type="dxa"/>
            <w:gridSpan w:val="10"/>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Layout w:type="fixed"/>
          <w:tblCellMar>
            <w:top w:w="0" w:type="dxa"/>
            <w:left w:w="0" w:type="dxa"/>
            <w:bottom w:w="0" w:type="dxa"/>
            <w:right w:w="0" w:type="dxa"/>
          </w:tblCellMar>
        </w:tblPrEx>
        <w:trPr>
          <w:trHeight w:val="373" w:hRule="atLeast"/>
          <w:jc w:val="center"/>
        </w:trPr>
        <w:tc>
          <w:tcPr>
            <w:tcW w:w="3950" w:type="dxa"/>
            <w:gridSpan w:val="5"/>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项目负责人：</w:t>
            </w:r>
          </w:p>
        </w:tc>
        <w:tc>
          <w:tcPr>
            <w:tcW w:w="4170" w:type="dxa"/>
            <w:gridSpan w:val="6"/>
            <w:tcBorders>
              <w:top w:val="single" w:color="000000" w:sz="4" w:space="0"/>
              <w:left w:val="single" w:color="000000" w:sz="4" w:space="0"/>
              <w:bottom w:val="single" w:color="000000" w:sz="4" w:space="0"/>
              <w:right w:val="single" w:color="000000" w:sz="4" w:space="0"/>
            </w:tcBorders>
            <w:noWrap w:val="0"/>
            <w:tcMar>
              <w:top w:w="10" w:type="dxa"/>
              <w:left w:w="10" w:type="dxa"/>
              <w:right w:w="10" w:type="dxa"/>
            </w:tcMar>
            <w:vAlign w:val="center"/>
          </w:tcPr>
          <w:p>
            <w:pPr>
              <w:keepNext w:val="0"/>
              <w:keepLines w:val="0"/>
              <w:widowControl/>
              <w:suppressLineNumbers w:val="0"/>
              <w:jc w:val="left"/>
              <w:textAlignment w:val="center"/>
              <w:rPr>
                <w:rFonts w:hint="eastAsia" w:ascii="黑体" w:hAnsi="黑体" w:eastAsia="黑体" w:cs="黑体"/>
                <w:i w:val="0"/>
                <w:color w:val="000000"/>
                <w:sz w:val="18"/>
                <w:szCs w:val="18"/>
                <w:u w:val="none"/>
              </w:rPr>
            </w:pPr>
            <w:r>
              <w:rPr>
                <w:rFonts w:hint="eastAsia" w:ascii="黑体" w:hAnsi="黑体" w:eastAsia="黑体" w:cs="黑体"/>
                <w:i w:val="0"/>
                <w:color w:val="000000"/>
                <w:kern w:val="0"/>
                <w:sz w:val="18"/>
                <w:szCs w:val="18"/>
                <w:u w:val="none"/>
                <w:lang w:val="en-US" w:eastAsia="zh-CN" w:bidi="ar"/>
              </w:rPr>
              <w:t>财务负责人：</w:t>
            </w:r>
          </w:p>
        </w:tc>
      </w:tr>
    </w:tbl>
    <w:p>
      <w:pPr>
        <w:pStyle w:val="2"/>
        <w:rPr>
          <w:rFonts w:hint="eastAsia" w:ascii="仿宋_GB2312" w:eastAsia="仿宋_GB2312" w:cs="仿宋"/>
          <w:color w:val="auto"/>
          <w:kern w:val="0"/>
          <w:sz w:val="32"/>
          <w:szCs w:val="32"/>
          <w:highlight w:val="none"/>
          <w:lang w:val="en-US" w:eastAsia="zh-CN" w:bidi="ar-SA"/>
        </w:rPr>
      </w:pPr>
    </w:p>
    <w:p>
      <w:pPr>
        <w:rPr>
          <w:rFonts w:hint="eastAsia" w:ascii="仿宋_GB2312" w:eastAsia="仿宋_GB2312" w:cs="仿宋"/>
          <w:color w:val="auto"/>
          <w:kern w:val="0"/>
          <w:sz w:val="32"/>
          <w:szCs w:val="32"/>
          <w:highlight w:val="none"/>
          <w:lang w:val="en-US" w:eastAsia="zh-CN" w:bidi="ar-SA"/>
        </w:rPr>
      </w:pPr>
    </w:p>
    <w:p>
      <w:pPr>
        <w:pStyle w:val="2"/>
        <w:rPr>
          <w:rFonts w:hint="eastAsia"/>
          <w:lang w:val="en-US" w:eastAsia="zh-CN"/>
        </w:rPr>
      </w:pPr>
    </w:p>
    <w:p>
      <w:pPr>
        <w:spacing w:line="600" w:lineRule="exact"/>
        <w:jc w:val="center"/>
        <w:outlineLvl w:val="0"/>
        <w:rPr>
          <w:rStyle w:val="14"/>
          <w:rFonts w:hint="eastAsia" w:ascii="黑体" w:eastAsia="黑体"/>
          <w:b w:val="0"/>
          <w:color w:val="auto"/>
          <w:highlight w:val="none"/>
        </w:rPr>
      </w:pPr>
      <w:bookmarkStart w:id="99" w:name="_Toc19484"/>
      <w:r>
        <w:rPr>
          <w:rFonts w:hint="eastAsia" w:ascii="黑体" w:eastAsia="黑体"/>
          <w:color w:val="auto"/>
          <w:sz w:val="44"/>
          <w:szCs w:val="44"/>
          <w:highlight w:val="none"/>
        </w:rPr>
        <w:t>第</w:t>
      </w:r>
      <w:r>
        <w:rPr>
          <w:rStyle w:val="14"/>
          <w:rFonts w:hint="eastAsia" w:ascii="黑体" w:eastAsia="黑体"/>
          <w:b w:val="0"/>
          <w:color w:val="auto"/>
          <w:highlight w:val="none"/>
        </w:rPr>
        <w:t>五部分 附表</w:t>
      </w:r>
      <w:bookmarkEnd w:id="93"/>
      <w:bookmarkEnd w:id="98"/>
      <w:bookmarkEnd w:id="99"/>
      <w:bookmarkStart w:id="100" w:name="_Toc15396619"/>
    </w:p>
    <w:p>
      <w:pPr>
        <w:spacing w:line="600" w:lineRule="exact"/>
        <w:jc w:val="both"/>
        <w:outlineLvl w:val="1"/>
        <w:rPr>
          <w:rStyle w:val="15"/>
          <w:rFonts w:hint="eastAsia" w:ascii="仿宋" w:eastAsia="仿宋" w:cs="Times New Roman"/>
          <w:b w:val="0"/>
          <w:bCs w:val="0"/>
          <w:color w:val="auto"/>
          <w:highlight w:val="none"/>
        </w:rPr>
      </w:pPr>
      <w:bookmarkStart w:id="101" w:name="_Toc5093"/>
      <w:r>
        <w:rPr>
          <w:rStyle w:val="15"/>
          <w:rFonts w:hint="eastAsia" w:ascii="仿宋" w:eastAsia="仿宋" w:cs="Times New Roman"/>
          <w:b w:val="0"/>
          <w:bCs w:val="0"/>
          <w:color w:val="auto"/>
          <w:highlight w:val="none"/>
        </w:rPr>
        <w:t>一、收入支出决算总表</w:t>
      </w:r>
      <w:bookmarkEnd w:id="100"/>
      <w:bookmarkEnd w:id="101"/>
      <w:bookmarkStart w:id="102" w:name="_Toc15396620"/>
    </w:p>
    <w:p>
      <w:pPr>
        <w:spacing w:line="600" w:lineRule="exact"/>
        <w:jc w:val="both"/>
        <w:outlineLvl w:val="1"/>
        <w:rPr>
          <w:rStyle w:val="15"/>
          <w:rFonts w:hint="eastAsia" w:ascii="仿宋" w:eastAsia="仿宋" w:cs="Times New Roman"/>
          <w:b w:val="0"/>
          <w:bCs w:val="0"/>
          <w:color w:val="auto"/>
          <w:highlight w:val="none"/>
        </w:rPr>
      </w:pPr>
      <w:bookmarkStart w:id="103" w:name="_Toc15131"/>
      <w:r>
        <w:rPr>
          <w:rStyle w:val="15"/>
          <w:rFonts w:hint="eastAsia" w:ascii="仿宋" w:eastAsia="仿宋" w:cs="Times New Roman"/>
          <w:b w:val="0"/>
          <w:bCs w:val="0"/>
          <w:color w:val="auto"/>
          <w:highlight w:val="none"/>
        </w:rPr>
        <w:t>二、收入决算表</w:t>
      </w:r>
      <w:bookmarkEnd w:id="102"/>
      <w:bookmarkEnd w:id="103"/>
      <w:bookmarkStart w:id="104" w:name="_Toc15396621"/>
    </w:p>
    <w:p>
      <w:pPr>
        <w:spacing w:line="600" w:lineRule="exact"/>
        <w:jc w:val="both"/>
        <w:outlineLvl w:val="1"/>
        <w:rPr>
          <w:rStyle w:val="15"/>
          <w:rFonts w:hint="eastAsia" w:ascii="仿宋" w:eastAsia="仿宋" w:cs="Times New Roman"/>
          <w:b w:val="0"/>
          <w:bCs w:val="0"/>
          <w:color w:val="auto"/>
          <w:highlight w:val="none"/>
        </w:rPr>
      </w:pPr>
      <w:bookmarkStart w:id="105" w:name="_Toc29241"/>
      <w:r>
        <w:rPr>
          <w:rStyle w:val="15"/>
          <w:rFonts w:hint="eastAsia" w:ascii="仿宋" w:eastAsia="仿宋" w:cs="Times New Roman"/>
          <w:b w:val="0"/>
          <w:bCs w:val="0"/>
          <w:color w:val="auto"/>
          <w:highlight w:val="none"/>
        </w:rPr>
        <w:t>三、支出决算表</w:t>
      </w:r>
      <w:bookmarkEnd w:id="104"/>
      <w:bookmarkEnd w:id="105"/>
      <w:bookmarkStart w:id="106" w:name="_Toc15396622"/>
    </w:p>
    <w:p>
      <w:pPr>
        <w:spacing w:line="600" w:lineRule="exact"/>
        <w:jc w:val="both"/>
        <w:outlineLvl w:val="1"/>
        <w:rPr>
          <w:rStyle w:val="15"/>
          <w:rFonts w:hint="eastAsia" w:ascii="仿宋" w:eastAsia="仿宋" w:cs="Times New Roman"/>
          <w:b w:val="0"/>
          <w:bCs w:val="0"/>
          <w:color w:val="auto"/>
          <w:highlight w:val="none"/>
        </w:rPr>
      </w:pPr>
      <w:bookmarkStart w:id="107" w:name="_Toc3401"/>
      <w:r>
        <w:rPr>
          <w:rStyle w:val="15"/>
          <w:rFonts w:hint="eastAsia" w:ascii="仿宋" w:eastAsia="仿宋" w:cs="Times New Roman"/>
          <w:b w:val="0"/>
          <w:bCs w:val="0"/>
          <w:color w:val="auto"/>
          <w:highlight w:val="none"/>
        </w:rPr>
        <w:t>四、财政拨款收入支出决算总表</w:t>
      </w:r>
      <w:bookmarkEnd w:id="106"/>
      <w:bookmarkEnd w:id="107"/>
      <w:bookmarkStart w:id="108" w:name="_Toc15396623"/>
    </w:p>
    <w:p>
      <w:pPr>
        <w:spacing w:line="600" w:lineRule="exact"/>
        <w:jc w:val="both"/>
        <w:outlineLvl w:val="1"/>
        <w:rPr>
          <w:rStyle w:val="15"/>
          <w:rFonts w:hint="eastAsia" w:ascii="仿宋" w:eastAsia="仿宋" w:cs="Times New Roman"/>
          <w:b w:val="0"/>
          <w:bCs w:val="0"/>
          <w:color w:val="auto"/>
          <w:highlight w:val="none"/>
        </w:rPr>
      </w:pPr>
      <w:bookmarkStart w:id="109" w:name="_Toc26316"/>
      <w:r>
        <w:rPr>
          <w:rStyle w:val="15"/>
          <w:rFonts w:hint="eastAsia" w:ascii="仿宋" w:eastAsia="仿宋" w:cs="Times New Roman"/>
          <w:b w:val="0"/>
          <w:bCs w:val="0"/>
          <w:color w:val="auto"/>
          <w:highlight w:val="none"/>
        </w:rPr>
        <w:t>五、财政拨款支出决算明细表</w:t>
      </w:r>
      <w:bookmarkEnd w:id="108"/>
      <w:bookmarkEnd w:id="109"/>
      <w:bookmarkStart w:id="110" w:name="_Toc15396624"/>
    </w:p>
    <w:p>
      <w:pPr>
        <w:spacing w:line="600" w:lineRule="exact"/>
        <w:jc w:val="both"/>
        <w:outlineLvl w:val="1"/>
        <w:rPr>
          <w:rStyle w:val="15"/>
          <w:rFonts w:hint="eastAsia" w:ascii="仿宋" w:eastAsia="仿宋" w:cs="Times New Roman"/>
          <w:b w:val="0"/>
          <w:bCs w:val="0"/>
          <w:color w:val="auto"/>
          <w:highlight w:val="none"/>
        </w:rPr>
      </w:pPr>
      <w:bookmarkStart w:id="111" w:name="_Toc22112"/>
      <w:r>
        <w:rPr>
          <w:rStyle w:val="15"/>
          <w:rFonts w:hint="eastAsia" w:ascii="仿宋" w:eastAsia="仿宋" w:cs="Times New Roman"/>
          <w:b w:val="0"/>
          <w:bCs w:val="0"/>
          <w:color w:val="auto"/>
          <w:highlight w:val="none"/>
        </w:rPr>
        <w:t>六、一般公共预算财政拨款支出决算表</w:t>
      </w:r>
      <w:bookmarkEnd w:id="110"/>
      <w:bookmarkEnd w:id="111"/>
      <w:bookmarkStart w:id="112" w:name="_Toc15396625"/>
    </w:p>
    <w:p>
      <w:pPr>
        <w:spacing w:line="600" w:lineRule="exact"/>
        <w:jc w:val="both"/>
        <w:outlineLvl w:val="1"/>
        <w:rPr>
          <w:rStyle w:val="15"/>
          <w:rFonts w:hint="eastAsia" w:ascii="仿宋" w:eastAsia="仿宋" w:cs="Times New Roman"/>
          <w:b w:val="0"/>
          <w:bCs w:val="0"/>
          <w:color w:val="auto"/>
          <w:highlight w:val="none"/>
        </w:rPr>
      </w:pPr>
      <w:bookmarkStart w:id="113" w:name="_Toc24256"/>
      <w:r>
        <w:rPr>
          <w:rStyle w:val="15"/>
          <w:rFonts w:hint="eastAsia" w:ascii="仿宋" w:eastAsia="仿宋" w:cs="Times New Roman"/>
          <w:b w:val="0"/>
          <w:bCs w:val="0"/>
          <w:color w:val="auto"/>
          <w:highlight w:val="none"/>
        </w:rPr>
        <w:t>七、一般公共预算财政拨款支出决算明细表</w:t>
      </w:r>
      <w:bookmarkEnd w:id="112"/>
      <w:bookmarkEnd w:id="113"/>
      <w:bookmarkStart w:id="114" w:name="_Toc15396626"/>
    </w:p>
    <w:p>
      <w:pPr>
        <w:spacing w:line="600" w:lineRule="exact"/>
        <w:jc w:val="both"/>
        <w:outlineLvl w:val="1"/>
        <w:rPr>
          <w:rStyle w:val="15"/>
          <w:rFonts w:hint="eastAsia" w:ascii="仿宋" w:eastAsia="仿宋" w:cs="Times New Roman"/>
          <w:b w:val="0"/>
          <w:bCs w:val="0"/>
          <w:color w:val="auto"/>
          <w:highlight w:val="none"/>
        </w:rPr>
      </w:pPr>
      <w:bookmarkStart w:id="115" w:name="_Toc7676"/>
      <w:r>
        <w:rPr>
          <w:rStyle w:val="15"/>
          <w:rFonts w:hint="eastAsia" w:ascii="仿宋" w:eastAsia="仿宋" w:cs="Times New Roman"/>
          <w:b w:val="0"/>
          <w:bCs w:val="0"/>
          <w:color w:val="auto"/>
          <w:highlight w:val="none"/>
        </w:rPr>
        <w:t>八、一般公共预算财政拨款基本支出决算表</w:t>
      </w:r>
      <w:bookmarkEnd w:id="114"/>
      <w:bookmarkEnd w:id="115"/>
      <w:bookmarkStart w:id="116" w:name="_Toc15396627"/>
    </w:p>
    <w:p>
      <w:pPr>
        <w:spacing w:line="600" w:lineRule="exact"/>
        <w:jc w:val="both"/>
        <w:outlineLvl w:val="1"/>
        <w:rPr>
          <w:rStyle w:val="15"/>
          <w:rFonts w:hint="eastAsia" w:ascii="仿宋" w:eastAsia="仿宋" w:cs="Times New Roman"/>
          <w:b w:val="0"/>
          <w:bCs w:val="0"/>
          <w:color w:val="auto"/>
          <w:highlight w:val="none"/>
        </w:rPr>
      </w:pPr>
      <w:bookmarkStart w:id="117" w:name="_Toc32287"/>
      <w:r>
        <w:rPr>
          <w:rStyle w:val="15"/>
          <w:rFonts w:hint="eastAsia" w:ascii="仿宋" w:eastAsia="仿宋" w:cs="Times New Roman"/>
          <w:b w:val="0"/>
          <w:bCs w:val="0"/>
          <w:color w:val="auto"/>
          <w:highlight w:val="none"/>
        </w:rPr>
        <w:t>九、一般公共预算财政拨款项目支出决算表</w:t>
      </w:r>
      <w:bookmarkEnd w:id="116"/>
      <w:bookmarkEnd w:id="117"/>
      <w:bookmarkStart w:id="118" w:name="_Toc15396628"/>
    </w:p>
    <w:p>
      <w:pPr>
        <w:spacing w:line="600" w:lineRule="exact"/>
        <w:jc w:val="both"/>
        <w:outlineLvl w:val="1"/>
        <w:rPr>
          <w:rStyle w:val="15"/>
          <w:rFonts w:hint="eastAsia" w:ascii="仿宋" w:eastAsia="仿宋" w:cs="Times New Roman"/>
          <w:b w:val="0"/>
          <w:bCs w:val="0"/>
          <w:color w:val="auto"/>
          <w:highlight w:val="none"/>
        </w:rPr>
      </w:pPr>
      <w:bookmarkStart w:id="119" w:name="_Toc20315"/>
      <w:r>
        <w:rPr>
          <w:rStyle w:val="15"/>
          <w:rFonts w:hint="eastAsia" w:ascii="仿宋" w:eastAsia="仿宋" w:cs="Times New Roman"/>
          <w:b w:val="0"/>
          <w:bCs w:val="0"/>
          <w:color w:val="auto"/>
          <w:highlight w:val="none"/>
        </w:rPr>
        <w:t>十、</w:t>
      </w:r>
      <w:bookmarkEnd w:id="118"/>
      <w:r>
        <w:rPr>
          <w:rStyle w:val="15"/>
          <w:rFonts w:hint="eastAsia" w:ascii="仿宋" w:eastAsia="仿宋" w:cs="Times New Roman"/>
          <w:b w:val="0"/>
          <w:bCs w:val="0"/>
          <w:color w:val="auto"/>
          <w:highlight w:val="none"/>
        </w:rPr>
        <w:t>政府性基金预算财政拨款收入支出决算表</w:t>
      </w:r>
      <w:bookmarkEnd w:id="119"/>
      <w:bookmarkStart w:id="120" w:name="_Toc15396629"/>
    </w:p>
    <w:p>
      <w:pPr>
        <w:spacing w:line="600" w:lineRule="exact"/>
        <w:jc w:val="both"/>
        <w:outlineLvl w:val="1"/>
        <w:rPr>
          <w:rStyle w:val="15"/>
          <w:rFonts w:hint="eastAsia" w:ascii="仿宋" w:eastAsia="仿宋" w:cs="Times New Roman"/>
          <w:b w:val="0"/>
          <w:bCs w:val="0"/>
          <w:color w:val="auto"/>
          <w:highlight w:val="none"/>
        </w:rPr>
      </w:pPr>
      <w:bookmarkStart w:id="121" w:name="_Toc25897"/>
      <w:r>
        <w:rPr>
          <w:rStyle w:val="15"/>
          <w:rFonts w:hint="eastAsia" w:ascii="仿宋" w:eastAsia="仿宋" w:cs="Times New Roman"/>
          <w:b w:val="0"/>
          <w:bCs w:val="0"/>
          <w:color w:val="auto"/>
          <w:highlight w:val="none"/>
        </w:rPr>
        <w:t>十一、</w:t>
      </w:r>
      <w:bookmarkEnd w:id="120"/>
      <w:r>
        <w:rPr>
          <w:rStyle w:val="15"/>
          <w:rFonts w:hint="eastAsia" w:ascii="仿宋" w:eastAsia="仿宋" w:cs="Times New Roman"/>
          <w:b w:val="0"/>
          <w:bCs w:val="0"/>
          <w:color w:val="auto"/>
          <w:highlight w:val="none"/>
        </w:rPr>
        <w:t>国有资本经营预算</w:t>
      </w:r>
      <w:r>
        <w:rPr>
          <w:rStyle w:val="15"/>
          <w:rFonts w:hint="eastAsia" w:ascii="仿宋" w:eastAsia="仿宋" w:cs="Times New Roman"/>
          <w:b w:val="0"/>
          <w:bCs w:val="0"/>
          <w:color w:val="auto"/>
          <w:highlight w:val="none"/>
          <w:lang w:eastAsia="zh-CN"/>
        </w:rPr>
        <w:t>财政拨款收入</w:t>
      </w:r>
      <w:r>
        <w:rPr>
          <w:rStyle w:val="15"/>
          <w:rFonts w:hint="eastAsia" w:ascii="仿宋" w:eastAsia="仿宋" w:cs="Times New Roman"/>
          <w:b w:val="0"/>
          <w:bCs w:val="0"/>
          <w:color w:val="auto"/>
          <w:highlight w:val="none"/>
        </w:rPr>
        <w:t>支出决算表</w:t>
      </w:r>
      <w:bookmarkEnd w:id="121"/>
      <w:bookmarkStart w:id="122" w:name="_Toc15396630"/>
    </w:p>
    <w:p>
      <w:pPr>
        <w:spacing w:line="600" w:lineRule="exact"/>
        <w:jc w:val="both"/>
        <w:outlineLvl w:val="1"/>
        <w:rPr>
          <w:rStyle w:val="15"/>
          <w:rFonts w:hint="eastAsia" w:ascii="仿宋" w:eastAsia="仿宋" w:cs="Times New Roman"/>
          <w:b w:val="0"/>
          <w:bCs w:val="0"/>
          <w:color w:val="auto"/>
          <w:highlight w:val="none"/>
        </w:rPr>
      </w:pPr>
      <w:bookmarkStart w:id="123" w:name="_Toc11242"/>
      <w:r>
        <w:rPr>
          <w:rStyle w:val="15"/>
          <w:rFonts w:hint="eastAsia" w:ascii="仿宋" w:eastAsia="仿宋" w:cs="Times New Roman"/>
          <w:b w:val="0"/>
          <w:bCs w:val="0"/>
          <w:color w:val="auto"/>
          <w:highlight w:val="none"/>
        </w:rPr>
        <w:t>十二、</w:t>
      </w:r>
      <w:bookmarkEnd w:id="122"/>
      <w:r>
        <w:rPr>
          <w:rStyle w:val="15"/>
          <w:rFonts w:hint="eastAsia" w:ascii="仿宋" w:eastAsia="仿宋" w:cs="Times New Roman"/>
          <w:b w:val="0"/>
          <w:bCs w:val="0"/>
          <w:color w:val="auto"/>
          <w:highlight w:val="none"/>
          <w:lang w:eastAsia="zh-CN"/>
        </w:rPr>
        <w:t>国有资本经营预算财政拨款支出决算表</w:t>
      </w:r>
      <w:bookmarkEnd w:id="123"/>
    </w:p>
    <w:p>
      <w:pPr>
        <w:spacing w:line="600" w:lineRule="exact"/>
        <w:jc w:val="both"/>
        <w:outlineLvl w:val="1"/>
        <w:rPr>
          <w:rStyle w:val="15"/>
          <w:rFonts w:hint="eastAsia" w:ascii="仿宋" w:eastAsia="仿宋" w:cs="Times New Roman"/>
          <w:b w:val="0"/>
          <w:bCs w:val="0"/>
          <w:color w:val="auto"/>
          <w:highlight w:val="none"/>
        </w:rPr>
      </w:pPr>
      <w:bookmarkStart w:id="124" w:name="_Toc15396631"/>
      <w:bookmarkStart w:id="125" w:name="_Toc4372"/>
      <w:r>
        <w:rPr>
          <w:rStyle w:val="15"/>
          <w:rFonts w:hint="eastAsia" w:ascii="仿宋" w:eastAsia="仿宋" w:cs="Times New Roman"/>
          <w:b w:val="0"/>
          <w:bCs w:val="0"/>
          <w:color w:val="auto"/>
          <w:highlight w:val="none"/>
        </w:rPr>
        <w:t>十三、</w:t>
      </w:r>
      <w:bookmarkEnd w:id="124"/>
      <w:r>
        <w:rPr>
          <w:rStyle w:val="15"/>
          <w:rFonts w:hint="eastAsia" w:ascii="仿宋" w:eastAsia="仿宋" w:cs="Times New Roman"/>
          <w:b w:val="0"/>
          <w:bCs w:val="0"/>
          <w:color w:val="auto"/>
          <w:highlight w:val="none"/>
          <w:lang w:eastAsia="zh-CN"/>
        </w:rPr>
        <w:t>财政拨款“三公”经费支出决算表</w:t>
      </w:r>
      <w:bookmarkEnd w:id="125"/>
    </w:p>
    <w:sectPr>
      <w:footerReference r:id="rId7"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682674"/>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4682674"/>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pPr>
        <w:ind w:left="0" w:firstLine="0"/>
      </w:pPr>
      <w:rPr>
        <w:rFonts w:hint="eastAsia"/>
      </w:rPr>
    </w:lvl>
  </w:abstractNum>
  <w:abstractNum w:abstractNumId="1">
    <w:nsid w:val="E2FA047D"/>
    <w:multiLevelType w:val="singleLevel"/>
    <w:tmpl w:val="E2FA047D"/>
    <w:lvl w:ilvl="0" w:tentative="0">
      <w:start w:val="3"/>
      <w:numFmt w:val="chineseCounting"/>
      <w:suff w:val="space"/>
      <w:lvlText w:val="第%1部分"/>
      <w:lvlJc w:val="left"/>
      <w:pPr>
        <w:ind w:left="0" w:firstLine="0"/>
      </w:pPr>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pPr>
        <w:ind w:left="0" w:firstLine="0"/>
      </w:pPr>
      <w:rPr>
        <w:rFonts w:hint="eastAsia"/>
      </w:rPr>
    </w:lvl>
  </w:abstractNum>
  <w:abstractNum w:abstractNumId="4">
    <w:nsid w:val="5714519A"/>
    <w:multiLevelType w:val="singleLevel"/>
    <w:tmpl w:val="5714519A"/>
    <w:lvl w:ilvl="0" w:tentative="0">
      <w:start w:val="3"/>
      <w:numFmt w:val="chineseCounting"/>
      <w:suff w:val="nothing"/>
      <w:lvlText w:val="（%1）"/>
      <w:lvlJc w:val="left"/>
      <w:pPr>
        <w:ind w:left="0" w:firstLine="0"/>
      </w:pPr>
      <w:rPr>
        <w:rFonts w:hint="eastAsia"/>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ZTBiNzA2ZjIyZTQwZmFmZGMwZjhhNjI3NTM3OGRmYjAifQ=="/>
  </w:docVars>
  <w:rsids>
    <w:rsidRoot w:val="00000000"/>
    <w:rsid w:val="10C82115"/>
    <w:rsid w:val="3C856828"/>
    <w:rsid w:val="411B03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link w:val="20"/>
    <w:qFormat/>
    <w:uiPriority w:val="0"/>
    <w:pPr>
      <w:keepNext/>
      <w:keepLines/>
      <w:widowControl w:val="0"/>
      <w:spacing w:before="260" w:after="260" w:line="415" w:lineRule="auto"/>
      <w:outlineLvl w:val="1"/>
    </w:pPr>
    <w:rPr>
      <w:rFonts w:ascii="Calibri Light" w:hAnsi="Calibri Light" w:eastAsia="宋体" w:cs="Times New Roman"/>
      <w:b/>
      <w:bCs/>
      <w:sz w:val="32"/>
      <w:szCs w:val="32"/>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character" w:default="1" w:styleId="11">
    <w:name w:val="Default Paragraph Font"/>
    <w:qFormat/>
    <w:uiPriority w:val="0"/>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spacing w:before="30" w:beforeLines="30"/>
    </w:pPr>
    <w:rPr>
      <w:rFonts w:ascii="仿宋_GB2312" w:eastAsia="仿宋_GB2312"/>
      <w:kern w:val="0"/>
      <w:sz w:val="30"/>
    </w:rPr>
  </w:style>
  <w:style w:type="paragraph" w:styleId="6">
    <w:name w:val="footer"/>
    <w:basedOn w:val="1"/>
    <w:qFormat/>
    <w:uiPriority w:val="0"/>
    <w:pPr>
      <w:tabs>
        <w:tab w:val="center" w:pos="4153"/>
        <w:tab w:val="right" w:pos="8306"/>
      </w:tabs>
      <w:snapToGrid w:val="0"/>
      <w:jc w:val="left"/>
    </w:pPr>
    <w:rPr>
      <w:rFonts w:ascii="Calibri" w:hAnsi="Calibri"/>
      <w:kern w:val="0"/>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18"/>
    </w:rPr>
  </w:style>
  <w:style w:type="paragraph" w:styleId="8">
    <w:name w:val="toc 1"/>
    <w:basedOn w:val="1"/>
    <w:next w:val="1"/>
    <w:qFormat/>
    <w:uiPriority w:val="0"/>
    <w:pPr>
      <w:tabs>
        <w:tab w:val="right" w:leader="dot" w:pos="8296"/>
      </w:tabs>
      <w:spacing w:before="93"/>
      <w:jc w:val="center"/>
    </w:pPr>
    <w:rPr>
      <w:rFonts w:ascii="仿宋" w:eastAsia="仿宋"/>
      <w:sz w:val="28"/>
      <w:szCs w:val="28"/>
    </w:rPr>
  </w:style>
  <w:style w:type="paragraph" w:styleId="9">
    <w:name w:val="toc 2"/>
    <w:basedOn w:val="1"/>
    <w:next w:val="1"/>
    <w:qFormat/>
    <w:uiPriority w:val="0"/>
    <w:pPr>
      <w:tabs>
        <w:tab w:val="right" w:leader="dot" w:pos="8296"/>
      </w:tabs>
      <w:ind w:left="200" w:leftChars="200"/>
    </w:pPr>
  </w:style>
  <w:style w:type="paragraph" w:styleId="10">
    <w:name w:val="Normal (Web)"/>
    <w:basedOn w:val="1"/>
    <w:qFormat/>
    <w:uiPriority w:val="0"/>
    <w:pPr>
      <w:widowControl w:val="0"/>
      <w:suppressAutoHyphens/>
    </w:pPr>
    <w:rPr>
      <w:rFonts w:ascii="Calibri" w:hAnsi="Calibri" w:eastAsia="宋体" w:cs="Times New Roman"/>
      <w:sz w:val="24"/>
      <w:szCs w:val="24"/>
    </w:rPr>
  </w:style>
  <w:style w:type="character" w:styleId="12">
    <w:name w:val="Strong"/>
    <w:basedOn w:val="11"/>
    <w:qFormat/>
    <w:uiPriority w:val="0"/>
    <w:rPr>
      <w:b/>
    </w:rPr>
  </w:style>
  <w:style w:type="character" w:customStyle="1" w:styleId="14">
    <w:name w:val="heading 1 Char"/>
    <w:basedOn w:val="11"/>
    <w:link w:val="3"/>
    <w:qFormat/>
    <w:uiPriority w:val="0"/>
    <w:rPr>
      <w:rFonts w:ascii="Times New Roman" w:hAnsi="Times New Roman" w:eastAsia="宋体" w:cs="Times New Roman"/>
      <w:b/>
      <w:bCs/>
      <w:kern w:val="44"/>
      <w:sz w:val="44"/>
      <w:szCs w:val="44"/>
      <w:lang w:val="en-US" w:eastAsia="zh-CN" w:bidi="ar-SA"/>
    </w:rPr>
  </w:style>
  <w:style w:type="character" w:customStyle="1" w:styleId="15">
    <w:name w:val="heading 2 Char"/>
    <w:basedOn w:val="11"/>
    <w:link w:val="4"/>
    <w:qFormat/>
    <w:uiPriority w:val="0"/>
    <w:rPr>
      <w:rFonts w:ascii="Calibri Light" w:hAnsi="Calibri Light" w:eastAsia="宋体" w:cs="Times New Roman"/>
      <w:b/>
      <w:bCs/>
      <w:kern w:val="2"/>
      <w:sz w:val="32"/>
      <w:szCs w:val="32"/>
      <w:lang w:val="en-US" w:eastAsia="zh-CN" w:bidi="ar-SA"/>
    </w:rPr>
  </w:style>
  <w:style w:type="paragraph" w:styleId="16">
    <w:name w:val="List Paragraph"/>
    <w:basedOn w:val="1"/>
    <w:qFormat/>
    <w:uiPriority w:val="0"/>
    <w:pPr>
      <w:ind w:firstLine="200" w:firstLineChars="200"/>
    </w:pPr>
  </w:style>
  <w:style w:type="paragraph" w:customStyle="1" w:styleId="17">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character" w:customStyle="1" w:styleId="20">
    <w:name w:val="标题 2 Char"/>
    <w:basedOn w:val="11"/>
    <w:link w:val="4"/>
    <w:qFormat/>
    <w:uiPriority w:val="9"/>
    <w:rPr>
      <w:rFonts w:ascii="Cambria" w:hAnsi="Cambria" w:eastAsia="宋体" w:cs="Times New Roman"/>
      <w:b/>
      <w:bCs/>
      <w:kern w:val="2"/>
      <w:sz w:val="32"/>
      <w:szCs w:val="32"/>
    </w:rPr>
  </w:style>
  <w:style w:type="paragraph" w:customStyle="1" w:styleId="21">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2021年</c:f>
              <c:strCache>
                <c:ptCount val="1"/>
                <c:pt idx="0">
                  <c:v>2021年</c:v>
                </c:pt>
              </c:strCache>
            </c:strRef>
          </c:tx>
          <c:spPr>
            <a:solidFill>
              <a:srgbClr val="5B9BD5">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{162.16,162.16}</c:f>
              <c:numCache>
                <c:formatCode>0.00_ </c:formatCode>
                <c:ptCount val="2"/>
                <c:pt idx="0">
                  <c:v>162.16</c:v>
                </c:pt>
                <c:pt idx="1">
                  <c:v>162.16</c:v>
                </c:pt>
              </c:numCache>
            </c:numRef>
          </c:val>
        </c:ser>
        <c:ser>
          <c:idx val="1"/>
          <c:order val="1"/>
          <c:tx>
            <c:strRef>
              <c:f>2022年</c:f>
              <c:strCache>
                <c:ptCount val="1"/>
                <c:pt idx="0">
                  <c:v>2022年</c:v>
                </c:pt>
              </c:strCache>
            </c:strRef>
          </c:tx>
          <c:spPr>
            <a:solidFill>
              <a:srgbClr val="ED7D31">
                <a:alpha val="85000"/>
              </a:srgbClr>
            </a:solidFill>
            <a:ln w="12700">
              <a:solidFill>
                <a:srgbClr val="FFFFFF"/>
              </a:solidFill>
              <a:prstDash val="solid"/>
            </a:ln>
          </c:spPr>
          <c:invertIfNegative val="0"/>
          <c:dLbls>
            <c:numFmt formatCode="0.00_ "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{"收入","支出"}</c:f>
              <c:strCache>
                <c:ptCount val="2"/>
                <c:pt idx="0">
                  <c:v>收入</c:v>
                </c:pt>
                <c:pt idx="1">
                  <c:v>支出</c:v>
                </c:pt>
              </c:strCache>
            </c:strRef>
          </c:cat>
          <c:val>
            <c:numRef>
              <c:f>{106.27,106.27}</c:f>
              <c:numCache>
                <c:formatCode>0.00_ </c:formatCode>
                <c:ptCount val="2"/>
                <c:pt idx="0">
                  <c:v>106.27</c:v>
                </c:pt>
                <c:pt idx="1">
                  <c:v>106.27</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0"/>
        <c:majorTickMark val="out"/>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0"/>
        <c:axPos val="l"/>
        <c:numFmt formatCode="0.00_ " sourceLinked="1"/>
        <c:majorTickMark val="out"/>
        <c:minorTickMark val="none"/>
        <c:tickLblPos val="nextTo"/>
        <c:spPr>
          <a:ln w="9525" cap="flat" cmpd="sng" algn="ctr">
            <a:noFill/>
            <a:prstDash val="solid"/>
            <a:round/>
          </a:ln>
        </c:spPr>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7880905"/>
          <c:y val="0.19861111"/>
          <c:w val="0.9388889"/>
          <c:h val="0.64560187"/>
        </c:manualLayout>
      </c:layout>
      <c:pieChart>
        <c:varyColors val="1"/>
        <c:ser>
          <c:idx val="0"/>
          <c:order val="0"/>
          <c:spPr>
            <a:ln>
              <a:noFill/>
            </a:ln>
          </c:spPr>
          <c:explosion val="0"/>
          <c:dPt>
            <c:idx val="0"/>
            <c:bubble3D val="0"/>
            <c:spPr>
              <a:solidFill>
                <a:srgbClr val="5B9BD5"/>
              </a:solidFill>
              <a:ln>
                <a:noFill/>
              </a:ln>
              <a:effectLst>
                <a:outerShdw dist="35921" dir="2700000" algn="br">
                  <a:srgbClr val="000000"/>
                </a:outerShdw>
              </a:effectLst>
            </c:spPr>
          </c:dPt>
          <c:dPt>
            <c:idx val="1"/>
            <c:bubble3D val="0"/>
            <c:explosion val="27"/>
            <c:spPr>
              <a:solidFill>
                <a:srgbClr val="ED7D31"/>
              </a:solidFill>
              <a:ln>
                <a:noFill/>
              </a:ln>
              <a:effectLst>
                <a:outerShdw dist="35921" dir="2700000" algn="br">
                  <a:srgbClr val="000000"/>
                </a:outerShdw>
              </a:effectLst>
            </c:spPr>
          </c:dPt>
          <c:dPt>
            <c:idx val="2"/>
            <c:bubble3D val="0"/>
            <c:explosion val="21"/>
            <c:spPr>
              <a:solidFill>
                <a:srgbClr val="A5A5A5"/>
              </a:solidFill>
              <a:ln>
                <a:noFill/>
              </a:ln>
              <a:effectLst>
                <a:outerShdw dist="35921" dir="2700000" algn="br">
                  <a:srgbClr val="000000"/>
                </a:outerShdw>
              </a:effectLst>
            </c:spPr>
          </c:dPt>
          <c:dLbls>
            <c:dLbl>
              <c:idx val="0"/>
              <c:layout>
                <c:manualLayout>
                  <c:x val="-0.14486924"/>
                  <c:y val="-0.2286835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财政拨款收入63.98%</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000000"/>
                        </a:solidFill>
                        <a:latin typeface="Times New Roman" panose="02020603050405020304"/>
                        <a:ea typeface="宋体" panose="02010600030101010101" charset="-122"/>
                        <a:cs typeface="Arial" panose="020B0604020202020204" pitchFamily="2"/>
                      </a:rPr>
                      <a:t>政府性基金6.36%</a:t>
                    </a:r>
                    <a:endParaRPr lang="zh-CN" sz="900" b="1" i="0" u="none" strike="noStrike" baseline="0">
                      <a:solidFill>
                        <a:srgbClr val="000000"/>
                      </a:solidFill>
                      <a:latin typeface="Times New Roman" panose="02020603050405020304"/>
                      <a:ea typeface="宋体" panose="02010600030101010101" charset="-122"/>
                      <a:cs typeface="Arial" panose="020B0604020202020204" pitchFamily="2"/>
                    </a:endParaRPr>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2"/>
              <c:layout>
                <c:manualLayout>
                  <c:x val="0.13220935"/>
                  <c:y val="-0.010641895"/>
                </c:manualLayout>
              </c:layout>
              <c:tx>
                <c:rich>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事业收入36.02%</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{67.99,#N/A,38.29}</c:f>
              <c:numCache>
                <c:formatCode>General</c:formatCode>
                <c:ptCount val="3"/>
                <c:pt idx="0">
                  <c:v>67.99</c:v>
                </c:pt>
                <c:pt idx="2">
                  <c:v>38.29</c:v>
                </c:pt>
              </c:numCache>
            </c:numRef>
          </c:val>
        </c:ser>
        <c:ser>
          <c:idx val="1"/>
          <c:order val="1"/>
          <c:spPr>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{"财政拨款收入","","事业收入"}</c:f>
              <c:strCache>
                <c:ptCount val="3"/>
                <c:pt idx="0">
                  <c:v>财政拨款收入</c:v>
                </c:pt>
                <c:pt idx="2">
                  <c:v>事业收入</c:v>
                </c:pt>
              </c:strCache>
            </c:strRef>
          </c:cat>
          <c:val>
            <c:numRef>
              <c:f>{0.7443,#N/A,0.2557}</c:f>
              <c:numCache>
                <c:formatCode>General</c:formatCode>
                <c:ptCount val="3"/>
                <c:pt idx="0">
                  <c:v>0.7443</c:v>
                </c:pt>
                <c:pt idx="2">
                  <c:v>0.2557</c:v>
                </c:pt>
              </c:numCache>
            </c:numRef>
          </c:val>
        </c:ser>
        <c:dLbls>
          <c:showLegendKey val="0"/>
          <c:showVal val="0"/>
          <c:showCatName val="0"/>
          <c:showSerName val="0"/>
          <c:showPercent val="1"/>
          <c:showBubbleSize val="0"/>
          <c:showLeaderLines val="1"/>
        </c:dLbls>
        <c:firstSliceAng val="0"/>
      </c:pieChart>
      <c:spPr>
        <a:noFill/>
        <a:ln>
          <a:noFill/>
        </a:ln>
      </c:spPr>
    </c:plotArea>
    <c:legend>
      <c:legendPos val="b"/>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overlay val="0"/>
      <c:spPr>
        <a:solidFill>
          <a:srgbClr val="FFFFFF">
            <a:alpha val="78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pattFill prst="pct5">
      <a:fgClr>
        <a:srgbClr val="F2F2F2"/>
      </a:fgClr>
      <a:bgClr>
        <a:srgbClr val="FFFFFF"/>
      </a:bgClr>
    </a:patt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446115"/>
          <c:y val="0.22005376"/>
          <c:w val="0.91541356"/>
          <c:h val="0.60155314"/>
        </c:manualLayout>
      </c:layout>
      <c:pieChart>
        <c:varyColors val="1"/>
        <c:ser>
          <c:idx val="0"/>
          <c:order val="0"/>
          <c:spPr>
            <a:ln>
              <a:noFill/>
            </a:ln>
          </c:spPr>
          <c:explosion val="0"/>
          <c:dPt>
            <c:idx val="0"/>
            <c:bubble3D val="0"/>
            <c:spPr>
              <a:solidFill>
                <a:srgbClr val="5B9BD5"/>
              </a:solidFill>
              <a:ln w="25400">
                <a:solidFill>
                  <a:srgbClr val="FFFFFF"/>
                </a:solidFill>
                <a:prstDash val="solid"/>
              </a:ln>
            </c:spPr>
          </c:dPt>
          <c:dPt>
            <c:idx val="1"/>
            <c:bubble3D val="0"/>
            <c:explosion val="25"/>
            <c:spPr>
              <a:solidFill>
                <a:srgbClr val="ED7D31"/>
              </a:solidFill>
              <a:ln w="25400">
                <a:solidFill>
                  <a:srgbClr val="FFFFFF"/>
                </a:solidFill>
                <a:prstDash val="solid"/>
              </a:ln>
            </c:spPr>
          </c:dPt>
          <c:dPt>
            <c:idx val="2"/>
            <c:bubble3D val="0"/>
            <c:spPr>
              <a:solidFill>
                <a:srgbClr val="A5A5A5"/>
              </a:solidFill>
              <a:ln w="25400">
                <a:solidFill>
                  <a:srgbClr val="FFFFFF"/>
                </a:solidFill>
                <a:prstDash val="solid"/>
              </a:ln>
            </c:spPr>
          </c:dPt>
          <c:dLbls>
            <c:dLbl>
              <c:idx val="0"/>
              <c:layout>
                <c:manualLayout>
                  <c:x val="-0.15640903"/>
                  <c:y val="-0.25398636"/>
                </c:manualLayout>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基本支出97.67%</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r>
                      <a:rPr lang="zh-CN" sz="900" b="1" i="0" u="none" strike="noStrike" baseline="0">
                        <a:solidFill>
                          <a:srgbClr val="404040"/>
                        </a:solidFill>
                        <a:latin typeface="Times New Roman" panose="02020603050405020304"/>
                        <a:ea typeface="宋体" panose="02010600030101010101" charset="-122"/>
                        <a:cs typeface="Arial" panose="020B0604020202020204" pitchFamily="2"/>
                      </a:rPr>
                      <a:t>项目支出2.33%</a:t>
                    </a:r>
                    <a:endParaRPr lang="zh-CN" sz="900" b="1" i="0" u="none" strike="noStrike" baseline="0">
                      <a:solidFill>
                        <a:srgbClr val="404040"/>
                      </a:solidFill>
                      <a:latin typeface="Times New Roman" panose="02020603050405020304"/>
                      <a:ea typeface="宋体" panose="02010600030101010101" charset="-122"/>
                      <a:cs typeface="Arial" panose="020B0604020202020204" pitchFamily="2"/>
                    </a:endParaRPr>
                  </a:p>
                </c:rich>
              </c:tx>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extLst>
                <c:ext xmlns:c15="http://schemas.microsoft.com/office/drawing/2012/chart" uri="{CE6537A1-D6FC-4f65-9D91-7224C49458BB}"/>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{103.8,2.47,#N/A}</c:f>
              <c:numCache>
                <c:formatCode>General</c:formatCode>
                <c:ptCount val="3"/>
                <c:pt idx="0">
                  <c:v>103.8</c:v>
                </c:pt>
                <c:pt idx="1">
                  <c:v>2.47</c:v>
                </c:pt>
              </c:numCache>
            </c:numRef>
          </c:val>
        </c:ser>
        <c:ser>
          <c:idx val="1"/>
          <c:order val="1"/>
          <c:spPr>
            <a:ln>
              <a:noFill/>
            </a:ln>
          </c:spPr>
          <c:explosion val="0"/>
          <c:dPt>
            <c:idx val="0"/>
            <c:bubble3D val="0"/>
            <c:spPr>
              <a:ln w="25400">
                <a:solidFill>
                  <a:srgbClr val="FFFFFF"/>
                </a:solidFill>
                <a:prstDash val="solid"/>
              </a:ln>
            </c:spPr>
          </c:dPt>
          <c:dPt>
            <c:idx val="1"/>
            <c:bubble3D val="0"/>
            <c:spPr>
              <a:ln w="25400">
                <a:solidFill>
                  <a:srgbClr val="FFFFFF"/>
                </a:solidFill>
                <a:prstDash val="solid"/>
              </a:ln>
            </c:spPr>
          </c:dPt>
          <c:dPt>
            <c:idx val="2"/>
            <c:bubble3D val="0"/>
            <c:spPr>
              <a:ln w="25400">
                <a:solidFill>
                  <a:srgbClr val="FFFFFF"/>
                </a:solidFill>
                <a:prstDash val="solid"/>
              </a:ln>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ext>
            </c:extLst>
          </c:dLbls>
          <c:cat>
            <c:strRef>
              <c:f>{"基本支出","项目支出",""}</c:f>
              <c:strCache>
                <c:ptCount val="3"/>
                <c:pt idx="0">
                  <c:v>基本支出</c:v>
                </c:pt>
                <c:pt idx="1">
                  <c:v>项目支出</c:v>
                </c:pt>
              </c:strCache>
            </c:strRef>
          </c:cat>
          <c:val>
            <c:numRef>
              <c:f>{0.9842,0.0158,#N/A}</c:f>
              <c:numCache>
                <c:formatCode>General</c:formatCode>
                <c:ptCount val="3"/>
                <c:pt idx="0">
                  <c:v>0.9842</c:v>
                </c:pt>
                <c:pt idx="1">
                  <c:v>0.0158</c:v>
                </c:pt>
              </c:numCache>
            </c:numRef>
          </c:val>
        </c:ser>
        <c:dLbls>
          <c:showLegendKey val="0"/>
          <c:showVal val="0"/>
          <c:showCatName val="1"/>
          <c:showSerName val="0"/>
          <c:showPercent val="0"/>
          <c:showBubbleSize val="0"/>
          <c:showLeaderLines val="1"/>
        </c:dLbls>
        <c:firstSliceAng val="0"/>
      </c:pieChart>
      <c:spPr>
        <a:noFill/>
        <a:ln>
          <a:noFill/>
        </a:ln>
      </c:spPr>
    </c:plotArea>
    <c:legend>
      <c:legendPos val="b"/>
      <c:layout/>
      <c:overlay val="0"/>
      <c:spPr>
        <a:noFill/>
        <a:ln>
          <a:noFill/>
        </a:ln>
      </c:spPr>
      <c:txPr>
        <a:bodyPr rot="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2021年</c:f>
              <c:strCache>
                <c:ptCount val="1"/>
                <c:pt idx="0">
                  <c:v>2021年</c:v>
                </c:pt>
              </c:strCache>
            </c:strRef>
          </c:tx>
          <c:spPr>
            <a:solidFill>
              <a:srgbClr val="5B9BD5">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{116.15,116.15}</c:f>
              <c:numCache>
                <c:formatCode>General</c:formatCode>
                <c:ptCount val="2"/>
                <c:pt idx="0">
                  <c:v>116.15</c:v>
                </c:pt>
                <c:pt idx="1">
                  <c:v>116.15</c:v>
                </c:pt>
              </c:numCache>
            </c:numRef>
          </c:val>
        </c:ser>
        <c:ser>
          <c:idx val="1"/>
          <c:order val="1"/>
          <c:tx>
            <c:strRef>
              <c:f>2022年</c:f>
              <c:strCache>
                <c:ptCount val="1"/>
                <c:pt idx="0">
                  <c:v>2022年</c:v>
                </c:pt>
              </c:strCache>
            </c:strRef>
          </c:tx>
          <c:spPr>
            <a:solidFill>
              <a:srgbClr val="ED7D31">
                <a:alpha val="85000"/>
              </a:srgbClr>
            </a:solidFill>
            <a:ln w="12700">
              <a:solidFill>
                <a:srgbClr val="FFFFFF"/>
              </a:solidFill>
              <a:prstDash val="solid"/>
            </a:ln>
          </c:spPr>
          <c:invertIfNegative val="0"/>
          <c:dLbls>
            <c:numFmt formatCode="General" sourceLinked="0"/>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{"财政拨款支出","财政拨款收入"}</c:f>
              <c:strCache>
                <c:ptCount val="2"/>
                <c:pt idx="0">
                  <c:v>财政拨款支出</c:v>
                </c:pt>
                <c:pt idx="1">
                  <c:v>财政拨款收入</c:v>
                </c:pt>
              </c:strCache>
            </c:strRef>
          </c:cat>
          <c:val>
            <c:numRef>
              <c:f>{67.99,67.99}</c:f>
              <c:numCache>
                <c:formatCode>General</c:formatCode>
                <c:ptCount val="2"/>
                <c:pt idx="0">
                  <c:v>67.99</c:v>
                </c:pt>
                <c:pt idx="1">
                  <c:v>67.99</c:v>
                </c:pt>
              </c:numCache>
            </c:numRef>
          </c:val>
        </c:ser>
        <c:dLbls>
          <c:showLegendKey val="0"/>
          <c:showVal val="1"/>
          <c:showCatName val="0"/>
          <c:showSerName val="0"/>
          <c:showPercent val="0"/>
          <c:showBubbleSize val="0"/>
        </c:dLbls>
        <c:gapWidth val="65"/>
        <c:axId val="0"/>
        <c:axId val="1"/>
      </c:barChart>
      <c:catAx>
        <c:axId val="0"/>
        <c:scaling>
          <c:orientation val="minMax"/>
        </c:scaling>
        <c:delete val="0"/>
        <c:axPos val="b"/>
        <c:numFmt formatCode="General" sourceLinked="0"/>
        <c:majorTickMark val="none"/>
        <c:minorTickMark val="none"/>
        <c:tickLblPos val="nextTo"/>
        <c:spPr>
          <a:ln w="19050" cap="flat" cmpd="sng" algn="ctr">
            <a:solidFill>
              <a:srgbClr val="404040"/>
            </a:solidFill>
            <a:prstDash val="solid"/>
            <a:round/>
          </a:ln>
        </c:spPr>
        <c:txPr>
          <a:bodyPr rot="-60000000" spcFirstLastPara="0" vertOverflow="ellipsis" vert="horz" wrap="square" anchor="ctr" anchorCtr="1"/>
          <a:lstStyle/>
          <a:p>
            <a:pPr>
              <a:defRPr lang="zh-CN" sz="900" b="0" i="0" u="none" strike="noStrike" kern="1200" cap="all" baseline="0">
                <a:solidFill>
                  <a:srgbClr val="404040"/>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majorGridlines>
          <c:spPr>
            <a:ln w="12700" cap="flat" cmpd="sng" algn="ctr">
              <a:solidFill>
                <a:srgbClr val="868686"/>
              </a:solidFill>
              <a:prstDash val="solid"/>
              <a:round/>
            </a:ln>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legend>
      <c:legendPos val="b"/>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40404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1" i="0" u="none" strike="noStrike" kern="1200" cap="all" baseline="0">
                <a:solidFill>
                  <a:srgbClr val="595959"/>
                </a:solidFill>
                <a:latin typeface="Times New Roman" panose="02020603050405020304"/>
                <a:ea typeface="宋体" panose="02010600030101010101" charset="-122"/>
                <a:cs typeface="Arial" panose="020B0604020202020204" pitchFamily="2"/>
              </a:defRPr>
            </a:pPr>
            <a:r>
              <a:rPr lang="zh-CN"/>
              <a:t>一般公共预算财政拨款支出</a:t>
            </a:r>
            <a:endParaRPr lang="zh-CN"/>
          </a:p>
        </c:rich>
      </c:tx>
      <c:layout>
        <c:manualLayout>
          <c:xMode val="edge"/>
          <c:yMode val="edge"/>
          <c:x val="0.09897611"/>
          <c:y val="0.04027778"/>
        </c:manualLayout>
      </c:layout>
      <c:overlay val="0"/>
      <c:spPr>
        <a:noFill/>
        <a:ln>
          <a:noFill/>
        </a:ln>
      </c:spPr>
    </c:title>
    <c:autoTitleDeleted val="0"/>
    <c:plotArea>
      <c:layout>
        <c:manualLayout>
          <c:layoutTarget val="inner"/>
          <c:xMode val="edge"/>
          <c:yMode val="edge"/>
          <c:x val="0.04416784"/>
          <c:y val="0.26875"/>
          <c:w val="0.9116643"/>
          <c:h val="0.5822222"/>
        </c:manualLayout>
      </c:layout>
      <c:barChart>
        <c:barDir val="col"/>
        <c:grouping val="stacked"/>
        <c:varyColors val="0"/>
        <c:ser>
          <c:idx val="0"/>
          <c:order val="0"/>
          <c:spPr>
            <a:solidFill>
              <a:srgbClr val="5B9BD5"/>
            </a:solidFill>
            <a:ln>
              <a:noFill/>
            </a:ln>
          </c:spPr>
          <c:invertIfNegative val="0"/>
          <c:dLbls>
            <c:dLbl>
              <c:idx val="1"/>
              <c:layout>
                <c:manualLayout>
                  <c:x val="-0.009636619"/>
                  <c:y val="-0.09583333"/>
                </c:manualLayout>
              </c:layout>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extLst>
                <c:ext xmlns:c15="http://schemas.microsoft.com/office/drawing/2012/chart" uri="{CE6537A1-D6FC-4f65-9D91-7224C49458BB}">
                  <c15:layout/>
                </c:ext>
              </c:extLst>
            </c:dLbl>
            <c:numFmt formatCode="General"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FFFFFF"/>
                    </a:solidFill>
                    <a:latin typeface="Times New Roman" panose="02020603050405020304"/>
                    <a:ea typeface="宋体" panose="02010600030101010101" charset="-122"/>
                    <a:cs typeface="Arial" panose="020B0604020202020204" pitchFamily="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ext>
            </c:extLst>
          </c:dLbls>
          <c:cat>
            <c:strRef>
              <c:f>{"2021年","2022年"}</c:f>
              <c:strCache>
                <c:ptCount val="2"/>
                <c:pt idx="0">
                  <c:v>2021年</c:v>
                </c:pt>
                <c:pt idx="1">
                  <c:v>2022年</c:v>
                </c:pt>
              </c:strCache>
            </c:strRef>
          </c:cat>
          <c:val>
            <c:numRef>
              <c:f>{116.15,65.51}</c:f>
              <c:numCache>
                <c:formatCode>General</c:formatCode>
                <c:ptCount val="2"/>
                <c:pt idx="0">
                  <c:v>116.15</c:v>
                </c:pt>
                <c:pt idx="1">
                  <c:v>65.51</c:v>
                </c:pt>
              </c:numCache>
            </c:numRef>
          </c:val>
        </c:ser>
        <c:dLbls>
          <c:showLegendKey val="0"/>
          <c:showVal val="1"/>
          <c:showCatName val="0"/>
          <c:showSerName val="0"/>
          <c:showPercent val="0"/>
          <c:showBubbleSize val="0"/>
        </c:dLbls>
        <c:gapWidth val="79"/>
        <c:overlap val="100"/>
        <c:axId val="0"/>
        <c:axId val="1"/>
      </c:barChart>
      <c:catAx>
        <c:axId val="0"/>
        <c:scaling>
          <c:orientation val="minMax"/>
        </c:scaling>
        <c:delete val="0"/>
        <c:axPos val="b"/>
        <c:majorGridlines>
          <c:spPr>
            <a:ln w="12700" cap="flat" cmpd="sng" algn="ctr">
              <a:solidFill>
                <a:srgbClr val="D9D9D9"/>
              </a:solidFill>
              <a:prstDash val="solid"/>
              <a:round/>
            </a:ln>
          </c:spPr>
        </c:majorGridlines>
        <c:numFmt formatCode="General" sourceLinked="0"/>
        <c:majorTickMark val="none"/>
        <c:minorTickMark val="none"/>
        <c:tickLblPos val="nextTo"/>
        <c:spPr>
          <a:ln w="12700" cap="flat" cmpd="sng" algn="ctr">
            <a:solidFill>
              <a:srgbClr val="D9D9D9"/>
            </a:solidFill>
            <a:prstDash val="solid"/>
            <a:round/>
          </a:ln>
        </c:spPr>
        <c:txPr>
          <a:bodyPr rot="-60000000" spcFirstLastPara="0" vertOverflow="ellipsis" vert="horz" wrap="square" anchor="ctr" anchorCtr="1"/>
          <a:lstStyle/>
          <a:p>
            <a:pPr>
              <a:defRPr lang="zh-CN" sz="800" b="0" i="0" u="none" strike="noStrike" kern="1200" cap="all" baseline="0">
                <a:solidFill>
                  <a:srgbClr val="595959"/>
                </a:solidFill>
                <a:latin typeface="Times New Roman" panose="02020603050405020304"/>
                <a:ea typeface="宋体" panose="02010600030101010101" charset="-122"/>
                <a:cs typeface="Arial" panose="020B0604020202020204" pitchFamily="2"/>
              </a:defRPr>
            </a:pPr>
          </a:p>
        </c:txPr>
        <c:crossAx val="1"/>
        <c:crosses val="autoZero"/>
        <c:auto val="1"/>
        <c:lblAlgn val="ctr"/>
        <c:lblOffset val="100"/>
        <c:noMultiLvlLbl val="0"/>
      </c:catAx>
      <c:valAx>
        <c:axId val="1"/>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rgbClr val="595959"/>
                </a:solidFill>
                <a:latin typeface="Times New Roman" panose="02020603050405020304"/>
                <a:ea typeface="宋体" panose="02010600030101010101" charset="-122"/>
                <a:cs typeface="Arial" panose="020B0604020202020204" pitchFamily="2"/>
              </a:defRPr>
            </a:pPr>
          </a:p>
        </c:txPr>
        <c:crossAx val="0"/>
        <c:crossesAt val="1"/>
        <c:crossBetween val="between"/>
      </c:valAx>
      <c:spPr>
        <a:noFill/>
        <a:ln>
          <a:noFill/>
        </a:ln>
      </c:spPr>
    </c:plotArea>
    <c:plotVisOnly val="1"/>
    <c:dispBlanksAs val="gap"/>
    <c:showDLblsOverMax val="0"/>
  </c:chart>
  <c:spPr>
    <a:solidFill>
      <a:srgbClr val="FFFFFF"/>
    </a:solidFill>
    <a:ln w="12700" cap="flat" cmpd="sng" algn="ctr">
      <a:solidFill>
        <a:srgbClr val="D9D9D9"/>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40470935"/>
          <c:y val="0.046783626"/>
          <c:w val="0.6111111"/>
          <c:h val="0.87134504"/>
        </c:manualLayout>
      </c:layout>
      <c:pieChart>
        <c:varyColors val="1"/>
        <c:ser>
          <c:idx val="0"/>
          <c:order val="0"/>
          <c:spPr>
            <a:solidFill>
              <a:srgbClr val="4F81BD"/>
            </a:solidFill>
            <a:ln>
              <a:noFill/>
            </a:ln>
          </c:spPr>
          <c:explosion val="0"/>
          <c:dPt>
            <c:idx val="0"/>
            <c:bubble3D val="0"/>
            <c:explosion val="11"/>
            <c:spPr>
              <a:solidFill>
                <a:srgbClr val="5B9BD5"/>
              </a:solidFill>
              <a:ln>
                <a:noFill/>
              </a:ln>
              <a:effectLst>
                <a:outerShdw dist="35921" dir="2700000" algn="br">
                  <a:srgbClr val="000000"/>
                </a:outerShdw>
              </a:effectLst>
            </c:spPr>
          </c:dPt>
          <c:dPt>
            <c:idx val="1"/>
            <c:bubble3D val="0"/>
            <c:explosion val="42"/>
            <c:spPr>
              <a:solidFill>
                <a:srgbClr val="ED7D31"/>
              </a:solidFill>
              <a:ln>
                <a:noFill/>
              </a:ln>
              <a:effectLst>
                <a:outerShdw dist="35921" dir="2700000" algn="br">
                  <a:srgbClr val="000000"/>
                </a:outerShdw>
              </a:effectLst>
            </c:spPr>
          </c:dPt>
          <c:dPt>
            <c:idx val="2"/>
            <c:bubble3D val="0"/>
            <c:explosion val="19"/>
            <c:spPr>
              <a:solidFill>
                <a:srgbClr val="A5A5A5"/>
              </a:solidFill>
              <a:ln>
                <a:noFill/>
              </a:ln>
              <a:effectLst>
                <a:outerShdw dist="35921" dir="2700000" algn="br">
                  <a:srgbClr val="000000"/>
                </a:outerShdw>
              </a:effectLst>
            </c:spPr>
          </c:dPt>
          <c:dLbls>
            <c:dLbl>
              <c:idx val="0"/>
              <c:layout>
                <c:manualLayout>
                  <c:x val="0.046670634"/>
                  <c:y val="0"/>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社会保障和就业支出7.19%</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卫生健康支出81.47%</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extLst>
                <c:ext xmlns:c15="http://schemas.microsoft.com/office/drawing/2012/chart" uri="{CE6537A1-D6FC-4f65-9D91-7224C49458BB}"/>
              </c:extLst>
            </c:dLbl>
            <c:dLbl>
              <c:idx val="2"/>
              <c:layout>
                <c:manualLayout>
                  <c:x val="-0.036476"/>
                  <c:y val="0.018955473"/>
                </c:manualLayout>
              </c:layout>
              <c:tx>
                <c:rich>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r>
                      <a:rPr lang="zh-CN"/>
                      <a:t>住房保障支出11.34%</a:t>
                    </a:r>
                    <a:endParaRPr lang="zh-CN"/>
                  </a:p>
                </c:rich>
              </c:tx>
              <c:numFmt formatCode="0%" sourceLinked="0"/>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{7.43,53.37,4.71}</c:f>
              <c:numCache>
                <c:formatCode>General</c:formatCode>
                <c:ptCount val="3"/>
                <c:pt idx="0">
                  <c:v>7.43</c:v>
                </c:pt>
                <c:pt idx="1">
                  <c:v>53.37</c:v>
                </c:pt>
                <c:pt idx="2">
                  <c:v>4.71</c:v>
                </c:pt>
              </c:numCache>
            </c:numRef>
          </c:val>
        </c:ser>
        <c:ser>
          <c:idx val="1"/>
          <c:order val="1"/>
          <c:spPr>
            <a:solidFill>
              <a:srgbClr val="C0504D"/>
            </a:solidFill>
            <a:ln>
              <a:noFill/>
            </a:ln>
          </c:spPr>
          <c:explosion val="0"/>
          <c:dPt>
            <c:idx val="0"/>
            <c:bubble3D val="0"/>
            <c:spPr>
              <a:ln>
                <a:noFill/>
              </a:ln>
              <a:effectLst>
                <a:outerShdw dist="35921" dir="2700000" algn="br">
                  <a:srgbClr val="000000"/>
                </a:outerShdw>
              </a:effectLst>
            </c:spPr>
          </c:dPt>
          <c:dPt>
            <c:idx val="1"/>
            <c:bubble3D val="0"/>
            <c:spPr>
              <a:ln>
                <a:noFill/>
              </a:ln>
              <a:effectLst>
                <a:outerShdw dist="35921" dir="2700000" algn="br">
                  <a:srgbClr val="000000"/>
                </a:outerShdw>
              </a:effectLst>
            </c:spPr>
          </c:dPt>
          <c:dPt>
            <c:idx val="2"/>
            <c:bubble3D val="0"/>
            <c:spPr>
              <a:ln>
                <a:noFill/>
              </a:ln>
              <a:effectLst>
                <a:outerShdw dist="35921" dir="2700000" algn="br">
                  <a:srgbClr val="000000"/>
                </a:outerShdw>
              </a:effectLst>
            </c:spPr>
          </c:dPt>
          <c:dLbls>
            <c:numFmt formatCode="0%" sourceLinked="0"/>
            <c:spPr>
              <a:pattFill prst="pct75">
                <a:fgClr>
                  <a:srgbClr val="404040"/>
                </a:fgClr>
                <a:bgClr>
                  <a:srgbClr val="595959"/>
                </a:bgClr>
              </a:patt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{"社会保障和就业（类）支出","卫生健康支出","住房保障"}</c:f>
              <c:strCache>
                <c:ptCount val="3"/>
                <c:pt idx="0">
                  <c:v>社会保障和就业（类）支出</c:v>
                </c:pt>
                <c:pt idx="1">
                  <c:v>卫生健康支出</c:v>
                </c:pt>
                <c:pt idx="2">
                  <c:v>住房保障</c:v>
                </c:pt>
              </c:strCache>
            </c:strRef>
          </c:cat>
          <c:val>
            <c:numRef>
              <c:f>{0.1438,0.7571,0.0991}</c:f>
              <c:numCache>
                <c:formatCode>General</c:formatCode>
                <c:ptCount val="3"/>
                <c:pt idx="0">
                  <c:v>0.1438</c:v>
                </c:pt>
                <c:pt idx="1">
                  <c:v>0.7571</c:v>
                </c:pt>
                <c:pt idx="2">
                  <c:v>0.0991</c:v>
                </c:pt>
              </c:numCache>
            </c:numRef>
          </c:val>
        </c:ser>
        <c:dLbls>
          <c:showLegendKey val="0"/>
          <c:showVal val="0"/>
          <c:showCatName val="0"/>
          <c:showSerName val="0"/>
          <c:showPercent val="1"/>
          <c:showBubbleSize val="0"/>
          <c:showLeaderLines val="1"/>
        </c:dLbls>
        <c:firstSliceAng val="0"/>
      </c:pieChart>
      <c:spPr>
        <a:noFill/>
        <a:ln>
          <a:noFill/>
        </a:ln>
      </c:spPr>
    </c:plotArea>
    <c:legend>
      <c:legendPos val="r"/>
      <c:legendEntry>
        <c:idx val="0"/>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1"/>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egendEntry>
        <c:idx val="2"/>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Entry>
      <c:layout>
        <c:manualLayout>
          <c:xMode val="edge"/>
          <c:yMode val="edge"/>
          <c:x val="0.6929395"/>
          <c:y val="0.22444832"/>
          <c:w val="0.301468"/>
          <c:h val="0.5595238"/>
        </c:manualLayout>
      </c:layout>
      <c:overlay val="0"/>
      <c:spPr>
        <a:solidFill>
          <a:srgbClr val="F2F2F2">
            <a:alpha val="39000"/>
          </a:srgbClr>
        </a:solidFill>
        <a:ln>
          <a:noFill/>
        </a:ln>
      </c:spPr>
      <c:txPr>
        <a:bodyPr rot="0" spcFirstLastPara="0" vertOverflow="ellipsis" vert="horz" wrap="square" anchor="ctr" anchorCtr="1"/>
        <a:lstStyle/>
        <a:p>
          <a:pPr>
            <a:defRPr lang="zh-CN" sz="900" b="0" i="0" u="none" strike="noStrike" kern="1200" baseline="0">
              <a:solidFill>
                <a:srgbClr val="000000"/>
              </a:solidFill>
              <a:latin typeface="Times New Roman" panose="02020603050405020304"/>
              <a:ea typeface="宋体" panose="02010600030101010101" charset="-122"/>
              <a:cs typeface="Arial" panose="020B0604020202020204" pitchFamily="2"/>
            </a:defRPr>
          </a:pPr>
        </a:p>
      </c:txPr>
    </c:legend>
    <c:plotVisOnly val="1"/>
    <c:dispBlanksAs val="gap"/>
    <c:showDLblsOverMax val="0"/>
  </c:chart>
  <c:spPr>
    <a:noFill/>
    <a:ln w="12700" cap="flat" cmpd="sng" algn="ctr">
      <a:solidFill>
        <a:srgbClr val="BFBFBF"/>
      </a:solidFill>
      <a:prstDash val="solid"/>
      <a:round/>
    </a:ln>
  </c:spPr>
  <c:txPr>
    <a:bodyPr/>
    <a:lstStyle/>
    <a:p>
      <a:pPr>
        <a:defRPr lang="zh-CN" sz="1000" b="0" i="0" u="none" strike="noStrike" baseline="0">
          <a:solidFill>
            <a:srgbClr val="000000"/>
          </a:solidFill>
          <a:latin typeface="Times New Roman" panose="02020603050405020304"/>
          <a:ea typeface="宋体" panose="02010600030101010101" charset="-122"/>
          <a:cs typeface="Arial" panose="020B0604020202020204" pitchFamily="2"/>
        </a:defRPr>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20</Pages>
  <Words>6145</Words>
  <Characters>6782</Characters>
  <Lines>0</Lines>
  <Paragraphs>188</Paragraphs>
  <TotalTime>3</TotalTime>
  <ScaleCrop>false</ScaleCrop>
  <LinksUpToDate>false</LinksUpToDate>
  <CharactersWithSpaces>6878</CharactersWithSpaces>
  <Application>WPS Office_10.1.0.7698_F1E327BC-269C-435d-A152-05C5408002CA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2023-09-21T11:49:00Z</dcterms:created>
  <dc:creator>魏连春</dc:creator>
  <cp:lastModifiedBy>魏连春</cp:lastModifiedBy>
  <dcterms:modified xsi:type="dcterms:W3CDTF">2023-09-28T08:28:32Z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34B16A5733804A129E516692304A460B_12</vt:lpwstr>
  </property>
</Properties>
</file>